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6.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C0" w:rsidRDefault="00A448C0" w:rsidP="00A448C0">
      <w:pPr>
        <w:spacing w:after="200" w:line="276" w:lineRule="auto"/>
        <w:ind w:left="3402"/>
      </w:pPr>
      <w:r>
        <w:rPr>
          <w:noProof/>
          <w:color w:val="000000"/>
          <w:lang w:val="en-CA" w:eastAsia="en-CA"/>
        </w:rPr>
        <w:drawing>
          <wp:inline distT="0" distB="0" distL="0" distR="0" wp14:anchorId="23B22523" wp14:editId="04476226">
            <wp:extent cx="2198370" cy="539115"/>
            <wp:effectExtent l="0" t="0" r="0" b="0"/>
            <wp:docPr id="11" name="Picture 11" descr="Australian Government Logo. AusAID." title="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539115"/>
                    </a:xfrm>
                    <a:prstGeom prst="rect">
                      <a:avLst/>
                    </a:prstGeom>
                    <a:noFill/>
                    <a:ln>
                      <a:noFill/>
                    </a:ln>
                  </pic:spPr>
                </pic:pic>
              </a:graphicData>
            </a:graphic>
          </wp:inline>
        </w:drawing>
      </w:r>
    </w:p>
    <w:p w:rsidR="00A448C0" w:rsidRPr="001409BB" w:rsidRDefault="00A448C0" w:rsidP="00A448C0">
      <w:pPr>
        <w:pStyle w:val="Title"/>
      </w:pPr>
      <w:r w:rsidRPr="00A448C0">
        <w:t>Annual</w:t>
      </w:r>
      <w:r w:rsidRPr="001409BB">
        <w:t xml:space="preserve"> program performance report for </w:t>
      </w:r>
      <w:r>
        <w:t>Asia</w:t>
      </w:r>
      <w:r w:rsidRPr="001409BB">
        <w:t xml:space="preserve"> </w:t>
      </w:r>
      <w:r w:rsidRPr="000551C8">
        <w:t>2007</w:t>
      </w:r>
      <w:r w:rsidRPr="001409BB">
        <w:t>–08</w:t>
      </w:r>
    </w:p>
    <w:p w:rsidR="00A448C0" w:rsidRPr="00A448C0" w:rsidRDefault="00A448C0" w:rsidP="00A448C0">
      <w:pPr>
        <w:pStyle w:val="Subtitle"/>
      </w:pPr>
      <w:r w:rsidRPr="00A448C0">
        <w:t>NOVEMBER 2008</w:t>
      </w:r>
    </w:p>
    <w:p w:rsidR="00A448C0" w:rsidRDefault="00DC48F8" w:rsidP="00A448C0">
      <w:pPr>
        <w:pStyle w:val="CoverLink"/>
      </w:pPr>
      <w:hyperlink r:id="rId9" w:history="1">
        <w:r w:rsidR="00A448C0">
          <w:rPr>
            <w:rStyle w:val="Hyperlink"/>
          </w:rPr>
          <w:t>www.ausaid.gov.au</w:t>
        </w:r>
      </w:hyperlink>
    </w:p>
    <w:p w:rsidR="00C762EF" w:rsidRPr="003B3AAB" w:rsidRDefault="00C762EF">
      <w:pPr>
        <w:pStyle w:val="BodyText"/>
        <w:spacing w:before="0"/>
        <w:rPr>
          <w:color w:val="000000"/>
        </w:rPr>
        <w:sectPr w:rsidR="00C762EF" w:rsidRPr="003B3AAB">
          <w:headerReference w:type="default" r:id="rId10"/>
          <w:footerReference w:type="even" r:id="rId11"/>
          <w:footerReference w:type="default" r:id="rId12"/>
          <w:type w:val="oddPage"/>
          <w:pgSz w:w="11907" w:h="16840" w:code="9"/>
          <w:pgMar w:top="0" w:right="6" w:bottom="0" w:left="0" w:header="0" w:footer="0" w:gutter="0"/>
          <w:cols w:space="720"/>
        </w:sectPr>
      </w:pPr>
    </w:p>
    <w:p w:rsidR="00C762EF" w:rsidRPr="003B3AAB" w:rsidRDefault="00C762EF" w:rsidP="00F0526B">
      <w:pPr>
        <w:pStyle w:val="BodyText"/>
        <w:spacing w:before="1600"/>
        <w:rPr>
          <w:color w:val="000000"/>
        </w:rPr>
      </w:pPr>
      <w:r w:rsidRPr="003B3AAB">
        <w:rPr>
          <w:color w:val="000000"/>
        </w:rPr>
        <w:lastRenderedPageBreak/>
        <w:t xml:space="preserve">© Commonwealth of Australia </w:t>
      </w:r>
      <w:r w:rsidRPr="003B3AAB">
        <w:rPr>
          <w:color w:val="000000"/>
        </w:rPr>
        <w:fldChar w:fldCharType="begin"/>
      </w:r>
      <w:r w:rsidRPr="003B3AAB">
        <w:rPr>
          <w:color w:val="000000"/>
        </w:rPr>
        <w:instrText xml:space="preserve"> DATE \@ "yyyy" \* MERGEFORMAT </w:instrText>
      </w:r>
      <w:r w:rsidRPr="003B3AAB">
        <w:rPr>
          <w:color w:val="000000"/>
        </w:rPr>
        <w:fldChar w:fldCharType="separate"/>
      </w:r>
      <w:r w:rsidR="00C224E8">
        <w:rPr>
          <w:noProof/>
          <w:color w:val="000000"/>
        </w:rPr>
        <w:t>2013</w:t>
      </w:r>
      <w:r w:rsidRPr="003B3AAB">
        <w:rPr>
          <w:color w:val="000000"/>
        </w:rPr>
        <w:fldChar w:fldCharType="end"/>
      </w:r>
    </w:p>
    <w:p w:rsidR="00CC4428" w:rsidRPr="003B3AAB" w:rsidRDefault="00CC4428" w:rsidP="00E57469">
      <w:pPr>
        <w:pStyle w:val="BodyText"/>
        <w:spacing w:before="80"/>
        <w:ind w:right="-143"/>
        <w:rPr>
          <w:color w:val="000000"/>
        </w:rPr>
      </w:pPr>
      <w:r w:rsidRPr="003B3AAB">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3B3AAB">
        <w:rPr>
          <w:i/>
          <w:color w:val="000000"/>
        </w:rPr>
        <w:t>Copyright Act 1968</w:t>
      </w:r>
      <w:r w:rsidRPr="003B3AAB">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13" w:history="1">
        <w:r w:rsidRPr="003B3AAB">
          <w:rPr>
            <w:color w:val="000000"/>
          </w:rPr>
          <w:t>http://www.ag.gov.au/cca</w:t>
        </w:r>
      </w:hyperlink>
    </w:p>
    <w:p w:rsidR="00C762EF" w:rsidRPr="003B3AAB" w:rsidRDefault="00C762EF">
      <w:pPr>
        <w:pStyle w:val="BodyText"/>
        <w:rPr>
          <w:color w:val="000000"/>
        </w:rPr>
      </w:pPr>
      <w:r w:rsidRPr="003B3AAB">
        <w:rPr>
          <w:color w:val="000000"/>
        </w:rPr>
        <w:t xml:space="preserve">ISBN </w:t>
      </w:r>
      <w:r w:rsidR="00F83908" w:rsidRPr="003B3AAB">
        <w:rPr>
          <w:color w:val="000000"/>
        </w:rPr>
        <w:t>978 1 921285 34 9</w:t>
      </w:r>
    </w:p>
    <w:p w:rsidR="00C762EF" w:rsidRPr="003B3AAB" w:rsidRDefault="00C762EF">
      <w:pPr>
        <w:pStyle w:val="BodyText"/>
        <w:rPr>
          <w:color w:val="000000"/>
        </w:rPr>
      </w:pPr>
      <w:r w:rsidRPr="003B3AAB">
        <w:rPr>
          <w:color w:val="000000"/>
        </w:rPr>
        <w:t xml:space="preserve">Published by the Australian Agency for International Development (AusAID), </w:t>
      </w:r>
      <w:smartTag w:uri="urn:schemas-microsoft-com:office:smarttags" w:element="City">
        <w:smartTag w:uri="urn:schemas-microsoft-com:office:smarttags" w:element="place">
          <w:r w:rsidRPr="003B3AAB">
            <w:rPr>
              <w:color w:val="000000"/>
            </w:rPr>
            <w:t>Canberra</w:t>
          </w:r>
        </w:smartTag>
      </w:smartTag>
      <w:r w:rsidRPr="003B3AAB">
        <w:rPr>
          <w:color w:val="000000"/>
        </w:rPr>
        <w:t xml:space="preserve">, </w:t>
      </w:r>
      <w:proofErr w:type="gramStart"/>
      <w:r w:rsidR="00F83908" w:rsidRPr="003B3AAB">
        <w:rPr>
          <w:color w:val="000000"/>
        </w:rPr>
        <w:t>November</w:t>
      </w:r>
      <w:proofErr w:type="gramEnd"/>
      <w:r w:rsidR="00F83908" w:rsidRPr="003B3AAB">
        <w:rPr>
          <w:color w:val="000000"/>
        </w:rPr>
        <w:t xml:space="preserve"> 2008</w:t>
      </w:r>
      <w:r w:rsidRPr="003B3AAB">
        <w:rPr>
          <w:color w:val="000000"/>
        </w:rPr>
        <w:t>.</w:t>
      </w:r>
    </w:p>
    <w:p w:rsidR="00AC2004" w:rsidRPr="003B3AAB" w:rsidRDefault="00AC2004" w:rsidP="00AC2004">
      <w:pPr>
        <w:pStyle w:val="BodyText"/>
        <w:rPr>
          <w:color w:val="000000"/>
        </w:rPr>
      </w:pPr>
      <w:r w:rsidRPr="003B3AAB">
        <w:rPr>
          <w:color w:val="000000"/>
        </w:rPr>
        <w:t>Annual Program Performance Reports are prepared in accordance with AusAID’s Performance Assessment and Evaluation Policy. The reports are self-assessments and represent the views of program areas.</w:t>
      </w:r>
    </w:p>
    <w:p w:rsidR="00C762EF" w:rsidRPr="003B3AAB" w:rsidRDefault="00C762EF">
      <w:pPr>
        <w:pStyle w:val="BodyText"/>
        <w:rPr>
          <w:color w:val="000000"/>
        </w:rPr>
      </w:pPr>
      <w:r w:rsidRPr="003B3AAB">
        <w:rPr>
          <w:color w:val="000000"/>
        </w:rPr>
        <w:t xml:space="preserve">This document is online at </w:t>
      </w:r>
      <w:hyperlink r:id="rId14" w:history="1">
        <w:r w:rsidRPr="003B3AAB">
          <w:rPr>
            <w:color w:val="000000"/>
          </w:rPr>
          <w:t>www.ausaid.gov.au/publications</w:t>
        </w:r>
      </w:hyperlink>
    </w:p>
    <w:p w:rsidR="00C762EF" w:rsidRPr="003B3AAB" w:rsidRDefault="00D76614">
      <w:pPr>
        <w:pStyle w:val="BodyText"/>
        <w:spacing w:before="720"/>
        <w:rPr>
          <w:color w:val="000000"/>
        </w:rPr>
      </w:pPr>
      <w:r w:rsidRPr="003B3AAB">
        <w:rPr>
          <w:color w:val="000000"/>
        </w:rPr>
        <w:t>For further more information about the Australian Government’s international development program, contact:</w:t>
      </w:r>
    </w:p>
    <w:p w:rsidR="00C762EF" w:rsidRPr="003B3AAB" w:rsidRDefault="00CC4428">
      <w:pPr>
        <w:pStyle w:val="BodyText"/>
        <w:spacing w:before="60"/>
        <w:rPr>
          <w:color w:val="000000"/>
        </w:rPr>
      </w:pPr>
      <w:r w:rsidRPr="003B3AAB">
        <w:rPr>
          <w:color w:val="000000"/>
        </w:rPr>
        <w:t>Communications Section</w:t>
      </w:r>
    </w:p>
    <w:p w:rsidR="00C762EF" w:rsidRPr="003B3AAB" w:rsidRDefault="00C762EF">
      <w:pPr>
        <w:pStyle w:val="BodyText"/>
        <w:spacing w:before="0"/>
        <w:rPr>
          <w:color w:val="000000"/>
        </w:rPr>
      </w:pPr>
      <w:r w:rsidRPr="003B3AAB">
        <w:rPr>
          <w:color w:val="000000"/>
        </w:rPr>
        <w:t>AusAID</w:t>
      </w:r>
    </w:p>
    <w:p w:rsidR="00C762EF" w:rsidRPr="003B3AAB" w:rsidRDefault="00C762EF">
      <w:pPr>
        <w:pStyle w:val="BodyText"/>
        <w:spacing w:before="0"/>
        <w:rPr>
          <w:color w:val="000000"/>
        </w:rPr>
      </w:pPr>
      <w:r w:rsidRPr="003B3AAB">
        <w:rPr>
          <w:color w:val="000000"/>
        </w:rPr>
        <w:t xml:space="preserve">GPO </w:t>
      </w:r>
      <w:smartTag w:uri="urn:schemas-microsoft-com:office:smarttags" w:element="Street">
        <w:smartTag w:uri="urn:schemas-microsoft-com:office:smarttags" w:element="address">
          <w:r w:rsidRPr="003B3AAB">
            <w:rPr>
              <w:color w:val="000000"/>
            </w:rPr>
            <w:t>Box</w:t>
          </w:r>
        </w:smartTag>
        <w:r w:rsidRPr="003B3AAB">
          <w:rPr>
            <w:color w:val="000000"/>
          </w:rPr>
          <w:t xml:space="preserve"> 887</w:t>
        </w:r>
      </w:smartTag>
    </w:p>
    <w:p w:rsidR="00C762EF" w:rsidRPr="003B3AAB" w:rsidRDefault="00C762EF">
      <w:pPr>
        <w:pStyle w:val="BodyText"/>
        <w:spacing w:before="0"/>
        <w:rPr>
          <w:color w:val="000000"/>
        </w:rPr>
      </w:pPr>
      <w:smartTag w:uri="urn:schemas-microsoft-com:office:smarttags" w:element="City">
        <w:smartTag w:uri="urn:schemas-microsoft-com:office:smarttags" w:element="place">
          <w:r w:rsidRPr="003B3AAB">
            <w:rPr>
              <w:color w:val="000000"/>
            </w:rPr>
            <w:t>Canberra</w:t>
          </w:r>
        </w:smartTag>
      </w:smartTag>
      <w:r w:rsidRPr="003B3AAB">
        <w:rPr>
          <w:color w:val="000000"/>
        </w:rPr>
        <w:t xml:space="preserve"> ACT 2601</w:t>
      </w:r>
    </w:p>
    <w:p w:rsidR="00C762EF" w:rsidRPr="003B3AAB" w:rsidRDefault="00C762EF">
      <w:pPr>
        <w:pStyle w:val="BodyText"/>
        <w:tabs>
          <w:tab w:val="left" w:pos="741"/>
        </w:tabs>
        <w:spacing w:before="60"/>
        <w:rPr>
          <w:color w:val="000000"/>
        </w:rPr>
      </w:pPr>
      <w:proofErr w:type="gramStart"/>
      <w:r w:rsidRPr="003B3AAB">
        <w:rPr>
          <w:color w:val="000000"/>
        </w:rPr>
        <w:t>Phone</w:t>
      </w:r>
      <w:proofErr w:type="gramEnd"/>
      <w:r w:rsidRPr="003B3AAB">
        <w:rPr>
          <w:color w:val="000000"/>
        </w:rPr>
        <w:t> </w:t>
      </w:r>
      <w:r w:rsidRPr="003B3AAB">
        <w:rPr>
          <w:color w:val="000000"/>
        </w:rPr>
        <w:t>(02) 6206 4000</w:t>
      </w:r>
    </w:p>
    <w:p w:rsidR="00C762EF" w:rsidRPr="003B3AAB" w:rsidRDefault="00C762EF">
      <w:pPr>
        <w:pStyle w:val="BodyText"/>
        <w:tabs>
          <w:tab w:val="left" w:pos="741"/>
        </w:tabs>
        <w:spacing w:before="0"/>
        <w:rPr>
          <w:color w:val="000000"/>
        </w:rPr>
      </w:pPr>
      <w:proofErr w:type="gramStart"/>
      <w:r w:rsidRPr="003B3AAB">
        <w:rPr>
          <w:color w:val="000000"/>
        </w:rPr>
        <w:t>Facsimile</w:t>
      </w:r>
      <w:proofErr w:type="gramEnd"/>
      <w:r w:rsidRPr="003B3AAB">
        <w:rPr>
          <w:color w:val="000000"/>
        </w:rPr>
        <w:t> </w:t>
      </w:r>
      <w:r w:rsidRPr="003B3AAB">
        <w:rPr>
          <w:color w:val="000000"/>
        </w:rPr>
        <w:t xml:space="preserve">(02) 6206 </w:t>
      </w:r>
      <w:r w:rsidR="00B5381C" w:rsidRPr="003B3AAB">
        <w:rPr>
          <w:color w:val="000000"/>
        </w:rPr>
        <w:t>4880</w:t>
      </w:r>
    </w:p>
    <w:p w:rsidR="00C762EF" w:rsidRPr="003B3AAB" w:rsidRDefault="00C762EF">
      <w:pPr>
        <w:pStyle w:val="BodyText"/>
        <w:tabs>
          <w:tab w:val="left" w:pos="741"/>
        </w:tabs>
        <w:spacing w:before="0"/>
        <w:rPr>
          <w:color w:val="000000"/>
        </w:rPr>
      </w:pPr>
      <w:r w:rsidRPr="003B3AAB">
        <w:rPr>
          <w:color w:val="000000"/>
        </w:rPr>
        <w:t>Internet</w:t>
      </w:r>
      <w:r w:rsidRPr="003B3AAB">
        <w:rPr>
          <w:color w:val="000000"/>
        </w:rPr>
        <w:t> </w:t>
      </w:r>
      <w:hyperlink r:id="rId15" w:history="1">
        <w:r w:rsidRPr="003B3AAB">
          <w:rPr>
            <w:color w:val="000000"/>
          </w:rPr>
          <w:t>www.</w:t>
        </w:r>
        <w:bookmarkStart w:id="0" w:name="_Hlt536343294"/>
        <w:r w:rsidRPr="003B3AAB">
          <w:rPr>
            <w:color w:val="000000"/>
          </w:rPr>
          <w:t>a</w:t>
        </w:r>
        <w:bookmarkEnd w:id="0"/>
        <w:r w:rsidRPr="003B3AAB">
          <w:rPr>
            <w:color w:val="000000"/>
          </w:rPr>
          <w:t>u</w:t>
        </w:r>
        <w:bookmarkStart w:id="1" w:name="_Hlt536343388"/>
        <w:r w:rsidRPr="003B3AAB">
          <w:rPr>
            <w:color w:val="000000"/>
          </w:rPr>
          <w:t>s</w:t>
        </w:r>
        <w:bookmarkStart w:id="2" w:name="_Hlt536343250"/>
        <w:bookmarkEnd w:id="1"/>
        <w:r w:rsidRPr="003B3AAB">
          <w:rPr>
            <w:color w:val="000000"/>
          </w:rPr>
          <w:t>a</w:t>
        </w:r>
        <w:bookmarkStart w:id="3" w:name="_Hlt536343212"/>
        <w:bookmarkEnd w:id="2"/>
        <w:r w:rsidRPr="003B3AAB">
          <w:rPr>
            <w:color w:val="000000"/>
          </w:rPr>
          <w:t>i</w:t>
        </w:r>
        <w:bookmarkStart w:id="4" w:name="_Hlt536343325"/>
        <w:bookmarkEnd w:id="3"/>
        <w:r w:rsidRPr="003B3AAB">
          <w:rPr>
            <w:color w:val="000000"/>
          </w:rPr>
          <w:t>d</w:t>
        </w:r>
        <w:bookmarkEnd w:id="4"/>
        <w:r w:rsidRPr="003B3AAB">
          <w:rPr>
            <w:color w:val="000000"/>
          </w:rPr>
          <w:t>.go</w:t>
        </w:r>
        <w:bookmarkStart w:id="5" w:name="_Hlt86200017"/>
        <w:r w:rsidRPr="003B3AAB">
          <w:rPr>
            <w:color w:val="000000"/>
          </w:rPr>
          <w:t>v</w:t>
        </w:r>
        <w:bookmarkEnd w:id="5"/>
        <w:r w:rsidRPr="003B3AAB">
          <w:rPr>
            <w:color w:val="000000"/>
          </w:rPr>
          <w:t>.au</w:t>
        </w:r>
      </w:hyperlink>
    </w:p>
    <w:p w:rsidR="00C762EF" w:rsidRPr="003B3AAB" w:rsidRDefault="00C762EF">
      <w:pPr>
        <w:pStyle w:val="TOC1"/>
        <w:rPr>
          <w:color w:val="000000"/>
        </w:rPr>
        <w:sectPr w:rsidR="00C762EF" w:rsidRPr="003B3AAB" w:rsidSect="004979BF">
          <w:headerReference w:type="even" r:id="rId16"/>
          <w:headerReference w:type="default" r:id="rId17"/>
          <w:footerReference w:type="even" r:id="rId18"/>
          <w:footerReference w:type="default" r:id="rId19"/>
          <w:pgSz w:w="11907" w:h="16840" w:code="9"/>
          <w:pgMar w:top="2268" w:right="1985" w:bottom="1247" w:left="1985" w:header="567" w:footer="567" w:gutter="0"/>
          <w:cols w:space="720"/>
        </w:sectPr>
      </w:pPr>
    </w:p>
    <w:p w:rsidR="00C762EF" w:rsidRPr="003B3AAB" w:rsidRDefault="00C762EF" w:rsidP="00A448C0">
      <w:pPr>
        <w:pStyle w:val="H1"/>
      </w:pPr>
      <w:r w:rsidRPr="00A448C0">
        <w:lastRenderedPageBreak/>
        <w:t>Contents</w:t>
      </w:r>
    </w:p>
    <w:p w:rsidR="000C28FA" w:rsidRDefault="000C28FA" w:rsidP="000C28FA">
      <w:pPr>
        <w:pStyle w:val="TOC1"/>
        <w:ind w:left="568"/>
        <w:rPr>
          <w:rFonts w:asciiTheme="minorHAnsi" w:eastAsiaTheme="minorEastAsia" w:hAnsiTheme="minorHAnsi" w:cstheme="minorBidi"/>
          <w:b w:val="0"/>
          <w:caps w:val="0"/>
          <w:noProof/>
          <w:sz w:val="22"/>
          <w:szCs w:val="22"/>
          <w:lang w:val="en-CA" w:eastAsia="en-CA"/>
        </w:rPr>
      </w:pPr>
      <w:r>
        <w:rPr>
          <w:b w:val="0"/>
          <w:caps w:val="0"/>
        </w:rPr>
        <w:fldChar w:fldCharType="begin"/>
      </w:r>
      <w:r>
        <w:rPr>
          <w:b w:val="0"/>
          <w:caps w:val="0"/>
        </w:rPr>
        <w:instrText xml:space="preserve"> TOC \o "2-2" \h \z \t "Heading 1,1,Heading 2,2,Heading 7,1,Heading 1 (no number),1,Heading 2 (no number),2" </w:instrText>
      </w:r>
      <w:r>
        <w:rPr>
          <w:b w:val="0"/>
          <w:caps w:val="0"/>
        </w:rPr>
        <w:fldChar w:fldCharType="separate"/>
      </w:r>
      <w:hyperlink w:anchor="_Toc360805132" w:history="1">
        <w:r w:rsidRPr="00263892">
          <w:rPr>
            <w:rStyle w:val="Hyperlink"/>
            <w:noProof/>
          </w:rPr>
          <w:t>Abbreviations</w:t>
        </w:r>
        <w:r>
          <w:rPr>
            <w:noProof/>
            <w:webHidden/>
          </w:rPr>
          <w:tab/>
        </w:r>
        <w:r>
          <w:rPr>
            <w:noProof/>
            <w:webHidden/>
          </w:rPr>
          <w:fldChar w:fldCharType="begin"/>
        </w:r>
        <w:r>
          <w:rPr>
            <w:noProof/>
            <w:webHidden/>
          </w:rPr>
          <w:instrText xml:space="preserve"> PAGEREF _Toc360805132 \h </w:instrText>
        </w:r>
        <w:r>
          <w:rPr>
            <w:noProof/>
            <w:webHidden/>
          </w:rPr>
        </w:r>
        <w:r>
          <w:rPr>
            <w:noProof/>
            <w:webHidden/>
          </w:rPr>
          <w:fldChar w:fldCharType="separate"/>
        </w:r>
        <w:r>
          <w:rPr>
            <w:noProof/>
            <w:webHidden/>
          </w:rPr>
          <w:t>4</w:t>
        </w:r>
        <w:r>
          <w:rPr>
            <w:noProof/>
            <w:webHidden/>
          </w:rPr>
          <w:fldChar w:fldCharType="end"/>
        </w:r>
      </w:hyperlink>
    </w:p>
    <w:p w:rsidR="000C28FA" w:rsidRDefault="00DC48F8" w:rsidP="000C28FA">
      <w:pPr>
        <w:pStyle w:val="TOC1"/>
        <w:ind w:left="568"/>
        <w:rPr>
          <w:rFonts w:asciiTheme="minorHAnsi" w:eastAsiaTheme="minorEastAsia" w:hAnsiTheme="minorHAnsi" w:cstheme="minorBidi"/>
          <w:b w:val="0"/>
          <w:caps w:val="0"/>
          <w:noProof/>
          <w:sz w:val="22"/>
          <w:szCs w:val="22"/>
          <w:lang w:val="en-CA" w:eastAsia="en-CA"/>
        </w:rPr>
      </w:pPr>
      <w:hyperlink w:anchor="_Toc360805133" w:history="1">
        <w:r w:rsidR="000C28FA" w:rsidRPr="00263892">
          <w:rPr>
            <w:rStyle w:val="Hyperlink"/>
            <w:noProof/>
          </w:rPr>
          <w:t>Summary</w:t>
        </w:r>
        <w:r w:rsidR="000C28FA">
          <w:rPr>
            <w:noProof/>
            <w:webHidden/>
          </w:rPr>
          <w:tab/>
        </w:r>
        <w:r w:rsidR="000C28FA">
          <w:rPr>
            <w:noProof/>
            <w:webHidden/>
          </w:rPr>
          <w:fldChar w:fldCharType="begin"/>
        </w:r>
        <w:r w:rsidR="000C28FA">
          <w:rPr>
            <w:noProof/>
            <w:webHidden/>
          </w:rPr>
          <w:instrText xml:space="preserve"> PAGEREF _Toc360805133 \h </w:instrText>
        </w:r>
        <w:r w:rsidR="000C28FA">
          <w:rPr>
            <w:noProof/>
            <w:webHidden/>
          </w:rPr>
        </w:r>
        <w:r w:rsidR="000C28FA">
          <w:rPr>
            <w:noProof/>
            <w:webHidden/>
          </w:rPr>
          <w:fldChar w:fldCharType="separate"/>
        </w:r>
        <w:r w:rsidR="000C28FA">
          <w:rPr>
            <w:noProof/>
            <w:webHidden/>
          </w:rPr>
          <w:t>5</w:t>
        </w:r>
        <w:r w:rsidR="000C28FA">
          <w:rPr>
            <w:noProof/>
            <w:webHidden/>
          </w:rPr>
          <w:fldChar w:fldCharType="end"/>
        </w:r>
      </w:hyperlink>
    </w:p>
    <w:p w:rsidR="000C28FA" w:rsidRDefault="00DC48F8" w:rsidP="000C28FA">
      <w:pPr>
        <w:pStyle w:val="TOC2"/>
        <w:ind w:left="568"/>
        <w:rPr>
          <w:rFonts w:asciiTheme="minorHAnsi" w:eastAsiaTheme="minorEastAsia" w:hAnsiTheme="minorHAnsi" w:cstheme="minorBidi"/>
          <w:noProof/>
          <w:sz w:val="22"/>
          <w:szCs w:val="22"/>
          <w:lang w:val="en-CA" w:eastAsia="en-CA"/>
        </w:rPr>
      </w:pPr>
      <w:hyperlink w:anchor="_Toc360805134" w:history="1">
        <w:r w:rsidR="000C28FA" w:rsidRPr="00263892">
          <w:rPr>
            <w:rStyle w:val="Hyperlink"/>
            <w:noProof/>
          </w:rPr>
          <w:t>Ratings</w:t>
        </w:r>
        <w:r w:rsidR="000C28FA">
          <w:rPr>
            <w:noProof/>
            <w:webHidden/>
          </w:rPr>
          <w:tab/>
        </w:r>
        <w:r w:rsidR="000C28FA">
          <w:rPr>
            <w:noProof/>
            <w:webHidden/>
          </w:rPr>
          <w:fldChar w:fldCharType="begin"/>
        </w:r>
        <w:r w:rsidR="000C28FA">
          <w:rPr>
            <w:noProof/>
            <w:webHidden/>
          </w:rPr>
          <w:instrText xml:space="preserve"> PAGEREF _Toc360805134 \h </w:instrText>
        </w:r>
        <w:r w:rsidR="000C28FA">
          <w:rPr>
            <w:noProof/>
            <w:webHidden/>
          </w:rPr>
        </w:r>
        <w:r w:rsidR="000C28FA">
          <w:rPr>
            <w:noProof/>
            <w:webHidden/>
          </w:rPr>
          <w:fldChar w:fldCharType="separate"/>
        </w:r>
        <w:r w:rsidR="000C28FA">
          <w:rPr>
            <w:noProof/>
            <w:webHidden/>
          </w:rPr>
          <w:t>5</w:t>
        </w:r>
        <w:r w:rsidR="000C28FA">
          <w:rPr>
            <w:noProof/>
            <w:webHidden/>
          </w:rPr>
          <w:fldChar w:fldCharType="end"/>
        </w:r>
      </w:hyperlink>
    </w:p>
    <w:p w:rsidR="000C28FA" w:rsidRDefault="00DC48F8" w:rsidP="000C28FA">
      <w:pPr>
        <w:pStyle w:val="TOC2"/>
        <w:ind w:left="568"/>
        <w:rPr>
          <w:rFonts w:asciiTheme="minorHAnsi" w:eastAsiaTheme="minorEastAsia" w:hAnsiTheme="minorHAnsi" w:cstheme="minorBidi"/>
          <w:noProof/>
          <w:sz w:val="22"/>
          <w:szCs w:val="22"/>
          <w:lang w:val="en-CA" w:eastAsia="en-CA"/>
        </w:rPr>
      </w:pPr>
      <w:hyperlink w:anchor="_Toc360805135" w:history="1">
        <w:r w:rsidR="000C28FA" w:rsidRPr="00263892">
          <w:rPr>
            <w:rStyle w:val="Hyperlink"/>
            <w:noProof/>
          </w:rPr>
          <w:t>Major results</w:t>
        </w:r>
        <w:r w:rsidR="000C28FA">
          <w:rPr>
            <w:noProof/>
            <w:webHidden/>
          </w:rPr>
          <w:tab/>
        </w:r>
        <w:r w:rsidR="000C28FA">
          <w:rPr>
            <w:noProof/>
            <w:webHidden/>
          </w:rPr>
          <w:fldChar w:fldCharType="begin"/>
        </w:r>
        <w:r w:rsidR="000C28FA">
          <w:rPr>
            <w:noProof/>
            <w:webHidden/>
          </w:rPr>
          <w:instrText xml:space="preserve"> PAGEREF _Toc360805135 \h </w:instrText>
        </w:r>
        <w:r w:rsidR="000C28FA">
          <w:rPr>
            <w:noProof/>
            <w:webHidden/>
          </w:rPr>
        </w:r>
        <w:r w:rsidR="000C28FA">
          <w:rPr>
            <w:noProof/>
            <w:webHidden/>
          </w:rPr>
          <w:fldChar w:fldCharType="separate"/>
        </w:r>
        <w:r w:rsidR="000C28FA">
          <w:rPr>
            <w:noProof/>
            <w:webHidden/>
          </w:rPr>
          <w:t>5</w:t>
        </w:r>
        <w:r w:rsidR="000C28FA">
          <w:rPr>
            <w:noProof/>
            <w:webHidden/>
          </w:rPr>
          <w:fldChar w:fldCharType="end"/>
        </w:r>
      </w:hyperlink>
    </w:p>
    <w:p w:rsidR="000C28FA" w:rsidRDefault="00DC48F8" w:rsidP="000C28FA">
      <w:pPr>
        <w:pStyle w:val="TOC2"/>
        <w:ind w:left="568"/>
        <w:rPr>
          <w:rFonts w:asciiTheme="minorHAnsi" w:eastAsiaTheme="minorEastAsia" w:hAnsiTheme="minorHAnsi" w:cstheme="minorBidi"/>
          <w:noProof/>
          <w:sz w:val="22"/>
          <w:szCs w:val="22"/>
          <w:lang w:val="en-CA" w:eastAsia="en-CA"/>
        </w:rPr>
      </w:pPr>
      <w:hyperlink w:anchor="_Toc360805136" w:history="1">
        <w:r w:rsidR="000C28FA" w:rsidRPr="00263892">
          <w:rPr>
            <w:rStyle w:val="Hyperlink"/>
            <w:noProof/>
          </w:rPr>
          <w:t>Major challenges</w:t>
        </w:r>
        <w:r w:rsidR="000C28FA">
          <w:rPr>
            <w:noProof/>
            <w:webHidden/>
          </w:rPr>
          <w:tab/>
        </w:r>
        <w:r w:rsidR="000C28FA">
          <w:rPr>
            <w:noProof/>
            <w:webHidden/>
          </w:rPr>
          <w:fldChar w:fldCharType="begin"/>
        </w:r>
        <w:r w:rsidR="000C28FA">
          <w:rPr>
            <w:noProof/>
            <w:webHidden/>
          </w:rPr>
          <w:instrText xml:space="preserve"> PAGEREF _Toc360805136 \h </w:instrText>
        </w:r>
        <w:r w:rsidR="000C28FA">
          <w:rPr>
            <w:noProof/>
            <w:webHidden/>
          </w:rPr>
        </w:r>
        <w:r w:rsidR="000C28FA">
          <w:rPr>
            <w:noProof/>
            <w:webHidden/>
          </w:rPr>
          <w:fldChar w:fldCharType="separate"/>
        </w:r>
        <w:r w:rsidR="000C28FA">
          <w:rPr>
            <w:noProof/>
            <w:webHidden/>
          </w:rPr>
          <w:t>6</w:t>
        </w:r>
        <w:r w:rsidR="000C28FA">
          <w:rPr>
            <w:noProof/>
            <w:webHidden/>
          </w:rPr>
          <w:fldChar w:fldCharType="end"/>
        </w:r>
      </w:hyperlink>
    </w:p>
    <w:p w:rsidR="000C28FA" w:rsidRDefault="00DC48F8" w:rsidP="000C28FA">
      <w:pPr>
        <w:pStyle w:val="TOC1"/>
        <w:ind w:left="568"/>
        <w:rPr>
          <w:rFonts w:asciiTheme="minorHAnsi" w:eastAsiaTheme="minorEastAsia" w:hAnsiTheme="minorHAnsi" w:cstheme="minorBidi"/>
          <w:b w:val="0"/>
          <w:caps w:val="0"/>
          <w:noProof/>
          <w:sz w:val="22"/>
          <w:szCs w:val="22"/>
          <w:lang w:val="en-CA" w:eastAsia="en-CA"/>
        </w:rPr>
      </w:pPr>
      <w:hyperlink w:anchor="_Toc360805137" w:history="1">
        <w:r w:rsidR="000C28FA" w:rsidRPr="00263892">
          <w:rPr>
            <w:rStyle w:val="Hyperlink"/>
            <w:noProof/>
          </w:rPr>
          <w:t>Regional performance</w:t>
        </w:r>
        <w:r w:rsidR="000C28FA">
          <w:rPr>
            <w:noProof/>
            <w:webHidden/>
          </w:rPr>
          <w:tab/>
        </w:r>
        <w:r w:rsidR="000C28FA">
          <w:rPr>
            <w:noProof/>
            <w:webHidden/>
          </w:rPr>
          <w:fldChar w:fldCharType="begin"/>
        </w:r>
        <w:r w:rsidR="000C28FA">
          <w:rPr>
            <w:noProof/>
            <w:webHidden/>
          </w:rPr>
          <w:instrText xml:space="preserve"> PAGEREF _Toc360805137 \h </w:instrText>
        </w:r>
        <w:r w:rsidR="000C28FA">
          <w:rPr>
            <w:noProof/>
            <w:webHidden/>
          </w:rPr>
        </w:r>
        <w:r w:rsidR="000C28FA">
          <w:rPr>
            <w:noProof/>
            <w:webHidden/>
          </w:rPr>
          <w:fldChar w:fldCharType="separate"/>
        </w:r>
        <w:r w:rsidR="000C28FA">
          <w:rPr>
            <w:noProof/>
            <w:webHidden/>
          </w:rPr>
          <w:t>7</w:t>
        </w:r>
        <w:r w:rsidR="000C28FA">
          <w:rPr>
            <w:noProof/>
            <w:webHidden/>
          </w:rPr>
          <w:fldChar w:fldCharType="end"/>
        </w:r>
      </w:hyperlink>
    </w:p>
    <w:p w:rsidR="000C28FA" w:rsidRDefault="00DC48F8" w:rsidP="000C28FA">
      <w:pPr>
        <w:pStyle w:val="TOC1"/>
        <w:ind w:left="568"/>
        <w:rPr>
          <w:rFonts w:asciiTheme="minorHAnsi" w:eastAsiaTheme="minorEastAsia" w:hAnsiTheme="minorHAnsi" w:cstheme="minorBidi"/>
          <w:b w:val="0"/>
          <w:caps w:val="0"/>
          <w:noProof/>
          <w:sz w:val="22"/>
          <w:szCs w:val="22"/>
          <w:lang w:val="en-CA" w:eastAsia="en-CA"/>
        </w:rPr>
      </w:pPr>
      <w:hyperlink w:anchor="_Toc360805138" w:history="1">
        <w:r w:rsidR="000C28FA" w:rsidRPr="00263892">
          <w:rPr>
            <w:rStyle w:val="Hyperlink"/>
            <w:noProof/>
          </w:rPr>
          <w:t>What are the results of the Asia regional aid program?</w:t>
        </w:r>
        <w:r w:rsidR="000C28FA">
          <w:rPr>
            <w:noProof/>
            <w:webHidden/>
          </w:rPr>
          <w:tab/>
        </w:r>
        <w:r w:rsidR="000C28FA">
          <w:rPr>
            <w:noProof/>
            <w:webHidden/>
          </w:rPr>
          <w:fldChar w:fldCharType="begin"/>
        </w:r>
        <w:r w:rsidR="000C28FA">
          <w:rPr>
            <w:noProof/>
            <w:webHidden/>
          </w:rPr>
          <w:instrText xml:space="preserve"> PAGEREF _Toc360805138 \h </w:instrText>
        </w:r>
        <w:r w:rsidR="000C28FA">
          <w:rPr>
            <w:noProof/>
            <w:webHidden/>
          </w:rPr>
        </w:r>
        <w:r w:rsidR="000C28FA">
          <w:rPr>
            <w:noProof/>
            <w:webHidden/>
          </w:rPr>
          <w:fldChar w:fldCharType="separate"/>
        </w:r>
        <w:r w:rsidR="000C28FA">
          <w:rPr>
            <w:noProof/>
            <w:webHidden/>
          </w:rPr>
          <w:t>10</w:t>
        </w:r>
        <w:r w:rsidR="000C28FA">
          <w:rPr>
            <w:noProof/>
            <w:webHidden/>
          </w:rPr>
          <w:fldChar w:fldCharType="end"/>
        </w:r>
      </w:hyperlink>
    </w:p>
    <w:p w:rsidR="000C28FA" w:rsidRDefault="00DC48F8" w:rsidP="000C28FA">
      <w:pPr>
        <w:pStyle w:val="TOC2"/>
        <w:ind w:left="568"/>
        <w:rPr>
          <w:rFonts w:asciiTheme="minorHAnsi" w:eastAsiaTheme="minorEastAsia" w:hAnsiTheme="minorHAnsi" w:cstheme="minorBidi"/>
          <w:noProof/>
          <w:sz w:val="22"/>
          <w:szCs w:val="22"/>
          <w:lang w:val="en-CA" w:eastAsia="en-CA"/>
        </w:rPr>
      </w:pPr>
      <w:hyperlink w:anchor="_Toc360805139" w:history="1">
        <w:r w:rsidR="000C28FA" w:rsidRPr="00263892">
          <w:rPr>
            <w:rStyle w:val="Hyperlink"/>
            <w:noProof/>
          </w:rPr>
          <w:t>Objective: Strengthened capacities of key regional institutions to enhance economic integration and trade liberalisation</w:t>
        </w:r>
        <w:r w:rsidR="000C28FA">
          <w:rPr>
            <w:noProof/>
            <w:webHidden/>
          </w:rPr>
          <w:tab/>
        </w:r>
        <w:r w:rsidR="000C28FA">
          <w:rPr>
            <w:noProof/>
            <w:webHidden/>
          </w:rPr>
          <w:fldChar w:fldCharType="begin"/>
        </w:r>
        <w:r w:rsidR="000C28FA">
          <w:rPr>
            <w:noProof/>
            <w:webHidden/>
          </w:rPr>
          <w:instrText xml:space="preserve"> PAGEREF _Toc360805139 \h </w:instrText>
        </w:r>
        <w:r w:rsidR="000C28FA">
          <w:rPr>
            <w:noProof/>
            <w:webHidden/>
          </w:rPr>
        </w:r>
        <w:r w:rsidR="000C28FA">
          <w:rPr>
            <w:noProof/>
            <w:webHidden/>
          </w:rPr>
          <w:fldChar w:fldCharType="separate"/>
        </w:r>
        <w:r w:rsidR="000C28FA">
          <w:rPr>
            <w:noProof/>
            <w:webHidden/>
          </w:rPr>
          <w:t>10</w:t>
        </w:r>
        <w:r w:rsidR="000C28FA">
          <w:rPr>
            <w:noProof/>
            <w:webHidden/>
          </w:rPr>
          <w:fldChar w:fldCharType="end"/>
        </w:r>
      </w:hyperlink>
    </w:p>
    <w:p w:rsidR="000C28FA" w:rsidRDefault="00DC48F8" w:rsidP="000C28FA">
      <w:pPr>
        <w:pStyle w:val="TOC2"/>
        <w:ind w:left="568"/>
        <w:rPr>
          <w:rFonts w:asciiTheme="minorHAnsi" w:eastAsiaTheme="minorEastAsia" w:hAnsiTheme="minorHAnsi" w:cstheme="minorBidi"/>
          <w:noProof/>
          <w:sz w:val="22"/>
          <w:szCs w:val="22"/>
          <w:lang w:val="en-CA" w:eastAsia="en-CA"/>
        </w:rPr>
      </w:pPr>
      <w:hyperlink w:anchor="_Toc360805140" w:history="1">
        <w:r w:rsidR="000C28FA" w:rsidRPr="00263892">
          <w:rPr>
            <w:rStyle w:val="Hyperlink"/>
            <w:noProof/>
          </w:rPr>
          <w:t>Objective: Improved regional responses to transboundary development challenges</w:t>
        </w:r>
        <w:r w:rsidR="000C28FA">
          <w:rPr>
            <w:noProof/>
            <w:webHidden/>
          </w:rPr>
          <w:tab/>
        </w:r>
        <w:r w:rsidR="000C28FA">
          <w:rPr>
            <w:noProof/>
            <w:webHidden/>
          </w:rPr>
          <w:fldChar w:fldCharType="begin"/>
        </w:r>
        <w:r w:rsidR="000C28FA">
          <w:rPr>
            <w:noProof/>
            <w:webHidden/>
          </w:rPr>
          <w:instrText xml:space="preserve"> PAGEREF _Toc360805140 \h </w:instrText>
        </w:r>
        <w:r w:rsidR="000C28FA">
          <w:rPr>
            <w:noProof/>
            <w:webHidden/>
          </w:rPr>
        </w:r>
        <w:r w:rsidR="000C28FA">
          <w:rPr>
            <w:noProof/>
            <w:webHidden/>
          </w:rPr>
          <w:fldChar w:fldCharType="separate"/>
        </w:r>
        <w:r w:rsidR="000C28FA">
          <w:rPr>
            <w:noProof/>
            <w:webHidden/>
          </w:rPr>
          <w:t>12</w:t>
        </w:r>
        <w:r w:rsidR="000C28FA">
          <w:rPr>
            <w:noProof/>
            <w:webHidden/>
          </w:rPr>
          <w:fldChar w:fldCharType="end"/>
        </w:r>
      </w:hyperlink>
    </w:p>
    <w:p w:rsidR="000C28FA" w:rsidRDefault="00DC48F8" w:rsidP="000C28FA">
      <w:pPr>
        <w:pStyle w:val="TOC1"/>
        <w:ind w:left="568"/>
        <w:rPr>
          <w:rFonts w:asciiTheme="minorHAnsi" w:eastAsiaTheme="minorEastAsia" w:hAnsiTheme="minorHAnsi" w:cstheme="minorBidi"/>
          <w:b w:val="0"/>
          <w:caps w:val="0"/>
          <w:noProof/>
          <w:sz w:val="22"/>
          <w:szCs w:val="22"/>
          <w:lang w:val="en-CA" w:eastAsia="en-CA"/>
        </w:rPr>
      </w:pPr>
      <w:hyperlink w:anchor="_Toc360805141" w:history="1">
        <w:r w:rsidR="000C28FA" w:rsidRPr="00263892">
          <w:rPr>
            <w:rStyle w:val="Hyperlink"/>
            <w:noProof/>
          </w:rPr>
          <w:t>What is the quality of AusAID activities in the Asia regional program?</w:t>
        </w:r>
        <w:r w:rsidR="000C28FA">
          <w:rPr>
            <w:noProof/>
            <w:webHidden/>
          </w:rPr>
          <w:tab/>
        </w:r>
        <w:r w:rsidR="000C28FA">
          <w:rPr>
            <w:noProof/>
            <w:webHidden/>
          </w:rPr>
          <w:fldChar w:fldCharType="begin"/>
        </w:r>
        <w:r w:rsidR="000C28FA">
          <w:rPr>
            <w:noProof/>
            <w:webHidden/>
          </w:rPr>
          <w:instrText xml:space="preserve"> PAGEREF _Toc360805141 \h </w:instrText>
        </w:r>
        <w:r w:rsidR="000C28FA">
          <w:rPr>
            <w:noProof/>
            <w:webHidden/>
          </w:rPr>
        </w:r>
        <w:r w:rsidR="000C28FA">
          <w:rPr>
            <w:noProof/>
            <w:webHidden/>
          </w:rPr>
          <w:fldChar w:fldCharType="separate"/>
        </w:r>
        <w:r w:rsidR="000C28FA">
          <w:rPr>
            <w:noProof/>
            <w:webHidden/>
          </w:rPr>
          <w:t>17</w:t>
        </w:r>
        <w:r w:rsidR="000C28FA">
          <w:rPr>
            <w:noProof/>
            <w:webHidden/>
          </w:rPr>
          <w:fldChar w:fldCharType="end"/>
        </w:r>
      </w:hyperlink>
    </w:p>
    <w:p w:rsidR="00080689" w:rsidRPr="003B3AAB" w:rsidRDefault="000C28FA" w:rsidP="00A448C0">
      <w:pPr>
        <w:pStyle w:val="H1"/>
        <w:sectPr w:rsidR="00080689" w:rsidRPr="003B3AAB" w:rsidSect="00D01DF1">
          <w:headerReference w:type="even" r:id="rId20"/>
          <w:headerReference w:type="default" r:id="rId21"/>
          <w:footerReference w:type="even" r:id="rId22"/>
          <w:footerReference w:type="default" r:id="rId23"/>
          <w:pgSz w:w="11907" w:h="16840" w:code="9"/>
          <w:pgMar w:top="2268" w:right="1985" w:bottom="1247" w:left="1985" w:header="567" w:footer="567" w:gutter="0"/>
          <w:cols w:space="720"/>
        </w:sectPr>
      </w:pPr>
      <w:r>
        <w:rPr>
          <w:b/>
          <w:caps/>
          <w:sz w:val="20"/>
          <w:szCs w:val="23"/>
        </w:rPr>
        <w:fldChar w:fldCharType="end"/>
      </w:r>
    </w:p>
    <w:p w:rsidR="00080689" w:rsidRPr="003B3AAB" w:rsidRDefault="00080689" w:rsidP="00D01DF1">
      <w:pPr>
        <w:pStyle w:val="Heading1nonumber"/>
        <w:rPr>
          <w:color w:val="000000"/>
        </w:rPr>
      </w:pPr>
      <w:bookmarkStart w:id="7" w:name="_Toc360805132"/>
      <w:r w:rsidRPr="003B3AAB">
        <w:rPr>
          <w:color w:val="000000"/>
        </w:rPr>
        <w:lastRenderedPageBreak/>
        <w:t>Abbreviations</w:t>
      </w:r>
      <w:bookmarkEnd w:id="7"/>
    </w:p>
    <w:p w:rsidR="00080689" w:rsidRPr="003B3AAB" w:rsidRDefault="00080689" w:rsidP="00080689">
      <w:pPr>
        <w:pStyle w:val="1stpara"/>
        <w:tabs>
          <w:tab w:val="left" w:pos="1418"/>
        </w:tabs>
        <w:rPr>
          <w:color w:val="000000"/>
        </w:rPr>
      </w:pPr>
      <w:r w:rsidRPr="003B3AAB">
        <w:rPr>
          <w:color w:val="000000"/>
        </w:rPr>
        <w:t>AIDS</w:t>
      </w:r>
      <w:r w:rsidRPr="003B3AAB">
        <w:rPr>
          <w:color w:val="000000"/>
        </w:rPr>
        <w:tab/>
      </w:r>
      <w:r w:rsidR="00666B5C" w:rsidRPr="003B3AAB">
        <w:rPr>
          <w:color w:val="000000"/>
        </w:rPr>
        <w:t>Acquired Immune Deficiency Syndrome</w:t>
      </w:r>
    </w:p>
    <w:p w:rsidR="00080689" w:rsidRPr="003B3AAB" w:rsidRDefault="00080689" w:rsidP="00080689">
      <w:pPr>
        <w:pStyle w:val="BodyText"/>
        <w:tabs>
          <w:tab w:val="left" w:pos="1418"/>
        </w:tabs>
        <w:rPr>
          <w:color w:val="000000"/>
        </w:rPr>
      </w:pPr>
      <w:r w:rsidRPr="003B3AAB">
        <w:rPr>
          <w:color w:val="000000"/>
        </w:rPr>
        <w:t>APEC</w:t>
      </w:r>
      <w:r w:rsidRPr="003B3AAB">
        <w:rPr>
          <w:color w:val="000000"/>
        </w:rPr>
        <w:tab/>
        <w:t xml:space="preserve">Asia-Pacific Economic Cooperation </w:t>
      </w:r>
    </w:p>
    <w:p w:rsidR="00080689" w:rsidRPr="003B3AAB" w:rsidRDefault="00080689" w:rsidP="00080689">
      <w:pPr>
        <w:pStyle w:val="BodyText"/>
        <w:tabs>
          <w:tab w:val="left" w:pos="1418"/>
        </w:tabs>
        <w:rPr>
          <w:color w:val="000000"/>
        </w:rPr>
      </w:pPr>
      <w:r w:rsidRPr="003B3AAB">
        <w:rPr>
          <w:color w:val="000000"/>
        </w:rPr>
        <w:t>ASEAN</w:t>
      </w:r>
      <w:r w:rsidRPr="003B3AAB">
        <w:rPr>
          <w:color w:val="000000"/>
        </w:rPr>
        <w:tab/>
        <w:t>Association of Southeast Asian Nations</w:t>
      </w:r>
    </w:p>
    <w:p w:rsidR="00080689" w:rsidRPr="003B3AAB" w:rsidRDefault="00080689" w:rsidP="00080689">
      <w:pPr>
        <w:pStyle w:val="BodyText"/>
        <w:tabs>
          <w:tab w:val="left" w:pos="1418"/>
        </w:tabs>
        <w:rPr>
          <w:color w:val="000000"/>
        </w:rPr>
      </w:pPr>
      <w:r w:rsidRPr="003B3AAB">
        <w:rPr>
          <w:color w:val="000000"/>
        </w:rPr>
        <w:t>AusAID</w:t>
      </w:r>
      <w:r w:rsidRPr="003B3AAB">
        <w:rPr>
          <w:color w:val="000000"/>
        </w:rPr>
        <w:tab/>
        <w:t xml:space="preserve">Australian Agency for International Development </w:t>
      </w:r>
    </w:p>
    <w:p w:rsidR="00080689" w:rsidRPr="003B3AAB" w:rsidRDefault="00080689" w:rsidP="00080689">
      <w:pPr>
        <w:pStyle w:val="BodyText"/>
        <w:tabs>
          <w:tab w:val="left" w:pos="1418"/>
        </w:tabs>
        <w:rPr>
          <w:color w:val="000000"/>
        </w:rPr>
      </w:pPr>
      <w:r w:rsidRPr="003B3AAB">
        <w:rPr>
          <w:color w:val="000000"/>
        </w:rPr>
        <w:t>EID</w:t>
      </w:r>
      <w:r w:rsidRPr="003B3AAB">
        <w:rPr>
          <w:color w:val="000000"/>
        </w:rPr>
        <w:tab/>
        <w:t>emerging infectious diseases</w:t>
      </w:r>
    </w:p>
    <w:p w:rsidR="008373F6" w:rsidRPr="003B3AAB" w:rsidRDefault="008373F6" w:rsidP="00080689">
      <w:pPr>
        <w:pStyle w:val="BodyText"/>
        <w:tabs>
          <w:tab w:val="left" w:pos="1418"/>
        </w:tabs>
        <w:rPr>
          <w:color w:val="000000"/>
        </w:rPr>
      </w:pPr>
      <w:r w:rsidRPr="003B3AAB">
        <w:rPr>
          <w:color w:val="000000"/>
        </w:rPr>
        <w:t>HIV</w:t>
      </w:r>
      <w:r w:rsidRPr="003B3AAB">
        <w:rPr>
          <w:color w:val="000000"/>
        </w:rPr>
        <w:tab/>
      </w:r>
      <w:r w:rsidR="00666B5C" w:rsidRPr="003B3AAB">
        <w:rPr>
          <w:color w:val="000000"/>
        </w:rPr>
        <w:t>human immunodeficiency virus</w:t>
      </w:r>
    </w:p>
    <w:p w:rsidR="00265FA5" w:rsidRPr="003B3AAB" w:rsidRDefault="00265FA5">
      <w:pPr>
        <w:pStyle w:val="TableofFigures"/>
        <w:rPr>
          <w:color w:val="000000"/>
        </w:rPr>
        <w:sectPr w:rsidR="00265FA5" w:rsidRPr="003B3AAB" w:rsidSect="00BE4655">
          <w:headerReference w:type="even" r:id="rId24"/>
          <w:headerReference w:type="default" r:id="rId25"/>
          <w:footerReference w:type="even" r:id="rId26"/>
          <w:footerReference w:type="default" r:id="rId27"/>
          <w:pgSz w:w="11907" w:h="16840" w:code="9"/>
          <w:pgMar w:top="2268" w:right="1985" w:bottom="1247" w:left="1985" w:header="567" w:footer="567" w:gutter="0"/>
          <w:cols w:space="720"/>
        </w:sectPr>
      </w:pPr>
    </w:p>
    <w:p w:rsidR="00DC6501" w:rsidRPr="003B3AAB" w:rsidRDefault="00AC180E" w:rsidP="00AC180E">
      <w:pPr>
        <w:pStyle w:val="Heading1nonumber"/>
        <w:rPr>
          <w:color w:val="000000"/>
        </w:rPr>
      </w:pPr>
      <w:bookmarkStart w:id="8" w:name="_Toc213147031"/>
      <w:bookmarkStart w:id="9" w:name="_Toc360805133"/>
      <w:r w:rsidRPr="003B3AAB">
        <w:rPr>
          <w:color w:val="000000"/>
        </w:rPr>
        <w:lastRenderedPageBreak/>
        <w:t>Summary</w:t>
      </w:r>
      <w:bookmarkEnd w:id="8"/>
      <w:bookmarkEnd w:id="9"/>
    </w:p>
    <w:p w:rsidR="00051808" w:rsidRPr="003B3AAB" w:rsidRDefault="00150829" w:rsidP="00BE4655">
      <w:pPr>
        <w:pStyle w:val="1stpara"/>
        <w:rPr>
          <w:color w:val="000000"/>
        </w:rPr>
      </w:pPr>
      <w:r w:rsidRPr="003B3AAB">
        <w:rPr>
          <w:color w:val="000000"/>
        </w:rPr>
        <w:t xml:space="preserve">The </w:t>
      </w:r>
      <w:r w:rsidR="00AC180E" w:rsidRPr="003B3AAB">
        <w:rPr>
          <w:color w:val="000000"/>
        </w:rPr>
        <w:t xml:space="preserve">2007 effectiveness review of </w:t>
      </w:r>
      <w:r w:rsidR="00AB44FB" w:rsidRPr="003B3AAB">
        <w:rPr>
          <w:color w:val="000000"/>
        </w:rPr>
        <w:t>the Asia Regional Strategy 2005–</w:t>
      </w:r>
      <w:r w:rsidR="00AC180E" w:rsidRPr="003B3AAB">
        <w:rPr>
          <w:color w:val="000000"/>
        </w:rPr>
        <w:t>2009 highlighted the difficulties encountered in assessing program</w:t>
      </w:r>
      <w:r w:rsidR="00051808" w:rsidRPr="003B3AAB">
        <w:rPr>
          <w:color w:val="000000"/>
        </w:rPr>
        <w:t>-</w:t>
      </w:r>
      <w:r w:rsidR="00AC180E" w:rsidRPr="003B3AAB">
        <w:rPr>
          <w:color w:val="000000"/>
        </w:rPr>
        <w:t>level performance without an operational performance framework in place. The diverse range of sectors and issues covered by the regional program also make</w:t>
      </w:r>
      <w:r w:rsidR="00051808" w:rsidRPr="003B3AAB">
        <w:rPr>
          <w:color w:val="000000"/>
        </w:rPr>
        <w:t>s</w:t>
      </w:r>
      <w:r w:rsidR="00AC180E" w:rsidRPr="003B3AAB">
        <w:rPr>
          <w:color w:val="000000"/>
        </w:rPr>
        <w:t xml:space="preserve"> it a challenge to aggregate activity</w:t>
      </w:r>
      <w:r w:rsidR="00051808" w:rsidRPr="003B3AAB">
        <w:rPr>
          <w:color w:val="000000"/>
        </w:rPr>
        <w:t>-</w:t>
      </w:r>
      <w:r w:rsidR="00AC180E" w:rsidRPr="003B3AAB">
        <w:rPr>
          <w:color w:val="000000"/>
        </w:rPr>
        <w:t>level achievements in a meaningful way.</w:t>
      </w:r>
      <w:r w:rsidR="00AB44FB" w:rsidRPr="003B3AAB">
        <w:rPr>
          <w:color w:val="000000"/>
        </w:rPr>
        <w:t xml:space="preserve"> </w:t>
      </w:r>
    </w:p>
    <w:p w:rsidR="00DC6501" w:rsidRPr="003B3AAB" w:rsidRDefault="007C3271" w:rsidP="00051808">
      <w:pPr>
        <w:pStyle w:val="BodyText"/>
        <w:rPr>
          <w:color w:val="000000"/>
        </w:rPr>
      </w:pPr>
      <w:r w:rsidRPr="003B3AAB">
        <w:rPr>
          <w:color w:val="000000"/>
        </w:rPr>
        <w:t>A</w:t>
      </w:r>
      <w:r w:rsidR="00AC180E" w:rsidRPr="003B3AAB">
        <w:rPr>
          <w:color w:val="000000"/>
        </w:rPr>
        <w:t xml:space="preserve"> new East Asia Regional Strategy will improve the overall performance orientation of the program and strengthen strategic engagement with key regional organisations, including the Association of Southeast Asian Nations (ASEAN), the Asia-Pacific Economic Cooperation (APEC) and multilateral agencies.</w:t>
      </w:r>
    </w:p>
    <w:p w:rsidR="00AC180E" w:rsidRPr="003B3AAB" w:rsidRDefault="00AC180E" w:rsidP="00AC180E">
      <w:pPr>
        <w:pStyle w:val="Heading2nonumber"/>
        <w:rPr>
          <w:color w:val="000000"/>
        </w:rPr>
      </w:pPr>
      <w:bookmarkStart w:id="10" w:name="_Toc213147032"/>
      <w:bookmarkStart w:id="11" w:name="_Toc213151642"/>
      <w:bookmarkStart w:id="12" w:name="_Toc213225918"/>
      <w:bookmarkStart w:id="13" w:name="_Toc360805134"/>
      <w:r w:rsidRPr="003B3AAB">
        <w:rPr>
          <w:color w:val="000000"/>
        </w:rPr>
        <w:t>Ratings</w:t>
      </w:r>
      <w:bookmarkEnd w:id="10"/>
      <w:bookmarkEnd w:id="11"/>
      <w:bookmarkEnd w:id="12"/>
      <w:bookmarkEnd w:id="13"/>
    </w:p>
    <w:p w:rsidR="00AC180E" w:rsidRPr="003B3AAB" w:rsidRDefault="00AC180E" w:rsidP="00AC180E">
      <w:pPr>
        <w:pStyle w:val="BodyText"/>
        <w:rPr>
          <w:color w:val="000000"/>
        </w:rPr>
      </w:pPr>
      <w:r w:rsidRPr="003B3AAB">
        <w:rPr>
          <w:color w:val="000000"/>
        </w:rPr>
        <w:t>The goal of the As</w:t>
      </w:r>
      <w:r w:rsidR="00AB44FB" w:rsidRPr="003B3AAB">
        <w:rPr>
          <w:color w:val="000000"/>
        </w:rPr>
        <w:t>ia Regional Strategy 2005–</w:t>
      </w:r>
      <w:r w:rsidRPr="003B3AAB">
        <w:rPr>
          <w:color w:val="000000"/>
        </w:rPr>
        <w:t xml:space="preserve">2009 is to </w:t>
      </w:r>
      <w:r w:rsidR="00AB44FB" w:rsidRPr="003B3AAB">
        <w:rPr>
          <w:color w:val="000000"/>
        </w:rPr>
        <w:t>‘</w:t>
      </w:r>
      <w:r w:rsidRPr="003B3AAB">
        <w:rPr>
          <w:color w:val="000000"/>
        </w:rPr>
        <w:t>enhance regional capacity to progress economic integration, improve security and tackle transboundary challenges</w:t>
      </w:r>
      <w:r w:rsidR="00AB44FB" w:rsidRPr="003B3AAB">
        <w:rPr>
          <w:color w:val="000000"/>
        </w:rPr>
        <w:t>’</w:t>
      </w:r>
      <w:r w:rsidRPr="003B3AAB">
        <w:rPr>
          <w:color w:val="000000"/>
        </w:rPr>
        <w:t>.</w:t>
      </w:r>
      <w:r w:rsidR="00AB44FB" w:rsidRPr="003B3AAB">
        <w:rPr>
          <w:color w:val="000000"/>
        </w:rPr>
        <w:t xml:space="preserve"> </w:t>
      </w:r>
      <w:r w:rsidRPr="003B3AAB">
        <w:rPr>
          <w:color w:val="000000"/>
        </w:rPr>
        <w:t>The</w:t>
      </w:r>
      <w:r w:rsidR="007C3271" w:rsidRPr="003B3AAB">
        <w:rPr>
          <w:color w:val="000000"/>
        </w:rPr>
        <w:t xml:space="preserve"> </w:t>
      </w:r>
      <w:smartTag w:uri="urn:schemas-microsoft-com:office:smarttags" w:element="place">
        <w:r w:rsidR="007C3271" w:rsidRPr="003B3AAB">
          <w:rPr>
            <w:color w:val="000000"/>
          </w:rPr>
          <w:t>Asia</w:t>
        </w:r>
      </w:smartTag>
      <w:r w:rsidR="007C3271" w:rsidRPr="003B3AAB">
        <w:rPr>
          <w:color w:val="000000"/>
        </w:rPr>
        <w:t xml:space="preserve"> regional aid</w:t>
      </w:r>
      <w:r w:rsidRPr="003B3AAB">
        <w:rPr>
          <w:color w:val="000000"/>
        </w:rPr>
        <w:t xml:space="preserve"> </w:t>
      </w:r>
      <w:r w:rsidR="00AB44FB" w:rsidRPr="003B3AAB">
        <w:rPr>
          <w:color w:val="000000"/>
        </w:rPr>
        <w:t>program</w:t>
      </w:r>
      <w:r w:rsidR="007C3271" w:rsidRPr="003B3AAB">
        <w:rPr>
          <w:color w:val="000000"/>
        </w:rPr>
        <w:t>’s progress towards achieving</w:t>
      </w:r>
      <w:r w:rsidR="00AB44FB" w:rsidRPr="003B3AAB">
        <w:rPr>
          <w:color w:val="000000"/>
        </w:rPr>
        <w:t xml:space="preserve"> </w:t>
      </w:r>
      <w:r w:rsidR="007C3271" w:rsidRPr="003B3AAB">
        <w:rPr>
          <w:color w:val="000000"/>
        </w:rPr>
        <w:t xml:space="preserve">the </w:t>
      </w:r>
      <w:r w:rsidRPr="003B3AAB">
        <w:rPr>
          <w:color w:val="000000"/>
        </w:rPr>
        <w:t xml:space="preserve">two </w:t>
      </w:r>
      <w:r w:rsidR="00AB44FB" w:rsidRPr="003B3AAB">
        <w:rPr>
          <w:color w:val="000000"/>
        </w:rPr>
        <w:t xml:space="preserve">strategic objectives </w:t>
      </w:r>
      <w:r w:rsidR="007C3271" w:rsidRPr="003B3AAB">
        <w:rPr>
          <w:color w:val="000000"/>
        </w:rPr>
        <w:t>is summarised in Table 1</w:t>
      </w:r>
      <w:r w:rsidRPr="003B3AAB">
        <w:rPr>
          <w:color w:val="000000"/>
        </w:rPr>
        <w:t>.</w:t>
      </w:r>
      <w:r w:rsidR="00AB44FB" w:rsidRPr="003B3AAB">
        <w:rPr>
          <w:color w:val="000000"/>
        </w:rPr>
        <w:t xml:space="preserve"> </w:t>
      </w:r>
    </w:p>
    <w:p w:rsidR="00AC180E" w:rsidRPr="003B3AAB" w:rsidRDefault="00A448C0" w:rsidP="00C224E8">
      <w:pPr>
        <w:pStyle w:val="Caption"/>
      </w:pPr>
      <w:r>
        <w:t xml:space="preserve"> </w:t>
      </w:r>
      <w:r w:rsidR="00051808" w:rsidRPr="003B3AAB">
        <w:t xml:space="preserve">Ratings of the Asia regional program in achieving the objectives of the Asia Regional Strategy 2005–2009 </w:t>
      </w:r>
    </w:p>
    <w:tbl>
      <w:tblPr>
        <w:tblW w:w="0" w:type="auto"/>
        <w:tblInd w:w="57" w:type="dxa"/>
        <w:tblCellMar>
          <w:left w:w="56" w:type="dxa"/>
          <w:right w:w="56" w:type="dxa"/>
        </w:tblCellMar>
        <w:tblLook w:val="01E0" w:firstRow="1" w:lastRow="1" w:firstColumn="1" w:lastColumn="1" w:noHBand="0" w:noVBand="0"/>
      </w:tblPr>
      <w:tblGrid>
        <w:gridCol w:w="7334"/>
        <w:gridCol w:w="603"/>
      </w:tblGrid>
      <w:tr w:rsidR="00AC180E" w:rsidRPr="003B3AAB" w:rsidTr="00A448C0">
        <w:trPr>
          <w:cantSplit/>
          <w:trHeight w:val="297"/>
          <w:tblHeader/>
        </w:trPr>
        <w:tc>
          <w:tcPr>
            <w:tcW w:w="7334" w:type="dxa"/>
            <w:tcBorders>
              <w:top w:val="single" w:sz="4" w:space="0" w:color="auto"/>
              <w:bottom w:val="single" w:sz="4" w:space="0" w:color="auto"/>
            </w:tcBorders>
          </w:tcPr>
          <w:p w:rsidR="00AC180E" w:rsidRPr="003B3AAB" w:rsidRDefault="00AC180E" w:rsidP="00AC180E">
            <w:pPr>
              <w:pStyle w:val="Tablecolumnheadings"/>
              <w:jc w:val="left"/>
              <w:rPr>
                <w:color w:val="000000"/>
              </w:rPr>
            </w:pPr>
            <w:r w:rsidRPr="003B3AAB">
              <w:rPr>
                <w:color w:val="000000"/>
              </w:rPr>
              <w:t>Objective</w:t>
            </w:r>
          </w:p>
        </w:tc>
        <w:tc>
          <w:tcPr>
            <w:tcW w:w="603" w:type="dxa"/>
            <w:tcBorders>
              <w:top w:val="single" w:sz="4" w:space="0" w:color="auto"/>
              <w:bottom w:val="single" w:sz="4" w:space="0" w:color="auto"/>
            </w:tcBorders>
          </w:tcPr>
          <w:p w:rsidR="00AC180E" w:rsidRPr="003B3AAB" w:rsidRDefault="00AC180E" w:rsidP="00AC180E">
            <w:pPr>
              <w:pStyle w:val="Tablecolumnheadings"/>
              <w:jc w:val="center"/>
              <w:rPr>
                <w:color w:val="000000"/>
              </w:rPr>
            </w:pPr>
            <w:r w:rsidRPr="003B3AAB">
              <w:rPr>
                <w:color w:val="000000"/>
              </w:rPr>
              <w:t>Rating</w:t>
            </w:r>
          </w:p>
        </w:tc>
      </w:tr>
      <w:tr w:rsidR="00AC180E" w:rsidRPr="003B3AAB" w:rsidTr="00A448C0">
        <w:trPr>
          <w:cantSplit/>
        </w:trPr>
        <w:tc>
          <w:tcPr>
            <w:tcW w:w="7334" w:type="dxa"/>
            <w:tcBorders>
              <w:top w:val="single" w:sz="4" w:space="0" w:color="auto"/>
            </w:tcBorders>
          </w:tcPr>
          <w:p w:rsidR="00AC180E" w:rsidRPr="003B3AAB" w:rsidRDefault="00AC180E" w:rsidP="00AC180E">
            <w:pPr>
              <w:pStyle w:val="Tablebody"/>
              <w:jc w:val="left"/>
              <w:rPr>
                <w:i/>
                <w:color w:val="000000"/>
              </w:rPr>
            </w:pPr>
            <w:r w:rsidRPr="003B3AAB">
              <w:rPr>
                <w:color w:val="000000"/>
              </w:rPr>
              <w:t>Strengthened regional capacities of key regional institutions to enhance economic integration and trade liberalisation</w:t>
            </w:r>
          </w:p>
        </w:tc>
        <w:tc>
          <w:tcPr>
            <w:tcW w:w="603" w:type="dxa"/>
            <w:tcBorders>
              <w:top w:val="single" w:sz="4" w:space="0" w:color="auto"/>
            </w:tcBorders>
          </w:tcPr>
          <w:p w:rsidR="00AC180E" w:rsidRPr="003B3AAB" w:rsidRDefault="00AC180E" w:rsidP="00AC180E">
            <w:pPr>
              <w:pStyle w:val="Tablebody"/>
              <w:spacing w:after="0"/>
              <w:jc w:val="center"/>
              <w:rPr>
                <w:color w:val="FF6600"/>
              </w:rPr>
            </w:pPr>
            <w:r w:rsidRPr="003B3AAB">
              <w:rPr>
                <w:color w:val="FF6600"/>
                <w:sz w:val="24"/>
                <w:szCs w:val="24"/>
              </w:rPr>
              <w:sym w:font="Wingdings" w:char="F06E"/>
            </w:r>
          </w:p>
          <w:p w:rsidR="00AC180E" w:rsidRPr="003B3AAB" w:rsidRDefault="00AC180E" w:rsidP="0020165A">
            <w:pPr>
              <w:pStyle w:val="Tablebody"/>
              <w:spacing w:before="0"/>
              <w:jc w:val="center"/>
              <w:rPr>
                <w:color w:val="000000"/>
              </w:rPr>
            </w:pPr>
            <w:r w:rsidRPr="003B3AAB">
              <w:rPr>
                <w:color w:val="000000"/>
              </w:rPr>
              <w:t>(amber)</w:t>
            </w:r>
          </w:p>
        </w:tc>
      </w:tr>
      <w:tr w:rsidR="00AC180E" w:rsidRPr="003B3AAB" w:rsidTr="00A448C0">
        <w:trPr>
          <w:cantSplit/>
          <w:trHeight w:val="62"/>
        </w:trPr>
        <w:tc>
          <w:tcPr>
            <w:tcW w:w="7334" w:type="dxa"/>
            <w:tcBorders>
              <w:bottom w:val="single" w:sz="4" w:space="0" w:color="auto"/>
            </w:tcBorders>
          </w:tcPr>
          <w:p w:rsidR="00AC180E" w:rsidRPr="003B3AAB" w:rsidRDefault="00AC180E" w:rsidP="00AC180E">
            <w:pPr>
              <w:pStyle w:val="Tablebody"/>
              <w:jc w:val="left"/>
              <w:rPr>
                <w:i/>
                <w:color w:val="000000"/>
              </w:rPr>
            </w:pPr>
            <w:r w:rsidRPr="003B3AAB">
              <w:rPr>
                <w:color w:val="000000"/>
              </w:rPr>
              <w:t>Improving regional responses to transboundary development challenges</w:t>
            </w:r>
          </w:p>
        </w:tc>
        <w:tc>
          <w:tcPr>
            <w:tcW w:w="603" w:type="dxa"/>
            <w:tcBorders>
              <w:bottom w:val="single" w:sz="4" w:space="0" w:color="auto"/>
            </w:tcBorders>
          </w:tcPr>
          <w:p w:rsidR="00AC180E" w:rsidRPr="003B3AAB" w:rsidRDefault="00AC180E" w:rsidP="00AC180E">
            <w:pPr>
              <w:pStyle w:val="Tablebody"/>
              <w:spacing w:after="0"/>
              <w:jc w:val="center"/>
              <w:rPr>
                <w:color w:val="FF6600"/>
              </w:rPr>
            </w:pPr>
            <w:r w:rsidRPr="003B3AAB">
              <w:rPr>
                <w:color w:val="FF6600"/>
                <w:sz w:val="24"/>
                <w:szCs w:val="24"/>
              </w:rPr>
              <w:sym w:font="Wingdings" w:char="F06E"/>
            </w:r>
          </w:p>
          <w:p w:rsidR="00AC180E" w:rsidRPr="003B3AAB" w:rsidRDefault="00AC180E" w:rsidP="0020165A">
            <w:pPr>
              <w:pStyle w:val="Tablebody"/>
              <w:spacing w:before="0"/>
              <w:jc w:val="center"/>
              <w:rPr>
                <w:color w:val="000000"/>
              </w:rPr>
            </w:pPr>
            <w:r w:rsidRPr="003B3AAB">
              <w:rPr>
                <w:color w:val="000000"/>
              </w:rPr>
              <w:t>(amber)</w:t>
            </w:r>
          </w:p>
        </w:tc>
      </w:tr>
    </w:tbl>
    <w:p w:rsidR="00AC180E" w:rsidRPr="003B3AAB" w:rsidRDefault="00AC180E" w:rsidP="00AC180E">
      <w:pPr>
        <w:pStyle w:val="Note"/>
        <w:rPr>
          <w:color w:val="000000"/>
        </w:rPr>
      </w:pPr>
      <w:r w:rsidRPr="003B3AAB">
        <w:rPr>
          <w:b/>
          <w:color w:val="000000"/>
        </w:rPr>
        <w:t>Note:</w:t>
      </w:r>
      <w:r w:rsidRPr="003B3AAB">
        <w:rPr>
          <w:color w:val="000000"/>
        </w:rPr>
        <w:t xml:space="preserve"> </w:t>
      </w:r>
      <w:r w:rsidRPr="003B3AAB">
        <w:rPr>
          <w:color w:val="FF6600"/>
          <w:szCs w:val="14"/>
        </w:rPr>
        <w:sym w:font="Wingdings" w:char="F06E"/>
      </w:r>
      <w:r w:rsidRPr="003B3AAB">
        <w:rPr>
          <w:color w:val="000000"/>
        </w:rPr>
        <w:t xml:space="preserve"> </w:t>
      </w:r>
      <w:r w:rsidR="003B3AAB">
        <w:rPr>
          <w:color w:val="000000"/>
        </w:rPr>
        <w:t xml:space="preserve">(amber) </w:t>
      </w:r>
      <w:r w:rsidRPr="003B3AAB">
        <w:rPr>
          <w:color w:val="000000"/>
        </w:rPr>
        <w:t>denotes the objective will be partly achieved within the timeframe.</w:t>
      </w:r>
    </w:p>
    <w:p w:rsidR="00AC180E" w:rsidRPr="003B3AAB" w:rsidRDefault="00AC180E" w:rsidP="00AC180E">
      <w:pPr>
        <w:pStyle w:val="Heading2nonumber"/>
        <w:rPr>
          <w:color w:val="000000"/>
        </w:rPr>
      </w:pPr>
      <w:bookmarkStart w:id="14" w:name="_Toc213147033"/>
      <w:bookmarkStart w:id="15" w:name="_Toc213151643"/>
      <w:bookmarkStart w:id="16" w:name="_Toc213225919"/>
      <w:bookmarkStart w:id="17" w:name="_Toc360805135"/>
      <w:r w:rsidRPr="003B3AAB">
        <w:rPr>
          <w:color w:val="000000"/>
        </w:rPr>
        <w:t>Major results</w:t>
      </w:r>
      <w:bookmarkEnd w:id="14"/>
      <w:bookmarkEnd w:id="15"/>
      <w:bookmarkEnd w:id="16"/>
      <w:bookmarkEnd w:id="17"/>
      <w:r w:rsidRPr="003B3AAB">
        <w:rPr>
          <w:color w:val="000000"/>
        </w:rPr>
        <w:t xml:space="preserve"> </w:t>
      </w:r>
    </w:p>
    <w:p w:rsidR="00AC180E" w:rsidRPr="003B3AAB" w:rsidRDefault="00AC180E" w:rsidP="00A448C0">
      <w:pPr>
        <w:pStyle w:val="StyleListBulletBlack"/>
      </w:pPr>
      <w:r w:rsidRPr="003B3AAB">
        <w:t xml:space="preserve">At a program level, mutually </w:t>
      </w:r>
      <w:r w:rsidRPr="003B3AAB">
        <w:rPr>
          <w:b/>
        </w:rPr>
        <w:t>beneficial relationships and networks</w:t>
      </w:r>
      <w:r w:rsidRPr="003B3AAB">
        <w:t xml:space="preserve"> </w:t>
      </w:r>
      <w:r w:rsidR="00723DAB" w:rsidRPr="003B3AAB">
        <w:t xml:space="preserve">between regional stakeholders </w:t>
      </w:r>
      <w:r w:rsidRPr="003B3AAB">
        <w:t>are being established and strengthened.</w:t>
      </w:r>
      <w:r w:rsidR="00AB44FB" w:rsidRPr="003B3AAB">
        <w:t xml:space="preserve"> </w:t>
      </w:r>
      <w:r w:rsidRPr="003B3AAB">
        <w:t xml:space="preserve">While this is not one of the stated objectives for the current </w:t>
      </w:r>
      <w:r w:rsidR="00723DAB" w:rsidRPr="003B3AAB">
        <w:t xml:space="preserve">strategy </w:t>
      </w:r>
      <w:r w:rsidRPr="003B3AAB">
        <w:t xml:space="preserve">it is highly valued by all stakeholders and enhances regional cooperation on key issues. This will need to be made more explicit in the new strategy </w:t>
      </w:r>
      <w:r w:rsidR="00723DAB" w:rsidRPr="003B3AAB">
        <w:t>being prepared</w:t>
      </w:r>
      <w:r w:rsidRPr="003B3AAB">
        <w:t>.</w:t>
      </w:r>
      <w:r w:rsidR="00AB44FB" w:rsidRPr="003B3AAB">
        <w:t xml:space="preserve"> </w:t>
      </w:r>
    </w:p>
    <w:p w:rsidR="00AC180E" w:rsidRPr="003B3AAB" w:rsidRDefault="00AC180E" w:rsidP="00A448C0">
      <w:pPr>
        <w:pStyle w:val="StyleListBulletBlack"/>
      </w:pPr>
      <w:r w:rsidRPr="003B3AAB">
        <w:t xml:space="preserve">A substantial body of work </w:t>
      </w:r>
      <w:r w:rsidR="00150829" w:rsidRPr="003B3AAB">
        <w:t>was</w:t>
      </w:r>
      <w:r w:rsidRPr="003B3AAB">
        <w:t xml:space="preserve"> undertaken in partnership with the </w:t>
      </w:r>
      <w:r w:rsidR="00723DAB" w:rsidRPr="003B3AAB">
        <w:t xml:space="preserve">secretariats of </w:t>
      </w:r>
      <w:r w:rsidRPr="003B3AAB">
        <w:rPr>
          <w:b/>
        </w:rPr>
        <w:t>ASEAN</w:t>
      </w:r>
      <w:r w:rsidRPr="00A448C0">
        <w:t xml:space="preserve"> and </w:t>
      </w:r>
      <w:r w:rsidRPr="003B3AAB">
        <w:rPr>
          <w:b/>
        </w:rPr>
        <w:t>APEC</w:t>
      </w:r>
      <w:r w:rsidRPr="003B3AAB">
        <w:t xml:space="preserve"> and there is some evidence to show that program outputs contributed to decision making</w:t>
      </w:r>
      <w:r w:rsidR="00723DAB" w:rsidRPr="003B3AAB">
        <w:t xml:space="preserve"> and to</w:t>
      </w:r>
      <w:r w:rsidRPr="003B3AAB">
        <w:t xml:space="preserve"> common standards and approaches to facilitate economic integration. </w:t>
      </w:r>
    </w:p>
    <w:p w:rsidR="00AC180E" w:rsidRPr="00A448C0" w:rsidRDefault="00AC180E" w:rsidP="00A448C0">
      <w:pPr>
        <w:pStyle w:val="StyleListBulletBlack"/>
      </w:pPr>
      <w:r w:rsidRPr="003B3AAB">
        <w:t xml:space="preserve">The </w:t>
      </w:r>
      <w:r w:rsidR="00723DAB" w:rsidRPr="003B3AAB">
        <w:t xml:space="preserve">initiative on </w:t>
      </w:r>
      <w:r w:rsidR="00AB44FB" w:rsidRPr="003B3AAB">
        <w:rPr>
          <w:b/>
        </w:rPr>
        <w:t xml:space="preserve">emerging infectious diseases </w:t>
      </w:r>
      <w:r w:rsidRPr="00A448C0">
        <w:t xml:space="preserve">is laying the groundwork with partners to </w:t>
      </w:r>
      <w:r w:rsidR="00723DAB" w:rsidRPr="00A448C0">
        <w:t xml:space="preserve">increase </w:t>
      </w:r>
      <w:r w:rsidRPr="00A448C0">
        <w:t xml:space="preserve">regional preparedness, surveillance, reporting and early </w:t>
      </w:r>
      <w:r w:rsidRPr="00A448C0">
        <w:lastRenderedPageBreak/>
        <w:t xml:space="preserve">response to </w:t>
      </w:r>
      <w:r w:rsidR="00723DAB" w:rsidRPr="00A448C0">
        <w:t>such diseases</w:t>
      </w:r>
      <w:r w:rsidRPr="00A448C0">
        <w:t>, particularly avian influenza and foot and mouth disease.</w:t>
      </w:r>
      <w:r w:rsidR="00AB44FB" w:rsidRPr="00A448C0">
        <w:t xml:space="preserve"> </w:t>
      </w:r>
      <w:r w:rsidRPr="00A448C0">
        <w:t>Key regional institutions have also been supported to improve information exchange, coordination, surveillance, preparedness and response.</w:t>
      </w:r>
      <w:r w:rsidR="00AB44FB" w:rsidRPr="00A448C0">
        <w:t xml:space="preserve"> </w:t>
      </w:r>
    </w:p>
    <w:p w:rsidR="00AC180E" w:rsidRPr="003B3AAB" w:rsidRDefault="00AC180E" w:rsidP="00AC180E">
      <w:pPr>
        <w:pStyle w:val="ListBullet"/>
        <w:rPr>
          <w:color w:val="000000"/>
          <w:spacing w:val="-2"/>
        </w:rPr>
      </w:pPr>
      <w:r w:rsidRPr="003B3AAB">
        <w:rPr>
          <w:color w:val="000000"/>
          <w:spacing w:val="-2"/>
        </w:rPr>
        <w:t xml:space="preserve">The </w:t>
      </w:r>
      <w:r w:rsidRPr="003B3AAB">
        <w:rPr>
          <w:b/>
          <w:color w:val="000000"/>
          <w:spacing w:val="-2"/>
        </w:rPr>
        <w:t xml:space="preserve">Asia Regional HIV/AIDS Program </w:t>
      </w:r>
      <w:r w:rsidRPr="003B3AAB">
        <w:rPr>
          <w:color w:val="000000"/>
          <w:spacing w:val="-2"/>
        </w:rPr>
        <w:t>established an enabling environment in target countries (</w:t>
      </w:r>
      <w:smartTag w:uri="urn:schemas-microsoft-com:office:smarttags" w:element="country-region">
        <w:r w:rsidRPr="003B3AAB">
          <w:rPr>
            <w:color w:val="000000"/>
            <w:spacing w:val="-2"/>
          </w:rPr>
          <w:t>China</w:t>
        </w:r>
      </w:smartTag>
      <w:r w:rsidRPr="003B3AAB">
        <w:rPr>
          <w:color w:val="000000"/>
          <w:spacing w:val="-2"/>
        </w:rPr>
        <w:t xml:space="preserve">, </w:t>
      </w:r>
      <w:smartTag w:uri="urn:schemas-microsoft-com:office:smarttags" w:element="country-region">
        <w:r w:rsidRPr="003B3AAB">
          <w:rPr>
            <w:color w:val="000000"/>
            <w:spacing w:val="-2"/>
          </w:rPr>
          <w:t>Burma</w:t>
        </w:r>
      </w:smartTag>
      <w:r w:rsidR="00723DAB" w:rsidRPr="003B3AAB">
        <w:rPr>
          <w:color w:val="000000"/>
          <w:spacing w:val="-2"/>
        </w:rPr>
        <w:t xml:space="preserve"> and</w:t>
      </w:r>
      <w:r w:rsidRPr="003B3AAB">
        <w:rPr>
          <w:color w:val="000000"/>
          <w:spacing w:val="-2"/>
        </w:rPr>
        <w:t xml:space="preserve"> </w:t>
      </w:r>
      <w:smartTag w:uri="urn:schemas-microsoft-com:office:smarttags" w:element="country-region">
        <w:smartTag w:uri="urn:schemas-microsoft-com:office:smarttags" w:element="place">
          <w:r w:rsidRPr="003B3AAB">
            <w:rPr>
              <w:color w:val="000000"/>
              <w:spacing w:val="-2"/>
            </w:rPr>
            <w:t>Vietnam</w:t>
          </w:r>
        </w:smartTag>
      </w:smartTag>
      <w:r w:rsidRPr="003B3AAB">
        <w:rPr>
          <w:color w:val="000000"/>
          <w:spacing w:val="-2"/>
        </w:rPr>
        <w:t>)</w:t>
      </w:r>
      <w:r w:rsidR="00723DAB" w:rsidRPr="003B3AAB">
        <w:rPr>
          <w:color w:val="000000"/>
          <w:spacing w:val="-2"/>
        </w:rPr>
        <w:t>,</w:t>
      </w:r>
      <w:r w:rsidRPr="003B3AAB">
        <w:rPr>
          <w:color w:val="000000"/>
          <w:spacing w:val="-2"/>
        </w:rPr>
        <w:t xml:space="preserve"> culminating in policy and legislative changes to facilitate the widespread introduction of HIV/AIDS harm</w:t>
      </w:r>
      <w:r w:rsidR="00150829" w:rsidRPr="003B3AAB">
        <w:rPr>
          <w:color w:val="000000"/>
          <w:spacing w:val="-2"/>
        </w:rPr>
        <w:t>-</w:t>
      </w:r>
      <w:r w:rsidRPr="003B3AAB">
        <w:rPr>
          <w:color w:val="000000"/>
          <w:spacing w:val="-2"/>
        </w:rPr>
        <w:t xml:space="preserve">reduction programs targeting injecting drug users. An independent completion report noted that, </w:t>
      </w:r>
      <w:r w:rsidR="00723DAB" w:rsidRPr="003B3AAB">
        <w:rPr>
          <w:color w:val="000000"/>
          <w:spacing w:val="-2"/>
        </w:rPr>
        <w:t>al</w:t>
      </w:r>
      <w:r w:rsidRPr="003B3AAB">
        <w:rPr>
          <w:color w:val="000000"/>
          <w:spacing w:val="-2"/>
        </w:rPr>
        <w:t>though data collection was weak, harm</w:t>
      </w:r>
      <w:r w:rsidR="0020165A" w:rsidRPr="003B3AAB">
        <w:rPr>
          <w:color w:val="000000"/>
          <w:spacing w:val="-2"/>
        </w:rPr>
        <w:t>-</w:t>
      </w:r>
      <w:r w:rsidRPr="003B3AAB">
        <w:rPr>
          <w:color w:val="000000"/>
          <w:spacing w:val="-2"/>
        </w:rPr>
        <w:t xml:space="preserve">reduction clinics established through </w:t>
      </w:r>
      <w:r w:rsidR="0020165A" w:rsidRPr="003B3AAB">
        <w:rPr>
          <w:color w:val="000000"/>
          <w:spacing w:val="-2"/>
        </w:rPr>
        <w:t xml:space="preserve">the program </w:t>
      </w:r>
      <w:r w:rsidRPr="003B3AAB">
        <w:rPr>
          <w:color w:val="000000"/>
          <w:spacing w:val="-2"/>
        </w:rPr>
        <w:t xml:space="preserve">were providing services to </w:t>
      </w:r>
      <w:r w:rsidR="0020165A" w:rsidRPr="003B3AAB">
        <w:rPr>
          <w:color w:val="000000"/>
          <w:spacing w:val="-2"/>
        </w:rPr>
        <w:t xml:space="preserve">more than </w:t>
      </w:r>
      <w:r w:rsidR="00AB44FB" w:rsidRPr="003B3AAB">
        <w:rPr>
          <w:color w:val="000000"/>
          <w:spacing w:val="-2"/>
        </w:rPr>
        <w:t>15 </w:t>
      </w:r>
      <w:r w:rsidRPr="003B3AAB">
        <w:rPr>
          <w:color w:val="000000"/>
          <w:spacing w:val="-2"/>
        </w:rPr>
        <w:t>000 known injecting drug users</w:t>
      </w:r>
      <w:r w:rsidR="0020165A" w:rsidRPr="003B3AAB">
        <w:rPr>
          <w:color w:val="000000"/>
          <w:spacing w:val="-2"/>
        </w:rPr>
        <w:t>,</w:t>
      </w:r>
      <w:r w:rsidRPr="003B3AAB">
        <w:rPr>
          <w:color w:val="000000"/>
          <w:spacing w:val="-2"/>
        </w:rPr>
        <w:t xml:space="preserve"> and clinics in China were working closely with government methadone programs and acting as demonstration centres for officials from other provinces and countries.</w:t>
      </w:r>
      <w:r w:rsidR="00AB44FB" w:rsidRPr="003B3AAB">
        <w:rPr>
          <w:color w:val="000000"/>
          <w:spacing w:val="-2"/>
        </w:rPr>
        <w:t xml:space="preserve"> </w:t>
      </w:r>
      <w:r w:rsidRPr="003B3AAB">
        <w:rPr>
          <w:color w:val="000000"/>
          <w:spacing w:val="-2"/>
        </w:rPr>
        <w:t>Information from evaluations was being shared with the international community.</w:t>
      </w:r>
      <w:r w:rsidR="00AB44FB" w:rsidRPr="003B3AAB">
        <w:rPr>
          <w:color w:val="000000"/>
          <w:spacing w:val="-2"/>
        </w:rPr>
        <w:t xml:space="preserve"> </w:t>
      </w:r>
    </w:p>
    <w:p w:rsidR="00AC180E" w:rsidRPr="003B3AAB" w:rsidRDefault="00AC180E" w:rsidP="00AC180E">
      <w:pPr>
        <w:pStyle w:val="Heading2nonumber"/>
        <w:rPr>
          <w:color w:val="000000"/>
        </w:rPr>
      </w:pPr>
      <w:bookmarkStart w:id="18" w:name="_Toc213147034"/>
      <w:bookmarkStart w:id="19" w:name="_Toc213151644"/>
      <w:bookmarkStart w:id="20" w:name="_Toc213225920"/>
      <w:bookmarkStart w:id="21" w:name="_Toc360805136"/>
      <w:r w:rsidRPr="003B3AAB">
        <w:rPr>
          <w:color w:val="000000"/>
        </w:rPr>
        <w:t>Major challenges</w:t>
      </w:r>
      <w:bookmarkEnd w:id="18"/>
      <w:bookmarkEnd w:id="19"/>
      <w:bookmarkEnd w:id="20"/>
      <w:bookmarkEnd w:id="21"/>
    </w:p>
    <w:p w:rsidR="00AC180E" w:rsidRPr="003B3AAB" w:rsidRDefault="00AC180E" w:rsidP="00A448C0">
      <w:pPr>
        <w:pStyle w:val="StyleListBulletBlack"/>
      </w:pPr>
      <w:r w:rsidRPr="003B3AAB">
        <w:t xml:space="preserve">The economic integration agendas of the key </w:t>
      </w:r>
      <w:smartTag w:uri="urn:schemas-microsoft-com:office:smarttags" w:element="place">
        <w:r w:rsidRPr="003B3AAB">
          <w:t>East Asia</w:t>
        </w:r>
      </w:smartTag>
      <w:r w:rsidRPr="003B3AAB">
        <w:t xml:space="preserve"> regional bodies</w:t>
      </w:r>
      <w:r w:rsidR="00AB44FB" w:rsidRPr="003B3AAB">
        <w:t>—</w:t>
      </w:r>
      <w:r w:rsidRPr="003B3AAB">
        <w:t>ASEAN and APEC</w:t>
      </w:r>
      <w:r w:rsidR="00AB44FB" w:rsidRPr="003B3AAB">
        <w:t>—</w:t>
      </w:r>
      <w:r w:rsidRPr="003B3AAB">
        <w:t>are very ambitious.</w:t>
      </w:r>
      <w:r w:rsidR="00AB44FB" w:rsidRPr="003B3AAB">
        <w:t xml:space="preserve"> </w:t>
      </w:r>
      <w:smartTag w:uri="urn:schemas-microsoft-com:office:smarttags" w:element="country-region">
        <w:smartTag w:uri="urn:schemas-microsoft-com:office:smarttags" w:element="place">
          <w:r w:rsidRPr="003B3AAB">
            <w:t>Australia</w:t>
          </w:r>
        </w:smartTag>
      </w:smartTag>
      <w:r w:rsidRPr="003B3AAB">
        <w:t>’s work with ASEAN and APEC will need to be strategic, targeted and coherent.</w:t>
      </w:r>
      <w:r w:rsidR="00AB44FB" w:rsidRPr="003B3AAB">
        <w:t xml:space="preserve"> </w:t>
      </w:r>
    </w:p>
    <w:p w:rsidR="00AC180E" w:rsidRPr="003B3AAB" w:rsidRDefault="00AC180E" w:rsidP="00A448C0">
      <w:pPr>
        <w:pStyle w:val="StyleListBulletBlack"/>
      </w:pPr>
      <w:r w:rsidRPr="003B3AAB">
        <w:t>In the case of ASEAN, member states will need to show substantial political will and a strong commitment if the goal of an economic community by 2015 is to be achieved.</w:t>
      </w:r>
      <w:r w:rsidR="00AB44FB" w:rsidRPr="003B3AAB">
        <w:t xml:space="preserve"> </w:t>
      </w:r>
      <w:smartTag w:uri="urn:schemas-microsoft-com:office:smarttags" w:element="country-region">
        <w:smartTag w:uri="urn:schemas-microsoft-com:office:smarttags" w:element="place">
          <w:r w:rsidRPr="003B3AAB">
            <w:t>Australia</w:t>
          </w:r>
        </w:smartTag>
      </w:smartTag>
      <w:r w:rsidRPr="003B3AAB">
        <w:t xml:space="preserve"> can play a key role in providing sound policy advice and finance to the ASEAN Secretariat and member states. In the next 12 months, development cooperation with ASEAN will use ASEAN systems for planning, implementation and monitoring.</w:t>
      </w:r>
      <w:r w:rsidR="00AB44FB" w:rsidRPr="003B3AAB">
        <w:t xml:space="preserve"> </w:t>
      </w:r>
      <w:r w:rsidRPr="003B3AAB">
        <w:t xml:space="preserve">This will </w:t>
      </w:r>
      <w:r w:rsidR="0020165A" w:rsidRPr="003B3AAB">
        <w:t>provide</w:t>
      </w:r>
      <w:r w:rsidRPr="003B3AAB">
        <w:t xml:space="preserve"> an opportunity for </w:t>
      </w:r>
      <w:smartTag w:uri="urn:schemas-microsoft-com:office:smarttags" w:element="country-region">
        <w:smartTag w:uri="urn:schemas-microsoft-com:office:smarttags" w:element="place">
          <w:r w:rsidRPr="003B3AAB">
            <w:t>Australia</w:t>
          </w:r>
        </w:smartTag>
      </w:smartTag>
      <w:r w:rsidRPr="003B3AAB">
        <w:t xml:space="preserve"> to work more closely with other development partners and coordinate efforts with the ASEAN Secretariat.</w:t>
      </w:r>
      <w:r w:rsidR="00AB44FB" w:rsidRPr="003B3AAB">
        <w:t xml:space="preserve"> </w:t>
      </w:r>
      <w:r w:rsidRPr="003B3AAB">
        <w:t>While this will require new ways of working and effective management of risk, the benefits will be substantial.</w:t>
      </w:r>
      <w:r w:rsidR="00AB44FB" w:rsidRPr="003B3AAB">
        <w:t xml:space="preserve"> </w:t>
      </w:r>
    </w:p>
    <w:p w:rsidR="00AC180E" w:rsidRPr="003B3AAB" w:rsidRDefault="00AC180E" w:rsidP="00A448C0">
      <w:pPr>
        <w:pStyle w:val="StyleListBulletBlack"/>
      </w:pPr>
      <w:r w:rsidRPr="003B3AAB">
        <w:t xml:space="preserve">The challenge of strengthening APEC’s systems is significant. </w:t>
      </w:r>
      <w:smartTag w:uri="urn:schemas-microsoft-com:office:smarttags" w:element="country-region">
        <w:r w:rsidRPr="003B3AAB">
          <w:t>Australia</w:t>
        </w:r>
      </w:smartTag>
      <w:r w:rsidRPr="003B3AAB">
        <w:t xml:space="preserve">’s support will need to be carefully targeted and prioritised to ensure that it supports </w:t>
      </w:r>
      <w:r w:rsidR="00150829" w:rsidRPr="003B3AAB">
        <w:t xml:space="preserve">not only the needs of the developing member economies but also </w:t>
      </w:r>
      <w:smartTag w:uri="urn:schemas-microsoft-com:office:smarttags" w:element="country-region">
        <w:smartTag w:uri="urn:schemas-microsoft-com:office:smarttags" w:element="place">
          <w:r w:rsidR="00150829" w:rsidRPr="003B3AAB">
            <w:t>Australia</w:t>
          </w:r>
        </w:smartTag>
      </w:smartTag>
      <w:r w:rsidR="00150829" w:rsidRPr="003B3AAB">
        <w:t xml:space="preserve">’s </w:t>
      </w:r>
      <w:r w:rsidRPr="003B3AAB">
        <w:t xml:space="preserve">broader, </w:t>
      </w:r>
      <w:r w:rsidR="0020165A" w:rsidRPr="003B3AAB">
        <w:t xml:space="preserve">whole-of-government </w:t>
      </w:r>
      <w:r w:rsidRPr="003B3AAB">
        <w:t xml:space="preserve">objectives. </w:t>
      </w:r>
    </w:p>
    <w:p w:rsidR="00AC180E" w:rsidRPr="003B3AAB" w:rsidRDefault="00AC180E" w:rsidP="00A448C0">
      <w:pPr>
        <w:pStyle w:val="StyleListBulletBlack"/>
      </w:pPr>
      <w:r w:rsidRPr="003B3AAB">
        <w:t xml:space="preserve"> Integration of </w:t>
      </w:r>
      <w:smartTag w:uri="urn:schemas-microsoft-com:office:smarttags" w:element="place">
        <w:r w:rsidRPr="003B3AAB">
          <w:t>Asia</w:t>
        </w:r>
      </w:smartTag>
      <w:r w:rsidRPr="003B3AAB">
        <w:t xml:space="preserve"> </w:t>
      </w:r>
      <w:r w:rsidR="0020165A" w:rsidRPr="003B3AAB">
        <w:t xml:space="preserve">regional support </w:t>
      </w:r>
      <w:r w:rsidRPr="003B3AAB">
        <w:t xml:space="preserve">with bilateral programs is a longstanding and complex challenge exacerbated by the perception that regional programs are driven by Australian </w:t>
      </w:r>
      <w:r w:rsidR="0020165A" w:rsidRPr="003B3AAB">
        <w:t xml:space="preserve">government </w:t>
      </w:r>
      <w:r w:rsidRPr="003B3AAB">
        <w:t xml:space="preserve">priorities and are therefore of less interest to partner </w:t>
      </w:r>
      <w:r w:rsidR="0020165A" w:rsidRPr="003B3AAB">
        <w:t>governments</w:t>
      </w:r>
      <w:r w:rsidRPr="003B3AAB">
        <w:t>.</w:t>
      </w:r>
      <w:r w:rsidR="00AB44FB" w:rsidRPr="003B3AAB">
        <w:t xml:space="preserve"> </w:t>
      </w:r>
    </w:p>
    <w:p w:rsidR="00AC180E" w:rsidRPr="003B3AAB" w:rsidRDefault="00AC180E" w:rsidP="00A448C0">
      <w:pPr>
        <w:pStyle w:val="StyleListBulletBlack"/>
      </w:pPr>
      <w:r w:rsidRPr="003B3AAB">
        <w:t xml:space="preserve">The changing nature of </w:t>
      </w:r>
      <w:smartTag w:uri="urn:schemas-microsoft-com:office:smarttags" w:element="country-region">
        <w:r w:rsidR="00150829" w:rsidRPr="003B3AAB">
          <w:t>Australia</w:t>
        </w:r>
      </w:smartTag>
      <w:r w:rsidR="00150829" w:rsidRPr="003B3AAB">
        <w:t xml:space="preserve">’s </w:t>
      </w:r>
      <w:r w:rsidRPr="003B3AAB">
        <w:t xml:space="preserve">relationship with </w:t>
      </w:r>
      <w:smartTag w:uri="urn:schemas-microsoft-com:office:smarttags" w:element="country-region">
        <w:smartTag w:uri="urn:schemas-microsoft-com:office:smarttags" w:element="place">
          <w:r w:rsidRPr="003B3AAB">
            <w:t>Thailand</w:t>
          </w:r>
        </w:smartTag>
      </w:smartTag>
      <w:r w:rsidR="0020165A" w:rsidRPr="003B3AAB">
        <w:t>—</w:t>
      </w:r>
      <w:r w:rsidRPr="003B3AAB">
        <w:t>from aid recipient to development partner</w:t>
      </w:r>
      <w:r w:rsidR="0020165A" w:rsidRPr="003B3AAB">
        <w:t>—</w:t>
      </w:r>
      <w:r w:rsidRPr="003B3AAB">
        <w:t xml:space="preserve">has led to unanticipated complexities, such as the status of </w:t>
      </w:r>
      <w:r w:rsidR="0020165A" w:rsidRPr="003B3AAB">
        <w:t>memorandums of understanding</w:t>
      </w:r>
      <w:r w:rsidRPr="003B3AAB">
        <w:t>, which will need to be given further attention.</w:t>
      </w:r>
      <w:r w:rsidR="00AB44FB" w:rsidRPr="003B3AAB">
        <w:t xml:space="preserve"> </w:t>
      </w:r>
      <w:r w:rsidRPr="003B3AAB">
        <w:t>There are implications for the future strategy and program design, the most obvious being a move away from managing contractor arrangements.</w:t>
      </w:r>
      <w:r w:rsidR="00AB44FB" w:rsidRPr="003B3AAB">
        <w:t xml:space="preserve"> </w:t>
      </w:r>
    </w:p>
    <w:p w:rsidR="00AC180E" w:rsidRPr="003B3AAB" w:rsidRDefault="00AC180E" w:rsidP="00A448C0">
      <w:pPr>
        <w:pStyle w:val="StyleListBulletBlack"/>
      </w:pPr>
      <w:r w:rsidRPr="003B3AAB">
        <w:lastRenderedPageBreak/>
        <w:t>The large number of smaller initiatives implemented through the</w:t>
      </w:r>
      <w:r w:rsidR="00150829" w:rsidRPr="003B3AAB">
        <w:t xml:space="preserve"> regional</w:t>
      </w:r>
      <w:r w:rsidRPr="003B3AAB">
        <w:t xml:space="preserve"> program complicates program management and diminishes </w:t>
      </w:r>
      <w:r w:rsidR="00150829" w:rsidRPr="003B3AAB">
        <w:t xml:space="preserve">its </w:t>
      </w:r>
      <w:r w:rsidRPr="003B3AAB">
        <w:t>quality in the context of scarce resources.</w:t>
      </w:r>
    </w:p>
    <w:p w:rsidR="00AC180E" w:rsidRPr="003B3AAB" w:rsidRDefault="00AC180E" w:rsidP="00234BA6">
      <w:pPr>
        <w:pStyle w:val="BodyText"/>
        <w:rPr>
          <w:color w:val="000000"/>
        </w:rPr>
        <w:sectPr w:rsidR="00AC180E" w:rsidRPr="003B3AAB" w:rsidSect="00234BA6">
          <w:headerReference w:type="even" r:id="rId28"/>
          <w:headerReference w:type="default" r:id="rId29"/>
          <w:footerReference w:type="even" r:id="rId30"/>
          <w:footerReference w:type="default" r:id="rId31"/>
          <w:pgSz w:w="11907" w:h="16840" w:code="9"/>
          <w:pgMar w:top="2268" w:right="1985" w:bottom="1247" w:left="1985" w:header="567" w:footer="567" w:gutter="0"/>
          <w:cols w:space="720"/>
        </w:sectPr>
      </w:pPr>
    </w:p>
    <w:p w:rsidR="00AC180E" w:rsidRPr="003B3AAB" w:rsidRDefault="00AC180E" w:rsidP="00234BA6">
      <w:pPr>
        <w:pStyle w:val="Heading1nonumber"/>
        <w:rPr>
          <w:color w:val="000000"/>
        </w:rPr>
      </w:pPr>
      <w:bookmarkStart w:id="22" w:name="_Toc213147035"/>
      <w:bookmarkStart w:id="23" w:name="_Toc360805137"/>
      <w:r w:rsidRPr="003B3AAB">
        <w:rPr>
          <w:color w:val="000000"/>
        </w:rPr>
        <w:lastRenderedPageBreak/>
        <w:t>Regional performance</w:t>
      </w:r>
      <w:bookmarkEnd w:id="22"/>
      <w:bookmarkEnd w:id="23"/>
    </w:p>
    <w:p w:rsidR="00AC180E" w:rsidRPr="003B3AAB" w:rsidRDefault="00643F48" w:rsidP="00234BA6">
      <w:pPr>
        <w:pStyle w:val="1stpara"/>
        <w:rPr>
          <w:color w:val="000000"/>
        </w:rPr>
      </w:pPr>
      <w:smartTag w:uri="urn:schemas-microsoft-com:office:smarttags" w:element="place">
        <w:r w:rsidRPr="003B3AAB">
          <w:rPr>
            <w:color w:val="000000"/>
          </w:rPr>
          <w:t>East Asia</w:t>
        </w:r>
      </w:smartTag>
      <w:r w:rsidRPr="003B3AAB">
        <w:rPr>
          <w:color w:val="000000"/>
        </w:rPr>
        <w:t xml:space="preserve"> is the fastest growing region in the world and its economies are integrating rapidly. In 2006 the ASEAN group had a combined </w:t>
      </w:r>
      <w:r w:rsidR="002C2AA8" w:rsidRPr="003B3AAB">
        <w:rPr>
          <w:color w:val="000000"/>
        </w:rPr>
        <w:t xml:space="preserve">gross domestic product </w:t>
      </w:r>
      <w:r w:rsidRPr="003B3AAB">
        <w:rPr>
          <w:color w:val="000000"/>
        </w:rPr>
        <w:t xml:space="preserve">of </w:t>
      </w:r>
      <w:r w:rsidR="002C2AA8" w:rsidRPr="003B3AAB">
        <w:rPr>
          <w:color w:val="000000"/>
        </w:rPr>
        <w:t xml:space="preserve">more than </w:t>
      </w:r>
      <w:r w:rsidRPr="003B3AAB">
        <w:rPr>
          <w:color w:val="000000"/>
        </w:rPr>
        <w:t xml:space="preserve">US$1000 billion </w:t>
      </w:r>
      <w:r w:rsidR="002C2AA8" w:rsidRPr="003B3AAB">
        <w:rPr>
          <w:color w:val="000000"/>
        </w:rPr>
        <w:t xml:space="preserve">with </w:t>
      </w:r>
      <w:r w:rsidRPr="003B3AAB">
        <w:rPr>
          <w:color w:val="000000"/>
        </w:rPr>
        <w:t>an average growth rate of 5.8</w:t>
      </w:r>
      <w:r w:rsidR="00AB44FB" w:rsidRPr="003B3AAB">
        <w:rPr>
          <w:color w:val="000000"/>
        </w:rPr>
        <w:t> per cent</w:t>
      </w:r>
      <w:r w:rsidRPr="003B3AAB">
        <w:rPr>
          <w:color w:val="000000"/>
        </w:rPr>
        <w:t xml:space="preserve">. It also had </w:t>
      </w:r>
      <w:r w:rsidR="00AB44FB" w:rsidRPr="003B3AAB">
        <w:rPr>
          <w:color w:val="000000"/>
        </w:rPr>
        <w:t>two-</w:t>
      </w:r>
      <w:r w:rsidR="007E45C5" w:rsidRPr="003B3AAB">
        <w:rPr>
          <w:color w:val="000000"/>
        </w:rPr>
        <w:t>way trade in excess of US$1</w:t>
      </w:r>
      <w:r w:rsidRPr="003B3AAB">
        <w:rPr>
          <w:color w:val="000000"/>
        </w:rPr>
        <w:t>400 billion</w:t>
      </w:r>
      <w:r w:rsidR="002C2AA8" w:rsidRPr="003B3AAB">
        <w:rPr>
          <w:color w:val="000000"/>
        </w:rPr>
        <w:t>,</w:t>
      </w:r>
      <w:r w:rsidRPr="003B3AAB">
        <w:rPr>
          <w:color w:val="000000"/>
        </w:rPr>
        <w:t xml:space="preserve"> making it one of the largest trading blocs in the global economy.</w:t>
      </w:r>
      <w:r w:rsidRPr="003B3AAB">
        <w:rPr>
          <w:rStyle w:val="FootnoteReference"/>
          <w:color w:val="000000"/>
        </w:rPr>
        <w:footnoteReference w:id="1"/>
      </w:r>
      <w:r w:rsidRPr="003B3AAB">
        <w:rPr>
          <w:color w:val="000000"/>
        </w:rPr>
        <w:t xml:space="preserve"> High, sustained growth rates have led to impressive reductions in income poverty</w:t>
      </w:r>
      <w:r w:rsidR="00346C8E" w:rsidRPr="003B3AAB">
        <w:rPr>
          <w:color w:val="000000"/>
        </w:rPr>
        <w:t>, putting</w:t>
      </w:r>
      <w:r w:rsidRPr="003B3AAB">
        <w:rPr>
          <w:color w:val="000000"/>
        </w:rPr>
        <w:t xml:space="preserve"> </w:t>
      </w:r>
      <w:smartTag w:uri="urn:schemas-microsoft-com:office:smarttags" w:element="place">
        <w:r w:rsidRPr="003B3AAB">
          <w:rPr>
            <w:color w:val="000000"/>
          </w:rPr>
          <w:t>East Asia</w:t>
        </w:r>
      </w:smartTag>
      <w:r w:rsidRPr="003B3AAB">
        <w:rPr>
          <w:color w:val="000000"/>
        </w:rPr>
        <w:t xml:space="preserve"> on track to reduce extreme poverty by half by 2015. Despite this, poverty reduction is uneven, leaving marginalised social groups and geographical zones, and widening inequality within and between countries.</w:t>
      </w:r>
    </w:p>
    <w:p w:rsidR="00643F48" w:rsidRPr="003B3AAB" w:rsidRDefault="00643F48" w:rsidP="00643F48">
      <w:pPr>
        <w:pStyle w:val="BodyText"/>
        <w:rPr>
          <w:color w:val="000000"/>
        </w:rPr>
      </w:pPr>
      <w:r w:rsidRPr="003B3AAB">
        <w:rPr>
          <w:color w:val="000000"/>
        </w:rPr>
        <w:t>Total Australian ai</w:t>
      </w:r>
      <w:r w:rsidR="00AB44FB" w:rsidRPr="003B3AAB">
        <w:rPr>
          <w:color w:val="000000"/>
        </w:rPr>
        <w:t xml:space="preserve">d to </w:t>
      </w:r>
      <w:r w:rsidR="00DD0A36" w:rsidRPr="003B3AAB">
        <w:rPr>
          <w:color w:val="000000"/>
        </w:rPr>
        <w:t xml:space="preserve">the </w:t>
      </w:r>
      <w:smartTag w:uri="urn:schemas-microsoft-com:office:smarttags" w:element="place">
        <w:r w:rsidR="00AB44FB" w:rsidRPr="003B3AAB">
          <w:rPr>
            <w:color w:val="000000"/>
          </w:rPr>
          <w:t>East Asia</w:t>
        </w:r>
      </w:smartTag>
      <w:r w:rsidR="00AB44FB" w:rsidRPr="003B3AAB">
        <w:rPr>
          <w:color w:val="000000"/>
        </w:rPr>
        <w:t xml:space="preserve"> </w:t>
      </w:r>
      <w:r w:rsidR="00DD0A36" w:rsidRPr="003B3AAB">
        <w:rPr>
          <w:color w:val="000000"/>
        </w:rPr>
        <w:t xml:space="preserve">region </w:t>
      </w:r>
      <w:r w:rsidR="00AB44FB" w:rsidRPr="003B3AAB">
        <w:rPr>
          <w:color w:val="000000"/>
        </w:rPr>
        <w:t>in 2007–</w:t>
      </w:r>
      <w:r w:rsidRPr="003B3AAB">
        <w:rPr>
          <w:color w:val="000000"/>
        </w:rPr>
        <w:t xml:space="preserve">08 </w:t>
      </w:r>
      <w:r w:rsidR="00DD0A36" w:rsidRPr="003B3AAB">
        <w:rPr>
          <w:color w:val="000000"/>
        </w:rPr>
        <w:t xml:space="preserve">was </w:t>
      </w:r>
      <w:r w:rsidRPr="003B3AAB">
        <w:rPr>
          <w:color w:val="000000"/>
        </w:rPr>
        <w:t>estimated at $125.8</w:t>
      </w:r>
      <w:r w:rsidR="007E45C5" w:rsidRPr="003B3AAB">
        <w:rPr>
          <w:color w:val="000000"/>
        </w:rPr>
        <w:t> </w:t>
      </w:r>
      <w:r w:rsidRPr="003B3AAB">
        <w:rPr>
          <w:color w:val="000000"/>
        </w:rPr>
        <w:t>m</w:t>
      </w:r>
      <w:r w:rsidR="007E45C5" w:rsidRPr="003B3AAB">
        <w:rPr>
          <w:color w:val="000000"/>
        </w:rPr>
        <w:t>illion</w:t>
      </w:r>
      <w:r w:rsidRPr="003B3AAB">
        <w:rPr>
          <w:color w:val="000000"/>
        </w:rPr>
        <w:t>.</w:t>
      </w:r>
      <w:r w:rsidR="00AB44FB" w:rsidRPr="003B3AAB">
        <w:rPr>
          <w:color w:val="000000"/>
        </w:rPr>
        <w:t xml:space="preserve"> </w:t>
      </w:r>
      <w:r w:rsidRPr="003B3AAB">
        <w:rPr>
          <w:color w:val="000000"/>
        </w:rPr>
        <w:t xml:space="preserve">A considerable proportion of this </w:t>
      </w:r>
      <w:r w:rsidR="00DD0A36" w:rsidRPr="003B3AAB">
        <w:rPr>
          <w:color w:val="000000"/>
        </w:rPr>
        <w:t xml:space="preserve">was </w:t>
      </w:r>
      <w:r w:rsidRPr="003B3AAB">
        <w:rPr>
          <w:color w:val="000000"/>
        </w:rPr>
        <w:t xml:space="preserve">delivered through other programs, including </w:t>
      </w:r>
      <w:r w:rsidR="00DD0A36" w:rsidRPr="003B3AAB">
        <w:rPr>
          <w:color w:val="000000"/>
        </w:rPr>
        <w:t xml:space="preserve">the </w:t>
      </w:r>
      <w:smartTag w:uri="urn:schemas-microsoft-com:office:smarttags" w:element="place">
        <w:r w:rsidRPr="003B3AAB">
          <w:rPr>
            <w:color w:val="000000"/>
          </w:rPr>
          <w:t>Mekong</w:t>
        </w:r>
      </w:smartTag>
      <w:r w:rsidRPr="003B3AAB">
        <w:rPr>
          <w:color w:val="000000"/>
        </w:rPr>
        <w:t xml:space="preserve"> </w:t>
      </w:r>
      <w:r w:rsidR="00DD0A36" w:rsidRPr="003B3AAB">
        <w:rPr>
          <w:color w:val="000000"/>
        </w:rPr>
        <w:t>s</w:t>
      </w:r>
      <w:r w:rsidRPr="003B3AAB">
        <w:rPr>
          <w:color w:val="000000"/>
        </w:rPr>
        <w:t>ubregional</w:t>
      </w:r>
      <w:r w:rsidR="00DD0A36" w:rsidRPr="003B3AAB">
        <w:rPr>
          <w:color w:val="000000"/>
        </w:rPr>
        <w:t xml:space="preserve"> program</w:t>
      </w:r>
      <w:r w:rsidRPr="003B3AAB">
        <w:rPr>
          <w:color w:val="000000"/>
        </w:rPr>
        <w:t>.</w:t>
      </w:r>
      <w:r w:rsidR="00AB44FB" w:rsidRPr="003B3AAB">
        <w:rPr>
          <w:color w:val="000000"/>
        </w:rPr>
        <w:t xml:space="preserve"> </w:t>
      </w:r>
      <w:r w:rsidR="00DD0A36" w:rsidRPr="003B3AAB">
        <w:rPr>
          <w:color w:val="000000"/>
        </w:rPr>
        <w:t xml:space="preserve">A total of </w:t>
      </w:r>
      <w:r w:rsidRPr="003B3AAB">
        <w:rPr>
          <w:color w:val="000000"/>
        </w:rPr>
        <w:t>$66.1</w:t>
      </w:r>
      <w:r w:rsidR="00DD0A36" w:rsidRPr="003B3AAB">
        <w:rPr>
          <w:color w:val="000000"/>
        </w:rPr>
        <w:t> </w:t>
      </w:r>
      <w:r w:rsidRPr="003B3AAB">
        <w:rPr>
          <w:color w:val="000000"/>
        </w:rPr>
        <w:t>m</w:t>
      </w:r>
      <w:r w:rsidR="00DD0A36" w:rsidRPr="003B3AAB">
        <w:rPr>
          <w:color w:val="000000"/>
        </w:rPr>
        <w:t>illion</w:t>
      </w:r>
      <w:r w:rsidRPr="003B3AAB">
        <w:rPr>
          <w:color w:val="000000"/>
        </w:rPr>
        <w:t xml:space="preserve"> </w:t>
      </w:r>
      <w:r w:rsidR="00DD0A36" w:rsidRPr="003B3AAB">
        <w:rPr>
          <w:color w:val="000000"/>
        </w:rPr>
        <w:t xml:space="preserve">was </w:t>
      </w:r>
      <w:r w:rsidRPr="003B3AAB">
        <w:rPr>
          <w:color w:val="000000"/>
        </w:rPr>
        <w:t xml:space="preserve">delivered through </w:t>
      </w:r>
      <w:r w:rsidR="00DD0A36" w:rsidRPr="003B3AAB">
        <w:rPr>
          <w:color w:val="000000"/>
        </w:rPr>
        <w:t xml:space="preserve">the </w:t>
      </w:r>
      <w:r w:rsidRPr="003B3AAB">
        <w:rPr>
          <w:color w:val="000000"/>
        </w:rPr>
        <w:t xml:space="preserve">Asia </w:t>
      </w:r>
      <w:r w:rsidR="00DD0A36" w:rsidRPr="003B3AAB">
        <w:rPr>
          <w:color w:val="000000"/>
        </w:rPr>
        <w:t>regional program—</w:t>
      </w:r>
      <w:r w:rsidRPr="003B3AAB">
        <w:rPr>
          <w:color w:val="000000"/>
        </w:rPr>
        <w:t>$22.7</w:t>
      </w:r>
      <w:r w:rsidR="007E45C5" w:rsidRPr="003B3AAB">
        <w:rPr>
          <w:color w:val="000000"/>
        </w:rPr>
        <w:t> </w:t>
      </w:r>
      <w:r w:rsidRPr="003B3AAB">
        <w:rPr>
          <w:color w:val="000000"/>
        </w:rPr>
        <w:t>m</w:t>
      </w:r>
      <w:r w:rsidR="007E45C5" w:rsidRPr="003B3AAB">
        <w:rPr>
          <w:color w:val="000000"/>
        </w:rPr>
        <w:t>illion</w:t>
      </w:r>
      <w:r w:rsidRPr="003B3AAB">
        <w:rPr>
          <w:color w:val="000000"/>
        </w:rPr>
        <w:t xml:space="preserve"> through </w:t>
      </w:r>
      <w:r w:rsidR="00DD0A36" w:rsidRPr="003B3AAB">
        <w:rPr>
          <w:color w:val="000000"/>
        </w:rPr>
        <w:t xml:space="preserve">the </w:t>
      </w:r>
      <w:r w:rsidRPr="003B3AAB">
        <w:rPr>
          <w:color w:val="000000"/>
        </w:rPr>
        <w:t xml:space="preserve">Asia </w:t>
      </w:r>
      <w:r w:rsidR="00472760" w:rsidRPr="003B3AAB">
        <w:rPr>
          <w:color w:val="000000"/>
        </w:rPr>
        <w:t xml:space="preserve">economic </w:t>
      </w:r>
      <w:r w:rsidR="00DD0A36" w:rsidRPr="003B3AAB">
        <w:rPr>
          <w:color w:val="000000"/>
        </w:rPr>
        <w:t>initiative</w:t>
      </w:r>
      <w:r w:rsidRPr="003B3AAB">
        <w:rPr>
          <w:color w:val="000000"/>
        </w:rPr>
        <w:t>, $13.8</w:t>
      </w:r>
      <w:r w:rsidR="00DD0A36" w:rsidRPr="003B3AAB">
        <w:rPr>
          <w:color w:val="000000"/>
        </w:rPr>
        <w:t> </w:t>
      </w:r>
      <w:r w:rsidRPr="003B3AAB">
        <w:rPr>
          <w:color w:val="000000"/>
        </w:rPr>
        <w:t>m</w:t>
      </w:r>
      <w:r w:rsidR="00DD0A36" w:rsidRPr="003B3AAB">
        <w:rPr>
          <w:color w:val="000000"/>
        </w:rPr>
        <w:t>illion</w:t>
      </w:r>
      <w:r w:rsidRPr="003B3AAB">
        <w:rPr>
          <w:color w:val="000000"/>
        </w:rPr>
        <w:t xml:space="preserve"> through </w:t>
      </w:r>
      <w:r w:rsidR="00472760" w:rsidRPr="003B3AAB">
        <w:rPr>
          <w:color w:val="000000"/>
        </w:rPr>
        <w:t xml:space="preserve">the </w:t>
      </w:r>
      <w:smartTag w:uri="urn:schemas-microsoft-com:office:smarttags" w:element="place">
        <w:r w:rsidRPr="003B3AAB">
          <w:rPr>
            <w:color w:val="000000"/>
          </w:rPr>
          <w:t>Asia</w:t>
        </w:r>
      </w:smartTag>
      <w:r w:rsidRPr="003B3AAB">
        <w:rPr>
          <w:color w:val="000000"/>
        </w:rPr>
        <w:t xml:space="preserve"> </w:t>
      </w:r>
      <w:r w:rsidR="00346C8E" w:rsidRPr="003B3AAB">
        <w:rPr>
          <w:color w:val="000000"/>
        </w:rPr>
        <w:t xml:space="preserve">transboundary program </w:t>
      </w:r>
      <w:r w:rsidRPr="003B3AAB">
        <w:rPr>
          <w:color w:val="000000"/>
        </w:rPr>
        <w:t>and $29.5</w:t>
      </w:r>
      <w:r w:rsidR="00AB44FB" w:rsidRPr="003B3AAB">
        <w:rPr>
          <w:color w:val="000000"/>
        </w:rPr>
        <w:t> </w:t>
      </w:r>
      <w:r w:rsidRPr="003B3AAB">
        <w:rPr>
          <w:color w:val="000000"/>
        </w:rPr>
        <w:t>m</w:t>
      </w:r>
      <w:r w:rsidR="00AB44FB" w:rsidRPr="003B3AAB">
        <w:rPr>
          <w:color w:val="000000"/>
        </w:rPr>
        <w:t>illion</w:t>
      </w:r>
      <w:r w:rsidRPr="003B3AAB">
        <w:rPr>
          <w:color w:val="000000"/>
        </w:rPr>
        <w:t xml:space="preserve"> </w:t>
      </w:r>
      <w:r w:rsidR="00472760" w:rsidRPr="003B3AAB">
        <w:rPr>
          <w:color w:val="000000"/>
        </w:rPr>
        <w:t xml:space="preserve">through </w:t>
      </w:r>
      <w:r w:rsidRPr="003B3AAB">
        <w:rPr>
          <w:color w:val="000000"/>
        </w:rPr>
        <w:t xml:space="preserve">the </w:t>
      </w:r>
      <w:r w:rsidR="00472760" w:rsidRPr="003B3AAB">
        <w:rPr>
          <w:color w:val="000000"/>
        </w:rPr>
        <w:t xml:space="preserve">pandemics preparedness </w:t>
      </w:r>
      <w:r w:rsidRPr="003B3AAB">
        <w:rPr>
          <w:color w:val="000000"/>
        </w:rPr>
        <w:t>initiative.</w:t>
      </w:r>
      <w:r w:rsidR="00AB44FB" w:rsidRPr="003B3AAB">
        <w:rPr>
          <w:color w:val="000000"/>
        </w:rPr>
        <w:t xml:space="preserve"> </w:t>
      </w:r>
      <w:r w:rsidRPr="003B3AAB">
        <w:rPr>
          <w:color w:val="000000"/>
        </w:rPr>
        <w:t xml:space="preserve">Approximately half of the </w:t>
      </w:r>
      <w:r w:rsidR="00472760" w:rsidRPr="003B3AAB">
        <w:rPr>
          <w:color w:val="000000"/>
        </w:rPr>
        <w:t xml:space="preserve">pandemics </w:t>
      </w:r>
      <w:r w:rsidRPr="003B3AAB">
        <w:rPr>
          <w:color w:val="000000"/>
        </w:rPr>
        <w:t xml:space="preserve">funding </w:t>
      </w:r>
      <w:r w:rsidR="00472760" w:rsidRPr="003B3AAB">
        <w:rPr>
          <w:color w:val="000000"/>
        </w:rPr>
        <w:t xml:space="preserve">was </w:t>
      </w:r>
      <w:r w:rsidRPr="003B3AAB">
        <w:rPr>
          <w:color w:val="000000"/>
        </w:rPr>
        <w:t>then programmed and expended under bilateral programs.</w:t>
      </w:r>
    </w:p>
    <w:p w:rsidR="00643F48" w:rsidRPr="003B3AAB" w:rsidRDefault="00643F48" w:rsidP="00643F48">
      <w:pPr>
        <w:pStyle w:val="BodyText"/>
        <w:rPr>
          <w:color w:val="000000"/>
          <w:spacing w:val="-2"/>
        </w:rPr>
      </w:pPr>
      <w:r w:rsidRPr="003B3AAB">
        <w:rPr>
          <w:color w:val="000000"/>
          <w:spacing w:val="-2"/>
        </w:rPr>
        <w:t xml:space="preserve">Assistance at </w:t>
      </w:r>
      <w:r w:rsidR="00346C8E" w:rsidRPr="003B3AAB">
        <w:rPr>
          <w:color w:val="000000"/>
          <w:spacing w:val="-2"/>
        </w:rPr>
        <w:t xml:space="preserve">the </w:t>
      </w:r>
      <w:r w:rsidRPr="003B3AAB">
        <w:rPr>
          <w:color w:val="000000"/>
          <w:spacing w:val="-2"/>
        </w:rPr>
        <w:t xml:space="preserve">regional level </w:t>
      </w:r>
      <w:r w:rsidR="00DD0A36" w:rsidRPr="003B3AAB">
        <w:rPr>
          <w:color w:val="000000"/>
          <w:spacing w:val="-2"/>
        </w:rPr>
        <w:t>is</w:t>
      </w:r>
      <w:r w:rsidRPr="003B3AAB">
        <w:rPr>
          <w:color w:val="000000"/>
          <w:spacing w:val="-2"/>
        </w:rPr>
        <w:t xml:space="preserve"> guided by the Asia Regional Strategy 2005</w:t>
      </w:r>
      <w:r w:rsidR="00DD0A36" w:rsidRPr="003B3AAB">
        <w:rPr>
          <w:color w:val="000000"/>
          <w:spacing w:val="-2"/>
        </w:rPr>
        <w:t>–</w:t>
      </w:r>
      <w:r w:rsidRPr="003B3AAB">
        <w:rPr>
          <w:color w:val="000000"/>
          <w:spacing w:val="-2"/>
        </w:rPr>
        <w:t>2009.</w:t>
      </w:r>
      <w:r w:rsidR="00AB44FB" w:rsidRPr="003B3AAB">
        <w:rPr>
          <w:color w:val="000000"/>
          <w:spacing w:val="-2"/>
        </w:rPr>
        <w:t xml:space="preserve"> </w:t>
      </w:r>
      <w:r w:rsidRPr="003B3AAB">
        <w:rPr>
          <w:color w:val="000000"/>
          <w:spacing w:val="-2"/>
        </w:rPr>
        <w:t xml:space="preserve">A review of the </w:t>
      </w:r>
      <w:r w:rsidR="00DD0A36" w:rsidRPr="003B3AAB">
        <w:rPr>
          <w:color w:val="000000"/>
          <w:spacing w:val="-2"/>
        </w:rPr>
        <w:t xml:space="preserve">strategy </w:t>
      </w:r>
      <w:r w:rsidRPr="003B3AAB">
        <w:rPr>
          <w:color w:val="000000"/>
          <w:spacing w:val="-2"/>
        </w:rPr>
        <w:t>undertaken in 2007 highlighted a range of corporate and program effectiveness issues</w:t>
      </w:r>
      <w:r w:rsidR="00DD0A36" w:rsidRPr="003B3AAB">
        <w:rPr>
          <w:color w:val="000000"/>
          <w:spacing w:val="-2"/>
        </w:rPr>
        <w:t>,</w:t>
      </w:r>
      <w:r w:rsidRPr="003B3AAB">
        <w:rPr>
          <w:color w:val="000000"/>
          <w:spacing w:val="-2"/>
        </w:rPr>
        <w:t xml:space="preserve"> which are reflected in this document.</w:t>
      </w:r>
      <w:r w:rsidR="00AB44FB" w:rsidRPr="003B3AAB">
        <w:rPr>
          <w:color w:val="000000"/>
          <w:spacing w:val="-2"/>
        </w:rPr>
        <w:t xml:space="preserve"> </w:t>
      </w:r>
      <w:r w:rsidRPr="003B3AAB">
        <w:rPr>
          <w:color w:val="000000"/>
          <w:spacing w:val="-2"/>
        </w:rPr>
        <w:t xml:space="preserve">A new </w:t>
      </w:r>
      <w:r w:rsidR="00DD0A36" w:rsidRPr="003B3AAB">
        <w:rPr>
          <w:color w:val="000000"/>
          <w:spacing w:val="-2"/>
        </w:rPr>
        <w:t xml:space="preserve">strategy, the </w:t>
      </w:r>
      <w:r w:rsidRPr="003B3AAB">
        <w:rPr>
          <w:color w:val="000000"/>
          <w:spacing w:val="-2"/>
        </w:rPr>
        <w:t xml:space="preserve">East Asia Regional Strategy to commence in 2009, is </w:t>
      </w:r>
      <w:r w:rsidR="00DD0A36" w:rsidRPr="003B3AAB">
        <w:rPr>
          <w:color w:val="000000"/>
          <w:spacing w:val="-2"/>
        </w:rPr>
        <w:t>being prepared</w:t>
      </w:r>
      <w:r w:rsidRPr="003B3AAB">
        <w:rPr>
          <w:color w:val="000000"/>
          <w:spacing w:val="-2"/>
        </w:rPr>
        <w:t xml:space="preserve">. The size and diversity of the region </w:t>
      </w:r>
      <w:r w:rsidR="00FD09A4" w:rsidRPr="003B3AAB">
        <w:rPr>
          <w:color w:val="000000"/>
          <w:spacing w:val="-2"/>
        </w:rPr>
        <w:t xml:space="preserve">are </w:t>
      </w:r>
      <w:r w:rsidRPr="003B3AAB">
        <w:rPr>
          <w:color w:val="000000"/>
          <w:spacing w:val="-2"/>
        </w:rPr>
        <w:t xml:space="preserve">such that the small amount of Australian </w:t>
      </w:r>
      <w:r w:rsidR="00DD0A36" w:rsidRPr="003B3AAB">
        <w:rPr>
          <w:color w:val="000000"/>
          <w:spacing w:val="-2"/>
        </w:rPr>
        <w:t xml:space="preserve">official development assistance </w:t>
      </w:r>
      <w:r w:rsidRPr="003B3AAB">
        <w:rPr>
          <w:color w:val="000000"/>
          <w:spacing w:val="-2"/>
        </w:rPr>
        <w:t xml:space="preserve">provided at </w:t>
      </w:r>
      <w:r w:rsidR="00346C8E" w:rsidRPr="003B3AAB">
        <w:rPr>
          <w:color w:val="000000"/>
          <w:spacing w:val="-2"/>
        </w:rPr>
        <w:t xml:space="preserve">the </w:t>
      </w:r>
      <w:r w:rsidRPr="003B3AAB">
        <w:rPr>
          <w:color w:val="000000"/>
          <w:spacing w:val="-2"/>
        </w:rPr>
        <w:t xml:space="preserve">regional level is unlikely to demonstrate </w:t>
      </w:r>
      <w:r w:rsidR="00DD0A36" w:rsidRPr="003B3AAB">
        <w:rPr>
          <w:color w:val="000000"/>
          <w:spacing w:val="-2"/>
        </w:rPr>
        <w:t xml:space="preserve">a </w:t>
      </w:r>
      <w:r w:rsidRPr="003B3AAB">
        <w:rPr>
          <w:color w:val="000000"/>
          <w:spacing w:val="-2"/>
        </w:rPr>
        <w:t xml:space="preserve">significant impact unless it is clearly targeted and complements the technical and financial resources provided by others. </w:t>
      </w:r>
    </w:p>
    <w:p w:rsidR="00643F48" w:rsidRPr="003B3AAB" w:rsidRDefault="00643F48" w:rsidP="00643F48">
      <w:pPr>
        <w:pStyle w:val="BodyText"/>
        <w:rPr>
          <w:color w:val="000000"/>
        </w:rPr>
      </w:pPr>
      <w:r w:rsidRPr="003B3AAB">
        <w:rPr>
          <w:color w:val="000000"/>
        </w:rPr>
        <w:t>ASEAN and APEC are the primary vehicles through which member countries frame the regional political and economic context for development.</w:t>
      </w:r>
      <w:r w:rsidR="00AB44FB" w:rsidRPr="003B3AAB">
        <w:rPr>
          <w:color w:val="000000"/>
        </w:rPr>
        <w:t xml:space="preserve"> </w:t>
      </w:r>
      <w:r w:rsidRPr="003B3AAB">
        <w:rPr>
          <w:color w:val="000000"/>
        </w:rPr>
        <w:t>ASEAN, in particular, has provided a strong basis for ongoing stability and cooperation in the region, underpinning the region’s development achievements.</w:t>
      </w:r>
      <w:r w:rsidR="00AB44FB" w:rsidRPr="003B3AAB">
        <w:rPr>
          <w:color w:val="000000"/>
        </w:rPr>
        <w:t xml:space="preserve"> </w:t>
      </w:r>
      <w:r w:rsidR="00346C8E" w:rsidRPr="003B3AAB">
        <w:rPr>
          <w:color w:val="000000"/>
        </w:rPr>
        <w:t xml:space="preserve">It </w:t>
      </w:r>
      <w:r w:rsidRPr="003B3AAB">
        <w:rPr>
          <w:color w:val="000000"/>
        </w:rPr>
        <w:t>is working towards achiev</w:t>
      </w:r>
      <w:r w:rsidR="00FD09A4" w:rsidRPr="003B3AAB">
        <w:rPr>
          <w:color w:val="000000"/>
        </w:rPr>
        <w:t>ing</w:t>
      </w:r>
      <w:r w:rsidRPr="003B3AAB">
        <w:rPr>
          <w:color w:val="000000"/>
        </w:rPr>
        <w:t xml:space="preserve"> an ASEAN Economic Community by 2015, five years ahead of the original 2020 timetable. An ASEAN Socio-Cultural Community by 2015 is also planned. The ASEAN Secretariat is performing well, providing strong support for </w:t>
      </w:r>
      <w:r w:rsidR="00346C8E" w:rsidRPr="003B3AAB">
        <w:rPr>
          <w:color w:val="000000"/>
        </w:rPr>
        <w:t xml:space="preserve">the </w:t>
      </w:r>
      <w:r w:rsidRPr="003B3AAB">
        <w:rPr>
          <w:color w:val="000000"/>
        </w:rPr>
        <w:t xml:space="preserve">progress to date. </w:t>
      </w:r>
    </w:p>
    <w:p w:rsidR="00643F48" w:rsidRPr="003B3AAB" w:rsidRDefault="00643F48" w:rsidP="00643F48">
      <w:pPr>
        <w:pStyle w:val="BodyText"/>
        <w:rPr>
          <w:color w:val="000000"/>
        </w:rPr>
      </w:pPr>
      <w:r w:rsidRPr="003B3AAB">
        <w:rPr>
          <w:color w:val="000000"/>
        </w:rPr>
        <w:t>Developing APEC economies aim to achieve free and open trade no later than 2020.</w:t>
      </w:r>
      <w:r w:rsidR="00AB44FB" w:rsidRPr="003B3AAB">
        <w:rPr>
          <w:color w:val="000000"/>
        </w:rPr>
        <w:t xml:space="preserve"> </w:t>
      </w:r>
      <w:r w:rsidRPr="003B3AAB">
        <w:rPr>
          <w:color w:val="000000"/>
        </w:rPr>
        <w:t>APEC economies report</w:t>
      </w:r>
      <w:r w:rsidR="00FD09A4" w:rsidRPr="003B3AAB">
        <w:rPr>
          <w:color w:val="000000"/>
        </w:rPr>
        <w:t>ed</w:t>
      </w:r>
      <w:r w:rsidRPr="003B3AAB">
        <w:rPr>
          <w:color w:val="000000"/>
        </w:rPr>
        <w:t xml:space="preserve"> progress on a wide range of key indicators </w:t>
      </w:r>
      <w:r w:rsidR="00FD09A4" w:rsidRPr="003B3AAB">
        <w:rPr>
          <w:color w:val="000000"/>
        </w:rPr>
        <w:t xml:space="preserve">of </w:t>
      </w:r>
      <w:r w:rsidRPr="003B3AAB">
        <w:rPr>
          <w:color w:val="000000"/>
        </w:rPr>
        <w:lastRenderedPageBreak/>
        <w:t>greater trade</w:t>
      </w:r>
      <w:r w:rsidR="00FD09A4" w:rsidRPr="003B3AAB">
        <w:rPr>
          <w:color w:val="000000"/>
        </w:rPr>
        <w:t xml:space="preserve"> as well as</w:t>
      </w:r>
      <w:r w:rsidRPr="003B3AAB">
        <w:rPr>
          <w:color w:val="000000"/>
        </w:rPr>
        <w:t xml:space="preserve"> </w:t>
      </w:r>
      <w:r w:rsidR="00FD09A4" w:rsidRPr="003B3AAB">
        <w:rPr>
          <w:color w:val="000000"/>
        </w:rPr>
        <w:t>significantly reduced</w:t>
      </w:r>
      <w:r w:rsidRPr="003B3AAB">
        <w:rPr>
          <w:color w:val="000000"/>
        </w:rPr>
        <w:t xml:space="preserve"> average applied tariffs </w:t>
      </w:r>
      <w:r w:rsidR="00FD09A4" w:rsidRPr="003B3AAB">
        <w:rPr>
          <w:color w:val="000000"/>
        </w:rPr>
        <w:t xml:space="preserve">(down </w:t>
      </w:r>
      <w:r w:rsidRPr="003B3AAB">
        <w:rPr>
          <w:color w:val="000000"/>
        </w:rPr>
        <w:t>from 16.9</w:t>
      </w:r>
      <w:r w:rsidR="00FD09A4" w:rsidRPr="003B3AAB">
        <w:rPr>
          <w:color w:val="000000"/>
        </w:rPr>
        <w:t> </w:t>
      </w:r>
      <w:r w:rsidRPr="003B3AAB">
        <w:rPr>
          <w:color w:val="000000"/>
        </w:rPr>
        <w:t>per cent in 1989 to 5.5</w:t>
      </w:r>
      <w:r w:rsidR="00FD09A4" w:rsidRPr="003B3AAB">
        <w:rPr>
          <w:color w:val="000000"/>
        </w:rPr>
        <w:t> </w:t>
      </w:r>
      <w:r w:rsidRPr="003B3AAB">
        <w:rPr>
          <w:color w:val="000000"/>
        </w:rPr>
        <w:t>per cent in 2004</w:t>
      </w:r>
      <w:r w:rsidR="00FD09A4" w:rsidRPr="003B3AAB">
        <w:rPr>
          <w:color w:val="000000"/>
        </w:rPr>
        <w:t>)</w:t>
      </w:r>
      <w:r w:rsidRPr="003B3AAB">
        <w:rPr>
          <w:color w:val="000000"/>
        </w:rPr>
        <w:t>.</w:t>
      </w:r>
      <w:r w:rsidR="00AB44FB" w:rsidRPr="003B3AAB">
        <w:rPr>
          <w:color w:val="000000"/>
        </w:rPr>
        <w:t xml:space="preserve"> </w:t>
      </w:r>
      <w:smartTag w:uri="urn:schemas-microsoft-com:office:smarttags" w:element="country-region">
        <w:smartTag w:uri="urn:schemas-microsoft-com:office:smarttags" w:element="place">
          <w:r w:rsidRPr="003B3AAB">
            <w:rPr>
              <w:color w:val="000000"/>
            </w:rPr>
            <w:t>Australia</w:t>
          </w:r>
        </w:smartTag>
      </w:smartTag>
      <w:r w:rsidRPr="003B3AAB">
        <w:rPr>
          <w:color w:val="000000"/>
        </w:rPr>
        <w:t xml:space="preserve">’s priorities for APEC in </w:t>
      </w:r>
      <w:r w:rsidR="00FD09A4" w:rsidRPr="003B3AAB">
        <w:rPr>
          <w:color w:val="000000"/>
        </w:rPr>
        <w:t>2008–09</w:t>
      </w:r>
      <w:r w:rsidRPr="003B3AAB">
        <w:rPr>
          <w:color w:val="000000"/>
        </w:rPr>
        <w:t xml:space="preserve"> </w:t>
      </w:r>
      <w:r w:rsidR="00FD09A4" w:rsidRPr="003B3AAB">
        <w:rPr>
          <w:color w:val="000000"/>
        </w:rPr>
        <w:t>are</w:t>
      </w:r>
      <w:r w:rsidRPr="003B3AAB">
        <w:rPr>
          <w:color w:val="000000"/>
        </w:rPr>
        <w:t xml:space="preserve"> to reinforce its core </w:t>
      </w:r>
      <w:r w:rsidR="00FD09A4" w:rsidRPr="003B3AAB">
        <w:rPr>
          <w:color w:val="000000"/>
        </w:rPr>
        <w:t xml:space="preserve">agenda on </w:t>
      </w:r>
      <w:r w:rsidRPr="003B3AAB">
        <w:rPr>
          <w:color w:val="000000"/>
        </w:rPr>
        <w:t xml:space="preserve">trade and investment liberalisation, strengthen its </w:t>
      </w:r>
      <w:r w:rsidR="00FD09A4" w:rsidRPr="003B3AAB">
        <w:rPr>
          <w:color w:val="000000"/>
        </w:rPr>
        <w:t xml:space="preserve">work on </w:t>
      </w:r>
      <w:r w:rsidRPr="003B3AAB">
        <w:rPr>
          <w:color w:val="000000"/>
        </w:rPr>
        <w:t xml:space="preserve">structural economic reform, implement institutional reforms in APEC to build its capacity to support </w:t>
      </w:r>
      <w:r w:rsidR="00346C8E" w:rsidRPr="003B3AAB">
        <w:rPr>
          <w:color w:val="000000"/>
        </w:rPr>
        <w:t xml:space="preserve">its </w:t>
      </w:r>
      <w:r w:rsidRPr="003B3AAB">
        <w:rPr>
          <w:color w:val="000000"/>
        </w:rPr>
        <w:t>agenda, and advance its human security agenda.</w:t>
      </w:r>
    </w:p>
    <w:p w:rsidR="00643F48" w:rsidRPr="003B3AAB" w:rsidRDefault="00643F48" w:rsidP="00643F48">
      <w:pPr>
        <w:pStyle w:val="BodyText"/>
        <w:rPr>
          <w:color w:val="000000"/>
        </w:rPr>
      </w:pPr>
      <w:r w:rsidRPr="003B3AAB">
        <w:rPr>
          <w:color w:val="000000"/>
        </w:rPr>
        <w:t>There is massive regional growth in the movement of funds, goods and people across borders.</w:t>
      </w:r>
      <w:r w:rsidR="00AB44FB" w:rsidRPr="003B3AAB">
        <w:rPr>
          <w:color w:val="000000"/>
        </w:rPr>
        <w:t xml:space="preserve"> </w:t>
      </w:r>
      <w:r w:rsidRPr="003B3AAB">
        <w:rPr>
          <w:color w:val="000000"/>
        </w:rPr>
        <w:t>While this provides enhanced economic opportunities it also increases threats to economic and human security</w:t>
      </w:r>
      <w:r w:rsidR="00BE7174" w:rsidRPr="003B3AAB">
        <w:rPr>
          <w:color w:val="000000"/>
        </w:rPr>
        <w:t>,</w:t>
      </w:r>
      <w:r w:rsidRPr="003B3AAB">
        <w:rPr>
          <w:color w:val="000000"/>
        </w:rPr>
        <w:t xml:space="preserve"> such as the transmission of communicable diseases and opportunities for trafficking in </w:t>
      </w:r>
      <w:r w:rsidR="00BE7174" w:rsidRPr="003B3AAB">
        <w:rPr>
          <w:color w:val="000000"/>
        </w:rPr>
        <w:t xml:space="preserve">people </w:t>
      </w:r>
      <w:r w:rsidRPr="003B3AAB">
        <w:rPr>
          <w:color w:val="000000"/>
        </w:rPr>
        <w:t>and goods. In 2007, 4.9</w:t>
      </w:r>
      <w:r w:rsidR="00BE7174" w:rsidRPr="003B3AAB">
        <w:rPr>
          <w:color w:val="000000"/>
        </w:rPr>
        <w:t> </w:t>
      </w:r>
      <w:r w:rsidRPr="003B3AAB">
        <w:rPr>
          <w:color w:val="000000"/>
        </w:rPr>
        <w:t xml:space="preserve">million people in </w:t>
      </w:r>
      <w:smartTag w:uri="urn:schemas-microsoft-com:office:smarttags" w:element="place">
        <w:r w:rsidRPr="003B3AAB">
          <w:rPr>
            <w:color w:val="000000"/>
          </w:rPr>
          <w:t>Asia</w:t>
        </w:r>
      </w:smartTag>
      <w:r w:rsidRPr="003B3AAB">
        <w:rPr>
          <w:color w:val="000000"/>
        </w:rPr>
        <w:t xml:space="preserve"> were living w</w:t>
      </w:r>
      <w:r w:rsidR="00AB44FB" w:rsidRPr="003B3AAB">
        <w:rPr>
          <w:color w:val="000000"/>
        </w:rPr>
        <w:t>ith HIV/AIDS; approximately 440 </w:t>
      </w:r>
      <w:r w:rsidRPr="003B3AAB">
        <w:rPr>
          <w:color w:val="000000"/>
        </w:rPr>
        <w:t>000 were infected during 2007. The greatest risks of transmission arise from unsafe paid sex, sex between men, and injecting drug use.</w:t>
      </w:r>
      <w:r w:rsidR="00AB44FB" w:rsidRPr="003B3AAB">
        <w:rPr>
          <w:color w:val="000000"/>
        </w:rPr>
        <w:t xml:space="preserve"> </w:t>
      </w:r>
      <w:r w:rsidRPr="003B3AAB">
        <w:rPr>
          <w:color w:val="000000"/>
        </w:rPr>
        <w:t>UNAIDS</w:t>
      </w:r>
      <w:r w:rsidR="00642D34" w:rsidRPr="003B3AAB">
        <w:rPr>
          <w:color w:val="000000"/>
        </w:rPr>
        <w:t>, the Joint United Nations Programme on HIV/AIDS,</w:t>
      </w:r>
      <w:r w:rsidRPr="003B3AAB">
        <w:rPr>
          <w:color w:val="000000"/>
        </w:rPr>
        <w:t xml:space="preserve"> notes that in many countries in Asia these actions are illegal</w:t>
      </w:r>
      <w:r w:rsidR="00642D34" w:rsidRPr="003B3AAB">
        <w:rPr>
          <w:color w:val="000000"/>
        </w:rPr>
        <w:t>,</w:t>
      </w:r>
      <w:r w:rsidRPr="003B3AAB">
        <w:rPr>
          <w:color w:val="000000"/>
        </w:rPr>
        <w:t xml:space="preserve"> so invest</w:t>
      </w:r>
      <w:r w:rsidR="00642D34" w:rsidRPr="003B3AAB">
        <w:rPr>
          <w:color w:val="000000"/>
        </w:rPr>
        <w:t xml:space="preserve">ing </w:t>
      </w:r>
      <w:r w:rsidRPr="003B3AAB">
        <w:rPr>
          <w:color w:val="000000"/>
        </w:rPr>
        <w:t xml:space="preserve">public funds in targeted programs can be </w:t>
      </w:r>
      <w:r w:rsidR="00AB44FB" w:rsidRPr="003B3AAB">
        <w:rPr>
          <w:color w:val="000000"/>
        </w:rPr>
        <w:t>‘</w:t>
      </w:r>
      <w:r w:rsidRPr="003B3AAB">
        <w:rPr>
          <w:color w:val="000000"/>
        </w:rPr>
        <w:t>politically, socially and operationally difficult</w:t>
      </w:r>
      <w:r w:rsidR="00AB44FB" w:rsidRPr="003B3AAB">
        <w:rPr>
          <w:color w:val="000000"/>
        </w:rPr>
        <w:t>’</w:t>
      </w:r>
      <w:r w:rsidRPr="003B3AAB">
        <w:rPr>
          <w:color w:val="000000"/>
        </w:rPr>
        <w:t>.</w:t>
      </w:r>
      <w:r w:rsidRPr="003B3AAB">
        <w:rPr>
          <w:color w:val="000000"/>
          <w:vertAlign w:val="superscript"/>
        </w:rPr>
        <w:footnoteReference w:id="2"/>
      </w:r>
    </w:p>
    <w:p w:rsidR="00643F48" w:rsidRPr="003B3AAB" w:rsidRDefault="00643F48" w:rsidP="00643F48">
      <w:pPr>
        <w:pStyle w:val="BodyText"/>
        <w:rPr>
          <w:color w:val="000000"/>
        </w:rPr>
      </w:pPr>
      <w:r w:rsidRPr="003B3AAB">
        <w:rPr>
          <w:color w:val="000000"/>
        </w:rPr>
        <w:t xml:space="preserve">The incidence of </w:t>
      </w:r>
      <w:r w:rsidR="00642D34" w:rsidRPr="003B3AAB">
        <w:rPr>
          <w:color w:val="000000"/>
        </w:rPr>
        <w:t xml:space="preserve">highly pathogenic avian influenza </w:t>
      </w:r>
      <w:r w:rsidRPr="003B3AAB">
        <w:rPr>
          <w:color w:val="000000"/>
        </w:rPr>
        <w:t xml:space="preserve">in poultry remains a major threat to the region as the source of a potential human pandemic. </w:t>
      </w:r>
      <w:r w:rsidR="00642D34" w:rsidRPr="003B3AAB">
        <w:rPr>
          <w:color w:val="000000"/>
        </w:rPr>
        <w:t xml:space="preserve">This influenza </w:t>
      </w:r>
      <w:r w:rsidRPr="003B3AAB">
        <w:rPr>
          <w:color w:val="000000"/>
        </w:rPr>
        <w:t xml:space="preserve">can have a significant economic impact on livelihoods and poverty, food security, livestock trading and market access. With </w:t>
      </w:r>
      <w:r w:rsidR="00642D34" w:rsidRPr="003B3AAB">
        <w:rPr>
          <w:color w:val="000000"/>
        </w:rPr>
        <w:t xml:space="preserve">more than </w:t>
      </w:r>
      <w:r w:rsidRPr="003B3AAB">
        <w:rPr>
          <w:color w:val="000000"/>
        </w:rPr>
        <w:t>75</w:t>
      </w:r>
      <w:r w:rsidR="00273325" w:rsidRPr="003B3AAB">
        <w:rPr>
          <w:color w:val="000000"/>
        </w:rPr>
        <w:t> per cent</w:t>
      </w:r>
      <w:r w:rsidRPr="003B3AAB">
        <w:rPr>
          <w:color w:val="000000"/>
        </w:rPr>
        <w:t xml:space="preserve"> of emerging disease threats in the region being zoonotic</w:t>
      </w:r>
      <w:r w:rsidR="00642D34" w:rsidRPr="003B3AAB">
        <w:rPr>
          <w:color w:val="000000"/>
        </w:rPr>
        <w:t>—</w:t>
      </w:r>
      <w:r w:rsidR="00346C8E" w:rsidRPr="003B3AAB">
        <w:rPr>
          <w:color w:val="000000"/>
        </w:rPr>
        <w:t>capable of being</w:t>
      </w:r>
      <w:r w:rsidRPr="003B3AAB">
        <w:rPr>
          <w:color w:val="000000"/>
        </w:rPr>
        <w:t xml:space="preserve"> transferred from animals to humans</w:t>
      </w:r>
      <w:r w:rsidR="00642D34" w:rsidRPr="003B3AAB">
        <w:rPr>
          <w:color w:val="000000"/>
        </w:rPr>
        <w:t>—</w:t>
      </w:r>
      <w:r w:rsidRPr="003B3AAB">
        <w:rPr>
          <w:color w:val="000000"/>
        </w:rPr>
        <w:t>the strengthening animal health systems becomes increasingly critical.</w:t>
      </w:r>
    </w:p>
    <w:p w:rsidR="00643F48" w:rsidRPr="003B3AAB" w:rsidRDefault="00642D34" w:rsidP="00643F48">
      <w:pPr>
        <w:pStyle w:val="BodyText"/>
        <w:rPr>
          <w:bCs/>
          <w:color w:val="000000"/>
        </w:rPr>
      </w:pPr>
      <w:r w:rsidRPr="003B3AAB">
        <w:rPr>
          <w:bCs/>
          <w:color w:val="000000"/>
        </w:rPr>
        <w:t>The l</w:t>
      </w:r>
      <w:r w:rsidR="00643F48" w:rsidRPr="003B3AAB">
        <w:rPr>
          <w:bCs/>
          <w:color w:val="000000"/>
        </w:rPr>
        <w:t xml:space="preserve">evels of illicit drug production and use in the region are increasing, </w:t>
      </w:r>
      <w:proofErr w:type="gramStart"/>
      <w:r w:rsidR="00643F48" w:rsidRPr="003B3AAB">
        <w:rPr>
          <w:bCs/>
          <w:color w:val="000000"/>
        </w:rPr>
        <w:t>including an alarming increase</w:t>
      </w:r>
      <w:r w:rsidR="00346C8E" w:rsidRPr="003B3AAB">
        <w:rPr>
          <w:bCs/>
          <w:color w:val="000000"/>
        </w:rPr>
        <w:t>s</w:t>
      </w:r>
      <w:proofErr w:type="gramEnd"/>
      <w:r w:rsidR="00643F48" w:rsidRPr="003B3AAB">
        <w:rPr>
          <w:bCs/>
          <w:color w:val="000000"/>
        </w:rPr>
        <w:t xml:space="preserve"> in both the supply and </w:t>
      </w:r>
      <w:r w:rsidR="00346C8E" w:rsidRPr="003B3AAB">
        <w:rPr>
          <w:bCs/>
          <w:color w:val="000000"/>
        </w:rPr>
        <w:t xml:space="preserve">the </w:t>
      </w:r>
      <w:r w:rsidR="00643F48" w:rsidRPr="003B3AAB">
        <w:rPr>
          <w:bCs/>
          <w:color w:val="000000"/>
        </w:rPr>
        <w:t xml:space="preserve">demand for amphetamine-type stimulants. </w:t>
      </w:r>
      <w:smartTag w:uri="urn:schemas-microsoft-com:office:smarttags" w:element="country-region">
        <w:smartTag w:uri="urn:schemas-microsoft-com:office:smarttags" w:element="place">
          <w:r w:rsidR="00643F48" w:rsidRPr="003B3AAB">
            <w:rPr>
              <w:bCs/>
              <w:color w:val="000000"/>
            </w:rPr>
            <w:t>Australia</w:t>
          </w:r>
        </w:smartTag>
      </w:smartTag>
      <w:r w:rsidR="00643F48" w:rsidRPr="003B3AAB">
        <w:rPr>
          <w:bCs/>
          <w:color w:val="000000"/>
        </w:rPr>
        <w:t xml:space="preserve"> has supported </w:t>
      </w:r>
      <w:r w:rsidR="000D7C6F" w:rsidRPr="003B3AAB">
        <w:rPr>
          <w:bCs/>
          <w:color w:val="000000"/>
        </w:rPr>
        <w:t xml:space="preserve">the </w:t>
      </w:r>
      <w:r w:rsidR="00643F48" w:rsidRPr="003B3AAB">
        <w:rPr>
          <w:bCs/>
          <w:color w:val="000000"/>
        </w:rPr>
        <w:t xml:space="preserve">efforts </w:t>
      </w:r>
      <w:r w:rsidR="000D7C6F" w:rsidRPr="003B3AAB">
        <w:rPr>
          <w:bCs/>
          <w:color w:val="000000"/>
        </w:rPr>
        <w:t xml:space="preserve">of the </w:t>
      </w:r>
      <w:r w:rsidR="000D7C6F" w:rsidRPr="003B3AAB">
        <w:rPr>
          <w:color w:val="000000"/>
        </w:rPr>
        <w:t xml:space="preserve">United Nations Office on Drugs and Crime </w:t>
      </w:r>
      <w:r w:rsidR="00643F48" w:rsidRPr="003B3AAB">
        <w:rPr>
          <w:bCs/>
          <w:color w:val="000000"/>
        </w:rPr>
        <w:t xml:space="preserve">to improve the collection of regional data on illicit drugs. While opiate abuse has stabilised or declined in East and </w:t>
      </w:r>
      <w:smartTag w:uri="urn:schemas-microsoft-com:office:smarttags" w:element="place">
        <w:r w:rsidR="00643F48" w:rsidRPr="003B3AAB">
          <w:rPr>
            <w:bCs/>
            <w:color w:val="000000"/>
          </w:rPr>
          <w:t>South</w:t>
        </w:r>
        <w:r w:rsidR="000D7C6F" w:rsidRPr="003B3AAB">
          <w:rPr>
            <w:bCs/>
            <w:color w:val="000000"/>
          </w:rPr>
          <w:t>-</w:t>
        </w:r>
        <w:r w:rsidR="00643F48" w:rsidRPr="003B3AAB">
          <w:rPr>
            <w:bCs/>
            <w:color w:val="000000"/>
          </w:rPr>
          <w:t>East Asia</w:t>
        </w:r>
      </w:smartTag>
      <w:r w:rsidR="00643F48" w:rsidRPr="003B3AAB">
        <w:rPr>
          <w:bCs/>
          <w:color w:val="000000"/>
        </w:rPr>
        <w:t xml:space="preserve">, the demand for treatment </w:t>
      </w:r>
      <w:r w:rsidR="00346C8E" w:rsidRPr="003B3AAB">
        <w:rPr>
          <w:bCs/>
          <w:color w:val="000000"/>
        </w:rPr>
        <w:t>of</w:t>
      </w:r>
      <w:r w:rsidR="00643F48" w:rsidRPr="003B3AAB">
        <w:rPr>
          <w:bCs/>
          <w:color w:val="000000"/>
        </w:rPr>
        <w:t xml:space="preserve"> abuse</w:t>
      </w:r>
      <w:r w:rsidR="00346C8E" w:rsidRPr="003B3AAB">
        <w:rPr>
          <w:bCs/>
          <w:color w:val="000000"/>
        </w:rPr>
        <w:t>rs</w:t>
      </w:r>
      <w:r w:rsidR="00643F48" w:rsidRPr="003B3AAB">
        <w:rPr>
          <w:bCs/>
          <w:color w:val="000000"/>
        </w:rPr>
        <w:t xml:space="preserve"> </w:t>
      </w:r>
      <w:r w:rsidR="000D7C6F" w:rsidRPr="003B3AAB">
        <w:rPr>
          <w:bCs/>
          <w:color w:val="000000"/>
        </w:rPr>
        <w:t xml:space="preserve">of amphetamine-type stimulants </w:t>
      </w:r>
      <w:r w:rsidR="00643F48" w:rsidRPr="003B3AAB">
        <w:rPr>
          <w:bCs/>
          <w:color w:val="000000"/>
        </w:rPr>
        <w:t>has increased.</w:t>
      </w:r>
      <w:r w:rsidR="00AB44FB" w:rsidRPr="003B3AAB">
        <w:rPr>
          <w:bCs/>
          <w:color w:val="000000"/>
        </w:rPr>
        <w:t xml:space="preserve"> </w:t>
      </w:r>
      <w:r w:rsidR="00532C9A" w:rsidRPr="003B3AAB">
        <w:rPr>
          <w:bCs/>
          <w:color w:val="000000"/>
        </w:rPr>
        <w:t>The h</w:t>
      </w:r>
      <w:r w:rsidR="00643F48" w:rsidRPr="003B3AAB">
        <w:rPr>
          <w:bCs/>
          <w:color w:val="000000"/>
        </w:rPr>
        <w:t xml:space="preserve">igh levels of production, trafficking and use </w:t>
      </w:r>
      <w:r w:rsidR="00532C9A" w:rsidRPr="003B3AAB">
        <w:rPr>
          <w:bCs/>
          <w:color w:val="000000"/>
        </w:rPr>
        <w:t>o</w:t>
      </w:r>
      <w:r w:rsidR="00643F48" w:rsidRPr="003B3AAB">
        <w:rPr>
          <w:bCs/>
          <w:color w:val="000000"/>
        </w:rPr>
        <w:t xml:space="preserve">f illicit drugs in </w:t>
      </w:r>
      <w:smartTag w:uri="urn:schemas-microsoft-com:office:smarttags" w:element="place">
        <w:r w:rsidR="00643F48" w:rsidRPr="003B3AAB">
          <w:rPr>
            <w:bCs/>
            <w:color w:val="000000"/>
          </w:rPr>
          <w:t>East Asia</w:t>
        </w:r>
      </w:smartTag>
      <w:r w:rsidR="00643F48" w:rsidRPr="003B3AAB">
        <w:rPr>
          <w:bCs/>
          <w:color w:val="000000"/>
        </w:rPr>
        <w:t xml:space="preserve"> have actual and potential consequences for health (especially HIV), economic and social development, security and stability.</w:t>
      </w:r>
    </w:p>
    <w:p w:rsidR="00643F48" w:rsidRPr="003B3AAB" w:rsidRDefault="00643F48" w:rsidP="00643F48">
      <w:pPr>
        <w:pStyle w:val="BodyText"/>
        <w:rPr>
          <w:bCs/>
          <w:color w:val="000000"/>
        </w:rPr>
      </w:pPr>
      <w:r w:rsidRPr="003B3AAB">
        <w:rPr>
          <w:bCs/>
          <w:color w:val="000000"/>
        </w:rPr>
        <w:t xml:space="preserve">Data collection on the incidence of trafficking in </w:t>
      </w:r>
      <w:r w:rsidR="0024661D" w:rsidRPr="003B3AAB">
        <w:rPr>
          <w:bCs/>
          <w:color w:val="000000"/>
        </w:rPr>
        <w:t xml:space="preserve">people </w:t>
      </w:r>
      <w:r w:rsidRPr="003B3AAB">
        <w:rPr>
          <w:bCs/>
          <w:color w:val="000000"/>
        </w:rPr>
        <w:t xml:space="preserve">in the region is poor. The vast majority of victims in the region are trafficked for forced labour or sexual exploitation. While there have been very few successful trafficking prosecutions in the region, awareness has improved, mechanisms (such as </w:t>
      </w:r>
      <w:r w:rsidR="0024661D" w:rsidRPr="003B3AAB">
        <w:rPr>
          <w:bCs/>
          <w:color w:val="000000"/>
        </w:rPr>
        <w:t>memorandums of understanding</w:t>
      </w:r>
      <w:r w:rsidRPr="003B3AAB">
        <w:rPr>
          <w:bCs/>
          <w:color w:val="000000"/>
        </w:rPr>
        <w:t>) are being put in place to improve bilateral and regional cooperation, anti-trafficking legislation has been enacted in a number of countries and a more victim-centred approach is emerging.</w:t>
      </w:r>
    </w:p>
    <w:p w:rsidR="00643F48" w:rsidRPr="003B3AAB" w:rsidRDefault="00643F48" w:rsidP="00643F48">
      <w:pPr>
        <w:pStyle w:val="BodyText"/>
        <w:rPr>
          <w:color w:val="000000"/>
        </w:rPr>
      </w:pPr>
      <w:r w:rsidRPr="003B3AAB">
        <w:rPr>
          <w:color w:val="000000"/>
        </w:rPr>
        <w:lastRenderedPageBreak/>
        <w:t xml:space="preserve">Most countries in the region are on track to achieve the </w:t>
      </w:r>
      <w:r w:rsidR="00532C9A" w:rsidRPr="003B3AAB">
        <w:rPr>
          <w:color w:val="000000"/>
        </w:rPr>
        <w:t xml:space="preserve">Millennium Development Goal </w:t>
      </w:r>
      <w:r w:rsidRPr="003B3AAB">
        <w:rPr>
          <w:color w:val="000000"/>
        </w:rPr>
        <w:t>relevant to gender equality and the empowerment of women although achievements are uneven.</w:t>
      </w:r>
      <w:r w:rsidR="00AB44FB" w:rsidRPr="003B3AAB">
        <w:rPr>
          <w:color w:val="000000"/>
        </w:rPr>
        <w:t xml:space="preserve"> </w:t>
      </w:r>
      <w:r w:rsidRPr="003B3AAB">
        <w:rPr>
          <w:color w:val="000000"/>
        </w:rPr>
        <w:t xml:space="preserve">The region is close to gender parity in primary and secondary </w:t>
      </w:r>
      <w:r w:rsidR="0024661D" w:rsidRPr="003B3AAB">
        <w:rPr>
          <w:color w:val="000000"/>
        </w:rPr>
        <w:t xml:space="preserve">school </w:t>
      </w:r>
      <w:r w:rsidRPr="003B3AAB">
        <w:rPr>
          <w:color w:val="000000"/>
        </w:rPr>
        <w:t xml:space="preserve">enrolments and is closing gaps in literacy rates. Women’s share of paid non-agricultural employment is gradually increasing across the region, as is the proportion of women in national parliaments. </w:t>
      </w:r>
      <w:r w:rsidR="0024661D" w:rsidRPr="003B3AAB">
        <w:rPr>
          <w:color w:val="000000"/>
        </w:rPr>
        <w:t>However, b</w:t>
      </w:r>
      <w:r w:rsidRPr="003B3AAB">
        <w:rPr>
          <w:color w:val="000000"/>
        </w:rPr>
        <w:t xml:space="preserve">etter data about labour force participation in ASEAN </w:t>
      </w:r>
      <w:r w:rsidR="00346C8E" w:rsidRPr="003B3AAB">
        <w:rPr>
          <w:color w:val="000000"/>
        </w:rPr>
        <w:t xml:space="preserve">economies </w:t>
      </w:r>
      <w:r w:rsidRPr="003B3AAB">
        <w:rPr>
          <w:color w:val="000000"/>
        </w:rPr>
        <w:t xml:space="preserve">and the economic roles of men and women </w:t>
      </w:r>
      <w:r w:rsidR="0024661D" w:rsidRPr="003B3AAB">
        <w:rPr>
          <w:color w:val="000000"/>
        </w:rPr>
        <w:t xml:space="preserve">are </w:t>
      </w:r>
      <w:r w:rsidRPr="003B3AAB">
        <w:rPr>
          <w:color w:val="000000"/>
        </w:rPr>
        <w:t>necessary to inform economic policy in the region.</w:t>
      </w:r>
    </w:p>
    <w:p w:rsidR="00643F48" w:rsidRPr="003B3AAB" w:rsidRDefault="00643F48" w:rsidP="00643F48">
      <w:pPr>
        <w:pStyle w:val="BodyText"/>
        <w:rPr>
          <w:color w:val="000000"/>
        </w:rPr>
      </w:pPr>
      <w:smartTag w:uri="urn:schemas-microsoft-com:office:smarttags" w:element="place">
        <w:r w:rsidRPr="003B3AAB">
          <w:rPr>
            <w:color w:val="000000"/>
          </w:rPr>
          <w:t>East Asia</w:t>
        </w:r>
      </w:smartTag>
      <w:r w:rsidRPr="003B3AAB">
        <w:rPr>
          <w:color w:val="000000"/>
        </w:rPr>
        <w:t xml:space="preserve"> </w:t>
      </w:r>
      <w:r w:rsidR="00346C8E" w:rsidRPr="003B3AAB">
        <w:rPr>
          <w:color w:val="000000"/>
        </w:rPr>
        <w:t xml:space="preserve">has </w:t>
      </w:r>
      <w:r w:rsidRPr="003B3AAB">
        <w:rPr>
          <w:color w:val="000000"/>
        </w:rPr>
        <w:t xml:space="preserve">a very high incidence of natural disaster and disaster on a large scale. During 2006 Asia experienced more than 300 disasters, and 20 of </w:t>
      </w:r>
      <w:r w:rsidR="0024661D" w:rsidRPr="003B3AAB">
        <w:rPr>
          <w:color w:val="000000"/>
        </w:rPr>
        <w:t xml:space="preserve">the </w:t>
      </w:r>
      <w:r w:rsidRPr="003B3AAB">
        <w:rPr>
          <w:color w:val="000000"/>
        </w:rPr>
        <w:t>27 disasters worldwide that affected more than 1</w:t>
      </w:r>
      <w:r w:rsidR="0024661D" w:rsidRPr="003B3AAB">
        <w:rPr>
          <w:color w:val="000000"/>
        </w:rPr>
        <w:t> </w:t>
      </w:r>
      <w:r w:rsidRPr="003B3AAB">
        <w:rPr>
          <w:color w:val="000000"/>
        </w:rPr>
        <w:t xml:space="preserve">million people occurred in </w:t>
      </w:r>
      <w:smartTag w:uri="urn:schemas-microsoft-com:office:smarttags" w:element="place">
        <w:r w:rsidRPr="003B3AAB">
          <w:rPr>
            <w:color w:val="000000"/>
          </w:rPr>
          <w:t>Asia</w:t>
        </w:r>
      </w:smartTag>
      <w:r w:rsidRPr="003B3AAB">
        <w:rPr>
          <w:color w:val="000000"/>
        </w:rPr>
        <w:t xml:space="preserve">. As a result, there is considerable interest in </w:t>
      </w:r>
      <w:r w:rsidR="0024661D" w:rsidRPr="003B3AAB">
        <w:rPr>
          <w:color w:val="000000"/>
        </w:rPr>
        <w:t xml:space="preserve">increasing </w:t>
      </w:r>
      <w:r w:rsidR="00346C8E" w:rsidRPr="003B3AAB">
        <w:rPr>
          <w:color w:val="000000"/>
        </w:rPr>
        <w:t xml:space="preserve">the </w:t>
      </w:r>
      <w:r w:rsidRPr="003B3AAB">
        <w:rPr>
          <w:color w:val="000000"/>
        </w:rPr>
        <w:t>region</w:t>
      </w:r>
      <w:r w:rsidR="00346C8E" w:rsidRPr="003B3AAB">
        <w:rPr>
          <w:color w:val="000000"/>
        </w:rPr>
        <w:t>’s</w:t>
      </w:r>
      <w:r w:rsidRPr="003B3AAB">
        <w:rPr>
          <w:color w:val="000000"/>
        </w:rPr>
        <w:t xml:space="preserve"> capacity to reduce the risk of disasters and to mount fast and effective response</w:t>
      </w:r>
      <w:r w:rsidR="0024661D" w:rsidRPr="003B3AAB">
        <w:rPr>
          <w:color w:val="000000"/>
        </w:rPr>
        <w:t>s</w:t>
      </w:r>
      <w:r w:rsidRPr="003B3AAB">
        <w:rPr>
          <w:color w:val="000000"/>
        </w:rPr>
        <w:t xml:space="preserve">. </w:t>
      </w:r>
    </w:p>
    <w:p w:rsidR="00643F48" w:rsidRPr="003B3AAB" w:rsidRDefault="00643F48" w:rsidP="00643F48">
      <w:pPr>
        <w:pStyle w:val="BodyText"/>
        <w:rPr>
          <w:color w:val="000000"/>
        </w:rPr>
      </w:pPr>
      <w:r w:rsidRPr="003B3AAB">
        <w:rPr>
          <w:color w:val="000000"/>
        </w:rPr>
        <w:t>In every sector there are other donors operating at regional, national or subnational levels.</w:t>
      </w:r>
      <w:r w:rsidR="00AB44FB" w:rsidRPr="003B3AAB">
        <w:rPr>
          <w:color w:val="000000"/>
        </w:rPr>
        <w:t xml:space="preserve"> </w:t>
      </w:r>
      <w:r w:rsidRPr="003B3AAB">
        <w:rPr>
          <w:color w:val="000000"/>
        </w:rPr>
        <w:t xml:space="preserve">The attribution of results </w:t>
      </w:r>
      <w:r w:rsidR="0024661D" w:rsidRPr="003B3AAB">
        <w:rPr>
          <w:color w:val="000000"/>
        </w:rPr>
        <w:t xml:space="preserve">to </w:t>
      </w:r>
      <w:smartTag w:uri="urn:schemas-microsoft-com:office:smarttags" w:element="country-region">
        <w:smartTag w:uri="urn:schemas-microsoft-com:office:smarttags" w:element="place">
          <w:r w:rsidRPr="003B3AAB">
            <w:rPr>
              <w:color w:val="000000"/>
            </w:rPr>
            <w:t>Australia</w:t>
          </w:r>
        </w:smartTag>
      </w:smartTag>
      <w:r w:rsidRPr="003B3AAB">
        <w:rPr>
          <w:color w:val="000000"/>
        </w:rPr>
        <w:t>’s inputs is therefore very difficult; consideration will be given to undertaking contribution analysis in key sectors in the future. To date there have been limited efforts to harmonise the work of regional donors, particularly with the ASEAN Secretariat.</w:t>
      </w:r>
      <w:r w:rsidR="00AB44FB" w:rsidRPr="003B3AAB">
        <w:rPr>
          <w:color w:val="000000"/>
        </w:rPr>
        <w:t xml:space="preserve"> </w:t>
      </w:r>
      <w:r w:rsidRPr="003B3AAB">
        <w:rPr>
          <w:color w:val="000000"/>
        </w:rPr>
        <w:t xml:space="preserve">Key regional donors include the </w:t>
      </w:r>
      <w:smartTag w:uri="urn:schemas-microsoft-com:office:smarttags" w:element="country-region">
        <w:r w:rsidR="0024661D" w:rsidRPr="003B3AAB">
          <w:rPr>
            <w:color w:val="000000"/>
          </w:rPr>
          <w:t>United States</w:t>
        </w:r>
      </w:smartTag>
      <w:r w:rsidRPr="003B3AAB">
        <w:rPr>
          <w:color w:val="000000"/>
        </w:rPr>
        <w:t xml:space="preserve">, </w:t>
      </w:r>
      <w:smartTag w:uri="urn:schemas-microsoft-com:office:smarttags" w:element="country-region">
        <w:smartTag w:uri="urn:schemas-microsoft-com:office:smarttags" w:element="place">
          <w:r w:rsidRPr="003B3AAB">
            <w:rPr>
              <w:color w:val="000000"/>
            </w:rPr>
            <w:t>Japan</w:t>
          </w:r>
        </w:smartTag>
      </w:smartTag>
      <w:r w:rsidRPr="003B3AAB">
        <w:rPr>
          <w:color w:val="000000"/>
        </w:rPr>
        <w:t xml:space="preserve">, </w:t>
      </w:r>
      <w:r w:rsidR="0024661D" w:rsidRPr="003B3AAB">
        <w:rPr>
          <w:color w:val="000000"/>
        </w:rPr>
        <w:t xml:space="preserve">the European Union </w:t>
      </w:r>
      <w:r w:rsidRPr="003B3AAB">
        <w:rPr>
          <w:color w:val="000000"/>
        </w:rPr>
        <w:t xml:space="preserve">and the Asian Development Bank. The </w:t>
      </w:r>
      <w:r w:rsidR="0024661D" w:rsidRPr="003B3AAB">
        <w:rPr>
          <w:color w:val="000000"/>
        </w:rPr>
        <w:t xml:space="preserve">Asian Development Bank </w:t>
      </w:r>
      <w:r w:rsidRPr="003B3AAB">
        <w:rPr>
          <w:color w:val="000000"/>
        </w:rPr>
        <w:t xml:space="preserve">is strongly engaged in supporting economic integration. A major challenge </w:t>
      </w:r>
      <w:r w:rsidR="0024661D" w:rsidRPr="003B3AAB">
        <w:rPr>
          <w:color w:val="000000"/>
        </w:rPr>
        <w:t>in 2008–09</w:t>
      </w:r>
      <w:r w:rsidRPr="003B3AAB">
        <w:rPr>
          <w:color w:val="000000"/>
        </w:rPr>
        <w:t xml:space="preserve"> will be to ensure that donor efforts are coordinated and</w:t>
      </w:r>
      <w:r w:rsidR="0024661D" w:rsidRPr="003B3AAB">
        <w:rPr>
          <w:color w:val="000000"/>
        </w:rPr>
        <w:t>,</w:t>
      </w:r>
      <w:r w:rsidRPr="003B3AAB">
        <w:rPr>
          <w:color w:val="000000"/>
        </w:rPr>
        <w:t xml:space="preserve"> in the longer term, harmonised where possible. New regional AusAID positions in </w:t>
      </w:r>
      <w:smartTag w:uri="urn:schemas-microsoft-com:office:smarttags" w:element="City">
        <w:r w:rsidRPr="003B3AAB">
          <w:rPr>
            <w:color w:val="000000"/>
          </w:rPr>
          <w:t>Jakarta</w:t>
        </w:r>
      </w:smartTag>
      <w:r w:rsidRPr="003B3AAB">
        <w:rPr>
          <w:color w:val="000000"/>
        </w:rPr>
        <w:t xml:space="preserve"> and </w:t>
      </w:r>
      <w:smartTag w:uri="urn:schemas-microsoft-com:office:smarttags" w:element="City">
        <w:smartTag w:uri="urn:schemas-microsoft-com:office:smarttags" w:element="place">
          <w:r w:rsidRPr="003B3AAB">
            <w:rPr>
              <w:color w:val="000000"/>
            </w:rPr>
            <w:t>Bangkok</w:t>
          </w:r>
        </w:smartTag>
      </w:smartTag>
      <w:r w:rsidRPr="003B3AAB">
        <w:rPr>
          <w:color w:val="000000"/>
        </w:rPr>
        <w:t xml:space="preserve"> will assist in this regard.</w:t>
      </w:r>
    </w:p>
    <w:p w:rsidR="007E45C5" w:rsidRPr="003B3AAB" w:rsidRDefault="007E45C5" w:rsidP="00234BA6">
      <w:pPr>
        <w:pStyle w:val="BodyText"/>
        <w:rPr>
          <w:color w:val="000000"/>
        </w:rPr>
        <w:sectPr w:rsidR="007E45C5" w:rsidRPr="003B3AAB" w:rsidSect="00234BA6">
          <w:headerReference w:type="even" r:id="rId32"/>
          <w:headerReference w:type="default" r:id="rId33"/>
          <w:footerReference w:type="even" r:id="rId34"/>
          <w:footerReference w:type="default" r:id="rId35"/>
          <w:pgSz w:w="11907" w:h="16840" w:code="9"/>
          <w:pgMar w:top="2268" w:right="1985" w:bottom="1247" w:left="1985" w:header="567" w:footer="567" w:gutter="0"/>
          <w:cols w:space="720"/>
        </w:sectPr>
      </w:pPr>
    </w:p>
    <w:p w:rsidR="007E45C5" w:rsidRPr="003B3AAB" w:rsidRDefault="007E45C5" w:rsidP="00234BA6">
      <w:pPr>
        <w:pStyle w:val="Heading1nonumber"/>
        <w:rPr>
          <w:color w:val="000000"/>
        </w:rPr>
      </w:pPr>
      <w:bookmarkStart w:id="24" w:name="_Toc213147036"/>
      <w:bookmarkStart w:id="25" w:name="_Toc360805138"/>
      <w:r w:rsidRPr="003B3AAB">
        <w:rPr>
          <w:color w:val="000000"/>
        </w:rPr>
        <w:lastRenderedPageBreak/>
        <w:t xml:space="preserve">What are the results of </w:t>
      </w:r>
      <w:r w:rsidR="00852496" w:rsidRPr="003B3AAB">
        <w:rPr>
          <w:color w:val="000000"/>
        </w:rPr>
        <w:t xml:space="preserve">the </w:t>
      </w:r>
      <w:smartTag w:uri="urn:schemas-microsoft-com:office:smarttags" w:element="place">
        <w:r w:rsidR="00852496" w:rsidRPr="003B3AAB">
          <w:rPr>
            <w:color w:val="000000"/>
          </w:rPr>
          <w:t>Asia</w:t>
        </w:r>
      </w:smartTag>
      <w:r w:rsidR="00852496" w:rsidRPr="003B3AAB">
        <w:rPr>
          <w:color w:val="000000"/>
        </w:rPr>
        <w:t xml:space="preserve"> regional </w:t>
      </w:r>
      <w:r w:rsidRPr="003B3AAB">
        <w:rPr>
          <w:color w:val="000000"/>
        </w:rPr>
        <w:t>aid program?</w:t>
      </w:r>
      <w:bookmarkEnd w:id="24"/>
      <w:bookmarkEnd w:id="25"/>
    </w:p>
    <w:p w:rsidR="007E45C5" w:rsidRPr="003B3AAB" w:rsidRDefault="007E45C5" w:rsidP="007E45C5">
      <w:pPr>
        <w:pStyle w:val="Heading2nonumber"/>
        <w:rPr>
          <w:color w:val="000000"/>
        </w:rPr>
      </w:pPr>
      <w:bookmarkStart w:id="26" w:name="_Toc213147037"/>
      <w:bookmarkStart w:id="27" w:name="_Toc360805139"/>
      <w:r w:rsidRPr="003B3AAB">
        <w:rPr>
          <w:color w:val="000000"/>
        </w:rPr>
        <w:t>Objective</w:t>
      </w:r>
      <w:proofErr w:type="gramStart"/>
      <w:r w:rsidRPr="003B3AAB">
        <w:rPr>
          <w:color w:val="000000"/>
        </w:rPr>
        <w:t>:</w:t>
      </w:r>
      <w:proofErr w:type="gramEnd"/>
      <w:r w:rsidRPr="003B3AAB">
        <w:rPr>
          <w:color w:val="000000"/>
        </w:rPr>
        <w:br/>
        <w:t>Strengthened capacities of key regional institutions to enhance economic integration and trade liberalisation</w:t>
      </w:r>
      <w:bookmarkEnd w:id="26"/>
      <w:bookmarkEnd w:id="27"/>
    </w:p>
    <w:p w:rsidR="007E45C5" w:rsidRPr="003B3AAB" w:rsidRDefault="007E45C5" w:rsidP="007E45C5">
      <w:pPr>
        <w:pStyle w:val="Heading3nonumber"/>
        <w:rPr>
          <w:color w:val="000000"/>
        </w:rPr>
      </w:pPr>
      <w:bookmarkStart w:id="28" w:name="_Toc213147038"/>
      <w:r w:rsidRPr="003B3AAB">
        <w:rPr>
          <w:color w:val="000000"/>
        </w:rPr>
        <w:t>Rating</w:t>
      </w:r>
      <w:bookmarkEnd w:id="28"/>
    </w:p>
    <w:p w:rsidR="007E45C5" w:rsidRPr="003B3AAB" w:rsidRDefault="003B3AAB" w:rsidP="007E45C5">
      <w:pPr>
        <w:pStyle w:val="HighlightBulletOrange"/>
        <w:rPr>
          <w:color w:val="000000"/>
        </w:rPr>
      </w:pPr>
      <w:r>
        <w:rPr>
          <w:color w:val="000000"/>
        </w:rPr>
        <w:t xml:space="preserve">(amber) </w:t>
      </w:r>
      <w:r w:rsidR="007E45C5" w:rsidRPr="003B3AAB">
        <w:rPr>
          <w:color w:val="000000"/>
        </w:rPr>
        <w:t>The objective will be partly achieved within the timeframe</w:t>
      </w:r>
      <w:r w:rsidR="00C9451B" w:rsidRPr="003B3AAB">
        <w:rPr>
          <w:color w:val="000000"/>
        </w:rPr>
        <w:t>.</w:t>
      </w:r>
    </w:p>
    <w:p w:rsidR="002E7908" w:rsidRPr="003B3AAB" w:rsidRDefault="002E7908" w:rsidP="002E7908">
      <w:pPr>
        <w:pStyle w:val="BodyText"/>
        <w:rPr>
          <w:color w:val="000000"/>
        </w:rPr>
      </w:pPr>
      <w:r w:rsidRPr="003B3AAB">
        <w:rPr>
          <w:color w:val="000000"/>
        </w:rPr>
        <w:t xml:space="preserve">The regional program was </w:t>
      </w:r>
      <w:r w:rsidR="00346C8E" w:rsidRPr="003B3AAB">
        <w:rPr>
          <w:color w:val="000000"/>
        </w:rPr>
        <w:t>assigned</w:t>
      </w:r>
      <w:r w:rsidRPr="003B3AAB">
        <w:rPr>
          <w:color w:val="000000"/>
        </w:rPr>
        <w:t xml:space="preserve"> an amber rating against this objective to reflect its inability to provide specific evidence of improved capacity. This is due partly to inadequate monitoring and evaluation frameworks, and partly to the objective being </w:t>
      </w:r>
      <w:r w:rsidR="00CB0B57" w:rsidRPr="003B3AAB">
        <w:rPr>
          <w:color w:val="000000"/>
        </w:rPr>
        <w:t>very general</w:t>
      </w:r>
      <w:r w:rsidRPr="003B3AAB">
        <w:rPr>
          <w:color w:val="000000"/>
        </w:rPr>
        <w:t>.</w:t>
      </w:r>
    </w:p>
    <w:p w:rsidR="007E45C5" w:rsidRPr="003B3AAB" w:rsidRDefault="007E45C5" w:rsidP="007E45C5">
      <w:pPr>
        <w:pStyle w:val="Heading3nonumber"/>
        <w:rPr>
          <w:color w:val="000000"/>
        </w:rPr>
      </w:pPr>
      <w:bookmarkStart w:id="29" w:name="_Toc213147039"/>
      <w:r w:rsidRPr="003B3AAB">
        <w:rPr>
          <w:color w:val="000000"/>
        </w:rPr>
        <w:t>Assessment of results and performance</w:t>
      </w:r>
      <w:bookmarkEnd w:id="29"/>
    </w:p>
    <w:p w:rsidR="007E45C5" w:rsidRPr="003B3AAB" w:rsidRDefault="007E45C5" w:rsidP="007E45C5">
      <w:pPr>
        <w:pStyle w:val="BodyText"/>
        <w:rPr>
          <w:color w:val="000000"/>
        </w:rPr>
      </w:pPr>
      <w:r w:rsidRPr="003B3AAB">
        <w:rPr>
          <w:color w:val="000000"/>
        </w:rPr>
        <w:t>APEC is the premier forum for facilitating economic growth, cooperation, trade and investment in the Asia-Pacific region.</w:t>
      </w:r>
      <w:r w:rsidR="00AB44FB" w:rsidRPr="003B3AAB">
        <w:rPr>
          <w:color w:val="000000"/>
        </w:rPr>
        <w:t xml:space="preserve"> </w:t>
      </w:r>
      <w:r w:rsidR="00C9451B" w:rsidRPr="003B3AAB">
        <w:rPr>
          <w:color w:val="000000"/>
        </w:rPr>
        <w:t xml:space="preserve">It </w:t>
      </w:r>
      <w:r w:rsidRPr="003B3AAB">
        <w:rPr>
          <w:color w:val="000000"/>
        </w:rPr>
        <w:t>operates on the basis of non-binding commitments and open dialogue.</w:t>
      </w:r>
      <w:r w:rsidR="00AB44FB" w:rsidRPr="003B3AAB">
        <w:rPr>
          <w:color w:val="000000"/>
        </w:rPr>
        <w:t xml:space="preserve"> </w:t>
      </w:r>
      <w:smartTag w:uri="urn:schemas-microsoft-com:office:smarttags" w:element="country-region">
        <w:r w:rsidR="007843D0" w:rsidRPr="003B3AAB">
          <w:rPr>
            <w:color w:val="000000"/>
          </w:rPr>
          <w:t>Australia</w:t>
        </w:r>
      </w:smartTag>
      <w:r w:rsidR="007843D0" w:rsidRPr="003B3AAB">
        <w:rPr>
          <w:color w:val="000000"/>
        </w:rPr>
        <w:t xml:space="preserve">’s </w:t>
      </w:r>
      <w:smartTag w:uri="urn:schemas-microsoft-com:office:smarttags" w:element="place">
        <w:r w:rsidRPr="003B3AAB">
          <w:rPr>
            <w:color w:val="000000"/>
          </w:rPr>
          <w:t>Asia</w:t>
        </w:r>
      </w:smartTag>
      <w:r w:rsidRPr="003B3AAB">
        <w:rPr>
          <w:color w:val="000000"/>
        </w:rPr>
        <w:t xml:space="preserve"> </w:t>
      </w:r>
      <w:r w:rsidR="00C9451B" w:rsidRPr="003B3AAB">
        <w:rPr>
          <w:color w:val="000000"/>
        </w:rPr>
        <w:t>regional program</w:t>
      </w:r>
      <w:r w:rsidR="007843D0" w:rsidRPr="003B3AAB">
        <w:rPr>
          <w:color w:val="000000"/>
        </w:rPr>
        <w:t xml:space="preserve"> of support</w:t>
      </w:r>
      <w:r w:rsidR="00C9451B" w:rsidRPr="003B3AAB">
        <w:rPr>
          <w:color w:val="000000"/>
        </w:rPr>
        <w:t xml:space="preserve"> </w:t>
      </w:r>
      <w:r w:rsidRPr="003B3AAB">
        <w:rPr>
          <w:color w:val="000000"/>
        </w:rPr>
        <w:t>aims to support capacity building for APEC developing economies</w:t>
      </w:r>
      <w:r w:rsidR="00C9451B" w:rsidRPr="003B3AAB">
        <w:rPr>
          <w:color w:val="000000"/>
        </w:rPr>
        <w:t xml:space="preserve"> and</w:t>
      </w:r>
      <w:r w:rsidRPr="003B3AAB">
        <w:rPr>
          <w:color w:val="000000"/>
        </w:rPr>
        <w:t xml:space="preserve"> improve APEC</w:t>
      </w:r>
      <w:r w:rsidR="00472760" w:rsidRPr="003B3AAB">
        <w:rPr>
          <w:color w:val="000000"/>
        </w:rPr>
        <w:t>’</w:t>
      </w:r>
      <w:r w:rsidRPr="003B3AAB">
        <w:rPr>
          <w:color w:val="000000"/>
        </w:rPr>
        <w:t>s capacity</w:t>
      </w:r>
      <w:r w:rsidR="00472760" w:rsidRPr="003B3AAB">
        <w:rPr>
          <w:color w:val="000000"/>
        </w:rPr>
        <w:t>-</w:t>
      </w:r>
      <w:r w:rsidRPr="003B3AAB">
        <w:rPr>
          <w:color w:val="000000"/>
        </w:rPr>
        <w:t>building effectiveness and cooperation with multilateral organisations.</w:t>
      </w:r>
      <w:r w:rsidR="00AB44FB" w:rsidRPr="003B3AAB">
        <w:rPr>
          <w:color w:val="000000"/>
        </w:rPr>
        <w:t xml:space="preserve"> </w:t>
      </w:r>
    </w:p>
    <w:p w:rsidR="007E45C5" w:rsidRPr="003B3AAB" w:rsidRDefault="007E45C5" w:rsidP="007E45C5">
      <w:pPr>
        <w:pStyle w:val="BodyText"/>
        <w:rPr>
          <w:color w:val="000000"/>
        </w:rPr>
      </w:pPr>
      <w:r w:rsidRPr="003B3AAB">
        <w:rPr>
          <w:color w:val="000000"/>
        </w:rPr>
        <w:t xml:space="preserve">At the ASEAN Post Ministerial Conference, held in </w:t>
      </w:r>
      <w:smartTag w:uri="urn:schemas-microsoft-com:office:smarttags" w:element="City">
        <w:r w:rsidRPr="003B3AAB">
          <w:rPr>
            <w:color w:val="000000"/>
          </w:rPr>
          <w:t>Manila</w:t>
        </w:r>
      </w:smartTag>
      <w:r w:rsidRPr="003B3AAB">
        <w:rPr>
          <w:color w:val="000000"/>
        </w:rPr>
        <w:t xml:space="preserve"> on 1</w:t>
      </w:r>
      <w:r w:rsidR="00C9451B" w:rsidRPr="003B3AAB">
        <w:rPr>
          <w:color w:val="000000"/>
        </w:rPr>
        <w:t> </w:t>
      </w:r>
      <w:r w:rsidRPr="003B3AAB">
        <w:rPr>
          <w:color w:val="000000"/>
        </w:rPr>
        <w:t xml:space="preserve">August 2007, </w:t>
      </w:r>
      <w:smartTag w:uri="urn:schemas-microsoft-com:office:smarttags" w:element="country-region">
        <w:smartTag w:uri="urn:schemas-microsoft-com:office:smarttags" w:element="place">
          <w:r w:rsidRPr="003B3AAB">
            <w:rPr>
              <w:color w:val="000000"/>
            </w:rPr>
            <w:t>Australia</w:t>
          </w:r>
        </w:smartTag>
      </w:smartTag>
      <w:r w:rsidRPr="003B3AAB">
        <w:rPr>
          <w:color w:val="000000"/>
        </w:rPr>
        <w:t xml:space="preserve"> and ASEAN signed a </w:t>
      </w:r>
      <w:r w:rsidR="007843D0" w:rsidRPr="003B3AAB">
        <w:rPr>
          <w:color w:val="000000"/>
        </w:rPr>
        <w:t xml:space="preserve">joint declaration </w:t>
      </w:r>
      <w:r w:rsidRPr="003B3AAB">
        <w:rPr>
          <w:color w:val="000000"/>
        </w:rPr>
        <w:t>on the ASEAN</w:t>
      </w:r>
      <w:r w:rsidR="007843D0" w:rsidRPr="003B3AAB">
        <w:rPr>
          <w:color w:val="000000"/>
        </w:rPr>
        <w:t>–</w:t>
      </w:r>
      <w:r w:rsidRPr="003B3AAB">
        <w:rPr>
          <w:color w:val="000000"/>
        </w:rPr>
        <w:t>Australia Comprehensive Partnership.</w:t>
      </w:r>
      <w:r w:rsidR="00AB44FB" w:rsidRPr="003B3AAB">
        <w:rPr>
          <w:color w:val="000000"/>
        </w:rPr>
        <w:t xml:space="preserve"> </w:t>
      </w:r>
      <w:r w:rsidRPr="003B3AAB">
        <w:rPr>
          <w:color w:val="000000"/>
        </w:rPr>
        <w:t>The</w:t>
      </w:r>
      <w:r w:rsidR="007843D0" w:rsidRPr="003B3AAB">
        <w:rPr>
          <w:color w:val="000000"/>
        </w:rPr>
        <w:t xml:space="preserve"> plan of action </w:t>
      </w:r>
      <w:r w:rsidRPr="003B3AAB">
        <w:rPr>
          <w:color w:val="000000"/>
        </w:rPr>
        <w:t xml:space="preserve">to implement the </w:t>
      </w:r>
      <w:r w:rsidR="007843D0" w:rsidRPr="003B3AAB">
        <w:rPr>
          <w:color w:val="000000"/>
        </w:rPr>
        <w:t xml:space="preserve">comprehensive partnership </w:t>
      </w:r>
      <w:r w:rsidRPr="003B3AAB">
        <w:rPr>
          <w:color w:val="000000"/>
        </w:rPr>
        <w:t>was adopted in November 2007 and provides a framework for future engagement, covering political</w:t>
      </w:r>
      <w:r w:rsidR="00346C8E" w:rsidRPr="003B3AAB">
        <w:rPr>
          <w:color w:val="000000"/>
        </w:rPr>
        <w:t>,</w:t>
      </w:r>
      <w:r w:rsidRPr="003B3AAB">
        <w:rPr>
          <w:color w:val="000000"/>
        </w:rPr>
        <w:t xml:space="preserve"> security, economic, sociocultural and development cooperation.</w:t>
      </w:r>
      <w:r w:rsidR="00AB44FB" w:rsidRPr="003B3AAB">
        <w:rPr>
          <w:color w:val="000000"/>
        </w:rPr>
        <w:t xml:space="preserve"> </w:t>
      </w:r>
      <w:r w:rsidRPr="003B3AAB">
        <w:rPr>
          <w:color w:val="000000"/>
        </w:rPr>
        <w:t>The ASEAN</w:t>
      </w:r>
      <w:r w:rsidR="00346C8E" w:rsidRPr="003B3AAB">
        <w:rPr>
          <w:color w:val="000000"/>
        </w:rPr>
        <w:t>–</w:t>
      </w:r>
      <w:r w:rsidRPr="003B3AAB">
        <w:rPr>
          <w:color w:val="000000"/>
        </w:rPr>
        <w:t>Australia Development Cooperation Program aims to support the ASEAN’s goal of establishing an ASEAN Economic Community by 2015.</w:t>
      </w:r>
      <w:r w:rsidR="00AB44FB" w:rsidRPr="003B3AAB">
        <w:rPr>
          <w:color w:val="000000"/>
        </w:rPr>
        <w:t xml:space="preserve"> </w:t>
      </w:r>
      <w:r w:rsidRPr="003B3AAB">
        <w:rPr>
          <w:color w:val="000000"/>
        </w:rPr>
        <w:t>It focuses strongly on helping the poorer ASEAN members to meet the Millennium Development Goals through stronger economic growth and integration.</w:t>
      </w:r>
    </w:p>
    <w:p w:rsidR="007E45C5" w:rsidRPr="003B3AAB" w:rsidRDefault="007E45C5" w:rsidP="007E45C5">
      <w:pPr>
        <w:pStyle w:val="BodyText"/>
        <w:rPr>
          <w:color w:val="000000"/>
        </w:rPr>
      </w:pPr>
      <w:r w:rsidRPr="003B3AAB">
        <w:rPr>
          <w:color w:val="000000"/>
        </w:rPr>
        <w:t>In assessing the results and performance of the economic programs, a critical factor for success is that the regional organisations themselves are fundamental drivers of regional integration and trade liberali</w:t>
      </w:r>
      <w:r w:rsidR="007843D0" w:rsidRPr="003B3AAB">
        <w:rPr>
          <w:color w:val="000000"/>
        </w:rPr>
        <w:t>s</w:t>
      </w:r>
      <w:r w:rsidRPr="003B3AAB">
        <w:rPr>
          <w:color w:val="000000"/>
        </w:rPr>
        <w:t>ation.</w:t>
      </w:r>
      <w:r w:rsidR="00AB44FB" w:rsidRPr="003B3AAB">
        <w:rPr>
          <w:color w:val="000000"/>
        </w:rPr>
        <w:t xml:space="preserve"> </w:t>
      </w:r>
      <w:smartTag w:uri="urn:schemas-microsoft-com:office:smarttags" w:element="country-region">
        <w:smartTag w:uri="urn:schemas-microsoft-com:office:smarttags" w:element="place">
          <w:r w:rsidRPr="003B3AAB">
            <w:rPr>
              <w:color w:val="000000"/>
            </w:rPr>
            <w:t>Australia</w:t>
          </w:r>
        </w:smartTag>
      </w:smartTag>
      <w:r w:rsidRPr="003B3AAB">
        <w:rPr>
          <w:color w:val="000000"/>
        </w:rPr>
        <w:t xml:space="preserve"> can only assist ASEAN and APEC to strengthen their mandate and capacity, and must support change driven from within these organisations.</w:t>
      </w:r>
      <w:r w:rsidR="00AB44FB" w:rsidRPr="003B3AAB">
        <w:rPr>
          <w:color w:val="000000"/>
        </w:rPr>
        <w:t xml:space="preserve"> </w:t>
      </w:r>
    </w:p>
    <w:p w:rsidR="007E45C5" w:rsidRPr="003B3AAB" w:rsidRDefault="007E45C5" w:rsidP="007E45C5">
      <w:pPr>
        <w:pStyle w:val="BodyText"/>
        <w:rPr>
          <w:color w:val="000000"/>
        </w:rPr>
      </w:pPr>
      <w:r w:rsidRPr="003B3AAB">
        <w:rPr>
          <w:color w:val="000000"/>
        </w:rPr>
        <w:t xml:space="preserve">The </w:t>
      </w:r>
      <w:smartTag w:uri="urn:schemas-microsoft-com:office:smarttags" w:element="place">
        <w:r w:rsidRPr="003B3AAB">
          <w:rPr>
            <w:color w:val="000000"/>
          </w:rPr>
          <w:t>Asia</w:t>
        </w:r>
      </w:smartTag>
      <w:r w:rsidRPr="003B3AAB">
        <w:rPr>
          <w:color w:val="000000"/>
        </w:rPr>
        <w:t xml:space="preserve"> </w:t>
      </w:r>
      <w:r w:rsidR="007843D0" w:rsidRPr="003B3AAB">
        <w:rPr>
          <w:color w:val="000000"/>
        </w:rPr>
        <w:t xml:space="preserve">regional </w:t>
      </w:r>
      <w:r w:rsidRPr="003B3AAB">
        <w:rPr>
          <w:color w:val="000000"/>
        </w:rPr>
        <w:t>program has played a key role in supporting ASEAN and APEC to deliver on their mandates of closer regional economic integration.</w:t>
      </w:r>
      <w:r w:rsidR="00AB44FB" w:rsidRPr="003B3AAB">
        <w:rPr>
          <w:color w:val="000000"/>
        </w:rPr>
        <w:t xml:space="preserve"> </w:t>
      </w:r>
      <w:r w:rsidRPr="003B3AAB">
        <w:rPr>
          <w:color w:val="000000"/>
        </w:rPr>
        <w:t>For example, through the ASEAN</w:t>
      </w:r>
      <w:r w:rsidR="00346C8E" w:rsidRPr="003B3AAB">
        <w:rPr>
          <w:color w:val="000000"/>
        </w:rPr>
        <w:t>–</w:t>
      </w:r>
      <w:r w:rsidRPr="003B3AAB">
        <w:rPr>
          <w:color w:val="000000"/>
        </w:rPr>
        <w:t>Australia Development Cooperation Program:</w:t>
      </w:r>
    </w:p>
    <w:p w:rsidR="007E45C5" w:rsidRPr="003B3AAB" w:rsidRDefault="008B0C99" w:rsidP="007E45C5">
      <w:pPr>
        <w:pStyle w:val="ListBullet"/>
        <w:rPr>
          <w:color w:val="000000"/>
          <w:spacing w:val="-2"/>
        </w:rPr>
      </w:pPr>
      <w:smartTag w:uri="urn:schemas-microsoft-com:office:smarttags" w:element="country-region">
        <w:smartTag w:uri="urn:schemas-microsoft-com:office:smarttags" w:element="place">
          <w:r w:rsidRPr="003B3AAB">
            <w:rPr>
              <w:color w:val="000000"/>
              <w:spacing w:val="-2"/>
            </w:rPr>
            <w:lastRenderedPageBreak/>
            <w:t>Australia</w:t>
          </w:r>
        </w:smartTag>
      </w:smartTag>
      <w:r w:rsidRPr="003B3AAB">
        <w:rPr>
          <w:color w:val="000000"/>
          <w:spacing w:val="-2"/>
        </w:rPr>
        <w:t xml:space="preserve"> developed </w:t>
      </w:r>
      <w:r w:rsidR="007E45C5" w:rsidRPr="003B3AAB">
        <w:rPr>
          <w:color w:val="000000"/>
          <w:spacing w:val="-2"/>
        </w:rPr>
        <w:t xml:space="preserve">key e-commerce laws and a common approach to e-commerce trading, which contributed to the enactment of </w:t>
      </w:r>
      <w:r w:rsidRPr="003B3AAB">
        <w:rPr>
          <w:color w:val="000000"/>
          <w:spacing w:val="-2"/>
        </w:rPr>
        <w:t xml:space="preserve">the </w:t>
      </w:r>
      <w:r w:rsidR="007E45C5" w:rsidRPr="003B3AAB">
        <w:rPr>
          <w:color w:val="000000"/>
          <w:spacing w:val="-2"/>
        </w:rPr>
        <w:t>e-ASEAN Framework Agenda and the e</w:t>
      </w:r>
      <w:r w:rsidRPr="003B3AAB">
        <w:rPr>
          <w:color w:val="000000"/>
          <w:spacing w:val="-2"/>
        </w:rPr>
        <w:noBreakHyphen/>
      </w:r>
      <w:r w:rsidR="007E45C5" w:rsidRPr="003B3AAB">
        <w:rPr>
          <w:color w:val="000000"/>
          <w:spacing w:val="-2"/>
        </w:rPr>
        <w:t>ASEAN Roadmap.</w:t>
      </w:r>
      <w:r w:rsidR="00AB44FB" w:rsidRPr="003B3AAB">
        <w:rPr>
          <w:color w:val="000000"/>
          <w:spacing w:val="-2"/>
        </w:rPr>
        <w:t xml:space="preserve"> </w:t>
      </w:r>
      <w:r w:rsidR="007E45C5" w:rsidRPr="003B3AAB">
        <w:rPr>
          <w:color w:val="000000"/>
          <w:spacing w:val="-2"/>
        </w:rPr>
        <w:t>Assistance to draft, and in some cases enact, e</w:t>
      </w:r>
      <w:r w:rsidRPr="003B3AAB">
        <w:rPr>
          <w:color w:val="000000"/>
          <w:spacing w:val="-2"/>
        </w:rPr>
        <w:noBreakHyphen/>
      </w:r>
      <w:r w:rsidR="007E45C5" w:rsidRPr="003B3AAB">
        <w:rPr>
          <w:color w:val="000000"/>
          <w:spacing w:val="-2"/>
        </w:rPr>
        <w:t>commerce laws established a more transparent and secure approach to e-commerce practices, creating greater opportunities to use new technology for economic transactions.</w:t>
      </w:r>
      <w:r w:rsidR="00AB44FB" w:rsidRPr="003B3AAB">
        <w:rPr>
          <w:color w:val="000000"/>
          <w:spacing w:val="-2"/>
        </w:rPr>
        <w:t xml:space="preserve"> </w:t>
      </w:r>
    </w:p>
    <w:p w:rsidR="007E45C5" w:rsidRPr="003B3AAB" w:rsidRDefault="008B0C99" w:rsidP="00A448C0">
      <w:pPr>
        <w:pStyle w:val="StyleListBulletBlack"/>
      </w:pPr>
      <w:smartTag w:uri="urn:schemas-microsoft-com:office:smarttags" w:element="country-region">
        <w:smartTag w:uri="urn:schemas-microsoft-com:office:smarttags" w:element="place">
          <w:r w:rsidRPr="003B3AAB">
            <w:t>Australia</w:t>
          </w:r>
        </w:smartTag>
      </w:smartTag>
      <w:r w:rsidRPr="003B3AAB">
        <w:t xml:space="preserve"> s</w:t>
      </w:r>
      <w:r w:rsidR="007E45C5" w:rsidRPr="003B3AAB">
        <w:t>upported the development of ASEAN</w:t>
      </w:r>
      <w:r w:rsidRPr="003B3AAB">
        <w:t>-</w:t>
      </w:r>
      <w:r w:rsidR="007E45C5" w:rsidRPr="003B3AAB">
        <w:t>wide standards in water management, aquatic animal health and biosecurity, food safety and tourism professionals.</w:t>
      </w:r>
      <w:r w:rsidR="00AB44FB" w:rsidRPr="003B3AAB">
        <w:t xml:space="preserve"> </w:t>
      </w:r>
      <w:r w:rsidR="007E45C5" w:rsidRPr="003B3AAB">
        <w:t xml:space="preserve">This improved the scope for inter-regional trade and service delivery. </w:t>
      </w:r>
    </w:p>
    <w:p w:rsidR="007E45C5" w:rsidRPr="003B3AAB" w:rsidRDefault="008B0C99" w:rsidP="00A448C0">
      <w:pPr>
        <w:pStyle w:val="StyleListBulletBlack"/>
      </w:pPr>
      <w:smartTag w:uri="urn:schemas-microsoft-com:office:smarttags" w:element="country-region">
        <w:smartTag w:uri="urn:schemas-microsoft-com:office:smarttags" w:element="place">
          <w:r w:rsidRPr="003B3AAB">
            <w:t>Australia</w:t>
          </w:r>
        </w:smartTag>
      </w:smartTag>
      <w:r w:rsidRPr="003B3AAB">
        <w:t xml:space="preserve"> s</w:t>
      </w:r>
      <w:r w:rsidR="007E45C5" w:rsidRPr="003B3AAB">
        <w:t>trengthened ASEAN’s capacity to develop sound regional policies by funding 58 studies in priority areas identified by the ASEAN Secretariat.</w:t>
      </w:r>
      <w:r w:rsidR="00AB44FB" w:rsidRPr="003B3AAB">
        <w:t xml:space="preserve"> </w:t>
      </w:r>
      <w:r w:rsidR="007E45C5" w:rsidRPr="003B3AAB">
        <w:t>A number of these studies directly influenced regional policy making in the areas of energy, finance and trade.</w:t>
      </w:r>
    </w:p>
    <w:p w:rsidR="007E45C5" w:rsidRPr="003B3AAB" w:rsidRDefault="008B0C99" w:rsidP="00A448C0">
      <w:pPr>
        <w:pStyle w:val="StyleListBulletBlack"/>
      </w:pPr>
      <w:r w:rsidRPr="003B3AAB">
        <w:t>Australian assistance s</w:t>
      </w:r>
      <w:r w:rsidR="007E45C5" w:rsidRPr="003B3AAB">
        <w:t xml:space="preserve">trengthened the collection and use of statistics and indicators throughout ASEAN to track and report on the development of the ASEAN </w:t>
      </w:r>
      <w:r w:rsidRPr="003B3AAB">
        <w:t>community</w:t>
      </w:r>
      <w:r w:rsidR="007E45C5" w:rsidRPr="003B3AAB">
        <w:t>.</w:t>
      </w:r>
      <w:r w:rsidR="00AB44FB" w:rsidRPr="003B3AAB">
        <w:t xml:space="preserve"> </w:t>
      </w:r>
      <w:r w:rsidR="007E45C5" w:rsidRPr="003B3AAB">
        <w:t xml:space="preserve">This </w:t>
      </w:r>
      <w:r w:rsidRPr="003B3AAB">
        <w:t xml:space="preserve">information </w:t>
      </w:r>
      <w:r w:rsidR="007E45C5" w:rsidRPr="003B3AAB">
        <w:t>provides a framework to measure and report on progress towards greater regional economic integration.</w:t>
      </w:r>
    </w:p>
    <w:p w:rsidR="007E45C5" w:rsidRPr="003B3AAB" w:rsidRDefault="007E45C5" w:rsidP="007E45C5">
      <w:pPr>
        <w:pStyle w:val="BodyText"/>
        <w:rPr>
          <w:color w:val="000000"/>
        </w:rPr>
      </w:pPr>
      <w:r w:rsidRPr="003B3AAB">
        <w:rPr>
          <w:color w:val="000000"/>
        </w:rPr>
        <w:t xml:space="preserve">The </w:t>
      </w:r>
      <w:r w:rsidR="007843D0" w:rsidRPr="003B3AAB">
        <w:rPr>
          <w:color w:val="000000"/>
        </w:rPr>
        <w:t>A</w:t>
      </w:r>
      <w:r w:rsidR="00346C8E" w:rsidRPr="003B3AAB">
        <w:rPr>
          <w:color w:val="000000"/>
        </w:rPr>
        <w:t>SEAN–</w:t>
      </w:r>
      <w:r w:rsidR="007843D0" w:rsidRPr="003B3AAB">
        <w:rPr>
          <w:color w:val="000000"/>
        </w:rPr>
        <w:t>Australia Development Cooperation Program</w:t>
      </w:r>
      <w:r w:rsidRPr="003B3AAB">
        <w:rPr>
          <w:color w:val="000000"/>
        </w:rPr>
        <w:t xml:space="preserve"> is highly regarded by stakeholders in </w:t>
      </w:r>
      <w:smartTag w:uri="urn:schemas-microsoft-com:office:smarttags" w:element="country-region">
        <w:smartTag w:uri="urn:schemas-microsoft-com:office:smarttags" w:element="place">
          <w:r w:rsidRPr="003B3AAB">
            <w:rPr>
              <w:color w:val="000000"/>
            </w:rPr>
            <w:t>Australia</w:t>
          </w:r>
        </w:smartTag>
      </w:smartTag>
      <w:r w:rsidRPr="003B3AAB">
        <w:rPr>
          <w:color w:val="000000"/>
        </w:rPr>
        <w:t xml:space="preserve"> and in ASEAN and is perceived as a responsive and useful mechanism for cooperation.</w:t>
      </w:r>
      <w:r w:rsidR="00AB44FB" w:rsidRPr="003B3AAB">
        <w:rPr>
          <w:color w:val="000000"/>
        </w:rPr>
        <w:t xml:space="preserve"> </w:t>
      </w:r>
      <w:r w:rsidRPr="003B3AAB">
        <w:rPr>
          <w:color w:val="000000"/>
        </w:rPr>
        <w:t xml:space="preserve">The ASEAN Secretariat believes that other activities </w:t>
      </w:r>
      <w:r w:rsidR="007843D0" w:rsidRPr="003B3AAB">
        <w:rPr>
          <w:color w:val="000000"/>
        </w:rPr>
        <w:t>support</w:t>
      </w:r>
      <w:r w:rsidR="008B0C99" w:rsidRPr="003B3AAB">
        <w:rPr>
          <w:color w:val="000000"/>
        </w:rPr>
        <w:t>ed</w:t>
      </w:r>
      <w:r w:rsidR="007843D0" w:rsidRPr="003B3AAB">
        <w:rPr>
          <w:color w:val="000000"/>
        </w:rPr>
        <w:t xml:space="preserve"> by the program </w:t>
      </w:r>
      <w:r w:rsidRPr="003B3AAB">
        <w:rPr>
          <w:color w:val="000000"/>
        </w:rPr>
        <w:t xml:space="preserve">such as the ASEAN Good Agricultural Practices, </w:t>
      </w:r>
      <w:r w:rsidR="007843D0" w:rsidRPr="003B3AAB">
        <w:rPr>
          <w:color w:val="000000"/>
        </w:rPr>
        <w:t xml:space="preserve">the </w:t>
      </w:r>
      <w:r w:rsidRPr="003B3AAB">
        <w:rPr>
          <w:color w:val="000000"/>
        </w:rPr>
        <w:t xml:space="preserve">Cargo Processing Model and </w:t>
      </w:r>
      <w:r w:rsidR="007843D0" w:rsidRPr="003B3AAB">
        <w:rPr>
          <w:color w:val="000000"/>
        </w:rPr>
        <w:t xml:space="preserve">the </w:t>
      </w:r>
      <w:r w:rsidRPr="003B3AAB">
        <w:rPr>
          <w:color w:val="000000"/>
        </w:rPr>
        <w:t>Mutual Recognition Arrangements are also major contribut</w:t>
      </w:r>
      <w:r w:rsidR="008B0C99" w:rsidRPr="003B3AAB">
        <w:rPr>
          <w:color w:val="000000"/>
        </w:rPr>
        <w:t>ors</w:t>
      </w:r>
      <w:r w:rsidRPr="003B3AAB">
        <w:rPr>
          <w:color w:val="000000"/>
        </w:rPr>
        <w:t xml:space="preserve"> to economic integration.</w:t>
      </w:r>
    </w:p>
    <w:p w:rsidR="007E45C5" w:rsidRPr="003B3AAB" w:rsidRDefault="007E45C5" w:rsidP="007E45C5">
      <w:pPr>
        <w:pStyle w:val="BodyText"/>
        <w:rPr>
          <w:color w:val="000000"/>
        </w:rPr>
      </w:pPr>
      <w:r w:rsidRPr="003B3AAB">
        <w:rPr>
          <w:color w:val="000000"/>
        </w:rPr>
        <w:t xml:space="preserve">A review of gender </w:t>
      </w:r>
      <w:r w:rsidR="007843D0" w:rsidRPr="003B3AAB">
        <w:rPr>
          <w:color w:val="000000"/>
        </w:rPr>
        <w:t xml:space="preserve">equality </w:t>
      </w:r>
      <w:r w:rsidRPr="003B3AAB">
        <w:rPr>
          <w:color w:val="000000"/>
        </w:rPr>
        <w:t xml:space="preserve">in </w:t>
      </w:r>
      <w:r w:rsidR="007843D0" w:rsidRPr="003B3AAB">
        <w:rPr>
          <w:color w:val="000000"/>
        </w:rPr>
        <w:t xml:space="preserve">the </w:t>
      </w:r>
      <w:r w:rsidR="00346C8E" w:rsidRPr="003B3AAB">
        <w:rPr>
          <w:color w:val="000000"/>
        </w:rPr>
        <w:t>ASEAN–</w:t>
      </w:r>
      <w:r w:rsidR="007843D0" w:rsidRPr="003B3AAB">
        <w:rPr>
          <w:color w:val="000000"/>
        </w:rPr>
        <w:t xml:space="preserve">Australia Development Cooperation Program </w:t>
      </w:r>
      <w:r w:rsidRPr="003B3AAB">
        <w:rPr>
          <w:color w:val="000000"/>
        </w:rPr>
        <w:t xml:space="preserve">was conducted during </w:t>
      </w:r>
      <w:r w:rsidR="008956C2" w:rsidRPr="003B3AAB">
        <w:rPr>
          <w:color w:val="000000"/>
        </w:rPr>
        <w:t>2007–08</w:t>
      </w:r>
      <w:r w:rsidRPr="003B3AAB">
        <w:rPr>
          <w:color w:val="000000"/>
        </w:rPr>
        <w:t xml:space="preserve"> and highlighted a lack of systematic attention to gender </w:t>
      </w:r>
      <w:r w:rsidR="007843D0" w:rsidRPr="003B3AAB">
        <w:rPr>
          <w:color w:val="000000"/>
        </w:rPr>
        <w:t xml:space="preserve">equality </w:t>
      </w:r>
      <w:r w:rsidRPr="003B3AAB">
        <w:rPr>
          <w:color w:val="000000"/>
        </w:rPr>
        <w:t>throughout the various program components.</w:t>
      </w:r>
      <w:r w:rsidR="00AB44FB" w:rsidRPr="003B3AAB">
        <w:rPr>
          <w:color w:val="000000"/>
        </w:rPr>
        <w:t xml:space="preserve"> </w:t>
      </w:r>
      <w:r w:rsidRPr="003B3AAB">
        <w:rPr>
          <w:color w:val="000000"/>
        </w:rPr>
        <w:t xml:space="preserve">The report made useful and specific recommendations </w:t>
      </w:r>
      <w:r w:rsidR="007843D0" w:rsidRPr="003B3AAB">
        <w:rPr>
          <w:color w:val="000000"/>
        </w:rPr>
        <w:t xml:space="preserve">that </w:t>
      </w:r>
      <w:r w:rsidRPr="003B3AAB">
        <w:rPr>
          <w:color w:val="000000"/>
        </w:rPr>
        <w:t xml:space="preserve">will be incorporated into the final design and implementation of the new phase of </w:t>
      </w:r>
      <w:r w:rsidR="007843D0" w:rsidRPr="003B3AAB">
        <w:rPr>
          <w:color w:val="000000"/>
        </w:rPr>
        <w:t>the cooperation program</w:t>
      </w:r>
      <w:r w:rsidRPr="003B3AAB">
        <w:rPr>
          <w:color w:val="000000"/>
        </w:rPr>
        <w:t>.</w:t>
      </w:r>
    </w:p>
    <w:p w:rsidR="007E45C5" w:rsidRPr="003B3AAB" w:rsidRDefault="007E45C5" w:rsidP="007E45C5">
      <w:pPr>
        <w:pStyle w:val="BodyText"/>
        <w:rPr>
          <w:color w:val="000000"/>
        </w:rPr>
      </w:pPr>
      <w:smartTag w:uri="urn:schemas-microsoft-com:office:smarttags" w:element="country-region">
        <w:r w:rsidRPr="003B3AAB">
          <w:rPr>
            <w:color w:val="000000"/>
          </w:rPr>
          <w:t>Australia</w:t>
        </w:r>
      </w:smartTag>
      <w:r w:rsidRPr="003B3AAB">
        <w:rPr>
          <w:color w:val="000000"/>
        </w:rPr>
        <w:t xml:space="preserve"> also assisted ASEAN countries to participate in trade negotiations, such as the ASEAN</w:t>
      </w:r>
      <w:r w:rsidR="008956C2" w:rsidRPr="003B3AAB">
        <w:rPr>
          <w:rFonts w:ascii="Arial Unicode MS" w:eastAsia="Arial Unicode MS" w:hAnsi="Arial Unicode MS" w:cs="Arial Unicode MS" w:hint="eastAsia"/>
          <w:color w:val="000000"/>
        </w:rPr>
        <w:t> </w:t>
      </w:r>
      <w:r w:rsidR="008956C2" w:rsidRPr="003B3AAB">
        <w:rPr>
          <w:color w:val="000000"/>
        </w:rPr>
        <w:t>–</w:t>
      </w:r>
      <w:r w:rsidR="008956C2" w:rsidRPr="003B3AAB">
        <w:rPr>
          <w:rFonts w:ascii="Arial Unicode MS" w:eastAsia="Arial Unicode MS" w:hAnsi="Arial Unicode MS" w:cs="Arial Unicode MS" w:hint="eastAsia"/>
          <w:color w:val="000000"/>
        </w:rPr>
        <w:t> </w:t>
      </w:r>
      <w:smartTag w:uri="urn:schemas-microsoft-com:office:smarttags" w:element="country-region">
        <w:smartTag w:uri="urn:schemas-microsoft-com:office:smarttags" w:element="place">
          <w:r w:rsidRPr="003B3AAB">
            <w:rPr>
              <w:color w:val="000000"/>
            </w:rPr>
            <w:t>Australia</w:t>
          </w:r>
        </w:smartTag>
      </w:smartTag>
      <w:r w:rsidR="008956C2" w:rsidRPr="003B3AAB">
        <w:rPr>
          <w:rFonts w:ascii="Arial Unicode MS" w:eastAsia="Arial Unicode MS" w:hAnsi="Arial Unicode MS" w:cs="Arial Unicode MS" w:hint="eastAsia"/>
          <w:color w:val="000000"/>
        </w:rPr>
        <w:t> </w:t>
      </w:r>
      <w:r w:rsidR="008956C2" w:rsidRPr="003B3AAB">
        <w:rPr>
          <w:color w:val="000000"/>
        </w:rPr>
        <w:t>–</w:t>
      </w:r>
      <w:r w:rsidR="008956C2" w:rsidRPr="003B3AAB">
        <w:rPr>
          <w:rFonts w:ascii="Arial Unicode MS" w:eastAsia="Arial Unicode MS" w:hAnsi="Arial Unicode MS" w:cs="Arial Unicode MS" w:hint="eastAsia"/>
          <w:color w:val="000000"/>
        </w:rPr>
        <w:t> </w:t>
      </w:r>
      <w:r w:rsidRPr="003B3AAB">
        <w:rPr>
          <w:color w:val="000000"/>
        </w:rPr>
        <w:t>N</w:t>
      </w:r>
      <w:r w:rsidR="008956C2" w:rsidRPr="003B3AAB">
        <w:rPr>
          <w:color w:val="000000"/>
        </w:rPr>
        <w:t>ew </w:t>
      </w:r>
      <w:r w:rsidRPr="003B3AAB">
        <w:rPr>
          <w:color w:val="000000"/>
        </w:rPr>
        <w:t>Z</w:t>
      </w:r>
      <w:r w:rsidR="008956C2" w:rsidRPr="003B3AAB">
        <w:rPr>
          <w:color w:val="000000"/>
        </w:rPr>
        <w:t>ealand</w:t>
      </w:r>
      <w:r w:rsidRPr="003B3AAB">
        <w:rPr>
          <w:color w:val="000000"/>
        </w:rPr>
        <w:t xml:space="preserve"> Free Trade Agreement.</w:t>
      </w:r>
      <w:r w:rsidR="00AB44FB" w:rsidRPr="003B3AAB">
        <w:rPr>
          <w:color w:val="000000"/>
        </w:rPr>
        <w:t xml:space="preserve"> </w:t>
      </w:r>
      <w:r w:rsidRPr="003B3AAB">
        <w:rPr>
          <w:color w:val="000000"/>
        </w:rPr>
        <w:t xml:space="preserve">Funding was provided for officials from </w:t>
      </w:r>
      <w:smartTag w:uri="urn:schemas-microsoft-com:office:smarttags" w:element="country-region">
        <w:r w:rsidRPr="003B3AAB">
          <w:rPr>
            <w:color w:val="000000"/>
          </w:rPr>
          <w:t>Cambodia</w:t>
        </w:r>
      </w:smartTag>
      <w:r w:rsidRPr="003B3AAB">
        <w:rPr>
          <w:color w:val="000000"/>
        </w:rPr>
        <w:t xml:space="preserve">, </w:t>
      </w:r>
      <w:smartTag w:uri="urn:schemas-microsoft-com:office:smarttags" w:element="country-region">
        <w:r w:rsidRPr="003B3AAB">
          <w:rPr>
            <w:color w:val="000000"/>
          </w:rPr>
          <w:t>Laos</w:t>
        </w:r>
      </w:smartTag>
      <w:r w:rsidRPr="003B3AAB">
        <w:rPr>
          <w:color w:val="000000"/>
        </w:rPr>
        <w:t xml:space="preserve"> and </w:t>
      </w:r>
      <w:smartTag w:uri="urn:schemas-microsoft-com:office:smarttags" w:element="country-region">
        <w:smartTag w:uri="urn:schemas-microsoft-com:office:smarttags" w:element="place">
          <w:r w:rsidRPr="003B3AAB">
            <w:rPr>
              <w:color w:val="000000"/>
            </w:rPr>
            <w:t>Myanmar</w:t>
          </w:r>
        </w:smartTag>
      </w:smartTag>
      <w:r w:rsidRPr="003B3AAB">
        <w:rPr>
          <w:color w:val="000000"/>
        </w:rPr>
        <w:t xml:space="preserve"> to attend negotiations, and training and technical assistance was provided to the ASEAN Secretariat and some member states.</w:t>
      </w:r>
    </w:p>
    <w:p w:rsidR="007E45C5" w:rsidRPr="003B3AAB" w:rsidRDefault="007E45C5" w:rsidP="007E45C5">
      <w:pPr>
        <w:pStyle w:val="BodyText"/>
        <w:rPr>
          <w:color w:val="000000"/>
        </w:rPr>
      </w:pPr>
      <w:r w:rsidRPr="003B3AAB">
        <w:rPr>
          <w:color w:val="000000"/>
        </w:rPr>
        <w:t xml:space="preserve">Australian support of APEC seminars and learning opportunities for officials from developing partner economies, including </w:t>
      </w:r>
      <w:smartTag w:uri="urn:schemas-microsoft-com:office:smarttags" w:element="country-region">
        <w:r w:rsidR="008956C2" w:rsidRPr="003B3AAB">
          <w:rPr>
            <w:color w:val="000000"/>
          </w:rPr>
          <w:t>Papua New Guinea</w:t>
        </w:r>
      </w:smartTag>
      <w:r w:rsidRPr="003B3AAB">
        <w:rPr>
          <w:color w:val="000000"/>
        </w:rPr>
        <w:t xml:space="preserve">, </w:t>
      </w:r>
      <w:smartTag w:uri="urn:schemas-microsoft-com:office:smarttags" w:element="country-region">
        <w:r w:rsidRPr="003B3AAB">
          <w:rPr>
            <w:color w:val="000000"/>
          </w:rPr>
          <w:t>Indonesia</w:t>
        </w:r>
      </w:smartTag>
      <w:r w:rsidRPr="003B3AAB">
        <w:rPr>
          <w:color w:val="000000"/>
        </w:rPr>
        <w:t xml:space="preserve">, </w:t>
      </w:r>
      <w:smartTag w:uri="urn:schemas-microsoft-com:office:smarttags" w:element="country-region">
        <w:r w:rsidRPr="003B3AAB">
          <w:rPr>
            <w:color w:val="000000"/>
          </w:rPr>
          <w:t>Vietnam</w:t>
        </w:r>
      </w:smartTag>
      <w:r w:rsidRPr="003B3AAB">
        <w:rPr>
          <w:color w:val="000000"/>
        </w:rPr>
        <w:t xml:space="preserve">, </w:t>
      </w:r>
      <w:r w:rsidR="008956C2" w:rsidRPr="003B3AAB">
        <w:rPr>
          <w:color w:val="000000"/>
        </w:rPr>
        <w:t xml:space="preserve">the </w:t>
      </w:r>
      <w:smartTag w:uri="urn:schemas-microsoft-com:office:smarttags" w:element="country-region">
        <w:r w:rsidRPr="003B3AAB">
          <w:rPr>
            <w:color w:val="000000"/>
          </w:rPr>
          <w:t>Philippines</w:t>
        </w:r>
      </w:smartTag>
      <w:r w:rsidRPr="003B3AAB">
        <w:rPr>
          <w:color w:val="000000"/>
        </w:rPr>
        <w:t xml:space="preserve"> and </w:t>
      </w:r>
      <w:smartTag w:uri="urn:schemas-microsoft-com:office:smarttags" w:element="country-region">
        <w:smartTag w:uri="urn:schemas-microsoft-com:office:smarttags" w:element="place">
          <w:r w:rsidRPr="003B3AAB">
            <w:rPr>
              <w:color w:val="000000"/>
            </w:rPr>
            <w:t>China</w:t>
          </w:r>
        </w:smartTag>
      </w:smartTag>
      <w:r w:rsidRPr="003B3AAB">
        <w:rPr>
          <w:color w:val="000000"/>
        </w:rPr>
        <w:t>, has built a common understanding and approach to regional integration.</w:t>
      </w:r>
      <w:r w:rsidR="00AB44FB" w:rsidRPr="003B3AAB">
        <w:rPr>
          <w:color w:val="000000"/>
        </w:rPr>
        <w:t xml:space="preserve"> </w:t>
      </w:r>
      <w:r w:rsidRPr="003B3AAB">
        <w:rPr>
          <w:color w:val="000000"/>
        </w:rPr>
        <w:t xml:space="preserve">This has drawn on developed members’ technical and policy expertise in economic governance, trade and investment liberalisation and in sectors such as energy, transport and human resource development. </w:t>
      </w:r>
    </w:p>
    <w:p w:rsidR="007E45C5" w:rsidRPr="003B3AAB" w:rsidRDefault="007E45C5" w:rsidP="007E45C5">
      <w:pPr>
        <w:pStyle w:val="BodyText"/>
        <w:rPr>
          <w:rFonts w:cs="Arial"/>
          <w:color w:val="000000"/>
          <w:szCs w:val="20"/>
        </w:rPr>
      </w:pPr>
      <w:r w:rsidRPr="003B3AAB">
        <w:rPr>
          <w:color w:val="000000"/>
        </w:rPr>
        <w:lastRenderedPageBreak/>
        <w:t>AusAID</w:t>
      </w:r>
      <w:r w:rsidR="00622FAB" w:rsidRPr="003B3AAB">
        <w:rPr>
          <w:color w:val="000000"/>
        </w:rPr>
        <w:t xml:space="preserve"> </w:t>
      </w:r>
      <w:proofErr w:type="gramStart"/>
      <w:r w:rsidRPr="003B3AAB">
        <w:rPr>
          <w:color w:val="000000"/>
        </w:rPr>
        <w:t>s</w:t>
      </w:r>
      <w:r w:rsidR="00622FAB" w:rsidRPr="003B3AAB">
        <w:rPr>
          <w:color w:val="000000"/>
        </w:rPr>
        <w:t>taff</w:t>
      </w:r>
      <w:r w:rsidRPr="003B3AAB">
        <w:rPr>
          <w:color w:val="000000"/>
        </w:rPr>
        <w:t xml:space="preserve"> seconde</w:t>
      </w:r>
      <w:r w:rsidR="00622FAB" w:rsidRPr="003B3AAB">
        <w:rPr>
          <w:color w:val="000000"/>
        </w:rPr>
        <w:t>d</w:t>
      </w:r>
      <w:r w:rsidRPr="003B3AAB">
        <w:rPr>
          <w:color w:val="000000"/>
        </w:rPr>
        <w:t xml:space="preserve"> to the APEC Secretariat (since 2005) have</w:t>
      </w:r>
      <w:proofErr w:type="gramEnd"/>
      <w:r w:rsidRPr="003B3AAB">
        <w:rPr>
          <w:color w:val="000000"/>
        </w:rPr>
        <w:t xml:space="preserve"> enhanced the </w:t>
      </w:r>
      <w:r w:rsidR="00622FAB" w:rsidRPr="003B3AAB">
        <w:rPr>
          <w:color w:val="000000"/>
        </w:rPr>
        <w:t xml:space="preserve">secretariat’s </w:t>
      </w:r>
      <w:r w:rsidRPr="003B3AAB">
        <w:rPr>
          <w:color w:val="000000"/>
        </w:rPr>
        <w:t>capacity to address quality and effectiveness challenges.</w:t>
      </w:r>
      <w:r w:rsidRPr="003B3AAB">
        <w:rPr>
          <w:rFonts w:cs="Arial"/>
          <w:color w:val="000000"/>
          <w:szCs w:val="20"/>
        </w:rPr>
        <w:t xml:space="preserve"> Consultations during the review </w:t>
      </w:r>
      <w:r w:rsidR="00622FAB" w:rsidRPr="003B3AAB">
        <w:rPr>
          <w:rFonts w:cs="Arial"/>
          <w:color w:val="000000"/>
          <w:szCs w:val="20"/>
        </w:rPr>
        <w:t xml:space="preserve">of the regional strategy </w:t>
      </w:r>
      <w:r w:rsidRPr="003B3AAB">
        <w:rPr>
          <w:rFonts w:cs="Arial"/>
          <w:color w:val="000000"/>
          <w:szCs w:val="20"/>
        </w:rPr>
        <w:t>indicated that AusAID secondments had been very effective in helping to shape a review of economic and technical cooperation in APEC and in introducing greater rigor to project management</w:t>
      </w:r>
      <w:r w:rsidR="00346C8E" w:rsidRPr="003B3AAB">
        <w:rPr>
          <w:rFonts w:cs="Arial"/>
          <w:color w:val="000000"/>
          <w:szCs w:val="20"/>
        </w:rPr>
        <w:t>.</w:t>
      </w:r>
    </w:p>
    <w:p w:rsidR="007E45C5" w:rsidRPr="003B3AAB" w:rsidRDefault="007E45C5" w:rsidP="007E45C5">
      <w:pPr>
        <w:pStyle w:val="BodyText"/>
        <w:rPr>
          <w:color w:val="000000"/>
        </w:rPr>
      </w:pPr>
      <w:smartTag w:uri="urn:schemas-microsoft-com:office:smarttags" w:element="country-region">
        <w:r w:rsidRPr="003B3AAB">
          <w:rPr>
            <w:color w:val="000000"/>
          </w:rPr>
          <w:t>Australia</w:t>
        </w:r>
      </w:smartTag>
      <w:r w:rsidRPr="003B3AAB">
        <w:rPr>
          <w:color w:val="000000"/>
        </w:rPr>
        <w:t xml:space="preserve"> is also working with the </w:t>
      </w:r>
      <w:smartTag w:uri="urn:schemas-microsoft-com:office:smarttags" w:element="country-region">
        <w:smartTag w:uri="urn:schemas-microsoft-com:office:smarttags" w:element="place">
          <w:r w:rsidRPr="003B3AAB">
            <w:rPr>
              <w:color w:val="000000"/>
            </w:rPr>
            <w:t>United States</w:t>
          </w:r>
        </w:smartTag>
      </w:smartTag>
      <w:r w:rsidRPr="003B3AAB">
        <w:rPr>
          <w:color w:val="000000"/>
        </w:rPr>
        <w:t xml:space="preserve"> to improve the performance orientation and effectiveness framework for training and other capacity</w:t>
      </w:r>
      <w:r w:rsidR="007E43C3" w:rsidRPr="003B3AAB">
        <w:rPr>
          <w:color w:val="000000"/>
        </w:rPr>
        <w:t>-</w:t>
      </w:r>
      <w:r w:rsidRPr="003B3AAB">
        <w:rPr>
          <w:color w:val="000000"/>
        </w:rPr>
        <w:t>building approaches delivered by APEC to developed member economies.</w:t>
      </w:r>
      <w:r w:rsidR="00AB44FB" w:rsidRPr="003B3AAB">
        <w:rPr>
          <w:color w:val="000000"/>
        </w:rPr>
        <w:t xml:space="preserve"> </w:t>
      </w:r>
      <w:r w:rsidR="007E43C3" w:rsidRPr="003B3AAB">
        <w:rPr>
          <w:color w:val="000000"/>
        </w:rPr>
        <w:t>The</w:t>
      </w:r>
      <w:r w:rsidRPr="003B3AAB">
        <w:rPr>
          <w:color w:val="000000"/>
        </w:rPr>
        <w:t xml:space="preserve"> aim</w:t>
      </w:r>
      <w:r w:rsidR="007E43C3" w:rsidRPr="003B3AAB">
        <w:rPr>
          <w:color w:val="000000"/>
        </w:rPr>
        <w:t xml:space="preserve"> is</w:t>
      </w:r>
      <w:r w:rsidRPr="003B3AAB">
        <w:rPr>
          <w:color w:val="000000"/>
        </w:rPr>
        <w:t xml:space="preserve"> to shift assistance from small-scale, stand-alone activities towards program</w:t>
      </w:r>
      <w:r w:rsidR="007E43C3" w:rsidRPr="003B3AAB">
        <w:rPr>
          <w:color w:val="000000"/>
        </w:rPr>
        <w:t>s</w:t>
      </w:r>
      <w:r w:rsidRPr="003B3AAB">
        <w:rPr>
          <w:color w:val="000000"/>
        </w:rPr>
        <w:t xml:space="preserve"> that include longer</w:t>
      </w:r>
      <w:r w:rsidR="007E43C3" w:rsidRPr="003B3AAB">
        <w:rPr>
          <w:color w:val="000000"/>
        </w:rPr>
        <w:t xml:space="preserve"> </w:t>
      </w:r>
      <w:r w:rsidRPr="003B3AAB">
        <w:rPr>
          <w:color w:val="000000"/>
        </w:rPr>
        <w:t>term funding and a renewed focus on quality.</w:t>
      </w:r>
      <w:r w:rsidR="00AB44FB" w:rsidRPr="003B3AAB">
        <w:rPr>
          <w:color w:val="000000"/>
        </w:rPr>
        <w:t xml:space="preserve"> </w:t>
      </w:r>
    </w:p>
    <w:p w:rsidR="007E45C5" w:rsidRPr="003B3AAB" w:rsidRDefault="007E45C5" w:rsidP="007E45C5">
      <w:pPr>
        <w:pStyle w:val="Heading3nonumber"/>
        <w:rPr>
          <w:color w:val="000000"/>
        </w:rPr>
      </w:pPr>
      <w:bookmarkStart w:id="30" w:name="_Toc213147040"/>
      <w:r w:rsidRPr="003B3AAB">
        <w:rPr>
          <w:color w:val="000000"/>
        </w:rPr>
        <w:t>Estimated expenditure</w:t>
      </w:r>
      <w:bookmarkEnd w:id="30"/>
    </w:p>
    <w:p w:rsidR="007E45C5" w:rsidRPr="003B3AAB" w:rsidRDefault="007E45C5" w:rsidP="007E45C5">
      <w:pPr>
        <w:pStyle w:val="BodyText"/>
        <w:rPr>
          <w:color w:val="000000"/>
        </w:rPr>
      </w:pPr>
      <w:r w:rsidRPr="003B3AAB">
        <w:rPr>
          <w:color w:val="000000"/>
        </w:rPr>
        <w:t>Approximately 43</w:t>
      </w:r>
      <w:r w:rsidR="00AB44FB" w:rsidRPr="003B3AAB">
        <w:rPr>
          <w:color w:val="000000"/>
        </w:rPr>
        <w:t> per cent</w:t>
      </w:r>
      <w:r w:rsidRPr="003B3AAB">
        <w:rPr>
          <w:color w:val="000000"/>
        </w:rPr>
        <w:t xml:space="preserve"> </w:t>
      </w:r>
      <w:r w:rsidR="002E7908" w:rsidRPr="003B3AAB">
        <w:rPr>
          <w:color w:val="000000"/>
        </w:rPr>
        <w:t xml:space="preserve">($…) </w:t>
      </w:r>
      <w:r w:rsidRPr="003B3AAB">
        <w:rPr>
          <w:color w:val="000000"/>
        </w:rPr>
        <w:t xml:space="preserve">of the budget </w:t>
      </w:r>
      <w:r w:rsidR="00270010" w:rsidRPr="003B3AAB">
        <w:rPr>
          <w:color w:val="000000"/>
        </w:rPr>
        <w:t>for the</w:t>
      </w:r>
      <w:r w:rsidRPr="003B3AAB">
        <w:rPr>
          <w:color w:val="000000"/>
        </w:rPr>
        <w:t xml:space="preserve"> </w:t>
      </w:r>
      <w:smartTag w:uri="urn:schemas-microsoft-com:office:smarttags" w:element="place">
        <w:r w:rsidRPr="003B3AAB">
          <w:rPr>
            <w:color w:val="000000"/>
          </w:rPr>
          <w:t>Asia</w:t>
        </w:r>
      </w:smartTag>
      <w:r w:rsidRPr="003B3AAB">
        <w:rPr>
          <w:color w:val="000000"/>
        </w:rPr>
        <w:t xml:space="preserve"> </w:t>
      </w:r>
      <w:r w:rsidR="00270010" w:rsidRPr="003B3AAB">
        <w:rPr>
          <w:color w:val="000000"/>
        </w:rPr>
        <w:t>regional program was for this objective</w:t>
      </w:r>
      <w:r w:rsidRPr="003B3AAB">
        <w:rPr>
          <w:color w:val="000000"/>
        </w:rPr>
        <w:t>.</w:t>
      </w:r>
      <w:r w:rsidR="00AB44FB" w:rsidRPr="003B3AAB">
        <w:rPr>
          <w:color w:val="000000"/>
        </w:rPr>
        <w:t xml:space="preserve"> </w:t>
      </w:r>
    </w:p>
    <w:p w:rsidR="007E45C5" w:rsidRPr="003B3AAB" w:rsidRDefault="007E45C5" w:rsidP="007E45C5">
      <w:pPr>
        <w:pStyle w:val="Heading2nonumber"/>
        <w:rPr>
          <w:color w:val="000000"/>
        </w:rPr>
      </w:pPr>
      <w:bookmarkStart w:id="31" w:name="_Toc213147041"/>
      <w:bookmarkStart w:id="32" w:name="_Toc360805140"/>
      <w:r w:rsidRPr="003B3AAB">
        <w:rPr>
          <w:color w:val="000000"/>
        </w:rPr>
        <w:t>Objective</w:t>
      </w:r>
      <w:proofErr w:type="gramStart"/>
      <w:r w:rsidRPr="003B3AAB">
        <w:rPr>
          <w:color w:val="000000"/>
        </w:rPr>
        <w:t>:</w:t>
      </w:r>
      <w:proofErr w:type="gramEnd"/>
      <w:r w:rsidRPr="003B3AAB">
        <w:rPr>
          <w:color w:val="000000"/>
        </w:rPr>
        <w:br/>
        <w:t>Improved regional responses to transboundary development challenges</w:t>
      </w:r>
      <w:bookmarkEnd w:id="31"/>
      <w:bookmarkEnd w:id="32"/>
    </w:p>
    <w:p w:rsidR="007E45C5" w:rsidRPr="003B3AAB" w:rsidRDefault="007E45C5" w:rsidP="007E45C5">
      <w:pPr>
        <w:pStyle w:val="Heading3nonumber"/>
        <w:rPr>
          <w:color w:val="000000"/>
        </w:rPr>
      </w:pPr>
      <w:bookmarkStart w:id="33" w:name="_Toc213147042"/>
      <w:r w:rsidRPr="003B3AAB">
        <w:rPr>
          <w:color w:val="000000"/>
        </w:rPr>
        <w:t>Rating</w:t>
      </w:r>
      <w:bookmarkEnd w:id="33"/>
    </w:p>
    <w:p w:rsidR="007E45C5" w:rsidRPr="003B3AAB" w:rsidRDefault="008508FE" w:rsidP="007E45C5">
      <w:pPr>
        <w:pStyle w:val="HighlightBulletOrange"/>
        <w:rPr>
          <w:color w:val="000000"/>
        </w:rPr>
      </w:pPr>
      <w:r>
        <w:rPr>
          <w:color w:val="000000"/>
        </w:rPr>
        <w:t xml:space="preserve">(amber) </w:t>
      </w:r>
      <w:r w:rsidR="007E45C5" w:rsidRPr="003B3AAB">
        <w:rPr>
          <w:color w:val="000000"/>
        </w:rPr>
        <w:t>The objective will be partly achieved within the timeframe</w:t>
      </w:r>
      <w:r w:rsidR="000F28D7" w:rsidRPr="003B3AAB">
        <w:rPr>
          <w:color w:val="000000"/>
        </w:rPr>
        <w:t>.</w:t>
      </w:r>
    </w:p>
    <w:p w:rsidR="007E45C5" w:rsidRPr="003B3AAB" w:rsidRDefault="000F28D7" w:rsidP="007E45C5">
      <w:pPr>
        <w:pStyle w:val="BodyText"/>
        <w:rPr>
          <w:color w:val="000000"/>
          <w:spacing w:val="-2"/>
        </w:rPr>
      </w:pPr>
      <w:r w:rsidRPr="003B3AAB">
        <w:rPr>
          <w:color w:val="000000"/>
          <w:spacing w:val="-2"/>
        </w:rPr>
        <w:t>The objective of improved regional responses to transboundary development challenges</w:t>
      </w:r>
      <w:r w:rsidR="007E45C5" w:rsidRPr="003B3AAB">
        <w:rPr>
          <w:color w:val="000000"/>
          <w:spacing w:val="-2"/>
        </w:rPr>
        <w:t xml:space="preserve"> encompasses three quite different </w:t>
      </w:r>
      <w:r w:rsidR="00AB44FB" w:rsidRPr="003B3AAB">
        <w:rPr>
          <w:color w:val="000000"/>
          <w:spacing w:val="-2"/>
        </w:rPr>
        <w:t>‘</w:t>
      </w:r>
      <w:r w:rsidR="007E45C5" w:rsidRPr="003B3AAB">
        <w:rPr>
          <w:color w:val="000000"/>
          <w:spacing w:val="-2"/>
        </w:rPr>
        <w:t>intermediate</w:t>
      </w:r>
      <w:r w:rsidR="00AB44FB" w:rsidRPr="003B3AAB">
        <w:rPr>
          <w:color w:val="000000"/>
          <w:spacing w:val="-2"/>
        </w:rPr>
        <w:t>’</w:t>
      </w:r>
      <w:r w:rsidR="007E45C5" w:rsidRPr="003B3AAB">
        <w:rPr>
          <w:color w:val="000000"/>
          <w:spacing w:val="-2"/>
        </w:rPr>
        <w:t xml:space="preserve"> </w:t>
      </w:r>
      <w:r w:rsidRPr="003B3AAB">
        <w:rPr>
          <w:color w:val="000000"/>
          <w:spacing w:val="-2"/>
        </w:rPr>
        <w:t xml:space="preserve">program outcomes that </w:t>
      </w:r>
      <w:r w:rsidR="007E45C5" w:rsidRPr="003B3AAB">
        <w:rPr>
          <w:color w:val="000000"/>
          <w:spacing w:val="-2"/>
        </w:rPr>
        <w:t xml:space="preserve">focus on </w:t>
      </w:r>
      <w:r w:rsidRPr="003B3AAB">
        <w:rPr>
          <w:color w:val="000000"/>
          <w:spacing w:val="-2"/>
        </w:rPr>
        <w:t>disease outbreaks</w:t>
      </w:r>
      <w:r w:rsidR="007E45C5" w:rsidRPr="003B3AAB">
        <w:rPr>
          <w:color w:val="000000"/>
          <w:spacing w:val="-2"/>
        </w:rPr>
        <w:t xml:space="preserve">, </w:t>
      </w:r>
      <w:r w:rsidRPr="003B3AAB">
        <w:rPr>
          <w:color w:val="000000"/>
          <w:spacing w:val="-2"/>
        </w:rPr>
        <w:t xml:space="preserve">transnational crime </w:t>
      </w:r>
      <w:r w:rsidR="007E45C5" w:rsidRPr="003B3AAB">
        <w:rPr>
          <w:color w:val="000000"/>
          <w:spacing w:val="-2"/>
        </w:rPr>
        <w:t xml:space="preserve">and </w:t>
      </w:r>
      <w:r w:rsidRPr="003B3AAB">
        <w:rPr>
          <w:color w:val="000000"/>
          <w:spacing w:val="-2"/>
        </w:rPr>
        <w:t>unanticipated transboundary issues</w:t>
      </w:r>
      <w:r w:rsidR="007E45C5" w:rsidRPr="003B3AAB">
        <w:rPr>
          <w:color w:val="000000"/>
          <w:spacing w:val="-2"/>
        </w:rPr>
        <w:t xml:space="preserve">. The program had neither the </w:t>
      </w:r>
      <w:r w:rsidR="00A545C3" w:rsidRPr="003B3AAB">
        <w:rPr>
          <w:color w:val="000000"/>
          <w:spacing w:val="-2"/>
        </w:rPr>
        <w:t xml:space="preserve">people </w:t>
      </w:r>
      <w:r w:rsidR="007E45C5" w:rsidRPr="003B3AAB">
        <w:rPr>
          <w:color w:val="000000"/>
          <w:spacing w:val="-2"/>
        </w:rPr>
        <w:t xml:space="preserve">nor budgetary resources available to address unanticipated transboundary issues. The amber rating largely reflects the lack of a performance framework and consequent difficulties in defining an </w:t>
      </w:r>
      <w:r w:rsidR="00AB44FB" w:rsidRPr="003B3AAB">
        <w:rPr>
          <w:color w:val="000000"/>
          <w:spacing w:val="-2"/>
        </w:rPr>
        <w:t>‘</w:t>
      </w:r>
      <w:r w:rsidR="007E45C5" w:rsidRPr="003B3AAB">
        <w:rPr>
          <w:color w:val="000000"/>
          <w:spacing w:val="-2"/>
        </w:rPr>
        <w:t>improved regional response</w:t>
      </w:r>
      <w:r w:rsidR="00AB44FB" w:rsidRPr="003B3AAB">
        <w:rPr>
          <w:color w:val="000000"/>
          <w:spacing w:val="-2"/>
        </w:rPr>
        <w:t>’</w:t>
      </w:r>
      <w:r w:rsidR="007E45C5" w:rsidRPr="003B3AAB">
        <w:rPr>
          <w:color w:val="000000"/>
          <w:spacing w:val="-2"/>
        </w:rPr>
        <w:t>.</w:t>
      </w:r>
      <w:r w:rsidR="00AB44FB" w:rsidRPr="003B3AAB">
        <w:rPr>
          <w:color w:val="000000"/>
          <w:spacing w:val="-2"/>
        </w:rPr>
        <w:t xml:space="preserve"> </w:t>
      </w:r>
      <w:r w:rsidR="007E45C5" w:rsidRPr="003B3AAB">
        <w:rPr>
          <w:color w:val="000000"/>
          <w:spacing w:val="-2"/>
        </w:rPr>
        <w:t>While the capacity of regional partners to respond to a wide range of transboundary threats is improving, there is no target against which progress can be measured.</w:t>
      </w:r>
      <w:r w:rsidR="00AB44FB" w:rsidRPr="003B3AAB">
        <w:rPr>
          <w:color w:val="000000"/>
          <w:spacing w:val="-2"/>
        </w:rPr>
        <w:t xml:space="preserve"> </w:t>
      </w:r>
      <w:r w:rsidR="007E45C5" w:rsidRPr="003B3AAB">
        <w:rPr>
          <w:color w:val="000000"/>
          <w:spacing w:val="-2"/>
        </w:rPr>
        <w:t>Attribution of results in sectors with multiple other donors also presents a challenge.</w:t>
      </w:r>
    </w:p>
    <w:p w:rsidR="000F28D7" w:rsidRPr="003B3AAB" w:rsidRDefault="000F28D7" w:rsidP="000F28D7">
      <w:pPr>
        <w:pStyle w:val="Heading3nonumber"/>
        <w:rPr>
          <w:color w:val="000000"/>
        </w:rPr>
      </w:pPr>
      <w:bookmarkStart w:id="34" w:name="_Toc213147043"/>
      <w:r w:rsidRPr="003B3AAB">
        <w:rPr>
          <w:color w:val="000000"/>
        </w:rPr>
        <w:t>Assessment of results and performance</w:t>
      </w:r>
      <w:bookmarkEnd w:id="34"/>
    </w:p>
    <w:p w:rsidR="007E45C5" w:rsidRPr="003B3AAB" w:rsidRDefault="007E45C5" w:rsidP="00E84F8A">
      <w:pPr>
        <w:pStyle w:val="Heading4"/>
        <w:numPr>
          <w:ilvl w:val="3"/>
          <w:numId w:val="16"/>
        </w:numPr>
        <w:spacing w:before="240"/>
        <w:ind w:left="0"/>
        <w:rPr>
          <w:color w:val="000000"/>
        </w:rPr>
      </w:pPr>
      <w:bookmarkStart w:id="35" w:name="_Toc213147044"/>
      <w:r w:rsidRPr="003B3AAB">
        <w:rPr>
          <w:color w:val="000000"/>
        </w:rPr>
        <w:t xml:space="preserve">Disease </w:t>
      </w:r>
      <w:r w:rsidR="00A545C3" w:rsidRPr="003B3AAB">
        <w:rPr>
          <w:color w:val="000000"/>
        </w:rPr>
        <w:t>outbreaks—</w:t>
      </w:r>
      <w:r w:rsidRPr="003B3AAB">
        <w:rPr>
          <w:color w:val="000000"/>
        </w:rPr>
        <w:t>improved regional response to HIV/AIDS and emerging health issues (especially zoonotic diseases)</w:t>
      </w:r>
      <w:bookmarkEnd w:id="35"/>
    </w:p>
    <w:p w:rsidR="00526193" w:rsidRPr="003B3AAB" w:rsidRDefault="007E45C5" w:rsidP="007E45C5">
      <w:pPr>
        <w:pStyle w:val="BodyText"/>
        <w:rPr>
          <w:color w:val="000000"/>
        </w:rPr>
      </w:pPr>
      <w:r w:rsidRPr="003B3AAB">
        <w:rPr>
          <w:color w:val="000000"/>
        </w:rPr>
        <w:t xml:space="preserve">The </w:t>
      </w:r>
      <w:r w:rsidR="00346C8E" w:rsidRPr="003B3AAB">
        <w:rPr>
          <w:color w:val="000000"/>
        </w:rPr>
        <w:t xml:space="preserve">regional </w:t>
      </w:r>
      <w:r w:rsidRPr="003B3AAB">
        <w:rPr>
          <w:color w:val="000000"/>
        </w:rPr>
        <w:t xml:space="preserve">program focuses on only one aspect of </w:t>
      </w:r>
      <w:r w:rsidRPr="003B3AAB">
        <w:rPr>
          <w:b/>
          <w:color w:val="000000"/>
        </w:rPr>
        <w:t>HIV/AIDS</w:t>
      </w:r>
      <w:r w:rsidR="008E1185" w:rsidRPr="003B3AAB">
        <w:rPr>
          <w:color w:val="000000"/>
        </w:rPr>
        <w:t>—</w:t>
      </w:r>
      <w:r w:rsidRPr="003B3AAB">
        <w:rPr>
          <w:color w:val="000000"/>
        </w:rPr>
        <w:t>reducing the incidence of transmission through injecting drug use.</w:t>
      </w:r>
      <w:r w:rsidR="00AB44FB" w:rsidRPr="003B3AAB">
        <w:rPr>
          <w:color w:val="000000"/>
        </w:rPr>
        <w:t xml:space="preserve"> </w:t>
      </w:r>
      <w:r w:rsidRPr="003B3AAB">
        <w:rPr>
          <w:color w:val="000000"/>
        </w:rPr>
        <w:t xml:space="preserve">A regional approach is used to tackle this sensitive issue through advocacy, regional action and the demonstration of effective responses. During </w:t>
      </w:r>
      <w:r w:rsidR="008E1185" w:rsidRPr="003B3AAB">
        <w:rPr>
          <w:color w:val="000000"/>
        </w:rPr>
        <w:t>2007–08</w:t>
      </w:r>
      <w:r w:rsidRPr="003B3AAB">
        <w:rPr>
          <w:color w:val="000000"/>
        </w:rPr>
        <w:t>, a pilot activity</w:t>
      </w:r>
      <w:r w:rsidR="00825E2D" w:rsidRPr="003B3AAB">
        <w:rPr>
          <w:color w:val="000000"/>
        </w:rPr>
        <w:t>—</w:t>
      </w:r>
      <w:r w:rsidRPr="003B3AAB">
        <w:rPr>
          <w:color w:val="000000"/>
        </w:rPr>
        <w:t>the Asia Regional HIV/AIDS Program</w:t>
      </w:r>
      <w:r w:rsidR="00825E2D" w:rsidRPr="003B3AAB">
        <w:rPr>
          <w:color w:val="000000"/>
        </w:rPr>
        <w:t>—</w:t>
      </w:r>
      <w:r w:rsidRPr="003B3AAB">
        <w:rPr>
          <w:color w:val="000000"/>
        </w:rPr>
        <w:t xml:space="preserve">was succeeded by the major HIV/AIDS Asia </w:t>
      </w:r>
      <w:r w:rsidRPr="003B3AAB">
        <w:rPr>
          <w:color w:val="000000"/>
        </w:rPr>
        <w:lastRenderedPageBreak/>
        <w:t xml:space="preserve">Regional Program. The independent completion report </w:t>
      </w:r>
      <w:r w:rsidR="00526193" w:rsidRPr="003B3AAB">
        <w:rPr>
          <w:color w:val="000000"/>
        </w:rPr>
        <w:t xml:space="preserve">on the pilot program </w:t>
      </w:r>
      <w:r w:rsidRPr="003B3AAB">
        <w:rPr>
          <w:color w:val="000000"/>
        </w:rPr>
        <w:t>noted that</w:t>
      </w:r>
      <w:r w:rsidR="00526193" w:rsidRPr="003B3AAB">
        <w:rPr>
          <w:color w:val="000000"/>
        </w:rPr>
        <w:t>:</w:t>
      </w:r>
    </w:p>
    <w:p w:rsidR="00526193" w:rsidRPr="003B3AAB" w:rsidRDefault="007E45C5" w:rsidP="00A448C0">
      <w:pPr>
        <w:pStyle w:val="StyleListBulletBlack"/>
      </w:pPr>
      <w:r w:rsidRPr="003B3AAB">
        <w:t>an enabling environment had been established in all target countries (</w:t>
      </w:r>
      <w:smartTag w:uri="urn:schemas-microsoft-com:office:smarttags" w:element="country-region">
        <w:r w:rsidRPr="003B3AAB">
          <w:t>China</w:t>
        </w:r>
      </w:smartTag>
      <w:r w:rsidRPr="003B3AAB">
        <w:t xml:space="preserve">, </w:t>
      </w:r>
      <w:smartTag w:uri="urn:schemas-microsoft-com:office:smarttags" w:element="country-region">
        <w:r w:rsidRPr="003B3AAB">
          <w:t>Burma</w:t>
        </w:r>
      </w:smartTag>
      <w:r w:rsidR="00526193" w:rsidRPr="003B3AAB">
        <w:t xml:space="preserve"> and</w:t>
      </w:r>
      <w:r w:rsidRPr="003B3AAB">
        <w:t xml:space="preserve"> </w:t>
      </w:r>
      <w:smartTag w:uri="urn:schemas-microsoft-com:office:smarttags" w:element="country-region">
        <w:smartTag w:uri="urn:schemas-microsoft-com:office:smarttags" w:element="place">
          <w:r w:rsidRPr="003B3AAB">
            <w:t>Vietnam</w:t>
          </w:r>
        </w:smartTag>
      </w:smartTag>
      <w:r w:rsidRPr="003B3AAB">
        <w:t>)</w:t>
      </w:r>
      <w:r w:rsidR="00346C8E" w:rsidRPr="003B3AAB">
        <w:t>,</w:t>
      </w:r>
      <w:r w:rsidRPr="003B3AAB">
        <w:t xml:space="preserve"> culminating in policy and legislative changes to facilitate </w:t>
      </w:r>
      <w:r w:rsidR="00526193" w:rsidRPr="003B3AAB">
        <w:t xml:space="preserve">the </w:t>
      </w:r>
      <w:r w:rsidRPr="003B3AAB">
        <w:t>widespread introduction of harm</w:t>
      </w:r>
      <w:r w:rsidR="00526193" w:rsidRPr="003B3AAB">
        <w:t>-</w:t>
      </w:r>
      <w:r w:rsidRPr="003B3AAB">
        <w:t>reduction programs</w:t>
      </w:r>
    </w:p>
    <w:p w:rsidR="00526193" w:rsidRPr="003B3AAB" w:rsidRDefault="007E45C5" w:rsidP="00A448C0">
      <w:pPr>
        <w:pStyle w:val="StyleListBulletBlack"/>
      </w:pPr>
      <w:r w:rsidRPr="003B3AAB">
        <w:t>harm</w:t>
      </w:r>
      <w:r w:rsidR="00526193" w:rsidRPr="003B3AAB">
        <w:t>-</w:t>
      </w:r>
      <w:r w:rsidRPr="003B3AAB">
        <w:t xml:space="preserve">reduction clinics were providing services to </w:t>
      </w:r>
      <w:r w:rsidR="00526193" w:rsidRPr="003B3AAB">
        <w:t xml:space="preserve">more than </w:t>
      </w:r>
      <w:r w:rsidRPr="003B3AAB">
        <w:t>15</w:t>
      </w:r>
      <w:r w:rsidR="00526193" w:rsidRPr="003B3AAB">
        <w:t> </w:t>
      </w:r>
      <w:r w:rsidRPr="003B3AAB">
        <w:t>000 known injecting drug users</w:t>
      </w:r>
    </w:p>
    <w:p w:rsidR="00526193" w:rsidRPr="003B3AAB" w:rsidRDefault="007E45C5" w:rsidP="00A448C0">
      <w:pPr>
        <w:pStyle w:val="StyleListBulletBlack"/>
      </w:pPr>
      <w:r w:rsidRPr="003B3AAB">
        <w:t xml:space="preserve">clinics in </w:t>
      </w:r>
      <w:smartTag w:uri="urn:schemas-microsoft-com:office:smarttags" w:element="country-region">
        <w:smartTag w:uri="urn:schemas-microsoft-com:office:smarttags" w:element="place">
          <w:r w:rsidRPr="003B3AAB">
            <w:t>China</w:t>
          </w:r>
        </w:smartTag>
      </w:smartTag>
      <w:r w:rsidRPr="003B3AAB">
        <w:t xml:space="preserve"> were working closely with government methadone programs and acting as demonstration centres for officials from other provinces and countries</w:t>
      </w:r>
    </w:p>
    <w:p w:rsidR="00526193" w:rsidRPr="003B3AAB" w:rsidRDefault="007E45C5" w:rsidP="00A448C0">
      <w:pPr>
        <w:pStyle w:val="StyleListBulletBlack"/>
      </w:pPr>
      <w:proofErr w:type="gramStart"/>
      <w:r w:rsidRPr="003B3AAB">
        <w:t>information</w:t>
      </w:r>
      <w:proofErr w:type="gramEnd"/>
      <w:r w:rsidRPr="003B3AAB">
        <w:t xml:space="preserve"> resulting from evaluations was being shared with the international community.</w:t>
      </w:r>
      <w:r w:rsidR="00AB44FB" w:rsidRPr="003B3AAB">
        <w:t xml:space="preserve"> </w:t>
      </w:r>
    </w:p>
    <w:p w:rsidR="007E45C5" w:rsidRPr="003B3AAB" w:rsidRDefault="007E45C5" w:rsidP="00526193">
      <w:pPr>
        <w:pStyle w:val="BodyText"/>
        <w:spacing w:before="80"/>
        <w:rPr>
          <w:color w:val="000000"/>
        </w:rPr>
      </w:pPr>
      <w:r w:rsidRPr="003B3AAB">
        <w:rPr>
          <w:color w:val="000000"/>
        </w:rPr>
        <w:t xml:space="preserve">The gender strategy was sound, with sex-disaggregated data collected and used to inform programming. A gender specialist has been engaged </w:t>
      </w:r>
      <w:r w:rsidR="00526193" w:rsidRPr="003B3AAB">
        <w:rPr>
          <w:color w:val="000000"/>
        </w:rPr>
        <w:t xml:space="preserve">for the HIV/AIDS Asia Regional Program </w:t>
      </w:r>
      <w:r w:rsidRPr="003B3AAB">
        <w:rPr>
          <w:color w:val="000000"/>
        </w:rPr>
        <w:t xml:space="preserve">to prepare a comprehensive gender analysis framework, building on data and approaches trialled under </w:t>
      </w:r>
      <w:r w:rsidR="00526193" w:rsidRPr="003B3AAB">
        <w:rPr>
          <w:color w:val="000000"/>
        </w:rPr>
        <w:t>the pilot program</w:t>
      </w:r>
      <w:r w:rsidRPr="003B3AAB">
        <w:rPr>
          <w:color w:val="000000"/>
        </w:rPr>
        <w:t>.</w:t>
      </w:r>
    </w:p>
    <w:p w:rsidR="007E45C5" w:rsidRPr="003B3AAB" w:rsidRDefault="00526193" w:rsidP="007E45C5">
      <w:pPr>
        <w:pStyle w:val="BodyText"/>
        <w:rPr>
          <w:color w:val="000000"/>
          <w:spacing w:val="-2"/>
        </w:rPr>
      </w:pPr>
      <w:r w:rsidRPr="003B3AAB">
        <w:rPr>
          <w:color w:val="000000"/>
          <w:spacing w:val="-2"/>
        </w:rPr>
        <w:t xml:space="preserve">The current program </w:t>
      </w:r>
      <w:r w:rsidR="007E45C5" w:rsidRPr="003B3AAB">
        <w:rPr>
          <w:color w:val="000000"/>
          <w:spacing w:val="-2"/>
        </w:rPr>
        <w:t xml:space="preserve">will build on the </w:t>
      </w:r>
      <w:r w:rsidRPr="003B3AAB">
        <w:rPr>
          <w:color w:val="000000"/>
          <w:spacing w:val="-2"/>
        </w:rPr>
        <w:t xml:space="preserve">pilot’s </w:t>
      </w:r>
      <w:r w:rsidR="007E45C5" w:rsidRPr="003B3AAB">
        <w:rPr>
          <w:color w:val="000000"/>
          <w:spacing w:val="-2"/>
        </w:rPr>
        <w:t>success and extend its geographic focus, but it is too early to assess progress. It has received considerable interest and endorsement from other donors</w:t>
      </w:r>
      <w:r w:rsidRPr="003B3AAB">
        <w:rPr>
          <w:color w:val="000000"/>
          <w:spacing w:val="-2"/>
        </w:rPr>
        <w:t>,</w:t>
      </w:r>
      <w:r w:rsidR="007E45C5" w:rsidRPr="003B3AAB">
        <w:rPr>
          <w:color w:val="000000"/>
          <w:spacing w:val="-2"/>
        </w:rPr>
        <w:t xml:space="preserve"> the </w:t>
      </w:r>
      <w:smartTag w:uri="urn:schemas-microsoft-com:office:smarttags" w:element="country-region">
        <w:r w:rsidRPr="003B3AAB">
          <w:rPr>
            <w:color w:val="000000"/>
            <w:spacing w:val="-2"/>
          </w:rPr>
          <w:t>Netherlands</w:t>
        </w:r>
      </w:smartTag>
      <w:r w:rsidRPr="003B3AAB">
        <w:rPr>
          <w:color w:val="000000"/>
          <w:spacing w:val="-2"/>
        </w:rPr>
        <w:t xml:space="preserve"> </w:t>
      </w:r>
      <w:r w:rsidR="007E45C5" w:rsidRPr="003B3AAB">
        <w:rPr>
          <w:color w:val="000000"/>
          <w:spacing w:val="-2"/>
        </w:rPr>
        <w:t xml:space="preserve">having provided in-principle agreement to provide </w:t>
      </w:r>
      <w:r w:rsidRPr="003B3AAB">
        <w:rPr>
          <w:color w:val="000000"/>
          <w:spacing w:val="-2"/>
        </w:rPr>
        <w:t>€</w:t>
      </w:r>
      <w:r w:rsidR="007E45C5" w:rsidRPr="003B3AAB">
        <w:rPr>
          <w:color w:val="000000"/>
          <w:spacing w:val="-2"/>
        </w:rPr>
        <w:t>4</w:t>
      </w:r>
      <w:r w:rsidRPr="003B3AAB">
        <w:rPr>
          <w:color w:val="000000"/>
          <w:spacing w:val="-2"/>
        </w:rPr>
        <w:t> </w:t>
      </w:r>
      <w:r w:rsidR="007E45C5" w:rsidRPr="003B3AAB">
        <w:rPr>
          <w:color w:val="000000"/>
          <w:spacing w:val="-2"/>
        </w:rPr>
        <w:t>m</w:t>
      </w:r>
      <w:r w:rsidRPr="003B3AAB">
        <w:rPr>
          <w:color w:val="000000"/>
          <w:spacing w:val="-2"/>
        </w:rPr>
        <w:t>illion</w:t>
      </w:r>
      <w:r w:rsidR="007E45C5" w:rsidRPr="003B3AAB">
        <w:rPr>
          <w:color w:val="000000"/>
          <w:spacing w:val="-2"/>
        </w:rPr>
        <w:t xml:space="preserve"> </w:t>
      </w:r>
      <w:r w:rsidRPr="003B3AAB">
        <w:rPr>
          <w:color w:val="000000"/>
          <w:spacing w:val="-2"/>
        </w:rPr>
        <w:t xml:space="preserve">to </w:t>
      </w:r>
      <w:smartTag w:uri="urn:schemas-microsoft-com:office:smarttags" w:element="country-region">
        <w:r w:rsidR="007E45C5" w:rsidRPr="003B3AAB">
          <w:rPr>
            <w:color w:val="000000"/>
            <w:spacing w:val="-2"/>
          </w:rPr>
          <w:t>Vietnam</w:t>
        </w:r>
      </w:smartTag>
      <w:r w:rsidR="007E45C5" w:rsidRPr="003B3AAB">
        <w:rPr>
          <w:color w:val="000000"/>
          <w:spacing w:val="-2"/>
        </w:rPr>
        <w:t xml:space="preserve">, and discussions with </w:t>
      </w:r>
      <w:smartTag w:uri="urn:schemas-microsoft-com:office:smarttags" w:element="country-region">
        <w:smartTag w:uri="urn:schemas-microsoft-com:office:smarttags" w:element="place">
          <w:r w:rsidR="007E45C5" w:rsidRPr="003B3AAB">
            <w:rPr>
              <w:color w:val="000000"/>
              <w:spacing w:val="-2"/>
            </w:rPr>
            <w:t>Sweden</w:t>
          </w:r>
        </w:smartTag>
      </w:smartTag>
      <w:r w:rsidR="007E45C5" w:rsidRPr="003B3AAB">
        <w:rPr>
          <w:color w:val="000000"/>
          <w:spacing w:val="-2"/>
        </w:rPr>
        <w:t xml:space="preserve"> are under</w:t>
      </w:r>
      <w:r w:rsidRPr="003B3AAB">
        <w:rPr>
          <w:color w:val="000000"/>
          <w:spacing w:val="-2"/>
        </w:rPr>
        <w:t xml:space="preserve"> </w:t>
      </w:r>
      <w:r w:rsidR="007E45C5" w:rsidRPr="003B3AAB">
        <w:rPr>
          <w:color w:val="000000"/>
          <w:spacing w:val="-2"/>
        </w:rPr>
        <w:t>way in regard to possible pooled funding.</w:t>
      </w:r>
      <w:r w:rsidR="00AB44FB" w:rsidRPr="003B3AAB">
        <w:rPr>
          <w:color w:val="000000"/>
          <w:spacing w:val="-2"/>
        </w:rPr>
        <w:t xml:space="preserve"> </w:t>
      </w:r>
      <w:r w:rsidRPr="003B3AAB">
        <w:rPr>
          <w:color w:val="000000"/>
          <w:spacing w:val="-2"/>
        </w:rPr>
        <w:t xml:space="preserve">The program’s </w:t>
      </w:r>
      <w:r w:rsidR="007E45C5" w:rsidRPr="003B3AAB">
        <w:rPr>
          <w:color w:val="000000"/>
          <w:spacing w:val="-2"/>
        </w:rPr>
        <w:t>progress at a country level is on target</w:t>
      </w:r>
      <w:r w:rsidRPr="003B3AAB">
        <w:rPr>
          <w:color w:val="000000"/>
          <w:spacing w:val="-2"/>
        </w:rPr>
        <w:t>.</w:t>
      </w:r>
      <w:r w:rsidR="007E45C5" w:rsidRPr="003B3AAB">
        <w:rPr>
          <w:color w:val="000000"/>
          <w:spacing w:val="-2"/>
        </w:rPr>
        <w:t xml:space="preserve"> </w:t>
      </w:r>
      <w:r w:rsidRPr="003B3AAB">
        <w:rPr>
          <w:color w:val="000000"/>
          <w:spacing w:val="-2"/>
        </w:rPr>
        <w:t>H</w:t>
      </w:r>
      <w:r w:rsidR="007E45C5" w:rsidRPr="003B3AAB">
        <w:rPr>
          <w:color w:val="000000"/>
          <w:spacing w:val="-2"/>
        </w:rPr>
        <w:t>owever</w:t>
      </w:r>
      <w:r w:rsidRPr="003B3AAB">
        <w:rPr>
          <w:color w:val="000000"/>
          <w:spacing w:val="-2"/>
        </w:rPr>
        <w:t>,</w:t>
      </w:r>
      <w:r w:rsidR="007E45C5" w:rsidRPr="003B3AAB">
        <w:rPr>
          <w:color w:val="000000"/>
          <w:spacing w:val="-2"/>
        </w:rPr>
        <w:t xml:space="preserve"> difficulties in negotiating a</w:t>
      </w:r>
      <w:r w:rsidRPr="003B3AAB">
        <w:rPr>
          <w:color w:val="000000"/>
          <w:spacing w:val="-2"/>
        </w:rPr>
        <w:t xml:space="preserve"> memorandum of understanding</w:t>
      </w:r>
      <w:r w:rsidR="007E45C5" w:rsidRPr="003B3AAB">
        <w:rPr>
          <w:color w:val="000000"/>
          <w:spacing w:val="-2"/>
        </w:rPr>
        <w:t xml:space="preserve"> with </w:t>
      </w:r>
      <w:smartTag w:uri="urn:schemas-microsoft-com:office:smarttags" w:element="country-region">
        <w:r w:rsidR="007E45C5" w:rsidRPr="003B3AAB">
          <w:rPr>
            <w:color w:val="000000"/>
            <w:spacing w:val="-2"/>
          </w:rPr>
          <w:t>Thailand</w:t>
        </w:r>
      </w:smartTag>
      <w:r w:rsidR="007E45C5" w:rsidRPr="003B3AAB">
        <w:rPr>
          <w:color w:val="000000"/>
          <w:spacing w:val="-2"/>
        </w:rPr>
        <w:t xml:space="preserve"> have jeopardised the establishment of the Regional Technical and Coordination Unit in </w:t>
      </w:r>
      <w:smartTag w:uri="urn:schemas-microsoft-com:office:smarttags" w:element="City">
        <w:smartTag w:uri="urn:schemas-microsoft-com:office:smarttags" w:element="place">
          <w:r w:rsidR="007E45C5" w:rsidRPr="003B3AAB">
            <w:rPr>
              <w:color w:val="000000"/>
              <w:spacing w:val="-2"/>
            </w:rPr>
            <w:t>Bangkok</w:t>
          </w:r>
        </w:smartTag>
      </w:smartTag>
      <w:r w:rsidR="007E45C5" w:rsidRPr="003B3AAB">
        <w:rPr>
          <w:color w:val="000000"/>
          <w:spacing w:val="-2"/>
        </w:rPr>
        <w:t xml:space="preserve"> and may have serious implications for the original design of the program.</w:t>
      </w:r>
      <w:r w:rsidR="00AB44FB" w:rsidRPr="003B3AAB">
        <w:rPr>
          <w:color w:val="000000"/>
          <w:spacing w:val="-2"/>
        </w:rPr>
        <w:t xml:space="preserve"> </w:t>
      </w:r>
    </w:p>
    <w:p w:rsidR="007E45C5" w:rsidRPr="003B3AAB" w:rsidRDefault="007E45C5" w:rsidP="007E45C5">
      <w:pPr>
        <w:pStyle w:val="BodyText"/>
        <w:rPr>
          <w:color w:val="000000"/>
        </w:rPr>
      </w:pPr>
      <w:r w:rsidRPr="003B3AAB">
        <w:rPr>
          <w:color w:val="000000"/>
        </w:rPr>
        <w:t xml:space="preserve">The </w:t>
      </w:r>
      <w:r w:rsidR="00526193" w:rsidRPr="003B3AAB">
        <w:rPr>
          <w:color w:val="000000"/>
        </w:rPr>
        <w:t xml:space="preserve">suite of activities on </w:t>
      </w:r>
      <w:r w:rsidR="00526193" w:rsidRPr="003B3AAB">
        <w:rPr>
          <w:b/>
          <w:color w:val="000000"/>
        </w:rPr>
        <w:t>emerging infectious diseases</w:t>
      </w:r>
      <w:r w:rsidRPr="003B3AAB">
        <w:rPr>
          <w:color w:val="000000"/>
        </w:rPr>
        <w:t xml:space="preserve"> is laying the groundwork, with partners, for improving regional capacity to anticipate and respond to </w:t>
      </w:r>
      <w:r w:rsidR="00526193" w:rsidRPr="003B3AAB">
        <w:rPr>
          <w:color w:val="000000"/>
        </w:rPr>
        <w:t xml:space="preserve">such diseases </w:t>
      </w:r>
      <w:r w:rsidRPr="003B3AAB">
        <w:rPr>
          <w:color w:val="000000"/>
        </w:rPr>
        <w:t>through preparedness, surveillance, reporting and early response, particularly with respect to avian influenza and foot and mouth disease.</w:t>
      </w:r>
      <w:r w:rsidR="00AB44FB" w:rsidRPr="003B3AAB">
        <w:rPr>
          <w:color w:val="000000"/>
        </w:rPr>
        <w:t xml:space="preserve"> </w:t>
      </w:r>
      <w:r w:rsidRPr="003B3AAB">
        <w:rPr>
          <w:color w:val="000000"/>
        </w:rPr>
        <w:t>It should be noted that these activities complem</w:t>
      </w:r>
      <w:r w:rsidR="00AB44FB" w:rsidRPr="003B3AAB">
        <w:rPr>
          <w:color w:val="000000"/>
        </w:rPr>
        <w:t>ent a range of national and sub</w:t>
      </w:r>
      <w:r w:rsidRPr="003B3AAB">
        <w:rPr>
          <w:color w:val="000000"/>
        </w:rPr>
        <w:t xml:space="preserve">national activities implemented under </w:t>
      </w:r>
      <w:smartTag w:uri="urn:schemas-microsoft-com:office:smarttags" w:element="country-region">
        <w:smartTag w:uri="urn:schemas-microsoft-com:office:smarttags" w:element="place">
          <w:r w:rsidRPr="003B3AAB">
            <w:rPr>
              <w:color w:val="000000"/>
            </w:rPr>
            <w:t>Australia</w:t>
          </w:r>
        </w:smartTag>
      </w:smartTag>
      <w:r w:rsidRPr="003B3AAB">
        <w:rPr>
          <w:color w:val="000000"/>
        </w:rPr>
        <w:t xml:space="preserve">’s bilateral </w:t>
      </w:r>
      <w:r w:rsidR="00BE0F57" w:rsidRPr="003B3AAB">
        <w:rPr>
          <w:color w:val="000000"/>
        </w:rPr>
        <w:t xml:space="preserve">aid </w:t>
      </w:r>
      <w:r w:rsidRPr="003B3AAB">
        <w:rPr>
          <w:color w:val="000000"/>
        </w:rPr>
        <w:t>programs</w:t>
      </w:r>
      <w:r w:rsidR="00BE0F57" w:rsidRPr="003B3AAB">
        <w:rPr>
          <w:color w:val="000000"/>
        </w:rPr>
        <w:t xml:space="preserve"> and are</w:t>
      </w:r>
      <w:r w:rsidRPr="003B3AAB">
        <w:rPr>
          <w:color w:val="000000"/>
        </w:rPr>
        <w:t xml:space="preserve"> consistent with the Pandemics and Emerging Infectious Diseases Strategy 2006</w:t>
      </w:r>
      <w:r w:rsidR="00BE0F57" w:rsidRPr="003B3AAB">
        <w:rPr>
          <w:color w:val="000000"/>
        </w:rPr>
        <w:t>–</w:t>
      </w:r>
      <w:r w:rsidRPr="003B3AAB">
        <w:rPr>
          <w:color w:val="000000"/>
        </w:rPr>
        <w:t>2010 and the efforts of a large number of other bilateral and multilateral donors.</w:t>
      </w:r>
    </w:p>
    <w:p w:rsidR="007E45C5" w:rsidRPr="003B3AAB" w:rsidRDefault="007E45C5" w:rsidP="007E45C5">
      <w:pPr>
        <w:pStyle w:val="BodyText"/>
        <w:rPr>
          <w:color w:val="000000"/>
        </w:rPr>
      </w:pPr>
      <w:r w:rsidRPr="003B3AAB">
        <w:rPr>
          <w:color w:val="000000"/>
        </w:rPr>
        <w:t>Under the Asia-Pacific Strategy for Emerging Diseases</w:t>
      </w:r>
      <w:r w:rsidR="00BE0F57" w:rsidRPr="003B3AAB">
        <w:rPr>
          <w:color w:val="000000"/>
        </w:rPr>
        <w:t>,</w:t>
      </w:r>
      <w:r w:rsidRPr="003B3AAB">
        <w:rPr>
          <w:color w:val="000000"/>
        </w:rPr>
        <w:t xml:space="preserve"> </w:t>
      </w:r>
      <w:r w:rsidR="00526193" w:rsidRPr="003B3AAB">
        <w:rPr>
          <w:color w:val="000000"/>
        </w:rPr>
        <w:t xml:space="preserve">pandemic preparedness exercises </w:t>
      </w:r>
      <w:r w:rsidRPr="003B3AAB">
        <w:rPr>
          <w:color w:val="000000"/>
        </w:rPr>
        <w:t>were held in 2007 and 2008</w:t>
      </w:r>
      <w:r w:rsidR="00BE0F57" w:rsidRPr="003B3AAB">
        <w:rPr>
          <w:color w:val="000000"/>
        </w:rPr>
        <w:t>,</w:t>
      </w:r>
      <w:r w:rsidRPr="003B3AAB">
        <w:rPr>
          <w:color w:val="000000"/>
        </w:rPr>
        <w:t xml:space="preserve"> which identified gaps in country preparation for rapid containment </w:t>
      </w:r>
      <w:r w:rsidR="00BE0F57" w:rsidRPr="003B3AAB">
        <w:rPr>
          <w:color w:val="000000"/>
        </w:rPr>
        <w:t xml:space="preserve">operations </w:t>
      </w:r>
      <w:r w:rsidRPr="003B3AAB">
        <w:rPr>
          <w:color w:val="000000"/>
        </w:rPr>
        <w:t xml:space="preserve">and assisted </w:t>
      </w:r>
      <w:r w:rsidR="00BE0F57" w:rsidRPr="003B3AAB">
        <w:rPr>
          <w:color w:val="000000"/>
        </w:rPr>
        <w:t xml:space="preserve">with </w:t>
      </w:r>
      <w:r w:rsidRPr="003B3AAB">
        <w:rPr>
          <w:color w:val="000000"/>
        </w:rPr>
        <w:t xml:space="preserve">the development of national protocols for </w:t>
      </w:r>
      <w:r w:rsidR="00346C8E" w:rsidRPr="003B3AAB">
        <w:rPr>
          <w:color w:val="000000"/>
        </w:rPr>
        <w:t>such</w:t>
      </w:r>
      <w:r w:rsidRPr="003B3AAB">
        <w:rPr>
          <w:color w:val="000000"/>
        </w:rPr>
        <w:t xml:space="preserve"> operation</w:t>
      </w:r>
      <w:r w:rsidR="00BE0F57" w:rsidRPr="003B3AAB">
        <w:rPr>
          <w:color w:val="000000"/>
        </w:rPr>
        <w:t>s</w:t>
      </w:r>
      <w:r w:rsidRPr="003B3AAB">
        <w:rPr>
          <w:color w:val="000000"/>
        </w:rPr>
        <w:t>.</w:t>
      </w:r>
      <w:r w:rsidR="00AB44FB" w:rsidRPr="003B3AAB">
        <w:rPr>
          <w:color w:val="000000"/>
        </w:rPr>
        <w:t xml:space="preserve"> </w:t>
      </w:r>
      <w:r w:rsidRPr="003B3AAB">
        <w:rPr>
          <w:color w:val="000000"/>
        </w:rPr>
        <w:t xml:space="preserve">Also under </w:t>
      </w:r>
      <w:r w:rsidR="00346C8E" w:rsidRPr="003B3AAB">
        <w:rPr>
          <w:color w:val="000000"/>
        </w:rPr>
        <w:t>this</w:t>
      </w:r>
      <w:r w:rsidR="00BE0F57" w:rsidRPr="003B3AAB">
        <w:rPr>
          <w:color w:val="000000"/>
        </w:rPr>
        <w:t xml:space="preserve"> </w:t>
      </w:r>
      <w:r w:rsidR="00346C8E" w:rsidRPr="003B3AAB">
        <w:rPr>
          <w:color w:val="000000"/>
        </w:rPr>
        <w:t>strategy</w:t>
      </w:r>
      <w:r w:rsidR="00BE0F57" w:rsidRPr="003B3AAB">
        <w:rPr>
          <w:color w:val="000000"/>
        </w:rPr>
        <w:t xml:space="preserve">, </w:t>
      </w:r>
      <w:r w:rsidRPr="003B3AAB">
        <w:rPr>
          <w:color w:val="000000"/>
        </w:rPr>
        <w:t>the World Health Organi</w:t>
      </w:r>
      <w:r w:rsidR="00BE0F57" w:rsidRPr="003B3AAB">
        <w:rPr>
          <w:color w:val="000000"/>
        </w:rPr>
        <w:t>z</w:t>
      </w:r>
      <w:r w:rsidRPr="003B3AAB">
        <w:rPr>
          <w:color w:val="000000"/>
        </w:rPr>
        <w:t>ation provided technical support to develop and strengthen national event-based surveillance</w:t>
      </w:r>
      <w:r w:rsidR="00BE0F57" w:rsidRPr="003B3AAB">
        <w:rPr>
          <w:color w:val="000000"/>
        </w:rPr>
        <w:t>, which</w:t>
      </w:r>
      <w:r w:rsidRPr="003B3AAB">
        <w:rPr>
          <w:color w:val="000000"/>
        </w:rPr>
        <w:t xml:space="preserve"> assist</w:t>
      </w:r>
      <w:r w:rsidR="00BE0F57" w:rsidRPr="003B3AAB">
        <w:rPr>
          <w:color w:val="000000"/>
        </w:rPr>
        <w:t>ed</w:t>
      </w:r>
      <w:r w:rsidRPr="003B3AAB">
        <w:rPr>
          <w:color w:val="000000"/>
        </w:rPr>
        <w:t xml:space="preserve"> countries in the region to develop and strengthen their influenza surveillance systems and to undertake influenza disease burden studies. It further developed a regional framework </w:t>
      </w:r>
      <w:r w:rsidR="00BE0F57" w:rsidRPr="003B3AAB">
        <w:rPr>
          <w:color w:val="000000"/>
        </w:rPr>
        <w:t>to improve</w:t>
      </w:r>
      <w:r w:rsidRPr="003B3AAB">
        <w:rPr>
          <w:color w:val="000000"/>
        </w:rPr>
        <w:t xml:space="preserve"> training and </w:t>
      </w:r>
      <w:r w:rsidRPr="003B3AAB">
        <w:rPr>
          <w:color w:val="000000"/>
        </w:rPr>
        <w:lastRenderedPageBreak/>
        <w:t>conducted regional and national training on risk communication and field epidemiology.</w:t>
      </w:r>
      <w:r w:rsidR="00AB44FB" w:rsidRPr="003B3AAB">
        <w:rPr>
          <w:color w:val="000000"/>
        </w:rPr>
        <w:t xml:space="preserve"> </w:t>
      </w:r>
      <w:r w:rsidRPr="003B3AAB">
        <w:rPr>
          <w:color w:val="000000"/>
        </w:rPr>
        <w:t xml:space="preserve">In 2008 </w:t>
      </w:r>
      <w:r w:rsidR="00BE0F57" w:rsidRPr="003B3AAB">
        <w:rPr>
          <w:color w:val="000000"/>
        </w:rPr>
        <w:t>the World Health Organization</w:t>
      </w:r>
      <w:r w:rsidRPr="003B3AAB">
        <w:rPr>
          <w:color w:val="000000"/>
        </w:rPr>
        <w:t xml:space="preserve"> published a guide on establishing event-based surveillance as well as a guide to establishing </w:t>
      </w:r>
      <w:r w:rsidR="00BE0F57" w:rsidRPr="003B3AAB">
        <w:rPr>
          <w:color w:val="000000"/>
        </w:rPr>
        <w:t>collaboration between the animal and human health sectors</w:t>
      </w:r>
      <w:r w:rsidRPr="003B3AAB">
        <w:rPr>
          <w:color w:val="000000"/>
        </w:rPr>
        <w:t xml:space="preserve">. The Australian Epidemiology Regional Assistance Program too provided assistance to improve regional surveillance, preparedness and response planning for </w:t>
      </w:r>
      <w:r w:rsidR="00AB44FB" w:rsidRPr="003B3AAB">
        <w:rPr>
          <w:color w:val="000000"/>
        </w:rPr>
        <w:t>avian influenza</w:t>
      </w:r>
      <w:r w:rsidRPr="003B3AAB">
        <w:rPr>
          <w:color w:val="000000"/>
        </w:rPr>
        <w:t xml:space="preserve"> and other zoonotic diseases.</w:t>
      </w:r>
    </w:p>
    <w:p w:rsidR="007E45C5" w:rsidRPr="003B3AAB" w:rsidRDefault="007E45C5" w:rsidP="007E45C5">
      <w:pPr>
        <w:pStyle w:val="BodyText"/>
        <w:rPr>
          <w:color w:val="000000"/>
        </w:rPr>
      </w:pPr>
      <w:r w:rsidRPr="003B3AAB">
        <w:rPr>
          <w:color w:val="000000"/>
        </w:rPr>
        <w:t>The World Bank Trust Fund for Avian Influenza strengthened Laos’</w:t>
      </w:r>
      <w:r w:rsidR="00A325B7" w:rsidRPr="003B3AAB">
        <w:rPr>
          <w:color w:val="000000"/>
        </w:rPr>
        <w:t>s</w:t>
      </w:r>
      <w:r w:rsidRPr="003B3AAB">
        <w:rPr>
          <w:color w:val="000000"/>
        </w:rPr>
        <w:t xml:space="preserve"> capacity for surveillance and response </w:t>
      </w:r>
      <w:r w:rsidR="00A325B7" w:rsidRPr="003B3AAB">
        <w:rPr>
          <w:color w:val="000000"/>
        </w:rPr>
        <w:t xml:space="preserve">to avian influenza </w:t>
      </w:r>
      <w:r w:rsidRPr="003B3AAB">
        <w:rPr>
          <w:color w:val="000000"/>
        </w:rPr>
        <w:t xml:space="preserve">through </w:t>
      </w:r>
      <w:r w:rsidR="00A325B7" w:rsidRPr="003B3AAB">
        <w:rPr>
          <w:color w:val="000000"/>
        </w:rPr>
        <w:t xml:space="preserve">the </w:t>
      </w:r>
      <w:r w:rsidRPr="003B3AAB">
        <w:rPr>
          <w:color w:val="000000"/>
        </w:rPr>
        <w:t>purchase of personal protective</w:t>
      </w:r>
      <w:r w:rsidR="00834EA9" w:rsidRPr="003B3AAB">
        <w:rPr>
          <w:color w:val="000000"/>
        </w:rPr>
        <w:t> </w:t>
      </w:r>
      <w:r w:rsidRPr="003B3AAB">
        <w:rPr>
          <w:color w:val="000000"/>
        </w:rPr>
        <w:t>equipment and through the establishment of a US$2</w:t>
      </w:r>
      <w:r w:rsidR="00A325B7" w:rsidRPr="003B3AAB">
        <w:rPr>
          <w:color w:val="000000"/>
        </w:rPr>
        <w:t> </w:t>
      </w:r>
      <w:r w:rsidRPr="003B3AAB">
        <w:rPr>
          <w:color w:val="000000"/>
        </w:rPr>
        <w:t>million compensation fund</w:t>
      </w:r>
      <w:r w:rsidR="00A325B7" w:rsidRPr="003B3AAB">
        <w:rPr>
          <w:color w:val="000000"/>
        </w:rPr>
        <w:t>,</w:t>
      </w:r>
      <w:r w:rsidRPr="003B3AAB">
        <w:rPr>
          <w:color w:val="000000"/>
        </w:rPr>
        <w:t xml:space="preserve"> which helped to overcome a major disincentive to surveillance and reporting of </w:t>
      </w:r>
      <w:r w:rsidR="00AB44FB" w:rsidRPr="003B3AAB">
        <w:rPr>
          <w:color w:val="000000"/>
        </w:rPr>
        <w:t>avian influenza</w:t>
      </w:r>
      <w:r w:rsidRPr="003B3AAB">
        <w:rPr>
          <w:color w:val="000000"/>
        </w:rPr>
        <w:t xml:space="preserve"> due to </w:t>
      </w:r>
      <w:r w:rsidR="00A325B7" w:rsidRPr="003B3AAB">
        <w:rPr>
          <w:color w:val="000000"/>
        </w:rPr>
        <w:t xml:space="preserve">the </w:t>
      </w:r>
      <w:r w:rsidRPr="003B3AAB">
        <w:rPr>
          <w:color w:val="000000"/>
        </w:rPr>
        <w:t>loss of livelihood through culling.</w:t>
      </w:r>
      <w:r w:rsidR="00AB44FB" w:rsidRPr="003B3AAB">
        <w:rPr>
          <w:color w:val="000000"/>
        </w:rPr>
        <w:t xml:space="preserve"> </w:t>
      </w:r>
      <w:r w:rsidRPr="003B3AAB">
        <w:rPr>
          <w:color w:val="000000"/>
        </w:rPr>
        <w:t xml:space="preserve">The </w:t>
      </w:r>
      <w:r w:rsidR="00A325B7" w:rsidRPr="003B3AAB">
        <w:rPr>
          <w:color w:val="000000"/>
        </w:rPr>
        <w:t xml:space="preserve">fund </w:t>
      </w:r>
      <w:r w:rsidRPr="003B3AAB">
        <w:rPr>
          <w:color w:val="000000"/>
        </w:rPr>
        <w:t xml:space="preserve">promoted surveillance and reporting in </w:t>
      </w:r>
      <w:smartTag w:uri="urn:schemas-microsoft-com:office:smarttags" w:element="country-region">
        <w:smartTag w:uri="urn:schemas-microsoft-com:office:smarttags" w:element="place">
          <w:r w:rsidRPr="003B3AAB">
            <w:rPr>
              <w:color w:val="000000"/>
            </w:rPr>
            <w:t>Vietnam</w:t>
          </w:r>
        </w:smartTag>
      </w:smartTag>
      <w:r w:rsidRPr="003B3AAB">
        <w:rPr>
          <w:color w:val="000000"/>
        </w:rPr>
        <w:t xml:space="preserve"> with a US$10 million grant for training, radio and</w:t>
      </w:r>
      <w:r w:rsidR="00834EA9" w:rsidRPr="003B3AAB">
        <w:rPr>
          <w:color w:val="000000"/>
        </w:rPr>
        <w:t> </w:t>
      </w:r>
      <w:r w:rsidRPr="003B3AAB">
        <w:rPr>
          <w:color w:val="000000"/>
        </w:rPr>
        <w:t>television programs and the establishment of a telephone hotline for the reporting of</w:t>
      </w:r>
      <w:r w:rsidR="00834EA9" w:rsidRPr="003B3AAB">
        <w:rPr>
          <w:color w:val="000000"/>
        </w:rPr>
        <w:t> </w:t>
      </w:r>
      <w:r w:rsidRPr="003B3AAB">
        <w:rPr>
          <w:color w:val="000000"/>
        </w:rPr>
        <w:t>disease outbreaks.</w:t>
      </w:r>
      <w:r w:rsidR="00AB44FB" w:rsidRPr="003B3AAB">
        <w:rPr>
          <w:color w:val="000000"/>
        </w:rPr>
        <w:t xml:space="preserve"> </w:t>
      </w:r>
    </w:p>
    <w:p w:rsidR="007E45C5" w:rsidRPr="003B3AAB" w:rsidRDefault="00FE6673" w:rsidP="007E45C5">
      <w:pPr>
        <w:pStyle w:val="BodyText"/>
        <w:rPr>
          <w:color w:val="000000"/>
        </w:rPr>
      </w:pPr>
      <w:r w:rsidRPr="003B3AAB">
        <w:rPr>
          <w:color w:val="000000"/>
        </w:rPr>
        <w:t xml:space="preserve">With AusAID funding, </w:t>
      </w:r>
      <w:r w:rsidR="007E45C5" w:rsidRPr="003B3AAB">
        <w:rPr>
          <w:color w:val="000000"/>
        </w:rPr>
        <w:t>CARE</w:t>
      </w:r>
      <w:r w:rsidR="007E45C5" w:rsidRPr="003B3AAB">
        <w:rPr>
          <w:b/>
          <w:color w:val="000000"/>
        </w:rPr>
        <w:t xml:space="preserve"> </w:t>
      </w:r>
      <w:r w:rsidRPr="003B3AAB">
        <w:rPr>
          <w:color w:val="000000"/>
        </w:rPr>
        <w:t xml:space="preserve">through its Community Based Avian Influenza Risk Reduction Program in the Mekong Region </w:t>
      </w:r>
      <w:r w:rsidR="007E45C5" w:rsidRPr="003B3AAB">
        <w:rPr>
          <w:color w:val="000000"/>
        </w:rPr>
        <w:t>established pilot models for community</w:t>
      </w:r>
      <w:r w:rsidRPr="003B3AAB">
        <w:rPr>
          <w:color w:val="000000"/>
        </w:rPr>
        <w:t>-</w:t>
      </w:r>
      <w:r w:rsidR="007E45C5" w:rsidRPr="003B3AAB">
        <w:rPr>
          <w:color w:val="000000"/>
        </w:rPr>
        <w:t xml:space="preserve">based surveillance partnerships with national government and international technical agencies in </w:t>
      </w:r>
      <w:smartTag w:uri="urn:schemas-microsoft-com:office:smarttags" w:element="country-region">
        <w:r w:rsidR="007E45C5" w:rsidRPr="003B3AAB">
          <w:rPr>
            <w:color w:val="000000"/>
          </w:rPr>
          <w:t>Laos</w:t>
        </w:r>
      </w:smartTag>
      <w:r w:rsidR="007E45C5" w:rsidRPr="003B3AAB">
        <w:rPr>
          <w:color w:val="000000"/>
        </w:rPr>
        <w:t xml:space="preserve">, </w:t>
      </w:r>
      <w:smartTag w:uri="urn:schemas-microsoft-com:office:smarttags" w:element="country-region">
        <w:r w:rsidR="007E45C5" w:rsidRPr="003B3AAB">
          <w:rPr>
            <w:color w:val="000000"/>
          </w:rPr>
          <w:t>Vietnam</w:t>
        </w:r>
      </w:smartTag>
      <w:r w:rsidR="007E45C5" w:rsidRPr="003B3AAB">
        <w:rPr>
          <w:color w:val="000000"/>
        </w:rPr>
        <w:t xml:space="preserve"> and </w:t>
      </w:r>
      <w:smartTag w:uri="urn:schemas-microsoft-com:office:smarttags" w:element="country-region">
        <w:smartTag w:uri="urn:schemas-microsoft-com:office:smarttags" w:element="place">
          <w:r w:rsidR="007E45C5" w:rsidRPr="003B3AAB">
            <w:rPr>
              <w:color w:val="000000"/>
            </w:rPr>
            <w:t>Cambodia</w:t>
          </w:r>
        </w:smartTag>
      </w:smartTag>
      <w:r w:rsidR="007E45C5" w:rsidRPr="003B3AAB">
        <w:rPr>
          <w:color w:val="000000"/>
        </w:rPr>
        <w:t xml:space="preserve">. They provided program data and survey tools to the Laos National Action Plan, </w:t>
      </w:r>
      <w:r w:rsidRPr="003B3AAB">
        <w:rPr>
          <w:color w:val="000000"/>
        </w:rPr>
        <w:t xml:space="preserve">and </w:t>
      </w:r>
      <w:r w:rsidR="007E45C5" w:rsidRPr="003B3AAB">
        <w:rPr>
          <w:color w:val="000000"/>
        </w:rPr>
        <w:t xml:space="preserve">technical support to </w:t>
      </w:r>
      <w:smartTag w:uri="urn:schemas-microsoft-com:office:smarttags" w:element="country-region">
        <w:smartTag w:uri="urn:schemas-microsoft-com:office:smarttags" w:element="place">
          <w:r w:rsidR="007E45C5" w:rsidRPr="003B3AAB">
            <w:rPr>
              <w:color w:val="000000"/>
            </w:rPr>
            <w:t>Vietnam</w:t>
          </w:r>
        </w:smartTag>
      </w:smartTag>
      <w:r w:rsidR="007E45C5" w:rsidRPr="003B3AAB">
        <w:rPr>
          <w:color w:val="000000"/>
        </w:rPr>
        <w:t xml:space="preserve"> activities</w:t>
      </w:r>
      <w:r w:rsidRPr="003B3AAB">
        <w:rPr>
          <w:color w:val="000000"/>
        </w:rPr>
        <w:t>,</w:t>
      </w:r>
      <w:r w:rsidR="007E45C5" w:rsidRPr="003B3AAB">
        <w:rPr>
          <w:color w:val="000000"/>
        </w:rPr>
        <w:t xml:space="preserve"> which led to </w:t>
      </w:r>
      <w:r w:rsidR="00346C8E" w:rsidRPr="003B3AAB">
        <w:rPr>
          <w:color w:val="000000"/>
        </w:rPr>
        <w:t xml:space="preserve">the </w:t>
      </w:r>
      <w:r w:rsidR="007E45C5" w:rsidRPr="003B3AAB">
        <w:rPr>
          <w:color w:val="000000"/>
        </w:rPr>
        <w:t xml:space="preserve">draft National </w:t>
      </w:r>
      <w:r w:rsidR="00EA7231" w:rsidRPr="003B3AAB">
        <w:rPr>
          <w:color w:val="000000"/>
        </w:rPr>
        <w:t xml:space="preserve">Avian and Human Influenza </w:t>
      </w:r>
      <w:r w:rsidR="007E45C5" w:rsidRPr="003B3AAB">
        <w:rPr>
          <w:color w:val="000000"/>
        </w:rPr>
        <w:t>Communications Strategy.</w:t>
      </w:r>
      <w:r w:rsidR="00AB44FB" w:rsidRPr="003B3AAB">
        <w:rPr>
          <w:color w:val="000000"/>
        </w:rPr>
        <w:t xml:space="preserve"> </w:t>
      </w:r>
      <w:r w:rsidR="007E45C5" w:rsidRPr="003B3AAB">
        <w:rPr>
          <w:color w:val="000000"/>
        </w:rPr>
        <w:t xml:space="preserve">The </w:t>
      </w:r>
      <w:smartTag w:uri="urn:schemas-microsoft-com:office:smarttags" w:element="country-region">
        <w:r w:rsidR="007E45C5" w:rsidRPr="003B3AAB">
          <w:rPr>
            <w:color w:val="000000"/>
          </w:rPr>
          <w:t>Laos</w:t>
        </w:r>
      </w:smartTag>
      <w:r w:rsidR="007E45C5" w:rsidRPr="003B3AAB">
        <w:rPr>
          <w:color w:val="000000"/>
        </w:rPr>
        <w:t xml:space="preserve"> and </w:t>
      </w:r>
      <w:smartTag w:uri="urn:schemas-microsoft-com:office:smarttags" w:element="country-region">
        <w:smartTag w:uri="urn:schemas-microsoft-com:office:smarttags" w:element="place">
          <w:r w:rsidR="007E45C5" w:rsidRPr="003B3AAB">
            <w:rPr>
              <w:color w:val="000000"/>
            </w:rPr>
            <w:t>Vietnam</w:t>
          </w:r>
        </w:smartTag>
      </w:smartTag>
      <w:r w:rsidR="007E45C5" w:rsidRPr="003B3AAB">
        <w:rPr>
          <w:color w:val="000000"/>
        </w:rPr>
        <w:t xml:space="preserve"> activity models </w:t>
      </w:r>
      <w:r w:rsidR="00EA7231" w:rsidRPr="003B3AAB">
        <w:rPr>
          <w:color w:val="000000"/>
        </w:rPr>
        <w:t xml:space="preserve">were </w:t>
      </w:r>
      <w:r w:rsidR="007E45C5" w:rsidRPr="003B3AAB">
        <w:rPr>
          <w:color w:val="000000"/>
        </w:rPr>
        <w:t xml:space="preserve">included in a regional toolkit for </w:t>
      </w:r>
      <w:r w:rsidR="00AB44FB" w:rsidRPr="003B3AAB">
        <w:rPr>
          <w:color w:val="000000"/>
        </w:rPr>
        <w:t>avian influenza</w:t>
      </w:r>
      <w:r w:rsidR="007E45C5" w:rsidRPr="003B3AAB">
        <w:rPr>
          <w:color w:val="000000"/>
        </w:rPr>
        <w:t xml:space="preserve"> practitioners developed by the </w:t>
      </w:r>
      <w:r w:rsidRPr="003B3AAB">
        <w:rPr>
          <w:color w:val="000000"/>
        </w:rPr>
        <w:t>Asian Development Bank</w:t>
      </w:r>
      <w:r w:rsidR="007E45C5" w:rsidRPr="003B3AAB">
        <w:rPr>
          <w:color w:val="000000"/>
        </w:rPr>
        <w:t>.</w:t>
      </w:r>
      <w:r w:rsidR="00AB44FB" w:rsidRPr="003B3AAB">
        <w:rPr>
          <w:color w:val="000000"/>
        </w:rPr>
        <w:t xml:space="preserve"> </w:t>
      </w:r>
      <w:r w:rsidR="007E45C5" w:rsidRPr="003B3AAB">
        <w:rPr>
          <w:color w:val="000000"/>
        </w:rPr>
        <w:t xml:space="preserve">Gender assessment during </w:t>
      </w:r>
      <w:r w:rsidR="00346C8E" w:rsidRPr="003B3AAB">
        <w:rPr>
          <w:color w:val="000000"/>
        </w:rPr>
        <w:t xml:space="preserve">the </w:t>
      </w:r>
      <w:r w:rsidR="007E45C5" w:rsidRPr="003B3AAB">
        <w:rPr>
          <w:color w:val="000000"/>
        </w:rPr>
        <w:t>pilot activities informed the design of model household programs</w:t>
      </w:r>
      <w:r w:rsidR="00EA7231" w:rsidRPr="003B3AAB">
        <w:rPr>
          <w:color w:val="000000"/>
        </w:rPr>
        <w:t>,</w:t>
      </w:r>
      <w:r w:rsidR="007E45C5" w:rsidRPr="003B3AAB">
        <w:rPr>
          <w:color w:val="000000"/>
        </w:rPr>
        <w:t xml:space="preserve"> and the impact and benefits of pilot interventions to men and women continue to be assessed. </w:t>
      </w:r>
      <w:smartTag w:uri="urn:schemas-microsoft-com:office:smarttags" w:element="country-region">
        <w:smartTag w:uri="urn:schemas-microsoft-com:office:smarttags" w:element="place">
          <w:r w:rsidR="00346C8E" w:rsidRPr="003B3AAB">
            <w:rPr>
              <w:color w:val="000000"/>
            </w:rPr>
            <w:t>Burma</w:t>
          </w:r>
        </w:smartTag>
      </w:smartTag>
      <w:r w:rsidR="00346C8E" w:rsidRPr="003B3AAB">
        <w:rPr>
          <w:color w:val="000000"/>
        </w:rPr>
        <w:t>’s capacity to p</w:t>
      </w:r>
      <w:r w:rsidR="007E45C5" w:rsidRPr="003B3AAB">
        <w:rPr>
          <w:color w:val="000000"/>
        </w:rPr>
        <w:t>revent, report</w:t>
      </w:r>
      <w:r w:rsidR="00346C8E" w:rsidRPr="003B3AAB">
        <w:rPr>
          <w:color w:val="000000"/>
        </w:rPr>
        <w:t xml:space="preserve"> </w:t>
      </w:r>
      <w:r w:rsidR="007E45C5" w:rsidRPr="003B3AAB">
        <w:rPr>
          <w:color w:val="000000"/>
        </w:rPr>
        <w:t>and respon</w:t>
      </w:r>
      <w:r w:rsidR="00346C8E" w:rsidRPr="003B3AAB">
        <w:rPr>
          <w:color w:val="000000"/>
        </w:rPr>
        <w:t>d</w:t>
      </w:r>
      <w:r w:rsidR="007E45C5" w:rsidRPr="003B3AAB">
        <w:rPr>
          <w:color w:val="000000"/>
        </w:rPr>
        <w:t xml:space="preserve"> </w:t>
      </w:r>
      <w:r w:rsidR="00346C8E" w:rsidRPr="003B3AAB">
        <w:rPr>
          <w:color w:val="000000"/>
        </w:rPr>
        <w:t xml:space="preserve">to avian influenza </w:t>
      </w:r>
      <w:r w:rsidR="007E45C5" w:rsidRPr="003B3AAB">
        <w:rPr>
          <w:color w:val="000000"/>
        </w:rPr>
        <w:t>was strengthened by training 942 community</w:t>
      </w:r>
      <w:r w:rsidR="00EA7231" w:rsidRPr="003B3AAB">
        <w:rPr>
          <w:color w:val="000000"/>
        </w:rPr>
        <w:t>-</w:t>
      </w:r>
      <w:r w:rsidR="007E45C5" w:rsidRPr="003B3AAB">
        <w:rPr>
          <w:color w:val="000000"/>
        </w:rPr>
        <w:t xml:space="preserve">level extension workers from 47 </w:t>
      </w:r>
      <w:proofErr w:type="gramStart"/>
      <w:r w:rsidR="007E45C5" w:rsidRPr="003B3AAB">
        <w:rPr>
          <w:color w:val="000000"/>
        </w:rPr>
        <w:t>townships,</w:t>
      </w:r>
      <w:proofErr w:type="gramEnd"/>
      <w:r w:rsidR="007E45C5" w:rsidRPr="003B3AAB">
        <w:rPr>
          <w:color w:val="000000"/>
        </w:rPr>
        <w:t xml:space="preserve"> one of whom identified and reported the outbreak</w:t>
      </w:r>
      <w:r w:rsidR="00AB44FB" w:rsidRPr="003B3AAB">
        <w:rPr>
          <w:color w:val="000000"/>
        </w:rPr>
        <w:t xml:space="preserve"> of avian influenza</w:t>
      </w:r>
      <w:r w:rsidR="007E45C5" w:rsidRPr="003B3AAB">
        <w:rPr>
          <w:color w:val="000000"/>
        </w:rPr>
        <w:t xml:space="preserve"> in </w:t>
      </w:r>
      <w:proofErr w:type="spellStart"/>
      <w:r w:rsidR="007E45C5" w:rsidRPr="003B3AAB">
        <w:rPr>
          <w:color w:val="000000"/>
        </w:rPr>
        <w:t>Bago</w:t>
      </w:r>
      <w:proofErr w:type="spellEnd"/>
      <w:r w:rsidR="007E45C5" w:rsidRPr="003B3AAB">
        <w:rPr>
          <w:color w:val="000000"/>
        </w:rPr>
        <w:t xml:space="preserve"> Division in 2007.</w:t>
      </w:r>
      <w:r w:rsidR="00AB44FB" w:rsidRPr="003B3AAB">
        <w:rPr>
          <w:color w:val="000000"/>
        </w:rPr>
        <w:t xml:space="preserve"> </w:t>
      </w:r>
      <w:r w:rsidR="007E45C5" w:rsidRPr="003B3AAB">
        <w:rPr>
          <w:color w:val="000000"/>
        </w:rPr>
        <w:t xml:space="preserve">CARE also </w:t>
      </w:r>
      <w:r w:rsidR="00346C8E" w:rsidRPr="003B3AAB">
        <w:rPr>
          <w:color w:val="000000"/>
        </w:rPr>
        <w:t xml:space="preserve">provided avian influenza health education to </w:t>
      </w:r>
      <w:r w:rsidR="007E45C5" w:rsidRPr="003B3AAB">
        <w:rPr>
          <w:color w:val="000000"/>
        </w:rPr>
        <w:t xml:space="preserve">29 local and international </w:t>
      </w:r>
      <w:r w:rsidR="00EA7231" w:rsidRPr="003B3AAB">
        <w:rPr>
          <w:color w:val="000000"/>
        </w:rPr>
        <w:t>non-government organisations</w:t>
      </w:r>
      <w:r w:rsidR="007E45C5" w:rsidRPr="003B3AAB">
        <w:rPr>
          <w:color w:val="000000"/>
        </w:rPr>
        <w:t>.</w:t>
      </w:r>
      <w:r w:rsidR="00AB44FB" w:rsidRPr="003B3AAB">
        <w:rPr>
          <w:color w:val="000000"/>
        </w:rPr>
        <w:t xml:space="preserve"> </w:t>
      </w:r>
    </w:p>
    <w:p w:rsidR="007E45C5" w:rsidRPr="003B3AAB" w:rsidRDefault="007E45C5" w:rsidP="007E45C5">
      <w:pPr>
        <w:pStyle w:val="BodyText"/>
        <w:rPr>
          <w:color w:val="000000"/>
        </w:rPr>
      </w:pPr>
      <w:smartTag w:uri="urn:schemas-microsoft-com:office:smarttags" w:element="country-region">
        <w:smartTag w:uri="urn:schemas-microsoft-com:office:smarttags" w:element="place">
          <w:r w:rsidRPr="003B3AAB">
            <w:rPr>
              <w:color w:val="000000"/>
            </w:rPr>
            <w:t>Australia</w:t>
          </w:r>
        </w:smartTag>
      </w:smartTag>
      <w:r w:rsidRPr="003B3AAB">
        <w:rPr>
          <w:color w:val="000000"/>
        </w:rPr>
        <w:t xml:space="preserve">’s support for the OIE </w:t>
      </w:r>
      <w:r w:rsidR="00EA7231" w:rsidRPr="003B3AAB">
        <w:rPr>
          <w:color w:val="000000"/>
        </w:rPr>
        <w:t xml:space="preserve">(Office International des Epizooties) </w:t>
      </w:r>
      <w:r w:rsidRPr="003B3AAB">
        <w:rPr>
          <w:color w:val="000000"/>
        </w:rPr>
        <w:t>South</w:t>
      </w:r>
      <w:r w:rsidR="00EA7231" w:rsidRPr="003B3AAB">
        <w:rPr>
          <w:color w:val="000000"/>
        </w:rPr>
        <w:t>e</w:t>
      </w:r>
      <w:r w:rsidRPr="003B3AAB">
        <w:rPr>
          <w:color w:val="000000"/>
        </w:rPr>
        <w:t xml:space="preserve">ast Asia Foot </w:t>
      </w:r>
      <w:r w:rsidR="00EA7231" w:rsidRPr="003B3AAB">
        <w:rPr>
          <w:color w:val="000000"/>
        </w:rPr>
        <w:t xml:space="preserve">and </w:t>
      </w:r>
      <w:r w:rsidRPr="003B3AAB">
        <w:rPr>
          <w:color w:val="000000"/>
        </w:rPr>
        <w:t xml:space="preserve">Mouth Disease Campaign has contributed to substantial gains in regional capacity and coordination in surveillance of and response to </w:t>
      </w:r>
      <w:r w:rsidR="00AB44FB" w:rsidRPr="003B3AAB">
        <w:rPr>
          <w:color w:val="000000"/>
        </w:rPr>
        <w:t>foot and mouth disease</w:t>
      </w:r>
      <w:r w:rsidRPr="003B3AAB">
        <w:rPr>
          <w:color w:val="000000"/>
        </w:rPr>
        <w:t xml:space="preserve">. This modest program has been highly successful through its incremental </w:t>
      </w:r>
      <w:r w:rsidR="00AB44FB" w:rsidRPr="003B3AAB">
        <w:rPr>
          <w:color w:val="000000"/>
        </w:rPr>
        <w:t>‘</w:t>
      </w:r>
      <w:r w:rsidRPr="003B3AAB">
        <w:rPr>
          <w:color w:val="000000"/>
        </w:rPr>
        <w:t>zoning</w:t>
      </w:r>
      <w:r w:rsidR="00AB44FB" w:rsidRPr="003B3AAB">
        <w:rPr>
          <w:color w:val="000000"/>
        </w:rPr>
        <w:t>’</w:t>
      </w:r>
      <w:r w:rsidRPr="003B3AAB">
        <w:rPr>
          <w:color w:val="000000"/>
        </w:rPr>
        <w:t xml:space="preserve"> approach to reducing outbreaks in </w:t>
      </w:r>
      <w:smartTag w:uri="urn:schemas-microsoft-com:office:smarttags" w:element="country-region">
        <w:r w:rsidRPr="003B3AAB">
          <w:rPr>
            <w:color w:val="000000"/>
          </w:rPr>
          <w:t>Vietnam</w:t>
        </w:r>
      </w:smartTag>
      <w:r w:rsidRPr="003B3AAB">
        <w:rPr>
          <w:color w:val="000000"/>
        </w:rPr>
        <w:t>,</w:t>
      </w:r>
      <w:r w:rsidR="00AB44FB" w:rsidRPr="003B3AAB">
        <w:rPr>
          <w:color w:val="000000"/>
        </w:rPr>
        <w:t xml:space="preserve"> </w:t>
      </w:r>
      <w:r w:rsidRPr="003B3AAB">
        <w:rPr>
          <w:color w:val="000000"/>
        </w:rPr>
        <w:t xml:space="preserve">preventing outbreaks for </w:t>
      </w:r>
      <w:r w:rsidR="00EA7231" w:rsidRPr="003B3AAB">
        <w:rPr>
          <w:color w:val="000000"/>
        </w:rPr>
        <w:t xml:space="preserve">two </w:t>
      </w:r>
      <w:r w:rsidRPr="003B3AAB">
        <w:rPr>
          <w:color w:val="000000"/>
        </w:rPr>
        <w:t xml:space="preserve">years in </w:t>
      </w:r>
      <w:r w:rsidR="00EA7231" w:rsidRPr="003B3AAB">
        <w:rPr>
          <w:color w:val="000000"/>
        </w:rPr>
        <w:t xml:space="preserve">four </w:t>
      </w:r>
      <w:r w:rsidRPr="003B3AAB">
        <w:rPr>
          <w:color w:val="000000"/>
        </w:rPr>
        <w:t xml:space="preserve">provinces in </w:t>
      </w:r>
      <w:smartTag w:uri="urn:schemas-microsoft-com:office:smarttags" w:element="country-region">
        <w:r w:rsidRPr="003B3AAB">
          <w:rPr>
            <w:color w:val="000000"/>
          </w:rPr>
          <w:t>Lao</w:t>
        </w:r>
        <w:r w:rsidR="00EA7231" w:rsidRPr="003B3AAB">
          <w:rPr>
            <w:color w:val="000000"/>
          </w:rPr>
          <w:t>s</w:t>
        </w:r>
      </w:smartTag>
      <w:r w:rsidRPr="003B3AAB">
        <w:rPr>
          <w:color w:val="000000"/>
        </w:rPr>
        <w:t>, eradicati</w:t>
      </w:r>
      <w:r w:rsidR="00EA7231" w:rsidRPr="003B3AAB">
        <w:rPr>
          <w:color w:val="000000"/>
        </w:rPr>
        <w:t>ng</w:t>
      </w:r>
      <w:r w:rsidRPr="003B3AAB">
        <w:rPr>
          <w:color w:val="000000"/>
        </w:rPr>
        <w:t xml:space="preserve"> </w:t>
      </w:r>
      <w:r w:rsidR="00AB44FB" w:rsidRPr="003B3AAB">
        <w:rPr>
          <w:color w:val="000000"/>
        </w:rPr>
        <w:t>foot and mouth disease</w:t>
      </w:r>
      <w:r w:rsidRPr="003B3AAB">
        <w:rPr>
          <w:color w:val="000000"/>
        </w:rPr>
        <w:t xml:space="preserve"> in targeted districts in </w:t>
      </w:r>
      <w:smartTag w:uri="urn:schemas-microsoft-com:office:smarttags" w:element="country-region">
        <w:r w:rsidRPr="003B3AAB">
          <w:rPr>
            <w:color w:val="000000"/>
          </w:rPr>
          <w:t>Burma</w:t>
        </w:r>
      </w:smartTag>
      <w:r w:rsidRPr="003B3AAB">
        <w:rPr>
          <w:color w:val="000000"/>
        </w:rPr>
        <w:t xml:space="preserve"> and </w:t>
      </w:r>
      <w:smartTag w:uri="urn:schemas-microsoft-com:office:smarttags" w:element="country-region">
        <w:r w:rsidRPr="003B3AAB">
          <w:rPr>
            <w:color w:val="000000"/>
          </w:rPr>
          <w:t>Thailand</w:t>
        </w:r>
      </w:smartTag>
      <w:r w:rsidRPr="003B3AAB">
        <w:rPr>
          <w:color w:val="000000"/>
        </w:rPr>
        <w:t>, and achiev</w:t>
      </w:r>
      <w:r w:rsidR="00EA7231" w:rsidRPr="003B3AAB">
        <w:rPr>
          <w:color w:val="000000"/>
        </w:rPr>
        <w:t>ing</w:t>
      </w:r>
      <w:r w:rsidRPr="003B3AAB">
        <w:rPr>
          <w:color w:val="000000"/>
        </w:rPr>
        <w:t xml:space="preserve"> </w:t>
      </w:r>
      <w:r w:rsidR="00AB44FB" w:rsidRPr="003B3AAB">
        <w:rPr>
          <w:color w:val="000000"/>
        </w:rPr>
        <w:t>foot and mouth disease</w:t>
      </w:r>
      <w:r w:rsidRPr="003B3AAB">
        <w:rPr>
          <w:color w:val="000000"/>
        </w:rPr>
        <w:t xml:space="preserve">-free status for the </w:t>
      </w:r>
      <w:smartTag w:uri="urn:schemas-microsoft-com:office:smarttags" w:element="country-region">
        <w:r w:rsidRPr="003B3AAB">
          <w:rPr>
            <w:color w:val="000000"/>
          </w:rPr>
          <w:t>Philippines</w:t>
        </w:r>
      </w:smartTag>
      <w:r w:rsidRPr="003B3AAB">
        <w:rPr>
          <w:color w:val="000000"/>
        </w:rPr>
        <w:t xml:space="preserve"> in Mindanao, </w:t>
      </w:r>
      <w:proofErr w:type="spellStart"/>
      <w:r w:rsidRPr="003B3AAB">
        <w:rPr>
          <w:color w:val="000000"/>
        </w:rPr>
        <w:t>Visayas</w:t>
      </w:r>
      <w:proofErr w:type="spellEnd"/>
      <w:r w:rsidRPr="003B3AAB">
        <w:rPr>
          <w:color w:val="000000"/>
        </w:rPr>
        <w:t xml:space="preserve">, Masbate and </w:t>
      </w:r>
      <w:smartTag w:uri="urn:schemas-microsoft-com:office:smarttags" w:element="place">
        <w:r w:rsidRPr="003B3AAB">
          <w:rPr>
            <w:color w:val="000000"/>
          </w:rPr>
          <w:t>Palawan</w:t>
        </w:r>
      </w:smartTag>
      <w:r w:rsidRPr="003B3AAB">
        <w:rPr>
          <w:color w:val="000000"/>
        </w:rPr>
        <w:t xml:space="preserve">. </w:t>
      </w:r>
      <w:r w:rsidRPr="003B3AAB">
        <w:rPr>
          <w:bCs/>
          <w:color w:val="000000"/>
        </w:rPr>
        <w:t xml:space="preserve">An ASEAN Animal Health Trust Fund was established in 2006 to support ASEAN </w:t>
      </w:r>
      <w:r w:rsidR="00EA7231" w:rsidRPr="003B3AAB">
        <w:rPr>
          <w:bCs/>
          <w:color w:val="000000"/>
        </w:rPr>
        <w:t xml:space="preserve">animal health projects </w:t>
      </w:r>
      <w:r w:rsidRPr="003B3AAB">
        <w:rPr>
          <w:bCs/>
          <w:color w:val="000000"/>
        </w:rPr>
        <w:t xml:space="preserve">in areas such as </w:t>
      </w:r>
      <w:r w:rsidR="00642D34" w:rsidRPr="003B3AAB">
        <w:rPr>
          <w:bCs/>
          <w:color w:val="000000"/>
        </w:rPr>
        <w:t>highly pathogenic avian influenza</w:t>
      </w:r>
      <w:r w:rsidRPr="003B3AAB">
        <w:rPr>
          <w:bCs/>
          <w:color w:val="000000"/>
        </w:rPr>
        <w:t xml:space="preserve">, </w:t>
      </w:r>
      <w:r w:rsidR="00642D34" w:rsidRPr="003B3AAB">
        <w:rPr>
          <w:bCs/>
          <w:color w:val="000000"/>
        </w:rPr>
        <w:t xml:space="preserve">classical swine fever </w:t>
      </w:r>
      <w:r w:rsidRPr="003B3AAB">
        <w:rPr>
          <w:bCs/>
          <w:color w:val="000000"/>
        </w:rPr>
        <w:t xml:space="preserve">and </w:t>
      </w:r>
      <w:r w:rsidR="00AB44FB" w:rsidRPr="003B3AAB">
        <w:rPr>
          <w:color w:val="000000"/>
        </w:rPr>
        <w:t>foot and mouth disease</w:t>
      </w:r>
      <w:r w:rsidRPr="003B3AAB">
        <w:rPr>
          <w:bCs/>
          <w:color w:val="000000"/>
        </w:rPr>
        <w:t>.</w:t>
      </w:r>
      <w:r w:rsidR="00AB44FB" w:rsidRPr="003B3AAB">
        <w:rPr>
          <w:bCs/>
          <w:color w:val="000000"/>
        </w:rPr>
        <w:t xml:space="preserve"> </w:t>
      </w:r>
      <w:r w:rsidRPr="003B3AAB">
        <w:rPr>
          <w:bCs/>
          <w:color w:val="000000"/>
        </w:rPr>
        <w:t xml:space="preserve">However, there is little evidence </w:t>
      </w:r>
      <w:r w:rsidRPr="003B3AAB">
        <w:rPr>
          <w:bCs/>
          <w:color w:val="000000"/>
        </w:rPr>
        <w:lastRenderedPageBreak/>
        <w:t xml:space="preserve">of commitment to the </w:t>
      </w:r>
      <w:r w:rsidR="00EA7231" w:rsidRPr="003B3AAB">
        <w:rPr>
          <w:bCs/>
          <w:color w:val="000000"/>
        </w:rPr>
        <w:t xml:space="preserve">fund, </w:t>
      </w:r>
      <w:r w:rsidRPr="003B3AAB">
        <w:rPr>
          <w:bCs/>
          <w:color w:val="000000"/>
        </w:rPr>
        <w:t>with only A$376</w:t>
      </w:r>
      <w:r w:rsidR="00642D34" w:rsidRPr="003B3AAB">
        <w:rPr>
          <w:bCs/>
          <w:color w:val="000000"/>
        </w:rPr>
        <w:t> </w:t>
      </w:r>
      <w:r w:rsidRPr="003B3AAB">
        <w:rPr>
          <w:bCs/>
          <w:color w:val="000000"/>
        </w:rPr>
        <w:t>000 invested to date against a target of about A$5 million by 2010.</w:t>
      </w:r>
      <w:r w:rsidRPr="003B3AAB">
        <w:rPr>
          <w:color w:val="000000"/>
        </w:rPr>
        <w:t xml:space="preserve"> </w:t>
      </w:r>
    </w:p>
    <w:p w:rsidR="007E45C5" w:rsidRPr="003B3AAB" w:rsidRDefault="00561D73" w:rsidP="007E45C5">
      <w:pPr>
        <w:pStyle w:val="BodyText"/>
        <w:rPr>
          <w:color w:val="000000"/>
        </w:rPr>
      </w:pPr>
      <w:r w:rsidRPr="003B3AAB">
        <w:rPr>
          <w:color w:val="000000"/>
        </w:rPr>
        <w:t>The c</w:t>
      </w:r>
      <w:r w:rsidR="007E45C5" w:rsidRPr="003B3AAB">
        <w:rPr>
          <w:color w:val="000000"/>
        </w:rPr>
        <w:t>apacities of key regional institutions to undertake high</w:t>
      </w:r>
      <w:r w:rsidRPr="003B3AAB">
        <w:rPr>
          <w:color w:val="000000"/>
        </w:rPr>
        <w:t>-</w:t>
      </w:r>
      <w:r w:rsidR="007E45C5" w:rsidRPr="003B3AAB">
        <w:rPr>
          <w:color w:val="000000"/>
        </w:rPr>
        <w:t>quality policy, analytical and program work have been strengthened by their involvement with AusAID activities</w:t>
      </w:r>
      <w:r w:rsidRPr="003B3AAB">
        <w:rPr>
          <w:color w:val="000000"/>
        </w:rPr>
        <w:t xml:space="preserve"> on emerging infectious diseases</w:t>
      </w:r>
      <w:r w:rsidR="007E45C5" w:rsidRPr="003B3AAB">
        <w:rPr>
          <w:color w:val="000000"/>
        </w:rPr>
        <w:t>.</w:t>
      </w:r>
      <w:r w:rsidR="00AB44FB" w:rsidRPr="003B3AAB">
        <w:rPr>
          <w:color w:val="000000"/>
        </w:rPr>
        <w:t xml:space="preserve"> </w:t>
      </w:r>
      <w:r w:rsidRPr="003B3AAB">
        <w:rPr>
          <w:color w:val="000000"/>
        </w:rPr>
        <w:t xml:space="preserve">The ASEAN </w:t>
      </w:r>
      <w:proofErr w:type="gramStart"/>
      <w:r w:rsidRPr="003B3AAB">
        <w:rPr>
          <w:color w:val="000000"/>
        </w:rPr>
        <w:t>Plus</w:t>
      </w:r>
      <w:proofErr w:type="gramEnd"/>
      <w:r w:rsidRPr="003B3AAB">
        <w:rPr>
          <w:color w:val="000000"/>
        </w:rPr>
        <w:t xml:space="preserve"> Three Emerging Infectious Diseases Programme </w:t>
      </w:r>
      <w:r w:rsidR="007E45C5" w:rsidRPr="003B3AAB">
        <w:rPr>
          <w:color w:val="000000"/>
        </w:rPr>
        <w:t xml:space="preserve">was endorsed by ASEAN </w:t>
      </w:r>
      <w:r w:rsidRPr="003B3AAB">
        <w:rPr>
          <w:color w:val="000000"/>
        </w:rPr>
        <w:t xml:space="preserve">health ministers </w:t>
      </w:r>
      <w:r w:rsidR="007E45C5" w:rsidRPr="003B3AAB">
        <w:rPr>
          <w:color w:val="000000"/>
        </w:rPr>
        <w:t xml:space="preserve">and </w:t>
      </w:r>
      <w:r w:rsidRPr="003B3AAB">
        <w:rPr>
          <w:color w:val="000000"/>
        </w:rPr>
        <w:t xml:space="preserve">the </w:t>
      </w:r>
      <w:r w:rsidR="007E45C5" w:rsidRPr="003B3AAB">
        <w:rPr>
          <w:color w:val="000000"/>
        </w:rPr>
        <w:t xml:space="preserve">Program Facilitation Section established with </w:t>
      </w:r>
      <w:r w:rsidRPr="003B3AAB">
        <w:rPr>
          <w:color w:val="000000"/>
        </w:rPr>
        <w:t xml:space="preserve">the </w:t>
      </w:r>
      <w:r w:rsidR="007E45C5" w:rsidRPr="003B3AAB">
        <w:rPr>
          <w:color w:val="000000"/>
        </w:rPr>
        <w:t>recruitment of four ASEAN nationals.</w:t>
      </w:r>
      <w:r w:rsidR="00AB44FB" w:rsidRPr="003B3AAB">
        <w:rPr>
          <w:color w:val="000000"/>
        </w:rPr>
        <w:t xml:space="preserve"> </w:t>
      </w:r>
      <w:r w:rsidR="007E45C5" w:rsidRPr="003B3AAB">
        <w:rPr>
          <w:color w:val="000000"/>
        </w:rPr>
        <w:t>An ASEAN Trust Fund was established</w:t>
      </w:r>
      <w:r w:rsidR="00346C8E" w:rsidRPr="003B3AAB">
        <w:rPr>
          <w:color w:val="000000"/>
        </w:rPr>
        <w:t>,</w:t>
      </w:r>
      <w:r w:rsidR="007E45C5" w:rsidRPr="003B3AAB">
        <w:rPr>
          <w:color w:val="000000"/>
        </w:rPr>
        <w:t xml:space="preserve"> operating within financial guidelines</w:t>
      </w:r>
      <w:r w:rsidR="00346C8E" w:rsidRPr="003B3AAB">
        <w:rPr>
          <w:color w:val="000000"/>
        </w:rPr>
        <w:t xml:space="preserve"> accredited by the International Organization for Standardization</w:t>
      </w:r>
      <w:r w:rsidR="007E45C5" w:rsidRPr="003B3AAB">
        <w:rPr>
          <w:color w:val="000000"/>
        </w:rPr>
        <w:t>.</w:t>
      </w:r>
      <w:r w:rsidR="00AB44FB" w:rsidRPr="003B3AAB">
        <w:rPr>
          <w:color w:val="000000"/>
        </w:rPr>
        <w:t xml:space="preserve"> </w:t>
      </w:r>
      <w:r w:rsidR="007E45C5" w:rsidRPr="003B3AAB">
        <w:rPr>
          <w:color w:val="000000"/>
        </w:rPr>
        <w:t>Gender research is being conducted to analyse health determinants,</w:t>
      </w:r>
      <w:r w:rsidRPr="003B3AAB">
        <w:rPr>
          <w:color w:val="000000"/>
        </w:rPr>
        <w:t xml:space="preserve"> the</w:t>
      </w:r>
      <w:r w:rsidR="007E45C5" w:rsidRPr="003B3AAB">
        <w:rPr>
          <w:color w:val="000000"/>
        </w:rPr>
        <w:t xml:space="preserve"> impact of disease and health-seeking behaviour.</w:t>
      </w:r>
      <w:r w:rsidR="00AB44FB" w:rsidRPr="003B3AAB">
        <w:rPr>
          <w:color w:val="000000"/>
        </w:rPr>
        <w:t xml:space="preserve"> </w:t>
      </w:r>
      <w:r w:rsidR="007E45C5" w:rsidRPr="003B3AAB">
        <w:rPr>
          <w:color w:val="000000"/>
        </w:rPr>
        <w:t xml:space="preserve">Results will be shared with program managers and </w:t>
      </w:r>
      <w:r w:rsidRPr="003B3AAB">
        <w:rPr>
          <w:color w:val="000000"/>
        </w:rPr>
        <w:t xml:space="preserve">policy makers in the </w:t>
      </w:r>
      <w:r w:rsidR="007E45C5" w:rsidRPr="003B3AAB">
        <w:rPr>
          <w:color w:val="000000"/>
        </w:rPr>
        <w:t>ASEAN</w:t>
      </w:r>
      <w:r w:rsidRPr="003B3AAB">
        <w:rPr>
          <w:color w:val="000000"/>
        </w:rPr>
        <w:t xml:space="preserve"> plus three countries</w:t>
      </w:r>
      <w:r w:rsidR="007E45C5" w:rsidRPr="003B3AAB">
        <w:rPr>
          <w:color w:val="000000"/>
        </w:rPr>
        <w:t xml:space="preserve">. </w:t>
      </w:r>
      <w:r w:rsidRPr="003B3AAB">
        <w:rPr>
          <w:color w:val="000000"/>
        </w:rPr>
        <w:t>A</w:t>
      </w:r>
      <w:r w:rsidR="007E45C5" w:rsidRPr="003B3AAB">
        <w:rPr>
          <w:color w:val="000000"/>
        </w:rPr>
        <w:t xml:space="preserve">wareness of </w:t>
      </w:r>
      <w:r w:rsidRPr="003B3AAB">
        <w:rPr>
          <w:color w:val="000000"/>
        </w:rPr>
        <w:t xml:space="preserve">emerging infectious diseases </w:t>
      </w:r>
      <w:r w:rsidR="007E45C5" w:rsidRPr="003B3AAB">
        <w:rPr>
          <w:color w:val="000000"/>
        </w:rPr>
        <w:t>was increased</w:t>
      </w:r>
      <w:r w:rsidRPr="003B3AAB">
        <w:rPr>
          <w:color w:val="000000"/>
        </w:rPr>
        <w:t xml:space="preserve"> in the public and private sectors</w:t>
      </w:r>
      <w:r w:rsidR="007E45C5" w:rsidRPr="003B3AAB">
        <w:rPr>
          <w:color w:val="000000"/>
        </w:rPr>
        <w:t xml:space="preserve"> through improved information sharing across the region as a result of </w:t>
      </w:r>
      <w:r w:rsidRPr="003B3AAB">
        <w:rPr>
          <w:color w:val="000000"/>
        </w:rPr>
        <w:t xml:space="preserve">the </w:t>
      </w:r>
      <w:r w:rsidR="007E45C5" w:rsidRPr="003B3AAB">
        <w:rPr>
          <w:color w:val="000000"/>
        </w:rPr>
        <w:t>ASEAN Communication and Integration Strategy.</w:t>
      </w:r>
      <w:r w:rsidR="00AB44FB" w:rsidRPr="003B3AAB">
        <w:rPr>
          <w:color w:val="000000"/>
        </w:rPr>
        <w:t xml:space="preserve"> </w:t>
      </w:r>
    </w:p>
    <w:p w:rsidR="007E45C5" w:rsidRPr="003B3AAB" w:rsidRDefault="007E45C5" w:rsidP="007E45C5">
      <w:pPr>
        <w:pStyle w:val="BodyText"/>
        <w:rPr>
          <w:color w:val="000000"/>
        </w:rPr>
      </w:pPr>
      <w:r w:rsidRPr="003B3AAB">
        <w:rPr>
          <w:color w:val="000000"/>
        </w:rPr>
        <w:t xml:space="preserve">The </w:t>
      </w:r>
      <w:r w:rsidR="00561D73" w:rsidRPr="003B3AAB">
        <w:rPr>
          <w:color w:val="000000"/>
        </w:rPr>
        <w:t xml:space="preserve">Sanitary and </w:t>
      </w:r>
      <w:proofErr w:type="spellStart"/>
      <w:r w:rsidR="00561D73" w:rsidRPr="003B3AAB">
        <w:rPr>
          <w:color w:val="000000"/>
        </w:rPr>
        <w:t>Phytosanitary</w:t>
      </w:r>
      <w:proofErr w:type="spellEnd"/>
      <w:r w:rsidR="00561D73" w:rsidRPr="003B3AAB">
        <w:rPr>
          <w:color w:val="000000"/>
        </w:rPr>
        <w:t xml:space="preserve"> Capacity Building Program</w:t>
      </w:r>
      <w:r w:rsidRPr="003B3AAB">
        <w:rPr>
          <w:b/>
          <w:color w:val="000000"/>
        </w:rPr>
        <w:t xml:space="preserve"> </w:t>
      </w:r>
      <w:r w:rsidRPr="003B3AAB">
        <w:rPr>
          <w:color w:val="000000"/>
        </w:rPr>
        <w:t xml:space="preserve">contributed to </w:t>
      </w:r>
      <w:r w:rsidR="00561D73" w:rsidRPr="003B3AAB">
        <w:rPr>
          <w:color w:val="000000"/>
        </w:rPr>
        <w:t xml:space="preserve">a </w:t>
      </w:r>
      <w:r w:rsidRPr="003B3AAB">
        <w:rPr>
          <w:color w:val="000000"/>
        </w:rPr>
        <w:t xml:space="preserve">compilation of national pest lists, reference collections, and </w:t>
      </w:r>
      <w:r w:rsidR="00F50C33" w:rsidRPr="003B3AAB">
        <w:rPr>
          <w:color w:val="000000"/>
        </w:rPr>
        <w:t xml:space="preserve">pest risk analysis </w:t>
      </w:r>
      <w:r w:rsidRPr="003B3AAB">
        <w:rPr>
          <w:color w:val="000000"/>
        </w:rPr>
        <w:t>in target countries.</w:t>
      </w:r>
      <w:r w:rsidR="00AB44FB" w:rsidRPr="003B3AAB">
        <w:rPr>
          <w:color w:val="000000"/>
        </w:rPr>
        <w:t xml:space="preserve"> </w:t>
      </w:r>
      <w:r w:rsidRPr="003B3AAB">
        <w:rPr>
          <w:color w:val="000000"/>
        </w:rPr>
        <w:t xml:space="preserve">The </w:t>
      </w:r>
      <w:r w:rsidR="00F50C33" w:rsidRPr="003B3AAB">
        <w:rPr>
          <w:color w:val="000000"/>
        </w:rPr>
        <w:t xml:space="preserve">animal health </w:t>
      </w:r>
      <w:r w:rsidRPr="003B3AAB">
        <w:rPr>
          <w:color w:val="000000"/>
        </w:rPr>
        <w:t>component has good prospects for sustainable benefits due to active government and private sector support.</w:t>
      </w:r>
      <w:r w:rsidR="00AB44FB" w:rsidRPr="003B3AAB">
        <w:rPr>
          <w:color w:val="000000"/>
        </w:rPr>
        <w:t xml:space="preserve"> </w:t>
      </w:r>
      <w:r w:rsidR="00F50C33" w:rsidRPr="003B3AAB">
        <w:rPr>
          <w:color w:val="000000"/>
        </w:rPr>
        <w:t xml:space="preserve">The program </w:t>
      </w:r>
      <w:r w:rsidRPr="003B3AAB">
        <w:rPr>
          <w:color w:val="000000"/>
        </w:rPr>
        <w:t xml:space="preserve">coordinated well with other related projects and proposed </w:t>
      </w:r>
      <w:r w:rsidR="00834EA9" w:rsidRPr="003B3AAB">
        <w:rPr>
          <w:color w:val="000000"/>
        </w:rPr>
        <w:t xml:space="preserve">the </w:t>
      </w:r>
      <w:r w:rsidRPr="003B3AAB">
        <w:rPr>
          <w:color w:val="000000"/>
        </w:rPr>
        <w:t xml:space="preserve">ASEAN Disease Diagnostic Network, now endorsed by the ASEAN Sectoral Working Group on Crops. </w:t>
      </w:r>
      <w:r w:rsidR="00F50C33" w:rsidRPr="003B3AAB">
        <w:rPr>
          <w:color w:val="000000"/>
        </w:rPr>
        <w:t xml:space="preserve">The program </w:t>
      </w:r>
      <w:r w:rsidRPr="003B3AAB">
        <w:rPr>
          <w:color w:val="000000"/>
        </w:rPr>
        <w:t>was not designed or resourced to substantively address key institutional capacities (such as management systems, policy or legislation); even so, some encouraging institutional developments occurred</w:t>
      </w:r>
      <w:r w:rsidR="00F50C33" w:rsidRPr="003B3AAB">
        <w:rPr>
          <w:color w:val="000000"/>
        </w:rPr>
        <w:t>.</w:t>
      </w:r>
      <w:r w:rsidRPr="003B3AAB">
        <w:rPr>
          <w:color w:val="000000"/>
        </w:rPr>
        <w:t xml:space="preserve"> </w:t>
      </w:r>
      <w:r w:rsidR="00F50C33" w:rsidRPr="003B3AAB">
        <w:rPr>
          <w:color w:val="000000"/>
        </w:rPr>
        <w:t>For example,</w:t>
      </w:r>
      <w:r w:rsidRPr="003B3AAB">
        <w:rPr>
          <w:color w:val="000000"/>
        </w:rPr>
        <w:t xml:space="preserve"> the Malaysian Department of Agriculture established a task force to restructure biosecurity agencies; laboratories in </w:t>
      </w:r>
      <w:smartTag w:uri="urn:schemas-microsoft-com:office:smarttags" w:element="country-region">
        <w:r w:rsidRPr="003B3AAB">
          <w:rPr>
            <w:color w:val="000000"/>
          </w:rPr>
          <w:t>Myanmar</w:t>
        </w:r>
      </w:smartTag>
      <w:r w:rsidRPr="003B3AAB">
        <w:rPr>
          <w:color w:val="000000"/>
        </w:rPr>
        <w:t xml:space="preserve"> were refurbished; and </w:t>
      </w:r>
      <w:smartTag w:uri="urn:schemas-microsoft-com:office:smarttags" w:element="country-region">
        <w:smartTag w:uri="urn:schemas-microsoft-com:office:smarttags" w:element="place">
          <w:r w:rsidRPr="003B3AAB">
            <w:rPr>
              <w:color w:val="000000"/>
            </w:rPr>
            <w:t>Thailand</w:t>
          </w:r>
        </w:smartTag>
      </w:smartTag>
      <w:r w:rsidRPr="003B3AAB">
        <w:rPr>
          <w:color w:val="000000"/>
        </w:rPr>
        <w:t xml:space="preserve"> undertook a comprehensive revision of quarantine conditions.</w:t>
      </w:r>
      <w:r w:rsidR="00AB44FB" w:rsidRPr="003B3AAB">
        <w:rPr>
          <w:color w:val="000000"/>
        </w:rPr>
        <w:t xml:space="preserve"> </w:t>
      </w:r>
      <w:r w:rsidRPr="003B3AAB">
        <w:rPr>
          <w:color w:val="000000"/>
        </w:rPr>
        <w:t>However</w:t>
      </w:r>
      <w:r w:rsidR="005A43C3" w:rsidRPr="003B3AAB">
        <w:rPr>
          <w:color w:val="000000"/>
        </w:rPr>
        <w:t>,</w:t>
      </w:r>
      <w:r w:rsidRPr="003B3AAB">
        <w:rPr>
          <w:color w:val="000000"/>
        </w:rPr>
        <w:t xml:space="preserve"> countries with the least capacity appear to have gained little from the program</w:t>
      </w:r>
      <w:r w:rsidR="005A43C3" w:rsidRPr="003B3AAB">
        <w:rPr>
          <w:color w:val="000000"/>
        </w:rPr>
        <w:t>,</w:t>
      </w:r>
      <w:r w:rsidRPr="003B3AAB">
        <w:rPr>
          <w:color w:val="000000"/>
        </w:rPr>
        <w:t xml:space="preserve"> and </w:t>
      </w:r>
      <w:r w:rsidR="005A43C3" w:rsidRPr="003B3AAB">
        <w:rPr>
          <w:color w:val="000000"/>
        </w:rPr>
        <w:t xml:space="preserve">the </w:t>
      </w:r>
      <w:r w:rsidRPr="003B3AAB">
        <w:rPr>
          <w:color w:val="000000"/>
        </w:rPr>
        <w:t xml:space="preserve">sustainability of </w:t>
      </w:r>
      <w:r w:rsidR="005A43C3" w:rsidRPr="003B3AAB">
        <w:rPr>
          <w:color w:val="000000"/>
        </w:rPr>
        <w:t xml:space="preserve">programs based on </w:t>
      </w:r>
      <w:r w:rsidRPr="003B3AAB">
        <w:rPr>
          <w:color w:val="000000"/>
        </w:rPr>
        <w:t>such short</w:t>
      </w:r>
      <w:r w:rsidR="005A43C3" w:rsidRPr="003B3AAB">
        <w:rPr>
          <w:color w:val="000000"/>
        </w:rPr>
        <w:t>-</w:t>
      </w:r>
      <w:r w:rsidRPr="003B3AAB">
        <w:rPr>
          <w:color w:val="000000"/>
        </w:rPr>
        <w:t>term technical assistance is negligible.</w:t>
      </w:r>
      <w:r w:rsidR="00AB44FB" w:rsidRPr="003B3AAB">
        <w:rPr>
          <w:color w:val="000000"/>
        </w:rPr>
        <w:t xml:space="preserve"> </w:t>
      </w:r>
    </w:p>
    <w:p w:rsidR="007E45C5" w:rsidRPr="003B3AAB" w:rsidRDefault="005A43C3" w:rsidP="007E45C5">
      <w:pPr>
        <w:pStyle w:val="BodyText"/>
        <w:rPr>
          <w:color w:val="000000"/>
        </w:rPr>
      </w:pPr>
      <w:r w:rsidRPr="003B3AAB">
        <w:rPr>
          <w:color w:val="000000"/>
        </w:rPr>
        <w:t xml:space="preserve">The Sanitary and </w:t>
      </w:r>
      <w:proofErr w:type="spellStart"/>
      <w:r w:rsidRPr="003B3AAB">
        <w:rPr>
          <w:color w:val="000000"/>
        </w:rPr>
        <w:t>Phytosanitary</w:t>
      </w:r>
      <w:proofErr w:type="spellEnd"/>
      <w:r w:rsidRPr="003B3AAB">
        <w:rPr>
          <w:color w:val="000000"/>
        </w:rPr>
        <w:t xml:space="preserve"> Capacity Building Program</w:t>
      </w:r>
      <w:r w:rsidRPr="003B3AAB">
        <w:rPr>
          <w:b/>
          <w:color w:val="000000"/>
        </w:rPr>
        <w:t xml:space="preserve"> </w:t>
      </w:r>
      <w:r w:rsidRPr="003B3AAB">
        <w:rPr>
          <w:color w:val="000000"/>
        </w:rPr>
        <w:t>is</w:t>
      </w:r>
      <w:r w:rsidR="007E45C5" w:rsidRPr="003B3AAB">
        <w:rPr>
          <w:color w:val="000000"/>
        </w:rPr>
        <w:t xml:space="preserve"> situated with the </w:t>
      </w:r>
      <w:r w:rsidRPr="003B3AAB">
        <w:rPr>
          <w:color w:val="000000"/>
        </w:rPr>
        <w:t xml:space="preserve">pandemics and emerging </w:t>
      </w:r>
      <w:r w:rsidR="007E45C5" w:rsidRPr="003B3AAB">
        <w:rPr>
          <w:color w:val="000000"/>
        </w:rPr>
        <w:t xml:space="preserve">transboundary diseases under </w:t>
      </w:r>
      <w:r w:rsidRPr="003B3AAB">
        <w:rPr>
          <w:color w:val="000000"/>
        </w:rPr>
        <w:t>this objective</w:t>
      </w:r>
      <w:r w:rsidR="007E45C5" w:rsidRPr="003B3AAB">
        <w:rPr>
          <w:color w:val="000000"/>
        </w:rPr>
        <w:t>.</w:t>
      </w:r>
      <w:r w:rsidR="00AB44FB" w:rsidRPr="003B3AAB">
        <w:rPr>
          <w:color w:val="000000"/>
        </w:rPr>
        <w:t xml:space="preserve"> </w:t>
      </w:r>
      <w:r w:rsidR="007E45C5" w:rsidRPr="003B3AAB">
        <w:rPr>
          <w:color w:val="000000"/>
        </w:rPr>
        <w:t xml:space="preserve">However, given its focus is not on zoonotic diseases but </w:t>
      </w:r>
      <w:r w:rsidRPr="003B3AAB">
        <w:rPr>
          <w:color w:val="000000"/>
        </w:rPr>
        <w:t xml:space="preserve">on </w:t>
      </w:r>
      <w:r w:rsidR="007E45C5" w:rsidRPr="003B3AAB">
        <w:rPr>
          <w:color w:val="000000"/>
        </w:rPr>
        <w:t xml:space="preserve">building agricultural capacities </w:t>
      </w:r>
      <w:r w:rsidRPr="003B3AAB">
        <w:rPr>
          <w:color w:val="000000"/>
        </w:rPr>
        <w:t xml:space="preserve">so that countries can </w:t>
      </w:r>
      <w:r w:rsidR="007E45C5" w:rsidRPr="003B3AAB">
        <w:rPr>
          <w:color w:val="000000"/>
        </w:rPr>
        <w:t>achieve access</w:t>
      </w:r>
      <w:r w:rsidRPr="003B3AAB">
        <w:rPr>
          <w:color w:val="000000"/>
        </w:rPr>
        <w:t xml:space="preserve"> to the World Trade Organization</w:t>
      </w:r>
      <w:r w:rsidR="007E45C5" w:rsidRPr="003B3AAB">
        <w:rPr>
          <w:color w:val="000000"/>
        </w:rPr>
        <w:t xml:space="preserve">, it may be better placed under the economic and trade program. </w:t>
      </w:r>
    </w:p>
    <w:p w:rsidR="007E45C5" w:rsidRPr="003B3AAB" w:rsidRDefault="007E45C5" w:rsidP="00E84F8A">
      <w:pPr>
        <w:pStyle w:val="Heading4"/>
        <w:numPr>
          <w:ilvl w:val="3"/>
          <w:numId w:val="16"/>
        </w:numPr>
        <w:ind w:left="0"/>
        <w:rPr>
          <w:color w:val="000000"/>
        </w:rPr>
      </w:pPr>
      <w:bookmarkStart w:id="36" w:name="_Toc213147045"/>
      <w:r w:rsidRPr="003B3AAB">
        <w:rPr>
          <w:color w:val="000000"/>
        </w:rPr>
        <w:t xml:space="preserve">Transnational </w:t>
      </w:r>
      <w:r w:rsidR="00A545C3" w:rsidRPr="003B3AAB">
        <w:rPr>
          <w:color w:val="000000"/>
        </w:rPr>
        <w:t>crime—</w:t>
      </w:r>
      <w:r w:rsidRPr="003B3AAB">
        <w:rPr>
          <w:color w:val="000000"/>
        </w:rPr>
        <w:t>improved regional capacity to respond to people</w:t>
      </w:r>
      <w:r w:rsidR="002C3660" w:rsidRPr="003B3AAB">
        <w:rPr>
          <w:color w:val="000000"/>
        </w:rPr>
        <w:t> </w:t>
      </w:r>
      <w:r w:rsidRPr="003B3AAB">
        <w:rPr>
          <w:color w:val="000000"/>
        </w:rPr>
        <w:t>trafficking, illicit drugs and corruption/money laundering</w:t>
      </w:r>
      <w:bookmarkEnd w:id="36"/>
    </w:p>
    <w:p w:rsidR="007E45C5" w:rsidRPr="003B3AAB" w:rsidRDefault="007E45C5" w:rsidP="007E45C5">
      <w:pPr>
        <w:pStyle w:val="BodyText"/>
        <w:rPr>
          <w:color w:val="000000"/>
        </w:rPr>
      </w:pPr>
      <w:r w:rsidRPr="003B3AAB">
        <w:rPr>
          <w:color w:val="000000"/>
        </w:rPr>
        <w:t xml:space="preserve">By far the main emphasis under this sub-objective has been on strengthening the criminal justice approach to </w:t>
      </w:r>
      <w:r w:rsidRPr="003B3AAB">
        <w:rPr>
          <w:b/>
          <w:color w:val="000000"/>
        </w:rPr>
        <w:t>people trafficking</w:t>
      </w:r>
      <w:r w:rsidR="002C3660" w:rsidRPr="003B3AAB">
        <w:rPr>
          <w:b/>
          <w:color w:val="000000"/>
        </w:rPr>
        <w:t>,</w:t>
      </w:r>
      <w:r w:rsidRPr="003B3AAB">
        <w:rPr>
          <w:color w:val="000000"/>
        </w:rPr>
        <w:t xml:space="preserve"> with a much smaller focus on the return and reintegration of victims.</w:t>
      </w:r>
      <w:r w:rsidR="00AB44FB" w:rsidRPr="003B3AAB">
        <w:rPr>
          <w:color w:val="000000"/>
        </w:rPr>
        <w:t xml:space="preserve"> </w:t>
      </w:r>
      <w:r w:rsidRPr="003B3AAB">
        <w:rPr>
          <w:color w:val="000000"/>
        </w:rPr>
        <w:t xml:space="preserve">Child sex tourism was tackled as a separate </w:t>
      </w:r>
      <w:r w:rsidRPr="003B3AAB">
        <w:rPr>
          <w:color w:val="000000"/>
        </w:rPr>
        <w:lastRenderedPageBreak/>
        <w:t>issue.</w:t>
      </w:r>
      <w:r w:rsidR="00AB44FB" w:rsidRPr="003B3AAB">
        <w:rPr>
          <w:color w:val="000000"/>
        </w:rPr>
        <w:t xml:space="preserve"> </w:t>
      </w:r>
      <w:r w:rsidRPr="003B3AAB">
        <w:rPr>
          <w:color w:val="000000"/>
        </w:rPr>
        <w:t xml:space="preserve">In both cases a regional approach was adopted due to the sensitivity of issues and </w:t>
      </w:r>
      <w:r w:rsidR="002C3660" w:rsidRPr="003B3AAB">
        <w:rPr>
          <w:color w:val="000000"/>
        </w:rPr>
        <w:t xml:space="preserve">the </w:t>
      </w:r>
      <w:r w:rsidRPr="003B3AAB">
        <w:rPr>
          <w:color w:val="000000"/>
        </w:rPr>
        <w:t>shared understanding and experience contributing to better outcomes.</w:t>
      </w:r>
      <w:r w:rsidR="00AB44FB" w:rsidRPr="003B3AAB">
        <w:rPr>
          <w:color w:val="000000"/>
        </w:rPr>
        <w:t xml:space="preserve"> </w:t>
      </w:r>
      <w:r w:rsidRPr="003B3AAB">
        <w:rPr>
          <w:color w:val="000000"/>
        </w:rPr>
        <w:t>In the case of trafficking, practical cooperation between stakeholders is also required.</w:t>
      </w:r>
    </w:p>
    <w:p w:rsidR="007E45C5" w:rsidRPr="003B3AAB" w:rsidRDefault="007E45C5" w:rsidP="007E45C5">
      <w:pPr>
        <w:pStyle w:val="BodyText"/>
        <w:rPr>
          <w:color w:val="000000"/>
        </w:rPr>
      </w:pPr>
      <w:r w:rsidRPr="003B3AAB">
        <w:rPr>
          <w:color w:val="000000"/>
        </w:rPr>
        <w:t>The three activities focused on people trafficking have achieved mixed results. Under the Asia Regional Trafficking in Persons Project, all ten ASEAN countries have met to exchange information and intelligence under a Heads of Specialist Units process, with seven participating on a regular basis.</w:t>
      </w:r>
      <w:r w:rsidR="00AB44FB" w:rsidRPr="003B3AAB">
        <w:rPr>
          <w:color w:val="000000"/>
        </w:rPr>
        <w:t xml:space="preserve"> </w:t>
      </w:r>
      <w:r w:rsidRPr="003B3AAB">
        <w:rPr>
          <w:color w:val="000000"/>
        </w:rPr>
        <w:t>Member countries adopted ASEAN Practitioner Guidelines on Criminal Justice Response to Trafficking in Persons</w:t>
      </w:r>
      <w:r w:rsidR="00F02BFE" w:rsidRPr="003B3AAB">
        <w:rPr>
          <w:color w:val="000000"/>
        </w:rPr>
        <w:t>,</w:t>
      </w:r>
      <w:r w:rsidRPr="003B3AAB">
        <w:rPr>
          <w:color w:val="000000"/>
        </w:rPr>
        <w:t xml:space="preserve"> and capacity has been increased through training of law enforcement officials, prosecutors and the judiciary. High</w:t>
      </w:r>
      <w:r w:rsidR="00F02BFE" w:rsidRPr="003B3AAB">
        <w:rPr>
          <w:color w:val="000000"/>
        </w:rPr>
        <w:t>-</w:t>
      </w:r>
      <w:r w:rsidRPr="003B3AAB">
        <w:rPr>
          <w:color w:val="000000"/>
        </w:rPr>
        <w:t xml:space="preserve">level engagement from counterpart government agencies has been achieved and the activities of </w:t>
      </w:r>
      <w:r w:rsidR="00F02BFE" w:rsidRPr="003B3AAB">
        <w:rPr>
          <w:color w:val="000000"/>
        </w:rPr>
        <w:t xml:space="preserve">technical working groups </w:t>
      </w:r>
      <w:r w:rsidRPr="003B3AAB">
        <w:rPr>
          <w:color w:val="000000"/>
        </w:rPr>
        <w:t xml:space="preserve">on </w:t>
      </w:r>
      <w:r w:rsidR="00F02BFE" w:rsidRPr="003B3AAB">
        <w:rPr>
          <w:color w:val="000000"/>
        </w:rPr>
        <w:t xml:space="preserve">trafficking </w:t>
      </w:r>
      <w:r w:rsidRPr="003B3AAB">
        <w:rPr>
          <w:color w:val="000000"/>
        </w:rPr>
        <w:t xml:space="preserve">have been linked with </w:t>
      </w:r>
      <w:r w:rsidR="00F02BFE" w:rsidRPr="003B3AAB">
        <w:rPr>
          <w:color w:val="000000"/>
        </w:rPr>
        <w:t>national plans of action</w:t>
      </w:r>
      <w:r w:rsidRPr="003B3AAB">
        <w:rPr>
          <w:color w:val="000000"/>
        </w:rPr>
        <w:t>.</w:t>
      </w:r>
      <w:r w:rsidR="00AB44FB" w:rsidRPr="003B3AAB">
        <w:rPr>
          <w:color w:val="000000"/>
        </w:rPr>
        <w:t xml:space="preserve"> </w:t>
      </w:r>
      <w:r w:rsidR="00F02BFE" w:rsidRPr="003B3AAB">
        <w:rPr>
          <w:color w:val="000000"/>
        </w:rPr>
        <w:t xml:space="preserve">The project </w:t>
      </w:r>
      <w:r w:rsidRPr="003B3AAB">
        <w:rPr>
          <w:color w:val="000000"/>
        </w:rPr>
        <w:t xml:space="preserve">also provided technical support to a number of other partners including the </w:t>
      </w:r>
      <w:r w:rsidR="00F02BFE" w:rsidRPr="003B3AAB">
        <w:rPr>
          <w:color w:val="000000"/>
        </w:rPr>
        <w:t xml:space="preserve">United Nations </w:t>
      </w:r>
      <w:r w:rsidRPr="003B3AAB">
        <w:rPr>
          <w:color w:val="000000"/>
        </w:rPr>
        <w:t xml:space="preserve">Office on Drugs and Crime (technical advice and support provided to the </w:t>
      </w:r>
      <w:r w:rsidR="00F02BFE" w:rsidRPr="003B3AAB">
        <w:rPr>
          <w:color w:val="000000"/>
        </w:rPr>
        <w:t>United Nations</w:t>
      </w:r>
      <w:r w:rsidRPr="003B3AAB">
        <w:rPr>
          <w:color w:val="000000"/>
        </w:rPr>
        <w:t xml:space="preserve"> Global Initiative to Fight Trafficking Forum in Bangkok) and the </w:t>
      </w:r>
      <w:r w:rsidR="00F02BFE" w:rsidRPr="003B3AAB">
        <w:rPr>
          <w:color w:val="000000"/>
        </w:rPr>
        <w:t>United Nations</w:t>
      </w:r>
      <w:r w:rsidRPr="003B3AAB">
        <w:rPr>
          <w:color w:val="000000"/>
        </w:rPr>
        <w:t xml:space="preserve"> Inter</w:t>
      </w:r>
      <w:r w:rsidR="000E70D1" w:rsidRPr="003B3AAB">
        <w:rPr>
          <w:color w:val="000000"/>
        </w:rPr>
        <w:t>-</w:t>
      </w:r>
      <w:r w:rsidRPr="003B3AAB">
        <w:rPr>
          <w:color w:val="000000"/>
        </w:rPr>
        <w:t xml:space="preserve">Agency Project on </w:t>
      </w:r>
      <w:r w:rsidR="000E70D1" w:rsidRPr="003B3AAB">
        <w:rPr>
          <w:color w:val="000000"/>
        </w:rPr>
        <w:t xml:space="preserve">Human Trafficking </w:t>
      </w:r>
      <w:r w:rsidRPr="003B3AAB">
        <w:rPr>
          <w:color w:val="000000"/>
        </w:rPr>
        <w:t xml:space="preserve">(technical advice and support, including training). </w:t>
      </w:r>
    </w:p>
    <w:p w:rsidR="007E45C5" w:rsidRPr="003B3AAB" w:rsidRDefault="00F02BFE" w:rsidP="007E45C5">
      <w:pPr>
        <w:pStyle w:val="BodyText"/>
        <w:rPr>
          <w:color w:val="000000"/>
        </w:rPr>
      </w:pPr>
      <w:r w:rsidRPr="003B3AAB">
        <w:rPr>
          <w:color w:val="000000"/>
        </w:rPr>
        <w:t xml:space="preserve">The </w:t>
      </w:r>
      <w:r w:rsidR="007E45C5" w:rsidRPr="003B3AAB">
        <w:rPr>
          <w:color w:val="000000"/>
        </w:rPr>
        <w:t xml:space="preserve">Gender and Development Action Strategy </w:t>
      </w:r>
      <w:r w:rsidRPr="003B3AAB">
        <w:rPr>
          <w:color w:val="000000"/>
        </w:rPr>
        <w:t xml:space="preserve">of the Asia Regional Trafficking in Persons Project </w:t>
      </w:r>
      <w:r w:rsidR="007E45C5" w:rsidRPr="003B3AAB">
        <w:rPr>
          <w:color w:val="000000"/>
        </w:rPr>
        <w:t xml:space="preserve">is a key tool guiding </w:t>
      </w:r>
      <w:r w:rsidRPr="003B3AAB">
        <w:rPr>
          <w:color w:val="000000"/>
        </w:rPr>
        <w:t xml:space="preserve">the </w:t>
      </w:r>
      <w:r w:rsidR="007E45C5" w:rsidRPr="003B3AAB">
        <w:rPr>
          <w:color w:val="000000"/>
        </w:rPr>
        <w:t xml:space="preserve">mainstreaming of gender in the </w:t>
      </w:r>
      <w:r w:rsidR="00834EA9" w:rsidRPr="003B3AAB">
        <w:rPr>
          <w:color w:val="000000"/>
        </w:rPr>
        <w:t xml:space="preserve">regional </w:t>
      </w:r>
      <w:r w:rsidR="007E45C5" w:rsidRPr="003B3AAB">
        <w:rPr>
          <w:color w:val="000000"/>
        </w:rPr>
        <w:t xml:space="preserve">program. Gender focal points are being appointed within the </w:t>
      </w:r>
      <w:r w:rsidRPr="003B3AAB">
        <w:rPr>
          <w:color w:val="000000"/>
        </w:rPr>
        <w:t xml:space="preserve">technical working groups on trafficking </w:t>
      </w:r>
      <w:r w:rsidR="007E45C5" w:rsidRPr="003B3AAB">
        <w:rPr>
          <w:color w:val="000000"/>
        </w:rPr>
        <w:t xml:space="preserve">in each partner country. </w:t>
      </w:r>
    </w:p>
    <w:p w:rsidR="007E45C5" w:rsidRPr="003B3AAB" w:rsidRDefault="007E45C5" w:rsidP="007E45C5">
      <w:pPr>
        <w:pStyle w:val="BodyText"/>
        <w:rPr>
          <w:color w:val="000000"/>
        </w:rPr>
      </w:pPr>
      <w:r w:rsidRPr="003B3AAB">
        <w:rPr>
          <w:color w:val="000000"/>
        </w:rPr>
        <w:t>The return and reintegration of trafficking victims was supported through the provision of information, technical support on national guidelines and victim protection</w:t>
      </w:r>
      <w:r w:rsidR="00601715" w:rsidRPr="003B3AAB">
        <w:rPr>
          <w:color w:val="000000"/>
        </w:rPr>
        <w:t>,</w:t>
      </w:r>
      <w:r w:rsidRPr="003B3AAB">
        <w:rPr>
          <w:color w:val="000000"/>
        </w:rPr>
        <w:t xml:space="preserve"> and the placement </w:t>
      </w:r>
      <w:r w:rsidR="00601715" w:rsidRPr="003B3AAB">
        <w:rPr>
          <w:color w:val="000000"/>
        </w:rPr>
        <w:t xml:space="preserve">and support </w:t>
      </w:r>
      <w:r w:rsidRPr="003B3AAB">
        <w:rPr>
          <w:color w:val="000000"/>
        </w:rPr>
        <w:t>of social workers.</w:t>
      </w:r>
      <w:r w:rsidR="00AB44FB" w:rsidRPr="003B3AAB">
        <w:rPr>
          <w:color w:val="000000"/>
        </w:rPr>
        <w:t xml:space="preserve"> </w:t>
      </w:r>
      <w:r w:rsidRPr="003B3AAB">
        <w:rPr>
          <w:color w:val="000000"/>
        </w:rPr>
        <w:t>However</w:t>
      </w:r>
      <w:r w:rsidR="00601715" w:rsidRPr="003B3AAB">
        <w:rPr>
          <w:color w:val="000000"/>
        </w:rPr>
        <w:t>,</w:t>
      </w:r>
      <w:r w:rsidRPr="003B3AAB">
        <w:rPr>
          <w:color w:val="000000"/>
        </w:rPr>
        <w:t xml:space="preserve"> implementation delays associated with the reintegration activities </w:t>
      </w:r>
      <w:r w:rsidR="00601715" w:rsidRPr="003B3AAB">
        <w:rPr>
          <w:color w:val="000000"/>
        </w:rPr>
        <w:t xml:space="preserve">had a </w:t>
      </w:r>
      <w:r w:rsidRPr="003B3AAB">
        <w:rPr>
          <w:color w:val="000000"/>
        </w:rPr>
        <w:t>serious impact on effectiveness and the likelihood of long-term sustainability.</w:t>
      </w:r>
      <w:r w:rsidR="00AB44FB" w:rsidRPr="003B3AAB">
        <w:rPr>
          <w:color w:val="000000"/>
        </w:rPr>
        <w:t xml:space="preserve"> </w:t>
      </w:r>
      <w:r w:rsidR="00601715" w:rsidRPr="003B3AAB">
        <w:rPr>
          <w:color w:val="000000"/>
        </w:rPr>
        <w:t xml:space="preserve">The </w:t>
      </w:r>
      <w:r w:rsidRPr="003B3AAB">
        <w:rPr>
          <w:color w:val="000000"/>
        </w:rPr>
        <w:t>Post has had regular dialogue with key donors in the counter</w:t>
      </w:r>
      <w:r w:rsidR="00E11E9B" w:rsidRPr="003B3AAB">
        <w:rPr>
          <w:color w:val="000000"/>
        </w:rPr>
        <w:t>-</w:t>
      </w:r>
      <w:r w:rsidRPr="003B3AAB">
        <w:rPr>
          <w:color w:val="000000"/>
        </w:rPr>
        <w:t xml:space="preserve">trafficking field, meeting several times during the year with officials from the </w:t>
      </w:r>
      <w:r w:rsidR="00E11E9B" w:rsidRPr="003B3AAB">
        <w:rPr>
          <w:color w:val="000000"/>
        </w:rPr>
        <w:t xml:space="preserve">embassies </w:t>
      </w:r>
      <w:r w:rsidRPr="003B3AAB">
        <w:rPr>
          <w:color w:val="000000"/>
        </w:rPr>
        <w:t xml:space="preserve">of </w:t>
      </w:r>
      <w:smartTag w:uri="urn:schemas-microsoft-com:office:smarttags" w:element="country-region">
        <w:r w:rsidRPr="003B3AAB">
          <w:rPr>
            <w:color w:val="000000"/>
          </w:rPr>
          <w:t>Japan</w:t>
        </w:r>
      </w:smartTag>
      <w:r w:rsidRPr="003B3AAB">
        <w:rPr>
          <w:color w:val="000000"/>
        </w:rPr>
        <w:t xml:space="preserve">, </w:t>
      </w:r>
      <w:r w:rsidR="00E11E9B" w:rsidRPr="003B3AAB">
        <w:rPr>
          <w:color w:val="000000"/>
        </w:rPr>
        <w:t xml:space="preserve">the </w:t>
      </w:r>
      <w:smartTag w:uri="urn:schemas-microsoft-com:office:smarttags" w:element="country-region">
        <w:r w:rsidRPr="003B3AAB">
          <w:rPr>
            <w:color w:val="000000"/>
          </w:rPr>
          <w:t>United States</w:t>
        </w:r>
      </w:smartTag>
      <w:r w:rsidRPr="003B3AAB">
        <w:rPr>
          <w:color w:val="000000"/>
        </w:rPr>
        <w:t xml:space="preserve"> and the </w:t>
      </w:r>
      <w:smartTag w:uri="urn:schemas-microsoft-com:office:smarttags" w:element="country-region">
        <w:smartTag w:uri="urn:schemas-microsoft-com:office:smarttags" w:element="place">
          <w:r w:rsidRPr="003B3AAB">
            <w:rPr>
              <w:color w:val="000000"/>
            </w:rPr>
            <w:t>Netherlands</w:t>
          </w:r>
        </w:smartTag>
      </w:smartTag>
      <w:r w:rsidRPr="003B3AAB">
        <w:rPr>
          <w:color w:val="000000"/>
        </w:rPr>
        <w:t xml:space="preserve"> to minimise duplication of activities and encourage greater collaboration.</w:t>
      </w:r>
    </w:p>
    <w:p w:rsidR="007E45C5" w:rsidRPr="003B3AAB" w:rsidRDefault="007E45C5" w:rsidP="007E45C5">
      <w:pPr>
        <w:pStyle w:val="BodyText"/>
        <w:rPr>
          <w:color w:val="000000"/>
        </w:rPr>
      </w:pPr>
      <w:r w:rsidRPr="003B3AAB">
        <w:rPr>
          <w:color w:val="000000"/>
        </w:rPr>
        <w:t>Long</w:t>
      </w:r>
      <w:r w:rsidR="00E11E9B" w:rsidRPr="003B3AAB">
        <w:rPr>
          <w:color w:val="000000"/>
        </w:rPr>
        <w:t>-</w:t>
      </w:r>
      <w:r w:rsidRPr="003B3AAB">
        <w:rPr>
          <w:color w:val="000000"/>
        </w:rPr>
        <w:t xml:space="preserve">term support for the delivery of </w:t>
      </w:r>
      <w:r w:rsidR="00AB44FB" w:rsidRPr="003B3AAB">
        <w:rPr>
          <w:color w:val="000000"/>
        </w:rPr>
        <w:t>‘</w:t>
      </w:r>
      <w:r w:rsidRPr="003B3AAB">
        <w:rPr>
          <w:color w:val="000000"/>
        </w:rPr>
        <w:t>child wise tourism</w:t>
      </w:r>
      <w:r w:rsidR="00AB44FB" w:rsidRPr="003B3AAB">
        <w:rPr>
          <w:color w:val="000000"/>
        </w:rPr>
        <w:t>’</w:t>
      </w:r>
      <w:r w:rsidRPr="003B3AAB">
        <w:rPr>
          <w:color w:val="000000"/>
        </w:rPr>
        <w:t xml:space="preserve"> training for </w:t>
      </w:r>
      <w:r w:rsidR="00E11E9B" w:rsidRPr="003B3AAB">
        <w:rPr>
          <w:color w:val="000000"/>
        </w:rPr>
        <w:t xml:space="preserve">national </w:t>
      </w:r>
      <w:r w:rsidRPr="003B3AAB">
        <w:rPr>
          <w:color w:val="000000"/>
        </w:rPr>
        <w:t xml:space="preserve">tourism operators and other stakeholders in ASEAN </w:t>
      </w:r>
      <w:r w:rsidR="00834EA9" w:rsidRPr="003B3AAB">
        <w:rPr>
          <w:color w:val="000000"/>
        </w:rPr>
        <w:t xml:space="preserve">member </w:t>
      </w:r>
      <w:r w:rsidRPr="003B3AAB">
        <w:rPr>
          <w:color w:val="000000"/>
        </w:rPr>
        <w:t xml:space="preserve">countries also contributed to </w:t>
      </w:r>
      <w:r w:rsidR="00834EA9" w:rsidRPr="003B3AAB">
        <w:rPr>
          <w:color w:val="000000"/>
        </w:rPr>
        <w:t xml:space="preserve">these </w:t>
      </w:r>
      <w:r w:rsidRPr="003B3AAB">
        <w:rPr>
          <w:color w:val="000000"/>
        </w:rPr>
        <w:t>countries formalising the ASEAN Regional Taskforce to Prevent Child Sex Tourism and undertaking a largely self-funded regional education campaign.</w:t>
      </w:r>
      <w:r w:rsidR="00AB44FB" w:rsidRPr="003B3AAB">
        <w:rPr>
          <w:color w:val="000000"/>
        </w:rPr>
        <w:t xml:space="preserve"> </w:t>
      </w:r>
      <w:r w:rsidRPr="003B3AAB">
        <w:rPr>
          <w:color w:val="000000"/>
        </w:rPr>
        <w:t>In 2007, emphasis shifted to develop</w:t>
      </w:r>
      <w:r w:rsidR="00E11E9B" w:rsidRPr="003B3AAB">
        <w:rPr>
          <w:color w:val="000000"/>
        </w:rPr>
        <w:t xml:space="preserve">ing </w:t>
      </w:r>
      <w:r w:rsidRPr="003B3AAB">
        <w:rPr>
          <w:color w:val="000000"/>
        </w:rPr>
        <w:t xml:space="preserve">a transition plan for tackling </w:t>
      </w:r>
      <w:r w:rsidRPr="003B3AAB">
        <w:rPr>
          <w:b/>
          <w:color w:val="000000"/>
        </w:rPr>
        <w:t>child sex tourism</w:t>
      </w:r>
      <w:r w:rsidRPr="003B3AAB">
        <w:rPr>
          <w:color w:val="000000"/>
        </w:rPr>
        <w:t xml:space="preserve"> regionally, in partnership with the ASEAN Regional Taskforce, other donors and the private sector.</w:t>
      </w:r>
      <w:r w:rsidR="00AB44FB" w:rsidRPr="003B3AAB">
        <w:rPr>
          <w:color w:val="000000"/>
        </w:rPr>
        <w:t xml:space="preserve"> </w:t>
      </w:r>
    </w:p>
    <w:p w:rsidR="007E45C5" w:rsidRPr="003B3AAB" w:rsidRDefault="00532C9A" w:rsidP="007E45C5">
      <w:pPr>
        <w:pStyle w:val="BodyText"/>
        <w:rPr>
          <w:color w:val="000000"/>
        </w:rPr>
      </w:pPr>
      <w:r w:rsidRPr="003B3AAB">
        <w:rPr>
          <w:color w:val="000000"/>
        </w:rPr>
        <w:t>The response to</w:t>
      </w:r>
      <w:r w:rsidRPr="003B3AAB">
        <w:rPr>
          <w:b/>
          <w:color w:val="000000"/>
        </w:rPr>
        <w:t xml:space="preserve"> i</w:t>
      </w:r>
      <w:r w:rsidR="007E45C5" w:rsidRPr="003B3AAB">
        <w:rPr>
          <w:b/>
          <w:color w:val="000000"/>
        </w:rPr>
        <w:t>llicit drugs</w:t>
      </w:r>
      <w:r w:rsidR="007E45C5" w:rsidRPr="003B3AAB">
        <w:rPr>
          <w:color w:val="000000"/>
        </w:rPr>
        <w:t xml:space="preserve"> ha</w:t>
      </w:r>
      <w:r w:rsidRPr="003B3AAB">
        <w:rPr>
          <w:color w:val="000000"/>
        </w:rPr>
        <w:t>s</w:t>
      </w:r>
      <w:r w:rsidR="007E45C5" w:rsidRPr="003B3AAB">
        <w:rPr>
          <w:color w:val="000000"/>
        </w:rPr>
        <w:t xml:space="preserve"> received limited funding under a single initiative comprising a number of small pilot activities. The strategy review assessed these as being unlikely to have a significant impact in relation to demand, supply or harm reduction due to their size and duration. However, illicit drugs are recogni</w:t>
      </w:r>
      <w:r w:rsidRPr="003B3AAB">
        <w:rPr>
          <w:color w:val="000000"/>
        </w:rPr>
        <w:t>s</w:t>
      </w:r>
      <w:r w:rsidR="007E45C5" w:rsidRPr="003B3AAB">
        <w:rPr>
          <w:color w:val="000000"/>
        </w:rPr>
        <w:t xml:space="preserve">ed as an </w:t>
      </w:r>
      <w:r w:rsidR="007E45C5" w:rsidRPr="003B3AAB">
        <w:rPr>
          <w:color w:val="000000"/>
        </w:rPr>
        <w:lastRenderedPageBreak/>
        <w:t>important transboundary issue and the pilot activities do provide some basis for scaling up</w:t>
      </w:r>
      <w:r w:rsidRPr="003B3AAB">
        <w:rPr>
          <w:color w:val="000000"/>
        </w:rPr>
        <w:t xml:space="preserve"> interventions</w:t>
      </w:r>
      <w:r w:rsidR="007E45C5" w:rsidRPr="003B3AAB">
        <w:rPr>
          <w:color w:val="000000"/>
        </w:rPr>
        <w:t xml:space="preserve">. The </w:t>
      </w:r>
      <w:r w:rsidRPr="003B3AAB">
        <w:rPr>
          <w:color w:val="000000"/>
        </w:rPr>
        <w:t xml:space="preserve">Asia </w:t>
      </w:r>
      <w:r w:rsidR="007E45C5" w:rsidRPr="003B3AAB">
        <w:rPr>
          <w:color w:val="000000"/>
        </w:rPr>
        <w:t xml:space="preserve">regional program also has responsibility for AusAID’s relationship with the </w:t>
      </w:r>
      <w:r w:rsidR="000D7C6F" w:rsidRPr="003B3AAB">
        <w:rPr>
          <w:color w:val="000000"/>
        </w:rPr>
        <w:t xml:space="preserve">United Nations </w:t>
      </w:r>
      <w:r w:rsidR="007E45C5" w:rsidRPr="003B3AAB">
        <w:rPr>
          <w:color w:val="000000"/>
        </w:rPr>
        <w:t xml:space="preserve">Office on Drugs and Crime, managing core funding as well as support for the regional office in </w:t>
      </w:r>
      <w:smartTag w:uri="urn:schemas-microsoft-com:office:smarttags" w:element="City">
        <w:smartTag w:uri="urn:schemas-microsoft-com:office:smarttags" w:element="place">
          <w:r w:rsidR="007E45C5" w:rsidRPr="003B3AAB">
            <w:rPr>
              <w:color w:val="000000"/>
            </w:rPr>
            <w:t>Bangkok</w:t>
          </w:r>
        </w:smartTag>
      </w:smartTag>
      <w:r w:rsidR="007E45C5" w:rsidRPr="003B3AAB">
        <w:rPr>
          <w:color w:val="000000"/>
        </w:rPr>
        <w:t>.</w:t>
      </w:r>
      <w:r w:rsidR="00AB44FB" w:rsidRPr="003B3AAB">
        <w:rPr>
          <w:color w:val="000000"/>
        </w:rPr>
        <w:t xml:space="preserve"> </w:t>
      </w:r>
    </w:p>
    <w:p w:rsidR="007E45C5" w:rsidRPr="003B3AAB" w:rsidRDefault="007E45C5" w:rsidP="007E45C5">
      <w:pPr>
        <w:pStyle w:val="BodyText"/>
        <w:rPr>
          <w:color w:val="000000"/>
        </w:rPr>
      </w:pPr>
      <w:r w:rsidRPr="003B3AAB">
        <w:rPr>
          <w:b/>
          <w:color w:val="000000"/>
        </w:rPr>
        <w:t xml:space="preserve">Money laundering </w:t>
      </w:r>
      <w:r w:rsidRPr="003B3AAB">
        <w:rPr>
          <w:color w:val="000000"/>
        </w:rPr>
        <w:t>and</w:t>
      </w:r>
      <w:r w:rsidRPr="003B3AAB">
        <w:rPr>
          <w:b/>
          <w:color w:val="000000"/>
        </w:rPr>
        <w:t xml:space="preserve"> anticorruption</w:t>
      </w:r>
      <w:r w:rsidRPr="003B3AAB">
        <w:rPr>
          <w:color w:val="000000"/>
        </w:rPr>
        <w:t xml:space="preserve"> initiatives were transferred to the </w:t>
      </w:r>
      <w:r w:rsidR="000E70D1" w:rsidRPr="003B3AAB">
        <w:rPr>
          <w:color w:val="000000"/>
        </w:rPr>
        <w:t xml:space="preserve">AusAID’s </w:t>
      </w:r>
      <w:r w:rsidRPr="003B3AAB">
        <w:rPr>
          <w:color w:val="000000"/>
        </w:rPr>
        <w:t xml:space="preserve">anticorruption program at the beginning of </w:t>
      </w:r>
      <w:r w:rsidR="000E70D1" w:rsidRPr="003B3AAB">
        <w:rPr>
          <w:color w:val="000000"/>
        </w:rPr>
        <w:t>2007–08</w:t>
      </w:r>
      <w:r w:rsidRPr="003B3AAB">
        <w:rPr>
          <w:color w:val="000000"/>
        </w:rPr>
        <w:t>.</w:t>
      </w:r>
    </w:p>
    <w:p w:rsidR="007E45C5" w:rsidRPr="003B3AAB" w:rsidRDefault="007E45C5" w:rsidP="007E45C5">
      <w:pPr>
        <w:pStyle w:val="Heading3nonumber"/>
        <w:rPr>
          <w:color w:val="000000"/>
        </w:rPr>
      </w:pPr>
      <w:bookmarkStart w:id="37" w:name="_Toc213147046"/>
      <w:r w:rsidRPr="003B3AAB">
        <w:rPr>
          <w:color w:val="000000"/>
        </w:rPr>
        <w:t>Estimated expenditure</w:t>
      </w:r>
      <w:bookmarkEnd w:id="37"/>
    </w:p>
    <w:p w:rsidR="007E45C5" w:rsidRPr="003B3AAB" w:rsidRDefault="007E45C5" w:rsidP="007E45C5">
      <w:pPr>
        <w:pStyle w:val="BodyText"/>
        <w:rPr>
          <w:color w:val="000000"/>
        </w:rPr>
      </w:pPr>
      <w:r w:rsidRPr="003B3AAB">
        <w:rPr>
          <w:color w:val="000000"/>
        </w:rPr>
        <w:t>Approximately 57</w:t>
      </w:r>
      <w:r w:rsidR="00273325" w:rsidRPr="003B3AAB">
        <w:rPr>
          <w:color w:val="000000"/>
        </w:rPr>
        <w:t> per cent</w:t>
      </w:r>
      <w:r w:rsidRPr="003B3AAB">
        <w:rPr>
          <w:color w:val="000000"/>
        </w:rPr>
        <w:t xml:space="preserve"> </w:t>
      </w:r>
      <w:r w:rsidR="000E70D1" w:rsidRPr="003B3AAB">
        <w:rPr>
          <w:color w:val="000000"/>
        </w:rPr>
        <w:t xml:space="preserve">($…) </w:t>
      </w:r>
      <w:r w:rsidRPr="003B3AAB">
        <w:rPr>
          <w:color w:val="000000"/>
        </w:rPr>
        <w:t xml:space="preserve">of the </w:t>
      </w:r>
      <w:r w:rsidR="000E70D1" w:rsidRPr="003B3AAB">
        <w:rPr>
          <w:color w:val="000000"/>
        </w:rPr>
        <w:t xml:space="preserve">budget for the </w:t>
      </w:r>
      <w:smartTag w:uri="urn:schemas-microsoft-com:office:smarttags" w:element="place">
        <w:r w:rsidR="000E70D1" w:rsidRPr="003B3AAB">
          <w:rPr>
            <w:color w:val="000000"/>
          </w:rPr>
          <w:t>Asia</w:t>
        </w:r>
      </w:smartTag>
      <w:r w:rsidR="000E70D1" w:rsidRPr="003B3AAB">
        <w:rPr>
          <w:color w:val="000000"/>
        </w:rPr>
        <w:t xml:space="preserve"> regional program was for this objective</w:t>
      </w:r>
      <w:r w:rsidRPr="003B3AAB">
        <w:rPr>
          <w:color w:val="000000"/>
        </w:rPr>
        <w:t>.</w:t>
      </w:r>
    </w:p>
    <w:p w:rsidR="007E45C5" w:rsidRPr="003B3AAB" w:rsidRDefault="007E45C5" w:rsidP="00234BA6">
      <w:pPr>
        <w:pStyle w:val="BodyText"/>
        <w:rPr>
          <w:color w:val="000000"/>
        </w:rPr>
        <w:sectPr w:rsidR="007E45C5" w:rsidRPr="003B3AAB" w:rsidSect="00234BA6">
          <w:headerReference w:type="even" r:id="rId36"/>
          <w:headerReference w:type="default" r:id="rId37"/>
          <w:footerReference w:type="even" r:id="rId38"/>
          <w:footerReference w:type="default" r:id="rId39"/>
          <w:pgSz w:w="11907" w:h="16840" w:code="9"/>
          <w:pgMar w:top="2268" w:right="1985" w:bottom="1247" w:left="1985" w:header="567" w:footer="567" w:gutter="0"/>
          <w:cols w:space="720"/>
        </w:sectPr>
      </w:pPr>
    </w:p>
    <w:p w:rsidR="007E45C5" w:rsidRPr="003B3AAB" w:rsidRDefault="007E45C5" w:rsidP="009631D0">
      <w:pPr>
        <w:pStyle w:val="Heading1nonumber"/>
        <w:spacing w:before="120" w:after="60" w:line="440" w:lineRule="exact"/>
        <w:rPr>
          <w:color w:val="000000"/>
        </w:rPr>
      </w:pPr>
      <w:bookmarkStart w:id="38" w:name="_Toc213147047"/>
      <w:bookmarkStart w:id="39" w:name="_Toc360805141"/>
      <w:r w:rsidRPr="003B3AAB">
        <w:rPr>
          <w:color w:val="000000"/>
        </w:rPr>
        <w:lastRenderedPageBreak/>
        <w:t xml:space="preserve">What is the quality of </w:t>
      </w:r>
      <w:r w:rsidR="009631D0" w:rsidRPr="003B3AAB">
        <w:rPr>
          <w:color w:val="000000"/>
        </w:rPr>
        <w:t>AusAID</w:t>
      </w:r>
      <w:r w:rsidRPr="003B3AAB">
        <w:rPr>
          <w:color w:val="000000"/>
        </w:rPr>
        <w:t xml:space="preserve"> activities</w:t>
      </w:r>
      <w:r w:rsidR="009631D0" w:rsidRPr="003B3AAB">
        <w:rPr>
          <w:color w:val="000000"/>
        </w:rPr>
        <w:t xml:space="preserve"> in the </w:t>
      </w:r>
      <w:smartTag w:uri="urn:schemas-microsoft-com:office:smarttags" w:element="place">
        <w:r w:rsidR="009631D0" w:rsidRPr="003B3AAB">
          <w:rPr>
            <w:color w:val="000000"/>
          </w:rPr>
          <w:t>Asia</w:t>
        </w:r>
      </w:smartTag>
      <w:r w:rsidR="009631D0" w:rsidRPr="003B3AAB">
        <w:rPr>
          <w:color w:val="000000"/>
        </w:rPr>
        <w:t> regional program</w:t>
      </w:r>
      <w:r w:rsidRPr="003B3AAB">
        <w:rPr>
          <w:color w:val="000000"/>
        </w:rPr>
        <w:t>?</w:t>
      </w:r>
      <w:bookmarkEnd w:id="38"/>
      <w:bookmarkEnd w:id="39"/>
    </w:p>
    <w:p w:rsidR="007E45C5" w:rsidRPr="003B3AAB" w:rsidRDefault="007E45C5" w:rsidP="00234BA6">
      <w:pPr>
        <w:pStyle w:val="1stpara"/>
        <w:rPr>
          <w:color w:val="000000"/>
        </w:rPr>
      </w:pPr>
      <w:r w:rsidRPr="003B3AAB">
        <w:rPr>
          <w:color w:val="000000"/>
        </w:rPr>
        <w:t xml:space="preserve">Quality ratings </w:t>
      </w:r>
      <w:r w:rsidR="0086553C" w:rsidRPr="003B3AAB">
        <w:rPr>
          <w:color w:val="000000"/>
        </w:rPr>
        <w:t>were</w:t>
      </w:r>
      <w:r w:rsidRPr="003B3AAB">
        <w:rPr>
          <w:color w:val="000000"/>
        </w:rPr>
        <w:t xml:space="preserve"> provided </w:t>
      </w:r>
      <w:r w:rsidR="0086553C" w:rsidRPr="003B3AAB">
        <w:rPr>
          <w:color w:val="000000"/>
        </w:rPr>
        <w:t xml:space="preserve">only </w:t>
      </w:r>
      <w:r w:rsidRPr="003B3AAB">
        <w:rPr>
          <w:color w:val="000000"/>
        </w:rPr>
        <w:t xml:space="preserve">for initiatives </w:t>
      </w:r>
      <w:r w:rsidR="0086553C" w:rsidRPr="003B3AAB">
        <w:rPr>
          <w:color w:val="000000"/>
        </w:rPr>
        <w:t xml:space="preserve">of more than </w:t>
      </w:r>
      <w:r w:rsidRPr="003B3AAB">
        <w:rPr>
          <w:color w:val="000000"/>
        </w:rPr>
        <w:t xml:space="preserve">$3 million, or where the program deemed that smaller value initiatives are of interest to other partners. </w:t>
      </w:r>
      <w:r w:rsidR="0086553C" w:rsidRPr="003B3AAB">
        <w:rPr>
          <w:color w:val="000000"/>
        </w:rPr>
        <w:t>T</w:t>
      </w:r>
      <w:r w:rsidRPr="003B3AAB">
        <w:rPr>
          <w:color w:val="000000"/>
        </w:rPr>
        <w:t>he regional program had 59 active initiatives during 2007</w:t>
      </w:r>
      <w:r w:rsidR="0086553C" w:rsidRPr="003B3AAB">
        <w:rPr>
          <w:color w:val="000000"/>
        </w:rPr>
        <w:t>–</w:t>
      </w:r>
      <w:r w:rsidRPr="003B3AAB">
        <w:rPr>
          <w:color w:val="000000"/>
        </w:rPr>
        <w:t>08</w:t>
      </w:r>
      <w:r w:rsidR="0086553C" w:rsidRPr="003B3AAB">
        <w:rPr>
          <w:color w:val="000000"/>
        </w:rPr>
        <w:t>,</w:t>
      </w:r>
      <w:r w:rsidRPr="003B3AAB">
        <w:rPr>
          <w:color w:val="000000"/>
        </w:rPr>
        <w:t xml:space="preserve"> with 37 (63</w:t>
      </w:r>
      <w:r w:rsidR="00273325" w:rsidRPr="003B3AAB">
        <w:rPr>
          <w:color w:val="000000"/>
        </w:rPr>
        <w:t> per cent</w:t>
      </w:r>
      <w:r w:rsidRPr="003B3AAB">
        <w:rPr>
          <w:color w:val="000000"/>
        </w:rPr>
        <w:t>) falling below the $3 million mandatory reporting threshold. The program therefore needs to consider other triggers for quality reporting (including for pilot projects where lessons need to be captured) or preferably a dramatic reduction in small</w:t>
      </w:r>
      <w:r w:rsidR="00C026EC" w:rsidRPr="003B3AAB">
        <w:rPr>
          <w:color w:val="000000"/>
        </w:rPr>
        <w:t>-</w:t>
      </w:r>
      <w:r w:rsidRPr="003B3AAB">
        <w:rPr>
          <w:color w:val="000000"/>
        </w:rPr>
        <w:t>scale activities.</w:t>
      </w:r>
    </w:p>
    <w:p w:rsidR="007E45C5" w:rsidRPr="003B3AAB" w:rsidRDefault="007E45C5" w:rsidP="007E45C5">
      <w:pPr>
        <w:pStyle w:val="BodyText"/>
        <w:rPr>
          <w:color w:val="000000"/>
        </w:rPr>
      </w:pPr>
      <w:r w:rsidRPr="003B3AAB">
        <w:rPr>
          <w:color w:val="000000"/>
        </w:rPr>
        <w:t>While it is encouraging that 67</w:t>
      </w:r>
      <w:r w:rsidR="00273325" w:rsidRPr="003B3AAB">
        <w:rPr>
          <w:color w:val="000000"/>
        </w:rPr>
        <w:t> per cent</w:t>
      </w:r>
      <w:r w:rsidRPr="003B3AAB">
        <w:rPr>
          <w:color w:val="000000"/>
        </w:rPr>
        <w:t xml:space="preserve"> of </w:t>
      </w:r>
      <w:r w:rsidR="00834EA9" w:rsidRPr="003B3AAB">
        <w:rPr>
          <w:color w:val="000000"/>
        </w:rPr>
        <w:t xml:space="preserve">rated </w:t>
      </w:r>
      <w:r w:rsidRPr="003B3AAB">
        <w:rPr>
          <w:color w:val="000000"/>
        </w:rPr>
        <w:t xml:space="preserve">initiatives </w:t>
      </w:r>
      <w:r w:rsidR="008B5C80" w:rsidRPr="003B3AAB">
        <w:rPr>
          <w:color w:val="000000"/>
        </w:rPr>
        <w:t xml:space="preserve">were </w:t>
      </w:r>
      <w:r w:rsidRPr="003B3AAB">
        <w:rPr>
          <w:color w:val="000000"/>
        </w:rPr>
        <w:t>making satisfactory progress on implementation and 78</w:t>
      </w:r>
      <w:r w:rsidR="00273325" w:rsidRPr="003B3AAB">
        <w:rPr>
          <w:color w:val="000000"/>
        </w:rPr>
        <w:t> per cent</w:t>
      </w:r>
      <w:r w:rsidRPr="003B3AAB">
        <w:rPr>
          <w:color w:val="000000"/>
        </w:rPr>
        <w:t xml:space="preserve"> </w:t>
      </w:r>
      <w:r w:rsidR="008B5C80" w:rsidRPr="003B3AAB">
        <w:rPr>
          <w:color w:val="000000"/>
        </w:rPr>
        <w:t xml:space="preserve">were </w:t>
      </w:r>
      <w:r w:rsidRPr="003B3AAB">
        <w:rPr>
          <w:color w:val="000000"/>
        </w:rPr>
        <w:t>on track to meet objectives, the vast majority require</w:t>
      </w:r>
      <w:r w:rsidR="008B5C80" w:rsidRPr="003B3AAB">
        <w:rPr>
          <w:color w:val="000000"/>
        </w:rPr>
        <w:t>d</w:t>
      </w:r>
      <w:r w:rsidRPr="003B3AAB">
        <w:rPr>
          <w:color w:val="000000"/>
        </w:rPr>
        <w:t xml:space="preserve"> at least some work to improve </w:t>
      </w:r>
      <w:r w:rsidR="00834EA9" w:rsidRPr="003B3AAB">
        <w:rPr>
          <w:color w:val="000000"/>
        </w:rPr>
        <w:t xml:space="preserve">their </w:t>
      </w:r>
      <w:r w:rsidRPr="003B3AAB">
        <w:rPr>
          <w:color w:val="000000"/>
        </w:rPr>
        <w:t>progress</w:t>
      </w:r>
      <w:r w:rsidR="008B5C80" w:rsidRPr="003B3AAB">
        <w:rPr>
          <w:color w:val="000000"/>
        </w:rPr>
        <w:t xml:space="preserve"> in implementation and </w:t>
      </w:r>
      <w:r w:rsidRPr="003B3AAB">
        <w:rPr>
          <w:color w:val="000000"/>
        </w:rPr>
        <w:t>towards objectives</w:t>
      </w:r>
      <w:r w:rsidR="00834EA9" w:rsidRPr="003B3AAB">
        <w:rPr>
          <w:color w:val="000000"/>
        </w:rPr>
        <w:t xml:space="preserve"> (Table 2)</w:t>
      </w:r>
      <w:r w:rsidRPr="003B3AAB">
        <w:rPr>
          <w:color w:val="000000"/>
        </w:rPr>
        <w:t xml:space="preserve">. Of much greater concern, however, is that less than half of the </w:t>
      </w:r>
      <w:r w:rsidR="00834EA9" w:rsidRPr="003B3AAB">
        <w:rPr>
          <w:color w:val="000000"/>
        </w:rPr>
        <w:t xml:space="preserve">rated </w:t>
      </w:r>
      <w:r w:rsidRPr="003B3AAB">
        <w:rPr>
          <w:color w:val="000000"/>
        </w:rPr>
        <w:t xml:space="preserve">initiatives </w:t>
      </w:r>
      <w:r w:rsidR="008B5C80" w:rsidRPr="003B3AAB">
        <w:rPr>
          <w:color w:val="000000"/>
        </w:rPr>
        <w:t xml:space="preserve">were </w:t>
      </w:r>
      <w:r w:rsidRPr="003B3AAB">
        <w:rPr>
          <w:color w:val="000000"/>
        </w:rPr>
        <w:t>making satisfactory progress on sustainability.</w:t>
      </w:r>
      <w:r w:rsidR="00AB44FB" w:rsidRPr="003B3AAB">
        <w:rPr>
          <w:color w:val="000000"/>
        </w:rPr>
        <w:t xml:space="preserve"> </w:t>
      </w:r>
      <w:r w:rsidRPr="003B3AAB">
        <w:rPr>
          <w:color w:val="000000"/>
        </w:rPr>
        <w:t>Almost 90</w:t>
      </w:r>
      <w:r w:rsidR="00273325" w:rsidRPr="003B3AAB">
        <w:rPr>
          <w:color w:val="000000"/>
        </w:rPr>
        <w:t> per cent</w:t>
      </w:r>
      <w:r w:rsidRPr="003B3AAB">
        <w:rPr>
          <w:color w:val="000000"/>
        </w:rPr>
        <w:t xml:space="preserve"> of all </w:t>
      </w:r>
      <w:r w:rsidR="00834EA9" w:rsidRPr="003B3AAB">
        <w:rPr>
          <w:color w:val="000000"/>
        </w:rPr>
        <w:t>rated</w:t>
      </w:r>
      <w:r w:rsidRPr="003B3AAB">
        <w:rPr>
          <w:color w:val="000000"/>
        </w:rPr>
        <w:t xml:space="preserve"> initiatives need</w:t>
      </w:r>
      <w:r w:rsidR="008B5C80" w:rsidRPr="003B3AAB">
        <w:rPr>
          <w:color w:val="000000"/>
        </w:rPr>
        <w:t>ed</w:t>
      </w:r>
      <w:r w:rsidRPr="003B3AAB">
        <w:rPr>
          <w:color w:val="000000"/>
        </w:rPr>
        <w:t xml:space="preserve"> work to improve their </w:t>
      </w:r>
      <w:r w:rsidR="00273325" w:rsidRPr="003B3AAB">
        <w:rPr>
          <w:color w:val="000000"/>
        </w:rPr>
        <w:t>monitoring and evaluation</w:t>
      </w:r>
      <w:r w:rsidRPr="003B3AAB">
        <w:rPr>
          <w:color w:val="000000"/>
        </w:rPr>
        <w:t xml:space="preserve"> systems and prospects of </w:t>
      </w:r>
      <w:r w:rsidR="008B5C80" w:rsidRPr="003B3AAB">
        <w:rPr>
          <w:color w:val="000000"/>
        </w:rPr>
        <w:t xml:space="preserve">producing </w:t>
      </w:r>
      <w:r w:rsidRPr="003B3AAB">
        <w:rPr>
          <w:color w:val="000000"/>
        </w:rPr>
        <w:t>sustainab</w:t>
      </w:r>
      <w:r w:rsidR="008B5C80" w:rsidRPr="003B3AAB">
        <w:rPr>
          <w:color w:val="000000"/>
        </w:rPr>
        <w:t>le outcomes</w:t>
      </w:r>
      <w:r w:rsidRPr="003B3AAB">
        <w:rPr>
          <w:color w:val="000000"/>
        </w:rPr>
        <w:t xml:space="preserve">. </w:t>
      </w:r>
      <w:r w:rsidR="00EC3FC1" w:rsidRPr="003B3AAB">
        <w:rPr>
          <w:color w:val="000000"/>
        </w:rPr>
        <w:t>The r</w:t>
      </w:r>
      <w:r w:rsidRPr="003B3AAB">
        <w:rPr>
          <w:color w:val="000000"/>
        </w:rPr>
        <w:t xml:space="preserve">atings </w:t>
      </w:r>
      <w:r w:rsidR="00EC3FC1" w:rsidRPr="003B3AAB">
        <w:rPr>
          <w:color w:val="000000"/>
        </w:rPr>
        <w:t xml:space="preserve">of initiatives </w:t>
      </w:r>
      <w:r w:rsidR="00834EA9" w:rsidRPr="003B3AAB">
        <w:rPr>
          <w:color w:val="000000"/>
        </w:rPr>
        <w:t xml:space="preserve">to improve regional responses to transboundary development challenges were </w:t>
      </w:r>
      <w:r w:rsidRPr="003B3AAB">
        <w:rPr>
          <w:color w:val="000000"/>
        </w:rPr>
        <w:t xml:space="preserve">generally lower than </w:t>
      </w:r>
      <w:r w:rsidR="00EC3FC1" w:rsidRPr="003B3AAB">
        <w:rPr>
          <w:color w:val="000000"/>
        </w:rPr>
        <w:t>those of initiatives to strengthen the regional capacities of key regional institutions to enhance economic integration and trade liberalisation</w:t>
      </w:r>
      <w:r w:rsidRPr="003B3AAB">
        <w:rPr>
          <w:color w:val="000000"/>
        </w:rPr>
        <w:t>.</w:t>
      </w:r>
      <w:r w:rsidR="00AB44FB" w:rsidRPr="003B3AAB">
        <w:rPr>
          <w:color w:val="000000"/>
        </w:rPr>
        <w:t xml:space="preserve"> </w:t>
      </w:r>
      <w:r w:rsidR="00003B40" w:rsidRPr="003B3AAB">
        <w:rPr>
          <w:color w:val="000000"/>
        </w:rPr>
        <w:t xml:space="preserve">Although </w:t>
      </w:r>
      <w:r w:rsidRPr="003B3AAB">
        <w:rPr>
          <w:color w:val="000000"/>
        </w:rPr>
        <w:t>the performance of individual activities was variable, some general themes emerged.</w:t>
      </w:r>
      <w:r w:rsidR="00AB44FB" w:rsidRPr="003B3AAB">
        <w:rPr>
          <w:color w:val="000000"/>
        </w:rPr>
        <w:t xml:space="preserve"> </w:t>
      </w:r>
    </w:p>
    <w:p w:rsidR="00003B40" w:rsidRPr="00A448C0" w:rsidRDefault="00003B40" w:rsidP="00C224E8">
      <w:pPr>
        <w:pStyle w:val="Caption"/>
      </w:pPr>
      <w:r w:rsidRPr="00A448C0">
        <w:t xml:space="preserve">Summary of </w:t>
      </w:r>
      <w:r w:rsidR="00834EA9" w:rsidRPr="00A448C0">
        <w:t>the</w:t>
      </w:r>
      <w:r w:rsidRPr="00A448C0">
        <w:t xml:space="preserve"> REGIONAL program’s Quality at Implementation in 2007–08</w:t>
      </w:r>
      <w:r w:rsidR="00A448C0">
        <w:t xml:space="preserve"> </w:t>
      </w:r>
      <w:r w:rsidRPr="00A448C0">
        <w:t>As at</w:t>
      </w:r>
      <w:r w:rsidR="00834EA9" w:rsidRPr="00A448C0">
        <w:t xml:space="preserve"> </w:t>
      </w:r>
      <w:r w:rsidRPr="00A448C0">
        <w:t>12</w:t>
      </w:r>
      <w:r w:rsidRPr="00A448C0">
        <w:rPr>
          <w:rStyle w:val="Subtitlebox"/>
          <w:caps w:val="0"/>
          <w:sz w:val="20"/>
        </w:rPr>
        <w:t xml:space="preserve"> May 2008</w:t>
      </w:r>
    </w:p>
    <w:tbl>
      <w:tblPr>
        <w:tblpPr w:leftFromText="180" w:rightFromText="180" w:vertAnchor="text" w:horzAnchor="margin" w:tblpY="32"/>
        <w:tblW w:w="7938" w:type="dxa"/>
        <w:tblLayout w:type="fixed"/>
        <w:tblCellMar>
          <w:left w:w="56" w:type="dxa"/>
          <w:right w:w="56" w:type="dxa"/>
        </w:tblCellMar>
        <w:tblLook w:val="0000" w:firstRow="0" w:lastRow="0" w:firstColumn="0" w:lastColumn="0" w:noHBand="0" w:noVBand="0"/>
      </w:tblPr>
      <w:tblGrid>
        <w:gridCol w:w="3793"/>
        <w:gridCol w:w="1148"/>
        <w:gridCol w:w="993"/>
        <w:gridCol w:w="966"/>
        <w:gridCol w:w="1038"/>
      </w:tblGrid>
      <w:tr w:rsidR="00A448C0" w:rsidRPr="003B3AAB" w:rsidTr="00A448C0">
        <w:trPr>
          <w:cantSplit/>
          <w:tblHeader/>
        </w:trPr>
        <w:tc>
          <w:tcPr>
            <w:tcW w:w="3793" w:type="dxa"/>
            <w:tcBorders>
              <w:top w:val="single" w:sz="4" w:space="0" w:color="auto"/>
              <w:bottom w:val="single" w:sz="4" w:space="0" w:color="auto"/>
            </w:tcBorders>
          </w:tcPr>
          <w:p w:rsidR="00A448C0" w:rsidRPr="003B3AAB" w:rsidRDefault="00A448C0" w:rsidP="00A448C0">
            <w:pPr>
              <w:pStyle w:val="Tablecolumnheadings"/>
              <w:jc w:val="left"/>
              <w:rPr>
                <w:color w:val="000000"/>
              </w:rPr>
            </w:pPr>
          </w:p>
        </w:tc>
        <w:tc>
          <w:tcPr>
            <w:tcW w:w="1148" w:type="dxa"/>
            <w:tcBorders>
              <w:top w:val="single" w:sz="4" w:space="0" w:color="auto"/>
              <w:bottom w:val="single" w:sz="4" w:space="0" w:color="auto"/>
            </w:tcBorders>
            <w:vAlign w:val="bottom"/>
          </w:tcPr>
          <w:p w:rsidR="00A448C0" w:rsidRPr="003B3AAB" w:rsidRDefault="00A448C0" w:rsidP="00A448C0">
            <w:pPr>
              <w:pStyle w:val="Tablecolumnheadings"/>
              <w:rPr>
                <w:color w:val="000000"/>
              </w:rPr>
            </w:pPr>
            <w:r w:rsidRPr="003B3AAB">
              <w:rPr>
                <w:color w:val="000000"/>
              </w:rPr>
              <w:t>Implementation progress</w:t>
            </w:r>
          </w:p>
        </w:tc>
        <w:tc>
          <w:tcPr>
            <w:tcW w:w="993" w:type="dxa"/>
            <w:tcBorders>
              <w:top w:val="single" w:sz="4" w:space="0" w:color="auto"/>
              <w:bottom w:val="single" w:sz="4" w:space="0" w:color="auto"/>
            </w:tcBorders>
            <w:vAlign w:val="bottom"/>
          </w:tcPr>
          <w:p w:rsidR="00A448C0" w:rsidRPr="003B3AAB" w:rsidRDefault="00A448C0" w:rsidP="00A448C0">
            <w:pPr>
              <w:pStyle w:val="Tablecolumnheadings"/>
              <w:rPr>
                <w:color w:val="000000"/>
              </w:rPr>
            </w:pPr>
            <w:r w:rsidRPr="003B3AAB">
              <w:rPr>
                <w:color w:val="000000"/>
              </w:rPr>
              <w:t>Achieving objectives</w:t>
            </w:r>
          </w:p>
        </w:tc>
        <w:tc>
          <w:tcPr>
            <w:tcW w:w="966" w:type="dxa"/>
            <w:tcBorders>
              <w:top w:val="single" w:sz="4" w:space="0" w:color="auto"/>
              <w:bottom w:val="single" w:sz="4" w:space="0" w:color="auto"/>
            </w:tcBorders>
            <w:vAlign w:val="bottom"/>
          </w:tcPr>
          <w:p w:rsidR="00A448C0" w:rsidRPr="003B3AAB" w:rsidRDefault="00A448C0" w:rsidP="00A448C0">
            <w:pPr>
              <w:pStyle w:val="Tablecolumnheadings"/>
              <w:rPr>
                <w:color w:val="000000"/>
              </w:rPr>
            </w:pPr>
            <w:r w:rsidRPr="003B3AAB">
              <w:rPr>
                <w:color w:val="000000"/>
              </w:rPr>
              <w:t>Monitoring &amp; evaluation</w:t>
            </w:r>
          </w:p>
        </w:tc>
        <w:tc>
          <w:tcPr>
            <w:tcW w:w="1038" w:type="dxa"/>
            <w:tcBorders>
              <w:top w:val="single" w:sz="4" w:space="0" w:color="auto"/>
              <w:bottom w:val="single" w:sz="4" w:space="0" w:color="auto"/>
            </w:tcBorders>
            <w:vAlign w:val="bottom"/>
          </w:tcPr>
          <w:p w:rsidR="00A448C0" w:rsidRPr="003B3AAB" w:rsidRDefault="00A448C0" w:rsidP="00A448C0">
            <w:pPr>
              <w:pStyle w:val="Tablecolumnheadings"/>
              <w:rPr>
                <w:color w:val="000000"/>
              </w:rPr>
            </w:pPr>
            <w:r w:rsidRPr="003B3AAB">
              <w:rPr>
                <w:color w:val="000000"/>
              </w:rPr>
              <w:t>Sustainability</w:t>
            </w:r>
          </w:p>
        </w:tc>
      </w:tr>
      <w:tr w:rsidR="00A448C0" w:rsidRPr="003B3AAB" w:rsidTr="00A448C0">
        <w:trPr>
          <w:cantSplit/>
        </w:trPr>
        <w:tc>
          <w:tcPr>
            <w:tcW w:w="7938" w:type="dxa"/>
            <w:gridSpan w:val="5"/>
            <w:tcBorders>
              <w:top w:val="single" w:sz="4" w:space="0" w:color="auto"/>
            </w:tcBorders>
          </w:tcPr>
          <w:p w:rsidR="00A448C0" w:rsidRPr="003B3AAB" w:rsidRDefault="00A448C0" w:rsidP="00A448C0">
            <w:pPr>
              <w:pStyle w:val="Tableheading1"/>
              <w:rPr>
                <w:color w:val="000000"/>
              </w:rPr>
            </w:pPr>
            <w:r w:rsidRPr="003B3AAB">
              <w:rPr>
                <w:color w:val="000000"/>
              </w:rPr>
              <w:t>Objective 1: Strengthened regional capacities of key regional institutions to enhance economic integration and trade liberalisation</w:t>
            </w:r>
          </w:p>
        </w:tc>
      </w:tr>
      <w:tr w:rsidR="00A448C0" w:rsidRPr="003B3AAB" w:rsidTr="00A448C0">
        <w:trPr>
          <w:cantSplit/>
        </w:trPr>
        <w:tc>
          <w:tcPr>
            <w:tcW w:w="3793" w:type="dxa"/>
          </w:tcPr>
          <w:p w:rsidR="00A448C0" w:rsidRPr="003B3AAB" w:rsidRDefault="00A448C0" w:rsidP="00A448C0">
            <w:pPr>
              <w:pStyle w:val="Tablebody"/>
              <w:jc w:val="left"/>
              <w:rPr>
                <w:color w:val="000000"/>
              </w:rPr>
            </w:pPr>
            <w:r w:rsidRPr="003B3AAB">
              <w:rPr>
                <w:rFonts w:cs="Arial"/>
                <w:color w:val="000000"/>
              </w:rPr>
              <w:t>Initiatives satisfactory (4–6 rating)</w:t>
            </w:r>
          </w:p>
        </w:tc>
        <w:tc>
          <w:tcPr>
            <w:tcW w:w="1148" w:type="dxa"/>
            <w:vAlign w:val="bottom"/>
          </w:tcPr>
          <w:p w:rsidR="00A448C0" w:rsidRPr="003B3AAB" w:rsidRDefault="00A448C0" w:rsidP="00A448C0">
            <w:pPr>
              <w:pStyle w:val="Tablebody"/>
              <w:rPr>
                <w:color w:val="000000"/>
              </w:rPr>
            </w:pPr>
            <w:r w:rsidRPr="003B3AAB">
              <w:rPr>
                <w:color w:val="000000"/>
              </w:rPr>
              <w:t>75%</w:t>
            </w:r>
          </w:p>
        </w:tc>
        <w:tc>
          <w:tcPr>
            <w:tcW w:w="993" w:type="dxa"/>
            <w:vAlign w:val="bottom"/>
          </w:tcPr>
          <w:p w:rsidR="00A448C0" w:rsidRPr="003B3AAB" w:rsidRDefault="00A448C0" w:rsidP="00A448C0">
            <w:pPr>
              <w:pStyle w:val="Tablebody"/>
              <w:rPr>
                <w:color w:val="000000"/>
              </w:rPr>
            </w:pPr>
            <w:r w:rsidRPr="003B3AAB">
              <w:rPr>
                <w:color w:val="000000"/>
              </w:rPr>
              <w:t>88%</w:t>
            </w:r>
          </w:p>
        </w:tc>
        <w:tc>
          <w:tcPr>
            <w:tcW w:w="966" w:type="dxa"/>
            <w:vAlign w:val="bottom"/>
          </w:tcPr>
          <w:p w:rsidR="00A448C0" w:rsidRPr="003B3AAB" w:rsidRDefault="00A448C0" w:rsidP="00A448C0">
            <w:pPr>
              <w:pStyle w:val="Tablebody"/>
              <w:rPr>
                <w:color w:val="000000"/>
              </w:rPr>
            </w:pPr>
            <w:r w:rsidRPr="003B3AAB">
              <w:rPr>
                <w:color w:val="000000"/>
              </w:rPr>
              <w:t>50%</w:t>
            </w:r>
          </w:p>
        </w:tc>
        <w:tc>
          <w:tcPr>
            <w:tcW w:w="1038" w:type="dxa"/>
            <w:vAlign w:val="bottom"/>
          </w:tcPr>
          <w:p w:rsidR="00A448C0" w:rsidRPr="003B3AAB" w:rsidRDefault="00A448C0" w:rsidP="00A448C0">
            <w:pPr>
              <w:pStyle w:val="Tablebody"/>
              <w:rPr>
                <w:color w:val="000000"/>
              </w:rPr>
            </w:pPr>
            <w:r w:rsidRPr="003B3AAB">
              <w:rPr>
                <w:color w:val="000000"/>
              </w:rPr>
              <w:t>50%</w:t>
            </w:r>
          </w:p>
        </w:tc>
      </w:tr>
      <w:tr w:rsidR="00A448C0" w:rsidRPr="003B3AAB" w:rsidTr="00A448C0">
        <w:trPr>
          <w:cantSplit/>
        </w:trPr>
        <w:tc>
          <w:tcPr>
            <w:tcW w:w="3793" w:type="dxa"/>
          </w:tcPr>
          <w:p w:rsidR="00A448C0" w:rsidRPr="003B3AAB" w:rsidRDefault="00A448C0" w:rsidP="00A448C0">
            <w:pPr>
              <w:pStyle w:val="Tablebody"/>
              <w:jc w:val="left"/>
              <w:rPr>
                <w:color w:val="000000"/>
              </w:rPr>
            </w:pPr>
            <w:r w:rsidRPr="003B3AAB">
              <w:rPr>
                <w:rFonts w:cs="Arial"/>
                <w:color w:val="000000"/>
              </w:rPr>
              <w:t>Initiatives needing work to improve (1–4 rating)</w:t>
            </w:r>
          </w:p>
        </w:tc>
        <w:tc>
          <w:tcPr>
            <w:tcW w:w="1148" w:type="dxa"/>
            <w:vAlign w:val="bottom"/>
          </w:tcPr>
          <w:p w:rsidR="00A448C0" w:rsidRPr="003B3AAB" w:rsidRDefault="00A448C0" w:rsidP="00A448C0">
            <w:pPr>
              <w:pStyle w:val="Tablebody"/>
              <w:rPr>
                <w:color w:val="000000"/>
              </w:rPr>
            </w:pPr>
            <w:r w:rsidRPr="003B3AAB">
              <w:rPr>
                <w:color w:val="000000"/>
              </w:rPr>
              <w:t>63%</w:t>
            </w:r>
          </w:p>
        </w:tc>
        <w:tc>
          <w:tcPr>
            <w:tcW w:w="993" w:type="dxa"/>
            <w:vAlign w:val="bottom"/>
          </w:tcPr>
          <w:p w:rsidR="00A448C0" w:rsidRPr="003B3AAB" w:rsidRDefault="00A448C0" w:rsidP="00A448C0">
            <w:pPr>
              <w:pStyle w:val="Tablebody"/>
              <w:rPr>
                <w:color w:val="000000"/>
              </w:rPr>
            </w:pPr>
            <w:r w:rsidRPr="003B3AAB">
              <w:rPr>
                <w:color w:val="000000"/>
              </w:rPr>
              <w:t>50%</w:t>
            </w:r>
          </w:p>
        </w:tc>
        <w:tc>
          <w:tcPr>
            <w:tcW w:w="966" w:type="dxa"/>
            <w:vAlign w:val="bottom"/>
          </w:tcPr>
          <w:p w:rsidR="00A448C0" w:rsidRPr="003B3AAB" w:rsidRDefault="00A448C0" w:rsidP="00A448C0">
            <w:pPr>
              <w:pStyle w:val="Tablebody"/>
              <w:rPr>
                <w:color w:val="000000"/>
              </w:rPr>
            </w:pPr>
            <w:r w:rsidRPr="003B3AAB">
              <w:rPr>
                <w:color w:val="000000"/>
              </w:rPr>
              <w:t>88%</w:t>
            </w:r>
          </w:p>
        </w:tc>
        <w:tc>
          <w:tcPr>
            <w:tcW w:w="1038" w:type="dxa"/>
            <w:vAlign w:val="bottom"/>
          </w:tcPr>
          <w:p w:rsidR="00A448C0" w:rsidRPr="003B3AAB" w:rsidRDefault="00A448C0" w:rsidP="00A448C0">
            <w:pPr>
              <w:pStyle w:val="Tablebody"/>
              <w:rPr>
                <w:color w:val="000000"/>
              </w:rPr>
            </w:pPr>
            <w:r w:rsidRPr="003B3AAB">
              <w:rPr>
                <w:color w:val="000000"/>
              </w:rPr>
              <w:t>75%</w:t>
            </w:r>
          </w:p>
        </w:tc>
      </w:tr>
      <w:tr w:rsidR="00A448C0" w:rsidRPr="003B3AAB" w:rsidTr="00A448C0">
        <w:trPr>
          <w:cantSplit/>
        </w:trPr>
        <w:tc>
          <w:tcPr>
            <w:tcW w:w="7938" w:type="dxa"/>
            <w:gridSpan w:val="5"/>
          </w:tcPr>
          <w:p w:rsidR="00A448C0" w:rsidRPr="003B3AAB" w:rsidRDefault="00A448C0" w:rsidP="00A448C0">
            <w:pPr>
              <w:pStyle w:val="Tableheading1"/>
              <w:rPr>
                <w:color w:val="000000"/>
              </w:rPr>
            </w:pPr>
            <w:r w:rsidRPr="003B3AAB">
              <w:rPr>
                <w:color w:val="000000"/>
              </w:rPr>
              <w:t>Objective 2: Improving regional responses to transboundary development challenges</w:t>
            </w:r>
          </w:p>
        </w:tc>
      </w:tr>
      <w:tr w:rsidR="00A448C0" w:rsidRPr="003B3AAB" w:rsidTr="00A448C0">
        <w:trPr>
          <w:cantSplit/>
        </w:trPr>
        <w:tc>
          <w:tcPr>
            <w:tcW w:w="3793" w:type="dxa"/>
          </w:tcPr>
          <w:p w:rsidR="00A448C0" w:rsidRPr="003B3AAB" w:rsidRDefault="00A448C0" w:rsidP="00A448C0">
            <w:pPr>
              <w:pStyle w:val="Tablebody"/>
              <w:jc w:val="left"/>
              <w:rPr>
                <w:color w:val="000000"/>
              </w:rPr>
            </w:pPr>
            <w:r w:rsidRPr="003B3AAB">
              <w:rPr>
                <w:rFonts w:cs="Arial"/>
                <w:color w:val="000000"/>
              </w:rPr>
              <w:t>Initiatives satisfactory (4–6 rating)</w:t>
            </w:r>
          </w:p>
        </w:tc>
        <w:tc>
          <w:tcPr>
            <w:tcW w:w="1148" w:type="dxa"/>
            <w:vAlign w:val="bottom"/>
          </w:tcPr>
          <w:p w:rsidR="00A448C0" w:rsidRPr="003B3AAB" w:rsidRDefault="00A448C0" w:rsidP="00A448C0">
            <w:pPr>
              <w:pStyle w:val="Tablebody"/>
              <w:rPr>
                <w:color w:val="000000"/>
              </w:rPr>
            </w:pPr>
            <w:r w:rsidRPr="003B3AAB">
              <w:rPr>
                <w:color w:val="000000"/>
              </w:rPr>
              <w:t>60%</w:t>
            </w:r>
          </w:p>
        </w:tc>
        <w:tc>
          <w:tcPr>
            <w:tcW w:w="993" w:type="dxa"/>
            <w:vAlign w:val="bottom"/>
          </w:tcPr>
          <w:p w:rsidR="00A448C0" w:rsidRPr="003B3AAB" w:rsidRDefault="00A448C0" w:rsidP="00A448C0">
            <w:pPr>
              <w:pStyle w:val="Tablebody"/>
              <w:rPr>
                <w:color w:val="000000"/>
              </w:rPr>
            </w:pPr>
            <w:r w:rsidRPr="003B3AAB">
              <w:rPr>
                <w:color w:val="000000"/>
              </w:rPr>
              <w:t>70%</w:t>
            </w:r>
          </w:p>
        </w:tc>
        <w:tc>
          <w:tcPr>
            <w:tcW w:w="966" w:type="dxa"/>
            <w:vAlign w:val="bottom"/>
          </w:tcPr>
          <w:p w:rsidR="00A448C0" w:rsidRPr="003B3AAB" w:rsidRDefault="00A448C0" w:rsidP="00A448C0">
            <w:pPr>
              <w:pStyle w:val="Tablebody"/>
              <w:rPr>
                <w:color w:val="000000"/>
              </w:rPr>
            </w:pPr>
            <w:r w:rsidRPr="003B3AAB">
              <w:rPr>
                <w:color w:val="000000"/>
              </w:rPr>
              <w:t>50%</w:t>
            </w:r>
          </w:p>
        </w:tc>
        <w:tc>
          <w:tcPr>
            <w:tcW w:w="1038" w:type="dxa"/>
            <w:vAlign w:val="bottom"/>
          </w:tcPr>
          <w:p w:rsidR="00A448C0" w:rsidRPr="003B3AAB" w:rsidRDefault="00A448C0" w:rsidP="00A448C0">
            <w:pPr>
              <w:pStyle w:val="Tablebody"/>
              <w:rPr>
                <w:color w:val="000000"/>
              </w:rPr>
            </w:pPr>
            <w:r w:rsidRPr="003B3AAB">
              <w:rPr>
                <w:color w:val="000000"/>
              </w:rPr>
              <w:t>40%</w:t>
            </w:r>
          </w:p>
        </w:tc>
      </w:tr>
      <w:tr w:rsidR="00A448C0" w:rsidRPr="003B3AAB" w:rsidTr="00A448C0">
        <w:trPr>
          <w:cantSplit/>
        </w:trPr>
        <w:tc>
          <w:tcPr>
            <w:tcW w:w="3793" w:type="dxa"/>
          </w:tcPr>
          <w:p w:rsidR="00A448C0" w:rsidRPr="003B3AAB" w:rsidRDefault="00A448C0" w:rsidP="00A448C0">
            <w:pPr>
              <w:pStyle w:val="Tablebody"/>
              <w:jc w:val="left"/>
              <w:rPr>
                <w:color w:val="000000"/>
              </w:rPr>
            </w:pPr>
            <w:r w:rsidRPr="003B3AAB">
              <w:rPr>
                <w:rFonts w:cs="Arial"/>
                <w:color w:val="000000"/>
              </w:rPr>
              <w:t>Initiatives needing work to improve (1–4 rating)</w:t>
            </w:r>
          </w:p>
        </w:tc>
        <w:tc>
          <w:tcPr>
            <w:tcW w:w="1148" w:type="dxa"/>
            <w:vAlign w:val="bottom"/>
          </w:tcPr>
          <w:p w:rsidR="00A448C0" w:rsidRPr="003B3AAB" w:rsidRDefault="00A448C0" w:rsidP="00A448C0">
            <w:pPr>
              <w:pStyle w:val="Tablebody"/>
              <w:rPr>
                <w:color w:val="000000"/>
              </w:rPr>
            </w:pPr>
            <w:r w:rsidRPr="003B3AAB">
              <w:rPr>
                <w:color w:val="000000"/>
              </w:rPr>
              <w:t>90%</w:t>
            </w:r>
          </w:p>
        </w:tc>
        <w:tc>
          <w:tcPr>
            <w:tcW w:w="993" w:type="dxa"/>
            <w:vAlign w:val="bottom"/>
          </w:tcPr>
          <w:p w:rsidR="00A448C0" w:rsidRPr="003B3AAB" w:rsidRDefault="00A448C0" w:rsidP="00A448C0">
            <w:pPr>
              <w:pStyle w:val="Tablebody"/>
              <w:rPr>
                <w:color w:val="000000"/>
              </w:rPr>
            </w:pPr>
            <w:r w:rsidRPr="003B3AAB">
              <w:rPr>
                <w:color w:val="000000"/>
              </w:rPr>
              <w:t>80%</w:t>
            </w:r>
          </w:p>
        </w:tc>
        <w:tc>
          <w:tcPr>
            <w:tcW w:w="966" w:type="dxa"/>
            <w:vAlign w:val="bottom"/>
          </w:tcPr>
          <w:p w:rsidR="00A448C0" w:rsidRPr="003B3AAB" w:rsidRDefault="00A448C0" w:rsidP="00A448C0">
            <w:pPr>
              <w:pStyle w:val="Tablebody"/>
              <w:rPr>
                <w:color w:val="000000"/>
              </w:rPr>
            </w:pPr>
            <w:r w:rsidRPr="003B3AAB">
              <w:rPr>
                <w:color w:val="000000"/>
              </w:rPr>
              <w:t>90%</w:t>
            </w:r>
          </w:p>
        </w:tc>
        <w:tc>
          <w:tcPr>
            <w:tcW w:w="1038" w:type="dxa"/>
            <w:vAlign w:val="bottom"/>
          </w:tcPr>
          <w:p w:rsidR="00A448C0" w:rsidRPr="003B3AAB" w:rsidRDefault="00A448C0" w:rsidP="00A448C0">
            <w:pPr>
              <w:pStyle w:val="Tablebody"/>
              <w:rPr>
                <w:color w:val="000000"/>
              </w:rPr>
            </w:pPr>
            <w:r w:rsidRPr="003B3AAB">
              <w:rPr>
                <w:color w:val="000000"/>
              </w:rPr>
              <w:t>100%</w:t>
            </w:r>
          </w:p>
        </w:tc>
      </w:tr>
      <w:tr w:rsidR="00A448C0" w:rsidRPr="003B3AAB" w:rsidTr="00A448C0">
        <w:trPr>
          <w:cantSplit/>
        </w:trPr>
        <w:tc>
          <w:tcPr>
            <w:tcW w:w="3793" w:type="dxa"/>
            <w:vAlign w:val="center"/>
          </w:tcPr>
          <w:p w:rsidR="00A448C0" w:rsidRPr="003B3AAB" w:rsidDel="005C3543" w:rsidRDefault="00A448C0" w:rsidP="00A448C0">
            <w:pPr>
              <w:pStyle w:val="Tablebody"/>
              <w:spacing w:before="120"/>
              <w:jc w:val="left"/>
              <w:rPr>
                <w:b/>
                <w:color w:val="000000"/>
              </w:rPr>
            </w:pPr>
            <w:r w:rsidRPr="003B3AAB">
              <w:rPr>
                <w:b/>
                <w:color w:val="000000"/>
              </w:rPr>
              <w:t>Total initiatives satisfactory (4–6 rating)</w:t>
            </w:r>
          </w:p>
        </w:tc>
        <w:tc>
          <w:tcPr>
            <w:tcW w:w="1148" w:type="dxa"/>
            <w:vAlign w:val="bottom"/>
          </w:tcPr>
          <w:p w:rsidR="00A448C0" w:rsidRPr="003B3AAB" w:rsidDel="005C3543" w:rsidRDefault="00A448C0" w:rsidP="00A448C0">
            <w:pPr>
              <w:pStyle w:val="Tablebody"/>
              <w:spacing w:before="120"/>
              <w:rPr>
                <w:b/>
                <w:color w:val="000000"/>
              </w:rPr>
            </w:pPr>
            <w:r w:rsidRPr="003B3AAB">
              <w:rPr>
                <w:b/>
                <w:color w:val="000000"/>
              </w:rPr>
              <w:t>67%</w:t>
            </w:r>
          </w:p>
        </w:tc>
        <w:tc>
          <w:tcPr>
            <w:tcW w:w="993" w:type="dxa"/>
            <w:vAlign w:val="bottom"/>
          </w:tcPr>
          <w:p w:rsidR="00A448C0" w:rsidRPr="003B3AAB" w:rsidDel="005C3543" w:rsidRDefault="00A448C0" w:rsidP="00A448C0">
            <w:pPr>
              <w:pStyle w:val="Tablebody"/>
              <w:spacing w:before="120"/>
              <w:rPr>
                <w:b/>
                <w:color w:val="000000"/>
              </w:rPr>
            </w:pPr>
            <w:r w:rsidRPr="003B3AAB">
              <w:rPr>
                <w:b/>
                <w:color w:val="000000"/>
              </w:rPr>
              <w:t>78%</w:t>
            </w:r>
          </w:p>
        </w:tc>
        <w:tc>
          <w:tcPr>
            <w:tcW w:w="966" w:type="dxa"/>
            <w:vAlign w:val="bottom"/>
          </w:tcPr>
          <w:p w:rsidR="00A448C0" w:rsidRPr="003B3AAB" w:rsidDel="005C3543" w:rsidRDefault="00A448C0" w:rsidP="00A448C0">
            <w:pPr>
              <w:pStyle w:val="Tablebody"/>
              <w:spacing w:before="120"/>
              <w:rPr>
                <w:b/>
                <w:color w:val="000000"/>
              </w:rPr>
            </w:pPr>
            <w:r w:rsidRPr="003B3AAB">
              <w:rPr>
                <w:b/>
                <w:color w:val="000000"/>
              </w:rPr>
              <w:t>50%</w:t>
            </w:r>
          </w:p>
        </w:tc>
        <w:tc>
          <w:tcPr>
            <w:tcW w:w="1038" w:type="dxa"/>
            <w:vAlign w:val="bottom"/>
          </w:tcPr>
          <w:p w:rsidR="00A448C0" w:rsidRPr="003B3AAB" w:rsidDel="005C3543" w:rsidRDefault="00A448C0" w:rsidP="00A448C0">
            <w:pPr>
              <w:pStyle w:val="Tablebody"/>
              <w:spacing w:before="120"/>
              <w:rPr>
                <w:b/>
                <w:color w:val="000000"/>
              </w:rPr>
            </w:pPr>
            <w:r w:rsidRPr="003B3AAB">
              <w:rPr>
                <w:b/>
                <w:color w:val="000000"/>
              </w:rPr>
              <w:t>44%</w:t>
            </w:r>
          </w:p>
        </w:tc>
      </w:tr>
      <w:tr w:rsidR="00A448C0" w:rsidRPr="003B3AAB" w:rsidTr="00A448C0">
        <w:trPr>
          <w:cantSplit/>
        </w:trPr>
        <w:tc>
          <w:tcPr>
            <w:tcW w:w="3793" w:type="dxa"/>
            <w:tcBorders>
              <w:bottom w:val="single" w:sz="4" w:space="0" w:color="auto"/>
            </w:tcBorders>
            <w:vAlign w:val="center"/>
          </w:tcPr>
          <w:p w:rsidR="00A448C0" w:rsidRPr="003B3AAB" w:rsidRDefault="00A448C0" w:rsidP="00A448C0">
            <w:pPr>
              <w:pStyle w:val="Tablebody"/>
              <w:spacing w:before="120"/>
              <w:jc w:val="left"/>
              <w:rPr>
                <w:b/>
                <w:color w:val="000000"/>
              </w:rPr>
            </w:pPr>
            <w:r w:rsidRPr="003B3AAB">
              <w:rPr>
                <w:b/>
                <w:color w:val="000000"/>
              </w:rPr>
              <w:t>Total initiatives needing work to improve (1–4 rating)</w:t>
            </w:r>
          </w:p>
        </w:tc>
        <w:tc>
          <w:tcPr>
            <w:tcW w:w="1148" w:type="dxa"/>
            <w:tcBorders>
              <w:bottom w:val="single" w:sz="4" w:space="0" w:color="auto"/>
            </w:tcBorders>
            <w:vAlign w:val="bottom"/>
          </w:tcPr>
          <w:p w:rsidR="00A448C0" w:rsidRPr="003B3AAB" w:rsidRDefault="00A448C0" w:rsidP="00A448C0">
            <w:pPr>
              <w:pStyle w:val="Tablebody"/>
              <w:spacing w:before="120"/>
              <w:rPr>
                <w:b/>
                <w:color w:val="000000"/>
              </w:rPr>
            </w:pPr>
            <w:r w:rsidRPr="003B3AAB">
              <w:rPr>
                <w:b/>
                <w:color w:val="000000"/>
              </w:rPr>
              <w:t>78%</w:t>
            </w:r>
          </w:p>
        </w:tc>
        <w:tc>
          <w:tcPr>
            <w:tcW w:w="993" w:type="dxa"/>
            <w:tcBorders>
              <w:bottom w:val="single" w:sz="4" w:space="0" w:color="auto"/>
            </w:tcBorders>
            <w:vAlign w:val="bottom"/>
          </w:tcPr>
          <w:p w:rsidR="00A448C0" w:rsidRPr="003B3AAB" w:rsidRDefault="00A448C0" w:rsidP="00A448C0">
            <w:pPr>
              <w:pStyle w:val="Tablebody"/>
              <w:spacing w:before="120"/>
              <w:rPr>
                <w:b/>
                <w:color w:val="000000"/>
              </w:rPr>
            </w:pPr>
            <w:r w:rsidRPr="003B3AAB">
              <w:rPr>
                <w:b/>
                <w:color w:val="000000"/>
              </w:rPr>
              <w:t>67%</w:t>
            </w:r>
          </w:p>
        </w:tc>
        <w:tc>
          <w:tcPr>
            <w:tcW w:w="966" w:type="dxa"/>
            <w:tcBorders>
              <w:bottom w:val="single" w:sz="4" w:space="0" w:color="auto"/>
            </w:tcBorders>
            <w:vAlign w:val="bottom"/>
          </w:tcPr>
          <w:p w:rsidR="00A448C0" w:rsidRPr="003B3AAB" w:rsidRDefault="00A448C0" w:rsidP="00A448C0">
            <w:pPr>
              <w:pStyle w:val="Tablebody"/>
              <w:spacing w:before="120"/>
              <w:rPr>
                <w:b/>
                <w:color w:val="000000"/>
              </w:rPr>
            </w:pPr>
            <w:r w:rsidRPr="003B3AAB">
              <w:rPr>
                <w:b/>
                <w:color w:val="000000"/>
              </w:rPr>
              <w:t>89%</w:t>
            </w:r>
          </w:p>
        </w:tc>
        <w:tc>
          <w:tcPr>
            <w:tcW w:w="1038" w:type="dxa"/>
            <w:tcBorders>
              <w:bottom w:val="single" w:sz="4" w:space="0" w:color="auto"/>
            </w:tcBorders>
            <w:vAlign w:val="bottom"/>
          </w:tcPr>
          <w:p w:rsidR="00A448C0" w:rsidRPr="003B3AAB" w:rsidRDefault="00A448C0" w:rsidP="00A448C0">
            <w:pPr>
              <w:pStyle w:val="Tablebody"/>
              <w:spacing w:before="120"/>
              <w:rPr>
                <w:b/>
                <w:color w:val="000000"/>
              </w:rPr>
            </w:pPr>
            <w:r w:rsidRPr="003B3AAB">
              <w:rPr>
                <w:b/>
                <w:color w:val="000000"/>
              </w:rPr>
              <w:t>89%</w:t>
            </w:r>
          </w:p>
        </w:tc>
      </w:tr>
    </w:tbl>
    <w:p w:rsidR="00A448C0" w:rsidRPr="00A448C0" w:rsidRDefault="00A448C0" w:rsidP="00A448C0">
      <w:pPr>
        <w:pStyle w:val="BodyText"/>
        <w:spacing w:before="0"/>
        <w:rPr>
          <w:rFonts w:ascii="Arial Narrow" w:hAnsi="Arial Narrow"/>
          <w:b/>
          <w:bCs/>
          <w:color w:val="000000"/>
          <w:spacing w:val="-2"/>
          <w:sz w:val="14"/>
          <w:szCs w:val="14"/>
        </w:rPr>
      </w:pPr>
      <w:r w:rsidRPr="00A448C0">
        <w:rPr>
          <w:rFonts w:ascii="Arial Narrow" w:hAnsi="Arial Narrow"/>
          <w:b/>
          <w:bCs/>
          <w:color w:val="000000"/>
          <w:spacing w:val="-2"/>
          <w:sz w:val="14"/>
          <w:szCs w:val="14"/>
        </w:rPr>
        <w:t>Note:</w:t>
      </w:r>
    </w:p>
    <w:tbl>
      <w:tblPr>
        <w:tblW w:w="6276" w:type="dxa"/>
        <w:tblLayout w:type="fixed"/>
        <w:tblCellMar>
          <w:left w:w="0" w:type="dxa"/>
          <w:right w:w="0" w:type="dxa"/>
        </w:tblCellMar>
        <w:tblLook w:val="0000" w:firstRow="0" w:lastRow="0" w:firstColumn="0" w:lastColumn="0" w:noHBand="0" w:noVBand="0"/>
      </w:tblPr>
      <w:tblGrid>
        <w:gridCol w:w="233"/>
        <w:gridCol w:w="2925"/>
        <w:gridCol w:w="225"/>
        <w:gridCol w:w="2893"/>
      </w:tblGrid>
      <w:tr w:rsidR="00A448C0" w:rsidRPr="003B3AAB" w:rsidTr="00A448C0">
        <w:trPr>
          <w:cantSplit/>
          <w:tblHeader/>
        </w:trPr>
        <w:tc>
          <w:tcPr>
            <w:tcW w:w="3158" w:type="dxa"/>
            <w:gridSpan w:val="2"/>
            <w:noWrap/>
            <w:vAlign w:val="bottom"/>
          </w:tcPr>
          <w:p w:rsidR="00A448C0" w:rsidRPr="003B3AAB" w:rsidRDefault="00A448C0" w:rsidP="00A448C0">
            <w:pPr>
              <w:pStyle w:val="Note"/>
              <w:spacing w:before="0"/>
              <w:rPr>
                <w:i/>
                <w:color w:val="000000"/>
              </w:rPr>
            </w:pPr>
            <w:r w:rsidRPr="003B3AAB">
              <w:rPr>
                <w:i/>
                <w:color w:val="000000"/>
              </w:rPr>
              <w:t>Satisfactory (4, 5 and 6)</w:t>
            </w:r>
          </w:p>
        </w:tc>
        <w:tc>
          <w:tcPr>
            <w:tcW w:w="3118" w:type="dxa"/>
            <w:gridSpan w:val="2"/>
            <w:noWrap/>
            <w:vAlign w:val="bottom"/>
          </w:tcPr>
          <w:p w:rsidR="00A448C0" w:rsidRPr="003B3AAB" w:rsidRDefault="00A448C0" w:rsidP="00A448C0">
            <w:pPr>
              <w:pStyle w:val="Note"/>
              <w:spacing w:before="0"/>
              <w:rPr>
                <w:i/>
                <w:color w:val="000000"/>
              </w:rPr>
            </w:pPr>
            <w:r w:rsidRPr="003B3AAB">
              <w:rPr>
                <w:i/>
                <w:color w:val="000000"/>
              </w:rPr>
              <w:t>Less than satisfactory (1, 2 and 3)</w:t>
            </w:r>
          </w:p>
        </w:tc>
      </w:tr>
      <w:tr w:rsidR="00A448C0" w:rsidRPr="003B3AAB" w:rsidTr="00A448C0">
        <w:trPr>
          <w:cantSplit/>
        </w:trPr>
        <w:tc>
          <w:tcPr>
            <w:tcW w:w="233" w:type="dxa"/>
            <w:vAlign w:val="bottom"/>
          </w:tcPr>
          <w:p w:rsidR="00A448C0" w:rsidRPr="003B3AAB" w:rsidRDefault="00A448C0" w:rsidP="00A448C0">
            <w:pPr>
              <w:pStyle w:val="Note"/>
              <w:spacing w:before="0"/>
              <w:rPr>
                <w:color w:val="000000"/>
              </w:rPr>
            </w:pPr>
            <w:r w:rsidRPr="003B3AAB">
              <w:rPr>
                <w:color w:val="000000"/>
              </w:rPr>
              <w:t>6</w:t>
            </w:r>
          </w:p>
        </w:tc>
        <w:tc>
          <w:tcPr>
            <w:tcW w:w="2925" w:type="dxa"/>
            <w:noWrap/>
            <w:vAlign w:val="bottom"/>
          </w:tcPr>
          <w:p w:rsidR="00A448C0" w:rsidRPr="003B3AAB" w:rsidRDefault="00A448C0" w:rsidP="00A448C0">
            <w:pPr>
              <w:pStyle w:val="Note"/>
              <w:spacing w:before="0"/>
              <w:rPr>
                <w:color w:val="000000"/>
              </w:rPr>
            </w:pPr>
            <w:r w:rsidRPr="003B3AAB">
              <w:rPr>
                <w:color w:val="000000"/>
              </w:rPr>
              <w:t>Very high quality</w:t>
            </w:r>
          </w:p>
        </w:tc>
        <w:tc>
          <w:tcPr>
            <w:tcW w:w="225" w:type="dxa"/>
            <w:noWrap/>
            <w:vAlign w:val="bottom"/>
          </w:tcPr>
          <w:p w:rsidR="00A448C0" w:rsidRPr="003B3AAB" w:rsidRDefault="00A448C0" w:rsidP="00A448C0">
            <w:pPr>
              <w:pStyle w:val="Note"/>
              <w:spacing w:before="0"/>
              <w:rPr>
                <w:color w:val="000000"/>
              </w:rPr>
            </w:pPr>
            <w:r w:rsidRPr="003B3AAB">
              <w:rPr>
                <w:color w:val="000000"/>
              </w:rPr>
              <w:t>3</w:t>
            </w:r>
          </w:p>
        </w:tc>
        <w:tc>
          <w:tcPr>
            <w:tcW w:w="2893" w:type="dxa"/>
            <w:noWrap/>
            <w:vAlign w:val="bottom"/>
          </w:tcPr>
          <w:p w:rsidR="00A448C0" w:rsidRPr="003B3AAB" w:rsidRDefault="00A448C0" w:rsidP="00A448C0">
            <w:pPr>
              <w:pStyle w:val="Note"/>
              <w:spacing w:before="0"/>
              <w:rPr>
                <w:color w:val="000000"/>
              </w:rPr>
            </w:pPr>
            <w:r w:rsidRPr="003B3AAB">
              <w:rPr>
                <w:color w:val="000000"/>
              </w:rPr>
              <w:t>Less than adequate quality; needs significant work</w:t>
            </w:r>
          </w:p>
        </w:tc>
      </w:tr>
      <w:tr w:rsidR="00A448C0" w:rsidRPr="003B3AAB" w:rsidTr="00A448C0">
        <w:trPr>
          <w:cantSplit/>
        </w:trPr>
        <w:tc>
          <w:tcPr>
            <w:tcW w:w="233" w:type="dxa"/>
            <w:vAlign w:val="bottom"/>
          </w:tcPr>
          <w:p w:rsidR="00A448C0" w:rsidRPr="003B3AAB" w:rsidRDefault="00A448C0" w:rsidP="00A448C0">
            <w:pPr>
              <w:pStyle w:val="Note"/>
              <w:spacing w:before="0"/>
              <w:rPr>
                <w:color w:val="000000"/>
              </w:rPr>
            </w:pPr>
            <w:r w:rsidRPr="003B3AAB">
              <w:rPr>
                <w:color w:val="000000"/>
              </w:rPr>
              <w:t>5</w:t>
            </w:r>
          </w:p>
        </w:tc>
        <w:tc>
          <w:tcPr>
            <w:tcW w:w="2925" w:type="dxa"/>
            <w:noWrap/>
            <w:vAlign w:val="bottom"/>
          </w:tcPr>
          <w:p w:rsidR="00A448C0" w:rsidRPr="003B3AAB" w:rsidRDefault="00A448C0" w:rsidP="00A448C0">
            <w:pPr>
              <w:pStyle w:val="Note"/>
              <w:spacing w:before="0"/>
              <w:rPr>
                <w:color w:val="000000"/>
              </w:rPr>
            </w:pPr>
            <w:r w:rsidRPr="003B3AAB">
              <w:rPr>
                <w:color w:val="000000"/>
              </w:rPr>
              <w:t>Good quality</w:t>
            </w:r>
          </w:p>
        </w:tc>
        <w:tc>
          <w:tcPr>
            <w:tcW w:w="225" w:type="dxa"/>
            <w:noWrap/>
            <w:vAlign w:val="bottom"/>
          </w:tcPr>
          <w:p w:rsidR="00A448C0" w:rsidRPr="003B3AAB" w:rsidRDefault="00A448C0" w:rsidP="00A448C0">
            <w:pPr>
              <w:pStyle w:val="Note"/>
              <w:spacing w:before="0"/>
              <w:rPr>
                <w:color w:val="000000"/>
              </w:rPr>
            </w:pPr>
            <w:r w:rsidRPr="003B3AAB">
              <w:rPr>
                <w:color w:val="000000"/>
              </w:rPr>
              <w:t>2</w:t>
            </w:r>
          </w:p>
        </w:tc>
        <w:tc>
          <w:tcPr>
            <w:tcW w:w="2893" w:type="dxa"/>
            <w:noWrap/>
            <w:vAlign w:val="bottom"/>
          </w:tcPr>
          <w:p w:rsidR="00A448C0" w:rsidRPr="003B3AAB" w:rsidRDefault="00A448C0" w:rsidP="00A448C0">
            <w:pPr>
              <w:pStyle w:val="Note"/>
              <w:spacing w:before="0"/>
              <w:rPr>
                <w:color w:val="000000"/>
              </w:rPr>
            </w:pPr>
            <w:r w:rsidRPr="003B3AAB">
              <w:rPr>
                <w:color w:val="000000"/>
              </w:rPr>
              <w:t>Poor quality; needs major work to improve</w:t>
            </w:r>
          </w:p>
        </w:tc>
      </w:tr>
      <w:tr w:rsidR="00A448C0" w:rsidRPr="003B3AAB" w:rsidTr="00A448C0">
        <w:trPr>
          <w:cantSplit/>
        </w:trPr>
        <w:tc>
          <w:tcPr>
            <w:tcW w:w="233" w:type="dxa"/>
            <w:vAlign w:val="bottom"/>
          </w:tcPr>
          <w:p w:rsidR="00A448C0" w:rsidRPr="003B3AAB" w:rsidRDefault="00A448C0" w:rsidP="00A448C0">
            <w:pPr>
              <w:pStyle w:val="Note"/>
              <w:spacing w:before="0"/>
              <w:rPr>
                <w:color w:val="000000"/>
              </w:rPr>
            </w:pPr>
            <w:r w:rsidRPr="003B3AAB">
              <w:rPr>
                <w:color w:val="000000"/>
              </w:rPr>
              <w:t>4</w:t>
            </w:r>
          </w:p>
        </w:tc>
        <w:tc>
          <w:tcPr>
            <w:tcW w:w="2925" w:type="dxa"/>
            <w:noWrap/>
            <w:vAlign w:val="bottom"/>
          </w:tcPr>
          <w:p w:rsidR="00A448C0" w:rsidRPr="003B3AAB" w:rsidRDefault="00A448C0" w:rsidP="00A448C0">
            <w:pPr>
              <w:pStyle w:val="Note"/>
              <w:spacing w:before="0"/>
              <w:rPr>
                <w:color w:val="000000"/>
              </w:rPr>
            </w:pPr>
            <w:r w:rsidRPr="003B3AAB">
              <w:rPr>
                <w:color w:val="000000"/>
              </w:rPr>
              <w:t xml:space="preserve">Adequate quality; some work to improve needed </w:t>
            </w:r>
          </w:p>
        </w:tc>
        <w:tc>
          <w:tcPr>
            <w:tcW w:w="225" w:type="dxa"/>
            <w:noWrap/>
            <w:vAlign w:val="bottom"/>
          </w:tcPr>
          <w:p w:rsidR="00A448C0" w:rsidRPr="003B3AAB" w:rsidRDefault="00A448C0" w:rsidP="00A448C0">
            <w:pPr>
              <w:pStyle w:val="Note"/>
              <w:spacing w:before="0"/>
              <w:rPr>
                <w:color w:val="000000"/>
              </w:rPr>
            </w:pPr>
            <w:r w:rsidRPr="003B3AAB">
              <w:rPr>
                <w:color w:val="000000"/>
              </w:rPr>
              <w:t>1</w:t>
            </w:r>
          </w:p>
        </w:tc>
        <w:tc>
          <w:tcPr>
            <w:tcW w:w="2893" w:type="dxa"/>
            <w:noWrap/>
            <w:vAlign w:val="bottom"/>
          </w:tcPr>
          <w:p w:rsidR="00A448C0" w:rsidRPr="003B3AAB" w:rsidRDefault="00A448C0" w:rsidP="00A448C0">
            <w:pPr>
              <w:pStyle w:val="Note"/>
              <w:spacing w:before="0"/>
              <w:rPr>
                <w:color w:val="000000"/>
              </w:rPr>
            </w:pPr>
            <w:r w:rsidRPr="003B3AAB">
              <w:rPr>
                <w:color w:val="000000"/>
              </w:rPr>
              <w:t>Very poor quality; needs major overhaul</w:t>
            </w:r>
          </w:p>
        </w:tc>
      </w:tr>
    </w:tbl>
    <w:p w:rsidR="00A448C0" w:rsidRDefault="00A448C0" w:rsidP="007E45C5">
      <w:pPr>
        <w:pStyle w:val="BodyText"/>
        <w:rPr>
          <w:color w:val="000000"/>
          <w:spacing w:val="-2"/>
        </w:rPr>
      </w:pPr>
    </w:p>
    <w:p w:rsidR="00003B40" w:rsidRPr="003B3AAB" w:rsidRDefault="007E45C5" w:rsidP="007E45C5">
      <w:pPr>
        <w:pStyle w:val="BodyText"/>
        <w:rPr>
          <w:color w:val="000000"/>
          <w:spacing w:val="-2"/>
        </w:rPr>
      </w:pPr>
      <w:r w:rsidRPr="003B3AAB">
        <w:rPr>
          <w:color w:val="000000"/>
          <w:spacing w:val="-2"/>
        </w:rPr>
        <w:lastRenderedPageBreak/>
        <w:t xml:space="preserve">The 2007 review of the current Asia </w:t>
      </w:r>
      <w:r w:rsidR="00003B40" w:rsidRPr="003B3AAB">
        <w:rPr>
          <w:color w:val="000000"/>
          <w:spacing w:val="-2"/>
        </w:rPr>
        <w:t xml:space="preserve">regional strategy </w:t>
      </w:r>
      <w:r w:rsidRPr="003B3AAB">
        <w:rPr>
          <w:color w:val="000000"/>
          <w:spacing w:val="-2"/>
        </w:rPr>
        <w:t xml:space="preserve">noted that many of the less-effective activities suffered from poor design. Aspects of this included overestimation of counterpart capacity, underestimation of the time and resources needed to effect real change at national or regional levels, vague project objectives, insufficient attention to </w:t>
      </w:r>
      <w:r w:rsidR="00273325" w:rsidRPr="003B3AAB">
        <w:rPr>
          <w:color w:val="000000"/>
          <w:spacing w:val="-2"/>
        </w:rPr>
        <w:t>monitoring and evaluation</w:t>
      </w:r>
      <w:r w:rsidRPr="003B3AAB">
        <w:rPr>
          <w:color w:val="000000"/>
          <w:spacing w:val="-2"/>
        </w:rPr>
        <w:t xml:space="preserve"> and poor design logic (</w:t>
      </w:r>
      <w:r w:rsidR="00003B40" w:rsidRPr="003B3AAB">
        <w:rPr>
          <w:color w:val="000000"/>
          <w:spacing w:val="-2"/>
        </w:rPr>
        <w:t>for example,</w:t>
      </w:r>
      <w:r w:rsidRPr="003B3AAB">
        <w:rPr>
          <w:color w:val="000000"/>
          <w:spacing w:val="-2"/>
        </w:rPr>
        <w:t xml:space="preserve"> that research or awareness</w:t>
      </w:r>
      <w:r w:rsidR="00003B40" w:rsidRPr="003B3AAB">
        <w:rPr>
          <w:color w:val="000000"/>
          <w:spacing w:val="-2"/>
        </w:rPr>
        <w:t xml:space="preserve"> </w:t>
      </w:r>
      <w:r w:rsidRPr="003B3AAB">
        <w:rPr>
          <w:color w:val="000000"/>
          <w:spacing w:val="-2"/>
        </w:rPr>
        <w:t xml:space="preserve">raising automatically influences policy). The more successful activities were those (such as </w:t>
      </w:r>
      <w:r w:rsidR="00003B40" w:rsidRPr="003B3AAB">
        <w:rPr>
          <w:color w:val="000000"/>
          <w:spacing w:val="-2"/>
        </w:rPr>
        <w:t>the Southeast Asia Foot and Mouth Disease Campaign</w:t>
      </w:r>
      <w:r w:rsidRPr="003B3AAB">
        <w:rPr>
          <w:color w:val="000000"/>
          <w:spacing w:val="-2"/>
        </w:rPr>
        <w:t xml:space="preserve">) where support </w:t>
      </w:r>
      <w:r w:rsidR="00003B40" w:rsidRPr="003B3AAB">
        <w:rPr>
          <w:color w:val="000000"/>
          <w:spacing w:val="-2"/>
        </w:rPr>
        <w:t>was</w:t>
      </w:r>
      <w:r w:rsidRPr="003B3AAB">
        <w:rPr>
          <w:color w:val="000000"/>
          <w:spacing w:val="-2"/>
        </w:rPr>
        <w:t xml:space="preserve"> provided over the long term and incremental gains </w:t>
      </w:r>
      <w:r w:rsidR="001B0A3E" w:rsidRPr="003B3AAB">
        <w:rPr>
          <w:color w:val="000000"/>
          <w:spacing w:val="-2"/>
        </w:rPr>
        <w:t>were</w:t>
      </w:r>
      <w:r w:rsidRPr="003B3AAB">
        <w:rPr>
          <w:color w:val="000000"/>
          <w:spacing w:val="-2"/>
        </w:rPr>
        <w:t xml:space="preserve"> made. The review recommended that resources be put into defining the elements of good regional program design.</w:t>
      </w:r>
      <w:r w:rsidR="00AB44FB" w:rsidRPr="003B3AAB">
        <w:rPr>
          <w:color w:val="000000"/>
          <w:spacing w:val="-2"/>
        </w:rPr>
        <w:t xml:space="preserve"> </w:t>
      </w:r>
    </w:p>
    <w:p w:rsidR="007E45C5" w:rsidRPr="003B3AAB" w:rsidRDefault="007E45C5" w:rsidP="007E45C5">
      <w:pPr>
        <w:pStyle w:val="BodyText"/>
        <w:rPr>
          <w:color w:val="000000"/>
        </w:rPr>
      </w:pPr>
      <w:r w:rsidRPr="003B3AAB">
        <w:rPr>
          <w:color w:val="000000"/>
        </w:rPr>
        <w:t xml:space="preserve">The review also highlighted the issue of poor </w:t>
      </w:r>
      <w:r w:rsidR="00273325" w:rsidRPr="003B3AAB">
        <w:rPr>
          <w:b/>
          <w:color w:val="000000"/>
        </w:rPr>
        <w:t>monitoring and evaluation</w:t>
      </w:r>
      <w:r w:rsidRPr="003B3AAB">
        <w:rPr>
          <w:color w:val="000000"/>
        </w:rPr>
        <w:t xml:space="preserve"> across the program, noting that </w:t>
      </w:r>
      <w:r w:rsidR="00273325" w:rsidRPr="003B3AAB">
        <w:rPr>
          <w:color w:val="000000"/>
        </w:rPr>
        <w:t>monitoring and evaluation</w:t>
      </w:r>
      <w:r w:rsidRPr="003B3AAB">
        <w:rPr>
          <w:color w:val="000000"/>
        </w:rPr>
        <w:t xml:space="preserve"> expenditure within a sample of activities </w:t>
      </w:r>
      <w:r w:rsidR="00273325" w:rsidRPr="003B3AAB">
        <w:rPr>
          <w:color w:val="000000"/>
        </w:rPr>
        <w:t>fell short of the recommended 6–</w:t>
      </w:r>
      <w:r w:rsidRPr="003B3AAB">
        <w:rPr>
          <w:color w:val="000000"/>
        </w:rPr>
        <w:t>7</w:t>
      </w:r>
      <w:r w:rsidR="00273325" w:rsidRPr="003B3AAB">
        <w:rPr>
          <w:color w:val="000000"/>
        </w:rPr>
        <w:t> per cent</w:t>
      </w:r>
      <w:r w:rsidRPr="003B3AAB">
        <w:rPr>
          <w:color w:val="000000"/>
        </w:rPr>
        <w:t xml:space="preserve"> of </w:t>
      </w:r>
      <w:r w:rsidR="006C15C5" w:rsidRPr="003B3AAB">
        <w:rPr>
          <w:color w:val="000000"/>
        </w:rPr>
        <w:t xml:space="preserve">the </w:t>
      </w:r>
      <w:r w:rsidRPr="003B3AAB">
        <w:rPr>
          <w:color w:val="000000"/>
        </w:rPr>
        <w:t>total activity budget. It was noted that new activities (</w:t>
      </w:r>
      <w:r w:rsidR="006C15C5" w:rsidRPr="003B3AAB">
        <w:rPr>
          <w:color w:val="000000"/>
        </w:rPr>
        <w:t>for example, the HIV/AIDS Asia Regional Program</w:t>
      </w:r>
      <w:r w:rsidRPr="003B3AAB">
        <w:rPr>
          <w:color w:val="000000"/>
        </w:rPr>
        <w:t xml:space="preserve"> </w:t>
      </w:r>
      <w:r w:rsidR="006C15C5" w:rsidRPr="003B3AAB">
        <w:rPr>
          <w:color w:val="000000"/>
        </w:rPr>
        <w:t>and the</w:t>
      </w:r>
      <w:r w:rsidRPr="003B3AAB">
        <w:rPr>
          <w:color w:val="000000"/>
        </w:rPr>
        <w:t xml:space="preserve"> </w:t>
      </w:r>
      <w:r w:rsidR="006C15C5" w:rsidRPr="003B3AAB">
        <w:rPr>
          <w:color w:val="000000"/>
        </w:rPr>
        <w:t xml:space="preserve">ASEAN </w:t>
      </w:r>
      <w:proofErr w:type="gramStart"/>
      <w:r w:rsidR="006C15C5" w:rsidRPr="003B3AAB">
        <w:rPr>
          <w:color w:val="000000"/>
        </w:rPr>
        <w:t>Plus</w:t>
      </w:r>
      <w:proofErr w:type="gramEnd"/>
      <w:r w:rsidR="006C15C5" w:rsidRPr="003B3AAB">
        <w:rPr>
          <w:color w:val="000000"/>
        </w:rPr>
        <w:t xml:space="preserve"> Three Emerging Infectious Diseases Programme</w:t>
      </w:r>
      <w:r w:rsidRPr="003B3AAB">
        <w:rPr>
          <w:color w:val="000000"/>
        </w:rPr>
        <w:t xml:space="preserve">) included stronger </w:t>
      </w:r>
      <w:r w:rsidR="00273325" w:rsidRPr="003B3AAB">
        <w:rPr>
          <w:color w:val="000000"/>
        </w:rPr>
        <w:t>monitoring and evaluation</w:t>
      </w:r>
      <w:r w:rsidRPr="003B3AAB">
        <w:rPr>
          <w:color w:val="000000"/>
        </w:rPr>
        <w:t xml:space="preserve"> frameworks, indicating that the program is taking steps to address this weakness.</w:t>
      </w:r>
      <w:r w:rsidR="00AB44FB" w:rsidRPr="003B3AAB">
        <w:rPr>
          <w:color w:val="000000"/>
        </w:rPr>
        <w:t xml:space="preserve"> </w:t>
      </w:r>
      <w:r w:rsidRPr="003B3AAB">
        <w:rPr>
          <w:color w:val="000000"/>
        </w:rPr>
        <w:t xml:space="preserve">Considerable effort </w:t>
      </w:r>
      <w:r w:rsidR="00191BDD" w:rsidRPr="003B3AAB">
        <w:rPr>
          <w:color w:val="000000"/>
        </w:rPr>
        <w:t xml:space="preserve">was </w:t>
      </w:r>
      <w:r w:rsidRPr="003B3AAB">
        <w:rPr>
          <w:color w:val="000000"/>
        </w:rPr>
        <w:t xml:space="preserve">also </w:t>
      </w:r>
      <w:r w:rsidR="00191BDD" w:rsidRPr="003B3AAB">
        <w:rPr>
          <w:color w:val="000000"/>
        </w:rPr>
        <w:t xml:space="preserve">put </w:t>
      </w:r>
      <w:r w:rsidRPr="003B3AAB">
        <w:rPr>
          <w:color w:val="000000"/>
        </w:rPr>
        <w:t xml:space="preserve">into strengthening </w:t>
      </w:r>
      <w:r w:rsidR="00273325" w:rsidRPr="003B3AAB">
        <w:rPr>
          <w:color w:val="000000"/>
        </w:rPr>
        <w:t>monitoring and evaluation in existing activities in 2007–</w:t>
      </w:r>
      <w:r w:rsidRPr="003B3AAB">
        <w:rPr>
          <w:color w:val="000000"/>
        </w:rPr>
        <w:t>08</w:t>
      </w:r>
      <w:r w:rsidR="00191BDD" w:rsidRPr="003B3AAB">
        <w:rPr>
          <w:color w:val="000000"/>
        </w:rPr>
        <w:t>—for example, in the</w:t>
      </w:r>
      <w:r w:rsidRPr="003B3AAB">
        <w:rPr>
          <w:color w:val="000000"/>
        </w:rPr>
        <w:t xml:space="preserve"> </w:t>
      </w:r>
      <w:r w:rsidR="00191BDD" w:rsidRPr="003B3AAB">
        <w:rPr>
          <w:color w:val="000000"/>
        </w:rPr>
        <w:t xml:space="preserve">ASEAN Australia Development Cooperation Program’s </w:t>
      </w:r>
      <w:r w:rsidRPr="003B3AAB">
        <w:rPr>
          <w:color w:val="000000"/>
        </w:rPr>
        <w:t>Regional Partnerships Scheme.</w:t>
      </w:r>
    </w:p>
    <w:p w:rsidR="007E45C5" w:rsidRPr="003B3AAB" w:rsidRDefault="006C15C5" w:rsidP="007E45C5">
      <w:pPr>
        <w:pStyle w:val="BodyText"/>
        <w:rPr>
          <w:color w:val="000000"/>
        </w:rPr>
      </w:pPr>
      <w:r w:rsidRPr="003B3AAB">
        <w:rPr>
          <w:color w:val="000000"/>
        </w:rPr>
        <w:t>The a</w:t>
      </w:r>
      <w:r w:rsidR="007E45C5" w:rsidRPr="003B3AAB">
        <w:rPr>
          <w:color w:val="000000"/>
        </w:rPr>
        <w:t xml:space="preserve">ssessment of </w:t>
      </w:r>
      <w:r w:rsidRPr="003B3AAB">
        <w:rPr>
          <w:color w:val="000000"/>
        </w:rPr>
        <w:t xml:space="preserve">the activities’ quality at implementation </w:t>
      </w:r>
      <w:r w:rsidR="007E45C5" w:rsidRPr="003B3AAB">
        <w:rPr>
          <w:color w:val="000000"/>
        </w:rPr>
        <w:t xml:space="preserve">indicated </w:t>
      </w:r>
      <w:r w:rsidR="007E45C5" w:rsidRPr="003B3AAB">
        <w:rPr>
          <w:b/>
          <w:color w:val="000000"/>
        </w:rPr>
        <w:t>program design</w:t>
      </w:r>
      <w:r w:rsidR="007E45C5" w:rsidRPr="003B3AAB">
        <w:rPr>
          <w:color w:val="000000"/>
        </w:rPr>
        <w:t xml:space="preserve"> factors continue</w:t>
      </w:r>
      <w:r w:rsidRPr="003B3AAB">
        <w:rPr>
          <w:color w:val="000000"/>
        </w:rPr>
        <w:t>d</w:t>
      </w:r>
      <w:r w:rsidR="007E45C5" w:rsidRPr="003B3AAB">
        <w:rPr>
          <w:color w:val="000000"/>
        </w:rPr>
        <w:t xml:space="preserve"> to impact performance and reporting.</w:t>
      </w:r>
      <w:r w:rsidR="00AB44FB" w:rsidRPr="003B3AAB">
        <w:rPr>
          <w:color w:val="000000"/>
        </w:rPr>
        <w:t xml:space="preserve"> </w:t>
      </w:r>
      <w:r w:rsidR="007E45C5" w:rsidRPr="003B3AAB">
        <w:rPr>
          <w:color w:val="000000"/>
        </w:rPr>
        <w:t>The clarity with which program goals and/or purpose were linked to their respective objectives and outcomes as well as how realistically achievable these were also affected how well activities met their objectives and were able to accurately report implementation progress.</w:t>
      </w:r>
      <w:r w:rsidR="00AB44FB" w:rsidRPr="003B3AAB">
        <w:rPr>
          <w:color w:val="000000"/>
        </w:rPr>
        <w:t xml:space="preserve"> </w:t>
      </w:r>
      <w:r w:rsidR="001B0A3E" w:rsidRPr="003B3AAB">
        <w:rPr>
          <w:color w:val="000000"/>
        </w:rPr>
        <w:t>T</w:t>
      </w:r>
      <w:r w:rsidR="007E45C5" w:rsidRPr="003B3AAB">
        <w:rPr>
          <w:color w:val="000000"/>
        </w:rPr>
        <w:t xml:space="preserve">he degree to which the program had been designed to meet the </w:t>
      </w:r>
      <w:r w:rsidR="00AB44FB" w:rsidRPr="003B3AAB">
        <w:rPr>
          <w:color w:val="000000"/>
        </w:rPr>
        <w:t>‘</w:t>
      </w:r>
      <w:proofErr w:type="spellStart"/>
      <w:r w:rsidR="007E45C5" w:rsidRPr="003B3AAB">
        <w:rPr>
          <w:color w:val="000000"/>
        </w:rPr>
        <w:t>regionality</w:t>
      </w:r>
      <w:proofErr w:type="spellEnd"/>
      <w:r w:rsidR="007E45C5" w:rsidRPr="003B3AAB">
        <w:rPr>
          <w:color w:val="000000"/>
        </w:rPr>
        <w:t xml:space="preserve"> criteria</w:t>
      </w:r>
      <w:r w:rsidR="00AB44FB" w:rsidRPr="003B3AAB">
        <w:rPr>
          <w:color w:val="000000"/>
        </w:rPr>
        <w:t>’</w:t>
      </w:r>
      <w:r w:rsidR="007E45C5" w:rsidRPr="003B3AAB">
        <w:rPr>
          <w:color w:val="000000"/>
        </w:rPr>
        <w:t xml:space="preserve"> was another significant issue for some activities. In some cases (</w:t>
      </w:r>
      <w:r w:rsidRPr="003B3AAB">
        <w:rPr>
          <w:color w:val="000000"/>
        </w:rPr>
        <w:t>for example, the</w:t>
      </w:r>
      <w:r w:rsidR="007E45C5" w:rsidRPr="003B3AAB">
        <w:rPr>
          <w:color w:val="000000"/>
        </w:rPr>
        <w:t xml:space="preserve"> Trade Analysis and Reform Project</w:t>
      </w:r>
      <w:r w:rsidRPr="003B3AAB">
        <w:rPr>
          <w:color w:val="000000"/>
        </w:rPr>
        <w:t xml:space="preserve"> and the</w:t>
      </w:r>
      <w:r w:rsidR="007E45C5" w:rsidRPr="003B3AAB">
        <w:rPr>
          <w:color w:val="000000"/>
        </w:rPr>
        <w:t xml:space="preserve"> </w:t>
      </w:r>
      <w:r w:rsidRPr="003B3AAB">
        <w:rPr>
          <w:color w:val="000000"/>
        </w:rPr>
        <w:t xml:space="preserve">Sanitary and </w:t>
      </w:r>
      <w:proofErr w:type="spellStart"/>
      <w:r w:rsidRPr="003B3AAB">
        <w:rPr>
          <w:color w:val="000000"/>
        </w:rPr>
        <w:t>Phytosanitary</w:t>
      </w:r>
      <w:proofErr w:type="spellEnd"/>
      <w:r w:rsidRPr="003B3AAB">
        <w:rPr>
          <w:color w:val="000000"/>
        </w:rPr>
        <w:t xml:space="preserve"> Capacity Building Program</w:t>
      </w:r>
      <w:r w:rsidR="007E45C5" w:rsidRPr="003B3AAB">
        <w:rPr>
          <w:color w:val="000000"/>
        </w:rPr>
        <w:t>), multi-country programs did not demonstrate very clear economies of scale or institutional arrangements that ensured any greater efficacy or sustainability than could be achieved via subregional or bilateral equivalents.</w:t>
      </w:r>
    </w:p>
    <w:p w:rsidR="007E45C5" w:rsidRPr="003B3AAB" w:rsidRDefault="007E45C5" w:rsidP="007E45C5">
      <w:pPr>
        <w:pStyle w:val="BodyText"/>
        <w:rPr>
          <w:color w:val="000000"/>
        </w:rPr>
      </w:pPr>
      <w:r w:rsidRPr="003B3AAB">
        <w:rPr>
          <w:color w:val="000000"/>
        </w:rPr>
        <w:t xml:space="preserve">Regional </w:t>
      </w:r>
      <w:r w:rsidRPr="003B3AAB">
        <w:rPr>
          <w:b/>
          <w:color w:val="000000"/>
        </w:rPr>
        <w:t>capacity-building</w:t>
      </w:r>
      <w:r w:rsidRPr="003B3AAB">
        <w:rPr>
          <w:color w:val="000000"/>
        </w:rPr>
        <w:t xml:space="preserve"> programs with ASEAN and APEC received varying ratings for quality at implementation, particularly effectiveness.</w:t>
      </w:r>
      <w:r w:rsidR="00AB44FB" w:rsidRPr="003B3AAB">
        <w:rPr>
          <w:color w:val="000000"/>
        </w:rPr>
        <w:t xml:space="preserve"> </w:t>
      </w:r>
      <w:r w:rsidRPr="003B3AAB">
        <w:rPr>
          <w:color w:val="000000"/>
        </w:rPr>
        <w:t>This partly reflect</w:t>
      </w:r>
      <w:r w:rsidR="006C15C5" w:rsidRPr="003B3AAB">
        <w:rPr>
          <w:color w:val="000000"/>
        </w:rPr>
        <w:t>ed</w:t>
      </w:r>
      <w:r w:rsidRPr="003B3AAB">
        <w:rPr>
          <w:color w:val="000000"/>
        </w:rPr>
        <w:t xml:space="preserve"> the extent to which activity managers rated the achievement of unstated objectives, such as networking and establishing cooperative working relationships, over the stated core capacity-building objectives.</w:t>
      </w:r>
      <w:r w:rsidR="00AB44FB" w:rsidRPr="003B3AAB">
        <w:rPr>
          <w:color w:val="000000"/>
        </w:rPr>
        <w:t xml:space="preserve"> </w:t>
      </w:r>
      <w:r w:rsidRPr="003B3AAB">
        <w:rPr>
          <w:color w:val="000000"/>
        </w:rPr>
        <w:t>Across the program, there is little long-term follow</w:t>
      </w:r>
      <w:r w:rsidR="006C15C5" w:rsidRPr="003B3AAB">
        <w:rPr>
          <w:color w:val="000000"/>
        </w:rPr>
        <w:t>-</w:t>
      </w:r>
      <w:r w:rsidRPr="003B3AAB">
        <w:rPr>
          <w:color w:val="000000"/>
        </w:rPr>
        <w:t xml:space="preserve">up of participants in capacity-building programs, and there is no data available to demonstrate that participants developed and </w:t>
      </w:r>
      <w:r w:rsidR="006C15C5" w:rsidRPr="003B3AAB">
        <w:rPr>
          <w:color w:val="000000"/>
        </w:rPr>
        <w:t xml:space="preserve">used </w:t>
      </w:r>
      <w:r w:rsidRPr="003B3AAB">
        <w:rPr>
          <w:color w:val="000000"/>
        </w:rPr>
        <w:t>the skills they set out to attain through Australian-funded capacity-building programs.</w:t>
      </w:r>
      <w:r w:rsidR="00AB44FB" w:rsidRPr="003B3AAB">
        <w:rPr>
          <w:color w:val="000000"/>
        </w:rPr>
        <w:t xml:space="preserve"> </w:t>
      </w:r>
      <w:r w:rsidRPr="003B3AAB">
        <w:rPr>
          <w:color w:val="000000"/>
        </w:rPr>
        <w:t>This limitation has begun to be addressed but will require conscientious and sustained follow</w:t>
      </w:r>
      <w:r w:rsidR="00594731" w:rsidRPr="003B3AAB">
        <w:rPr>
          <w:color w:val="000000"/>
        </w:rPr>
        <w:t>-</w:t>
      </w:r>
      <w:r w:rsidRPr="003B3AAB">
        <w:rPr>
          <w:color w:val="000000"/>
        </w:rPr>
        <w:t>up.</w:t>
      </w:r>
    </w:p>
    <w:p w:rsidR="007E45C5" w:rsidRPr="003B3AAB" w:rsidRDefault="007E45C5" w:rsidP="007E45C5">
      <w:pPr>
        <w:pStyle w:val="BodyText"/>
        <w:rPr>
          <w:color w:val="000000"/>
          <w:spacing w:val="-2"/>
        </w:rPr>
      </w:pPr>
      <w:r w:rsidRPr="003B3AAB">
        <w:rPr>
          <w:color w:val="000000"/>
          <w:spacing w:val="-2"/>
        </w:rPr>
        <w:lastRenderedPageBreak/>
        <w:t xml:space="preserve">The </w:t>
      </w:r>
      <w:r w:rsidRPr="003B3AAB">
        <w:rPr>
          <w:b/>
          <w:color w:val="000000"/>
          <w:spacing w:val="-2"/>
        </w:rPr>
        <w:t>sustainability</w:t>
      </w:r>
      <w:r w:rsidRPr="003B3AAB">
        <w:rPr>
          <w:color w:val="000000"/>
          <w:spacing w:val="-2"/>
        </w:rPr>
        <w:t xml:space="preserve"> of regional activities is also an issue</w:t>
      </w:r>
      <w:r w:rsidR="00594731" w:rsidRPr="003B3AAB">
        <w:rPr>
          <w:color w:val="000000"/>
          <w:spacing w:val="-2"/>
        </w:rPr>
        <w:t>,</w:t>
      </w:r>
      <w:r w:rsidRPr="003B3AAB">
        <w:rPr>
          <w:color w:val="000000"/>
          <w:spacing w:val="-2"/>
        </w:rPr>
        <w:t xml:space="preserve"> with little evidence available to show that activity</w:t>
      </w:r>
      <w:r w:rsidR="00594731" w:rsidRPr="003B3AAB">
        <w:rPr>
          <w:color w:val="000000"/>
          <w:spacing w:val="-2"/>
        </w:rPr>
        <w:t>-</w:t>
      </w:r>
      <w:r w:rsidRPr="003B3AAB">
        <w:rPr>
          <w:color w:val="000000"/>
          <w:spacing w:val="-2"/>
        </w:rPr>
        <w:t>level gains can be sustained in the long term.</w:t>
      </w:r>
      <w:r w:rsidR="00AB44FB" w:rsidRPr="003B3AAB">
        <w:rPr>
          <w:color w:val="000000"/>
          <w:spacing w:val="-2"/>
        </w:rPr>
        <w:t xml:space="preserve"> </w:t>
      </w:r>
      <w:r w:rsidRPr="003B3AAB">
        <w:rPr>
          <w:color w:val="000000"/>
          <w:spacing w:val="-2"/>
        </w:rPr>
        <w:t xml:space="preserve">In general, sustainability remains a more complex issue for regional activities than for national </w:t>
      </w:r>
      <w:r w:rsidR="001B0A3E" w:rsidRPr="003B3AAB">
        <w:rPr>
          <w:color w:val="000000"/>
          <w:spacing w:val="-2"/>
        </w:rPr>
        <w:t>initiatives</w:t>
      </w:r>
      <w:r w:rsidRPr="003B3AAB">
        <w:rPr>
          <w:color w:val="000000"/>
          <w:spacing w:val="-2"/>
        </w:rPr>
        <w:t>.</w:t>
      </w:r>
      <w:r w:rsidR="00AB44FB" w:rsidRPr="003B3AAB">
        <w:rPr>
          <w:color w:val="000000"/>
          <w:spacing w:val="-2"/>
        </w:rPr>
        <w:t xml:space="preserve"> </w:t>
      </w:r>
      <w:r w:rsidRPr="003B3AAB">
        <w:rPr>
          <w:color w:val="000000"/>
          <w:spacing w:val="-2"/>
        </w:rPr>
        <w:t xml:space="preserve">Countries may absorb the cost of national activities (including </w:t>
      </w:r>
      <w:r w:rsidR="00273325" w:rsidRPr="003B3AAB">
        <w:rPr>
          <w:color w:val="000000"/>
          <w:spacing w:val="-2"/>
        </w:rPr>
        <w:t>monitoring and evaluation</w:t>
      </w:r>
      <w:r w:rsidRPr="003B3AAB">
        <w:rPr>
          <w:color w:val="000000"/>
          <w:spacing w:val="-2"/>
        </w:rPr>
        <w:t xml:space="preserve">) but </w:t>
      </w:r>
      <w:r w:rsidR="00594731" w:rsidRPr="003B3AAB">
        <w:rPr>
          <w:color w:val="000000"/>
          <w:spacing w:val="-2"/>
        </w:rPr>
        <w:t xml:space="preserve">may </w:t>
      </w:r>
      <w:r w:rsidRPr="003B3AAB">
        <w:rPr>
          <w:color w:val="000000"/>
          <w:spacing w:val="-2"/>
        </w:rPr>
        <w:t>be less willing or able to pay for continued regional activities.</w:t>
      </w:r>
      <w:r w:rsidR="00AB44FB" w:rsidRPr="003B3AAB">
        <w:rPr>
          <w:color w:val="000000"/>
          <w:spacing w:val="-2"/>
        </w:rPr>
        <w:t xml:space="preserve"> </w:t>
      </w:r>
      <w:r w:rsidRPr="003B3AAB">
        <w:rPr>
          <w:color w:val="000000"/>
          <w:spacing w:val="-2"/>
        </w:rPr>
        <w:t>Strong country commitment to regional cooperation and a robust regional platform remain critical success factors for sustaining gains. This is evident even with relatively strong</w:t>
      </w:r>
      <w:r w:rsidR="00594731" w:rsidRPr="003B3AAB">
        <w:rPr>
          <w:color w:val="000000"/>
          <w:spacing w:val="-2"/>
        </w:rPr>
        <w:t>ly</w:t>
      </w:r>
      <w:r w:rsidRPr="003B3AAB">
        <w:rPr>
          <w:color w:val="000000"/>
          <w:spacing w:val="-2"/>
        </w:rPr>
        <w:t xml:space="preserve"> achieving programs such as </w:t>
      </w:r>
      <w:r w:rsidR="00594731" w:rsidRPr="003B3AAB">
        <w:rPr>
          <w:color w:val="000000"/>
          <w:spacing w:val="-2"/>
        </w:rPr>
        <w:t>the Southeast Asia Foot and Mouth Disease Campaign</w:t>
      </w:r>
      <w:r w:rsidRPr="003B3AAB">
        <w:rPr>
          <w:color w:val="000000"/>
          <w:spacing w:val="-2"/>
        </w:rPr>
        <w:t xml:space="preserve">. </w:t>
      </w:r>
    </w:p>
    <w:p w:rsidR="007E45C5" w:rsidRPr="003B3AAB" w:rsidRDefault="007E45C5" w:rsidP="00080689">
      <w:pPr>
        <w:pStyle w:val="BodyText"/>
        <w:spacing w:before="160" w:line="298" w:lineRule="atLeast"/>
        <w:rPr>
          <w:color w:val="000000"/>
          <w:spacing w:val="-2"/>
        </w:rPr>
      </w:pPr>
      <w:r w:rsidRPr="003B3AAB">
        <w:rPr>
          <w:color w:val="000000"/>
          <w:spacing w:val="-2"/>
        </w:rPr>
        <w:t xml:space="preserve">Sustainability is more of an issue </w:t>
      </w:r>
      <w:r w:rsidR="00594731" w:rsidRPr="003B3AAB">
        <w:rPr>
          <w:color w:val="000000"/>
          <w:spacing w:val="-2"/>
        </w:rPr>
        <w:t xml:space="preserve">for </w:t>
      </w:r>
      <w:r w:rsidRPr="003B3AAB">
        <w:rPr>
          <w:color w:val="000000"/>
          <w:spacing w:val="-2"/>
        </w:rPr>
        <w:t>the initiatives</w:t>
      </w:r>
      <w:r w:rsidR="00594731" w:rsidRPr="003B3AAB">
        <w:rPr>
          <w:color w:val="000000"/>
          <w:spacing w:val="-2"/>
        </w:rPr>
        <w:t xml:space="preserve"> designed</w:t>
      </w:r>
      <w:r w:rsidRPr="003B3AAB">
        <w:rPr>
          <w:color w:val="000000"/>
          <w:spacing w:val="-2"/>
        </w:rPr>
        <w:t xml:space="preserve"> </w:t>
      </w:r>
      <w:r w:rsidR="00594731" w:rsidRPr="003B3AAB">
        <w:rPr>
          <w:color w:val="000000"/>
          <w:spacing w:val="-2"/>
        </w:rPr>
        <w:t>to improve regional responses to transboundary development challenges</w:t>
      </w:r>
      <w:r w:rsidRPr="003B3AAB">
        <w:rPr>
          <w:color w:val="000000"/>
          <w:spacing w:val="-2"/>
        </w:rPr>
        <w:t>, with 100</w:t>
      </w:r>
      <w:r w:rsidR="00273325" w:rsidRPr="003B3AAB">
        <w:rPr>
          <w:color w:val="000000"/>
          <w:spacing w:val="-2"/>
        </w:rPr>
        <w:t> per cent</w:t>
      </w:r>
      <w:r w:rsidRPr="003B3AAB">
        <w:rPr>
          <w:color w:val="000000"/>
          <w:spacing w:val="-2"/>
        </w:rPr>
        <w:t xml:space="preserve"> requiring work to improve prospects of sustainability.</w:t>
      </w:r>
      <w:r w:rsidR="00AB44FB" w:rsidRPr="003B3AAB">
        <w:rPr>
          <w:color w:val="000000"/>
          <w:spacing w:val="-2"/>
        </w:rPr>
        <w:t xml:space="preserve"> </w:t>
      </w:r>
      <w:r w:rsidRPr="003B3AAB">
        <w:rPr>
          <w:color w:val="000000"/>
          <w:spacing w:val="-2"/>
        </w:rPr>
        <w:t>Unlike the ASEAN and APEC initiatives</w:t>
      </w:r>
      <w:r w:rsidR="00594731" w:rsidRPr="003B3AAB">
        <w:rPr>
          <w:color w:val="000000"/>
          <w:spacing w:val="-2"/>
        </w:rPr>
        <w:t>,</w:t>
      </w:r>
      <w:r w:rsidRPr="003B3AAB">
        <w:rPr>
          <w:color w:val="000000"/>
          <w:spacing w:val="-2"/>
        </w:rPr>
        <w:t xml:space="preserve"> which are firmly embedded in a regional organisation, most of the initiatives </w:t>
      </w:r>
      <w:r w:rsidR="00594731" w:rsidRPr="003B3AAB">
        <w:rPr>
          <w:color w:val="000000"/>
          <w:spacing w:val="-2"/>
        </w:rPr>
        <w:t xml:space="preserve">for meeting transboundary challenges </w:t>
      </w:r>
      <w:r w:rsidRPr="003B3AAB">
        <w:rPr>
          <w:color w:val="000000"/>
          <w:spacing w:val="-2"/>
        </w:rPr>
        <w:t xml:space="preserve">are more traditional project-type initiatives that lack an institutional home and therefore rely on national </w:t>
      </w:r>
      <w:r w:rsidR="00AB44FB" w:rsidRPr="003B3AAB">
        <w:rPr>
          <w:color w:val="000000"/>
          <w:spacing w:val="-2"/>
        </w:rPr>
        <w:t>‘</w:t>
      </w:r>
      <w:r w:rsidRPr="003B3AAB">
        <w:rPr>
          <w:color w:val="000000"/>
          <w:spacing w:val="-2"/>
        </w:rPr>
        <w:t>take-up</w:t>
      </w:r>
      <w:r w:rsidR="00AB44FB" w:rsidRPr="003B3AAB">
        <w:rPr>
          <w:color w:val="000000"/>
          <w:spacing w:val="-2"/>
        </w:rPr>
        <w:t>’</w:t>
      </w:r>
      <w:r w:rsidRPr="003B3AAB">
        <w:rPr>
          <w:color w:val="000000"/>
          <w:spacing w:val="-2"/>
        </w:rPr>
        <w:t xml:space="preserve">. These initiatives also face the challenge of working across several countries concurrently. </w:t>
      </w:r>
      <w:r w:rsidR="00080689" w:rsidRPr="003B3AAB">
        <w:rPr>
          <w:color w:val="000000"/>
          <w:spacing w:val="-2"/>
        </w:rPr>
        <w:t>T</w:t>
      </w:r>
      <w:r w:rsidRPr="003B3AAB">
        <w:rPr>
          <w:color w:val="000000"/>
          <w:spacing w:val="-2"/>
        </w:rPr>
        <w:t xml:space="preserve">he program </w:t>
      </w:r>
      <w:r w:rsidR="00080689" w:rsidRPr="003B3AAB">
        <w:rPr>
          <w:color w:val="000000"/>
          <w:spacing w:val="-2"/>
        </w:rPr>
        <w:t xml:space="preserve">needs </w:t>
      </w:r>
      <w:r w:rsidRPr="003B3AAB">
        <w:rPr>
          <w:color w:val="000000"/>
          <w:spacing w:val="-2"/>
        </w:rPr>
        <w:t>to look closely at whether traditional project models are suitable for regional programs.</w:t>
      </w:r>
    </w:p>
    <w:p w:rsidR="007E45C5" w:rsidRPr="003B3AAB" w:rsidRDefault="007E45C5" w:rsidP="00080689">
      <w:pPr>
        <w:pStyle w:val="BodyText"/>
        <w:spacing w:before="160" w:line="298" w:lineRule="atLeast"/>
        <w:rPr>
          <w:color w:val="000000"/>
        </w:rPr>
      </w:pPr>
      <w:r w:rsidRPr="003B3AAB">
        <w:rPr>
          <w:color w:val="000000"/>
        </w:rPr>
        <w:t>The effectiveness review pointed out that a number of the regional activities are funding mechanisms for smaller activities that are simply too small and of too short a duration to lead to sustainable outcomes.</w:t>
      </w:r>
      <w:r w:rsidR="00AB44FB" w:rsidRPr="003B3AAB">
        <w:rPr>
          <w:color w:val="000000"/>
        </w:rPr>
        <w:t xml:space="preserve"> </w:t>
      </w:r>
    </w:p>
    <w:p w:rsidR="007E45C5" w:rsidRPr="003B3AAB" w:rsidRDefault="007E45C5" w:rsidP="00080689">
      <w:pPr>
        <w:pStyle w:val="BodyText"/>
        <w:spacing w:before="160" w:line="298" w:lineRule="atLeast"/>
        <w:rPr>
          <w:color w:val="000000"/>
        </w:rPr>
      </w:pPr>
      <w:r w:rsidRPr="003B3AAB">
        <w:rPr>
          <w:color w:val="000000"/>
        </w:rPr>
        <w:t xml:space="preserve">The number of </w:t>
      </w:r>
      <w:r w:rsidRPr="003B3AAB">
        <w:rPr>
          <w:b/>
          <w:color w:val="000000"/>
        </w:rPr>
        <w:t>smaller initiatives</w:t>
      </w:r>
      <w:r w:rsidRPr="003B3AAB">
        <w:rPr>
          <w:color w:val="000000"/>
        </w:rPr>
        <w:t xml:space="preserve"> within the regional program presents particular program management and quality consequences.</w:t>
      </w:r>
      <w:r w:rsidR="00AB44FB" w:rsidRPr="003B3AAB">
        <w:rPr>
          <w:color w:val="000000"/>
        </w:rPr>
        <w:t xml:space="preserve"> </w:t>
      </w:r>
      <w:r w:rsidRPr="003B3AAB">
        <w:rPr>
          <w:color w:val="000000"/>
        </w:rPr>
        <w:t>Smaller initiatives necessarily receive less attention than higher</w:t>
      </w:r>
      <w:r w:rsidR="00594731" w:rsidRPr="003B3AAB">
        <w:rPr>
          <w:color w:val="000000"/>
        </w:rPr>
        <w:t xml:space="preserve"> </w:t>
      </w:r>
      <w:r w:rsidRPr="003B3AAB">
        <w:rPr>
          <w:color w:val="000000"/>
        </w:rPr>
        <w:t>value, higher</w:t>
      </w:r>
      <w:r w:rsidR="00594731" w:rsidRPr="003B3AAB">
        <w:rPr>
          <w:color w:val="000000"/>
        </w:rPr>
        <w:t xml:space="preserve"> </w:t>
      </w:r>
      <w:r w:rsidRPr="003B3AAB">
        <w:rPr>
          <w:color w:val="000000"/>
        </w:rPr>
        <w:t>priority initiatives, but still require a minimum level of management.</w:t>
      </w:r>
      <w:r w:rsidR="00AB44FB" w:rsidRPr="003B3AAB">
        <w:rPr>
          <w:color w:val="000000"/>
        </w:rPr>
        <w:t xml:space="preserve"> </w:t>
      </w:r>
      <w:r w:rsidRPr="003B3AAB">
        <w:rPr>
          <w:color w:val="000000"/>
        </w:rPr>
        <w:t xml:space="preserve">It is also worth noting that a number of the larger initiatives contain a high number of smaller activities. The regional program will continue to be called on to provide some resources for emerging and changing </w:t>
      </w:r>
      <w:r w:rsidR="00594731" w:rsidRPr="003B3AAB">
        <w:rPr>
          <w:color w:val="000000"/>
        </w:rPr>
        <w:t xml:space="preserve">government </w:t>
      </w:r>
      <w:r w:rsidRPr="003B3AAB">
        <w:rPr>
          <w:color w:val="000000"/>
        </w:rPr>
        <w:t xml:space="preserve">priorities but consideration must be given to a major rationalisation and </w:t>
      </w:r>
      <w:r w:rsidR="00594731" w:rsidRPr="003B3AAB">
        <w:rPr>
          <w:color w:val="000000"/>
        </w:rPr>
        <w:t xml:space="preserve">the </w:t>
      </w:r>
      <w:r w:rsidRPr="003B3AAB">
        <w:rPr>
          <w:color w:val="000000"/>
        </w:rPr>
        <w:t>establishment of a better mechanism to manage those that remain.</w:t>
      </w:r>
      <w:r w:rsidR="00AB44FB" w:rsidRPr="003B3AAB">
        <w:rPr>
          <w:color w:val="000000"/>
        </w:rPr>
        <w:t xml:space="preserve"> </w:t>
      </w:r>
    </w:p>
    <w:p w:rsidR="007E45C5" w:rsidRPr="003B3AAB" w:rsidRDefault="007E45C5" w:rsidP="00080689">
      <w:pPr>
        <w:pStyle w:val="BodyText"/>
        <w:spacing w:before="160" w:line="298" w:lineRule="atLeast"/>
        <w:rPr>
          <w:color w:val="000000"/>
        </w:rPr>
      </w:pPr>
      <w:r w:rsidRPr="003B3AAB">
        <w:rPr>
          <w:color w:val="000000"/>
        </w:rPr>
        <w:t xml:space="preserve">The strategy review also noted a need to better </w:t>
      </w:r>
      <w:r w:rsidRPr="003B3AAB">
        <w:rPr>
          <w:b/>
          <w:color w:val="000000"/>
        </w:rPr>
        <w:t>integrate AusAID’s regional and bilateral programs</w:t>
      </w:r>
      <w:r w:rsidRPr="003B3AAB">
        <w:rPr>
          <w:color w:val="000000"/>
        </w:rPr>
        <w:t xml:space="preserve"> to improve the overall effectiveness of regional activities.</w:t>
      </w:r>
      <w:r w:rsidR="00AB44FB" w:rsidRPr="003B3AAB">
        <w:rPr>
          <w:color w:val="000000"/>
        </w:rPr>
        <w:t xml:space="preserve"> </w:t>
      </w:r>
      <w:r w:rsidRPr="003B3AAB">
        <w:rPr>
          <w:color w:val="000000"/>
        </w:rPr>
        <w:t>The nature of regional programs</w:t>
      </w:r>
      <w:r w:rsidR="005B1B14" w:rsidRPr="003B3AAB">
        <w:rPr>
          <w:color w:val="000000"/>
        </w:rPr>
        <w:t>—</w:t>
      </w:r>
      <w:r w:rsidRPr="003B3AAB">
        <w:rPr>
          <w:color w:val="000000"/>
        </w:rPr>
        <w:t>operating in several countries concurrently</w:t>
      </w:r>
      <w:r w:rsidR="005B1B14" w:rsidRPr="003B3AAB">
        <w:rPr>
          <w:color w:val="000000"/>
        </w:rPr>
        <w:t>—</w:t>
      </w:r>
      <w:r w:rsidRPr="003B3AAB">
        <w:rPr>
          <w:color w:val="000000"/>
        </w:rPr>
        <w:t>requires strong support from Posts to ensure effective management and monitoring.</w:t>
      </w:r>
      <w:r w:rsidR="00AB44FB" w:rsidRPr="003B3AAB">
        <w:rPr>
          <w:color w:val="000000"/>
        </w:rPr>
        <w:t xml:space="preserve"> </w:t>
      </w:r>
      <w:r w:rsidRPr="003B3AAB">
        <w:rPr>
          <w:color w:val="000000"/>
        </w:rPr>
        <w:t xml:space="preserve">It does appear that this is improving following the creation of a Mekong regional </w:t>
      </w:r>
      <w:r w:rsidR="00AB44FB" w:rsidRPr="003B3AAB">
        <w:rPr>
          <w:color w:val="000000"/>
        </w:rPr>
        <w:t>‘</w:t>
      </w:r>
      <w:r w:rsidRPr="003B3AAB">
        <w:rPr>
          <w:color w:val="000000"/>
        </w:rPr>
        <w:t>hub</w:t>
      </w:r>
      <w:r w:rsidR="00AB44FB" w:rsidRPr="003B3AAB">
        <w:rPr>
          <w:color w:val="000000"/>
        </w:rPr>
        <w:t>’</w:t>
      </w:r>
      <w:r w:rsidRPr="003B3AAB">
        <w:rPr>
          <w:color w:val="000000"/>
        </w:rPr>
        <w:t xml:space="preserve"> in </w:t>
      </w:r>
      <w:smartTag w:uri="urn:schemas-microsoft-com:office:smarttags" w:element="City">
        <w:r w:rsidRPr="003B3AAB">
          <w:rPr>
            <w:color w:val="000000"/>
          </w:rPr>
          <w:t>Bangkok</w:t>
        </w:r>
      </w:smartTag>
      <w:r w:rsidRPr="003B3AAB">
        <w:rPr>
          <w:color w:val="000000"/>
        </w:rPr>
        <w:t xml:space="preserve"> and the placement of a regional resource in </w:t>
      </w:r>
      <w:smartTag w:uri="urn:schemas-microsoft-com:office:smarttags" w:element="City">
        <w:smartTag w:uri="urn:schemas-microsoft-com:office:smarttags" w:element="place">
          <w:r w:rsidRPr="003B3AAB">
            <w:rPr>
              <w:color w:val="000000"/>
            </w:rPr>
            <w:t>Jakarta</w:t>
          </w:r>
        </w:smartTag>
      </w:smartTag>
      <w:r w:rsidR="00080689" w:rsidRPr="003B3AAB">
        <w:rPr>
          <w:color w:val="000000"/>
        </w:rPr>
        <w:t>.</w:t>
      </w:r>
      <w:r w:rsidRPr="003B3AAB">
        <w:rPr>
          <w:color w:val="000000"/>
        </w:rPr>
        <w:t xml:space="preserve"> </w:t>
      </w:r>
      <w:r w:rsidR="00080689" w:rsidRPr="003B3AAB">
        <w:rPr>
          <w:color w:val="000000"/>
        </w:rPr>
        <w:t>H</w:t>
      </w:r>
      <w:r w:rsidRPr="003B3AAB">
        <w:rPr>
          <w:color w:val="000000"/>
        </w:rPr>
        <w:t>owever</w:t>
      </w:r>
      <w:r w:rsidR="00080689" w:rsidRPr="003B3AAB">
        <w:rPr>
          <w:color w:val="000000"/>
        </w:rPr>
        <w:t>,</w:t>
      </w:r>
      <w:r w:rsidRPr="003B3AAB">
        <w:rPr>
          <w:color w:val="000000"/>
        </w:rPr>
        <w:t xml:space="preserve"> greater integration of programs still needs to be pursued.</w:t>
      </w:r>
      <w:r w:rsidR="00AB44FB" w:rsidRPr="003B3AAB">
        <w:rPr>
          <w:color w:val="000000"/>
        </w:rPr>
        <w:t xml:space="preserve"> </w:t>
      </w:r>
      <w:r w:rsidRPr="003B3AAB">
        <w:rPr>
          <w:color w:val="000000"/>
        </w:rPr>
        <w:t xml:space="preserve">It should be noted that new </w:t>
      </w:r>
      <w:smartTag w:uri="urn:schemas-microsoft-com:office:smarttags" w:element="place">
        <w:r w:rsidRPr="003B3AAB">
          <w:rPr>
            <w:color w:val="000000"/>
          </w:rPr>
          <w:t>Mekong</w:t>
        </w:r>
      </w:smartTag>
      <w:r w:rsidRPr="003B3AAB">
        <w:rPr>
          <w:color w:val="000000"/>
        </w:rPr>
        <w:t xml:space="preserve"> country strategies contain dedicated subregional objectives.</w:t>
      </w:r>
    </w:p>
    <w:p w:rsidR="007E45C5" w:rsidRPr="003B3AAB" w:rsidRDefault="007E45C5" w:rsidP="00080689">
      <w:pPr>
        <w:pStyle w:val="BodyText"/>
        <w:spacing w:before="160" w:line="298" w:lineRule="atLeast"/>
        <w:rPr>
          <w:color w:val="000000"/>
        </w:rPr>
      </w:pPr>
      <w:r w:rsidRPr="003B3AAB">
        <w:rPr>
          <w:color w:val="000000"/>
        </w:rPr>
        <w:t xml:space="preserve">There is good evidence of </w:t>
      </w:r>
      <w:r w:rsidRPr="003B3AAB">
        <w:rPr>
          <w:b/>
          <w:color w:val="000000"/>
        </w:rPr>
        <w:t xml:space="preserve">coordination and cooperation between Australian </w:t>
      </w:r>
      <w:r w:rsidR="00080689" w:rsidRPr="003B3AAB">
        <w:rPr>
          <w:b/>
          <w:color w:val="000000"/>
        </w:rPr>
        <w:t xml:space="preserve">government </w:t>
      </w:r>
      <w:r w:rsidRPr="003B3AAB">
        <w:rPr>
          <w:b/>
          <w:color w:val="000000"/>
        </w:rPr>
        <w:t>agencies</w:t>
      </w:r>
      <w:r w:rsidRPr="003B3AAB">
        <w:rPr>
          <w:color w:val="000000"/>
        </w:rPr>
        <w:t xml:space="preserve"> on regional issues.</w:t>
      </w:r>
      <w:r w:rsidR="00AB44FB" w:rsidRPr="003B3AAB">
        <w:rPr>
          <w:color w:val="000000"/>
        </w:rPr>
        <w:t xml:space="preserve"> </w:t>
      </w:r>
      <w:r w:rsidRPr="003B3AAB">
        <w:rPr>
          <w:color w:val="000000"/>
        </w:rPr>
        <w:t>For instance, there is a high degree of synergy between AusAID’s anti-trafficking project (</w:t>
      </w:r>
      <w:r w:rsidR="00E11E9B" w:rsidRPr="003B3AAB">
        <w:rPr>
          <w:color w:val="000000"/>
        </w:rPr>
        <w:t>Asia Regional Trafficking in Persons Project</w:t>
      </w:r>
      <w:r w:rsidRPr="003B3AAB">
        <w:rPr>
          <w:color w:val="000000"/>
        </w:rPr>
        <w:t xml:space="preserve">) and the capacity building undertaken by the Australian Federal </w:t>
      </w:r>
      <w:r w:rsidRPr="003B3AAB">
        <w:rPr>
          <w:color w:val="000000"/>
        </w:rPr>
        <w:lastRenderedPageBreak/>
        <w:t xml:space="preserve">Police, </w:t>
      </w:r>
      <w:r w:rsidR="00080689" w:rsidRPr="003B3AAB">
        <w:rPr>
          <w:color w:val="000000"/>
        </w:rPr>
        <w:t xml:space="preserve">the </w:t>
      </w:r>
      <w:r w:rsidRPr="003B3AAB">
        <w:rPr>
          <w:color w:val="000000"/>
        </w:rPr>
        <w:t xml:space="preserve">active </w:t>
      </w:r>
      <w:r w:rsidR="00E11E9B" w:rsidRPr="003B3AAB">
        <w:rPr>
          <w:color w:val="000000"/>
        </w:rPr>
        <w:t xml:space="preserve">whole-of-government </w:t>
      </w:r>
      <w:r w:rsidRPr="003B3AAB">
        <w:rPr>
          <w:color w:val="000000"/>
        </w:rPr>
        <w:t xml:space="preserve">approach to </w:t>
      </w:r>
      <w:r w:rsidR="00AB44FB" w:rsidRPr="003B3AAB">
        <w:rPr>
          <w:color w:val="000000"/>
        </w:rPr>
        <w:t>avian influenza</w:t>
      </w:r>
      <w:r w:rsidRPr="003B3AAB">
        <w:rPr>
          <w:color w:val="000000"/>
        </w:rPr>
        <w:t xml:space="preserve"> supported by such mechanisms as the EID Coordination Group and close cooperation between </w:t>
      </w:r>
      <w:r w:rsidR="00080689" w:rsidRPr="003B3AAB">
        <w:rPr>
          <w:color w:val="000000"/>
        </w:rPr>
        <w:t>the Department of Foreign Affairs and Trade</w:t>
      </w:r>
      <w:r w:rsidRPr="003B3AAB">
        <w:rPr>
          <w:color w:val="000000"/>
        </w:rPr>
        <w:t xml:space="preserve"> and AusAID on APEC Secretariat reform.</w:t>
      </w:r>
      <w:r w:rsidR="00AB44FB" w:rsidRPr="003B3AAB">
        <w:rPr>
          <w:color w:val="000000"/>
        </w:rPr>
        <w:t xml:space="preserve"> </w:t>
      </w:r>
      <w:r w:rsidRPr="003B3AAB">
        <w:rPr>
          <w:color w:val="000000"/>
        </w:rPr>
        <w:t>However</w:t>
      </w:r>
      <w:r w:rsidR="00080689" w:rsidRPr="003B3AAB">
        <w:rPr>
          <w:color w:val="000000"/>
        </w:rPr>
        <w:t>,</w:t>
      </w:r>
      <w:r w:rsidRPr="003B3AAB">
        <w:rPr>
          <w:color w:val="000000"/>
        </w:rPr>
        <w:t xml:space="preserve"> </w:t>
      </w:r>
      <w:r w:rsidR="00080689" w:rsidRPr="003B3AAB">
        <w:rPr>
          <w:color w:val="000000"/>
        </w:rPr>
        <w:t>even though</w:t>
      </w:r>
      <w:r w:rsidRPr="003B3AAB">
        <w:rPr>
          <w:color w:val="000000"/>
        </w:rPr>
        <w:t xml:space="preserve"> activities are generally coordinated reasonably well, the benefits of closer integration of programs have not been fully explored.</w:t>
      </w:r>
    </w:p>
    <w:p w:rsidR="007E45C5" w:rsidRPr="003B3AAB" w:rsidRDefault="007E45C5" w:rsidP="00080689">
      <w:pPr>
        <w:pStyle w:val="BodyText"/>
        <w:spacing w:before="160" w:line="298" w:lineRule="atLeast"/>
        <w:rPr>
          <w:color w:val="000000"/>
        </w:rPr>
      </w:pPr>
      <w:r w:rsidRPr="003B3AAB">
        <w:rPr>
          <w:b/>
          <w:color w:val="000000"/>
        </w:rPr>
        <w:t>Gender</w:t>
      </w:r>
      <w:r w:rsidR="00E11E9B" w:rsidRPr="003B3AAB">
        <w:rPr>
          <w:b/>
          <w:color w:val="000000"/>
        </w:rPr>
        <w:t xml:space="preserve"> equality</w:t>
      </w:r>
      <w:r w:rsidRPr="003B3AAB">
        <w:rPr>
          <w:color w:val="000000"/>
        </w:rPr>
        <w:t xml:space="preserve"> received little attention in the current strategy and this is reflected in its integration across the program. There are some examples of good integration at an activity level (</w:t>
      </w:r>
      <w:r w:rsidR="00E11E9B" w:rsidRPr="003B3AAB">
        <w:rPr>
          <w:color w:val="000000"/>
        </w:rPr>
        <w:t xml:space="preserve">for example, in the Asia Regional Trafficking in Persons Project </w:t>
      </w:r>
      <w:r w:rsidRPr="003B3AAB">
        <w:rPr>
          <w:color w:val="000000"/>
        </w:rPr>
        <w:t xml:space="preserve">and </w:t>
      </w:r>
      <w:r w:rsidR="00E11E9B" w:rsidRPr="003B3AAB">
        <w:rPr>
          <w:color w:val="000000"/>
        </w:rPr>
        <w:t>the ASEAN Plus Three Emerging Infectious Diseases Programme</w:t>
      </w:r>
      <w:r w:rsidRPr="003B3AAB">
        <w:rPr>
          <w:color w:val="000000"/>
        </w:rPr>
        <w:t xml:space="preserve">) but better analysis and more systematic consideration of gender issues must be included in the new </w:t>
      </w:r>
      <w:r w:rsidR="00395973" w:rsidRPr="003B3AAB">
        <w:rPr>
          <w:color w:val="000000"/>
        </w:rPr>
        <w:t xml:space="preserve">regional </w:t>
      </w:r>
      <w:r w:rsidRPr="003B3AAB">
        <w:rPr>
          <w:color w:val="000000"/>
        </w:rPr>
        <w:t xml:space="preserve">strategy and future activities. </w:t>
      </w:r>
    </w:p>
    <w:sectPr w:rsidR="007E45C5" w:rsidRPr="003B3AAB" w:rsidSect="0018310B">
      <w:headerReference w:type="even" r:id="rId40"/>
      <w:headerReference w:type="default" r:id="rId41"/>
      <w:footerReference w:type="even" r:id="rId42"/>
      <w:footerReference w:type="default" r:id="rId43"/>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F8" w:rsidRDefault="00DC48F8">
      <w:r>
        <w:separator/>
      </w:r>
    </w:p>
  </w:endnote>
  <w:endnote w:type="continuationSeparator" w:id="0">
    <w:p w:rsidR="00DC48F8" w:rsidRDefault="00DC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rPr>
        <w:rStyle w:val="PageNumber"/>
      </w:rPr>
      <w:fldChar w:fldCharType="begin"/>
    </w:r>
    <w:r>
      <w:rPr>
        <w:rStyle w:val="PageNumber"/>
      </w:rPr>
      <w:instrText xml:space="preserve"> PAGE </w:instrText>
    </w:r>
    <w:r>
      <w:rPr>
        <w:rStyle w:val="PageNumber"/>
      </w:rPr>
      <w:fldChar w:fldCharType="separate"/>
    </w:r>
    <w:r w:rsidR="00A448C0">
      <w:rPr>
        <w:rStyle w:val="PageNumber"/>
        <w:noProof/>
      </w:rPr>
      <w:t>2</w:t>
    </w:r>
    <w:r>
      <w:rPr>
        <w:rStyle w:val="PageNumber"/>
      </w:rPr>
      <w:fldChar w:fldCharType="end"/>
    </w:r>
    <w:r>
      <w:rPr>
        <w:rStyle w:val="PageNumber"/>
      </w:rPr>
      <w:tab/>
    </w:r>
  </w:p>
  <w:p w:rsidR="00526193" w:rsidRDefault="00526193">
    <w:pPr>
      <w:pStyle w:val="Footer"/>
      <w:spacing w:line="14" w:lineRule="exact"/>
      <w:ind w:left="0" w:righ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tab/>
    </w:r>
    <w:r>
      <w:tab/>
    </w:r>
    <w:r>
      <w:rPr>
        <w:b/>
      </w:rPr>
      <w:t>A</w:t>
    </w:r>
    <w:r>
      <w:rPr>
        <w:b/>
        <w:caps w:val="0"/>
        <w:smallCaps/>
      </w:rPr>
      <w:t>us</w:t>
    </w:r>
    <w:r>
      <w:rPr>
        <w:b/>
      </w:rPr>
      <w:t>AID</w:t>
    </w:r>
    <w:r>
      <w:t> </w:t>
    </w:r>
    <w:fldSimple w:instr=" STYLEREF Title \* MERGEFORMAT ">
      <w:r w:rsidR="00C224E8" w:rsidRPr="00C224E8">
        <w:rPr>
          <w:b/>
          <w:bCs/>
          <w:noProof/>
          <w:lang w:val="en-US"/>
        </w:rPr>
        <w:t>Annual program performance report for Asia 2007–08</w:t>
      </w:r>
    </w:fldSimple>
    <w:r>
      <w:fldChar w:fldCharType="begin"/>
    </w:r>
    <w:r>
      <w:instrText xml:space="preserve"> STYLEREF  Subtitle </w:instrText>
    </w:r>
    <w:r>
      <w:fldChar w:fldCharType="separate"/>
    </w:r>
    <w:r w:rsidR="00C224E8">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C224E8">
      <w:rPr>
        <w:rStyle w:val="PageNumber"/>
        <w:caps w:val="0"/>
        <w:noProof/>
      </w:rPr>
      <w:t>7</w:t>
    </w:r>
    <w:r>
      <w:rPr>
        <w:rStyle w:val="PageNumber"/>
        <w:caps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rPr>
        <w:rStyle w:val="PageNumber"/>
      </w:rPr>
      <w:fldChar w:fldCharType="begin"/>
    </w:r>
    <w:r>
      <w:rPr>
        <w:rStyle w:val="PageNumber"/>
      </w:rPr>
      <w:instrText xml:space="preserve"> PAGE </w:instrText>
    </w:r>
    <w:r>
      <w:rPr>
        <w:rStyle w:val="PageNumber"/>
      </w:rPr>
      <w:fldChar w:fldCharType="separate"/>
    </w:r>
    <w:r w:rsidR="00C224E8">
      <w:rPr>
        <w:rStyle w:val="PageNumber"/>
        <w:noProof/>
      </w:rPr>
      <w:t>10</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C224E8" w:rsidRPr="00C224E8">
        <w:rPr>
          <w:b/>
          <w:bCs/>
          <w:noProof/>
          <w:lang w:val="en-US"/>
        </w:rPr>
        <w:t>Annual program performance report for Asia 2007–08</w:t>
      </w:r>
    </w:fldSimple>
    <w:r>
      <w:fldChar w:fldCharType="begin"/>
    </w:r>
    <w:r>
      <w:instrText xml:space="preserve"> STYLEREF  Subtitle </w:instrText>
    </w:r>
    <w:r>
      <w:fldChar w:fldCharType="separate"/>
    </w:r>
    <w:r w:rsidR="00C224E8">
      <w:rPr>
        <w:noProof/>
      </w:rPr>
      <w:t>NOVEMBER 2008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tab/>
    </w:r>
    <w:r>
      <w:tab/>
    </w:r>
    <w:r>
      <w:rPr>
        <w:b/>
      </w:rPr>
      <w:t>A</w:t>
    </w:r>
    <w:r>
      <w:rPr>
        <w:b/>
        <w:caps w:val="0"/>
        <w:smallCaps/>
      </w:rPr>
      <w:t>us</w:t>
    </w:r>
    <w:r>
      <w:rPr>
        <w:b/>
      </w:rPr>
      <w:t>AID</w:t>
    </w:r>
    <w:r>
      <w:t> </w:t>
    </w:r>
    <w:fldSimple w:instr=" STYLEREF Title \* MERGEFORMAT ">
      <w:r w:rsidR="00C224E8" w:rsidRPr="00C224E8">
        <w:rPr>
          <w:b/>
          <w:bCs/>
          <w:noProof/>
          <w:lang w:val="en-US"/>
        </w:rPr>
        <w:t>Annual program performance report for Asia 2007–08</w:t>
      </w:r>
    </w:fldSimple>
    <w:r>
      <w:fldChar w:fldCharType="begin"/>
    </w:r>
    <w:r>
      <w:instrText xml:space="preserve"> STYLEREF  Subtitle </w:instrText>
    </w:r>
    <w:r>
      <w:fldChar w:fldCharType="separate"/>
    </w:r>
    <w:r w:rsidR="00C224E8">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C224E8">
      <w:rPr>
        <w:rStyle w:val="PageNumber"/>
        <w:caps w:val="0"/>
        <w:noProof/>
      </w:rPr>
      <w:t>9</w:t>
    </w:r>
    <w:r>
      <w:rPr>
        <w:rStyle w:val="PageNumber"/>
        <w:caps w:val="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rPr>
        <w:rStyle w:val="PageNumber"/>
      </w:rPr>
      <w:fldChar w:fldCharType="begin"/>
    </w:r>
    <w:r>
      <w:rPr>
        <w:rStyle w:val="PageNumber"/>
      </w:rPr>
      <w:instrText xml:space="preserve"> PAGE </w:instrText>
    </w:r>
    <w:r>
      <w:rPr>
        <w:rStyle w:val="PageNumber"/>
      </w:rPr>
      <w:fldChar w:fldCharType="separate"/>
    </w:r>
    <w:r w:rsidR="00C224E8">
      <w:rPr>
        <w:rStyle w:val="PageNumber"/>
        <w:noProof/>
      </w:rPr>
      <w:t>18</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C224E8" w:rsidRPr="00C224E8">
        <w:rPr>
          <w:b/>
          <w:bCs/>
          <w:noProof/>
          <w:lang w:val="en-US"/>
        </w:rPr>
        <w:t>Annual program performance report for Asia 2007–08</w:t>
      </w:r>
    </w:fldSimple>
    <w:r>
      <w:fldChar w:fldCharType="begin"/>
    </w:r>
    <w:r>
      <w:instrText xml:space="preserve"> STYLEREF  Subtitle </w:instrText>
    </w:r>
    <w:r>
      <w:fldChar w:fldCharType="separate"/>
    </w:r>
    <w:r w:rsidR="00C224E8">
      <w:rPr>
        <w:noProof/>
      </w:rPr>
      <w:t>NOVEMBER 2008</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tab/>
    </w:r>
    <w:r>
      <w:tab/>
    </w:r>
    <w:r>
      <w:rPr>
        <w:b/>
      </w:rPr>
      <w:t>A</w:t>
    </w:r>
    <w:r>
      <w:rPr>
        <w:b/>
        <w:caps w:val="0"/>
        <w:smallCaps/>
      </w:rPr>
      <w:t>us</w:t>
    </w:r>
    <w:r>
      <w:rPr>
        <w:b/>
      </w:rPr>
      <w:t>AID</w:t>
    </w:r>
    <w:r>
      <w:t> </w:t>
    </w:r>
    <w:fldSimple w:instr=" STYLEREF Title \* MERGEFORMAT ">
      <w:r w:rsidR="00C224E8" w:rsidRPr="00C224E8">
        <w:rPr>
          <w:b/>
          <w:bCs/>
          <w:noProof/>
          <w:lang w:val="en-US"/>
        </w:rPr>
        <w:t>Annual program performance report for Asia 2007–08</w:t>
      </w:r>
    </w:fldSimple>
    <w:r>
      <w:fldChar w:fldCharType="begin"/>
    </w:r>
    <w:r>
      <w:instrText xml:space="preserve"> STYLEREF  Subtitle </w:instrText>
    </w:r>
    <w:r>
      <w:fldChar w:fldCharType="separate"/>
    </w:r>
    <w:r w:rsidR="00C224E8">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C224E8">
      <w:rPr>
        <w:rStyle w:val="PageNumber"/>
        <w:caps w:val="0"/>
        <w:noProof/>
      </w:rPr>
      <w:t>17</w:t>
    </w:r>
    <w:r>
      <w:rPr>
        <w:rStyle w:val="PageNumber"/>
        <w:caps w:val="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rsidP="008D14B5">
    <w:pPr>
      <w:pStyle w:val="Footer"/>
    </w:pPr>
    <w:r>
      <w:rPr>
        <w:rStyle w:val="PageNumber"/>
      </w:rPr>
      <w:fldChar w:fldCharType="begin"/>
    </w:r>
    <w:r>
      <w:rPr>
        <w:rStyle w:val="PageNumber"/>
      </w:rPr>
      <w:instrText xml:space="preserve"> PAGE </w:instrText>
    </w:r>
    <w:r>
      <w:rPr>
        <w:rStyle w:val="PageNumber"/>
      </w:rPr>
      <w:fldChar w:fldCharType="separate"/>
    </w:r>
    <w:r w:rsidR="00C224E8">
      <w:rPr>
        <w:rStyle w:val="PageNumber"/>
        <w:noProof/>
      </w:rPr>
      <w:t>20</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C224E8" w:rsidRPr="00C224E8">
        <w:rPr>
          <w:b/>
          <w:bCs/>
          <w:noProof/>
          <w:lang w:val="en-US"/>
        </w:rPr>
        <w:t>Annual program performance report for Asia 2007–08</w:t>
      </w:r>
    </w:fldSimple>
    <w:r>
      <w:fldChar w:fldCharType="begin"/>
    </w:r>
    <w:r>
      <w:instrText xml:space="preserve"> STYLEREF  Subtitle </w:instrText>
    </w:r>
    <w:r>
      <w:fldChar w:fldCharType="separate"/>
    </w:r>
    <w:r w:rsidR="00C224E8">
      <w:rPr>
        <w:noProof/>
      </w:rPr>
      <w:t>NOVEMBER 2008</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rsidP="008D14B5">
    <w:pPr>
      <w:pStyle w:val="Footer"/>
    </w:pPr>
    <w:r>
      <w:tab/>
    </w:r>
    <w:r>
      <w:tab/>
    </w:r>
    <w:r>
      <w:rPr>
        <w:b/>
      </w:rPr>
      <w:t>A</w:t>
    </w:r>
    <w:r>
      <w:rPr>
        <w:b/>
        <w:caps w:val="0"/>
        <w:smallCaps/>
      </w:rPr>
      <w:t>us</w:t>
    </w:r>
    <w:r>
      <w:rPr>
        <w:b/>
      </w:rPr>
      <w:t>AID</w:t>
    </w:r>
    <w:r>
      <w:t> </w:t>
    </w:r>
    <w:fldSimple w:instr=" STYLEREF Title \* MERGEFORMAT ">
      <w:r w:rsidR="00C224E8" w:rsidRPr="00C224E8">
        <w:rPr>
          <w:b/>
          <w:bCs/>
          <w:noProof/>
          <w:lang w:val="en-US"/>
        </w:rPr>
        <w:t>Annual program performance report for Asia 2007–08</w:t>
      </w:r>
    </w:fldSimple>
    <w:r>
      <w:fldChar w:fldCharType="begin"/>
    </w:r>
    <w:r>
      <w:instrText xml:space="preserve"> STYLEREF  Subtitle </w:instrText>
    </w:r>
    <w:r>
      <w:fldChar w:fldCharType="separate"/>
    </w:r>
    <w:r w:rsidR="00C224E8">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C224E8">
      <w:rPr>
        <w:rStyle w:val="PageNumber"/>
        <w:caps w:val="0"/>
        <w:noProof/>
      </w:rPr>
      <w:t>19</w:t>
    </w:r>
    <w:r>
      <w:rPr>
        <w:rStyle w:val="PageNumbe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rPr>
        <w:rStyle w:val="PageNumber"/>
      </w:rPr>
      <w:fldChar w:fldCharType="begin"/>
    </w:r>
    <w:r>
      <w:rPr>
        <w:rStyle w:val="PageNumber"/>
      </w:rPr>
      <w:instrText xml:space="preserve"> PAGE </w:instrText>
    </w:r>
    <w:r>
      <w:rPr>
        <w:rStyle w:val="PageNumber"/>
      </w:rPr>
      <w:fldChar w:fldCharType="separate"/>
    </w:r>
    <w:r w:rsidR="00C224E8">
      <w:rPr>
        <w:rStyle w:val="PageNumber"/>
        <w:noProof/>
      </w:rPr>
      <w:t>2</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C224E8" w:rsidRPr="00C224E8">
        <w:rPr>
          <w:b/>
          <w:bCs/>
          <w:noProof/>
          <w:lang w:val="en-US"/>
        </w:rPr>
        <w:t>Annual program performance report for Asia 2007–08</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tab/>
    </w:r>
    <w:r>
      <w:tab/>
    </w:r>
    <w:r>
      <w:rPr>
        <w:b/>
      </w:rPr>
      <w:t>A</w:t>
    </w:r>
    <w:r>
      <w:rPr>
        <w:b/>
        <w:caps w:val="0"/>
        <w:smallCaps/>
      </w:rPr>
      <w:t>us</w:t>
    </w:r>
    <w:r>
      <w:rPr>
        <w:b/>
      </w:rPr>
      <w:t>AID</w:t>
    </w:r>
    <w:r>
      <w:t> </w:t>
    </w:r>
    <w:fldSimple w:instr=" STYLEREF Title \* MERGEFORMAT ">
      <w:r w:rsidR="00A448C0">
        <w:rPr>
          <w:noProof/>
        </w:rPr>
        <w:t>Annual program performance report for Asia 2007–08</w:t>
      </w:r>
    </w:fldSimple>
    <w:r>
      <w:tab/>
    </w:r>
    <w:r>
      <w:rPr>
        <w:rStyle w:val="PageNumber"/>
        <w:caps w:val="0"/>
      </w:rPr>
      <w:fldChar w:fldCharType="begin"/>
    </w:r>
    <w:r>
      <w:rPr>
        <w:rStyle w:val="PageNumber"/>
        <w:caps w:val="0"/>
      </w:rPr>
      <w:instrText xml:space="preserve"> PAGE </w:instrText>
    </w:r>
    <w:r>
      <w:rPr>
        <w:rStyle w:val="PageNumber"/>
        <w:caps w:val="0"/>
      </w:rPr>
      <w:fldChar w:fldCharType="separate"/>
    </w:r>
    <w:r w:rsidR="00A448C0">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89" w:rsidRDefault="00080689">
    <w:pPr>
      <w:pStyle w:val="Footer"/>
    </w:pPr>
    <w:r>
      <w:rPr>
        <w:rStyle w:val="PageNumber"/>
      </w:rPr>
      <w:fldChar w:fldCharType="begin"/>
    </w:r>
    <w:r>
      <w:rPr>
        <w:rStyle w:val="PageNumber"/>
      </w:rPr>
      <w:instrText xml:space="preserve"> PAGE </w:instrText>
    </w:r>
    <w:r>
      <w:rPr>
        <w:rStyle w:val="PageNumber"/>
      </w:rPr>
      <w:fldChar w:fldCharType="separate"/>
    </w:r>
    <w:r w:rsidR="00A448C0">
      <w:rPr>
        <w:rStyle w:val="PageNumber"/>
        <w:noProof/>
      </w:rPr>
      <w:t>4</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A448C0">
        <w:rPr>
          <w:noProof/>
        </w:rPr>
        <w:t>Annual program performance report for Asia 2007–08</w:t>
      </w:r>
    </w:fldSimple>
    <w:r>
      <w:t xml:space="preserve">: </w:t>
    </w:r>
    <w:r>
      <w:fldChar w:fldCharType="begin"/>
    </w:r>
    <w:r>
      <w:instrText xml:space="preserve"> STYLEREF  Subtitle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89" w:rsidRDefault="00080689">
    <w:pPr>
      <w:pStyle w:val="Footer"/>
    </w:pPr>
    <w:r>
      <w:tab/>
    </w:r>
    <w:r>
      <w:tab/>
    </w:r>
    <w:r>
      <w:rPr>
        <w:b/>
      </w:rPr>
      <w:t>A</w:t>
    </w:r>
    <w:r>
      <w:rPr>
        <w:b/>
        <w:caps w:val="0"/>
        <w:smallCaps/>
      </w:rPr>
      <w:t>us</w:t>
    </w:r>
    <w:r>
      <w:rPr>
        <w:b/>
      </w:rPr>
      <w:t>AID</w:t>
    </w:r>
    <w:r>
      <w:t> </w:t>
    </w:r>
    <w:fldSimple w:instr=" STYLEREF Title \* MERGEFORMAT ">
      <w:r w:rsidR="00C224E8" w:rsidRPr="00C224E8">
        <w:rPr>
          <w:b/>
          <w:bCs/>
          <w:noProof/>
          <w:lang w:val="en-US"/>
        </w:rPr>
        <w:t>Annual program performance report for Asia 2007–08</w:t>
      </w:r>
    </w:fldSimple>
    <w:r>
      <w:fldChar w:fldCharType="begin"/>
    </w:r>
    <w:r>
      <w:instrText xml:space="preserve"> STYLEREF  Subtitle </w:instrText>
    </w:r>
    <w:r>
      <w:fldChar w:fldCharType="separate"/>
    </w:r>
    <w:r w:rsidR="00C224E8">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C224E8">
      <w:rPr>
        <w:rStyle w:val="PageNumber"/>
        <w:caps w:val="0"/>
        <w:noProof/>
      </w:rPr>
      <w:t>3</w:t>
    </w:r>
    <w:r>
      <w:rPr>
        <w:rStyle w:val="PageNumbe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rPr>
        <w:rStyle w:val="PageNumber"/>
      </w:rPr>
      <w:fldChar w:fldCharType="begin"/>
    </w:r>
    <w:r>
      <w:rPr>
        <w:rStyle w:val="PageNumber"/>
      </w:rPr>
      <w:instrText xml:space="preserve"> PAGE </w:instrText>
    </w:r>
    <w:r>
      <w:rPr>
        <w:rStyle w:val="PageNumber"/>
      </w:rPr>
      <w:fldChar w:fldCharType="separate"/>
    </w:r>
    <w:r w:rsidR="00C224E8">
      <w:rPr>
        <w:rStyle w:val="PageNumber"/>
        <w:noProof/>
      </w:rPr>
      <w:t>4</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C224E8" w:rsidRPr="00C224E8">
        <w:rPr>
          <w:b/>
          <w:bCs/>
          <w:noProof/>
          <w:lang w:val="en-US"/>
        </w:rPr>
        <w:t>Annual program performance report for Asia 2007–08</w:t>
      </w:r>
    </w:fldSimple>
    <w:r>
      <w:fldChar w:fldCharType="begin"/>
    </w:r>
    <w:r>
      <w:instrText xml:space="preserve"> STYLEREF  Subtitle </w:instrText>
    </w:r>
    <w:r>
      <w:fldChar w:fldCharType="separate"/>
    </w:r>
    <w:r w:rsidR="00C224E8">
      <w:rPr>
        <w:noProof/>
      </w:rPr>
      <w:t>NOVEMBER 2008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tab/>
    </w:r>
    <w:r>
      <w:tab/>
    </w:r>
    <w:r>
      <w:rPr>
        <w:b/>
      </w:rPr>
      <w:t>A</w:t>
    </w:r>
    <w:r>
      <w:rPr>
        <w:b/>
        <w:caps w:val="0"/>
        <w:smallCaps/>
      </w:rPr>
      <w:t>us</w:t>
    </w:r>
    <w:r>
      <w:rPr>
        <w:b/>
      </w:rPr>
      <w:t>AID</w:t>
    </w:r>
    <w:r>
      <w:t> </w:t>
    </w:r>
    <w:fldSimple w:instr=" STYLEREF Title \* MERGEFORMAT ">
      <w:r w:rsidR="00A448C0">
        <w:rPr>
          <w:noProof/>
        </w:rPr>
        <w:t>Annual program performance report for Asia 2007–08</w:t>
      </w:r>
    </w:fldSimple>
    <w:r>
      <w:tab/>
    </w:r>
    <w:r>
      <w:rPr>
        <w:rStyle w:val="PageNumber"/>
        <w:caps w:val="0"/>
      </w:rPr>
      <w:fldChar w:fldCharType="begin"/>
    </w:r>
    <w:r>
      <w:rPr>
        <w:rStyle w:val="PageNumber"/>
        <w:caps w:val="0"/>
      </w:rPr>
      <w:instrText xml:space="preserve"> PAGE </w:instrText>
    </w:r>
    <w:r>
      <w:rPr>
        <w:rStyle w:val="PageNumber"/>
        <w:caps w:val="0"/>
      </w:rPr>
      <w:fldChar w:fldCharType="separate"/>
    </w:r>
    <w:r w:rsidR="00A448C0">
      <w:rPr>
        <w:rStyle w:val="PageNumber"/>
        <w:caps w:val="0"/>
        <w:noProof/>
      </w:rPr>
      <w:t>5</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Footer"/>
    </w:pPr>
    <w:r>
      <w:rPr>
        <w:rStyle w:val="PageNumber"/>
      </w:rPr>
      <w:fldChar w:fldCharType="begin"/>
    </w:r>
    <w:r>
      <w:rPr>
        <w:rStyle w:val="PageNumber"/>
      </w:rPr>
      <w:instrText xml:space="preserve"> PAGE </w:instrText>
    </w:r>
    <w:r>
      <w:rPr>
        <w:rStyle w:val="PageNumber"/>
      </w:rPr>
      <w:fldChar w:fldCharType="separate"/>
    </w:r>
    <w:r w:rsidR="00C224E8">
      <w:rPr>
        <w:rStyle w:val="PageNumber"/>
        <w:noProof/>
      </w:rPr>
      <w:t>6</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C224E8" w:rsidRPr="00C224E8">
        <w:rPr>
          <w:b/>
          <w:bCs/>
          <w:noProof/>
          <w:lang w:val="en-US"/>
        </w:rPr>
        <w:t>Annual program performance report for Asia 2007–08</w:t>
      </w:r>
    </w:fldSimple>
    <w:r>
      <w:fldChar w:fldCharType="begin"/>
    </w:r>
    <w:r>
      <w:instrText xml:space="preserve"> STYLEREF  Subtitle </w:instrText>
    </w:r>
    <w:r>
      <w:fldChar w:fldCharType="separate"/>
    </w:r>
    <w:r w:rsidR="00C224E8">
      <w:rPr>
        <w:noProof/>
      </w:rPr>
      <w:t>NOVEMBER 2008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F8" w:rsidRDefault="00DC48F8">
      <w:r>
        <w:separator/>
      </w:r>
    </w:p>
  </w:footnote>
  <w:footnote w:type="continuationSeparator" w:id="0">
    <w:p w:rsidR="00DC48F8" w:rsidRDefault="00DC48F8">
      <w:r>
        <w:continuationSeparator/>
      </w:r>
    </w:p>
  </w:footnote>
  <w:footnote w:id="1">
    <w:p w:rsidR="00BF6A31" w:rsidRDefault="00526193" w:rsidP="00643F48">
      <w:pPr>
        <w:pStyle w:val="FootnoteText"/>
      </w:pPr>
      <w:r w:rsidRPr="00271653">
        <w:rPr>
          <w:rStyle w:val="FootnoteReference"/>
        </w:rPr>
        <w:footnoteRef/>
      </w:r>
      <w:r w:rsidRPr="00271653">
        <w:t xml:space="preserve"> </w:t>
      </w:r>
      <w:r>
        <w:tab/>
      </w:r>
      <w:r w:rsidRPr="00271653">
        <w:t xml:space="preserve">ASEAN </w:t>
      </w:r>
      <w:proofErr w:type="gramStart"/>
      <w:r w:rsidRPr="00271653">
        <w:t>Statistics,</w:t>
      </w:r>
      <w:proofErr w:type="gramEnd"/>
      <w:r w:rsidRPr="00271653">
        <w:t xml:space="preserve"> </w:t>
      </w:r>
      <w:r w:rsidRPr="00271653">
        <w:rPr>
          <w:i/>
        </w:rPr>
        <w:t>Selected key ASEAN macroeconomic indicators</w:t>
      </w:r>
      <w:r>
        <w:t xml:space="preserve">, </w:t>
      </w:r>
      <w:r w:rsidRPr="00271653">
        <w:t>June 2007</w:t>
      </w:r>
      <w:r>
        <w:t>.</w:t>
      </w:r>
    </w:p>
  </w:footnote>
  <w:footnote w:id="2">
    <w:p w:rsidR="00BF6A31" w:rsidRDefault="00526193" w:rsidP="00643F48">
      <w:pPr>
        <w:pStyle w:val="FootnoteText"/>
      </w:pPr>
      <w:r w:rsidRPr="006E494C">
        <w:rPr>
          <w:rStyle w:val="FootnoteReference"/>
        </w:rPr>
        <w:footnoteRef/>
      </w:r>
      <w:r w:rsidRPr="006E494C">
        <w:t xml:space="preserve"> </w:t>
      </w:r>
      <w:r>
        <w:tab/>
      </w:r>
      <w:r w:rsidRPr="006E494C">
        <w:t xml:space="preserve">UNAIDS, </w:t>
      </w:r>
      <w:r w:rsidRPr="006E494C">
        <w:rPr>
          <w:i/>
        </w:rPr>
        <w:t xml:space="preserve">Redefining AIDS in </w:t>
      </w:r>
      <w:smartTag w:uri="urn:schemas-microsoft-com:office:smarttags" w:element="place">
        <w:r w:rsidRPr="006E494C">
          <w:rPr>
            <w:i/>
          </w:rPr>
          <w:t>Asia</w:t>
        </w:r>
      </w:smartTag>
      <w:r w:rsidRPr="00642D34">
        <w:t>, Joint United Nations Programme on HIV/AIDS</w:t>
      </w:r>
      <w:r>
        <w:t xml:space="preserve">, </w:t>
      </w:r>
      <w:r w:rsidRPr="006E494C">
        <w:t>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C0" w:rsidRDefault="00F85A3E">
    <w:pPr>
      <w:pStyle w:val="Header"/>
    </w:pPr>
    <w:r>
      <w:rPr>
        <w:noProof/>
        <w:lang w:val="en-CA" w:eastAsia="en-CA"/>
      </w:rPr>
      <mc:AlternateContent>
        <mc:Choice Requires="wpg">
          <w:drawing>
            <wp:anchor distT="0" distB="0" distL="114300" distR="114300" simplePos="0" relativeHeight="251660288" behindDoc="0" locked="0" layoutInCell="1" allowOverlap="1">
              <wp:simplePos x="0" y="0"/>
              <wp:positionH relativeFrom="column">
                <wp:posOffset>1799590</wp:posOffset>
              </wp:positionH>
              <wp:positionV relativeFrom="paragraph">
                <wp:posOffset>928</wp:posOffset>
              </wp:positionV>
              <wp:extent cx="114899" cy="10737850"/>
              <wp:effectExtent l="0" t="0" r="19050" b="25400"/>
              <wp:wrapNone/>
              <wp:docPr id="6" name="Group 6"/>
              <wp:cNvGraphicFramePr/>
              <a:graphic xmlns:a="http://schemas.openxmlformats.org/drawingml/2006/main">
                <a:graphicData uri="http://schemas.microsoft.com/office/word/2010/wordprocessingGroup">
                  <wpg:wgp>
                    <wpg:cNvGrpSpPr/>
                    <wpg:grpSpPr>
                      <a:xfrm>
                        <a:off x="0" y="0"/>
                        <a:ext cx="114899" cy="10737850"/>
                        <a:chOff x="0" y="0"/>
                        <a:chExt cx="114899" cy="10737850"/>
                      </a:xfrm>
                    </wpg:grpSpPr>
                    <wps:wsp>
                      <wps:cNvPr id="8" name="Straight Connector 8"/>
                      <wps:cNvCnPr/>
                      <wps:spPr>
                        <a:xfrm>
                          <a:off x="0" y="0"/>
                          <a:ext cx="0" cy="1073785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14899" y="258521"/>
                          <a:ext cx="0" cy="10433685"/>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 o:spid="_x0000_s1026" style="position:absolute;margin-left:141.7pt;margin-top:.05pt;width:9.05pt;height:845.5pt;z-index:251660288" coordsize="1148,10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">
              <v:line id="Straight Connector 8" o:spid="_x0000_s1027" style="position:absolute;visibility:visible;mso-wrap-style:square" from="0,0" to="0,10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40x8AAAADaAAAADwAAAGRycy9kb3ducmV2LnhtbERPS2sCMRC+C/0PYQQvUpNKEVmNIi2l&#10;Qi/1cehx2Iy7q5vJkoy6/ffNoeDx43sv171v1Y1iagJbeJkYUMRlcA1XFo6Hj+c5qCTIDtvAZOGX&#10;EqxXT4MlFi7ceUe3vVQqh3Aq0EIt0hVap7Imj2kSOuLMnUL0KBnGSruI9xzuWz01ZqY9Npwbauzo&#10;rabysr96C+Pt6/nK8dt8fm1E/zTmLIfxu7WjYb9ZgBLq5SH+d2+dhbw1X8k3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ONMfAAAAA2gAAAA8AAAAAAAAAAAAAAAAA&#10;oQIAAGRycy9kb3ducmV2LnhtbFBLBQYAAAAABAAEAPkAAACOAwAAAAA=&#10;" strokecolor="#d8d8d8 [2732]" strokeweight=".5pt"/>
              <v:line id="Straight Connector 9" o:spid="_x0000_s1028" style="position:absolute;visibility:visible;mso-wrap-style:square" from="1148,2585" to="1148,10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HkqcMAAADaAAAADwAAAGRycy9kb3ducmV2LnhtbESPT2sCMRTE74LfITyhF9GspUrdGkWF&#10;gnjyTw8eXzfP3cXNy5qk6/bbG0HwOMzMb5jZojWVaMj50rKC0TABQZxZXXKu4Of4PfgE4QOyxsoy&#10;KfgnD4t5tzPDVNsb76k5hFxECPsUFRQh1KmUPivIoB/amjh6Z+sMhihdLrXDW4SbSr4nyUQaLDku&#10;FFjTuqDscvgzCngVPprruXFJf6enp/Vm+3sZT5R667XLLxCB2vAKP9sbrWAKjyvxBs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B5KnDAAAA2gAAAA8AAAAAAAAAAAAA&#10;AAAAoQIAAGRycy9kb3ducmV2LnhtbFBLBQYAAAAABAAEAPkAAACRAwAAAAA=&#10;" strokecolor="#bfbfbf [2412]" strokeweight="1p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89" w:rsidRDefault="000806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_GoBack"/>
  <w:p w:rsidR="00080689" w:rsidRDefault="00E02E0C">
    <w:pPr>
      <w:pStyle w:val="Header"/>
    </w:pPr>
    <w:r>
      <w:rPr>
        <w:noProof/>
        <w:lang w:val="en-CA" w:eastAsia="en-CA"/>
      </w:rPr>
      <mc:AlternateContent>
        <mc:Choice Requires="wpg">
          <w:drawing>
            <wp:anchor distT="0" distB="0" distL="114300" distR="114300" simplePos="0" relativeHeight="251665408" behindDoc="0" locked="0" layoutInCell="1" allowOverlap="1" wp14:anchorId="708E4DB0" wp14:editId="1E47406A">
              <wp:simplePos x="0" y="0"/>
              <wp:positionH relativeFrom="column">
                <wp:posOffset>-1287689</wp:posOffset>
              </wp:positionH>
              <wp:positionV relativeFrom="paragraph">
                <wp:posOffset>-376374</wp:posOffset>
              </wp:positionV>
              <wp:extent cx="6480175" cy="10692130"/>
              <wp:effectExtent l="0" t="0" r="15875" b="13970"/>
              <wp:wrapNone/>
              <wp:docPr id="7" name="Group 7"/>
              <wp:cNvGraphicFramePr/>
              <a:graphic xmlns:a="http://schemas.openxmlformats.org/drawingml/2006/main">
                <a:graphicData uri="http://schemas.microsoft.com/office/word/2010/wordprocessingGroup">
                  <wpg:wgp>
                    <wpg:cNvGrpSpPr/>
                    <wpg:grpSpPr>
                      <a:xfrm>
                        <a:off x="0" y="0"/>
                        <a:ext cx="6480175" cy="10692130"/>
                        <a:chOff x="0" y="0"/>
                        <a:chExt cx="6480175" cy="10692130"/>
                      </a:xfrm>
                    </wpg:grpSpPr>
                    <wps:wsp>
                      <wps:cNvPr id="3" name="Line 6"/>
                      <wps:cNvCnPr>
                        <a:cxnSpLocks noChangeShapeType="1"/>
                      </wps:cNvCnPr>
                      <wps:spPr bwMode="auto">
                        <a:xfrm>
                          <a:off x="0" y="2149929"/>
                          <a:ext cx="648017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2226129"/>
                          <a:ext cx="6480175" cy="0"/>
                        </a:xfrm>
                        <a:prstGeom prst="line">
                          <a:avLst/>
                        </a:prstGeom>
                        <a:noFill/>
                        <a:ln w="50800">
                          <a:solidFill>
                            <a:srgbClr val="E2DBD2"/>
                          </a:solidFill>
                          <a:round/>
                          <a:headEnd/>
                          <a:tailEnd/>
                        </a:ln>
                        <a:extLst>
                          <a:ext uri="{909E8E84-426E-40DD-AFC4-6F175D3DCCD1}">
                            <a14:hiddenFill xmlns:a14="http://schemas.microsoft.com/office/drawing/2010/main">
                              <a:noFill/>
                            </a14:hiddenFill>
                          </a:ext>
                        </a:extLst>
                      </wps:spPr>
                      <wps:bodyPr/>
                    </wps:wsp>
                    <wpg:grpSp>
                      <wpg:cNvPr id="1" name="Group 1"/>
                      <wpg:cNvGrpSpPr/>
                      <wpg:grpSpPr>
                        <a:xfrm>
                          <a:off x="0" y="0"/>
                          <a:ext cx="6480175" cy="10692130"/>
                          <a:chOff x="0" y="0"/>
                          <a:chExt cx="6480175" cy="10692130"/>
                        </a:xfrm>
                      </wpg:grpSpPr>
                      <wps:wsp>
                        <wps:cNvPr id="2" name="Line 7"/>
                        <wps:cNvCnPr>
                          <a:cxnSpLocks noChangeShapeType="1"/>
                        </wps:cNvCnPr>
                        <wps:spPr bwMode="auto">
                          <a:xfrm>
                            <a:off x="0" y="1431443"/>
                            <a:ext cx="648017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69207" y="0"/>
                            <a:ext cx="0" cy="10692130"/>
                          </a:xfrm>
                          <a:prstGeom prst="line">
                            <a:avLst/>
                          </a:prstGeom>
                          <a:noFill/>
                          <a:ln w="7620">
                            <a:solidFill>
                              <a:srgbClr val="7F7267"/>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Group 7" o:spid="_x0000_s1026" style="position:absolute;margin-left:-101.4pt;margin-top:-29.65pt;width:510.25pt;height:841.9pt;z-index:251665408" coordsize="64801,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">
              <v:line id="Line 6" o:spid="_x0000_s1027" style="position:absolute;visibility:visible;mso-wrap-style:square" from="0,21499" to="64801,21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M4pcQAAADaAAAADwAAAGRycy9kb3ducmV2LnhtbESPQWvCQBSE7wX/w/KEXkLd1JZWUteQ&#10;CgUPvURFPD6yr0lw923MrjH9911B6HGYmW+YZT5aIwbqfetYwfMsBUFcOd1yrWC/+3pagPABWaNx&#10;TAp+yUO+mjwsMdPuyiUN21CLCGGfoYImhC6T0lcNWfQz1xFH78f1FkOUfS11j9cIt0bO0/RNWmw5&#10;LjTY0bqh6rS9WAXW+O9hvLyb8/GwKXfFZ/LqbKLU43QsPkAEGsN/+N7eaAUvcLsSb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0zilxAAAANoAAAAPAAAAAAAAAAAA&#10;AAAAAKECAABkcnMvZG93bnJldi54bWxQSwUGAAAAAAQABAD5AAAAkgMAAAAA&#10;" strokecolor="#d4cbbe" strokeweight=".6pt"/>
              <v:line id="Line 4" o:spid="_x0000_s1028" style="position:absolute;visibility:visible;mso-wrap-style:square" from="0,22261" to="64801,2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kk8QAAADaAAAADwAAAGRycy9kb3ducmV2LnhtbESPQWsCMRSE74L/IbyCt5qt2ipbo4gg&#10;6KEH7YIen5vX3W03L3ETdf33jSB4HGbmG2Y6b00tLtT4yrKCt34Cgji3uuJCQfa9ep2A8AFZY22Z&#10;FNzIw3zW7Uwx1fbKW7rsQiEihH2KCsoQXCqlz0sy6PvWEUfvxzYGQ5RNIXWD1wg3tRwkyYc0WHFc&#10;KNHRsqT8b3c2CobnapB9bYZufDos6l+3H2/k6KhU76VdfIII1IZn+NFeawXvcL8Sb4C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TxAAAANoAAAAPAAAAAAAAAAAA&#10;AAAAAKECAABkcnMvZG93bnJldi54bWxQSwUGAAAAAAQABAD5AAAAkgMAAAAA&#10;" strokecolor="#e2dbd2" strokeweight="4pt"/>
              <v:group id="Group 1" o:spid="_x0000_s1029" style="position:absolute;width:64801;height:106921" coordsize="64801,106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Line 7" o:spid="_x0000_s1030" style="position:absolute;visibility:visible;mso-wrap-style:square" from="0,14314" to="64801,1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dPsQAAADaAAAADwAAAGRycy9kb3ducmV2LnhtbESPQWvCQBSE7wX/w/IKXqTZVKSWNJtg&#10;CwUPXjRSenxkX5PQ3bcxu8b4712h0OMwM98weTlZI0YafOdYwXOSgiCune64UXCsPp9eQfiArNE4&#10;JgVX8lAWs4ccM+0uvKfxEBoRIewzVNCG0GdS+roliz5xPXH0ftxgMUQ5NFIPeIlwa+QyTV+kxY7j&#10;Qos9fbRU/x7OVoE1fjdO57U5fX9t99XmfbFydqHU/HHavIEINIX/8F97qxUs4X4l3g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n50+xAAAANoAAAAPAAAAAAAAAAAA&#10;AAAAAKECAABkcnMvZG93bnJldi54bWxQSwUGAAAAAAQABAD5AAAAkgMAAAAA&#10;" strokecolor="#d4cbbe" strokeweight=".6pt"/>
                <v:line id="Line 5" o:spid="_x0000_s1031" style="position:absolute;visibility:visible;mso-wrap-style:square" from="13692,0" to="13692,10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HpdcIAAADaAAAADwAAAGRycy9kb3ducmV2LnhtbESPQYvCMBSE74L/ITzBm6aKSu2aigiK&#10;V3VX8Pa2eduWbV5qE23995sFweMwM98wq3VnKvGgxpWWFUzGEQjizOqScwWf590oBuE8ssbKMil4&#10;koN12u+tMNG25SM9Tj4XAcIuQQWF93UipcsKMujGtiYO3o9tDPogm1zqBtsAN5WcRtFCGiw5LBRY&#10;07ag7Pd0NwoW++s2puVmdzwf5stve/uKLzRRajjoNh8gPHX+HX61D1rBDP6vhBsg0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HpdcIAAADaAAAADwAAAAAAAAAAAAAA&#10;AAChAgAAZHJzL2Rvd25yZXYueG1sUEsFBgAAAAAEAAQA+QAAAJADAAAAAA==&#10;" strokecolor="#7f7267" strokeweight=".6pt"/>
              </v:group>
            </v:group>
          </w:pict>
        </mc:Fallback>
      </mc:AlternateContent>
    </w:r>
    <w:bookmarkEnd w:id="6"/>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93" w:rsidRDefault="00526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2">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3">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4">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5">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6">
    <w:nsid w:val="29EB546C"/>
    <w:multiLevelType w:val="multilevel"/>
    <w:tmpl w:val="ADE6FCA2"/>
    <w:lvl w:ilvl="0">
      <w:start w:val="1"/>
      <w:numFmt w:val="decimal"/>
      <w:lvlText w:val="%1"/>
      <w:lvlJc w:val="right"/>
      <w:pPr>
        <w:tabs>
          <w:tab w:val="num" w:pos="0"/>
        </w:tabs>
        <w:ind w:hanging="284"/>
      </w:pPr>
      <w:rPr>
        <w:rFonts w:cs="Times New Roman" w:hint="default"/>
        <w:b/>
        <w:i w:val="0"/>
        <w:color w:val="7F7267"/>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lvlText w:val="%7"/>
      <w:lvlJc w:val="right"/>
      <w:pPr>
        <w:tabs>
          <w:tab w:val="num" w:pos="0"/>
        </w:tabs>
        <w:ind w:hanging="284"/>
      </w:pPr>
      <w:rPr>
        <w:rFonts w:cs="Times New Roman" w:hint="default"/>
        <w:b/>
        <w:i w:val="0"/>
        <w:color w:val="7F7267"/>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7">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8">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9">
    <w:nsid w:val="38667170"/>
    <w:multiLevelType w:val="singleLevel"/>
    <w:tmpl w:val="E7FA20FA"/>
    <w:lvl w:ilvl="0">
      <w:start w:val="1"/>
      <w:numFmt w:val="bullet"/>
      <w:pStyle w:val="StyleListBulletBlack"/>
      <w:lvlText w:val=""/>
      <w:lvlJc w:val="left"/>
      <w:pPr>
        <w:ind w:left="360" w:hanging="360"/>
      </w:pPr>
      <w:rPr>
        <w:rFonts w:ascii="Wingdings" w:hAnsi="Wingdings" w:hint="default"/>
        <w:sz w:val="18"/>
      </w:rPr>
    </w:lvl>
  </w:abstractNum>
  <w:abstractNum w:abstractNumId="10">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1">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F706E5D"/>
    <w:multiLevelType w:val="multilevel"/>
    <w:tmpl w:val="613A6D9C"/>
    <w:lvl w:ilvl="0">
      <w:start w:val="1"/>
      <w:numFmt w:val="decimal"/>
      <w:pStyle w:val="Heading1"/>
      <w:lvlText w:val="%1"/>
      <w:lvlJc w:val="left"/>
      <w:pPr>
        <w:tabs>
          <w:tab w:val="num" w:pos="567"/>
        </w:tabs>
        <w:ind w:left="567" w:hanging="567"/>
      </w:pPr>
      <w:rPr>
        <w:rFonts w:cs="Times New Roman" w:hint="default"/>
        <w:b/>
        <w:i w:val="0"/>
        <w:color w:val="808080"/>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pStyle w:val="Heading4"/>
      <w:suff w:val="nothing"/>
      <w:lvlText w:val=""/>
      <w:lvlJc w:val="left"/>
      <w:pPr>
        <w:ind w:left="284"/>
      </w:pPr>
      <w:rPr>
        <w:rFonts w:cs="Times New Roman" w:hint="default"/>
      </w:rPr>
    </w:lvl>
    <w:lvl w:ilvl="4">
      <w:start w:val="1"/>
      <w:numFmt w:val="none"/>
      <w:pStyle w:val="Heading5"/>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pStyle w:val="Heading7"/>
      <w:lvlText w:val="%7"/>
      <w:lvlJc w:val="left"/>
      <w:pPr>
        <w:tabs>
          <w:tab w:val="num" w:pos="567"/>
        </w:tabs>
        <w:ind w:left="567" w:hanging="567"/>
      </w:pPr>
      <w:rPr>
        <w:rFonts w:cs="Times New Roman" w:hint="default"/>
        <w:color w:val="808080"/>
      </w:rPr>
    </w:lvl>
    <w:lvl w:ilvl="7">
      <w:start w:val="1"/>
      <w:numFmt w:val="decimal"/>
      <w:pStyle w:val="Heading8"/>
      <w:lvlText w:val="%7.%8"/>
      <w:lvlJc w:val="left"/>
      <w:pPr>
        <w:tabs>
          <w:tab w:val="num" w:pos="1004"/>
        </w:tabs>
        <w:ind w:left="681" w:hanging="397"/>
      </w:pPr>
      <w:rPr>
        <w:rFonts w:cs="Times New Roman" w:hint="default"/>
      </w:rPr>
    </w:lvl>
    <w:lvl w:ilvl="8">
      <w:start w:val="1"/>
      <w:numFmt w:val="decimal"/>
      <w:pStyle w:val="Heading9"/>
      <w:lvlText w:val="%7.%8.%9"/>
      <w:lvlJc w:val="left"/>
      <w:pPr>
        <w:tabs>
          <w:tab w:val="num" w:pos="1364"/>
        </w:tabs>
        <w:ind w:left="851" w:hanging="567"/>
      </w:pPr>
      <w:rPr>
        <w:rFonts w:cs="Times New Roman" w:hint="default"/>
      </w:rPr>
    </w:lvl>
  </w:abstractNum>
  <w:abstractNum w:abstractNumId="13">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4">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33127B"/>
    <w:multiLevelType w:val="hybridMultilevel"/>
    <w:tmpl w:val="C2B42584"/>
    <w:lvl w:ilvl="0" w:tplc="84F2C014">
      <w:start w:val="1"/>
      <w:numFmt w:val="decimal"/>
      <w:pStyle w:val="Caption"/>
      <w:lvlText w:val="Table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17">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18">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86401F"/>
    <w:multiLevelType w:val="multilevel"/>
    <w:tmpl w:val="4C2A500C"/>
    <w:lvl w:ilvl="0">
      <w:start w:val="1"/>
      <w:numFmt w:val="decimal"/>
      <w:lvlText w:val="%1"/>
      <w:lvlJc w:val="left"/>
      <w:pPr>
        <w:tabs>
          <w:tab w:val="num" w:pos="357"/>
        </w:tabs>
        <w:ind w:left="357" w:hanging="357"/>
      </w:pPr>
      <w:rPr>
        <w:rFonts w:cs="Times New Roman" w:hint="default"/>
      </w:rPr>
    </w:lvl>
    <w:lvl w:ilvl="1">
      <w:start w:val="1"/>
      <w:numFmt w:val="decimal"/>
      <w:pStyle w:val="Heading2numbered"/>
      <w:lvlText w:val="%2."/>
      <w:lvlJc w:val="left"/>
      <w:pPr>
        <w:tabs>
          <w:tab w:val="num" w:pos="357"/>
        </w:tabs>
        <w:ind w:left="357" w:hanging="357"/>
      </w:pPr>
      <w:rPr>
        <w:rFonts w:cs="Times New Roman" w:hint="default"/>
      </w:rPr>
    </w:lvl>
    <w:lvl w:ilvl="2">
      <w:start w:val="1"/>
      <w:numFmt w:val="decimal"/>
      <w:pStyle w:val="Heading3numbered"/>
      <w:lvlText w:val="%2.%3"/>
      <w:lvlJc w:val="left"/>
      <w:pPr>
        <w:tabs>
          <w:tab w:val="num" w:pos="851"/>
        </w:tabs>
        <w:ind w:left="851" w:hanging="494"/>
      </w:pPr>
      <w:rPr>
        <w:rFonts w:ascii="Arial" w:hAnsi="Arial" w:cs="Times New Roman" w:hint="default"/>
        <w:b/>
        <w:i/>
        <w:sz w:val="22"/>
        <w:szCs w:val="22"/>
      </w:rPr>
    </w:lvl>
    <w:lvl w:ilvl="3">
      <w:start w:val="1"/>
      <w:numFmt w:val="lowerLetter"/>
      <w:pStyle w:val="List-outline-numbered"/>
      <w:lvlText w:val="%4."/>
      <w:lvlJc w:val="left"/>
      <w:pPr>
        <w:tabs>
          <w:tab w:val="num" w:pos="737"/>
        </w:tabs>
        <w:ind w:left="737" w:hanging="380"/>
      </w:pPr>
      <w:rPr>
        <w:rFonts w:cs="Times New Roman" w:hint="default"/>
      </w:rPr>
    </w:lvl>
    <w:lvl w:ilvl="4">
      <w:start w:val="1"/>
      <w:numFmt w:val="decimal"/>
      <w:lvlText w:val="%1.%2.%3.%4.%5"/>
      <w:lvlJc w:val="left"/>
      <w:pPr>
        <w:tabs>
          <w:tab w:val="num" w:pos="1080"/>
        </w:tabs>
        <w:ind w:left="1080" w:hanging="1008"/>
      </w:pPr>
      <w:rPr>
        <w:rFonts w:cs="Times New Roman" w:hint="default"/>
      </w:rPr>
    </w:lvl>
    <w:lvl w:ilvl="5">
      <w:start w:val="1"/>
      <w:numFmt w:val="decimal"/>
      <w:lvlText w:val="%1.%2.%3.%4.%5.%6"/>
      <w:lvlJc w:val="left"/>
      <w:pPr>
        <w:tabs>
          <w:tab w:val="num" w:pos="1224"/>
        </w:tabs>
        <w:ind w:left="1224" w:hanging="1152"/>
      </w:pPr>
      <w:rPr>
        <w:rFonts w:cs="Times New Roman" w:hint="default"/>
      </w:rPr>
    </w:lvl>
    <w:lvl w:ilvl="6">
      <w:start w:val="1"/>
      <w:numFmt w:val="decimal"/>
      <w:lvlText w:val="%1.%2.%3.%4.%5.%6.%7"/>
      <w:lvlJc w:val="left"/>
      <w:pPr>
        <w:tabs>
          <w:tab w:val="num" w:pos="1368"/>
        </w:tabs>
        <w:ind w:left="1368" w:hanging="1296"/>
      </w:pPr>
      <w:rPr>
        <w:rFonts w:cs="Times New Roman" w:hint="default"/>
      </w:rPr>
    </w:lvl>
    <w:lvl w:ilvl="7">
      <w:start w:val="1"/>
      <w:numFmt w:val="decimal"/>
      <w:lvlText w:val="%1.%2.%3.%4.%5.%6.%7.%8"/>
      <w:lvlJc w:val="left"/>
      <w:pPr>
        <w:tabs>
          <w:tab w:val="num" w:pos="1512"/>
        </w:tabs>
        <w:ind w:left="1512" w:hanging="1440"/>
      </w:pPr>
      <w:rPr>
        <w:rFonts w:cs="Times New Roman" w:hint="default"/>
      </w:rPr>
    </w:lvl>
    <w:lvl w:ilvl="8">
      <w:start w:val="1"/>
      <w:numFmt w:val="decimal"/>
      <w:lvlText w:val="%1.%2.%3.%4.%5.%6.%7.%8.%9"/>
      <w:lvlJc w:val="left"/>
      <w:pPr>
        <w:tabs>
          <w:tab w:val="num" w:pos="1656"/>
        </w:tabs>
        <w:ind w:left="1656" w:hanging="1584"/>
      </w:pPr>
      <w:rPr>
        <w:rFonts w:cs="Times New Roman" w:hint="default"/>
      </w:rPr>
    </w:lvl>
  </w:abstractNum>
  <w:abstractNum w:abstractNumId="20">
    <w:nsid w:val="74D01F91"/>
    <w:multiLevelType w:val="singleLevel"/>
    <w:tmpl w:val="9302296E"/>
    <w:lvl w:ilvl="0">
      <w:start w:val="1"/>
      <w:numFmt w:val="decimal"/>
      <w:pStyle w:val="ListNumber"/>
      <w:lvlText w:val="%1"/>
      <w:lvlJc w:val="left"/>
      <w:pPr>
        <w:tabs>
          <w:tab w:val="num" w:pos="360"/>
        </w:tabs>
        <w:ind w:left="284" w:hanging="284"/>
      </w:pPr>
      <w:rPr>
        <w:rFonts w:cs="Times New Roman"/>
      </w:rPr>
    </w:lvl>
  </w:abstractNum>
  <w:num w:numId="1">
    <w:abstractNumId w:val="5"/>
  </w:num>
  <w:num w:numId="2">
    <w:abstractNumId w:val="2"/>
  </w:num>
  <w:num w:numId="3">
    <w:abstractNumId w:val="9"/>
  </w:num>
  <w:num w:numId="4">
    <w:abstractNumId w:val="20"/>
  </w:num>
  <w:num w:numId="5">
    <w:abstractNumId w:val="7"/>
  </w:num>
  <w:num w:numId="6">
    <w:abstractNumId w:val="13"/>
  </w:num>
  <w:num w:numId="7">
    <w:abstractNumId w:val="1"/>
  </w:num>
  <w:num w:numId="8">
    <w:abstractNumId w:val="10"/>
  </w:num>
  <w:num w:numId="9">
    <w:abstractNumId w:val="16"/>
  </w:num>
  <w:num w:numId="10">
    <w:abstractNumId w:val="17"/>
  </w:num>
  <w:num w:numId="11">
    <w:abstractNumId w:val="8"/>
  </w:num>
  <w:num w:numId="12">
    <w:abstractNumId w:val="3"/>
  </w:num>
  <w:num w:numId="13">
    <w:abstractNumId w:val="4"/>
  </w:num>
  <w:num w:numId="14">
    <w:abstractNumId w:val="11"/>
  </w:num>
  <w:num w:numId="15">
    <w:abstractNumId w:val="12"/>
  </w:num>
  <w:num w:numId="16">
    <w:abstractNumId w:val="6"/>
  </w:num>
  <w:num w:numId="17">
    <w:abstractNumId w:val="18"/>
  </w:num>
  <w:num w:numId="18">
    <w:abstractNumId w:val="14"/>
  </w:num>
  <w:num w:numId="19">
    <w:abstractNumId w:val="0"/>
  </w:num>
  <w:num w:numId="20">
    <w:abstractNumId w:val="19"/>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5C"/>
    <w:rsid w:val="00003B40"/>
    <w:rsid w:val="000156B3"/>
    <w:rsid w:val="00021B0D"/>
    <w:rsid w:val="00051808"/>
    <w:rsid w:val="00054674"/>
    <w:rsid w:val="00054734"/>
    <w:rsid w:val="00057C94"/>
    <w:rsid w:val="00065EC2"/>
    <w:rsid w:val="00080689"/>
    <w:rsid w:val="00085646"/>
    <w:rsid w:val="000B7F22"/>
    <w:rsid w:val="000C28FA"/>
    <w:rsid w:val="000D7C6F"/>
    <w:rsid w:val="000E70D1"/>
    <w:rsid w:val="000F28D7"/>
    <w:rsid w:val="00123986"/>
    <w:rsid w:val="00150829"/>
    <w:rsid w:val="00153470"/>
    <w:rsid w:val="00157BB7"/>
    <w:rsid w:val="0018310B"/>
    <w:rsid w:val="00191BDD"/>
    <w:rsid w:val="00194F6B"/>
    <w:rsid w:val="00196E6C"/>
    <w:rsid w:val="001B0A3E"/>
    <w:rsid w:val="001B3F3C"/>
    <w:rsid w:val="001B5AA8"/>
    <w:rsid w:val="001E1E96"/>
    <w:rsid w:val="001E74BE"/>
    <w:rsid w:val="0020165A"/>
    <w:rsid w:val="00220D35"/>
    <w:rsid w:val="00222FDB"/>
    <w:rsid w:val="00234BA6"/>
    <w:rsid w:val="0024661D"/>
    <w:rsid w:val="002539E3"/>
    <w:rsid w:val="00261255"/>
    <w:rsid w:val="00265FA5"/>
    <w:rsid w:val="00270010"/>
    <w:rsid w:val="00271653"/>
    <w:rsid w:val="00273325"/>
    <w:rsid w:val="00274F0B"/>
    <w:rsid w:val="00277B6D"/>
    <w:rsid w:val="002C239C"/>
    <w:rsid w:val="002C2AA8"/>
    <w:rsid w:val="002C3660"/>
    <w:rsid w:val="002C4E3D"/>
    <w:rsid w:val="002D0D54"/>
    <w:rsid w:val="002E5E16"/>
    <w:rsid w:val="002E7908"/>
    <w:rsid w:val="002F20F8"/>
    <w:rsid w:val="00307455"/>
    <w:rsid w:val="00312AC7"/>
    <w:rsid w:val="003134C2"/>
    <w:rsid w:val="00346C8E"/>
    <w:rsid w:val="00351D39"/>
    <w:rsid w:val="00353733"/>
    <w:rsid w:val="003553B5"/>
    <w:rsid w:val="00361D51"/>
    <w:rsid w:val="00380454"/>
    <w:rsid w:val="00395973"/>
    <w:rsid w:val="003B3AAB"/>
    <w:rsid w:val="003D69E7"/>
    <w:rsid w:val="003E1D50"/>
    <w:rsid w:val="003F655A"/>
    <w:rsid w:val="003F75DA"/>
    <w:rsid w:val="00407C8F"/>
    <w:rsid w:val="00422682"/>
    <w:rsid w:val="00433640"/>
    <w:rsid w:val="0045718C"/>
    <w:rsid w:val="00472760"/>
    <w:rsid w:val="00474183"/>
    <w:rsid w:val="004979BF"/>
    <w:rsid w:val="004B4FBE"/>
    <w:rsid w:val="004B5CD1"/>
    <w:rsid w:val="004C279D"/>
    <w:rsid w:val="004F085F"/>
    <w:rsid w:val="005047B7"/>
    <w:rsid w:val="00510015"/>
    <w:rsid w:val="00526193"/>
    <w:rsid w:val="00532C9A"/>
    <w:rsid w:val="00535B1A"/>
    <w:rsid w:val="00561D73"/>
    <w:rsid w:val="00563ECF"/>
    <w:rsid w:val="0058017F"/>
    <w:rsid w:val="00594731"/>
    <w:rsid w:val="005A124B"/>
    <w:rsid w:val="005A43C3"/>
    <w:rsid w:val="005B19D0"/>
    <w:rsid w:val="005B1B14"/>
    <w:rsid w:val="005C3543"/>
    <w:rsid w:val="005C3932"/>
    <w:rsid w:val="005D5EE9"/>
    <w:rsid w:val="00601715"/>
    <w:rsid w:val="0061303E"/>
    <w:rsid w:val="00622FAB"/>
    <w:rsid w:val="00636A0E"/>
    <w:rsid w:val="00642D34"/>
    <w:rsid w:val="00643F48"/>
    <w:rsid w:val="00656CA4"/>
    <w:rsid w:val="00666B5C"/>
    <w:rsid w:val="006850A7"/>
    <w:rsid w:val="00696ED4"/>
    <w:rsid w:val="006C15C5"/>
    <w:rsid w:val="006C514B"/>
    <w:rsid w:val="006E494C"/>
    <w:rsid w:val="006F4CE9"/>
    <w:rsid w:val="00700E99"/>
    <w:rsid w:val="00723DAB"/>
    <w:rsid w:val="00737DA0"/>
    <w:rsid w:val="0074593E"/>
    <w:rsid w:val="00780E3C"/>
    <w:rsid w:val="007843D0"/>
    <w:rsid w:val="007C3271"/>
    <w:rsid w:val="007C6A20"/>
    <w:rsid w:val="007D0CCC"/>
    <w:rsid w:val="007E43C3"/>
    <w:rsid w:val="007E45C5"/>
    <w:rsid w:val="00816EA9"/>
    <w:rsid w:val="008247C0"/>
    <w:rsid w:val="00825E2D"/>
    <w:rsid w:val="00834EA9"/>
    <w:rsid w:val="008373F6"/>
    <w:rsid w:val="00841C6C"/>
    <w:rsid w:val="008508FE"/>
    <w:rsid w:val="00852496"/>
    <w:rsid w:val="0086553C"/>
    <w:rsid w:val="00870AB6"/>
    <w:rsid w:val="00873E94"/>
    <w:rsid w:val="00873F59"/>
    <w:rsid w:val="00877184"/>
    <w:rsid w:val="008956C2"/>
    <w:rsid w:val="008B0C99"/>
    <w:rsid w:val="008B5C80"/>
    <w:rsid w:val="008C41A5"/>
    <w:rsid w:val="008C759A"/>
    <w:rsid w:val="008D14B5"/>
    <w:rsid w:val="008E1185"/>
    <w:rsid w:val="00917AEF"/>
    <w:rsid w:val="009415A2"/>
    <w:rsid w:val="009443F6"/>
    <w:rsid w:val="009631D0"/>
    <w:rsid w:val="00966FB7"/>
    <w:rsid w:val="00974B73"/>
    <w:rsid w:val="00983D31"/>
    <w:rsid w:val="009A5830"/>
    <w:rsid w:val="009B2ED4"/>
    <w:rsid w:val="009C16F0"/>
    <w:rsid w:val="009D6A1E"/>
    <w:rsid w:val="009F2582"/>
    <w:rsid w:val="00A103ED"/>
    <w:rsid w:val="00A17C4E"/>
    <w:rsid w:val="00A25CB1"/>
    <w:rsid w:val="00A325B7"/>
    <w:rsid w:val="00A448C0"/>
    <w:rsid w:val="00A545C3"/>
    <w:rsid w:val="00A663FA"/>
    <w:rsid w:val="00AB44FB"/>
    <w:rsid w:val="00AC180E"/>
    <w:rsid w:val="00AC2004"/>
    <w:rsid w:val="00AF3082"/>
    <w:rsid w:val="00B03B9F"/>
    <w:rsid w:val="00B129E3"/>
    <w:rsid w:val="00B32C85"/>
    <w:rsid w:val="00B5381C"/>
    <w:rsid w:val="00B75D58"/>
    <w:rsid w:val="00B863BF"/>
    <w:rsid w:val="00B96389"/>
    <w:rsid w:val="00BA4E5E"/>
    <w:rsid w:val="00BE0F57"/>
    <w:rsid w:val="00BE1CB6"/>
    <w:rsid w:val="00BE4655"/>
    <w:rsid w:val="00BE7174"/>
    <w:rsid w:val="00BE7D05"/>
    <w:rsid w:val="00BF6A31"/>
    <w:rsid w:val="00C026EC"/>
    <w:rsid w:val="00C1522D"/>
    <w:rsid w:val="00C224E8"/>
    <w:rsid w:val="00C32EE7"/>
    <w:rsid w:val="00C4492D"/>
    <w:rsid w:val="00C50C91"/>
    <w:rsid w:val="00C5507E"/>
    <w:rsid w:val="00C740B1"/>
    <w:rsid w:val="00C762EF"/>
    <w:rsid w:val="00C76680"/>
    <w:rsid w:val="00C9451B"/>
    <w:rsid w:val="00CB0B57"/>
    <w:rsid w:val="00CB1B1F"/>
    <w:rsid w:val="00CB55CF"/>
    <w:rsid w:val="00CC4428"/>
    <w:rsid w:val="00CD2BD3"/>
    <w:rsid w:val="00CE6991"/>
    <w:rsid w:val="00CF0CE7"/>
    <w:rsid w:val="00D01DF1"/>
    <w:rsid w:val="00D0329E"/>
    <w:rsid w:val="00D2271D"/>
    <w:rsid w:val="00D22DF9"/>
    <w:rsid w:val="00D51F29"/>
    <w:rsid w:val="00D76614"/>
    <w:rsid w:val="00D925EA"/>
    <w:rsid w:val="00DA42AA"/>
    <w:rsid w:val="00DA70D6"/>
    <w:rsid w:val="00DB1CC6"/>
    <w:rsid w:val="00DB57C7"/>
    <w:rsid w:val="00DC4714"/>
    <w:rsid w:val="00DC48F8"/>
    <w:rsid w:val="00DC4B8B"/>
    <w:rsid w:val="00DC6501"/>
    <w:rsid w:val="00DD0A36"/>
    <w:rsid w:val="00DE1970"/>
    <w:rsid w:val="00DE36A0"/>
    <w:rsid w:val="00DF7C7B"/>
    <w:rsid w:val="00E02E0C"/>
    <w:rsid w:val="00E11E9B"/>
    <w:rsid w:val="00E22F5C"/>
    <w:rsid w:val="00E57469"/>
    <w:rsid w:val="00E72FF8"/>
    <w:rsid w:val="00E84F8A"/>
    <w:rsid w:val="00EA7231"/>
    <w:rsid w:val="00EC0E3C"/>
    <w:rsid w:val="00EC3FC1"/>
    <w:rsid w:val="00EC7A52"/>
    <w:rsid w:val="00EE18AF"/>
    <w:rsid w:val="00F02BFE"/>
    <w:rsid w:val="00F0526B"/>
    <w:rsid w:val="00F169EE"/>
    <w:rsid w:val="00F22D0E"/>
    <w:rsid w:val="00F2448E"/>
    <w:rsid w:val="00F27FF1"/>
    <w:rsid w:val="00F501CA"/>
    <w:rsid w:val="00F50C33"/>
    <w:rsid w:val="00F71AF7"/>
    <w:rsid w:val="00F7770F"/>
    <w:rsid w:val="00F83908"/>
    <w:rsid w:val="00F85A3E"/>
    <w:rsid w:val="00F9050C"/>
    <w:rsid w:val="00F92251"/>
    <w:rsid w:val="00FA45A2"/>
    <w:rsid w:val="00FD09A4"/>
    <w:rsid w:val="00FE667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8C"/>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15"/>
      </w:numPr>
      <w:tabs>
        <w:tab w:val="num" w:pos="0"/>
      </w:tabs>
      <w:spacing w:before="284" w:after="180" w:line="600" w:lineRule="exact"/>
      <w:ind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num" w:pos="0"/>
      </w:tabs>
      <w:spacing w:before="284" w:after="180" w:line="600" w:lineRule="exact"/>
      <w:ind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left" w:pos="397"/>
        <w:tab w:val="num" w:pos="720"/>
      </w:tabs>
      <w:spacing w:before="480" w:line="280" w:lineRule="exact"/>
      <w:ind w:left="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num" w:pos="1080"/>
      </w:tabs>
      <w:spacing w:before="360" w:line="260" w:lineRule="exact"/>
      <w:ind w:left="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196E6C"/>
    <w:pPr>
      <w:tabs>
        <w:tab w:val="left" w:pos="284"/>
      </w:tabs>
      <w:spacing w:before="80"/>
    </w:p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8"/>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rsid w:val="00C224E8"/>
    <w:pPr>
      <w:keepNext/>
      <w:numPr>
        <w:numId w:val="21"/>
      </w:numPr>
      <w:spacing w:before="320" w:after="60" w:line="240" w:lineRule="exact"/>
      <w:ind w:left="1134" w:hanging="774"/>
    </w:pPr>
    <w:rPr>
      <w:rFonts w:ascii="Arial Narrow" w:hAnsi="Arial Narrow"/>
      <w:b/>
      <w:caps/>
      <w:color w:val="000000"/>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4"/>
      </w:numPr>
      <w:tabs>
        <w:tab w:val="num" w:pos="454"/>
      </w:tabs>
      <w:spacing w:before="50" w:after="0" w:line="190" w:lineRule="exact"/>
      <w:ind w:left="454"/>
    </w:pPr>
  </w:style>
  <w:style w:type="paragraph" w:customStyle="1" w:styleId="Tablelistbullet">
    <w:name w:val="Table list bullet"/>
    <w:basedOn w:val="Tablebody"/>
    <w:uiPriority w:val="99"/>
    <w:pPr>
      <w:numPr>
        <w:numId w:val="5"/>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
      </w:numPr>
      <w:tabs>
        <w:tab w:val="clear" w:pos="284"/>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2"/>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3"/>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273325"/>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tabs>
        <w:tab w:val="num" w:pos="567"/>
      </w:tabs>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2"/>
      </w:numPr>
      <w:tabs>
        <w:tab w:val="left" w:pos="284"/>
      </w:tabs>
    </w:pPr>
    <w:rPr>
      <w:b/>
      <w:color w:val="808080"/>
    </w:rPr>
  </w:style>
  <w:style w:type="paragraph" w:styleId="ListNumber">
    <w:name w:val="List Number"/>
    <w:basedOn w:val="ListBullet"/>
    <w:uiPriority w:val="99"/>
    <w:pPr>
      <w:numPr>
        <w:numId w:val="4"/>
      </w:numPr>
      <w:tabs>
        <w:tab w:val="clear" w:pos="360"/>
        <w:tab w:val="num" w:pos="644"/>
      </w:tabs>
      <w:ind w:left="567" w:hanging="283"/>
    </w:pPr>
  </w:style>
  <w:style w:type="paragraph" w:customStyle="1" w:styleId="Note">
    <w:name w:val="Note"/>
    <w:basedOn w:val="Normal"/>
    <w:next w:val="Source"/>
    <w:link w:val="NoteChar"/>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Normal"/>
    <w:link w:val="SubtitleChar"/>
    <w:uiPriority w:val="99"/>
    <w:qFormat/>
    <w:rsid w:val="00A448C0"/>
    <w:pPr>
      <w:spacing w:before="2280" w:line="360" w:lineRule="exact"/>
      <w:ind w:left="3402" w:right="397"/>
    </w:pPr>
    <w:rPr>
      <w:rFonts w:ascii="Arial Narrow" w:hAnsi="Arial Narrow"/>
      <w:caps/>
      <w:sz w:val="24"/>
      <w:szCs w:val="24"/>
    </w:rPr>
  </w:style>
  <w:style w:type="character" w:customStyle="1" w:styleId="SubtitleChar">
    <w:name w:val="Subtitle Char"/>
    <w:basedOn w:val="DefaultParagraphFont"/>
    <w:link w:val="Subtitle"/>
    <w:uiPriority w:val="99"/>
    <w:rsid w:val="00A448C0"/>
    <w:rPr>
      <w:rFonts w:ascii="Arial Narrow" w:hAnsi="Arial Narrow"/>
      <w:caps/>
      <w:sz w:val="24"/>
      <w:szCs w:val="24"/>
      <w:lang w:val="en-AU" w:eastAsia="en-AU"/>
    </w:rPr>
  </w:style>
  <w:style w:type="paragraph" w:styleId="Title">
    <w:name w:val="Title"/>
    <w:basedOn w:val="Normal"/>
    <w:next w:val="Subtitle"/>
    <w:link w:val="TitleChar"/>
    <w:uiPriority w:val="99"/>
    <w:qFormat/>
    <w:rsid w:val="00A448C0"/>
    <w:pPr>
      <w:spacing w:before="2640" w:line="600" w:lineRule="atLeast"/>
      <w:ind w:left="3402" w:right="397"/>
    </w:pPr>
    <w:rPr>
      <w:rFonts w:ascii="Arial Narrow" w:hAnsi="Arial Narrow"/>
      <w:kern w:val="28"/>
      <w:sz w:val="56"/>
    </w:rPr>
  </w:style>
  <w:style w:type="character" w:customStyle="1" w:styleId="TitleChar">
    <w:name w:val="Title Char"/>
    <w:basedOn w:val="DefaultParagraphFont"/>
    <w:link w:val="Title"/>
    <w:uiPriority w:val="99"/>
    <w:rsid w:val="00A448C0"/>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link w:val="SourceChar"/>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6"/>
      </w:numPr>
      <w:jc w:val="left"/>
    </w:pPr>
  </w:style>
  <w:style w:type="paragraph" w:customStyle="1" w:styleId="Tablelistnumber">
    <w:name w:val="Table list number"/>
    <w:basedOn w:val="Tablebody"/>
    <w:uiPriority w:val="99"/>
    <w:pPr>
      <w:numPr>
        <w:numId w:val="7"/>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9"/>
      </w:numPr>
      <w:tabs>
        <w:tab w:val="clear" w:pos="445"/>
        <w:tab w:val="left" w:pos="369"/>
      </w:tabs>
      <w:spacing w:before="60"/>
    </w:pPr>
  </w:style>
  <w:style w:type="paragraph" w:customStyle="1" w:styleId="BoxListBullet2">
    <w:name w:val="Box List Bullet 2"/>
    <w:basedOn w:val="BoxListBullet"/>
    <w:uiPriority w:val="99"/>
    <w:semiHidden/>
    <w:pPr>
      <w:numPr>
        <w:numId w:val="10"/>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1"/>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szCs w:val="20"/>
      <w:lang w:val="en-AU" w:eastAsia="en-AU" w:bidi="ar-SA"/>
    </w:rPr>
  </w:style>
  <w:style w:type="paragraph" w:customStyle="1" w:styleId="HighlightBulletOrange">
    <w:name w:val="Highlight Bullet Orange"/>
    <w:basedOn w:val="BodyText"/>
    <w:next w:val="BodyText"/>
    <w:uiPriority w:val="99"/>
    <w:rsid w:val="0074593E"/>
    <w:pPr>
      <w:numPr>
        <w:numId w:val="17"/>
      </w:numPr>
    </w:pPr>
  </w:style>
  <w:style w:type="paragraph" w:customStyle="1" w:styleId="HighlightBulletGreen">
    <w:name w:val="Highlight Bullet Green"/>
    <w:basedOn w:val="HighlightBulletOrange"/>
    <w:uiPriority w:val="99"/>
    <w:rsid w:val="0074593E"/>
    <w:pPr>
      <w:numPr>
        <w:numId w:val="18"/>
      </w:numPr>
      <w:tabs>
        <w:tab w:val="num" w:pos="0"/>
      </w:tabs>
      <w:ind w:hanging="284"/>
    </w:pPr>
  </w:style>
  <w:style w:type="paragraph" w:customStyle="1" w:styleId="HighlightBulletRed">
    <w:name w:val="Highlight Bullet Red"/>
    <w:basedOn w:val="HighlightBulletOrange"/>
    <w:uiPriority w:val="99"/>
    <w:rsid w:val="0074593E"/>
    <w:pPr>
      <w:numPr>
        <w:numId w:val="19"/>
      </w:numPr>
      <w:tabs>
        <w:tab w:val="num" w:pos="0"/>
      </w:tabs>
      <w:ind w:hanging="284"/>
    </w:pPr>
  </w:style>
  <w:style w:type="paragraph" w:customStyle="1" w:styleId="StyleListBulletBlack">
    <w:name w:val="Style List Bullet + Black"/>
    <w:basedOn w:val="ListBullet"/>
    <w:qFormat/>
    <w:rsid w:val="00A448C0"/>
    <w:pPr>
      <w:numPr>
        <w:numId w:val="3"/>
      </w:numPr>
    </w:pPr>
    <w:rPr>
      <w:color w:val="000000"/>
    </w:rPr>
  </w:style>
  <w:style w:type="paragraph" w:customStyle="1" w:styleId="CharChar1Char">
    <w:name w:val="Char Char1 Char"/>
    <w:basedOn w:val="Normal"/>
    <w:uiPriority w:val="99"/>
    <w:rsid w:val="00AC180E"/>
    <w:rPr>
      <w:rFonts w:ascii="Arial" w:hAnsi="Arial" w:cs="Arial"/>
      <w:sz w:val="22"/>
      <w:szCs w:val="22"/>
      <w:lang w:eastAsia="en-US"/>
    </w:rPr>
  </w:style>
  <w:style w:type="paragraph" w:customStyle="1" w:styleId="CharCharCharCharCharCharChar">
    <w:name w:val="Char Char Char Char Char Char Char"/>
    <w:basedOn w:val="Normal"/>
    <w:uiPriority w:val="99"/>
    <w:rsid w:val="00AC180E"/>
    <w:pPr>
      <w:spacing w:after="160" w:line="240" w:lineRule="exact"/>
    </w:pPr>
    <w:rPr>
      <w:rFonts w:ascii="Verdana" w:hAnsi="Verdana"/>
      <w:szCs w:val="24"/>
      <w:lang w:val="en-US" w:eastAsia="en-US"/>
    </w:rPr>
  </w:style>
  <w:style w:type="paragraph" w:customStyle="1" w:styleId="Heading2numbered">
    <w:name w:val="Heading 2 numbered"/>
    <w:basedOn w:val="Heading2"/>
    <w:next w:val="Normal"/>
    <w:uiPriority w:val="99"/>
    <w:rsid w:val="007E45C5"/>
    <w:pPr>
      <w:numPr>
        <w:numId w:val="20"/>
      </w:numPr>
      <w:spacing w:before="360" w:after="60" w:line="240" w:lineRule="auto"/>
    </w:pPr>
    <w:rPr>
      <w:rFonts w:ascii="Arial" w:hAnsi="Arial" w:cs="Arial"/>
      <w:i/>
      <w:iCs/>
      <w:caps w:val="0"/>
      <w:color w:val="auto"/>
      <w:sz w:val="24"/>
      <w:szCs w:val="20"/>
    </w:rPr>
  </w:style>
  <w:style w:type="paragraph" w:customStyle="1" w:styleId="Heading3numbered">
    <w:name w:val="Heading 3 numbered"/>
    <w:basedOn w:val="Heading3"/>
    <w:next w:val="Normal"/>
    <w:uiPriority w:val="99"/>
    <w:rsid w:val="007E45C5"/>
    <w:pPr>
      <w:numPr>
        <w:numId w:val="20"/>
      </w:numPr>
      <w:tabs>
        <w:tab w:val="clear" w:pos="851"/>
        <w:tab w:val="num" w:pos="494"/>
      </w:tabs>
      <w:spacing w:before="160" w:after="60" w:line="240" w:lineRule="auto"/>
      <w:ind w:left="494"/>
    </w:pPr>
    <w:rPr>
      <w:rFonts w:ascii="Arial" w:hAnsi="Arial"/>
      <w:b/>
      <w:bCs/>
      <w:iCs/>
      <w:caps w:val="0"/>
      <w:sz w:val="22"/>
      <w:szCs w:val="26"/>
      <w:lang w:eastAsia="en-US"/>
    </w:rPr>
  </w:style>
  <w:style w:type="paragraph" w:customStyle="1" w:styleId="List-outline-numbered">
    <w:name w:val="List-outline-numbered"/>
    <w:basedOn w:val="Normal"/>
    <w:uiPriority w:val="99"/>
    <w:rsid w:val="007E45C5"/>
    <w:pPr>
      <w:numPr>
        <w:ilvl w:val="3"/>
        <w:numId w:val="20"/>
      </w:numPr>
      <w:spacing w:before="120"/>
      <w:jc w:val="both"/>
    </w:pPr>
    <w:rPr>
      <w:rFonts w:ascii="Arial" w:hAnsi="Arial"/>
      <w:szCs w:val="24"/>
      <w:lang w:eastAsia="en-US"/>
    </w:rPr>
  </w:style>
  <w:style w:type="character" w:customStyle="1" w:styleId="NoteChar">
    <w:name w:val="Note Char"/>
    <w:basedOn w:val="DefaultParagraphFont"/>
    <w:link w:val="Note"/>
    <w:uiPriority w:val="99"/>
    <w:locked/>
    <w:rsid w:val="00594731"/>
    <w:rPr>
      <w:rFonts w:ascii="Arial Narrow" w:hAnsi="Arial Narrow" w:cs="Times New Roman"/>
      <w:sz w:val="14"/>
      <w:lang w:val="en-AU" w:eastAsia="en-AU" w:bidi="ar-SA"/>
    </w:rPr>
  </w:style>
  <w:style w:type="character" w:customStyle="1" w:styleId="SourceChar">
    <w:name w:val="Source Char"/>
    <w:basedOn w:val="NoteChar"/>
    <w:link w:val="Source"/>
    <w:uiPriority w:val="99"/>
    <w:locked/>
    <w:rsid w:val="00594731"/>
    <w:rPr>
      <w:rFonts w:ascii="Arial Narrow" w:hAnsi="Arial Narrow" w:cs="Times New Roman"/>
      <w:sz w:val="14"/>
      <w:lang w:val="en-AU" w:eastAsia="en-AU" w:bidi="ar-SA"/>
    </w:rPr>
  </w:style>
  <w:style w:type="paragraph" w:customStyle="1" w:styleId="CoverLink">
    <w:name w:val="Cover Link"/>
    <w:basedOn w:val="Subtitle"/>
    <w:qFormat/>
    <w:rsid w:val="00A448C0"/>
    <w:pPr>
      <w:spacing w:before="5280" w:after="200" w:line="276" w:lineRule="auto"/>
      <w:ind w:right="0"/>
    </w:pPr>
    <w:rPr>
      <w:rFonts w:ascii="Garamond" w:hAnsi="Garamond"/>
      <w:caps w:val="0"/>
      <w:color w:val="000000"/>
      <w:sz w:val="23"/>
      <w:szCs w:val="23"/>
    </w:rPr>
  </w:style>
  <w:style w:type="paragraph" w:customStyle="1" w:styleId="H1">
    <w:name w:val="H1"/>
    <w:basedOn w:val="Contents"/>
    <w:next w:val="BodyText"/>
    <w:qFormat/>
    <w:rsid w:val="00A448C0"/>
    <w:pPr>
      <w:ind w:left="284"/>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8C"/>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15"/>
      </w:numPr>
      <w:tabs>
        <w:tab w:val="num" w:pos="0"/>
      </w:tabs>
      <w:spacing w:before="284" w:after="180" w:line="600" w:lineRule="exact"/>
      <w:ind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num" w:pos="0"/>
      </w:tabs>
      <w:spacing w:before="284" w:after="180" w:line="600" w:lineRule="exact"/>
      <w:ind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left" w:pos="397"/>
        <w:tab w:val="num" w:pos="720"/>
      </w:tabs>
      <w:spacing w:before="480" w:line="280" w:lineRule="exact"/>
      <w:ind w:left="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num" w:pos="1080"/>
      </w:tabs>
      <w:spacing w:before="360" w:line="260" w:lineRule="exact"/>
      <w:ind w:left="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196E6C"/>
    <w:pPr>
      <w:tabs>
        <w:tab w:val="left" w:pos="284"/>
      </w:tabs>
      <w:spacing w:before="80"/>
    </w:p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8"/>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rsid w:val="00C224E8"/>
    <w:pPr>
      <w:keepNext/>
      <w:numPr>
        <w:numId w:val="21"/>
      </w:numPr>
      <w:spacing w:before="320" w:after="60" w:line="240" w:lineRule="exact"/>
      <w:ind w:left="1134" w:hanging="774"/>
    </w:pPr>
    <w:rPr>
      <w:rFonts w:ascii="Arial Narrow" w:hAnsi="Arial Narrow"/>
      <w:b/>
      <w:caps/>
      <w:color w:val="000000"/>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4"/>
      </w:numPr>
      <w:tabs>
        <w:tab w:val="num" w:pos="454"/>
      </w:tabs>
      <w:spacing w:before="50" w:after="0" w:line="190" w:lineRule="exact"/>
      <w:ind w:left="454"/>
    </w:pPr>
  </w:style>
  <w:style w:type="paragraph" w:customStyle="1" w:styleId="Tablelistbullet">
    <w:name w:val="Table list bullet"/>
    <w:basedOn w:val="Tablebody"/>
    <w:uiPriority w:val="99"/>
    <w:pPr>
      <w:numPr>
        <w:numId w:val="5"/>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
      </w:numPr>
      <w:tabs>
        <w:tab w:val="clear" w:pos="284"/>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2"/>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3"/>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273325"/>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tabs>
        <w:tab w:val="num" w:pos="567"/>
      </w:tabs>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2"/>
      </w:numPr>
      <w:tabs>
        <w:tab w:val="left" w:pos="284"/>
      </w:tabs>
    </w:pPr>
    <w:rPr>
      <w:b/>
      <w:color w:val="808080"/>
    </w:rPr>
  </w:style>
  <w:style w:type="paragraph" w:styleId="ListNumber">
    <w:name w:val="List Number"/>
    <w:basedOn w:val="ListBullet"/>
    <w:uiPriority w:val="99"/>
    <w:pPr>
      <w:numPr>
        <w:numId w:val="4"/>
      </w:numPr>
      <w:tabs>
        <w:tab w:val="clear" w:pos="360"/>
        <w:tab w:val="num" w:pos="644"/>
      </w:tabs>
      <w:ind w:left="567" w:hanging="283"/>
    </w:pPr>
  </w:style>
  <w:style w:type="paragraph" w:customStyle="1" w:styleId="Note">
    <w:name w:val="Note"/>
    <w:basedOn w:val="Normal"/>
    <w:next w:val="Source"/>
    <w:link w:val="NoteChar"/>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Normal"/>
    <w:link w:val="SubtitleChar"/>
    <w:uiPriority w:val="99"/>
    <w:qFormat/>
    <w:rsid w:val="00A448C0"/>
    <w:pPr>
      <w:spacing w:before="2280" w:line="360" w:lineRule="exact"/>
      <w:ind w:left="3402" w:right="397"/>
    </w:pPr>
    <w:rPr>
      <w:rFonts w:ascii="Arial Narrow" w:hAnsi="Arial Narrow"/>
      <w:caps/>
      <w:sz w:val="24"/>
      <w:szCs w:val="24"/>
    </w:rPr>
  </w:style>
  <w:style w:type="character" w:customStyle="1" w:styleId="SubtitleChar">
    <w:name w:val="Subtitle Char"/>
    <w:basedOn w:val="DefaultParagraphFont"/>
    <w:link w:val="Subtitle"/>
    <w:uiPriority w:val="99"/>
    <w:rsid w:val="00A448C0"/>
    <w:rPr>
      <w:rFonts w:ascii="Arial Narrow" w:hAnsi="Arial Narrow"/>
      <w:caps/>
      <w:sz w:val="24"/>
      <w:szCs w:val="24"/>
      <w:lang w:val="en-AU" w:eastAsia="en-AU"/>
    </w:rPr>
  </w:style>
  <w:style w:type="paragraph" w:styleId="Title">
    <w:name w:val="Title"/>
    <w:basedOn w:val="Normal"/>
    <w:next w:val="Subtitle"/>
    <w:link w:val="TitleChar"/>
    <w:uiPriority w:val="99"/>
    <w:qFormat/>
    <w:rsid w:val="00A448C0"/>
    <w:pPr>
      <w:spacing w:before="2640" w:line="600" w:lineRule="atLeast"/>
      <w:ind w:left="3402" w:right="397"/>
    </w:pPr>
    <w:rPr>
      <w:rFonts w:ascii="Arial Narrow" w:hAnsi="Arial Narrow"/>
      <w:kern w:val="28"/>
      <w:sz w:val="56"/>
    </w:rPr>
  </w:style>
  <w:style w:type="character" w:customStyle="1" w:styleId="TitleChar">
    <w:name w:val="Title Char"/>
    <w:basedOn w:val="DefaultParagraphFont"/>
    <w:link w:val="Title"/>
    <w:uiPriority w:val="99"/>
    <w:rsid w:val="00A448C0"/>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link w:val="SourceChar"/>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6"/>
      </w:numPr>
      <w:jc w:val="left"/>
    </w:pPr>
  </w:style>
  <w:style w:type="paragraph" w:customStyle="1" w:styleId="Tablelistnumber">
    <w:name w:val="Table list number"/>
    <w:basedOn w:val="Tablebody"/>
    <w:uiPriority w:val="99"/>
    <w:pPr>
      <w:numPr>
        <w:numId w:val="7"/>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9"/>
      </w:numPr>
      <w:tabs>
        <w:tab w:val="clear" w:pos="445"/>
        <w:tab w:val="left" w:pos="369"/>
      </w:tabs>
      <w:spacing w:before="60"/>
    </w:pPr>
  </w:style>
  <w:style w:type="paragraph" w:customStyle="1" w:styleId="BoxListBullet2">
    <w:name w:val="Box List Bullet 2"/>
    <w:basedOn w:val="BoxListBullet"/>
    <w:uiPriority w:val="99"/>
    <w:semiHidden/>
    <w:pPr>
      <w:numPr>
        <w:numId w:val="10"/>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1"/>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szCs w:val="20"/>
      <w:lang w:val="en-AU" w:eastAsia="en-AU" w:bidi="ar-SA"/>
    </w:rPr>
  </w:style>
  <w:style w:type="paragraph" w:customStyle="1" w:styleId="HighlightBulletOrange">
    <w:name w:val="Highlight Bullet Orange"/>
    <w:basedOn w:val="BodyText"/>
    <w:next w:val="BodyText"/>
    <w:uiPriority w:val="99"/>
    <w:rsid w:val="0074593E"/>
    <w:pPr>
      <w:numPr>
        <w:numId w:val="17"/>
      </w:numPr>
    </w:pPr>
  </w:style>
  <w:style w:type="paragraph" w:customStyle="1" w:styleId="HighlightBulletGreen">
    <w:name w:val="Highlight Bullet Green"/>
    <w:basedOn w:val="HighlightBulletOrange"/>
    <w:uiPriority w:val="99"/>
    <w:rsid w:val="0074593E"/>
    <w:pPr>
      <w:numPr>
        <w:numId w:val="18"/>
      </w:numPr>
      <w:tabs>
        <w:tab w:val="num" w:pos="0"/>
      </w:tabs>
      <w:ind w:hanging="284"/>
    </w:pPr>
  </w:style>
  <w:style w:type="paragraph" w:customStyle="1" w:styleId="HighlightBulletRed">
    <w:name w:val="Highlight Bullet Red"/>
    <w:basedOn w:val="HighlightBulletOrange"/>
    <w:uiPriority w:val="99"/>
    <w:rsid w:val="0074593E"/>
    <w:pPr>
      <w:numPr>
        <w:numId w:val="19"/>
      </w:numPr>
      <w:tabs>
        <w:tab w:val="num" w:pos="0"/>
      </w:tabs>
      <w:ind w:hanging="284"/>
    </w:pPr>
  </w:style>
  <w:style w:type="paragraph" w:customStyle="1" w:styleId="StyleListBulletBlack">
    <w:name w:val="Style List Bullet + Black"/>
    <w:basedOn w:val="ListBullet"/>
    <w:qFormat/>
    <w:rsid w:val="00A448C0"/>
    <w:pPr>
      <w:numPr>
        <w:numId w:val="3"/>
      </w:numPr>
    </w:pPr>
    <w:rPr>
      <w:color w:val="000000"/>
    </w:rPr>
  </w:style>
  <w:style w:type="paragraph" w:customStyle="1" w:styleId="CharChar1Char">
    <w:name w:val="Char Char1 Char"/>
    <w:basedOn w:val="Normal"/>
    <w:uiPriority w:val="99"/>
    <w:rsid w:val="00AC180E"/>
    <w:rPr>
      <w:rFonts w:ascii="Arial" w:hAnsi="Arial" w:cs="Arial"/>
      <w:sz w:val="22"/>
      <w:szCs w:val="22"/>
      <w:lang w:eastAsia="en-US"/>
    </w:rPr>
  </w:style>
  <w:style w:type="paragraph" w:customStyle="1" w:styleId="CharCharCharCharCharCharChar">
    <w:name w:val="Char Char Char Char Char Char Char"/>
    <w:basedOn w:val="Normal"/>
    <w:uiPriority w:val="99"/>
    <w:rsid w:val="00AC180E"/>
    <w:pPr>
      <w:spacing w:after="160" w:line="240" w:lineRule="exact"/>
    </w:pPr>
    <w:rPr>
      <w:rFonts w:ascii="Verdana" w:hAnsi="Verdana"/>
      <w:szCs w:val="24"/>
      <w:lang w:val="en-US" w:eastAsia="en-US"/>
    </w:rPr>
  </w:style>
  <w:style w:type="paragraph" w:customStyle="1" w:styleId="Heading2numbered">
    <w:name w:val="Heading 2 numbered"/>
    <w:basedOn w:val="Heading2"/>
    <w:next w:val="Normal"/>
    <w:uiPriority w:val="99"/>
    <w:rsid w:val="007E45C5"/>
    <w:pPr>
      <w:numPr>
        <w:numId w:val="20"/>
      </w:numPr>
      <w:spacing w:before="360" w:after="60" w:line="240" w:lineRule="auto"/>
    </w:pPr>
    <w:rPr>
      <w:rFonts w:ascii="Arial" w:hAnsi="Arial" w:cs="Arial"/>
      <w:i/>
      <w:iCs/>
      <w:caps w:val="0"/>
      <w:color w:val="auto"/>
      <w:sz w:val="24"/>
      <w:szCs w:val="20"/>
    </w:rPr>
  </w:style>
  <w:style w:type="paragraph" w:customStyle="1" w:styleId="Heading3numbered">
    <w:name w:val="Heading 3 numbered"/>
    <w:basedOn w:val="Heading3"/>
    <w:next w:val="Normal"/>
    <w:uiPriority w:val="99"/>
    <w:rsid w:val="007E45C5"/>
    <w:pPr>
      <w:numPr>
        <w:numId w:val="20"/>
      </w:numPr>
      <w:tabs>
        <w:tab w:val="clear" w:pos="851"/>
        <w:tab w:val="num" w:pos="494"/>
      </w:tabs>
      <w:spacing w:before="160" w:after="60" w:line="240" w:lineRule="auto"/>
      <w:ind w:left="494"/>
    </w:pPr>
    <w:rPr>
      <w:rFonts w:ascii="Arial" w:hAnsi="Arial"/>
      <w:b/>
      <w:bCs/>
      <w:iCs/>
      <w:caps w:val="0"/>
      <w:sz w:val="22"/>
      <w:szCs w:val="26"/>
      <w:lang w:eastAsia="en-US"/>
    </w:rPr>
  </w:style>
  <w:style w:type="paragraph" w:customStyle="1" w:styleId="List-outline-numbered">
    <w:name w:val="List-outline-numbered"/>
    <w:basedOn w:val="Normal"/>
    <w:uiPriority w:val="99"/>
    <w:rsid w:val="007E45C5"/>
    <w:pPr>
      <w:numPr>
        <w:ilvl w:val="3"/>
        <w:numId w:val="20"/>
      </w:numPr>
      <w:spacing w:before="120"/>
      <w:jc w:val="both"/>
    </w:pPr>
    <w:rPr>
      <w:rFonts w:ascii="Arial" w:hAnsi="Arial"/>
      <w:szCs w:val="24"/>
      <w:lang w:eastAsia="en-US"/>
    </w:rPr>
  </w:style>
  <w:style w:type="character" w:customStyle="1" w:styleId="NoteChar">
    <w:name w:val="Note Char"/>
    <w:basedOn w:val="DefaultParagraphFont"/>
    <w:link w:val="Note"/>
    <w:uiPriority w:val="99"/>
    <w:locked/>
    <w:rsid w:val="00594731"/>
    <w:rPr>
      <w:rFonts w:ascii="Arial Narrow" w:hAnsi="Arial Narrow" w:cs="Times New Roman"/>
      <w:sz w:val="14"/>
      <w:lang w:val="en-AU" w:eastAsia="en-AU" w:bidi="ar-SA"/>
    </w:rPr>
  </w:style>
  <w:style w:type="character" w:customStyle="1" w:styleId="SourceChar">
    <w:name w:val="Source Char"/>
    <w:basedOn w:val="NoteChar"/>
    <w:link w:val="Source"/>
    <w:uiPriority w:val="99"/>
    <w:locked/>
    <w:rsid w:val="00594731"/>
    <w:rPr>
      <w:rFonts w:ascii="Arial Narrow" w:hAnsi="Arial Narrow" w:cs="Times New Roman"/>
      <w:sz w:val="14"/>
      <w:lang w:val="en-AU" w:eastAsia="en-AU" w:bidi="ar-SA"/>
    </w:rPr>
  </w:style>
  <w:style w:type="paragraph" w:customStyle="1" w:styleId="CoverLink">
    <w:name w:val="Cover Link"/>
    <w:basedOn w:val="Subtitle"/>
    <w:qFormat/>
    <w:rsid w:val="00A448C0"/>
    <w:pPr>
      <w:spacing w:before="5280" w:after="200" w:line="276" w:lineRule="auto"/>
      <w:ind w:right="0"/>
    </w:pPr>
    <w:rPr>
      <w:rFonts w:ascii="Garamond" w:hAnsi="Garamond"/>
      <w:caps w:val="0"/>
      <w:color w:val="000000"/>
      <w:sz w:val="23"/>
      <w:szCs w:val="23"/>
    </w:rPr>
  </w:style>
  <w:style w:type="paragraph" w:customStyle="1" w:styleId="H1">
    <w:name w:val="H1"/>
    <w:basedOn w:val="Contents"/>
    <w:next w:val="BodyText"/>
    <w:qFormat/>
    <w:rsid w:val="00A448C0"/>
    <w:pPr>
      <w:ind w:left="284"/>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66878">
      <w:marLeft w:val="0"/>
      <w:marRight w:val="0"/>
      <w:marTop w:val="0"/>
      <w:marBottom w:val="0"/>
      <w:divBdr>
        <w:top w:val="none" w:sz="0" w:space="0" w:color="auto"/>
        <w:left w:val="none" w:sz="0" w:space="0" w:color="auto"/>
        <w:bottom w:val="none" w:sz="0" w:space="0" w:color="auto"/>
        <w:right w:val="none" w:sz="0" w:space="0" w:color="auto"/>
      </w:divBdr>
      <w:divsChild>
        <w:div w:id="830366876">
          <w:marLeft w:val="0"/>
          <w:marRight w:val="0"/>
          <w:marTop w:val="0"/>
          <w:marBottom w:val="0"/>
          <w:divBdr>
            <w:top w:val="none" w:sz="0" w:space="0" w:color="auto"/>
            <w:left w:val="none" w:sz="0" w:space="0" w:color="auto"/>
            <w:bottom w:val="none" w:sz="0" w:space="0" w:color="auto"/>
            <w:right w:val="none" w:sz="0" w:space="0" w:color="auto"/>
          </w:divBdr>
          <w:divsChild>
            <w:div w:id="8303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gov.au/cca"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aid.gov.au/" TargetMode="Externa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aid.gov.au/" TargetMode="External"/><Relationship Id="rId14" Type="http://schemas.openxmlformats.org/officeDocument/2006/relationships/hyperlink" Target="http://www.ausaid.gov.au/publications"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customXml" Target="../customXml/item3.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customXml" Target="../customXml/item1.xml"/><Relationship Id="rId20" Type="http://schemas.openxmlformats.org/officeDocument/2006/relationships/header" Target="header4.xml"/><Relationship Id="rId41"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C4B96-209D-4162-9CA1-2C4D7770D7D7}"/>
</file>

<file path=customXml/itemProps2.xml><?xml version="1.0" encoding="utf-8"?>
<ds:datastoreItem xmlns:ds="http://schemas.openxmlformats.org/officeDocument/2006/customXml" ds:itemID="{E617394B-CD52-4A51-A33D-B3BF51FC6AC1}"/>
</file>

<file path=customXml/itemProps3.xml><?xml version="1.0" encoding="utf-8"?>
<ds:datastoreItem xmlns:ds="http://schemas.openxmlformats.org/officeDocument/2006/customXml" ds:itemID="{CFC5B7B8-2E0A-41AA-ABB4-C65B35CECC55}"/>
</file>

<file path=docProps/app.xml><?xml version="1.0" encoding="utf-8"?>
<Properties xmlns="http://schemas.openxmlformats.org/officeDocument/2006/extended-properties" xmlns:vt="http://schemas.openxmlformats.org/officeDocument/2006/docPropsVTypes">
  <Template>AusAID long report.dot</Template>
  <TotalTime>34</TotalTime>
  <Pages>22</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Annual program performance report for Asia 2007–2008</vt:lpstr>
    </vt:vector>
  </TitlesOfParts>
  <Company>ByWord Services</Company>
  <LinksUpToDate>false</LinksUpToDate>
  <CharactersWithSpaces>44922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Asia 2007–2008</dc:title>
  <dc:subject>Annual program performance report for Asia 2007–2008</dc:subject>
  <dc:creator>Australian Government AusAID</dc:creator>
  <cp:keywords>AusAID; Annual Program Performance Report; APPR; Asia; 2007; 2008;</cp:keywords>
  <cp:lastModifiedBy>aelrayes</cp:lastModifiedBy>
  <cp:revision>9</cp:revision>
  <cp:lastPrinted>2008-10-31T18:17:00Z</cp:lastPrinted>
  <dcterms:created xsi:type="dcterms:W3CDTF">2013-07-05T03:12:00Z</dcterms:created>
  <dcterms:modified xsi:type="dcterms:W3CDTF">2013-07-06T02:29:00Z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297600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