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889" w:rsidRPr="00D06F79" w:rsidRDefault="004D2889" w:rsidP="00B77AB5">
      <w:pPr>
        <w:pStyle w:val="Title"/>
        <w:ind w:right="-1902"/>
        <w:rPr>
          <w:noProof/>
          <w:color w:val="FFFFFF"/>
        </w:rPr>
      </w:pPr>
      <w:r w:rsidRPr="00D7139C">
        <w:rPr>
          <w:color w:val="FFFFFF"/>
          <w:spacing w:val="-10"/>
          <w:sz w:val="48"/>
          <w:szCs w:val="48"/>
        </w:rPr>
        <w:t>Annual program performance report:</w:t>
      </w:r>
      <w:r>
        <w:rPr>
          <w:color w:val="FFFFFF"/>
          <w:spacing w:val="-10"/>
          <w:sz w:val="48"/>
          <w:szCs w:val="48"/>
        </w:rPr>
        <w:t xml:space="preserve"> Tonga</w:t>
      </w:r>
      <w:r w:rsidR="000C5DE1">
        <w:rPr>
          <w:noProof/>
          <w:lang w:val="en-US" w:eastAsia="en-US"/>
        </w:rPr>
        <w:drawing>
          <wp:anchor distT="0" distB="0" distL="114300" distR="114300" simplePos="0" relativeHeight="251660800" behindDoc="1" locked="0" layoutInCell="0" allowOverlap="1">
            <wp:simplePos x="0" y="0"/>
            <wp:positionH relativeFrom="page">
              <wp:posOffset>0</wp:posOffset>
            </wp:positionH>
            <wp:positionV relativeFrom="page">
              <wp:posOffset>0</wp:posOffset>
            </wp:positionV>
            <wp:extent cx="7560310" cy="10694035"/>
            <wp:effectExtent l="0" t="0" r="2540" b="0"/>
            <wp:wrapNone/>
            <wp:docPr id="20" name="Picture 1235" descr="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descr="Australian Government Logo. AusAI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FFFF"/>
          <w:spacing w:val="-10"/>
          <w:sz w:val="48"/>
          <w:szCs w:val="48"/>
        </w:rPr>
        <w:t xml:space="preserve"> 2008–09</w:t>
      </w:r>
      <w:r w:rsidR="000C5DE1">
        <w:rPr>
          <w:noProof/>
          <w:lang w:val="en-US" w:eastAsia="en-US"/>
        </w:rPr>
        <w:drawing>
          <wp:anchor distT="0" distB="0" distL="114300" distR="114300" simplePos="0" relativeHeight="251659776" behindDoc="1" locked="0" layoutInCell="0" allowOverlap="1">
            <wp:simplePos x="0" y="0"/>
            <wp:positionH relativeFrom="page">
              <wp:posOffset>0</wp:posOffset>
            </wp:positionH>
            <wp:positionV relativeFrom="page">
              <wp:posOffset>0</wp:posOffset>
            </wp:positionV>
            <wp:extent cx="7560310" cy="10694035"/>
            <wp:effectExtent l="0" t="0" r="2540" b="0"/>
            <wp:wrapNone/>
            <wp:docPr id="19" name="Picture 1258" descr="AusAID_report_pacifi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descr="AusAID_report_pacific_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889" w:rsidRDefault="004D2889">
      <w:pPr>
        <w:pStyle w:val="Subtitle"/>
        <w:rPr>
          <w:color w:val="FFFFFF"/>
        </w:rPr>
      </w:pPr>
    </w:p>
    <w:p w:rsidR="004D2889" w:rsidRPr="002C7822" w:rsidRDefault="004D2889">
      <w:pPr>
        <w:pStyle w:val="Date"/>
        <w:rPr>
          <w:rFonts w:ascii="Franklin Gothic Medium" w:hAnsi="Franklin Gothic Medium"/>
          <w:color w:val="FFFFFF"/>
          <w:sz w:val="22"/>
          <w:lang w:eastAsia="en-US"/>
        </w:rPr>
      </w:pPr>
      <w:r>
        <w:rPr>
          <w:rFonts w:ascii="Franklin Gothic Medium" w:hAnsi="Franklin Gothic Medium"/>
          <w:color w:val="FFFFFF"/>
        </w:rPr>
        <w:t>January 2010</w:t>
      </w:r>
    </w:p>
    <w:p w:rsidR="004D2889" w:rsidRPr="00953A8D" w:rsidRDefault="004D2889">
      <w:pPr>
        <w:pStyle w:val="Date"/>
        <w:spacing w:before="0" w:after="0" w:line="14" w:lineRule="exact"/>
      </w:pPr>
    </w:p>
    <w:p w:rsidR="004D2889" w:rsidRDefault="000C5DE1">
      <w:pPr>
        <w:pStyle w:val="BoxText"/>
        <w:pageBreakBefore/>
        <w:spacing w:before="300"/>
        <w:ind w:right="1134"/>
      </w:pPr>
      <w:r>
        <w:rPr>
          <w:noProof/>
          <w:lang w:val="en-US" w:eastAsia="en-US"/>
        </w:rPr>
        <w:lastRenderedPageBreak/>
        <w:drawing>
          <wp:anchor distT="0" distB="0" distL="114300" distR="114300" simplePos="0" relativeHeight="251662848" behindDoc="1" locked="0" layoutInCell="1" allowOverlap="1">
            <wp:simplePos x="0" y="0"/>
            <wp:positionH relativeFrom="page">
              <wp:posOffset>0</wp:posOffset>
            </wp:positionH>
            <wp:positionV relativeFrom="page">
              <wp:posOffset>1386205</wp:posOffset>
            </wp:positionV>
            <wp:extent cx="7560310" cy="1585595"/>
            <wp:effectExtent l="0" t="0" r="2540" b="0"/>
            <wp:wrapSquare wrapText="bothSides"/>
            <wp:docPr id="18" name="Picture 1261"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descr="AusAID graphics pacific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889">
        <w:t>© Commonwealth of Australia 2010</w:t>
      </w:r>
    </w:p>
    <w:p w:rsidR="00AB4853" w:rsidRPr="00737052" w:rsidRDefault="004D2889" w:rsidP="00AB4853">
      <w:pPr>
        <w:pStyle w:val="BoxText"/>
        <w:ind w:right="1134"/>
      </w:pPr>
      <w:r>
        <w:t xml:space="preserve">This work is copyright. You may download, display, print and reproduce this material in unaltered form only (retaining this notice) for your personal, non-commercial use or use within your organisation. Apart from any use as permitted under the </w:t>
      </w:r>
      <w:r w:rsidRPr="0094221E">
        <w:rPr>
          <w:i/>
        </w:rPr>
        <w:t>Copyright Act 1968</w:t>
      </w:r>
      <w:r>
        <w:t xml:space="preserve">, all other rights are reserved. Requests and inquiries concerning reproduction and rights should be addressed to Commonwealth Copyright Administration, Attorney General’s Department, Robert Garran Offices, National Circuit, Barton ACT 2600 or posted </w:t>
      </w:r>
      <w:r w:rsidRPr="0094221E">
        <w:t xml:space="preserve">at </w:t>
      </w:r>
      <w:hyperlink r:id="rId14" w:history="1">
        <w:r w:rsidRPr="0094221E">
          <w:t>http://www.ag.gov.au/cca</w:t>
        </w:r>
      </w:hyperlink>
    </w:p>
    <w:p w:rsidR="004D2889" w:rsidRPr="00CF0CE7" w:rsidRDefault="004D2889">
      <w:pPr>
        <w:pStyle w:val="BoxText"/>
        <w:spacing w:before="400"/>
        <w:ind w:right="1134"/>
      </w:pPr>
      <w:r w:rsidRPr="00CF0CE7">
        <w:t xml:space="preserve">Published by the Australian Agency for International Development (AusAID), Canberra, </w:t>
      </w:r>
      <w:r>
        <w:t>January 2010</w:t>
      </w:r>
      <w:r w:rsidRPr="00CF0CE7">
        <w:t>.</w:t>
      </w:r>
    </w:p>
    <w:p w:rsidR="004D2889" w:rsidRPr="00F0526B" w:rsidRDefault="004D2889">
      <w:pPr>
        <w:pStyle w:val="BoxText"/>
        <w:ind w:right="1134"/>
      </w:pPr>
      <w:r w:rsidRPr="00F0526B">
        <w:t xml:space="preserve">This document is online at </w:t>
      </w:r>
      <w:hyperlink r:id="rId15" w:history="1">
        <w:r w:rsidRPr="00F0526B">
          <w:t>www.ausaid.gov.au/publications</w:t>
        </w:r>
      </w:hyperlink>
    </w:p>
    <w:p w:rsidR="004D2889" w:rsidRPr="00F0526B" w:rsidRDefault="004D2889" w:rsidP="00B77AB5">
      <w:pPr>
        <w:pStyle w:val="BoxText"/>
        <w:spacing w:before="400"/>
        <w:ind w:right="2415"/>
      </w:pPr>
      <w:r w:rsidRPr="00F0526B">
        <w:t xml:space="preserve">For </w:t>
      </w:r>
      <w:r>
        <w:t>furthe</w:t>
      </w:r>
      <w:r w:rsidRPr="00A045A2">
        <w:t>r information about the Austra</w:t>
      </w:r>
      <w:r>
        <w:t>lian Government’s international </w:t>
      </w:r>
      <w:r w:rsidRPr="00A045A2">
        <w:t xml:space="preserve">development program, </w:t>
      </w:r>
      <w:r w:rsidRPr="00F0526B">
        <w:t>contact:</w:t>
      </w:r>
    </w:p>
    <w:p w:rsidR="004D2889" w:rsidRPr="00F0526B" w:rsidRDefault="004D2889">
      <w:pPr>
        <w:pStyle w:val="BoxText"/>
        <w:spacing w:after="0"/>
        <w:ind w:right="1134"/>
      </w:pPr>
      <w:r>
        <w:t>Communications Section</w:t>
      </w:r>
    </w:p>
    <w:p w:rsidR="004D2889" w:rsidRPr="00F0526B" w:rsidRDefault="004D2889">
      <w:pPr>
        <w:pStyle w:val="BoxText"/>
        <w:spacing w:before="0" w:after="0"/>
        <w:ind w:right="1134"/>
      </w:pPr>
      <w:r w:rsidRPr="00F0526B">
        <w:t>AusAID</w:t>
      </w:r>
    </w:p>
    <w:p w:rsidR="004D2889" w:rsidRPr="00F0526B" w:rsidRDefault="004D2889">
      <w:pPr>
        <w:pStyle w:val="BoxText"/>
        <w:spacing w:before="0" w:after="0"/>
        <w:ind w:right="1134"/>
      </w:pPr>
      <w:r w:rsidRPr="00F0526B">
        <w:t>GPO Box 887</w:t>
      </w:r>
    </w:p>
    <w:p w:rsidR="004D2889" w:rsidRPr="00F0526B" w:rsidRDefault="004D2889">
      <w:pPr>
        <w:pStyle w:val="BoxText"/>
        <w:spacing w:before="0"/>
        <w:ind w:right="1134"/>
      </w:pPr>
      <w:r w:rsidRPr="00F0526B">
        <w:t>Canberra ACT 2601</w:t>
      </w:r>
    </w:p>
    <w:p w:rsidR="004D2889" w:rsidRPr="00F0526B" w:rsidRDefault="004D2889">
      <w:pPr>
        <w:pStyle w:val="BoxText"/>
        <w:spacing w:after="0"/>
        <w:ind w:right="1134"/>
      </w:pPr>
      <w:r w:rsidRPr="00F0526B">
        <w:t>Phone</w:t>
      </w:r>
      <w:r w:rsidRPr="00F0526B">
        <w:rPr>
          <w:rFonts w:ascii="Arial Unicode MS" w:eastAsia="Arial Unicode MS" w:hAnsi="Arial Unicode MS" w:cs="Arial Unicode MS" w:hint="eastAsia"/>
        </w:rPr>
        <w:t> </w:t>
      </w:r>
      <w:r w:rsidRPr="00F0526B">
        <w:t xml:space="preserve">(02) 6206 </w:t>
      </w:r>
      <w:r>
        <w:t>4000</w:t>
      </w:r>
    </w:p>
    <w:p w:rsidR="004D2889" w:rsidRPr="00F0526B" w:rsidRDefault="004D2889">
      <w:pPr>
        <w:pStyle w:val="BoxText"/>
        <w:spacing w:before="0" w:after="0"/>
        <w:ind w:right="1134"/>
      </w:pPr>
      <w:r w:rsidRPr="00F0526B">
        <w:t>Facsimile</w:t>
      </w:r>
      <w:r w:rsidRPr="00F0526B">
        <w:rPr>
          <w:rFonts w:ascii="Arial Unicode MS" w:eastAsia="Arial Unicode MS" w:hAnsi="Arial Unicode MS" w:cs="Arial Unicode MS" w:hint="eastAsia"/>
        </w:rPr>
        <w:t> </w:t>
      </w:r>
      <w:r w:rsidRPr="00F0526B">
        <w:t xml:space="preserve">(02) 6206 </w:t>
      </w:r>
      <w:r>
        <w:t>4880</w:t>
      </w:r>
    </w:p>
    <w:p w:rsidR="004D2889" w:rsidRDefault="000C5DE1">
      <w:pPr>
        <w:pStyle w:val="BoxText"/>
        <w:spacing w:before="0"/>
        <w:ind w:right="1134"/>
      </w:pPr>
      <w:r>
        <w:rPr>
          <w:noProof/>
          <w:lang w:val="en-US" w:eastAsia="en-US"/>
        </w:rPr>
        <mc:AlternateContent>
          <mc:Choice Requires="wps">
            <w:drawing>
              <wp:anchor distT="0" distB="0" distL="114300" distR="114300" simplePos="0" relativeHeight="251661824" behindDoc="0" locked="0" layoutInCell="1" allowOverlap="1">
                <wp:simplePos x="0" y="0"/>
                <wp:positionH relativeFrom="page">
                  <wp:posOffset>-3175</wp:posOffset>
                </wp:positionH>
                <wp:positionV relativeFrom="paragraph">
                  <wp:posOffset>2078990</wp:posOffset>
                </wp:positionV>
                <wp:extent cx="7560310" cy="385445"/>
                <wp:effectExtent l="0" t="0" r="0" b="0"/>
                <wp:wrapNone/>
                <wp:docPr id="17" name="Rectangle 5" desc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85D02" id="Rectangle 5" o:spid="_x0000_s1026" alt="." style="position:absolute;left:0;text-align:left;margin-left:-.25pt;margin-top:163.7pt;width:595.3pt;height:30.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f0gwIAAAYFAAAOAAAAZHJzL2Uyb0RvYy54bWysVFFv0zAQfkfiP1h+b5N0SdtES6etpQhp&#10;wMTgB7i201g4trHdpgPx3zk7bemAB4TIg+Pzne++u/vO1zeHTqI9t05oVeNsnGLEFdVMqG2NP31c&#10;j+YYOU8UI1IrXuMn7vDN4uWL695UfKJbLRm3CJwoV/Wmxq33pkoSR1veETfWhitQNtp2xINotwmz&#10;pAfvnUwmaTpNem2ZsZpy5+B0NSjxIvpvGk79+6Zx3CNZY8Dm42rjuglrsrgm1dYS0wp6hEH+AUVH&#10;hIKgZ1cr4gnaWfGbq05Qq51u/JjqLtFNIyiPOUA2WfpLNo8tMTzmAsVx5lwm9//c0nf7B4sEg97N&#10;MFKkgx59gKoRtZUcFRgx7ijUaxwq1RtXwYVH82BDrs7ca/rZIaWXLdjzW2t133LCAF8W7JNnF4Lg&#10;4Cra9G81gzhk53Us2qGxXXAI5UCH2Junc2/4wSMKh7Niml5l0EIKuqt5kedFDEGq021jnX/NdYfC&#10;psYWsojeyf7e+YCGVCeTiF5LwdZCyijY7WYpLdoT4Mk6fkfv7tJMqmCsdLg2eBxOACTECLoAN/b9&#10;W5lN8vRuUo7W0/lslK/zYlTO0vkozcq7cprmZb5afw8As7xqBWNc3QvFTxzM8r/r8XEaBvZEFqK+&#10;xmUxKWLuz9C7yyTT+P0pyU54GEkpuhrPz0akCo19pRikTSpPhBz2yXP4scpQg9M/ViXSIHR+YNBG&#10;sydggdXQJOgnPB6wabX9ilEPg1hj92VHLMdIvlHApDLL8zC5UciL2QQEe6nZXGqIouCqxh6jYbv0&#10;w7TvjBXbFiJlsTBK3wL7GhGJEZg5oDpyFoYtZnB8GMI0X8rR6ufztfgBAAD//wMAUEsDBBQABgAI&#10;AAAAIQAqmvrb3wAAAAoBAAAPAAAAZHJzL2Rvd25yZXYueG1sTI/NTsMwEITvSLyDtUjcWjv9CWmI&#10;UyGknoADLRLXbbxNIuJ1iJ02vD3uCY6zM5r5tthOthNnGnzrWEMyVyCIK2darjV8HHazDIQPyAY7&#10;x6Thhzxsy9ubAnPjLvxO532oRSxhn6OGJoQ+l9JXDVn0c9cTR+/kBoshyqGWZsBLLLedXCiVSost&#10;x4UGe3puqPraj1YDpivz/XZavh5exhQ39aR260+l9f3d9PQIItAU/sJwxY/oUEamoxvZeNFpmK1j&#10;UMNy8bACcfWTjUpAHOMpyxKQZSH/v1D+AgAA//8DAFBLAQItABQABgAIAAAAIQC2gziS/gAAAOEB&#10;AAATAAAAAAAAAAAAAAAAAAAAAABbQ29udGVudF9UeXBlc10ueG1sUEsBAi0AFAAGAAgAAAAhADj9&#10;If/WAAAAlAEAAAsAAAAAAAAAAAAAAAAALwEAAF9yZWxzLy5yZWxzUEsBAi0AFAAGAAgAAAAhAMEQ&#10;t/SDAgAABgUAAA4AAAAAAAAAAAAAAAAALgIAAGRycy9lMm9Eb2MueG1sUEsBAi0AFAAGAAgAAAAh&#10;ACqa+tvfAAAACgEAAA8AAAAAAAAAAAAAAAAA3QQAAGRycy9kb3ducmV2LnhtbFBLBQYAAAAABAAE&#10;APMAAADpBQAAAAA=&#10;" stroked="f">
                <w10:wrap anchorx="page"/>
              </v:rect>
            </w:pict>
          </mc:Fallback>
        </mc:AlternateContent>
      </w:r>
      <w:r w:rsidR="004D2889" w:rsidRPr="00F0526B">
        <w:t>Internet</w:t>
      </w:r>
      <w:r w:rsidR="004D2889" w:rsidRPr="00F0526B">
        <w:rPr>
          <w:rFonts w:ascii="Arial Unicode MS" w:eastAsia="Arial Unicode MS" w:hAnsi="Arial Unicode MS" w:cs="Arial Unicode MS" w:hint="eastAsia"/>
        </w:rPr>
        <w:t> </w:t>
      </w:r>
      <w:hyperlink r:id="rId16" w:history="1">
        <w:r w:rsidR="004D2889" w:rsidRPr="00F0526B">
          <w:t>www.</w:t>
        </w:r>
        <w:bookmarkStart w:id="0" w:name="_Hlt536343294"/>
        <w:r w:rsidR="004D2889" w:rsidRPr="00F0526B">
          <w:t>a</w:t>
        </w:r>
        <w:bookmarkEnd w:id="0"/>
        <w:r w:rsidR="004D2889" w:rsidRPr="00F0526B">
          <w:t>u</w:t>
        </w:r>
        <w:bookmarkStart w:id="1" w:name="_Hlt536343388"/>
        <w:r w:rsidR="004D2889" w:rsidRPr="00F0526B">
          <w:t>s</w:t>
        </w:r>
        <w:bookmarkStart w:id="2" w:name="_Hlt536343250"/>
        <w:bookmarkEnd w:id="1"/>
        <w:r w:rsidR="004D2889" w:rsidRPr="00F0526B">
          <w:t>a</w:t>
        </w:r>
        <w:bookmarkStart w:id="3" w:name="_Hlt536343212"/>
        <w:bookmarkEnd w:id="2"/>
        <w:r w:rsidR="004D2889" w:rsidRPr="00F0526B">
          <w:t>i</w:t>
        </w:r>
        <w:bookmarkStart w:id="4" w:name="_Hlt536343325"/>
        <w:bookmarkEnd w:id="3"/>
        <w:r w:rsidR="004D2889" w:rsidRPr="00F0526B">
          <w:t>d</w:t>
        </w:r>
        <w:bookmarkEnd w:id="4"/>
        <w:r w:rsidR="004D2889" w:rsidRPr="00F0526B">
          <w:t>.go</w:t>
        </w:r>
        <w:bookmarkStart w:id="5" w:name="_Hlt86200017"/>
        <w:r w:rsidR="004D2889" w:rsidRPr="00F0526B">
          <w:t>v</w:t>
        </w:r>
        <w:bookmarkEnd w:id="5"/>
        <w:r w:rsidR="004D2889" w:rsidRPr="00F0526B">
          <w:t>.au</w:t>
        </w:r>
      </w:hyperlink>
    </w:p>
    <w:p w:rsidR="004D2889" w:rsidRDefault="004D2889">
      <w:pPr>
        <w:pStyle w:val="Title"/>
        <w:sectPr w:rsidR="004D2889">
          <w:headerReference w:type="even" r:id="rId17"/>
          <w:footerReference w:type="even" r:id="rId18"/>
          <w:pgSz w:w="11907" w:h="16840" w:code="9"/>
          <w:pgMar w:top="2381" w:right="2268" w:bottom="851" w:left="1701" w:header="851" w:footer="340" w:gutter="0"/>
          <w:cols w:space="720"/>
        </w:sectPr>
      </w:pPr>
    </w:p>
    <w:p w:rsidR="004D2889" w:rsidRPr="00AB4853" w:rsidRDefault="000C5DE1" w:rsidP="00AB4853">
      <w:pPr>
        <w:pStyle w:val="H1"/>
      </w:pPr>
      <w:r>
        <w:lastRenderedPageBreak/>
        <w:drawing>
          <wp:anchor distT="0" distB="0" distL="114300" distR="114300" simplePos="0" relativeHeight="251652608"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6" name="Picture 1234"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descr="AusAID graphics pacific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889" w:rsidRPr="00AB4853">
        <w:t>Contents</w:t>
      </w:r>
    </w:p>
    <w:p w:rsidR="004D2889" w:rsidRDefault="004D2889">
      <w:pPr>
        <w:pStyle w:val="TOC1"/>
        <w:rPr>
          <w:rFonts w:ascii="Times New Roman" w:hAnsi="Times New Roman"/>
          <w:noProof/>
          <w:color w:val="auto"/>
          <w:lang w:val="en-US" w:eastAsia="en-US"/>
        </w:rPr>
      </w:pPr>
      <w:r>
        <w:fldChar w:fldCharType="begin"/>
      </w:r>
      <w:r>
        <w:instrText xml:space="preserve"> TOC \o "1-2" \t </w:instrText>
      </w:r>
      <w:r>
        <w:fldChar w:fldCharType="separate"/>
      </w:r>
      <w:r>
        <w:rPr>
          <w:noProof/>
        </w:rPr>
        <w:t>Abbreviations</w:t>
      </w:r>
      <w:r>
        <w:rPr>
          <w:noProof/>
        </w:rPr>
        <w:tab/>
      </w:r>
      <w:r>
        <w:rPr>
          <w:noProof/>
        </w:rPr>
        <w:fldChar w:fldCharType="begin"/>
      </w:r>
      <w:r>
        <w:rPr>
          <w:noProof/>
        </w:rPr>
        <w:instrText xml:space="preserve"> PAGEREF _Toc250710270 \h </w:instrText>
      </w:r>
      <w:r>
        <w:rPr>
          <w:noProof/>
        </w:rPr>
      </w:r>
      <w:r>
        <w:rPr>
          <w:noProof/>
        </w:rPr>
        <w:fldChar w:fldCharType="separate"/>
      </w:r>
      <w:r>
        <w:rPr>
          <w:noProof/>
        </w:rPr>
        <w:t>4</w:t>
      </w:r>
      <w:r>
        <w:rPr>
          <w:noProof/>
        </w:rPr>
        <w:fldChar w:fldCharType="end"/>
      </w:r>
    </w:p>
    <w:p w:rsidR="004D2889" w:rsidRDefault="004D2889">
      <w:pPr>
        <w:pStyle w:val="TOC1"/>
        <w:rPr>
          <w:rFonts w:ascii="Times New Roman" w:hAnsi="Times New Roman"/>
          <w:noProof/>
          <w:color w:val="auto"/>
          <w:lang w:val="en-US" w:eastAsia="en-US"/>
        </w:rPr>
      </w:pPr>
      <w:r>
        <w:rPr>
          <w:noProof/>
        </w:rPr>
        <w:t>Summary</w:t>
      </w:r>
      <w:r>
        <w:rPr>
          <w:noProof/>
        </w:rPr>
        <w:tab/>
      </w:r>
      <w:r>
        <w:rPr>
          <w:noProof/>
        </w:rPr>
        <w:fldChar w:fldCharType="begin"/>
      </w:r>
      <w:r>
        <w:rPr>
          <w:noProof/>
        </w:rPr>
        <w:instrText xml:space="preserve"> PAGEREF _Toc250710271 \h </w:instrText>
      </w:r>
      <w:r>
        <w:rPr>
          <w:noProof/>
        </w:rPr>
      </w:r>
      <w:r>
        <w:rPr>
          <w:noProof/>
        </w:rPr>
        <w:fldChar w:fldCharType="separate"/>
      </w:r>
      <w:r>
        <w:rPr>
          <w:noProof/>
        </w:rPr>
        <w:t>5</w:t>
      </w:r>
      <w:r>
        <w:rPr>
          <w:noProof/>
        </w:rPr>
        <w:fldChar w:fldCharType="end"/>
      </w:r>
    </w:p>
    <w:p w:rsidR="004D2889" w:rsidRDefault="004D2889">
      <w:pPr>
        <w:pStyle w:val="TOC1"/>
        <w:rPr>
          <w:rFonts w:ascii="Times New Roman" w:hAnsi="Times New Roman"/>
          <w:noProof/>
          <w:color w:val="auto"/>
          <w:lang w:val="en-US" w:eastAsia="en-US"/>
        </w:rPr>
      </w:pPr>
      <w:r>
        <w:rPr>
          <w:noProof/>
        </w:rPr>
        <w:t>Country performance</w:t>
      </w:r>
      <w:r>
        <w:rPr>
          <w:noProof/>
        </w:rPr>
        <w:tab/>
      </w:r>
      <w:r>
        <w:rPr>
          <w:noProof/>
        </w:rPr>
        <w:fldChar w:fldCharType="begin"/>
      </w:r>
      <w:r>
        <w:rPr>
          <w:noProof/>
        </w:rPr>
        <w:instrText xml:space="preserve"> PAGEREF _Toc250710277 \h </w:instrText>
      </w:r>
      <w:r>
        <w:rPr>
          <w:noProof/>
        </w:rPr>
      </w:r>
      <w:r>
        <w:rPr>
          <w:noProof/>
        </w:rPr>
        <w:fldChar w:fldCharType="separate"/>
      </w:r>
      <w:r>
        <w:rPr>
          <w:noProof/>
        </w:rPr>
        <w:t>10</w:t>
      </w:r>
      <w:r>
        <w:rPr>
          <w:noProof/>
        </w:rPr>
        <w:fldChar w:fldCharType="end"/>
      </w:r>
    </w:p>
    <w:p w:rsidR="004D2889" w:rsidRDefault="004D2889">
      <w:pPr>
        <w:pStyle w:val="TOC1"/>
        <w:rPr>
          <w:rFonts w:ascii="Times New Roman" w:hAnsi="Times New Roman"/>
          <w:noProof/>
          <w:color w:val="auto"/>
          <w:lang w:val="en-US" w:eastAsia="en-US"/>
        </w:rPr>
      </w:pPr>
      <w:r>
        <w:rPr>
          <w:noProof/>
        </w:rPr>
        <w:t>What are the results of the Tonga program of support?</w:t>
      </w:r>
      <w:r>
        <w:rPr>
          <w:noProof/>
        </w:rPr>
        <w:tab/>
      </w:r>
      <w:r>
        <w:rPr>
          <w:noProof/>
        </w:rPr>
        <w:fldChar w:fldCharType="begin"/>
      </w:r>
      <w:r>
        <w:rPr>
          <w:noProof/>
        </w:rPr>
        <w:instrText xml:space="preserve"> PAGEREF _Toc250710278 \h </w:instrText>
      </w:r>
      <w:r>
        <w:rPr>
          <w:noProof/>
        </w:rPr>
      </w:r>
      <w:r>
        <w:rPr>
          <w:noProof/>
        </w:rPr>
        <w:fldChar w:fldCharType="separate"/>
      </w:r>
      <w:r>
        <w:rPr>
          <w:noProof/>
        </w:rPr>
        <w:t>14</w:t>
      </w:r>
      <w:r>
        <w:rPr>
          <w:noProof/>
        </w:rPr>
        <w:fldChar w:fldCharType="end"/>
      </w:r>
    </w:p>
    <w:p w:rsidR="004D2889" w:rsidRDefault="004D2889">
      <w:pPr>
        <w:pStyle w:val="TOC2"/>
        <w:rPr>
          <w:rFonts w:ascii="Times New Roman" w:hAnsi="Times New Roman"/>
          <w:noProof/>
          <w:color w:val="auto"/>
          <w:sz w:val="24"/>
          <w:szCs w:val="24"/>
          <w:lang w:val="en-US" w:eastAsia="en-US"/>
        </w:rPr>
      </w:pPr>
      <w:r>
        <w:rPr>
          <w:noProof/>
        </w:rPr>
        <w:t>Objective 1: Strengthening governance and accountability through the strengthening of key institutions</w:t>
      </w:r>
      <w:r>
        <w:rPr>
          <w:noProof/>
        </w:rPr>
        <w:tab/>
      </w:r>
      <w:r>
        <w:rPr>
          <w:noProof/>
        </w:rPr>
        <w:fldChar w:fldCharType="begin"/>
      </w:r>
      <w:r>
        <w:rPr>
          <w:noProof/>
        </w:rPr>
        <w:instrText xml:space="preserve"> PAGEREF _Toc250710279 \h </w:instrText>
      </w:r>
      <w:r>
        <w:rPr>
          <w:noProof/>
        </w:rPr>
      </w:r>
      <w:r>
        <w:rPr>
          <w:noProof/>
        </w:rPr>
        <w:fldChar w:fldCharType="separate"/>
      </w:r>
      <w:r>
        <w:rPr>
          <w:noProof/>
        </w:rPr>
        <w:t>14</w:t>
      </w:r>
      <w:r>
        <w:rPr>
          <w:noProof/>
        </w:rPr>
        <w:fldChar w:fldCharType="end"/>
      </w:r>
    </w:p>
    <w:p w:rsidR="004D2889" w:rsidRDefault="004D2889">
      <w:pPr>
        <w:pStyle w:val="TOC2"/>
        <w:rPr>
          <w:rFonts w:ascii="Times New Roman" w:hAnsi="Times New Roman"/>
          <w:noProof/>
          <w:color w:val="auto"/>
          <w:sz w:val="24"/>
          <w:szCs w:val="24"/>
          <w:lang w:val="en-US" w:eastAsia="en-US"/>
        </w:rPr>
      </w:pPr>
      <w:r>
        <w:rPr>
          <w:noProof/>
        </w:rPr>
        <w:t>Objective 2: Accelerating broad-based economic growth, including for women and youth, and isolated communities</w:t>
      </w:r>
      <w:r>
        <w:rPr>
          <w:noProof/>
        </w:rPr>
        <w:tab/>
      </w:r>
      <w:r>
        <w:rPr>
          <w:noProof/>
        </w:rPr>
        <w:fldChar w:fldCharType="begin"/>
      </w:r>
      <w:r>
        <w:rPr>
          <w:noProof/>
        </w:rPr>
        <w:instrText xml:space="preserve"> PAGEREF _Toc250710280 \h </w:instrText>
      </w:r>
      <w:r>
        <w:rPr>
          <w:noProof/>
        </w:rPr>
      </w:r>
      <w:r>
        <w:rPr>
          <w:noProof/>
        </w:rPr>
        <w:fldChar w:fldCharType="separate"/>
      </w:r>
      <w:r>
        <w:rPr>
          <w:noProof/>
        </w:rPr>
        <w:t>18</w:t>
      </w:r>
      <w:r>
        <w:rPr>
          <w:noProof/>
        </w:rPr>
        <w:fldChar w:fldCharType="end"/>
      </w:r>
    </w:p>
    <w:p w:rsidR="004D2889" w:rsidRDefault="004D2889">
      <w:pPr>
        <w:pStyle w:val="TOC2"/>
        <w:rPr>
          <w:rFonts w:ascii="Times New Roman" w:hAnsi="Times New Roman"/>
          <w:noProof/>
          <w:color w:val="auto"/>
          <w:sz w:val="24"/>
          <w:szCs w:val="24"/>
          <w:lang w:val="en-US" w:eastAsia="en-US"/>
        </w:rPr>
      </w:pPr>
      <w:r>
        <w:rPr>
          <w:noProof/>
        </w:rPr>
        <w:t>Objective 3: Investing in people through improved service delivery, particularly in education, technical and vocational training, and basic health care</w:t>
      </w:r>
      <w:r>
        <w:rPr>
          <w:noProof/>
        </w:rPr>
        <w:tab/>
      </w:r>
      <w:r>
        <w:rPr>
          <w:noProof/>
        </w:rPr>
        <w:fldChar w:fldCharType="begin"/>
      </w:r>
      <w:r>
        <w:rPr>
          <w:noProof/>
        </w:rPr>
        <w:instrText xml:space="preserve"> PAGEREF _Toc250710281 \h </w:instrText>
      </w:r>
      <w:r>
        <w:rPr>
          <w:noProof/>
        </w:rPr>
      </w:r>
      <w:r>
        <w:rPr>
          <w:noProof/>
        </w:rPr>
        <w:fldChar w:fldCharType="separate"/>
      </w:r>
      <w:r>
        <w:rPr>
          <w:noProof/>
        </w:rPr>
        <w:t>20</w:t>
      </w:r>
      <w:r>
        <w:rPr>
          <w:noProof/>
        </w:rPr>
        <w:fldChar w:fldCharType="end"/>
      </w:r>
    </w:p>
    <w:p w:rsidR="004D2889" w:rsidRDefault="004D2889">
      <w:pPr>
        <w:pStyle w:val="TOC2"/>
        <w:rPr>
          <w:rFonts w:ascii="Times New Roman" w:hAnsi="Times New Roman"/>
          <w:noProof/>
          <w:color w:val="auto"/>
          <w:sz w:val="24"/>
          <w:szCs w:val="24"/>
          <w:lang w:val="en-US" w:eastAsia="en-US"/>
        </w:rPr>
      </w:pPr>
      <w:r>
        <w:rPr>
          <w:noProof/>
        </w:rPr>
        <w:t>Other regional activities</w:t>
      </w:r>
      <w:r>
        <w:rPr>
          <w:noProof/>
        </w:rPr>
        <w:tab/>
      </w:r>
      <w:r>
        <w:rPr>
          <w:noProof/>
        </w:rPr>
        <w:fldChar w:fldCharType="begin"/>
      </w:r>
      <w:r>
        <w:rPr>
          <w:noProof/>
        </w:rPr>
        <w:instrText xml:space="preserve"> PAGEREF _Toc250710282 \h </w:instrText>
      </w:r>
      <w:r>
        <w:rPr>
          <w:noProof/>
        </w:rPr>
      </w:r>
      <w:r>
        <w:rPr>
          <w:noProof/>
        </w:rPr>
        <w:fldChar w:fldCharType="separate"/>
      </w:r>
      <w:r>
        <w:rPr>
          <w:noProof/>
        </w:rPr>
        <w:t>25</w:t>
      </w:r>
      <w:r>
        <w:rPr>
          <w:noProof/>
        </w:rPr>
        <w:fldChar w:fldCharType="end"/>
      </w:r>
    </w:p>
    <w:p w:rsidR="004D2889" w:rsidRDefault="004D2889">
      <w:pPr>
        <w:pStyle w:val="TOC1"/>
        <w:rPr>
          <w:rFonts w:ascii="Times New Roman" w:hAnsi="Times New Roman"/>
          <w:noProof/>
          <w:color w:val="auto"/>
          <w:lang w:val="en-US" w:eastAsia="en-US"/>
        </w:rPr>
      </w:pPr>
      <w:r>
        <w:rPr>
          <w:noProof/>
        </w:rPr>
        <w:t>What is the quality of AusAID activities?</w:t>
      </w:r>
      <w:r>
        <w:rPr>
          <w:noProof/>
        </w:rPr>
        <w:tab/>
      </w:r>
      <w:r>
        <w:rPr>
          <w:noProof/>
        </w:rPr>
        <w:fldChar w:fldCharType="begin"/>
      </w:r>
      <w:r>
        <w:rPr>
          <w:noProof/>
        </w:rPr>
        <w:instrText xml:space="preserve"> PAGEREF _Toc250710283 \h </w:instrText>
      </w:r>
      <w:r>
        <w:rPr>
          <w:noProof/>
        </w:rPr>
      </w:r>
      <w:r>
        <w:rPr>
          <w:noProof/>
        </w:rPr>
        <w:fldChar w:fldCharType="separate"/>
      </w:r>
      <w:r>
        <w:rPr>
          <w:noProof/>
        </w:rPr>
        <w:t>26</w:t>
      </w:r>
      <w:r>
        <w:rPr>
          <w:noProof/>
        </w:rPr>
        <w:fldChar w:fldCharType="end"/>
      </w:r>
    </w:p>
    <w:p w:rsidR="004D2889" w:rsidRDefault="004D2889">
      <w:pPr>
        <w:pStyle w:val="TOC2"/>
        <w:rPr>
          <w:rFonts w:ascii="Times New Roman" w:hAnsi="Times New Roman"/>
          <w:noProof/>
          <w:color w:val="auto"/>
          <w:sz w:val="24"/>
          <w:szCs w:val="24"/>
          <w:lang w:val="en-US" w:eastAsia="en-US"/>
        </w:rPr>
      </w:pPr>
      <w:r>
        <w:rPr>
          <w:noProof/>
        </w:rPr>
        <w:t>Overview</w:t>
      </w:r>
      <w:r>
        <w:rPr>
          <w:noProof/>
        </w:rPr>
        <w:tab/>
      </w:r>
      <w:r>
        <w:rPr>
          <w:noProof/>
        </w:rPr>
        <w:fldChar w:fldCharType="begin"/>
      </w:r>
      <w:r>
        <w:rPr>
          <w:noProof/>
        </w:rPr>
        <w:instrText xml:space="preserve"> PAGEREF _Toc250710284 \h </w:instrText>
      </w:r>
      <w:r>
        <w:rPr>
          <w:noProof/>
        </w:rPr>
      </w:r>
      <w:r>
        <w:rPr>
          <w:noProof/>
        </w:rPr>
        <w:fldChar w:fldCharType="separate"/>
      </w:r>
      <w:r>
        <w:rPr>
          <w:noProof/>
        </w:rPr>
        <w:t>26</w:t>
      </w:r>
      <w:r>
        <w:rPr>
          <w:noProof/>
        </w:rPr>
        <w:fldChar w:fldCharType="end"/>
      </w:r>
    </w:p>
    <w:p w:rsidR="004D2889" w:rsidRDefault="004D2889">
      <w:pPr>
        <w:pStyle w:val="TOC2"/>
        <w:rPr>
          <w:rFonts w:ascii="Times New Roman" w:hAnsi="Times New Roman"/>
          <w:noProof/>
          <w:color w:val="auto"/>
          <w:sz w:val="24"/>
          <w:szCs w:val="24"/>
          <w:lang w:val="en-US" w:eastAsia="en-US"/>
        </w:rPr>
      </w:pPr>
      <w:r>
        <w:rPr>
          <w:noProof/>
        </w:rPr>
        <w:t>Monitoring and evaluation</w:t>
      </w:r>
      <w:r>
        <w:rPr>
          <w:noProof/>
        </w:rPr>
        <w:tab/>
      </w:r>
      <w:r>
        <w:rPr>
          <w:noProof/>
        </w:rPr>
        <w:fldChar w:fldCharType="begin"/>
      </w:r>
      <w:r>
        <w:rPr>
          <w:noProof/>
        </w:rPr>
        <w:instrText xml:space="preserve"> PAGEREF _Toc250710285 \h </w:instrText>
      </w:r>
      <w:r>
        <w:rPr>
          <w:noProof/>
        </w:rPr>
      </w:r>
      <w:r>
        <w:rPr>
          <w:noProof/>
        </w:rPr>
        <w:fldChar w:fldCharType="separate"/>
      </w:r>
      <w:r>
        <w:rPr>
          <w:noProof/>
        </w:rPr>
        <w:t>27</w:t>
      </w:r>
      <w:r>
        <w:rPr>
          <w:noProof/>
        </w:rPr>
        <w:fldChar w:fldCharType="end"/>
      </w:r>
    </w:p>
    <w:p w:rsidR="004D2889" w:rsidRDefault="004D2889">
      <w:pPr>
        <w:pStyle w:val="TOC2"/>
        <w:rPr>
          <w:rFonts w:ascii="Times New Roman" w:hAnsi="Times New Roman"/>
          <w:noProof/>
          <w:color w:val="auto"/>
          <w:sz w:val="24"/>
          <w:szCs w:val="24"/>
          <w:lang w:val="en-US" w:eastAsia="en-US"/>
        </w:rPr>
      </w:pPr>
      <w:r>
        <w:rPr>
          <w:noProof/>
        </w:rPr>
        <w:t>Sustainability</w:t>
      </w:r>
      <w:r>
        <w:rPr>
          <w:noProof/>
        </w:rPr>
        <w:tab/>
      </w:r>
      <w:r>
        <w:rPr>
          <w:noProof/>
        </w:rPr>
        <w:fldChar w:fldCharType="begin"/>
      </w:r>
      <w:r>
        <w:rPr>
          <w:noProof/>
        </w:rPr>
        <w:instrText xml:space="preserve"> PAGEREF _Toc250710286 \h </w:instrText>
      </w:r>
      <w:r>
        <w:rPr>
          <w:noProof/>
        </w:rPr>
      </w:r>
      <w:r>
        <w:rPr>
          <w:noProof/>
        </w:rPr>
        <w:fldChar w:fldCharType="separate"/>
      </w:r>
      <w:r>
        <w:rPr>
          <w:noProof/>
        </w:rPr>
        <w:t>27</w:t>
      </w:r>
      <w:r>
        <w:rPr>
          <w:noProof/>
        </w:rPr>
        <w:fldChar w:fldCharType="end"/>
      </w:r>
    </w:p>
    <w:p w:rsidR="004D2889" w:rsidRDefault="004D2889">
      <w:pPr>
        <w:pStyle w:val="TOC2"/>
        <w:rPr>
          <w:rFonts w:ascii="Times New Roman" w:hAnsi="Times New Roman"/>
          <w:noProof/>
          <w:color w:val="auto"/>
          <w:sz w:val="24"/>
          <w:szCs w:val="24"/>
          <w:lang w:val="en-US" w:eastAsia="en-US"/>
        </w:rPr>
      </w:pPr>
      <w:r>
        <w:rPr>
          <w:noProof/>
        </w:rPr>
        <w:t>Donor harmonisation and the Paris agenda</w:t>
      </w:r>
      <w:r>
        <w:rPr>
          <w:noProof/>
        </w:rPr>
        <w:tab/>
      </w:r>
      <w:r>
        <w:rPr>
          <w:noProof/>
        </w:rPr>
        <w:fldChar w:fldCharType="begin"/>
      </w:r>
      <w:r>
        <w:rPr>
          <w:noProof/>
        </w:rPr>
        <w:instrText xml:space="preserve"> PAGEREF _Toc250710287 \h </w:instrText>
      </w:r>
      <w:r>
        <w:rPr>
          <w:noProof/>
        </w:rPr>
      </w:r>
      <w:r>
        <w:rPr>
          <w:noProof/>
        </w:rPr>
        <w:fldChar w:fldCharType="separate"/>
      </w:r>
      <w:r>
        <w:rPr>
          <w:noProof/>
        </w:rPr>
        <w:t>28</w:t>
      </w:r>
      <w:r>
        <w:rPr>
          <w:noProof/>
        </w:rPr>
        <w:fldChar w:fldCharType="end"/>
      </w:r>
    </w:p>
    <w:p w:rsidR="004D2889" w:rsidRDefault="004D2889">
      <w:pPr>
        <w:pStyle w:val="TOC1"/>
        <w:rPr>
          <w:rFonts w:ascii="Times New Roman" w:hAnsi="Times New Roman"/>
          <w:noProof/>
          <w:color w:val="auto"/>
          <w:lang w:val="en-US" w:eastAsia="en-US"/>
        </w:rPr>
      </w:pPr>
      <w:r>
        <w:rPr>
          <w:noProof/>
        </w:rPr>
        <w:t>What management actions are required based on this assessment?</w:t>
      </w:r>
      <w:r>
        <w:rPr>
          <w:noProof/>
        </w:rPr>
        <w:tab/>
      </w:r>
      <w:r>
        <w:rPr>
          <w:noProof/>
        </w:rPr>
        <w:fldChar w:fldCharType="begin"/>
      </w:r>
      <w:r>
        <w:rPr>
          <w:noProof/>
        </w:rPr>
        <w:instrText xml:space="preserve"> PAGEREF _Toc250710288 \h </w:instrText>
      </w:r>
      <w:r>
        <w:rPr>
          <w:noProof/>
        </w:rPr>
      </w:r>
      <w:r>
        <w:rPr>
          <w:noProof/>
        </w:rPr>
        <w:fldChar w:fldCharType="separate"/>
      </w:r>
      <w:r>
        <w:rPr>
          <w:noProof/>
        </w:rPr>
        <w:t>29</w:t>
      </w:r>
      <w:r>
        <w:rPr>
          <w:noProof/>
        </w:rPr>
        <w:fldChar w:fldCharType="end"/>
      </w:r>
    </w:p>
    <w:p w:rsidR="004D2889" w:rsidRDefault="004D2889">
      <w:pPr>
        <w:pStyle w:val="TOC2"/>
        <w:rPr>
          <w:rFonts w:ascii="Times New Roman" w:hAnsi="Times New Roman"/>
          <w:noProof/>
          <w:color w:val="auto"/>
          <w:sz w:val="24"/>
          <w:szCs w:val="24"/>
          <w:lang w:val="en-US" w:eastAsia="en-US"/>
        </w:rPr>
      </w:pPr>
      <w:r>
        <w:rPr>
          <w:noProof/>
        </w:rPr>
        <w:t>Focus of the Partnership for Development</w:t>
      </w:r>
      <w:r>
        <w:rPr>
          <w:noProof/>
        </w:rPr>
        <w:tab/>
      </w:r>
      <w:r>
        <w:rPr>
          <w:noProof/>
        </w:rPr>
        <w:fldChar w:fldCharType="begin"/>
      </w:r>
      <w:r>
        <w:rPr>
          <w:noProof/>
        </w:rPr>
        <w:instrText xml:space="preserve"> PAGEREF _Toc250710289 \h </w:instrText>
      </w:r>
      <w:r>
        <w:rPr>
          <w:noProof/>
        </w:rPr>
      </w:r>
      <w:r>
        <w:rPr>
          <w:noProof/>
        </w:rPr>
        <w:fldChar w:fldCharType="separate"/>
      </w:r>
      <w:r>
        <w:rPr>
          <w:noProof/>
        </w:rPr>
        <w:t>29</w:t>
      </w:r>
      <w:r>
        <w:rPr>
          <w:noProof/>
        </w:rPr>
        <w:fldChar w:fldCharType="end"/>
      </w:r>
    </w:p>
    <w:p w:rsidR="004D2889" w:rsidRDefault="004D2889">
      <w:pPr>
        <w:pStyle w:val="TOC2"/>
        <w:rPr>
          <w:rFonts w:ascii="Times New Roman" w:hAnsi="Times New Roman"/>
          <w:noProof/>
          <w:color w:val="auto"/>
          <w:sz w:val="24"/>
          <w:szCs w:val="24"/>
          <w:lang w:val="en-US" w:eastAsia="en-US"/>
        </w:rPr>
      </w:pPr>
      <w:r>
        <w:rPr>
          <w:noProof/>
        </w:rPr>
        <w:t>Suitability of the activities to meet the objectives of the agreed priority areas in the Partnership for Development</w:t>
      </w:r>
      <w:r>
        <w:rPr>
          <w:noProof/>
        </w:rPr>
        <w:tab/>
      </w:r>
      <w:r>
        <w:rPr>
          <w:noProof/>
        </w:rPr>
        <w:fldChar w:fldCharType="begin"/>
      </w:r>
      <w:r>
        <w:rPr>
          <w:noProof/>
        </w:rPr>
        <w:instrText xml:space="preserve"> PAGEREF _Toc250710290 \h </w:instrText>
      </w:r>
      <w:r>
        <w:rPr>
          <w:noProof/>
        </w:rPr>
      </w:r>
      <w:r>
        <w:rPr>
          <w:noProof/>
        </w:rPr>
        <w:fldChar w:fldCharType="separate"/>
      </w:r>
      <w:r>
        <w:rPr>
          <w:noProof/>
        </w:rPr>
        <w:t>29</w:t>
      </w:r>
      <w:r>
        <w:rPr>
          <w:noProof/>
        </w:rPr>
        <w:fldChar w:fldCharType="end"/>
      </w:r>
    </w:p>
    <w:p w:rsidR="004D2889" w:rsidRDefault="004D2889">
      <w:pPr>
        <w:pStyle w:val="TOC2"/>
        <w:rPr>
          <w:rFonts w:ascii="Times New Roman" w:hAnsi="Times New Roman"/>
          <w:noProof/>
          <w:color w:val="auto"/>
          <w:sz w:val="24"/>
          <w:szCs w:val="24"/>
          <w:lang w:val="en-US" w:eastAsia="en-US"/>
        </w:rPr>
      </w:pPr>
      <w:r>
        <w:rPr>
          <w:noProof/>
        </w:rPr>
        <w:t>Forms of aid</w:t>
      </w:r>
      <w:r>
        <w:rPr>
          <w:noProof/>
        </w:rPr>
        <w:tab/>
      </w:r>
      <w:r>
        <w:rPr>
          <w:noProof/>
        </w:rPr>
        <w:fldChar w:fldCharType="begin"/>
      </w:r>
      <w:r>
        <w:rPr>
          <w:noProof/>
        </w:rPr>
        <w:instrText xml:space="preserve"> PAGEREF _Toc250710291 \h </w:instrText>
      </w:r>
      <w:r>
        <w:rPr>
          <w:noProof/>
        </w:rPr>
      </w:r>
      <w:r>
        <w:rPr>
          <w:noProof/>
        </w:rPr>
        <w:fldChar w:fldCharType="separate"/>
      </w:r>
      <w:r>
        <w:rPr>
          <w:noProof/>
        </w:rPr>
        <w:t>30</w:t>
      </w:r>
      <w:r>
        <w:rPr>
          <w:noProof/>
        </w:rPr>
        <w:fldChar w:fldCharType="end"/>
      </w:r>
    </w:p>
    <w:p w:rsidR="004D2889" w:rsidRDefault="004D2889">
      <w:pPr>
        <w:pStyle w:val="TOC2"/>
        <w:rPr>
          <w:rFonts w:ascii="Times New Roman" w:hAnsi="Times New Roman"/>
          <w:noProof/>
          <w:color w:val="auto"/>
          <w:sz w:val="24"/>
          <w:szCs w:val="24"/>
          <w:lang w:val="en-US" w:eastAsia="en-US"/>
        </w:rPr>
      </w:pPr>
      <w:r>
        <w:rPr>
          <w:noProof/>
        </w:rPr>
        <w:t>Scaling up support</w:t>
      </w:r>
      <w:r>
        <w:rPr>
          <w:noProof/>
        </w:rPr>
        <w:tab/>
      </w:r>
      <w:r>
        <w:rPr>
          <w:noProof/>
        </w:rPr>
        <w:fldChar w:fldCharType="begin"/>
      </w:r>
      <w:r>
        <w:rPr>
          <w:noProof/>
        </w:rPr>
        <w:instrText xml:space="preserve"> PAGEREF _Toc250710292 \h </w:instrText>
      </w:r>
      <w:r>
        <w:rPr>
          <w:noProof/>
        </w:rPr>
      </w:r>
      <w:r>
        <w:rPr>
          <w:noProof/>
        </w:rPr>
        <w:fldChar w:fldCharType="separate"/>
      </w:r>
      <w:r>
        <w:rPr>
          <w:noProof/>
        </w:rPr>
        <w:t>31</w:t>
      </w:r>
      <w:r>
        <w:rPr>
          <w:noProof/>
        </w:rPr>
        <w:fldChar w:fldCharType="end"/>
      </w:r>
    </w:p>
    <w:p w:rsidR="004D2889" w:rsidRDefault="004D2889">
      <w:pPr>
        <w:pStyle w:val="TOC2"/>
        <w:rPr>
          <w:rFonts w:ascii="Times New Roman" w:hAnsi="Times New Roman"/>
          <w:noProof/>
          <w:color w:val="auto"/>
          <w:sz w:val="24"/>
          <w:szCs w:val="24"/>
          <w:lang w:val="en-US" w:eastAsia="en-US"/>
        </w:rPr>
      </w:pPr>
      <w:r>
        <w:rPr>
          <w:noProof/>
        </w:rPr>
        <w:t>Reviews and evaluations</w:t>
      </w:r>
      <w:r>
        <w:rPr>
          <w:noProof/>
        </w:rPr>
        <w:tab/>
      </w:r>
      <w:r>
        <w:rPr>
          <w:noProof/>
        </w:rPr>
        <w:fldChar w:fldCharType="begin"/>
      </w:r>
      <w:r>
        <w:rPr>
          <w:noProof/>
        </w:rPr>
        <w:instrText xml:space="preserve"> PAGEREF _Toc250710293 \h </w:instrText>
      </w:r>
      <w:r>
        <w:rPr>
          <w:noProof/>
        </w:rPr>
      </w:r>
      <w:r>
        <w:rPr>
          <w:noProof/>
        </w:rPr>
        <w:fldChar w:fldCharType="separate"/>
      </w:r>
      <w:r>
        <w:rPr>
          <w:noProof/>
        </w:rPr>
        <w:t>32</w:t>
      </w:r>
      <w:r>
        <w:rPr>
          <w:noProof/>
        </w:rPr>
        <w:fldChar w:fldCharType="end"/>
      </w:r>
    </w:p>
    <w:p w:rsidR="004D2889" w:rsidRDefault="004D2889">
      <w:pPr>
        <w:pStyle w:val="TOC2"/>
        <w:rPr>
          <w:rFonts w:ascii="Times New Roman" w:hAnsi="Times New Roman"/>
          <w:noProof/>
          <w:color w:val="auto"/>
          <w:sz w:val="24"/>
          <w:szCs w:val="24"/>
          <w:lang w:val="en-US" w:eastAsia="en-US"/>
        </w:rPr>
      </w:pPr>
      <w:r>
        <w:rPr>
          <w:noProof/>
        </w:rPr>
        <w:t>Response to the global recession</w:t>
      </w:r>
      <w:r>
        <w:rPr>
          <w:noProof/>
        </w:rPr>
        <w:tab/>
      </w:r>
      <w:r>
        <w:rPr>
          <w:noProof/>
        </w:rPr>
        <w:fldChar w:fldCharType="begin"/>
      </w:r>
      <w:r>
        <w:rPr>
          <w:noProof/>
        </w:rPr>
        <w:instrText xml:space="preserve"> PAGEREF _Toc250710294 \h </w:instrText>
      </w:r>
      <w:r>
        <w:rPr>
          <w:noProof/>
        </w:rPr>
      </w:r>
      <w:r>
        <w:rPr>
          <w:noProof/>
        </w:rPr>
        <w:fldChar w:fldCharType="separate"/>
      </w:r>
      <w:r>
        <w:rPr>
          <w:noProof/>
        </w:rPr>
        <w:t>32</w:t>
      </w:r>
      <w:r>
        <w:rPr>
          <w:noProof/>
        </w:rPr>
        <w:fldChar w:fldCharType="end"/>
      </w:r>
    </w:p>
    <w:p w:rsidR="004D2889" w:rsidRPr="0060617B" w:rsidRDefault="004D2889">
      <w:pPr>
        <w:pStyle w:val="TOC2"/>
      </w:pPr>
      <w:r>
        <w:fldChar w:fldCharType="end"/>
      </w:r>
    </w:p>
    <w:p w:rsidR="004D2889" w:rsidRDefault="000C5DE1">
      <w:pPr>
        <w:pStyle w:val="Heading1unnumbered"/>
        <w:rPr>
          <w:noProof/>
        </w:rPr>
      </w:pPr>
      <w:bookmarkStart w:id="6" w:name="_Toc250710270"/>
      <w:bookmarkStart w:id="7" w:name="_Toc215974320"/>
      <w:r>
        <w:rPr>
          <w:noProof/>
          <w:lang w:val="en-US" w:eastAsia="en-US"/>
        </w:rPr>
        <w:lastRenderedPageBreak/>
        <w:drawing>
          <wp:anchor distT="0" distB="0" distL="114300" distR="114300" simplePos="0" relativeHeight="251658752"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5" name="Picture 1244"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descr="AusAID graphics pacific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889">
        <w:t>Abbreviations</w:t>
      </w:r>
      <w:bookmarkEnd w:id="6"/>
      <w:r w:rsidR="004D2889">
        <w:br/>
      </w:r>
      <w:bookmarkEnd w:id="7"/>
    </w:p>
    <w:p w:rsidR="004D2889" w:rsidRPr="00AE73F8" w:rsidRDefault="004D2889" w:rsidP="00AE73F8">
      <w:pPr>
        <w:pStyle w:val="Abbreviation"/>
      </w:pPr>
      <w:r w:rsidRPr="00AE73F8">
        <w:t>AusAID</w:t>
      </w:r>
      <w:r w:rsidRPr="00AE73F8">
        <w:tab/>
        <w:t>Australian Agency for International Development</w:t>
      </w:r>
    </w:p>
    <w:p w:rsidR="004D2889" w:rsidRPr="00AE73F8" w:rsidRDefault="004D2889" w:rsidP="00AE73F8">
      <w:pPr>
        <w:pStyle w:val="Abbreviation"/>
      </w:pPr>
      <w:r w:rsidRPr="00AE73F8">
        <w:t>GDP</w:t>
      </w:r>
      <w:r w:rsidRPr="00AE73F8">
        <w:tab/>
        <w:t>gross domestic product</w:t>
      </w:r>
    </w:p>
    <w:p w:rsidR="004D2889" w:rsidRPr="00AE73F8" w:rsidRDefault="004D2889" w:rsidP="00AE73F8">
      <w:pPr>
        <w:pStyle w:val="Abbreviation"/>
      </w:pPr>
      <w:r w:rsidRPr="00AE73F8">
        <w:t>MDG</w:t>
      </w:r>
      <w:r>
        <w:t>s</w:t>
      </w:r>
      <w:r w:rsidRPr="00AE73F8">
        <w:tab/>
        <w:t>Millennium Development Goals</w:t>
      </w:r>
    </w:p>
    <w:p w:rsidR="004D2889" w:rsidRPr="00AE73F8" w:rsidRDefault="004D2889" w:rsidP="00AE73F8">
      <w:pPr>
        <w:pStyle w:val="Abbreviation"/>
      </w:pPr>
      <w:r w:rsidRPr="00AE73F8">
        <w:t>NZAID</w:t>
      </w:r>
      <w:r w:rsidRPr="00AE73F8">
        <w:tab/>
        <w:t>New Zealand Agency for International Development</w:t>
      </w:r>
    </w:p>
    <w:p w:rsidR="004D2889" w:rsidRPr="00AE73F8" w:rsidRDefault="004D2889" w:rsidP="00AE73F8">
      <w:pPr>
        <w:pStyle w:val="Abbreviation"/>
      </w:pPr>
      <w:r w:rsidRPr="00AE73F8">
        <w:t>PACTAM</w:t>
      </w:r>
      <w:r w:rsidRPr="00AE73F8">
        <w:tab/>
        <w:t>Pacific Technical Assistance Mechanism</w:t>
      </w:r>
    </w:p>
    <w:p w:rsidR="004D2889" w:rsidRPr="00AE73F8" w:rsidRDefault="004D2889" w:rsidP="00AE73F8">
      <w:pPr>
        <w:pStyle w:val="Abbreviation"/>
      </w:pPr>
      <w:r w:rsidRPr="00AE73F8">
        <w:t>SOPAC</w:t>
      </w:r>
      <w:r w:rsidRPr="00AE73F8">
        <w:tab/>
        <w:t xml:space="preserve">Pacific Islands Applied Geoscience </w:t>
      </w:r>
      <w:r>
        <w:t>Commission</w:t>
      </w:r>
    </w:p>
    <w:p w:rsidR="004D2889" w:rsidRPr="00AE73F8" w:rsidRDefault="004D2889" w:rsidP="00AE73F8">
      <w:pPr>
        <w:pStyle w:val="Abbreviation"/>
      </w:pPr>
      <w:r w:rsidRPr="00AE73F8">
        <w:t>SPREP</w:t>
      </w:r>
      <w:r w:rsidRPr="00AE73F8">
        <w:tab/>
        <w:t>Pacific Regional Environmental Program</w:t>
      </w:r>
      <w:r>
        <w:t>me</w:t>
      </w:r>
    </w:p>
    <w:p w:rsidR="004D2889" w:rsidRPr="00AE73F8" w:rsidRDefault="004D2889" w:rsidP="00AE73F8">
      <w:pPr>
        <w:pStyle w:val="Abbreviation"/>
      </w:pPr>
      <w:r w:rsidRPr="00AE73F8">
        <w:t>STI</w:t>
      </w:r>
      <w:r w:rsidRPr="00AE73F8">
        <w:tab/>
        <w:t xml:space="preserve">sexually transmitted </w:t>
      </w:r>
      <w:r>
        <w:t>infections</w:t>
      </w:r>
    </w:p>
    <w:p w:rsidR="004D2889" w:rsidRPr="00AE73F8" w:rsidRDefault="004D2889" w:rsidP="00AE73F8">
      <w:pPr>
        <w:pStyle w:val="Abbreviation"/>
      </w:pPr>
      <w:r w:rsidRPr="00AE73F8">
        <w:t>TVET</w:t>
      </w:r>
      <w:r w:rsidRPr="00AE73F8">
        <w:tab/>
        <w:t>technical and vocational education and training</w:t>
      </w:r>
    </w:p>
    <w:p w:rsidR="004D2889" w:rsidRDefault="000C5DE1">
      <w:pPr>
        <w:pStyle w:val="Heading1unnumbered"/>
        <w:rPr>
          <w:noProof/>
        </w:rPr>
      </w:pPr>
      <w:bookmarkStart w:id="8" w:name="_Toc250710271"/>
      <w:r>
        <w:rPr>
          <w:noProof/>
          <w:lang w:val="en-US" w:eastAsia="en-US"/>
        </w:rPr>
        <w:lastRenderedPageBreak/>
        <w:drawing>
          <wp:anchor distT="0" distB="0" distL="114300" distR="114300" simplePos="0" relativeHeight="251653632"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4" name="Picture 1239"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descr="AusAID graphics pacific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889">
        <w:t>Summary</w:t>
      </w:r>
      <w:bookmarkEnd w:id="8"/>
      <w:r w:rsidR="004D2889">
        <w:br/>
      </w:r>
    </w:p>
    <w:p w:rsidR="004D2889" w:rsidRPr="00D81B5B" w:rsidRDefault="004D2889" w:rsidP="00D81B5B">
      <w:pPr>
        <w:pStyle w:val="BodyText"/>
      </w:pPr>
      <w:r w:rsidRPr="00D81B5B">
        <w:t xml:space="preserve">This report outlines performance of the Australian aid program to the </w:t>
      </w:r>
      <w:smartTag w:uri="urn:schemas-microsoft-com:office:smarttags" w:element="PlaceType">
        <w:smartTag w:uri="urn:schemas-microsoft-com:office:smarttags" w:element="place">
          <w:r w:rsidRPr="00D81B5B">
            <w:t>Kingdom</w:t>
          </w:r>
        </w:smartTag>
        <w:r w:rsidRPr="00D81B5B">
          <w:t xml:space="preserve"> of </w:t>
        </w:r>
        <w:smartTag w:uri="urn:schemas-microsoft-com:office:smarttags" w:element="PlaceName">
          <w:r w:rsidRPr="00D81B5B">
            <w:t>Tonga</w:t>
          </w:r>
        </w:smartTag>
      </w:smartTag>
      <w:r w:rsidRPr="00D81B5B">
        <w:t xml:space="preserve"> </w:t>
      </w:r>
      <w:r>
        <w:t>during</w:t>
      </w:r>
      <w:r w:rsidRPr="00D81B5B">
        <w:t xml:space="preserve"> 2008</w:t>
      </w:r>
      <w:r w:rsidRPr="000F0223">
        <w:rPr>
          <w:rStyle w:val="FootnoteReference"/>
        </w:rPr>
        <w:footnoteReference w:id="2"/>
      </w:r>
      <w:r w:rsidRPr="00D81B5B">
        <w:t xml:space="preserve">, based on the objectives identified in the draft </w:t>
      </w:r>
      <w:r w:rsidRPr="00C46378">
        <w:t>Kingdom of Tonga</w:t>
      </w:r>
      <w:r w:rsidRPr="00C330CC">
        <w:rPr>
          <w:rFonts w:ascii="Arial Unicode MS" w:eastAsia="Arial Unicode MS" w:hAnsi="Arial Unicode MS" w:cs="Arial Unicode MS" w:hint="eastAsia"/>
          <w:sz w:val="12"/>
          <w:szCs w:val="12"/>
        </w:rPr>
        <w:t> </w:t>
      </w:r>
      <w:r w:rsidRPr="00C46378">
        <w:t>–</w:t>
      </w:r>
      <w:r w:rsidRPr="00C330CC">
        <w:rPr>
          <w:rFonts w:ascii="Arial Unicode MS" w:eastAsia="Arial Unicode MS" w:hAnsi="Arial Unicode MS" w:cs="Arial Unicode MS" w:hint="eastAsia"/>
          <w:sz w:val="12"/>
          <w:szCs w:val="12"/>
        </w:rPr>
        <w:t> </w:t>
      </w:r>
      <w:r w:rsidRPr="00C46378">
        <w:t>Australia Development Cooperation Strategy</w:t>
      </w:r>
      <w:r w:rsidRPr="00D81B5B">
        <w:rPr>
          <w:i/>
        </w:rPr>
        <w:t xml:space="preserve">, </w:t>
      </w:r>
      <w:r w:rsidRPr="00D81B5B">
        <w:t>developed in late 2007.</w:t>
      </w:r>
      <w:r>
        <w:t xml:space="preserve"> This draft strategy will be superseded in 2009–10 by the Australia–Tonga</w:t>
      </w:r>
      <w:r w:rsidRPr="006A4F5F">
        <w:t xml:space="preserve"> </w:t>
      </w:r>
      <w:r w:rsidRPr="00D81B5B">
        <w:t xml:space="preserve">Partnership for Development, which will guide </w:t>
      </w:r>
      <w:r>
        <w:t xml:space="preserve">the </w:t>
      </w:r>
      <w:r w:rsidRPr="00D81B5B">
        <w:t xml:space="preserve">strategic directions </w:t>
      </w:r>
      <w:r>
        <w:t>of</w:t>
      </w:r>
      <w:r w:rsidRPr="00D81B5B">
        <w:t xml:space="preserve"> Australia’s program </w:t>
      </w:r>
      <w:r>
        <w:t xml:space="preserve">of </w:t>
      </w:r>
      <w:r w:rsidRPr="00D81B5B">
        <w:t>aid to Tonga.</w:t>
      </w:r>
    </w:p>
    <w:p w:rsidR="004D2889" w:rsidRDefault="004D2889">
      <w:pPr>
        <w:pStyle w:val="Heading2unnumbered"/>
        <w:tabs>
          <w:tab w:val="clear" w:pos="1440"/>
        </w:tabs>
      </w:pPr>
      <w:bookmarkStart w:id="9" w:name="_Toc245617145"/>
      <w:bookmarkStart w:id="10" w:name="_Toc245617172"/>
      <w:bookmarkStart w:id="11" w:name="_Toc246494175"/>
      <w:bookmarkStart w:id="12" w:name="_Toc246823818"/>
      <w:bookmarkStart w:id="13" w:name="_Toc250463755"/>
      <w:bookmarkStart w:id="14" w:name="_Toc250710272"/>
      <w:r w:rsidRPr="00D81B5B">
        <w:t>Overview</w:t>
      </w:r>
      <w:bookmarkEnd w:id="9"/>
      <w:bookmarkEnd w:id="10"/>
      <w:bookmarkEnd w:id="11"/>
      <w:bookmarkEnd w:id="12"/>
      <w:bookmarkEnd w:id="13"/>
      <w:bookmarkEnd w:id="14"/>
    </w:p>
    <w:p w:rsidR="004D2889" w:rsidRPr="00D81B5B" w:rsidRDefault="004D2889" w:rsidP="00D81B5B">
      <w:pPr>
        <w:pStyle w:val="BodyText"/>
      </w:pPr>
      <w:smartTag w:uri="urn:schemas-microsoft-com:office:smarttags" w:element="country-region">
        <w:smartTag w:uri="urn:schemas-microsoft-com:office:smarttags" w:element="place">
          <w:r w:rsidRPr="00D81B5B">
            <w:t>Tonga</w:t>
          </w:r>
        </w:smartTag>
      </w:smartTag>
      <w:r w:rsidRPr="00D81B5B">
        <w:t xml:space="preserve"> remains on track to meet the Millennium Development Goals.</w:t>
      </w:r>
      <w:r>
        <w:t xml:space="preserve"> </w:t>
      </w:r>
      <w:r w:rsidRPr="00D81B5B">
        <w:t xml:space="preserve">The Tongan community is homogenous and interrelated, with good education levels, high literacy </w:t>
      </w:r>
      <w:r>
        <w:t xml:space="preserve">rates </w:t>
      </w:r>
      <w:r w:rsidRPr="00D81B5B">
        <w:t>and relatively good health outcomes.</w:t>
      </w:r>
      <w:r>
        <w:t xml:space="preserve"> In the United Nations Human Development Index, </w:t>
      </w:r>
      <w:smartTag w:uri="urn:schemas-microsoft-com:office:smarttags" w:element="country-region">
        <w:smartTag w:uri="urn:schemas-microsoft-com:office:smarttags" w:element="place">
          <w:r w:rsidRPr="00D81B5B">
            <w:t>Tonga</w:t>
          </w:r>
        </w:smartTag>
      </w:smartTag>
      <w:r w:rsidRPr="00D81B5B">
        <w:t xml:space="preserve"> ranks highest </w:t>
      </w:r>
      <w:r>
        <w:t>among</w:t>
      </w:r>
      <w:r w:rsidRPr="00D81B5B">
        <w:t xml:space="preserve"> the Pacific </w:t>
      </w:r>
      <w:r>
        <w:t>island countries</w:t>
      </w:r>
      <w:r w:rsidRPr="00D81B5B">
        <w:t>.</w:t>
      </w:r>
      <w:r>
        <w:t xml:space="preserve"> </w:t>
      </w:r>
      <w:r w:rsidRPr="00D81B5B">
        <w:t>However, these indicators do not tell the full story.</w:t>
      </w:r>
      <w:r>
        <w:t xml:space="preserve"> </w:t>
      </w:r>
      <w:r w:rsidRPr="00D81B5B">
        <w:t>Non-communicable diseases threaten past health gains</w:t>
      </w:r>
      <w:r>
        <w:t>,</w:t>
      </w:r>
      <w:r w:rsidRPr="00D81B5B">
        <w:t xml:space="preserve"> and the quality of education needs </w:t>
      </w:r>
      <w:r>
        <w:t xml:space="preserve">to be </w:t>
      </w:r>
      <w:r w:rsidRPr="00D81B5B">
        <w:t>improve</w:t>
      </w:r>
      <w:r>
        <w:t>d</w:t>
      </w:r>
      <w:r w:rsidRPr="00D81B5B">
        <w:t>.</w:t>
      </w:r>
      <w:r>
        <w:t xml:space="preserve"> Although </w:t>
      </w:r>
      <w:smartTag w:uri="urn:schemas-microsoft-com:office:smarttags" w:element="country-region">
        <w:smartTag w:uri="urn:schemas-microsoft-com:office:smarttags" w:element="place">
          <w:r w:rsidRPr="00D81B5B">
            <w:t>Tonga</w:t>
          </w:r>
        </w:smartTag>
      </w:smartTag>
      <w:r w:rsidRPr="00D81B5B">
        <w:t xml:space="preserve"> is a relatively peaceful country with few law and order problems</w:t>
      </w:r>
      <w:r>
        <w:t>, there were riots in November 2006</w:t>
      </w:r>
      <w:r w:rsidRPr="00D81B5B">
        <w:t>.</w:t>
      </w:r>
      <w:r>
        <w:t xml:space="preserve"> T</w:t>
      </w:r>
      <w:r w:rsidRPr="00D81B5B">
        <w:t>he country continues to operate under emergency powers, with the government yet to return full responsibility for internal security to the national police force.</w:t>
      </w:r>
    </w:p>
    <w:p w:rsidR="004D2889" w:rsidRPr="00D81B5B" w:rsidRDefault="004D2889" w:rsidP="00D81B5B">
      <w:pPr>
        <w:pStyle w:val="BodyText"/>
      </w:pPr>
      <w:r>
        <w:t>During 2008 t</w:t>
      </w:r>
      <w:r w:rsidRPr="00D81B5B">
        <w:t xml:space="preserve">he Government of </w:t>
      </w:r>
      <w:smartTag w:uri="urn:schemas-microsoft-com:office:smarttags" w:element="country-region">
        <w:smartTag w:uri="urn:schemas-microsoft-com:office:smarttags" w:element="place">
          <w:r w:rsidRPr="00D81B5B">
            <w:t>Tonga</w:t>
          </w:r>
        </w:smartTag>
      </w:smartTag>
      <w:r w:rsidRPr="00D81B5B">
        <w:t xml:space="preserve"> continued to make sound progress </w:t>
      </w:r>
      <w:r>
        <w:t>i</w:t>
      </w:r>
      <w:r w:rsidRPr="00D81B5B">
        <w:t>n improving expenditure management, public sector reform and revenue reform.</w:t>
      </w:r>
      <w:r>
        <w:t xml:space="preserve"> Since</w:t>
      </w:r>
      <w:r w:rsidRPr="00D81B5B">
        <w:t xml:space="preserve"> the 2006 riots, which </w:t>
      </w:r>
      <w:r>
        <w:t xml:space="preserve">had a </w:t>
      </w:r>
      <w:r w:rsidRPr="00D81B5B">
        <w:t>negative</w:t>
      </w:r>
      <w:r>
        <w:t xml:space="preserve"> impact</w:t>
      </w:r>
      <w:r w:rsidRPr="00D81B5B">
        <w:t xml:space="preserve"> on the economy, the economy has been stagnant</w:t>
      </w:r>
      <w:r>
        <w:t>.</w:t>
      </w:r>
      <w:r w:rsidRPr="00D81B5B">
        <w:t xml:space="preserve"> </w:t>
      </w:r>
      <w:r>
        <w:t>T</w:t>
      </w:r>
      <w:r w:rsidRPr="00D81B5B">
        <w:t xml:space="preserve">he government forecast </w:t>
      </w:r>
      <w:r>
        <w:t xml:space="preserve">of economic </w:t>
      </w:r>
      <w:r w:rsidRPr="00D81B5B">
        <w:t xml:space="preserve">growth </w:t>
      </w:r>
      <w:r>
        <w:t>in</w:t>
      </w:r>
      <w:r w:rsidRPr="00D81B5B">
        <w:t xml:space="preserve"> 2008</w:t>
      </w:r>
      <w:r>
        <w:t>–</w:t>
      </w:r>
      <w:r w:rsidRPr="00D81B5B">
        <w:t>09</w:t>
      </w:r>
      <w:r>
        <w:t xml:space="preserve"> was</w:t>
      </w:r>
      <w:r w:rsidRPr="00D81B5B">
        <w:t xml:space="preserve"> 0.3</w:t>
      </w:r>
      <w:r>
        <w:t> per cent</w:t>
      </w:r>
      <w:r w:rsidRPr="00D81B5B">
        <w:t>.</w:t>
      </w:r>
      <w:r>
        <w:t xml:space="preserve"> </w:t>
      </w:r>
      <w:r w:rsidRPr="00D81B5B">
        <w:t xml:space="preserve">The global economic </w:t>
      </w:r>
      <w:r>
        <w:t>recession</w:t>
      </w:r>
      <w:r w:rsidRPr="00D81B5B">
        <w:t xml:space="preserve"> is likely to have a negative effect on growth prospects, with a fall in remittances (which </w:t>
      </w:r>
      <w:r>
        <w:t xml:space="preserve">in 2006 </w:t>
      </w:r>
      <w:r w:rsidRPr="00D81B5B">
        <w:t>comprise</w:t>
      </w:r>
      <w:r>
        <w:t>d</w:t>
      </w:r>
      <w:r w:rsidRPr="00D81B5B">
        <w:t xml:space="preserve"> approximately 45</w:t>
      </w:r>
      <w:r>
        <w:t> per cent</w:t>
      </w:r>
      <w:r w:rsidRPr="00D81B5B">
        <w:t xml:space="preserve"> of </w:t>
      </w:r>
      <w:r>
        <w:t>gross domestic product</w:t>
      </w:r>
      <w:r w:rsidRPr="00D81B5B">
        <w:t>) representing the biggest risk to the economy.</w:t>
      </w:r>
      <w:r>
        <w:t xml:space="preserve"> </w:t>
      </w:r>
      <w:r w:rsidRPr="00D81B5B">
        <w:t xml:space="preserve">Political reform remains one of the biggest challenges as </w:t>
      </w:r>
      <w:smartTag w:uri="urn:schemas-microsoft-com:office:smarttags" w:element="country-region">
        <w:smartTag w:uri="urn:schemas-microsoft-com:office:smarttags" w:element="place">
          <w:r w:rsidRPr="00D81B5B">
            <w:t>Tonga</w:t>
          </w:r>
        </w:smartTag>
      </w:smartTag>
      <w:r w:rsidRPr="00D81B5B">
        <w:t xml:space="preserve"> moves towards a more representative form of government by 2010.</w:t>
      </w:r>
      <w:r>
        <w:t xml:space="preserve"> </w:t>
      </w:r>
      <w:r w:rsidRPr="00D81B5B">
        <w:t>Stimulating private sector development and local employment opportunities are other major challenges.</w:t>
      </w:r>
      <w:r>
        <w:t xml:space="preserve"> </w:t>
      </w:r>
    </w:p>
    <w:p w:rsidR="004D2889" w:rsidRPr="00D81B5B" w:rsidRDefault="004D2889" w:rsidP="00D81B5B">
      <w:pPr>
        <w:pStyle w:val="BodyText"/>
      </w:pPr>
      <w:smartTag w:uri="urn:schemas-microsoft-com:office:smarttags" w:element="place">
        <w:smartTag w:uri="urn:schemas-microsoft-com:office:smarttags" w:element="country-region">
          <w:r w:rsidRPr="00D81B5B">
            <w:t>Tonga</w:t>
          </w:r>
        </w:smartTag>
      </w:smartTag>
      <w:r w:rsidRPr="00D81B5B">
        <w:t xml:space="preserve"> has a high level of government leadership</w:t>
      </w:r>
      <w:r>
        <w:t xml:space="preserve"> and</w:t>
      </w:r>
      <w:r w:rsidRPr="00D81B5B">
        <w:t xml:space="preserve"> vision across most sectors.</w:t>
      </w:r>
      <w:r>
        <w:t xml:space="preserve"> </w:t>
      </w:r>
      <w:r w:rsidRPr="00D81B5B">
        <w:t>When considering the strengths of Tongan society, the basics are in place for aid to be effective and achieve significant impact.</w:t>
      </w:r>
    </w:p>
    <w:p w:rsidR="004D2889" w:rsidRPr="00D81B5B" w:rsidRDefault="004D2889" w:rsidP="00693007">
      <w:pPr>
        <w:pStyle w:val="Heading2unnumbered"/>
        <w:tabs>
          <w:tab w:val="clear" w:pos="1440"/>
        </w:tabs>
      </w:pPr>
      <w:bookmarkStart w:id="15" w:name="_Toc245617146"/>
      <w:bookmarkStart w:id="16" w:name="_Toc245617173"/>
      <w:bookmarkStart w:id="17" w:name="_Toc246494176"/>
      <w:bookmarkStart w:id="18" w:name="_Toc246823819"/>
      <w:bookmarkStart w:id="19" w:name="_Toc250463756"/>
      <w:bookmarkStart w:id="20" w:name="_Toc250710273"/>
      <w:r w:rsidRPr="00D81B5B">
        <w:lastRenderedPageBreak/>
        <w:t>Ratings</w:t>
      </w:r>
      <w:bookmarkEnd w:id="15"/>
      <w:bookmarkEnd w:id="16"/>
      <w:bookmarkEnd w:id="17"/>
      <w:bookmarkEnd w:id="18"/>
      <w:bookmarkEnd w:id="19"/>
      <w:bookmarkEnd w:id="20"/>
    </w:p>
    <w:p w:rsidR="004D2889" w:rsidRPr="00D81B5B" w:rsidRDefault="004D2889" w:rsidP="00DE2A72">
      <w:pPr>
        <w:pStyle w:val="BodyText"/>
        <w:keepLines/>
      </w:pPr>
      <w:r w:rsidRPr="00D81B5B">
        <w:t xml:space="preserve">The improvement in </w:t>
      </w:r>
      <w:r>
        <w:t>progress towards o</w:t>
      </w:r>
      <w:r w:rsidRPr="00D81B5B">
        <w:t>bjective</w:t>
      </w:r>
      <w:r>
        <w:t> </w:t>
      </w:r>
      <w:r w:rsidRPr="00D81B5B">
        <w:t xml:space="preserve">1 </w:t>
      </w:r>
      <w:r>
        <w:t xml:space="preserve">of the draft strategy for development cooperation </w:t>
      </w:r>
      <w:r w:rsidRPr="00D81B5B">
        <w:t xml:space="preserve">reflects the </w:t>
      </w:r>
      <w:r>
        <w:t>achievements</w:t>
      </w:r>
      <w:r w:rsidRPr="00D81B5B">
        <w:t xml:space="preserve"> </w:t>
      </w:r>
      <w:r>
        <w:t>of</w:t>
      </w:r>
      <w:r w:rsidRPr="00D81B5B">
        <w:t xml:space="preserve"> the Expenditure Review Committee, </w:t>
      </w:r>
      <w:r>
        <w:t xml:space="preserve">the </w:t>
      </w:r>
      <w:r w:rsidRPr="00D81B5B">
        <w:t xml:space="preserve">Public Service Commission, </w:t>
      </w:r>
      <w:r>
        <w:t xml:space="preserve">the </w:t>
      </w:r>
      <w:r w:rsidRPr="00D81B5B">
        <w:t xml:space="preserve">Revenue Services </w:t>
      </w:r>
      <w:r>
        <w:t xml:space="preserve">Department </w:t>
      </w:r>
      <w:r w:rsidRPr="00D81B5B">
        <w:t>and, to a lesser extent, the Customs Service</w:t>
      </w:r>
      <w:r>
        <w:t xml:space="preserve"> (Table 1)</w:t>
      </w:r>
      <w:r w:rsidRPr="00D81B5B">
        <w:t>.</w:t>
      </w:r>
      <w:r>
        <w:t xml:space="preserve"> </w:t>
      </w:r>
      <w:r w:rsidRPr="00D81B5B">
        <w:t>The rating</w:t>
      </w:r>
      <w:r>
        <w:t>s</w:t>
      </w:r>
      <w:r w:rsidRPr="00D81B5B">
        <w:t xml:space="preserve"> for the other two objectives reflect the fact that the </w:t>
      </w:r>
      <w:r>
        <w:t xml:space="preserve">Tonga aid </w:t>
      </w:r>
      <w:r w:rsidRPr="00D81B5B">
        <w:t>program currently has some legacy projects that, while progressing well, contribute only partly to the objectives.</w:t>
      </w:r>
      <w:r>
        <w:t xml:space="preserve"> </w:t>
      </w:r>
      <w:r w:rsidRPr="00D81B5B">
        <w:t>Considerable work is under</w:t>
      </w:r>
      <w:r>
        <w:t xml:space="preserve"> </w:t>
      </w:r>
      <w:r w:rsidRPr="00D81B5B">
        <w:t xml:space="preserve">way to develop </w:t>
      </w:r>
      <w:r>
        <w:t>a</w:t>
      </w:r>
      <w:r w:rsidRPr="00D81B5B">
        <w:t xml:space="preserve"> portfolio of activities </w:t>
      </w:r>
      <w:r>
        <w:t>that will</w:t>
      </w:r>
      <w:r w:rsidRPr="00D81B5B">
        <w:t xml:space="preserve"> meet the priorit</w:t>
      </w:r>
      <w:r>
        <w:t>ies</w:t>
      </w:r>
      <w:r w:rsidRPr="00D81B5B">
        <w:t xml:space="preserve"> </w:t>
      </w:r>
      <w:r>
        <w:t>of</w:t>
      </w:r>
      <w:r w:rsidRPr="00D81B5B">
        <w:t xml:space="preserve"> the </w:t>
      </w:r>
      <w:r>
        <w:t>Australia–Tonga</w:t>
      </w:r>
      <w:r w:rsidRPr="006A4F5F">
        <w:t xml:space="preserve"> </w:t>
      </w:r>
      <w:r w:rsidRPr="00D81B5B">
        <w:t>Partnership for Development.</w:t>
      </w:r>
    </w:p>
    <w:p w:rsidR="004D2889" w:rsidRDefault="004D2889">
      <w:pPr>
        <w:pStyle w:val="Caption"/>
        <w:spacing w:before="240"/>
      </w:pPr>
      <w:r>
        <w:t xml:space="preserve">Table </w:t>
      </w:r>
      <w:r w:rsidR="00276D74">
        <w:fldChar w:fldCharType="begin"/>
      </w:r>
      <w:r w:rsidR="00276D74">
        <w:instrText xml:space="preserve"> SEQ Table \* MERGEFORMAT </w:instrText>
      </w:r>
      <w:r w:rsidR="00276D74">
        <w:fldChar w:fldCharType="separate"/>
      </w:r>
      <w:r>
        <w:rPr>
          <w:noProof/>
        </w:rPr>
        <w:t>1</w:t>
      </w:r>
      <w:r w:rsidR="00276D74">
        <w:rPr>
          <w:noProof/>
        </w:rPr>
        <w:fldChar w:fldCharType="end"/>
      </w:r>
      <w:r>
        <w:t xml:space="preserve">: Ratings of the Tonga aid program’s progress in 2008 towards the objectives of the draft </w:t>
      </w:r>
      <w:r w:rsidRPr="00AE1D65">
        <w:t>Development Cooperation Strategy</w:t>
      </w:r>
      <w:r>
        <w:t xml:space="preserve"> for 2007–12</w:t>
      </w:r>
    </w:p>
    <w:tbl>
      <w:tblPr>
        <w:tblW w:w="0" w:type="auto"/>
        <w:tblInd w:w="57" w:type="dxa"/>
        <w:tblLook w:val="01E0" w:firstRow="1" w:lastRow="1" w:firstColumn="1" w:lastColumn="1" w:noHBand="0" w:noVBand="0"/>
      </w:tblPr>
      <w:tblGrid>
        <w:gridCol w:w="5725"/>
        <w:gridCol w:w="896"/>
        <w:gridCol w:w="1316"/>
      </w:tblGrid>
      <w:tr w:rsidR="004D2889" w:rsidRPr="00D81B5B" w:rsidTr="00453B11">
        <w:trPr>
          <w:cantSplit/>
          <w:tblHeader/>
        </w:trPr>
        <w:tc>
          <w:tcPr>
            <w:tcW w:w="5725" w:type="dxa"/>
            <w:tcBorders>
              <w:bottom w:val="single" w:sz="12" w:space="0" w:color="auto"/>
            </w:tcBorders>
            <w:shd w:val="clear" w:color="auto" w:fill="DDCF56"/>
            <w:tcMar>
              <w:left w:w="57" w:type="dxa"/>
              <w:right w:w="57" w:type="dxa"/>
            </w:tcMar>
          </w:tcPr>
          <w:p w:rsidR="004D2889" w:rsidRPr="00D81B5B" w:rsidRDefault="004D2889" w:rsidP="00693007">
            <w:pPr>
              <w:pStyle w:val="TableTextColumnHeading"/>
            </w:pPr>
            <w:r w:rsidRPr="00D81B5B">
              <w:t>Objective</w:t>
            </w:r>
          </w:p>
        </w:tc>
        <w:tc>
          <w:tcPr>
            <w:tcW w:w="896" w:type="dxa"/>
            <w:tcBorders>
              <w:bottom w:val="single" w:sz="12" w:space="0" w:color="auto"/>
            </w:tcBorders>
            <w:shd w:val="clear" w:color="auto" w:fill="DDCF56"/>
            <w:tcMar>
              <w:left w:w="57" w:type="dxa"/>
              <w:right w:w="57" w:type="dxa"/>
            </w:tcMar>
          </w:tcPr>
          <w:p w:rsidR="004D2889" w:rsidRDefault="004D2889">
            <w:pPr>
              <w:pStyle w:val="TableTextColumnHeading"/>
              <w:jc w:val="center"/>
            </w:pPr>
            <w:r w:rsidRPr="00D81B5B">
              <w:t>Rating</w:t>
            </w:r>
            <w:r>
              <w:t xml:space="preserve"> in 2008</w:t>
            </w:r>
          </w:p>
        </w:tc>
        <w:tc>
          <w:tcPr>
            <w:tcW w:w="1316" w:type="dxa"/>
            <w:tcBorders>
              <w:bottom w:val="single" w:sz="12" w:space="0" w:color="auto"/>
            </w:tcBorders>
            <w:shd w:val="clear" w:color="auto" w:fill="DDCF56"/>
            <w:tcMar>
              <w:left w:w="57" w:type="dxa"/>
              <w:right w:w="57" w:type="dxa"/>
            </w:tcMar>
          </w:tcPr>
          <w:p w:rsidR="004D2889" w:rsidRDefault="004D2889">
            <w:pPr>
              <w:pStyle w:val="TableTextColumnHeading"/>
              <w:jc w:val="center"/>
            </w:pPr>
            <w:r>
              <w:t>Relative to</w:t>
            </w:r>
            <w:r w:rsidRPr="00D81B5B">
              <w:t xml:space="preserve"> </w:t>
            </w:r>
            <w:r>
              <w:br/>
            </w:r>
            <w:r w:rsidRPr="00D81B5B">
              <w:t>previous rating</w:t>
            </w:r>
          </w:p>
        </w:tc>
      </w:tr>
      <w:tr w:rsidR="004D2889" w:rsidRPr="00D81B5B" w:rsidTr="00453B11">
        <w:trPr>
          <w:cantSplit/>
        </w:trPr>
        <w:tc>
          <w:tcPr>
            <w:tcW w:w="5725" w:type="dxa"/>
            <w:tcBorders>
              <w:top w:val="single" w:sz="12" w:space="0" w:color="auto"/>
              <w:bottom w:val="single" w:sz="2" w:space="0" w:color="808080"/>
              <w:right w:val="single" w:sz="2" w:space="0" w:color="808080"/>
            </w:tcBorders>
            <w:tcMar>
              <w:left w:w="57" w:type="dxa"/>
              <w:right w:w="57" w:type="dxa"/>
            </w:tcMar>
          </w:tcPr>
          <w:p w:rsidR="004D2889" w:rsidRPr="00D81B5B" w:rsidRDefault="004D2889" w:rsidP="00693007">
            <w:pPr>
              <w:pStyle w:val="TableTextEntries"/>
              <w:rPr>
                <w:i/>
              </w:rPr>
            </w:pPr>
            <w:r w:rsidRPr="00D81B5B">
              <w:t>1. Strengthening governance and accountability</w:t>
            </w:r>
            <w:r w:rsidRPr="00E6014A">
              <w:t xml:space="preserve"> through the strengthening of key institutions</w:t>
            </w:r>
          </w:p>
        </w:tc>
        <w:tc>
          <w:tcPr>
            <w:tcW w:w="896" w:type="dxa"/>
            <w:tcBorders>
              <w:top w:val="single" w:sz="12" w:space="0" w:color="auto"/>
              <w:left w:val="single" w:sz="2" w:space="0" w:color="808080"/>
              <w:bottom w:val="single" w:sz="2" w:space="0" w:color="808080"/>
              <w:right w:val="single" w:sz="2" w:space="0" w:color="808080"/>
            </w:tcBorders>
            <w:shd w:val="clear" w:color="auto" w:fill="99CC00"/>
            <w:tcMar>
              <w:left w:w="57" w:type="dxa"/>
              <w:right w:w="57" w:type="dxa"/>
            </w:tcMar>
            <w:vAlign w:val="center"/>
          </w:tcPr>
          <w:p w:rsidR="004D2889" w:rsidRDefault="004D2889">
            <w:pPr>
              <w:pStyle w:val="TableTextEntries"/>
              <w:jc w:val="center"/>
              <w:rPr>
                <w:i/>
              </w:rPr>
            </w:pPr>
            <w:r w:rsidRPr="00D81B5B">
              <w:t>Green</w:t>
            </w:r>
          </w:p>
        </w:tc>
        <w:tc>
          <w:tcPr>
            <w:tcW w:w="1316" w:type="dxa"/>
            <w:tcBorders>
              <w:top w:val="single" w:sz="12" w:space="0" w:color="auto"/>
              <w:left w:val="single" w:sz="2" w:space="0" w:color="808080"/>
              <w:bottom w:val="single" w:sz="2" w:space="0" w:color="808080"/>
            </w:tcBorders>
            <w:tcMar>
              <w:left w:w="57" w:type="dxa"/>
              <w:right w:w="57" w:type="dxa"/>
            </w:tcMar>
            <w:vAlign w:val="center"/>
          </w:tcPr>
          <w:p w:rsidR="004D2889" w:rsidRDefault="004D2889">
            <w:pPr>
              <w:pStyle w:val="TableTextEntries"/>
              <w:jc w:val="center"/>
              <w:rPr>
                <w:i/>
              </w:rPr>
            </w:pPr>
            <w:r w:rsidRPr="00D81B5B">
              <w:t>Improved</w:t>
            </w:r>
          </w:p>
        </w:tc>
      </w:tr>
      <w:tr w:rsidR="004D2889" w:rsidRPr="00D81B5B" w:rsidTr="00453B11">
        <w:trPr>
          <w:cantSplit/>
          <w:trHeight w:val="62"/>
        </w:trPr>
        <w:tc>
          <w:tcPr>
            <w:tcW w:w="5725" w:type="dxa"/>
            <w:tcBorders>
              <w:top w:val="single" w:sz="2" w:space="0" w:color="808080"/>
              <w:bottom w:val="single" w:sz="2" w:space="0" w:color="808080"/>
              <w:right w:val="single" w:sz="2" w:space="0" w:color="808080"/>
            </w:tcBorders>
            <w:tcMar>
              <w:left w:w="57" w:type="dxa"/>
              <w:right w:w="57" w:type="dxa"/>
            </w:tcMar>
          </w:tcPr>
          <w:p w:rsidR="004D2889" w:rsidRPr="00D81B5B" w:rsidRDefault="004D2889" w:rsidP="00693007">
            <w:pPr>
              <w:pStyle w:val="TableTextEntries"/>
              <w:rPr>
                <w:i/>
              </w:rPr>
            </w:pPr>
            <w:r w:rsidRPr="00D81B5B">
              <w:t>2. Accelerating broad-based economic growth</w:t>
            </w:r>
            <w:r>
              <w:t>,</w:t>
            </w:r>
            <w:r w:rsidRPr="00E6014A">
              <w:t xml:space="preserve"> including for women and youth, and isolated communities</w:t>
            </w:r>
          </w:p>
        </w:tc>
        <w:tc>
          <w:tcPr>
            <w:tcW w:w="896"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vAlign w:val="center"/>
          </w:tcPr>
          <w:p w:rsidR="004D2889" w:rsidRDefault="004D2889">
            <w:pPr>
              <w:pStyle w:val="TableTextEntries"/>
              <w:jc w:val="center"/>
            </w:pPr>
            <w:r w:rsidRPr="00D81B5B">
              <w:t>Amber</w:t>
            </w:r>
          </w:p>
        </w:tc>
        <w:tc>
          <w:tcPr>
            <w:tcW w:w="1316" w:type="dxa"/>
            <w:tcBorders>
              <w:top w:val="single" w:sz="2" w:space="0" w:color="808080"/>
              <w:left w:val="single" w:sz="2" w:space="0" w:color="808080"/>
              <w:bottom w:val="single" w:sz="2" w:space="0" w:color="808080"/>
            </w:tcBorders>
            <w:tcMar>
              <w:left w:w="57" w:type="dxa"/>
              <w:right w:w="57" w:type="dxa"/>
            </w:tcMar>
            <w:vAlign w:val="center"/>
          </w:tcPr>
          <w:p w:rsidR="004D2889" w:rsidRDefault="004D2889">
            <w:pPr>
              <w:pStyle w:val="TableTextEntries"/>
              <w:jc w:val="center"/>
              <w:rPr>
                <w:i/>
              </w:rPr>
            </w:pPr>
            <w:r w:rsidRPr="00D81B5B">
              <w:t>Unchanged</w:t>
            </w:r>
          </w:p>
        </w:tc>
      </w:tr>
      <w:tr w:rsidR="004D2889" w:rsidRPr="00D81B5B" w:rsidTr="00453B11">
        <w:trPr>
          <w:cantSplit/>
          <w:trHeight w:val="62"/>
        </w:trPr>
        <w:tc>
          <w:tcPr>
            <w:tcW w:w="5725" w:type="dxa"/>
            <w:tcBorders>
              <w:top w:val="single" w:sz="2" w:space="0" w:color="808080"/>
              <w:bottom w:val="single" w:sz="12" w:space="0" w:color="auto"/>
              <w:right w:val="single" w:sz="2" w:space="0" w:color="808080"/>
            </w:tcBorders>
            <w:tcMar>
              <w:left w:w="57" w:type="dxa"/>
              <w:right w:w="57" w:type="dxa"/>
            </w:tcMar>
          </w:tcPr>
          <w:p w:rsidR="004D2889" w:rsidRPr="00D81B5B" w:rsidRDefault="004D2889" w:rsidP="00693007">
            <w:pPr>
              <w:pStyle w:val="TableTextEntries"/>
            </w:pPr>
            <w:r w:rsidRPr="00D81B5B">
              <w:t xml:space="preserve">3. </w:t>
            </w:r>
            <w:r w:rsidRPr="00E6014A">
              <w:t>Investing in people through improved service delivery</w:t>
            </w:r>
            <w:r>
              <w:t>,</w:t>
            </w:r>
            <w:r w:rsidRPr="00E6014A">
              <w:t xml:space="preserve"> particularly in education</w:t>
            </w:r>
            <w:r>
              <w:t>,</w:t>
            </w:r>
            <w:r w:rsidRPr="00E92A44">
              <w:t xml:space="preserve"> technical </w:t>
            </w:r>
            <w:r>
              <w:t xml:space="preserve">and </w:t>
            </w:r>
            <w:r w:rsidRPr="00E92A44">
              <w:t>vocational training</w:t>
            </w:r>
            <w:r>
              <w:t>,</w:t>
            </w:r>
            <w:r w:rsidRPr="003B3AC9">
              <w:t xml:space="preserve"> </w:t>
            </w:r>
            <w:r w:rsidRPr="00E6014A">
              <w:t>and basic health care</w:t>
            </w:r>
            <w:r w:rsidRPr="00D81B5B" w:rsidDel="004B11BC">
              <w:t xml:space="preserve"> </w:t>
            </w:r>
          </w:p>
        </w:tc>
        <w:tc>
          <w:tcPr>
            <w:tcW w:w="896" w:type="dxa"/>
            <w:tcBorders>
              <w:top w:val="single" w:sz="2" w:space="0" w:color="808080"/>
              <w:left w:val="single" w:sz="2" w:space="0" w:color="808080"/>
              <w:bottom w:val="single" w:sz="12" w:space="0" w:color="auto"/>
              <w:right w:val="single" w:sz="2" w:space="0" w:color="808080"/>
            </w:tcBorders>
            <w:shd w:val="clear" w:color="auto" w:fill="FF9900"/>
            <w:tcMar>
              <w:left w:w="57" w:type="dxa"/>
              <w:right w:w="57" w:type="dxa"/>
            </w:tcMar>
            <w:vAlign w:val="center"/>
          </w:tcPr>
          <w:p w:rsidR="004D2889" w:rsidRDefault="004D2889">
            <w:pPr>
              <w:pStyle w:val="TableTextEntries"/>
              <w:jc w:val="center"/>
            </w:pPr>
            <w:r w:rsidRPr="00D81B5B">
              <w:t>Amber</w:t>
            </w:r>
          </w:p>
        </w:tc>
        <w:tc>
          <w:tcPr>
            <w:tcW w:w="1316" w:type="dxa"/>
            <w:tcBorders>
              <w:top w:val="single" w:sz="2" w:space="0" w:color="808080"/>
              <w:left w:val="single" w:sz="2" w:space="0" w:color="808080"/>
              <w:bottom w:val="single" w:sz="12" w:space="0" w:color="auto"/>
            </w:tcBorders>
            <w:tcMar>
              <w:left w:w="57" w:type="dxa"/>
              <w:right w:w="57" w:type="dxa"/>
            </w:tcMar>
            <w:vAlign w:val="center"/>
          </w:tcPr>
          <w:p w:rsidR="004D2889" w:rsidRDefault="004D2889">
            <w:pPr>
              <w:pStyle w:val="TableTextEntries"/>
              <w:jc w:val="center"/>
              <w:rPr>
                <w:i/>
              </w:rPr>
            </w:pPr>
            <w:r w:rsidRPr="00D81B5B">
              <w:t>Unchanged</w:t>
            </w:r>
          </w:p>
        </w:tc>
      </w:tr>
    </w:tbl>
    <w:p w:rsidR="004D2889" w:rsidRDefault="004D2889" w:rsidP="007A0F7E">
      <w:pPr>
        <w:pStyle w:val="Note"/>
      </w:pPr>
      <w:bookmarkStart w:id="21" w:name="_Toc245617147"/>
      <w:bookmarkStart w:id="22" w:name="_Toc245617174"/>
      <w:bookmarkStart w:id="23" w:name="_Toc246494177"/>
      <w:bookmarkStart w:id="24" w:name="_Toc246823820"/>
      <w:r w:rsidRPr="00D33DDE">
        <w:t xml:space="preserve">Note: </w:t>
      </w:r>
    </w:p>
    <w:tbl>
      <w:tblPr>
        <w:tblW w:w="7937" w:type="dxa"/>
        <w:tblInd w:w="5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896"/>
        <w:gridCol w:w="7041"/>
      </w:tblGrid>
      <w:tr w:rsidR="004D2889" w:rsidRPr="00011299" w:rsidTr="00FD3A84">
        <w:trPr>
          <w:cantSplit/>
          <w:trHeight w:val="20"/>
          <w:tblHeader/>
        </w:trPr>
        <w:tc>
          <w:tcPr>
            <w:tcW w:w="896"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tcPr>
          <w:p w:rsidR="004D2889" w:rsidRPr="00011299" w:rsidRDefault="00AB4853" w:rsidP="002500CE">
            <w:pPr>
              <w:pStyle w:val="Note"/>
            </w:pPr>
            <w:r>
              <w:t>Green</w:t>
            </w:r>
          </w:p>
        </w:tc>
        <w:tc>
          <w:tcPr>
            <w:tcW w:w="7041" w:type="dxa"/>
            <w:tcBorders>
              <w:top w:val="nil"/>
              <w:left w:val="single" w:sz="2" w:space="0" w:color="808080"/>
              <w:bottom w:val="nil"/>
              <w:right w:val="nil"/>
            </w:tcBorders>
            <w:vAlign w:val="center"/>
          </w:tcPr>
          <w:p w:rsidR="004D2889" w:rsidRPr="006D2818" w:rsidRDefault="004D2889" w:rsidP="007249A3">
            <w:pPr>
              <w:pStyle w:val="Note"/>
              <w:spacing w:before="0"/>
            </w:pPr>
            <w:r w:rsidRPr="006D2818">
              <w:t>The objective will be fully achieved within the timeframe of the strategy.</w:t>
            </w:r>
          </w:p>
        </w:tc>
      </w:tr>
      <w:tr w:rsidR="004D2889" w:rsidRPr="00011299" w:rsidTr="00FD3A84">
        <w:trPr>
          <w:cantSplit/>
          <w:trHeight w:val="20"/>
          <w:tblHeader/>
        </w:trPr>
        <w:tc>
          <w:tcPr>
            <w:tcW w:w="896"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4D2889" w:rsidRPr="00011299" w:rsidRDefault="00AB4853" w:rsidP="002500CE">
            <w:pPr>
              <w:pStyle w:val="Note"/>
            </w:pPr>
            <w:r>
              <w:t>Amber</w:t>
            </w:r>
          </w:p>
        </w:tc>
        <w:tc>
          <w:tcPr>
            <w:tcW w:w="7041" w:type="dxa"/>
            <w:tcBorders>
              <w:top w:val="nil"/>
              <w:left w:val="single" w:sz="2" w:space="0" w:color="808080"/>
              <w:bottom w:val="nil"/>
              <w:right w:val="nil"/>
            </w:tcBorders>
            <w:vAlign w:val="center"/>
          </w:tcPr>
          <w:p w:rsidR="004D2889" w:rsidRPr="006D2818" w:rsidRDefault="004D2889" w:rsidP="007249A3">
            <w:pPr>
              <w:pStyle w:val="Note"/>
              <w:spacing w:before="0"/>
            </w:pPr>
            <w:r w:rsidRPr="006D2818">
              <w:t>The objective will be partly achieved within the timeframe of the strategy.</w:t>
            </w:r>
          </w:p>
        </w:tc>
      </w:tr>
      <w:tr w:rsidR="004D2889" w:rsidRPr="00011299" w:rsidTr="00FD3A84">
        <w:trPr>
          <w:cantSplit/>
          <w:trHeight w:val="20"/>
          <w:tblHeader/>
        </w:trPr>
        <w:tc>
          <w:tcPr>
            <w:tcW w:w="896" w:type="dxa"/>
            <w:tcBorders>
              <w:top w:val="single" w:sz="2" w:space="0" w:color="808080"/>
              <w:left w:val="single" w:sz="2" w:space="0" w:color="808080"/>
              <w:bottom w:val="single" w:sz="2" w:space="0" w:color="808080"/>
              <w:right w:val="single" w:sz="2" w:space="0" w:color="808080"/>
            </w:tcBorders>
            <w:shd w:val="clear" w:color="auto" w:fill="FF0000"/>
            <w:tcMar>
              <w:left w:w="57" w:type="dxa"/>
              <w:right w:w="57" w:type="dxa"/>
            </w:tcMar>
          </w:tcPr>
          <w:p w:rsidR="004D2889" w:rsidRPr="00011299" w:rsidRDefault="00AB4853" w:rsidP="002500CE">
            <w:pPr>
              <w:pStyle w:val="Note"/>
            </w:pPr>
            <w:r>
              <w:t>Red</w:t>
            </w:r>
          </w:p>
        </w:tc>
        <w:tc>
          <w:tcPr>
            <w:tcW w:w="7041" w:type="dxa"/>
            <w:tcBorders>
              <w:top w:val="nil"/>
              <w:left w:val="single" w:sz="2" w:space="0" w:color="808080"/>
              <w:bottom w:val="nil"/>
              <w:right w:val="nil"/>
            </w:tcBorders>
            <w:vAlign w:val="center"/>
          </w:tcPr>
          <w:p w:rsidR="004D2889" w:rsidRPr="006D2818" w:rsidRDefault="004D2889" w:rsidP="007249A3">
            <w:pPr>
              <w:pStyle w:val="Note"/>
              <w:spacing w:before="0"/>
            </w:pPr>
            <w:r w:rsidRPr="006D2818">
              <w:t>The objective is unlikely to be achieved within the timeframe of the strategy.</w:t>
            </w:r>
          </w:p>
        </w:tc>
      </w:tr>
    </w:tbl>
    <w:p w:rsidR="004D2889" w:rsidRPr="00D81B5B" w:rsidRDefault="004D2889" w:rsidP="00693007">
      <w:pPr>
        <w:pStyle w:val="Heading2unnumbered"/>
        <w:tabs>
          <w:tab w:val="clear" w:pos="1440"/>
        </w:tabs>
      </w:pPr>
      <w:bookmarkStart w:id="25" w:name="_Toc250463757"/>
      <w:bookmarkStart w:id="26" w:name="_Toc250710274"/>
      <w:r w:rsidRPr="00D81B5B">
        <w:t>Major results</w:t>
      </w:r>
      <w:bookmarkEnd w:id="21"/>
      <w:bookmarkEnd w:id="22"/>
      <w:bookmarkEnd w:id="23"/>
      <w:bookmarkEnd w:id="24"/>
      <w:bookmarkEnd w:id="25"/>
      <w:bookmarkEnd w:id="26"/>
    </w:p>
    <w:p w:rsidR="004D2889" w:rsidRDefault="004D2889">
      <w:pPr>
        <w:pStyle w:val="ListBullet"/>
        <w:spacing w:after="40"/>
      </w:pPr>
      <w:r w:rsidRPr="00D81B5B">
        <w:t xml:space="preserve">The </w:t>
      </w:r>
      <w:r>
        <w:t>Government of Tonga</w:t>
      </w:r>
      <w:r w:rsidRPr="00D81B5B">
        <w:t xml:space="preserve"> met all benchmarks of the Tonga</w:t>
      </w:r>
      <w:r>
        <w:t>–</w:t>
      </w:r>
      <w:r w:rsidRPr="00D81B5B">
        <w:t>Australia Performance Partnership Agreement</w:t>
      </w:r>
      <w:r>
        <w:t>. These</w:t>
      </w:r>
      <w:r w:rsidRPr="00D81B5B">
        <w:t xml:space="preserve"> includ</w:t>
      </w:r>
      <w:r>
        <w:t>ed the following.</w:t>
      </w:r>
    </w:p>
    <w:p w:rsidR="004D2889" w:rsidRDefault="004D2889">
      <w:pPr>
        <w:pStyle w:val="ListBullet2"/>
        <w:spacing w:after="40"/>
        <w:ind w:left="568" w:hanging="284"/>
      </w:pPr>
      <w:r>
        <w:t xml:space="preserve">The </w:t>
      </w:r>
      <w:r w:rsidRPr="00D81B5B">
        <w:t>Expenditure Review Committee</w:t>
      </w:r>
      <w:r>
        <w:t>, which was established in</w:t>
      </w:r>
      <w:r w:rsidRPr="00D81B5B">
        <w:t xml:space="preserve"> </w:t>
      </w:r>
      <w:r>
        <w:t xml:space="preserve">November 2007, </w:t>
      </w:r>
      <w:r w:rsidRPr="00D81B5B">
        <w:t xml:space="preserve">has noticeably improved the focus on expenditure management and strengthened the links between government priorities and the budget. </w:t>
      </w:r>
      <w:r>
        <w:t>Government m</w:t>
      </w:r>
      <w:r w:rsidRPr="00D81B5B">
        <w:t xml:space="preserve">inisters and departmental heads have benefited from a more transparent budget process, including the opportunity to present their budget priorities to the </w:t>
      </w:r>
      <w:r>
        <w:t>committee</w:t>
      </w:r>
      <w:r w:rsidRPr="00D81B5B">
        <w:t xml:space="preserve"> for consideration.</w:t>
      </w:r>
      <w:r>
        <w:t xml:space="preserve"> </w:t>
      </w:r>
    </w:p>
    <w:p w:rsidR="004D2889" w:rsidRPr="00FA4579" w:rsidRDefault="004D2889" w:rsidP="00693007">
      <w:pPr>
        <w:pStyle w:val="ListBullet2"/>
        <w:rPr>
          <w:spacing w:val="-2"/>
        </w:rPr>
      </w:pPr>
      <w:r w:rsidRPr="00DC005A">
        <w:rPr>
          <w:spacing w:val="-2"/>
        </w:rPr>
        <w:t xml:space="preserve">The </w:t>
      </w:r>
      <w:r>
        <w:rPr>
          <w:spacing w:val="-2"/>
        </w:rPr>
        <w:t>Revenue Services Department has</w:t>
      </w:r>
      <w:r w:rsidRPr="00DC005A">
        <w:rPr>
          <w:spacing w:val="-2"/>
        </w:rPr>
        <w:t xml:space="preserve"> substantially improved both taxation compliance and service delivery. A new </w:t>
      </w:r>
      <w:r w:rsidRPr="00DC005A">
        <w:rPr>
          <w:i/>
          <w:spacing w:val="-2"/>
        </w:rPr>
        <w:t>Guide to Tongan Income Tax</w:t>
      </w:r>
      <w:r w:rsidRPr="00DC005A">
        <w:rPr>
          <w:spacing w:val="-2"/>
        </w:rPr>
        <w:t xml:space="preserve"> has been published and an internet tax return lodgement system is in the final stage of testing. Service standards have improved markedly, with all key standards consistently met or exceeded (for example, all consumption tax returns are processed within 42 days). Around 38 per cent of large businesses have been profiled and the Revenue Services Department is on track to meet its initial target of collecting 30 per cent of the tax arrears of large businesses. Tax audits contributed more than T$9.4 million in additional revenue in 2007–08. This represents a marked improvemen</w:t>
      </w:r>
      <w:r>
        <w:rPr>
          <w:spacing w:val="-2"/>
        </w:rPr>
        <w:t>t on the previous year’s level.</w:t>
      </w:r>
    </w:p>
    <w:p w:rsidR="004D2889" w:rsidRPr="00D81B5B" w:rsidRDefault="004D2889" w:rsidP="00693007">
      <w:pPr>
        <w:pStyle w:val="ListBullet"/>
      </w:pPr>
      <w:r w:rsidRPr="00D81B5B">
        <w:t>Several key amendments to the Customs Act were passed, which have simplified custom transactions and created a more level playing field for business.</w:t>
      </w:r>
    </w:p>
    <w:p w:rsidR="004D2889" w:rsidRPr="00D81B5B" w:rsidRDefault="004D2889" w:rsidP="00693007">
      <w:pPr>
        <w:pStyle w:val="ListBullet"/>
      </w:pPr>
      <w:r w:rsidRPr="00D81B5B">
        <w:t xml:space="preserve">The Public Service Commission and </w:t>
      </w:r>
      <w:r>
        <w:t xml:space="preserve">the </w:t>
      </w:r>
      <w:r w:rsidRPr="00D81B5B">
        <w:t>Expenditure Review Committee</w:t>
      </w:r>
      <w:r w:rsidRPr="00D81B5B" w:rsidDel="009D57B5">
        <w:t xml:space="preserve"> </w:t>
      </w:r>
      <w:r w:rsidRPr="00D81B5B">
        <w:t>are exercising strong discipline in managing public sector staffing numbers</w:t>
      </w:r>
      <w:r>
        <w:t>—</w:t>
      </w:r>
      <w:r w:rsidRPr="00D81B5B">
        <w:t>critical to maintaining budget stability and promoting public sector reform.</w:t>
      </w:r>
      <w:r>
        <w:t xml:space="preserve"> </w:t>
      </w:r>
      <w:r w:rsidRPr="00D81B5B">
        <w:t xml:space="preserve">The Public Service Commission has also demonstrated </w:t>
      </w:r>
      <w:r>
        <w:t xml:space="preserve">a </w:t>
      </w:r>
      <w:r w:rsidRPr="00D81B5B">
        <w:t>commitment in dealing with</w:t>
      </w:r>
      <w:r>
        <w:t xml:space="preserve"> performance management issues.</w:t>
      </w:r>
    </w:p>
    <w:p w:rsidR="004D2889" w:rsidRPr="00D81B5B" w:rsidRDefault="004D2889" w:rsidP="00693007">
      <w:pPr>
        <w:pStyle w:val="ListBullet"/>
      </w:pPr>
      <w:r>
        <w:lastRenderedPageBreak/>
        <w:t>Fifty-six</w:t>
      </w:r>
      <w:r w:rsidRPr="00D81B5B">
        <w:t xml:space="preserve"> of 160 businesses have been able to restart their business with support from </w:t>
      </w:r>
      <w:r>
        <w:t>the</w:t>
      </w:r>
      <w:r w:rsidRPr="00D81B5B">
        <w:t xml:space="preserve"> joint AusAID</w:t>
      </w:r>
      <w:r>
        <w:t>–</w:t>
      </w:r>
      <w:r w:rsidRPr="00D81B5B">
        <w:t>NZAID facility established to help businesses affected by the civil unrest in late 2006.</w:t>
      </w:r>
      <w:r>
        <w:t xml:space="preserve"> The r</w:t>
      </w:r>
      <w:r w:rsidRPr="00D81B5B">
        <w:t>econstruction of damaged infrastructure also beg</w:t>
      </w:r>
      <w:r>
        <w:t>a</w:t>
      </w:r>
      <w:r w:rsidRPr="00D81B5B">
        <w:t>n, with one new building completed and two others under</w:t>
      </w:r>
      <w:r>
        <w:t xml:space="preserve"> </w:t>
      </w:r>
      <w:r w:rsidRPr="00D81B5B">
        <w:t>way.</w:t>
      </w:r>
      <w:r w:rsidRPr="00F11A40">
        <w:rPr>
          <w:rStyle w:val="FootnoteReference"/>
        </w:rPr>
        <w:footnoteReference w:id="3"/>
      </w:r>
    </w:p>
    <w:p w:rsidR="004D2889" w:rsidRPr="00D81B5B" w:rsidRDefault="004D2889" w:rsidP="00693007">
      <w:pPr>
        <w:pStyle w:val="ListBullet"/>
      </w:pPr>
      <w:r w:rsidRPr="00D81B5B">
        <w:t>A major new joint program in policing</w:t>
      </w:r>
      <w:r>
        <w:t xml:space="preserve">—the </w:t>
      </w:r>
      <w:r w:rsidRPr="00D81B5B">
        <w:t>Tonga Police Development Program</w:t>
      </w:r>
      <w:r>
        <w:t>—</w:t>
      </w:r>
      <w:r w:rsidRPr="00D81B5B">
        <w:t xml:space="preserve">commenced, with support from the Australian and New Zealand governments (including </w:t>
      </w:r>
      <w:r>
        <w:t xml:space="preserve">the </w:t>
      </w:r>
      <w:r w:rsidRPr="00D81B5B">
        <w:t xml:space="preserve">Australian Federal Police, </w:t>
      </w:r>
      <w:r>
        <w:t>the New Zealand</w:t>
      </w:r>
      <w:r w:rsidRPr="00D81B5B">
        <w:t xml:space="preserve"> Police, NZAID and AusAID).</w:t>
      </w:r>
      <w:r>
        <w:t xml:space="preserve"> </w:t>
      </w:r>
      <w:r w:rsidRPr="00D81B5B">
        <w:t>Early achievements include wide-scale community consultations</w:t>
      </w:r>
      <w:r>
        <w:t>, the</w:t>
      </w:r>
      <w:r w:rsidRPr="00D81B5B">
        <w:t xml:space="preserve"> development of a new four</w:t>
      </w:r>
      <w:r>
        <w:t>-</w:t>
      </w:r>
      <w:r w:rsidRPr="00D81B5B">
        <w:t>year strategic plan</w:t>
      </w:r>
      <w:r>
        <w:t>,</w:t>
      </w:r>
      <w:r w:rsidRPr="00D81B5B">
        <w:t xml:space="preserve"> </w:t>
      </w:r>
      <w:r>
        <w:t>greater</w:t>
      </w:r>
      <w:r w:rsidRPr="00D81B5B">
        <w:t xml:space="preserve"> police visibility </w:t>
      </w:r>
      <w:r>
        <w:t>as a result of</w:t>
      </w:r>
      <w:r w:rsidRPr="00D81B5B">
        <w:t xml:space="preserve"> provi</w:t>
      </w:r>
      <w:r>
        <w:t>ding</w:t>
      </w:r>
      <w:r w:rsidRPr="00D81B5B">
        <w:t xml:space="preserve"> uniforms for all police</w:t>
      </w:r>
      <w:r>
        <w:t>,</w:t>
      </w:r>
      <w:r w:rsidRPr="00D81B5B">
        <w:t xml:space="preserve"> and the establishment of a beat squad.</w:t>
      </w:r>
      <w:r>
        <w:t xml:space="preserve"> </w:t>
      </w:r>
    </w:p>
    <w:p w:rsidR="004D2889" w:rsidRPr="00D81B5B" w:rsidRDefault="004D2889" w:rsidP="00693007">
      <w:pPr>
        <w:pStyle w:val="ListBullet"/>
      </w:pPr>
      <w:r w:rsidRPr="00D81B5B">
        <w:t>The Solid Wa</w:t>
      </w:r>
      <w:r>
        <w:t>ste Management Project continued</w:t>
      </w:r>
      <w:r w:rsidRPr="00D81B5B">
        <w:t xml:space="preserve"> to provide substantial benefits, including a cleaner environment and a local recycling business.</w:t>
      </w:r>
      <w:r>
        <w:t xml:space="preserve"> </w:t>
      </w:r>
      <w:r w:rsidRPr="00D81B5B">
        <w:t xml:space="preserve">The </w:t>
      </w:r>
      <w:r>
        <w:t>project</w:t>
      </w:r>
      <w:r w:rsidRPr="00D81B5B">
        <w:t xml:space="preserve"> </w:t>
      </w:r>
      <w:r>
        <w:t>serviced</w:t>
      </w:r>
      <w:r w:rsidRPr="00D81B5B">
        <w:t xml:space="preserve"> </w:t>
      </w:r>
      <w:r>
        <w:t>more than</w:t>
      </w:r>
      <w:r w:rsidRPr="00D81B5B">
        <w:t xml:space="preserve"> 12</w:t>
      </w:r>
      <w:r>
        <w:t> </w:t>
      </w:r>
      <w:r w:rsidRPr="00D81B5B">
        <w:t>000 households and 500 commercial businesses in Tongatapu.</w:t>
      </w:r>
    </w:p>
    <w:p w:rsidR="004D2889" w:rsidRPr="00D81B5B" w:rsidRDefault="004D2889" w:rsidP="00693007">
      <w:pPr>
        <w:pStyle w:val="ListBullet"/>
      </w:pPr>
      <w:r w:rsidRPr="00D81B5B">
        <w:t>The first privatisation of a state</w:t>
      </w:r>
      <w:r>
        <w:t>-</w:t>
      </w:r>
      <w:r w:rsidRPr="00D81B5B">
        <w:t>owned enterprise in Tonga took place in 2008 with the successful sale of Leiola Duty Free stores.</w:t>
      </w:r>
      <w:r>
        <w:t xml:space="preserve"> </w:t>
      </w:r>
      <w:r w:rsidRPr="00D81B5B">
        <w:t>Four other state</w:t>
      </w:r>
      <w:r>
        <w:t>-owned enterprise</w:t>
      </w:r>
      <w:r w:rsidRPr="00D81B5B">
        <w:t>s were rationalised, with one being wound</w:t>
      </w:r>
      <w:r>
        <w:t xml:space="preserve"> </w:t>
      </w:r>
      <w:r w:rsidRPr="00D81B5B">
        <w:t xml:space="preserve">up and three restructured with the support of the </w:t>
      </w:r>
      <w:r>
        <w:t>Asian Development Bank’s</w:t>
      </w:r>
      <w:r w:rsidRPr="00D81B5B">
        <w:t xml:space="preserve"> Private Sector Development Initiative (co-funded by AusAID).</w:t>
      </w:r>
      <w:r>
        <w:t xml:space="preserve"> </w:t>
      </w:r>
      <w:r w:rsidRPr="00D81B5B">
        <w:t>In early 2009, a new and more ambitious phase of rationalisation was announced.</w:t>
      </w:r>
    </w:p>
    <w:p w:rsidR="004D2889" w:rsidRPr="00D81B5B" w:rsidRDefault="004D2889" w:rsidP="00693007">
      <w:pPr>
        <w:pStyle w:val="ListBullet"/>
      </w:pPr>
      <w:r w:rsidRPr="00D81B5B">
        <w:t>The aid program continued to help meet critical human resource shortages in areas such as surgery, justice, economic assessment and customs.</w:t>
      </w:r>
      <w:r w:rsidRPr="00F11A40">
        <w:rPr>
          <w:rStyle w:val="FootnoteReference"/>
        </w:rPr>
        <w:footnoteReference w:id="4"/>
      </w:r>
      <w:r>
        <w:t xml:space="preserve"> The s</w:t>
      </w:r>
      <w:r w:rsidRPr="00D81B5B">
        <w:t xml:space="preserve">upport for the judiciary has helped to deal with the large increase in cases </w:t>
      </w:r>
      <w:r>
        <w:t>that</w:t>
      </w:r>
      <w:r w:rsidRPr="00D81B5B">
        <w:t xml:space="preserve"> resulted from the riots, while advisory </w:t>
      </w:r>
      <w:r w:rsidRPr="00DC005A">
        <w:rPr>
          <w:spacing w:val="-1"/>
        </w:rPr>
        <w:t xml:space="preserve">support to the </w:t>
      </w:r>
      <w:r>
        <w:rPr>
          <w:spacing w:val="-1"/>
        </w:rPr>
        <w:t xml:space="preserve">National </w:t>
      </w:r>
      <w:r w:rsidRPr="00DC005A">
        <w:rPr>
          <w:spacing w:val="-1"/>
        </w:rPr>
        <w:t>Reserve Bank</w:t>
      </w:r>
      <w:r>
        <w:rPr>
          <w:spacing w:val="-1"/>
        </w:rPr>
        <w:t xml:space="preserve"> of Tonga</w:t>
      </w:r>
      <w:r w:rsidRPr="00DC005A">
        <w:rPr>
          <w:spacing w:val="-1"/>
        </w:rPr>
        <w:t xml:space="preserve"> has helped Tonga to manage during a critical economic period.</w:t>
      </w:r>
    </w:p>
    <w:p w:rsidR="004D2889" w:rsidRPr="00D81B5B" w:rsidRDefault="004D2889" w:rsidP="00693007">
      <w:pPr>
        <w:pStyle w:val="ListBullet"/>
      </w:pPr>
      <w:r>
        <w:t>Thirteen</w:t>
      </w:r>
      <w:r w:rsidRPr="00D81B5B">
        <w:t xml:space="preserve"> </w:t>
      </w:r>
      <w:r>
        <w:t xml:space="preserve">students who had received </w:t>
      </w:r>
      <w:r w:rsidRPr="00AE73F8">
        <w:t>Australian Development Scholarships</w:t>
      </w:r>
      <w:r>
        <w:t xml:space="preserve"> and</w:t>
      </w:r>
      <w:r w:rsidRPr="00D81B5B">
        <w:t xml:space="preserve"> </w:t>
      </w:r>
      <w:r w:rsidRPr="00AE73F8">
        <w:t xml:space="preserve">Australian </w:t>
      </w:r>
      <w:r>
        <w:t xml:space="preserve">Regional </w:t>
      </w:r>
      <w:r w:rsidRPr="00AE73F8">
        <w:t>Development Scholarships</w:t>
      </w:r>
      <w:r>
        <w:t xml:space="preserve"> </w:t>
      </w:r>
      <w:r w:rsidRPr="00D81B5B">
        <w:t>return</w:t>
      </w:r>
      <w:r>
        <w:t>ed</w:t>
      </w:r>
      <w:r w:rsidRPr="00D81B5B">
        <w:t xml:space="preserve"> </w:t>
      </w:r>
      <w:r>
        <w:t xml:space="preserve">to Tonga </w:t>
      </w:r>
      <w:r w:rsidRPr="00D81B5B">
        <w:t>in 2008</w:t>
      </w:r>
      <w:r>
        <w:t>—</w:t>
      </w:r>
      <w:r w:rsidRPr="00D81B5B">
        <w:t xml:space="preserve">a number of </w:t>
      </w:r>
      <w:r>
        <w:t>them</w:t>
      </w:r>
      <w:r w:rsidRPr="00D81B5B">
        <w:t xml:space="preserve"> taking up positions in government (</w:t>
      </w:r>
      <w:r>
        <w:t>for example,</w:t>
      </w:r>
      <w:r w:rsidRPr="00D81B5B">
        <w:t xml:space="preserve"> in statistics, finance and health).</w:t>
      </w:r>
    </w:p>
    <w:p w:rsidR="004D2889" w:rsidRPr="00D81B5B" w:rsidRDefault="004D2889" w:rsidP="00693007">
      <w:pPr>
        <w:pStyle w:val="Heading2unnumbered"/>
        <w:tabs>
          <w:tab w:val="clear" w:pos="1440"/>
        </w:tabs>
      </w:pPr>
      <w:bookmarkStart w:id="27" w:name="_Toc245617148"/>
      <w:bookmarkStart w:id="28" w:name="_Toc245617175"/>
      <w:bookmarkStart w:id="29" w:name="_Toc246494178"/>
      <w:bookmarkStart w:id="30" w:name="_Toc246823821"/>
      <w:bookmarkStart w:id="31" w:name="_Toc250463758"/>
      <w:bookmarkStart w:id="32" w:name="_Toc250710275"/>
      <w:r w:rsidRPr="00D81B5B">
        <w:t>Major challenges</w:t>
      </w:r>
      <w:bookmarkEnd w:id="27"/>
      <w:bookmarkEnd w:id="28"/>
      <w:bookmarkEnd w:id="29"/>
      <w:bookmarkEnd w:id="30"/>
      <w:bookmarkEnd w:id="31"/>
      <w:bookmarkEnd w:id="32"/>
    </w:p>
    <w:p w:rsidR="004D2889" w:rsidRDefault="004D2889">
      <w:pPr>
        <w:pStyle w:val="Heading3"/>
        <w:tabs>
          <w:tab w:val="clear" w:pos="1440"/>
          <w:tab w:val="clear" w:pos="2160"/>
        </w:tabs>
        <w:spacing w:before="240"/>
      </w:pPr>
      <w:r>
        <w:t>P</w:t>
      </w:r>
      <w:r w:rsidRPr="00D81B5B">
        <w:t>rogramming and scaling up</w:t>
      </w:r>
      <w:r>
        <w:t xml:space="preserve"> support</w:t>
      </w:r>
    </w:p>
    <w:p w:rsidR="004D2889" w:rsidRPr="000B41C2" w:rsidRDefault="004D2889" w:rsidP="00D81B5B">
      <w:pPr>
        <w:pStyle w:val="BodyText"/>
        <w:rPr>
          <w:spacing w:val="-2"/>
        </w:rPr>
      </w:pPr>
      <w:r w:rsidRPr="00DC005A">
        <w:rPr>
          <w:spacing w:val="-2"/>
        </w:rPr>
        <w:t xml:space="preserve">The </w:t>
      </w:r>
      <w:smartTag w:uri="urn:schemas-microsoft-com:office:smarttags" w:element="country-region">
        <w:smartTag w:uri="urn:schemas-microsoft-com:office:smarttags" w:element="place">
          <w:r w:rsidRPr="00DC005A">
            <w:rPr>
              <w:spacing w:val="-2"/>
            </w:rPr>
            <w:t>Tonga</w:t>
          </w:r>
        </w:smartTag>
      </w:smartTag>
      <w:r w:rsidRPr="00DC005A">
        <w:rPr>
          <w:spacing w:val="-2"/>
        </w:rPr>
        <w:t xml:space="preserve"> program is currently in transition. The Australia–Tonga Partnership for Development was in its final stage of negotiation in June 2008. This agreement will lead to several changes to the program portfolio. In 2009, several new activities linked to the </w:t>
      </w:r>
      <w:r>
        <w:rPr>
          <w:spacing w:val="-2"/>
        </w:rPr>
        <w:t>priorities</w:t>
      </w:r>
      <w:r w:rsidRPr="00DC005A">
        <w:rPr>
          <w:spacing w:val="-2"/>
        </w:rPr>
        <w:t xml:space="preserve"> of the partnership (health</w:t>
      </w:r>
      <w:r>
        <w:rPr>
          <w:spacing w:val="-2"/>
        </w:rPr>
        <w:t>,</w:t>
      </w:r>
      <w:r w:rsidRPr="00DC005A">
        <w:rPr>
          <w:spacing w:val="-2"/>
        </w:rPr>
        <w:t xml:space="preserve"> and technical and vocational education and training) will complete their design phases and commence implementation, while some elements of the existing program will be rationalised</w:t>
      </w:r>
      <w:r>
        <w:rPr>
          <w:spacing w:val="-2"/>
        </w:rPr>
        <w:t>,</w:t>
      </w:r>
      <w:r w:rsidRPr="00DC005A">
        <w:rPr>
          <w:spacing w:val="-2"/>
        </w:rPr>
        <w:t xml:space="preserve"> particularly some of the small individual activities that are not well linked to </w:t>
      </w:r>
      <w:r>
        <w:rPr>
          <w:spacing w:val="-2"/>
        </w:rPr>
        <w:t xml:space="preserve">the </w:t>
      </w:r>
      <w:r w:rsidRPr="00DC005A">
        <w:rPr>
          <w:spacing w:val="-2"/>
        </w:rPr>
        <w:t xml:space="preserve">new </w:t>
      </w:r>
      <w:r>
        <w:rPr>
          <w:spacing w:val="-2"/>
        </w:rPr>
        <w:t>priorities</w:t>
      </w:r>
      <w:r w:rsidRPr="00DC005A">
        <w:rPr>
          <w:spacing w:val="-2"/>
        </w:rPr>
        <w:t xml:space="preserve"> or way</w:t>
      </w:r>
      <w:r>
        <w:rPr>
          <w:spacing w:val="-2"/>
        </w:rPr>
        <w:t>s</w:t>
      </w:r>
      <w:r w:rsidRPr="00DC005A">
        <w:rPr>
          <w:spacing w:val="-2"/>
        </w:rPr>
        <w:t xml:space="preserve"> of working. An existing challenge that will be further highlighted in the partnership is how the Government of Tonga, </w:t>
      </w:r>
      <w:smartTag w:uri="urn:schemas-microsoft-com:office:smarttags" w:element="country-region">
        <w:r w:rsidRPr="00DC005A">
          <w:rPr>
            <w:spacing w:val="-2"/>
          </w:rPr>
          <w:t>Australia</w:t>
        </w:r>
      </w:smartTag>
      <w:r w:rsidRPr="00DC005A">
        <w:rPr>
          <w:spacing w:val="-2"/>
        </w:rPr>
        <w:t xml:space="preserve"> and other donors will establish management arrangements to provide strategic oversight and </w:t>
      </w:r>
      <w:r>
        <w:rPr>
          <w:spacing w:val="-2"/>
        </w:rPr>
        <w:t xml:space="preserve">to </w:t>
      </w:r>
      <w:r w:rsidRPr="00DC005A">
        <w:rPr>
          <w:spacing w:val="-2"/>
        </w:rPr>
        <w:t>support decision making in the priority sectors in which AusAID will be working.</w:t>
      </w:r>
    </w:p>
    <w:p w:rsidR="004D2889" w:rsidRDefault="004D2889" w:rsidP="00693007">
      <w:pPr>
        <w:pStyle w:val="Heading3"/>
        <w:tabs>
          <w:tab w:val="clear" w:pos="1440"/>
          <w:tab w:val="clear" w:pos="2160"/>
        </w:tabs>
      </w:pPr>
      <w:r w:rsidRPr="00D81B5B">
        <w:lastRenderedPageBreak/>
        <w:t xml:space="preserve">Global </w:t>
      </w:r>
      <w:r>
        <w:t xml:space="preserve">economic </w:t>
      </w:r>
      <w:r w:rsidRPr="00D81B5B">
        <w:t>recession</w:t>
      </w:r>
    </w:p>
    <w:p w:rsidR="004D2889" w:rsidRPr="00D81B5B" w:rsidRDefault="004D2889" w:rsidP="00D81B5B">
      <w:pPr>
        <w:pStyle w:val="BodyText"/>
      </w:pPr>
      <w:smartTag w:uri="urn:schemas-microsoft-com:office:smarttags" w:element="country-region">
        <w:r w:rsidRPr="00D81B5B">
          <w:t>Tonga</w:t>
        </w:r>
      </w:smartTag>
      <w:r w:rsidRPr="00D81B5B">
        <w:t xml:space="preserve"> was largely insulated from the early fall-out of the global recession</w:t>
      </w:r>
      <w:r>
        <w:t>.</w:t>
      </w:r>
      <w:r w:rsidRPr="00D81B5B">
        <w:t xml:space="preserve"> However</w:t>
      </w:r>
      <w:r>
        <w:t>,</w:t>
      </w:r>
      <w:r w:rsidRPr="00D81B5B">
        <w:t xml:space="preserve"> the impact of rising unemployment on Tongans working abroad is likely to see a drop in remittances, </w:t>
      </w:r>
      <w:r>
        <w:t>which will</w:t>
      </w:r>
      <w:r w:rsidRPr="00D81B5B">
        <w:t xml:space="preserve"> direct</w:t>
      </w:r>
      <w:r>
        <w:t>ly</w:t>
      </w:r>
      <w:r w:rsidRPr="00D81B5B">
        <w:t xml:space="preserve"> </w:t>
      </w:r>
      <w:r>
        <w:t>affect</w:t>
      </w:r>
      <w:r w:rsidRPr="00D81B5B">
        <w:t xml:space="preserve"> </w:t>
      </w:r>
      <w:smartTag w:uri="urn:schemas-microsoft-com:office:smarttags" w:element="country-region">
        <w:smartTag w:uri="urn:schemas-microsoft-com:office:smarttags" w:element="place">
          <w:r w:rsidRPr="00D81B5B">
            <w:t>Tonga</w:t>
          </w:r>
        </w:smartTag>
      </w:smartTag>
      <w:r w:rsidRPr="00D81B5B">
        <w:t>’s economy.</w:t>
      </w:r>
      <w:r>
        <w:t xml:space="preserve"> The</w:t>
      </w:r>
      <w:r w:rsidRPr="00D81B5B">
        <w:t xml:space="preserve"> impacts of the </w:t>
      </w:r>
      <w:r>
        <w:t>recession</w:t>
      </w:r>
      <w:r w:rsidRPr="00D81B5B">
        <w:t xml:space="preserve"> on remittances and the wider economy </w:t>
      </w:r>
      <w:r>
        <w:t>are</w:t>
      </w:r>
      <w:r w:rsidRPr="00D81B5B">
        <w:t xml:space="preserve"> </w:t>
      </w:r>
      <w:r>
        <w:t>being monitored</w:t>
      </w:r>
      <w:r w:rsidRPr="00D81B5B">
        <w:t>, and will be a source of regular policy dialogue with the Government of Tonga.</w:t>
      </w:r>
      <w:r>
        <w:t xml:space="preserve"> The government</w:t>
      </w:r>
      <w:r w:rsidRPr="00D81B5B">
        <w:t xml:space="preserve"> and AusAID have already identified an initial response to the </w:t>
      </w:r>
      <w:r>
        <w:t>recession—</w:t>
      </w:r>
      <w:r w:rsidRPr="00D81B5B">
        <w:t xml:space="preserve">support </w:t>
      </w:r>
      <w:r>
        <w:t>for</w:t>
      </w:r>
      <w:r w:rsidRPr="00D81B5B">
        <w:t xml:space="preserve"> road maintenance.</w:t>
      </w:r>
      <w:r>
        <w:t xml:space="preserve"> Such s</w:t>
      </w:r>
      <w:r w:rsidRPr="00D81B5B">
        <w:t xml:space="preserve">upport </w:t>
      </w:r>
      <w:r>
        <w:t>would</w:t>
      </w:r>
      <w:r w:rsidRPr="00D81B5B">
        <w:t xml:space="preserve"> closely align with </w:t>
      </w:r>
      <w:r>
        <w:t>Australia’s</w:t>
      </w:r>
      <w:r w:rsidRPr="00D81B5B">
        <w:t xml:space="preserve"> priorities under the Partnership</w:t>
      </w:r>
      <w:r>
        <w:t xml:space="preserve"> for Development</w:t>
      </w:r>
      <w:r w:rsidRPr="00D81B5B">
        <w:t xml:space="preserve">, and has the potential to mitigate the impacts of the </w:t>
      </w:r>
      <w:r>
        <w:t>recession</w:t>
      </w:r>
      <w:r w:rsidRPr="00D81B5B">
        <w:t xml:space="preserve"> </w:t>
      </w:r>
      <w:r>
        <w:t>by</w:t>
      </w:r>
      <w:r w:rsidRPr="00D81B5B">
        <w:t xml:space="preserve"> creati</w:t>
      </w:r>
      <w:r>
        <w:t>ng</w:t>
      </w:r>
      <w:r w:rsidRPr="00D81B5B">
        <w:t xml:space="preserve"> local employment and income</w:t>
      </w:r>
      <w:r>
        <w:t>-</w:t>
      </w:r>
      <w:r w:rsidRPr="00D81B5B">
        <w:t>generating activities.</w:t>
      </w:r>
    </w:p>
    <w:p w:rsidR="004D2889" w:rsidRDefault="004D2889" w:rsidP="00693007">
      <w:pPr>
        <w:pStyle w:val="Heading3"/>
        <w:tabs>
          <w:tab w:val="clear" w:pos="1440"/>
          <w:tab w:val="clear" w:pos="2160"/>
        </w:tabs>
      </w:pPr>
      <w:r w:rsidRPr="00D81B5B">
        <w:t>Sustainability</w:t>
      </w:r>
    </w:p>
    <w:p w:rsidR="004D2889" w:rsidRPr="00D81B5B" w:rsidRDefault="004D2889" w:rsidP="00D81B5B">
      <w:pPr>
        <w:pStyle w:val="BodyText"/>
      </w:pPr>
      <w:r>
        <w:t>The s</w:t>
      </w:r>
      <w:r w:rsidRPr="00D81B5B">
        <w:t xml:space="preserve">ustainability </w:t>
      </w:r>
      <w:r>
        <w:t xml:space="preserve">of the outcomes of support </w:t>
      </w:r>
      <w:r w:rsidRPr="00D81B5B">
        <w:t xml:space="preserve">was identified as an area for improvement in the majority of </w:t>
      </w:r>
      <w:r>
        <w:t>reports on the performance of</w:t>
      </w:r>
      <w:r w:rsidRPr="00D81B5B">
        <w:t xml:space="preserve"> </w:t>
      </w:r>
      <w:r>
        <w:t xml:space="preserve">activities being </w:t>
      </w:r>
      <w:r w:rsidRPr="00D81B5B">
        <w:t>implement</w:t>
      </w:r>
      <w:r>
        <w:t>ed in 2008</w:t>
      </w:r>
      <w:r w:rsidRPr="00D81B5B">
        <w:t>.</w:t>
      </w:r>
      <w:r>
        <w:t xml:space="preserve"> </w:t>
      </w:r>
      <w:r w:rsidRPr="00D81B5B">
        <w:t xml:space="preserve">High </w:t>
      </w:r>
      <w:r>
        <w:t xml:space="preserve">rates </w:t>
      </w:r>
      <w:r w:rsidRPr="00D81B5B">
        <w:t>emigration and staff turnover can be a challenge for Tongan institutions and</w:t>
      </w:r>
      <w:r>
        <w:t>,</w:t>
      </w:r>
      <w:r w:rsidRPr="00D81B5B">
        <w:t xml:space="preserve"> in some cases, capacity substitution is a necessary form of assistance</w:t>
      </w:r>
      <w:r>
        <w:t xml:space="preserve"> to Tonga</w:t>
      </w:r>
      <w:r w:rsidRPr="00D81B5B">
        <w:t>.</w:t>
      </w:r>
      <w:r>
        <w:t xml:space="preserve"> </w:t>
      </w:r>
      <w:r w:rsidRPr="00D81B5B">
        <w:t xml:space="preserve">This is currently not well reflected in program assessments of sustainability and more will be done to communicate the rationale behind these types of assistance in </w:t>
      </w:r>
      <w:r>
        <w:t xml:space="preserve">the </w:t>
      </w:r>
      <w:r w:rsidRPr="00D81B5B">
        <w:t>future.</w:t>
      </w:r>
    </w:p>
    <w:p w:rsidR="004D2889" w:rsidRDefault="004D2889" w:rsidP="00693007">
      <w:pPr>
        <w:pStyle w:val="Heading3"/>
        <w:tabs>
          <w:tab w:val="clear" w:pos="1440"/>
          <w:tab w:val="clear" w:pos="2160"/>
        </w:tabs>
      </w:pPr>
      <w:r>
        <w:t>Monitoring and evaluation</w:t>
      </w:r>
      <w:r w:rsidRPr="00D81B5B">
        <w:t xml:space="preserve"> and performance management</w:t>
      </w:r>
    </w:p>
    <w:p w:rsidR="004D2889" w:rsidRDefault="004D2889" w:rsidP="00D81B5B">
      <w:pPr>
        <w:pStyle w:val="BodyText"/>
      </w:pPr>
      <w:r w:rsidRPr="00D81B5B">
        <w:t xml:space="preserve">A significant number of program activities are small and not subject to the formal performance reporting system. The changes to the program portfolio driven by the Partnership for Development should result in fewer (but larger) activities, which will improve efficiencies in collecting </w:t>
      </w:r>
      <w:r>
        <w:t xml:space="preserve">information </w:t>
      </w:r>
      <w:r w:rsidRPr="00D81B5B">
        <w:t>and reporting on program performance.</w:t>
      </w:r>
      <w:r>
        <w:t xml:space="preserve"> </w:t>
      </w:r>
      <w:r w:rsidRPr="00D81B5B">
        <w:t>Effective</w:t>
      </w:r>
      <w:r>
        <w:t>ly</w:t>
      </w:r>
      <w:r w:rsidRPr="00D81B5B">
        <w:t xml:space="preserve"> monitoring and coordinati</w:t>
      </w:r>
      <w:r>
        <w:t>ng</w:t>
      </w:r>
      <w:r w:rsidRPr="00D81B5B">
        <w:t xml:space="preserve"> regional initiatives has been a particular challenge, and program manage</w:t>
      </w:r>
      <w:r>
        <w:t>rs</w:t>
      </w:r>
      <w:r w:rsidRPr="00D81B5B">
        <w:t xml:space="preserve"> will continue to work with regional program areas to ensure </w:t>
      </w:r>
      <w:r>
        <w:t xml:space="preserve">that </w:t>
      </w:r>
      <w:r w:rsidRPr="00D81B5B">
        <w:t xml:space="preserve">regional initiatives are well linked to </w:t>
      </w:r>
      <w:r>
        <w:t xml:space="preserve">the </w:t>
      </w:r>
      <w:r w:rsidRPr="00D81B5B">
        <w:t>overarching bilateral program objectives under the Partnership for Development.</w:t>
      </w:r>
      <w:r>
        <w:t xml:space="preserve"> </w:t>
      </w:r>
    </w:p>
    <w:p w:rsidR="004D2889" w:rsidRPr="00D81B5B" w:rsidRDefault="004D2889" w:rsidP="00D81B5B">
      <w:pPr>
        <w:pStyle w:val="BodyText"/>
      </w:pPr>
      <w:r w:rsidRPr="00D81B5B">
        <w:t xml:space="preserve">The move to </w:t>
      </w:r>
      <w:r>
        <w:t xml:space="preserve">more </w:t>
      </w:r>
      <w:r w:rsidRPr="00D81B5B">
        <w:t>close</w:t>
      </w:r>
      <w:r>
        <w:t>ly</w:t>
      </w:r>
      <w:r w:rsidRPr="00D81B5B">
        <w:t xml:space="preserve"> engage with programs </w:t>
      </w:r>
      <w:r>
        <w:t xml:space="preserve">of the Government of Tonga </w:t>
      </w:r>
      <w:r w:rsidRPr="00D81B5B">
        <w:t xml:space="preserve">will also see an increased focus on supporting the </w:t>
      </w:r>
      <w:r>
        <w:t>government</w:t>
      </w:r>
      <w:r w:rsidRPr="00D81B5B">
        <w:t xml:space="preserve"> to improve its monitoring and evaluation capacity.</w:t>
      </w:r>
      <w:r>
        <w:t xml:space="preserve"> </w:t>
      </w:r>
      <w:r w:rsidRPr="00D81B5B">
        <w:t xml:space="preserve">This will help </w:t>
      </w:r>
      <w:r>
        <w:t xml:space="preserve">to </w:t>
      </w:r>
      <w:r w:rsidRPr="00D81B5B">
        <w:t xml:space="preserve">ensure that both </w:t>
      </w:r>
      <w:r>
        <w:t xml:space="preserve">the Government of Tonga </w:t>
      </w:r>
      <w:r w:rsidRPr="00D81B5B">
        <w:t xml:space="preserve">and AusAID have credible and reliable evidence to assess the effectiveness of </w:t>
      </w:r>
      <w:r>
        <w:t>the government’s</w:t>
      </w:r>
      <w:r w:rsidRPr="00D81B5B">
        <w:t xml:space="preserve"> programs and the contributions of Australia</w:t>
      </w:r>
      <w:r>
        <w:t>n</w:t>
      </w:r>
      <w:r w:rsidRPr="00D81B5B">
        <w:t xml:space="preserve"> support.</w:t>
      </w:r>
      <w:r>
        <w:t xml:space="preserve"> </w:t>
      </w:r>
      <w:r w:rsidRPr="00D81B5B">
        <w:t xml:space="preserve">The </w:t>
      </w:r>
      <w:r>
        <w:t xml:space="preserve">Government of Tonga </w:t>
      </w:r>
      <w:r w:rsidRPr="00D81B5B">
        <w:t xml:space="preserve">is also looking to improve its capacity to monitor the results of its new National Strategic Planning Framework, which is an area </w:t>
      </w:r>
      <w:smartTag w:uri="urn:schemas-microsoft-com:office:smarttags" w:element="place">
        <w:smartTag w:uri="urn:schemas-microsoft-com:office:smarttags" w:element="country-region">
          <w:r w:rsidRPr="00D81B5B">
            <w:t>Australia</w:t>
          </w:r>
        </w:smartTag>
      </w:smartTag>
      <w:r w:rsidRPr="00D81B5B">
        <w:t xml:space="preserve"> will consider supporting either directly or via its sector</w:t>
      </w:r>
      <w:r>
        <w:t>al</w:t>
      </w:r>
      <w:r w:rsidRPr="00D81B5B">
        <w:t xml:space="preserve"> work.</w:t>
      </w:r>
    </w:p>
    <w:p w:rsidR="004D2889" w:rsidRPr="00D81B5B" w:rsidRDefault="004D2889" w:rsidP="00693007">
      <w:pPr>
        <w:pStyle w:val="Heading2unnumbered"/>
        <w:tabs>
          <w:tab w:val="clear" w:pos="1440"/>
        </w:tabs>
      </w:pPr>
      <w:bookmarkStart w:id="33" w:name="_Toc245617149"/>
      <w:bookmarkStart w:id="34" w:name="_Toc245617176"/>
      <w:bookmarkStart w:id="35" w:name="_Toc246494179"/>
      <w:bookmarkStart w:id="36" w:name="_Toc246823822"/>
      <w:bookmarkStart w:id="37" w:name="_Toc250463759"/>
      <w:bookmarkStart w:id="38" w:name="_Toc250710276"/>
      <w:r w:rsidRPr="00D81B5B">
        <w:t>Main management consequences</w:t>
      </w:r>
      <w:bookmarkEnd w:id="33"/>
      <w:bookmarkEnd w:id="34"/>
      <w:bookmarkEnd w:id="35"/>
      <w:bookmarkEnd w:id="36"/>
      <w:bookmarkEnd w:id="37"/>
      <w:bookmarkEnd w:id="38"/>
    </w:p>
    <w:p w:rsidR="004D2889" w:rsidRDefault="004D2889">
      <w:pPr>
        <w:pStyle w:val="Heading3"/>
        <w:tabs>
          <w:tab w:val="clear" w:pos="1440"/>
          <w:tab w:val="clear" w:pos="2160"/>
        </w:tabs>
        <w:spacing w:before="240"/>
      </w:pPr>
      <w:r w:rsidRPr="00D81B5B">
        <w:t>Donor coordination</w:t>
      </w:r>
    </w:p>
    <w:p w:rsidR="004D2889" w:rsidRPr="00D81B5B" w:rsidRDefault="004D2889" w:rsidP="00D81B5B">
      <w:pPr>
        <w:pStyle w:val="BodyText"/>
        <w:rPr>
          <w:b/>
        </w:rPr>
      </w:pPr>
      <w:r w:rsidRPr="00D81B5B">
        <w:t xml:space="preserve">AusAID, NZAID, the Asian Development Bank, the World Bank and </w:t>
      </w:r>
      <w:smartTag w:uri="urn:schemas-microsoft-com:office:smarttags" w:element="country-region">
        <w:smartTag w:uri="urn:schemas-microsoft-com:office:smarttags" w:element="place">
          <w:r w:rsidRPr="00D81B5B">
            <w:t>Tonga</w:t>
          </w:r>
        </w:smartTag>
      </w:smartTag>
      <w:r w:rsidRPr="00D81B5B">
        <w:t xml:space="preserve"> signed a Joint Declaration on Aid Harmonisation in 2007.</w:t>
      </w:r>
      <w:r>
        <w:t xml:space="preserve"> </w:t>
      </w:r>
      <w:r w:rsidRPr="00D81B5B">
        <w:t>AusAID and NZAID have taken practical steps to translate this into action.</w:t>
      </w:r>
      <w:r>
        <w:t xml:space="preserve"> </w:t>
      </w:r>
      <w:r w:rsidRPr="00D81B5B">
        <w:t xml:space="preserve">Scholarship programs are being jointly advertised, with </w:t>
      </w:r>
      <w:r>
        <w:t>recipients</w:t>
      </w:r>
      <w:r w:rsidRPr="00D81B5B">
        <w:t xml:space="preserve"> selected in partnership with </w:t>
      </w:r>
      <w:r>
        <w:t>the Government of Tonga</w:t>
      </w:r>
      <w:r w:rsidRPr="00D81B5B">
        <w:t>.</w:t>
      </w:r>
      <w:r>
        <w:t xml:space="preserve"> </w:t>
      </w:r>
      <w:r w:rsidRPr="00D81B5B">
        <w:t xml:space="preserve">Joint funding of regional programs, such as the Pacific Judicial Development Program, has reduced the administrative burden on </w:t>
      </w:r>
      <w:r>
        <w:t>Tonga</w:t>
      </w:r>
      <w:r w:rsidRPr="00D81B5B">
        <w:t>.</w:t>
      </w:r>
      <w:r>
        <w:t xml:space="preserve"> </w:t>
      </w:r>
      <w:r w:rsidRPr="00D81B5B">
        <w:t xml:space="preserve">Joint programs in policing and technical </w:t>
      </w:r>
      <w:r>
        <w:t xml:space="preserve">and </w:t>
      </w:r>
      <w:r w:rsidRPr="00D81B5B">
        <w:t xml:space="preserve">vocational education are being designed with </w:t>
      </w:r>
      <w:smartTag w:uri="urn:schemas-microsoft-com:office:smarttags" w:element="country-region">
        <w:smartTag w:uri="urn:schemas-microsoft-com:office:smarttags" w:element="place">
          <w:r w:rsidRPr="00D81B5B">
            <w:t>New Zealand</w:t>
          </w:r>
        </w:smartTag>
      </w:smartTag>
      <w:r w:rsidRPr="00D81B5B">
        <w:t>, and there is generally a good division of labour between the two donors.</w:t>
      </w:r>
      <w:r>
        <w:t xml:space="preserve"> </w:t>
      </w:r>
      <w:r>
        <w:lastRenderedPageBreak/>
        <w:t>Options for d</w:t>
      </w:r>
      <w:r w:rsidRPr="00D81B5B">
        <w:t>elegat</w:t>
      </w:r>
      <w:r>
        <w:t>ing</w:t>
      </w:r>
      <w:r w:rsidRPr="00D81B5B">
        <w:t xml:space="preserve"> responsibilit</w:t>
      </w:r>
      <w:r>
        <w:t>ies</w:t>
      </w:r>
      <w:r w:rsidRPr="00D81B5B">
        <w:t xml:space="preserve"> </w:t>
      </w:r>
      <w:r>
        <w:t>are</w:t>
      </w:r>
      <w:r w:rsidRPr="00D81B5B">
        <w:t xml:space="preserve"> being considered for </w:t>
      </w:r>
      <w:r>
        <w:t>technical and vocational education and training</w:t>
      </w:r>
      <w:r w:rsidRPr="00D81B5B">
        <w:t>, the Tonga Education Support Program and civil society support.</w:t>
      </w:r>
      <w:r>
        <w:t xml:space="preserve"> </w:t>
      </w:r>
      <w:r w:rsidRPr="00D81B5B">
        <w:t xml:space="preserve">AusAID and NZAID are also collaborating in the health sector, and there is considerable potential for further coordination with other donors, such as </w:t>
      </w:r>
      <w:r>
        <w:t xml:space="preserve">the </w:t>
      </w:r>
      <w:r w:rsidRPr="00AE73F8">
        <w:t>Japan International Cooperation Agency</w:t>
      </w:r>
      <w:r w:rsidRPr="00D81B5B">
        <w:t>, at the project level.</w:t>
      </w:r>
      <w:r>
        <w:t xml:space="preserve"> </w:t>
      </w:r>
      <w:r w:rsidRPr="00D81B5B">
        <w:t xml:space="preserve">Collectively, these efforts have helped </w:t>
      </w:r>
      <w:r>
        <w:t xml:space="preserve">to </w:t>
      </w:r>
      <w:r w:rsidRPr="00D81B5B">
        <w:t xml:space="preserve">reduce transaction costs for </w:t>
      </w:r>
      <w:r>
        <w:t>Tonga</w:t>
      </w:r>
      <w:r w:rsidRPr="00D81B5B">
        <w:t xml:space="preserve"> and improve </w:t>
      </w:r>
      <w:r>
        <w:t xml:space="preserve">the </w:t>
      </w:r>
      <w:r w:rsidRPr="00D81B5B">
        <w:t>coordination of assistance.</w:t>
      </w:r>
      <w:r>
        <w:t xml:space="preserve"> </w:t>
      </w:r>
      <w:r w:rsidRPr="00D81B5B">
        <w:t>Even so, wider aid coordination and harmonisation remain challenging.</w:t>
      </w:r>
    </w:p>
    <w:p w:rsidR="004D2889" w:rsidRPr="00D81B5B" w:rsidRDefault="004D2889" w:rsidP="00693007">
      <w:pPr>
        <w:pStyle w:val="BodyText"/>
      </w:pPr>
      <w:r w:rsidRPr="00D81B5B">
        <w:t xml:space="preserve">The </w:t>
      </w:r>
      <w:r>
        <w:t>Government of Tonga</w:t>
      </w:r>
      <w:r w:rsidRPr="00D81B5B">
        <w:t xml:space="preserve"> recently established </w:t>
      </w:r>
      <w:r>
        <w:t>the</w:t>
      </w:r>
      <w:r w:rsidRPr="00D81B5B">
        <w:t xml:space="preserve"> Aid Management Division within the Ministry of Finance</w:t>
      </w:r>
      <w:r>
        <w:t xml:space="preserve"> and Planning</w:t>
      </w:r>
      <w:r w:rsidRPr="00D81B5B">
        <w:t xml:space="preserve">, and AusAID is funding an adviser </w:t>
      </w:r>
      <w:r>
        <w:t xml:space="preserve">on </w:t>
      </w:r>
      <w:r w:rsidRPr="00D81B5B">
        <w:t>aid harmonisation to provide support in this area.</w:t>
      </w:r>
      <w:r>
        <w:t xml:space="preserve"> </w:t>
      </w:r>
      <w:r w:rsidRPr="00D81B5B">
        <w:t xml:space="preserve">The </w:t>
      </w:r>
      <w:r>
        <w:t>d</w:t>
      </w:r>
      <w:r w:rsidRPr="00D81B5B">
        <w:t xml:space="preserve">ivision has developed an aid management database and established reporting mechanisms </w:t>
      </w:r>
      <w:r>
        <w:t>that</w:t>
      </w:r>
      <w:r w:rsidRPr="00D81B5B">
        <w:t xml:space="preserve"> aim to better reflect donor resources in the national budget, although to date Australia is the only donor to provide the required </w:t>
      </w:r>
      <w:r>
        <w:t xml:space="preserve">information on </w:t>
      </w:r>
      <w:r w:rsidRPr="00D81B5B">
        <w:t>quarterly budget expenditure.</w:t>
      </w:r>
      <w:r>
        <w:t xml:space="preserve"> </w:t>
      </w:r>
      <w:r w:rsidRPr="00D81B5B">
        <w:t xml:space="preserve">The </w:t>
      </w:r>
      <w:r>
        <w:t>division</w:t>
      </w:r>
      <w:r w:rsidRPr="00D81B5B">
        <w:t xml:space="preserve"> has yet to take on the lead role in facilitating donor coordination and there are currently few opportunities for donor dialogue.</w:t>
      </w:r>
      <w:r>
        <w:t xml:space="preserve"> </w:t>
      </w:r>
      <w:r w:rsidRPr="00D81B5B">
        <w:t xml:space="preserve">It is worth noting in this context that </w:t>
      </w:r>
      <w:r>
        <w:t>the 2008</w:t>
      </w:r>
      <w:r w:rsidRPr="00D81B5B">
        <w:t xml:space="preserve"> </w:t>
      </w:r>
      <w:r>
        <w:t>program performance</w:t>
      </w:r>
      <w:r w:rsidRPr="00D81B5B">
        <w:t xml:space="preserve"> review meetings provided the first opportunity for several major donors, including the World Bank, </w:t>
      </w:r>
      <w:r>
        <w:t>the European Union</w:t>
      </w:r>
      <w:r w:rsidRPr="00D81B5B">
        <w:t xml:space="preserve">, </w:t>
      </w:r>
      <w:r w:rsidRPr="00AE73F8">
        <w:t xml:space="preserve">Japan </w:t>
      </w:r>
      <w:r w:rsidRPr="00D81B5B">
        <w:t>and China, to collectively discuss their programs.</w:t>
      </w:r>
    </w:p>
    <w:p w:rsidR="004D2889" w:rsidRDefault="004D2889" w:rsidP="00693007">
      <w:pPr>
        <w:pStyle w:val="Heading3"/>
        <w:tabs>
          <w:tab w:val="clear" w:pos="1440"/>
          <w:tab w:val="clear" w:pos="2160"/>
        </w:tabs>
      </w:pPr>
      <w:r w:rsidRPr="00D81B5B">
        <w:t>Use of partner government systems</w:t>
      </w:r>
    </w:p>
    <w:p w:rsidR="004D2889" w:rsidRPr="00245DEE" w:rsidRDefault="004D2889" w:rsidP="00D81B5B">
      <w:pPr>
        <w:pStyle w:val="BodyText"/>
        <w:rPr>
          <w:spacing w:val="-2"/>
        </w:rPr>
      </w:pPr>
      <w:r w:rsidRPr="00DC005A">
        <w:rPr>
          <w:spacing w:val="-2"/>
        </w:rPr>
        <w:t xml:space="preserve">Increased use of Tonga’s government systems </w:t>
      </w:r>
      <w:r>
        <w:rPr>
          <w:spacing w:val="-2"/>
        </w:rPr>
        <w:t>will be</w:t>
      </w:r>
      <w:r w:rsidRPr="00DC005A">
        <w:rPr>
          <w:spacing w:val="-2"/>
        </w:rPr>
        <w:t xml:space="preserve"> part of the Partnership for Development. </w:t>
      </w:r>
      <w:r>
        <w:rPr>
          <w:spacing w:val="-2"/>
        </w:rPr>
        <w:t>Because of</w:t>
      </w:r>
      <w:r w:rsidRPr="00DC005A">
        <w:rPr>
          <w:spacing w:val="-2"/>
        </w:rPr>
        <w:t xml:space="preserve"> this, AusAID commissioned a procurement review in December 2008 as part of its fiduciary risk analysis. The review identified the need to finalise the legal and regulatory frameworks for procurement as a key priority. In the meantime, AusAID will support a procurement team within the Ministry of Finance and Planning to undertake AusAID procurement until the Government of Tonga has established its legal and regulatory framework</w:t>
      </w:r>
      <w:r>
        <w:rPr>
          <w:spacing w:val="-2"/>
        </w:rPr>
        <w:t>s</w:t>
      </w:r>
      <w:r w:rsidRPr="00DC005A">
        <w:rPr>
          <w:spacing w:val="-2"/>
        </w:rPr>
        <w:t xml:space="preserve"> and has the capacity to undertake procurement. Capacity building will be a focus of the team.</w:t>
      </w:r>
    </w:p>
    <w:p w:rsidR="004D2889" w:rsidRDefault="004D2889" w:rsidP="00693007">
      <w:pPr>
        <w:pStyle w:val="Heading3"/>
        <w:tabs>
          <w:tab w:val="clear" w:pos="1440"/>
          <w:tab w:val="clear" w:pos="2160"/>
        </w:tabs>
      </w:pPr>
      <w:r w:rsidRPr="00D81B5B">
        <w:t>Country and regional programs</w:t>
      </w:r>
    </w:p>
    <w:p w:rsidR="004D2889" w:rsidRPr="00D81B5B" w:rsidRDefault="004D2889" w:rsidP="00D81B5B">
      <w:pPr>
        <w:pStyle w:val="BodyText"/>
        <w:rPr>
          <w:b/>
        </w:rPr>
      </w:pPr>
      <w:r w:rsidRPr="00D81B5B">
        <w:t>Coordination within AusAID, particularly between regional and bilateral programs, has been challenging</w:t>
      </w:r>
      <w:r>
        <w:t xml:space="preserve"> and needs to be improved</w:t>
      </w:r>
      <w:r w:rsidRPr="00D81B5B">
        <w:t>.</w:t>
      </w:r>
      <w:r>
        <w:t xml:space="preserve"> </w:t>
      </w:r>
      <w:r w:rsidRPr="00D81B5B">
        <w:t xml:space="preserve">There are up to 25 regional activities </w:t>
      </w:r>
      <w:r>
        <w:t>that</w:t>
      </w:r>
      <w:r w:rsidRPr="00D81B5B">
        <w:t xml:space="preserve"> are intended to benefit Tonga</w:t>
      </w:r>
      <w:r>
        <w:t>.</w:t>
      </w:r>
      <w:r w:rsidRPr="00D81B5B">
        <w:t xml:space="preserve"> </w:t>
      </w:r>
      <w:r>
        <w:t>T</w:t>
      </w:r>
      <w:r w:rsidRPr="00D81B5B">
        <w:t>he large number of regional initiatives makes it difficult to track progress, and reporting on outcomes has tended to be largely anecdotal.</w:t>
      </w:r>
      <w:r>
        <w:t xml:space="preserve"> </w:t>
      </w:r>
      <w:r w:rsidRPr="00D81B5B">
        <w:t xml:space="preserve">It can </w:t>
      </w:r>
      <w:r>
        <w:t xml:space="preserve">also </w:t>
      </w:r>
      <w:r w:rsidRPr="00D81B5B">
        <w:t xml:space="preserve">be difficult to tie these initiatives to </w:t>
      </w:r>
      <w:r>
        <w:t xml:space="preserve">the </w:t>
      </w:r>
      <w:r w:rsidRPr="00D81B5B">
        <w:t>broader strategic objectives</w:t>
      </w:r>
      <w:r>
        <w:t xml:space="preserve"> of the Tonga aid program</w:t>
      </w:r>
      <w:r w:rsidRPr="00D81B5B">
        <w:t>.</w:t>
      </w:r>
    </w:p>
    <w:p w:rsidR="004D2889" w:rsidRDefault="004D2889" w:rsidP="00693007">
      <w:pPr>
        <w:pStyle w:val="Heading3"/>
        <w:tabs>
          <w:tab w:val="clear" w:pos="1440"/>
          <w:tab w:val="clear" w:pos="2160"/>
        </w:tabs>
      </w:pPr>
      <w:r w:rsidRPr="00D81B5B">
        <w:t>Global recession and potential implications for donor assistance</w:t>
      </w:r>
    </w:p>
    <w:p w:rsidR="004D2889" w:rsidRPr="00D81B5B" w:rsidRDefault="004D2889" w:rsidP="00D81B5B">
      <w:pPr>
        <w:pStyle w:val="BodyText"/>
      </w:pPr>
      <w:r w:rsidRPr="00D81B5B">
        <w:t xml:space="preserve">The </w:t>
      </w:r>
      <w:r>
        <w:t>gloomy</w:t>
      </w:r>
      <w:r w:rsidRPr="00D81B5B">
        <w:t xml:space="preserve"> outlook for global employment and </w:t>
      </w:r>
      <w:r>
        <w:t xml:space="preserve">economic </w:t>
      </w:r>
      <w:r w:rsidRPr="00D81B5B">
        <w:t xml:space="preserve">growth means </w:t>
      </w:r>
      <w:r>
        <w:t>that the Government of Tonga</w:t>
      </w:r>
      <w:r w:rsidRPr="00D81B5B">
        <w:t xml:space="preserve"> and development partners are now looking to make investments </w:t>
      </w:r>
      <w:r>
        <w:t>that</w:t>
      </w:r>
      <w:r w:rsidRPr="00D81B5B">
        <w:t xml:space="preserve"> stimulate local employment opportunities and provide a cushion against adverse economic shocks.</w:t>
      </w:r>
      <w:r>
        <w:t xml:space="preserve"> </w:t>
      </w:r>
      <w:r w:rsidRPr="00D81B5B">
        <w:t xml:space="preserve">In practical terms, in the short term this may </w:t>
      </w:r>
      <w:r>
        <w:t>mean</w:t>
      </w:r>
      <w:r w:rsidRPr="00D81B5B">
        <w:t xml:space="preserve"> support</w:t>
      </w:r>
      <w:r>
        <w:t>ing</w:t>
      </w:r>
      <w:r w:rsidRPr="00D81B5B">
        <w:t xml:space="preserve"> labour-intensive infrastructure investments, including road maintenance.</w:t>
      </w:r>
      <w:r>
        <w:t xml:space="preserve"> T</w:t>
      </w:r>
      <w:r w:rsidRPr="00D81B5B">
        <w:t xml:space="preserve">his will include </w:t>
      </w:r>
      <w:r>
        <w:t xml:space="preserve">short-term </w:t>
      </w:r>
      <w:r w:rsidRPr="00D81B5B">
        <w:t>financial assistance from AusAID, as well as an ongoing focus with</w:t>
      </w:r>
      <w:r>
        <w:t xml:space="preserve"> the partners of</w:t>
      </w:r>
      <w:r w:rsidRPr="00D81B5B">
        <w:t xml:space="preserve"> </w:t>
      </w:r>
      <w:r>
        <w:t>the</w:t>
      </w:r>
      <w:r w:rsidRPr="00D81B5B">
        <w:t xml:space="preserve"> Pacific Regional Infrastructure Initiative (</w:t>
      </w:r>
      <w:r>
        <w:t>the Asian Development Bank</w:t>
      </w:r>
      <w:r w:rsidRPr="00D81B5B">
        <w:t xml:space="preserve">, </w:t>
      </w:r>
      <w:r>
        <w:t xml:space="preserve">the World Bank </w:t>
      </w:r>
      <w:r w:rsidRPr="00D81B5B">
        <w:t>and NZ</w:t>
      </w:r>
      <w:r>
        <w:t>AID</w:t>
      </w:r>
      <w:r w:rsidRPr="00D81B5B">
        <w:t xml:space="preserve">) and </w:t>
      </w:r>
      <w:r>
        <w:t>the Government of Tonga</w:t>
      </w:r>
      <w:r w:rsidRPr="00D81B5B">
        <w:t xml:space="preserve"> on a sustainable road maintenance program.</w:t>
      </w:r>
    </w:p>
    <w:p w:rsidR="004D2889" w:rsidRDefault="004D2889" w:rsidP="006D5637">
      <w:pPr>
        <w:pStyle w:val="Heading1unnumbered"/>
        <w:spacing w:after="1800"/>
        <w:rPr>
          <w:noProof/>
        </w:rPr>
      </w:pPr>
      <w:bookmarkStart w:id="39" w:name="_Toc250710277"/>
      <w:r>
        <w:lastRenderedPageBreak/>
        <w:t>Country</w:t>
      </w:r>
      <w:r w:rsidRPr="003E2C33">
        <w:t xml:space="preserve"> performance</w:t>
      </w:r>
      <w:r w:rsidR="000C5DE1">
        <w:rPr>
          <w:noProof/>
          <w:lang w:val="en-US" w:eastAsia="en-US"/>
        </w:rPr>
        <w:drawing>
          <wp:anchor distT="0" distB="0" distL="114300" distR="114300" simplePos="0" relativeHeight="251654656" behindDoc="1" locked="0" layoutInCell="1" allowOverlap="1" wp14:anchorId="3CBEAA59" wp14:editId="7999EAC0">
            <wp:simplePos x="0" y="0"/>
            <wp:positionH relativeFrom="page">
              <wp:posOffset>0</wp:posOffset>
            </wp:positionH>
            <wp:positionV relativeFrom="page">
              <wp:posOffset>1386205</wp:posOffset>
            </wp:positionV>
            <wp:extent cx="7560310" cy="1585595"/>
            <wp:effectExtent l="0" t="0" r="2540" b="0"/>
            <wp:wrapNone/>
            <wp:docPr id="13" name="Picture 1240"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descr="AusAID graphics pacific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9"/>
    </w:p>
    <w:p w:rsidR="004D2889" w:rsidRPr="003B3AC9" w:rsidRDefault="004D2889" w:rsidP="003B3AC9">
      <w:pPr>
        <w:pStyle w:val="BodyText"/>
      </w:pPr>
      <w:r w:rsidRPr="003B3AC9">
        <w:t xml:space="preserve">By most estimates, </w:t>
      </w:r>
      <w:smartTag w:uri="urn:schemas-microsoft-com:office:smarttags" w:element="country-region">
        <w:smartTag w:uri="urn:schemas-microsoft-com:office:smarttags" w:element="place">
          <w:r w:rsidRPr="003B3AC9">
            <w:t>Tonga</w:t>
          </w:r>
        </w:smartTag>
      </w:smartTag>
      <w:r w:rsidRPr="003B3AC9">
        <w:t xml:space="preserve"> has met most of the </w:t>
      </w:r>
      <w:r w:rsidRPr="00DC005A">
        <w:rPr>
          <w:b/>
        </w:rPr>
        <w:t>Millennium Development Goals</w:t>
      </w:r>
      <w:r w:rsidRPr="003B3AC9">
        <w:t>. Absolute poverty is limited.</w:t>
      </w:r>
      <w:r>
        <w:t xml:space="preserve"> </w:t>
      </w:r>
      <w:r w:rsidRPr="003B3AC9">
        <w:t>There is near universal primary education, and around two</w:t>
      </w:r>
      <w:r>
        <w:t>-</w:t>
      </w:r>
      <w:r w:rsidRPr="003B3AC9">
        <w:t>thirds of Tongan children attend secondary school.</w:t>
      </w:r>
      <w:r>
        <w:t xml:space="preserve"> </w:t>
      </w:r>
      <w:r w:rsidRPr="003B3AC9">
        <w:t xml:space="preserve">Health outcomes are the best </w:t>
      </w:r>
      <w:r>
        <w:t>among</w:t>
      </w:r>
      <w:r w:rsidRPr="003B3AC9">
        <w:t xml:space="preserve"> Pacific </w:t>
      </w:r>
      <w:r>
        <w:t xml:space="preserve">island countries </w:t>
      </w:r>
      <w:r w:rsidRPr="003B3AC9">
        <w:t>as a result of many years of investment in the sector.</w:t>
      </w:r>
      <w:r>
        <w:t xml:space="preserve"> </w:t>
      </w:r>
      <w:r w:rsidRPr="003B3AC9">
        <w:t>Child mortality is low and there is no evidence of child malnutrition.</w:t>
      </w:r>
      <w:r>
        <w:t xml:space="preserve"> </w:t>
      </w:r>
      <w:r w:rsidRPr="003B3AC9">
        <w:t>It is estimated that all Tongans have access to safe water and around 96</w:t>
      </w:r>
      <w:r>
        <w:t> </w:t>
      </w:r>
      <w:r w:rsidRPr="003B3AC9">
        <w:t xml:space="preserve">per cent to </w:t>
      </w:r>
      <w:r>
        <w:t>at least basic</w:t>
      </w:r>
      <w:r w:rsidRPr="003B3AC9">
        <w:t xml:space="preserve"> sanitation.</w:t>
      </w:r>
    </w:p>
    <w:p w:rsidR="004D2889" w:rsidRPr="003B3AC9" w:rsidRDefault="004D2889" w:rsidP="003B3AC9">
      <w:pPr>
        <w:pStyle w:val="BodyText"/>
      </w:pPr>
      <w:r w:rsidRPr="003B3AC9">
        <w:t xml:space="preserve">But </w:t>
      </w:r>
      <w:r>
        <w:t>such</w:t>
      </w:r>
      <w:r w:rsidRPr="003B3AC9">
        <w:t xml:space="preserve"> figures tell only a part</w:t>
      </w:r>
      <w:r>
        <w:t xml:space="preserve"> of the</w:t>
      </w:r>
      <w:r w:rsidRPr="003B3AC9">
        <w:t xml:space="preserve"> story.</w:t>
      </w:r>
      <w:r>
        <w:t xml:space="preserve"> </w:t>
      </w:r>
      <w:r w:rsidRPr="003B3AC9">
        <w:t xml:space="preserve">Health gains are threatened by the rise in non-communicable diseases, and both </w:t>
      </w:r>
      <w:r>
        <w:t xml:space="preserve">the </w:t>
      </w:r>
      <w:r w:rsidRPr="003B3AC9">
        <w:t xml:space="preserve">quality and </w:t>
      </w:r>
      <w:r>
        <w:t xml:space="preserve">the </w:t>
      </w:r>
      <w:r w:rsidRPr="003B3AC9">
        <w:t>equ</w:t>
      </w:r>
      <w:r>
        <w:t>al</w:t>
      </w:r>
      <w:r w:rsidRPr="003B3AC9">
        <w:t>ity in education need</w:t>
      </w:r>
      <w:r>
        <w:t xml:space="preserve"> to be</w:t>
      </w:r>
      <w:r w:rsidRPr="003B3AC9">
        <w:t xml:space="preserve"> improve</w:t>
      </w:r>
      <w:r>
        <w:t>d</w:t>
      </w:r>
      <w:r w:rsidRPr="003B3AC9">
        <w:t>.</w:t>
      </w:r>
      <w:r>
        <w:t xml:space="preserve"> </w:t>
      </w:r>
      <w:smartTag w:uri="urn:schemas-microsoft-com:office:smarttags" w:element="country-region">
        <w:smartTag w:uri="urn:schemas-microsoft-com:office:smarttags" w:element="place">
          <w:r w:rsidRPr="003B3AC9">
            <w:t>Tonga</w:t>
          </w:r>
        </w:smartTag>
      </w:smartTag>
      <w:r w:rsidRPr="003B3AC9">
        <w:t xml:space="preserve"> has experienced years of low </w:t>
      </w:r>
      <w:r>
        <w:t xml:space="preserve">economic </w:t>
      </w:r>
      <w:r w:rsidRPr="003B3AC9">
        <w:t>growth, has a narrow economic base, and is vulnerable to economic and environmental shocks.</w:t>
      </w:r>
      <w:r>
        <w:t xml:space="preserve"> </w:t>
      </w:r>
      <w:r w:rsidRPr="003B3AC9">
        <w:t xml:space="preserve">Around a quarter of Tongan households experience hardship in some form, the greatest hardship </w:t>
      </w:r>
      <w:r>
        <w:t>being</w:t>
      </w:r>
      <w:r w:rsidRPr="003B3AC9">
        <w:t xml:space="preserve"> </w:t>
      </w:r>
      <w:r>
        <w:t>o</w:t>
      </w:r>
      <w:r w:rsidRPr="003B3AC9">
        <w:t>n the outer islands and among recent migrants to urban areas.</w:t>
      </w:r>
      <w:r>
        <w:t xml:space="preserve"> </w:t>
      </w:r>
      <w:r w:rsidRPr="00D81B5B">
        <w:t>The majority of the population (71</w:t>
      </w:r>
      <w:r>
        <w:t> per cent of 101 </w:t>
      </w:r>
      <w:r w:rsidRPr="00D81B5B">
        <w:t xml:space="preserve">000) live on the main </w:t>
      </w:r>
      <w:smartTag w:uri="urn:schemas-microsoft-com:office:smarttags" w:element="PlaceType">
        <w:smartTag w:uri="urn:schemas-microsoft-com:office:smarttags" w:element="place">
          <w:r w:rsidRPr="00D81B5B">
            <w:t>island</w:t>
          </w:r>
        </w:smartTag>
        <w:r w:rsidRPr="00D81B5B">
          <w:t xml:space="preserve"> of </w:t>
        </w:r>
        <w:smartTag w:uri="urn:schemas-microsoft-com:office:smarttags" w:element="PlaceName">
          <w:r w:rsidRPr="00D81B5B">
            <w:t>Tongatapu</w:t>
          </w:r>
        </w:smartTag>
      </w:smartTag>
      <w:r w:rsidRPr="00D81B5B">
        <w:t>.</w:t>
      </w:r>
      <w:r>
        <w:t xml:space="preserve"> </w:t>
      </w:r>
      <w:r w:rsidRPr="003B3AC9">
        <w:t xml:space="preserve">People with </w:t>
      </w:r>
      <w:r>
        <w:t xml:space="preserve">a </w:t>
      </w:r>
      <w:r w:rsidRPr="003B3AC9">
        <w:t>disability face barriers to education and employment and are more likely to be living in poverty.</w:t>
      </w:r>
    </w:p>
    <w:p w:rsidR="004D2889" w:rsidRPr="003B3AC9" w:rsidRDefault="004D2889" w:rsidP="003B3AC9">
      <w:pPr>
        <w:pStyle w:val="BodyText"/>
      </w:pPr>
      <w:r w:rsidRPr="003B3AC9">
        <w:t xml:space="preserve">Like other Pacific island countries, </w:t>
      </w:r>
      <w:r w:rsidRPr="00DC005A">
        <w:rPr>
          <w:b/>
        </w:rPr>
        <w:t>Tonga’s vulnerability</w:t>
      </w:r>
      <w:r w:rsidRPr="003B3AC9">
        <w:t xml:space="preserve"> arises from its small size</w:t>
      </w:r>
      <w:r>
        <w:t>,</w:t>
      </w:r>
      <w:r w:rsidRPr="003B3AC9">
        <w:t xml:space="preserve"> its high level of exposure to the international economy</w:t>
      </w:r>
      <w:r>
        <w:t>,</w:t>
      </w:r>
      <w:r w:rsidRPr="003B3AC9">
        <w:t xml:space="preserve"> its narrow economic base</w:t>
      </w:r>
      <w:r>
        <w:t>,</w:t>
      </w:r>
      <w:r w:rsidRPr="003B3AC9">
        <w:t xml:space="preserve"> its relative isolation from markets and resulting high costs of transport and communication</w:t>
      </w:r>
      <w:r>
        <w:t>,</w:t>
      </w:r>
      <w:r w:rsidRPr="003B3AC9">
        <w:t xml:space="preserve"> the risk of political instability</w:t>
      </w:r>
      <w:r>
        <w:t>,</w:t>
      </w:r>
      <w:r w:rsidRPr="003B3AC9">
        <w:t xml:space="preserve"> the difficulty of providing </w:t>
      </w:r>
      <w:r>
        <w:t xml:space="preserve">employment </w:t>
      </w:r>
      <w:r w:rsidRPr="003B3AC9">
        <w:t>opportunities for a youthful population with high aspirations</w:t>
      </w:r>
      <w:r>
        <w:t>,</w:t>
      </w:r>
      <w:r w:rsidRPr="003B3AC9">
        <w:t xml:space="preserve"> and environmental threats, such as cyclones and </w:t>
      </w:r>
      <w:r>
        <w:t xml:space="preserve">the </w:t>
      </w:r>
      <w:r w:rsidRPr="003B3AC9">
        <w:t>rising sea level.</w:t>
      </w:r>
      <w:r>
        <w:t xml:space="preserve"> </w:t>
      </w:r>
      <w:smartTag w:uri="urn:schemas-microsoft-com:office:smarttags" w:element="country-region">
        <w:smartTag w:uri="urn:schemas-microsoft-com:office:smarttags" w:element="place">
          <w:r w:rsidRPr="003B3AC9">
            <w:t>Tonga</w:t>
          </w:r>
        </w:smartTag>
      </w:smartTag>
      <w:r w:rsidRPr="003B3AC9">
        <w:t xml:space="preserve"> has a vibrant but small private sector</w:t>
      </w:r>
      <w:r>
        <w:t xml:space="preserve"> and</w:t>
      </w:r>
      <w:r w:rsidRPr="003B3AC9">
        <w:t xml:space="preserve"> an active non</w:t>
      </w:r>
      <w:r>
        <w:t>-</w:t>
      </w:r>
      <w:r w:rsidRPr="003B3AC9">
        <w:t xml:space="preserve">government sector but </w:t>
      </w:r>
      <w:r>
        <w:t>they are</w:t>
      </w:r>
      <w:r w:rsidRPr="003B3AC9">
        <w:t xml:space="preserve"> constrained by limited access to resources and capacity constraints. </w:t>
      </w:r>
    </w:p>
    <w:p w:rsidR="004D2889" w:rsidRDefault="004D2889" w:rsidP="003B3AC9">
      <w:pPr>
        <w:pStyle w:val="BodyText"/>
      </w:pPr>
      <w:r w:rsidRPr="00DC005A">
        <w:rPr>
          <w:b/>
        </w:rPr>
        <w:t>Tonga’s economy</w:t>
      </w:r>
      <w:r w:rsidRPr="003B3AC9">
        <w:t xml:space="preserve"> depends mainly on the export of labour and to a lesser extent on agriculture, fishing and tourism.</w:t>
      </w:r>
      <w:r>
        <w:t xml:space="preserve"> </w:t>
      </w:r>
      <w:smartTag w:uri="urn:schemas-microsoft-com:office:smarttags" w:element="place">
        <w:smartTag w:uri="urn:schemas-microsoft-com:office:smarttags" w:element="country-region">
          <w:r w:rsidRPr="00912B96">
            <w:t>Tonga</w:t>
          </w:r>
        </w:smartTag>
      </w:smartTag>
      <w:r w:rsidRPr="00912B96">
        <w:t xml:space="preserve"> has been able to reach a relatively strong position as a lower middle</w:t>
      </w:r>
      <w:r>
        <w:t>-</w:t>
      </w:r>
      <w:r w:rsidRPr="00912B96">
        <w:t xml:space="preserve">income country in the Pacific in part </w:t>
      </w:r>
      <w:r>
        <w:t>because</w:t>
      </w:r>
      <w:r w:rsidRPr="00912B96">
        <w:t xml:space="preserve"> its high migration and remittance culture</w:t>
      </w:r>
      <w:r>
        <w:t>.</w:t>
      </w:r>
      <w:r w:rsidRPr="00912B96">
        <w:t xml:space="preserve"> </w:t>
      </w:r>
      <w:r>
        <w:t>About</w:t>
      </w:r>
      <w:r w:rsidRPr="00912B96">
        <w:t xml:space="preserve"> 50</w:t>
      </w:r>
      <w:r>
        <w:t> per cent</w:t>
      </w:r>
      <w:r w:rsidRPr="00912B96">
        <w:t xml:space="preserve"> of all Tongans liv</w:t>
      </w:r>
      <w:r>
        <w:t>e</w:t>
      </w:r>
      <w:r w:rsidRPr="00912B96">
        <w:t xml:space="preserve"> </w:t>
      </w:r>
      <w:r>
        <w:t>in other countries</w:t>
      </w:r>
      <w:r w:rsidRPr="00912B96">
        <w:t xml:space="preserve"> and </w:t>
      </w:r>
      <w:r>
        <w:t xml:space="preserve">in 2006 their </w:t>
      </w:r>
      <w:r w:rsidRPr="00912B96">
        <w:t>remittanc</w:t>
      </w:r>
      <w:r>
        <w:t>es represented approximately 45 per cent</w:t>
      </w:r>
      <w:r w:rsidRPr="00912B96">
        <w:t xml:space="preserve"> of </w:t>
      </w:r>
      <w:r>
        <w:t>gross domestic product (</w:t>
      </w:r>
      <w:r w:rsidRPr="00912B96">
        <w:t>GDP</w:t>
      </w:r>
      <w:r>
        <w:t>)</w:t>
      </w:r>
      <w:r w:rsidRPr="00912B96">
        <w:t>.</w:t>
      </w:r>
      <w:r>
        <w:rPr>
          <w:rStyle w:val="FootnoteReference"/>
        </w:rPr>
        <w:footnoteReference w:id="5"/>
      </w:r>
      <w:r>
        <w:t xml:space="preserve"> </w:t>
      </w:r>
      <w:r w:rsidRPr="00912B96">
        <w:t>Although remittances remained steady in nominal terms</w:t>
      </w:r>
      <w:r w:rsidRPr="00B610AB">
        <w:t xml:space="preserve"> </w:t>
      </w:r>
      <w:r w:rsidRPr="00912B96">
        <w:t>from 2004</w:t>
      </w:r>
      <w:r>
        <w:t>–</w:t>
      </w:r>
      <w:r w:rsidRPr="00912B96">
        <w:t>05 to 2006</w:t>
      </w:r>
      <w:r>
        <w:t>–</w:t>
      </w:r>
      <w:r w:rsidRPr="00912B96">
        <w:t xml:space="preserve">07, they </w:t>
      </w:r>
      <w:r>
        <w:t xml:space="preserve">fell </w:t>
      </w:r>
      <w:r w:rsidRPr="00912B96">
        <w:t>in real terms by 30</w:t>
      </w:r>
      <w:r>
        <w:t> per cent</w:t>
      </w:r>
      <w:r w:rsidRPr="00912B96">
        <w:t xml:space="preserve"> </w:t>
      </w:r>
      <w:r>
        <w:t>because the</w:t>
      </w:r>
      <w:r w:rsidRPr="00912B96">
        <w:t xml:space="preserve"> consistently high inflation in the kingdom reduced their purchasing power.</w:t>
      </w:r>
    </w:p>
    <w:p w:rsidR="004D2889" w:rsidRPr="003B3AC9" w:rsidRDefault="004D2889" w:rsidP="003B3AC9">
      <w:pPr>
        <w:pStyle w:val="BodyText"/>
      </w:pPr>
      <w:r w:rsidRPr="000C302A">
        <w:rPr>
          <w:spacing w:val="-2"/>
        </w:rPr>
        <w:t>Adverse external shocks led to fiscal deficits each year during the period 2003–04 to 2005–06.</w:t>
      </w:r>
      <w:r>
        <w:t xml:space="preserve"> The growth in </w:t>
      </w:r>
      <w:r w:rsidRPr="003B3AC9">
        <w:t>real GDP averaged 2.6</w:t>
      </w:r>
      <w:r>
        <w:t> per cent</w:t>
      </w:r>
      <w:r w:rsidRPr="003B3AC9">
        <w:t xml:space="preserve"> </w:t>
      </w:r>
      <w:r>
        <w:t xml:space="preserve">a year </w:t>
      </w:r>
      <w:r w:rsidRPr="003B3AC9">
        <w:t>from 1990</w:t>
      </w:r>
      <w:r>
        <w:t xml:space="preserve">–91 to </w:t>
      </w:r>
      <w:r w:rsidRPr="003B3AC9">
        <w:t>20</w:t>
      </w:r>
      <w:r>
        <w:t>02–</w:t>
      </w:r>
      <w:r w:rsidRPr="003B3AC9">
        <w:t>03</w:t>
      </w:r>
      <w:r>
        <w:t xml:space="preserve"> and then was</w:t>
      </w:r>
      <w:r w:rsidRPr="003B3AC9">
        <w:t xml:space="preserve"> below 2</w:t>
      </w:r>
      <w:r>
        <w:t> per cent</w:t>
      </w:r>
      <w:r w:rsidRPr="003B3AC9">
        <w:t xml:space="preserve"> </w:t>
      </w:r>
      <w:r>
        <w:t>until 2005–06, when it</w:t>
      </w:r>
      <w:r w:rsidRPr="003B3AC9">
        <w:t xml:space="preserve"> stalled following the riots.</w:t>
      </w:r>
      <w:r w:rsidRPr="000F0223">
        <w:rPr>
          <w:rStyle w:val="FootnoteReference"/>
        </w:rPr>
        <w:footnoteReference w:id="6"/>
      </w:r>
      <w:r>
        <w:t xml:space="preserve"> </w:t>
      </w:r>
      <w:r w:rsidRPr="003B3AC9">
        <w:t xml:space="preserve">The economy has yet to recover fully </w:t>
      </w:r>
      <w:r>
        <w:t xml:space="preserve">from the impacts of the riots </w:t>
      </w:r>
      <w:r w:rsidRPr="003B3AC9">
        <w:t xml:space="preserve">and may face challenges as the </w:t>
      </w:r>
      <w:r>
        <w:t>effects</w:t>
      </w:r>
      <w:r w:rsidRPr="003B3AC9">
        <w:t xml:space="preserve"> of the global financial crisis continue to ripple through the world economy.</w:t>
      </w:r>
      <w:r>
        <w:t xml:space="preserve"> The government forecast of economic growth in 2008–09 was 0.3 per cent.</w:t>
      </w:r>
    </w:p>
    <w:p w:rsidR="004D2889" w:rsidRPr="003B3AC9" w:rsidRDefault="004D2889" w:rsidP="003B3AC9">
      <w:pPr>
        <w:pStyle w:val="BodyText"/>
      </w:pPr>
      <w:r w:rsidRPr="003B3AC9">
        <w:lastRenderedPageBreak/>
        <w:t xml:space="preserve">Somewhat paradoxically, the </w:t>
      </w:r>
      <w:r>
        <w:t>crisis</w:t>
      </w:r>
      <w:r w:rsidRPr="003B3AC9">
        <w:t xml:space="preserve"> provided </w:t>
      </w:r>
      <w:smartTag w:uri="urn:schemas-microsoft-com:office:smarttags" w:element="country-region">
        <w:smartTag w:uri="urn:schemas-microsoft-com:office:smarttags" w:element="place">
          <w:r w:rsidRPr="003B3AC9">
            <w:t>Tonga</w:t>
          </w:r>
        </w:smartTag>
      </w:smartTag>
      <w:r w:rsidRPr="003B3AC9">
        <w:t xml:space="preserve"> with some initial benefits.</w:t>
      </w:r>
      <w:r>
        <w:t xml:space="preserve"> </w:t>
      </w:r>
      <w:r w:rsidRPr="003B3AC9">
        <w:t>The sharp drop in world oil prices allowed for a substantial reduction in the cost of electricity (down by around 30</w:t>
      </w:r>
      <w:r>
        <w:t> per cent</w:t>
      </w:r>
      <w:r w:rsidRPr="003B3AC9">
        <w:t xml:space="preserve"> in early 2009) and contributed to a substantial drop in the rate of inflation (close to 0</w:t>
      </w:r>
      <w:r>
        <w:t> per cent in 2009</w:t>
      </w:r>
      <w:r w:rsidRPr="003B3AC9">
        <w:t xml:space="preserve">, down from </w:t>
      </w:r>
      <w:r>
        <w:t>more than</w:t>
      </w:r>
      <w:r w:rsidRPr="003B3AC9">
        <w:t xml:space="preserve"> 10</w:t>
      </w:r>
      <w:r>
        <w:t> per cent</w:t>
      </w:r>
      <w:r w:rsidRPr="003B3AC9">
        <w:t xml:space="preserve"> in 2008).</w:t>
      </w:r>
      <w:r>
        <w:t xml:space="preserve"> </w:t>
      </w:r>
      <w:r w:rsidRPr="003B3AC9">
        <w:t xml:space="preserve">However, the </w:t>
      </w:r>
      <w:r>
        <w:t>global recession</w:t>
      </w:r>
      <w:r w:rsidRPr="003B3AC9">
        <w:t xml:space="preserve"> poses a major threat to remittances.</w:t>
      </w:r>
      <w:r>
        <w:t xml:space="preserve"> </w:t>
      </w:r>
      <w:r w:rsidRPr="003B3AC9">
        <w:t>Rapidly rising unemployment in developed economies</w:t>
      </w:r>
      <w:r>
        <w:t>—</w:t>
      </w:r>
      <w:r w:rsidRPr="003B3AC9">
        <w:t xml:space="preserve">particularly in the </w:t>
      </w:r>
      <w:r>
        <w:t>United States</w:t>
      </w:r>
      <w:r w:rsidRPr="003B3AC9">
        <w:t xml:space="preserve"> where a large number of migrant workers are located</w:t>
      </w:r>
      <w:r>
        <w:t>—</w:t>
      </w:r>
      <w:r w:rsidRPr="003B3AC9">
        <w:t xml:space="preserve">is likely to </w:t>
      </w:r>
      <w:r>
        <w:t xml:space="preserve">have </w:t>
      </w:r>
      <w:r w:rsidRPr="003B3AC9">
        <w:t>reduce</w:t>
      </w:r>
      <w:r>
        <w:t>d</w:t>
      </w:r>
      <w:r w:rsidRPr="003B3AC9">
        <w:t xml:space="preserve"> remittance</w:t>
      </w:r>
      <w:r>
        <w:t>s</w:t>
      </w:r>
      <w:r w:rsidRPr="003B3AC9">
        <w:t xml:space="preserve"> </w:t>
      </w:r>
      <w:r>
        <w:t>in 2008–09</w:t>
      </w:r>
      <w:r w:rsidRPr="003B3AC9">
        <w:t>.</w:t>
      </w:r>
      <w:r>
        <w:t xml:space="preserve"> </w:t>
      </w:r>
      <w:r w:rsidRPr="003B3AC9">
        <w:t xml:space="preserve">The </w:t>
      </w:r>
      <w:r>
        <w:t>recession</w:t>
      </w:r>
      <w:r w:rsidRPr="003B3AC9">
        <w:t xml:space="preserve"> </w:t>
      </w:r>
      <w:r>
        <w:t>is</w:t>
      </w:r>
      <w:r w:rsidRPr="003B3AC9">
        <w:t xml:space="preserve"> also </w:t>
      </w:r>
      <w:r>
        <w:t xml:space="preserve">likely to </w:t>
      </w:r>
      <w:r w:rsidRPr="003B3AC9">
        <w:t xml:space="preserve">have </w:t>
      </w:r>
      <w:r>
        <w:t xml:space="preserve">had </w:t>
      </w:r>
      <w:r w:rsidRPr="003B3AC9">
        <w:t>implications for exports.</w:t>
      </w:r>
      <w:r>
        <w:t xml:space="preserve"> </w:t>
      </w:r>
      <w:r w:rsidRPr="003B3AC9">
        <w:t>Some private sector commentators have indicated that exports are already weaker and that remittances are down 30</w:t>
      </w:r>
      <w:r>
        <w:t>–</w:t>
      </w:r>
      <w:r w:rsidRPr="003B3AC9">
        <w:t>40</w:t>
      </w:r>
      <w:r>
        <w:t> per cent</w:t>
      </w:r>
      <w:r w:rsidRPr="003B3AC9">
        <w:t>, although these figures are yet to be reflected in official government statistics.</w:t>
      </w:r>
      <w:r w:rsidRPr="000F0223">
        <w:rPr>
          <w:rStyle w:val="FootnoteReference"/>
        </w:rPr>
        <w:footnoteReference w:id="7"/>
      </w:r>
      <w:r>
        <w:t xml:space="preserve"> </w:t>
      </w:r>
      <w:r w:rsidRPr="003B3AC9">
        <w:t xml:space="preserve">Given </w:t>
      </w:r>
      <w:smartTag w:uri="urn:schemas-microsoft-com:office:smarttags" w:element="country-region">
        <w:smartTag w:uri="urn:schemas-microsoft-com:office:smarttags" w:element="place">
          <w:r w:rsidRPr="003B3AC9">
            <w:t>Tonga</w:t>
          </w:r>
        </w:smartTag>
      </w:smartTag>
      <w:r w:rsidRPr="003B3AC9">
        <w:t xml:space="preserve">’s very high reliance on remittances, the impacts of the </w:t>
      </w:r>
      <w:r>
        <w:t>global financial crisis</w:t>
      </w:r>
      <w:r w:rsidRPr="003B3AC9">
        <w:t xml:space="preserve"> need</w:t>
      </w:r>
      <w:r>
        <w:t xml:space="preserve"> to be monitored</w:t>
      </w:r>
      <w:r w:rsidRPr="003B3AC9">
        <w:t>.</w:t>
      </w:r>
    </w:p>
    <w:p w:rsidR="004D2889" w:rsidRPr="003B3AC9" w:rsidRDefault="004D2889" w:rsidP="003B3AC9">
      <w:pPr>
        <w:pStyle w:val="BodyText"/>
      </w:pPr>
      <w:r w:rsidRPr="003B3AC9">
        <w:t>Stimulating private sector investment and generating employment represent major challenges and could become even more pressing if significant numbers of migrant workers are forced to return home due to unemployment in developed countries.</w:t>
      </w:r>
    </w:p>
    <w:p w:rsidR="004D2889" w:rsidRPr="003B3AC9" w:rsidRDefault="004D2889" w:rsidP="003B3AC9">
      <w:pPr>
        <w:pStyle w:val="BodyText"/>
      </w:pPr>
      <w:r w:rsidRPr="00DC005A">
        <w:rPr>
          <w:b/>
        </w:rPr>
        <w:t>Tonga’s challenges</w:t>
      </w:r>
      <w:r w:rsidRPr="003B3AC9">
        <w:t xml:space="preserve"> </w:t>
      </w:r>
      <w:r>
        <w:t xml:space="preserve">after it reaches the Millennium Development Goals </w:t>
      </w:r>
      <w:r w:rsidRPr="003B3AC9">
        <w:t xml:space="preserve">are about promoting sustainable and broad-based economic growth to underpin service delivery, increasing the quality and </w:t>
      </w:r>
      <w:r>
        <w:t>duration</w:t>
      </w:r>
      <w:r w:rsidRPr="003B3AC9">
        <w:t xml:space="preserve"> of education, tackling non-communicable disease and environmental threats, and maintaining social cohesion, tradition and the rule of law.</w:t>
      </w:r>
      <w:r>
        <w:t xml:space="preserve"> </w:t>
      </w:r>
      <w:r w:rsidRPr="003B3AC9">
        <w:t xml:space="preserve">Progress on these issues is essential for </w:t>
      </w:r>
      <w:smartTag w:uri="urn:schemas-microsoft-com:office:smarttags" w:element="place">
        <w:smartTag w:uri="urn:schemas-microsoft-com:office:smarttags" w:element="country-region">
          <w:r w:rsidRPr="003B3AC9">
            <w:t>Tonga</w:t>
          </w:r>
        </w:smartTag>
      </w:smartTag>
      <w:r w:rsidRPr="003B3AC9">
        <w:t xml:space="preserve"> to move ahead, build resilience and avoid reversals in the gains made </w:t>
      </w:r>
      <w:r>
        <w:t>during</w:t>
      </w:r>
      <w:r w:rsidRPr="003B3AC9">
        <w:t xml:space="preserve"> the </w:t>
      </w:r>
      <w:r>
        <w:t>p</w:t>
      </w:r>
      <w:r w:rsidRPr="003B3AC9">
        <w:t xml:space="preserve">ast 50 years. </w:t>
      </w:r>
    </w:p>
    <w:p w:rsidR="004D2889" w:rsidRPr="00BF3F8C" w:rsidRDefault="004D2889" w:rsidP="003B3AC9">
      <w:pPr>
        <w:pStyle w:val="BodyText"/>
        <w:rPr>
          <w:spacing w:val="-2"/>
          <w:lang w:val="en-US"/>
        </w:rPr>
      </w:pPr>
      <w:r w:rsidRPr="00BF3F8C">
        <w:rPr>
          <w:b/>
          <w:spacing w:val="-2"/>
          <w:lang w:val="en-US"/>
        </w:rPr>
        <w:t>Political reform</w:t>
      </w:r>
      <w:r w:rsidRPr="00BF3F8C">
        <w:rPr>
          <w:spacing w:val="-2"/>
          <w:lang w:val="en-US"/>
        </w:rPr>
        <w:t xml:space="preserve"> remains one of the biggest challenges facing the country, and has dominated the political context in </w:t>
      </w:r>
      <w:smartTag w:uri="urn:schemas-microsoft-com:office:smarttags" w:element="country-region">
        <w:smartTag w:uri="urn:schemas-microsoft-com:office:smarttags" w:element="place">
          <w:r w:rsidRPr="00BF3F8C">
            <w:rPr>
              <w:spacing w:val="-2"/>
              <w:lang w:val="en-US"/>
            </w:rPr>
            <w:t>Tonga</w:t>
          </w:r>
        </w:smartTag>
      </w:smartTag>
      <w:r w:rsidRPr="00BF3F8C">
        <w:rPr>
          <w:spacing w:val="-2"/>
          <w:lang w:val="en-US"/>
        </w:rPr>
        <w:t xml:space="preserve"> in recent years. </w:t>
      </w:r>
      <w:smartTag w:uri="urn:schemas-microsoft-com:office:smarttags" w:element="country-region">
        <w:smartTag w:uri="urn:schemas-microsoft-com:office:smarttags" w:element="place">
          <w:r w:rsidRPr="00BF3F8C">
            <w:rPr>
              <w:spacing w:val="-2"/>
              <w:lang w:val="en-US"/>
            </w:rPr>
            <w:t>Tonga</w:t>
          </w:r>
        </w:smartTag>
      </w:smartTag>
      <w:r w:rsidRPr="00BF3F8C">
        <w:rPr>
          <w:spacing w:val="-2"/>
          <w:lang w:val="en-US"/>
        </w:rPr>
        <w:t xml:space="preserve"> made progress in its political and electoral reform program in 2008. </w:t>
      </w:r>
      <w:r w:rsidRPr="00BF3F8C">
        <w:rPr>
          <w:spacing w:val="-2"/>
        </w:rPr>
        <w:t xml:space="preserve">On 22 July 2008 Tonga’s Legislative Assembly passed the Constitutional and Electoral Commission Bill. The main functions of the commission are to examine, inquire into and report to the executive on the relationship between the executive, the legislature and the electorate and on possible political and related reforms. The commission was established in November 2008 and given 10 months from January 2009 to report to the Privy Council and the Legislative Assembly on its examination (and recommendations) of almost all aspects of reform, including alternative electoral arrangements. </w:t>
      </w:r>
      <w:r w:rsidRPr="00BF3F8C">
        <w:rPr>
          <w:spacing w:val="-2"/>
          <w:lang w:val="en-US"/>
        </w:rPr>
        <w:t xml:space="preserve">As a result, the elections expected in 2010 are likely to bring about an increase in the number of parliamentarians directly elected by Tongan people. There remains much debate in </w:t>
      </w:r>
      <w:smartTag w:uri="urn:schemas-microsoft-com:office:smarttags" w:element="place">
        <w:smartTag w:uri="urn:schemas-microsoft-com:office:smarttags" w:element="country-region">
          <w:r w:rsidRPr="00BF3F8C">
            <w:rPr>
              <w:spacing w:val="-2"/>
              <w:lang w:val="en-US"/>
            </w:rPr>
            <w:t>Tonga</w:t>
          </w:r>
        </w:smartTag>
      </w:smartTag>
      <w:r w:rsidRPr="00BF3F8C">
        <w:rPr>
          <w:spacing w:val="-2"/>
          <w:lang w:val="en-US"/>
        </w:rPr>
        <w:t xml:space="preserve"> about an appropriate model that can balance democratic representation with traditional ties to the monarchy.</w:t>
      </w:r>
      <w:r w:rsidRPr="00BF3F8C">
        <w:rPr>
          <w:rStyle w:val="FootnoteReference"/>
          <w:spacing w:val="-2"/>
        </w:rPr>
        <w:footnoteReference w:id="8"/>
      </w:r>
    </w:p>
    <w:p w:rsidR="004D2889" w:rsidRPr="003B3AC9" w:rsidRDefault="004D2889" w:rsidP="003B3AC9">
      <w:pPr>
        <w:pStyle w:val="BodyText"/>
      </w:pPr>
      <w:r w:rsidRPr="003B3AC9">
        <w:t xml:space="preserve">The Government of Tonga’s overarching plan for </w:t>
      </w:r>
      <w:r w:rsidRPr="00DC005A">
        <w:rPr>
          <w:b/>
        </w:rPr>
        <w:t>sustainable development</w:t>
      </w:r>
      <w:r w:rsidRPr="003B3AC9">
        <w:t xml:space="preserve"> </w:t>
      </w:r>
      <w:r>
        <w:t xml:space="preserve">has been </w:t>
      </w:r>
      <w:r w:rsidRPr="003B3AC9">
        <w:t xml:space="preserve">Strategic Development Plan </w:t>
      </w:r>
      <w:r>
        <w:t>Eight.</w:t>
      </w:r>
      <w:r w:rsidRPr="000F0223">
        <w:rPr>
          <w:rStyle w:val="FootnoteReference"/>
        </w:rPr>
        <w:footnoteReference w:id="9"/>
      </w:r>
      <w:r w:rsidRPr="003B3AC9">
        <w:t xml:space="preserve"> It has eight goals</w:t>
      </w:r>
      <w:r>
        <w:t>:</w:t>
      </w:r>
      <w:r w:rsidRPr="003B3AC9">
        <w:t xml:space="preserve"> creating a better governance environment, ensuring macroeconomic stability, promoting sustained private sector led growth, reducing hardship, improving education</w:t>
      </w:r>
      <w:r>
        <w:t xml:space="preserve"> standards,</w:t>
      </w:r>
      <w:r w:rsidRPr="003B3AC9">
        <w:t xml:space="preserve"> </w:t>
      </w:r>
      <w:r>
        <w:t>improving</w:t>
      </w:r>
      <w:r w:rsidRPr="003B3AC9">
        <w:t xml:space="preserve"> health standards, ensuring environmental sustainability</w:t>
      </w:r>
      <w:r>
        <w:t>,</w:t>
      </w:r>
      <w:r w:rsidRPr="003B3AC9">
        <w:t xml:space="preserve"> and promoting cultural development.</w:t>
      </w:r>
      <w:r>
        <w:t xml:space="preserve"> The three-year plan, which ended in June 2008, </w:t>
      </w:r>
      <w:r w:rsidRPr="00435620">
        <w:t>support</w:t>
      </w:r>
      <w:r>
        <w:t>ed</w:t>
      </w:r>
      <w:r w:rsidRPr="00435620">
        <w:t xml:space="preserve"> </w:t>
      </w:r>
      <w:r w:rsidRPr="003B3AC9">
        <w:t>the Government</w:t>
      </w:r>
      <w:r>
        <w:t xml:space="preserve"> of Tonga</w:t>
      </w:r>
      <w:r w:rsidRPr="003B3AC9">
        <w:t xml:space="preserve">’s commitment to </w:t>
      </w:r>
      <w:r>
        <w:t>achieve</w:t>
      </w:r>
      <w:r w:rsidRPr="003B3AC9">
        <w:t xml:space="preserve"> the Millennium Development Goals</w:t>
      </w:r>
      <w:r>
        <w:t xml:space="preserve"> and</w:t>
      </w:r>
      <w:r w:rsidRPr="003B3AC9">
        <w:t xml:space="preserve"> particularly goals 2</w:t>
      </w:r>
      <w:r>
        <w:t>–</w:t>
      </w:r>
      <w:r w:rsidRPr="003B3AC9">
        <w:t xml:space="preserve">10 </w:t>
      </w:r>
      <w:r>
        <w:t xml:space="preserve">of the development plan, which </w:t>
      </w:r>
      <w:r w:rsidRPr="003B3AC9">
        <w:t>relat</w:t>
      </w:r>
      <w:r>
        <w:t>ed</w:t>
      </w:r>
      <w:r w:rsidRPr="003B3AC9">
        <w:t xml:space="preserve"> to basic education, health and environmental sustainability.</w:t>
      </w:r>
      <w:r>
        <w:t xml:space="preserve"> </w:t>
      </w:r>
      <w:r w:rsidRPr="003B3AC9">
        <w:t xml:space="preserve">Progress </w:t>
      </w:r>
      <w:r>
        <w:lastRenderedPageBreak/>
        <w:t>towards the plan’s goals were</w:t>
      </w:r>
      <w:r w:rsidRPr="003B3AC9">
        <w:t xml:space="preserve"> measured against a series of tasks and high</w:t>
      </w:r>
      <w:r>
        <w:t>-</w:t>
      </w:r>
      <w:r w:rsidRPr="003B3AC9">
        <w:t>level indicators.</w:t>
      </w:r>
      <w:r>
        <w:t xml:space="preserve"> </w:t>
      </w:r>
      <w:r w:rsidRPr="003B3AC9">
        <w:t>The Expenditure Review Committee regularly review</w:t>
      </w:r>
      <w:r>
        <w:t>ed</w:t>
      </w:r>
      <w:r w:rsidRPr="003B3AC9">
        <w:t xml:space="preserve"> progress and </w:t>
      </w:r>
      <w:r>
        <w:t>found</w:t>
      </w:r>
      <w:r w:rsidRPr="003B3AC9">
        <w:t xml:space="preserve"> good advances in all areas </w:t>
      </w:r>
      <w:r>
        <w:t>of</w:t>
      </w:r>
      <w:r w:rsidRPr="003B3AC9">
        <w:t xml:space="preserve"> actions required of government (</w:t>
      </w:r>
      <w:r>
        <w:t>more than</w:t>
      </w:r>
      <w:r w:rsidRPr="003B3AC9">
        <w:t xml:space="preserve"> 80</w:t>
      </w:r>
      <w:r>
        <w:t> per cent</w:t>
      </w:r>
      <w:r w:rsidRPr="003B3AC9">
        <w:t xml:space="preserve"> of tasks completed).</w:t>
      </w:r>
      <w:r>
        <w:t xml:space="preserve"> The plan</w:t>
      </w:r>
      <w:r w:rsidRPr="003B3AC9">
        <w:t xml:space="preserve"> </w:t>
      </w:r>
      <w:r>
        <w:t>was</w:t>
      </w:r>
      <w:r w:rsidRPr="003B3AC9">
        <w:t xml:space="preserve"> replaced in July 2009 by </w:t>
      </w:r>
      <w:r>
        <w:t>the</w:t>
      </w:r>
      <w:r w:rsidRPr="003B3AC9">
        <w:t xml:space="preserve"> </w:t>
      </w:r>
      <w:r w:rsidRPr="004B506A">
        <w:t xml:space="preserve">National </w:t>
      </w:r>
      <w:r w:rsidRPr="003B3AC9">
        <w:t>Strategic Plan</w:t>
      </w:r>
      <w:r>
        <w:t>ning</w:t>
      </w:r>
      <w:r w:rsidRPr="003B3AC9">
        <w:t xml:space="preserve"> Framework</w:t>
      </w:r>
      <w:r>
        <w:t>,</w:t>
      </w:r>
      <w:r w:rsidRPr="003B3AC9">
        <w:t xml:space="preserve"> </w:t>
      </w:r>
      <w:r>
        <w:t>which</w:t>
      </w:r>
      <w:r w:rsidRPr="003B3AC9">
        <w:t xml:space="preserve"> will have a stronger focus on outcomes.</w:t>
      </w:r>
    </w:p>
    <w:p w:rsidR="004D2889" w:rsidRPr="003B3AC9" w:rsidRDefault="004D2889" w:rsidP="003B3AC9">
      <w:pPr>
        <w:pStyle w:val="BodyText"/>
      </w:pPr>
      <w:r w:rsidRPr="003B3AC9">
        <w:t xml:space="preserve">Tongan </w:t>
      </w:r>
      <w:r w:rsidRPr="00DC005A">
        <w:rPr>
          <w:b/>
        </w:rPr>
        <w:t>leadership</w:t>
      </w:r>
      <w:r w:rsidRPr="003B3AC9">
        <w:t xml:space="preserve"> across government, </w:t>
      </w:r>
      <w:r>
        <w:t xml:space="preserve">the </w:t>
      </w:r>
      <w:r w:rsidRPr="003B3AC9">
        <w:t xml:space="preserve">private sector and civil society displays a high level of capability and vision. However, high staff turnover, emigration and a rigid system of hierarchy complicate </w:t>
      </w:r>
      <w:r>
        <w:t xml:space="preserve">efforts to reform the </w:t>
      </w:r>
      <w:r w:rsidRPr="003B3AC9">
        <w:t>public sector.</w:t>
      </w:r>
    </w:p>
    <w:p w:rsidR="004D2889" w:rsidRPr="003B3AC9" w:rsidRDefault="004D2889" w:rsidP="003B3AC9">
      <w:pPr>
        <w:pStyle w:val="BodyText"/>
      </w:pPr>
      <w:r w:rsidRPr="003B3AC9">
        <w:t xml:space="preserve">The Government of Tonga has continued to </w:t>
      </w:r>
      <w:r>
        <w:t xml:space="preserve">give </w:t>
      </w:r>
      <w:r w:rsidRPr="003B3AC9">
        <w:t>priorit</w:t>
      </w:r>
      <w:r>
        <w:t>y to</w:t>
      </w:r>
      <w:r w:rsidRPr="003B3AC9">
        <w:t xml:space="preserve"> </w:t>
      </w:r>
      <w:r w:rsidRPr="00DC005A">
        <w:rPr>
          <w:b/>
        </w:rPr>
        <w:t>education</w:t>
      </w:r>
      <w:r w:rsidRPr="003B3AC9">
        <w:t>. The official adult literacy rate is 99</w:t>
      </w:r>
      <w:r>
        <w:t> per cent</w:t>
      </w:r>
      <w:r w:rsidRPr="000F0223">
        <w:rPr>
          <w:rStyle w:val="FootnoteReference"/>
        </w:rPr>
        <w:footnoteReference w:id="10"/>
      </w:r>
      <w:r w:rsidRPr="003B3AC9">
        <w:t>, and 95</w:t>
      </w:r>
      <w:r>
        <w:t> per cent</w:t>
      </w:r>
      <w:r w:rsidRPr="003B3AC9">
        <w:t xml:space="preserve"> of children are enrolled in primary education</w:t>
      </w:r>
      <w:r>
        <w:t>.</w:t>
      </w:r>
      <w:r w:rsidRPr="003B3AC9">
        <w:t xml:space="preserve"> Despite </w:t>
      </w:r>
      <w:smartTag w:uri="urn:schemas-microsoft-com:office:smarttags" w:element="country-region">
        <w:r w:rsidRPr="003B3AC9">
          <w:t>Tonga</w:t>
        </w:r>
      </w:smartTag>
      <w:r w:rsidRPr="003B3AC9">
        <w:t xml:space="preserve">’s high literacy rate, </w:t>
      </w:r>
      <w:smartTag w:uri="urn:schemas-microsoft-com:office:smarttags" w:element="country-region">
        <w:r w:rsidRPr="003B3AC9">
          <w:t>Tonga</w:t>
        </w:r>
      </w:smartTag>
      <w:r w:rsidRPr="003B3AC9">
        <w:t xml:space="preserve">’s education system is focused on academic success and exporting labour rather than on developing the technical and life skills </w:t>
      </w:r>
      <w:r>
        <w:t>of young people who remain in Tonga so that they can be productively employed.</w:t>
      </w:r>
      <w:r w:rsidRPr="003B3AC9">
        <w:t xml:space="preserve"> </w:t>
      </w:r>
      <w:r>
        <w:t>T</w:t>
      </w:r>
      <w:r w:rsidRPr="003B3AC9">
        <w:t xml:space="preserve">his is creating inequality </w:t>
      </w:r>
      <w:r>
        <w:t>among</w:t>
      </w:r>
      <w:r w:rsidRPr="003B3AC9">
        <w:t xml:space="preserve"> Tonga</w:t>
      </w:r>
      <w:r>
        <w:t>ns</w:t>
      </w:r>
      <w:r w:rsidRPr="000F0223">
        <w:rPr>
          <w:rStyle w:val="FootnoteReference"/>
        </w:rPr>
        <w:footnoteReference w:id="11"/>
      </w:r>
      <w:r w:rsidRPr="003B3AC9">
        <w:t xml:space="preserve"> and social problems</w:t>
      </w:r>
      <w:r>
        <w:t>,</w:t>
      </w:r>
      <w:r w:rsidRPr="003B3AC9">
        <w:t xml:space="preserve"> which were </w:t>
      </w:r>
      <w:r>
        <w:t xml:space="preserve">contributing </w:t>
      </w:r>
      <w:r w:rsidRPr="003B3AC9">
        <w:t xml:space="preserve">factors </w:t>
      </w:r>
      <w:r>
        <w:t>to</w:t>
      </w:r>
      <w:r w:rsidRPr="003B3AC9">
        <w:t xml:space="preserve"> the riots of November 2006. </w:t>
      </w:r>
    </w:p>
    <w:p w:rsidR="004D2889" w:rsidRPr="003B3AC9" w:rsidRDefault="004D2889" w:rsidP="003B3AC9">
      <w:pPr>
        <w:pStyle w:val="BodyText"/>
      </w:pPr>
      <w:r w:rsidRPr="00435620">
        <w:t xml:space="preserve">Tonga scores </w:t>
      </w:r>
      <w:r>
        <w:t xml:space="preserve">very </w:t>
      </w:r>
      <w:r w:rsidRPr="00435620">
        <w:t>well</w:t>
      </w:r>
      <w:r>
        <w:t xml:space="preserve"> in terms of its </w:t>
      </w:r>
      <w:r w:rsidRPr="003B3AC9">
        <w:t xml:space="preserve">basic </w:t>
      </w:r>
      <w:r w:rsidRPr="00DC005A">
        <w:rPr>
          <w:b/>
        </w:rPr>
        <w:t>health</w:t>
      </w:r>
      <w:r w:rsidRPr="003B3AC9">
        <w:t xml:space="preserve"> conditions, but other problems are becoming evident.</w:t>
      </w:r>
      <w:r>
        <w:t xml:space="preserve"> </w:t>
      </w:r>
      <w:r w:rsidRPr="003B3AC9">
        <w:t>Composite life expectancy is 71 years, infant mortality is 15.7 per 1000 births, and maternal mortality is 82.3 per 100</w:t>
      </w:r>
      <w:r>
        <w:t> </w:t>
      </w:r>
      <w:r w:rsidRPr="003B3AC9">
        <w:t>000 births</w:t>
      </w:r>
      <w:r>
        <w:t>.</w:t>
      </w:r>
      <w:r w:rsidRPr="000F0223">
        <w:rPr>
          <w:rStyle w:val="FootnoteReference"/>
        </w:rPr>
        <w:footnoteReference w:id="12"/>
      </w:r>
      <w:r>
        <w:t xml:space="preserve"> </w:t>
      </w:r>
      <w:r w:rsidRPr="003B3AC9">
        <w:t xml:space="preserve">The rate of improvement </w:t>
      </w:r>
      <w:r>
        <w:t xml:space="preserve">in health indicators </w:t>
      </w:r>
      <w:r w:rsidRPr="003B3AC9">
        <w:t xml:space="preserve">is slowing, however, as </w:t>
      </w:r>
      <w:r>
        <w:t xml:space="preserve">the </w:t>
      </w:r>
      <w:r w:rsidRPr="003B3AC9">
        <w:t>prevalence of non-communicable diseases increase</w:t>
      </w:r>
      <w:r>
        <w:t>s</w:t>
      </w:r>
      <w:r w:rsidRPr="003B3AC9">
        <w:t>.</w:t>
      </w:r>
      <w:r>
        <w:t xml:space="preserve"> </w:t>
      </w:r>
      <w:r w:rsidRPr="003B3AC9">
        <w:t xml:space="preserve">Diabetes, hypertension, cancer, diseases of the circulatory system and other non-communicable diseases now account for most deaths in </w:t>
      </w:r>
      <w:smartTag w:uri="urn:schemas-microsoft-com:office:smarttags" w:element="country-region">
        <w:smartTag w:uri="urn:schemas-microsoft-com:office:smarttags" w:element="place">
          <w:r w:rsidRPr="003B3AC9">
            <w:t>Tonga</w:t>
          </w:r>
        </w:smartTag>
      </w:smartTag>
      <w:r w:rsidRPr="003B3AC9">
        <w:t>, and place a heavy burden on the health system.</w:t>
      </w:r>
      <w:r>
        <w:t xml:space="preserve"> </w:t>
      </w:r>
      <w:r w:rsidRPr="003B3AC9">
        <w:t>The World Health Organi</w:t>
      </w:r>
      <w:r>
        <w:t>z</w:t>
      </w:r>
      <w:r w:rsidRPr="003B3AC9">
        <w:t>ation estimates that 56</w:t>
      </w:r>
      <w:r>
        <w:t> per cent</w:t>
      </w:r>
      <w:r w:rsidRPr="003B3AC9">
        <w:t xml:space="preserve"> of the population is obese.</w:t>
      </w:r>
      <w:r w:rsidRPr="000F0223">
        <w:rPr>
          <w:rStyle w:val="FootnoteReference"/>
        </w:rPr>
        <w:footnoteReference w:id="13"/>
      </w:r>
      <w:r>
        <w:t xml:space="preserve"> </w:t>
      </w:r>
      <w:r w:rsidRPr="003B3AC9">
        <w:t>The recorded incidence of type</w:t>
      </w:r>
      <w:r>
        <w:t>-2</w:t>
      </w:r>
      <w:r w:rsidRPr="003B3AC9">
        <w:t xml:space="preserve"> diabetes (now 18</w:t>
      </w:r>
      <w:r>
        <w:t> per cent</w:t>
      </w:r>
      <w:r w:rsidRPr="003B3AC9">
        <w:t xml:space="preserve">) has more than doubled in the past 25 years, and its onset occurs on average a decade earlier than </w:t>
      </w:r>
      <w:r>
        <w:t xml:space="preserve">was </w:t>
      </w:r>
      <w:r w:rsidRPr="003B3AC9">
        <w:t>previously</w:t>
      </w:r>
      <w:r>
        <w:t xml:space="preserve"> the case</w:t>
      </w:r>
      <w:r w:rsidRPr="003B3AC9">
        <w:t>.</w:t>
      </w:r>
      <w:r>
        <w:t xml:space="preserve"> </w:t>
      </w:r>
      <w:r w:rsidRPr="003B3AC9">
        <w:t>The recent reduction in import tariffs for alcohol and tobacco products</w:t>
      </w:r>
      <w:r>
        <w:t>—</w:t>
      </w:r>
      <w:r w:rsidRPr="003B3AC9">
        <w:t>from 40</w:t>
      </w:r>
      <w:r>
        <w:t> per cent</w:t>
      </w:r>
      <w:r w:rsidRPr="003B3AC9">
        <w:t xml:space="preserve"> to 20</w:t>
      </w:r>
      <w:r>
        <w:t> per cent—</w:t>
      </w:r>
      <w:r w:rsidRPr="003B3AC9">
        <w:t>is unlikely to help matters.</w:t>
      </w:r>
    </w:p>
    <w:p w:rsidR="004D2889" w:rsidRPr="003B3AC9" w:rsidRDefault="004D2889" w:rsidP="003B3AC9">
      <w:pPr>
        <w:pStyle w:val="BodyText"/>
      </w:pPr>
      <w:smartTag w:uri="urn:schemas-microsoft-com:office:smarttags" w:element="country-region">
        <w:smartTag w:uri="urn:schemas-microsoft-com:office:smarttags" w:element="place">
          <w:r w:rsidRPr="003B3AC9">
            <w:t>Tonga</w:t>
          </w:r>
        </w:smartTag>
      </w:smartTag>
      <w:r w:rsidRPr="003B3AC9">
        <w:t xml:space="preserve">’s </w:t>
      </w:r>
      <w:r w:rsidRPr="00DC005A">
        <w:rPr>
          <w:b/>
        </w:rPr>
        <w:t>gender</w:t>
      </w:r>
      <w:r>
        <w:t>-related</w:t>
      </w:r>
      <w:r w:rsidRPr="003B3AC9">
        <w:t xml:space="preserve"> development index</w:t>
      </w:r>
      <w:r w:rsidRPr="003B3AC9">
        <w:rPr>
          <w:b/>
        </w:rPr>
        <w:t xml:space="preserve"> </w:t>
      </w:r>
      <w:r w:rsidRPr="003B3AC9">
        <w:t xml:space="preserve">is </w:t>
      </w:r>
      <w:r>
        <w:t>0</w:t>
      </w:r>
      <w:r w:rsidRPr="003B3AC9">
        <w:t>.8</w:t>
      </w:r>
      <w:r>
        <w:t>14,</w:t>
      </w:r>
      <w:r w:rsidRPr="003B3AC9">
        <w:t xml:space="preserve"> which puts it in the very high category of gender equality in the </w:t>
      </w:r>
      <w:r>
        <w:t xml:space="preserve">Pacific </w:t>
      </w:r>
      <w:r w:rsidRPr="003B3AC9">
        <w:t>region</w:t>
      </w:r>
      <w:r>
        <w:t>.</w:t>
      </w:r>
      <w:r w:rsidRPr="003B3AC9">
        <w:t xml:space="preserve"> However</w:t>
      </w:r>
      <w:r>
        <w:t>,</w:t>
      </w:r>
      <w:r w:rsidRPr="003B3AC9">
        <w:t xml:space="preserve"> women’s economic activity is only 6</w:t>
      </w:r>
      <w:r>
        <w:t>3 per cent</w:t>
      </w:r>
      <w:r w:rsidRPr="003B3AC9">
        <w:t xml:space="preserve"> of men’s and women earn up to 4</w:t>
      </w:r>
      <w:r>
        <w:t>8 per cent</w:t>
      </w:r>
      <w:r w:rsidRPr="003B3AC9">
        <w:t xml:space="preserve"> of male earned income.</w:t>
      </w:r>
      <w:r w:rsidRPr="000F0223">
        <w:rPr>
          <w:rStyle w:val="FootnoteReference"/>
        </w:rPr>
        <w:footnoteReference w:id="14"/>
      </w:r>
      <w:r>
        <w:t xml:space="preserve"> As in</w:t>
      </w:r>
      <w:r w:rsidRPr="003B3AC9">
        <w:t xml:space="preserve"> other Pacific island </w:t>
      </w:r>
      <w:r w:rsidRPr="00C95425">
        <w:t xml:space="preserve">countries, women </w:t>
      </w:r>
      <w:r>
        <w:t xml:space="preserve">are under-represented </w:t>
      </w:r>
      <w:r w:rsidRPr="00C95425">
        <w:t xml:space="preserve">in </w:t>
      </w:r>
      <w:r>
        <w:t xml:space="preserve">the </w:t>
      </w:r>
      <w:r w:rsidRPr="00C95425">
        <w:t>parliament. The only woman is the Minister for Justice</w:t>
      </w:r>
      <w:r w:rsidRPr="00DC005A">
        <w:t xml:space="preserve"> and </w:t>
      </w:r>
      <w:r w:rsidRPr="00C95425">
        <w:t>Attorney General</w:t>
      </w:r>
      <w:r w:rsidRPr="003B3AC9">
        <w:t>.</w:t>
      </w:r>
    </w:p>
    <w:p w:rsidR="004D2889" w:rsidRPr="003B3AC9" w:rsidRDefault="004D2889" w:rsidP="003B3AC9">
      <w:pPr>
        <w:pStyle w:val="BodyText"/>
      </w:pPr>
      <w:smartTag w:uri="urn:schemas-microsoft-com:office:smarttags" w:element="country-region">
        <w:r w:rsidRPr="000F7CB4">
          <w:rPr>
            <w:spacing w:val="-2"/>
          </w:rPr>
          <w:t>Australia</w:t>
        </w:r>
      </w:smartTag>
      <w:r w:rsidRPr="000F7CB4">
        <w:rPr>
          <w:spacing w:val="-2"/>
        </w:rPr>
        <w:t xml:space="preserve"> is </w:t>
      </w:r>
      <w:smartTag w:uri="urn:schemas-microsoft-com:office:smarttags" w:element="country-region">
        <w:r w:rsidRPr="000F7CB4">
          <w:rPr>
            <w:spacing w:val="-2"/>
          </w:rPr>
          <w:t>Tonga</w:t>
        </w:r>
      </w:smartTag>
      <w:r w:rsidRPr="000F7CB4">
        <w:rPr>
          <w:spacing w:val="-2"/>
        </w:rPr>
        <w:t xml:space="preserve">’s </w:t>
      </w:r>
      <w:r w:rsidRPr="00DC005A">
        <w:rPr>
          <w:b/>
          <w:spacing w:val="-2"/>
        </w:rPr>
        <w:t>largest grant donor</w:t>
      </w:r>
      <w:r w:rsidRPr="000F7CB4">
        <w:rPr>
          <w:spacing w:val="-2"/>
        </w:rPr>
        <w:t>, providing an estimated A$19.3 million in 2008–09,</w:t>
      </w:r>
      <w:r w:rsidRPr="003B3AC9">
        <w:t xml:space="preserve"> closely followed by </w:t>
      </w:r>
      <w:r>
        <w:t>New Zealand</w:t>
      </w:r>
      <w:r w:rsidRPr="003B3AC9">
        <w:t xml:space="preserve">, and then the </w:t>
      </w:r>
      <w:r>
        <w:t>European Union</w:t>
      </w:r>
      <w:r w:rsidRPr="003B3AC9">
        <w:t xml:space="preserve">, </w:t>
      </w:r>
      <w:r>
        <w:t xml:space="preserve">the </w:t>
      </w:r>
      <w:r w:rsidRPr="003B3AC9">
        <w:t xml:space="preserve">multilaterals </w:t>
      </w:r>
      <w:r>
        <w:t xml:space="preserve">banks </w:t>
      </w:r>
      <w:r w:rsidRPr="003B3AC9">
        <w:t>(</w:t>
      </w:r>
      <w:r>
        <w:t>the Asian Development Bank</w:t>
      </w:r>
      <w:r w:rsidRPr="003B3AC9">
        <w:t xml:space="preserve"> and </w:t>
      </w:r>
      <w:r>
        <w:t xml:space="preserve">the </w:t>
      </w:r>
      <w:r w:rsidRPr="003B3AC9">
        <w:t xml:space="preserve">World Bank), </w:t>
      </w:r>
      <w:smartTag w:uri="urn:schemas-microsoft-com:office:smarttags" w:element="country-region">
        <w:r w:rsidRPr="003B3AC9">
          <w:t>Japan</w:t>
        </w:r>
      </w:smartTag>
      <w:r w:rsidRPr="003B3AC9">
        <w:t xml:space="preserve"> and </w:t>
      </w:r>
      <w:smartTag w:uri="urn:schemas-microsoft-com:office:smarttags" w:element="country-region">
        <w:smartTag w:uri="urn:schemas-microsoft-com:office:smarttags" w:element="place">
          <w:r w:rsidRPr="003B3AC9">
            <w:t>China</w:t>
          </w:r>
        </w:smartTag>
      </w:smartTag>
      <w:r w:rsidRPr="003B3AC9">
        <w:t>.</w:t>
      </w:r>
      <w:r>
        <w:t xml:space="preserve"> Official</w:t>
      </w:r>
      <w:r w:rsidRPr="003B3AC9">
        <w:t xml:space="preserve"> development assistance contributes approximately T$</w:t>
      </w:r>
      <w:r>
        <w:t>67</w:t>
      </w:r>
      <w:r w:rsidRPr="003B3AC9">
        <w:t xml:space="preserve"> million </w:t>
      </w:r>
      <w:r>
        <w:t>a year</w:t>
      </w:r>
      <w:r w:rsidRPr="003B3AC9">
        <w:t xml:space="preserve"> to the economy in the form of grant </w:t>
      </w:r>
      <w:r w:rsidRPr="003B3AC9">
        <w:lastRenderedPageBreak/>
        <w:t>aid</w:t>
      </w:r>
      <w:r>
        <w:t>,</w:t>
      </w:r>
      <w:r w:rsidRPr="003B3AC9">
        <w:t xml:space="preserve"> which is approximately 25</w:t>
      </w:r>
      <w:r>
        <w:t> per cent</w:t>
      </w:r>
      <w:r w:rsidRPr="003B3AC9">
        <w:t xml:space="preserve"> of annual government expenditure and approximately 10</w:t>
      </w:r>
      <w:r>
        <w:t> per cent</w:t>
      </w:r>
      <w:r w:rsidRPr="003B3AC9">
        <w:t xml:space="preserve"> of GDP</w:t>
      </w:r>
      <w:r>
        <w:t>.</w:t>
      </w:r>
      <w:r w:rsidRPr="000F0223">
        <w:rPr>
          <w:rStyle w:val="FootnoteReference"/>
        </w:rPr>
        <w:footnoteReference w:id="15"/>
      </w:r>
      <w:r>
        <w:t xml:space="preserve"> </w:t>
      </w:r>
      <w:r w:rsidRPr="003B3AC9">
        <w:t xml:space="preserve">As the largest donor, </w:t>
      </w:r>
      <w:smartTag w:uri="urn:schemas-microsoft-com:office:smarttags" w:element="place">
        <w:smartTag w:uri="urn:schemas-microsoft-com:office:smarttags" w:element="country-region">
          <w:r w:rsidRPr="003B3AC9">
            <w:t>Australia</w:t>
          </w:r>
        </w:smartTag>
      </w:smartTag>
      <w:r w:rsidRPr="003B3AC9">
        <w:t xml:space="preserve"> is in a good position to promote aid effectiveness and collective dialogue.</w:t>
      </w:r>
      <w:r>
        <w:t xml:space="preserve"> </w:t>
      </w:r>
      <w:r w:rsidRPr="003B3AC9">
        <w:t>A bilateral performance incentive scheme has promoted good policy dialogue and supported a number of reforms.</w:t>
      </w:r>
      <w:r>
        <w:t xml:space="preserve"> </w:t>
      </w:r>
      <w:r w:rsidRPr="003B3AC9">
        <w:t>Greater use is also being made of Tongan systems</w:t>
      </w:r>
      <w:r>
        <w:t>,</w:t>
      </w:r>
      <w:r w:rsidRPr="003B3AC9">
        <w:t xml:space="preserve"> a trend that is likely to continue with the move to sector</w:t>
      </w:r>
      <w:r>
        <w:t>-wide</w:t>
      </w:r>
      <w:r w:rsidRPr="003B3AC9">
        <w:t xml:space="preserve"> programs of support.</w:t>
      </w:r>
      <w:r>
        <w:t xml:space="preserve"> </w:t>
      </w:r>
      <w:r w:rsidRPr="003B3AC9">
        <w:t>Approximately 34</w:t>
      </w:r>
      <w:r>
        <w:t> per cent</w:t>
      </w:r>
      <w:r w:rsidRPr="003B3AC9">
        <w:t xml:space="preserve"> </w:t>
      </w:r>
      <w:smartTag w:uri="urn:schemas-microsoft-com:office:smarttags" w:element="country-region">
        <w:smartTag w:uri="urn:schemas-microsoft-com:office:smarttags" w:element="place">
          <w:r w:rsidRPr="003B3AC9">
            <w:t>Australia</w:t>
          </w:r>
        </w:smartTag>
      </w:smartTag>
      <w:r w:rsidRPr="003B3AC9">
        <w:t xml:space="preserve">’s aid was provided through </w:t>
      </w:r>
      <w:r>
        <w:t>national government</w:t>
      </w:r>
      <w:r w:rsidRPr="003B3AC9">
        <w:t xml:space="preserve"> systems in 2008. </w:t>
      </w:r>
    </w:p>
    <w:p w:rsidR="004D2889" w:rsidRDefault="004D2889">
      <w:pPr>
        <w:pStyle w:val="Heading1unnumbered"/>
        <w:rPr>
          <w:noProof/>
        </w:rPr>
      </w:pPr>
      <w:bookmarkStart w:id="41" w:name="_Toc250710278"/>
      <w:r>
        <w:lastRenderedPageBreak/>
        <w:t>What are the results of the Tonga program of support?</w:t>
      </w:r>
      <w:r w:rsidR="000C5DE1">
        <w:rPr>
          <w:noProof/>
          <w:lang w:val="en-US" w:eastAsia="en-US"/>
        </w:rPr>
        <w:drawing>
          <wp:anchor distT="0" distB="0" distL="114300" distR="114300" simplePos="0" relativeHeight="251655680"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0" name="Picture 1241"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descr="AusAID graphics pacific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1"/>
    </w:p>
    <w:p w:rsidR="004D2889" w:rsidRDefault="004D2889">
      <w:pPr>
        <w:pStyle w:val="Heading2unnumbered"/>
        <w:tabs>
          <w:tab w:val="clear" w:pos="1440"/>
        </w:tabs>
        <w:spacing w:before="100"/>
      </w:pPr>
      <w:bookmarkStart w:id="42" w:name="_Toc250710279"/>
      <w:r>
        <w:t>Objective 1:</w:t>
      </w:r>
      <w:r>
        <w:br/>
      </w:r>
      <w:r w:rsidRPr="003B3AC9">
        <w:t>Strengthening governance and accountability through the strengthening of key institutions</w:t>
      </w:r>
      <w:bookmarkEnd w:id="42"/>
    </w:p>
    <w:p w:rsidR="004D2889" w:rsidRDefault="004D2889" w:rsidP="00C91138">
      <w:pPr>
        <w:pStyle w:val="BodyText"/>
      </w:pPr>
      <w:smartTag w:uri="urn:schemas-microsoft-com:office:smarttags" w:element="country-region">
        <w:smartTag w:uri="urn:schemas-microsoft-com:office:smarttags" w:element="place">
          <w:r w:rsidRPr="003B3AC9">
            <w:t>Australia</w:t>
          </w:r>
        </w:smartTag>
      </w:smartTag>
      <w:r w:rsidRPr="003B3AC9">
        <w:t>’s assistance</w:t>
      </w:r>
      <w:r>
        <w:t xml:space="preserve"> to meet objective 1 </w:t>
      </w:r>
      <w:r w:rsidRPr="003B3AC9">
        <w:t>is focused on supporting improved public expenditure management, public sector reform</w:t>
      </w:r>
      <w:r>
        <w:t xml:space="preserve"> and</w:t>
      </w:r>
      <w:r w:rsidRPr="003B3AC9">
        <w:t xml:space="preserve"> taxation reform, </w:t>
      </w:r>
      <w:r>
        <w:t xml:space="preserve">and </w:t>
      </w:r>
      <w:r w:rsidRPr="003B3AC9">
        <w:t>strengthening Customs and the justice sector.</w:t>
      </w:r>
      <w:r>
        <w:t xml:space="preserve"> </w:t>
      </w:r>
      <w:r w:rsidRPr="003B3AC9">
        <w:t xml:space="preserve">The </w:t>
      </w:r>
      <w:smartTag w:uri="urn:schemas-microsoft-com:office:smarttags" w:element="place">
        <w:smartTag w:uri="urn:schemas-microsoft-com:office:smarttags" w:element="country-region">
          <w:r w:rsidRPr="003B3AC9">
            <w:t>Tonga</w:t>
          </w:r>
        </w:smartTag>
      </w:smartTag>
      <w:r w:rsidRPr="003B3AC9">
        <w:t xml:space="preserve"> Police Development Program</w:t>
      </w:r>
      <w:r>
        <w:t>—</w:t>
      </w:r>
      <w:r w:rsidRPr="003B3AC9">
        <w:t>a joint program with support from the Australian Federal Police, AusAID, NZAID and N</w:t>
      </w:r>
      <w:r>
        <w:t xml:space="preserve">ew </w:t>
      </w:r>
      <w:r w:rsidRPr="003B3AC9">
        <w:t>Z</w:t>
      </w:r>
      <w:r>
        <w:t>ealand</w:t>
      </w:r>
      <w:r w:rsidRPr="003B3AC9">
        <w:t xml:space="preserve"> Police</w:t>
      </w:r>
      <w:r>
        <w:t>—was</w:t>
      </w:r>
      <w:r w:rsidRPr="003B3AC9">
        <w:t xml:space="preserve"> mobilised </w:t>
      </w:r>
      <w:r>
        <w:t>in 2008</w:t>
      </w:r>
      <w:r w:rsidRPr="003B3AC9">
        <w:t xml:space="preserve">, </w:t>
      </w:r>
      <w:r>
        <w:t>and</w:t>
      </w:r>
      <w:r w:rsidRPr="003B3AC9">
        <w:t xml:space="preserve"> </w:t>
      </w:r>
      <w:r>
        <w:t>the</w:t>
      </w:r>
      <w:r w:rsidRPr="003B3AC9">
        <w:t xml:space="preserve"> Anti-</w:t>
      </w:r>
      <w:r>
        <w:t>C</w:t>
      </w:r>
      <w:r w:rsidRPr="003B3AC9">
        <w:t>orruption Commission</w:t>
      </w:r>
      <w:r>
        <w:t xml:space="preserve"> was established</w:t>
      </w:r>
      <w:r w:rsidRPr="003B3AC9">
        <w:t>.</w:t>
      </w:r>
      <w:r>
        <w:t xml:space="preserve"> </w:t>
      </w:r>
      <w:r w:rsidRPr="003B3AC9">
        <w:t xml:space="preserve">It is noted that this objective is quite broad and the draft </w:t>
      </w:r>
      <w:r>
        <w:t>Australia–Tonga</w:t>
      </w:r>
      <w:r w:rsidRPr="003B3AC9">
        <w:t xml:space="preserve"> Partnership for Development focused on public sector management.</w:t>
      </w:r>
      <w:r>
        <w:t xml:space="preserve"> </w:t>
      </w:r>
    </w:p>
    <w:p w:rsidR="004D2889" w:rsidRPr="003B3AC9" w:rsidRDefault="004D2889" w:rsidP="003B3AC9">
      <w:pPr>
        <w:pStyle w:val="Heading3"/>
        <w:tabs>
          <w:tab w:val="clear" w:pos="1440"/>
          <w:tab w:val="clear" w:pos="2160"/>
        </w:tabs>
      </w:pPr>
      <w:r w:rsidRPr="003B3AC9">
        <w:t>Rating</w:t>
      </w:r>
    </w:p>
    <w:p w:rsidR="004D2889" w:rsidRPr="003B3AC9" w:rsidRDefault="000C5DE1" w:rsidP="00AB4853">
      <w:pPr>
        <w:pStyle w:val="Ratinggreen"/>
        <w:numPr>
          <w:ilvl w:val="0"/>
          <w:numId w:val="0"/>
        </w:numPr>
      </w:pPr>
      <w:r>
        <w:rPr>
          <w:noProof/>
          <w:lang w:val="en-US" w:eastAsia="en-US"/>
        </w:rPr>
        <mc:AlternateContent>
          <mc:Choice Requires="wps">
            <w:drawing>
              <wp:inline distT="0" distB="0" distL="0" distR="0">
                <wp:extent cx="90805" cy="99060"/>
                <wp:effectExtent l="3175" t="0" r="1270" b="0"/>
                <wp:docPr id="9" name="Rectangle 13"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906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82468" id="Rectangle 13" o:spid="_x0000_s1026" alt="Green" style="width:7.1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0aiAIAAAcFAAAOAAAAZHJzL2Uyb0RvYy54bWysVFFv0zAQfkfiP1h+7+KEtGuipdO2UoQ0&#10;YGLwA1zbaSwc29hu04H475ydtnTwghB9cH3x3fn77r7z1fW+V2gnnJdGNzi/IBgJzQyXetPgz59W&#10;kzlGPlDNqTJaNPhJeHy9ePniarC1KExnFBcOQRLt68E2uAvB1lnmWSd66i+MFRoOW+N6GsB0m4w7&#10;OkD2XmUFIbNsMI5bZ5jwHr4ux0O8SPnbVrDwoW29CEg1GLCFtLq0ruOaLa5ovXHUdpIdYNB/QNFT&#10;qeHSU6olDRRtnfwjVS+ZM9604YKZPjNtK5lIHIBNTn5j89hRKxIXKI63pzL5/5eWvd89OCR5gyuM&#10;NO2hRR+haFRvlED5K4y48Azq9cYJoWO1ButrCHq0Dy7y9fbesC8eaXPXQZC4cc4MnaAcMObRP3sW&#10;EA0PoWg9vDMcLqPbYFLh9q3rY0IoCdqn/jyd+iP2ATH4WJE5mWLE4KSqyCx1L6P1MdQ6H94I06O4&#10;abADHik13d37EKHQ+uiSoBsl+UoqlQy3Wd8ph3YUhFIVSzI9ZvfnbkpHZ21i2Jhx/AII4Y54FrGm&#10;xn+v8qIkt0U1Wc3ml5NyVU4n1SWZT0he3VYzUlblcvUjAszLupOcC30vtTiKMC//rsmHcRjlk2SI&#10;BmAwLaaJ+zP0/pwkSb/UImjjOcleBphJJfsGz09OtI5dfa050KZ1oFKN++w5/FRlqMHxP1UlaSC2&#10;fZTP2vAnkIAz0CSYSXg9YNMZ9w2jASaxwf7rljqBkXqrQUZVXpZxdJNRTi8LMNz5yfr8hGoGqRoc&#10;MBq3d2Ec9611ctPBTXkqjDY3IL1WJmFEWY6oDoKFaUsMDi9DHOdzO3n9er8WPwEAAP//AwBQSwME&#10;FAAGAAgAAAAhAOZzySPYAAAAAwEAAA8AAABkcnMvZG93bnJldi54bWxMj81OwzAQhO9IvIO1SNyo&#10;A5RSpXGqqqjc20C5buNtEmGvo9j54e1xudDLjlazmvk2W0/WiIE63zhW8DhLQBCXTjdcKfgodg9L&#10;ED4gazSOScEPeVjntzcZptqNvKfhECoRQ9inqKAOoU2l9GVNFv3MtcTRO7vOYohrV0nd4RjDrZFP&#10;SbKQFhuODTW2tK2p/D70VsFxp9tivzX9cfP6Pp4/y7f58FUodX83bVYgAk3h/xgu+BEd8sh0cj1r&#10;L4yC+Ej4mxdv/gziFPVlATLP5DV7/gsAAP//AwBQSwECLQAUAAYACAAAACEAtoM4kv4AAADhAQAA&#10;EwAAAAAAAAAAAAAAAAAAAAAAW0NvbnRlbnRfVHlwZXNdLnhtbFBLAQItABQABgAIAAAAIQA4/SH/&#10;1gAAAJQBAAALAAAAAAAAAAAAAAAAAC8BAABfcmVscy8ucmVsc1BLAQItABQABgAIAAAAIQDwkQ0a&#10;iAIAAAcFAAAOAAAAAAAAAAAAAAAAAC4CAABkcnMvZTJvRG9jLnhtbFBLAQItABQABgAIAAAAIQDm&#10;c8kj2AAAAAMBAAAPAAAAAAAAAAAAAAAAAOIEAABkcnMvZG93bnJldi54bWxQSwUGAAAAAAQABADz&#10;AAAA5wUAAAAA&#10;" fillcolor="#92d050" stroked="f">
                <w10:wrap anchorx="page"/>
                <w10:anchorlock/>
              </v:rect>
            </w:pict>
          </mc:Fallback>
        </mc:AlternateContent>
      </w:r>
      <w:r w:rsidR="00AB4853">
        <w:tab/>
      </w:r>
      <w:r w:rsidR="00AB4853">
        <w:tab/>
      </w:r>
      <w:r w:rsidR="004D2889" w:rsidRPr="003B3AC9">
        <w:t xml:space="preserve">The objective is on track to be fully achieved within the timeframe </w:t>
      </w:r>
      <w:r w:rsidR="004D2889">
        <w:t>of the strategy.</w:t>
      </w:r>
    </w:p>
    <w:p w:rsidR="004D2889" w:rsidRPr="003B3AC9" w:rsidRDefault="004D2889" w:rsidP="003B3AC9">
      <w:pPr>
        <w:pStyle w:val="BodyText"/>
      </w:pPr>
      <w:r w:rsidRPr="003B3AC9">
        <w:t xml:space="preserve">Achievements delivered under the </w:t>
      </w:r>
      <w:r w:rsidRPr="00D81B5B">
        <w:t>Tonga</w:t>
      </w:r>
      <w:r>
        <w:t>–</w:t>
      </w:r>
      <w:r w:rsidRPr="00D81B5B">
        <w:t xml:space="preserve">Australia Performance Partnership Agreement </w:t>
      </w:r>
      <w:r>
        <w:t xml:space="preserve">contributed most to the </w:t>
      </w:r>
      <w:r w:rsidRPr="003B3AC9">
        <w:t>green rating.</w:t>
      </w:r>
    </w:p>
    <w:p w:rsidR="004D2889" w:rsidRPr="003B3AC9" w:rsidRDefault="004D2889" w:rsidP="00B60EC4">
      <w:pPr>
        <w:pStyle w:val="Heading3"/>
        <w:tabs>
          <w:tab w:val="clear" w:pos="1440"/>
          <w:tab w:val="clear" w:pos="2160"/>
        </w:tabs>
      </w:pPr>
      <w:bookmarkStart w:id="43" w:name="OLE_LINK3"/>
      <w:bookmarkStart w:id="44" w:name="OLE_LINK4"/>
      <w:r w:rsidRPr="003B3AC9">
        <w:t>Assessment of results and performance</w:t>
      </w:r>
    </w:p>
    <w:p w:rsidR="004D2889" w:rsidRPr="003B3AC9" w:rsidRDefault="004D2889" w:rsidP="00B60EC4">
      <w:pPr>
        <w:pStyle w:val="BodyText"/>
      </w:pPr>
      <w:r w:rsidRPr="003B3AC9">
        <w:t xml:space="preserve">The </w:t>
      </w:r>
      <w:r w:rsidRPr="00DC005A">
        <w:rPr>
          <w:b/>
        </w:rPr>
        <w:t>Tonga–Australia Performance Partnership Agreement</w:t>
      </w:r>
      <w:r w:rsidRPr="003B3AC9">
        <w:t xml:space="preserve">, a reform incentive program, continued to be a major driver of reform in </w:t>
      </w:r>
      <w:smartTag w:uri="urn:schemas-microsoft-com:office:smarttags" w:element="place">
        <w:smartTag w:uri="urn:schemas-microsoft-com:office:smarttags" w:element="country-region">
          <w:r w:rsidRPr="003B3AC9">
            <w:t>Tonga</w:t>
          </w:r>
        </w:smartTag>
      </w:smartTag>
      <w:r w:rsidRPr="003B3AC9">
        <w:t>.</w:t>
      </w:r>
      <w:r>
        <w:t xml:space="preserve"> </w:t>
      </w:r>
      <w:r w:rsidRPr="003B3AC9">
        <w:t xml:space="preserve">The mechanism has helped the </w:t>
      </w:r>
      <w:r>
        <w:t>Government of Tonga</w:t>
      </w:r>
      <w:r w:rsidRPr="003B3AC9">
        <w:t xml:space="preserve"> to focus on key reforms, and provided an important focus for </w:t>
      </w:r>
      <w:smartTag w:uri="urn:schemas-microsoft-com:office:smarttags" w:element="place">
        <w:smartTag w:uri="urn:schemas-microsoft-com:office:smarttags" w:element="country-region">
          <w:r w:rsidRPr="003B3AC9">
            <w:t>Australia</w:t>
          </w:r>
        </w:smartTag>
      </w:smartTag>
      <w:r w:rsidRPr="003B3AC9">
        <w:t>’s development assistance in the governance sector.</w:t>
      </w:r>
      <w:r>
        <w:t xml:space="preserve"> </w:t>
      </w:r>
      <w:r w:rsidRPr="003B3AC9">
        <w:t xml:space="preserve">The </w:t>
      </w:r>
      <w:r>
        <w:t>Government of Tonga</w:t>
      </w:r>
      <w:r w:rsidRPr="003B3AC9">
        <w:t xml:space="preserve"> was able to meet all milestones by the end of 2008.</w:t>
      </w:r>
      <w:r>
        <w:t xml:space="preserve"> It</w:t>
      </w:r>
      <w:r w:rsidRPr="003B3AC9">
        <w:t xml:space="preserve"> also used a portion of the incentive fund to help reinforce reform efforts.</w:t>
      </w:r>
      <w:r>
        <w:t xml:space="preserve"> </w:t>
      </w:r>
      <w:r w:rsidRPr="003B3AC9">
        <w:t>Mutually agreed priorities included renewable energy, redundancies in the Department of Works, development of a new Customs management system, and support for a National Economic Development Committee.</w:t>
      </w:r>
      <w:r>
        <w:t xml:space="preserve"> The </w:t>
      </w:r>
      <w:r w:rsidRPr="00AE73F8">
        <w:t>Pacific Technical Assistance Mechanism</w:t>
      </w:r>
      <w:r w:rsidRPr="003B3AC9" w:rsidDel="00311EA9">
        <w:t xml:space="preserve"> </w:t>
      </w:r>
      <w:r>
        <w:t>(</w:t>
      </w:r>
      <w:r w:rsidRPr="003B3AC9">
        <w:t>PACTAM</w:t>
      </w:r>
      <w:r>
        <w:t>)</w:t>
      </w:r>
      <w:r w:rsidRPr="003B3AC9">
        <w:t xml:space="preserve"> and </w:t>
      </w:r>
      <w:r>
        <w:t xml:space="preserve">the </w:t>
      </w:r>
      <w:r w:rsidRPr="00AE73F8">
        <w:t>Finance and Economic Management Project</w:t>
      </w:r>
      <w:r w:rsidRPr="003B3AC9" w:rsidDel="00311EA9">
        <w:t xml:space="preserve"> </w:t>
      </w:r>
      <w:r w:rsidRPr="003B3AC9">
        <w:t>also played a key role in supplementing capacity in key positions (</w:t>
      </w:r>
      <w:r>
        <w:t>for example, in</w:t>
      </w:r>
      <w:r w:rsidRPr="003B3AC9">
        <w:t xml:space="preserve"> revenue and customs) and progressing reform efforts.</w:t>
      </w:r>
    </w:p>
    <w:p w:rsidR="004D2889" w:rsidRPr="003B3AC9" w:rsidRDefault="004D2889" w:rsidP="00B60EC4">
      <w:pPr>
        <w:pStyle w:val="BodyText"/>
      </w:pPr>
      <w:r w:rsidRPr="003B3AC9">
        <w:t>Civil society has not been a particular focus of the AusAID program</w:t>
      </w:r>
      <w:r>
        <w:t xml:space="preserve"> of support</w:t>
      </w:r>
      <w:r w:rsidRPr="003B3AC9">
        <w:t xml:space="preserve"> in </w:t>
      </w:r>
      <w:smartTag w:uri="urn:schemas-microsoft-com:office:smarttags" w:element="place">
        <w:smartTag w:uri="urn:schemas-microsoft-com:office:smarttags" w:element="country-region">
          <w:r w:rsidRPr="003B3AC9">
            <w:t>Tonga</w:t>
          </w:r>
        </w:smartTag>
      </w:smartTag>
      <w:r w:rsidRPr="003B3AC9">
        <w:t>.</w:t>
      </w:r>
      <w:r>
        <w:t xml:space="preserve"> </w:t>
      </w:r>
      <w:r w:rsidRPr="003B3AC9">
        <w:t xml:space="preserve">AusAID will be working closely with NZAID to determine </w:t>
      </w:r>
      <w:r>
        <w:t>whether</w:t>
      </w:r>
      <w:r w:rsidRPr="003B3AC9">
        <w:t xml:space="preserve"> there are any opportunities to complement </w:t>
      </w:r>
      <w:r>
        <w:t>its</w:t>
      </w:r>
      <w:r w:rsidRPr="003B3AC9">
        <w:t xml:space="preserve"> support for the Civil Society Forum of Tonga and build the capacity of civil society organisations, including through the Pacific Leadership Program.</w:t>
      </w:r>
    </w:p>
    <w:p w:rsidR="004D2889" w:rsidRPr="00210055" w:rsidRDefault="004D2889" w:rsidP="007477D4">
      <w:pPr>
        <w:pStyle w:val="BodyText"/>
        <w:rPr>
          <w:spacing w:val="-2"/>
        </w:rPr>
      </w:pPr>
      <w:r w:rsidRPr="00DC005A">
        <w:rPr>
          <w:spacing w:val="-2"/>
        </w:rPr>
        <w:t xml:space="preserve">The </w:t>
      </w:r>
      <w:r w:rsidRPr="00DC005A">
        <w:rPr>
          <w:b/>
          <w:spacing w:val="-2"/>
        </w:rPr>
        <w:t>Expenditure Review Committee</w:t>
      </w:r>
      <w:r w:rsidRPr="00DC005A">
        <w:rPr>
          <w:spacing w:val="-2"/>
        </w:rPr>
        <w:t xml:space="preserve"> continues to perform well, resulting in a sharper focus on expenditure management and a more strategic approach to budget formulation (for example, ministers and departmental heads present their cases for funding as part of budget deliberations). The committee is now undertaking monthly reviews of expenditure and quarterly </w:t>
      </w:r>
      <w:r w:rsidRPr="00DC005A">
        <w:rPr>
          <w:spacing w:val="-2"/>
        </w:rPr>
        <w:lastRenderedPageBreak/>
        <w:t xml:space="preserve">reviews of the public sector staffing profile. It is also improving policy formulation by acting as a sounding board for policy proposals, ensuring that they are discussed and fine-tuned before submission to Cabinet. The committee is expected to lead to a better alignment between government policy priorities and the national budget—a crucial step towards shifting resources away from high labour costs towards service provision. </w:t>
      </w:r>
      <w:smartTag w:uri="urn:schemas-microsoft-com:office:smarttags" w:element="place">
        <w:smartTag w:uri="urn:schemas-microsoft-com:office:smarttags" w:element="country-region">
          <w:r w:rsidRPr="00DC005A">
            <w:rPr>
              <w:spacing w:val="-2"/>
            </w:rPr>
            <w:t>Australia</w:t>
          </w:r>
        </w:smartTag>
      </w:smartTag>
      <w:r w:rsidRPr="00DC005A">
        <w:rPr>
          <w:spacing w:val="-2"/>
        </w:rPr>
        <w:t>’s support under the Tonga–Australia Performance Partnership Agreement was instrumental in delivering these outcomes.</w:t>
      </w:r>
    </w:p>
    <w:p w:rsidR="004D2889" w:rsidRPr="003B3AC9" w:rsidRDefault="004D2889" w:rsidP="007477D4">
      <w:pPr>
        <w:pStyle w:val="BodyText"/>
      </w:pPr>
      <w:r w:rsidRPr="003B3AC9">
        <w:t xml:space="preserve">The </w:t>
      </w:r>
      <w:r>
        <w:t>Government of Tonga</w:t>
      </w:r>
      <w:r w:rsidRPr="003B3AC9">
        <w:t xml:space="preserve"> continue</w:t>
      </w:r>
      <w:r>
        <w:t>d</w:t>
      </w:r>
      <w:r w:rsidRPr="003B3AC9">
        <w:t xml:space="preserve"> to </w:t>
      </w:r>
      <w:r>
        <w:t>be</w:t>
      </w:r>
      <w:r w:rsidRPr="003B3AC9">
        <w:t xml:space="preserve"> discipline</w:t>
      </w:r>
      <w:r>
        <w:t>d</w:t>
      </w:r>
      <w:r w:rsidRPr="003B3AC9">
        <w:t xml:space="preserve"> in managing staffing numbers and departmental resource requests through the </w:t>
      </w:r>
      <w:r w:rsidRPr="00DC005A">
        <w:rPr>
          <w:b/>
        </w:rPr>
        <w:t>Public Service Commission</w:t>
      </w:r>
      <w:r w:rsidRPr="003B3AC9">
        <w:t>.</w:t>
      </w:r>
      <w:r>
        <w:t xml:space="preserve"> </w:t>
      </w:r>
      <w:r w:rsidRPr="003B3AC9">
        <w:t xml:space="preserve">The government recently endorsed a strategy </w:t>
      </w:r>
      <w:r>
        <w:t>that</w:t>
      </w:r>
      <w:r w:rsidRPr="003B3AC9">
        <w:t xml:space="preserve"> will see public service wages reviewed more regularly, with pay rises more closely linked to </w:t>
      </w:r>
      <w:r>
        <w:t>government</w:t>
      </w:r>
      <w:r w:rsidRPr="003B3AC9">
        <w:t xml:space="preserve"> performance and key economic indicators </w:t>
      </w:r>
      <w:r>
        <w:t xml:space="preserve">such as </w:t>
      </w:r>
      <w:r w:rsidRPr="003B3AC9">
        <w:t>GDP and inflation.</w:t>
      </w:r>
      <w:r>
        <w:t xml:space="preserve"> The </w:t>
      </w:r>
      <w:r>
        <w:rPr>
          <w:lang w:val="en-US"/>
        </w:rPr>
        <w:t>m</w:t>
      </w:r>
      <w:r w:rsidRPr="003B3AC9">
        <w:rPr>
          <w:lang w:val="en-US"/>
        </w:rPr>
        <w:t xml:space="preserve">ore systematic review of wages is critical to </w:t>
      </w:r>
      <w:r>
        <w:rPr>
          <w:lang w:val="en-US"/>
        </w:rPr>
        <w:t>public sector</w:t>
      </w:r>
      <w:r w:rsidRPr="003B3AC9">
        <w:rPr>
          <w:lang w:val="en-US"/>
        </w:rPr>
        <w:t xml:space="preserve"> reform.</w:t>
      </w:r>
      <w:r>
        <w:rPr>
          <w:lang w:val="en-US"/>
        </w:rPr>
        <w:t xml:space="preserve"> To date</w:t>
      </w:r>
      <w:r w:rsidRPr="003B3AC9">
        <w:rPr>
          <w:lang w:val="en-US"/>
        </w:rPr>
        <w:t xml:space="preserve"> wage reviews have been ad</w:t>
      </w:r>
      <w:r>
        <w:rPr>
          <w:lang w:val="en-US"/>
        </w:rPr>
        <w:t xml:space="preserve"> </w:t>
      </w:r>
      <w:r w:rsidRPr="003B3AC9">
        <w:rPr>
          <w:lang w:val="en-US"/>
        </w:rPr>
        <w:t xml:space="preserve">hoc and have tended to occur only when significant wage pressures </w:t>
      </w:r>
      <w:r>
        <w:rPr>
          <w:lang w:val="en-US"/>
        </w:rPr>
        <w:t xml:space="preserve">had </w:t>
      </w:r>
      <w:r w:rsidRPr="003B3AC9">
        <w:rPr>
          <w:lang w:val="en-US"/>
        </w:rPr>
        <w:t>buil</w:t>
      </w:r>
      <w:r>
        <w:rPr>
          <w:lang w:val="en-US"/>
        </w:rPr>
        <w:t>t</w:t>
      </w:r>
      <w:r w:rsidRPr="003B3AC9">
        <w:rPr>
          <w:lang w:val="en-US"/>
        </w:rPr>
        <w:t xml:space="preserve"> up</w:t>
      </w:r>
      <w:r>
        <w:rPr>
          <w:lang w:val="en-US"/>
        </w:rPr>
        <w:t>.</w:t>
      </w:r>
      <w:r w:rsidRPr="003B3AC9">
        <w:rPr>
          <w:lang w:val="en-US"/>
        </w:rPr>
        <w:t xml:space="preserve"> </w:t>
      </w:r>
      <w:r>
        <w:rPr>
          <w:lang w:val="en-US"/>
        </w:rPr>
        <w:t>T</w:t>
      </w:r>
      <w:r w:rsidRPr="003B3AC9">
        <w:rPr>
          <w:lang w:val="en-US"/>
        </w:rPr>
        <w:t>his contributed to the strikes in 2005 and the substantial wage claim</w:t>
      </w:r>
      <w:r>
        <w:rPr>
          <w:lang w:val="en-US"/>
        </w:rPr>
        <w:t>,</w:t>
      </w:r>
      <w:r w:rsidRPr="003B3AC9">
        <w:rPr>
          <w:lang w:val="en-US"/>
        </w:rPr>
        <w:t xml:space="preserve"> which necessitated sharp cutbacks to staff numbers.</w:t>
      </w:r>
      <w:r>
        <w:t xml:space="preserve"> </w:t>
      </w:r>
      <w:r w:rsidRPr="003B3AC9">
        <w:t xml:space="preserve">The </w:t>
      </w:r>
      <w:r>
        <w:t>Government of Tonga</w:t>
      </w:r>
      <w:r w:rsidRPr="003B3AC9">
        <w:t xml:space="preserve"> has also adopted a much stronger approach to performance management, as evidenced by the non-renewal of contracts for senior public servants due to concerns </w:t>
      </w:r>
      <w:r>
        <w:t>about their</w:t>
      </w:r>
      <w:r w:rsidRPr="003B3AC9">
        <w:t xml:space="preserve"> performance.</w:t>
      </w:r>
      <w:r>
        <w:t xml:space="preserve"> </w:t>
      </w:r>
      <w:r w:rsidRPr="003B3AC9">
        <w:t>Collectively, these moves to improve professionalism within the public service are expected to deliver a higher level of performance.</w:t>
      </w:r>
    </w:p>
    <w:p w:rsidR="004D2889" w:rsidRPr="003B3AC9" w:rsidRDefault="004D2889" w:rsidP="007477D4">
      <w:pPr>
        <w:pStyle w:val="BodyText"/>
      </w:pPr>
      <w:r w:rsidRPr="003B3AC9">
        <w:t xml:space="preserve">There has been a substantial improvement in the performance of the </w:t>
      </w:r>
      <w:r w:rsidRPr="00DC005A">
        <w:rPr>
          <w:b/>
        </w:rPr>
        <w:t>Revenue Services Department</w:t>
      </w:r>
      <w:r w:rsidRPr="003B3AC9">
        <w:t>.</w:t>
      </w:r>
      <w:r>
        <w:t xml:space="preserve"> </w:t>
      </w:r>
      <w:r w:rsidRPr="003B3AC9">
        <w:t>Technical advisers report that staff are demonstrating more confidence in their dealings with taxpayers and are better able to identify and deal with issues.</w:t>
      </w:r>
      <w:r>
        <w:t xml:space="preserve"> </w:t>
      </w:r>
      <w:r w:rsidRPr="003B3AC9">
        <w:t>A new guide to Tongan income tax has been published on the internet, and an internet tax return lodgement system has been developed and is in the final testing stage.</w:t>
      </w:r>
      <w:r>
        <w:t xml:space="preserve"> </w:t>
      </w:r>
      <w:r w:rsidRPr="003B3AC9">
        <w:t>Service standards have improved markedly, with all key standards consistently met or exceeded (</w:t>
      </w:r>
      <w:r>
        <w:t>for example,</w:t>
      </w:r>
      <w:r w:rsidRPr="003B3AC9">
        <w:t xml:space="preserve"> </w:t>
      </w:r>
      <w:r>
        <w:t>all</w:t>
      </w:r>
      <w:r w:rsidRPr="003B3AC9">
        <w:t xml:space="preserve"> consumption tax returns are processed within 42 days).</w:t>
      </w:r>
      <w:r>
        <w:t xml:space="preserve"> </w:t>
      </w:r>
      <w:r w:rsidRPr="003B3AC9">
        <w:t>Around 38</w:t>
      </w:r>
      <w:r>
        <w:t> per cent</w:t>
      </w:r>
      <w:r w:rsidRPr="003B3AC9">
        <w:t xml:space="preserve"> of large businesses have been profiled and the </w:t>
      </w:r>
      <w:r>
        <w:t>department</w:t>
      </w:r>
      <w:r w:rsidRPr="003B3AC9">
        <w:t xml:space="preserve"> </w:t>
      </w:r>
      <w:r>
        <w:t>was</w:t>
      </w:r>
      <w:r w:rsidRPr="003B3AC9">
        <w:t xml:space="preserve"> on track to meet its initial target of collecting 30</w:t>
      </w:r>
      <w:r>
        <w:t> per cent</w:t>
      </w:r>
      <w:r w:rsidRPr="003B3AC9">
        <w:t xml:space="preserve"> of </w:t>
      </w:r>
      <w:r w:rsidRPr="00EC3480">
        <w:rPr>
          <w:spacing w:val="-2"/>
        </w:rPr>
        <w:t>outstanding tax arrears for large business by 30 June 2009. Tax audits resulted in an additional T$9.4 million in revenue in 2007–08. Chamber of Commerce members have also commented positively on improved performance. PACTAM and the Tonga–Australia Performance Partnership</w:t>
      </w:r>
      <w:r w:rsidRPr="00D81B5B">
        <w:t xml:space="preserve"> Agreement </w:t>
      </w:r>
      <w:r w:rsidRPr="003B3AC9">
        <w:t>have been instrumental in supporting these outcomes.</w:t>
      </w:r>
    </w:p>
    <w:p w:rsidR="004D2889" w:rsidRPr="003B3AC9" w:rsidRDefault="004D2889" w:rsidP="007477D4">
      <w:pPr>
        <w:pStyle w:val="BodyText"/>
      </w:pPr>
      <w:r w:rsidRPr="003B3AC9">
        <w:t>Following the introduction of the Customs Act in 2007, several amendments were passed in 2008.</w:t>
      </w:r>
      <w:r>
        <w:t xml:space="preserve"> </w:t>
      </w:r>
      <w:r w:rsidRPr="003B3AC9">
        <w:t xml:space="preserve">Communications within the </w:t>
      </w:r>
      <w:r w:rsidRPr="00DC005A">
        <w:rPr>
          <w:b/>
        </w:rPr>
        <w:t>Tonga</w:t>
      </w:r>
      <w:r>
        <w:t xml:space="preserve"> </w:t>
      </w:r>
      <w:r w:rsidRPr="00DC005A">
        <w:rPr>
          <w:b/>
        </w:rPr>
        <w:t>Customs Service</w:t>
      </w:r>
      <w:r w:rsidRPr="003B3AC9">
        <w:t xml:space="preserve"> </w:t>
      </w:r>
      <w:r>
        <w:t>were</w:t>
      </w:r>
      <w:r w:rsidRPr="003B3AC9">
        <w:t xml:space="preserve"> improved and initial work </w:t>
      </w:r>
      <w:r>
        <w:t>was</w:t>
      </w:r>
      <w:r w:rsidRPr="003B3AC9">
        <w:t xml:space="preserve"> commenced to develop a new Customs Management System.</w:t>
      </w:r>
      <w:r>
        <w:t xml:space="preserve"> </w:t>
      </w:r>
      <w:r w:rsidRPr="003B3AC9">
        <w:t xml:space="preserve">Inspections and compliance </w:t>
      </w:r>
      <w:r>
        <w:t>were</w:t>
      </w:r>
      <w:r w:rsidRPr="003B3AC9">
        <w:t xml:space="preserve"> also improved.</w:t>
      </w:r>
      <w:r>
        <w:t xml:space="preserve"> </w:t>
      </w:r>
      <w:r w:rsidRPr="003B3AC9">
        <w:t>Chamber of Commerce members commented that processes have been streamlined and that there has been a substantial improvement in clearance times to get goods off the wharf, although further improvements are still needed (</w:t>
      </w:r>
      <w:r>
        <w:t>for example,</w:t>
      </w:r>
      <w:r w:rsidRPr="003B3AC9">
        <w:t xml:space="preserve"> clarity </w:t>
      </w:r>
      <w:r>
        <w:t>about</w:t>
      </w:r>
      <w:r w:rsidRPr="003B3AC9">
        <w:t xml:space="preserve"> the need for agents).</w:t>
      </w:r>
      <w:r>
        <w:t xml:space="preserve"> The </w:t>
      </w:r>
      <w:r w:rsidRPr="003B3AC9">
        <w:t xml:space="preserve">Customs </w:t>
      </w:r>
      <w:r>
        <w:t xml:space="preserve">Service </w:t>
      </w:r>
      <w:r w:rsidRPr="003B3AC9">
        <w:t xml:space="preserve">also forged stronger links with the police </w:t>
      </w:r>
      <w:r>
        <w:t>force</w:t>
      </w:r>
      <w:r w:rsidRPr="003B3AC9">
        <w:t xml:space="preserve"> in the areas of investigation and border security.</w:t>
      </w:r>
      <w:r>
        <w:t xml:space="preserve"> </w:t>
      </w:r>
      <w:r w:rsidRPr="003B3AC9">
        <w:t xml:space="preserve">The </w:t>
      </w:r>
      <w:r w:rsidRPr="00AE73F8">
        <w:t>Finance and Economic Management Project</w:t>
      </w:r>
      <w:r w:rsidRPr="003B3AC9" w:rsidDel="00311EA9">
        <w:t xml:space="preserve"> </w:t>
      </w:r>
      <w:r w:rsidRPr="003B3AC9">
        <w:t>and PACTAM played a key role in supporting these outcomes.</w:t>
      </w:r>
    </w:p>
    <w:p w:rsidR="004D2889" w:rsidRPr="00210055" w:rsidRDefault="004D2889" w:rsidP="007477D4">
      <w:pPr>
        <w:pStyle w:val="BodyText"/>
        <w:rPr>
          <w:spacing w:val="-2"/>
        </w:rPr>
      </w:pPr>
      <w:r w:rsidRPr="00DC005A">
        <w:rPr>
          <w:spacing w:val="-2"/>
        </w:rPr>
        <w:t xml:space="preserve">Major groundwork was undertaken in 2008 to develop a trilateral program of support in </w:t>
      </w:r>
      <w:r w:rsidRPr="00DC005A">
        <w:rPr>
          <w:b/>
          <w:spacing w:val="-2"/>
        </w:rPr>
        <w:t>policing</w:t>
      </w:r>
      <w:r w:rsidRPr="00DC005A">
        <w:rPr>
          <w:spacing w:val="-2"/>
        </w:rPr>
        <w:t xml:space="preserve">. This included wide-scale community consultations, the development of a Community Perceptions Survey (to be administered in 2009), and the development of a four-year strategic plan. The trilateral arrangement among New Zealand, Australia and Tonga represents a strong partnership and will improve collaboration and coordination in the policing sector. </w:t>
      </w:r>
    </w:p>
    <w:p w:rsidR="004D2889" w:rsidRDefault="004D2889" w:rsidP="007477D4">
      <w:pPr>
        <w:pStyle w:val="BodyText"/>
      </w:pPr>
      <w:r w:rsidRPr="003B3AC9">
        <w:t xml:space="preserve">Interim support </w:t>
      </w:r>
      <w:r>
        <w:t xml:space="preserve">that provided uniforms for all police and established a beat squad </w:t>
      </w:r>
      <w:r w:rsidRPr="003B3AC9">
        <w:t>led to increased police visibility.</w:t>
      </w:r>
      <w:r>
        <w:t xml:space="preserve"> </w:t>
      </w:r>
      <w:r w:rsidRPr="003B3AC9">
        <w:t>Some minor capital investments (</w:t>
      </w:r>
      <w:r>
        <w:t>for example, in</w:t>
      </w:r>
      <w:r w:rsidRPr="003B3AC9">
        <w:t xml:space="preserve"> cars and building refurbishments) </w:t>
      </w:r>
      <w:r>
        <w:t>were</w:t>
      </w:r>
      <w:r w:rsidRPr="003B3AC9">
        <w:t xml:space="preserve"> also supported</w:t>
      </w:r>
      <w:r>
        <w:t xml:space="preserve"> in 2008</w:t>
      </w:r>
      <w:r w:rsidRPr="003B3AC9">
        <w:t>.</w:t>
      </w:r>
      <w:r>
        <w:t xml:space="preserve"> </w:t>
      </w:r>
      <w:r w:rsidRPr="003B3AC9">
        <w:t>The new Police Commander (</w:t>
      </w:r>
      <w:r>
        <w:t xml:space="preserve">a </w:t>
      </w:r>
      <w:r w:rsidRPr="003B3AC9">
        <w:t>N</w:t>
      </w:r>
      <w:r>
        <w:t xml:space="preserve">ew </w:t>
      </w:r>
      <w:r w:rsidRPr="003B3AC9">
        <w:t>Z</w:t>
      </w:r>
      <w:r>
        <w:t>ealander</w:t>
      </w:r>
      <w:r w:rsidRPr="003B3AC9">
        <w:t xml:space="preserve">) </w:t>
      </w:r>
      <w:r w:rsidRPr="003B3AC9">
        <w:lastRenderedPageBreak/>
        <w:t>is helping to inject greater discipline in the police force and has instituted a ‘zero tolerance’ policy on domestic violence.</w:t>
      </w:r>
      <w:r>
        <w:t xml:space="preserve"> </w:t>
      </w:r>
      <w:r w:rsidRPr="003B3AC9">
        <w:t>Anecdotal evidence suggests that there has been an improvement in police behaviour, with fewer human rights abuses.</w:t>
      </w:r>
      <w:r w:rsidRPr="000F0223">
        <w:rPr>
          <w:rStyle w:val="FootnoteReference"/>
        </w:rPr>
        <w:footnoteReference w:id="16"/>
      </w:r>
    </w:p>
    <w:p w:rsidR="004D2889" w:rsidRPr="003B3AC9" w:rsidRDefault="004D2889" w:rsidP="007477D4">
      <w:pPr>
        <w:pStyle w:val="BodyText"/>
      </w:pPr>
      <w:r>
        <w:t>T</w:t>
      </w:r>
      <w:r w:rsidRPr="003B3AC9">
        <w:t>he Pacific Regional Policing Initiative made an important contribution to developing police capacity in Tonga</w:t>
      </w:r>
      <w:r>
        <w:t>.</w:t>
      </w:r>
      <w:r w:rsidRPr="003B3AC9">
        <w:t xml:space="preserve"> </w:t>
      </w:r>
      <w:r>
        <w:t>A</w:t>
      </w:r>
      <w:r w:rsidRPr="003B3AC9">
        <w:t xml:space="preserve"> new curriculum for recruit training </w:t>
      </w:r>
      <w:r>
        <w:t>was</w:t>
      </w:r>
      <w:r w:rsidRPr="003B3AC9">
        <w:t xml:space="preserve"> developed</w:t>
      </w:r>
      <w:r>
        <w:t>, and</w:t>
      </w:r>
      <w:r w:rsidRPr="003B3AC9">
        <w:t xml:space="preserve"> eight staff are now certified trainers</w:t>
      </w:r>
      <w:r>
        <w:t>.</w:t>
      </w:r>
      <w:r w:rsidRPr="003B3AC9">
        <w:t xml:space="preserve"> </w:t>
      </w:r>
      <w:r>
        <w:t>T</w:t>
      </w:r>
      <w:r w:rsidRPr="003B3AC9">
        <w:t xml:space="preserve">he head of training reported that staff </w:t>
      </w:r>
      <w:r>
        <w:t xml:space="preserve"> </w:t>
      </w:r>
      <w:r w:rsidRPr="003B3AC9">
        <w:t>have increased confidence in delivering training.</w:t>
      </w:r>
    </w:p>
    <w:p w:rsidR="004D2889" w:rsidRDefault="004D2889" w:rsidP="007477D4">
      <w:pPr>
        <w:pStyle w:val="BodyText"/>
      </w:pPr>
      <w:r w:rsidRPr="003B3AC9">
        <w:t xml:space="preserve">Australia provides selected support to the </w:t>
      </w:r>
      <w:r w:rsidRPr="00DC005A">
        <w:rPr>
          <w:b/>
        </w:rPr>
        <w:t>justice</w:t>
      </w:r>
      <w:r w:rsidRPr="003B3AC9">
        <w:t xml:space="preserve"> sector, </w:t>
      </w:r>
      <w:r>
        <w:t xml:space="preserve">which </w:t>
      </w:r>
      <w:r w:rsidRPr="003B3AC9">
        <w:t>includ</w:t>
      </w:r>
      <w:r>
        <w:t>es</w:t>
      </w:r>
      <w:r w:rsidRPr="003B3AC9">
        <w:t xml:space="preserve"> a salary top-up for one of the three judges and support via regional activities</w:t>
      </w:r>
      <w:r>
        <w:t xml:space="preserve"> such as</w:t>
      </w:r>
      <w:r w:rsidRPr="003B3AC9">
        <w:t xml:space="preserve"> the Pacific Judicial Development Program and Pacific Governance Support Program.</w:t>
      </w:r>
      <w:r>
        <w:t xml:space="preserve"> </w:t>
      </w:r>
      <w:r w:rsidRPr="003B3AC9">
        <w:t>Australia’s support for the judiciary has been instrumental in helping to deal with the large spike in cases (more than 500) generated by the 2006 riots</w:t>
      </w:r>
      <w:r>
        <w:t>;</w:t>
      </w:r>
      <w:r w:rsidRPr="003B3AC9">
        <w:t xml:space="preserve"> more than 80</w:t>
      </w:r>
      <w:r>
        <w:t> per cent</w:t>
      </w:r>
      <w:r w:rsidRPr="003B3AC9">
        <w:t xml:space="preserve"> of cases </w:t>
      </w:r>
      <w:r>
        <w:t xml:space="preserve">have been </w:t>
      </w:r>
      <w:r w:rsidRPr="003B3AC9">
        <w:t>successfully resolved.</w:t>
      </w:r>
      <w:r>
        <w:t xml:space="preserve"> </w:t>
      </w:r>
      <w:r w:rsidRPr="003B3AC9">
        <w:t>Feedback from the judiciary indicates that Australia’s regional support ha</w:t>
      </w:r>
      <w:r>
        <w:t>s</w:t>
      </w:r>
      <w:r w:rsidRPr="003B3AC9">
        <w:t xml:space="preserve"> also delivered positive outcomes.</w:t>
      </w:r>
      <w:r>
        <w:t xml:space="preserve"> </w:t>
      </w:r>
      <w:r w:rsidRPr="003B3AC9">
        <w:t>Particular mention was made of the Pacific Judicial Development Program, which has supported training and attachments for court staff and enabled two judicial officers to become accredited trainers</w:t>
      </w:r>
      <w:r>
        <w:t>,</w:t>
      </w:r>
      <w:r w:rsidRPr="003B3AC9">
        <w:t xml:space="preserve"> and the Law Library Twinning Project (part of </w:t>
      </w:r>
      <w:r>
        <w:t xml:space="preserve">the </w:t>
      </w:r>
      <w:r w:rsidRPr="003B3AC9">
        <w:t>Pacific Governance Support Program).</w:t>
      </w:r>
      <w:r>
        <w:t xml:space="preserve"> The </w:t>
      </w:r>
      <w:r w:rsidRPr="003B3AC9">
        <w:t xml:space="preserve">Pacific Judicial Development Program was highlighted as a good example of donors working together to reduce the administrative burden on the </w:t>
      </w:r>
      <w:r>
        <w:t>Government of Tonga.</w:t>
      </w:r>
      <w:r w:rsidRPr="003B3AC9">
        <w:t xml:space="preserve"> (AusAID and NZAID provide joint funding and do not require </w:t>
      </w:r>
      <w:r>
        <w:t>the government</w:t>
      </w:r>
      <w:r w:rsidRPr="003B3AC9">
        <w:t xml:space="preserve"> to report separately</w:t>
      </w:r>
      <w:r>
        <w:t>.</w:t>
      </w:r>
      <w:r w:rsidRPr="003B3AC9">
        <w:t>)</w:t>
      </w:r>
      <w:r>
        <w:t xml:space="preserve"> </w:t>
      </w:r>
      <w:r w:rsidRPr="003B3AC9">
        <w:t>Support from the Federal Court of Australia has also been highly valued.</w:t>
      </w:r>
      <w:r>
        <w:t xml:space="preserve"> </w:t>
      </w:r>
      <w:r w:rsidRPr="003B3AC9">
        <w:t xml:space="preserve">Australia, both through direct support to the judiciary and mediation training under the Pacific Governance Support Program, continued the support </w:t>
      </w:r>
      <w:r>
        <w:t>that</w:t>
      </w:r>
      <w:r w:rsidRPr="003B3AC9">
        <w:t xml:space="preserve"> contributed to the Tonga Supreme Court receiving a World Bank award for Best Reformer in 2007.</w:t>
      </w:r>
      <w:r>
        <w:rPr>
          <w:b/>
        </w:rPr>
        <w:t xml:space="preserve"> </w:t>
      </w:r>
      <w:r w:rsidRPr="003B3AC9">
        <w:t>The court continued to cut the average time to enforce contracts (from 510 to 210 days), established a court case management program, computerised court record</w:t>
      </w:r>
      <w:r>
        <w:t>s</w:t>
      </w:r>
      <w:r w:rsidRPr="003B3AC9">
        <w:t>, and introduced mediation as an alternative dispute resolution mechanism.</w:t>
      </w:r>
      <w:r>
        <w:t xml:space="preserve"> </w:t>
      </w:r>
      <w:r w:rsidRPr="003B3AC9">
        <w:t>This in turn increased confidence within the business sector.</w:t>
      </w:r>
      <w:r>
        <w:t xml:space="preserve"> </w:t>
      </w:r>
      <w:r w:rsidRPr="003B3AC9">
        <w:t xml:space="preserve">The </w:t>
      </w:r>
      <w:r>
        <w:t>Government of Tonga</w:t>
      </w:r>
      <w:r w:rsidRPr="003B3AC9">
        <w:t xml:space="preserve"> also instituted some positive reforms in the justice sector, such as abandoning the rotation of clerks, which was having negative impacts on capacity development.</w:t>
      </w:r>
    </w:p>
    <w:p w:rsidR="004D2889" w:rsidRPr="003B3AC9" w:rsidRDefault="004D2889" w:rsidP="003B3AC9">
      <w:pPr>
        <w:pStyle w:val="BodyText"/>
      </w:pPr>
      <w:r w:rsidRPr="003B3AC9">
        <w:t xml:space="preserve">The aid program is helping to fill critical gaps in </w:t>
      </w:r>
      <w:r w:rsidRPr="00DC005A">
        <w:rPr>
          <w:b/>
        </w:rPr>
        <w:t>capacity</w:t>
      </w:r>
      <w:r w:rsidRPr="003B3AC9">
        <w:t xml:space="preserve"> through support for a number of line positions including</w:t>
      </w:r>
      <w:r>
        <w:t xml:space="preserve"> the following.</w:t>
      </w:r>
    </w:p>
    <w:p w:rsidR="004D2889" w:rsidRPr="003B3AC9" w:rsidRDefault="004D2889" w:rsidP="003B3AC9">
      <w:pPr>
        <w:pStyle w:val="ListBullet"/>
      </w:pPr>
      <w:r w:rsidRPr="003B3AC9">
        <w:t xml:space="preserve">The Deputy Governor of the </w:t>
      </w:r>
      <w:r>
        <w:t xml:space="preserve">National </w:t>
      </w:r>
      <w:r w:rsidRPr="003B3AC9">
        <w:t>Reserve Bank</w:t>
      </w:r>
      <w:r>
        <w:t xml:space="preserve"> of Tonga, who was seconded</w:t>
      </w:r>
      <w:r w:rsidRPr="003B3AC9">
        <w:t xml:space="preserve"> from the Reserve Bank of </w:t>
      </w:r>
      <w:smartTag w:uri="urn:schemas-microsoft-com:office:smarttags" w:element="country-region">
        <w:smartTag w:uri="urn:schemas-microsoft-com:office:smarttags" w:element="place">
          <w:r w:rsidRPr="003B3AC9">
            <w:t>Fiji</w:t>
          </w:r>
        </w:smartTag>
      </w:smartTag>
      <w:r w:rsidRPr="003B3AC9">
        <w:t>, has been critical in helping the Reserve Bank maintain stability and confidence in the financial system.</w:t>
      </w:r>
      <w:r>
        <w:t xml:space="preserve"> </w:t>
      </w:r>
      <w:r w:rsidRPr="003B3AC9">
        <w:t xml:space="preserve">This assistance is also playing an important role in helping the Reserve Bank </w:t>
      </w:r>
      <w:r>
        <w:t xml:space="preserve">to </w:t>
      </w:r>
      <w:r w:rsidRPr="003B3AC9">
        <w:t xml:space="preserve">monitor the potential impacts of the </w:t>
      </w:r>
      <w:r>
        <w:t>global financial crisis</w:t>
      </w:r>
      <w:r w:rsidRPr="003B3AC9">
        <w:t>.</w:t>
      </w:r>
    </w:p>
    <w:p w:rsidR="004D2889" w:rsidRPr="003B3AC9" w:rsidRDefault="004D2889" w:rsidP="003B3AC9">
      <w:pPr>
        <w:pStyle w:val="ListBullet"/>
      </w:pPr>
      <w:r w:rsidRPr="003B3AC9">
        <w:t>The Economics Adviser</w:t>
      </w:r>
      <w:r>
        <w:t>, whose position is funded</w:t>
      </w:r>
      <w:r w:rsidRPr="003B3AC9">
        <w:t xml:space="preserve"> through PACTAM</w:t>
      </w:r>
      <w:r>
        <w:t>,</w:t>
      </w:r>
      <w:r w:rsidRPr="003B3AC9">
        <w:t xml:space="preserve"> has helped to improve debt management, economic analysis and monitoring, and enhance communication between the Ministry of Finance </w:t>
      </w:r>
      <w:r>
        <w:t xml:space="preserve">and Planning </w:t>
      </w:r>
      <w:r w:rsidRPr="003B3AC9">
        <w:t>and the International Monetary Fund.</w:t>
      </w:r>
    </w:p>
    <w:p w:rsidR="004D2889" w:rsidRDefault="004D2889" w:rsidP="003B3AC9">
      <w:pPr>
        <w:pStyle w:val="ListBullet"/>
      </w:pPr>
      <w:r w:rsidRPr="003B3AC9">
        <w:t>The Aid Harmonisation Adviser</w:t>
      </w:r>
      <w:r>
        <w:t xml:space="preserve">, whose position is also funded </w:t>
      </w:r>
      <w:r w:rsidRPr="003B3AC9">
        <w:t>through PACTAM</w:t>
      </w:r>
      <w:r>
        <w:t>,</w:t>
      </w:r>
      <w:r w:rsidRPr="003B3AC9">
        <w:t xml:space="preserve"> has helped the </w:t>
      </w:r>
      <w:r>
        <w:t xml:space="preserve">recently established </w:t>
      </w:r>
      <w:r w:rsidRPr="003B3AC9">
        <w:t xml:space="preserve">Aid Management Division </w:t>
      </w:r>
      <w:r w:rsidRPr="00D81B5B">
        <w:t>within the Ministry of Finance</w:t>
      </w:r>
      <w:r>
        <w:t xml:space="preserve"> and Planning</w:t>
      </w:r>
      <w:r w:rsidRPr="003B3AC9">
        <w:t xml:space="preserve"> </w:t>
      </w:r>
      <w:r>
        <w:t xml:space="preserve">to </w:t>
      </w:r>
      <w:r w:rsidRPr="003B3AC9">
        <w:t>establish an aid management database and commenced efforts to better reflect donor funding in the national budget</w:t>
      </w:r>
      <w:r>
        <w:t>—</w:t>
      </w:r>
      <w:r w:rsidRPr="003B3AC9">
        <w:t>key strategies in progressing the Paris agenda</w:t>
      </w:r>
      <w:r>
        <w:t xml:space="preserve"> to improve aid effectiveness</w:t>
      </w:r>
      <w:r w:rsidRPr="003B3AC9">
        <w:t>.</w:t>
      </w:r>
    </w:p>
    <w:p w:rsidR="004D2889" w:rsidRPr="003B3AC9" w:rsidRDefault="004D2889" w:rsidP="003B3AC9">
      <w:pPr>
        <w:pStyle w:val="BodyText"/>
      </w:pPr>
      <w:r w:rsidRPr="003B3AC9">
        <w:lastRenderedPageBreak/>
        <w:t xml:space="preserve">There are numerous </w:t>
      </w:r>
      <w:r>
        <w:t>Australian-supported</w:t>
      </w:r>
      <w:r w:rsidRPr="003B3AC9">
        <w:t xml:space="preserve"> </w:t>
      </w:r>
      <w:r w:rsidRPr="00DC005A">
        <w:rPr>
          <w:b/>
        </w:rPr>
        <w:t>regional programs</w:t>
      </w:r>
      <w:r w:rsidRPr="003B3AC9">
        <w:t xml:space="preserve"> </w:t>
      </w:r>
      <w:r>
        <w:t>that</w:t>
      </w:r>
      <w:r w:rsidRPr="003B3AC9">
        <w:t xml:space="preserve"> benefit Tonga, including the annual </w:t>
      </w:r>
      <w:r w:rsidRPr="00AE73F8">
        <w:t xml:space="preserve">Australia </w:t>
      </w:r>
      <w:r>
        <w:t xml:space="preserve">and </w:t>
      </w:r>
      <w:r w:rsidRPr="00AE73F8">
        <w:t>New Zealand School of Government</w:t>
      </w:r>
      <w:r>
        <w:t>’s</w:t>
      </w:r>
      <w:r w:rsidRPr="003B3AC9">
        <w:t xml:space="preserve"> Pacific Executive Scholarship Program and the Pacific Islands Scholarship for Governance Program.</w:t>
      </w:r>
      <w:r>
        <w:t xml:space="preserve"> </w:t>
      </w:r>
      <w:r w:rsidRPr="003B3AC9">
        <w:t>Middle</w:t>
      </w:r>
      <w:r>
        <w:t>-</w:t>
      </w:r>
      <w:r w:rsidRPr="003B3AC9">
        <w:t>level managers report</w:t>
      </w:r>
      <w:r>
        <w:t>ed</w:t>
      </w:r>
      <w:r w:rsidRPr="003B3AC9">
        <w:t xml:space="preserve"> that they have benefited from leadership and management training provided via </w:t>
      </w:r>
      <w:r>
        <w:t xml:space="preserve">these </w:t>
      </w:r>
      <w:r w:rsidRPr="003B3AC9">
        <w:t>programs</w:t>
      </w:r>
      <w:r>
        <w:t>.</w:t>
      </w:r>
    </w:p>
    <w:p w:rsidR="004D2889" w:rsidRPr="003B3AC9" w:rsidRDefault="004D2889" w:rsidP="003B3AC9">
      <w:pPr>
        <w:pStyle w:val="Heading3"/>
        <w:tabs>
          <w:tab w:val="clear" w:pos="1440"/>
          <w:tab w:val="clear" w:pos="2160"/>
        </w:tabs>
      </w:pPr>
      <w:r w:rsidRPr="003B3AC9">
        <w:t>Challenges</w:t>
      </w:r>
    </w:p>
    <w:p w:rsidR="004D2889" w:rsidRPr="003B3AC9" w:rsidRDefault="004D2889" w:rsidP="003B3AC9">
      <w:pPr>
        <w:pStyle w:val="BodyText"/>
      </w:pPr>
      <w:r w:rsidRPr="003B3AC9">
        <w:t xml:space="preserve">The Government of Tonga remains committed to </w:t>
      </w:r>
      <w:r w:rsidRPr="00DC005A">
        <w:rPr>
          <w:b/>
        </w:rPr>
        <w:t>political reform</w:t>
      </w:r>
      <w:r w:rsidRPr="003B3AC9">
        <w:t xml:space="preserve"> with the aim of introducing a more representative form of government by 2010.</w:t>
      </w:r>
      <w:r>
        <w:t xml:space="preserve"> </w:t>
      </w:r>
      <w:r w:rsidRPr="003B3AC9">
        <w:t>This will be a major change for Tonga</w:t>
      </w:r>
      <w:r>
        <w:t>,</w:t>
      </w:r>
      <w:r w:rsidRPr="003B3AC9">
        <w:t xml:space="preserve"> which has had the same constitution for almost 140 years.</w:t>
      </w:r>
      <w:r>
        <w:t xml:space="preserve"> </w:t>
      </w:r>
      <w:smartTag w:uri="urn:schemas-microsoft-com:office:smarttags" w:element="country-region">
        <w:r w:rsidRPr="003B3AC9">
          <w:t>Australia</w:t>
        </w:r>
      </w:smartTag>
      <w:r w:rsidRPr="003B3AC9">
        <w:t xml:space="preserve"> and </w:t>
      </w:r>
      <w:smartTag w:uri="urn:schemas-microsoft-com:office:smarttags" w:element="country-region">
        <w:smartTag w:uri="urn:schemas-microsoft-com:office:smarttags" w:element="place">
          <w:r w:rsidRPr="003B3AC9">
            <w:t>New Zealand</w:t>
          </w:r>
        </w:smartTag>
      </w:smartTag>
      <w:r w:rsidRPr="003B3AC9">
        <w:t xml:space="preserve"> have committed to a joint support program to assist the Constitutional and Electoral Commission to undertake its work and manage the 2010 election. </w:t>
      </w:r>
    </w:p>
    <w:p w:rsidR="004D2889" w:rsidRDefault="004D2889" w:rsidP="003B3AC9">
      <w:pPr>
        <w:pStyle w:val="BodyText"/>
      </w:pPr>
      <w:r w:rsidRPr="003B3AC9">
        <w:t xml:space="preserve">Improving the effectiveness and efficiency of the </w:t>
      </w:r>
      <w:r w:rsidRPr="00DC005A">
        <w:rPr>
          <w:b/>
        </w:rPr>
        <w:t>public service</w:t>
      </w:r>
      <w:r w:rsidRPr="003B3AC9">
        <w:t xml:space="preserve"> is sometimes hindered by the rigid culture of hierarchy within the public service.</w:t>
      </w:r>
      <w:r>
        <w:t xml:space="preserve"> Although</w:t>
      </w:r>
      <w:r w:rsidRPr="003B3AC9">
        <w:t xml:space="preserve"> middle</w:t>
      </w:r>
      <w:r>
        <w:t>-</w:t>
      </w:r>
      <w:r w:rsidRPr="003B3AC9">
        <w:t>level managers have benefited from leadership and management training provided via AusAID</w:t>
      </w:r>
      <w:r>
        <w:t>-</w:t>
      </w:r>
      <w:r w:rsidRPr="003B3AC9">
        <w:t xml:space="preserve">funded programs, they have found it difficult to </w:t>
      </w:r>
      <w:r>
        <w:t>use their</w:t>
      </w:r>
      <w:r w:rsidRPr="003B3AC9">
        <w:t xml:space="preserve"> new skills without the support of senior manage</w:t>
      </w:r>
      <w:r>
        <w:t>rs</w:t>
      </w:r>
      <w:r w:rsidRPr="003B3AC9">
        <w:t>.</w:t>
      </w:r>
      <w:r>
        <w:t xml:space="preserve"> </w:t>
      </w:r>
    </w:p>
    <w:p w:rsidR="004D2889" w:rsidRPr="003B3AC9" w:rsidRDefault="004D2889" w:rsidP="003B3AC9">
      <w:pPr>
        <w:pStyle w:val="BodyText"/>
      </w:pPr>
      <w:r w:rsidRPr="003B3AC9">
        <w:t xml:space="preserve">A nation the size of </w:t>
      </w:r>
      <w:smartTag w:uri="urn:schemas-microsoft-com:office:smarttags" w:element="country-region">
        <w:smartTag w:uri="urn:schemas-microsoft-com:office:smarttags" w:element="place">
          <w:r w:rsidRPr="003B3AC9">
            <w:t>Tonga</w:t>
          </w:r>
        </w:smartTag>
      </w:smartTag>
      <w:r w:rsidRPr="003B3AC9">
        <w:t xml:space="preserve"> </w:t>
      </w:r>
      <w:r>
        <w:t>has few</w:t>
      </w:r>
      <w:r w:rsidRPr="003B3AC9">
        <w:t xml:space="preserve"> resources </w:t>
      </w:r>
      <w:r>
        <w:t>to carry out</w:t>
      </w:r>
      <w:r w:rsidRPr="003B3AC9">
        <w:t xml:space="preserve"> the functions of government.</w:t>
      </w:r>
      <w:r>
        <w:t xml:space="preserve"> </w:t>
      </w:r>
      <w:r w:rsidRPr="003B3AC9">
        <w:t xml:space="preserve">This limits progress </w:t>
      </w:r>
      <w:r>
        <w:t xml:space="preserve">in </w:t>
      </w:r>
      <w:r w:rsidRPr="003B3AC9">
        <w:t>improv</w:t>
      </w:r>
      <w:r>
        <w:t>ing</w:t>
      </w:r>
      <w:r w:rsidRPr="003B3AC9">
        <w:t xml:space="preserve"> and maintain</w:t>
      </w:r>
      <w:r>
        <w:t>ing</w:t>
      </w:r>
      <w:r w:rsidRPr="003B3AC9">
        <w:t xml:space="preserve"> service</w:t>
      </w:r>
      <w:r>
        <w:t xml:space="preserve"> level</w:t>
      </w:r>
      <w:r w:rsidRPr="003B3AC9">
        <w:t>s.</w:t>
      </w:r>
      <w:r>
        <w:t xml:space="preserve"> The p</w:t>
      </w:r>
      <w:r w:rsidRPr="003B3AC9">
        <w:t>ublic sector</w:t>
      </w:r>
      <w:r>
        <w:t>’s</w:t>
      </w:r>
      <w:r w:rsidRPr="003B3AC9">
        <w:t xml:space="preserve"> leave conditions are some of the most generous in the Pacific</w:t>
      </w:r>
      <w:r>
        <w:t>—</w:t>
      </w:r>
      <w:r w:rsidRPr="003B3AC9">
        <w:t>equat</w:t>
      </w:r>
      <w:r>
        <w:t>ing</w:t>
      </w:r>
      <w:r w:rsidRPr="003B3AC9">
        <w:t xml:space="preserve"> to around </w:t>
      </w:r>
      <w:r>
        <w:t>one day for</w:t>
      </w:r>
      <w:r w:rsidRPr="003B3AC9">
        <w:t xml:space="preserve"> every </w:t>
      </w:r>
      <w:r>
        <w:t>three</w:t>
      </w:r>
      <w:r w:rsidRPr="003B3AC9">
        <w:t xml:space="preserve"> productive days</w:t>
      </w:r>
      <w:r>
        <w:t>. This</w:t>
      </w:r>
      <w:r w:rsidRPr="003B3AC9">
        <w:t xml:space="preserve"> place</w:t>
      </w:r>
      <w:r>
        <w:t>s</w:t>
      </w:r>
      <w:r w:rsidRPr="003B3AC9">
        <w:t xml:space="preserve"> a significant strain on resources.</w:t>
      </w:r>
      <w:r>
        <w:t xml:space="preserve"> </w:t>
      </w:r>
      <w:r w:rsidRPr="003B3AC9">
        <w:t>The Public Service Commission is planning to review leave conditions in 2009 with a view to rationalising them.</w:t>
      </w:r>
    </w:p>
    <w:p w:rsidR="004D2889" w:rsidRPr="003B3AC9" w:rsidRDefault="004D2889" w:rsidP="003B3AC9">
      <w:pPr>
        <w:pStyle w:val="BodyText"/>
      </w:pPr>
      <w:r w:rsidRPr="003B3AC9">
        <w:t xml:space="preserve">High levels of staff turnover </w:t>
      </w:r>
      <w:r>
        <w:t xml:space="preserve">in the </w:t>
      </w:r>
      <w:r w:rsidRPr="00DC005A">
        <w:rPr>
          <w:b/>
        </w:rPr>
        <w:t>Revenue Services Department</w:t>
      </w:r>
      <w:r>
        <w:t xml:space="preserve"> </w:t>
      </w:r>
      <w:r w:rsidRPr="003B3AC9">
        <w:t>continued</w:t>
      </w:r>
      <w:r>
        <w:t xml:space="preserve"> in 2008, resulting in</w:t>
      </w:r>
      <w:r w:rsidRPr="003B3AC9">
        <w:t xml:space="preserve"> technical advisers provid</w:t>
      </w:r>
      <w:r>
        <w:t>ing</w:t>
      </w:r>
      <w:r w:rsidRPr="003B3AC9">
        <w:t xml:space="preserve"> in-line assistance</w:t>
      </w:r>
      <w:r>
        <w:t>—</w:t>
      </w:r>
      <w:r w:rsidRPr="003B3AC9">
        <w:t>around 90</w:t>
      </w:r>
      <w:r>
        <w:t> per cent</w:t>
      </w:r>
      <w:r w:rsidRPr="003B3AC9">
        <w:t xml:space="preserve"> of their focus</w:t>
      </w:r>
      <w:r>
        <w:t>.</w:t>
      </w:r>
      <w:r w:rsidRPr="003B3AC9">
        <w:t xml:space="preserve"> This has implications for</w:t>
      </w:r>
      <w:r>
        <w:t xml:space="preserve"> the</w:t>
      </w:r>
      <w:r w:rsidRPr="003B3AC9">
        <w:t xml:space="preserve"> sustainability of assistance in this area.</w:t>
      </w:r>
    </w:p>
    <w:p w:rsidR="004D2889" w:rsidRPr="003B3AC9" w:rsidRDefault="004D2889" w:rsidP="003B3AC9">
      <w:pPr>
        <w:pStyle w:val="BodyText"/>
        <w:rPr>
          <w:b/>
        </w:rPr>
      </w:pPr>
      <w:r w:rsidRPr="003B3AC9">
        <w:t xml:space="preserve">In contrast to gains reported </w:t>
      </w:r>
      <w:r>
        <w:t>from</w:t>
      </w:r>
      <w:r w:rsidRPr="003B3AC9">
        <w:t xml:space="preserve"> the 2007</w:t>
      </w:r>
      <w:r>
        <w:t>–08</w:t>
      </w:r>
      <w:r w:rsidRPr="003B3AC9">
        <w:t xml:space="preserve"> </w:t>
      </w:r>
      <w:r>
        <w:t>performance review of the Tonga aid program</w:t>
      </w:r>
      <w:r w:rsidRPr="003B3AC9">
        <w:t xml:space="preserve">, revenue from </w:t>
      </w:r>
      <w:r w:rsidRPr="00DC005A">
        <w:rPr>
          <w:b/>
        </w:rPr>
        <w:t>customs</w:t>
      </w:r>
      <w:r w:rsidRPr="003B3AC9">
        <w:t xml:space="preserve"> excise declined </w:t>
      </w:r>
      <w:r>
        <w:t>in 2008</w:t>
      </w:r>
      <w:r w:rsidRPr="003B3AC9">
        <w:t xml:space="preserve"> for numerous reasons </w:t>
      </w:r>
      <w:r>
        <w:t>and is being monitored closely.</w:t>
      </w:r>
    </w:p>
    <w:p w:rsidR="004D2889" w:rsidRPr="003B3AC9" w:rsidRDefault="004D2889" w:rsidP="003B3AC9">
      <w:pPr>
        <w:pStyle w:val="BodyText"/>
      </w:pPr>
      <w:r w:rsidRPr="00DC005A">
        <w:t>The</w:t>
      </w:r>
      <w:r>
        <w:rPr>
          <w:b/>
        </w:rPr>
        <w:t xml:space="preserve"> </w:t>
      </w:r>
      <w:r w:rsidRPr="003B3AC9">
        <w:rPr>
          <w:b/>
        </w:rPr>
        <w:t>Anti-Corruption Commission</w:t>
      </w:r>
      <w:r w:rsidRPr="003B3AC9">
        <w:t xml:space="preserve"> was</w:t>
      </w:r>
      <w:r>
        <w:t xml:space="preserve"> </w:t>
      </w:r>
      <w:r w:rsidRPr="003B3AC9">
        <w:t xml:space="preserve">established in </w:t>
      </w:r>
      <w:r>
        <w:t xml:space="preserve">June </w:t>
      </w:r>
      <w:r w:rsidRPr="003B3AC9">
        <w:t>2008</w:t>
      </w:r>
      <w:r>
        <w:t xml:space="preserve"> and</w:t>
      </w:r>
      <w:r w:rsidRPr="003B3AC9">
        <w:t xml:space="preserve"> </w:t>
      </w:r>
      <w:r>
        <w:t>an interim</w:t>
      </w:r>
      <w:r w:rsidRPr="003B3AC9">
        <w:t xml:space="preserve"> commissioner</w:t>
      </w:r>
      <w:r>
        <w:t xml:space="preserve"> appointed in July 2008 for three months while the government recruited a commissioner</w:t>
      </w:r>
      <w:r w:rsidRPr="003B3AC9">
        <w:t>.</w:t>
      </w:r>
      <w:r>
        <w:t xml:space="preserve"> To date, there has been no progress with the recruitment.</w:t>
      </w:r>
    </w:p>
    <w:p w:rsidR="004D2889" w:rsidRPr="003B3AC9" w:rsidRDefault="004D2889" w:rsidP="003B3AC9">
      <w:pPr>
        <w:pStyle w:val="BodyText"/>
      </w:pPr>
      <w:r w:rsidRPr="00DC005A">
        <w:t xml:space="preserve">In </w:t>
      </w:r>
      <w:r w:rsidRPr="00796550">
        <w:rPr>
          <w:b/>
        </w:rPr>
        <w:t>policing</w:t>
      </w:r>
      <w:r w:rsidRPr="00DC005A">
        <w:t xml:space="preserve"> support,</w:t>
      </w:r>
      <w:r w:rsidRPr="003B3AC9">
        <w:t xml:space="preserve"> </w:t>
      </w:r>
      <w:r>
        <w:t>s</w:t>
      </w:r>
      <w:r w:rsidRPr="003B3AC9">
        <w:t xml:space="preserve">ome challenges have been identified </w:t>
      </w:r>
      <w:r>
        <w:t>in</w:t>
      </w:r>
      <w:r w:rsidRPr="003B3AC9">
        <w:t xml:space="preserve"> the transition from </w:t>
      </w:r>
      <w:r>
        <w:t xml:space="preserve">the </w:t>
      </w:r>
      <w:r w:rsidRPr="00AE73F8">
        <w:t>Pacific Regional Policing Initiative</w:t>
      </w:r>
      <w:r w:rsidRPr="003B3AC9">
        <w:t xml:space="preserve"> to the Pacific Policing Development Program.</w:t>
      </w:r>
      <w:r>
        <w:t xml:space="preserve"> </w:t>
      </w:r>
      <w:r w:rsidRPr="003B3AC9">
        <w:t xml:space="preserve">Specifically, the </w:t>
      </w:r>
      <w:r>
        <w:t>Government of Tonga</w:t>
      </w:r>
      <w:r w:rsidRPr="003B3AC9">
        <w:t xml:space="preserve"> is keen to see the Heads of Training Steering Committee established under </w:t>
      </w:r>
      <w:r>
        <w:t>the initiative</w:t>
      </w:r>
      <w:r w:rsidRPr="003B3AC9">
        <w:t xml:space="preserve"> continue, as it has been an effective mechanism </w:t>
      </w:r>
      <w:r>
        <w:t>for</w:t>
      </w:r>
      <w:r w:rsidRPr="003B3AC9">
        <w:t xml:space="preserve"> coordinat</w:t>
      </w:r>
      <w:r>
        <w:t>ing</w:t>
      </w:r>
      <w:r w:rsidRPr="003B3AC9">
        <w:t xml:space="preserve"> training.</w:t>
      </w:r>
    </w:p>
    <w:p w:rsidR="004D2889" w:rsidRPr="003B3AC9" w:rsidRDefault="004D2889" w:rsidP="003B3AC9">
      <w:pPr>
        <w:pStyle w:val="BodyText"/>
      </w:pPr>
      <w:r w:rsidRPr="003B3AC9">
        <w:t xml:space="preserve">The Chief </w:t>
      </w:r>
      <w:r w:rsidRPr="00210055">
        <w:t>Justice</w:t>
      </w:r>
      <w:r w:rsidRPr="00DC005A">
        <w:t>, also the Registrar-General of Births, Deaths and Marriages,</w:t>
      </w:r>
      <w:r w:rsidRPr="00210055">
        <w:t xml:space="preserve"> </w:t>
      </w:r>
      <w:r w:rsidRPr="003B3AC9">
        <w:t xml:space="preserve">has noted that </w:t>
      </w:r>
      <w:r>
        <w:t xml:space="preserve">the </w:t>
      </w:r>
      <w:r w:rsidRPr="003B3AC9">
        <w:t>registry function</w:t>
      </w:r>
      <w:r>
        <w:t>s</w:t>
      </w:r>
      <w:r w:rsidRPr="003B3AC9">
        <w:t xml:space="preserve"> requires further support, although </w:t>
      </w:r>
      <w:r>
        <w:t xml:space="preserve">these are </w:t>
      </w:r>
      <w:r w:rsidRPr="003B3AC9">
        <w:t>currently not eligible to receive support under the Pacific Judicial Development Program.</w:t>
      </w:r>
      <w:r>
        <w:t xml:space="preserve"> </w:t>
      </w:r>
      <w:r w:rsidRPr="003B3AC9">
        <w:t>Accordingly, consideration may need to be given to broadening the eligibility criteria for this program.</w:t>
      </w:r>
    </w:p>
    <w:bookmarkEnd w:id="43"/>
    <w:bookmarkEnd w:id="44"/>
    <w:p w:rsidR="004D2889" w:rsidRPr="003B3AC9" w:rsidRDefault="004D2889" w:rsidP="003B3AC9">
      <w:pPr>
        <w:pStyle w:val="Heading3"/>
        <w:tabs>
          <w:tab w:val="clear" w:pos="1440"/>
          <w:tab w:val="clear" w:pos="2160"/>
        </w:tabs>
      </w:pPr>
      <w:r w:rsidRPr="003B3AC9">
        <w:t>Estimated expenditure</w:t>
      </w:r>
    </w:p>
    <w:p w:rsidR="004D2889" w:rsidRPr="003B3AC9" w:rsidRDefault="004D2889" w:rsidP="003B3AC9">
      <w:pPr>
        <w:pStyle w:val="BodyText"/>
      </w:pPr>
      <w:r w:rsidRPr="003B3AC9">
        <w:t xml:space="preserve">Australian support </w:t>
      </w:r>
      <w:r>
        <w:t xml:space="preserve">for </w:t>
      </w:r>
      <w:r w:rsidRPr="003B3AC9">
        <w:t xml:space="preserve">strengthening governance and accountability </w:t>
      </w:r>
      <w:r>
        <w:t>accounts</w:t>
      </w:r>
      <w:r w:rsidRPr="003B3AC9">
        <w:t xml:space="preserve"> a growing share of </w:t>
      </w:r>
      <w:smartTag w:uri="urn:schemas-microsoft-com:office:smarttags" w:element="country-region">
        <w:smartTag w:uri="urn:schemas-microsoft-com:office:smarttags" w:element="place">
          <w:r w:rsidRPr="003B3AC9">
            <w:t>Australia</w:t>
          </w:r>
        </w:smartTag>
      </w:smartTag>
      <w:r w:rsidRPr="003B3AC9">
        <w:t>’s development assistance</w:t>
      </w:r>
      <w:r>
        <w:t xml:space="preserve"> to Tonga</w:t>
      </w:r>
      <w:r w:rsidRPr="003B3AC9">
        <w:t>.</w:t>
      </w:r>
      <w:r>
        <w:t xml:space="preserve"> </w:t>
      </w:r>
      <w:r w:rsidRPr="003B3AC9">
        <w:t>The estimated expenditure for this objective in 2008 is A$4.51</w:t>
      </w:r>
      <w:r>
        <w:t> </w:t>
      </w:r>
      <w:r w:rsidRPr="003B3AC9">
        <w:t>million, which is 36</w:t>
      </w:r>
      <w:r>
        <w:t> per cent</w:t>
      </w:r>
      <w:r w:rsidRPr="003B3AC9">
        <w:t xml:space="preserve"> of the 2007</w:t>
      </w:r>
      <w:r>
        <w:t>–</w:t>
      </w:r>
      <w:r w:rsidRPr="003B3AC9">
        <w:t>08 and 2008</w:t>
      </w:r>
      <w:r>
        <w:t>–</w:t>
      </w:r>
      <w:r w:rsidRPr="003B3AC9">
        <w:t>09 bilateral allocation</w:t>
      </w:r>
      <w:r>
        <w:t>s</w:t>
      </w:r>
      <w:r w:rsidRPr="003B3AC9">
        <w:t xml:space="preserve"> for </w:t>
      </w:r>
      <w:smartTag w:uri="urn:schemas-microsoft-com:office:smarttags" w:element="country-region">
        <w:smartTag w:uri="urn:schemas-microsoft-com:office:smarttags" w:element="place">
          <w:r w:rsidRPr="003B3AC9">
            <w:t>Tonga</w:t>
          </w:r>
        </w:smartTag>
      </w:smartTag>
      <w:r w:rsidRPr="003B3AC9">
        <w:t>.</w:t>
      </w:r>
    </w:p>
    <w:p w:rsidR="004D2889" w:rsidRPr="0048268F" w:rsidRDefault="004D2889" w:rsidP="003B3AC9">
      <w:pPr>
        <w:pStyle w:val="Heading2unnumbered"/>
        <w:tabs>
          <w:tab w:val="clear" w:pos="1440"/>
        </w:tabs>
      </w:pPr>
      <w:bookmarkStart w:id="45" w:name="_Toc250710280"/>
      <w:r w:rsidRPr="0048268F">
        <w:lastRenderedPageBreak/>
        <w:t>Objective 2</w:t>
      </w:r>
      <w:r>
        <w:t>:</w:t>
      </w:r>
      <w:r w:rsidRPr="0048268F">
        <w:br/>
        <w:t>Accelerating broad-based economic growth</w:t>
      </w:r>
      <w:r>
        <w:t>,</w:t>
      </w:r>
      <w:r w:rsidRPr="0048268F">
        <w:t xml:space="preserve"> including for women and youth, and isolated communities</w:t>
      </w:r>
      <w:bookmarkEnd w:id="45"/>
    </w:p>
    <w:p w:rsidR="004D2889" w:rsidRPr="003B3AC9" w:rsidRDefault="004D2889" w:rsidP="00D82246">
      <w:pPr>
        <w:pStyle w:val="BodyText"/>
        <w:spacing w:before="60" w:after="60"/>
      </w:pPr>
      <w:r>
        <w:t>O</w:t>
      </w:r>
      <w:r w:rsidRPr="003B3AC9">
        <w:t xml:space="preserve">bjective </w:t>
      </w:r>
      <w:r>
        <w:t xml:space="preserve">2 </w:t>
      </w:r>
      <w:r w:rsidRPr="003B3AC9">
        <w:t xml:space="preserve">in the </w:t>
      </w:r>
      <w:r>
        <w:t xml:space="preserve">2007 </w:t>
      </w:r>
      <w:r w:rsidRPr="003B3AC9">
        <w:t xml:space="preserve">draft </w:t>
      </w:r>
      <w:r w:rsidRPr="00C46378">
        <w:t xml:space="preserve">Development Cooperation </w:t>
      </w:r>
      <w:r>
        <w:t>S</w:t>
      </w:r>
      <w:r w:rsidRPr="003B3AC9">
        <w:t xml:space="preserve">trategy is too broad for </w:t>
      </w:r>
      <w:smartTag w:uri="urn:schemas-microsoft-com:office:smarttags" w:element="country-region">
        <w:smartTag w:uri="urn:schemas-microsoft-com:office:smarttags" w:element="place">
          <w:r w:rsidRPr="003B3AC9">
            <w:t>Australia</w:t>
          </w:r>
        </w:smartTag>
      </w:smartTag>
      <w:r w:rsidRPr="003B3AC9">
        <w:t xml:space="preserve"> to have a significant impact.</w:t>
      </w:r>
      <w:r>
        <w:t xml:space="preserve"> </w:t>
      </w:r>
      <w:r w:rsidRPr="003B3AC9">
        <w:t xml:space="preserve">AusAID has not pursued this </w:t>
      </w:r>
      <w:r>
        <w:t>objective</w:t>
      </w:r>
      <w:r w:rsidRPr="003B3AC9">
        <w:t xml:space="preserve"> through activities</w:t>
      </w:r>
      <w:r w:rsidRPr="009E1EAE">
        <w:t xml:space="preserve"> </w:t>
      </w:r>
      <w:r w:rsidRPr="003B3AC9">
        <w:t>specifically designed</w:t>
      </w:r>
      <w:r>
        <w:t xml:space="preserve"> to meet it</w:t>
      </w:r>
      <w:r w:rsidRPr="003B3AC9">
        <w:t>. Support has instead been ad</w:t>
      </w:r>
      <w:r>
        <w:t xml:space="preserve"> </w:t>
      </w:r>
      <w:r w:rsidRPr="003B3AC9">
        <w:t xml:space="preserve">hoc and </w:t>
      </w:r>
      <w:r>
        <w:t xml:space="preserve">in </w:t>
      </w:r>
      <w:r w:rsidRPr="003B3AC9">
        <w:t xml:space="preserve">response </w:t>
      </w:r>
      <w:r>
        <w:t>to demand by government</w:t>
      </w:r>
      <w:r w:rsidRPr="003B3AC9">
        <w:t>.</w:t>
      </w:r>
      <w:r>
        <w:t xml:space="preserve"> </w:t>
      </w:r>
      <w:r w:rsidRPr="003B3AC9">
        <w:t xml:space="preserve">This is largely a result of the program operating under </w:t>
      </w:r>
      <w:r>
        <w:t>the draft strategy and awaiting</w:t>
      </w:r>
      <w:r w:rsidRPr="003B3AC9">
        <w:t xml:space="preserve"> the development of the </w:t>
      </w:r>
      <w:r>
        <w:t>Australia–Tonga Partnership for Development</w:t>
      </w:r>
      <w:r w:rsidRPr="003B3AC9">
        <w:t>.</w:t>
      </w:r>
      <w:r>
        <w:t xml:space="preserve"> </w:t>
      </w:r>
      <w:r w:rsidRPr="003B3AC9">
        <w:t>This objective will change under the partnership to focus on technical and vocational education and training (TVET) and infrastructure.</w:t>
      </w:r>
      <w:r>
        <w:t xml:space="preserve"> </w:t>
      </w:r>
      <w:r w:rsidRPr="003B3AC9">
        <w:t xml:space="preserve">Significant work is still needed to identify a future program of activities, </w:t>
      </w:r>
      <w:r>
        <w:t>the</w:t>
      </w:r>
      <w:r w:rsidRPr="003B3AC9">
        <w:t xml:space="preserve"> direction </w:t>
      </w:r>
      <w:r>
        <w:t xml:space="preserve">of support is </w:t>
      </w:r>
      <w:r w:rsidRPr="003B3AC9">
        <w:t xml:space="preserve">being negotiated as part of the new </w:t>
      </w:r>
      <w:r>
        <w:t>p</w:t>
      </w:r>
      <w:r w:rsidRPr="003B3AC9">
        <w:t xml:space="preserve">artnership. </w:t>
      </w:r>
    </w:p>
    <w:p w:rsidR="004D2889" w:rsidRPr="00E92A44" w:rsidRDefault="004D2889" w:rsidP="00D82246">
      <w:pPr>
        <w:pStyle w:val="Heading3"/>
        <w:tabs>
          <w:tab w:val="clear" w:pos="1440"/>
          <w:tab w:val="clear" w:pos="2160"/>
        </w:tabs>
        <w:spacing w:before="360"/>
      </w:pPr>
      <w:r w:rsidRPr="00E92A44">
        <w:t>Rating</w:t>
      </w:r>
    </w:p>
    <w:p w:rsidR="004D2889" w:rsidRPr="003B3AC9" w:rsidRDefault="000C5DE1" w:rsidP="00AB4853">
      <w:pPr>
        <w:pStyle w:val="Ratingamber"/>
        <w:numPr>
          <w:ilvl w:val="0"/>
          <w:numId w:val="0"/>
        </w:numPr>
        <w:spacing w:after="60"/>
      </w:pPr>
      <w:r>
        <w:rPr>
          <w:noProof/>
          <w:lang w:val="en-US" w:eastAsia="en-US"/>
        </w:rPr>
        <mc:AlternateContent>
          <mc:Choice Requires="wps">
            <w:drawing>
              <wp:inline distT="0" distB="0" distL="0" distR="0">
                <wp:extent cx="90805" cy="99060"/>
                <wp:effectExtent l="0" t="1905" r="0" b="3810"/>
                <wp:docPr id="8" name="Rectangle 14"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9060"/>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E741E6" id="Rectangle 14" o:spid="_x0000_s1026" alt="Amber" style="width:7.1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WYoAIAAEIFAAAOAAAAZHJzL2Uyb0RvYy54bWysVNuO0zAQfUfiHyy/d5NUabeJNl3thSKk&#10;BVYsfIBrO42FL8F2my4r/p3xZFu68IIQfUg9vsycc3zGF5d7o8lO+qCcbWhxllMiLXdC2U1Dv3xe&#10;TRaUhMisYNpZ2dBHGejl8vWri6Gv5dR1TgvpCSSxoR76hnYx9nWWBd5Jw8KZ66WFxdZ5wyKEfpMJ&#10;zwbIbnQ2zfN5Njgveu+4DAFmb8dFusT8bSt5/Ni2QUaiGwrYIn49ftfpmy0vWL3xrO8Uf4bB/gGF&#10;YcpC0WOqWxYZ2Xr1RyqjuHfBtfGMO5O5tlVcIgdgU+S/sXnoWC+RC4gT+qNM4f+l5R92954o0VC4&#10;KMsMXNEnEI3ZjZakKCkRMnDQ68qspU9qDX2o4dBDf+8T39DfOf41EOtuOjgkr7x3QyeZAIxF2p+9&#10;OJCCAEfJenjvBBRj2+hQuH3rTUoIkpA93s/j8X7kPhIOk1W+yGeUcFipqnyOt5ex+nC09yG+lc6Q&#10;NGioBx6Ymu3uQkxQWH3YgtCdVmKltMYgGU7eaE92DKzCOJc2zvG43hrAOs4XefqNroF58NY4f4CC&#10;vk1psFo4raBtqmNdqjiCGWeAHMBLa4kmeuapKqZlfj2tJqv54nxSrsrZpDrPF5O8qK6reV5W5e3q&#10;RwJXlHWnhJD2Tll58G9R/p0/njtpdB46mAyg7Gw6Q94v0Ae/WR/VQRGOlE9JGhWhnbUy4KcTqZIh&#10;3lgBtFkdmdLjOHsJHyUDDQ7/qAraJzlmdN7aiUdwj3dwv9DO8PDAoHP+OyUDNHFDw7ct85IS/c6C&#10;A6uiLFPXY1DOzqcQ+NOV9ekKsxxSNTRSMg5v4vhSbHuvNh1UKlAY667Ata1CTyVHj6gAdwqgUZHB&#10;86OSXoLTGHf9evqWPwEAAP//AwBQSwMEFAAGAAgAAAAhAMHcS0HbAAAAAwEAAA8AAABkcnMvZG93&#10;bnJldi54bWxMj0FPwzAMhe9I/IfISNxYOgbVVJpOCDTBCbFRTXDLGq+pSJyq8bbCryfjAhc/Wc96&#10;73O5GL0TBxxiF0jBdJKBQGqC6ahVUL8tr+YgImsy2gVCBV8YYVGdn5W6MOFIKzysuRUphGKhFVjm&#10;vpAyNha9jpPQIyVvFwavOa1DK82gjyncO3mdZbn0uqPUYHWPDxabz/XeK3jfPYbZ5qOOT9/80ubP&#10;1i3r16lSlxfj/R0IxpH/juGEn9ChSkzbsCcThVOQHuHfefJuZiC2SW9zkFUp/7NXPwAAAP//AwBQ&#10;SwECLQAUAAYACAAAACEAtoM4kv4AAADhAQAAEwAAAAAAAAAAAAAAAAAAAAAAW0NvbnRlbnRfVHlw&#10;ZXNdLnhtbFBLAQItABQABgAIAAAAIQA4/SH/1gAAAJQBAAALAAAAAAAAAAAAAAAAAC8BAABfcmVs&#10;cy8ucmVsc1BLAQItABQABgAIAAAAIQCVGtWYoAIAAEIFAAAOAAAAAAAAAAAAAAAAAC4CAABkcnMv&#10;ZTJvRG9jLnhtbFBLAQItABQABgAIAAAAIQDB3EtB2wAAAAMBAAAPAAAAAAAAAAAAAAAAAPoEAABk&#10;cnMvZG93bnJldi54bWxQSwUGAAAAAAQABADzAAAAAgYAAAAA&#10;" fillcolor="#f79646 [3209]" stroked="f">
                <w10:wrap anchorx="page"/>
                <w10:anchorlock/>
              </v:rect>
            </w:pict>
          </mc:Fallback>
        </mc:AlternateContent>
      </w:r>
      <w:r w:rsidR="00AB4853">
        <w:tab/>
      </w:r>
      <w:r w:rsidR="00AB4853">
        <w:tab/>
      </w:r>
      <w:r w:rsidR="004D2889" w:rsidRPr="003B3AC9">
        <w:t>The objective will be partly achieved within the timeframe</w:t>
      </w:r>
      <w:r w:rsidR="004D2889">
        <w:t xml:space="preserve"> of the strategy.</w:t>
      </w:r>
    </w:p>
    <w:p w:rsidR="004D2889" w:rsidRPr="003B3AC9" w:rsidRDefault="004D2889" w:rsidP="00D82246">
      <w:pPr>
        <w:pStyle w:val="Heading3"/>
        <w:tabs>
          <w:tab w:val="clear" w:pos="1440"/>
          <w:tab w:val="clear" w:pos="2160"/>
        </w:tabs>
        <w:spacing w:before="360"/>
      </w:pPr>
      <w:r w:rsidRPr="003B3AC9">
        <w:t>Assessment of results and performance</w:t>
      </w:r>
    </w:p>
    <w:p w:rsidR="004D2889" w:rsidRPr="00EC3480" w:rsidRDefault="004D2889" w:rsidP="00D82246">
      <w:pPr>
        <w:pStyle w:val="BodyText"/>
        <w:spacing w:before="60" w:after="60"/>
        <w:rPr>
          <w:spacing w:val="-2"/>
        </w:rPr>
      </w:pPr>
      <w:r w:rsidRPr="00EC3480">
        <w:rPr>
          <w:spacing w:val="-2"/>
        </w:rPr>
        <w:t xml:space="preserve">Current support for broad-based </w:t>
      </w:r>
      <w:r w:rsidRPr="00EC3480">
        <w:rPr>
          <w:b/>
          <w:spacing w:val="-2"/>
        </w:rPr>
        <w:t>economic growth</w:t>
      </w:r>
      <w:r w:rsidRPr="00EC3480">
        <w:rPr>
          <w:spacing w:val="-2"/>
        </w:rPr>
        <w:t xml:space="preserve"> is provided via a number of activities. Following the riots in 2006, several funds were established to help re-establish and rebuild affected and destroyed businesses in Nuku′alofa. The Business Hardship Fund was considered a successful initiative for aiding </w:t>
      </w:r>
      <w:r w:rsidRPr="00EC3480">
        <w:rPr>
          <w:b/>
          <w:spacing w:val="-2"/>
        </w:rPr>
        <w:t>business recovery</w:t>
      </w:r>
      <w:r w:rsidRPr="00EC3480">
        <w:rPr>
          <w:spacing w:val="-2"/>
        </w:rPr>
        <w:t xml:space="preserve"> after the riots, but the Business Recovery Facility and the Private Sector Reconstruction Facility have experienced delays and slow uptake of loans. The Business Recovery Facility was designed to enable the commercial banks to lend on more favourable terms to businesses physically damaged during the civil unrest in November 2006. The short-term subsidised lending was capped at T$300 000 per business and was aimed at working capital requirements, such as restocking, and promoting investment vital to the recovery of the Tongan economy in the short and longer term. The joint AusAID–NZAID Private Sector Reconstruction Facility was established to assist in the reconstruction. This facility was expected to be operational by January 2008; however, delays in establishing the administrative arrangements meant the first applications were no</w:t>
      </w:r>
      <w:r>
        <w:rPr>
          <w:spacing w:val="-2"/>
        </w:rPr>
        <w:t>t received until 30 April 2008.</w:t>
      </w:r>
    </w:p>
    <w:p w:rsidR="004D2889" w:rsidRPr="00834C2A" w:rsidRDefault="004D2889" w:rsidP="00D82246">
      <w:pPr>
        <w:pStyle w:val="BodyText"/>
        <w:spacing w:before="60" w:after="60"/>
        <w:rPr>
          <w:spacing w:val="-1"/>
        </w:rPr>
      </w:pPr>
      <w:r w:rsidRPr="00DC005A">
        <w:rPr>
          <w:spacing w:val="-1"/>
        </w:rPr>
        <w:t>The slow uptake of loans under Business Recovery Facility was partly a function of the funding cap (many businesses needed higher levels of funding), but it was also due to the fact that many businesses cannot re-establish until new buildings are constructed. Some businesses have also held back from applying for assistance until they are more certain that they will return to the central business district of Nuku′alofa. The funding cap on the Private Sector Reconstruction Facility may have also limited the uptake of loans, with some businesses considering taking up loans from the People’s Republic of China, which are not subject to a funding cap.</w:t>
      </w:r>
    </w:p>
    <w:p w:rsidR="004D2889" w:rsidRDefault="004D2889" w:rsidP="00D82246">
      <w:pPr>
        <w:pStyle w:val="BodyText"/>
        <w:spacing w:before="60" w:after="60"/>
      </w:pPr>
      <w:r w:rsidRPr="003B3AC9">
        <w:t xml:space="preserve">Recognising that effective transport networks </w:t>
      </w:r>
      <w:r>
        <w:t>are a</w:t>
      </w:r>
      <w:r w:rsidRPr="003B3AC9">
        <w:t xml:space="preserve"> requirement for </w:t>
      </w:r>
      <w:r w:rsidRPr="0048268F">
        <w:t xml:space="preserve">broad-based </w:t>
      </w:r>
      <w:r>
        <w:t xml:space="preserve">economic </w:t>
      </w:r>
      <w:r w:rsidRPr="003B3AC9">
        <w:t xml:space="preserve">growth, </w:t>
      </w:r>
      <w:smartTag w:uri="urn:schemas-microsoft-com:office:smarttags" w:element="country-region">
        <w:smartTag w:uri="urn:schemas-microsoft-com:office:smarttags" w:element="place">
          <w:r w:rsidRPr="003B3AC9">
            <w:t>Australia</w:t>
          </w:r>
        </w:smartTag>
      </w:smartTag>
      <w:r w:rsidRPr="003B3AC9">
        <w:t xml:space="preserve"> contribut</w:t>
      </w:r>
      <w:r>
        <w:t>es</w:t>
      </w:r>
      <w:r w:rsidRPr="003B3AC9">
        <w:t xml:space="preserve"> to </w:t>
      </w:r>
      <w:r>
        <w:t>the</w:t>
      </w:r>
      <w:r w:rsidRPr="003B3AC9">
        <w:t xml:space="preserve"> World Bank Transport Sector Support Program</w:t>
      </w:r>
      <w:r>
        <w:t>,</w:t>
      </w:r>
      <w:r w:rsidRPr="003B3AC9">
        <w:t xml:space="preserve"> which is helping to support the government’s major reform of the transport sector.</w:t>
      </w:r>
      <w:r>
        <w:t xml:space="preserve"> </w:t>
      </w:r>
      <w:r w:rsidRPr="003B3AC9">
        <w:t xml:space="preserve">Assistance in </w:t>
      </w:r>
      <w:r>
        <w:t>this</w:t>
      </w:r>
      <w:r w:rsidRPr="003B3AC9">
        <w:t xml:space="preserve"> sector is also linked to </w:t>
      </w:r>
      <w:smartTag w:uri="urn:schemas-microsoft-com:office:smarttags" w:element="place">
        <w:smartTag w:uri="urn:schemas-microsoft-com:office:smarttags" w:element="country-region">
          <w:r w:rsidRPr="003B3AC9">
            <w:t>Australia</w:t>
          </w:r>
        </w:smartTag>
      </w:smartTag>
      <w:r w:rsidRPr="003B3AC9">
        <w:t>’s broader support for public sector reform (objective</w:t>
      </w:r>
      <w:r>
        <w:t> </w:t>
      </w:r>
      <w:r w:rsidRPr="003B3AC9">
        <w:t>1).</w:t>
      </w:r>
      <w:r>
        <w:t xml:space="preserve"> </w:t>
      </w:r>
    </w:p>
    <w:p w:rsidR="004D2889" w:rsidRPr="00036E9D" w:rsidRDefault="004D2889" w:rsidP="00D82246">
      <w:pPr>
        <w:pStyle w:val="BodyText"/>
        <w:spacing w:before="60" w:after="60"/>
        <w:rPr>
          <w:spacing w:val="-1"/>
        </w:rPr>
      </w:pPr>
      <w:r w:rsidRPr="00DC005A">
        <w:rPr>
          <w:spacing w:val="-1"/>
        </w:rPr>
        <w:t xml:space="preserve">Australia also contributes to the Asian Development Bank’s Private Sector Development Initiative. It is a good example of a partnership between the Asian Development Bank, which manages the initiative, and AusAID, which is engaged in policy dialogue and setting the direction of the program. The initiative is flexible and able to respond to the priorities. In </w:t>
      </w:r>
      <w:smartTag w:uri="urn:schemas-microsoft-com:office:smarttags" w:element="country-region">
        <w:smartTag w:uri="urn:schemas-microsoft-com:office:smarttags" w:element="place">
          <w:r w:rsidRPr="00DC005A">
            <w:rPr>
              <w:spacing w:val="-1"/>
            </w:rPr>
            <w:t>Tonga</w:t>
          </w:r>
        </w:smartTag>
      </w:smartTag>
      <w:r w:rsidRPr="00DC005A">
        <w:rPr>
          <w:spacing w:val="-1"/>
        </w:rPr>
        <w:t xml:space="preserve"> this initiative has focused on reforming state-owned enterprises, increasing participation in the private sector, reforming the commercial law framework and increasing access to finance. </w:t>
      </w:r>
      <w:r w:rsidRPr="00DC005A">
        <w:rPr>
          <w:spacing w:val="-1"/>
        </w:rPr>
        <w:lastRenderedPageBreak/>
        <w:t>The</w:t>
      </w:r>
      <w:r>
        <w:rPr>
          <w:spacing w:val="-1"/>
        </w:rPr>
        <w:t> </w:t>
      </w:r>
      <w:r w:rsidRPr="00DC005A">
        <w:rPr>
          <w:spacing w:val="-1"/>
        </w:rPr>
        <w:t>Prime Minister of Tonga wrote a letter of thanks to AusAID</w:t>
      </w:r>
      <w:r>
        <w:rPr>
          <w:spacing w:val="-1"/>
        </w:rPr>
        <w:t xml:space="preserve"> for the ongoing support of the </w:t>
      </w:r>
      <w:r w:rsidRPr="00DC005A">
        <w:rPr>
          <w:spacing w:val="-1"/>
        </w:rPr>
        <w:t>Private Sector Development Initiative, noting it has been an effective mechanism.</w:t>
      </w:r>
    </w:p>
    <w:p w:rsidR="004D2889" w:rsidRPr="003B3AC9" w:rsidRDefault="004D2889" w:rsidP="00D82246">
      <w:pPr>
        <w:pStyle w:val="BodyText"/>
        <w:spacing w:after="70"/>
      </w:pPr>
      <w:r w:rsidRPr="00EC3480">
        <w:t xml:space="preserve">At the </w:t>
      </w:r>
      <w:r w:rsidRPr="00EC3480">
        <w:rPr>
          <w:b/>
        </w:rPr>
        <w:t>community level</w:t>
      </w:r>
      <w:r w:rsidRPr="00EC3480">
        <w:t>, the Tonga Community Development Scheme and the</w:t>
      </w:r>
      <w:r w:rsidRPr="003B3AC9">
        <w:t xml:space="preserve"> Vulnerability and Adaptation Initiative support a range of activities to assist vulnerable </w:t>
      </w:r>
      <w:r w:rsidRPr="00036E9D">
        <w:t>communities. The</w:t>
      </w:r>
      <w:r w:rsidRPr="003B3AC9">
        <w:t xml:space="preserve"> </w:t>
      </w:r>
      <w:r w:rsidRPr="00036E9D">
        <w:t>Tonga Community Development Scheme</w:t>
      </w:r>
      <w:r w:rsidRPr="003B3AC9">
        <w:t xml:space="preserve"> has acted largely as a de</w:t>
      </w:r>
      <w:r>
        <w:t xml:space="preserve"> </w:t>
      </w:r>
      <w:r w:rsidRPr="003B3AC9">
        <w:t>facto water supply program</w:t>
      </w:r>
      <w:r>
        <w:t>, as</w:t>
      </w:r>
      <w:r w:rsidRPr="003B3AC9">
        <w:t xml:space="preserve"> </w:t>
      </w:r>
      <w:r>
        <w:t>more than</w:t>
      </w:r>
      <w:r w:rsidRPr="003B3AC9">
        <w:t xml:space="preserve"> 60</w:t>
      </w:r>
      <w:r>
        <w:t> per cent</w:t>
      </w:r>
      <w:r w:rsidRPr="003B3AC9">
        <w:t xml:space="preserve"> of assistance </w:t>
      </w:r>
      <w:r>
        <w:t>in 2007–08 was</w:t>
      </w:r>
      <w:r w:rsidRPr="003B3AC9">
        <w:t xml:space="preserve"> directed to provi</w:t>
      </w:r>
      <w:r>
        <w:t>ding</w:t>
      </w:r>
      <w:r w:rsidRPr="003B3AC9">
        <w:t xml:space="preserve"> water tanks</w:t>
      </w:r>
      <w:r>
        <w:t>—</w:t>
      </w:r>
      <w:r w:rsidRPr="003B3AC9">
        <w:t>approximately $1.1 million out of a total of $1.5</w:t>
      </w:r>
      <w:r>
        <w:t> </w:t>
      </w:r>
      <w:r w:rsidRPr="003B3AC9">
        <w:t>m</w:t>
      </w:r>
      <w:r>
        <w:t>illion. The</w:t>
      </w:r>
      <w:r w:rsidRPr="003B3AC9">
        <w:t xml:space="preserve"> targeting and sustainability of </w:t>
      </w:r>
      <w:r>
        <w:t xml:space="preserve">this </w:t>
      </w:r>
      <w:r w:rsidRPr="003B3AC9">
        <w:t xml:space="preserve">assistance </w:t>
      </w:r>
      <w:r>
        <w:t xml:space="preserve">have been </w:t>
      </w:r>
      <w:r w:rsidRPr="003B3AC9">
        <w:t>identified as key issues.</w:t>
      </w:r>
      <w:r>
        <w:t xml:space="preserve"> T</w:t>
      </w:r>
      <w:r w:rsidRPr="003B3AC9">
        <w:t xml:space="preserve">he </w:t>
      </w:r>
      <w:r>
        <w:t>scheme</w:t>
      </w:r>
      <w:r w:rsidRPr="003B3AC9">
        <w:t xml:space="preserve"> is intended to focus on income</w:t>
      </w:r>
      <w:r>
        <w:t>-</w:t>
      </w:r>
      <w:r w:rsidRPr="003B3AC9">
        <w:t>generati</w:t>
      </w:r>
      <w:r>
        <w:t>ng activities</w:t>
      </w:r>
      <w:r w:rsidRPr="003B3AC9">
        <w:t xml:space="preserve"> and</w:t>
      </w:r>
      <w:r>
        <w:t xml:space="preserve"> opportunities for</w:t>
      </w:r>
      <w:r w:rsidRPr="003B3AC9">
        <w:t xml:space="preserve"> youth</w:t>
      </w:r>
      <w:r>
        <w:t xml:space="preserve"> employment</w:t>
      </w:r>
      <w:r w:rsidRPr="003B3AC9">
        <w:t xml:space="preserve"> (50</w:t>
      </w:r>
      <w:r>
        <w:t> per cent</w:t>
      </w:r>
      <w:r w:rsidRPr="003B3AC9">
        <w:t xml:space="preserve"> of activities), </w:t>
      </w:r>
      <w:r>
        <w:t>but this has not been the case</w:t>
      </w:r>
      <w:r w:rsidRPr="003B3AC9">
        <w:t>.</w:t>
      </w:r>
    </w:p>
    <w:p w:rsidR="004D2889" w:rsidRPr="00D82246" w:rsidRDefault="004D2889" w:rsidP="00D82246">
      <w:pPr>
        <w:pStyle w:val="BodyText"/>
        <w:spacing w:after="70"/>
        <w:rPr>
          <w:spacing w:val="-2"/>
        </w:rPr>
      </w:pPr>
      <w:r w:rsidRPr="00D82246">
        <w:rPr>
          <w:spacing w:val="-2"/>
        </w:rPr>
        <w:t xml:space="preserve">The establishment of the AusAID-funded </w:t>
      </w:r>
      <w:r w:rsidRPr="00D82246">
        <w:rPr>
          <w:b/>
          <w:spacing w:val="-2"/>
        </w:rPr>
        <w:t>Australian–Pacific Technical College</w:t>
      </w:r>
      <w:r w:rsidRPr="00D82246">
        <w:rPr>
          <w:spacing w:val="-2"/>
        </w:rPr>
        <w:t xml:space="preserve"> also contributed to economic growth, and is expected to have an increasing role (discussed in more detail under objective 3). Thirty-three students from </w:t>
      </w:r>
      <w:smartTag w:uri="urn:schemas-microsoft-com:office:smarttags" w:element="country-region">
        <w:smartTag w:uri="urn:schemas-microsoft-com:office:smarttags" w:element="place">
          <w:r w:rsidRPr="00D82246">
            <w:rPr>
              <w:spacing w:val="-2"/>
            </w:rPr>
            <w:t>Tonga</w:t>
          </w:r>
        </w:smartTag>
      </w:smartTag>
      <w:r w:rsidRPr="00D82246">
        <w:rPr>
          <w:spacing w:val="-2"/>
        </w:rPr>
        <w:t xml:space="preserve"> participated in the program in 2008, primarily undertaking training in commercial cookery and tourism. Twelve students graduated in 2008 and 21 graduated in March 2009. Of these 33 students, 30 gained employment in </w:t>
      </w:r>
      <w:smartTag w:uri="urn:schemas-microsoft-com:office:smarttags" w:element="country-region">
        <w:r w:rsidRPr="00D82246">
          <w:rPr>
            <w:spacing w:val="-2"/>
          </w:rPr>
          <w:t>Tonga</w:t>
        </w:r>
      </w:smartTag>
      <w:r w:rsidRPr="00D82246">
        <w:rPr>
          <w:spacing w:val="-2"/>
        </w:rPr>
        <w:t xml:space="preserve">, one student is still looking for a job and two have migrated to </w:t>
      </w:r>
      <w:smartTag w:uri="urn:schemas-microsoft-com:office:smarttags" w:element="country-region">
        <w:smartTag w:uri="urn:schemas-microsoft-com:office:smarttags" w:element="place">
          <w:r w:rsidRPr="00D82246">
            <w:rPr>
              <w:spacing w:val="-2"/>
            </w:rPr>
            <w:t>New Zealand</w:t>
          </w:r>
        </w:smartTag>
      </w:smartTag>
      <w:r w:rsidRPr="00D82246">
        <w:rPr>
          <w:spacing w:val="-2"/>
        </w:rPr>
        <w:t xml:space="preserve">. </w:t>
      </w:r>
    </w:p>
    <w:p w:rsidR="004D2889" w:rsidRPr="00E92A44" w:rsidRDefault="004D2889" w:rsidP="00D82246">
      <w:pPr>
        <w:pStyle w:val="Heading3"/>
        <w:tabs>
          <w:tab w:val="clear" w:pos="1440"/>
          <w:tab w:val="clear" w:pos="2160"/>
        </w:tabs>
        <w:spacing w:before="360"/>
      </w:pPr>
      <w:r w:rsidRPr="003B3AC9">
        <w:t>Key results</w:t>
      </w:r>
    </w:p>
    <w:p w:rsidR="004D2889" w:rsidRPr="003B3AC9" w:rsidRDefault="004D2889" w:rsidP="00D82246">
      <w:pPr>
        <w:pStyle w:val="ListBullet"/>
      </w:pPr>
      <w:r>
        <w:t>In 2008</w:t>
      </w:r>
      <w:r w:rsidRPr="003B3AC9">
        <w:t xml:space="preserve"> the Private Sector Reconstruction Facility</w:t>
      </w:r>
      <w:r w:rsidRPr="003B3AC9" w:rsidDel="009268EC">
        <w:t xml:space="preserve"> </w:t>
      </w:r>
      <w:r w:rsidRPr="003B3AC9">
        <w:t>enabled loans in excess of T$29</w:t>
      </w:r>
      <w:r>
        <w:t> </w:t>
      </w:r>
      <w:r w:rsidRPr="003B3AC9">
        <w:t xml:space="preserve">million to re-establish businesses destroyed during the </w:t>
      </w:r>
      <w:r>
        <w:t xml:space="preserve">2006 </w:t>
      </w:r>
      <w:r w:rsidRPr="003B3AC9">
        <w:t>civil unrest.</w:t>
      </w:r>
      <w:r>
        <w:t xml:space="preserve"> As at December 2008</w:t>
      </w:r>
      <w:r w:rsidRPr="003B3AC9">
        <w:t>, one new building ha</w:t>
      </w:r>
      <w:r>
        <w:t>d</w:t>
      </w:r>
      <w:r w:rsidRPr="003B3AC9">
        <w:t xml:space="preserve"> been constructed and two more </w:t>
      </w:r>
      <w:r>
        <w:t>were</w:t>
      </w:r>
      <w:r w:rsidRPr="003B3AC9">
        <w:t xml:space="preserve"> </w:t>
      </w:r>
      <w:r>
        <w:t>being</w:t>
      </w:r>
      <w:r w:rsidRPr="003B3AC9">
        <w:t xml:space="preserve"> construct</w:t>
      </w:r>
      <w:r>
        <w:t>ed</w:t>
      </w:r>
      <w:r w:rsidRPr="003B3AC9">
        <w:t xml:space="preserve"> with </w:t>
      </w:r>
      <w:r>
        <w:t xml:space="preserve">the facility’s </w:t>
      </w:r>
      <w:r w:rsidRPr="003B3AC9">
        <w:t>support.</w:t>
      </w:r>
    </w:p>
    <w:p w:rsidR="004D2889" w:rsidRPr="003B3AC9" w:rsidRDefault="004D2889" w:rsidP="00D82246">
      <w:pPr>
        <w:pStyle w:val="ListBullet"/>
      </w:pPr>
      <w:r w:rsidRPr="003B3AC9">
        <w:t>With support from the Business Hardship Fund</w:t>
      </w:r>
      <w:r>
        <w:t xml:space="preserve"> in 2008,</w:t>
      </w:r>
      <w:r w:rsidRPr="003B3AC9">
        <w:t xml:space="preserve"> 83 businesses ha</w:t>
      </w:r>
      <w:r>
        <w:t>d</w:t>
      </w:r>
      <w:r w:rsidRPr="003B3AC9">
        <w:t xml:space="preserve"> </w:t>
      </w:r>
      <w:r>
        <w:t>their</w:t>
      </w:r>
      <w:r w:rsidRPr="003B3AC9">
        <w:t xml:space="preserve"> urgent and short</w:t>
      </w:r>
      <w:r>
        <w:t>-</w:t>
      </w:r>
      <w:r w:rsidRPr="003B3AC9">
        <w:t>term needs</w:t>
      </w:r>
      <w:r>
        <w:t xml:space="preserve"> met</w:t>
      </w:r>
      <w:r w:rsidRPr="003B3AC9">
        <w:t>, such as utilities, loan repayments and staff salaries.</w:t>
      </w:r>
    </w:p>
    <w:p w:rsidR="004D2889" w:rsidRPr="003B3AC9" w:rsidRDefault="004D2889" w:rsidP="00D82246">
      <w:pPr>
        <w:pStyle w:val="ListBullet"/>
      </w:pPr>
      <w:r w:rsidRPr="003B3AC9">
        <w:t>Support for the Chamber of Commerce ha</w:t>
      </w:r>
      <w:r>
        <w:t>d</w:t>
      </w:r>
      <w:r w:rsidRPr="003B3AC9">
        <w:t xml:space="preserve"> been the catalyst for substantial improvements in </w:t>
      </w:r>
      <w:r>
        <w:t xml:space="preserve">its </w:t>
      </w:r>
      <w:r w:rsidRPr="003B3AC9">
        <w:t>operations and outreach.</w:t>
      </w:r>
      <w:r>
        <w:t xml:space="preserve"> </w:t>
      </w:r>
      <w:r w:rsidRPr="003B3AC9">
        <w:t xml:space="preserve">The Chamber of Commerce </w:t>
      </w:r>
      <w:r>
        <w:t>was</w:t>
      </w:r>
      <w:r w:rsidRPr="003B3AC9">
        <w:t xml:space="preserve"> able to increase its visibility and effectively lobbied government on a number of issues (</w:t>
      </w:r>
      <w:r>
        <w:t>for example,</w:t>
      </w:r>
      <w:r w:rsidRPr="003B3AC9">
        <w:t xml:space="preserve"> reducing electricity prices and Custom</w:t>
      </w:r>
      <w:r>
        <w:t>s</w:t>
      </w:r>
      <w:r w:rsidRPr="003B3AC9">
        <w:t xml:space="preserve"> import duties).</w:t>
      </w:r>
      <w:r>
        <w:t xml:space="preserve"> </w:t>
      </w:r>
      <w:r w:rsidRPr="003B3AC9">
        <w:t xml:space="preserve">The increase in visibility in turn led to </w:t>
      </w:r>
      <w:r>
        <w:t xml:space="preserve">an increase in membership of more than </w:t>
      </w:r>
      <w:r w:rsidRPr="003B3AC9">
        <w:t>10</w:t>
      </w:r>
      <w:r>
        <w:t> per cent</w:t>
      </w:r>
      <w:r w:rsidRPr="003B3AC9">
        <w:t xml:space="preserve"> and contributed to a stronger and more active private sector.</w:t>
      </w:r>
    </w:p>
    <w:p w:rsidR="004D2889" w:rsidRPr="003B3AC9" w:rsidRDefault="004D2889" w:rsidP="00D82246">
      <w:pPr>
        <w:pStyle w:val="ListBullet"/>
      </w:pPr>
      <w:r w:rsidRPr="003B3AC9">
        <w:t xml:space="preserve">The installation of </w:t>
      </w:r>
      <w:r>
        <w:t>about</w:t>
      </w:r>
      <w:r w:rsidRPr="003B3AC9">
        <w:t xml:space="preserve"> 21</w:t>
      </w:r>
      <w:r>
        <w:t>5</w:t>
      </w:r>
      <w:r w:rsidRPr="003B3AC9">
        <w:t xml:space="preserve"> water tanks provide</w:t>
      </w:r>
      <w:r>
        <w:t>d</w:t>
      </w:r>
      <w:r w:rsidRPr="003B3AC9">
        <w:t xml:space="preserve"> vulnerable communities with access to clean water.</w:t>
      </w:r>
      <w:r>
        <w:t xml:space="preserve"> </w:t>
      </w:r>
      <w:r w:rsidRPr="003B3AC9">
        <w:t>The Tonga Community Development Scheme also provided</w:t>
      </w:r>
      <w:r>
        <w:t xml:space="preserve"> support</w:t>
      </w:r>
      <w:r w:rsidRPr="003B3AC9">
        <w:t xml:space="preserve"> for a range of community activities in areas such as income generation, basic infrastructure, agriculture</w:t>
      </w:r>
      <w:r>
        <w:t>,</w:t>
      </w:r>
      <w:r w:rsidRPr="003B3AC9">
        <w:t xml:space="preserve"> and vocational training</w:t>
      </w:r>
      <w:r>
        <w:t>.</w:t>
      </w:r>
    </w:p>
    <w:p w:rsidR="004D2889" w:rsidRPr="00575F64" w:rsidRDefault="004D2889" w:rsidP="00D82246">
      <w:pPr>
        <w:pStyle w:val="ListBullet"/>
        <w:rPr>
          <w:spacing w:val="-2"/>
        </w:rPr>
      </w:pPr>
      <w:r w:rsidRPr="00DC005A">
        <w:rPr>
          <w:spacing w:val="-2"/>
        </w:rPr>
        <w:t>Fifty Tongan seasonal workers arrived in Australia in February 2008. AusAID was part of an interdepartmental team that organised the pre-departure briefing and training for workers participating in the Seasonal Workers Scheme. The briefing and training is expected to contribute to the productivity of the workers in Australia and on return to Tonga.</w:t>
      </w:r>
    </w:p>
    <w:p w:rsidR="004D2889" w:rsidRPr="003B3AC9" w:rsidRDefault="004D2889" w:rsidP="00D82246">
      <w:pPr>
        <w:pStyle w:val="ListBullet"/>
      </w:pPr>
      <w:r w:rsidRPr="003B3AC9">
        <w:t xml:space="preserve">The Private Sector Development Initiative supplemented a technical assistance project </w:t>
      </w:r>
      <w:r>
        <w:t xml:space="preserve">funded by the Asian Development Bank </w:t>
      </w:r>
      <w:r w:rsidRPr="003B3AC9">
        <w:t xml:space="preserve">to rationalise the Tongan </w:t>
      </w:r>
      <w:r>
        <w:t>state-owned enterprises</w:t>
      </w:r>
      <w:r w:rsidRPr="003B3AC9">
        <w:t>.</w:t>
      </w:r>
      <w:r>
        <w:t xml:space="preserve"> </w:t>
      </w:r>
      <w:r w:rsidRPr="003B3AC9">
        <w:t>It resulted in the first ever privatisation</w:t>
      </w:r>
      <w:r>
        <w:t xml:space="preserve"> of a state enterprise</w:t>
      </w:r>
      <w:r w:rsidRPr="003B3AC9">
        <w:t xml:space="preserve"> in Tonga, with the sale of Leiola Duty Free stores.</w:t>
      </w:r>
      <w:r>
        <w:t xml:space="preserve"> </w:t>
      </w:r>
      <w:r w:rsidRPr="003B3AC9">
        <w:t xml:space="preserve">Four other </w:t>
      </w:r>
      <w:r>
        <w:t>such enterprises</w:t>
      </w:r>
      <w:r w:rsidRPr="003B3AC9">
        <w:t xml:space="preserve"> were rationalised</w:t>
      </w:r>
      <w:r>
        <w:t>—</w:t>
      </w:r>
      <w:r w:rsidRPr="003B3AC9">
        <w:t>one wound</w:t>
      </w:r>
      <w:r>
        <w:t xml:space="preserve"> </w:t>
      </w:r>
      <w:r w:rsidRPr="003B3AC9">
        <w:t>up and three restructured.</w:t>
      </w:r>
      <w:r>
        <w:t xml:space="preserve"> </w:t>
      </w:r>
      <w:r w:rsidRPr="003B3AC9">
        <w:t>In early 2009 a new and more ambitious phase of rationalis</w:t>
      </w:r>
      <w:r>
        <w:t>ing state-owned enterprises</w:t>
      </w:r>
      <w:r w:rsidRPr="003B3AC9">
        <w:t xml:space="preserve"> was launched.</w:t>
      </w:r>
      <w:r>
        <w:t xml:space="preserve"> The </w:t>
      </w:r>
      <w:r w:rsidRPr="003B3AC9">
        <w:t xml:space="preserve">Private Sector Development Initiative also reviewed </w:t>
      </w:r>
      <w:r>
        <w:t xml:space="preserve">the possibility of </w:t>
      </w:r>
      <w:r w:rsidRPr="003B3AC9">
        <w:t>outsourcing road maintenance</w:t>
      </w:r>
      <w:r>
        <w:t>,</w:t>
      </w:r>
      <w:r w:rsidRPr="003B3AC9">
        <w:t xml:space="preserve"> which will result in the private sector being invited to tender for road maintenance work.</w:t>
      </w:r>
    </w:p>
    <w:p w:rsidR="004D2889" w:rsidRPr="003B3AC9" w:rsidRDefault="004D2889" w:rsidP="00E92A44">
      <w:pPr>
        <w:pStyle w:val="Heading3"/>
        <w:tabs>
          <w:tab w:val="clear" w:pos="1440"/>
          <w:tab w:val="clear" w:pos="2160"/>
        </w:tabs>
      </w:pPr>
      <w:r w:rsidRPr="003B3AC9">
        <w:lastRenderedPageBreak/>
        <w:t>Challenges</w:t>
      </w:r>
    </w:p>
    <w:p w:rsidR="004D2889" w:rsidRDefault="004D2889" w:rsidP="00E92A44">
      <w:pPr>
        <w:pStyle w:val="Heading4"/>
        <w:tabs>
          <w:tab w:val="clear" w:pos="1440"/>
          <w:tab w:val="clear" w:pos="2160"/>
          <w:tab w:val="clear" w:pos="2880"/>
        </w:tabs>
        <w:ind w:left="0" w:firstLine="0"/>
      </w:pPr>
      <w:smartTag w:uri="urn:schemas-microsoft-com:office:smarttags" w:element="place">
        <w:smartTag w:uri="urn:schemas-microsoft-com:office:smarttags" w:element="country-region">
          <w:r w:rsidRPr="003B3AC9">
            <w:t>Tonga</w:t>
          </w:r>
        </w:smartTag>
      </w:smartTag>
      <w:r>
        <w:t xml:space="preserve"> Community Development Scheme</w:t>
      </w:r>
    </w:p>
    <w:p w:rsidR="004D2889" w:rsidRPr="00FB6998" w:rsidRDefault="004D2889" w:rsidP="003B3AC9">
      <w:pPr>
        <w:pStyle w:val="BodyText"/>
        <w:rPr>
          <w:spacing w:val="-2"/>
        </w:rPr>
      </w:pPr>
      <w:r w:rsidRPr="00DC005A">
        <w:rPr>
          <w:spacing w:val="-2"/>
        </w:rPr>
        <w:t>Previous evaluations of th</w:t>
      </w:r>
      <w:r>
        <w:rPr>
          <w:spacing w:val="-2"/>
        </w:rPr>
        <w:t>e</w:t>
      </w:r>
      <w:r w:rsidRPr="00DC005A">
        <w:rPr>
          <w:spacing w:val="-2"/>
        </w:rPr>
        <w:t xml:space="preserve"> </w:t>
      </w:r>
      <w:smartTag w:uri="urn:schemas-microsoft-com:office:smarttags" w:element="place">
        <w:smartTag w:uri="urn:schemas-microsoft-com:office:smarttags" w:element="country-region">
          <w:r w:rsidRPr="00DC005A">
            <w:rPr>
              <w:spacing w:val="-2"/>
            </w:rPr>
            <w:t>Tonga</w:t>
          </w:r>
        </w:smartTag>
      </w:smartTag>
      <w:r w:rsidRPr="00DC005A">
        <w:rPr>
          <w:spacing w:val="-2"/>
        </w:rPr>
        <w:t xml:space="preserve"> Community Development Scheme identified problems with both the targeting and sustainability of its assistance. The capacity of community groups is limited, and projects often lacked a strategic approach and community support, which limits sustainability. As already noted, the program is essentially operating as a de facto water supply program, which is also a feature of the Vulnerability and Adaptation Initiative (discussed </w:t>
      </w:r>
      <w:r>
        <w:rPr>
          <w:spacing w:val="-2"/>
        </w:rPr>
        <w:t>next</w:t>
      </w:r>
      <w:r w:rsidRPr="00DC005A">
        <w:rPr>
          <w:spacing w:val="-2"/>
        </w:rPr>
        <w:t xml:space="preserve">). </w:t>
      </w:r>
    </w:p>
    <w:p w:rsidR="004D2889" w:rsidRPr="003B3AC9" w:rsidRDefault="004D2889" w:rsidP="003B3AC9">
      <w:pPr>
        <w:pStyle w:val="BodyText"/>
      </w:pPr>
      <w:r w:rsidRPr="003B3AC9">
        <w:t>While</w:t>
      </w:r>
      <w:r>
        <w:t xml:space="preserve"> the</w:t>
      </w:r>
      <w:r w:rsidRPr="003B3AC9">
        <w:t xml:space="preserve"> water supply activities have been welcomed by communities, there have been implementation problems.</w:t>
      </w:r>
      <w:r>
        <w:t xml:space="preserve"> For example,</w:t>
      </w:r>
      <w:r w:rsidRPr="003B3AC9">
        <w:t xml:space="preserve"> some of the most vulnerable families were not able to meet the required 10</w:t>
      </w:r>
      <w:r>
        <w:t> per cent</w:t>
      </w:r>
      <w:r w:rsidRPr="003B3AC9">
        <w:t xml:space="preserve"> upfront contribution to acquire a water tank, which acted as a barrier to entry (although the fee can be waived in cases of extreme hardship)</w:t>
      </w:r>
      <w:r>
        <w:t>,</w:t>
      </w:r>
      <w:r w:rsidRPr="003B3AC9">
        <w:t xml:space="preserve"> and inadequate </w:t>
      </w:r>
      <w:r>
        <w:t xml:space="preserve">areas for catching </w:t>
      </w:r>
      <w:r w:rsidRPr="003B3AC9">
        <w:t>water (</w:t>
      </w:r>
      <w:r>
        <w:t>such as</w:t>
      </w:r>
      <w:r w:rsidRPr="003B3AC9">
        <w:t xml:space="preserve"> traditional roofing) have also limited uptake by the most vulnerable.</w:t>
      </w:r>
      <w:r>
        <w:t xml:space="preserve"> </w:t>
      </w:r>
      <w:r w:rsidRPr="003B3AC9">
        <w:t>These issues have reduced the benefits of assistance for the most vulnerable groups.</w:t>
      </w:r>
      <w:r>
        <w:t xml:space="preserve"> </w:t>
      </w:r>
      <w:r w:rsidRPr="003B3AC9">
        <w:t>Given the challenges experienced and apparent community demand for water supply, there may be merit in exploring a discrete activity to provide water suppl</w:t>
      </w:r>
      <w:r>
        <w:t>ies</w:t>
      </w:r>
      <w:r w:rsidRPr="003B3AC9">
        <w:t xml:space="preserve"> on a more strategic and cost-effective basis.</w:t>
      </w:r>
    </w:p>
    <w:p w:rsidR="004D2889" w:rsidRPr="003B3AC9" w:rsidRDefault="004D2889" w:rsidP="003B3AC9">
      <w:pPr>
        <w:pStyle w:val="BodyText"/>
      </w:pPr>
      <w:r w:rsidRPr="003B3AC9">
        <w:t xml:space="preserve">The </w:t>
      </w:r>
      <w:smartTag w:uri="urn:schemas-microsoft-com:office:smarttags" w:element="place">
        <w:smartTag w:uri="urn:schemas-microsoft-com:office:smarttags" w:element="country-region">
          <w:r w:rsidRPr="003B3AC9">
            <w:t>Tonga</w:t>
          </w:r>
        </w:smartTag>
      </w:smartTag>
      <w:r>
        <w:t xml:space="preserve"> Community Development Scheme</w:t>
      </w:r>
      <w:r w:rsidRPr="003B3AC9" w:rsidDel="00FB6998">
        <w:t xml:space="preserve"> </w:t>
      </w:r>
      <w:r w:rsidRPr="003B3AC9">
        <w:t xml:space="preserve">and </w:t>
      </w:r>
      <w:r w:rsidRPr="00FB6998">
        <w:rPr>
          <w:spacing w:val="-2"/>
        </w:rPr>
        <w:t xml:space="preserve">the Vulnerability and Adaptation Initiative </w:t>
      </w:r>
      <w:r w:rsidRPr="003B3AC9">
        <w:t>are administered by the Ministry of Finance</w:t>
      </w:r>
      <w:r>
        <w:t xml:space="preserve"> and Planning</w:t>
      </w:r>
      <w:r w:rsidRPr="003B3AC9">
        <w:t>.</w:t>
      </w:r>
      <w:r>
        <w:t xml:space="preserve"> </w:t>
      </w:r>
      <w:r w:rsidRPr="003B3AC9">
        <w:t xml:space="preserve">An identified problem is that </w:t>
      </w:r>
      <w:r>
        <w:t xml:space="preserve">their </w:t>
      </w:r>
      <w:r w:rsidRPr="003B3AC9">
        <w:t>activities have not been well linked to the priorities and programs of relevant government departments.</w:t>
      </w:r>
      <w:r>
        <w:t xml:space="preserve"> </w:t>
      </w:r>
      <w:r w:rsidRPr="003B3AC9">
        <w:t xml:space="preserve">This </w:t>
      </w:r>
      <w:r w:rsidRPr="00DC005A">
        <w:rPr>
          <w:spacing w:val="-2"/>
        </w:rPr>
        <w:t>has had implications for both coordinating and targeting the funding.</w:t>
      </w:r>
      <w:r>
        <w:t xml:space="preserve"> </w:t>
      </w:r>
    </w:p>
    <w:p w:rsidR="004D2889" w:rsidRDefault="004D2889" w:rsidP="00E92A44">
      <w:pPr>
        <w:pStyle w:val="Heading4"/>
        <w:tabs>
          <w:tab w:val="clear" w:pos="1440"/>
          <w:tab w:val="clear" w:pos="2160"/>
          <w:tab w:val="clear" w:pos="2880"/>
        </w:tabs>
        <w:ind w:left="0" w:firstLine="0"/>
      </w:pPr>
      <w:r w:rsidRPr="003B3AC9">
        <w:t>Vulnerability and Adaptation Initiative</w:t>
      </w:r>
    </w:p>
    <w:p w:rsidR="004D2889" w:rsidRPr="003B3AC9" w:rsidRDefault="004D2889" w:rsidP="003B3AC9">
      <w:pPr>
        <w:pStyle w:val="BodyText"/>
      </w:pPr>
      <w:r w:rsidRPr="003B3AC9">
        <w:t>The Ministry of Environment has identified adaptation measures</w:t>
      </w:r>
      <w:r>
        <w:t>,</w:t>
      </w:r>
      <w:r w:rsidRPr="003B3AC9">
        <w:t xml:space="preserve"> particularly coastal protection and rehabilitation</w:t>
      </w:r>
      <w:r>
        <w:t>,</w:t>
      </w:r>
      <w:r w:rsidRPr="003B3AC9">
        <w:t xml:space="preserve"> as priorit</w:t>
      </w:r>
      <w:r>
        <w:t>ies</w:t>
      </w:r>
      <w:r w:rsidRPr="003B3AC9">
        <w:t>.</w:t>
      </w:r>
      <w:r>
        <w:t xml:space="preserve"> </w:t>
      </w:r>
      <w:r w:rsidRPr="003B3AC9">
        <w:t>In practice, the Vulnerability and Adaptation Initiative</w:t>
      </w:r>
      <w:r w:rsidRPr="003B3AC9" w:rsidDel="00BA0412">
        <w:t xml:space="preserve"> </w:t>
      </w:r>
      <w:r w:rsidRPr="003B3AC9">
        <w:t>has focus</w:t>
      </w:r>
      <w:r>
        <w:t>ed</w:t>
      </w:r>
      <w:r w:rsidRPr="003B3AC9">
        <w:t xml:space="preserve"> on </w:t>
      </w:r>
      <w:r>
        <w:t>providing</w:t>
      </w:r>
      <w:r w:rsidRPr="003B3AC9">
        <w:t xml:space="preserve"> water tanks to vulnerable communities</w:t>
      </w:r>
      <w:r>
        <w:t>—</w:t>
      </w:r>
      <w:r w:rsidRPr="003B3AC9">
        <w:t>effectively delivered as an adjunct to the Tonga Community Development Scheme.</w:t>
      </w:r>
      <w:r>
        <w:t xml:space="preserve"> </w:t>
      </w:r>
      <w:r w:rsidRPr="003B3AC9">
        <w:t xml:space="preserve">Partly as a result of weak coordination with the Ministry of Environment, relatively little funding has been </w:t>
      </w:r>
      <w:r>
        <w:t>directed to the ministry’s</w:t>
      </w:r>
      <w:r w:rsidRPr="003B3AC9">
        <w:t xml:space="preserve"> identified priorities.</w:t>
      </w:r>
      <w:r>
        <w:t xml:space="preserve"> </w:t>
      </w:r>
      <w:r w:rsidRPr="003B3AC9">
        <w:t>Even so, available funding is unlikely to be of a sufficient scale to address some of the priorities</w:t>
      </w:r>
      <w:r>
        <w:t>, as</w:t>
      </w:r>
      <w:r w:rsidRPr="003B3AC9">
        <w:t xml:space="preserve"> coastal landfill and reclamation</w:t>
      </w:r>
      <w:r>
        <w:t>, for example,</w:t>
      </w:r>
      <w:r w:rsidRPr="003B3AC9">
        <w:t xml:space="preserve"> can involve substantial engineering costs.</w:t>
      </w:r>
      <w:r>
        <w:t xml:space="preserve"> C</w:t>
      </w:r>
      <w:r w:rsidRPr="003B3AC9">
        <w:t>onsideration should be given to including the Ministry of Environment</w:t>
      </w:r>
      <w:r>
        <w:t xml:space="preserve"> </w:t>
      </w:r>
      <w:r w:rsidRPr="003B3AC9">
        <w:t>in decisions on grant allocations to help ensure better targeting.</w:t>
      </w:r>
    </w:p>
    <w:p w:rsidR="004D2889" w:rsidRPr="003B3AC9" w:rsidRDefault="004D2889" w:rsidP="00E92A44">
      <w:pPr>
        <w:pStyle w:val="Heading3"/>
        <w:tabs>
          <w:tab w:val="clear" w:pos="1440"/>
          <w:tab w:val="clear" w:pos="2160"/>
        </w:tabs>
      </w:pPr>
      <w:r w:rsidRPr="003B3AC9">
        <w:t>Estimated expenditure</w:t>
      </w:r>
    </w:p>
    <w:p w:rsidR="004D2889" w:rsidRPr="003B3AC9" w:rsidRDefault="004D2889" w:rsidP="003B3AC9">
      <w:pPr>
        <w:pStyle w:val="BodyText"/>
      </w:pPr>
      <w:r w:rsidRPr="003B3AC9">
        <w:t xml:space="preserve">The estimated expenditure for </w:t>
      </w:r>
      <w:r w:rsidRPr="0048268F">
        <w:t>accelerating broad-based economic growth</w:t>
      </w:r>
      <w:r w:rsidRPr="003B3AC9" w:rsidDel="009A41BA">
        <w:t xml:space="preserve"> </w:t>
      </w:r>
      <w:r w:rsidRPr="003B3AC9">
        <w:t>in 2008 is A$1.554</w:t>
      </w:r>
      <w:r>
        <w:t> </w:t>
      </w:r>
      <w:r w:rsidRPr="003B3AC9">
        <w:t>million, which is around 12</w:t>
      </w:r>
      <w:r>
        <w:t> per cent</w:t>
      </w:r>
      <w:r w:rsidRPr="003B3AC9">
        <w:t xml:space="preserve"> of the 2007</w:t>
      </w:r>
      <w:r>
        <w:t>–</w:t>
      </w:r>
      <w:r w:rsidRPr="003B3AC9">
        <w:t>08 and 2008</w:t>
      </w:r>
      <w:r>
        <w:t>–</w:t>
      </w:r>
      <w:r w:rsidRPr="003B3AC9">
        <w:t>09 bilateral allocation</w:t>
      </w:r>
      <w:r>
        <w:t>s</w:t>
      </w:r>
      <w:r w:rsidRPr="003B3AC9">
        <w:t xml:space="preserve"> for </w:t>
      </w:r>
      <w:smartTag w:uri="urn:schemas-microsoft-com:office:smarttags" w:element="country-region">
        <w:smartTag w:uri="urn:schemas-microsoft-com:office:smarttags" w:element="place">
          <w:r w:rsidRPr="003B3AC9">
            <w:t>Tonga</w:t>
          </w:r>
        </w:smartTag>
      </w:smartTag>
      <w:r w:rsidRPr="003B3AC9">
        <w:t>.</w:t>
      </w:r>
    </w:p>
    <w:p w:rsidR="004D2889" w:rsidRPr="003B3AC9" w:rsidRDefault="004D2889" w:rsidP="00E92A44">
      <w:pPr>
        <w:pStyle w:val="Heading2unnumbered"/>
        <w:tabs>
          <w:tab w:val="clear" w:pos="1440"/>
        </w:tabs>
        <w:rPr>
          <w:b/>
        </w:rPr>
      </w:pPr>
      <w:bookmarkStart w:id="46" w:name="_Toc250710281"/>
      <w:r w:rsidRPr="00E92A44">
        <w:t>Objective</w:t>
      </w:r>
      <w:r>
        <w:t xml:space="preserve"> 3:</w:t>
      </w:r>
      <w:r>
        <w:br/>
      </w:r>
      <w:r w:rsidRPr="00E92A44">
        <w:t>Investing in people through improved service delivery</w:t>
      </w:r>
      <w:r>
        <w:t>,</w:t>
      </w:r>
      <w:r w:rsidRPr="00E92A44">
        <w:t xml:space="preserve"> particularly in education, technical </w:t>
      </w:r>
      <w:r>
        <w:t xml:space="preserve">and </w:t>
      </w:r>
      <w:r w:rsidRPr="00E92A44">
        <w:t>vocational training</w:t>
      </w:r>
      <w:r>
        <w:t>,</w:t>
      </w:r>
      <w:r w:rsidRPr="003B3AC9">
        <w:t xml:space="preserve"> and</w:t>
      </w:r>
      <w:r>
        <w:t> </w:t>
      </w:r>
      <w:r w:rsidRPr="003B3AC9">
        <w:t>basic health care</w:t>
      </w:r>
      <w:bookmarkEnd w:id="46"/>
    </w:p>
    <w:p w:rsidR="004D2889" w:rsidRPr="003B3AC9" w:rsidRDefault="004D2889" w:rsidP="008066F3">
      <w:pPr>
        <w:pStyle w:val="BodyText"/>
      </w:pPr>
      <w:smartTag w:uri="urn:schemas-microsoft-com:office:smarttags" w:element="place">
        <w:smartTag w:uri="urn:schemas-microsoft-com:office:smarttags" w:element="country-region">
          <w:r w:rsidRPr="003B3AC9">
            <w:t>Australia</w:t>
          </w:r>
        </w:smartTag>
      </w:smartTag>
      <w:r w:rsidRPr="003B3AC9">
        <w:t xml:space="preserve">’s support in the </w:t>
      </w:r>
      <w:r w:rsidRPr="008066F3">
        <w:rPr>
          <w:b/>
        </w:rPr>
        <w:t>education</w:t>
      </w:r>
      <w:r w:rsidRPr="003B3AC9">
        <w:t xml:space="preserve"> sector is currently provided through a range of scholarship programs.</w:t>
      </w:r>
      <w:r>
        <w:t xml:space="preserve"> </w:t>
      </w:r>
      <w:r w:rsidRPr="003B3AC9">
        <w:t xml:space="preserve">The overarching aim of </w:t>
      </w:r>
      <w:r>
        <w:t>these</w:t>
      </w:r>
      <w:r w:rsidRPr="003B3AC9">
        <w:t xml:space="preserve"> programs is to assist </w:t>
      </w:r>
      <w:smartTag w:uri="urn:schemas-microsoft-com:office:smarttags" w:element="place">
        <w:smartTag w:uri="urn:schemas-microsoft-com:office:smarttags" w:element="country-region">
          <w:r w:rsidRPr="003B3AC9">
            <w:t>Tonga</w:t>
          </w:r>
        </w:smartTag>
      </w:smartTag>
      <w:r w:rsidRPr="003B3AC9">
        <w:t xml:space="preserve"> to meet its human resource development needs by providing people with qualifications and skills </w:t>
      </w:r>
      <w:r w:rsidRPr="003B3AC9">
        <w:lastRenderedPageBreak/>
        <w:t xml:space="preserve">necessary for the country’s development in both the private and </w:t>
      </w:r>
      <w:r>
        <w:t xml:space="preserve">the </w:t>
      </w:r>
      <w:r w:rsidRPr="003B3AC9">
        <w:t>public sectors.</w:t>
      </w:r>
      <w:r>
        <w:t xml:space="preserve"> </w:t>
      </w:r>
      <w:r w:rsidRPr="003B3AC9">
        <w:t xml:space="preserve">AusAID is planning to expand its investment in education, with a focus on technical and vocation </w:t>
      </w:r>
      <w:r>
        <w:t>training</w:t>
      </w:r>
      <w:r w:rsidRPr="003B3AC9">
        <w:t>, under the Partnership for Development.</w:t>
      </w:r>
      <w:r>
        <w:t xml:space="preserve"> </w:t>
      </w:r>
      <w:r w:rsidRPr="003B3AC9">
        <w:t xml:space="preserve">Assistance for TVET aims to </w:t>
      </w:r>
      <w:r>
        <w:t>complement</w:t>
      </w:r>
      <w:r w:rsidRPr="003B3AC9">
        <w:t xml:space="preserve"> the elite</w:t>
      </w:r>
      <w:r>
        <w:t>–</w:t>
      </w:r>
      <w:r w:rsidRPr="003B3AC9">
        <w:t xml:space="preserve">academic focus of scholarships </w:t>
      </w:r>
      <w:r>
        <w:t>by providing</w:t>
      </w:r>
      <w:r w:rsidRPr="003B3AC9">
        <w:t xml:space="preserve"> training in practical skills.</w:t>
      </w:r>
      <w:r>
        <w:t xml:space="preserve"> </w:t>
      </w:r>
      <w:r w:rsidRPr="003B3AC9">
        <w:t>Assistance for basic education is planned through the existing NZAID</w:t>
      </w:r>
      <w:r w:rsidRPr="00DC005A">
        <w:rPr>
          <w:rFonts w:ascii="Arial Unicode MS" w:eastAsia="Arial Unicode MS" w:hAnsi="Arial Unicode MS" w:cs="Arial Unicode MS" w:hint="eastAsia"/>
          <w:sz w:val="12"/>
          <w:szCs w:val="12"/>
        </w:rPr>
        <w:t> </w:t>
      </w:r>
      <w:r>
        <w:t>–</w:t>
      </w:r>
      <w:r w:rsidRPr="00DC005A">
        <w:rPr>
          <w:rFonts w:ascii="Arial Unicode MS" w:eastAsia="Arial Unicode MS" w:hAnsi="Arial Unicode MS" w:cs="Arial Unicode MS" w:hint="eastAsia"/>
          <w:sz w:val="12"/>
          <w:szCs w:val="12"/>
        </w:rPr>
        <w:t> </w:t>
      </w:r>
      <w:r>
        <w:t>World Bank</w:t>
      </w:r>
      <w:r w:rsidRPr="003B3AC9">
        <w:t xml:space="preserve"> Tonga Education Support Program, which has a focus on in-service teacher training.</w:t>
      </w:r>
      <w:r>
        <w:t xml:space="preserve"> </w:t>
      </w:r>
      <w:r w:rsidRPr="003B3AC9">
        <w:t xml:space="preserve">AusAID is also working with NZAID to design a joint </w:t>
      </w:r>
      <w:r>
        <w:t>TVET</w:t>
      </w:r>
      <w:r w:rsidRPr="003B3AC9">
        <w:t xml:space="preserve"> program.</w:t>
      </w:r>
      <w:r>
        <w:t xml:space="preserve"> </w:t>
      </w:r>
      <w:r w:rsidRPr="003B3AC9">
        <w:t xml:space="preserve">The expanded focus on education will help </w:t>
      </w:r>
      <w:r>
        <w:t xml:space="preserve">to </w:t>
      </w:r>
      <w:r w:rsidRPr="003B3AC9">
        <w:t>address the continuum from basic education to more advanced TVET and scholar</w:t>
      </w:r>
      <w:r>
        <w:t>s</w:t>
      </w:r>
      <w:r w:rsidRPr="003B3AC9">
        <w:t xml:space="preserve">hip </w:t>
      </w:r>
      <w:r>
        <w:t>studies</w:t>
      </w:r>
      <w:r w:rsidRPr="003B3AC9">
        <w:t>.</w:t>
      </w:r>
    </w:p>
    <w:p w:rsidR="004D2889" w:rsidRPr="00FB118F" w:rsidRDefault="004D2889" w:rsidP="008066F3">
      <w:pPr>
        <w:pStyle w:val="BodyText"/>
      </w:pPr>
      <w:smartTag w:uri="urn:schemas-microsoft-com:office:smarttags" w:element="country-region">
        <w:smartTag w:uri="urn:schemas-microsoft-com:office:smarttags" w:element="place">
          <w:r w:rsidRPr="003B3AC9">
            <w:t>Australia</w:t>
          </w:r>
        </w:smartTag>
      </w:smartTag>
      <w:r w:rsidRPr="003B3AC9">
        <w:t xml:space="preserve">’s main program assistance to the </w:t>
      </w:r>
      <w:r w:rsidRPr="008066F3">
        <w:rPr>
          <w:b/>
        </w:rPr>
        <w:t>health</w:t>
      </w:r>
      <w:r w:rsidRPr="003B3AC9">
        <w:t xml:space="preserve"> sector</w:t>
      </w:r>
      <w:r>
        <w:t>—</w:t>
      </w:r>
      <w:r w:rsidRPr="003B3AC9">
        <w:t>the Health Sector Planning and Management Project</w:t>
      </w:r>
      <w:r>
        <w:t>—</w:t>
      </w:r>
      <w:r w:rsidRPr="003B3AC9">
        <w:t>concluded in November 2007</w:t>
      </w:r>
      <w:r>
        <w:t xml:space="preserve"> and its a</w:t>
      </w:r>
      <w:r w:rsidRPr="003B3AC9">
        <w:t>chievements and outcomes were reported in the 2007</w:t>
      </w:r>
      <w:r>
        <w:t>–08</w:t>
      </w:r>
      <w:r w:rsidRPr="003B3AC9">
        <w:t xml:space="preserve"> </w:t>
      </w:r>
      <w:r>
        <w:t>program performance report</w:t>
      </w:r>
      <w:r w:rsidRPr="003B3AC9">
        <w:t>.</w:t>
      </w:r>
      <w:r>
        <w:t xml:space="preserve"> </w:t>
      </w:r>
      <w:r w:rsidRPr="003B3AC9">
        <w:t xml:space="preserve">AusAID and the Government of Tonga are </w:t>
      </w:r>
      <w:r>
        <w:t>now</w:t>
      </w:r>
      <w:r w:rsidRPr="003B3AC9">
        <w:t xml:space="preserve"> designing a major new sector</w:t>
      </w:r>
      <w:r>
        <w:t>-wide</w:t>
      </w:r>
      <w:r w:rsidRPr="003B3AC9">
        <w:t xml:space="preserve"> program of </w:t>
      </w:r>
      <w:r>
        <w:t xml:space="preserve">health </w:t>
      </w:r>
      <w:r w:rsidRPr="003B3AC9">
        <w:t>assistance.</w:t>
      </w:r>
      <w:r>
        <w:t xml:space="preserve"> In 2008</w:t>
      </w:r>
      <w:r w:rsidRPr="003B3AC9">
        <w:t xml:space="preserve"> several small activities support</w:t>
      </w:r>
      <w:r>
        <w:t>ed</w:t>
      </w:r>
      <w:r w:rsidRPr="003B3AC9">
        <w:t xml:space="preserve"> the health sector.</w:t>
      </w:r>
      <w:r>
        <w:t xml:space="preserve"> </w:t>
      </w:r>
      <w:r w:rsidRPr="003B3AC9">
        <w:t>These include</w:t>
      </w:r>
      <w:r>
        <w:t>d</w:t>
      </w:r>
      <w:r w:rsidRPr="003B3AC9">
        <w:t xml:space="preserve"> the provision of surgeons and an anaesthetist under PACTAM, the Pacific Regional HIV Program and the Pacific Regional </w:t>
      </w:r>
      <w:r w:rsidRPr="00DC005A">
        <w:t xml:space="preserve">Non-Communicable Disease </w:t>
      </w:r>
      <w:r w:rsidRPr="00FB118F">
        <w:t>Program.</w:t>
      </w:r>
    </w:p>
    <w:p w:rsidR="004D2889" w:rsidRPr="00E92A44" w:rsidRDefault="004D2889" w:rsidP="00E92A44">
      <w:pPr>
        <w:pStyle w:val="Heading3"/>
        <w:tabs>
          <w:tab w:val="clear" w:pos="1440"/>
          <w:tab w:val="clear" w:pos="2160"/>
        </w:tabs>
      </w:pPr>
      <w:r w:rsidRPr="00E92A44">
        <w:t>Rating</w:t>
      </w:r>
    </w:p>
    <w:p w:rsidR="004D2889" w:rsidRPr="003B3AC9" w:rsidRDefault="000C5DE1" w:rsidP="00AB4853">
      <w:pPr>
        <w:pStyle w:val="Ratingamber"/>
        <w:numPr>
          <w:ilvl w:val="0"/>
          <w:numId w:val="0"/>
        </w:numPr>
        <w:ind w:left="567" w:hanging="567"/>
      </w:pPr>
      <w:r>
        <w:rPr>
          <w:noProof/>
          <w:lang w:val="en-US" w:eastAsia="en-US"/>
        </w:rPr>
        <mc:AlternateContent>
          <mc:Choice Requires="wps">
            <w:drawing>
              <wp:inline distT="0" distB="0" distL="0" distR="0">
                <wp:extent cx="90805" cy="99060"/>
                <wp:effectExtent l="0" t="0" r="0" b="0"/>
                <wp:docPr id="7" name="Rectangle 16"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9060"/>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953965" id="Rectangle 16" o:spid="_x0000_s1026" alt="Amber" style="width:7.1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hqoAIAAEIFAAAOAAAAZHJzL2Uyb0RvYy54bWysVNuO0zAQfUfiHyy/d5NU6SXRpqtllyKk&#10;BVYsfIBrO42FL2HsNl0Q/87Y2ZYuvCBEH1KPLzPnHJ/x5dXBaLKX4JWzDS0uckqk5U4ou23o50/r&#10;yZISH5gVTDsrG/ooPb1avXxxOfS1nLrOaSGBYBLr66FvaBdCX2eZ5500zF+4XlpcbB0YFjCEbSaA&#10;DZjd6Gya5/NscCB6cFx6j7O34yJdpfxtK3n40LZeBqIbithC+kL6buI3W12yegus7xR/gsH+AYVh&#10;ymLRU6pbFhjZgfojlVEcnHdtuODOZK5tFZeJA7Ip8t/YPHSsl4kLiuP7k0z+/6Xl7/f3QJRo6IIS&#10;ywxe0UcUjdmtlqSYUyKk56jXtdlIiGoNva/x0EN/D5Gv7+8c/+KJdTcdHpLXAG7oJBOIsYj7s2cH&#10;YuDxKNkM75zAYmwXXBLu0IKJCVESckj383i6H3kIhONklS/zGSUcV6oqn6fby1h9PNqDD2+kMyQO&#10;GgrII6Vm+zsfIhRWH7ck6E4rsVZapyAaTt5oIHuGVmGcSxvm6bjeGcQ6zhd5/I2uwXn01jh/hJJ8&#10;G9Okav68graxjnWx4ghmnEFyCC+uRZrJM9+rYlrmr6bVZD1fLiblupxNqkW+nORF9aqa52VV3q5/&#10;RHBFWXdKCGnvlJVH/xbl3/njqZNG5yUHkwGVnU1nifcz9B62m5M6SYQT5XOSRgVsZ61MQ5dnUkVD&#10;vLYCabM6MKXHcfYcfpIMNTj+J1WSfaJjRudtnHhE94DD+8V2xocHB52Db5QM2MQN9V93DCQl+q1F&#10;B1ZFWcauT0E5W0wxgPOVzfkKsxxTNTRQMg5vwvhS7HpQ2w4rFUkY667Rta1KnoqOHlEh7hhgoyYG&#10;T49KfAnO47Tr19O3+gkAAP//AwBQSwMEFAAGAAgAAAAhAMHcS0HbAAAAAwEAAA8AAABkcnMvZG93&#10;bnJldi54bWxMj0FPwzAMhe9I/IfISNxYOgbVVJpOCDTBCbFRTXDLGq+pSJyq8bbCryfjAhc/Wc96&#10;73O5GL0TBxxiF0jBdJKBQGqC6ahVUL8tr+YgImsy2gVCBV8YYVGdn5W6MOFIKzysuRUphGKhFVjm&#10;vpAyNha9jpPQIyVvFwavOa1DK82gjyncO3mdZbn0uqPUYHWPDxabz/XeK3jfPYbZ5qOOT9/80ubP&#10;1i3r16lSlxfj/R0IxpH/juGEn9ChSkzbsCcThVOQHuHfefJuZiC2SW9zkFUp/7NXPwAAAP//AwBQ&#10;SwECLQAUAAYACAAAACEAtoM4kv4AAADhAQAAEwAAAAAAAAAAAAAAAAAAAAAAW0NvbnRlbnRfVHlw&#10;ZXNdLnhtbFBLAQItABQABgAIAAAAIQA4/SH/1gAAAJQBAAALAAAAAAAAAAAAAAAAAC8BAABfcmVs&#10;cy8ucmVsc1BLAQItABQABgAIAAAAIQCRbkhqoAIAAEIFAAAOAAAAAAAAAAAAAAAAAC4CAABkcnMv&#10;ZTJvRG9jLnhtbFBLAQItABQABgAIAAAAIQDB3EtB2wAAAAMBAAAPAAAAAAAAAAAAAAAAAPoEAABk&#10;cnMvZG93bnJldi54bWxQSwUGAAAAAAQABADzAAAAAgYAAAAA&#10;" fillcolor="#f79646 [3209]" stroked="f">
                <w10:wrap anchorx="page"/>
                <w10:anchorlock/>
              </v:rect>
            </w:pict>
          </mc:Fallback>
        </mc:AlternateContent>
      </w:r>
      <w:r w:rsidR="00AB4853">
        <w:tab/>
      </w:r>
      <w:r w:rsidR="00AB4853">
        <w:tab/>
      </w:r>
      <w:r w:rsidR="004D2889" w:rsidRPr="003B3AC9">
        <w:t>The objective will be partly achieved within the timeframe</w:t>
      </w:r>
      <w:r w:rsidR="004D2889">
        <w:t xml:space="preserve"> of the strategy.</w:t>
      </w:r>
    </w:p>
    <w:p w:rsidR="004D2889" w:rsidRPr="003B3AC9" w:rsidRDefault="004D2889" w:rsidP="00E92A44">
      <w:pPr>
        <w:pStyle w:val="Heading3"/>
        <w:tabs>
          <w:tab w:val="clear" w:pos="1440"/>
          <w:tab w:val="clear" w:pos="2160"/>
        </w:tabs>
      </w:pPr>
      <w:r w:rsidRPr="003B3AC9">
        <w:t>Key results</w:t>
      </w:r>
    </w:p>
    <w:p w:rsidR="004D2889" w:rsidRDefault="004D2889">
      <w:pPr>
        <w:pStyle w:val="Heading4"/>
        <w:tabs>
          <w:tab w:val="clear" w:pos="1440"/>
          <w:tab w:val="clear" w:pos="2160"/>
          <w:tab w:val="clear" w:pos="2880"/>
        </w:tabs>
        <w:spacing w:before="240"/>
        <w:ind w:left="0" w:firstLine="0"/>
      </w:pPr>
      <w:r w:rsidRPr="003B3AC9">
        <w:t>Scholarships</w:t>
      </w:r>
    </w:p>
    <w:p w:rsidR="004D2889" w:rsidRDefault="004D2889">
      <w:pPr>
        <w:pStyle w:val="ListBullet"/>
        <w:spacing w:before="80"/>
        <w:rPr>
          <w:spacing w:val="-2"/>
        </w:rPr>
      </w:pPr>
      <w:r w:rsidRPr="00DC005A">
        <w:rPr>
          <w:spacing w:val="-2"/>
        </w:rPr>
        <w:t>AusAID and NZAID have successfully harmonised their respective scholarship programs, which has significantly reduced transaction costs for the Government of Tonga. Scholarships are now jointly advertised and recipients are jointly selected with the government.</w:t>
      </w:r>
    </w:p>
    <w:p w:rsidR="004D2889" w:rsidRDefault="004D2889">
      <w:pPr>
        <w:pStyle w:val="ListBullet"/>
        <w:spacing w:before="80"/>
      </w:pPr>
      <w:r w:rsidRPr="003B3AC9">
        <w:t xml:space="preserve">An alumni association was established with </w:t>
      </w:r>
      <w:r>
        <w:t>more than</w:t>
      </w:r>
      <w:r w:rsidRPr="003B3AC9">
        <w:t xml:space="preserve"> 100 members, mainly in senior levels of government and the private sector.</w:t>
      </w:r>
      <w:r>
        <w:t xml:space="preserve"> </w:t>
      </w:r>
      <w:r w:rsidRPr="003B3AC9">
        <w:t xml:space="preserve">The first annual meeting of the association </w:t>
      </w:r>
      <w:r>
        <w:t>was</w:t>
      </w:r>
      <w:r w:rsidRPr="003B3AC9">
        <w:t xml:space="preserve"> scheduled for February 2009.</w:t>
      </w:r>
    </w:p>
    <w:p w:rsidR="004D2889" w:rsidRDefault="004D2889">
      <w:pPr>
        <w:pStyle w:val="ListBullet"/>
        <w:keepLines/>
        <w:spacing w:before="80"/>
      </w:pPr>
      <w:r>
        <w:t>F</w:t>
      </w:r>
      <w:r w:rsidRPr="003B3AC9">
        <w:t xml:space="preserve">our scholars </w:t>
      </w:r>
      <w:r>
        <w:t xml:space="preserve">who received Australian Development Scholarships </w:t>
      </w:r>
      <w:r w:rsidRPr="003B3AC9">
        <w:t>returned</w:t>
      </w:r>
      <w:r>
        <w:t xml:space="preserve"> to Tonga</w:t>
      </w:r>
      <w:r w:rsidRPr="003B3AC9">
        <w:t xml:space="preserve"> in 2008</w:t>
      </w:r>
      <w:r>
        <w:t>–</w:t>
      </w:r>
      <w:r w:rsidRPr="003B3AC9">
        <w:t>09, having completed studies in applied statistics, transnational crime prevention, development studies and tourism.</w:t>
      </w:r>
      <w:r>
        <w:t xml:space="preserve"> These</w:t>
      </w:r>
      <w:r w:rsidRPr="003B3AC9">
        <w:t xml:space="preserve"> scholars </w:t>
      </w:r>
      <w:r>
        <w:t>took</w:t>
      </w:r>
      <w:r w:rsidRPr="003B3AC9">
        <w:t xml:space="preserve"> up relevant positions in the Statistics Department, </w:t>
      </w:r>
      <w:r>
        <w:t xml:space="preserve">the </w:t>
      </w:r>
      <w:r w:rsidRPr="003B3AC9">
        <w:t xml:space="preserve">Ministry of Health, </w:t>
      </w:r>
      <w:r>
        <w:t xml:space="preserve">the </w:t>
      </w:r>
      <w:r w:rsidRPr="003B3AC9">
        <w:t xml:space="preserve">Tonga Development Bank and </w:t>
      </w:r>
      <w:r>
        <w:t xml:space="preserve">the </w:t>
      </w:r>
      <w:r w:rsidRPr="003B3AC9">
        <w:t>Ports Authority.</w:t>
      </w:r>
      <w:r>
        <w:t xml:space="preserve"> </w:t>
      </w:r>
      <w:r w:rsidRPr="003B3AC9">
        <w:t xml:space="preserve">Two new scholarships were awarded for 2009. </w:t>
      </w:r>
    </w:p>
    <w:p w:rsidR="004D2889" w:rsidRDefault="004D2889">
      <w:pPr>
        <w:pStyle w:val="ListBullet"/>
        <w:spacing w:before="80"/>
        <w:rPr>
          <w:spacing w:val="-2"/>
        </w:rPr>
      </w:pPr>
      <w:r w:rsidRPr="00DC005A">
        <w:rPr>
          <w:spacing w:val="-2"/>
        </w:rPr>
        <w:t>Nine scholars who received Australian Regional Development Scholarships returned to Tonga in 2008–09, after completing their studies. Two had their scholarships terminated. There are 33 continuing and 18 new students on regional scholarships in the 2009 academic year, pursuing studies in medicine, law, business, arts, science and education.</w:t>
      </w:r>
    </w:p>
    <w:p w:rsidR="004D2889" w:rsidRDefault="004D2889">
      <w:pPr>
        <w:pStyle w:val="ListBullet"/>
        <w:spacing w:before="80"/>
      </w:pPr>
      <w:r w:rsidRPr="003B3AC9">
        <w:t xml:space="preserve">A tracer study of </w:t>
      </w:r>
      <w:r>
        <w:t>the</w:t>
      </w:r>
      <w:r w:rsidRPr="003B3AC9">
        <w:t xml:space="preserve"> recipients </w:t>
      </w:r>
      <w:r>
        <w:t xml:space="preserve">of Australian Development Scholarships and Australian Regional Development Scholarships </w:t>
      </w:r>
      <w:r w:rsidRPr="003B3AC9">
        <w:t>was completed in December 2008.</w:t>
      </w:r>
      <w:r>
        <w:t xml:space="preserve"> </w:t>
      </w:r>
      <w:r w:rsidRPr="003B3AC9">
        <w:t xml:space="preserve">The study concluded that scholarships have contributed to </w:t>
      </w:r>
      <w:r>
        <w:t xml:space="preserve">the development of </w:t>
      </w:r>
      <w:r w:rsidRPr="003B3AC9">
        <w:t>human resource</w:t>
      </w:r>
      <w:r>
        <w:t>s, which contributes to</w:t>
      </w:r>
      <w:r w:rsidRPr="003B3AC9">
        <w:t xml:space="preserve"> Tonga’s long-term development, particularly in the initial years following </w:t>
      </w:r>
      <w:r>
        <w:t xml:space="preserve">their </w:t>
      </w:r>
      <w:r w:rsidRPr="003B3AC9">
        <w:t xml:space="preserve">completion of studies. Key findings from the study </w:t>
      </w:r>
      <w:r>
        <w:t>follow.</w:t>
      </w:r>
    </w:p>
    <w:p w:rsidR="004D2889" w:rsidRPr="003B3AC9" w:rsidRDefault="004D2889" w:rsidP="00E92A44">
      <w:pPr>
        <w:pStyle w:val="ListBullet2"/>
      </w:pPr>
      <w:r>
        <w:t>Each year a</w:t>
      </w:r>
      <w:r w:rsidRPr="003B3AC9">
        <w:t>round 10</w:t>
      </w:r>
      <w:r>
        <w:t>–</w:t>
      </w:r>
      <w:r w:rsidRPr="003B3AC9">
        <w:t>14 tertiary</w:t>
      </w:r>
      <w:r>
        <w:t>-</w:t>
      </w:r>
      <w:r w:rsidRPr="003B3AC9">
        <w:t xml:space="preserve">trained Tongans return to their home country on </w:t>
      </w:r>
      <w:r>
        <w:t xml:space="preserve">the </w:t>
      </w:r>
      <w:r w:rsidRPr="003B3AC9">
        <w:t>completion of their scholarship</w:t>
      </w:r>
      <w:r>
        <w:t>s.</w:t>
      </w:r>
    </w:p>
    <w:p w:rsidR="004D2889" w:rsidRPr="003B3AC9" w:rsidRDefault="004D2889" w:rsidP="00E92A44">
      <w:pPr>
        <w:pStyle w:val="ListBullet2"/>
      </w:pPr>
      <w:r>
        <w:lastRenderedPageBreak/>
        <w:t>Eighty per cent</w:t>
      </w:r>
      <w:r w:rsidRPr="003B3AC9">
        <w:t xml:space="preserve"> of </w:t>
      </w:r>
      <w:r>
        <w:t>the scholarship</w:t>
      </w:r>
      <w:r w:rsidRPr="003B3AC9">
        <w:t xml:space="preserve"> alumni surveyed indicated</w:t>
      </w:r>
      <w:r>
        <w:t xml:space="preserve"> that</w:t>
      </w:r>
      <w:r w:rsidRPr="003B3AC9">
        <w:t xml:space="preserve"> their fields of study </w:t>
      </w:r>
      <w:r>
        <w:t>were</w:t>
      </w:r>
      <w:r w:rsidRPr="003B3AC9">
        <w:t xml:space="preserve"> highly relevant to Tonga’s development needs</w:t>
      </w:r>
      <w:r>
        <w:t>.</w:t>
      </w:r>
    </w:p>
    <w:p w:rsidR="004D2889" w:rsidRPr="003B3AC9" w:rsidRDefault="004D2889" w:rsidP="00E92A44">
      <w:pPr>
        <w:pStyle w:val="ListBullet2"/>
      </w:pPr>
      <w:r>
        <w:t>Eighty-seven per cent</w:t>
      </w:r>
      <w:r w:rsidRPr="003B3AC9">
        <w:t xml:space="preserve"> indicated </w:t>
      </w:r>
      <w:r>
        <w:t xml:space="preserve">their </w:t>
      </w:r>
      <w:r w:rsidRPr="003B3AC9">
        <w:t>stud</w:t>
      </w:r>
      <w:r>
        <w:t>ies</w:t>
      </w:r>
      <w:r w:rsidRPr="003B3AC9">
        <w:t xml:space="preserve"> was highly relevant to their job</w:t>
      </w:r>
      <w:r>
        <w:t>s</w:t>
      </w:r>
      <w:r w:rsidRPr="003B3AC9">
        <w:t xml:space="preserve">, with the majority of those surveyed having had their skills recognised through promotions, increased responsibility or finding work. </w:t>
      </w:r>
    </w:p>
    <w:p w:rsidR="004D2889" w:rsidRPr="003B3AC9" w:rsidRDefault="004D2889" w:rsidP="00E92A44">
      <w:pPr>
        <w:pStyle w:val="ListBullet2"/>
      </w:pPr>
      <w:r>
        <w:t xml:space="preserve">About </w:t>
      </w:r>
      <w:r w:rsidRPr="003B3AC9">
        <w:t>92</w:t>
      </w:r>
      <w:r>
        <w:t> per cent</w:t>
      </w:r>
      <w:r w:rsidRPr="003B3AC9">
        <w:t xml:space="preserve"> of those surveyed had no difficulties in finding work </w:t>
      </w:r>
      <w:r>
        <w:t>after completing their</w:t>
      </w:r>
      <w:r w:rsidRPr="003B3AC9">
        <w:t xml:space="preserve"> award </w:t>
      </w:r>
      <w:r>
        <w:t>studies.</w:t>
      </w:r>
    </w:p>
    <w:p w:rsidR="004D2889" w:rsidRPr="003B3AC9" w:rsidRDefault="004D2889" w:rsidP="00E92A44">
      <w:pPr>
        <w:pStyle w:val="ListBullet2"/>
      </w:pPr>
      <w:r>
        <w:t>Nine per cent</w:t>
      </w:r>
      <w:r w:rsidRPr="003B3AC9">
        <w:t xml:space="preserve"> of those surveyed </w:t>
      </w:r>
      <w:r>
        <w:t>were</w:t>
      </w:r>
      <w:r w:rsidRPr="003B3AC9">
        <w:t xml:space="preserve"> working in private sector organisations supporting economic growth and 40</w:t>
      </w:r>
      <w:r>
        <w:t> per cent were</w:t>
      </w:r>
      <w:r w:rsidRPr="003B3AC9">
        <w:t xml:space="preserve"> in the public sector providing services to the community, especially in education and health. Almost 80</w:t>
      </w:r>
      <w:r>
        <w:t> per cent</w:t>
      </w:r>
      <w:r w:rsidRPr="003B3AC9">
        <w:t xml:space="preserve"> are employed in middle management, professional or more senior roles</w:t>
      </w:r>
      <w:r>
        <w:t>.</w:t>
      </w:r>
    </w:p>
    <w:p w:rsidR="004D2889" w:rsidRPr="003B3AC9" w:rsidRDefault="004D2889" w:rsidP="00E92A44">
      <w:pPr>
        <w:pStyle w:val="ListBullet2"/>
      </w:pPr>
      <w:r w:rsidRPr="003B3AC9">
        <w:t xml:space="preserve">A significant proportion of </w:t>
      </w:r>
      <w:r>
        <w:t xml:space="preserve">the </w:t>
      </w:r>
      <w:r w:rsidRPr="003B3AC9">
        <w:t>surveyed alumni ha</w:t>
      </w:r>
      <w:r>
        <w:t>d</w:t>
      </w:r>
      <w:r w:rsidRPr="003B3AC9">
        <w:t xml:space="preserve"> used their skills and knowledge to the benefit of civic society, predominantly in church</w:t>
      </w:r>
      <w:r>
        <w:t>-</w:t>
      </w:r>
      <w:r w:rsidRPr="003B3AC9">
        <w:t>related activities.</w:t>
      </w:r>
    </w:p>
    <w:p w:rsidR="004D2889" w:rsidRDefault="004D2889">
      <w:pPr>
        <w:pStyle w:val="ListBullet"/>
        <w:spacing w:before="80"/>
      </w:pPr>
      <w:r w:rsidRPr="003B3AC9">
        <w:t>A pilot Distance</w:t>
      </w:r>
      <w:r w:rsidRPr="003B3AC9">
        <w:rPr>
          <w:b/>
        </w:rPr>
        <w:t xml:space="preserve"> </w:t>
      </w:r>
      <w:r w:rsidRPr="003B3AC9">
        <w:t>Education Scholarship Program offered scholarships to 12 students in 2008</w:t>
      </w:r>
      <w:r>
        <w:t>.</w:t>
      </w:r>
      <w:r w:rsidRPr="003B3AC9">
        <w:t xml:space="preserve"> </w:t>
      </w:r>
      <w:r>
        <w:t>H</w:t>
      </w:r>
      <w:r w:rsidRPr="003B3AC9">
        <w:t>owever</w:t>
      </w:r>
      <w:r>
        <w:t>,</w:t>
      </w:r>
      <w:r w:rsidRPr="003B3AC9">
        <w:t xml:space="preserve"> overall program outcomes have been less than satisfactory. Only four students </w:t>
      </w:r>
      <w:r>
        <w:t>had</w:t>
      </w:r>
      <w:r w:rsidRPr="003B3AC9">
        <w:t xml:space="preserve"> successfully completed their studies since the program began</w:t>
      </w:r>
      <w:r>
        <w:t>—</w:t>
      </w:r>
      <w:r w:rsidRPr="003B3AC9">
        <w:t>representing a completion rate of only 19</w:t>
      </w:r>
      <w:r>
        <w:t> per cent</w:t>
      </w:r>
      <w:r w:rsidRPr="003B3AC9">
        <w:t>.</w:t>
      </w:r>
    </w:p>
    <w:p w:rsidR="004D2889" w:rsidRDefault="004D2889">
      <w:pPr>
        <w:pStyle w:val="ListBullet"/>
        <w:spacing w:before="80"/>
      </w:pPr>
      <w:r>
        <w:t>Thirty-three</w:t>
      </w:r>
      <w:r w:rsidRPr="003B3AC9">
        <w:t xml:space="preserve"> trainees successfully completed training under the Australia</w:t>
      </w:r>
      <w:r>
        <w:t>–</w:t>
      </w:r>
      <w:r w:rsidRPr="003B3AC9">
        <w:t>Pacific Technical College program in 2008, with the majority of trainees undertaking studies in commercial cookery and tourism.</w:t>
      </w:r>
    </w:p>
    <w:p w:rsidR="004D2889" w:rsidRPr="003B3AC9" w:rsidRDefault="004D2889" w:rsidP="00E92A44">
      <w:pPr>
        <w:pStyle w:val="Heading4"/>
        <w:tabs>
          <w:tab w:val="clear" w:pos="1440"/>
          <w:tab w:val="clear" w:pos="2160"/>
          <w:tab w:val="clear" w:pos="2880"/>
        </w:tabs>
        <w:ind w:left="0" w:firstLine="0"/>
      </w:pPr>
      <w:r w:rsidRPr="003B3AC9">
        <w:t>Health</w:t>
      </w:r>
    </w:p>
    <w:p w:rsidR="004D2889" w:rsidRDefault="004D2889">
      <w:pPr>
        <w:pStyle w:val="ListBullet"/>
        <w:spacing w:before="160"/>
      </w:pPr>
      <w:r w:rsidRPr="003B3AC9">
        <w:t xml:space="preserve">The surgeons and anaesthetist provided under </w:t>
      </w:r>
      <w:r w:rsidRPr="00DC005A">
        <w:rPr>
          <w:b/>
        </w:rPr>
        <w:t>PACTAM</w:t>
      </w:r>
      <w:r w:rsidRPr="003B3AC9">
        <w:t xml:space="preserve"> continue to play a key role in providing essential surgical services as well as preventive and curative health</w:t>
      </w:r>
      <w:r>
        <w:t xml:space="preserve"> services</w:t>
      </w:r>
      <w:r w:rsidRPr="003B3AC9">
        <w:t>.</w:t>
      </w:r>
      <w:r>
        <w:t xml:space="preserve"> </w:t>
      </w:r>
      <w:r w:rsidRPr="003B3AC9">
        <w:t>The</w:t>
      </w:r>
      <w:r>
        <w:t> </w:t>
      </w:r>
      <w:r w:rsidRPr="003B3AC9">
        <w:t>surgical program also provide</w:t>
      </w:r>
      <w:r>
        <w:t>d</w:t>
      </w:r>
      <w:r w:rsidRPr="003B3AC9">
        <w:t xml:space="preserve"> an essential training for Tongan surgical registrars.</w:t>
      </w:r>
    </w:p>
    <w:p w:rsidR="004D2889" w:rsidRPr="000D1B1A" w:rsidRDefault="004D2889" w:rsidP="000D1B1A">
      <w:pPr>
        <w:pStyle w:val="ListBullet"/>
      </w:pPr>
      <w:r w:rsidRPr="00DC005A">
        <w:t>The</w:t>
      </w:r>
      <w:r w:rsidRPr="000D1B1A">
        <w:rPr>
          <w:b/>
        </w:rPr>
        <w:t xml:space="preserve"> Pacific Regional HIV Program</w:t>
      </w:r>
      <w:r w:rsidRPr="000D1B1A">
        <w:t xml:space="preserve"> has built the capacity of a number of civil society organisations in Tonga to raise awareness on HIV and sexually transmitted infections (STI) and helped Tonga to finalise its second National HIV and STI Strategy. The transition of the program to management by the Secretariat of the Pacific Community was welcomed. The regional </w:t>
      </w:r>
      <w:r w:rsidRPr="00DC005A">
        <w:rPr>
          <w:b/>
        </w:rPr>
        <w:t>sexual and reproductive health program</w:t>
      </w:r>
      <w:r w:rsidRPr="000D1B1A">
        <w:t xml:space="preserve"> also provides funding to the Family Health Association of Tonga through the International Planned Parenthood Federation. The association is well respected in Tonga for delivering confidential family planning and STI services. Work in this area is seen as important, given the reported high prevalence of STI in</w:t>
      </w:r>
      <w:r w:rsidRPr="00DC005A">
        <w:t> </w:t>
      </w:r>
      <w:r w:rsidRPr="000D1B1A">
        <w:t>Tonga.</w:t>
      </w:r>
      <w:r w:rsidRPr="000D1B1A">
        <w:rPr>
          <w:rStyle w:val="FootnoteReference"/>
        </w:rPr>
        <w:footnoteReference w:id="17"/>
      </w:r>
    </w:p>
    <w:p w:rsidR="004D2889" w:rsidRDefault="004D2889">
      <w:pPr>
        <w:pStyle w:val="ListBullet"/>
        <w:spacing w:before="80"/>
        <w:rPr>
          <w:spacing w:val="-2"/>
        </w:rPr>
      </w:pPr>
      <w:r w:rsidRPr="00DC005A">
        <w:rPr>
          <w:spacing w:val="-2"/>
        </w:rPr>
        <w:t>The</w:t>
      </w:r>
      <w:r w:rsidRPr="00DC005A">
        <w:rPr>
          <w:b/>
          <w:spacing w:val="-2"/>
        </w:rPr>
        <w:t xml:space="preserve"> Pacific Regional Non-Communicable Disease Program</w:t>
      </w:r>
      <w:r w:rsidRPr="00DC005A">
        <w:rPr>
          <w:spacing w:val="-2"/>
        </w:rPr>
        <w:t xml:space="preserve">, which is being jointly implemented by the Secretariat of the Pacific Community and the World Health Organization, aims to tackle the growing challenge of lifestyle diseases, such as diabetes and heart disease, which place a significant strain on the health system. The program experienced some substantial start-up delays in 2008. But Tonga has now selected a chief executive officer for the Health Promotion Foundation, which should greatly improve progress. The Government of Tonga is contributing T$300 000 a year to the program. Given the priority the Partnership for Development will place on preventing non-communicable diseases, it is important that Australian support is commensurate with Tonga’s own emphasis in this area. </w:t>
      </w:r>
      <w:r w:rsidRPr="00DC005A">
        <w:rPr>
          <w:spacing w:val="-2"/>
        </w:rPr>
        <w:lastRenderedPageBreak/>
        <w:t>This is likely to require substantially greater funding than is presently available to Tonga through the regional non-communicable diseases initiative.</w:t>
      </w:r>
    </w:p>
    <w:p w:rsidR="004D2889" w:rsidRDefault="004D2889">
      <w:pPr>
        <w:pStyle w:val="ListBullet"/>
        <w:spacing w:before="80"/>
      </w:pPr>
      <w:r w:rsidRPr="00DC005A">
        <w:t>The</w:t>
      </w:r>
      <w:r w:rsidRPr="003B3AC9">
        <w:rPr>
          <w:b/>
        </w:rPr>
        <w:t xml:space="preserve"> Solid Waste Management Project</w:t>
      </w:r>
      <w:r w:rsidRPr="00DC005A">
        <w:t>, which</w:t>
      </w:r>
      <w:r>
        <w:rPr>
          <w:b/>
        </w:rPr>
        <w:t xml:space="preserve"> </w:t>
      </w:r>
      <w:r w:rsidRPr="003B3AC9">
        <w:t>ended in December 2008</w:t>
      </w:r>
      <w:r>
        <w:t>,</w:t>
      </w:r>
      <w:r w:rsidRPr="003B3AC9">
        <w:t xml:space="preserve"> contributed to </w:t>
      </w:r>
      <w:r>
        <w:t>better</w:t>
      </w:r>
      <w:r w:rsidRPr="003B3AC9">
        <w:t xml:space="preserve"> service delivery </w:t>
      </w:r>
      <w:r>
        <w:t>to</w:t>
      </w:r>
      <w:r w:rsidRPr="003B3AC9">
        <w:t xml:space="preserve"> </w:t>
      </w:r>
      <w:r>
        <w:t>more than</w:t>
      </w:r>
      <w:r w:rsidRPr="003B3AC9">
        <w:t xml:space="preserve"> 12</w:t>
      </w:r>
      <w:r>
        <w:t> </w:t>
      </w:r>
      <w:r w:rsidRPr="003B3AC9">
        <w:t>000 households and 500 commercial businesses in Tongatapu.</w:t>
      </w:r>
      <w:r>
        <w:t xml:space="preserve"> </w:t>
      </w:r>
      <w:r w:rsidRPr="003B3AC9">
        <w:t>The project delivered benefits for health,</w:t>
      </w:r>
      <w:r>
        <w:t xml:space="preserve"> the</w:t>
      </w:r>
      <w:r w:rsidRPr="003B3AC9">
        <w:t xml:space="preserve"> environment, tourism and private business</w:t>
      </w:r>
      <w:r>
        <w:t>es</w:t>
      </w:r>
      <w:r w:rsidRPr="003B3AC9">
        <w:t>.</w:t>
      </w:r>
      <w:r>
        <w:t xml:space="preserve"> It</w:t>
      </w:r>
      <w:r w:rsidRPr="003B3AC9">
        <w:t xml:space="preserve"> built a waste management site, developed a universal waste collection system, provided public bins in the main Nuku</w:t>
      </w:r>
      <w:r>
        <w:t>′</w:t>
      </w:r>
      <w:r w:rsidRPr="003B3AC9">
        <w:t>alofa business and tourist areas, and increased recycling and composting. The result is a cleaner environment, with less leachate entering the sea and lagoon areas, and less air pollution as households no longer need to burn rubbish.</w:t>
      </w:r>
      <w:r>
        <w:t xml:space="preserve"> H</w:t>
      </w:r>
      <w:r w:rsidRPr="003B3AC9">
        <w:t>owever</w:t>
      </w:r>
      <w:r>
        <w:t>,</w:t>
      </w:r>
      <w:r w:rsidRPr="003B3AC9">
        <w:t xml:space="preserve"> further assistance is required to ensure </w:t>
      </w:r>
      <w:r>
        <w:t xml:space="preserve">that </w:t>
      </w:r>
      <w:r w:rsidRPr="003B3AC9">
        <w:t xml:space="preserve">the </w:t>
      </w:r>
      <w:r>
        <w:t>services</w:t>
      </w:r>
      <w:r w:rsidRPr="003B3AC9">
        <w:t xml:space="preserve"> can </w:t>
      </w:r>
      <w:r>
        <w:t xml:space="preserve">be </w:t>
      </w:r>
      <w:r w:rsidRPr="003B3AC9">
        <w:t>sustain</w:t>
      </w:r>
      <w:r>
        <w:t xml:space="preserve">ed. What is needed is </w:t>
      </w:r>
      <w:r w:rsidRPr="003B3AC9">
        <w:t xml:space="preserve">a viable use-pays system, and </w:t>
      </w:r>
      <w:r>
        <w:t>better</w:t>
      </w:r>
      <w:r w:rsidRPr="003B3AC9">
        <w:t xml:space="preserve"> revenue collection and management.</w:t>
      </w:r>
      <w:r>
        <w:t xml:space="preserve"> </w:t>
      </w:r>
      <w:r w:rsidRPr="003B3AC9">
        <w:t xml:space="preserve">AusAID is </w:t>
      </w:r>
      <w:r>
        <w:t xml:space="preserve">continuing to </w:t>
      </w:r>
      <w:r w:rsidRPr="003B3AC9">
        <w:t>provid</w:t>
      </w:r>
      <w:r>
        <w:t>e</w:t>
      </w:r>
      <w:r w:rsidRPr="003B3AC9">
        <w:t xml:space="preserve"> support </w:t>
      </w:r>
      <w:r>
        <w:t xml:space="preserve">through an extension of the project to 2010 </w:t>
      </w:r>
      <w:r w:rsidRPr="003B3AC9">
        <w:t>with the aim of building a sustainable business model.</w:t>
      </w:r>
    </w:p>
    <w:p w:rsidR="004D2889" w:rsidRPr="003B3AC9" w:rsidRDefault="004D2889" w:rsidP="00E92A44">
      <w:pPr>
        <w:pStyle w:val="Heading3"/>
        <w:tabs>
          <w:tab w:val="clear" w:pos="1440"/>
          <w:tab w:val="clear" w:pos="2160"/>
        </w:tabs>
      </w:pPr>
      <w:r w:rsidRPr="003B3AC9">
        <w:t>Challenges</w:t>
      </w:r>
    </w:p>
    <w:p w:rsidR="004D2889" w:rsidRDefault="004D2889">
      <w:pPr>
        <w:pStyle w:val="Heading4"/>
        <w:tabs>
          <w:tab w:val="clear" w:pos="1440"/>
          <w:tab w:val="clear" w:pos="2160"/>
          <w:tab w:val="clear" w:pos="2880"/>
        </w:tabs>
        <w:spacing w:before="240"/>
        <w:ind w:left="0" w:firstLine="0"/>
      </w:pPr>
      <w:r w:rsidRPr="003B3AC9">
        <w:t xml:space="preserve">Education </w:t>
      </w:r>
      <w:r>
        <w:t>sector</w:t>
      </w:r>
    </w:p>
    <w:p w:rsidR="004D2889" w:rsidRDefault="004D2889" w:rsidP="003B3AC9">
      <w:pPr>
        <w:pStyle w:val="BodyText"/>
        <w:rPr>
          <w:lang w:val="en-US"/>
        </w:rPr>
      </w:pPr>
      <w:r w:rsidRPr="003B3AC9">
        <w:rPr>
          <w:b/>
          <w:lang w:val="en-US"/>
        </w:rPr>
        <w:t xml:space="preserve">Technical and vocational education </w:t>
      </w:r>
      <w:r>
        <w:rPr>
          <w:lang w:val="en-US"/>
        </w:rPr>
        <w:t>will be</w:t>
      </w:r>
      <w:r w:rsidRPr="003B3AC9">
        <w:rPr>
          <w:lang w:val="en-US"/>
        </w:rPr>
        <w:t xml:space="preserve"> a priority </w:t>
      </w:r>
      <w:r>
        <w:rPr>
          <w:lang w:val="en-US"/>
        </w:rPr>
        <w:t>of</w:t>
      </w:r>
      <w:r w:rsidRPr="003B3AC9">
        <w:rPr>
          <w:lang w:val="en-US"/>
        </w:rPr>
        <w:t xml:space="preserve"> the </w:t>
      </w:r>
      <w:r>
        <w:rPr>
          <w:lang w:val="en-US"/>
        </w:rPr>
        <w:t>Australia–Tonga Partnership for Development</w:t>
      </w:r>
      <w:r w:rsidRPr="003B3AC9">
        <w:rPr>
          <w:lang w:val="en-US"/>
        </w:rPr>
        <w:t>.</w:t>
      </w:r>
      <w:r>
        <w:rPr>
          <w:lang w:val="en-US"/>
        </w:rPr>
        <w:t xml:space="preserve"> </w:t>
      </w:r>
      <w:r w:rsidRPr="003B3AC9">
        <w:rPr>
          <w:lang w:val="en-US"/>
        </w:rPr>
        <w:t xml:space="preserve">AusAID and NZAID are jointly developing a TVET program, which will help </w:t>
      </w:r>
      <w:r>
        <w:rPr>
          <w:lang w:val="en-US"/>
        </w:rPr>
        <w:t xml:space="preserve">to </w:t>
      </w:r>
      <w:r w:rsidRPr="003B3AC9">
        <w:rPr>
          <w:lang w:val="en-US"/>
        </w:rPr>
        <w:t>strengthen practical training to better prepare graduates for employment.</w:t>
      </w:r>
      <w:r>
        <w:rPr>
          <w:lang w:val="en-US"/>
        </w:rPr>
        <w:t xml:space="preserve"> T</w:t>
      </w:r>
      <w:r w:rsidRPr="003B3AC9">
        <w:rPr>
          <w:lang w:val="en-US"/>
        </w:rPr>
        <w:t>o reduce the administrative burden for Tonga</w:t>
      </w:r>
      <w:r>
        <w:rPr>
          <w:lang w:val="en-US"/>
        </w:rPr>
        <w:t>, options for d</w:t>
      </w:r>
      <w:r w:rsidRPr="003B3AC9">
        <w:rPr>
          <w:lang w:val="en-US"/>
        </w:rPr>
        <w:t>elegat</w:t>
      </w:r>
      <w:r>
        <w:rPr>
          <w:lang w:val="en-US"/>
        </w:rPr>
        <w:t>ing</w:t>
      </w:r>
      <w:r w:rsidRPr="003B3AC9">
        <w:rPr>
          <w:lang w:val="en-US"/>
        </w:rPr>
        <w:t xml:space="preserve"> responsibilit</w:t>
      </w:r>
      <w:r>
        <w:rPr>
          <w:lang w:val="en-US"/>
        </w:rPr>
        <w:t>ies</w:t>
      </w:r>
      <w:r w:rsidRPr="003B3AC9">
        <w:rPr>
          <w:lang w:val="en-US"/>
        </w:rPr>
        <w:t xml:space="preserve"> are being considered </w:t>
      </w:r>
      <w:r>
        <w:rPr>
          <w:lang w:val="en-US"/>
        </w:rPr>
        <w:t>by</w:t>
      </w:r>
      <w:r w:rsidRPr="003B3AC9">
        <w:rPr>
          <w:lang w:val="en-US"/>
        </w:rPr>
        <w:t xml:space="preserve"> the donors.</w:t>
      </w:r>
    </w:p>
    <w:p w:rsidR="004D2889" w:rsidRPr="00506E8C" w:rsidRDefault="004D2889" w:rsidP="003B3AC9">
      <w:pPr>
        <w:pStyle w:val="BodyText"/>
        <w:rPr>
          <w:lang w:val="en-US"/>
        </w:rPr>
      </w:pPr>
      <w:r w:rsidRPr="003B3AC9">
        <w:rPr>
          <w:lang w:val="en-US"/>
        </w:rPr>
        <w:t xml:space="preserve">While </w:t>
      </w:r>
      <w:r w:rsidRPr="00DC005A">
        <w:rPr>
          <w:b/>
          <w:lang w:val="en-US"/>
        </w:rPr>
        <w:t>primary school</w:t>
      </w:r>
      <w:r>
        <w:rPr>
          <w:lang w:val="en-US"/>
        </w:rPr>
        <w:t xml:space="preserve"> </w:t>
      </w:r>
      <w:r w:rsidRPr="003B3AC9">
        <w:rPr>
          <w:lang w:val="en-US"/>
        </w:rPr>
        <w:t xml:space="preserve">enrolment rates in </w:t>
      </w:r>
      <w:smartTag w:uri="urn:schemas-microsoft-com:office:smarttags" w:element="country-region">
        <w:smartTag w:uri="urn:schemas-microsoft-com:office:smarttags" w:element="place">
          <w:r w:rsidRPr="003B3AC9">
            <w:rPr>
              <w:lang w:val="en-US"/>
            </w:rPr>
            <w:t>Tonga</w:t>
          </w:r>
        </w:smartTag>
      </w:smartTag>
      <w:r w:rsidRPr="003B3AC9">
        <w:rPr>
          <w:lang w:val="en-US"/>
        </w:rPr>
        <w:t xml:space="preserve"> are relatively high, </w:t>
      </w:r>
      <w:r>
        <w:rPr>
          <w:lang w:val="en-US"/>
        </w:rPr>
        <w:t xml:space="preserve">the </w:t>
      </w:r>
      <w:r w:rsidRPr="003B3AC9">
        <w:rPr>
          <w:lang w:val="en-US"/>
        </w:rPr>
        <w:t xml:space="preserve">quality and affordability </w:t>
      </w:r>
      <w:r>
        <w:rPr>
          <w:lang w:val="en-US"/>
        </w:rPr>
        <w:t xml:space="preserve">of primary education </w:t>
      </w:r>
      <w:r w:rsidRPr="003B3AC9">
        <w:rPr>
          <w:lang w:val="en-US"/>
        </w:rPr>
        <w:t xml:space="preserve">continue to be two of the biggest constraints in the </w:t>
      </w:r>
      <w:r w:rsidRPr="00DC005A">
        <w:t>education sector</w:t>
      </w:r>
      <w:r w:rsidRPr="003B3AC9">
        <w:rPr>
          <w:lang w:val="en-US"/>
        </w:rPr>
        <w:t>.</w:t>
      </w:r>
      <w:r>
        <w:rPr>
          <w:lang w:val="en-US"/>
        </w:rPr>
        <w:t xml:space="preserve"> </w:t>
      </w:r>
      <w:r w:rsidRPr="003B3AC9">
        <w:rPr>
          <w:lang w:val="en-US"/>
        </w:rPr>
        <w:t>Considerable inequities also exist between government and non-government schools, and between rural and urban areas.</w:t>
      </w:r>
      <w:r>
        <w:rPr>
          <w:lang w:val="en-US"/>
        </w:rPr>
        <w:t xml:space="preserve"> </w:t>
      </w:r>
      <w:r w:rsidRPr="003B3AC9">
        <w:rPr>
          <w:lang w:val="en-US"/>
        </w:rPr>
        <w:t>Accordingly, AusAID plans to work across the sector to ensure that these issues are address</w:t>
      </w:r>
      <w:r>
        <w:rPr>
          <w:lang w:val="en-US"/>
        </w:rPr>
        <w:t>ed</w:t>
      </w:r>
      <w:r w:rsidRPr="003B3AC9">
        <w:rPr>
          <w:lang w:val="en-US"/>
        </w:rPr>
        <w:t xml:space="preserve"> at </w:t>
      </w:r>
      <w:r>
        <w:rPr>
          <w:lang w:val="en-US"/>
        </w:rPr>
        <w:t>the</w:t>
      </w:r>
      <w:r w:rsidRPr="003B3AC9">
        <w:rPr>
          <w:lang w:val="en-US"/>
        </w:rPr>
        <w:t xml:space="preserve"> sector</w:t>
      </w:r>
      <w:r>
        <w:rPr>
          <w:lang w:val="en-US"/>
        </w:rPr>
        <w:t>al</w:t>
      </w:r>
      <w:r w:rsidRPr="003B3AC9">
        <w:rPr>
          <w:lang w:val="en-US"/>
        </w:rPr>
        <w:t xml:space="preserve"> </w:t>
      </w:r>
      <w:r w:rsidRPr="00E92A44">
        <w:t>level.</w:t>
      </w:r>
    </w:p>
    <w:p w:rsidR="004D2889" w:rsidRPr="003B3AC9" w:rsidRDefault="004D2889" w:rsidP="003B3AC9">
      <w:pPr>
        <w:pStyle w:val="BodyText"/>
      </w:pPr>
      <w:r w:rsidRPr="003B3AC9">
        <w:t xml:space="preserve">A key challenge for </w:t>
      </w:r>
      <w:r>
        <w:t xml:space="preserve">the </w:t>
      </w:r>
      <w:r w:rsidRPr="003B3AC9">
        <w:rPr>
          <w:b/>
        </w:rPr>
        <w:t xml:space="preserve">scholarship </w:t>
      </w:r>
      <w:r w:rsidRPr="00DC005A">
        <w:rPr>
          <w:b/>
        </w:rPr>
        <w:t>programs</w:t>
      </w:r>
      <w:r w:rsidRPr="003B3AC9">
        <w:t xml:space="preserve"> is ensuring that there is better alignment </w:t>
      </w:r>
      <w:r>
        <w:t>of</w:t>
      </w:r>
      <w:r w:rsidRPr="003B3AC9">
        <w:t xml:space="preserve"> the overall priorities of the Government of Tonga, the AusAID program and </w:t>
      </w:r>
      <w:r>
        <w:t xml:space="preserve">the </w:t>
      </w:r>
      <w:r w:rsidRPr="003B3AC9">
        <w:t>scholarship awards.</w:t>
      </w:r>
      <w:r>
        <w:t xml:space="preserve"> </w:t>
      </w:r>
      <w:r w:rsidRPr="003B3AC9">
        <w:t>It is hoped that this will be addressed in the next round</w:t>
      </w:r>
      <w:r>
        <w:t xml:space="preserve"> of awards</w:t>
      </w:r>
      <w:r w:rsidRPr="003B3AC9">
        <w:t>, with earlier agreement with the Government of Tonga</w:t>
      </w:r>
      <w:r w:rsidRPr="003B3AC9" w:rsidDel="007519C1">
        <w:t xml:space="preserve"> </w:t>
      </w:r>
      <w:r w:rsidRPr="003B3AC9">
        <w:t>on priorities.</w:t>
      </w:r>
    </w:p>
    <w:p w:rsidR="004D2889" w:rsidRPr="003B3AC9" w:rsidRDefault="004D2889" w:rsidP="003B3AC9">
      <w:pPr>
        <w:pStyle w:val="BodyText"/>
      </w:pPr>
      <w:r w:rsidRPr="003B3AC9">
        <w:t xml:space="preserve">The </w:t>
      </w:r>
      <w:r>
        <w:t xml:space="preserve">pilot </w:t>
      </w:r>
      <w:r w:rsidRPr="003B3AC9">
        <w:rPr>
          <w:b/>
        </w:rPr>
        <w:t>Distance Education</w:t>
      </w:r>
      <w:r w:rsidRPr="003B3AC9">
        <w:t xml:space="preserve"> </w:t>
      </w:r>
      <w:r w:rsidRPr="00DC005A">
        <w:rPr>
          <w:b/>
        </w:rPr>
        <w:t>Scholarship Program</w:t>
      </w:r>
      <w:r w:rsidRPr="003B3AC9">
        <w:t xml:space="preserve"> aims to overcome some of the challenges faced by students when they study overseas (</w:t>
      </w:r>
      <w:r>
        <w:t>for example, being</w:t>
      </w:r>
      <w:r w:rsidRPr="003B3AC9">
        <w:t xml:space="preserve"> separat</w:t>
      </w:r>
      <w:r>
        <w:t>ed</w:t>
      </w:r>
      <w:r w:rsidRPr="003B3AC9">
        <w:t xml:space="preserve"> from family).</w:t>
      </w:r>
      <w:r>
        <w:t xml:space="preserve"> </w:t>
      </w:r>
      <w:r w:rsidRPr="003B3AC9">
        <w:t xml:space="preserve">While the </w:t>
      </w:r>
      <w:r>
        <w:t>program</w:t>
      </w:r>
      <w:r w:rsidRPr="003B3AC9">
        <w:t xml:space="preserve"> is relatively low cost compared </w:t>
      </w:r>
      <w:r>
        <w:t>with</w:t>
      </w:r>
      <w:r w:rsidRPr="003B3AC9">
        <w:t xml:space="preserve"> other scholarship programs, very low completion rates (19</w:t>
      </w:r>
      <w:r>
        <w:t> per cent</w:t>
      </w:r>
      <w:r w:rsidRPr="003B3AC9">
        <w:t xml:space="preserve"> to date) call into question the efficacy of the program.</w:t>
      </w:r>
      <w:r>
        <w:t xml:space="preserve"> </w:t>
      </w:r>
      <w:r w:rsidRPr="003B3AC9">
        <w:t>Reasons for the high drop</w:t>
      </w:r>
      <w:r>
        <w:t>-</w:t>
      </w:r>
      <w:r w:rsidRPr="003B3AC9">
        <w:t>out rate include work, family commitments, and the lack of support, motivation and learning associated with distance learning.</w:t>
      </w:r>
      <w:r>
        <w:t xml:space="preserve"> </w:t>
      </w:r>
      <w:r w:rsidRPr="003B3AC9">
        <w:t>The program will be reviewed in 2009 to determine whether it should be continued.</w:t>
      </w:r>
    </w:p>
    <w:p w:rsidR="004D2889" w:rsidRPr="003B3AC9" w:rsidRDefault="004D2889" w:rsidP="003B3AC9">
      <w:pPr>
        <w:pStyle w:val="BodyText"/>
      </w:pPr>
      <w:r w:rsidRPr="003B3AC9">
        <w:t>A mid</w:t>
      </w:r>
      <w:r>
        <w:t>-</w:t>
      </w:r>
      <w:r w:rsidRPr="003B3AC9">
        <w:t xml:space="preserve">term review found that in a short space of time the </w:t>
      </w:r>
      <w:r w:rsidRPr="00DC005A">
        <w:rPr>
          <w:b/>
        </w:rPr>
        <w:t>Australia–Pacific Technical College</w:t>
      </w:r>
      <w:r w:rsidRPr="003B3AC9">
        <w:t xml:space="preserve"> ha</w:t>
      </w:r>
      <w:r>
        <w:t>d</w:t>
      </w:r>
      <w:r w:rsidRPr="003B3AC9">
        <w:t xml:space="preserve"> found a unique and respected niche at the middle</w:t>
      </w:r>
      <w:r>
        <w:t>-</w:t>
      </w:r>
      <w:r w:rsidRPr="003B3AC9">
        <w:t>to</w:t>
      </w:r>
      <w:r>
        <w:t>-</w:t>
      </w:r>
      <w:r w:rsidRPr="003B3AC9">
        <w:t>top end of the regional vocational skills supply chain by providing quality</w:t>
      </w:r>
      <w:r>
        <w:t>-</w:t>
      </w:r>
      <w:r w:rsidRPr="003B3AC9">
        <w:t>assured Australian training that meets productivity demands</w:t>
      </w:r>
      <w:r>
        <w:t xml:space="preserve"> </w:t>
      </w:r>
      <w:r w:rsidRPr="003B3AC9">
        <w:t>and bridges the gap between national and international standards.</w:t>
      </w:r>
      <w:r>
        <w:t xml:space="preserve"> </w:t>
      </w:r>
      <w:r w:rsidRPr="003B3AC9">
        <w:t xml:space="preserve">The Tongan representative on the </w:t>
      </w:r>
      <w:r>
        <w:t>college’s</w:t>
      </w:r>
      <w:r w:rsidRPr="003B3AC9">
        <w:t xml:space="preserve"> advisory group is keen to see greater access to the </w:t>
      </w:r>
      <w:r>
        <w:t>college</w:t>
      </w:r>
      <w:r w:rsidRPr="003B3AC9">
        <w:t xml:space="preserve"> for Tongans, preferably through training in </w:t>
      </w:r>
      <w:smartTag w:uri="urn:schemas-microsoft-com:office:smarttags" w:element="place">
        <w:smartTag w:uri="urn:schemas-microsoft-com:office:smarttags" w:element="country-region">
          <w:r w:rsidRPr="003B3AC9">
            <w:t>Tonga</w:t>
          </w:r>
        </w:smartTag>
      </w:smartTag>
      <w:r w:rsidRPr="003B3AC9">
        <w:t>.</w:t>
      </w:r>
      <w:r>
        <w:t xml:space="preserve"> </w:t>
      </w:r>
      <w:r w:rsidRPr="003B3AC9">
        <w:t>A joint venture with the government</w:t>
      </w:r>
      <w:r>
        <w:t>-</w:t>
      </w:r>
      <w:r w:rsidRPr="003B3AC9">
        <w:t>owned Dateline Hotel was suggested.</w:t>
      </w:r>
      <w:r>
        <w:t xml:space="preserve"> </w:t>
      </w:r>
      <w:smartTag w:uri="urn:schemas-microsoft-com:office:smarttags" w:element="country-region">
        <w:r w:rsidRPr="003B3AC9">
          <w:t>Tonga</w:t>
        </w:r>
      </w:smartTag>
      <w:r w:rsidRPr="003B3AC9">
        <w:t xml:space="preserve"> (along with </w:t>
      </w:r>
      <w:smartTag w:uri="urn:schemas-microsoft-com:office:smarttags" w:element="country-region">
        <w:r w:rsidRPr="003B3AC9">
          <w:t>Kiribati</w:t>
        </w:r>
      </w:smartTag>
      <w:r w:rsidRPr="003B3AC9">
        <w:t xml:space="preserve"> and </w:t>
      </w:r>
      <w:smartTag w:uri="urn:schemas-microsoft-com:office:smarttags" w:element="place">
        <w:smartTag w:uri="urn:schemas-microsoft-com:office:smarttags" w:element="country-region">
          <w:r w:rsidRPr="003B3AC9">
            <w:t>Vanuatu</w:t>
          </w:r>
        </w:smartTag>
      </w:smartTag>
      <w:r w:rsidRPr="003B3AC9">
        <w:t xml:space="preserve">) has the highest proportion of female applicants to the </w:t>
      </w:r>
      <w:r>
        <w:t>college</w:t>
      </w:r>
      <w:r w:rsidRPr="003B3AC9">
        <w:t xml:space="preserve"> (37</w:t>
      </w:r>
      <w:r>
        <w:t> per cent</w:t>
      </w:r>
      <w:r w:rsidRPr="003B3AC9">
        <w:t xml:space="preserve"> or more).</w:t>
      </w:r>
    </w:p>
    <w:p w:rsidR="004D2889" w:rsidRPr="003B3AC9" w:rsidRDefault="004D2889" w:rsidP="003B3AC9">
      <w:pPr>
        <w:pStyle w:val="BodyText"/>
      </w:pPr>
      <w:r w:rsidRPr="003B3AC9">
        <w:lastRenderedPageBreak/>
        <w:t>The mid</w:t>
      </w:r>
      <w:r>
        <w:t>-</w:t>
      </w:r>
      <w:r w:rsidRPr="003B3AC9">
        <w:t>term review, while noting the enthusiasm for the Australia</w:t>
      </w:r>
      <w:r>
        <w:t>–</w:t>
      </w:r>
      <w:r w:rsidRPr="003B3AC9">
        <w:t xml:space="preserve">Pacific Technical College from a wide range of stakeholders, also </w:t>
      </w:r>
      <w:r>
        <w:t>noted</w:t>
      </w:r>
      <w:r w:rsidRPr="003B3AC9">
        <w:t xml:space="preserve"> </w:t>
      </w:r>
      <w:r>
        <w:t xml:space="preserve">the </w:t>
      </w:r>
      <w:r w:rsidRPr="003B3AC9">
        <w:t xml:space="preserve">concerns </w:t>
      </w:r>
      <w:r>
        <w:t>of</w:t>
      </w:r>
      <w:r w:rsidRPr="003B3AC9">
        <w:t xml:space="preserve"> key employer groups in Tonga</w:t>
      </w:r>
      <w:r>
        <w:t xml:space="preserve"> about</w:t>
      </w:r>
      <w:r w:rsidRPr="003B3AC9">
        <w:t xml:space="preserve"> the need for </w:t>
      </w:r>
      <w:r>
        <w:t>better</w:t>
      </w:r>
      <w:r w:rsidRPr="003B3AC9">
        <w:t xml:space="preserve"> trainee selection processes that ensure</w:t>
      </w:r>
      <w:r>
        <w:t>d</w:t>
      </w:r>
      <w:r w:rsidRPr="003B3AC9">
        <w:t xml:space="preserve"> employers are well informed.</w:t>
      </w:r>
      <w:r>
        <w:t xml:space="preserve"> </w:t>
      </w:r>
      <w:r w:rsidRPr="003B3AC9">
        <w:t xml:space="preserve">Employers also advised that more funding should be invested in improving the local </w:t>
      </w:r>
      <w:smartTag w:uri="urn:schemas-microsoft-com:office:smarttags" w:element="PlaceName">
        <w:smartTag w:uri="urn:schemas-microsoft-com:office:smarttags" w:element="place">
          <w:r w:rsidRPr="003B3AC9">
            <w:t>Ahopanilolo</w:t>
          </w:r>
        </w:smartTag>
        <w:r w:rsidRPr="003B3AC9">
          <w:t xml:space="preserve"> </w:t>
        </w:r>
        <w:smartTag w:uri="urn:schemas-microsoft-com:office:smarttags" w:element="PlaceName">
          <w:r w:rsidRPr="003B3AC9">
            <w:t>Technical</w:t>
          </w:r>
        </w:smartTag>
        <w:r w:rsidRPr="003B3AC9">
          <w:t xml:space="preserve"> </w:t>
        </w:r>
        <w:smartTag w:uri="urn:schemas-microsoft-com:office:smarttags" w:element="PlaceType">
          <w:r w:rsidRPr="003B3AC9">
            <w:t>College</w:t>
          </w:r>
        </w:smartTag>
      </w:smartTag>
      <w:r w:rsidRPr="003B3AC9">
        <w:t>.</w:t>
      </w:r>
      <w:r>
        <w:t xml:space="preserve"> </w:t>
      </w:r>
      <w:r w:rsidRPr="003B3AC9">
        <w:t xml:space="preserve">The training schools </w:t>
      </w:r>
      <w:r>
        <w:t xml:space="preserve">of the </w:t>
      </w:r>
      <w:r w:rsidRPr="003B3AC9">
        <w:t>Australia</w:t>
      </w:r>
      <w:r>
        <w:t>–</w:t>
      </w:r>
      <w:r w:rsidRPr="003B3AC9">
        <w:t>Pacific Technical College are discussing improved recruitment practices with employers and recognise that careful management is required to ensure that local partners feel they</w:t>
      </w:r>
      <w:r>
        <w:t>,</w:t>
      </w:r>
      <w:r w:rsidRPr="003B3AC9">
        <w:t xml:space="preserve"> as well as individual students</w:t>
      </w:r>
      <w:r>
        <w:t>,</w:t>
      </w:r>
      <w:r w:rsidRPr="003B3AC9">
        <w:t xml:space="preserve"> are benefiting from the partnership.</w:t>
      </w:r>
      <w:r>
        <w:t xml:space="preserve"> </w:t>
      </w:r>
      <w:r w:rsidRPr="003B3AC9">
        <w:t>AusAID also recognises that more work is required to articulate the connections between the Australia</w:t>
      </w:r>
      <w:r>
        <w:t>–</w:t>
      </w:r>
      <w:r w:rsidRPr="003B3AC9">
        <w:t xml:space="preserve">Pacific Technical College and </w:t>
      </w:r>
      <w:r>
        <w:t>the</w:t>
      </w:r>
      <w:r w:rsidRPr="003B3AC9">
        <w:t xml:space="preserve"> broader program of support for TVET regionally and in </w:t>
      </w:r>
      <w:smartTag w:uri="urn:schemas-microsoft-com:office:smarttags" w:element="place">
        <w:smartTag w:uri="urn:schemas-microsoft-com:office:smarttags" w:element="country-region">
          <w:r w:rsidRPr="003B3AC9">
            <w:t>Tonga</w:t>
          </w:r>
        </w:smartTag>
      </w:smartTag>
      <w:r w:rsidRPr="003B3AC9">
        <w:t xml:space="preserve"> specifically.</w:t>
      </w:r>
    </w:p>
    <w:p w:rsidR="004D2889" w:rsidRPr="003B3AC9" w:rsidRDefault="004D2889" w:rsidP="00E92A44">
      <w:pPr>
        <w:pStyle w:val="Heading4"/>
        <w:tabs>
          <w:tab w:val="clear" w:pos="1440"/>
          <w:tab w:val="clear" w:pos="2160"/>
          <w:tab w:val="clear" w:pos="2880"/>
        </w:tabs>
        <w:ind w:left="0" w:firstLine="0"/>
      </w:pPr>
      <w:r w:rsidRPr="003B3AC9">
        <w:t>Health sector</w:t>
      </w:r>
    </w:p>
    <w:p w:rsidR="004D2889" w:rsidRPr="000E0338" w:rsidRDefault="004D2889" w:rsidP="003B3AC9">
      <w:pPr>
        <w:pStyle w:val="BodyText"/>
        <w:rPr>
          <w:spacing w:val="-2"/>
        </w:rPr>
      </w:pPr>
      <w:r w:rsidRPr="00DC005A">
        <w:rPr>
          <w:spacing w:val="-2"/>
        </w:rPr>
        <w:t>The Government of Tonga remains committed to providing a high level of health services for Tonga. However, high staff turnover remains an enormous challenge, with many doctors, nurses, health technicians and health administrators leaving for overseas job opportunities. As a result, the capacity of the sector needs to be</w:t>
      </w:r>
      <w:r>
        <w:rPr>
          <w:spacing w:val="-2"/>
        </w:rPr>
        <w:t xml:space="preserve"> </w:t>
      </w:r>
      <w:r w:rsidRPr="00DC005A">
        <w:rPr>
          <w:spacing w:val="-2"/>
        </w:rPr>
        <w:t xml:space="preserve">supplemented. PACTAM is continuing to play a key role in helping to overcome the critical human resource shortages. However, the mechanism can sometimes work against its own objectives. For example, the only trained </w:t>
      </w:r>
      <w:smartTag w:uri="urn:schemas-microsoft-com:office:smarttags" w:element="country-region">
        <w:r w:rsidRPr="00DC005A">
          <w:rPr>
            <w:spacing w:val="-2"/>
          </w:rPr>
          <w:t>Tonga</w:t>
        </w:r>
      </w:smartTag>
      <w:r w:rsidRPr="00DC005A">
        <w:rPr>
          <w:spacing w:val="-2"/>
        </w:rPr>
        <w:t xml:space="preserve"> anaesthetist recently accepted a PACTAM contract in </w:t>
      </w:r>
      <w:smartTag w:uri="urn:schemas-microsoft-com:office:smarttags" w:element="country-region">
        <w:r w:rsidRPr="00DC005A">
          <w:rPr>
            <w:spacing w:val="-2"/>
          </w:rPr>
          <w:t>Nauru</w:t>
        </w:r>
      </w:smartTag>
      <w:r w:rsidRPr="00DC005A">
        <w:rPr>
          <w:spacing w:val="-2"/>
        </w:rPr>
        <w:t xml:space="preserve">, which meant a replacement needed to be identified for Tonga. The new AusAID-supported health program being developed is expected to assist </w:t>
      </w:r>
      <w:smartTag w:uri="urn:schemas-microsoft-com:office:smarttags" w:element="place">
        <w:smartTag w:uri="urn:schemas-microsoft-com:office:smarttags" w:element="country-region">
          <w:r w:rsidRPr="00DC005A">
            <w:rPr>
              <w:spacing w:val="-2"/>
            </w:rPr>
            <w:t>Tonga</w:t>
          </w:r>
        </w:smartTag>
      </w:smartTag>
      <w:r w:rsidRPr="00DC005A">
        <w:rPr>
          <w:spacing w:val="-2"/>
        </w:rPr>
        <w:t xml:space="preserve"> in analysing </w:t>
      </w:r>
      <w:r>
        <w:rPr>
          <w:spacing w:val="-2"/>
        </w:rPr>
        <w:t>its</w:t>
      </w:r>
      <w:r w:rsidRPr="00DC005A">
        <w:rPr>
          <w:spacing w:val="-2"/>
        </w:rPr>
        <w:t xml:space="preserve"> workforce issues, but it is recognised that there will continue to be high labour mobility in the sector. </w:t>
      </w:r>
      <w:smartTag w:uri="urn:schemas-microsoft-com:office:smarttags" w:element="country-region">
        <w:smartTag w:uri="urn:schemas-microsoft-com:office:smarttags" w:element="place">
          <w:r w:rsidRPr="00DC005A">
            <w:rPr>
              <w:spacing w:val="-2"/>
            </w:rPr>
            <w:t>Australia</w:t>
          </w:r>
        </w:smartTag>
      </w:smartTag>
      <w:r w:rsidRPr="00DC005A">
        <w:rPr>
          <w:spacing w:val="-2"/>
        </w:rPr>
        <w:t>’s support through scholarships and technical and vocational education will play a key role in addressing this challenge.</w:t>
      </w:r>
    </w:p>
    <w:p w:rsidR="004D2889" w:rsidRPr="00B805C1" w:rsidRDefault="004D2889" w:rsidP="003B3AC9">
      <w:pPr>
        <w:pStyle w:val="BodyText"/>
        <w:rPr>
          <w:spacing w:val="-1"/>
        </w:rPr>
      </w:pPr>
      <w:r w:rsidRPr="00DC005A">
        <w:rPr>
          <w:spacing w:val="-1"/>
        </w:rPr>
        <w:t xml:space="preserve">As in much of the Pacific and </w:t>
      </w:r>
      <w:smartTag w:uri="urn:schemas-microsoft-com:office:smarttags" w:element="country-region">
        <w:smartTag w:uri="urn:schemas-microsoft-com:office:smarttags" w:element="place">
          <w:r w:rsidRPr="00DC005A">
            <w:rPr>
              <w:spacing w:val="-1"/>
            </w:rPr>
            <w:t>Australia</w:t>
          </w:r>
        </w:smartTag>
      </w:smartTag>
      <w:r w:rsidRPr="00DC005A">
        <w:rPr>
          <w:spacing w:val="-1"/>
        </w:rPr>
        <w:t xml:space="preserve">, </w:t>
      </w:r>
      <w:r w:rsidRPr="00DC005A">
        <w:rPr>
          <w:b/>
          <w:spacing w:val="-1"/>
        </w:rPr>
        <w:t>non-communicable diseases</w:t>
      </w:r>
      <w:r w:rsidRPr="00DC005A">
        <w:rPr>
          <w:spacing w:val="-1"/>
        </w:rPr>
        <w:t xml:space="preserve"> are the most serious and growing health problem. There will continue to be a bulge in the incidence of these diseases until the prevention and health</w:t>
      </w:r>
      <w:r>
        <w:rPr>
          <w:spacing w:val="-1"/>
        </w:rPr>
        <w:t>-</w:t>
      </w:r>
      <w:r w:rsidRPr="00DC005A">
        <w:rPr>
          <w:spacing w:val="-1"/>
        </w:rPr>
        <w:t>promotion activities take effect. Progress in this area has been very slow</w:t>
      </w:r>
      <w:r>
        <w:rPr>
          <w:spacing w:val="-1"/>
        </w:rPr>
        <w:t>,</w:t>
      </w:r>
      <w:r w:rsidRPr="00DC005A">
        <w:rPr>
          <w:spacing w:val="-1"/>
        </w:rPr>
        <w:t xml:space="preserve"> and innovative approaches will be required to address this growing challenge. It will be important for bilateral and regional programs to be closely integrated in this area.</w:t>
      </w:r>
    </w:p>
    <w:p w:rsidR="004D2889" w:rsidRPr="003F76E8" w:rsidRDefault="004D2889" w:rsidP="003B3AC9">
      <w:pPr>
        <w:pStyle w:val="BodyText"/>
      </w:pPr>
      <w:r w:rsidRPr="003B3AC9">
        <w:t xml:space="preserve">The </w:t>
      </w:r>
      <w:r w:rsidRPr="003B3AC9">
        <w:rPr>
          <w:b/>
        </w:rPr>
        <w:t xml:space="preserve">Solid Waste </w:t>
      </w:r>
      <w:r>
        <w:rPr>
          <w:b/>
        </w:rPr>
        <w:t>Management Project</w:t>
      </w:r>
      <w:r w:rsidRPr="003B3AC9">
        <w:rPr>
          <w:b/>
        </w:rPr>
        <w:t xml:space="preserve"> </w:t>
      </w:r>
      <w:r w:rsidRPr="003B3AC9">
        <w:t>was intended to establish a self-funding waste authority based on a user-pays system. However, Waste Authority Limited is not yet raising sufficient revenue to cover basic operati</w:t>
      </w:r>
      <w:r>
        <w:t>ng</w:t>
      </w:r>
      <w:r w:rsidRPr="003B3AC9">
        <w:t xml:space="preserve"> costs.</w:t>
      </w:r>
      <w:r>
        <w:t xml:space="preserve"> </w:t>
      </w:r>
      <w:r w:rsidRPr="003B3AC9">
        <w:t xml:space="preserve">Even if the authority meets current revenue targets, this is projected to cover only around half of </w:t>
      </w:r>
      <w:r>
        <w:t xml:space="preserve">its </w:t>
      </w:r>
      <w:r w:rsidRPr="003B3AC9">
        <w:t>operational costs.</w:t>
      </w:r>
      <w:r>
        <w:t xml:space="preserve"> </w:t>
      </w:r>
      <w:r w:rsidRPr="003B3AC9">
        <w:t xml:space="preserve">A further complication is that </w:t>
      </w:r>
      <w:r>
        <w:t xml:space="preserve">the </w:t>
      </w:r>
      <w:r w:rsidRPr="003B3AC9">
        <w:t>15</w:t>
      </w:r>
      <w:r>
        <w:t> per cent</w:t>
      </w:r>
      <w:r w:rsidRPr="003B3AC9">
        <w:t xml:space="preserve"> </w:t>
      </w:r>
      <w:r>
        <w:t>consumption</w:t>
      </w:r>
      <w:r w:rsidRPr="003B3AC9">
        <w:t xml:space="preserve"> tax is levied on invoices, yet only 10</w:t>
      </w:r>
      <w:r>
        <w:t> per cent</w:t>
      </w:r>
      <w:r w:rsidRPr="003B3AC9">
        <w:t xml:space="preserve"> of invoice payments have been received to date.</w:t>
      </w:r>
      <w:r>
        <w:t xml:space="preserve"> </w:t>
      </w:r>
      <w:r w:rsidRPr="003B3AC9">
        <w:t>Th</w:t>
      </w:r>
      <w:r>
        <w:t>e payment defaults</w:t>
      </w:r>
      <w:r w:rsidRPr="003B3AC9">
        <w:t xml:space="preserve"> ha</w:t>
      </w:r>
      <w:r>
        <w:t>ve</w:t>
      </w:r>
      <w:r w:rsidRPr="003B3AC9">
        <w:t xml:space="preserve"> created serious cash flow problems</w:t>
      </w:r>
      <w:r>
        <w:t>,</w:t>
      </w:r>
      <w:r w:rsidRPr="003B3AC9">
        <w:t xml:space="preserve"> which could expose the </w:t>
      </w:r>
      <w:r>
        <w:t>project</w:t>
      </w:r>
      <w:r w:rsidRPr="003B3AC9">
        <w:t xml:space="preserve"> to failure.</w:t>
      </w:r>
      <w:r>
        <w:t xml:space="preserve"> </w:t>
      </w:r>
      <w:r w:rsidRPr="003B3AC9">
        <w:t xml:space="preserve">AusAID has been discussing with </w:t>
      </w:r>
      <w:r>
        <w:t>the Government of Tonga</w:t>
      </w:r>
      <w:r w:rsidRPr="003B3AC9">
        <w:t xml:space="preserve"> the option of the government providing the program with tax breaks until the authority is </w:t>
      </w:r>
      <w:r>
        <w:t>making</w:t>
      </w:r>
      <w:r w:rsidRPr="003B3AC9">
        <w:t xml:space="preserve"> a profit</w:t>
      </w:r>
      <w:r>
        <w:t>.</w:t>
      </w:r>
      <w:r w:rsidRPr="003B3AC9">
        <w:t xml:space="preserve"> </w:t>
      </w:r>
      <w:r>
        <w:t>T</w:t>
      </w:r>
      <w:r w:rsidRPr="003B3AC9">
        <w:t xml:space="preserve">his is needed to prevent future aid funds from effectively subsidising </w:t>
      </w:r>
      <w:r>
        <w:t>Tonga’s</w:t>
      </w:r>
      <w:r w:rsidRPr="003B3AC9">
        <w:t xml:space="preserve"> taxation</w:t>
      </w:r>
      <w:r w:rsidRPr="003F76E8">
        <w:t>.</w:t>
      </w:r>
    </w:p>
    <w:p w:rsidR="004D2889" w:rsidRDefault="004D2889">
      <w:pPr>
        <w:pStyle w:val="Heading3"/>
        <w:tabs>
          <w:tab w:val="clear" w:pos="1440"/>
          <w:tab w:val="clear" w:pos="2160"/>
        </w:tabs>
        <w:spacing w:before="300"/>
      </w:pPr>
      <w:r w:rsidRPr="003B3AC9">
        <w:t>Estimated expenditure</w:t>
      </w:r>
    </w:p>
    <w:p w:rsidR="004D2889" w:rsidRPr="003B3AC9" w:rsidRDefault="004D2889" w:rsidP="003B3AC9">
      <w:pPr>
        <w:pStyle w:val="BodyText"/>
      </w:pPr>
      <w:r w:rsidRPr="003B3AC9">
        <w:t xml:space="preserve">The estimated expenditure for </w:t>
      </w:r>
      <w:r w:rsidRPr="00E92A44">
        <w:t>investing in people through improved service delivery</w:t>
      </w:r>
      <w:r w:rsidRPr="003B3AC9" w:rsidDel="000C740E">
        <w:t xml:space="preserve"> </w:t>
      </w:r>
      <w:r w:rsidRPr="003B3AC9">
        <w:t>in 2008 is A$3.253 million, which represents around 26</w:t>
      </w:r>
      <w:r>
        <w:t> per cent</w:t>
      </w:r>
      <w:r w:rsidRPr="003B3AC9">
        <w:t xml:space="preserve"> of the 2007</w:t>
      </w:r>
      <w:r>
        <w:t>–</w:t>
      </w:r>
      <w:r w:rsidRPr="003B3AC9">
        <w:t>08 and 2008</w:t>
      </w:r>
      <w:r>
        <w:t>–</w:t>
      </w:r>
      <w:r w:rsidRPr="003B3AC9">
        <w:t>09 bilateral allocation</w:t>
      </w:r>
      <w:r>
        <w:t>s</w:t>
      </w:r>
      <w:r w:rsidRPr="003B3AC9">
        <w:t xml:space="preserve"> for </w:t>
      </w:r>
      <w:smartTag w:uri="urn:schemas-microsoft-com:office:smarttags" w:element="country-region">
        <w:smartTag w:uri="urn:schemas-microsoft-com:office:smarttags" w:element="place">
          <w:r w:rsidRPr="003B3AC9">
            <w:t>Tonga</w:t>
          </w:r>
        </w:smartTag>
      </w:smartTag>
      <w:r w:rsidRPr="003B3AC9">
        <w:t>.</w:t>
      </w:r>
    </w:p>
    <w:p w:rsidR="004D2889" w:rsidRDefault="004D2889">
      <w:pPr>
        <w:pStyle w:val="Heading2unnumbered"/>
        <w:tabs>
          <w:tab w:val="clear" w:pos="1440"/>
        </w:tabs>
        <w:spacing w:before="400" w:after="60"/>
      </w:pPr>
      <w:bookmarkStart w:id="47" w:name="_Toc250710282"/>
      <w:r w:rsidRPr="003B3AC9">
        <w:lastRenderedPageBreak/>
        <w:t>Other regional activities</w:t>
      </w:r>
      <w:bookmarkEnd w:id="47"/>
    </w:p>
    <w:p w:rsidR="004D2889" w:rsidRPr="003B3AC9" w:rsidRDefault="004D2889" w:rsidP="003B3AC9">
      <w:pPr>
        <w:pStyle w:val="BodyText"/>
      </w:pPr>
      <w:r>
        <w:t>Australia supports</w:t>
      </w:r>
      <w:r w:rsidRPr="003B3AC9">
        <w:t xml:space="preserve"> several regional activities </w:t>
      </w:r>
      <w:r>
        <w:t>that</w:t>
      </w:r>
      <w:r w:rsidRPr="003B3AC9">
        <w:t xml:space="preserve"> do not directly contribute to </w:t>
      </w:r>
      <w:r>
        <w:t xml:space="preserve">the draft </w:t>
      </w:r>
      <w:r w:rsidRPr="003B3AC9">
        <w:t>strategy</w:t>
      </w:r>
      <w:r>
        <w:t>’s</w:t>
      </w:r>
      <w:r w:rsidRPr="003B3AC9">
        <w:t xml:space="preserve"> objectives, but </w:t>
      </w:r>
      <w:r>
        <w:t>do</w:t>
      </w:r>
      <w:r w:rsidRPr="003B3AC9">
        <w:t xml:space="preserve"> make an important contribution to </w:t>
      </w:r>
      <w:smartTag w:uri="urn:schemas-microsoft-com:office:smarttags" w:element="country-region">
        <w:smartTag w:uri="urn:schemas-microsoft-com:office:smarttags" w:element="place">
          <w:r w:rsidRPr="003B3AC9">
            <w:t>Tonga</w:t>
          </w:r>
        </w:smartTag>
      </w:smartTag>
      <w:r w:rsidRPr="003B3AC9">
        <w:t xml:space="preserve">’s development. </w:t>
      </w:r>
    </w:p>
    <w:p w:rsidR="004D2889" w:rsidRDefault="004D2889" w:rsidP="003B3AC9">
      <w:pPr>
        <w:pStyle w:val="BodyText"/>
      </w:pPr>
      <w:r w:rsidRPr="003B3AC9">
        <w:t xml:space="preserve">The </w:t>
      </w:r>
      <w:r w:rsidRPr="003B3AC9">
        <w:rPr>
          <w:b/>
        </w:rPr>
        <w:t>Sea</w:t>
      </w:r>
      <w:r>
        <w:rPr>
          <w:b/>
        </w:rPr>
        <w:t xml:space="preserve"> </w:t>
      </w:r>
      <w:r w:rsidRPr="003B3AC9">
        <w:rPr>
          <w:b/>
        </w:rPr>
        <w:t xml:space="preserve">Level Climate Change and Monitoring Project </w:t>
      </w:r>
      <w:r w:rsidRPr="00DC005A">
        <w:t>of the Pacific Islands Applied Geoscience Commission</w:t>
      </w:r>
      <w:r>
        <w:rPr>
          <w:b/>
        </w:rPr>
        <w:t xml:space="preserve"> </w:t>
      </w:r>
      <w:r w:rsidRPr="00DC005A">
        <w:t>(SOPAC)</w:t>
      </w:r>
      <w:r w:rsidRPr="003B3AC9">
        <w:rPr>
          <w:b/>
        </w:rPr>
        <w:t xml:space="preserve"> </w:t>
      </w:r>
      <w:r w:rsidRPr="003B3AC9">
        <w:t xml:space="preserve">and </w:t>
      </w:r>
      <w:r>
        <w:t xml:space="preserve">the </w:t>
      </w:r>
      <w:r w:rsidRPr="003B3AC9">
        <w:rPr>
          <w:b/>
        </w:rPr>
        <w:t xml:space="preserve">Climate Prediction Project </w:t>
      </w:r>
      <w:r w:rsidRPr="003F550B">
        <w:t>of the Pacific Regional Environment Programme</w:t>
      </w:r>
      <w:r w:rsidRPr="003B3AC9">
        <w:rPr>
          <w:b/>
        </w:rPr>
        <w:t xml:space="preserve"> </w:t>
      </w:r>
      <w:r w:rsidRPr="00DC005A">
        <w:t>(SPREP)</w:t>
      </w:r>
      <w:r w:rsidRPr="003B3AC9">
        <w:rPr>
          <w:b/>
        </w:rPr>
        <w:t xml:space="preserve"> </w:t>
      </w:r>
      <w:r w:rsidRPr="003B3AC9">
        <w:t xml:space="preserve">have provided the Government </w:t>
      </w:r>
      <w:r>
        <w:t xml:space="preserve">of Tonga </w:t>
      </w:r>
      <w:r w:rsidRPr="003B3AC9">
        <w:t>with good data o</w:t>
      </w:r>
      <w:r>
        <w:t>n</w:t>
      </w:r>
      <w:r w:rsidRPr="003B3AC9">
        <w:t xml:space="preserve"> the extent of </w:t>
      </w:r>
      <w:r>
        <w:t>climatic</w:t>
      </w:r>
      <w:r w:rsidRPr="003B3AC9">
        <w:t xml:space="preserve"> problems, which </w:t>
      </w:r>
      <w:r>
        <w:t>are</w:t>
      </w:r>
      <w:r w:rsidRPr="003B3AC9">
        <w:t xml:space="preserve"> being used to prioritise </w:t>
      </w:r>
      <w:r>
        <w:t>its</w:t>
      </w:r>
      <w:r w:rsidRPr="003B3AC9">
        <w:t xml:space="preserve"> response.</w:t>
      </w:r>
      <w:r>
        <w:t xml:space="preserve"> AusAID’s</w:t>
      </w:r>
      <w:r w:rsidRPr="003B3AC9">
        <w:t xml:space="preserve"> </w:t>
      </w:r>
      <w:r w:rsidRPr="00DC005A">
        <w:rPr>
          <w:b/>
        </w:rPr>
        <w:t>Pacific Regional</w:t>
      </w:r>
      <w:r>
        <w:t xml:space="preserve"> </w:t>
      </w:r>
      <w:r w:rsidRPr="003B3AC9">
        <w:rPr>
          <w:b/>
        </w:rPr>
        <w:t xml:space="preserve">Persistent Organic Pollutants Project </w:t>
      </w:r>
      <w:r w:rsidRPr="003B3AC9">
        <w:t xml:space="preserve">has contributed to a cleaner environment by helping </w:t>
      </w:r>
      <w:smartTag w:uri="urn:schemas-microsoft-com:office:smarttags" w:element="place">
        <w:smartTag w:uri="urn:schemas-microsoft-com:office:smarttags" w:element="country-region">
          <w:r w:rsidRPr="003B3AC9">
            <w:t>Tonga</w:t>
          </w:r>
        </w:smartTag>
      </w:smartTag>
      <w:r w:rsidRPr="003B3AC9">
        <w:t xml:space="preserve"> to effectively identify and safely dispose of all </w:t>
      </w:r>
      <w:r>
        <w:t>such pollutants</w:t>
      </w:r>
      <w:r w:rsidRPr="003B3AC9">
        <w:t>.</w:t>
      </w:r>
      <w:r>
        <w:t xml:space="preserve"> </w:t>
      </w:r>
      <w:r w:rsidRPr="003B3AC9">
        <w:t xml:space="preserve">The support of both SOPAC and SPREP in the areas </w:t>
      </w:r>
      <w:r>
        <w:t>of climate change and environment</w:t>
      </w:r>
      <w:r>
        <w:rPr>
          <w:rStyle w:val="CommentReference"/>
        </w:rPr>
        <w:t xml:space="preserve"> </w:t>
      </w:r>
      <w:r w:rsidRPr="003B3AC9">
        <w:t>has been welcomed by the Ministry of Environment.</w:t>
      </w:r>
      <w:r>
        <w:t xml:space="preserve"> </w:t>
      </w:r>
      <w:r w:rsidRPr="003B3AC9">
        <w:t xml:space="preserve">Adaptation activities are a high priority for the </w:t>
      </w:r>
      <w:r>
        <w:t>Government of Tonga.</w:t>
      </w:r>
      <w:r w:rsidRPr="003B3AC9">
        <w:t xml:space="preserve"> </w:t>
      </w:r>
      <w:r>
        <w:t>H</w:t>
      </w:r>
      <w:r w:rsidRPr="003B3AC9">
        <w:t xml:space="preserve">owever, limited funding and the substantial cost of </w:t>
      </w:r>
      <w:r>
        <w:t xml:space="preserve">mitigating </w:t>
      </w:r>
      <w:r w:rsidRPr="003B3AC9">
        <w:t>coastal erosion (particularly landfill) represent major constraints.</w:t>
      </w:r>
      <w:r>
        <w:t xml:space="preserve"> </w:t>
      </w:r>
    </w:p>
    <w:p w:rsidR="004D2889" w:rsidRDefault="004D2889" w:rsidP="003B3AC9">
      <w:pPr>
        <w:pStyle w:val="BodyText"/>
      </w:pPr>
      <w:r w:rsidRPr="003B3AC9">
        <w:t xml:space="preserve">Renewable energy is another priority area, given </w:t>
      </w:r>
      <w:smartTag w:uri="urn:schemas-microsoft-com:office:smarttags" w:element="place">
        <w:smartTag w:uri="urn:schemas-microsoft-com:office:smarttags" w:element="country-region">
          <w:r w:rsidRPr="003B3AC9">
            <w:t>Tonga</w:t>
          </w:r>
        </w:smartTag>
      </w:smartTag>
      <w:r w:rsidRPr="003B3AC9">
        <w:t>’s substantial reliance on oil.</w:t>
      </w:r>
      <w:r>
        <w:t xml:space="preserve"> </w:t>
      </w:r>
      <w:r w:rsidRPr="003B3AC9">
        <w:t xml:space="preserve">Other donors, including </w:t>
      </w:r>
      <w:r>
        <w:t xml:space="preserve">the </w:t>
      </w:r>
      <w:r w:rsidRPr="00AE73F8">
        <w:t>Japan International Cooperation Agency</w:t>
      </w:r>
      <w:r w:rsidRPr="003B3AC9">
        <w:t xml:space="preserve"> and the </w:t>
      </w:r>
      <w:r>
        <w:t>European Union</w:t>
      </w:r>
      <w:r w:rsidRPr="003B3AC9">
        <w:t>, are providing support in this area.</w:t>
      </w:r>
      <w:r>
        <w:t xml:space="preserve"> </w:t>
      </w:r>
    </w:p>
    <w:p w:rsidR="004D2889" w:rsidRPr="005D6E0D" w:rsidRDefault="004D2889" w:rsidP="003B3AC9">
      <w:pPr>
        <w:pStyle w:val="BodyText"/>
        <w:rPr>
          <w:spacing w:val="-1"/>
        </w:rPr>
      </w:pPr>
      <w:r w:rsidRPr="00DC005A">
        <w:rPr>
          <w:spacing w:val="-1"/>
        </w:rPr>
        <w:t xml:space="preserve">The </w:t>
      </w:r>
      <w:r w:rsidRPr="00DC005A">
        <w:rPr>
          <w:b/>
          <w:spacing w:val="-1"/>
        </w:rPr>
        <w:t xml:space="preserve">National Action Plan Implementation Facility </w:t>
      </w:r>
      <w:r w:rsidRPr="00DC005A">
        <w:rPr>
          <w:spacing w:val="-1"/>
        </w:rPr>
        <w:t xml:space="preserve">and the </w:t>
      </w:r>
      <w:r w:rsidRPr="00DC005A">
        <w:t>Pacific-focused</w:t>
      </w:r>
      <w:r w:rsidRPr="00DC005A">
        <w:rPr>
          <w:b/>
          <w:spacing w:val="-1"/>
        </w:rPr>
        <w:t xml:space="preserve"> </w:t>
      </w:r>
      <w:r w:rsidRPr="005D6E0D">
        <w:rPr>
          <w:b/>
          <w:spacing w:val="-1"/>
        </w:rPr>
        <w:t xml:space="preserve">Integrated </w:t>
      </w:r>
      <w:r w:rsidRPr="00DC005A">
        <w:rPr>
          <w:b/>
          <w:spacing w:val="-1"/>
        </w:rPr>
        <w:t xml:space="preserve">Disaster Risk Management Project </w:t>
      </w:r>
      <w:r w:rsidRPr="00DC005A">
        <w:rPr>
          <w:spacing w:val="-1"/>
        </w:rPr>
        <w:t xml:space="preserve">(which commenced in 2008) are helping </w:t>
      </w:r>
      <w:smartTag w:uri="urn:schemas-microsoft-com:office:smarttags" w:element="place">
        <w:smartTag w:uri="urn:schemas-microsoft-com:office:smarttags" w:element="country-region">
          <w:r w:rsidRPr="00DC005A">
            <w:rPr>
              <w:spacing w:val="-1"/>
            </w:rPr>
            <w:t>Tonga</w:t>
          </w:r>
        </w:smartTag>
      </w:smartTag>
      <w:r w:rsidRPr="00DC005A">
        <w:rPr>
          <w:spacing w:val="-1"/>
        </w:rPr>
        <w:t xml:space="preserve"> to better plan for and respond to disasters at the national and community levels.</w:t>
      </w:r>
    </w:p>
    <w:p w:rsidR="004D2889" w:rsidRPr="003B3AC9" w:rsidRDefault="004D2889" w:rsidP="003B3AC9">
      <w:pPr>
        <w:pStyle w:val="BodyText"/>
      </w:pPr>
      <w:r w:rsidRPr="003B3AC9">
        <w:t xml:space="preserve">The </w:t>
      </w:r>
      <w:r w:rsidRPr="003B3AC9">
        <w:rPr>
          <w:b/>
        </w:rPr>
        <w:t>Regional Statistics Program</w:t>
      </w:r>
      <w:r w:rsidRPr="003B3AC9">
        <w:t xml:space="preserve"> has provided technical assistance to support </w:t>
      </w:r>
      <w:r>
        <w:t>Tonga’s</w:t>
      </w:r>
      <w:r w:rsidRPr="003B3AC9">
        <w:t xml:space="preserve"> Household Income and Expenditure Survey and to develop the national census.</w:t>
      </w:r>
      <w:r>
        <w:t xml:space="preserve"> </w:t>
      </w:r>
      <w:r w:rsidRPr="003B3AC9">
        <w:t xml:space="preserve">According to the Statistics Department, the support from </w:t>
      </w:r>
      <w:r>
        <w:t xml:space="preserve">the Secretariat of the Pacific Community </w:t>
      </w:r>
      <w:r w:rsidRPr="003B3AC9">
        <w:t xml:space="preserve">has been both timely and effective. </w:t>
      </w:r>
    </w:p>
    <w:p w:rsidR="004D2889" w:rsidRDefault="004D2889" w:rsidP="006D5637">
      <w:pPr>
        <w:pStyle w:val="Heading1unnumbered"/>
        <w:spacing w:after="1800"/>
        <w:rPr>
          <w:noProof/>
        </w:rPr>
      </w:pPr>
      <w:bookmarkStart w:id="48" w:name="_Toc250710283"/>
      <w:r w:rsidRPr="00C07044">
        <w:lastRenderedPageBreak/>
        <w:t xml:space="preserve">What is the quality of </w:t>
      </w:r>
      <w:r>
        <w:t>AusAID</w:t>
      </w:r>
      <w:r w:rsidRPr="00C07044">
        <w:t xml:space="preserve"> activities?</w:t>
      </w:r>
      <w:r w:rsidR="000C5DE1">
        <w:rPr>
          <w:noProof/>
          <w:lang w:val="en-US" w:eastAsia="en-US"/>
        </w:rPr>
        <w:drawing>
          <wp:anchor distT="0" distB="0" distL="114300" distR="114300" simplePos="0" relativeHeight="251656704" behindDoc="1" locked="0" layoutInCell="1" allowOverlap="1" wp14:anchorId="38074E05" wp14:editId="0B48DD14">
            <wp:simplePos x="0" y="0"/>
            <wp:positionH relativeFrom="page">
              <wp:posOffset>0</wp:posOffset>
            </wp:positionH>
            <wp:positionV relativeFrom="page">
              <wp:posOffset>1386205</wp:posOffset>
            </wp:positionV>
            <wp:extent cx="7560310" cy="1585595"/>
            <wp:effectExtent l="0" t="0" r="2540" b="0"/>
            <wp:wrapNone/>
            <wp:docPr id="11" name="Picture 1242"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descr="AusAID graphics pacific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8"/>
    </w:p>
    <w:p w:rsidR="004D2889" w:rsidRDefault="004D2889" w:rsidP="00994454">
      <w:pPr>
        <w:pStyle w:val="Heading2unnumbered"/>
        <w:tabs>
          <w:tab w:val="clear" w:pos="1440"/>
        </w:tabs>
        <w:spacing w:before="180"/>
      </w:pPr>
      <w:bookmarkStart w:id="49" w:name="_Toc250710284"/>
      <w:r>
        <w:t>Overview</w:t>
      </w:r>
      <w:bookmarkEnd w:id="49"/>
    </w:p>
    <w:p w:rsidR="004D2889" w:rsidRDefault="004D2889" w:rsidP="00FB037B">
      <w:pPr>
        <w:pStyle w:val="BodyText"/>
      </w:pPr>
      <w:r w:rsidRPr="00A7497A">
        <w:t>AusAID require</w:t>
      </w:r>
      <w:r>
        <w:t>s</w:t>
      </w:r>
      <w:r w:rsidRPr="00A7497A">
        <w:t xml:space="preserve"> each program </w:t>
      </w:r>
      <w:r>
        <w:t xml:space="preserve">to </w:t>
      </w:r>
      <w:r w:rsidRPr="00A7497A">
        <w:t xml:space="preserve">rate the progress of selected initiatives against four </w:t>
      </w:r>
      <w:r>
        <w:t>quality-at-implementation</w:t>
      </w:r>
      <w:r w:rsidRPr="00A7497A">
        <w:t xml:space="preserve"> criteria</w:t>
      </w:r>
      <w:r>
        <w:t>—</w:t>
      </w:r>
      <w:r w:rsidRPr="00A7497A">
        <w:t>implementation</w:t>
      </w:r>
      <w:r>
        <w:t xml:space="preserve"> progress</w:t>
      </w:r>
      <w:r w:rsidRPr="00A7497A">
        <w:t>, achieving objectives, monitoring and evaluation</w:t>
      </w:r>
      <w:r>
        <w:t>,</w:t>
      </w:r>
      <w:r w:rsidRPr="00A7497A">
        <w:t xml:space="preserve"> and sustainability. AusAID </w:t>
      </w:r>
      <w:r>
        <w:t>aims</w:t>
      </w:r>
      <w:r w:rsidRPr="00A7497A">
        <w:t xml:space="preserve"> to have an overall quality rating of ‘satisfactory’</w:t>
      </w:r>
      <w:r>
        <w:t xml:space="preserve"> for </w:t>
      </w:r>
      <w:r w:rsidRPr="00A7497A">
        <w:t>75</w:t>
      </w:r>
      <w:r>
        <w:t> per cent of initiatives</w:t>
      </w:r>
      <w:r w:rsidRPr="00A7497A">
        <w:t xml:space="preserve">. </w:t>
      </w:r>
    </w:p>
    <w:p w:rsidR="004D2889" w:rsidRPr="0016766A" w:rsidRDefault="004D2889" w:rsidP="00FB037B">
      <w:pPr>
        <w:pStyle w:val="BodyText"/>
        <w:rPr>
          <w:spacing w:val="-2"/>
        </w:rPr>
      </w:pPr>
      <w:r w:rsidRPr="00DC005A">
        <w:rPr>
          <w:spacing w:val="-2"/>
        </w:rPr>
        <w:t>In broad terms, in 2008 six of the seven assessed initiatives were rated as making satisfactory progress in implementation and towards their objectives—some performed very well (Table 2). Five of the initiatives were rated as satisfactory for their monitoring and evaluation and for their likelihood of producing sustainable outcomes. Four initiatives had an unsatisfactory rating in at least one of the quality-at-implementation criteria and all needed work in some aspect.</w:t>
      </w:r>
    </w:p>
    <w:p w:rsidR="004D2889" w:rsidRPr="004B506A" w:rsidRDefault="004D2889" w:rsidP="00F21D43">
      <w:pPr>
        <w:pStyle w:val="BodyText"/>
      </w:pPr>
      <w:bookmarkStart w:id="50" w:name="_Toc201650409"/>
      <w:r>
        <w:t>S</w:t>
      </w:r>
      <w:r w:rsidRPr="004B506A">
        <w:t xml:space="preserve">ome of the crosscutting issues </w:t>
      </w:r>
      <w:r>
        <w:t>evident</w:t>
      </w:r>
      <w:r w:rsidRPr="004B506A">
        <w:t xml:space="preserve"> from the quality</w:t>
      </w:r>
      <w:r>
        <w:t>-</w:t>
      </w:r>
      <w:r w:rsidRPr="004B506A">
        <w:t>at</w:t>
      </w:r>
      <w:r>
        <w:t>-</w:t>
      </w:r>
      <w:r w:rsidRPr="004B506A">
        <w:t xml:space="preserve">implementation review </w:t>
      </w:r>
      <w:r>
        <w:t>are now considered</w:t>
      </w:r>
      <w:r w:rsidRPr="004B506A">
        <w:t>.</w:t>
      </w:r>
    </w:p>
    <w:p w:rsidR="004D2889" w:rsidRDefault="004D2889" w:rsidP="00F21D43">
      <w:pPr>
        <w:pStyle w:val="Caption"/>
      </w:pPr>
      <w:r>
        <w:t xml:space="preserve">Table </w:t>
      </w:r>
      <w:r w:rsidR="00276D74">
        <w:fldChar w:fldCharType="begin"/>
      </w:r>
      <w:r w:rsidR="00276D74">
        <w:instrText xml:space="preserve"> SEQ Table \* MERGEFORMAT </w:instrText>
      </w:r>
      <w:r w:rsidR="00276D74">
        <w:fldChar w:fldCharType="separate"/>
      </w:r>
      <w:r>
        <w:rPr>
          <w:noProof/>
        </w:rPr>
        <w:t>2</w:t>
      </w:r>
      <w:r w:rsidR="00276D74">
        <w:rPr>
          <w:noProof/>
        </w:rPr>
        <w:fldChar w:fldCharType="end"/>
      </w:r>
      <w:r>
        <w:t xml:space="preserve">: </w:t>
      </w:r>
      <w:bookmarkEnd w:id="50"/>
      <w:r w:rsidRPr="00431A12">
        <w:t>Quality at implementation</w:t>
      </w:r>
      <w:r>
        <w:t xml:space="preserve"> of 7 initiatives in the Tonga aid program in 2008</w:t>
      </w:r>
    </w:p>
    <w:tbl>
      <w:tblPr>
        <w:tblW w:w="7938" w:type="dxa"/>
        <w:tblInd w:w="57" w:type="dxa"/>
        <w:tblLayout w:type="fixed"/>
        <w:tblLook w:val="0000" w:firstRow="0" w:lastRow="0" w:firstColumn="0" w:lastColumn="0" w:noHBand="0" w:noVBand="0"/>
      </w:tblPr>
      <w:tblGrid>
        <w:gridCol w:w="4004"/>
        <w:gridCol w:w="983"/>
        <w:gridCol w:w="984"/>
        <w:gridCol w:w="983"/>
        <w:gridCol w:w="984"/>
      </w:tblGrid>
      <w:tr w:rsidR="004D2889" w:rsidRPr="004B506A" w:rsidTr="00453B11">
        <w:trPr>
          <w:cantSplit/>
          <w:trHeight w:val="1191"/>
          <w:tblHeader/>
        </w:trPr>
        <w:tc>
          <w:tcPr>
            <w:tcW w:w="4004" w:type="dxa"/>
            <w:tcBorders>
              <w:top w:val="single" w:sz="4" w:space="0" w:color="808080"/>
              <w:left w:val="single" w:sz="4" w:space="0" w:color="808080"/>
              <w:bottom w:val="single" w:sz="12" w:space="0" w:color="auto"/>
              <w:right w:val="single" w:sz="4" w:space="0" w:color="808080"/>
            </w:tcBorders>
            <w:shd w:val="clear" w:color="auto" w:fill="DDCF56"/>
            <w:tcMar>
              <w:left w:w="57" w:type="dxa"/>
              <w:right w:w="57" w:type="dxa"/>
            </w:tcMar>
            <w:vAlign w:val="center"/>
          </w:tcPr>
          <w:p w:rsidR="004D2889" w:rsidRDefault="004D2889">
            <w:pPr>
              <w:pStyle w:val="TableDataColumnHeading"/>
              <w:jc w:val="left"/>
              <w:rPr>
                <w:spacing w:val="-2"/>
              </w:rPr>
            </w:pPr>
            <w:r w:rsidRPr="00DC005A">
              <w:rPr>
                <w:spacing w:val="-2"/>
              </w:rPr>
              <w:t>Initiative</w:t>
            </w:r>
          </w:p>
        </w:tc>
        <w:tc>
          <w:tcPr>
            <w:tcW w:w="983" w:type="dxa"/>
            <w:tcBorders>
              <w:top w:val="single" w:sz="4" w:space="0" w:color="808080"/>
              <w:left w:val="single" w:sz="4" w:space="0" w:color="808080"/>
              <w:bottom w:val="single" w:sz="12" w:space="0" w:color="auto"/>
              <w:right w:val="single" w:sz="4" w:space="0" w:color="808080"/>
            </w:tcBorders>
            <w:shd w:val="clear" w:color="auto" w:fill="DDCF56"/>
            <w:tcMar>
              <w:left w:w="57" w:type="dxa"/>
              <w:right w:w="57" w:type="dxa"/>
            </w:tcMar>
            <w:textDirection w:val="btLr"/>
            <w:vAlign w:val="center"/>
          </w:tcPr>
          <w:p w:rsidR="004D2889" w:rsidRDefault="004D2889">
            <w:pPr>
              <w:pStyle w:val="TableDataColumnHeading"/>
              <w:ind w:left="-28" w:right="-28"/>
              <w:jc w:val="center"/>
              <w:rPr>
                <w:spacing w:val="-2"/>
              </w:rPr>
            </w:pPr>
            <w:r w:rsidRPr="00DC005A">
              <w:rPr>
                <w:spacing w:val="-2"/>
              </w:rPr>
              <w:t>Implementation progress</w:t>
            </w:r>
          </w:p>
        </w:tc>
        <w:tc>
          <w:tcPr>
            <w:tcW w:w="984" w:type="dxa"/>
            <w:tcBorders>
              <w:top w:val="single" w:sz="4" w:space="0" w:color="808080"/>
              <w:left w:val="single" w:sz="4" w:space="0" w:color="808080"/>
              <w:bottom w:val="single" w:sz="12" w:space="0" w:color="auto"/>
              <w:right w:val="single" w:sz="4" w:space="0" w:color="808080"/>
            </w:tcBorders>
            <w:shd w:val="clear" w:color="auto" w:fill="DDCF56"/>
            <w:tcMar>
              <w:left w:w="57" w:type="dxa"/>
              <w:right w:w="57" w:type="dxa"/>
            </w:tcMar>
            <w:textDirection w:val="btLr"/>
            <w:vAlign w:val="center"/>
          </w:tcPr>
          <w:p w:rsidR="004D2889" w:rsidRDefault="004D2889">
            <w:pPr>
              <w:pStyle w:val="TableDataColumnHeading"/>
              <w:ind w:left="-28" w:right="-28"/>
              <w:jc w:val="center"/>
              <w:rPr>
                <w:spacing w:val="-2"/>
              </w:rPr>
            </w:pPr>
            <w:r w:rsidRPr="00DC005A">
              <w:rPr>
                <w:spacing w:val="-2"/>
              </w:rPr>
              <w:t>Achieving objectives</w:t>
            </w:r>
          </w:p>
        </w:tc>
        <w:tc>
          <w:tcPr>
            <w:tcW w:w="983" w:type="dxa"/>
            <w:tcBorders>
              <w:top w:val="single" w:sz="4" w:space="0" w:color="808080"/>
              <w:left w:val="single" w:sz="4" w:space="0" w:color="808080"/>
              <w:bottom w:val="single" w:sz="12" w:space="0" w:color="auto"/>
              <w:right w:val="single" w:sz="4" w:space="0" w:color="808080"/>
            </w:tcBorders>
            <w:shd w:val="clear" w:color="auto" w:fill="DDCF56"/>
            <w:tcMar>
              <w:left w:w="57" w:type="dxa"/>
              <w:right w:w="57" w:type="dxa"/>
            </w:tcMar>
            <w:textDirection w:val="btLr"/>
            <w:vAlign w:val="center"/>
          </w:tcPr>
          <w:p w:rsidR="004D2889" w:rsidRDefault="004D2889">
            <w:pPr>
              <w:pStyle w:val="TableDataColumnHeading"/>
              <w:ind w:left="-28" w:right="-28"/>
              <w:jc w:val="center"/>
              <w:rPr>
                <w:spacing w:val="-2"/>
              </w:rPr>
            </w:pPr>
            <w:r w:rsidRPr="00DC005A">
              <w:rPr>
                <w:spacing w:val="-2"/>
              </w:rPr>
              <w:t>Monitoring &amp; evaluation</w:t>
            </w:r>
          </w:p>
        </w:tc>
        <w:tc>
          <w:tcPr>
            <w:tcW w:w="984" w:type="dxa"/>
            <w:tcBorders>
              <w:top w:val="single" w:sz="4" w:space="0" w:color="808080"/>
              <w:left w:val="single" w:sz="4" w:space="0" w:color="808080"/>
              <w:bottom w:val="single" w:sz="12" w:space="0" w:color="auto"/>
              <w:right w:val="single" w:sz="4" w:space="0" w:color="808080"/>
            </w:tcBorders>
            <w:shd w:val="clear" w:color="auto" w:fill="DDCF56"/>
            <w:tcMar>
              <w:left w:w="57" w:type="dxa"/>
              <w:right w:w="57" w:type="dxa"/>
            </w:tcMar>
            <w:textDirection w:val="btLr"/>
            <w:vAlign w:val="center"/>
          </w:tcPr>
          <w:p w:rsidR="004D2889" w:rsidRDefault="004D2889">
            <w:pPr>
              <w:pStyle w:val="TableDataColumnHeading"/>
              <w:ind w:left="-28" w:right="-28"/>
              <w:jc w:val="center"/>
              <w:rPr>
                <w:spacing w:val="-2"/>
              </w:rPr>
            </w:pPr>
            <w:r w:rsidRPr="00DC005A">
              <w:rPr>
                <w:spacing w:val="-2"/>
              </w:rPr>
              <w:t>Sustainability</w:t>
            </w:r>
          </w:p>
        </w:tc>
      </w:tr>
      <w:tr w:rsidR="004D2889" w:rsidRPr="004B506A">
        <w:trPr>
          <w:cantSplit/>
        </w:trPr>
        <w:tc>
          <w:tcPr>
            <w:tcW w:w="4004" w:type="dxa"/>
            <w:tcBorders>
              <w:top w:val="single" w:sz="12" w:space="0" w:color="auto"/>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jc w:val="left"/>
            </w:pPr>
            <w:r w:rsidRPr="004B506A">
              <w:t>Pacific Technical Assistance Mechanism</w:t>
            </w:r>
          </w:p>
        </w:tc>
        <w:tc>
          <w:tcPr>
            <w:tcW w:w="983" w:type="dxa"/>
            <w:tcBorders>
              <w:top w:val="single" w:sz="12" w:space="0" w:color="auto"/>
              <w:left w:val="single" w:sz="4" w:space="0" w:color="808080"/>
              <w:bottom w:val="single" w:sz="4" w:space="0" w:color="808080"/>
              <w:right w:val="single" w:sz="4" w:space="0" w:color="808080"/>
            </w:tcBorders>
            <w:shd w:val="clear" w:color="auto" w:fill="99CC00"/>
            <w:tcMar>
              <w:left w:w="57" w:type="dxa"/>
              <w:right w:w="57" w:type="dxa"/>
            </w:tcMar>
          </w:tcPr>
          <w:p w:rsidR="004D2889" w:rsidRDefault="004D2889">
            <w:pPr>
              <w:pStyle w:val="TableDataEntries"/>
              <w:ind w:right="284"/>
            </w:pPr>
            <w:r w:rsidRPr="004B506A">
              <w:t>5</w:t>
            </w:r>
          </w:p>
        </w:tc>
        <w:tc>
          <w:tcPr>
            <w:tcW w:w="984" w:type="dxa"/>
            <w:tcBorders>
              <w:top w:val="single" w:sz="12" w:space="0" w:color="auto"/>
              <w:left w:val="single" w:sz="4" w:space="0" w:color="808080"/>
              <w:bottom w:val="single" w:sz="4" w:space="0" w:color="808080"/>
              <w:right w:val="single" w:sz="4" w:space="0" w:color="808080"/>
            </w:tcBorders>
            <w:shd w:val="clear" w:color="auto" w:fill="99CC00"/>
            <w:tcMar>
              <w:left w:w="57" w:type="dxa"/>
              <w:right w:w="57" w:type="dxa"/>
            </w:tcMar>
          </w:tcPr>
          <w:p w:rsidR="004D2889" w:rsidRDefault="004D2889">
            <w:pPr>
              <w:pStyle w:val="TableDataEntries"/>
              <w:ind w:right="284"/>
            </w:pPr>
            <w:r w:rsidRPr="004B506A">
              <w:t>5</w:t>
            </w:r>
          </w:p>
        </w:tc>
        <w:tc>
          <w:tcPr>
            <w:tcW w:w="983" w:type="dxa"/>
            <w:tcBorders>
              <w:top w:val="single" w:sz="12" w:space="0" w:color="auto"/>
              <w:left w:val="single" w:sz="4" w:space="0" w:color="808080"/>
              <w:bottom w:val="single" w:sz="4" w:space="0" w:color="808080"/>
              <w:right w:val="single" w:sz="4" w:space="0" w:color="808080"/>
            </w:tcBorders>
            <w:shd w:val="clear" w:color="339966" w:fill="FFCC00"/>
            <w:tcMar>
              <w:left w:w="57" w:type="dxa"/>
              <w:right w:w="57" w:type="dxa"/>
            </w:tcMar>
          </w:tcPr>
          <w:p w:rsidR="004D2889" w:rsidRDefault="004D2889">
            <w:pPr>
              <w:pStyle w:val="TableDataEntries"/>
              <w:ind w:right="284"/>
            </w:pPr>
            <w:r w:rsidRPr="004B506A">
              <w:t>4</w:t>
            </w:r>
          </w:p>
        </w:tc>
        <w:tc>
          <w:tcPr>
            <w:tcW w:w="984" w:type="dxa"/>
            <w:tcBorders>
              <w:top w:val="single" w:sz="12" w:space="0" w:color="auto"/>
              <w:left w:val="single" w:sz="4" w:space="0" w:color="808080"/>
              <w:bottom w:val="single" w:sz="4" w:space="0" w:color="808080"/>
              <w:right w:val="single" w:sz="4" w:space="0" w:color="808080"/>
            </w:tcBorders>
            <w:shd w:val="clear" w:color="339966" w:fill="FF9900"/>
            <w:tcMar>
              <w:left w:w="57" w:type="dxa"/>
              <w:right w:w="57" w:type="dxa"/>
            </w:tcMar>
          </w:tcPr>
          <w:p w:rsidR="004D2889" w:rsidRDefault="004D2889">
            <w:pPr>
              <w:pStyle w:val="TableDataEntries"/>
              <w:ind w:right="284"/>
            </w:pPr>
            <w:r w:rsidRPr="004B506A">
              <w:t>3</w:t>
            </w:r>
          </w:p>
        </w:tc>
      </w:tr>
      <w:tr w:rsidR="004D2889" w:rsidRPr="004B506A">
        <w:trPr>
          <w:cantSplit/>
        </w:trPr>
        <w:tc>
          <w:tcPr>
            <w:tcW w:w="4004"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jc w:val="left"/>
            </w:pPr>
            <w:r w:rsidRPr="004B506A">
              <w:t>Tonga</w:t>
            </w:r>
            <w:r>
              <w:t>–</w:t>
            </w:r>
            <w:smartTag w:uri="urn:schemas-microsoft-com:office:smarttags" w:element="place">
              <w:smartTag w:uri="urn:schemas-microsoft-com:office:smarttags" w:element="country-region">
                <w:r w:rsidRPr="004B506A">
                  <w:t>Australia</w:t>
                </w:r>
              </w:smartTag>
            </w:smartTag>
            <w:r w:rsidRPr="004B506A">
              <w:t xml:space="preserve"> Performance Partnership Agreement</w:t>
            </w:r>
          </w:p>
        </w:tc>
        <w:tc>
          <w:tcPr>
            <w:tcW w:w="983" w:type="dxa"/>
            <w:tcBorders>
              <w:top w:val="single" w:sz="4" w:space="0" w:color="808080"/>
              <w:left w:val="single" w:sz="4" w:space="0" w:color="808080"/>
              <w:bottom w:val="single" w:sz="4" w:space="0" w:color="808080"/>
              <w:right w:val="single" w:sz="4" w:space="0" w:color="808080"/>
            </w:tcBorders>
            <w:shd w:val="clear" w:color="339966" w:fill="FFCC00"/>
            <w:tcMar>
              <w:left w:w="57" w:type="dxa"/>
              <w:right w:w="57" w:type="dxa"/>
            </w:tcMar>
          </w:tcPr>
          <w:p w:rsidR="004D2889" w:rsidRDefault="004D2889">
            <w:pPr>
              <w:pStyle w:val="TableDataEntries"/>
              <w:ind w:right="284"/>
            </w:pPr>
            <w:r w:rsidRPr="004B506A">
              <w:t>4</w:t>
            </w:r>
          </w:p>
        </w:tc>
        <w:tc>
          <w:tcPr>
            <w:tcW w:w="984" w:type="dxa"/>
            <w:tcBorders>
              <w:top w:val="single" w:sz="4" w:space="0" w:color="808080"/>
              <w:left w:val="single" w:sz="4" w:space="0" w:color="808080"/>
              <w:bottom w:val="single" w:sz="4" w:space="0" w:color="808080"/>
              <w:right w:val="single" w:sz="4" w:space="0" w:color="808080"/>
            </w:tcBorders>
            <w:shd w:val="clear" w:color="auto" w:fill="99CC00"/>
            <w:tcMar>
              <w:left w:w="57" w:type="dxa"/>
              <w:right w:w="57" w:type="dxa"/>
            </w:tcMar>
          </w:tcPr>
          <w:p w:rsidR="004D2889" w:rsidRDefault="004D2889">
            <w:pPr>
              <w:pStyle w:val="TableDataEntries"/>
              <w:ind w:right="284"/>
            </w:pPr>
            <w:r w:rsidRPr="004B506A">
              <w:t>6</w:t>
            </w:r>
          </w:p>
        </w:tc>
        <w:tc>
          <w:tcPr>
            <w:tcW w:w="983" w:type="dxa"/>
            <w:tcBorders>
              <w:top w:val="single" w:sz="4" w:space="0" w:color="808080"/>
              <w:left w:val="single" w:sz="4" w:space="0" w:color="808080"/>
              <w:bottom w:val="single" w:sz="4" w:space="0" w:color="808080"/>
              <w:right w:val="single" w:sz="4" w:space="0" w:color="808080"/>
            </w:tcBorders>
            <w:shd w:val="clear" w:color="339966" w:fill="FFCC00"/>
            <w:tcMar>
              <w:left w:w="57" w:type="dxa"/>
              <w:right w:w="57" w:type="dxa"/>
            </w:tcMar>
          </w:tcPr>
          <w:p w:rsidR="004D2889" w:rsidRDefault="004D2889">
            <w:pPr>
              <w:pStyle w:val="TableDataEntries"/>
              <w:ind w:right="284"/>
            </w:pPr>
            <w:r w:rsidRPr="004B506A">
              <w:t>4</w:t>
            </w:r>
          </w:p>
        </w:tc>
        <w:tc>
          <w:tcPr>
            <w:tcW w:w="984" w:type="dxa"/>
            <w:tcBorders>
              <w:top w:val="single" w:sz="4" w:space="0" w:color="808080"/>
              <w:left w:val="single" w:sz="4" w:space="0" w:color="808080"/>
              <w:bottom w:val="single" w:sz="4" w:space="0" w:color="808080"/>
              <w:right w:val="single" w:sz="4" w:space="0" w:color="808080"/>
            </w:tcBorders>
            <w:shd w:val="clear" w:color="auto" w:fill="99CC00"/>
            <w:tcMar>
              <w:left w:w="57" w:type="dxa"/>
              <w:right w:w="57" w:type="dxa"/>
            </w:tcMar>
          </w:tcPr>
          <w:p w:rsidR="004D2889" w:rsidRDefault="004D2889">
            <w:pPr>
              <w:pStyle w:val="TableDataEntries"/>
              <w:ind w:right="284"/>
            </w:pPr>
            <w:r w:rsidRPr="004B506A">
              <w:t>5</w:t>
            </w:r>
          </w:p>
        </w:tc>
      </w:tr>
      <w:tr w:rsidR="004D2889" w:rsidRPr="004B506A">
        <w:trPr>
          <w:cantSplit/>
        </w:trPr>
        <w:tc>
          <w:tcPr>
            <w:tcW w:w="4004"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jc w:val="left"/>
            </w:pPr>
            <w:r w:rsidRPr="004B506A">
              <w:t>Business Recovery Facility</w:t>
            </w:r>
          </w:p>
        </w:tc>
        <w:tc>
          <w:tcPr>
            <w:tcW w:w="983" w:type="dxa"/>
            <w:tcBorders>
              <w:top w:val="single" w:sz="4" w:space="0" w:color="808080"/>
              <w:left w:val="single" w:sz="4" w:space="0" w:color="808080"/>
              <w:bottom w:val="single" w:sz="4" w:space="0" w:color="808080"/>
              <w:right w:val="single" w:sz="4" w:space="0" w:color="808080"/>
            </w:tcBorders>
            <w:shd w:val="clear" w:color="339966" w:fill="FFCC00"/>
            <w:tcMar>
              <w:left w:w="57" w:type="dxa"/>
              <w:right w:w="57" w:type="dxa"/>
            </w:tcMar>
          </w:tcPr>
          <w:p w:rsidR="004D2889" w:rsidRDefault="004D2889">
            <w:pPr>
              <w:pStyle w:val="TableDataEntries"/>
              <w:ind w:right="284"/>
            </w:pPr>
            <w:r w:rsidRPr="004B506A">
              <w:t>4</w:t>
            </w:r>
          </w:p>
        </w:tc>
        <w:tc>
          <w:tcPr>
            <w:tcW w:w="984" w:type="dxa"/>
            <w:tcBorders>
              <w:top w:val="single" w:sz="4" w:space="0" w:color="808080"/>
              <w:left w:val="single" w:sz="4" w:space="0" w:color="808080"/>
              <w:bottom w:val="single" w:sz="4" w:space="0" w:color="808080"/>
              <w:right w:val="single" w:sz="4" w:space="0" w:color="808080"/>
            </w:tcBorders>
            <w:shd w:val="clear" w:color="339966" w:fill="FFCC00"/>
            <w:tcMar>
              <w:left w:w="57" w:type="dxa"/>
              <w:right w:w="57" w:type="dxa"/>
            </w:tcMar>
          </w:tcPr>
          <w:p w:rsidR="004D2889" w:rsidRDefault="004D2889">
            <w:pPr>
              <w:pStyle w:val="TableDataEntries"/>
              <w:ind w:right="284"/>
            </w:pPr>
            <w:r w:rsidRPr="004B506A">
              <w:t>4</w:t>
            </w:r>
          </w:p>
        </w:tc>
        <w:tc>
          <w:tcPr>
            <w:tcW w:w="983" w:type="dxa"/>
            <w:tcBorders>
              <w:top w:val="single" w:sz="4" w:space="0" w:color="808080"/>
              <w:left w:val="single" w:sz="4" w:space="0" w:color="808080"/>
              <w:bottom w:val="single" w:sz="4" w:space="0" w:color="808080"/>
              <w:right w:val="single" w:sz="4" w:space="0" w:color="808080"/>
            </w:tcBorders>
            <w:shd w:val="clear" w:color="339966" w:fill="FFCC00"/>
            <w:tcMar>
              <w:left w:w="57" w:type="dxa"/>
              <w:right w:w="57" w:type="dxa"/>
            </w:tcMar>
          </w:tcPr>
          <w:p w:rsidR="004D2889" w:rsidRDefault="004D2889">
            <w:pPr>
              <w:pStyle w:val="TableDataEntries"/>
              <w:ind w:right="284"/>
            </w:pPr>
            <w:r w:rsidRPr="004B506A">
              <w:t>4</w:t>
            </w:r>
          </w:p>
        </w:tc>
        <w:tc>
          <w:tcPr>
            <w:tcW w:w="984" w:type="dxa"/>
            <w:tcBorders>
              <w:top w:val="single" w:sz="4" w:space="0" w:color="808080"/>
              <w:left w:val="single" w:sz="4" w:space="0" w:color="808080"/>
              <w:bottom w:val="single" w:sz="4" w:space="0" w:color="808080"/>
              <w:right w:val="single" w:sz="4" w:space="0" w:color="808080"/>
            </w:tcBorders>
            <w:shd w:val="clear" w:color="auto" w:fill="99CC00"/>
            <w:tcMar>
              <w:left w:w="57" w:type="dxa"/>
              <w:right w:w="57" w:type="dxa"/>
            </w:tcMar>
          </w:tcPr>
          <w:p w:rsidR="004D2889" w:rsidRDefault="004D2889">
            <w:pPr>
              <w:pStyle w:val="TableDataEntries"/>
              <w:ind w:right="284"/>
            </w:pPr>
            <w:r w:rsidRPr="004B506A">
              <w:t>5</w:t>
            </w:r>
          </w:p>
        </w:tc>
      </w:tr>
      <w:tr w:rsidR="004D2889" w:rsidRPr="004B506A">
        <w:trPr>
          <w:cantSplit/>
        </w:trPr>
        <w:tc>
          <w:tcPr>
            <w:tcW w:w="4004"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Pr="004B506A" w:rsidRDefault="004D2889" w:rsidP="00E61941">
            <w:pPr>
              <w:pStyle w:val="TableDataEntries"/>
              <w:jc w:val="left"/>
            </w:pPr>
            <w:r w:rsidRPr="004B506A">
              <w:t>Australian Development Scholarships</w:t>
            </w:r>
          </w:p>
        </w:tc>
        <w:tc>
          <w:tcPr>
            <w:tcW w:w="983" w:type="dxa"/>
            <w:tcBorders>
              <w:top w:val="single" w:sz="4" w:space="0" w:color="808080"/>
              <w:left w:val="single" w:sz="4" w:space="0" w:color="808080"/>
              <w:bottom w:val="single" w:sz="4" w:space="0" w:color="808080"/>
              <w:right w:val="single" w:sz="4" w:space="0" w:color="808080"/>
            </w:tcBorders>
            <w:shd w:val="clear" w:color="339966" w:fill="99CC00"/>
            <w:tcMar>
              <w:left w:w="57" w:type="dxa"/>
              <w:right w:w="57" w:type="dxa"/>
            </w:tcMar>
          </w:tcPr>
          <w:p w:rsidR="004D2889" w:rsidRPr="004B506A" w:rsidRDefault="004D2889" w:rsidP="00295EBC">
            <w:pPr>
              <w:pStyle w:val="TableDataEntries"/>
              <w:ind w:right="284"/>
            </w:pPr>
            <w:r>
              <w:t>5</w:t>
            </w:r>
          </w:p>
        </w:tc>
        <w:tc>
          <w:tcPr>
            <w:tcW w:w="984" w:type="dxa"/>
            <w:tcBorders>
              <w:top w:val="single" w:sz="4" w:space="0" w:color="808080"/>
              <w:left w:val="single" w:sz="4" w:space="0" w:color="808080"/>
              <w:bottom w:val="single" w:sz="4" w:space="0" w:color="808080"/>
              <w:right w:val="single" w:sz="4" w:space="0" w:color="808080"/>
            </w:tcBorders>
            <w:shd w:val="clear" w:color="339966" w:fill="FFCC00"/>
            <w:tcMar>
              <w:left w:w="57" w:type="dxa"/>
              <w:right w:w="57" w:type="dxa"/>
            </w:tcMar>
          </w:tcPr>
          <w:p w:rsidR="004D2889" w:rsidRPr="004B506A" w:rsidRDefault="004D2889" w:rsidP="00295EBC">
            <w:pPr>
              <w:pStyle w:val="TableDataEntries"/>
              <w:ind w:right="284"/>
            </w:pPr>
            <w:r>
              <w:t>4</w:t>
            </w:r>
          </w:p>
        </w:tc>
        <w:tc>
          <w:tcPr>
            <w:tcW w:w="983" w:type="dxa"/>
            <w:tcBorders>
              <w:top w:val="single" w:sz="4" w:space="0" w:color="808080"/>
              <w:left w:val="single" w:sz="4" w:space="0" w:color="808080"/>
              <w:bottom w:val="single" w:sz="4" w:space="0" w:color="808080"/>
              <w:right w:val="single" w:sz="4" w:space="0" w:color="808080"/>
            </w:tcBorders>
            <w:shd w:val="clear" w:color="339966" w:fill="99CC00"/>
            <w:tcMar>
              <w:left w:w="57" w:type="dxa"/>
              <w:right w:w="57" w:type="dxa"/>
            </w:tcMar>
          </w:tcPr>
          <w:p w:rsidR="004D2889" w:rsidRPr="004B506A" w:rsidRDefault="004D2889" w:rsidP="00295EBC">
            <w:pPr>
              <w:pStyle w:val="TableDataEntries"/>
              <w:ind w:right="284"/>
            </w:pPr>
            <w:r>
              <w:t>5</w:t>
            </w:r>
          </w:p>
        </w:tc>
        <w:tc>
          <w:tcPr>
            <w:tcW w:w="984" w:type="dxa"/>
            <w:tcBorders>
              <w:top w:val="single" w:sz="4" w:space="0" w:color="808080"/>
              <w:left w:val="single" w:sz="4" w:space="0" w:color="808080"/>
              <w:bottom w:val="single" w:sz="4" w:space="0" w:color="808080"/>
              <w:right w:val="single" w:sz="4" w:space="0" w:color="808080"/>
            </w:tcBorders>
            <w:shd w:val="clear" w:color="auto" w:fill="FFCC00"/>
            <w:tcMar>
              <w:left w:w="57" w:type="dxa"/>
              <w:right w:w="57" w:type="dxa"/>
            </w:tcMar>
          </w:tcPr>
          <w:p w:rsidR="004D2889" w:rsidRPr="004B506A" w:rsidRDefault="004D2889" w:rsidP="00295EBC">
            <w:pPr>
              <w:pStyle w:val="TableDataEntries"/>
              <w:ind w:right="284"/>
            </w:pPr>
            <w:r>
              <w:t>4</w:t>
            </w:r>
          </w:p>
        </w:tc>
      </w:tr>
      <w:tr w:rsidR="004D2889" w:rsidRPr="004B506A">
        <w:trPr>
          <w:cantSplit/>
        </w:trPr>
        <w:tc>
          <w:tcPr>
            <w:tcW w:w="4004"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Pr="004B506A" w:rsidRDefault="004D2889" w:rsidP="00E61941">
            <w:pPr>
              <w:pStyle w:val="TableDataEntries"/>
              <w:jc w:val="left"/>
            </w:pPr>
            <w:r w:rsidRPr="004B506A">
              <w:t>Australian Regional Development Scholarships</w:t>
            </w:r>
          </w:p>
        </w:tc>
        <w:tc>
          <w:tcPr>
            <w:tcW w:w="983" w:type="dxa"/>
            <w:tcBorders>
              <w:top w:val="single" w:sz="4" w:space="0" w:color="808080"/>
              <w:left w:val="single" w:sz="4" w:space="0" w:color="808080"/>
              <w:bottom w:val="single" w:sz="4" w:space="0" w:color="808080"/>
              <w:right w:val="single" w:sz="4" w:space="0" w:color="808080"/>
            </w:tcBorders>
            <w:shd w:val="clear" w:color="339966" w:fill="FFCC00"/>
            <w:tcMar>
              <w:left w:w="57" w:type="dxa"/>
              <w:right w:w="57" w:type="dxa"/>
            </w:tcMar>
          </w:tcPr>
          <w:p w:rsidR="004D2889" w:rsidRPr="004B506A" w:rsidRDefault="004D2889" w:rsidP="00295EBC">
            <w:pPr>
              <w:pStyle w:val="TableDataEntries"/>
              <w:ind w:right="284"/>
            </w:pPr>
            <w:r>
              <w:t>4</w:t>
            </w:r>
          </w:p>
        </w:tc>
        <w:tc>
          <w:tcPr>
            <w:tcW w:w="984" w:type="dxa"/>
            <w:tcBorders>
              <w:top w:val="single" w:sz="4" w:space="0" w:color="808080"/>
              <w:left w:val="single" w:sz="4" w:space="0" w:color="808080"/>
              <w:bottom w:val="single" w:sz="4" w:space="0" w:color="808080"/>
              <w:right w:val="single" w:sz="4" w:space="0" w:color="808080"/>
            </w:tcBorders>
            <w:shd w:val="clear" w:color="339966" w:fill="99CC00"/>
            <w:tcMar>
              <w:left w:w="57" w:type="dxa"/>
              <w:right w:w="57" w:type="dxa"/>
            </w:tcMar>
          </w:tcPr>
          <w:p w:rsidR="004D2889" w:rsidRPr="004B506A" w:rsidRDefault="004D2889" w:rsidP="00295EBC">
            <w:pPr>
              <w:pStyle w:val="TableDataEntries"/>
              <w:ind w:right="284"/>
            </w:pPr>
            <w:r>
              <w:t>5</w:t>
            </w:r>
          </w:p>
        </w:tc>
        <w:tc>
          <w:tcPr>
            <w:tcW w:w="983" w:type="dxa"/>
            <w:tcBorders>
              <w:top w:val="single" w:sz="4" w:space="0" w:color="808080"/>
              <w:left w:val="single" w:sz="4" w:space="0" w:color="808080"/>
              <w:bottom w:val="single" w:sz="4" w:space="0" w:color="808080"/>
              <w:right w:val="single" w:sz="4" w:space="0" w:color="808080"/>
            </w:tcBorders>
            <w:shd w:val="clear" w:color="339966" w:fill="FF9900"/>
            <w:tcMar>
              <w:left w:w="57" w:type="dxa"/>
              <w:right w:w="57" w:type="dxa"/>
            </w:tcMar>
          </w:tcPr>
          <w:p w:rsidR="004D2889" w:rsidRPr="004B506A" w:rsidRDefault="004D2889" w:rsidP="00295EBC">
            <w:pPr>
              <w:pStyle w:val="TableDataEntries"/>
              <w:ind w:right="284"/>
            </w:pPr>
            <w:r>
              <w:t>3</w:t>
            </w:r>
          </w:p>
        </w:tc>
        <w:tc>
          <w:tcPr>
            <w:tcW w:w="984" w:type="dxa"/>
            <w:tcBorders>
              <w:top w:val="single" w:sz="4" w:space="0" w:color="808080"/>
              <w:left w:val="single" w:sz="4" w:space="0" w:color="808080"/>
              <w:bottom w:val="single" w:sz="4" w:space="0" w:color="808080"/>
              <w:right w:val="single" w:sz="4" w:space="0" w:color="808080"/>
            </w:tcBorders>
            <w:shd w:val="clear" w:color="auto" w:fill="FFCC00"/>
            <w:tcMar>
              <w:left w:w="57" w:type="dxa"/>
              <w:right w:w="57" w:type="dxa"/>
            </w:tcMar>
          </w:tcPr>
          <w:p w:rsidR="004D2889" w:rsidRPr="004B506A" w:rsidRDefault="004D2889" w:rsidP="00295EBC">
            <w:pPr>
              <w:pStyle w:val="TableDataEntries"/>
              <w:ind w:right="284"/>
            </w:pPr>
            <w:r>
              <w:t>4</w:t>
            </w:r>
          </w:p>
        </w:tc>
      </w:tr>
      <w:tr w:rsidR="004D2889" w:rsidRPr="004B506A">
        <w:trPr>
          <w:cantSplit/>
        </w:trPr>
        <w:tc>
          <w:tcPr>
            <w:tcW w:w="4004"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jc w:val="left"/>
            </w:pPr>
            <w:r w:rsidRPr="004B506A">
              <w:t>Distance Education</w:t>
            </w:r>
            <w:r>
              <w:t xml:space="preserve"> Scholarship Program</w:t>
            </w:r>
          </w:p>
        </w:tc>
        <w:tc>
          <w:tcPr>
            <w:tcW w:w="983" w:type="dxa"/>
            <w:tcBorders>
              <w:top w:val="single" w:sz="4" w:space="0" w:color="808080"/>
              <w:left w:val="single" w:sz="4" w:space="0" w:color="808080"/>
              <w:bottom w:val="single" w:sz="4" w:space="0" w:color="808080"/>
              <w:right w:val="single" w:sz="4" w:space="0" w:color="808080"/>
            </w:tcBorders>
            <w:shd w:val="clear" w:color="auto" w:fill="FF9900"/>
            <w:tcMar>
              <w:left w:w="57" w:type="dxa"/>
              <w:right w:w="57" w:type="dxa"/>
            </w:tcMar>
          </w:tcPr>
          <w:p w:rsidR="004D2889" w:rsidRDefault="004D2889">
            <w:pPr>
              <w:pStyle w:val="TableDataEntries"/>
              <w:ind w:right="284"/>
            </w:pPr>
            <w:r w:rsidRPr="004B506A">
              <w:t>3</w:t>
            </w:r>
          </w:p>
        </w:tc>
        <w:tc>
          <w:tcPr>
            <w:tcW w:w="984" w:type="dxa"/>
            <w:tcBorders>
              <w:top w:val="single" w:sz="4" w:space="0" w:color="808080"/>
              <w:left w:val="single" w:sz="4" w:space="0" w:color="808080"/>
              <w:bottom w:val="single" w:sz="4" w:space="0" w:color="808080"/>
              <w:right w:val="single" w:sz="4" w:space="0" w:color="808080"/>
            </w:tcBorders>
            <w:shd w:val="clear" w:color="339966" w:fill="FF0000"/>
            <w:tcMar>
              <w:left w:w="57" w:type="dxa"/>
              <w:right w:w="57" w:type="dxa"/>
            </w:tcMar>
          </w:tcPr>
          <w:p w:rsidR="004D2889" w:rsidRDefault="004D2889">
            <w:pPr>
              <w:pStyle w:val="TableDataEntries"/>
              <w:ind w:right="284"/>
            </w:pPr>
            <w:r w:rsidRPr="004B506A">
              <w:t>2</w:t>
            </w:r>
          </w:p>
        </w:tc>
        <w:tc>
          <w:tcPr>
            <w:tcW w:w="983" w:type="dxa"/>
            <w:tcBorders>
              <w:top w:val="single" w:sz="4" w:space="0" w:color="808080"/>
              <w:left w:val="single" w:sz="4" w:space="0" w:color="808080"/>
              <w:bottom w:val="single" w:sz="4" w:space="0" w:color="808080"/>
              <w:right w:val="single" w:sz="4" w:space="0" w:color="808080"/>
            </w:tcBorders>
            <w:shd w:val="clear" w:color="auto" w:fill="FF9900"/>
            <w:tcMar>
              <w:left w:w="57" w:type="dxa"/>
              <w:right w:w="57" w:type="dxa"/>
            </w:tcMar>
          </w:tcPr>
          <w:p w:rsidR="004D2889" w:rsidRDefault="004D2889">
            <w:pPr>
              <w:pStyle w:val="TableDataEntries"/>
              <w:ind w:right="284"/>
            </w:pPr>
            <w:r w:rsidRPr="004B506A">
              <w:t>3</w:t>
            </w:r>
          </w:p>
        </w:tc>
        <w:tc>
          <w:tcPr>
            <w:tcW w:w="984" w:type="dxa"/>
            <w:tcBorders>
              <w:top w:val="single" w:sz="4" w:space="0" w:color="808080"/>
              <w:left w:val="single" w:sz="4" w:space="0" w:color="808080"/>
              <w:bottom w:val="single" w:sz="4" w:space="0" w:color="808080"/>
              <w:right w:val="single" w:sz="4" w:space="0" w:color="808080"/>
            </w:tcBorders>
            <w:shd w:val="clear" w:color="339966" w:fill="FFCC00"/>
            <w:tcMar>
              <w:left w:w="57" w:type="dxa"/>
              <w:right w:w="57" w:type="dxa"/>
            </w:tcMar>
          </w:tcPr>
          <w:p w:rsidR="004D2889" w:rsidRDefault="004D2889">
            <w:pPr>
              <w:pStyle w:val="TableDataEntries"/>
              <w:ind w:right="284"/>
            </w:pPr>
            <w:r w:rsidRPr="004B506A">
              <w:t>4</w:t>
            </w:r>
          </w:p>
        </w:tc>
      </w:tr>
      <w:tr w:rsidR="004D2889" w:rsidRPr="004B506A">
        <w:trPr>
          <w:cantSplit/>
        </w:trPr>
        <w:tc>
          <w:tcPr>
            <w:tcW w:w="4004"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jc w:val="left"/>
            </w:pPr>
            <w:smartTag w:uri="urn:schemas-microsoft-com:office:smarttags" w:element="place">
              <w:smartTag w:uri="urn:schemas-microsoft-com:office:smarttags" w:element="country-region">
                <w:r w:rsidRPr="004B506A">
                  <w:t>Tonga</w:t>
                </w:r>
              </w:smartTag>
            </w:smartTag>
            <w:r w:rsidRPr="004B506A">
              <w:t xml:space="preserve"> Community Development Scheme</w:t>
            </w:r>
          </w:p>
        </w:tc>
        <w:tc>
          <w:tcPr>
            <w:tcW w:w="983" w:type="dxa"/>
            <w:tcBorders>
              <w:top w:val="single" w:sz="4" w:space="0" w:color="808080"/>
              <w:left w:val="single" w:sz="4" w:space="0" w:color="808080"/>
              <w:bottom w:val="single" w:sz="4" w:space="0" w:color="808080"/>
              <w:right w:val="single" w:sz="4" w:space="0" w:color="808080"/>
            </w:tcBorders>
            <w:shd w:val="clear" w:color="339966" w:fill="FFCC00"/>
            <w:tcMar>
              <w:left w:w="57" w:type="dxa"/>
              <w:right w:w="57" w:type="dxa"/>
            </w:tcMar>
          </w:tcPr>
          <w:p w:rsidR="004D2889" w:rsidRDefault="004D2889">
            <w:pPr>
              <w:pStyle w:val="TableDataEntries"/>
              <w:ind w:right="284"/>
            </w:pPr>
            <w:r w:rsidRPr="004B506A">
              <w:t>4</w:t>
            </w:r>
          </w:p>
        </w:tc>
        <w:tc>
          <w:tcPr>
            <w:tcW w:w="984" w:type="dxa"/>
            <w:tcBorders>
              <w:top w:val="single" w:sz="4" w:space="0" w:color="808080"/>
              <w:left w:val="single" w:sz="4" w:space="0" w:color="808080"/>
              <w:bottom w:val="single" w:sz="4" w:space="0" w:color="808080"/>
              <w:right w:val="single" w:sz="4" w:space="0" w:color="808080"/>
            </w:tcBorders>
            <w:shd w:val="clear" w:color="339966" w:fill="FFCC00"/>
            <w:tcMar>
              <w:left w:w="57" w:type="dxa"/>
              <w:right w:w="57" w:type="dxa"/>
            </w:tcMar>
          </w:tcPr>
          <w:p w:rsidR="004D2889" w:rsidRDefault="004D2889">
            <w:pPr>
              <w:pStyle w:val="TableDataEntries"/>
              <w:ind w:right="284"/>
            </w:pPr>
            <w:r w:rsidRPr="004B506A">
              <w:t>4</w:t>
            </w:r>
          </w:p>
        </w:tc>
        <w:tc>
          <w:tcPr>
            <w:tcW w:w="983" w:type="dxa"/>
            <w:tcBorders>
              <w:top w:val="single" w:sz="4" w:space="0" w:color="808080"/>
              <w:left w:val="single" w:sz="4" w:space="0" w:color="808080"/>
              <w:bottom w:val="single" w:sz="4" w:space="0" w:color="808080"/>
              <w:right w:val="single" w:sz="4" w:space="0" w:color="808080"/>
            </w:tcBorders>
            <w:shd w:val="clear" w:color="339966" w:fill="FFCC00"/>
            <w:tcMar>
              <w:left w:w="57" w:type="dxa"/>
              <w:right w:w="57" w:type="dxa"/>
            </w:tcMar>
          </w:tcPr>
          <w:p w:rsidR="004D2889" w:rsidRDefault="004D2889">
            <w:pPr>
              <w:pStyle w:val="TableDataEntries"/>
              <w:ind w:right="284"/>
            </w:pPr>
            <w:r w:rsidRPr="004B506A">
              <w:t>4</w:t>
            </w:r>
          </w:p>
        </w:tc>
        <w:tc>
          <w:tcPr>
            <w:tcW w:w="984" w:type="dxa"/>
            <w:tcBorders>
              <w:top w:val="single" w:sz="4" w:space="0" w:color="808080"/>
              <w:left w:val="single" w:sz="4" w:space="0" w:color="808080"/>
              <w:bottom w:val="single" w:sz="4" w:space="0" w:color="808080"/>
              <w:right w:val="single" w:sz="4" w:space="0" w:color="808080"/>
            </w:tcBorders>
            <w:shd w:val="clear" w:color="auto" w:fill="FF9900"/>
            <w:tcMar>
              <w:left w:w="57" w:type="dxa"/>
              <w:right w:w="57" w:type="dxa"/>
            </w:tcMar>
          </w:tcPr>
          <w:p w:rsidR="004D2889" w:rsidRDefault="004D2889">
            <w:pPr>
              <w:pStyle w:val="TableDataEntries"/>
              <w:ind w:right="284"/>
            </w:pPr>
            <w:r w:rsidRPr="004B506A">
              <w:t>3</w:t>
            </w:r>
          </w:p>
        </w:tc>
      </w:tr>
      <w:tr w:rsidR="004D2889" w:rsidRPr="00994D5D">
        <w:trPr>
          <w:cantSplit/>
        </w:trPr>
        <w:tc>
          <w:tcPr>
            <w:tcW w:w="4004"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Pr="00994D5D" w:rsidDel="00FB037B" w:rsidRDefault="004D2889" w:rsidP="00FB037B">
            <w:pPr>
              <w:pStyle w:val="TableDataEntries"/>
              <w:jc w:val="left"/>
              <w:rPr>
                <w:rFonts w:ascii="Franklin Gothic Medium" w:hAnsi="Franklin Gothic Medium"/>
              </w:rPr>
            </w:pPr>
            <w:r w:rsidRPr="00DC005A">
              <w:rPr>
                <w:rFonts w:ascii="Franklin Gothic Medium" w:hAnsi="Franklin Gothic Medium"/>
              </w:rPr>
              <w:t>Total no. of initiatives rated</w:t>
            </w:r>
          </w:p>
        </w:tc>
        <w:tc>
          <w:tcPr>
            <w:tcW w:w="983"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ind w:right="284"/>
              <w:rPr>
                <w:rFonts w:ascii="Franklin Gothic Medium" w:hAnsi="Franklin Gothic Medium"/>
              </w:rPr>
            </w:pPr>
            <w:r w:rsidRPr="00DC005A">
              <w:rPr>
                <w:rFonts w:ascii="Franklin Gothic Medium" w:hAnsi="Franklin Gothic Medium"/>
              </w:rPr>
              <w:t>7</w:t>
            </w:r>
          </w:p>
        </w:tc>
        <w:tc>
          <w:tcPr>
            <w:tcW w:w="984"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ind w:right="284"/>
              <w:rPr>
                <w:rFonts w:ascii="Franklin Gothic Medium" w:hAnsi="Franklin Gothic Medium"/>
              </w:rPr>
            </w:pPr>
            <w:r w:rsidRPr="00DC005A">
              <w:rPr>
                <w:rFonts w:ascii="Franklin Gothic Medium" w:hAnsi="Franklin Gothic Medium"/>
              </w:rPr>
              <w:t>7</w:t>
            </w:r>
          </w:p>
        </w:tc>
        <w:tc>
          <w:tcPr>
            <w:tcW w:w="983"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ind w:right="284"/>
              <w:rPr>
                <w:rFonts w:ascii="Franklin Gothic Medium" w:hAnsi="Franklin Gothic Medium"/>
                <w:bCs/>
              </w:rPr>
            </w:pPr>
            <w:r w:rsidRPr="00DC005A">
              <w:rPr>
                <w:rFonts w:ascii="Franklin Gothic Medium" w:hAnsi="Franklin Gothic Medium"/>
                <w:bCs/>
              </w:rPr>
              <w:t>7</w:t>
            </w:r>
          </w:p>
        </w:tc>
        <w:tc>
          <w:tcPr>
            <w:tcW w:w="984"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ind w:right="284"/>
              <w:rPr>
                <w:rFonts w:ascii="Franklin Gothic Medium" w:hAnsi="Franklin Gothic Medium"/>
              </w:rPr>
            </w:pPr>
            <w:r w:rsidRPr="00DC005A">
              <w:rPr>
                <w:rFonts w:ascii="Franklin Gothic Medium" w:hAnsi="Franklin Gothic Medium"/>
              </w:rPr>
              <w:t>7</w:t>
            </w:r>
          </w:p>
        </w:tc>
      </w:tr>
      <w:tr w:rsidR="004D2889" w:rsidRPr="004B506A">
        <w:trPr>
          <w:cantSplit/>
        </w:trPr>
        <w:tc>
          <w:tcPr>
            <w:tcW w:w="4004"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spacing w:before="120" w:after="0"/>
              <w:jc w:val="left"/>
            </w:pPr>
            <w:r>
              <w:t>No. of</w:t>
            </w:r>
            <w:r w:rsidRPr="004B506A">
              <w:t xml:space="preserve"> </w:t>
            </w:r>
            <w:r>
              <w:t>initiatives rated s</w:t>
            </w:r>
            <w:r w:rsidRPr="00877CF2">
              <w:t>atisfactory (</w:t>
            </w:r>
            <w:r>
              <w:t xml:space="preserve">rated </w:t>
            </w:r>
            <w:r w:rsidRPr="00877CF2">
              <w:t>4,</w:t>
            </w:r>
            <w:r>
              <w:t xml:space="preserve"> </w:t>
            </w:r>
            <w:r w:rsidRPr="00877CF2">
              <w:t>5</w:t>
            </w:r>
            <w:r>
              <w:t xml:space="preserve"> or </w:t>
            </w:r>
            <w:r w:rsidRPr="00877CF2">
              <w:t>6)</w:t>
            </w:r>
          </w:p>
        </w:tc>
        <w:tc>
          <w:tcPr>
            <w:tcW w:w="983"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spacing w:before="120" w:after="0"/>
              <w:ind w:right="284"/>
            </w:pPr>
            <w:r>
              <w:t>6</w:t>
            </w:r>
          </w:p>
        </w:tc>
        <w:tc>
          <w:tcPr>
            <w:tcW w:w="984"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spacing w:before="120" w:after="0"/>
              <w:ind w:right="284"/>
            </w:pPr>
            <w:r>
              <w:t>6</w:t>
            </w:r>
          </w:p>
        </w:tc>
        <w:tc>
          <w:tcPr>
            <w:tcW w:w="983"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spacing w:before="120" w:after="0"/>
              <w:ind w:right="284"/>
              <w:rPr>
                <w:bCs/>
              </w:rPr>
            </w:pPr>
            <w:r w:rsidRPr="004B506A">
              <w:rPr>
                <w:bCs/>
              </w:rPr>
              <w:t>5</w:t>
            </w:r>
          </w:p>
        </w:tc>
        <w:tc>
          <w:tcPr>
            <w:tcW w:w="984"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spacing w:before="120" w:after="0"/>
              <w:ind w:right="284"/>
            </w:pPr>
            <w:r w:rsidRPr="004B506A">
              <w:t>5</w:t>
            </w:r>
          </w:p>
        </w:tc>
      </w:tr>
      <w:tr w:rsidR="004D2889" w:rsidRPr="004B506A">
        <w:trPr>
          <w:cantSplit/>
        </w:trPr>
        <w:tc>
          <w:tcPr>
            <w:tcW w:w="4004"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spacing w:before="0"/>
              <w:ind w:left="113"/>
              <w:jc w:val="left"/>
            </w:pPr>
            <w:r>
              <w:t>Proportion</w:t>
            </w:r>
            <w:r w:rsidRPr="004B506A">
              <w:t xml:space="preserve"> of total</w:t>
            </w:r>
          </w:p>
        </w:tc>
        <w:tc>
          <w:tcPr>
            <w:tcW w:w="983"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spacing w:before="0"/>
              <w:ind w:right="284"/>
            </w:pPr>
            <w:r>
              <w:t>86</w:t>
            </w:r>
            <w:r w:rsidRPr="004B506A">
              <w:t>%</w:t>
            </w:r>
          </w:p>
        </w:tc>
        <w:tc>
          <w:tcPr>
            <w:tcW w:w="984"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spacing w:before="0"/>
              <w:ind w:right="284"/>
            </w:pPr>
            <w:r>
              <w:t>86</w:t>
            </w:r>
            <w:r w:rsidRPr="004B506A">
              <w:t>%</w:t>
            </w:r>
          </w:p>
        </w:tc>
        <w:tc>
          <w:tcPr>
            <w:tcW w:w="983"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spacing w:before="0"/>
              <w:ind w:right="284"/>
              <w:rPr>
                <w:bCs/>
              </w:rPr>
            </w:pPr>
            <w:r w:rsidRPr="004B506A">
              <w:rPr>
                <w:bCs/>
              </w:rPr>
              <w:t>71%</w:t>
            </w:r>
          </w:p>
        </w:tc>
        <w:tc>
          <w:tcPr>
            <w:tcW w:w="984"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spacing w:before="0"/>
              <w:ind w:right="284"/>
            </w:pPr>
            <w:r w:rsidRPr="004B506A">
              <w:t>71%</w:t>
            </w:r>
          </w:p>
        </w:tc>
      </w:tr>
      <w:tr w:rsidR="004D2889" w:rsidRPr="004B506A">
        <w:trPr>
          <w:cantSplit/>
        </w:trPr>
        <w:tc>
          <w:tcPr>
            <w:tcW w:w="4004"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spacing w:after="0"/>
              <w:jc w:val="left"/>
            </w:pPr>
            <w:r>
              <w:t>No. of i</w:t>
            </w:r>
            <w:r w:rsidRPr="00D7139C">
              <w:t>nitiatives needing work (</w:t>
            </w:r>
            <w:r>
              <w:t xml:space="preserve">rated </w:t>
            </w:r>
            <w:r w:rsidRPr="00D7139C">
              <w:t>1</w:t>
            </w:r>
            <w:r>
              <w:t>–</w:t>
            </w:r>
            <w:r w:rsidRPr="00D7139C">
              <w:t>4)</w:t>
            </w:r>
          </w:p>
        </w:tc>
        <w:tc>
          <w:tcPr>
            <w:tcW w:w="983"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spacing w:after="0"/>
              <w:ind w:right="284"/>
            </w:pPr>
            <w:r>
              <w:t>5</w:t>
            </w:r>
          </w:p>
        </w:tc>
        <w:tc>
          <w:tcPr>
            <w:tcW w:w="984"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spacing w:after="0"/>
              <w:ind w:right="284"/>
            </w:pPr>
            <w:r>
              <w:t>4</w:t>
            </w:r>
          </w:p>
        </w:tc>
        <w:tc>
          <w:tcPr>
            <w:tcW w:w="983"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spacing w:after="0"/>
              <w:ind w:right="284"/>
              <w:rPr>
                <w:bCs/>
              </w:rPr>
            </w:pPr>
            <w:r>
              <w:rPr>
                <w:bCs/>
              </w:rPr>
              <w:t>6</w:t>
            </w:r>
          </w:p>
        </w:tc>
        <w:tc>
          <w:tcPr>
            <w:tcW w:w="984"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spacing w:after="0"/>
              <w:ind w:right="284"/>
            </w:pPr>
            <w:r>
              <w:t>5</w:t>
            </w:r>
          </w:p>
        </w:tc>
      </w:tr>
      <w:tr w:rsidR="004D2889" w:rsidRPr="004B506A">
        <w:trPr>
          <w:cantSplit/>
        </w:trPr>
        <w:tc>
          <w:tcPr>
            <w:tcW w:w="4004"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spacing w:before="0"/>
              <w:ind w:left="113"/>
              <w:jc w:val="left"/>
            </w:pPr>
            <w:r>
              <w:t>Proportion of total</w:t>
            </w:r>
          </w:p>
        </w:tc>
        <w:tc>
          <w:tcPr>
            <w:tcW w:w="983"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spacing w:before="0"/>
              <w:ind w:right="284"/>
            </w:pPr>
            <w:r>
              <w:t>71%</w:t>
            </w:r>
          </w:p>
        </w:tc>
        <w:tc>
          <w:tcPr>
            <w:tcW w:w="984"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spacing w:before="0"/>
              <w:ind w:right="284"/>
            </w:pPr>
            <w:r>
              <w:t>57%</w:t>
            </w:r>
          </w:p>
        </w:tc>
        <w:tc>
          <w:tcPr>
            <w:tcW w:w="983"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spacing w:before="0"/>
              <w:ind w:right="284"/>
              <w:rPr>
                <w:bCs/>
              </w:rPr>
            </w:pPr>
            <w:r>
              <w:rPr>
                <w:bCs/>
              </w:rPr>
              <w:t>86%</w:t>
            </w:r>
          </w:p>
        </w:tc>
        <w:tc>
          <w:tcPr>
            <w:tcW w:w="984"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spacing w:before="0"/>
              <w:ind w:right="284"/>
            </w:pPr>
            <w:r>
              <w:t>71%</w:t>
            </w:r>
          </w:p>
        </w:tc>
      </w:tr>
      <w:tr w:rsidR="004D2889" w:rsidRPr="004B506A">
        <w:trPr>
          <w:cantSplit/>
        </w:trPr>
        <w:tc>
          <w:tcPr>
            <w:tcW w:w="4004"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spacing w:after="0"/>
              <w:jc w:val="left"/>
            </w:pPr>
            <w:r w:rsidRPr="004B506A">
              <w:t>Number of high</w:t>
            </w:r>
            <w:r>
              <w:t>-</w:t>
            </w:r>
            <w:r w:rsidRPr="004B506A">
              <w:t xml:space="preserve">performing activities (rated 5 </w:t>
            </w:r>
            <w:r>
              <w:t>or</w:t>
            </w:r>
            <w:r w:rsidRPr="004B506A">
              <w:t xml:space="preserve"> </w:t>
            </w:r>
            <w:r>
              <w:t>6</w:t>
            </w:r>
            <w:r w:rsidRPr="004B506A">
              <w:t>)</w:t>
            </w:r>
          </w:p>
        </w:tc>
        <w:tc>
          <w:tcPr>
            <w:tcW w:w="983"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spacing w:after="0"/>
              <w:ind w:right="284"/>
            </w:pPr>
            <w:r w:rsidRPr="004B506A">
              <w:t>2</w:t>
            </w:r>
          </w:p>
        </w:tc>
        <w:tc>
          <w:tcPr>
            <w:tcW w:w="984"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spacing w:after="0"/>
              <w:ind w:right="284"/>
            </w:pPr>
            <w:r w:rsidRPr="004B506A">
              <w:t>3</w:t>
            </w:r>
          </w:p>
        </w:tc>
        <w:tc>
          <w:tcPr>
            <w:tcW w:w="983"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spacing w:after="0"/>
              <w:ind w:right="284"/>
              <w:rPr>
                <w:bCs/>
              </w:rPr>
            </w:pPr>
            <w:r w:rsidRPr="004B506A">
              <w:rPr>
                <w:bCs/>
              </w:rPr>
              <w:t>1</w:t>
            </w:r>
          </w:p>
        </w:tc>
        <w:tc>
          <w:tcPr>
            <w:tcW w:w="984" w:type="dxa"/>
            <w:tcBorders>
              <w:top w:val="single" w:sz="4" w:space="0" w:color="808080"/>
              <w:left w:val="single" w:sz="4" w:space="0" w:color="808080"/>
              <w:bottom w:val="single" w:sz="4" w:space="0" w:color="808080"/>
              <w:right w:val="single" w:sz="4" w:space="0" w:color="808080"/>
            </w:tcBorders>
            <w:tcMar>
              <w:left w:w="57" w:type="dxa"/>
              <w:right w:w="57" w:type="dxa"/>
            </w:tcMar>
          </w:tcPr>
          <w:p w:rsidR="004D2889" w:rsidRDefault="004D2889">
            <w:pPr>
              <w:pStyle w:val="TableDataEntries"/>
              <w:spacing w:after="0"/>
              <w:ind w:right="284"/>
            </w:pPr>
            <w:r w:rsidRPr="004B506A">
              <w:t>2</w:t>
            </w:r>
          </w:p>
        </w:tc>
      </w:tr>
      <w:tr w:rsidR="004D2889" w:rsidRPr="004B506A">
        <w:trPr>
          <w:cantSplit/>
        </w:trPr>
        <w:tc>
          <w:tcPr>
            <w:tcW w:w="4004" w:type="dxa"/>
            <w:tcBorders>
              <w:top w:val="single" w:sz="4" w:space="0" w:color="808080"/>
              <w:left w:val="single" w:sz="4" w:space="0" w:color="808080"/>
              <w:bottom w:val="single" w:sz="12" w:space="0" w:color="auto"/>
              <w:right w:val="single" w:sz="4" w:space="0" w:color="808080"/>
            </w:tcBorders>
            <w:tcMar>
              <w:left w:w="57" w:type="dxa"/>
              <w:right w:w="57" w:type="dxa"/>
            </w:tcMar>
          </w:tcPr>
          <w:p w:rsidR="004D2889" w:rsidRDefault="004D2889">
            <w:pPr>
              <w:pStyle w:val="TableDataEntries"/>
              <w:spacing w:before="0"/>
              <w:ind w:left="113"/>
              <w:jc w:val="left"/>
            </w:pPr>
            <w:r>
              <w:t>Proportion</w:t>
            </w:r>
            <w:r w:rsidRPr="004B506A">
              <w:t xml:space="preserve"> of total</w:t>
            </w:r>
          </w:p>
        </w:tc>
        <w:tc>
          <w:tcPr>
            <w:tcW w:w="983" w:type="dxa"/>
            <w:tcBorders>
              <w:top w:val="single" w:sz="4" w:space="0" w:color="808080"/>
              <w:left w:val="single" w:sz="4" w:space="0" w:color="808080"/>
              <w:bottom w:val="single" w:sz="12" w:space="0" w:color="auto"/>
              <w:right w:val="single" w:sz="4" w:space="0" w:color="808080"/>
            </w:tcBorders>
            <w:tcMar>
              <w:left w:w="57" w:type="dxa"/>
              <w:right w:w="57" w:type="dxa"/>
            </w:tcMar>
          </w:tcPr>
          <w:p w:rsidR="004D2889" w:rsidRDefault="004D2889">
            <w:pPr>
              <w:pStyle w:val="TableDataEntries"/>
              <w:spacing w:before="0"/>
              <w:ind w:right="284"/>
            </w:pPr>
            <w:r w:rsidRPr="004B506A">
              <w:t>29%</w:t>
            </w:r>
          </w:p>
        </w:tc>
        <w:tc>
          <w:tcPr>
            <w:tcW w:w="984" w:type="dxa"/>
            <w:tcBorders>
              <w:top w:val="single" w:sz="4" w:space="0" w:color="808080"/>
              <w:left w:val="single" w:sz="4" w:space="0" w:color="808080"/>
              <w:bottom w:val="single" w:sz="12" w:space="0" w:color="auto"/>
              <w:right w:val="single" w:sz="4" w:space="0" w:color="808080"/>
            </w:tcBorders>
            <w:tcMar>
              <w:left w:w="57" w:type="dxa"/>
              <w:right w:w="57" w:type="dxa"/>
            </w:tcMar>
          </w:tcPr>
          <w:p w:rsidR="004D2889" w:rsidRDefault="004D2889">
            <w:pPr>
              <w:pStyle w:val="TableDataEntries"/>
              <w:spacing w:before="0"/>
              <w:ind w:right="284"/>
            </w:pPr>
            <w:r w:rsidRPr="004B506A">
              <w:t>43%</w:t>
            </w:r>
          </w:p>
        </w:tc>
        <w:tc>
          <w:tcPr>
            <w:tcW w:w="983" w:type="dxa"/>
            <w:tcBorders>
              <w:top w:val="single" w:sz="4" w:space="0" w:color="808080"/>
              <w:left w:val="single" w:sz="4" w:space="0" w:color="808080"/>
              <w:bottom w:val="single" w:sz="12" w:space="0" w:color="auto"/>
              <w:right w:val="single" w:sz="4" w:space="0" w:color="808080"/>
            </w:tcBorders>
            <w:tcMar>
              <w:left w:w="57" w:type="dxa"/>
              <w:right w:w="57" w:type="dxa"/>
            </w:tcMar>
          </w:tcPr>
          <w:p w:rsidR="004D2889" w:rsidRDefault="004D2889">
            <w:pPr>
              <w:pStyle w:val="TableDataEntries"/>
              <w:spacing w:before="0"/>
              <w:ind w:right="284"/>
              <w:rPr>
                <w:bCs/>
              </w:rPr>
            </w:pPr>
            <w:r w:rsidRPr="004B506A">
              <w:rPr>
                <w:bCs/>
              </w:rPr>
              <w:t>14%</w:t>
            </w:r>
          </w:p>
        </w:tc>
        <w:tc>
          <w:tcPr>
            <w:tcW w:w="984" w:type="dxa"/>
            <w:tcBorders>
              <w:top w:val="single" w:sz="4" w:space="0" w:color="808080"/>
              <w:left w:val="single" w:sz="4" w:space="0" w:color="808080"/>
              <w:bottom w:val="single" w:sz="12" w:space="0" w:color="auto"/>
              <w:right w:val="single" w:sz="4" w:space="0" w:color="808080"/>
            </w:tcBorders>
            <w:tcMar>
              <w:left w:w="57" w:type="dxa"/>
              <w:right w:w="57" w:type="dxa"/>
            </w:tcMar>
          </w:tcPr>
          <w:p w:rsidR="004D2889" w:rsidRDefault="004D2889">
            <w:pPr>
              <w:pStyle w:val="TableDataEntries"/>
              <w:spacing w:before="0"/>
              <w:ind w:right="284"/>
            </w:pPr>
            <w:r w:rsidRPr="004B506A">
              <w:t>29%</w:t>
            </w:r>
          </w:p>
        </w:tc>
      </w:tr>
    </w:tbl>
    <w:p w:rsidR="004D2889" w:rsidRPr="00AF63F8" w:rsidRDefault="004D2889" w:rsidP="00295EBC">
      <w:pPr>
        <w:pStyle w:val="Note"/>
        <w:rPr>
          <w:rFonts w:ascii="Franklin Gothic Medium" w:hAnsi="Franklin Gothic Medium"/>
        </w:rPr>
      </w:pPr>
      <w:r w:rsidRPr="00AF63F8">
        <w:rPr>
          <w:rFonts w:ascii="Franklin Gothic Medium" w:hAnsi="Franklin Gothic Medium"/>
        </w:rPr>
        <w:t>Definitions of rating scale</w:t>
      </w:r>
    </w:p>
    <w:tbl>
      <w:tblPr>
        <w:tblW w:w="7938" w:type="dxa"/>
        <w:tblInd w:w="57" w:type="dxa"/>
        <w:tblLayout w:type="fixed"/>
        <w:tblCellMar>
          <w:left w:w="57" w:type="dxa"/>
          <w:right w:w="57" w:type="dxa"/>
        </w:tblCellMar>
        <w:tblLook w:val="0000" w:firstRow="0" w:lastRow="0" w:firstColumn="0" w:lastColumn="0" w:noHBand="0" w:noVBand="0"/>
      </w:tblPr>
      <w:tblGrid>
        <w:gridCol w:w="840"/>
        <w:gridCol w:w="3106"/>
        <w:gridCol w:w="842"/>
        <w:gridCol w:w="3150"/>
      </w:tblGrid>
      <w:tr w:rsidR="004D2889" w:rsidRPr="00AF63F8">
        <w:trPr>
          <w:cantSplit/>
        </w:trPr>
        <w:tc>
          <w:tcPr>
            <w:tcW w:w="3946" w:type="dxa"/>
            <w:gridSpan w:val="2"/>
            <w:noWrap/>
            <w:vAlign w:val="bottom"/>
          </w:tcPr>
          <w:p w:rsidR="004D2889" w:rsidRPr="00AF63F8" w:rsidRDefault="004D2889" w:rsidP="00295EBC">
            <w:pPr>
              <w:pStyle w:val="Note"/>
              <w:spacing w:after="40"/>
              <w:ind w:left="-57"/>
              <w:rPr>
                <w:rFonts w:ascii="Franklin Gothic Medium" w:hAnsi="Franklin Gothic Medium"/>
              </w:rPr>
            </w:pPr>
            <w:r w:rsidRPr="00AF63F8">
              <w:rPr>
                <w:rFonts w:ascii="Franklin Gothic Medium" w:hAnsi="Franklin Gothic Medium"/>
              </w:rPr>
              <w:t>Satisfactory (4, 5 and 6)</w:t>
            </w:r>
          </w:p>
        </w:tc>
        <w:tc>
          <w:tcPr>
            <w:tcW w:w="3992" w:type="dxa"/>
            <w:gridSpan w:val="2"/>
            <w:noWrap/>
            <w:vAlign w:val="bottom"/>
          </w:tcPr>
          <w:p w:rsidR="004D2889" w:rsidRPr="00AF63F8" w:rsidRDefault="004D2889" w:rsidP="00295EBC">
            <w:pPr>
              <w:pStyle w:val="Note"/>
              <w:spacing w:after="40"/>
              <w:ind w:left="-57"/>
              <w:rPr>
                <w:rFonts w:ascii="Franklin Gothic Medium" w:hAnsi="Franklin Gothic Medium"/>
              </w:rPr>
            </w:pPr>
            <w:r w:rsidRPr="00AF63F8">
              <w:rPr>
                <w:rFonts w:ascii="Franklin Gothic Medium" w:hAnsi="Franklin Gothic Medium"/>
              </w:rPr>
              <w:t>Less than satisfactory (1, 2 and 3)</w:t>
            </w:r>
          </w:p>
        </w:tc>
      </w:tr>
      <w:tr w:rsidR="004D2889" w:rsidRPr="00D7139C">
        <w:trPr>
          <w:cantSplit/>
        </w:trPr>
        <w:tc>
          <w:tcPr>
            <w:tcW w:w="840" w:type="dxa"/>
            <w:tcBorders>
              <w:top w:val="single" w:sz="2" w:space="0" w:color="808080"/>
              <w:left w:val="single" w:sz="2" w:space="0" w:color="808080"/>
              <w:bottom w:val="single" w:sz="2" w:space="0" w:color="808080"/>
              <w:right w:val="single" w:sz="2" w:space="0" w:color="808080"/>
            </w:tcBorders>
            <w:shd w:val="clear" w:color="auto" w:fill="99CC00"/>
            <w:vAlign w:val="bottom"/>
          </w:tcPr>
          <w:p w:rsidR="004D2889" w:rsidRDefault="000C5DE1">
            <w:pPr>
              <w:pStyle w:val="Note"/>
              <w:spacing w:after="40"/>
              <w:jc w:val="center"/>
            </w:pPr>
            <w:r>
              <w:rPr>
                <w:noProof/>
                <w:lang w:val="en-US"/>
              </w:rPr>
              <mc:AlternateContent>
                <mc:Choice Requires="wps">
                  <w:drawing>
                    <wp:anchor distT="0" distB="0" distL="114300" distR="114300" simplePos="0" relativeHeight="251668992" behindDoc="1" locked="0" layoutInCell="1" allowOverlap="1">
                      <wp:simplePos x="0" y="0"/>
                      <wp:positionH relativeFrom="column">
                        <wp:posOffset>2486025</wp:posOffset>
                      </wp:positionH>
                      <wp:positionV relativeFrom="paragraph">
                        <wp:posOffset>350520</wp:posOffset>
                      </wp:positionV>
                      <wp:extent cx="508635" cy="144780"/>
                      <wp:effectExtent l="0" t="0" r="0" b="0"/>
                      <wp:wrapNone/>
                      <wp:docPr id="6" name="Rectangle 22"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 cy="1447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BFD6E" id="Rectangle 22" o:spid="_x0000_s1026" alt="Red" style="position:absolute;left:0;text-align:left;margin-left:195.75pt;margin-top:27.6pt;width:40.05pt;height:11.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3w1hgIAAAcFAAAOAAAAZHJzL2Uyb0RvYy54bWysVNuO0zAQfUfiHyy/d3MhvSTadLUXgpAW&#10;WO3CB7i201g4trHdpgvi3xk7bWmBB4Tog+uJZ8bnzJzx5dWul2jLrRNa1Ti7SDHiimom1LrGnz42&#10;kwVGzhPFiNSK1/iZO3y1fPnicjAVz3WnJeMWQRLlqsHUuPPeVEniaMd74i604QoOW2174sG064RZ&#10;MkD2XiZ5ms6SQVtmrKbcOfh6Nx7iZczftpz6D23ruEeyxoDNx9XGdRXWZHlJqrUlphN0D4P8A4qe&#10;CAWXHlPdEU/QxorfUvWCWu106y+o7hPdtoLyyAHYZOkvbJ46YnjkAsVx5lgm9//S0vfbB4sEq/EM&#10;I0V6aNEjFI2oteQozzFi3FGo1yNnoVaDcRWEPJkHG9g6c6/pZ4eUvu0ghF9bq4eOEwYIs+CfnAUE&#10;w0EoWg3vNIOryMbrWLZda/uQEAqCdrE7z8fu8J1HFD5O08Xs1RQjCkdZUcwXsXsJqQ7Bxjr/huse&#10;hU2NLfCIycn23vkAhlQHlwheS8EaIWU07Hp1Ky3aEhBK06Twi/iB46mbVMFZ6RA2Zhy/AEa4I5wF&#10;tLHx38osL9KbvJw0s8V8UjTFdFLO08UkzcqbcpYWZXHXfA8As6LqBGNc3QvFDyLMir9r8n4cRvlE&#10;GaKhxuU0n0buZ+jdKclA8c8ke+FhJqXoa7w4OpEq9PW1YkCbVJ4IOe6Tc/ixylCDw3+sSlRBaPwo&#10;oJVmzyACq6FJMJPwesCm0/YrRgNMYo3dlw2xHCP5VoGQSmh2GN1oFNN5DoY9PVmdnhBFIVWNPUbj&#10;9taP474xVqw7uCmLhVH6GsTXiiiMIMwR1V6yMG2Rwf5lCON8akevn+/X8gcAAAD//wMAUEsDBBQA&#10;BgAIAAAAIQBi+chF3gAAAAkBAAAPAAAAZHJzL2Rvd25yZXYueG1sTI/LTsMwEEX3SPyDNUjsqJPS&#10;NCXNpKqQ+ICGLmDn2EMS1Y8odtOEr8esYDm6R/eeKQ+z0Wyi0ffOIqSrBBhZ6VRvW4Tz+9vTDpgP&#10;wiqhnSWEhTwcqvu7UhTK3eyJpjq0LJZYXwiELoSh4NzLjozwKzeQjdmXG40I8RxbrkZxi+VG83WS&#10;bLkRvY0LnRjotSN5qa8G4TM/65Psv4/t8rGRcWRp6mlBfHyYj3tggebwB8OvflSHKjo17mqVZxrh&#10;+SXNIoqQZWtgEdjk6RZYg5DvEuBVyf9/UP0AAAD//wMAUEsBAi0AFAAGAAgAAAAhALaDOJL+AAAA&#10;4QEAABMAAAAAAAAAAAAAAAAAAAAAAFtDb250ZW50X1R5cGVzXS54bWxQSwECLQAUAAYACAAAACEA&#10;OP0h/9YAAACUAQAACwAAAAAAAAAAAAAAAAAvAQAAX3JlbHMvLnJlbHNQSwECLQAUAAYACAAAACEA&#10;9At8NYYCAAAHBQAADgAAAAAAAAAAAAAAAAAuAgAAZHJzL2Uyb0RvYy54bWxQSwECLQAUAAYACAAA&#10;ACEAYvnIRd4AAAAJAQAADwAAAAAAAAAAAAAAAADgBAAAZHJzL2Rvd25yZXYueG1sUEsFBgAAAAAE&#10;AAQA8wAAAOsFAAAAAA==&#10;" fillcolor="red" stroked="f"/>
                  </w:pict>
                </mc:Fallback>
              </mc:AlternateContent>
            </w:r>
            <w:r>
              <w:rPr>
                <w:noProof/>
                <w:lang w:val="en-US"/>
              </w:rPr>
              <mc:AlternateContent>
                <mc:Choice Requires="wps">
                  <w:drawing>
                    <wp:anchor distT="0" distB="0" distL="114300" distR="114300" simplePos="0" relativeHeight="251667968" behindDoc="1" locked="0" layoutInCell="1" allowOverlap="1">
                      <wp:simplePos x="0" y="0"/>
                      <wp:positionH relativeFrom="column">
                        <wp:posOffset>2484755</wp:posOffset>
                      </wp:positionH>
                      <wp:positionV relativeFrom="paragraph">
                        <wp:posOffset>175895</wp:posOffset>
                      </wp:positionV>
                      <wp:extent cx="508635" cy="144780"/>
                      <wp:effectExtent l="0" t="0" r="0" b="0"/>
                      <wp:wrapNone/>
                      <wp:docPr id="5" name="Rectangle 21"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 cy="1447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5F092" id="Rectangle 21" o:spid="_x0000_s1026" alt="Red" style="position:absolute;left:0;text-align:left;margin-left:195.65pt;margin-top:13.85pt;width:40.05pt;height:11.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8hQIAAAcFAAAOAAAAZHJzL2Uyb0RvYy54bWysVNuO0zAQfUfiHyy/d3MhvSTadLUXgpAW&#10;WO3CB7i201g4trHdpgvi3xk7bWmBB4Tog+uJZ8bnzJzx5dWul2jLrRNa1Ti7SDHiimom1LrGnz42&#10;kwVGzhPFiNSK1/iZO3y1fPnicjAVz3WnJeMWQRLlqsHUuPPeVEniaMd74i604QoOW2174sG064RZ&#10;MkD2XiZ5ms6SQVtmrKbcOfh6Nx7iZczftpz6D23ruEeyxoDNx9XGdRXWZHlJqrUlphN0D4P8A4qe&#10;CAWXHlPdEU/QxorfUvWCWu106y+o7hPdtoLyyAHYZOkvbJ46YnjkAsVx5lgm9//S0vfbB4sEq/EU&#10;I0V6aNEjFI2oteQozzBi3FGo1yNnoVaDcRWEPJkHG9g6c6/pZ4eUvu0ghF9bq4eOEwYIs+CfnAUE&#10;w0EoWg3vNIOryMbrWLZda/uQEAqCdrE7z8fu8J1HFD5O08XsFaCkcJQVxXwRu5eQ6hBsrPNvuO5R&#10;2NTYAo+YnGzvnQ9gSHVwieC1FKwRUkbDrle30qItAaE0TQq/iB84nrpJFZyVDmFjxvELYIQ7wllA&#10;Gxv/rczyIr3Jy0kzW8wnRVNMJ+U8XUzSrLwpZ2lRFnfN9wAwK6pOMMbVvVD8IMKs+Lsm78dhlE+U&#10;IRpqXE7zaeR+ht6dkgwU/0yyFx5mUoq+xoujE6lCX18rBrRJ5YmQ4z45hx+rDDU4/MeqRBWExo8C&#10;Wmn2DCKwGpoEMwmvB2w6bb9iNMAk1th92RDLMZJvFQiphGaH0Y1GMZ3nYNjTk9XpCVEUUtXYYzRu&#10;b/047htjxbqDm7JYGKWvQXytiMIIwhxR7SUL0xYZ7F+GMM6ndvT6+X4tfwAAAP//AwBQSwMEFAAG&#10;AAgAAAAhAIhdXELeAAAACQEAAA8AAABkcnMvZG93bnJldi54bWxMj8tOwzAQRfdI/IM1SOyokzYl&#10;EDKpKiQ+oKGLsnNsk0T4EcVumvTrO6xgObpH954pd7M1bNJj6L1DSFcJMO2kV71rEY6fH08vwEIU&#10;TgnjnUZYdIBddX9XikL5izvoqY4toxIXCoHQxTgUnAfZaSvCyg/aUfbtRysinWPL1SguVG4NXyfJ&#10;M7eid7TQiUG/d1r+1GeL8JUfzUH21327nDJJI0tTTwvi48O8fwMW9Rz/YPjVJ3WoyKnxZ6cCMwib&#10;13RDKMI6z4ERkOVpBqxB2CZb4FXJ/39Q3QAAAP//AwBQSwECLQAUAAYACAAAACEAtoM4kv4AAADh&#10;AQAAEwAAAAAAAAAAAAAAAAAAAAAAW0NvbnRlbnRfVHlwZXNdLnhtbFBLAQItABQABgAIAAAAIQA4&#10;/SH/1gAAAJQBAAALAAAAAAAAAAAAAAAAAC8BAABfcmVscy8ucmVsc1BLAQItABQABgAIAAAAIQC+&#10;J+d8hQIAAAcFAAAOAAAAAAAAAAAAAAAAAC4CAABkcnMvZTJvRG9jLnhtbFBLAQItABQABgAIAAAA&#10;IQCIXVxC3gAAAAkBAAAPAAAAAAAAAAAAAAAAAN8EAABkcnMvZG93bnJldi54bWxQSwUGAAAAAAQA&#10;BADzAAAA6gUAAAAA&#10;" fillcolor="red" stroked="f"/>
                  </w:pict>
                </mc:Fallback>
              </mc:AlternateContent>
            </w:r>
            <w:r>
              <w:rPr>
                <w:noProof/>
                <w:lang w:val="en-US"/>
              </w:rPr>
              <mc:AlternateContent>
                <mc:Choice Requires="wps">
                  <w:drawing>
                    <wp:anchor distT="0" distB="0" distL="114300" distR="114300" simplePos="0" relativeHeight="251666944" behindDoc="1" locked="0" layoutInCell="1" allowOverlap="1">
                      <wp:simplePos x="0" y="0"/>
                      <wp:positionH relativeFrom="column">
                        <wp:posOffset>2483485</wp:posOffset>
                      </wp:positionH>
                      <wp:positionV relativeFrom="paragraph">
                        <wp:posOffset>8890</wp:posOffset>
                      </wp:positionV>
                      <wp:extent cx="508635" cy="144780"/>
                      <wp:effectExtent l="0" t="2540" r="0" b="0"/>
                      <wp:wrapNone/>
                      <wp:docPr id="4" name="Rectangle 20"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 cy="144780"/>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28FA0" id="Rectangle 20" o:spid="_x0000_s1026" alt="Amber" style="position:absolute;left:0;text-align:left;margin-left:195.55pt;margin-top:.7pt;width:40.05pt;height:11.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HkogIAAEQFAAAOAAAAZHJzL2Uyb0RvYy54bWysVNuO0zAQfUfiHyy/d5OU9JJo01W3SxHS&#10;AisWPsC1ncbCN2y36YL4d8ZOW7rwghB9SD1je+ac42Nf3xyURHvuvDC6wcVVjhHX1DChtw3+/Gk9&#10;mmPkA9GMSKN5g5+4xzeLly+ue1vzsemMZNwhKKJ93dsGdyHYOss87bgi/spYrmGyNU6RAKHbZsyR&#10;HqormY3zfJr1xjHrDOXeQ/ZumMSLVL9tOQ0f2tbzgGSDAVtIX5e+m/jNFtek3jpiO0GPMMg/oFBE&#10;aGh6LnVHAkE7J/4opQR1xps2XFGjMtO2gvLEAdgU+W9sHjtieeIC4nh7lsn/v7L0/f7BIcEaXGKk&#10;iYIj+giiEb2VHI1BMcY9Bb2WasNdVKu3voZNj/bBRb7e3hv6xSNtVh1s4kvnTN9xwgBjEddnzzbE&#10;wMNWtOnfGQbNyC6YJNyhdSoWBEnQIZ3P0/l8+CEgCslJPp++mmBEYaooy9k8nV9G6tNm63x4w41C&#10;cdBgB0xScbK/9yGCIfVpSQJvpGBrIWUKouX4Sjq0J2AWQinXYZq2y50CtEO+yONv8A3kwV1D/gQl&#10;OTeWSd38ZQepYx9tYscBzJABegAvzkWiyTXfq2Jc5rfjarSezmejcl1ORtUsn4/yorqtpnlZlXfr&#10;HxFcUdadYIzre6H5ycFF+XcOOd6lwXvJw6hvcDUZTxLvZ+i9227O6iQRzpQvSSoR4EJLoRo8v5Aq&#10;WuK1ZkCb1IEIOYyz5/CTZKDB6T+pkgwUPTN4b2PYE/jHGThfsCc8PTDojPuGUQ/XuMH+6444jpF8&#10;q8GDFfgk3vsUlJNZtLS7nNlczhBNoVSDA0bDcBWGt2Jnndh20KlIwmizBN+2InkqenpABbhjAFc1&#10;MTg+K/EtuIzTql+P3+InAAAA//8DAFBLAwQUAAYACAAAACEAazwxh98AAAAIAQAADwAAAGRycy9k&#10;b3ducmV2LnhtbEyPy07DMBBF90j8gzVI7KjjNCo0xKkQqIIVghJVsHPjaRzhRxS7beDrGVawHJ2r&#10;e89Uq8lZdsQx9sFLELMMGPo26N53Epq39dUNsJiU18oGjxK+MMKqPj+rVKnDyb/icZM6RiU+lkqC&#10;SWkoOY+tQafiLAzoie3D6FSic+y4HtWJyp3leZYtuFO9pwWjBrw32H5uDk7C+/4hzLcfTXz8Ts/d&#10;4snYdfMipLy8mO5ugSWc0l8YfvVJHWpy2oWD15FZCfOlEBQlUAAjXlyLHNhOQl7kwOuK/3+g/gEA&#10;AP//AwBQSwECLQAUAAYACAAAACEAtoM4kv4AAADhAQAAEwAAAAAAAAAAAAAAAAAAAAAAW0NvbnRl&#10;bnRfVHlwZXNdLnhtbFBLAQItABQABgAIAAAAIQA4/SH/1gAAAJQBAAALAAAAAAAAAAAAAAAAAC8B&#10;AABfcmVscy8ucmVsc1BLAQItABQABgAIAAAAIQAjMrHkogIAAEQFAAAOAAAAAAAAAAAAAAAAAC4C&#10;AABkcnMvZTJvRG9jLnhtbFBLAQItABQABgAIAAAAIQBrPDGH3wAAAAgBAAAPAAAAAAAAAAAAAAAA&#10;APwEAABkcnMvZG93bnJldi54bWxQSwUGAAAAAAQABADzAAAACAYAAAAA&#10;" fillcolor="#f79646 [3209]" stroked="f"/>
                  </w:pict>
                </mc:Fallback>
              </mc:AlternateContent>
            </w:r>
            <w:r>
              <w:rPr>
                <w:noProof/>
                <w:lang w:val="en-US"/>
              </w:rPr>
              <mc:AlternateContent>
                <mc:Choice Requires="wps">
                  <w:drawing>
                    <wp:anchor distT="0" distB="0" distL="114300" distR="114300" simplePos="0" relativeHeight="251665920" behindDoc="1" locked="0" layoutInCell="1" allowOverlap="1">
                      <wp:simplePos x="0" y="0"/>
                      <wp:positionH relativeFrom="column">
                        <wp:posOffset>-22860</wp:posOffset>
                      </wp:positionH>
                      <wp:positionV relativeFrom="paragraph">
                        <wp:posOffset>349250</wp:posOffset>
                      </wp:positionV>
                      <wp:extent cx="508635" cy="144780"/>
                      <wp:effectExtent l="0" t="0" r="0" b="0"/>
                      <wp:wrapNone/>
                      <wp:docPr id="3" name="Rectangle 19"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 cy="14478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60EDD" id="Rectangle 19" o:spid="_x0000_s1026" alt="Yellow" style="position:absolute;left:0;text-align:left;margin-left:-1.8pt;margin-top:27.5pt;width:40.05pt;height:11.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FZiAIAAAoFAAAOAAAAZHJzL2Uyb0RvYy54bWysVN9v0zAQfkfif7D83iXp0h+Jlk5bRxDS&#10;gInBA4+u7TQWjm1st2mH+N85O23pQEgI8ZL4fL7z991956vrXSfRllsntKpwdpFixBXVTKh1hT99&#10;rEdzjJwnihGpFa/wnjt8vXj54qo3JR/rVkvGLYIkypW9qXDrvSmTxNGWd8RdaMMVOBttO+LBtOuE&#10;WdJD9k4m4zSdJr22zFhNuXOwezc48SLmbxpO/fumcdwjWWHA5uPXxu8qfJPFFSnXlphW0AMM8g8o&#10;OiIUXHpKdUc8QRsrfkvVCWq1042/oLpLdNMIyiMHYJOlv7B5bInhkQsUx5lTmdz/S0vfbR8sEqzC&#10;lxgp0kGLPkDRiFpLjrICI8YdhXp95lLqPpSrN66EqEfzYANhZ+41/eKQ0ssWoviNtbpvOWEAMgvn&#10;k2cBwXAQilb9W83gNrLxOlZu19guJISaoF1s0P7UIL7ziMLmJJ1PLycYUXBleT6bxwYmpDwGG+v8&#10;a647FBYVtkAlJifbe+cDGFIej0TwWgpWCymjYderpbRoS0Ardb1M02N2d35MqnBY6RA2ZBx2ACPc&#10;EXwBbez9tyIb5+ntuBjV0/lslNf5ZFTM0vkozYrbYprmRX5Xfw8As7xsBWNc3QvFjzrM8r/r82Ei&#10;BgVFJaK+wsVkPIncn6F35ySB4R9IdsLDWErRVXh+OkTK0NdXigFtUnoi5LBOnsOPVYYaHP+xKlEF&#10;ofGDgFaa7UEEVkOTYCzhAYFFq+0TRj0MY4Xd1w2xHCP5RoGQCmh2mN5o5JPZGAx77lmde4iikKrC&#10;HqNhufTDxG+MFesWbspiYZS+AfE1IgojCHNAdZAsDFxkcHgcwkSf2/HUzyds8QMAAP//AwBQSwME&#10;FAAGAAgAAAAhAPsF6WPfAAAABwEAAA8AAABkcnMvZG93bnJldi54bWxMj8FOwzAQRO9I/IO1SNxa&#10;p0FJqxCnQqjtqaIicOjRiZckIl6H2G1Tvp7lBKfRakYzb/P1ZHtxxtF3jhQs5hEIpNqZjhoF72/b&#10;2QqED5qM7h2hgit6WBe3N7nOjLvQK57L0AguIZ9pBW0IQyalr1u02s/dgMTehxutDnyOjTSjvnC5&#10;7WUcRam0uiNeaPWAzy3Wn+XJKoj38XHnNrvuuzrS4su9HKJyOCh1fzc9PYIIOIW/MPziMzoUzFS5&#10;ExkvegWzh5STCpKEX2J/mSYgKtblCmSRy//8xQ8AAAD//wMAUEsBAi0AFAAGAAgAAAAhALaDOJL+&#10;AAAA4QEAABMAAAAAAAAAAAAAAAAAAAAAAFtDb250ZW50X1R5cGVzXS54bWxQSwECLQAUAAYACAAA&#10;ACEAOP0h/9YAAACUAQAACwAAAAAAAAAAAAAAAAAvAQAAX3JlbHMvLnJlbHNQSwECLQAUAAYACAAA&#10;ACEAWanxWYgCAAAKBQAADgAAAAAAAAAAAAAAAAAuAgAAZHJzL2Uyb0RvYy54bWxQSwECLQAUAAYA&#10;CAAAACEA+wXpY98AAAAHAQAADwAAAAAAAAAAAAAAAADiBAAAZHJzL2Rvd25yZXYueG1sUEsFBgAA&#10;AAAEAAQA8wAAAO4FAAAAAA==&#10;" fillcolor="#ffc000" stroked="f"/>
                  </w:pict>
                </mc:Fallback>
              </mc:AlternateContent>
            </w:r>
            <w:r>
              <w:rPr>
                <w:noProof/>
                <w:lang w:val="en-US"/>
              </w:rPr>
              <mc:AlternateContent>
                <mc:Choice Requires="wps">
                  <w:drawing>
                    <wp:anchor distT="0" distB="0" distL="114300" distR="114300" simplePos="0" relativeHeight="251664896" behindDoc="1" locked="0" layoutInCell="1" allowOverlap="1">
                      <wp:simplePos x="0" y="0"/>
                      <wp:positionH relativeFrom="column">
                        <wp:posOffset>-22860</wp:posOffset>
                      </wp:positionH>
                      <wp:positionV relativeFrom="paragraph">
                        <wp:posOffset>174625</wp:posOffset>
                      </wp:positionV>
                      <wp:extent cx="508635" cy="144780"/>
                      <wp:effectExtent l="0" t="0" r="0" b="1270"/>
                      <wp:wrapNone/>
                      <wp:docPr id="2" name="Rectangle 18"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 cy="144780"/>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E63C" id="Rectangle 18" o:spid="_x0000_s1026" alt="Green" style="position:absolute;left:0;text-align:left;margin-left:-1.8pt;margin-top:13.75pt;width:40.05pt;height:11.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VwigIAAAkFAAAOAAAAZHJzL2Uyb0RvYy54bWysVNuO0zAQfUfiHyy/t7mQXhJtutpt6Qpp&#10;gRULH+DaTmPh2MZ2m+4i/p2x05YuvCBEH1xPPDOeM+eMr64PnUR7bp3QqsbZOMWIK6qZUNsaf/m8&#10;Hs0xcp4oRqRWvMZP3OHrxetXV72peK5bLRm3CJIoV/Wmxq33pkoSR1veETfWhis4bLTtiAfTbhNm&#10;SQ/ZO5nkaTpNem2ZsZpy5+DrajjEi5i/aTj1H5vGcY9kjaE2H1cb101Yk8UVqbaWmFbQYxnkH6ro&#10;iFBw6TnViniCdlb8kaoT1GqnGz+mukt00wjKIwZAk6W/oXlsieERCzTHmXOb3P9LSz/sHywSrMY5&#10;Rop0QNEnaBpRW8lRBuQx7ij0685yrkK3euMqCHo0DzbgdeZe068OKb1sIYjfWKv7lhMGNWbBP3kR&#10;EAwHoWjTv9cMLiM7r2PjDo3tQkJoCTpEfp7O/PCDRxQ+TtL59M0EIwpHWVHM5pG/hFSnYGOdv+O6&#10;Q2FTYwtIYnKyv3c+FEOqk0ssXkvB1kLKaNjtZikt2hOQSlkul+kpu7t0kyo4Kx3ChozDF6gR7ghn&#10;odpI/fcyy4v0Ni9H6+l8NirWxWRUztL5KM3K23KaFmWxWv8IBWZF1QrGuLoXip9kmBV/R/NxIAYB&#10;RSGiHhBM8knE/qJ6dwkyjb9IEhB5CbITHqZSiq7G87MTqQKvbxUD2KTyRMhhn7wsP3YZenD6j12J&#10;KgjEDwLaaPYEIrAaSIKphPcDNq22zxj1MIs1dt92xHKM5DsFQiqB7DC80SgmsxwMe3myuTwhikKq&#10;GnuMhu3SDwO/M1ZsW7gpi41R+gbE14gojCDMoaqjZGHeIoLj2xAG+tKOXr9esMVPAAAA//8DAFBL&#10;AwQUAAYACAAAACEA856FU90AAAAHAQAADwAAAGRycy9kb3ducmV2LnhtbEyOT0vDQBTE74LfYXmC&#10;t3ZjS9IS81LEP8ciVpH29pJ9JsHsbshu2/Tb+zzpaRhmmPkVm8n26sRj6LxDuJsnoNjV3nSuQfh4&#10;f5mtQYVIzlDvHSNcOMCmvL4qKDf+7N74tIuNkhEXckJoYxxyrUPdsqUw9wM7yb78aCmKHRttRjrL&#10;uO31Ikkybalz8tDSwI8t19+7o0U4fGZWU7XfPodt7PSlTl+f9ini7c30cA8q8hT/yvCLL+hQClPl&#10;j84E1SPMlpk0ERarFJTkq0y0QkiTJeiy0P/5yx8AAAD//wMAUEsBAi0AFAAGAAgAAAAhALaDOJL+&#10;AAAA4QEAABMAAAAAAAAAAAAAAAAAAAAAAFtDb250ZW50X1R5cGVzXS54bWxQSwECLQAUAAYACAAA&#10;ACEAOP0h/9YAAACUAQAACwAAAAAAAAAAAAAAAAAvAQAAX3JlbHMvLnJlbHNQSwECLQAUAAYACAAA&#10;ACEAmSo1cIoCAAAJBQAADgAAAAAAAAAAAAAAAAAuAgAAZHJzL2Uyb0RvYy54bWxQSwECLQAUAAYA&#10;CAAAACEA856FU90AAAAHAQAADwAAAAAAAAAAAAAAAADkBAAAZHJzL2Rvd25yZXYueG1sUEsFBgAA&#10;AAAEAAQA8wAAAO4FAAAAAA==&#10;" fillcolor="#9c0" stroked="f"/>
                  </w:pict>
                </mc:Fallback>
              </mc:AlternateContent>
            </w:r>
            <w:r>
              <w:rPr>
                <w:noProof/>
                <w:lang w:val="en-US"/>
              </w:rPr>
              <mc:AlternateContent>
                <mc:Choice Requires="wps">
                  <w:drawing>
                    <wp:anchor distT="0" distB="0" distL="114300" distR="114300" simplePos="0" relativeHeight="251663872" behindDoc="1" locked="0" layoutInCell="1" allowOverlap="1">
                      <wp:simplePos x="0" y="0"/>
                      <wp:positionH relativeFrom="column">
                        <wp:posOffset>-24130</wp:posOffset>
                      </wp:positionH>
                      <wp:positionV relativeFrom="paragraph">
                        <wp:posOffset>7620</wp:posOffset>
                      </wp:positionV>
                      <wp:extent cx="508635" cy="144780"/>
                      <wp:effectExtent l="0" t="1270" r="0" b="0"/>
                      <wp:wrapNone/>
                      <wp:docPr id="1" name="Rectangle 17"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 cy="144780"/>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E05FB" id="Rectangle 17" o:spid="_x0000_s1026" alt="Green" style="position:absolute;left:0;text-align:left;margin-left:-1.9pt;margin-top:.6pt;width:40.05pt;height:11.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lLigIAAAkFAAAOAAAAZHJzL2Uyb0RvYy54bWysVG1v0zAQ/o7Ef7D8vUtS0pdES6etoxPS&#10;gInBD3Btp7Fw7HB2m26I/87ZaUsHXxCiH1xffHe+557nfHm1bzXZSXDKmopmFykl0nArlNlU9Mvn&#10;1WhOifPMCKatkRV9ko5eLV6/uuy7Uo5tY7WQQDCJcWXfVbTxviuTxPFGtsxd2E4aPKwttMyjCZtE&#10;AOsxe6uTcZpOk96C6MBy6Rx+vR0O6SLmr2vJ/ce6dtITXVGszccV4roOa7K4ZOUGWNcofiiD/UMV&#10;LVMGLz2lumWekS2oP1K1ioN1tvYX3LaJrWvFZcSAaLL0NzSPDetkxILNcd2pTe7/peUfdg9AlEDu&#10;KDGsRYo+YdOY2WhJshklQjqO/boDKU3oVt+5EoMeuwcIeF13b/lXR4xdNhgkrwFs30gmsMYs+Ccv&#10;AoLhMJSs+/dW4GVs621s3L6GNiTElpB95OfpxI/ce8Lx4ySdT99MKOF4lOX5bB75S1h5DO7A+Ttp&#10;WxI2FQVEEpOz3b3zoRhWHl1i8VYrsVJaRwM266UGsmMolaJYLtNjdnfupk1wNjaEDRmHL1gj3hHO&#10;QrWR+u9FNs7Tm3ExWk3ns1G+yiejYpbOR2lW3BTTNC/y29WPUGCWl40SQpp7ZeRRhln+dzQfBmIQ&#10;UBQi6RHBZDyJ2F9U785BpvEXSUIiz0G2yuNUatVWdH5yYmXg9a0RCJuVnik97JOX5ccuYw+O/7Er&#10;UQWB+EFAayueUARgkSScSnw/cNNYeKakx1msqPu2ZSAp0e8MCqlAssPwRiOfzMZowPnJ+vyEGY6p&#10;KuopGbZLPwz8tgO1afCmLDbG2GsUX62iMIIwh6oOksV5iwgOb0MY6HM7ev16wRY/AQAA//8DAFBL&#10;AwQUAAYACAAAACEAVHqkrNwAAAAGAQAADwAAAGRycy9kb3ducmV2LnhtbEzOTU/DMAwG4DsS/yEy&#10;ErctpWMdKk0nxMdxQgw0jZvbmLaicaom27p/jznB0X6t10+xnlyvjjSGzrOBm3kCirj2tuPGwMf7&#10;y+wOVIjIFnvPZOBMAdbl5UWBufUnfqPjNjZKSjjkaKCNcci1DnVLDsPcD8SSffnRYZRxbLQd8STl&#10;rtdpkmTaYcfyocWBHluqv7cHZ+BzlzmN1X7zHDax0+d6+fq0XxpzfTU93IOKNMW/Y/jlCx1KMVX+&#10;wDao3sBsIfIo+xSUxKtsAaoykN4moMtC/+eXPwAAAP//AwBQSwECLQAUAAYACAAAACEAtoM4kv4A&#10;AADhAQAAEwAAAAAAAAAAAAAAAAAAAAAAW0NvbnRlbnRfVHlwZXNdLnhtbFBLAQItABQABgAIAAAA&#10;IQA4/SH/1gAAAJQBAAALAAAAAAAAAAAAAAAAAC8BAABfcmVscy8ucmVsc1BLAQItABQABgAIAAAA&#10;IQCfgmlLigIAAAkFAAAOAAAAAAAAAAAAAAAAAC4CAABkcnMvZTJvRG9jLnhtbFBLAQItABQABgAI&#10;AAAAIQBUeqSs3AAAAAYBAAAPAAAAAAAAAAAAAAAAAOQEAABkcnMvZG93bnJldi54bWxQSwUGAAAA&#10;AAQABADzAAAA7QUAAAAA&#10;" fillcolor="#9c0" stroked="f"/>
                  </w:pict>
                </mc:Fallback>
              </mc:AlternateContent>
            </w:r>
            <w:r w:rsidR="004D2889" w:rsidRPr="00D7139C">
              <w:t>6</w:t>
            </w:r>
          </w:p>
        </w:tc>
        <w:tc>
          <w:tcPr>
            <w:tcW w:w="3106" w:type="dxa"/>
            <w:tcBorders>
              <w:left w:val="single" w:sz="2" w:space="0" w:color="808080"/>
              <w:right w:val="single" w:sz="2" w:space="0" w:color="808080"/>
            </w:tcBorders>
            <w:noWrap/>
            <w:vAlign w:val="bottom"/>
          </w:tcPr>
          <w:p w:rsidR="004D2889" w:rsidRPr="00D7139C" w:rsidRDefault="004D2889" w:rsidP="00295EBC">
            <w:pPr>
              <w:pStyle w:val="Note"/>
              <w:spacing w:after="40"/>
            </w:pPr>
            <w:r w:rsidRPr="00D7139C">
              <w:t>Very high quality</w:t>
            </w:r>
          </w:p>
        </w:tc>
        <w:tc>
          <w:tcPr>
            <w:tcW w:w="842" w:type="dxa"/>
            <w:tcBorders>
              <w:top w:val="single" w:sz="2" w:space="0" w:color="808080"/>
              <w:left w:val="single" w:sz="2" w:space="0" w:color="808080"/>
              <w:bottom w:val="single" w:sz="2" w:space="0" w:color="808080"/>
              <w:right w:val="single" w:sz="2" w:space="0" w:color="808080"/>
            </w:tcBorders>
            <w:shd w:val="clear" w:color="auto" w:fill="FF9900"/>
            <w:noWrap/>
            <w:vAlign w:val="bottom"/>
          </w:tcPr>
          <w:p w:rsidR="004D2889" w:rsidRDefault="004D2889">
            <w:pPr>
              <w:pStyle w:val="Note"/>
              <w:spacing w:after="40"/>
              <w:jc w:val="center"/>
            </w:pPr>
            <w:r w:rsidRPr="00D7139C">
              <w:t>3</w:t>
            </w:r>
          </w:p>
        </w:tc>
        <w:tc>
          <w:tcPr>
            <w:tcW w:w="3150" w:type="dxa"/>
            <w:tcBorders>
              <w:left w:val="single" w:sz="2" w:space="0" w:color="808080"/>
            </w:tcBorders>
            <w:noWrap/>
            <w:vAlign w:val="bottom"/>
          </w:tcPr>
          <w:p w:rsidR="004D2889" w:rsidRPr="00D7139C" w:rsidRDefault="004D2889" w:rsidP="00295EBC">
            <w:pPr>
              <w:pStyle w:val="Note"/>
              <w:spacing w:after="40"/>
            </w:pPr>
            <w:r w:rsidRPr="00D7139C">
              <w:t>Less than adequate quality; needs significant work</w:t>
            </w:r>
          </w:p>
        </w:tc>
      </w:tr>
      <w:tr w:rsidR="004D2889" w:rsidRPr="00D7139C">
        <w:trPr>
          <w:cantSplit/>
        </w:trPr>
        <w:tc>
          <w:tcPr>
            <w:tcW w:w="840" w:type="dxa"/>
            <w:tcBorders>
              <w:top w:val="single" w:sz="2" w:space="0" w:color="808080"/>
              <w:left w:val="single" w:sz="2" w:space="0" w:color="808080"/>
              <w:bottom w:val="single" w:sz="2" w:space="0" w:color="808080"/>
              <w:right w:val="single" w:sz="2" w:space="0" w:color="808080"/>
            </w:tcBorders>
            <w:shd w:val="clear" w:color="auto" w:fill="99CC00"/>
            <w:vAlign w:val="bottom"/>
          </w:tcPr>
          <w:p w:rsidR="004D2889" w:rsidRDefault="004D2889">
            <w:pPr>
              <w:pStyle w:val="Note"/>
              <w:spacing w:after="40"/>
              <w:jc w:val="center"/>
            </w:pPr>
            <w:r w:rsidRPr="00D7139C">
              <w:t>5</w:t>
            </w:r>
          </w:p>
        </w:tc>
        <w:tc>
          <w:tcPr>
            <w:tcW w:w="3106" w:type="dxa"/>
            <w:tcBorders>
              <w:left w:val="single" w:sz="2" w:space="0" w:color="808080"/>
              <w:right w:val="single" w:sz="2" w:space="0" w:color="808080"/>
            </w:tcBorders>
            <w:noWrap/>
            <w:vAlign w:val="bottom"/>
          </w:tcPr>
          <w:p w:rsidR="004D2889" w:rsidRPr="00D7139C" w:rsidRDefault="004D2889" w:rsidP="00295EBC">
            <w:pPr>
              <w:pStyle w:val="Note"/>
              <w:spacing w:after="40"/>
            </w:pPr>
            <w:r w:rsidRPr="00D7139C">
              <w:t>Good quality</w:t>
            </w:r>
          </w:p>
        </w:tc>
        <w:tc>
          <w:tcPr>
            <w:tcW w:w="842" w:type="dxa"/>
            <w:tcBorders>
              <w:top w:val="single" w:sz="2" w:space="0" w:color="808080"/>
              <w:left w:val="single" w:sz="2" w:space="0" w:color="808080"/>
              <w:bottom w:val="single" w:sz="2" w:space="0" w:color="808080"/>
              <w:right w:val="single" w:sz="2" w:space="0" w:color="808080"/>
            </w:tcBorders>
            <w:shd w:val="clear" w:color="auto" w:fill="FF0000"/>
            <w:noWrap/>
            <w:vAlign w:val="bottom"/>
          </w:tcPr>
          <w:p w:rsidR="004D2889" w:rsidRDefault="004D2889">
            <w:pPr>
              <w:pStyle w:val="Note"/>
              <w:spacing w:after="40"/>
              <w:jc w:val="center"/>
            </w:pPr>
            <w:r w:rsidRPr="00D7139C">
              <w:t>2</w:t>
            </w:r>
          </w:p>
        </w:tc>
        <w:tc>
          <w:tcPr>
            <w:tcW w:w="3150" w:type="dxa"/>
            <w:tcBorders>
              <w:left w:val="single" w:sz="2" w:space="0" w:color="808080"/>
            </w:tcBorders>
            <w:noWrap/>
            <w:vAlign w:val="bottom"/>
          </w:tcPr>
          <w:p w:rsidR="004D2889" w:rsidRPr="00D7139C" w:rsidRDefault="004D2889" w:rsidP="00295EBC">
            <w:pPr>
              <w:pStyle w:val="Note"/>
              <w:spacing w:after="40"/>
            </w:pPr>
            <w:r w:rsidRPr="00D7139C">
              <w:t>Poor quality; needs major work to improve</w:t>
            </w:r>
          </w:p>
        </w:tc>
      </w:tr>
      <w:tr w:rsidR="004D2889" w:rsidRPr="00D7139C">
        <w:trPr>
          <w:cantSplit/>
        </w:trPr>
        <w:tc>
          <w:tcPr>
            <w:tcW w:w="840" w:type="dxa"/>
            <w:tcBorders>
              <w:top w:val="single" w:sz="2" w:space="0" w:color="808080"/>
              <w:left w:val="single" w:sz="2" w:space="0" w:color="808080"/>
              <w:bottom w:val="single" w:sz="2" w:space="0" w:color="808080"/>
              <w:right w:val="single" w:sz="2" w:space="0" w:color="808080"/>
            </w:tcBorders>
            <w:shd w:val="clear" w:color="auto" w:fill="FFCC00"/>
            <w:vAlign w:val="bottom"/>
          </w:tcPr>
          <w:p w:rsidR="004D2889" w:rsidRDefault="004D2889">
            <w:pPr>
              <w:pStyle w:val="Note"/>
              <w:spacing w:after="40"/>
              <w:jc w:val="center"/>
            </w:pPr>
            <w:r w:rsidRPr="00D7139C">
              <w:t>4</w:t>
            </w:r>
          </w:p>
        </w:tc>
        <w:tc>
          <w:tcPr>
            <w:tcW w:w="3106" w:type="dxa"/>
            <w:tcBorders>
              <w:left w:val="single" w:sz="2" w:space="0" w:color="808080"/>
              <w:right w:val="single" w:sz="2" w:space="0" w:color="808080"/>
            </w:tcBorders>
            <w:noWrap/>
            <w:vAlign w:val="bottom"/>
          </w:tcPr>
          <w:p w:rsidR="004D2889" w:rsidRPr="00D7139C" w:rsidRDefault="004D2889" w:rsidP="00295EBC">
            <w:pPr>
              <w:pStyle w:val="Note"/>
              <w:spacing w:after="40"/>
            </w:pPr>
            <w:r w:rsidRPr="00D7139C">
              <w:t xml:space="preserve">Adequate quality; </w:t>
            </w:r>
            <w:r>
              <w:t xml:space="preserve">needs </w:t>
            </w:r>
            <w:r w:rsidRPr="00D7139C">
              <w:t>some work to improve</w:t>
            </w:r>
          </w:p>
        </w:tc>
        <w:tc>
          <w:tcPr>
            <w:tcW w:w="842" w:type="dxa"/>
            <w:tcBorders>
              <w:top w:val="single" w:sz="2" w:space="0" w:color="808080"/>
              <w:left w:val="single" w:sz="2" w:space="0" w:color="808080"/>
              <w:bottom w:val="single" w:sz="2" w:space="0" w:color="808080"/>
              <w:right w:val="single" w:sz="2" w:space="0" w:color="808080"/>
            </w:tcBorders>
            <w:shd w:val="clear" w:color="auto" w:fill="FF0000"/>
            <w:noWrap/>
            <w:vAlign w:val="bottom"/>
          </w:tcPr>
          <w:p w:rsidR="004D2889" w:rsidRDefault="004D2889">
            <w:pPr>
              <w:pStyle w:val="Note"/>
              <w:spacing w:after="40"/>
              <w:jc w:val="center"/>
            </w:pPr>
            <w:r w:rsidRPr="00D7139C">
              <w:t>1</w:t>
            </w:r>
          </w:p>
        </w:tc>
        <w:tc>
          <w:tcPr>
            <w:tcW w:w="3150" w:type="dxa"/>
            <w:tcBorders>
              <w:left w:val="single" w:sz="2" w:space="0" w:color="808080"/>
            </w:tcBorders>
            <w:noWrap/>
            <w:vAlign w:val="bottom"/>
          </w:tcPr>
          <w:p w:rsidR="004D2889" w:rsidRPr="00D7139C" w:rsidRDefault="004D2889" w:rsidP="00295EBC">
            <w:pPr>
              <w:pStyle w:val="Note"/>
              <w:spacing w:after="40"/>
            </w:pPr>
            <w:r w:rsidRPr="00D7139C">
              <w:t>Very poor quality; needs major overhaul</w:t>
            </w:r>
          </w:p>
        </w:tc>
      </w:tr>
    </w:tbl>
    <w:p w:rsidR="004D2889" w:rsidRDefault="004D2889" w:rsidP="004B506A">
      <w:pPr>
        <w:pStyle w:val="Heading2unnumbered"/>
        <w:tabs>
          <w:tab w:val="clear" w:pos="1440"/>
        </w:tabs>
      </w:pPr>
      <w:bookmarkStart w:id="51" w:name="_Toc250710285"/>
      <w:r w:rsidRPr="004B506A">
        <w:lastRenderedPageBreak/>
        <w:t>Monitoring and evaluation</w:t>
      </w:r>
      <w:bookmarkEnd w:id="51"/>
    </w:p>
    <w:p w:rsidR="004D2889" w:rsidRPr="004B506A" w:rsidRDefault="004D2889" w:rsidP="004B506A">
      <w:pPr>
        <w:pStyle w:val="BodyText"/>
      </w:pPr>
      <w:r w:rsidRPr="004B506A">
        <w:t xml:space="preserve">Monitoring and evaluation is an area that continues to need improvement across the </w:t>
      </w:r>
      <w:r>
        <w:t xml:space="preserve">Tonga </w:t>
      </w:r>
      <w:r w:rsidRPr="004B506A">
        <w:t>program</w:t>
      </w:r>
      <w:r>
        <w:t xml:space="preserve"> of assistance</w:t>
      </w:r>
      <w:r w:rsidRPr="004B506A">
        <w:t>.</w:t>
      </w:r>
      <w:r>
        <w:t xml:space="preserve"> </w:t>
      </w:r>
      <w:r w:rsidRPr="004B506A">
        <w:t xml:space="preserve">For some activities, the links between reported results and </w:t>
      </w:r>
      <w:r>
        <w:t>their</w:t>
      </w:r>
      <w:r w:rsidRPr="004B506A">
        <w:t xml:space="preserve"> objectives are weak. This makes it difficult to conduct a robust assessment of their contribution to </w:t>
      </w:r>
      <w:r>
        <w:t>Tonga’s</w:t>
      </w:r>
      <w:r w:rsidRPr="004B506A">
        <w:t xml:space="preserve"> strateg</w:t>
      </w:r>
      <w:r>
        <w:t>ic</w:t>
      </w:r>
      <w:r w:rsidRPr="004B506A">
        <w:t xml:space="preserve"> objectives.</w:t>
      </w:r>
      <w:r>
        <w:t xml:space="preserve"> </w:t>
      </w:r>
      <w:r w:rsidRPr="004B506A">
        <w:t xml:space="preserve">Few assessments are made of the extent to which </w:t>
      </w:r>
      <w:r>
        <w:t>technical assistance</w:t>
      </w:r>
      <w:r w:rsidRPr="004B506A">
        <w:t xml:space="preserve"> is used in</w:t>
      </w:r>
      <w:r>
        <w:t xml:space="preserve"> </w:t>
      </w:r>
      <w:r w:rsidRPr="004B506A">
        <w:t xml:space="preserve">line </w:t>
      </w:r>
      <w:r>
        <w:t xml:space="preserve">positions </w:t>
      </w:r>
      <w:r w:rsidRPr="004B506A">
        <w:t>or to build capacity (although it is recognised that some in-line assistance is necessary).</w:t>
      </w:r>
      <w:r>
        <w:t xml:space="preserve"> </w:t>
      </w:r>
      <w:r w:rsidRPr="004B506A">
        <w:t xml:space="preserve">It </w:t>
      </w:r>
      <w:r>
        <w:t>was</w:t>
      </w:r>
      <w:r w:rsidRPr="004B506A">
        <w:t xml:space="preserve"> noted that the </w:t>
      </w:r>
      <w:r>
        <w:t>Government of Tonga</w:t>
      </w:r>
      <w:r w:rsidRPr="004B506A">
        <w:t xml:space="preserve"> </w:t>
      </w:r>
      <w:r>
        <w:t>plans</w:t>
      </w:r>
      <w:r w:rsidRPr="004B506A">
        <w:t xml:space="preserve"> to introduce more rigorous performance management of technical assistance.</w:t>
      </w:r>
      <w:r>
        <w:t xml:space="preserve"> </w:t>
      </w:r>
      <w:r w:rsidRPr="004B506A">
        <w:t>Performance information was generally better where recent evaluations ha</w:t>
      </w:r>
      <w:r>
        <w:t>d</w:t>
      </w:r>
      <w:r w:rsidRPr="004B506A">
        <w:t xml:space="preserve"> been conducted (</w:t>
      </w:r>
      <w:r>
        <w:t>for example, the</w:t>
      </w:r>
      <w:r w:rsidRPr="004B506A">
        <w:t xml:space="preserve"> tracer study of recipients</w:t>
      </w:r>
      <w:r>
        <w:t xml:space="preserve"> of Australian Development Scholarships</w:t>
      </w:r>
      <w:r w:rsidRPr="004B506A">
        <w:t>).</w:t>
      </w:r>
      <w:r>
        <w:t xml:space="preserve"> </w:t>
      </w:r>
      <w:r w:rsidRPr="004B506A">
        <w:t xml:space="preserve">As </w:t>
      </w:r>
      <w:r>
        <w:t>initiatives</w:t>
      </w:r>
      <w:r w:rsidRPr="004B506A">
        <w:t xml:space="preserve"> are mobilised in line with the </w:t>
      </w:r>
      <w:r>
        <w:t>Australia–Tonga</w:t>
      </w:r>
      <w:r w:rsidRPr="004B506A">
        <w:t xml:space="preserve"> Partnership for Development, </w:t>
      </w:r>
      <w:r>
        <w:t>they</w:t>
      </w:r>
      <w:r w:rsidRPr="004B506A">
        <w:t xml:space="preserve"> will benefit from regular and independent evaluation</w:t>
      </w:r>
      <w:r>
        <w:t>s</w:t>
      </w:r>
      <w:r w:rsidRPr="004B506A">
        <w:t xml:space="preserve"> of </w:t>
      </w:r>
      <w:r>
        <w:t>their</w:t>
      </w:r>
      <w:r w:rsidRPr="004B506A">
        <w:t xml:space="preserve"> outcomes.</w:t>
      </w:r>
    </w:p>
    <w:p w:rsidR="004D2889" w:rsidRPr="004B506A" w:rsidRDefault="004D2889" w:rsidP="004B506A">
      <w:pPr>
        <w:pStyle w:val="BodyText"/>
      </w:pPr>
      <w:r>
        <w:t>AusAID will ensure that the</w:t>
      </w:r>
      <w:r w:rsidRPr="004B506A">
        <w:t xml:space="preserve"> design</w:t>
      </w:r>
      <w:r>
        <w:t>s</w:t>
      </w:r>
      <w:r w:rsidRPr="004B506A">
        <w:t xml:space="preserve"> of new </w:t>
      </w:r>
      <w:r>
        <w:t>activities</w:t>
      </w:r>
      <w:r w:rsidRPr="004B506A">
        <w:t xml:space="preserve"> in health and </w:t>
      </w:r>
      <w:r>
        <w:t xml:space="preserve">in </w:t>
      </w:r>
      <w:r w:rsidRPr="004B506A">
        <w:t xml:space="preserve">technical and vocational education will </w:t>
      </w:r>
      <w:r>
        <w:t>include</w:t>
      </w:r>
      <w:r w:rsidRPr="004B506A">
        <w:t xml:space="preserve"> </w:t>
      </w:r>
      <w:r>
        <w:t>monitoring and evaluation as</w:t>
      </w:r>
      <w:r w:rsidRPr="004B506A">
        <w:t xml:space="preserve"> essential elements.</w:t>
      </w:r>
      <w:r>
        <w:t xml:space="preserve"> </w:t>
      </w:r>
      <w:r w:rsidRPr="004B506A">
        <w:t xml:space="preserve">AusAID is also actively engaged with other donors to improve management oversight and </w:t>
      </w:r>
      <w:r>
        <w:t xml:space="preserve">the monitoring and evaluation </w:t>
      </w:r>
      <w:r w:rsidRPr="004B506A">
        <w:t xml:space="preserve">of economic and public sector management activities. </w:t>
      </w:r>
      <w:r>
        <w:t>Tonga’s</w:t>
      </w:r>
      <w:r w:rsidRPr="004B506A">
        <w:t xml:space="preserve"> Expenditure Review Committee</w:t>
      </w:r>
      <w:r>
        <w:t>, with its role</w:t>
      </w:r>
      <w:r w:rsidRPr="004B506A">
        <w:t xml:space="preserve"> in budget development and quarterly reporting linked to annual work plans</w:t>
      </w:r>
      <w:r>
        <w:t>,</w:t>
      </w:r>
      <w:r w:rsidRPr="004B506A">
        <w:t xml:space="preserve"> provides a good mechanism to link donor monitoring and evaluation to Tonga</w:t>
      </w:r>
      <w:r>
        <w:t>n</w:t>
      </w:r>
      <w:r w:rsidRPr="004B506A">
        <w:t xml:space="preserve"> systems.</w:t>
      </w:r>
      <w:r>
        <w:t xml:space="preserve"> </w:t>
      </w:r>
      <w:r w:rsidRPr="004B506A">
        <w:t>T</w:t>
      </w:r>
      <w:r>
        <w:t>onga’s</w:t>
      </w:r>
      <w:r w:rsidRPr="004B506A">
        <w:t xml:space="preserve"> new National Strategic Planning Framework (which replace</w:t>
      </w:r>
      <w:r>
        <w:t>d</w:t>
      </w:r>
      <w:r w:rsidRPr="004B506A">
        <w:t xml:space="preserve"> Strategic Development Plan</w:t>
      </w:r>
      <w:r>
        <w:t xml:space="preserve"> Eight</w:t>
      </w:r>
      <w:r w:rsidRPr="004B506A">
        <w:t>) also plans to link corporate plans more closely to development plan</w:t>
      </w:r>
      <w:r>
        <w:t>s</w:t>
      </w:r>
      <w:r w:rsidRPr="004B506A">
        <w:t>. Changes to the portfolio</w:t>
      </w:r>
      <w:r>
        <w:t xml:space="preserve"> of assistance</w:t>
      </w:r>
      <w:r w:rsidRPr="004B506A">
        <w:t xml:space="preserve"> under the Partnership for Development will provide a</w:t>
      </w:r>
      <w:r>
        <w:t>n</w:t>
      </w:r>
      <w:r w:rsidRPr="004B506A">
        <w:t xml:space="preserve"> opportunity to foster a greater focus on performance management from the </w:t>
      </w:r>
      <w:r>
        <w:t>Government of Tonga</w:t>
      </w:r>
      <w:r w:rsidRPr="004B506A">
        <w:t xml:space="preserve">. This will also be a challenge as it will mean working to strengthen national performance management systems but will ultimately result in improved </w:t>
      </w:r>
      <w:r>
        <w:t xml:space="preserve">monitoring and evaluation </w:t>
      </w:r>
      <w:r w:rsidRPr="004B506A">
        <w:t xml:space="preserve">in </w:t>
      </w:r>
      <w:smartTag w:uri="urn:schemas-microsoft-com:office:smarttags" w:element="country-region">
        <w:smartTag w:uri="urn:schemas-microsoft-com:office:smarttags" w:element="place">
          <w:r w:rsidRPr="004B506A">
            <w:t>Tonga</w:t>
          </w:r>
        </w:smartTag>
      </w:smartTag>
      <w:r w:rsidRPr="004B506A">
        <w:t xml:space="preserve">. </w:t>
      </w:r>
    </w:p>
    <w:p w:rsidR="004D2889" w:rsidRDefault="004D2889" w:rsidP="004B506A">
      <w:pPr>
        <w:pStyle w:val="Heading2unnumbered"/>
        <w:tabs>
          <w:tab w:val="clear" w:pos="1440"/>
        </w:tabs>
      </w:pPr>
      <w:bookmarkStart w:id="52" w:name="_Toc250710286"/>
      <w:r w:rsidRPr="004B506A">
        <w:t>Sustainability</w:t>
      </w:r>
      <w:bookmarkEnd w:id="52"/>
    </w:p>
    <w:p w:rsidR="004D2889" w:rsidRPr="004B506A" w:rsidRDefault="004D2889" w:rsidP="004B506A">
      <w:pPr>
        <w:pStyle w:val="BodyText"/>
      </w:pPr>
      <w:r w:rsidRPr="004B506A">
        <w:t>The quality</w:t>
      </w:r>
      <w:r>
        <w:t>-</w:t>
      </w:r>
      <w:r w:rsidRPr="004B506A">
        <w:t>at</w:t>
      </w:r>
      <w:r>
        <w:t>-</w:t>
      </w:r>
      <w:r w:rsidRPr="004B506A">
        <w:t>implementation ratings</w:t>
      </w:r>
      <w:r>
        <w:t xml:space="preserve"> identified the s</w:t>
      </w:r>
      <w:r w:rsidRPr="004B506A">
        <w:t xml:space="preserve">ustainability </w:t>
      </w:r>
      <w:r>
        <w:t xml:space="preserve">of results and outcomes </w:t>
      </w:r>
      <w:r w:rsidRPr="004B506A">
        <w:t>as one of the key problems of the existing program</w:t>
      </w:r>
      <w:r>
        <w:t xml:space="preserve"> of support</w:t>
      </w:r>
      <w:r w:rsidRPr="004B506A">
        <w:t>.</w:t>
      </w:r>
      <w:r>
        <w:t xml:space="preserve"> </w:t>
      </w:r>
      <w:r w:rsidRPr="004B506A">
        <w:t xml:space="preserve">Both high staff turnover and funding constraints were identified as </w:t>
      </w:r>
      <w:r>
        <w:t>major</w:t>
      </w:r>
      <w:r w:rsidRPr="004B506A">
        <w:t xml:space="preserve"> sustainability issues in </w:t>
      </w:r>
      <w:r>
        <w:t>some</w:t>
      </w:r>
      <w:r w:rsidRPr="004B506A">
        <w:t xml:space="preserve"> projects.</w:t>
      </w:r>
      <w:r>
        <w:t xml:space="preserve"> </w:t>
      </w:r>
      <w:r w:rsidRPr="004B506A">
        <w:t xml:space="preserve">With respect to staffing, emigration is a major </w:t>
      </w:r>
      <w:r>
        <w:t>reason for the high turnover</w:t>
      </w:r>
      <w:r w:rsidRPr="004B506A">
        <w:t>, and capacity building is difficult when talented personnel take up better paid positions overseas.</w:t>
      </w:r>
      <w:r>
        <w:t xml:space="preserve"> To address</w:t>
      </w:r>
      <w:r w:rsidRPr="004B506A">
        <w:t xml:space="preserve"> funding constraints, the Government of Tonga is increasing revenue, but salary increases in </w:t>
      </w:r>
      <w:r>
        <w:t xml:space="preserve">the </w:t>
      </w:r>
      <w:r w:rsidRPr="004B506A">
        <w:t>2002 budget and the 70</w:t>
      </w:r>
      <w:r>
        <w:t> per cent</w:t>
      </w:r>
      <w:r w:rsidRPr="004B506A">
        <w:t xml:space="preserve"> average increase in 2006 (despite resulting redundancies) continue to constrain the government’s budget.</w:t>
      </w:r>
      <w:r>
        <w:t xml:space="preserve"> </w:t>
      </w:r>
    </w:p>
    <w:p w:rsidR="004D2889" w:rsidRPr="004B506A" w:rsidRDefault="004D2889" w:rsidP="004B506A">
      <w:pPr>
        <w:pStyle w:val="BodyText"/>
      </w:pPr>
      <w:r w:rsidRPr="004B506A">
        <w:t xml:space="preserve">In some </w:t>
      </w:r>
      <w:r>
        <w:t>cases</w:t>
      </w:r>
      <w:r w:rsidRPr="004B506A">
        <w:t>, sustainability is not an explicit aim of assistance (</w:t>
      </w:r>
      <w:r>
        <w:t>for example,</w:t>
      </w:r>
      <w:r w:rsidRPr="004B506A">
        <w:t xml:space="preserve"> in-line technical advisers).</w:t>
      </w:r>
      <w:r>
        <w:t xml:space="preserve"> </w:t>
      </w:r>
      <w:r w:rsidRPr="004B506A">
        <w:t xml:space="preserve">In these cases, the benefits of </w:t>
      </w:r>
      <w:r>
        <w:t xml:space="preserve">supplementing </w:t>
      </w:r>
      <w:r w:rsidRPr="004B506A">
        <w:t>capacity should be identified.</w:t>
      </w:r>
      <w:r>
        <w:t xml:space="preserve"> </w:t>
      </w:r>
      <w:r w:rsidRPr="004B506A">
        <w:t xml:space="preserve">For example, the </w:t>
      </w:r>
      <w:r>
        <w:t>Government of Tonga</w:t>
      </w:r>
      <w:r w:rsidRPr="004B506A">
        <w:t xml:space="preserve"> has a very longstanding tradition (dating back to the 1800s) of engaging international in-line judges to help ensure independence of the judiciary.</w:t>
      </w:r>
      <w:r>
        <w:t xml:space="preserve"> </w:t>
      </w:r>
      <w:r w:rsidRPr="004B506A">
        <w:t xml:space="preserve">The </w:t>
      </w:r>
      <w:r>
        <w:t>government</w:t>
      </w:r>
      <w:r w:rsidRPr="004B506A">
        <w:t xml:space="preserve"> has also effectively used international in-line </w:t>
      </w:r>
      <w:r>
        <w:t>technical assistance</w:t>
      </w:r>
      <w:r w:rsidRPr="004B506A">
        <w:t xml:space="preserve"> to </w:t>
      </w:r>
      <w:r>
        <w:t>achieve</w:t>
      </w:r>
      <w:r w:rsidRPr="004B506A">
        <w:t xml:space="preserve"> reforms that would otherwise be difficult to progress due to strong social and political hierarchies.</w:t>
      </w:r>
      <w:r>
        <w:t xml:space="preserve"> The </w:t>
      </w:r>
      <w:r w:rsidRPr="004B506A">
        <w:t>quality</w:t>
      </w:r>
      <w:r>
        <w:t>-</w:t>
      </w:r>
      <w:r w:rsidRPr="004B506A">
        <w:t>at</w:t>
      </w:r>
      <w:r>
        <w:t>-</w:t>
      </w:r>
      <w:r w:rsidRPr="004B506A">
        <w:t xml:space="preserve">implementation ratings on sustainability </w:t>
      </w:r>
      <w:r>
        <w:t xml:space="preserve">prospects </w:t>
      </w:r>
      <w:r w:rsidRPr="004B506A">
        <w:t>need to be viewed within the wider context.</w:t>
      </w:r>
    </w:p>
    <w:p w:rsidR="004D2889" w:rsidRDefault="004D2889" w:rsidP="004B506A">
      <w:pPr>
        <w:pStyle w:val="Heading2unnumbered"/>
        <w:tabs>
          <w:tab w:val="clear" w:pos="1440"/>
        </w:tabs>
      </w:pPr>
      <w:bookmarkStart w:id="53" w:name="_Toc250710287"/>
      <w:r w:rsidRPr="004B506A">
        <w:lastRenderedPageBreak/>
        <w:t xml:space="preserve">Donor harmonisation and the </w:t>
      </w:r>
      <w:smartTag w:uri="urn:schemas-microsoft-com:office:smarttags" w:element="City">
        <w:r w:rsidRPr="004B506A">
          <w:t>Paris</w:t>
        </w:r>
      </w:smartTag>
      <w:r>
        <w:t xml:space="preserve"> </w:t>
      </w:r>
      <w:r w:rsidRPr="004B506A">
        <w:t>agenda</w:t>
      </w:r>
      <w:bookmarkEnd w:id="53"/>
    </w:p>
    <w:p w:rsidR="004D2889" w:rsidRPr="004B506A" w:rsidRDefault="004D2889" w:rsidP="004B506A">
      <w:pPr>
        <w:pStyle w:val="BodyText"/>
      </w:pPr>
      <w:r>
        <w:t>The</w:t>
      </w:r>
      <w:r w:rsidRPr="004B506A">
        <w:t xml:space="preserve"> </w:t>
      </w:r>
      <w:r>
        <w:t xml:space="preserve">2007 </w:t>
      </w:r>
      <w:r w:rsidRPr="004B506A">
        <w:t xml:space="preserve">Joint Declaration on Aid </w:t>
      </w:r>
      <w:r>
        <w:t>Effectiveness between the Government of</w:t>
      </w:r>
      <w:r w:rsidRPr="004B506A">
        <w:t xml:space="preserve"> </w:t>
      </w:r>
      <w:r>
        <w:t>Tonga and development partners (</w:t>
      </w:r>
      <w:smartTag w:uri="urn:schemas-microsoft-com:office:smarttags" w:element="country-region">
        <w:r w:rsidRPr="004B506A">
          <w:t>Australia</w:t>
        </w:r>
      </w:smartTag>
      <w:r w:rsidRPr="004B506A">
        <w:t xml:space="preserve">, New Zealand, the </w:t>
      </w:r>
      <w:r>
        <w:t>Asian Development Bank</w:t>
      </w:r>
      <w:r w:rsidRPr="004B506A">
        <w:t xml:space="preserve"> and </w:t>
      </w:r>
      <w:r>
        <w:t xml:space="preserve">the </w:t>
      </w:r>
      <w:r w:rsidRPr="004B506A">
        <w:t>World Bank</w:t>
      </w:r>
      <w:r>
        <w:t>)</w:t>
      </w:r>
      <w:r w:rsidRPr="004B506A">
        <w:t xml:space="preserve"> establish</w:t>
      </w:r>
      <w:r>
        <w:t>ed</w:t>
      </w:r>
      <w:r w:rsidRPr="004B506A">
        <w:t xml:space="preserve"> an implementation strategy </w:t>
      </w:r>
      <w:r>
        <w:t xml:space="preserve">for development assistance </w:t>
      </w:r>
      <w:r w:rsidRPr="004B506A">
        <w:t>based on the Paris Principles on Aid Effectiveness.</w:t>
      </w:r>
      <w:r>
        <w:t xml:space="preserve"> In 2008</w:t>
      </w:r>
      <w:r w:rsidRPr="004B506A">
        <w:t xml:space="preserve"> AusAID and NZAID </w:t>
      </w:r>
      <w:r>
        <w:t>took</w:t>
      </w:r>
      <w:r w:rsidRPr="004B506A">
        <w:t xml:space="preserve"> significant steps to </w:t>
      </w:r>
      <w:r>
        <w:t>effect</w:t>
      </w:r>
      <w:r w:rsidRPr="004B506A">
        <w:t xml:space="preserve"> the agreement.</w:t>
      </w:r>
      <w:r>
        <w:t xml:space="preserve"> </w:t>
      </w:r>
      <w:r w:rsidRPr="004B506A">
        <w:t xml:space="preserve">The two agencies </w:t>
      </w:r>
      <w:r>
        <w:t>now</w:t>
      </w:r>
      <w:r w:rsidRPr="004B506A">
        <w:t xml:space="preserve"> work closely in the areas of scholarships, education, technical and vocational </w:t>
      </w:r>
      <w:r>
        <w:t>training</w:t>
      </w:r>
      <w:r w:rsidRPr="004B506A">
        <w:t>, civil society, justice and police, develop</w:t>
      </w:r>
      <w:r>
        <w:t>ing</w:t>
      </w:r>
      <w:r w:rsidRPr="004B506A">
        <w:t xml:space="preserve"> joint programs in many of these areas.</w:t>
      </w:r>
      <w:r>
        <w:t xml:space="preserve"> The </w:t>
      </w:r>
      <w:r w:rsidRPr="00AE73F8">
        <w:t>Japan International Cooperation Agency</w:t>
      </w:r>
      <w:r w:rsidRPr="004B506A">
        <w:t xml:space="preserve"> has also been coordinating well at the project level.</w:t>
      </w:r>
      <w:r>
        <w:t xml:space="preserve"> </w:t>
      </w:r>
      <w:r w:rsidRPr="004B506A">
        <w:t>A Donor Harmonisation Coordinator, funded with AusAID assistance, support</w:t>
      </w:r>
      <w:r>
        <w:t>s</w:t>
      </w:r>
      <w:r w:rsidRPr="004B506A">
        <w:t xml:space="preserve"> the Aid Management Division </w:t>
      </w:r>
      <w:r>
        <w:t>within the Ministry of Finance and Planning in</w:t>
      </w:r>
      <w:r w:rsidRPr="004B506A">
        <w:t xml:space="preserve"> strengthen</w:t>
      </w:r>
      <w:r>
        <w:t>ing</w:t>
      </w:r>
      <w:r w:rsidRPr="004B506A">
        <w:t xml:space="preserve"> donor coordination.</w:t>
      </w:r>
    </w:p>
    <w:p w:rsidR="004D2889" w:rsidRDefault="004D2889">
      <w:pPr>
        <w:pStyle w:val="Heading1unnumbered"/>
        <w:rPr>
          <w:noProof/>
        </w:rPr>
      </w:pPr>
      <w:bookmarkStart w:id="54" w:name="_Toc250710288"/>
      <w:r>
        <w:lastRenderedPageBreak/>
        <w:t>What management actions are required based on this assessment?</w:t>
      </w:r>
      <w:r w:rsidR="000C5DE1">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2" name="Picture 1243"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descr="AusAID graphics pacific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4"/>
    </w:p>
    <w:p w:rsidR="004D2889" w:rsidRDefault="004D2889">
      <w:pPr>
        <w:pStyle w:val="Heading2unnumbered"/>
        <w:tabs>
          <w:tab w:val="clear" w:pos="1440"/>
        </w:tabs>
        <w:spacing w:before="100" w:after="60"/>
      </w:pPr>
      <w:bookmarkStart w:id="55" w:name="_Toc250710289"/>
      <w:r>
        <w:t>Focus of the Partnership for Development</w:t>
      </w:r>
      <w:bookmarkEnd w:id="55"/>
    </w:p>
    <w:p w:rsidR="004D2889" w:rsidRPr="00247C6E" w:rsidRDefault="004D2889" w:rsidP="004B506A">
      <w:pPr>
        <w:pStyle w:val="BodyText"/>
        <w:rPr>
          <w:spacing w:val="-1"/>
        </w:rPr>
      </w:pPr>
      <w:r w:rsidRPr="00247C6E">
        <w:rPr>
          <w:spacing w:val="-1"/>
        </w:rPr>
        <w:t xml:space="preserve">The objectives of the draft cooperation strategy are very broad and there is a need for more realistic and measurable performance indicators. </w:t>
      </w:r>
      <w:r>
        <w:rPr>
          <w:spacing w:val="-1"/>
        </w:rPr>
        <w:t>A</w:t>
      </w:r>
      <w:r w:rsidRPr="00247C6E">
        <w:rPr>
          <w:spacing w:val="-1"/>
        </w:rPr>
        <w:t>ttention also needs to be given to scaling up support and strengthening links with regional programs. These issues are being addressed in the Australia–Tonga Partnership for Development. The Partnership for Development</w:t>
      </w:r>
      <w:r w:rsidRPr="00247C6E" w:rsidDel="00AD4F3B">
        <w:rPr>
          <w:spacing w:val="-1"/>
        </w:rPr>
        <w:t xml:space="preserve"> </w:t>
      </w:r>
      <w:r w:rsidRPr="00247C6E">
        <w:rPr>
          <w:spacing w:val="-1"/>
        </w:rPr>
        <w:t xml:space="preserve">will focus on fewer areas of support and give more attention </w:t>
      </w:r>
      <w:r>
        <w:rPr>
          <w:spacing w:val="-1"/>
        </w:rPr>
        <w:t>to managing for </w:t>
      </w:r>
      <w:r w:rsidRPr="00247C6E">
        <w:rPr>
          <w:spacing w:val="-1"/>
        </w:rPr>
        <w:t>results.</w:t>
      </w:r>
    </w:p>
    <w:p w:rsidR="004D2889" w:rsidRDefault="004D2889">
      <w:pPr>
        <w:pStyle w:val="Heading2unnumbered"/>
        <w:tabs>
          <w:tab w:val="clear" w:pos="1440"/>
        </w:tabs>
        <w:spacing w:before="400" w:after="60"/>
      </w:pPr>
      <w:bookmarkStart w:id="56" w:name="_Toc250710290"/>
      <w:r w:rsidRPr="004B506A">
        <w:t xml:space="preserve">Suitability of the activities </w:t>
      </w:r>
      <w:r>
        <w:t>to meet</w:t>
      </w:r>
      <w:r w:rsidRPr="004B506A">
        <w:t xml:space="preserve"> the objectives of the agreed priority areas in the Partnership for Development</w:t>
      </w:r>
      <w:bookmarkEnd w:id="56"/>
    </w:p>
    <w:p w:rsidR="004D2889" w:rsidRPr="004B506A" w:rsidRDefault="004D2889" w:rsidP="004B506A">
      <w:pPr>
        <w:pStyle w:val="BodyText"/>
      </w:pPr>
      <w:r w:rsidRPr="004B506A">
        <w:t>Work is already under</w:t>
      </w:r>
      <w:r>
        <w:t xml:space="preserve"> </w:t>
      </w:r>
      <w:r w:rsidRPr="004B506A">
        <w:t>way to introduce new assistance, phase out some activities, and reshape</w:t>
      </w:r>
      <w:r>
        <w:t> </w:t>
      </w:r>
      <w:r w:rsidRPr="004B506A">
        <w:t>the existing program</w:t>
      </w:r>
      <w:r>
        <w:t xml:space="preserve"> of assistance to Tonga</w:t>
      </w:r>
      <w:r w:rsidRPr="004B506A">
        <w:t xml:space="preserve"> in order to better align </w:t>
      </w:r>
      <w:r>
        <w:t xml:space="preserve">it </w:t>
      </w:r>
      <w:r w:rsidRPr="004B506A">
        <w:t>with the objectives identified in the Partnership for Development. The overarching aim is to improve the targeting and effectiveness of the aid program.</w:t>
      </w:r>
      <w:r>
        <w:t xml:space="preserve"> </w:t>
      </w:r>
      <w:r w:rsidRPr="004B506A">
        <w:t xml:space="preserve">The following areas will </w:t>
      </w:r>
      <w:r>
        <w:t>receive the core of AusAID support.</w:t>
      </w:r>
    </w:p>
    <w:p w:rsidR="004D2889" w:rsidRPr="004B506A" w:rsidRDefault="004D2889" w:rsidP="004B11BC">
      <w:pPr>
        <w:pStyle w:val="ListBullet"/>
      </w:pPr>
      <w:r w:rsidRPr="004B506A">
        <w:t xml:space="preserve">A significant new </w:t>
      </w:r>
      <w:r w:rsidRPr="004B506A">
        <w:rPr>
          <w:b/>
        </w:rPr>
        <w:t>health</w:t>
      </w:r>
      <w:r w:rsidRPr="004B506A">
        <w:t xml:space="preserve"> program will build on the successes of the previous program in health management and administration, </w:t>
      </w:r>
      <w:r>
        <w:t>but have</w:t>
      </w:r>
      <w:r w:rsidRPr="004B506A">
        <w:t xml:space="preserve"> an expanded focus on service delivery.</w:t>
      </w:r>
      <w:r>
        <w:t xml:space="preserve"> </w:t>
      </w:r>
      <w:r w:rsidRPr="004B506A">
        <w:t>Health assistance will also have a particular focus on non-communicable diseases and improving community health services.</w:t>
      </w:r>
      <w:r>
        <w:t xml:space="preserve"> </w:t>
      </w:r>
      <w:r w:rsidRPr="004B506A">
        <w:t xml:space="preserve">The </w:t>
      </w:r>
      <w:r w:rsidRPr="00DC005A">
        <w:t>Pacific</w:t>
      </w:r>
      <w:r w:rsidRPr="003B3AC9">
        <w:rPr>
          <w:b/>
        </w:rPr>
        <w:t xml:space="preserve"> </w:t>
      </w:r>
      <w:r w:rsidRPr="004B506A">
        <w:t xml:space="preserve">Regional </w:t>
      </w:r>
      <w:r w:rsidRPr="00AE73F8">
        <w:t>Non</w:t>
      </w:r>
      <w:r>
        <w:t>-Communicable Disease</w:t>
      </w:r>
      <w:r w:rsidRPr="004B506A">
        <w:t xml:space="preserve"> Program (with support from </w:t>
      </w:r>
      <w:r>
        <w:t>the Secretariat of the Pacific Community</w:t>
      </w:r>
      <w:r w:rsidRPr="004B506A">
        <w:t xml:space="preserve"> and </w:t>
      </w:r>
      <w:r>
        <w:t>the World Health Organization</w:t>
      </w:r>
      <w:r w:rsidRPr="004B506A">
        <w:t xml:space="preserve">) will be monitored closely to ensure that </w:t>
      </w:r>
      <w:r>
        <w:t>it</w:t>
      </w:r>
      <w:r w:rsidRPr="004B506A">
        <w:t xml:space="preserve"> is the most effective means of delivering support</w:t>
      </w:r>
      <w:r>
        <w:t xml:space="preserve"> to fight these diseases</w:t>
      </w:r>
      <w:r w:rsidRPr="004B506A">
        <w:t>.</w:t>
      </w:r>
    </w:p>
    <w:p w:rsidR="004D2889" w:rsidRPr="004B506A" w:rsidRDefault="004D2889" w:rsidP="004B11BC">
      <w:pPr>
        <w:pStyle w:val="ListBullet"/>
      </w:pPr>
      <w:r w:rsidRPr="004B506A">
        <w:t xml:space="preserve">A new </w:t>
      </w:r>
      <w:r w:rsidRPr="004B506A">
        <w:rPr>
          <w:b/>
        </w:rPr>
        <w:t>technical and vocational education and training program</w:t>
      </w:r>
      <w:r w:rsidRPr="004B506A">
        <w:t xml:space="preserve"> to increase employment opportunities and meet workforce demands is </w:t>
      </w:r>
      <w:r>
        <w:t>expected</w:t>
      </w:r>
      <w:r w:rsidRPr="004B506A">
        <w:t xml:space="preserve"> to </w:t>
      </w:r>
      <w:r>
        <w:t>begin implementation</w:t>
      </w:r>
      <w:r w:rsidRPr="004B506A">
        <w:t xml:space="preserve"> in August 2009.</w:t>
      </w:r>
      <w:r>
        <w:t xml:space="preserve"> </w:t>
      </w:r>
      <w:r w:rsidRPr="004B506A">
        <w:t>It has been recognised that</w:t>
      </w:r>
      <w:r>
        <w:t>,</w:t>
      </w:r>
      <w:r w:rsidRPr="004B506A">
        <w:t xml:space="preserve"> to improve human capacity and employment outcomes, the whole education sector must be improved.</w:t>
      </w:r>
      <w:r>
        <w:t xml:space="preserve"> As a result</w:t>
      </w:r>
      <w:r w:rsidRPr="004B506A">
        <w:t xml:space="preserve"> AusAID will remain engaged with the Tonga Education Support Program, </w:t>
      </w:r>
      <w:r>
        <w:t>and</w:t>
      </w:r>
      <w:r w:rsidRPr="004B506A">
        <w:t xml:space="preserve"> initial</w:t>
      </w:r>
      <w:r>
        <w:t>ly</w:t>
      </w:r>
      <w:r w:rsidRPr="004B506A">
        <w:t xml:space="preserve"> focus on teacher in-service training. </w:t>
      </w:r>
      <w:r>
        <w:t>T</w:t>
      </w:r>
      <w:r w:rsidRPr="004B506A">
        <w:t xml:space="preserve">his program will </w:t>
      </w:r>
      <w:r>
        <w:t xml:space="preserve">continue to </w:t>
      </w:r>
      <w:r w:rsidRPr="004B506A">
        <w:t xml:space="preserve">be </w:t>
      </w:r>
      <w:r>
        <w:t>supported by</w:t>
      </w:r>
      <w:r w:rsidRPr="004B506A">
        <w:t xml:space="preserve"> other donors to reduce the administrative burden on AusAID and </w:t>
      </w:r>
      <w:smartTag w:uri="urn:schemas-microsoft-com:office:smarttags" w:element="country-region">
        <w:smartTag w:uri="urn:schemas-microsoft-com:office:smarttags" w:element="place">
          <w:r w:rsidRPr="004B506A">
            <w:t>Tonga</w:t>
          </w:r>
        </w:smartTag>
      </w:smartTag>
      <w:r w:rsidRPr="004B506A">
        <w:t>, with AusAID maintaining engagement at the policy level.</w:t>
      </w:r>
    </w:p>
    <w:p w:rsidR="004D2889" w:rsidRPr="004B506A" w:rsidRDefault="004D2889" w:rsidP="004B11BC">
      <w:pPr>
        <w:pStyle w:val="ListBullet"/>
      </w:pPr>
      <w:r w:rsidRPr="004B506A">
        <w:rPr>
          <w:b/>
        </w:rPr>
        <w:t>Infrastructure</w:t>
      </w:r>
      <w:r w:rsidRPr="004B506A">
        <w:t xml:space="preserve"> is a new priority area for AusAID.</w:t>
      </w:r>
      <w:r>
        <w:t xml:space="preserve"> </w:t>
      </w:r>
      <w:r w:rsidRPr="004B506A">
        <w:t xml:space="preserve">Through the Pacific Regional Infrastructure Facility, AusAID intends </w:t>
      </w:r>
      <w:r>
        <w:t>to become</w:t>
      </w:r>
      <w:r w:rsidRPr="004B506A">
        <w:t xml:space="preserve"> a financing partner with the </w:t>
      </w:r>
      <w:r>
        <w:t>Asian Development Bank</w:t>
      </w:r>
      <w:r w:rsidRPr="004B506A">
        <w:t xml:space="preserve"> and </w:t>
      </w:r>
      <w:r>
        <w:t>the World Bank</w:t>
      </w:r>
      <w:r w:rsidRPr="004B506A">
        <w:t>.</w:t>
      </w:r>
      <w:r>
        <w:t xml:space="preserve"> Although</w:t>
      </w:r>
      <w:r w:rsidRPr="004B506A">
        <w:t xml:space="preserve"> both </w:t>
      </w:r>
      <w:r>
        <w:t>banks</w:t>
      </w:r>
      <w:r w:rsidRPr="004B506A">
        <w:t xml:space="preserve"> have programs in </w:t>
      </w:r>
      <w:smartTag w:uri="urn:schemas-microsoft-com:office:smarttags" w:element="country-region">
        <w:smartTag w:uri="urn:schemas-microsoft-com:office:smarttags" w:element="place">
          <w:r w:rsidRPr="004B506A">
            <w:t>Tonga</w:t>
          </w:r>
        </w:smartTag>
      </w:smartTag>
      <w:r w:rsidRPr="004B506A">
        <w:t>, AusAID must ensure they are in a position to scale up</w:t>
      </w:r>
      <w:r>
        <w:t xml:space="preserve"> support</w:t>
      </w:r>
      <w:r w:rsidRPr="004B506A">
        <w:t>.</w:t>
      </w:r>
      <w:r>
        <w:t xml:space="preserve"> </w:t>
      </w:r>
      <w:r w:rsidRPr="004B506A">
        <w:t xml:space="preserve">In response to the global </w:t>
      </w:r>
      <w:r>
        <w:t>recession,</w:t>
      </w:r>
      <w:r w:rsidRPr="004B506A">
        <w:t xml:space="preserve"> </w:t>
      </w:r>
      <w:r>
        <w:t>r</w:t>
      </w:r>
      <w:r w:rsidRPr="004B506A">
        <w:t xml:space="preserve">oad maintenance features as an early priority (and will focus on helping the </w:t>
      </w:r>
      <w:r>
        <w:t>Government of Tonga</w:t>
      </w:r>
      <w:r w:rsidRPr="004B506A">
        <w:t xml:space="preserve"> to maintain its own program, which is experiencing budget shortfalls due to the </w:t>
      </w:r>
      <w:r>
        <w:t>recession</w:t>
      </w:r>
      <w:r w:rsidRPr="004B506A">
        <w:t>).</w:t>
      </w:r>
    </w:p>
    <w:p w:rsidR="004D2889" w:rsidRPr="004B506A" w:rsidRDefault="004D2889" w:rsidP="004B11BC">
      <w:pPr>
        <w:pStyle w:val="ListBullet"/>
      </w:pPr>
      <w:r w:rsidRPr="004B506A">
        <w:lastRenderedPageBreak/>
        <w:t xml:space="preserve">Building on the success of the </w:t>
      </w:r>
      <w:r w:rsidRPr="00D81B5B">
        <w:t>Tonga</w:t>
      </w:r>
      <w:r>
        <w:t>–</w:t>
      </w:r>
      <w:r w:rsidRPr="00D81B5B">
        <w:t>Australia Performance Partnership Agreement</w:t>
      </w:r>
      <w:r w:rsidRPr="004B506A">
        <w:t xml:space="preserve">, a program will be retained </w:t>
      </w:r>
      <w:r>
        <w:t>to</w:t>
      </w:r>
      <w:r w:rsidRPr="004B506A">
        <w:t xml:space="preserve"> </w:t>
      </w:r>
      <w:r w:rsidRPr="00DC005A">
        <w:t>improve the efficiency and effectiveness</w:t>
      </w:r>
      <w:r>
        <w:t xml:space="preserve"> of the </w:t>
      </w:r>
      <w:r w:rsidRPr="004B506A">
        <w:rPr>
          <w:b/>
        </w:rPr>
        <w:t>public sector</w:t>
      </w:r>
      <w:r w:rsidRPr="00DC005A">
        <w:t>.</w:t>
      </w:r>
      <w:r>
        <w:t xml:space="preserve"> </w:t>
      </w:r>
      <w:r w:rsidRPr="004B506A">
        <w:t>The Partnership for Development</w:t>
      </w:r>
      <w:r>
        <w:t xml:space="preserve"> </w:t>
      </w:r>
      <w:r w:rsidRPr="004B506A">
        <w:t>dialogue will assist in setting the strategic objectives for this assistance.</w:t>
      </w:r>
      <w:r>
        <w:t xml:space="preserve"> </w:t>
      </w:r>
      <w:r w:rsidRPr="004B506A">
        <w:t xml:space="preserve">The </w:t>
      </w:r>
      <w:r>
        <w:t>Asian Development Bank</w:t>
      </w:r>
      <w:r w:rsidRPr="004B506A">
        <w:t>, NZ</w:t>
      </w:r>
      <w:r>
        <w:t>AID</w:t>
      </w:r>
      <w:r w:rsidRPr="004B506A">
        <w:t xml:space="preserve"> and AusAID will continue to work with the </w:t>
      </w:r>
      <w:r>
        <w:t>Government of Tonga</w:t>
      </w:r>
      <w:r w:rsidRPr="004B506A">
        <w:t xml:space="preserve"> to improve coordination, management arrangements and monitoring and evaluation in the sector. The Regional Pacific Public Sector Capacity Building Program will need to be integrated into the bilateral program of support.</w:t>
      </w:r>
    </w:p>
    <w:p w:rsidR="004D2889" w:rsidRPr="004B506A" w:rsidRDefault="004D2889" w:rsidP="004B506A">
      <w:pPr>
        <w:pStyle w:val="BodyText"/>
      </w:pPr>
      <w:r w:rsidRPr="004B506A">
        <w:t>In addition, there will be a continuatio</w:t>
      </w:r>
      <w:r>
        <w:t>n of some crosscutting programs.</w:t>
      </w:r>
    </w:p>
    <w:p w:rsidR="004D2889" w:rsidRPr="004B506A" w:rsidRDefault="004D2889" w:rsidP="004B11BC">
      <w:pPr>
        <w:pStyle w:val="ListBullet"/>
      </w:pPr>
      <w:r w:rsidRPr="004B506A">
        <w:t xml:space="preserve">The objectives of the </w:t>
      </w:r>
      <w:r w:rsidRPr="004B506A">
        <w:rPr>
          <w:b/>
        </w:rPr>
        <w:t>scholarships program</w:t>
      </w:r>
      <w:r>
        <w:rPr>
          <w:b/>
        </w:rPr>
        <w:t>s</w:t>
      </w:r>
      <w:r w:rsidRPr="004B506A">
        <w:t xml:space="preserve"> will be more tightly defined to support the objectives of the Partnership for Development</w:t>
      </w:r>
      <w:r>
        <w:t>.</w:t>
      </w:r>
    </w:p>
    <w:p w:rsidR="004D2889" w:rsidRPr="004B506A" w:rsidRDefault="004D2889" w:rsidP="004B11BC">
      <w:pPr>
        <w:pStyle w:val="ListBullet"/>
      </w:pPr>
      <w:r w:rsidRPr="004B506A">
        <w:rPr>
          <w:b/>
        </w:rPr>
        <w:t>Political reform</w:t>
      </w:r>
      <w:r w:rsidRPr="004B506A">
        <w:t xml:space="preserve"> will continue to require support, and Australia will remain actively engaged and provide support as required.</w:t>
      </w:r>
    </w:p>
    <w:p w:rsidR="004D2889" w:rsidRPr="004B506A" w:rsidRDefault="004D2889" w:rsidP="004B11BC">
      <w:pPr>
        <w:pStyle w:val="ListBullet"/>
      </w:pPr>
      <w:r w:rsidRPr="004B506A">
        <w:t xml:space="preserve">The strengthening of </w:t>
      </w:r>
      <w:r w:rsidRPr="004B506A">
        <w:rPr>
          <w:b/>
        </w:rPr>
        <w:t>civil society</w:t>
      </w:r>
      <w:r w:rsidRPr="004B506A">
        <w:t xml:space="preserve"> complements </w:t>
      </w:r>
      <w:r>
        <w:t xml:space="preserve">the agendas for </w:t>
      </w:r>
      <w:r w:rsidRPr="004B506A">
        <w:t>political reform and governance. AusAID will continue to work with NZAID to build the capacity of civil society organisations through the Civil Society Forum of Tonga.</w:t>
      </w:r>
    </w:p>
    <w:p w:rsidR="004D2889" w:rsidRPr="004B506A" w:rsidRDefault="004D2889" w:rsidP="004B506A">
      <w:pPr>
        <w:pStyle w:val="BodyText"/>
      </w:pPr>
      <w:r w:rsidRPr="004B506A">
        <w:t xml:space="preserve">The </w:t>
      </w:r>
      <w:r w:rsidRPr="00DC005A">
        <w:rPr>
          <w:b/>
        </w:rPr>
        <w:t>law and justice sector</w:t>
      </w:r>
      <w:r w:rsidRPr="004B506A">
        <w:t xml:space="preserve"> was recognised </w:t>
      </w:r>
      <w:r>
        <w:t>in</w:t>
      </w:r>
      <w:r w:rsidRPr="004B506A">
        <w:t xml:space="preserve"> the partnership</w:t>
      </w:r>
      <w:r>
        <w:t xml:space="preserve"> </w:t>
      </w:r>
      <w:r w:rsidRPr="004B506A">
        <w:t>as a possible future outcomes area.</w:t>
      </w:r>
      <w:r>
        <w:t xml:space="preserve"> Australia will continue to s</w:t>
      </w:r>
      <w:r w:rsidRPr="004B506A">
        <w:t>upport the judiciary</w:t>
      </w:r>
      <w:r>
        <w:t xml:space="preserve"> and maintain its</w:t>
      </w:r>
      <w:r w:rsidRPr="004B506A">
        <w:t xml:space="preserve"> commitment to the Anti-Corruption Commission.</w:t>
      </w:r>
      <w:r>
        <w:t xml:space="preserve"> </w:t>
      </w:r>
      <w:r w:rsidRPr="004B506A">
        <w:t xml:space="preserve">The </w:t>
      </w:r>
      <w:r>
        <w:t xml:space="preserve">relatively new </w:t>
      </w:r>
      <w:r w:rsidRPr="004B506A">
        <w:t>tripartite program in policing represents a major investment in the law and justice sector.</w:t>
      </w:r>
    </w:p>
    <w:p w:rsidR="004D2889" w:rsidRPr="009020AB" w:rsidRDefault="004D2889" w:rsidP="004B506A">
      <w:pPr>
        <w:pStyle w:val="BodyText"/>
        <w:rPr>
          <w:spacing w:val="-1"/>
        </w:rPr>
      </w:pPr>
      <w:r w:rsidRPr="00DC005A">
        <w:rPr>
          <w:spacing w:val="-1"/>
        </w:rPr>
        <w:t xml:space="preserve">The </w:t>
      </w:r>
      <w:r w:rsidRPr="00DC005A">
        <w:rPr>
          <w:b/>
          <w:spacing w:val="-1"/>
        </w:rPr>
        <w:t>Solid Waste Management Project</w:t>
      </w:r>
      <w:r w:rsidRPr="00DC005A">
        <w:rPr>
          <w:spacing w:val="-1"/>
        </w:rPr>
        <w:t xml:space="preserve"> could also be built on to address solid waste management </w:t>
      </w:r>
      <w:r>
        <w:rPr>
          <w:spacing w:val="-1"/>
        </w:rPr>
        <w:t>o</w:t>
      </w:r>
      <w:r w:rsidRPr="00DC005A">
        <w:rPr>
          <w:spacing w:val="-1"/>
        </w:rPr>
        <w:t>n the outer islands and develop a sewage management system, including septic tanks. AusAID will look to the World Bank and the Asian Development Bank as key implementing partners in this area. Irrespective of the expansion to outer islands, the focus in the short to medium term will remain on making the new waste authority in Tongatapu sustainable.</w:t>
      </w:r>
    </w:p>
    <w:p w:rsidR="004D2889" w:rsidRDefault="004D2889" w:rsidP="004B11BC">
      <w:pPr>
        <w:pStyle w:val="BodyText"/>
      </w:pPr>
      <w:r>
        <w:t>T</w:t>
      </w:r>
      <w:r w:rsidRPr="004B506A">
        <w:t>o ensure that sufficient resources are allocated to the priority sectors</w:t>
      </w:r>
      <w:r>
        <w:t xml:space="preserve"> in the Partnership for Development</w:t>
      </w:r>
      <w:r w:rsidRPr="004B506A">
        <w:t xml:space="preserve">, there are some programs that will need to be wound down or that will not be renewed when they end, such as the Business Recovery Facility and </w:t>
      </w:r>
      <w:r>
        <w:t xml:space="preserve">the </w:t>
      </w:r>
      <w:r w:rsidRPr="004B506A">
        <w:t>Private Sector Reconstruction Facility (both scheduled to end in 2009).</w:t>
      </w:r>
      <w:r>
        <w:t xml:space="preserve"> The</w:t>
      </w:r>
      <w:r w:rsidRPr="004B506A">
        <w:t xml:space="preserve"> review </w:t>
      </w:r>
      <w:r>
        <w:t xml:space="preserve">of both facilities </w:t>
      </w:r>
      <w:r w:rsidRPr="004B506A">
        <w:t xml:space="preserve">in April 2009 will </w:t>
      </w:r>
      <w:r>
        <w:t>provide the information for making decisions.</w:t>
      </w:r>
    </w:p>
    <w:p w:rsidR="004D2889" w:rsidRDefault="004D2889">
      <w:pPr>
        <w:pStyle w:val="Heading2unnumbered"/>
        <w:tabs>
          <w:tab w:val="clear" w:pos="1440"/>
        </w:tabs>
        <w:spacing w:before="400"/>
      </w:pPr>
      <w:bookmarkStart w:id="57" w:name="_Toc250710291"/>
      <w:r>
        <w:t>Forms of aid</w:t>
      </w:r>
      <w:bookmarkEnd w:id="57"/>
    </w:p>
    <w:p w:rsidR="004D2889" w:rsidRPr="00F24A91" w:rsidRDefault="004D2889" w:rsidP="004B11BC">
      <w:pPr>
        <w:pStyle w:val="BodyText"/>
        <w:rPr>
          <w:spacing w:val="-2"/>
        </w:rPr>
      </w:pPr>
      <w:r w:rsidRPr="00DC005A">
        <w:rPr>
          <w:spacing w:val="-2"/>
        </w:rPr>
        <w:t xml:space="preserve">More than a quarter of the Tonga </w:t>
      </w:r>
      <w:r>
        <w:rPr>
          <w:spacing w:val="-2"/>
        </w:rPr>
        <w:t xml:space="preserve">aid </w:t>
      </w:r>
      <w:r w:rsidRPr="00DC005A">
        <w:rPr>
          <w:spacing w:val="-2"/>
        </w:rPr>
        <w:t xml:space="preserve">program is in the form of technical assistance or top-up salaries to bring in change agents or to maintain the integrity of institutions (such as the judiciary). The solid waste project, police support and health activities, for example, also include components of technical assistance. This reflects the critical limits to staffing capacity in </w:t>
      </w:r>
      <w:smartTag w:uri="urn:schemas-microsoft-com:office:smarttags" w:element="country-region">
        <w:smartTag w:uri="urn:schemas-microsoft-com:office:smarttags" w:element="place">
          <w:r w:rsidRPr="00DC005A">
            <w:rPr>
              <w:spacing w:val="-2"/>
            </w:rPr>
            <w:t>Tonga</w:t>
          </w:r>
        </w:smartTag>
      </w:smartTag>
      <w:r w:rsidRPr="00DC005A">
        <w:rPr>
          <w:spacing w:val="-2"/>
        </w:rPr>
        <w:t xml:space="preserve"> as a result of the high staff turnover, as well as the need to bring in external drivers of reform, and is considered a reasonable proportion of the aid program. An ongoing challenge is ensuring that technical assistance continues to support, and is well linked to, broader program objectives.</w:t>
      </w:r>
    </w:p>
    <w:p w:rsidR="004D2889" w:rsidRPr="004B506A" w:rsidRDefault="004D2889" w:rsidP="004B506A">
      <w:pPr>
        <w:pStyle w:val="BodyText"/>
      </w:pPr>
      <w:r>
        <w:t>In t</w:t>
      </w:r>
      <w:r w:rsidRPr="004B506A">
        <w:t xml:space="preserve">he future </w:t>
      </w:r>
      <w:r w:rsidRPr="00F24A91">
        <w:rPr>
          <w:spacing w:val="-2"/>
        </w:rPr>
        <w:t xml:space="preserve">the Tonga </w:t>
      </w:r>
      <w:r w:rsidRPr="004B506A">
        <w:t xml:space="preserve">program will </w:t>
      </w:r>
      <w:r>
        <w:t>provide</w:t>
      </w:r>
      <w:r w:rsidRPr="004B506A">
        <w:t xml:space="preserve"> more sector</w:t>
      </w:r>
      <w:r>
        <w:t>-wide</w:t>
      </w:r>
      <w:r w:rsidRPr="004B506A">
        <w:t xml:space="preserve"> support and </w:t>
      </w:r>
      <w:r>
        <w:t xml:space="preserve">cooperate more </w:t>
      </w:r>
      <w:r w:rsidRPr="004B506A">
        <w:t>close</w:t>
      </w:r>
      <w:r>
        <w:t>ly</w:t>
      </w:r>
      <w:r w:rsidRPr="004B506A">
        <w:t xml:space="preserve"> with other donors.</w:t>
      </w:r>
      <w:r>
        <w:t xml:space="preserve"> </w:t>
      </w:r>
      <w:r w:rsidRPr="004B506A">
        <w:t xml:space="preserve">As much as possible, future assistance to the health and education sectors will use government planning and financial systems, </w:t>
      </w:r>
      <w:r>
        <w:t xml:space="preserve">while </w:t>
      </w:r>
      <w:r w:rsidRPr="004B506A">
        <w:t>ensuring adequate accountability.</w:t>
      </w:r>
    </w:p>
    <w:p w:rsidR="004D2889" w:rsidRDefault="004D2889">
      <w:pPr>
        <w:pStyle w:val="Heading2unnumbered"/>
        <w:tabs>
          <w:tab w:val="clear" w:pos="1440"/>
        </w:tabs>
      </w:pPr>
      <w:bookmarkStart w:id="58" w:name="_Toc250710292"/>
      <w:r w:rsidRPr="004B506A">
        <w:lastRenderedPageBreak/>
        <w:t>Scaling up</w:t>
      </w:r>
      <w:r>
        <w:t xml:space="preserve"> support</w:t>
      </w:r>
      <w:bookmarkEnd w:id="58"/>
    </w:p>
    <w:p w:rsidR="004D2889" w:rsidRDefault="004D2889" w:rsidP="00787870">
      <w:pPr>
        <w:pStyle w:val="Heading3"/>
        <w:tabs>
          <w:tab w:val="clear" w:pos="1440"/>
          <w:tab w:val="clear" w:pos="2160"/>
        </w:tabs>
        <w:spacing w:before="240"/>
      </w:pPr>
      <w:r w:rsidRPr="004B506A">
        <w:t>Opportunities</w:t>
      </w:r>
    </w:p>
    <w:p w:rsidR="004D2889" w:rsidRPr="004B506A" w:rsidRDefault="004D2889" w:rsidP="004B506A">
      <w:pPr>
        <w:pStyle w:val="BodyText"/>
      </w:pPr>
      <w:r w:rsidRPr="004B506A">
        <w:t xml:space="preserve">There are opportunities for scaling up </w:t>
      </w:r>
      <w:r>
        <w:t xml:space="preserve">support </w:t>
      </w:r>
      <w:r w:rsidRPr="004B506A">
        <w:t xml:space="preserve">in the </w:t>
      </w:r>
      <w:r>
        <w:t>priority areas</w:t>
      </w:r>
      <w:r w:rsidRPr="004B506A">
        <w:t xml:space="preserve"> </w:t>
      </w:r>
      <w:r>
        <w:t>of the</w:t>
      </w:r>
      <w:r w:rsidRPr="004B506A">
        <w:t xml:space="preserve"> </w:t>
      </w:r>
      <w:r>
        <w:t>Australia–Tonga</w:t>
      </w:r>
      <w:r w:rsidRPr="004B506A">
        <w:t xml:space="preserve"> Partnership for Development</w:t>
      </w:r>
      <w:r>
        <w:t xml:space="preserve"> (Table 3)</w:t>
      </w:r>
      <w:r w:rsidRPr="004B506A">
        <w:t xml:space="preserve">. </w:t>
      </w:r>
      <w:r>
        <w:t xml:space="preserve">In 2008 </w:t>
      </w:r>
      <w:r w:rsidRPr="004B506A">
        <w:t xml:space="preserve">effort </w:t>
      </w:r>
      <w:r>
        <w:t>was put in</w:t>
      </w:r>
      <w:r w:rsidRPr="004B506A">
        <w:t>to develop</w:t>
      </w:r>
      <w:r>
        <w:t>ing</w:t>
      </w:r>
      <w:r w:rsidRPr="004B506A">
        <w:t xml:space="preserve"> new program approaches </w:t>
      </w:r>
      <w:r>
        <w:t>that</w:t>
      </w:r>
      <w:r w:rsidRPr="004B506A">
        <w:t xml:space="preserve"> can be scaled up</w:t>
      </w:r>
      <w:r w:rsidRPr="00313716">
        <w:t xml:space="preserve"> </w:t>
      </w:r>
      <w:r w:rsidRPr="004B506A">
        <w:t>easily</w:t>
      </w:r>
      <w:r>
        <w:t>,</w:t>
      </w:r>
      <w:r w:rsidRPr="004B506A">
        <w:t xml:space="preserve"> depending on performance and availabl</w:t>
      </w:r>
      <w:r>
        <w:t>e</w:t>
      </w:r>
      <w:r w:rsidRPr="004B506A">
        <w:t xml:space="preserve"> funding.</w:t>
      </w:r>
      <w:r>
        <w:t xml:space="preserve"> </w:t>
      </w:r>
      <w:r w:rsidRPr="004B506A">
        <w:t>The</w:t>
      </w:r>
      <w:r>
        <w:t xml:space="preserve"> priority areas</w:t>
      </w:r>
      <w:r w:rsidRPr="004B506A">
        <w:t xml:space="preserve"> include: </w:t>
      </w:r>
    </w:p>
    <w:p w:rsidR="004D2889" w:rsidRPr="004B506A" w:rsidRDefault="004D2889" w:rsidP="004B11BC">
      <w:pPr>
        <w:pStyle w:val="ListBullet"/>
      </w:pPr>
      <w:r>
        <w:t xml:space="preserve">the </w:t>
      </w:r>
      <w:r w:rsidRPr="004B506A">
        <w:t>public sector</w:t>
      </w:r>
      <w:r>
        <w:t>’s</w:t>
      </w:r>
      <w:r w:rsidRPr="004B506A">
        <w:t xml:space="preserve"> efficiency and effectiveness</w:t>
      </w:r>
    </w:p>
    <w:p w:rsidR="004D2889" w:rsidRPr="004B506A" w:rsidRDefault="004D2889" w:rsidP="004B11BC">
      <w:pPr>
        <w:pStyle w:val="ListBullet"/>
      </w:pPr>
      <w:r w:rsidRPr="004B506A">
        <w:t>health</w:t>
      </w:r>
      <w:r>
        <w:t>, where</w:t>
      </w:r>
      <w:r w:rsidRPr="004B506A">
        <w:t xml:space="preserve"> </w:t>
      </w:r>
      <w:r>
        <w:t>the</w:t>
      </w:r>
      <w:r w:rsidRPr="004B506A">
        <w:t xml:space="preserve"> new</w:t>
      </w:r>
      <w:r>
        <w:t>ly designed</w:t>
      </w:r>
      <w:r w:rsidRPr="004B506A">
        <w:t xml:space="preserve"> program </w:t>
      </w:r>
      <w:r>
        <w:t xml:space="preserve">can </w:t>
      </w:r>
      <w:r w:rsidRPr="004B506A">
        <w:t xml:space="preserve">easily </w:t>
      </w:r>
      <w:r>
        <w:t>be</w:t>
      </w:r>
      <w:r w:rsidRPr="004B506A">
        <w:t xml:space="preserve"> expan</w:t>
      </w:r>
      <w:r>
        <w:t>ded</w:t>
      </w:r>
      <w:r w:rsidRPr="004B506A">
        <w:t xml:space="preserve"> and respond to emerging priorities</w:t>
      </w:r>
      <w:r>
        <w:t xml:space="preserve">, </w:t>
      </w:r>
      <w:r w:rsidRPr="004B506A">
        <w:t>particular</w:t>
      </w:r>
      <w:r>
        <w:t>ly</w:t>
      </w:r>
      <w:r w:rsidRPr="004B506A">
        <w:t xml:space="preserve"> in relation to </w:t>
      </w:r>
      <w:r>
        <w:t>non-communicable diseases</w:t>
      </w:r>
    </w:p>
    <w:p w:rsidR="004D2889" w:rsidRPr="004B506A" w:rsidRDefault="004D2889" w:rsidP="004B11BC">
      <w:pPr>
        <w:pStyle w:val="ListBullet"/>
      </w:pPr>
      <w:r w:rsidRPr="004B506A">
        <w:t>education</w:t>
      </w:r>
      <w:r>
        <w:t>,</w:t>
      </w:r>
      <w:r w:rsidRPr="004B506A">
        <w:t xml:space="preserve"> </w:t>
      </w:r>
      <w:r>
        <w:t xml:space="preserve">where </w:t>
      </w:r>
      <w:r w:rsidRPr="004B506A">
        <w:t>the focus is on TVET</w:t>
      </w:r>
      <w:r>
        <w:t xml:space="preserve"> but with acknowledgement </w:t>
      </w:r>
      <w:r w:rsidRPr="004B506A">
        <w:t xml:space="preserve">that </w:t>
      </w:r>
      <w:r>
        <w:t xml:space="preserve">its </w:t>
      </w:r>
      <w:r w:rsidRPr="004B506A">
        <w:t>success depends on the feeder education system</w:t>
      </w:r>
      <w:r>
        <w:t xml:space="preserve">, which will lead </w:t>
      </w:r>
      <w:r w:rsidRPr="004B506A">
        <w:t xml:space="preserve">AusAID </w:t>
      </w:r>
      <w:r>
        <w:t>to</w:t>
      </w:r>
      <w:r w:rsidRPr="004B506A">
        <w:t xml:space="preserve"> engage with the education sector on issues such as whole</w:t>
      </w:r>
      <w:r>
        <w:t>-</w:t>
      </w:r>
      <w:r w:rsidRPr="004B506A">
        <w:t>of</w:t>
      </w:r>
      <w:r>
        <w:t>-</w:t>
      </w:r>
      <w:r w:rsidRPr="004B506A">
        <w:t xml:space="preserve">sector financing and </w:t>
      </w:r>
      <w:r>
        <w:t>to</w:t>
      </w:r>
      <w:r w:rsidRPr="004B506A">
        <w:t xml:space="preserve"> fund some design work with the potential to expand into basic education in 2010</w:t>
      </w:r>
      <w:r>
        <w:t>–</w:t>
      </w:r>
      <w:r w:rsidRPr="004B506A">
        <w:t>11</w:t>
      </w:r>
    </w:p>
    <w:p w:rsidR="004D2889" w:rsidRPr="00870978" w:rsidRDefault="004D2889" w:rsidP="004B11BC">
      <w:pPr>
        <w:pStyle w:val="ListBullet"/>
        <w:rPr>
          <w:spacing w:val="-2"/>
        </w:rPr>
      </w:pPr>
      <w:r w:rsidRPr="00DC005A">
        <w:rPr>
          <w:spacing w:val="-2"/>
        </w:rPr>
        <w:t>infrastructure, where AusAID will become a financing partner with the World Bank and the Asian Development Bank through the Pacific Regional Infrastructure Facility and an increase in support will depend on performance and the capacity of the implementing partners.</w:t>
      </w:r>
    </w:p>
    <w:p w:rsidR="004D2889" w:rsidRPr="004B506A" w:rsidRDefault="004D2889" w:rsidP="00994454">
      <w:pPr>
        <w:pStyle w:val="BodyText"/>
      </w:pPr>
      <w:r w:rsidRPr="004B506A">
        <w:t xml:space="preserve">In addition, other regional initiatives </w:t>
      </w:r>
      <w:r>
        <w:t>in, for example,</w:t>
      </w:r>
      <w:r w:rsidRPr="004B506A">
        <w:t xml:space="preserve"> leadership, climate change</w:t>
      </w:r>
      <w:r>
        <w:t>,</w:t>
      </w:r>
      <w:r w:rsidRPr="004B506A">
        <w:t xml:space="preserve"> and water supply and sanitation</w:t>
      </w:r>
      <w:r>
        <w:t xml:space="preserve"> </w:t>
      </w:r>
      <w:r w:rsidRPr="004B506A">
        <w:t xml:space="preserve">provide opportunities for </w:t>
      </w:r>
      <w:r>
        <w:t>increasing support</w:t>
      </w:r>
      <w:r w:rsidRPr="004B506A">
        <w:t xml:space="preserve"> outside</w:t>
      </w:r>
      <w:r>
        <w:t xml:space="preserve"> of</w:t>
      </w:r>
      <w:r w:rsidRPr="004B506A">
        <w:t xml:space="preserve"> the partnership</w:t>
      </w:r>
      <w:r>
        <w:t>’s </w:t>
      </w:r>
      <w:r w:rsidRPr="004B506A">
        <w:t>priorities.</w:t>
      </w:r>
    </w:p>
    <w:p w:rsidR="004D2889" w:rsidRDefault="004D2889">
      <w:pPr>
        <w:pStyle w:val="Caption"/>
      </w:pPr>
      <w:r>
        <w:t xml:space="preserve">Table </w:t>
      </w:r>
      <w:r w:rsidR="00276D74">
        <w:fldChar w:fldCharType="begin"/>
      </w:r>
      <w:r w:rsidR="00276D74">
        <w:instrText xml:space="preserve"> SEQ Table \* MERGEFORMAT </w:instrText>
      </w:r>
      <w:r w:rsidR="00276D74">
        <w:fldChar w:fldCharType="separate"/>
      </w:r>
      <w:r>
        <w:rPr>
          <w:noProof/>
        </w:rPr>
        <w:t>3</w:t>
      </w:r>
      <w:r w:rsidR="00276D74">
        <w:rPr>
          <w:noProof/>
        </w:rPr>
        <w:fldChar w:fldCharType="end"/>
      </w:r>
      <w:r>
        <w:t xml:space="preserve">: </w:t>
      </w:r>
      <w:r w:rsidRPr="004E5341">
        <w:t>Expectations of progress towards the objectives of the Australia–Tonga Partnership for Development</w:t>
      </w:r>
      <w:r>
        <w:t xml:space="preserve"> in 2009–10</w:t>
      </w:r>
    </w:p>
    <w:tbl>
      <w:tblPr>
        <w:tblW w:w="0" w:type="auto"/>
        <w:tblInd w:w="57" w:type="dxa"/>
        <w:tblLook w:val="01E0" w:firstRow="1" w:lastRow="1" w:firstColumn="1" w:lastColumn="1" w:noHBand="0" w:noVBand="0"/>
      </w:tblPr>
      <w:tblGrid>
        <w:gridCol w:w="1666"/>
        <w:gridCol w:w="6271"/>
      </w:tblGrid>
      <w:tr w:rsidR="004D2889" w:rsidRPr="004B506A" w:rsidTr="00AB4853">
        <w:trPr>
          <w:cantSplit/>
          <w:tblHeader/>
        </w:trPr>
        <w:tc>
          <w:tcPr>
            <w:tcW w:w="1666" w:type="dxa"/>
            <w:tcBorders>
              <w:bottom w:val="single" w:sz="12" w:space="0" w:color="auto"/>
            </w:tcBorders>
            <w:shd w:val="clear" w:color="auto" w:fill="DDCF56"/>
            <w:tcMar>
              <w:left w:w="57" w:type="dxa"/>
              <w:right w:w="57" w:type="dxa"/>
            </w:tcMar>
          </w:tcPr>
          <w:p w:rsidR="004D2889" w:rsidRPr="004B506A" w:rsidRDefault="004D2889" w:rsidP="001D6E9A">
            <w:pPr>
              <w:pStyle w:val="TableTextColumnHeading"/>
            </w:pPr>
            <w:r w:rsidRPr="004B506A">
              <w:t>Objective</w:t>
            </w:r>
          </w:p>
        </w:tc>
        <w:tc>
          <w:tcPr>
            <w:tcW w:w="6271" w:type="dxa"/>
            <w:tcBorders>
              <w:bottom w:val="single" w:sz="12" w:space="0" w:color="auto"/>
            </w:tcBorders>
            <w:shd w:val="clear" w:color="auto" w:fill="DDCF56"/>
            <w:tcMar>
              <w:left w:w="57" w:type="dxa"/>
              <w:right w:w="57" w:type="dxa"/>
            </w:tcMar>
          </w:tcPr>
          <w:p w:rsidR="004D2889" w:rsidRPr="004B506A" w:rsidRDefault="004D2889" w:rsidP="001D6E9A">
            <w:pPr>
              <w:pStyle w:val="TableTextColumnHeading"/>
            </w:pPr>
            <w:r w:rsidRPr="004B506A">
              <w:t>Expectations</w:t>
            </w:r>
          </w:p>
        </w:tc>
      </w:tr>
      <w:tr w:rsidR="004D2889" w:rsidRPr="004B506A" w:rsidTr="00AB4853">
        <w:trPr>
          <w:cantSplit/>
        </w:trPr>
        <w:tc>
          <w:tcPr>
            <w:tcW w:w="1666" w:type="dxa"/>
            <w:tcBorders>
              <w:top w:val="single" w:sz="12" w:space="0" w:color="auto"/>
              <w:bottom w:val="single" w:sz="4" w:space="0" w:color="808080"/>
            </w:tcBorders>
            <w:tcMar>
              <w:left w:w="57" w:type="dxa"/>
              <w:right w:w="57" w:type="dxa"/>
            </w:tcMar>
          </w:tcPr>
          <w:p w:rsidR="004D2889" w:rsidRPr="004B506A" w:rsidRDefault="004D2889" w:rsidP="001D6E9A">
            <w:pPr>
              <w:pStyle w:val="TableTextEntries"/>
              <w:rPr>
                <w:i/>
              </w:rPr>
            </w:pPr>
            <w:r w:rsidRPr="004B506A">
              <w:t xml:space="preserve">Objective 1: </w:t>
            </w:r>
            <w:r>
              <w:br/>
            </w:r>
            <w:r w:rsidRPr="004B506A">
              <w:t>Improved public sector efficiency and effectiveness</w:t>
            </w:r>
          </w:p>
        </w:tc>
        <w:tc>
          <w:tcPr>
            <w:tcW w:w="6271" w:type="dxa"/>
            <w:tcBorders>
              <w:top w:val="single" w:sz="12" w:space="0" w:color="auto"/>
              <w:bottom w:val="single" w:sz="4" w:space="0" w:color="808080"/>
            </w:tcBorders>
            <w:tcMar>
              <w:left w:w="57" w:type="dxa"/>
              <w:right w:w="57" w:type="dxa"/>
            </w:tcMar>
          </w:tcPr>
          <w:p w:rsidR="004D2889" w:rsidRPr="004B506A" w:rsidRDefault="004D2889" w:rsidP="001D6E9A">
            <w:pPr>
              <w:pStyle w:val="TableTextEntries"/>
            </w:pPr>
            <w:r w:rsidRPr="004B506A">
              <w:t xml:space="preserve">Closely monitor potential impacts of </w:t>
            </w:r>
            <w:r>
              <w:t xml:space="preserve">the </w:t>
            </w:r>
            <w:r w:rsidRPr="004B506A">
              <w:t>global financial crisis on the economy and remittances</w:t>
            </w:r>
            <w:r>
              <w:t>.</w:t>
            </w:r>
          </w:p>
          <w:p w:rsidR="004D2889" w:rsidRPr="004B506A" w:rsidRDefault="004D2889" w:rsidP="001D6E9A">
            <w:pPr>
              <w:pStyle w:val="TableTextEntries"/>
            </w:pPr>
            <w:r w:rsidRPr="004B506A">
              <w:t xml:space="preserve">Work with donor partners and </w:t>
            </w:r>
            <w:r>
              <w:t>the Government of Tonga</w:t>
            </w:r>
            <w:r w:rsidRPr="004B506A">
              <w:t xml:space="preserve"> to establish a realistic work plan with indicators for improved economic and public sector management, and the mechanism for monitoring and evaluation.</w:t>
            </w:r>
          </w:p>
          <w:p w:rsidR="004D2889" w:rsidRPr="004B506A" w:rsidRDefault="004D2889" w:rsidP="001D6E9A">
            <w:pPr>
              <w:pStyle w:val="TableTextEntries"/>
            </w:pPr>
            <w:r w:rsidRPr="004B506A">
              <w:t>Continue to use the incentive program to promote reform.</w:t>
            </w:r>
          </w:p>
          <w:p w:rsidR="004D2889" w:rsidRPr="004B506A" w:rsidRDefault="004D2889" w:rsidP="001D6E9A">
            <w:pPr>
              <w:pStyle w:val="TableTextEntries"/>
            </w:pPr>
            <w:r>
              <w:t>Improve public awareness of t</w:t>
            </w:r>
            <w:r w:rsidRPr="004B506A">
              <w:t xml:space="preserve">he Anti-Corruption Commission </w:t>
            </w:r>
            <w:r>
              <w:t>and its role in reducing corruption and increasing integrity</w:t>
            </w:r>
            <w:r w:rsidRPr="004B506A">
              <w:t>.</w:t>
            </w:r>
          </w:p>
        </w:tc>
      </w:tr>
      <w:tr w:rsidR="004D2889" w:rsidRPr="004B506A" w:rsidTr="00AB4853">
        <w:trPr>
          <w:cantSplit/>
          <w:trHeight w:val="62"/>
        </w:trPr>
        <w:tc>
          <w:tcPr>
            <w:tcW w:w="1666" w:type="dxa"/>
            <w:tcMar>
              <w:left w:w="57" w:type="dxa"/>
              <w:right w:w="57" w:type="dxa"/>
            </w:tcMar>
          </w:tcPr>
          <w:p w:rsidR="004D2889" w:rsidRPr="004B506A" w:rsidRDefault="004D2889" w:rsidP="001D6E9A">
            <w:pPr>
              <w:pStyle w:val="TableTextEntries"/>
              <w:rPr>
                <w:b/>
              </w:rPr>
            </w:pPr>
            <w:r w:rsidRPr="006D0095">
              <w:t>Objective 2:</w:t>
            </w:r>
            <w:r w:rsidRPr="004B506A">
              <w:rPr>
                <w:b/>
              </w:rPr>
              <w:t xml:space="preserve"> </w:t>
            </w:r>
            <w:r>
              <w:rPr>
                <w:b/>
              </w:rPr>
              <w:br/>
            </w:r>
            <w:r w:rsidRPr="004B506A">
              <w:t>Technical and vocational education</w:t>
            </w:r>
          </w:p>
        </w:tc>
        <w:tc>
          <w:tcPr>
            <w:tcW w:w="6271" w:type="dxa"/>
            <w:tcMar>
              <w:left w:w="57" w:type="dxa"/>
              <w:right w:w="57" w:type="dxa"/>
            </w:tcMar>
          </w:tcPr>
          <w:p w:rsidR="004D2889" w:rsidRPr="00282A58" w:rsidRDefault="004D2889" w:rsidP="001D6E9A">
            <w:pPr>
              <w:pStyle w:val="TableTextEntries"/>
              <w:rPr>
                <w:spacing w:val="-2"/>
              </w:rPr>
            </w:pPr>
            <w:r w:rsidRPr="00DC005A">
              <w:rPr>
                <w:spacing w:val="-2"/>
              </w:rPr>
              <w:t>Finalise the design and mobilise a new program of support for technical and vocational education, including moving delegated responsibility from NZAID to AusAID.</w:t>
            </w:r>
          </w:p>
          <w:p w:rsidR="004D2889" w:rsidRPr="004B506A" w:rsidRDefault="004D2889" w:rsidP="001D6E9A">
            <w:pPr>
              <w:pStyle w:val="TableTextEntries"/>
            </w:pPr>
            <w:r w:rsidRPr="004B506A">
              <w:t xml:space="preserve">Work with </w:t>
            </w:r>
            <w:smartTag w:uri="urn:schemas-microsoft-com:office:smarttags" w:element="country-region">
              <w:smartTag w:uri="urn:schemas-microsoft-com:office:smarttags" w:element="place">
                <w:r w:rsidRPr="004B506A">
                  <w:t>Tonga</w:t>
                </w:r>
              </w:smartTag>
            </w:smartTag>
            <w:r w:rsidRPr="004B506A">
              <w:t xml:space="preserve"> and other donors to develop </w:t>
            </w:r>
            <w:r>
              <w:t xml:space="preserve">policy dialogue on the </w:t>
            </w:r>
            <w:r w:rsidRPr="004B506A">
              <w:t>whole of education</w:t>
            </w:r>
            <w:r>
              <w:t xml:space="preserve">—from </w:t>
            </w:r>
            <w:r w:rsidRPr="004B506A">
              <w:t xml:space="preserve">basic </w:t>
            </w:r>
            <w:r>
              <w:t xml:space="preserve">education </w:t>
            </w:r>
            <w:r w:rsidRPr="004B506A">
              <w:t>to post-secondary</w:t>
            </w:r>
            <w:r>
              <w:t xml:space="preserve"> education</w:t>
            </w:r>
            <w:r w:rsidRPr="004B506A">
              <w:t>.</w:t>
            </w:r>
          </w:p>
          <w:p w:rsidR="004D2889" w:rsidRPr="004B506A" w:rsidRDefault="004D2889" w:rsidP="001D6E9A">
            <w:pPr>
              <w:pStyle w:val="TableTextEntries"/>
            </w:pPr>
            <w:r w:rsidRPr="004B506A">
              <w:t>Sponsor a public expenditure review of the education sector.</w:t>
            </w:r>
          </w:p>
          <w:p w:rsidR="004D2889" w:rsidRPr="004B506A" w:rsidRDefault="004D2889" w:rsidP="001D6E9A">
            <w:pPr>
              <w:pStyle w:val="TableTextEntries"/>
            </w:pPr>
            <w:r w:rsidRPr="004B506A">
              <w:t xml:space="preserve">Work with </w:t>
            </w:r>
            <w:r>
              <w:t>the World Bank</w:t>
            </w:r>
            <w:r w:rsidRPr="004B506A">
              <w:t xml:space="preserve"> and NZAID to develop arrangements to join the Tonga Education Support Program with minimal resource costs to both AusAID and </w:t>
            </w:r>
            <w:smartTag w:uri="urn:schemas-microsoft-com:office:smarttags" w:element="country-region">
              <w:smartTag w:uri="urn:schemas-microsoft-com:office:smarttags" w:element="place">
                <w:r w:rsidRPr="004B506A">
                  <w:t>Tonga</w:t>
                </w:r>
              </w:smartTag>
            </w:smartTag>
            <w:r w:rsidRPr="004B506A">
              <w:t>.</w:t>
            </w:r>
          </w:p>
        </w:tc>
      </w:tr>
      <w:tr w:rsidR="004D2889" w:rsidRPr="004B506A" w:rsidTr="00AB4853">
        <w:trPr>
          <w:cantSplit/>
          <w:trHeight w:val="62"/>
        </w:trPr>
        <w:tc>
          <w:tcPr>
            <w:tcW w:w="1666" w:type="dxa"/>
            <w:tcBorders>
              <w:top w:val="single" w:sz="4" w:space="0" w:color="808080"/>
              <w:bottom w:val="single" w:sz="4" w:space="0" w:color="808080"/>
            </w:tcBorders>
            <w:tcMar>
              <w:left w:w="57" w:type="dxa"/>
              <w:right w:w="57" w:type="dxa"/>
            </w:tcMar>
          </w:tcPr>
          <w:p w:rsidR="004D2889" w:rsidRPr="004B506A" w:rsidRDefault="004D2889" w:rsidP="001D6E9A">
            <w:pPr>
              <w:pStyle w:val="TableTextEntries"/>
              <w:rPr>
                <w:b/>
              </w:rPr>
            </w:pPr>
            <w:r w:rsidRPr="006D0095">
              <w:t xml:space="preserve">Objective 3: </w:t>
            </w:r>
            <w:r>
              <w:br/>
            </w:r>
            <w:r w:rsidRPr="006D0095">
              <w:t>Improving</w:t>
            </w:r>
            <w:r w:rsidRPr="004B506A">
              <w:t xml:space="preserve"> health</w:t>
            </w:r>
          </w:p>
        </w:tc>
        <w:tc>
          <w:tcPr>
            <w:tcW w:w="6271" w:type="dxa"/>
            <w:tcBorders>
              <w:top w:val="single" w:sz="4" w:space="0" w:color="808080"/>
              <w:bottom w:val="single" w:sz="4" w:space="0" w:color="808080"/>
            </w:tcBorders>
            <w:tcMar>
              <w:left w:w="57" w:type="dxa"/>
              <w:right w:w="57" w:type="dxa"/>
            </w:tcMar>
          </w:tcPr>
          <w:p w:rsidR="004D2889" w:rsidRPr="00A670FA" w:rsidRDefault="004D2889" w:rsidP="001D6E9A">
            <w:pPr>
              <w:pStyle w:val="TableTextEntries"/>
            </w:pPr>
            <w:r w:rsidRPr="004B506A">
              <w:t xml:space="preserve">Finalise </w:t>
            </w:r>
            <w:r>
              <w:t xml:space="preserve">the </w:t>
            </w:r>
            <w:r w:rsidRPr="004B506A">
              <w:t>design and mobilise a new program of support in the health sector</w:t>
            </w:r>
            <w:r w:rsidRPr="00A670FA">
              <w:t xml:space="preserve">. </w:t>
            </w:r>
          </w:p>
          <w:p w:rsidR="004D2889" w:rsidRPr="004B506A" w:rsidRDefault="004D2889" w:rsidP="001D6E9A">
            <w:pPr>
              <w:pStyle w:val="TableTextEntries"/>
            </w:pPr>
            <w:r w:rsidRPr="004B506A">
              <w:t xml:space="preserve">Ensure </w:t>
            </w:r>
            <w:r>
              <w:t xml:space="preserve">there is a </w:t>
            </w:r>
            <w:r w:rsidRPr="004B506A">
              <w:t>sufficient level of policy dialogue and input from AusAID to meet the objectives and targets.</w:t>
            </w:r>
          </w:p>
          <w:p w:rsidR="004D2889" w:rsidRPr="00A670FA" w:rsidRDefault="004D2889" w:rsidP="001D6E9A">
            <w:pPr>
              <w:pStyle w:val="TableTextEntries"/>
            </w:pPr>
            <w:r w:rsidRPr="004B506A">
              <w:t xml:space="preserve">Monitor the Regional </w:t>
            </w:r>
            <w:r w:rsidRPr="00AE73F8">
              <w:t>Non</w:t>
            </w:r>
            <w:r>
              <w:t>-</w:t>
            </w:r>
            <w:r w:rsidRPr="00AE73F8">
              <w:t>Communicable Disease</w:t>
            </w:r>
            <w:r w:rsidRPr="004B506A" w:rsidDel="00B443D3">
              <w:t xml:space="preserve"> </w:t>
            </w:r>
            <w:r>
              <w:t>Program</w:t>
            </w:r>
            <w:r w:rsidRPr="004B506A">
              <w:t xml:space="preserve"> to ensure that it is an effective delivery </w:t>
            </w:r>
            <w:r w:rsidRPr="00A670FA">
              <w:t>mechanism.</w:t>
            </w:r>
          </w:p>
          <w:p w:rsidR="004D2889" w:rsidRPr="00A670FA" w:rsidRDefault="004D2889" w:rsidP="001D6E9A">
            <w:pPr>
              <w:pStyle w:val="TableTextEntries"/>
            </w:pPr>
            <w:r w:rsidRPr="004B506A">
              <w:t xml:space="preserve">Continue to encourage donor coordination in the health </w:t>
            </w:r>
            <w:r w:rsidRPr="00A670FA">
              <w:t>sector.</w:t>
            </w:r>
          </w:p>
          <w:p w:rsidR="004D2889" w:rsidRPr="004B506A" w:rsidRDefault="004D2889" w:rsidP="001D6E9A">
            <w:pPr>
              <w:pStyle w:val="TableTextEntries"/>
              <w:rPr>
                <w:i/>
              </w:rPr>
            </w:pPr>
            <w:r w:rsidRPr="004B506A">
              <w:t xml:space="preserve">Align </w:t>
            </w:r>
            <w:r>
              <w:t xml:space="preserve">the </w:t>
            </w:r>
            <w:r w:rsidRPr="004B506A">
              <w:t>scholarship program</w:t>
            </w:r>
            <w:r>
              <w:t>s</w:t>
            </w:r>
            <w:r w:rsidRPr="004B506A">
              <w:t xml:space="preserve"> to the Ministry of Health</w:t>
            </w:r>
            <w:r>
              <w:t>’s</w:t>
            </w:r>
            <w:r w:rsidRPr="004B506A">
              <w:t xml:space="preserve"> workforce plan</w:t>
            </w:r>
            <w:r>
              <w:t>s</w:t>
            </w:r>
            <w:r w:rsidRPr="004B506A">
              <w:t xml:space="preserve">. </w:t>
            </w:r>
          </w:p>
        </w:tc>
      </w:tr>
      <w:tr w:rsidR="004D2889" w:rsidRPr="004B506A" w:rsidTr="00AB4853">
        <w:trPr>
          <w:cantSplit/>
          <w:trHeight w:val="62"/>
        </w:trPr>
        <w:tc>
          <w:tcPr>
            <w:tcW w:w="1666" w:type="dxa"/>
            <w:tcBorders>
              <w:top w:val="single" w:sz="4" w:space="0" w:color="808080"/>
              <w:bottom w:val="single" w:sz="12" w:space="0" w:color="auto"/>
            </w:tcBorders>
            <w:tcMar>
              <w:left w:w="57" w:type="dxa"/>
              <w:right w:w="57" w:type="dxa"/>
            </w:tcMar>
          </w:tcPr>
          <w:p w:rsidR="004D2889" w:rsidRPr="006D0095" w:rsidRDefault="004D2889" w:rsidP="001D6E9A">
            <w:pPr>
              <w:pStyle w:val="TableTextEntries"/>
            </w:pPr>
            <w:r w:rsidRPr="006D0095">
              <w:t xml:space="preserve">Objective 4: </w:t>
            </w:r>
            <w:r w:rsidRPr="006D0095">
              <w:br/>
              <w:t>Infrastructure</w:t>
            </w:r>
            <w:r>
              <w:t>—</w:t>
            </w:r>
            <w:r w:rsidRPr="006D0095">
              <w:t>improving access to markets and services</w:t>
            </w:r>
          </w:p>
        </w:tc>
        <w:tc>
          <w:tcPr>
            <w:tcW w:w="6271" w:type="dxa"/>
            <w:tcBorders>
              <w:top w:val="single" w:sz="4" w:space="0" w:color="808080"/>
              <w:bottom w:val="single" w:sz="12" w:space="0" w:color="auto"/>
            </w:tcBorders>
            <w:tcMar>
              <w:left w:w="57" w:type="dxa"/>
              <w:right w:w="57" w:type="dxa"/>
            </w:tcMar>
          </w:tcPr>
          <w:p w:rsidR="004D2889" w:rsidRPr="00282A58" w:rsidRDefault="004D2889" w:rsidP="001D6E9A">
            <w:pPr>
              <w:pStyle w:val="TableTextEntries"/>
              <w:rPr>
                <w:spacing w:val="-2"/>
              </w:rPr>
            </w:pPr>
            <w:r w:rsidRPr="00DC005A">
              <w:rPr>
                <w:spacing w:val="-2"/>
              </w:rPr>
              <w:t>Through the Pacific Regional Infrastructure Facility, develop financing arrangements with the Asian Development Bank and the World Bank to meet the facility’s objectives.</w:t>
            </w:r>
          </w:p>
          <w:p w:rsidR="004D2889" w:rsidRPr="004B506A" w:rsidRDefault="004D2889" w:rsidP="001D6E9A">
            <w:pPr>
              <w:pStyle w:val="TableTextEntries"/>
            </w:pPr>
            <w:r w:rsidRPr="004B506A">
              <w:t xml:space="preserve">Develop an engagement mechanism in </w:t>
            </w:r>
            <w:smartTag w:uri="urn:schemas-microsoft-com:office:smarttags" w:element="country-region">
              <w:smartTag w:uri="urn:schemas-microsoft-com:office:smarttags" w:element="place">
                <w:r w:rsidRPr="004B506A">
                  <w:t>Tonga</w:t>
                </w:r>
              </w:smartTag>
            </w:smartTag>
            <w:r w:rsidRPr="004B506A">
              <w:t xml:space="preserve"> to discuss overall policy directions.</w:t>
            </w:r>
          </w:p>
          <w:p w:rsidR="004D2889" w:rsidRPr="004B506A" w:rsidRDefault="004D2889" w:rsidP="001D6E9A">
            <w:pPr>
              <w:pStyle w:val="TableTextEntries"/>
            </w:pPr>
            <w:r w:rsidRPr="004B506A">
              <w:t xml:space="preserve">Work with the </w:t>
            </w:r>
            <w:r>
              <w:t>Asian Development Bank</w:t>
            </w:r>
            <w:r w:rsidRPr="004B506A">
              <w:t xml:space="preserve"> and </w:t>
            </w:r>
            <w:smartTag w:uri="urn:schemas-microsoft-com:office:smarttags" w:element="country-region">
              <w:smartTag w:uri="urn:schemas-microsoft-com:office:smarttags" w:element="place">
                <w:r w:rsidRPr="004B506A">
                  <w:t>Tonga</w:t>
                </w:r>
              </w:smartTag>
            </w:smartTag>
            <w:r w:rsidRPr="004B506A">
              <w:t xml:space="preserve"> to develop a road maintenance program as a response to the global </w:t>
            </w:r>
            <w:r>
              <w:t>recession.</w:t>
            </w:r>
          </w:p>
        </w:tc>
      </w:tr>
    </w:tbl>
    <w:p w:rsidR="004D2889" w:rsidRPr="004B506A" w:rsidRDefault="004D2889" w:rsidP="00787870">
      <w:pPr>
        <w:pStyle w:val="Heading3"/>
        <w:tabs>
          <w:tab w:val="clear" w:pos="1440"/>
          <w:tab w:val="clear" w:pos="2160"/>
        </w:tabs>
      </w:pPr>
      <w:r>
        <w:lastRenderedPageBreak/>
        <w:t>C</w:t>
      </w:r>
      <w:r w:rsidRPr="004B506A">
        <w:t>hallenges</w:t>
      </w:r>
    </w:p>
    <w:p w:rsidR="004D2889" w:rsidRPr="004B11BC" w:rsidRDefault="004D2889" w:rsidP="004B506A">
      <w:pPr>
        <w:pStyle w:val="BodyText"/>
      </w:pPr>
      <w:r>
        <w:t xml:space="preserve">AusAID’s </w:t>
      </w:r>
      <w:r w:rsidRPr="004B506A">
        <w:t>Nuku</w:t>
      </w:r>
      <w:r>
        <w:t>′</w:t>
      </w:r>
      <w:r w:rsidRPr="004B506A">
        <w:t xml:space="preserve">alofa Post </w:t>
      </w:r>
      <w:r>
        <w:t xml:space="preserve">is a small office and </w:t>
      </w:r>
      <w:r w:rsidRPr="004B506A">
        <w:t>cannot manage a wide range of initiatives.</w:t>
      </w:r>
      <w:r>
        <w:t xml:space="preserve"> The initiatives</w:t>
      </w:r>
      <w:r w:rsidRPr="004B506A">
        <w:t xml:space="preserve"> being mobilised in 2009 will require a greater focus on policy engagement.</w:t>
      </w:r>
      <w:r>
        <w:t xml:space="preserve"> </w:t>
      </w:r>
      <w:r w:rsidRPr="004B506A">
        <w:t xml:space="preserve">Continued investments are needed to build the skills of </w:t>
      </w:r>
      <w:r>
        <w:t>overseas</w:t>
      </w:r>
      <w:r w:rsidRPr="004B506A">
        <w:t xml:space="preserve">-based staff to support the transition to greater </w:t>
      </w:r>
      <w:r>
        <w:t xml:space="preserve">interaction with the Government of Tonga on </w:t>
      </w:r>
      <w:r w:rsidRPr="004B506A">
        <w:t>policy</w:t>
      </w:r>
      <w:r>
        <w:t xml:space="preserve">. </w:t>
      </w:r>
      <w:r w:rsidRPr="004B506A">
        <w:t xml:space="preserve">Support from the </w:t>
      </w:r>
      <w:r>
        <w:t xml:space="preserve">AusAID’s </w:t>
      </w:r>
      <w:r w:rsidRPr="004B506A">
        <w:t>thematic areas or other policy advis</w:t>
      </w:r>
      <w:r>
        <w:t>e</w:t>
      </w:r>
      <w:r w:rsidRPr="004B506A">
        <w:t>rs will also be essential.</w:t>
      </w:r>
      <w:r>
        <w:t xml:space="preserve"> </w:t>
      </w:r>
      <w:r w:rsidRPr="004B506A">
        <w:t>The staff at Nuku</w:t>
      </w:r>
      <w:r>
        <w:t>′</w:t>
      </w:r>
      <w:r w:rsidRPr="004B506A">
        <w:t>alofa Post require policy mentors in the program sectors and long-term advis</w:t>
      </w:r>
      <w:r>
        <w:t>e</w:t>
      </w:r>
      <w:r w:rsidRPr="004B506A">
        <w:t>rs in order to maintain consistent policy dialogue and engagement with the Government of Tonga.</w:t>
      </w:r>
      <w:r>
        <w:t xml:space="preserve"> </w:t>
      </w:r>
      <w:r w:rsidRPr="004B506A">
        <w:t>The long-term nature of this engagement must be stressed</w:t>
      </w:r>
      <w:r>
        <w:t>, as</w:t>
      </w:r>
      <w:r w:rsidRPr="004B506A">
        <w:t xml:space="preserve"> policy dialogue improves only as trust is built and this takes time. </w:t>
      </w:r>
      <w:r>
        <w:t>AusAID’s</w:t>
      </w:r>
      <w:r w:rsidRPr="004B506A">
        <w:t xml:space="preserve"> Pacific Branch recently engaged an education adviser</w:t>
      </w:r>
      <w:r>
        <w:t>,</w:t>
      </w:r>
      <w:r w:rsidRPr="004B506A">
        <w:t xml:space="preserve"> </w:t>
      </w:r>
      <w:r>
        <w:t>who</w:t>
      </w:r>
      <w:r w:rsidRPr="004B506A">
        <w:t xml:space="preserve"> has already proved to be a valuable resource, </w:t>
      </w:r>
      <w:r>
        <w:t>as has the</w:t>
      </w:r>
      <w:r w:rsidRPr="004B506A">
        <w:t xml:space="preserve"> public expenditure management adviser. The team in </w:t>
      </w:r>
      <w:smartTag w:uri="urn:schemas-microsoft-com:office:smarttags" w:element="City">
        <w:smartTag w:uri="urn:schemas-microsoft-com:office:smarttags" w:element="place">
          <w:r w:rsidRPr="004B506A">
            <w:t>Canberra</w:t>
          </w:r>
        </w:smartTag>
      </w:smartTag>
      <w:r w:rsidRPr="004B506A">
        <w:t xml:space="preserve"> </w:t>
      </w:r>
      <w:r>
        <w:t>that is working with the Pacific Regional Infrastructure Facility is</w:t>
      </w:r>
      <w:r w:rsidRPr="004B506A">
        <w:t xml:space="preserve"> also providing strong support.</w:t>
      </w:r>
      <w:r>
        <w:t xml:space="preserve"> </w:t>
      </w:r>
      <w:r w:rsidRPr="004B506A">
        <w:t xml:space="preserve">The next priority for the post is to develop a team of support for the health </w:t>
      </w:r>
      <w:r w:rsidRPr="004B11BC">
        <w:t xml:space="preserve">program. </w:t>
      </w:r>
    </w:p>
    <w:p w:rsidR="004D2889" w:rsidRPr="004B506A" w:rsidRDefault="004D2889" w:rsidP="004B11BC">
      <w:pPr>
        <w:pStyle w:val="Heading2unnumbered"/>
        <w:tabs>
          <w:tab w:val="clear" w:pos="1440"/>
        </w:tabs>
      </w:pPr>
      <w:bookmarkStart w:id="59" w:name="_Toc250710293"/>
      <w:r w:rsidRPr="004B506A">
        <w:t>Reviews and evaluations</w:t>
      </w:r>
      <w:bookmarkEnd w:id="59"/>
    </w:p>
    <w:p w:rsidR="004D2889" w:rsidRPr="00F1722C" w:rsidRDefault="004D2889" w:rsidP="00F1722C">
      <w:pPr>
        <w:pStyle w:val="BodyText"/>
      </w:pPr>
      <w:r w:rsidRPr="00F1722C">
        <w:t xml:space="preserve">To continue </w:t>
      </w:r>
      <w:r>
        <w:t xml:space="preserve">to improve </w:t>
      </w:r>
      <w:r w:rsidRPr="00F1722C">
        <w:t xml:space="preserve">the quality of the </w:t>
      </w:r>
      <w:r>
        <w:t xml:space="preserve">Tonga aid </w:t>
      </w:r>
      <w:r w:rsidRPr="00F1722C">
        <w:t>program, the following reviews will take place in 2009:</w:t>
      </w:r>
    </w:p>
    <w:p w:rsidR="004D2889" w:rsidRPr="00F1722C" w:rsidRDefault="004D2889" w:rsidP="00F1722C">
      <w:pPr>
        <w:pStyle w:val="ListBullet"/>
      </w:pPr>
      <w:r>
        <w:t>six-monthly reviews of the early stages of t</w:t>
      </w:r>
      <w:r w:rsidRPr="00F1722C">
        <w:t>he health and TVET programs</w:t>
      </w:r>
    </w:p>
    <w:p w:rsidR="004D2889" w:rsidRPr="00F1722C" w:rsidRDefault="004D2889" w:rsidP="00F1722C">
      <w:pPr>
        <w:pStyle w:val="ListBullet"/>
      </w:pPr>
      <w:r>
        <w:t>a r</w:t>
      </w:r>
      <w:r w:rsidRPr="00F1722C">
        <w:t xml:space="preserve">eview of in-line </w:t>
      </w:r>
      <w:r>
        <w:t>technical assistance</w:t>
      </w:r>
      <w:r w:rsidRPr="004B506A">
        <w:t xml:space="preserve"> </w:t>
      </w:r>
      <w:r w:rsidRPr="00F1722C">
        <w:t xml:space="preserve">to assess </w:t>
      </w:r>
      <w:r>
        <w:t xml:space="preserve">its </w:t>
      </w:r>
      <w:r w:rsidRPr="00F1722C">
        <w:t xml:space="preserve">effectiveness and </w:t>
      </w:r>
      <w:r>
        <w:t>whether it</w:t>
      </w:r>
      <w:r w:rsidRPr="00F1722C">
        <w:t xml:space="preserve"> is well linked to program objectives</w:t>
      </w:r>
    </w:p>
    <w:p w:rsidR="004D2889" w:rsidRPr="00F1722C" w:rsidRDefault="004D2889" w:rsidP="00F1722C">
      <w:pPr>
        <w:pStyle w:val="ListBullet"/>
      </w:pPr>
      <w:r>
        <w:t>a</w:t>
      </w:r>
      <w:r w:rsidRPr="00F1722C">
        <w:t xml:space="preserve"> review of the </w:t>
      </w:r>
      <w:r>
        <w:t>Business Recovery Facility</w:t>
      </w:r>
      <w:r w:rsidRPr="004B506A">
        <w:t xml:space="preserve"> </w:t>
      </w:r>
      <w:r w:rsidRPr="00F1722C">
        <w:t xml:space="preserve">and </w:t>
      </w:r>
      <w:r>
        <w:t>the Private Sector Reconstruction Facility</w:t>
      </w:r>
      <w:r w:rsidRPr="00F1722C">
        <w:t xml:space="preserve"> in April 2009.</w:t>
      </w:r>
    </w:p>
    <w:p w:rsidR="004D2889" w:rsidRPr="004B506A" w:rsidRDefault="004D2889" w:rsidP="004B11BC">
      <w:pPr>
        <w:pStyle w:val="Heading2unnumbered"/>
        <w:tabs>
          <w:tab w:val="clear" w:pos="1440"/>
        </w:tabs>
      </w:pPr>
      <w:bookmarkStart w:id="60" w:name="_Toc250710294"/>
      <w:r w:rsidRPr="004B506A">
        <w:t>Respons</w:t>
      </w:r>
      <w:bookmarkStart w:id="61" w:name="_GoBack"/>
      <w:bookmarkEnd w:id="61"/>
      <w:r w:rsidRPr="004B506A">
        <w:t xml:space="preserve">e to the global </w:t>
      </w:r>
      <w:r>
        <w:t>recession</w:t>
      </w:r>
      <w:bookmarkEnd w:id="60"/>
    </w:p>
    <w:p w:rsidR="004D2889" w:rsidRPr="004B506A" w:rsidRDefault="004D2889" w:rsidP="004B506A">
      <w:pPr>
        <w:pStyle w:val="BodyText"/>
      </w:pPr>
      <w:r w:rsidRPr="004B506A">
        <w:t xml:space="preserve">AusAID will continue to work with </w:t>
      </w:r>
      <w:r>
        <w:t>the Department of Foreign Affairs and Trade</w:t>
      </w:r>
      <w:r w:rsidRPr="004B506A">
        <w:t xml:space="preserve">, donor partners and </w:t>
      </w:r>
      <w:smartTag w:uri="urn:schemas-microsoft-com:office:smarttags" w:element="country-region">
        <w:smartTag w:uri="urn:schemas-microsoft-com:office:smarttags" w:element="place">
          <w:r w:rsidRPr="004B506A">
            <w:t>Tonga</w:t>
          </w:r>
        </w:smartTag>
      </w:smartTag>
      <w:r w:rsidRPr="004B506A">
        <w:t xml:space="preserve"> to monitor the impacts of the </w:t>
      </w:r>
      <w:r>
        <w:t>global economic recession</w:t>
      </w:r>
      <w:r w:rsidRPr="004B506A">
        <w:t>. AusAID has</w:t>
      </w:r>
      <w:r>
        <w:t xml:space="preserve"> placed</w:t>
      </w:r>
      <w:r w:rsidRPr="004B506A">
        <w:t xml:space="preserve"> advisers in the Ministry of Finance and Planning and the National Reserve Bank of </w:t>
      </w:r>
      <w:smartTag w:uri="urn:schemas-microsoft-com:office:smarttags" w:element="country-region">
        <w:r w:rsidRPr="004B506A">
          <w:t>Tonga</w:t>
        </w:r>
      </w:smartTag>
      <w:r w:rsidRPr="004B506A">
        <w:t xml:space="preserve"> to assist </w:t>
      </w:r>
      <w:smartTag w:uri="urn:schemas-microsoft-com:office:smarttags" w:element="country-region">
        <w:smartTag w:uri="urn:schemas-microsoft-com:office:smarttags" w:element="place">
          <w:r w:rsidRPr="004B506A">
            <w:t>Tonga</w:t>
          </w:r>
        </w:smartTag>
      </w:smartTag>
      <w:r w:rsidRPr="004B506A">
        <w:t xml:space="preserve"> </w:t>
      </w:r>
      <w:r>
        <w:t xml:space="preserve">to </w:t>
      </w:r>
      <w:r w:rsidRPr="004B506A">
        <w:t xml:space="preserve">monitor and analyse the impacts. </w:t>
      </w:r>
    </w:p>
    <w:p w:rsidR="004D2889" w:rsidRPr="00005AC5" w:rsidRDefault="004D2889" w:rsidP="004B506A">
      <w:pPr>
        <w:pStyle w:val="BodyText"/>
      </w:pPr>
      <w:r w:rsidRPr="00005AC5">
        <w:t xml:space="preserve">To mitigate the impacts of the global recession, AusAID intends to finance a new road maintenance program, which is being developed by the Government of Tonga with the assistance of the Asian Development Bank through the Private Sector Development Initiative. AusAID financing will provide certainty of funds, which will allow private sector participation and </w:t>
      </w:r>
      <w:r w:rsidRPr="00DC005A">
        <w:t>increases</w:t>
      </w:r>
      <w:r w:rsidRPr="00005AC5">
        <w:t xml:space="preserve"> in road maintenance and provide local employment opportunities. There </w:t>
      </w:r>
      <w:r w:rsidRPr="00DC005A">
        <w:rPr>
          <w:spacing w:val="-1"/>
        </w:rPr>
        <w:t xml:space="preserve">are also options in the basic education and health sectors that can be explored later in 2009–10 </w:t>
      </w:r>
      <w:r>
        <w:t>if </w:t>
      </w:r>
      <w:r w:rsidRPr="00005AC5">
        <w:t>required.</w:t>
      </w:r>
    </w:p>
    <w:sectPr w:rsidR="004D2889" w:rsidRPr="00005AC5" w:rsidSect="006762E5">
      <w:headerReference w:type="even" r:id="rId19"/>
      <w:footerReference w:type="even" r:id="rId20"/>
      <w:footerReference w:type="default" r:id="rId21"/>
      <w:pgSz w:w="11907" w:h="16840" w:code="9"/>
      <w:pgMar w:top="2381" w:right="1985" w:bottom="851" w:left="1985" w:header="851"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D74" w:rsidRDefault="00276D74">
      <w:r>
        <w:separator/>
      </w:r>
    </w:p>
  </w:endnote>
  <w:endnote w:type="continuationSeparator" w:id="0">
    <w:p w:rsidR="00276D74" w:rsidRDefault="0027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89" w:rsidRPr="00AD612A" w:rsidRDefault="004D2889" w:rsidP="00393334">
    <w:pPr>
      <w:pStyle w:val="Footer"/>
    </w:pPr>
    <w:r>
      <w:rPr>
        <w:rStyle w:val="PageNumber"/>
      </w:rPr>
      <w:fldChar w:fldCharType="begin"/>
    </w:r>
    <w:r>
      <w:rPr>
        <w:rStyle w:val="PageNumber"/>
      </w:rPr>
      <w:instrText xml:space="preserve"> PAGE </w:instrText>
    </w:r>
    <w:r>
      <w:rPr>
        <w:rStyle w:val="PageNumber"/>
      </w:rPr>
      <w:fldChar w:fldCharType="separate"/>
    </w:r>
    <w:r w:rsidR="00FD3A84">
      <w:rPr>
        <w:rStyle w:val="PageNumber"/>
        <w:noProof/>
      </w:rPr>
      <w:t>2</w:t>
    </w:r>
    <w:r>
      <w:rPr>
        <w:rStyle w:val="PageNumber"/>
      </w:rPr>
      <w:fldChar w:fldCharType="end"/>
    </w:r>
    <w:r w:rsidRPr="007C1ECE">
      <w:tab/>
    </w:r>
    <w:r>
      <w:rPr>
        <w:rFonts w:cs="Arial"/>
        <w:noProof/>
      </w:rPr>
      <w:t>Annual program performance report: Tonga 2008–09</w:t>
    </w:r>
    <w:r>
      <w:tab/>
    </w:r>
    <w:r w:rsidRPr="007A2D4A">
      <w:rPr>
        <w:color w:val="99988B"/>
      </w:rPr>
      <w:t>www.ausaid.gov.au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89" w:rsidRPr="00AD612A" w:rsidRDefault="004D2889">
    <w:pPr>
      <w:pStyle w:val="Footer"/>
    </w:pPr>
    <w:r>
      <w:rPr>
        <w:rStyle w:val="PageNumber"/>
      </w:rPr>
      <w:fldChar w:fldCharType="begin"/>
    </w:r>
    <w:r>
      <w:rPr>
        <w:rStyle w:val="PageNumber"/>
      </w:rPr>
      <w:instrText xml:space="preserve"> PAGE </w:instrText>
    </w:r>
    <w:r>
      <w:rPr>
        <w:rStyle w:val="PageNumber"/>
      </w:rPr>
      <w:fldChar w:fldCharType="separate"/>
    </w:r>
    <w:r w:rsidR="00FD3A84">
      <w:rPr>
        <w:rStyle w:val="PageNumber"/>
        <w:noProof/>
      </w:rPr>
      <w:t>32</w:t>
    </w:r>
    <w:r>
      <w:rPr>
        <w:rStyle w:val="PageNumber"/>
      </w:rPr>
      <w:fldChar w:fldCharType="end"/>
    </w:r>
    <w:r>
      <w:tab/>
    </w:r>
    <w:r>
      <w:rPr>
        <w:rFonts w:cs="Arial"/>
        <w:noProof/>
      </w:rPr>
      <w:t>Annual program performance report: Tonga 2008–09</w:t>
    </w:r>
    <w:r>
      <w:tab/>
    </w:r>
    <w:r w:rsidRPr="007A2D4A">
      <w:rPr>
        <w:color w:val="99988B"/>
      </w:rPr>
      <w:t>www.ausaid.gov.au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89" w:rsidRPr="001260C2" w:rsidRDefault="004D2889" w:rsidP="001260C2">
    <w:pPr>
      <w:pStyle w:val="Footer"/>
    </w:pPr>
    <w:r>
      <w:tab/>
    </w:r>
    <w:r w:rsidRPr="007A2D4A">
      <w:rPr>
        <w:color w:val="99988B"/>
      </w:rPr>
      <w:t>www.ausaid.gov.au</w:t>
    </w:r>
    <w:r>
      <w:tab/>
    </w:r>
    <w:r>
      <w:rPr>
        <w:rFonts w:cs="Arial"/>
        <w:noProof/>
      </w:rPr>
      <w:t>Annual program performance report: Tonga 2008–09</w:t>
    </w:r>
    <w:r>
      <w:fldChar w:fldCharType="begin"/>
    </w:r>
    <w:r>
      <w:instrText xml:space="preserve"> STYLEREF  Title </w:instrText>
    </w:r>
    <w: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FD3A84">
      <w:rPr>
        <w:rStyle w:val="PageNumber"/>
        <w:noProof/>
      </w:rPr>
      <w:t>31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D74" w:rsidRDefault="00276D74" w:rsidP="00D62AA4">
      <w:pPr>
        <w:spacing w:before="60" w:after="40" w:line="180" w:lineRule="exact"/>
      </w:pPr>
      <w:r>
        <w:continuationSeparator/>
      </w:r>
    </w:p>
  </w:footnote>
  <w:footnote w:type="continuationSeparator" w:id="0">
    <w:p w:rsidR="00276D74" w:rsidRDefault="00276D74">
      <w:r>
        <w:continuationSeparator/>
      </w:r>
    </w:p>
  </w:footnote>
  <w:footnote w:type="continuationNotice" w:id="1">
    <w:p w:rsidR="00276D74" w:rsidRDefault="00276D74"/>
  </w:footnote>
  <w:footnote w:id="2">
    <w:p w:rsidR="004D2889" w:rsidRDefault="004D2889" w:rsidP="00D81B5B">
      <w:pPr>
        <w:pStyle w:val="FootnoteText"/>
      </w:pPr>
      <w:r>
        <w:rPr>
          <w:rStyle w:val="FootnoteReference"/>
        </w:rPr>
        <w:footnoteRef/>
      </w:r>
      <w:r>
        <w:t xml:space="preserve"> </w:t>
      </w:r>
      <w:r>
        <w:tab/>
        <w:t>Although the</w:t>
      </w:r>
      <w:r>
        <w:rPr>
          <w:rFonts w:cs="Arial"/>
        </w:rPr>
        <w:t xml:space="preserve"> report’s findings are based on achievements and results in the 2008 calendar year, the timing of the report aligns with the financial year budgeting cycles (July–June) of the governments of Tonga and Australia. This allows performance management information to better inform budget planning.</w:t>
      </w:r>
    </w:p>
  </w:footnote>
  <w:footnote w:id="3">
    <w:p w:rsidR="004D2889" w:rsidRDefault="004D2889" w:rsidP="00D81B5B">
      <w:pPr>
        <w:pStyle w:val="FootnoteText"/>
      </w:pPr>
      <w:r>
        <w:rPr>
          <w:rStyle w:val="FootnoteReference"/>
        </w:rPr>
        <w:footnoteRef/>
      </w:r>
      <w:r>
        <w:t xml:space="preserve"> </w:t>
      </w:r>
      <w:r>
        <w:tab/>
        <w:t>This refers only to buildings constructed with funding support from the joint AusAID–NZAID facility. Other construction activities also commenced in the capital, with funding from other sources.</w:t>
      </w:r>
    </w:p>
  </w:footnote>
  <w:footnote w:id="4">
    <w:p w:rsidR="004D2889" w:rsidRDefault="004D2889" w:rsidP="00D81B5B">
      <w:pPr>
        <w:pStyle w:val="FootnoteText"/>
      </w:pPr>
      <w:r>
        <w:rPr>
          <w:rStyle w:val="FootnoteReference"/>
        </w:rPr>
        <w:footnoteRef/>
      </w:r>
      <w:r>
        <w:t xml:space="preserve"> </w:t>
      </w:r>
      <w:r>
        <w:tab/>
      </w:r>
      <w:r>
        <w:rPr>
          <w:rFonts w:cs="Arial"/>
        </w:rPr>
        <w:t xml:space="preserve">Support is provided through a range of measures, such as the </w:t>
      </w:r>
      <w:r w:rsidRPr="00AE73F8">
        <w:t>Pacific Technical Assistance Mechanism</w:t>
      </w:r>
      <w:r>
        <w:rPr>
          <w:rFonts w:cs="Arial"/>
        </w:rPr>
        <w:t xml:space="preserve">, the </w:t>
      </w:r>
      <w:r w:rsidRPr="00AE73F8">
        <w:t>Finance and Economic Management Project</w:t>
      </w:r>
      <w:r>
        <w:rPr>
          <w:rFonts w:cs="Arial"/>
        </w:rPr>
        <w:t xml:space="preserve"> and salary top-ups. </w:t>
      </w:r>
    </w:p>
  </w:footnote>
  <w:footnote w:id="5">
    <w:p w:rsidR="004D2889" w:rsidRDefault="004D2889">
      <w:pPr>
        <w:pStyle w:val="FootnoteText"/>
      </w:pPr>
      <w:r>
        <w:rPr>
          <w:rStyle w:val="FootnoteReference"/>
        </w:rPr>
        <w:footnoteRef/>
      </w:r>
      <w:r>
        <w:t xml:space="preserve"> </w:t>
      </w:r>
      <w:r>
        <w:tab/>
        <w:t>Tonga Ministry of Finance and Planning.</w:t>
      </w:r>
    </w:p>
  </w:footnote>
  <w:footnote w:id="6">
    <w:p w:rsidR="004D2889" w:rsidRDefault="004D2889" w:rsidP="003B3AC9">
      <w:pPr>
        <w:pStyle w:val="FootnoteText"/>
        <w:spacing w:before="60"/>
      </w:pPr>
      <w:r w:rsidRPr="00B86B8B">
        <w:rPr>
          <w:rStyle w:val="FootnoteReference"/>
        </w:rPr>
        <w:footnoteRef/>
      </w:r>
      <w:r w:rsidRPr="00B86B8B">
        <w:t xml:space="preserve"> </w:t>
      </w:r>
      <w:r>
        <w:tab/>
      </w:r>
      <w:r w:rsidRPr="00B86B8B">
        <w:t>Briefing from the Hon</w:t>
      </w:r>
      <w:r>
        <w:t>.</w:t>
      </w:r>
      <w:r w:rsidRPr="00B86B8B">
        <w:t xml:space="preserve"> Minister of Finance, February 2007</w:t>
      </w:r>
      <w:r>
        <w:t>.</w:t>
      </w:r>
    </w:p>
  </w:footnote>
  <w:footnote w:id="7">
    <w:p w:rsidR="004D2889" w:rsidRDefault="004D2889" w:rsidP="003B3AC9">
      <w:pPr>
        <w:pStyle w:val="FootnoteText"/>
        <w:spacing w:before="60"/>
      </w:pPr>
      <w:r>
        <w:rPr>
          <w:rStyle w:val="FootnoteReference"/>
        </w:rPr>
        <w:footnoteRef/>
      </w:r>
      <w:r>
        <w:t xml:space="preserve"> </w:t>
      </w:r>
      <w:r>
        <w:tab/>
        <w:t>Comments made by Chamber of Commerce members. A major fish exporter reported that exports to Japan and the United States had contracted by around 25 per cent, which had necessitated staff redundancies.</w:t>
      </w:r>
    </w:p>
  </w:footnote>
  <w:footnote w:id="8">
    <w:p w:rsidR="004D2889" w:rsidRDefault="004D2889" w:rsidP="003B3AC9">
      <w:pPr>
        <w:pStyle w:val="FootnoteText"/>
        <w:spacing w:before="60"/>
      </w:pPr>
      <w:r>
        <w:rPr>
          <w:rStyle w:val="FootnoteReference"/>
        </w:rPr>
        <w:footnoteRef/>
      </w:r>
      <w:r>
        <w:t xml:space="preserve"> </w:t>
      </w:r>
      <w:r>
        <w:tab/>
      </w:r>
      <w:r w:rsidRPr="00DC005A">
        <w:rPr>
          <w:spacing w:val="-1"/>
        </w:rPr>
        <w:t xml:space="preserve">Department of Foreign Affairs and Trade, </w:t>
      </w:r>
      <w:r w:rsidRPr="00DC005A">
        <w:rPr>
          <w:i/>
          <w:spacing w:val="-1"/>
        </w:rPr>
        <w:t>Kingdom of Tonga country brief</w:t>
      </w:r>
      <w:r w:rsidRPr="00DC005A">
        <w:rPr>
          <w:spacing w:val="-1"/>
        </w:rPr>
        <w:t>, viewed November 2009, &lt;http://www.dfat.gov.au/geo/</w:t>
      </w:r>
      <w:r w:rsidRPr="00DC005A">
        <w:rPr>
          <w:spacing w:val="-1"/>
        </w:rPr>
        <w:br/>
        <w:t>tonga/tonga_brief.html&gt;.</w:t>
      </w:r>
    </w:p>
  </w:footnote>
  <w:footnote w:id="9">
    <w:p w:rsidR="004D2889" w:rsidRDefault="004D2889" w:rsidP="003B3AC9">
      <w:pPr>
        <w:pStyle w:val="FootnoteText"/>
        <w:spacing w:before="60"/>
      </w:pPr>
      <w:r w:rsidRPr="00B86B8B">
        <w:rPr>
          <w:rStyle w:val="FootnoteReference"/>
        </w:rPr>
        <w:footnoteRef/>
      </w:r>
      <w:r w:rsidRPr="00B86B8B">
        <w:t xml:space="preserve"> </w:t>
      </w:r>
      <w:r>
        <w:tab/>
      </w:r>
      <w:smartTag w:uri="urn:schemas-microsoft-com:office:smarttags" w:element="PlaceType">
        <w:r w:rsidRPr="00B86B8B">
          <w:t>Kingdom</w:t>
        </w:r>
      </w:smartTag>
      <w:r w:rsidRPr="00B86B8B">
        <w:t xml:space="preserve"> of Tonga</w:t>
      </w:r>
      <w:r>
        <w:t xml:space="preserve">, </w:t>
      </w:r>
      <w:r w:rsidRPr="00E835B0">
        <w:rPr>
          <w:i/>
        </w:rPr>
        <w:t>Strategic Development Plan Eight 2006/7</w:t>
      </w:r>
      <w:r>
        <w:rPr>
          <w:i/>
        </w:rPr>
        <w:t>–</w:t>
      </w:r>
      <w:r w:rsidRPr="00E835B0">
        <w:rPr>
          <w:i/>
        </w:rPr>
        <w:t>2008/9: looking to the future, building on the past</w:t>
      </w:r>
      <w:r>
        <w:t>, viewed November 2009, &lt;</w:t>
      </w:r>
      <w:r w:rsidRPr="00E835B0">
        <w:t>https://www.pmo.gov.to/strategic-development-plan-eight-20067-20089-looking-to-the-future-building-on-the-past.html</w:t>
      </w:r>
      <w:r>
        <w:t>&gt;.</w:t>
      </w:r>
    </w:p>
  </w:footnote>
  <w:footnote w:id="10">
    <w:p w:rsidR="004D2889" w:rsidRDefault="004D2889" w:rsidP="003B3AC9">
      <w:pPr>
        <w:pStyle w:val="FootnoteText"/>
        <w:spacing w:before="60"/>
      </w:pPr>
      <w:r w:rsidRPr="00DC005A">
        <w:rPr>
          <w:rStyle w:val="FootnoteReference"/>
          <w:iCs/>
        </w:rPr>
        <w:footnoteRef/>
      </w:r>
      <w:r w:rsidRPr="00B86B8B">
        <w:rPr>
          <w:i/>
          <w:iCs/>
        </w:rPr>
        <w:t xml:space="preserve"> </w:t>
      </w:r>
      <w:r>
        <w:rPr>
          <w:i/>
          <w:iCs/>
        </w:rPr>
        <w:tab/>
      </w:r>
      <w:r w:rsidRPr="00B86B8B">
        <w:t>This figure from the 1996 Census is questionable as there is no standard literacy test.</w:t>
      </w:r>
    </w:p>
  </w:footnote>
  <w:footnote w:id="11">
    <w:p w:rsidR="004D2889" w:rsidRDefault="004D2889" w:rsidP="003B3AC9">
      <w:pPr>
        <w:pStyle w:val="FootnoteText"/>
        <w:spacing w:before="60"/>
      </w:pPr>
      <w:r w:rsidRPr="00B86B8B">
        <w:rPr>
          <w:rStyle w:val="FootnoteReference"/>
        </w:rPr>
        <w:footnoteRef/>
      </w:r>
      <w:r w:rsidRPr="00B86B8B">
        <w:t xml:space="preserve"> </w:t>
      </w:r>
      <w:r>
        <w:tab/>
      </w:r>
      <w:smartTag w:uri="urn:schemas-microsoft-com:office:smarttags" w:element="country-region">
        <w:r w:rsidRPr="00B86B8B">
          <w:t>Tonga</w:t>
        </w:r>
      </w:smartTag>
      <w:r w:rsidRPr="00B86B8B">
        <w:t>’s Gini Coefficient</w:t>
      </w:r>
      <w:r>
        <w:t xml:space="preserve">—a </w:t>
      </w:r>
      <w:r w:rsidRPr="00874A4F">
        <w:t xml:space="preserve">measure </w:t>
      </w:r>
      <w:r>
        <w:t xml:space="preserve">of </w:t>
      </w:r>
      <w:r w:rsidRPr="00874A4F">
        <w:t xml:space="preserve">the inequality of </w:t>
      </w:r>
      <w:hyperlink r:id="rId1" w:anchor="income" w:history="1">
        <w:r w:rsidRPr="00874A4F">
          <w:t>income</w:t>
        </w:r>
      </w:hyperlink>
      <w:r w:rsidRPr="00874A4F">
        <w:t xml:space="preserve"> distribution within a country</w:t>
      </w:r>
      <w:r>
        <w:t>, which</w:t>
      </w:r>
      <w:r w:rsidRPr="00874A4F">
        <w:t xml:space="preserve"> varies from zero </w:t>
      </w:r>
      <w:r>
        <w:t>(</w:t>
      </w:r>
      <w:r w:rsidRPr="00874A4F">
        <w:t>perfect equality, with every hou</w:t>
      </w:r>
      <w:r>
        <w:t>sehold earning exactly the same)</w:t>
      </w:r>
      <w:r w:rsidRPr="00874A4F">
        <w:t xml:space="preserve"> to one </w:t>
      </w:r>
      <w:r>
        <w:t>(</w:t>
      </w:r>
      <w:r w:rsidRPr="00874A4F">
        <w:t>absolute inequality, with a single household earning a country's entire income</w:t>
      </w:r>
      <w:r>
        <w:t>)—</w:t>
      </w:r>
      <w:r w:rsidRPr="00B86B8B">
        <w:t>is 0.42</w:t>
      </w:r>
      <w:r>
        <w:t>,</w:t>
      </w:r>
      <w:r w:rsidRPr="00B86B8B">
        <w:t xml:space="preserve"> which is average for the </w:t>
      </w:r>
      <w:r>
        <w:t xml:space="preserve">Pacific </w:t>
      </w:r>
      <w:r w:rsidRPr="00B86B8B">
        <w:t>region</w:t>
      </w:r>
      <w:r>
        <w:t>.</w:t>
      </w:r>
      <w:r w:rsidRPr="00B86B8B">
        <w:t xml:space="preserve"> </w:t>
      </w:r>
      <w:r>
        <w:t>Tonga’s income distribution is</w:t>
      </w:r>
      <w:r w:rsidRPr="00B86B8B">
        <w:t xml:space="preserve"> more equal than </w:t>
      </w:r>
      <w:r>
        <w:t xml:space="preserve">in </w:t>
      </w:r>
      <w:smartTag w:uri="urn:schemas-microsoft-com:office:smarttags" w:element="country-region">
        <w:smartTag w:uri="urn:schemas-microsoft-com:office:smarttags" w:element="place">
          <w:r w:rsidRPr="00B86B8B">
            <w:t>Fiji</w:t>
          </w:r>
        </w:smartTag>
      </w:smartTag>
      <w:r w:rsidRPr="00B86B8B">
        <w:t xml:space="preserve"> and </w:t>
      </w:r>
      <w:r>
        <w:t>Papua New Guinea,</w:t>
      </w:r>
      <w:r w:rsidRPr="00B86B8B">
        <w:t xml:space="preserve"> although the methodologies quoted are not standardised for international comparison</w:t>
      </w:r>
      <w:r>
        <w:t xml:space="preserve"> (</w:t>
      </w:r>
      <w:r w:rsidRPr="00B86B8B">
        <w:t>Asian Development Bank</w:t>
      </w:r>
      <w:r>
        <w:t>,</w:t>
      </w:r>
      <w:r w:rsidRPr="00B86B8B">
        <w:rPr>
          <w:i/>
          <w:iCs/>
        </w:rPr>
        <w:t xml:space="preserve"> Hardship and poverty in the Pacific: strengthening poverty analysis and strategies in the Pacific</w:t>
      </w:r>
      <w:r w:rsidRPr="00B86B8B">
        <w:t xml:space="preserve">, </w:t>
      </w:r>
      <w:r>
        <w:t>D </w:t>
      </w:r>
      <w:r w:rsidRPr="00B86B8B">
        <w:t xml:space="preserve">Abbott </w:t>
      </w:r>
      <w:r>
        <w:t>&amp;</w:t>
      </w:r>
      <w:r w:rsidRPr="00B86B8B">
        <w:t xml:space="preserve"> </w:t>
      </w:r>
      <w:r>
        <w:t>S </w:t>
      </w:r>
      <w:r w:rsidRPr="00B86B8B">
        <w:t>Pollard, Pacific Study Series, ADB</w:t>
      </w:r>
      <w:r>
        <w:t>,</w:t>
      </w:r>
      <w:r w:rsidRPr="00B86B8B">
        <w:t xml:space="preserve"> Manila, </w:t>
      </w:r>
      <w:r>
        <w:t xml:space="preserve">2004, </w:t>
      </w:r>
      <w:r w:rsidRPr="00B86B8B">
        <w:t>pp</w:t>
      </w:r>
      <w:r>
        <w:t>. </w:t>
      </w:r>
      <w:r w:rsidRPr="00B86B8B">
        <w:t>30</w:t>
      </w:r>
      <w:r>
        <w:t>–</w:t>
      </w:r>
      <w:r w:rsidRPr="00B86B8B">
        <w:t>2</w:t>
      </w:r>
      <w:r>
        <w:t>)</w:t>
      </w:r>
      <w:r>
        <w:rPr>
          <w:i/>
          <w:iCs/>
        </w:rPr>
        <w:t>.</w:t>
      </w:r>
    </w:p>
  </w:footnote>
  <w:footnote w:id="12">
    <w:p w:rsidR="004D2889" w:rsidRDefault="004D2889" w:rsidP="003B3AC9">
      <w:pPr>
        <w:pStyle w:val="FootnoteText"/>
        <w:spacing w:before="60"/>
      </w:pPr>
      <w:r w:rsidRPr="00B86B8B">
        <w:rPr>
          <w:rStyle w:val="FootnoteReference"/>
        </w:rPr>
        <w:footnoteRef/>
      </w:r>
      <w:r w:rsidRPr="00B86B8B">
        <w:t xml:space="preserve"> </w:t>
      </w:r>
      <w:r>
        <w:tab/>
      </w:r>
      <w:r w:rsidRPr="00B86B8B">
        <w:t>Kingdom of Tonga</w:t>
      </w:r>
      <w:r>
        <w:t xml:space="preserve">, </w:t>
      </w:r>
      <w:r w:rsidRPr="00E835B0">
        <w:rPr>
          <w:i/>
        </w:rPr>
        <w:t>Strategic Development Plan Eight 2006/7</w:t>
      </w:r>
      <w:r>
        <w:rPr>
          <w:i/>
        </w:rPr>
        <w:t>–</w:t>
      </w:r>
      <w:r w:rsidRPr="00E835B0">
        <w:rPr>
          <w:i/>
        </w:rPr>
        <w:t>2008/9</w:t>
      </w:r>
      <w:r>
        <w:rPr>
          <w:i/>
        </w:rPr>
        <w:t>,</w:t>
      </w:r>
      <w:r w:rsidRPr="00B86B8B">
        <w:t xml:space="preserve"> pp</w:t>
      </w:r>
      <w:r>
        <w:t>. </w:t>
      </w:r>
      <w:r w:rsidRPr="00B86B8B">
        <w:t>117</w:t>
      </w:r>
      <w:r>
        <w:t>–</w:t>
      </w:r>
      <w:r w:rsidRPr="00B86B8B">
        <w:t>22</w:t>
      </w:r>
      <w:r>
        <w:t>.</w:t>
      </w:r>
    </w:p>
  </w:footnote>
  <w:footnote w:id="13">
    <w:p w:rsidR="004D2889" w:rsidRDefault="004D2889" w:rsidP="003B3AC9">
      <w:pPr>
        <w:pStyle w:val="FootnoteText"/>
        <w:spacing w:before="60"/>
      </w:pPr>
      <w:r>
        <w:rPr>
          <w:rStyle w:val="FootnoteReference"/>
        </w:rPr>
        <w:footnoteRef/>
      </w:r>
      <w:r>
        <w:t xml:space="preserve"> </w:t>
      </w:r>
      <w:r>
        <w:tab/>
        <w:t xml:space="preserve">World Health Organization, </w:t>
      </w:r>
      <w:r w:rsidRPr="00DC005A">
        <w:rPr>
          <w:i/>
        </w:rPr>
        <w:t>WHO Global InfoBase: data for saving lives—Tonga</w:t>
      </w:r>
      <w:r>
        <w:t>, viewed November 2009, &lt;</w:t>
      </w:r>
      <w:r w:rsidRPr="00903CE9">
        <w:t>http://www.who.int/infobase/reportviewer.aspx?rptcode=ALL&amp;uncode=776&amp;dm=5&amp;surveycode=102157a1</w:t>
      </w:r>
      <w:r>
        <w:t>&gt;.</w:t>
      </w:r>
    </w:p>
  </w:footnote>
  <w:footnote w:id="14">
    <w:p w:rsidR="004D2889" w:rsidRDefault="004D2889">
      <w:pPr>
        <w:pStyle w:val="FootnoteText"/>
        <w:spacing w:before="60"/>
      </w:pPr>
      <w:r w:rsidRPr="00B86B8B">
        <w:rPr>
          <w:rStyle w:val="FootnoteReference"/>
        </w:rPr>
        <w:footnoteRef/>
      </w:r>
      <w:r w:rsidRPr="00B86B8B">
        <w:t xml:space="preserve"> </w:t>
      </w:r>
      <w:r>
        <w:tab/>
      </w:r>
      <w:r w:rsidRPr="00C95425">
        <w:t xml:space="preserve">United Nations Development Programme, </w:t>
      </w:r>
      <w:r w:rsidRPr="00DC005A">
        <w:rPr>
          <w:i/>
        </w:rPr>
        <w:t>Human Development Report 2007/2008</w:t>
      </w:r>
      <w:bookmarkStart w:id="40" w:name="maincontent"/>
      <w:bookmarkEnd w:id="40"/>
      <w:r w:rsidRPr="00DC005A">
        <w:rPr>
          <w:i/>
        </w:rPr>
        <w:t>—fighting climate change: human solidarity in a divided world</w:t>
      </w:r>
      <w:r w:rsidRPr="00C95425">
        <w:t>, UNDP, New York, Tables 28, 29 &amp; 31, viewed November 2009, &lt;http://hdr.undp.org/en/reports/global/hdr2007-2008/chapters/&gt;.</w:t>
      </w:r>
    </w:p>
  </w:footnote>
  <w:footnote w:id="15">
    <w:p w:rsidR="004D2889" w:rsidRDefault="004D2889" w:rsidP="003B3AC9">
      <w:pPr>
        <w:pStyle w:val="FootnoteText"/>
      </w:pPr>
      <w:r w:rsidRPr="000F0223">
        <w:rPr>
          <w:rStyle w:val="FootnoteReference"/>
        </w:rPr>
        <w:footnoteRef/>
      </w:r>
      <w:r>
        <w:rPr>
          <w:i/>
        </w:rPr>
        <w:tab/>
      </w:r>
      <w:r w:rsidRPr="00DC005A">
        <w:t>Kingdom of Tonga</w:t>
      </w:r>
      <w:r>
        <w:t>,</w:t>
      </w:r>
      <w:r w:rsidRPr="00DC005A">
        <w:t xml:space="preserve"> </w:t>
      </w:r>
      <w:r w:rsidRPr="007E5016">
        <w:rPr>
          <w:i/>
        </w:rPr>
        <w:t>Budget Paper No 1: review of the Tongan economy and outlook 2006</w:t>
      </w:r>
      <w:r>
        <w:rPr>
          <w:i/>
        </w:rPr>
        <w:t>/</w:t>
      </w:r>
      <w:r w:rsidRPr="007E5016">
        <w:rPr>
          <w:i/>
        </w:rPr>
        <w:t>07</w:t>
      </w:r>
      <w:r>
        <w:rPr>
          <w:i/>
        </w:rPr>
        <w:t xml:space="preserve">, </w:t>
      </w:r>
      <w:r w:rsidRPr="0048115F">
        <w:t xml:space="preserve">budget statement for year ending </w:t>
      </w:r>
      <w:r w:rsidRPr="00EC3480">
        <w:rPr>
          <w:spacing w:val="-1"/>
        </w:rPr>
        <w:t>30th June 2007, viewed November 2009, &lt;www.finance.gov.to/.../Budget%20Statement%2006-07%20Paper%201(English).pdf&gt;.</w:t>
      </w:r>
    </w:p>
  </w:footnote>
  <w:footnote w:id="16">
    <w:p w:rsidR="004D2889" w:rsidRDefault="004D2889" w:rsidP="003B3AC9">
      <w:pPr>
        <w:pStyle w:val="FootnoteText"/>
      </w:pPr>
      <w:r>
        <w:rPr>
          <w:rStyle w:val="FootnoteReference"/>
        </w:rPr>
        <w:footnoteRef/>
      </w:r>
      <w:r>
        <w:t xml:space="preserve"> </w:t>
      </w:r>
      <w:r>
        <w:tab/>
      </w:r>
      <w:r>
        <w:rPr>
          <w:lang w:val="en-US"/>
        </w:rPr>
        <w:t>While there are no hard data, one of the judges noted that there appears to have been fewer cases coming to the courts where police officers had used coercive tactics to elicit confessions.</w:t>
      </w:r>
    </w:p>
  </w:footnote>
  <w:footnote w:id="17">
    <w:p w:rsidR="004D2889" w:rsidRDefault="004D2889" w:rsidP="003B3AC9">
      <w:pPr>
        <w:pStyle w:val="FootnoteText"/>
      </w:pPr>
      <w:r>
        <w:rPr>
          <w:rStyle w:val="FootnoteReference"/>
        </w:rPr>
        <w:footnoteRef/>
      </w:r>
      <w:r>
        <w:t xml:space="preserve"> </w:t>
      </w:r>
      <w:r>
        <w:tab/>
      </w:r>
      <w:r>
        <w:rPr>
          <w:lang w:val="en-US"/>
        </w:rPr>
        <w:t>For example, a study in 2005 found that approximately 1 on 7 post-natal mothers had Chlamydia.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89" w:rsidRDefault="004D2889">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89" w:rsidRDefault="004D2889" w:rsidP="00B7603F">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C0BC9532"/>
    <w:lvl w:ilvl="0">
      <w:start w:val="1"/>
      <w:numFmt w:val="decimal"/>
      <w:lvlText w:val="%1."/>
      <w:lvlJc w:val="left"/>
      <w:pPr>
        <w:tabs>
          <w:tab w:val="num" w:pos="643"/>
        </w:tabs>
        <w:ind w:left="643" w:hanging="360"/>
      </w:pPr>
    </w:lvl>
  </w:abstractNum>
  <w:abstractNum w:abstractNumId="1">
    <w:nsid w:val="FFFFFF82"/>
    <w:multiLevelType w:val="singleLevel"/>
    <w:tmpl w:val="0F580BF4"/>
    <w:lvl w:ilvl="0">
      <w:start w:val="1"/>
      <w:numFmt w:val="bullet"/>
      <w:lvlText w:val="-"/>
      <w:lvlJc w:val="left"/>
      <w:pPr>
        <w:tabs>
          <w:tab w:val="num" w:pos="792"/>
        </w:tabs>
        <w:ind w:left="792" w:hanging="432"/>
      </w:pPr>
      <w:rPr>
        <w:rFonts w:ascii="Arial" w:hAnsi="Arial" w:hint="default"/>
      </w:rPr>
    </w:lvl>
  </w:abstractNum>
  <w:abstractNum w:abstractNumId="2">
    <w:nsid w:val="FFFFFF83"/>
    <w:multiLevelType w:val="singleLevel"/>
    <w:tmpl w:val="2EA620FC"/>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01768806"/>
    <w:lvl w:ilvl="0">
      <w:start w:val="1"/>
      <w:numFmt w:val="decimal"/>
      <w:lvlText w:val="%1."/>
      <w:lvlJc w:val="left"/>
      <w:pPr>
        <w:tabs>
          <w:tab w:val="num" w:pos="360"/>
        </w:tabs>
        <w:ind w:left="360" w:hanging="360"/>
      </w:pPr>
    </w:lvl>
  </w:abstractNum>
  <w:abstractNum w:abstractNumId="4">
    <w:nsid w:val="FFFFFF89"/>
    <w:multiLevelType w:val="singleLevel"/>
    <w:tmpl w:val="004A6D34"/>
    <w:lvl w:ilvl="0">
      <w:start w:val="1"/>
      <w:numFmt w:val="bullet"/>
      <w:lvlText w:val=""/>
      <w:lvlJc w:val="left"/>
      <w:pPr>
        <w:tabs>
          <w:tab w:val="num" w:pos="360"/>
        </w:tabs>
        <w:ind w:left="360" w:hanging="360"/>
      </w:pPr>
      <w:rPr>
        <w:rFonts w:ascii="Symbol" w:hAnsi="Symbol" w:hint="default"/>
      </w:rPr>
    </w:lvl>
  </w:abstractNum>
  <w:abstractNum w:abstractNumId="5">
    <w:nsid w:val="056F345C"/>
    <w:multiLevelType w:val="hybridMultilevel"/>
    <w:tmpl w:val="BEAE9C72"/>
    <w:lvl w:ilvl="0" w:tplc="28C6C026">
      <w:start w:val="1"/>
      <w:numFmt w:val="bullet"/>
      <w:lvlText w:val=""/>
      <w:lvlJc w:val="left"/>
      <w:pPr>
        <w:tabs>
          <w:tab w:val="num" w:pos="567"/>
        </w:tabs>
        <w:ind w:left="567" w:hanging="567"/>
      </w:pPr>
      <w:rPr>
        <w:rFonts w:ascii="Wingdings" w:hAnsi="Wingdings" w:hint="default"/>
        <w:color w:val="FF0000"/>
        <w:spacing w:val="0"/>
        <w:position w:val="-2"/>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D95BFF"/>
    <w:multiLevelType w:val="hybridMultilevel"/>
    <w:tmpl w:val="2D3E1F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92929E6"/>
    <w:multiLevelType w:val="hybridMultilevel"/>
    <w:tmpl w:val="2BB08866"/>
    <w:lvl w:ilvl="0" w:tplc="AC2E0D00">
      <w:start w:val="1"/>
      <w:numFmt w:val="decimal"/>
      <w:lvlText w:val="%1."/>
      <w:lvlJc w:val="left"/>
      <w:pPr>
        <w:tabs>
          <w:tab w:val="num" w:pos="36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E9F0AA6"/>
    <w:multiLevelType w:val="hybridMultilevel"/>
    <w:tmpl w:val="459C06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4621CE7"/>
    <w:multiLevelType w:val="hybridMultilevel"/>
    <w:tmpl w:val="0D18B67E"/>
    <w:lvl w:ilvl="0" w:tplc="ACFA6F56">
      <w:start w:val="1"/>
      <w:numFmt w:val="bullet"/>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7B7DD8"/>
    <w:multiLevelType w:val="hybridMultilevel"/>
    <w:tmpl w:val="3EA6F6DE"/>
    <w:lvl w:ilvl="0" w:tplc="BD367532">
      <w:start w:val="1"/>
      <w:numFmt w:val="lowerLetter"/>
      <w:lvlText w:val="%1."/>
      <w:lvlJc w:val="left"/>
      <w:pPr>
        <w:tabs>
          <w:tab w:val="num" w:pos="454"/>
        </w:tabs>
        <w:ind w:left="454" w:hanging="227"/>
      </w:pPr>
      <w:rPr>
        <w:rFonts w:cs="Times New Roman" w:hint="default"/>
      </w:rPr>
    </w:lvl>
    <w:lvl w:ilvl="1" w:tplc="A49CA520" w:tentative="1">
      <w:start w:val="1"/>
      <w:numFmt w:val="lowerLetter"/>
      <w:lvlText w:val="%2."/>
      <w:lvlJc w:val="left"/>
      <w:pPr>
        <w:tabs>
          <w:tab w:val="num" w:pos="1440"/>
        </w:tabs>
        <w:ind w:left="1440" w:hanging="360"/>
      </w:pPr>
      <w:rPr>
        <w:rFonts w:cs="Times New Roman"/>
      </w:rPr>
    </w:lvl>
    <w:lvl w:ilvl="2" w:tplc="2A5C8862" w:tentative="1">
      <w:start w:val="1"/>
      <w:numFmt w:val="lowerRoman"/>
      <w:lvlText w:val="%3."/>
      <w:lvlJc w:val="right"/>
      <w:pPr>
        <w:tabs>
          <w:tab w:val="num" w:pos="2160"/>
        </w:tabs>
        <w:ind w:left="2160" w:hanging="180"/>
      </w:pPr>
      <w:rPr>
        <w:rFonts w:cs="Times New Roman"/>
      </w:rPr>
    </w:lvl>
    <w:lvl w:ilvl="3" w:tplc="83E0975E" w:tentative="1">
      <w:start w:val="1"/>
      <w:numFmt w:val="decimal"/>
      <w:lvlText w:val="%4."/>
      <w:lvlJc w:val="left"/>
      <w:pPr>
        <w:tabs>
          <w:tab w:val="num" w:pos="2880"/>
        </w:tabs>
        <w:ind w:left="2880" w:hanging="360"/>
      </w:pPr>
      <w:rPr>
        <w:rFonts w:cs="Times New Roman"/>
      </w:rPr>
    </w:lvl>
    <w:lvl w:ilvl="4" w:tplc="9CBC6664" w:tentative="1">
      <w:start w:val="1"/>
      <w:numFmt w:val="lowerLetter"/>
      <w:lvlText w:val="%5."/>
      <w:lvlJc w:val="left"/>
      <w:pPr>
        <w:tabs>
          <w:tab w:val="num" w:pos="3600"/>
        </w:tabs>
        <w:ind w:left="3600" w:hanging="360"/>
      </w:pPr>
      <w:rPr>
        <w:rFonts w:cs="Times New Roman"/>
      </w:rPr>
    </w:lvl>
    <w:lvl w:ilvl="5" w:tplc="960607C2" w:tentative="1">
      <w:start w:val="1"/>
      <w:numFmt w:val="lowerRoman"/>
      <w:lvlText w:val="%6."/>
      <w:lvlJc w:val="right"/>
      <w:pPr>
        <w:tabs>
          <w:tab w:val="num" w:pos="4320"/>
        </w:tabs>
        <w:ind w:left="4320" w:hanging="180"/>
      </w:pPr>
      <w:rPr>
        <w:rFonts w:cs="Times New Roman"/>
      </w:rPr>
    </w:lvl>
    <w:lvl w:ilvl="6" w:tplc="184470E8" w:tentative="1">
      <w:start w:val="1"/>
      <w:numFmt w:val="decimal"/>
      <w:lvlText w:val="%7."/>
      <w:lvlJc w:val="left"/>
      <w:pPr>
        <w:tabs>
          <w:tab w:val="num" w:pos="5040"/>
        </w:tabs>
        <w:ind w:left="5040" w:hanging="360"/>
      </w:pPr>
      <w:rPr>
        <w:rFonts w:cs="Times New Roman"/>
      </w:rPr>
    </w:lvl>
    <w:lvl w:ilvl="7" w:tplc="0F442544" w:tentative="1">
      <w:start w:val="1"/>
      <w:numFmt w:val="lowerLetter"/>
      <w:lvlText w:val="%8."/>
      <w:lvlJc w:val="left"/>
      <w:pPr>
        <w:tabs>
          <w:tab w:val="num" w:pos="5760"/>
        </w:tabs>
        <w:ind w:left="5760" w:hanging="360"/>
      </w:pPr>
      <w:rPr>
        <w:rFonts w:cs="Times New Roman"/>
      </w:rPr>
    </w:lvl>
    <w:lvl w:ilvl="8" w:tplc="F58C9FA8" w:tentative="1">
      <w:start w:val="1"/>
      <w:numFmt w:val="lowerRoman"/>
      <w:lvlText w:val="%9."/>
      <w:lvlJc w:val="right"/>
      <w:pPr>
        <w:tabs>
          <w:tab w:val="num" w:pos="6480"/>
        </w:tabs>
        <w:ind w:left="6480" w:hanging="180"/>
      </w:pPr>
      <w:rPr>
        <w:rFonts w:cs="Times New Roman"/>
      </w:rPr>
    </w:lvl>
  </w:abstractNum>
  <w:abstractNum w:abstractNumId="11">
    <w:nsid w:val="180665BC"/>
    <w:multiLevelType w:val="hybridMultilevel"/>
    <w:tmpl w:val="4DC601BA"/>
    <w:lvl w:ilvl="0" w:tplc="5D98112C">
      <w:start w:val="1"/>
      <w:numFmt w:val="decimal"/>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DE649FD"/>
    <w:multiLevelType w:val="hybridMultilevel"/>
    <w:tmpl w:val="4090559A"/>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D86499"/>
    <w:multiLevelType w:val="hybridMultilevel"/>
    <w:tmpl w:val="0DC49B04"/>
    <w:lvl w:ilvl="0" w:tplc="E566FAFC">
      <w:start w:val="1"/>
      <w:numFmt w:val="bullet"/>
      <w:pStyle w:val="ListBullet"/>
      <w:lvlText w:val="&gt;"/>
      <w:lvlJc w:val="left"/>
      <w:pPr>
        <w:tabs>
          <w:tab w:val="num" w:pos="284"/>
        </w:tabs>
        <w:ind w:left="284" w:hanging="284"/>
      </w:pPr>
      <w:rPr>
        <w:rFonts w:hint="default"/>
        <w:color w:val="auto"/>
        <w:position w:val="3"/>
        <w:sz w:val="1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9B02A7"/>
    <w:multiLevelType w:val="singleLevel"/>
    <w:tmpl w:val="38C655C0"/>
    <w:lvl w:ilvl="0">
      <w:start w:val="1"/>
      <w:numFmt w:val="bullet"/>
      <w:lvlText w:val="–"/>
      <w:lvlJc w:val="left"/>
      <w:pPr>
        <w:tabs>
          <w:tab w:val="num" w:pos="567"/>
        </w:tabs>
        <w:ind w:left="567" w:hanging="283"/>
      </w:pPr>
      <w:rPr>
        <w:rFonts w:hint="default"/>
        <w:color w:val="auto"/>
        <w:sz w:val="21"/>
      </w:rPr>
    </w:lvl>
  </w:abstractNum>
  <w:abstractNum w:abstractNumId="15">
    <w:nsid w:val="25264A5A"/>
    <w:multiLevelType w:val="hybridMultilevel"/>
    <w:tmpl w:val="0D2C9A66"/>
    <w:lvl w:ilvl="0" w:tplc="48FC474E">
      <w:start w:val="1"/>
      <w:numFmt w:val="bullet"/>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257411D5"/>
    <w:multiLevelType w:val="hybridMultilevel"/>
    <w:tmpl w:val="D0DC29D8"/>
    <w:lvl w:ilvl="0" w:tplc="69D459DC">
      <w:start w:val="1"/>
      <w:numFmt w:val="lowerRoman"/>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nsid w:val="261478DD"/>
    <w:multiLevelType w:val="multilevel"/>
    <w:tmpl w:val="060C6F5A"/>
    <w:lvl w:ilvl="0">
      <w:start w:val="1"/>
      <w:numFmt w:val="bullet"/>
      <w:lvlText w:val="&gt;"/>
      <w:lvlJc w:val="left"/>
      <w:pPr>
        <w:tabs>
          <w:tab w:val="num" w:pos="284"/>
        </w:tabs>
        <w:ind w:left="284" w:hanging="284"/>
      </w:pPr>
      <w:rPr>
        <w:rFonts w:hint="default"/>
        <w:color w:val="auto"/>
        <w:position w:val="3"/>
        <w:sz w:val="19"/>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5D5130"/>
    <w:multiLevelType w:val="multilevel"/>
    <w:tmpl w:val="35A6ABEE"/>
    <w:lvl w:ilvl="0">
      <w:start w:val="1"/>
      <w:numFmt w:val="lowerLetter"/>
      <w:lvlRestart w:val="0"/>
      <w:lvlText w:val="%1"/>
      <w:lvlJc w:val="left"/>
      <w:pPr>
        <w:tabs>
          <w:tab w:val="num" w:pos="170"/>
        </w:tabs>
      </w:pPr>
      <w:rPr>
        <w:rFonts w:ascii="Franklin Gothic Medium" w:hAnsi="Franklin Gothic Medium" w:cs="Times New Roman" w:hint="default"/>
        <w:b w:val="0"/>
        <w:i w:val="0"/>
        <w:color w:val="auto"/>
        <w:position w:val="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nsid w:val="2FBD11B4"/>
    <w:multiLevelType w:val="multilevel"/>
    <w:tmpl w:val="88B6145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2FCA04DE"/>
    <w:multiLevelType w:val="multilevel"/>
    <w:tmpl w:val="A838F956"/>
    <w:lvl w:ilvl="0">
      <w:start w:val="1"/>
      <w:numFmt w:val="bullet"/>
      <w:lvlText w:val=""/>
      <w:lvlJc w:val="left"/>
      <w:pPr>
        <w:tabs>
          <w:tab w:val="num" w:pos="567"/>
        </w:tabs>
        <w:ind w:left="567" w:hanging="567"/>
      </w:pPr>
      <w:rPr>
        <w:rFonts w:ascii="Wingdings" w:hAnsi="Wingdings" w:hint="default"/>
        <w:color w:val="FF0000"/>
        <w:spacing w:val="0"/>
        <w:position w:val="-2"/>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8211130"/>
    <w:multiLevelType w:val="hybridMultilevel"/>
    <w:tmpl w:val="06B477F4"/>
    <w:lvl w:ilvl="0" w:tplc="CE843BFA">
      <w:start w:val="1"/>
      <w:numFmt w:val="bullet"/>
      <w:pStyle w:val="Ratingred"/>
      <w:lvlText w:val=""/>
      <w:lvlJc w:val="left"/>
      <w:pPr>
        <w:tabs>
          <w:tab w:val="num" w:pos="567"/>
        </w:tabs>
        <w:ind w:left="567" w:hanging="567"/>
      </w:pPr>
      <w:rPr>
        <w:rFonts w:ascii="Wingdings" w:hAnsi="Wingdings" w:hint="default"/>
        <w:color w:val="FF0000"/>
        <w:spacing w:val="0"/>
        <w:position w:val="-2"/>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82D65A6"/>
    <w:multiLevelType w:val="hybridMultilevel"/>
    <w:tmpl w:val="A7446C82"/>
    <w:lvl w:ilvl="0" w:tplc="B70A9096">
      <w:start w:val="1"/>
      <w:numFmt w:val="decimal"/>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9233F6B"/>
    <w:multiLevelType w:val="hybridMultilevel"/>
    <w:tmpl w:val="53929CB2"/>
    <w:lvl w:ilvl="0" w:tplc="042C6650">
      <w:start w:val="1"/>
      <w:numFmt w:val="lowerLetter"/>
      <w:lvlText w:val="%1."/>
      <w:lvlJc w:val="left"/>
      <w:pPr>
        <w:tabs>
          <w:tab w:val="num" w:pos="567"/>
        </w:tabs>
        <w:ind w:left="567" w:hanging="283"/>
      </w:pPr>
      <w:rPr>
        <w:rFonts w:cs="Times New Roman" w:hint="default"/>
      </w:rPr>
    </w:lvl>
    <w:lvl w:ilvl="1" w:tplc="6A7A2FD8" w:tentative="1">
      <w:start w:val="1"/>
      <w:numFmt w:val="lowerLetter"/>
      <w:lvlText w:val="%2."/>
      <w:lvlJc w:val="left"/>
      <w:pPr>
        <w:tabs>
          <w:tab w:val="num" w:pos="1440"/>
        </w:tabs>
        <w:ind w:left="1440" w:hanging="360"/>
      </w:pPr>
      <w:rPr>
        <w:rFonts w:cs="Times New Roman"/>
      </w:rPr>
    </w:lvl>
    <w:lvl w:ilvl="2" w:tplc="F9DADA42" w:tentative="1">
      <w:start w:val="1"/>
      <w:numFmt w:val="lowerRoman"/>
      <w:lvlText w:val="%3."/>
      <w:lvlJc w:val="right"/>
      <w:pPr>
        <w:tabs>
          <w:tab w:val="num" w:pos="2160"/>
        </w:tabs>
        <w:ind w:left="2160" w:hanging="180"/>
      </w:pPr>
      <w:rPr>
        <w:rFonts w:cs="Times New Roman"/>
      </w:rPr>
    </w:lvl>
    <w:lvl w:ilvl="3" w:tplc="D8F830F0" w:tentative="1">
      <w:start w:val="1"/>
      <w:numFmt w:val="decimal"/>
      <w:lvlText w:val="%4."/>
      <w:lvlJc w:val="left"/>
      <w:pPr>
        <w:tabs>
          <w:tab w:val="num" w:pos="2880"/>
        </w:tabs>
        <w:ind w:left="2880" w:hanging="360"/>
      </w:pPr>
      <w:rPr>
        <w:rFonts w:cs="Times New Roman"/>
      </w:rPr>
    </w:lvl>
    <w:lvl w:ilvl="4" w:tplc="EB526734" w:tentative="1">
      <w:start w:val="1"/>
      <w:numFmt w:val="lowerLetter"/>
      <w:lvlText w:val="%5."/>
      <w:lvlJc w:val="left"/>
      <w:pPr>
        <w:tabs>
          <w:tab w:val="num" w:pos="3600"/>
        </w:tabs>
        <w:ind w:left="3600" w:hanging="360"/>
      </w:pPr>
      <w:rPr>
        <w:rFonts w:cs="Times New Roman"/>
      </w:rPr>
    </w:lvl>
    <w:lvl w:ilvl="5" w:tplc="D01E83E2" w:tentative="1">
      <w:start w:val="1"/>
      <w:numFmt w:val="lowerRoman"/>
      <w:lvlText w:val="%6."/>
      <w:lvlJc w:val="right"/>
      <w:pPr>
        <w:tabs>
          <w:tab w:val="num" w:pos="4320"/>
        </w:tabs>
        <w:ind w:left="4320" w:hanging="180"/>
      </w:pPr>
      <w:rPr>
        <w:rFonts w:cs="Times New Roman"/>
      </w:rPr>
    </w:lvl>
    <w:lvl w:ilvl="6" w:tplc="122C9BFE" w:tentative="1">
      <w:start w:val="1"/>
      <w:numFmt w:val="decimal"/>
      <w:lvlText w:val="%7."/>
      <w:lvlJc w:val="left"/>
      <w:pPr>
        <w:tabs>
          <w:tab w:val="num" w:pos="5040"/>
        </w:tabs>
        <w:ind w:left="5040" w:hanging="360"/>
      </w:pPr>
      <w:rPr>
        <w:rFonts w:cs="Times New Roman"/>
      </w:rPr>
    </w:lvl>
    <w:lvl w:ilvl="7" w:tplc="CC60F9F6" w:tentative="1">
      <w:start w:val="1"/>
      <w:numFmt w:val="lowerLetter"/>
      <w:lvlText w:val="%8."/>
      <w:lvlJc w:val="left"/>
      <w:pPr>
        <w:tabs>
          <w:tab w:val="num" w:pos="5760"/>
        </w:tabs>
        <w:ind w:left="5760" w:hanging="360"/>
      </w:pPr>
      <w:rPr>
        <w:rFonts w:cs="Times New Roman"/>
      </w:rPr>
    </w:lvl>
    <w:lvl w:ilvl="8" w:tplc="D952986C" w:tentative="1">
      <w:start w:val="1"/>
      <w:numFmt w:val="lowerRoman"/>
      <w:lvlText w:val="%9."/>
      <w:lvlJc w:val="right"/>
      <w:pPr>
        <w:tabs>
          <w:tab w:val="num" w:pos="6480"/>
        </w:tabs>
        <w:ind w:left="6480" w:hanging="180"/>
      </w:pPr>
      <w:rPr>
        <w:rFonts w:cs="Times New Roman"/>
      </w:rPr>
    </w:lvl>
  </w:abstractNum>
  <w:abstractNum w:abstractNumId="24">
    <w:nsid w:val="3FDB70F3"/>
    <w:multiLevelType w:val="hybridMultilevel"/>
    <w:tmpl w:val="C8D8B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1B73AFA"/>
    <w:multiLevelType w:val="hybridMultilevel"/>
    <w:tmpl w:val="93CC82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FE109C"/>
    <w:multiLevelType w:val="multilevel"/>
    <w:tmpl w:val="334AF226"/>
    <w:lvl w:ilvl="0">
      <w:start w:val="1"/>
      <w:numFmt w:val="bullet"/>
      <w:lvlText w:val="–"/>
      <w:lvlJc w:val="left"/>
      <w:pPr>
        <w:tabs>
          <w:tab w:val="num" w:pos="454"/>
        </w:tabs>
        <w:ind w:left="454" w:hanging="170"/>
      </w:pPr>
      <w:rPr>
        <w:rFonts w:hint="default"/>
        <w:color w:val="auto"/>
        <w:position w:val="3"/>
        <w:sz w:val="21"/>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6CD579B"/>
    <w:multiLevelType w:val="hybridMultilevel"/>
    <w:tmpl w:val="36F2514A"/>
    <w:lvl w:ilvl="0" w:tplc="44A60F8E">
      <w:start w:val="1"/>
      <w:numFmt w:val="bullet"/>
      <w:lvlText w:val="&gt;"/>
      <w:lvlJc w:val="left"/>
      <w:pPr>
        <w:tabs>
          <w:tab w:val="num" w:pos="284"/>
        </w:tabs>
        <w:ind w:left="284" w:hanging="284"/>
      </w:pPr>
      <w:rPr>
        <w:rFonts w:hint="default"/>
        <w:color w:val="auto"/>
      </w:rPr>
    </w:lvl>
    <w:lvl w:ilvl="1" w:tplc="1D2693AA" w:tentative="1">
      <w:start w:val="1"/>
      <w:numFmt w:val="bullet"/>
      <w:lvlText w:val="o"/>
      <w:lvlJc w:val="left"/>
      <w:pPr>
        <w:tabs>
          <w:tab w:val="num" w:pos="1440"/>
        </w:tabs>
        <w:ind w:left="1440" w:hanging="360"/>
      </w:pPr>
      <w:rPr>
        <w:rFonts w:ascii="Courier New" w:hAnsi="Courier New" w:hint="default"/>
      </w:rPr>
    </w:lvl>
    <w:lvl w:ilvl="2" w:tplc="5F187140" w:tentative="1">
      <w:start w:val="1"/>
      <w:numFmt w:val="bullet"/>
      <w:lvlText w:val=""/>
      <w:lvlJc w:val="left"/>
      <w:pPr>
        <w:tabs>
          <w:tab w:val="num" w:pos="2160"/>
        </w:tabs>
        <w:ind w:left="2160" w:hanging="360"/>
      </w:pPr>
      <w:rPr>
        <w:rFonts w:ascii="Wingdings" w:hAnsi="Wingdings" w:hint="default"/>
      </w:rPr>
    </w:lvl>
    <w:lvl w:ilvl="3" w:tplc="1BCCC432" w:tentative="1">
      <w:start w:val="1"/>
      <w:numFmt w:val="bullet"/>
      <w:lvlText w:val=""/>
      <w:lvlJc w:val="left"/>
      <w:pPr>
        <w:tabs>
          <w:tab w:val="num" w:pos="2880"/>
        </w:tabs>
        <w:ind w:left="2880" w:hanging="360"/>
      </w:pPr>
      <w:rPr>
        <w:rFonts w:ascii="Symbol" w:hAnsi="Symbol" w:hint="default"/>
      </w:rPr>
    </w:lvl>
    <w:lvl w:ilvl="4" w:tplc="43687B9A" w:tentative="1">
      <w:start w:val="1"/>
      <w:numFmt w:val="bullet"/>
      <w:lvlText w:val="o"/>
      <w:lvlJc w:val="left"/>
      <w:pPr>
        <w:tabs>
          <w:tab w:val="num" w:pos="3600"/>
        </w:tabs>
        <w:ind w:left="3600" w:hanging="360"/>
      </w:pPr>
      <w:rPr>
        <w:rFonts w:ascii="Courier New" w:hAnsi="Courier New" w:hint="default"/>
      </w:rPr>
    </w:lvl>
    <w:lvl w:ilvl="5" w:tplc="51B4DCFA" w:tentative="1">
      <w:start w:val="1"/>
      <w:numFmt w:val="bullet"/>
      <w:lvlText w:val=""/>
      <w:lvlJc w:val="left"/>
      <w:pPr>
        <w:tabs>
          <w:tab w:val="num" w:pos="4320"/>
        </w:tabs>
        <w:ind w:left="4320" w:hanging="360"/>
      </w:pPr>
      <w:rPr>
        <w:rFonts w:ascii="Wingdings" w:hAnsi="Wingdings" w:hint="default"/>
      </w:rPr>
    </w:lvl>
    <w:lvl w:ilvl="6" w:tplc="FDFAFD6C" w:tentative="1">
      <w:start w:val="1"/>
      <w:numFmt w:val="bullet"/>
      <w:lvlText w:val=""/>
      <w:lvlJc w:val="left"/>
      <w:pPr>
        <w:tabs>
          <w:tab w:val="num" w:pos="5040"/>
        </w:tabs>
        <w:ind w:left="5040" w:hanging="360"/>
      </w:pPr>
      <w:rPr>
        <w:rFonts w:ascii="Symbol" w:hAnsi="Symbol" w:hint="default"/>
      </w:rPr>
    </w:lvl>
    <w:lvl w:ilvl="7" w:tplc="9DC4DEC4" w:tentative="1">
      <w:start w:val="1"/>
      <w:numFmt w:val="bullet"/>
      <w:lvlText w:val="o"/>
      <w:lvlJc w:val="left"/>
      <w:pPr>
        <w:tabs>
          <w:tab w:val="num" w:pos="5760"/>
        </w:tabs>
        <w:ind w:left="5760" w:hanging="360"/>
      </w:pPr>
      <w:rPr>
        <w:rFonts w:ascii="Courier New" w:hAnsi="Courier New" w:hint="default"/>
      </w:rPr>
    </w:lvl>
    <w:lvl w:ilvl="8" w:tplc="ABF8C38C" w:tentative="1">
      <w:start w:val="1"/>
      <w:numFmt w:val="bullet"/>
      <w:lvlText w:val=""/>
      <w:lvlJc w:val="left"/>
      <w:pPr>
        <w:tabs>
          <w:tab w:val="num" w:pos="6480"/>
        </w:tabs>
        <w:ind w:left="6480" w:hanging="360"/>
      </w:pPr>
      <w:rPr>
        <w:rFonts w:ascii="Wingdings" w:hAnsi="Wingdings" w:hint="default"/>
      </w:rPr>
    </w:lvl>
  </w:abstractNum>
  <w:abstractNum w:abstractNumId="28">
    <w:nsid w:val="47531147"/>
    <w:multiLevelType w:val="hybridMultilevel"/>
    <w:tmpl w:val="D5B06BB0"/>
    <w:lvl w:ilvl="0" w:tplc="C5B0958A">
      <w:start w:val="1"/>
      <w:numFmt w:val="bullet"/>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9">
    <w:nsid w:val="4A37775D"/>
    <w:multiLevelType w:val="multilevel"/>
    <w:tmpl w:val="35A6ABEE"/>
    <w:lvl w:ilvl="0">
      <w:start w:val="1"/>
      <w:numFmt w:val="lowerLetter"/>
      <w:lvlRestart w:val="0"/>
      <w:lvlText w:val="%1"/>
      <w:lvlJc w:val="left"/>
      <w:pPr>
        <w:tabs>
          <w:tab w:val="num" w:pos="170"/>
        </w:tabs>
      </w:pPr>
      <w:rPr>
        <w:rFonts w:ascii="Franklin Gothic Medium" w:hAnsi="Franklin Gothic Medium" w:cs="Times New Roman" w:hint="default"/>
        <w:b w:val="0"/>
        <w:i w:val="0"/>
        <w:color w:val="auto"/>
        <w:position w:val="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nsid w:val="4E95657E"/>
    <w:multiLevelType w:val="hybridMultilevel"/>
    <w:tmpl w:val="DFB22A66"/>
    <w:lvl w:ilvl="0" w:tplc="C9FA2C1E">
      <w:start w:val="1"/>
      <w:numFmt w:val="bullet"/>
      <w:pStyle w:val="Ratinggreen"/>
      <w:lvlText w:val=""/>
      <w:lvlJc w:val="left"/>
      <w:pPr>
        <w:tabs>
          <w:tab w:val="num" w:pos="567"/>
        </w:tabs>
        <w:ind w:left="567" w:hanging="567"/>
      </w:pPr>
      <w:rPr>
        <w:rFonts w:ascii="Wingdings" w:hAnsi="Wingdings" w:hint="default"/>
        <w:color w:val="99CC00"/>
        <w:spacing w:val="0"/>
        <w:position w:val="-2"/>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2B943C2"/>
    <w:multiLevelType w:val="hybridMultilevel"/>
    <w:tmpl w:val="43102CAC"/>
    <w:lvl w:ilvl="0" w:tplc="82A8EE62">
      <w:start w:val="1"/>
      <w:numFmt w:val="bullet"/>
      <w:lvlText w:val=""/>
      <w:lvlJc w:val="left"/>
      <w:pPr>
        <w:tabs>
          <w:tab w:val="num" w:pos="567"/>
        </w:tabs>
        <w:ind w:left="567" w:hanging="567"/>
      </w:pPr>
      <w:rPr>
        <w:rFonts w:ascii="Wingdings" w:hAnsi="Wingdings" w:hint="default"/>
        <w:color w:val="FF9900"/>
        <w:spacing w:val="0"/>
        <w:position w:val="-2"/>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3053A53"/>
    <w:multiLevelType w:val="hybridMultilevel"/>
    <w:tmpl w:val="8C74A7B6"/>
    <w:lvl w:ilvl="0" w:tplc="0C090001">
      <w:start w:val="1"/>
      <w:numFmt w:val="bullet"/>
      <w:lvlText w:val=""/>
      <w:lvlJc w:val="left"/>
      <w:pPr>
        <w:tabs>
          <w:tab w:val="num" w:pos="780"/>
        </w:tabs>
        <w:ind w:left="780" w:hanging="360"/>
      </w:pPr>
      <w:rPr>
        <w:rFonts w:ascii="Symbol" w:hAnsi="Symbol" w:hint="default"/>
      </w:rPr>
    </w:lvl>
    <w:lvl w:ilvl="1" w:tplc="A1E42D12">
      <w:start w:val="1"/>
      <w:numFmt w:val="bullet"/>
      <w:lvlText w:val=""/>
      <w:lvlJc w:val="left"/>
      <w:pPr>
        <w:tabs>
          <w:tab w:val="num" w:pos="1140"/>
        </w:tabs>
        <w:ind w:left="1428" w:hanging="288"/>
      </w:pPr>
      <w:rPr>
        <w:rFonts w:ascii="Symbol" w:hAnsi="Symbol" w:hint="default"/>
      </w:rPr>
    </w:lvl>
    <w:lvl w:ilvl="2" w:tplc="9BCC6E24">
      <w:numFmt w:val="bullet"/>
      <w:lvlText w:val="-"/>
      <w:lvlJc w:val="left"/>
      <w:pPr>
        <w:tabs>
          <w:tab w:val="num" w:pos="2220"/>
        </w:tabs>
        <w:ind w:left="2220" w:hanging="360"/>
      </w:pPr>
      <w:rPr>
        <w:rFonts w:ascii="Arial" w:eastAsia="Times New Roman" w:hAnsi="Arial"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nsid w:val="53692D64"/>
    <w:multiLevelType w:val="hybridMultilevel"/>
    <w:tmpl w:val="3544D402"/>
    <w:lvl w:ilvl="0" w:tplc="49BABBDA">
      <w:start w:val="1"/>
      <w:numFmt w:val="bullet"/>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598A5214"/>
    <w:multiLevelType w:val="hybridMultilevel"/>
    <w:tmpl w:val="0B5AC610"/>
    <w:lvl w:ilvl="0" w:tplc="13A28E04">
      <w:start w:val="1"/>
      <w:numFmt w:val="decimal"/>
      <w:lvlText w:val="%1."/>
      <w:lvlJc w:val="left"/>
      <w:pPr>
        <w:tabs>
          <w:tab w:val="num" w:pos="227"/>
        </w:tabs>
        <w:ind w:left="227" w:hanging="227"/>
      </w:pPr>
      <w:rPr>
        <w:rFonts w:cs="Times New Roman" w:hint="default"/>
      </w:rPr>
    </w:lvl>
    <w:lvl w:ilvl="1" w:tplc="937477CC" w:tentative="1">
      <w:start w:val="1"/>
      <w:numFmt w:val="lowerLetter"/>
      <w:lvlText w:val="%2."/>
      <w:lvlJc w:val="left"/>
      <w:pPr>
        <w:tabs>
          <w:tab w:val="num" w:pos="1440"/>
        </w:tabs>
        <w:ind w:left="1440" w:hanging="360"/>
      </w:pPr>
      <w:rPr>
        <w:rFonts w:cs="Times New Roman"/>
      </w:rPr>
    </w:lvl>
    <w:lvl w:ilvl="2" w:tplc="5406C3A8" w:tentative="1">
      <w:start w:val="1"/>
      <w:numFmt w:val="lowerRoman"/>
      <w:lvlText w:val="%3."/>
      <w:lvlJc w:val="right"/>
      <w:pPr>
        <w:tabs>
          <w:tab w:val="num" w:pos="2160"/>
        </w:tabs>
        <w:ind w:left="2160" w:hanging="180"/>
      </w:pPr>
      <w:rPr>
        <w:rFonts w:cs="Times New Roman"/>
      </w:rPr>
    </w:lvl>
    <w:lvl w:ilvl="3" w:tplc="99C0FCA2" w:tentative="1">
      <w:start w:val="1"/>
      <w:numFmt w:val="decimal"/>
      <w:lvlText w:val="%4."/>
      <w:lvlJc w:val="left"/>
      <w:pPr>
        <w:tabs>
          <w:tab w:val="num" w:pos="2880"/>
        </w:tabs>
        <w:ind w:left="2880" w:hanging="360"/>
      </w:pPr>
      <w:rPr>
        <w:rFonts w:cs="Times New Roman"/>
      </w:rPr>
    </w:lvl>
    <w:lvl w:ilvl="4" w:tplc="8432F5AA" w:tentative="1">
      <w:start w:val="1"/>
      <w:numFmt w:val="lowerLetter"/>
      <w:lvlText w:val="%5."/>
      <w:lvlJc w:val="left"/>
      <w:pPr>
        <w:tabs>
          <w:tab w:val="num" w:pos="3600"/>
        </w:tabs>
        <w:ind w:left="3600" w:hanging="360"/>
      </w:pPr>
      <w:rPr>
        <w:rFonts w:cs="Times New Roman"/>
      </w:rPr>
    </w:lvl>
    <w:lvl w:ilvl="5" w:tplc="443E5060" w:tentative="1">
      <w:start w:val="1"/>
      <w:numFmt w:val="lowerRoman"/>
      <w:lvlText w:val="%6."/>
      <w:lvlJc w:val="right"/>
      <w:pPr>
        <w:tabs>
          <w:tab w:val="num" w:pos="4320"/>
        </w:tabs>
        <w:ind w:left="4320" w:hanging="180"/>
      </w:pPr>
      <w:rPr>
        <w:rFonts w:cs="Times New Roman"/>
      </w:rPr>
    </w:lvl>
    <w:lvl w:ilvl="6" w:tplc="05FE5398" w:tentative="1">
      <w:start w:val="1"/>
      <w:numFmt w:val="decimal"/>
      <w:lvlText w:val="%7."/>
      <w:lvlJc w:val="left"/>
      <w:pPr>
        <w:tabs>
          <w:tab w:val="num" w:pos="5040"/>
        </w:tabs>
        <w:ind w:left="5040" w:hanging="360"/>
      </w:pPr>
      <w:rPr>
        <w:rFonts w:cs="Times New Roman"/>
      </w:rPr>
    </w:lvl>
    <w:lvl w:ilvl="7" w:tplc="7F102674" w:tentative="1">
      <w:start w:val="1"/>
      <w:numFmt w:val="lowerLetter"/>
      <w:lvlText w:val="%8."/>
      <w:lvlJc w:val="left"/>
      <w:pPr>
        <w:tabs>
          <w:tab w:val="num" w:pos="5760"/>
        </w:tabs>
        <w:ind w:left="5760" w:hanging="360"/>
      </w:pPr>
      <w:rPr>
        <w:rFonts w:cs="Times New Roman"/>
      </w:rPr>
    </w:lvl>
    <w:lvl w:ilvl="8" w:tplc="7E40BFFC" w:tentative="1">
      <w:start w:val="1"/>
      <w:numFmt w:val="lowerRoman"/>
      <w:lvlText w:val="%9."/>
      <w:lvlJc w:val="right"/>
      <w:pPr>
        <w:tabs>
          <w:tab w:val="num" w:pos="6480"/>
        </w:tabs>
        <w:ind w:left="6480" w:hanging="180"/>
      </w:pPr>
      <w:rPr>
        <w:rFonts w:cs="Times New Roman"/>
      </w:rPr>
    </w:lvl>
  </w:abstractNum>
  <w:abstractNum w:abstractNumId="35">
    <w:nsid w:val="611F3515"/>
    <w:multiLevelType w:val="hybridMultilevel"/>
    <w:tmpl w:val="5EB833CC"/>
    <w:lvl w:ilvl="0" w:tplc="855CB70C">
      <w:start w:val="1"/>
      <w:numFmt w:val="bullet"/>
      <w:pStyle w:val="Ratingamber"/>
      <w:lvlText w:val=""/>
      <w:lvlJc w:val="left"/>
      <w:pPr>
        <w:tabs>
          <w:tab w:val="num" w:pos="567"/>
        </w:tabs>
        <w:ind w:left="567" w:hanging="567"/>
      </w:pPr>
      <w:rPr>
        <w:rFonts w:ascii="Wingdings" w:hAnsi="Wingdings" w:hint="default"/>
        <w:color w:val="FF9900"/>
        <w:spacing w:val="0"/>
        <w:position w:val="-2"/>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DF24F6"/>
    <w:multiLevelType w:val="multilevel"/>
    <w:tmpl w:val="98F69C0A"/>
    <w:lvl w:ilvl="0">
      <w:start w:val="1"/>
      <w:numFmt w:val="bullet"/>
      <w:lvlText w:val="&gt;"/>
      <w:lvlJc w:val="left"/>
      <w:pPr>
        <w:tabs>
          <w:tab w:val="num" w:pos="284"/>
        </w:tabs>
        <w:ind w:left="284" w:hanging="284"/>
      </w:pPr>
      <w:rPr>
        <w:rFonts w:hint="default"/>
        <w:color w:val="auto"/>
        <w:position w:val="3"/>
        <w:sz w:val="19"/>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4F264CF"/>
    <w:multiLevelType w:val="multilevel"/>
    <w:tmpl w:val="8DF2FEE8"/>
    <w:lvl w:ilvl="0">
      <w:start w:val="1"/>
      <w:numFmt w:val="decimal"/>
      <w:pStyle w:val="Heading1"/>
      <w:lvlText w:val="%1"/>
      <w:lvlJc w:val="right"/>
      <w:pPr>
        <w:tabs>
          <w:tab w:val="num" w:pos="0"/>
        </w:tabs>
        <w:ind w:hanging="454"/>
      </w:pPr>
      <w:rPr>
        <w:rFonts w:cs="Times New Roman" w:hint="default"/>
        <w:b w:val="0"/>
        <w:i w:val="0"/>
        <w:color w:val="AD495D"/>
      </w:rPr>
    </w:lvl>
    <w:lvl w:ilvl="1">
      <w:start w:val="1"/>
      <w:numFmt w:val="decimal"/>
      <w:pStyle w:val="Heading2"/>
      <w:lvlText w:val="%1.%2"/>
      <w:lvlJc w:val="left"/>
      <w:pPr>
        <w:tabs>
          <w:tab w:val="num" w:pos="709"/>
        </w:tabs>
        <w:ind w:left="709" w:hanging="709"/>
      </w:pPr>
      <w:rPr>
        <w:rFonts w:cs="Times New Roman" w:hint="default"/>
      </w:rPr>
    </w:lvl>
    <w:lvl w:ilvl="2">
      <w:start w:val="1"/>
      <w:numFmt w:val="none"/>
      <w:lvlRestart w:val="0"/>
      <w:pStyle w:val="Heading3"/>
      <w:lvlText w:val=""/>
      <w:lvlJc w:val="left"/>
      <w:pPr>
        <w:tabs>
          <w:tab w:val="num" w:pos="0"/>
        </w:tabs>
      </w:pPr>
      <w:rPr>
        <w:rFonts w:cs="Times New Roman" w:hint="default"/>
      </w:rPr>
    </w:lvl>
    <w:lvl w:ilvl="3">
      <w:start w:val="1"/>
      <w:numFmt w:val="none"/>
      <w:lvlRestart w:val="0"/>
      <w:pStyle w:val="Heading4"/>
      <w:lvlText w:val=""/>
      <w:lvlJc w:val="left"/>
      <w:pPr>
        <w:tabs>
          <w:tab w:val="num" w:pos="0"/>
        </w:tabs>
      </w:pPr>
      <w:rPr>
        <w:rFonts w:cs="Times New Roman" w:hint="default"/>
      </w:rPr>
    </w:lvl>
    <w:lvl w:ilvl="4">
      <w:start w:val="1"/>
      <w:numFmt w:val="none"/>
      <w:pStyle w:val="Heading5"/>
      <w:suff w:val="nothing"/>
      <w:lvlText w:val=""/>
      <w:lvlJc w:val="left"/>
      <w:rPr>
        <w:rFonts w:cs="Times New Roman" w:hint="default"/>
      </w:rPr>
    </w:lvl>
    <w:lvl w:ilvl="5">
      <w:start w:val="1"/>
      <w:numFmt w:val="upperLetter"/>
      <w:lvlRestart w:val="0"/>
      <w:pStyle w:val="Heading6"/>
      <w:lvlText w:val="%6"/>
      <w:lvlJc w:val="left"/>
      <w:pPr>
        <w:tabs>
          <w:tab w:val="num" w:pos="709"/>
        </w:tabs>
      </w:pPr>
      <w:rPr>
        <w:rFonts w:ascii="Franklin Gothic Book" w:hAnsi="Franklin Gothic Book" w:cs="Times New Roman" w:hint="default"/>
        <w:b w:val="0"/>
        <w:i w:val="0"/>
        <w:caps w:val="0"/>
        <w:color w:val="AD495D"/>
        <w:position w:val="0"/>
        <w:sz w:val="50"/>
        <w:szCs w:val="50"/>
      </w:rPr>
    </w:lvl>
    <w:lvl w:ilvl="6">
      <w:start w:val="1"/>
      <w:numFmt w:val="none"/>
      <w:lvlRestart w:val="0"/>
      <w:pStyle w:val="Heading7"/>
      <w:lvlText w:val=""/>
      <w:lvlJc w:val="left"/>
      <w:pPr>
        <w:tabs>
          <w:tab w:val="num" w:pos="0"/>
        </w:tabs>
      </w:pPr>
      <w:rPr>
        <w:rFonts w:cs="Times New Roman" w:hint="default"/>
        <w:caps/>
        <w:sz w:val="22"/>
        <w:szCs w:val="22"/>
      </w:rPr>
    </w:lvl>
    <w:lvl w:ilvl="7">
      <w:start w:val="1"/>
      <w:numFmt w:val="none"/>
      <w:lvlRestart w:val="0"/>
      <w:pStyle w:val="Heading8"/>
      <w:suff w:val="nothing"/>
      <w:lvlText w:val=""/>
      <w:lvlJc w:val="left"/>
      <w:rPr>
        <w:rFonts w:cs="Times New Roman" w:hint="default"/>
      </w:rPr>
    </w:lvl>
    <w:lvl w:ilvl="8">
      <w:start w:val="1"/>
      <w:numFmt w:val="none"/>
      <w:lvlRestart w:val="0"/>
      <w:pStyle w:val="Heading9"/>
      <w:lvlText w:val=""/>
      <w:lvlJc w:val="left"/>
      <w:pPr>
        <w:tabs>
          <w:tab w:val="num" w:pos="0"/>
        </w:tabs>
      </w:pPr>
      <w:rPr>
        <w:rFonts w:cs="Times New Roman" w:hint="default"/>
      </w:rPr>
    </w:lvl>
  </w:abstractNum>
  <w:abstractNum w:abstractNumId="38">
    <w:nsid w:val="66C55035"/>
    <w:multiLevelType w:val="hybridMultilevel"/>
    <w:tmpl w:val="A0C89EE8"/>
    <w:lvl w:ilvl="0" w:tplc="D3782208">
      <w:start w:val="1"/>
      <w:numFmt w:val="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6D82AD9"/>
    <w:multiLevelType w:val="hybridMultilevel"/>
    <w:tmpl w:val="17C67C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6CF363E8"/>
    <w:multiLevelType w:val="hybridMultilevel"/>
    <w:tmpl w:val="3586B58E"/>
    <w:lvl w:ilvl="0" w:tplc="1A5E0752">
      <w:start w:val="1"/>
      <w:numFmt w:val="bullet"/>
      <w:lvlText w:val=""/>
      <w:lvlJc w:val="left"/>
      <w:pPr>
        <w:tabs>
          <w:tab w:val="num" w:pos="567"/>
        </w:tabs>
        <w:ind w:left="567" w:hanging="567"/>
      </w:pPr>
      <w:rPr>
        <w:rFonts w:ascii="Wingdings" w:hAnsi="Wingdings" w:hint="default"/>
        <w:color w:val="99CC00"/>
        <w:spacing w:val="0"/>
        <w:position w:val="-2"/>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286401F"/>
    <w:multiLevelType w:val="multilevel"/>
    <w:tmpl w:val="4C2A500C"/>
    <w:lvl w:ilvl="0">
      <w:start w:val="1"/>
      <w:numFmt w:val="decimal"/>
      <w:lvlText w:val="%1"/>
      <w:lvlJc w:val="left"/>
      <w:pPr>
        <w:tabs>
          <w:tab w:val="num" w:pos="357"/>
        </w:tabs>
        <w:ind w:left="357" w:hanging="357"/>
      </w:pPr>
      <w:rPr>
        <w:rFonts w:cs="Times New Roman" w:hint="default"/>
      </w:rPr>
    </w:lvl>
    <w:lvl w:ilvl="1">
      <w:start w:val="1"/>
      <w:numFmt w:val="decimal"/>
      <w:lvlText w:val="%2."/>
      <w:lvlJc w:val="left"/>
      <w:pPr>
        <w:tabs>
          <w:tab w:val="num" w:pos="357"/>
        </w:tabs>
        <w:ind w:left="357" w:hanging="357"/>
      </w:pPr>
      <w:rPr>
        <w:rFonts w:cs="Times New Roman" w:hint="default"/>
      </w:rPr>
    </w:lvl>
    <w:lvl w:ilvl="2">
      <w:start w:val="1"/>
      <w:numFmt w:val="decimal"/>
      <w:lvlText w:val="%2.%3"/>
      <w:lvlJc w:val="left"/>
      <w:pPr>
        <w:tabs>
          <w:tab w:val="num" w:pos="851"/>
        </w:tabs>
        <w:ind w:left="851" w:hanging="494"/>
      </w:pPr>
      <w:rPr>
        <w:rFonts w:ascii="Arial" w:hAnsi="Arial" w:cs="Times New Roman" w:hint="default"/>
        <w:b/>
        <w:i/>
        <w:sz w:val="22"/>
        <w:szCs w:val="22"/>
      </w:rPr>
    </w:lvl>
    <w:lvl w:ilvl="3">
      <w:start w:val="1"/>
      <w:numFmt w:val="lowerLetter"/>
      <w:lvlText w:val="%4."/>
      <w:lvlJc w:val="left"/>
      <w:pPr>
        <w:tabs>
          <w:tab w:val="num" w:pos="737"/>
        </w:tabs>
        <w:ind w:left="737" w:hanging="380"/>
      </w:pPr>
      <w:rPr>
        <w:rFonts w:cs="Times New Roman" w:hint="default"/>
      </w:rPr>
    </w:lvl>
    <w:lvl w:ilvl="4">
      <w:start w:val="1"/>
      <w:numFmt w:val="decimal"/>
      <w:lvlText w:val="%1.%2.%3.%4.%5"/>
      <w:lvlJc w:val="left"/>
      <w:pPr>
        <w:tabs>
          <w:tab w:val="num" w:pos="1080"/>
        </w:tabs>
        <w:ind w:left="1080" w:hanging="1008"/>
      </w:pPr>
      <w:rPr>
        <w:rFonts w:cs="Times New Roman" w:hint="default"/>
      </w:rPr>
    </w:lvl>
    <w:lvl w:ilvl="5">
      <w:start w:val="1"/>
      <w:numFmt w:val="decimal"/>
      <w:lvlText w:val="%1.%2.%3.%4.%5.%6"/>
      <w:lvlJc w:val="left"/>
      <w:pPr>
        <w:tabs>
          <w:tab w:val="num" w:pos="1224"/>
        </w:tabs>
        <w:ind w:left="1224" w:hanging="1152"/>
      </w:pPr>
      <w:rPr>
        <w:rFonts w:cs="Times New Roman" w:hint="default"/>
      </w:rPr>
    </w:lvl>
    <w:lvl w:ilvl="6">
      <w:start w:val="1"/>
      <w:numFmt w:val="decimal"/>
      <w:lvlText w:val="%1.%2.%3.%4.%5.%6.%7"/>
      <w:lvlJc w:val="left"/>
      <w:pPr>
        <w:tabs>
          <w:tab w:val="num" w:pos="1368"/>
        </w:tabs>
        <w:ind w:left="1368" w:hanging="1296"/>
      </w:pPr>
      <w:rPr>
        <w:rFonts w:cs="Times New Roman" w:hint="default"/>
      </w:rPr>
    </w:lvl>
    <w:lvl w:ilvl="7">
      <w:start w:val="1"/>
      <w:numFmt w:val="decimal"/>
      <w:lvlText w:val="%1.%2.%3.%4.%5.%6.%7.%8"/>
      <w:lvlJc w:val="left"/>
      <w:pPr>
        <w:tabs>
          <w:tab w:val="num" w:pos="1512"/>
        </w:tabs>
        <w:ind w:left="1512" w:hanging="1440"/>
      </w:pPr>
      <w:rPr>
        <w:rFonts w:cs="Times New Roman" w:hint="default"/>
      </w:rPr>
    </w:lvl>
    <w:lvl w:ilvl="8">
      <w:start w:val="1"/>
      <w:numFmt w:val="decimal"/>
      <w:lvlText w:val="%1.%2.%3.%4.%5.%6.%7.%8.%9"/>
      <w:lvlJc w:val="left"/>
      <w:pPr>
        <w:tabs>
          <w:tab w:val="num" w:pos="1656"/>
        </w:tabs>
        <w:ind w:left="1656" w:hanging="1584"/>
      </w:pPr>
      <w:rPr>
        <w:rFonts w:cs="Times New Roman" w:hint="default"/>
      </w:rPr>
    </w:lvl>
  </w:abstractNum>
  <w:abstractNum w:abstractNumId="42">
    <w:nsid w:val="73B35C69"/>
    <w:multiLevelType w:val="hybridMultilevel"/>
    <w:tmpl w:val="863056EC"/>
    <w:lvl w:ilvl="0" w:tplc="C58410FA">
      <w:start w:val="1"/>
      <w:numFmt w:val="bullet"/>
      <w:pStyle w:val="ListBullet2"/>
      <w:lvlText w:val="–"/>
      <w:lvlJc w:val="left"/>
      <w:pPr>
        <w:tabs>
          <w:tab w:val="num" w:pos="567"/>
        </w:tabs>
        <w:ind w:left="567" w:hanging="283"/>
      </w:pPr>
      <w:rPr>
        <w:rFonts w:hint="default"/>
        <w:color w:val="auto"/>
        <w:position w:val="3"/>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4868B9"/>
    <w:multiLevelType w:val="hybridMultilevel"/>
    <w:tmpl w:val="A02AF9EA"/>
    <w:lvl w:ilvl="0" w:tplc="F33CF392">
      <w:start w:val="1"/>
      <w:numFmt w:val="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9E1124E"/>
    <w:multiLevelType w:val="hybridMultilevel"/>
    <w:tmpl w:val="6D42E656"/>
    <w:lvl w:ilvl="0" w:tplc="514C5648">
      <w:start w:val="1"/>
      <w:numFmt w:val="lowerLetter"/>
      <w:lvlText w:val="%1."/>
      <w:lvlJc w:val="left"/>
      <w:pPr>
        <w:tabs>
          <w:tab w:val="num" w:pos="567"/>
        </w:tabs>
        <w:ind w:left="567" w:hanging="28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7A654B9A"/>
    <w:multiLevelType w:val="hybridMultilevel"/>
    <w:tmpl w:val="830CC5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7F47260D"/>
    <w:multiLevelType w:val="hybridMultilevel"/>
    <w:tmpl w:val="63EE053C"/>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F7A528B"/>
    <w:multiLevelType w:val="hybridMultilevel"/>
    <w:tmpl w:val="4ADC517C"/>
    <w:lvl w:ilvl="0" w:tplc="43A45700">
      <w:start w:val="1"/>
      <w:numFmt w:val="bullet"/>
      <w:lvlText w:val="&gt;"/>
      <w:lvlJc w:val="left"/>
      <w:pPr>
        <w:tabs>
          <w:tab w:val="num" w:pos="284"/>
        </w:tabs>
        <w:ind w:left="284" w:hanging="284"/>
      </w:pPr>
      <w:rPr>
        <w:rFonts w:hint="default"/>
        <w:color w:val="auto"/>
        <w:position w:val="3"/>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34"/>
  </w:num>
  <w:num w:numId="7">
    <w:abstractNumId w:val="44"/>
  </w:num>
  <w:num w:numId="8">
    <w:abstractNumId w:val="10"/>
  </w:num>
  <w:num w:numId="9">
    <w:abstractNumId w:val="14"/>
  </w:num>
  <w:num w:numId="10">
    <w:abstractNumId w:val="23"/>
  </w:num>
  <w:num w:numId="11">
    <w:abstractNumId w:val="33"/>
  </w:num>
  <w:num w:numId="12">
    <w:abstractNumId w:val="27"/>
  </w:num>
  <w:num w:numId="13">
    <w:abstractNumId w:val="22"/>
  </w:num>
  <w:num w:numId="14">
    <w:abstractNumId w:val="11"/>
  </w:num>
  <w:num w:numId="15">
    <w:abstractNumId w:val="47"/>
  </w:num>
  <w:num w:numId="16">
    <w:abstractNumId w:val="37"/>
  </w:num>
  <w:num w:numId="17">
    <w:abstractNumId w:val="38"/>
  </w:num>
  <w:num w:numId="18">
    <w:abstractNumId w:val="9"/>
  </w:num>
  <w:num w:numId="19">
    <w:abstractNumId w:val="29"/>
  </w:num>
  <w:num w:numId="20">
    <w:abstractNumId w:val="5"/>
  </w:num>
  <w:num w:numId="21">
    <w:abstractNumId w:val="31"/>
  </w:num>
  <w:num w:numId="22">
    <w:abstractNumId w:val="40"/>
  </w:num>
  <w:num w:numId="23">
    <w:abstractNumId w:val="15"/>
  </w:num>
  <w:num w:numId="24">
    <w:abstractNumId w:val="28"/>
  </w:num>
  <w:num w:numId="25">
    <w:abstractNumId w:val="19"/>
  </w:num>
  <w:num w:numId="26">
    <w:abstractNumId w:val="41"/>
  </w:num>
  <w:num w:numId="27">
    <w:abstractNumId w:val="43"/>
  </w:num>
  <w:num w:numId="28">
    <w:abstractNumId w:val="7"/>
  </w:num>
  <w:num w:numId="29">
    <w:abstractNumId w:val="1"/>
  </w:num>
  <w:num w:numId="30">
    <w:abstractNumId w:val="45"/>
  </w:num>
  <w:num w:numId="31">
    <w:abstractNumId w:val="16"/>
  </w:num>
  <w:num w:numId="32">
    <w:abstractNumId w:val="46"/>
  </w:num>
  <w:num w:numId="33">
    <w:abstractNumId w:val="12"/>
  </w:num>
  <w:num w:numId="34">
    <w:abstractNumId w:val="32"/>
  </w:num>
  <w:num w:numId="35">
    <w:abstractNumId w:val="39"/>
  </w:num>
  <w:num w:numId="36">
    <w:abstractNumId w:val="8"/>
  </w:num>
  <w:num w:numId="37">
    <w:abstractNumId w:val="6"/>
  </w:num>
  <w:num w:numId="38">
    <w:abstractNumId w:val="24"/>
  </w:num>
  <w:num w:numId="39">
    <w:abstractNumId w:val="25"/>
  </w:num>
  <w:num w:numId="40">
    <w:abstractNumId w:val="18"/>
  </w:num>
  <w:num w:numId="41">
    <w:abstractNumId w:val="42"/>
  </w:num>
  <w:num w:numId="42">
    <w:abstractNumId w:val="17"/>
  </w:num>
  <w:num w:numId="43">
    <w:abstractNumId w:val="30"/>
  </w:num>
  <w:num w:numId="44">
    <w:abstractNumId w:val="26"/>
  </w:num>
  <w:num w:numId="45">
    <w:abstractNumId w:val="36"/>
  </w:num>
  <w:num w:numId="46">
    <w:abstractNumId w:val="20"/>
  </w:num>
  <w:num w:numId="47">
    <w:abstractNumId w:val="35"/>
  </w:num>
  <w:num w:numId="48">
    <w:abstractNumId w:val="21"/>
  </w:num>
  <w:num w:numId="49">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evenAndOddHeaders/>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E26"/>
    <w:rsid w:val="00002939"/>
    <w:rsid w:val="00003AF4"/>
    <w:rsid w:val="00004368"/>
    <w:rsid w:val="00005AC5"/>
    <w:rsid w:val="00011299"/>
    <w:rsid w:val="00011550"/>
    <w:rsid w:val="0001170C"/>
    <w:rsid w:val="000129D7"/>
    <w:rsid w:val="0001356A"/>
    <w:rsid w:val="00015AAF"/>
    <w:rsid w:val="00015DBC"/>
    <w:rsid w:val="00016771"/>
    <w:rsid w:val="00016CBA"/>
    <w:rsid w:val="00017356"/>
    <w:rsid w:val="00017D33"/>
    <w:rsid w:val="00021207"/>
    <w:rsid w:val="0002235F"/>
    <w:rsid w:val="00022D41"/>
    <w:rsid w:val="000257E7"/>
    <w:rsid w:val="00026DAB"/>
    <w:rsid w:val="00030588"/>
    <w:rsid w:val="0003425B"/>
    <w:rsid w:val="00034B41"/>
    <w:rsid w:val="00034E45"/>
    <w:rsid w:val="00035E2A"/>
    <w:rsid w:val="00036E9D"/>
    <w:rsid w:val="00037673"/>
    <w:rsid w:val="000433AB"/>
    <w:rsid w:val="00044EDD"/>
    <w:rsid w:val="000452A6"/>
    <w:rsid w:val="0004636D"/>
    <w:rsid w:val="00046974"/>
    <w:rsid w:val="000513B2"/>
    <w:rsid w:val="00051526"/>
    <w:rsid w:val="00053D8A"/>
    <w:rsid w:val="00060932"/>
    <w:rsid w:val="00060A32"/>
    <w:rsid w:val="00061106"/>
    <w:rsid w:val="00061389"/>
    <w:rsid w:val="00063C90"/>
    <w:rsid w:val="000655EB"/>
    <w:rsid w:val="00065C12"/>
    <w:rsid w:val="00067F6E"/>
    <w:rsid w:val="00070BAE"/>
    <w:rsid w:val="00070F05"/>
    <w:rsid w:val="000722A1"/>
    <w:rsid w:val="0007343A"/>
    <w:rsid w:val="00074C9B"/>
    <w:rsid w:val="000756EB"/>
    <w:rsid w:val="00075C1B"/>
    <w:rsid w:val="00075E37"/>
    <w:rsid w:val="000766F0"/>
    <w:rsid w:val="00080563"/>
    <w:rsid w:val="000805B2"/>
    <w:rsid w:val="00082E97"/>
    <w:rsid w:val="000852E8"/>
    <w:rsid w:val="00085585"/>
    <w:rsid w:val="00085E50"/>
    <w:rsid w:val="00086164"/>
    <w:rsid w:val="000863C3"/>
    <w:rsid w:val="00090C8C"/>
    <w:rsid w:val="00092F37"/>
    <w:rsid w:val="00097A76"/>
    <w:rsid w:val="000A0794"/>
    <w:rsid w:val="000A3437"/>
    <w:rsid w:val="000A4433"/>
    <w:rsid w:val="000A5BCC"/>
    <w:rsid w:val="000A7400"/>
    <w:rsid w:val="000A7708"/>
    <w:rsid w:val="000B0232"/>
    <w:rsid w:val="000B13AB"/>
    <w:rsid w:val="000B146D"/>
    <w:rsid w:val="000B4054"/>
    <w:rsid w:val="000B41C2"/>
    <w:rsid w:val="000B56CF"/>
    <w:rsid w:val="000B5B55"/>
    <w:rsid w:val="000B6330"/>
    <w:rsid w:val="000B67EA"/>
    <w:rsid w:val="000B7FF7"/>
    <w:rsid w:val="000C0125"/>
    <w:rsid w:val="000C0807"/>
    <w:rsid w:val="000C0D83"/>
    <w:rsid w:val="000C1E7E"/>
    <w:rsid w:val="000C302A"/>
    <w:rsid w:val="000C5DE1"/>
    <w:rsid w:val="000C72E4"/>
    <w:rsid w:val="000C740E"/>
    <w:rsid w:val="000D074E"/>
    <w:rsid w:val="000D1B1A"/>
    <w:rsid w:val="000D32D5"/>
    <w:rsid w:val="000D444F"/>
    <w:rsid w:val="000E0333"/>
    <w:rsid w:val="000E0338"/>
    <w:rsid w:val="000E2E8A"/>
    <w:rsid w:val="000E595E"/>
    <w:rsid w:val="000E5C21"/>
    <w:rsid w:val="000F0223"/>
    <w:rsid w:val="000F2ED3"/>
    <w:rsid w:val="000F4E93"/>
    <w:rsid w:val="000F7CB4"/>
    <w:rsid w:val="000F7DB9"/>
    <w:rsid w:val="000F7EBB"/>
    <w:rsid w:val="001020A5"/>
    <w:rsid w:val="00104CCC"/>
    <w:rsid w:val="00106330"/>
    <w:rsid w:val="00110E55"/>
    <w:rsid w:val="00115A8C"/>
    <w:rsid w:val="00115D91"/>
    <w:rsid w:val="001204E2"/>
    <w:rsid w:val="001250BF"/>
    <w:rsid w:val="001260C2"/>
    <w:rsid w:val="00127B7F"/>
    <w:rsid w:val="00130995"/>
    <w:rsid w:val="00132E41"/>
    <w:rsid w:val="001360A4"/>
    <w:rsid w:val="00136E47"/>
    <w:rsid w:val="00136FF9"/>
    <w:rsid w:val="00137BA1"/>
    <w:rsid w:val="0014049B"/>
    <w:rsid w:val="00141818"/>
    <w:rsid w:val="00142912"/>
    <w:rsid w:val="00143525"/>
    <w:rsid w:val="001436A7"/>
    <w:rsid w:val="00144611"/>
    <w:rsid w:val="0014787F"/>
    <w:rsid w:val="00152D98"/>
    <w:rsid w:val="001564B4"/>
    <w:rsid w:val="00156521"/>
    <w:rsid w:val="00157029"/>
    <w:rsid w:val="001644AA"/>
    <w:rsid w:val="00164FDD"/>
    <w:rsid w:val="00165C4D"/>
    <w:rsid w:val="00166BA7"/>
    <w:rsid w:val="00166BE1"/>
    <w:rsid w:val="001674A3"/>
    <w:rsid w:val="0016766A"/>
    <w:rsid w:val="001702D7"/>
    <w:rsid w:val="001707ED"/>
    <w:rsid w:val="00170A6E"/>
    <w:rsid w:val="00170B04"/>
    <w:rsid w:val="00172093"/>
    <w:rsid w:val="0017313D"/>
    <w:rsid w:val="001756DD"/>
    <w:rsid w:val="00175CFE"/>
    <w:rsid w:val="00176846"/>
    <w:rsid w:val="001772C7"/>
    <w:rsid w:val="00177AE1"/>
    <w:rsid w:val="00180E63"/>
    <w:rsid w:val="00180EC6"/>
    <w:rsid w:val="00182E7D"/>
    <w:rsid w:val="001840DC"/>
    <w:rsid w:val="00184C6E"/>
    <w:rsid w:val="00187D56"/>
    <w:rsid w:val="00191C15"/>
    <w:rsid w:val="00193384"/>
    <w:rsid w:val="001957F2"/>
    <w:rsid w:val="001960A1"/>
    <w:rsid w:val="0019627A"/>
    <w:rsid w:val="00197485"/>
    <w:rsid w:val="001A02D3"/>
    <w:rsid w:val="001A157D"/>
    <w:rsid w:val="001A1D07"/>
    <w:rsid w:val="001A4314"/>
    <w:rsid w:val="001A4CB0"/>
    <w:rsid w:val="001A4F3D"/>
    <w:rsid w:val="001A64D6"/>
    <w:rsid w:val="001A676A"/>
    <w:rsid w:val="001A7274"/>
    <w:rsid w:val="001A76CD"/>
    <w:rsid w:val="001A7A00"/>
    <w:rsid w:val="001B0BC3"/>
    <w:rsid w:val="001B1559"/>
    <w:rsid w:val="001B3A25"/>
    <w:rsid w:val="001B3C43"/>
    <w:rsid w:val="001B40B6"/>
    <w:rsid w:val="001B417D"/>
    <w:rsid w:val="001B52FA"/>
    <w:rsid w:val="001B7441"/>
    <w:rsid w:val="001B7D36"/>
    <w:rsid w:val="001C1650"/>
    <w:rsid w:val="001C18A5"/>
    <w:rsid w:val="001C1D88"/>
    <w:rsid w:val="001C44DF"/>
    <w:rsid w:val="001C54D5"/>
    <w:rsid w:val="001C557B"/>
    <w:rsid w:val="001C68A6"/>
    <w:rsid w:val="001C6CD8"/>
    <w:rsid w:val="001C6E25"/>
    <w:rsid w:val="001D0D54"/>
    <w:rsid w:val="001D0D75"/>
    <w:rsid w:val="001D24B1"/>
    <w:rsid w:val="001D2D04"/>
    <w:rsid w:val="001D5233"/>
    <w:rsid w:val="001D65A4"/>
    <w:rsid w:val="001D6E9A"/>
    <w:rsid w:val="001E3D04"/>
    <w:rsid w:val="001E521E"/>
    <w:rsid w:val="001E5458"/>
    <w:rsid w:val="001E61C0"/>
    <w:rsid w:val="001E77A7"/>
    <w:rsid w:val="001F0078"/>
    <w:rsid w:val="001F0E53"/>
    <w:rsid w:val="001F0E62"/>
    <w:rsid w:val="001F1365"/>
    <w:rsid w:val="001F353B"/>
    <w:rsid w:val="001F39C9"/>
    <w:rsid w:val="001F4641"/>
    <w:rsid w:val="001F4CD3"/>
    <w:rsid w:val="001F4E51"/>
    <w:rsid w:val="001F5AA9"/>
    <w:rsid w:val="002030AA"/>
    <w:rsid w:val="00203160"/>
    <w:rsid w:val="00205AA6"/>
    <w:rsid w:val="00210055"/>
    <w:rsid w:val="0021017E"/>
    <w:rsid w:val="00212975"/>
    <w:rsid w:val="00213176"/>
    <w:rsid w:val="00214C9D"/>
    <w:rsid w:val="002178C9"/>
    <w:rsid w:val="00226029"/>
    <w:rsid w:val="00226880"/>
    <w:rsid w:val="0022688E"/>
    <w:rsid w:val="002274D0"/>
    <w:rsid w:val="00227D6B"/>
    <w:rsid w:val="00230F10"/>
    <w:rsid w:val="002315D1"/>
    <w:rsid w:val="00231CB6"/>
    <w:rsid w:val="00232097"/>
    <w:rsid w:val="00233570"/>
    <w:rsid w:val="00233D7A"/>
    <w:rsid w:val="00234583"/>
    <w:rsid w:val="00234D37"/>
    <w:rsid w:val="00235C71"/>
    <w:rsid w:val="00236C53"/>
    <w:rsid w:val="00237451"/>
    <w:rsid w:val="00243468"/>
    <w:rsid w:val="0024348E"/>
    <w:rsid w:val="00244F96"/>
    <w:rsid w:val="0024542D"/>
    <w:rsid w:val="00245DEE"/>
    <w:rsid w:val="0024630C"/>
    <w:rsid w:val="00247462"/>
    <w:rsid w:val="00247C6E"/>
    <w:rsid w:val="002500CE"/>
    <w:rsid w:val="002505BE"/>
    <w:rsid w:val="002507B1"/>
    <w:rsid w:val="00250D70"/>
    <w:rsid w:val="002515F6"/>
    <w:rsid w:val="00253AE6"/>
    <w:rsid w:val="00254BB9"/>
    <w:rsid w:val="00254E51"/>
    <w:rsid w:val="00257199"/>
    <w:rsid w:val="00257934"/>
    <w:rsid w:val="002600C7"/>
    <w:rsid w:val="00260C30"/>
    <w:rsid w:val="00260CE2"/>
    <w:rsid w:val="0026347A"/>
    <w:rsid w:val="00263B78"/>
    <w:rsid w:val="002647FF"/>
    <w:rsid w:val="00266A89"/>
    <w:rsid w:val="00266B56"/>
    <w:rsid w:val="00266C05"/>
    <w:rsid w:val="002702DD"/>
    <w:rsid w:val="00272699"/>
    <w:rsid w:val="00272842"/>
    <w:rsid w:val="00273FC0"/>
    <w:rsid w:val="0027441E"/>
    <w:rsid w:val="0027483C"/>
    <w:rsid w:val="00276D74"/>
    <w:rsid w:val="00281CB8"/>
    <w:rsid w:val="00281D52"/>
    <w:rsid w:val="002820D7"/>
    <w:rsid w:val="00282A58"/>
    <w:rsid w:val="00282E26"/>
    <w:rsid w:val="00286E03"/>
    <w:rsid w:val="00287F57"/>
    <w:rsid w:val="00291B3A"/>
    <w:rsid w:val="00292656"/>
    <w:rsid w:val="00292C3C"/>
    <w:rsid w:val="00294AA6"/>
    <w:rsid w:val="00294D4C"/>
    <w:rsid w:val="0029573D"/>
    <w:rsid w:val="00295EBC"/>
    <w:rsid w:val="00296270"/>
    <w:rsid w:val="00297DF9"/>
    <w:rsid w:val="002A1D2F"/>
    <w:rsid w:val="002A2305"/>
    <w:rsid w:val="002A477C"/>
    <w:rsid w:val="002A48D5"/>
    <w:rsid w:val="002A4BB1"/>
    <w:rsid w:val="002A4CDC"/>
    <w:rsid w:val="002A535D"/>
    <w:rsid w:val="002A561C"/>
    <w:rsid w:val="002A6C13"/>
    <w:rsid w:val="002A6CE4"/>
    <w:rsid w:val="002A6F1C"/>
    <w:rsid w:val="002A7C12"/>
    <w:rsid w:val="002B02EA"/>
    <w:rsid w:val="002B07F6"/>
    <w:rsid w:val="002B3053"/>
    <w:rsid w:val="002B33AD"/>
    <w:rsid w:val="002B3E15"/>
    <w:rsid w:val="002C018F"/>
    <w:rsid w:val="002C0F44"/>
    <w:rsid w:val="002C159E"/>
    <w:rsid w:val="002C23D1"/>
    <w:rsid w:val="002C257C"/>
    <w:rsid w:val="002C7822"/>
    <w:rsid w:val="002C79E4"/>
    <w:rsid w:val="002D2924"/>
    <w:rsid w:val="002D33A4"/>
    <w:rsid w:val="002D468F"/>
    <w:rsid w:val="002D5DED"/>
    <w:rsid w:val="002D657C"/>
    <w:rsid w:val="002D6E19"/>
    <w:rsid w:val="002D7A0A"/>
    <w:rsid w:val="002E000E"/>
    <w:rsid w:val="002E1AC2"/>
    <w:rsid w:val="002E2CDD"/>
    <w:rsid w:val="002E3C2E"/>
    <w:rsid w:val="002E499B"/>
    <w:rsid w:val="002E7F6A"/>
    <w:rsid w:val="002F056E"/>
    <w:rsid w:val="002F36D2"/>
    <w:rsid w:val="002F3C1A"/>
    <w:rsid w:val="002F3E97"/>
    <w:rsid w:val="002F489A"/>
    <w:rsid w:val="003023FD"/>
    <w:rsid w:val="0030414F"/>
    <w:rsid w:val="00305213"/>
    <w:rsid w:val="00307A06"/>
    <w:rsid w:val="0031131B"/>
    <w:rsid w:val="00311EA9"/>
    <w:rsid w:val="00312B95"/>
    <w:rsid w:val="00312E50"/>
    <w:rsid w:val="00313716"/>
    <w:rsid w:val="003147DD"/>
    <w:rsid w:val="00315D84"/>
    <w:rsid w:val="00321C81"/>
    <w:rsid w:val="003225AB"/>
    <w:rsid w:val="00323965"/>
    <w:rsid w:val="003261C8"/>
    <w:rsid w:val="00330A76"/>
    <w:rsid w:val="00330D74"/>
    <w:rsid w:val="00332945"/>
    <w:rsid w:val="00333127"/>
    <w:rsid w:val="003360B5"/>
    <w:rsid w:val="003368B5"/>
    <w:rsid w:val="003369D5"/>
    <w:rsid w:val="00336E0A"/>
    <w:rsid w:val="00336FAC"/>
    <w:rsid w:val="00337AAE"/>
    <w:rsid w:val="003405D1"/>
    <w:rsid w:val="00345C2F"/>
    <w:rsid w:val="00347D10"/>
    <w:rsid w:val="00347E04"/>
    <w:rsid w:val="00351AF7"/>
    <w:rsid w:val="003522B0"/>
    <w:rsid w:val="00352A66"/>
    <w:rsid w:val="00352BDF"/>
    <w:rsid w:val="003557A9"/>
    <w:rsid w:val="0035655A"/>
    <w:rsid w:val="00357879"/>
    <w:rsid w:val="0036037E"/>
    <w:rsid w:val="0036152B"/>
    <w:rsid w:val="00362300"/>
    <w:rsid w:val="00362945"/>
    <w:rsid w:val="00363DA6"/>
    <w:rsid w:val="003643A3"/>
    <w:rsid w:val="00364555"/>
    <w:rsid w:val="0036493C"/>
    <w:rsid w:val="00365BED"/>
    <w:rsid w:val="00365ECE"/>
    <w:rsid w:val="00366135"/>
    <w:rsid w:val="0037000D"/>
    <w:rsid w:val="00370F7C"/>
    <w:rsid w:val="00372C90"/>
    <w:rsid w:val="00373509"/>
    <w:rsid w:val="003806E3"/>
    <w:rsid w:val="003813B0"/>
    <w:rsid w:val="00381894"/>
    <w:rsid w:val="003852FD"/>
    <w:rsid w:val="003864C0"/>
    <w:rsid w:val="00386714"/>
    <w:rsid w:val="00386D59"/>
    <w:rsid w:val="003870E2"/>
    <w:rsid w:val="003908F2"/>
    <w:rsid w:val="00392089"/>
    <w:rsid w:val="00393334"/>
    <w:rsid w:val="00393C49"/>
    <w:rsid w:val="00395037"/>
    <w:rsid w:val="003950F3"/>
    <w:rsid w:val="00396AAB"/>
    <w:rsid w:val="00396E51"/>
    <w:rsid w:val="00396FEE"/>
    <w:rsid w:val="00397842"/>
    <w:rsid w:val="003A12E4"/>
    <w:rsid w:val="003A1A4E"/>
    <w:rsid w:val="003A2AFB"/>
    <w:rsid w:val="003A3CCE"/>
    <w:rsid w:val="003A3E3B"/>
    <w:rsid w:val="003A437D"/>
    <w:rsid w:val="003A5957"/>
    <w:rsid w:val="003A5F6E"/>
    <w:rsid w:val="003B0602"/>
    <w:rsid w:val="003B3280"/>
    <w:rsid w:val="003B3833"/>
    <w:rsid w:val="003B3AC9"/>
    <w:rsid w:val="003B5B3A"/>
    <w:rsid w:val="003B669E"/>
    <w:rsid w:val="003C2C97"/>
    <w:rsid w:val="003C35E7"/>
    <w:rsid w:val="003D2241"/>
    <w:rsid w:val="003D277A"/>
    <w:rsid w:val="003D2D8D"/>
    <w:rsid w:val="003D3401"/>
    <w:rsid w:val="003D41D9"/>
    <w:rsid w:val="003D7C66"/>
    <w:rsid w:val="003D7E9A"/>
    <w:rsid w:val="003E15BE"/>
    <w:rsid w:val="003E2C33"/>
    <w:rsid w:val="003E4703"/>
    <w:rsid w:val="003E4E42"/>
    <w:rsid w:val="003E6A24"/>
    <w:rsid w:val="003E74A4"/>
    <w:rsid w:val="003F0648"/>
    <w:rsid w:val="003F159A"/>
    <w:rsid w:val="003F23B0"/>
    <w:rsid w:val="003F291D"/>
    <w:rsid w:val="003F4406"/>
    <w:rsid w:val="003F550B"/>
    <w:rsid w:val="003F6535"/>
    <w:rsid w:val="003F76E8"/>
    <w:rsid w:val="003F7DFD"/>
    <w:rsid w:val="00403AA2"/>
    <w:rsid w:val="00403EC1"/>
    <w:rsid w:val="00404981"/>
    <w:rsid w:val="00404EA8"/>
    <w:rsid w:val="004069E3"/>
    <w:rsid w:val="00407CFC"/>
    <w:rsid w:val="00410D4E"/>
    <w:rsid w:val="00411191"/>
    <w:rsid w:val="004115CE"/>
    <w:rsid w:val="00412989"/>
    <w:rsid w:val="004131F2"/>
    <w:rsid w:val="004141B9"/>
    <w:rsid w:val="00414418"/>
    <w:rsid w:val="004146C9"/>
    <w:rsid w:val="00416765"/>
    <w:rsid w:val="00420072"/>
    <w:rsid w:val="00422524"/>
    <w:rsid w:val="00422662"/>
    <w:rsid w:val="004229B0"/>
    <w:rsid w:val="00425388"/>
    <w:rsid w:val="00427DB3"/>
    <w:rsid w:val="0043018B"/>
    <w:rsid w:val="00431A12"/>
    <w:rsid w:val="00432FB6"/>
    <w:rsid w:val="00433FEB"/>
    <w:rsid w:val="00435620"/>
    <w:rsid w:val="0043622D"/>
    <w:rsid w:val="00442BE6"/>
    <w:rsid w:val="0044417D"/>
    <w:rsid w:val="0044452B"/>
    <w:rsid w:val="00445908"/>
    <w:rsid w:val="00446BFE"/>
    <w:rsid w:val="00447F42"/>
    <w:rsid w:val="0045116A"/>
    <w:rsid w:val="00451E60"/>
    <w:rsid w:val="00452E9D"/>
    <w:rsid w:val="004530AC"/>
    <w:rsid w:val="00453B11"/>
    <w:rsid w:val="00453EB3"/>
    <w:rsid w:val="00454368"/>
    <w:rsid w:val="004547C0"/>
    <w:rsid w:val="00454AE8"/>
    <w:rsid w:val="00456D32"/>
    <w:rsid w:val="0045720E"/>
    <w:rsid w:val="00457853"/>
    <w:rsid w:val="00457902"/>
    <w:rsid w:val="00460B25"/>
    <w:rsid w:val="00461AD2"/>
    <w:rsid w:val="00462797"/>
    <w:rsid w:val="00462CA3"/>
    <w:rsid w:val="00464228"/>
    <w:rsid w:val="004664D0"/>
    <w:rsid w:val="00467537"/>
    <w:rsid w:val="00471026"/>
    <w:rsid w:val="004732C0"/>
    <w:rsid w:val="00474394"/>
    <w:rsid w:val="004744D3"/>
    <w:rsid w:val="00475EFF"/>
    <w:rsid w:val="0047786B"/>
    <w:rsid w:val="0048115F"/>
    <w:rsid w:val="004822A1"/>
    <w:rsid w:val="0048268F"/>
    <w:rsid w:val="00482EF4"/>
    <w:rsid w:val="00483DD5"/>
    <w:rsid w:val="004845F1"/>
    <w:rsid w:val="00484BC2"/>
    <w:rsid w:val="00486E8C"/>
    <w:rsid w:val="004872E3"/>
    <w:rsid w:val="00487630"/>
    <w:rsid w:val="004900C1"/>
    <w:rsid w:val="00490743"/>
    <w:rsid w:val="00491178"/>
    <w:rsid w:val="00492FC4"/>
    <w:rsid w:val="00494CD3"/>
    <w:rsid w:val="00494FB3"/>
    <w:rsid w:val="00495EF4"/>
    <w:rsid w:val="00496DF9"/>
    <w:rsid w:val="00496FFE"/>
    <w:rsid w:val="004971A6"/>
    <w:rsid w:val="00497240"/>
    <w:rsid w:val="004A0B5E"/>
    <w:rsid w:val="004A154E"/>
    <w:rsid w:val="004A2EFC"/>
    <w:rsid w:val="004A472E"/>
    <w:rsid w:val="004B0361"/>
    <w:rsid w:val="004B11BC"/>
    <w:rsid w:val="004B3904"/>
    <w:rsid w:val="004B4915"/>
    <w:rsid w:val="004B506A"/>
    <w:rsid w:val="004B7492"/>
    <w:rsid w:val="004B7C61"/>
    <w:rsid w:val="004C0E63"/>
    <w:rsid w:val="004C2F15"/>
    <w:rsid w:val="004C3546"/>
    <w:rsid w:val="004C3568"/>
    <w:rsid w:val="004C4638"/>
    <w:rsid w:val="004C60B8"/>
    <w:rsid w:val="004D18D0"/>
    <w:rsid w:val="004D2889"/>
    <w:rsid w:val="004D4369"/>
    <w:rsid w:val="004D5771"/>
    <w:rsid w:val="004D79AD"/>
    <w:rsid w:val="004E11EA"/>
    <w:rsid w:val="004E493E"/>
    <w:rsid w:val="004E5341"/>
    <w:rsid w:val="004E63CC"/>
    <w:rsid w:val="004F0328"/>
    <w:rsid w:val="004F096E"/>
    <w:rsid w:val="004F0BE2"/>
    <w:rsid w:val="004F1099"/>
    <w:rsid w:val="004F1247"/>
    <w:rsid w:val="004F256B"/>
    <w:rsid w:val="004F75A1"/>
    <w:rsid w:val="004F79BD"/>
    <w:rsid w:val="00502E98"/>
    <w:rsid w:val="005031B6"/>
    <w:rsid w:val="00506BC4"/>
    <w:rsid w:val="00506E8C"/>
    <w:rsid w:val="00507A63"/>
    <w:rsid w:val="00507D05"/>
    <w:rsid w:val="00513602"/>
    <w:rsid w:val="005157A6"/>
    <w:rsid w:val="005233C4"/>
    <w:rsid w:val="00531479"/>
    <w:rsid w:val="005343DE"/>
    <w:rsid w:val="005348EF"/>
    <w:rsid w:val="005351E9"/>
    <w:rsid w:val="005353FE"/>
    <w:rsid w:val="005363D4"/>
    <w:rsid w:val="005374AC"/>
    <w:rsid w:val="00545090"/>
    <w:rsid w:val="005505ED"/>
    <w:rsid w:val="005510FE"/>
    <w:rsid w:val="00556B35"/>
    <w:rsid w:val="00561050"/>
    <w:rsid w:val="00561581"/>
    <w:rsid w:val="00561EE2"/>
    <w:rsid w:val="005631AD"/>
    <w:rsid w:val="005639EA"/>
    <w:rsid w:val="005667D5"/>
    <w:rsid w:val="005716D5"/>
    <w:rsid w:val="005722A1"/>
    <w:rsid w:val="00572319"/>
    <w:rsid w:val="00572841"/>
    <w:rsid w:val="00575350"/>
    <w:rsid w:val="00575F64"/>
    <w:rsid w:val="00580DC4"/>
    <w:rsid w:val="00584BB1"/>
    <w:rsid w:val="00585433"/>
    <w:rsid w:val="005879C7"/>
    <w:rsid w:val="005900F7"/>
    <w:rsid w:val="005910A3"/>
    <w:rsid w:val="00591DD6"/>
    <w:rsid w:val="00591E4B"/>
    <w:rsid w:val="005925E4"/>
    <w:rsid w:val="00592A83"/>
    <w:rsid w:val="00593B07"/>
    <w:rsid w:val="00593E3E"/>
    <w:rsid w:val="005942EA"/>
    <w:rsid w:val="005943A7"/>
    <w:rsid w:val="00595EB1"/>
    <w:rsid w:val="00596832"/>
    <w:rsid w:val="005A1052"/>
    <w:rsid w:val="005A341D"/>
    <w:rsid w:val="005A36EC"/>
    <w:rsid w:val="005A3FE0"/>
    <w:rsid w:val="005A4A88"/>
    <w:rsid w:val="005B1DF4"/>
    <w:rsid w:val="005B2981"/>
    <w:rsid w:val="005B7710"/>
    <w:rsid w:val="005C206D"/>
    <w:rsid w:val="005C2C17"/>
    <w:rsid w:val="005C349D"/>
    <w:rsid w:val="005C4005"/>
    <w:rsid w:val="005C4BD3"/>
    <w:rsid w:val="005C6FD6"/>
    <w:rsid w:val="005D00B1"/>
    <w:rsid w:val="005D0AF9"/>
    <w:rsid w:val="005D1E18"/>
    <w:rsid w:val="005D244B"/>
    <w:rsid w:val="005D2B37"/>
    <w:rsid w:val="005D4715"/>
    <w:rsid w:val="005D6E0D"/>
    <w:rsid w:val="005E0A0B"/>
    <w:rsid w:val="005E1812"/>
    <w:rsid w:val="005E1AF2"/>
    <w:rsid w:val="005E1D7A"/>
    <w:rsid w:val="005E2411"/>
    <w:rsid w:val="005E344F"/>
    <w:rsid w:val="005E3CEF"/>
    <w:rsid w:val="005E51D2"/>
    <w:rsid w:val="005E61AC"/>
    <w:rsid w:val="005E725C"/>
    <w:rsid w:val="005F168A"/>
    <w:rsid w:val="005F177B"/>
    <w:rsid w:val="005F1840"/>
    <w:rsid w:val="005F218A"/>
    <w:rsid w:val="005F2F06"/>
    <w:rsid w:val="005F5193"/>
    <w:rsid w:val="005F56E1"/>
    <w:rsid w:val="005F5738"/>
    <w:rsid w:val="005F5C10"/>
    <w:rsid w:val="005F710E"/>
    <w:rsid w:val="005F7879"/>
    <w:rsid w:val="006007F6"/>
    <w:rsid w:val="00600A18"/>
    <w:rsid w:val="00601D94"/>
    <w:rsid w:val="00602D21"/>
    <w:rsid w:val="00604147"/>
    <w:rsid w:val="00605815"/>
    <w:rsid w:val="00605C82"/>
    <w:rsid w:val="0060617B"/>
    <w:rsid w:val="00614A27"/>
    <w:rsid w:val="00615247"/>
    <w:rsid w:val="006155FC"/>
    <w:rsid w:val="00615695"/>
    <w:rsid w:val="00615C71"/>
    <w:rsid w:val="006203BD"/>
    <w:rsid w:val="0062059B"/>
    <w:rsid w:val="00622DF5"/>
    <w:rsid w:val="00624C5C"/>
    <w:rsid w:val="00624E39"/>
    <w:rsid w:val="00627E76"/>
    <w:rsid w:val="006323A6"/>
    <w:rsid w:val="00632B1F"/>
    <w:rsid w:val="00635A99"/>
    <w:rsid w:val="00636A86"/>
    <w:rsid w:val="00636AE8"/>
    <w:rsid w:val="00637369"/>
    <w:rsid w:val="00637C95"/>
    <w:rsid w:val="00644929"/>
    <w:rsid w:val="00645987"/>
    <w:rsid w:val="00646D98"/>
    <w:rsid w:val="0065046E"/>
    <w:rsid w:val="006504A5"/>
    <w:rsid w:val="006504EE"/>
    <w:rsid w:val="00650B00"/>
    <w:rsid w:val="0065259E"/>
    <w:rsid w:val="0065282A"/>
    <w:rsid w:val="006536A9"/>
    <w:rsid w:val="0065441E"/>
    <w:rsid w:val="00657C61"/>
    <w:rsid w:val="00657CB6"/>
    <w:rsid w:val="00657E00"/>
    <w:rsid w:val="006625B4"/>
    <w:rsid w:val="006640FE"/>
    <w:rsid w:val="006704C2"/>
    <w:rsid w:val="00670CB1"/>
    <w:rsid w:val="00671255"/>
    <w:rsid w:val="0067168C"/>
    <w:rsid w:val="00671A3F"/>
    <w:rsid w:val="00672BEE"/>
    <w:rsid w:val="0067448D"/>
    <w:rsid w:val="006762E5"/>
    <w:rsid w:val="006764C8"/>
    <w:rsid w:val="006777A0"/>
    <w:rsid w:val="006813C8"/>
    <w:rsid w:val="00681A3E"/>
    <w:rsid w:val="00682A07"/>
    <w:rsid w:val="00683B97"/>
    <w:rsid w:val="00683CCF"/>
    <w:rsid w:val="00683DC7"/>
    <w:rsid w:val="00683E06"/>
    <w:rsid w:val="006845F4"/>
    <w:rsid w:val="0068568E"/>
    <w:rsid w:val="00685B51"/>
    <w:rsid w:val="0069068B"/>
    <w:rsid w:val="00692BDF"/>
    <w:rsid w:val="00693007"/>
    <w:rsid w:val="006931D5"/>
    <w:rsid w:val="00694103"/>
    <w:rsid w:val="00696454"/>
    <w:rsid w:val="006971F2"/>
    <w:rsid w:val="006974FC"/>
    <w:rsid w:val="006A0482"/>
    <w:rsid w:val="006A13BF"/>
    <w:rsid w:val="006A4F5F"/>
    <w:rsid w:val="006A53F6"/>
    <w:rsid w:val="006B477D"/>
    <w:rsid w:val="006B7C24"/>
    <w:rsid w:val="006B7CF9"/>
    <w:rsid w:val="006C0139"/>
    <w:rsid w:val="006C0478"/>
    <w:rsid w:val="006C111C"/>
    <w:rsid w:val="006C1AEE"/>
    <w:rsid w:val="006C27E2"/>
    <w:rsid w:val="006C3927"/>
    <w:rsid w:val="006C4AB7"/>
    <w:rsid w:val="006C51F7"/>
    <w:rsid w:val="006C6761"/>
    <w:rsid w:val="006C6CEE"/>
    <w:rsid w:val="006D0095"/>
    <w:rsid w:val="006D0368"/>
    <w:rsid w:val="006D2333"/>
    <w:rsid w:val="006D2818"/>
    <w:rsid w:val="006D3DBE"/>
    <w:rsid w:val="006D5637"/>
    <w:rsid w:val="006D571E"/>
    <w:rsid w:val="006D6CC7"/>
    <w:rsid w:val="006D7C85"/>
    <w:rsid w:val="006E1BDB"/>
    <w:rsid w:val="006E1CA2"/>
    <w:rsid w:val="006E2C81"/>
    <w:rsid w:val="006E343F"/>
    <w:rsid w:val="006E42F5"/>
    <w:rsid w:val="006E4AA9"/>
    <w:rsid w:val="006E6DB3"/>
    <w:rsid w:val="006E7C1E"/>
    <w:rsid w:val="006E7CC1"/>
    <w:rsid w:val="006F0B6B"/>
    <w:rsid w:val="006F2E47"/>
    <w:rsid w:val="006F47C8"/>
    <w:rsid w:val="006F51F9"/>
    <w:rsid w:val="006F715C"/>
    <w:rsid w:val="006F7A23"/>
    <w:rsid w:val="0070010D"/>
    <w:rsid w:val="007004DA"/>
    <w:rsid w:val="00701726"/>
    <w:rsid w:val="007031E2"/>
    <w:rsid w:val="00703714"/>
    <w:rsid w:val="007076D7"/>
    <w:rsid w:val="00711B43"/>
    <w:rsid w:val="007122CC"/>
    <w:rsid w:val="00716799"/>
    <w:rsid w:val="007170E7"/>
    <w:rsid w:val="00721D16"/>
    <w:rsid w:val="00723FFE"/>
    <w:rsid w:val="007249A3"/>
    <w:rsid w:val="0072656F"/>
    <w:rsid w:val="00731DBB"/>
    <w:rsid w:val="007339FC"/>
    <w:rsid w:val="00734751"/>
    <w:rsid w:val="00734F56"/>
    <w:rsid w:val="0073548A"/>
    <w:rsid w:val="00737052"/>
    <w:rsid w:val="007375CF"/>
    <w:rsid w:val="00737F14"/>
    <w:rsid w:val="00740BD4"/>
    <w:rsid w:val="00742F5B"/>
    <w:rsid w:val="0074328B"/>
    <w:rsid w:val="007470B1"/>
    <w:rsid w:val="007473E7"/>
    <w:rsid w:val="007477D4"/>
    <w:rsid w:val="007500A2"/>
    <w:rsid w:val="007519C1"/>
    <w:rsid w:val="00751A18"/>
    <w:rsid w:val="0075426C"/>
    <w:rsid w:val="00754B6C"/>
    <w:rsid w:val="007609DE"/>
    <w:rsid w:val="00760D7B"/>
    <w:rsid w:val="00762176"/>
    <w:rsid w:val="00764B16"/>
    <w:rsid w:val="0076664B"/>
    <w:rsid w:val="00771A8A"/>
    <w:rsid w:val="00773ADD"/>
    <w:rsid w:val="00774FA0"/>
    <w:rsid w:val="00777A11"/>
    <w:rsid w:val="0078013B"/>
    <w:rsid w:val="00780E9B"/>
    <w:rsid w:val="00783B25"/>
    <w:rsid w:val="00784027"/>
    <w:rsid w:val="007848F3"/>
    <w:rsid w:val="00784C7B"/>
    <w:rsid w:val="007864C1"/>
    <w:rsid w:val="00786718"/>
    <w:rsid w:val="00787870"/>
    <w:rsid w:val="00791A16"/>
    <w:rsid w:val="00794312"/>
    <w:rsid w:val="0079518B"/>
    <w:rsid w:val="00796550"/>
    <w:rsid w:val="00797BEC"/>
    <w:rsid w:val="00797D46"/>
    <w:rsid w:val="007A01CC"/>
    <w:rsid w:val="007A0524"/>
    <w:rsid w:val="007A0F7E"/>
    <w:rsid w:val="007A1BF6"/>
    <w:rsid w:val="007A2597"/>
    <w:rsid w:val="007A2D4A"/>
    <w:rsid w:val="007A32BB"/>
    <w:rsid w:val="007A4C9D"/>
    <w:rsid w:val="007A5DFF"/>
    <w:rsid w:val="007B149E"/>
    <w:rsid w:val="007B1D16"/>
    <w:rsid w:val="007B2DB4"/>
    <w:rsid w:val="007B4677"/>
    <w:rsid w:val="007B497F"/>
    <w:rsid w:val="007B4ED1"/>
    <w:rsid w:val="007B772B"/>
    <w:rsid w:val="007B794B"/>
    <w:rsid w:val="007C0DEC"/>
    <w:rsid w:val="007C1D61"/>
    <w:rsid w:val="007C1ECE"/>
    <w:rsid w:val="007C3820"/>
    <w:rsid w:val="007D1A32"/>
    <w:rsid w:val="007D3A7E"/>
    <w:rsid w:val="007D3FA4"/>
    <w:rsid w:val="007D620F"/>
    <w:rsid w:val="007E14BD"/>
    <w:rsid w:val="007E31EA"/>
    <w:rsid w:val="007E3B25"/>
    <w:rsid w:val="007E3B7D"/>
    <w:rsid w:val="007E5016"/>
    <w:rsid w:val="007E5A22"/>
    <w:rsid w:val="007E7710"/>
    <w:rsid w:val="007F2008"/>
    <w:rsid w:val="007F22AC"/>
    <w:rsid w:val="007F42E3"/>
    <w:rsid w:val="007F4388"/>
    <w:rsid w:val="007F4788"/>
    <w:rsid w:val="007F5254"/>
    <w:rsid w:val="007F5DC0"/>
    <w:rsid w:val="007F618A"/>
    <w:rsid w:val="00801432"/>
    <w:rsid w:val="008017BC"/>
    <w:rsid w:val="00802290"/>
    <w:rsid w:val="00803305"/>
    <w:rsid w:val="0080375B"/>
    <w:rsid w:val="00804F53"/>
    <w:rsid w:val="008066F3"/>
    <w:rsid w:val="0081042F"/>
    <w:rsid w:val="00810BBB"/>
    <w:rsid w:val="008120AF"/>
    <w:rsid w:val="008125B6"/>
    <w:rsid w:val="00812625"/>
    <w:rsid w:val="00813F95"/>
    <w:rsid w:val="00817211"/>
    <w:rsid w:val="00817C8F"/>
    <w:rsid w:val="00820982"/>
    <w:rsid w:val="0082170D"/>
    <w:rsid w:val="0082187A"/>
    <w:rsid w:val="00822223"/>
    <w:rsid w:val="00822802"/>
    <w:rsid w:val="00825521"/>
    <w:rsid w:val="008271A9"/>
    <w:rsid w:val="00830E37"/>
    <w:rsid w:val="00831989"/>
    <w:rsid w:val="00831EBD"/>
    <w:rsid w:val="00834C2A"/>
    <w:rsid w:val="00836BE4"/>
    <w:rsid w:val="0083709D"/>
    <w:rsid w:val="008378B4"/>
    <w:rsid w:val="00840A1A"/>
    <w:rsid w:val="00840D02"/>
    <w:rsid w:val="008431E0"/>
    <w:rsid w:val="00844665"/>
    <w:rsid w:val="00845E4B"/>
    <w:rsid w:val="008460A9"/>
    <w:rsid w:val="00846735"/>
    <w:rsid w:val="00846E42"/>
    <w:rsid w:val="00850601"/>
    <w:rsid w:val="00852698"/>
    <w:rsid w:val="00852948"/>
    <w:rsid w:val="00853065"/>
    <w:rsid w:val="00854598"/>
    <w:rsid w:val="00856BDC"/>
    <w:rsid w:val="00861C4F"/>
    <w:rsid w:val="008642DF"/>
    <w:rsid w:val="0086434F"/>
    <w:rsid w:val="00865344"/>
    <w:rsid w:val="00865AD8"/>
    <w:rsid w:val="00866CE0"/>
    <w:rsid w:val="00870978"/>
    <w:rsid w:val="008721CC"/>
    <w:rsid w:val="00872226"/>
    <w:rsid w:val="0087239F"/>
    <w:rsid w:val="00872B47"/>
    <w:rsid w:val="00874A4F"/>
    <w:rsid w:val="00875F84"/>
    <w:rsid w:val="008773C3"/>
    <w:rsid w:val="00877623"/>
    <w:rsid w:val="00877CF2"/>
    <w:rsid w:val="008808CE"/>
    <w:rsid w:val="0088110A"/>
    <w:rsid w:val="008824EE"/>
    <w:rsid w:val="00882B7E"/>
    <w:rsid w:val="00882D96"/>
    <w:rsid w:val="00883EFA"/>
    <w:rsid w:val="00885A80"/>
    <w:rsid w:val="00887818"/>
    <w:rsid w:val="00890D2D"/>
    <w:rsid w:val="008915E7"/>
    <w:rsid w:val="00893260"/>
    <w:rsid w:val="008952E6"/>
    <w:rsid w:val="0089533A"/>
    <w:rsid w:val="00895AB0"/>
    <w:rsid w:val="008A063A"/>
    <w:rsid w:val="008A146D"/>
    <w:rsid w:val="008A37E3"/>
    <w:rsid w:val="008A5294"/>
    <w:rsid w:val="008A5A25"/>
    <w:rsid w:val="008A6398"/>
    <w:rsid w:val="008A73CB"/>
    <w:rsid w:val="008A7FE6"/>
    <w:rsid w:val="008B0075"/>
    <w:rsid w:val="008B02D1"/>
    <w:rsid w:val="008B1A8D"/>
    <w:rsid w:val="008B1C28"/>
    <w:rsid w:val="008B31F8"/>
    <w:rsid w:val="008B3EE3"/>
    <w:rsid w:val="008B7A52"/>
    <w:rsid w:val="008B7F12"/>
    <w:rsid w:val="008C00EC"/>
    <w:rsid w:val="008C0773"/>
    <w:rsid w:val="008C0CE5"/>
    <w:rsid w:val="008C1F78"/>
    <w:rsid w:val="008C235C"/>
    <w:rsid w:val="008C5ABC"/>
    <w:rsid w:val="008C5C88"/>
    <w:rsid w:val="008D095A"/>
    <w:rsid w:val="008D30A8"/>
    <w:rsid w:val="008D75EB"/>
    <w:rsid w:val="008E0A3D"/>
    <w:rsid w:val="008E0A75"/>
    <w:rsid w:val="008E0EAF"/>
    <w:rsid w:val="008E1805"/>
    <w:rsid w:val="008E2271"/>
    <w:rsid w:val="008E3F6E"/>
    <w:rsid w:val="008E6453"/>
    <w:rsid w:val="009020AB"/>
    <w:rsid w:val="00902114"/>
    <w:rsid w:val="009023D3"/>
    <w:rsid w:val="009027ED"/>
    <w:rsid w:val="00902A66"/>
    <w:rsid w:val="00903CE9"/>
    <w:rsid w:val="0090499D"/>
    <w:rsid w:val="0090525F"/>
    <w:rsid w:val="0091056E"/>
    <w:rsid w:val="0091124B"/>
    <w:rsid w:val="00912B96"/>
    <w:rsid w:val="009132B4"/>
    <w:rsid w:val="0091701A"/>
    <w:rsid w:val="00917927"/>
    <w:rsid w:val="00920B05"/>
    <w:rsid w:val="00924453"/>
    <w:rsid w:val="009254FA"/>
    <w:rsid w:val="009268EC"/>
    <w:rsid w:val="00930345"/>
    <w:rsid w:val="00932EB4"/>
    <w:rsid w:val="009340B2"/>
    <w:rsid w:val="00936BC3"/>
    <w:rsid w:val="009373F9"/>
    <w:rsid w:val="009374CE"/>
    <w:rsid w:val="00940671"/>
    <w:rsid w:val="00940ECD"/>
    <w:rsid w:val="00941A6A"/>
    <w:rsid w:val="00941C25"/>
    <w:rsid w:val="0094221E"/>
    <w:rsid w:val="0094415E"/>
    <w:rsid w:val="0094416B"/>
    <w:rsid w:val="00946625"/>
    <w:rsid w:val="00951733"/>
    <w:rsid w:val="009519FC"/>
    <w:rsid w:val="00952317"/>
    <w:rsid w:val="009535FC"/>
    <w:rsid w:val="00953A8D"/>
    <w:rsid w:val="0095692A"/>
    <w:rsid w:val="00957D8E"/>
    <w:rsid w:val="0096040D"/>
    <w:rsid w:val="009606C6"/>
    <w:rsid w:val="00960AA9"/>
    <w:rsid w:val="00960D9D"/>
    <w:rsid w:val="009622C7"/>
    <w:rsid w:val="009663D4"/>
    <w:rsid w:val="00971253"/>
    <w:rsid w:val="0097190C"/>
    <w:rsid w:val="009765DD"/>
    <w:rsid w:val="009775E7"/>
    <w:rsid w:val="0098097B"/>
    <w:rsid w:val="00981906"/>
    <w:rsid w:val="00982E10"/>
    <w:rsid w:val="009832DD"/>
    <w:rsid w:val="00985129"/>
    <w:rsid w:val="00985BC6"/>
    <w:rsid w:val="0098601A"/>
    <w:rsid w:val="00990CCF"/>
    <w:rsid w:val="009918D7"/>
    <w:rsid w:val="009919C7"/>
    <w:rsid w:val="009932CC"/>
    <w:rsid w:val="0099432E"/>
    <w:rsid w:val="00994454"/>
    <w:rsid w:val="0099453D"/>
    <w:rsid w:val="00994D5D"/>
    <w:rsid w:val="009951C5"/>
    <w:rsid w:val="00996D23"/>
    <w:rsid w:val="009977EC"/>
    <w:rsid w:val="00997A92"/>
    <w:rsid w:val="009A0A11"/>
    <w:rsid w:val="009A1504"/>
    <w:rsid w:val="009A1864"/>
    <w:rsid w:val="009A1C69"/>
    <w:rsid w:val="009A28D5"/>
    <w:rsid w:val="009A3393"/>
    <w:rsid w:val="009A41BA"/>
    <w:rsid w:val="009A43A3"/>
    <w:rsid w:val="009A6E08"/>
    <w:rsid w:val="009A7A34"/>
    <w:rsid w:val="009B0288"/>
    <w:rsid w:val="009B077D"/>
    <w:rsid w:val="009B5599"/>
    <w:rsid w:val="009C0FD7"/>
    <w:rsid w:val="009C21B1"/>
    <w:rsid w:val="009C3C8C"/>
    <w:rsid w:val="009C4284"/>
    <w:rsid w:val="009C4C54"/>
    <w:rsid w:val="009C4FD2"/>
    <w:rsid w:val="009C7161"/>
    <w:rsid w:val="009C76C1"/>
    <w:rsid w:val="009D05EC"/>
    <w:rsid w:val="009D3AF6"/>
    <w:rsid w:val="009D4019"/>
    <w:rsid w:val="009D4EC0"/>
    <w:rsid w:val="009D57B5"/>
    <w:rsid w:val="009D7733"/>
    <w:rsid w:val="009E11BA"/>
    <w:rsid w:val="009E141B"/>
    <w:rsid w:val="009E1EAE"/>
    <w:rsid w:val="009E2D6C"/>
    <w:rsid w:val="009E395E"/>
    <w:rsid w:val="009E660D"/>
    <w:rsid w:val="009F4238"/>
    <w:rsid w:val="009F50D8"/>
    <w:rsid w:val="009F7E80"/>
    <w:rsid w:val="00A03535"/>
    <w:rsid w:val="00A045A2"/>
    <w:rsid w:val="00A04B6D"/>
    <w:rsid w:val="00A06DD7"/>
    <w:rsid w:val="00A12BCC"/>
    <w:rsid w:val="00A14318"/>
    <w:rsid w:val="00A14F4E"/>
    <w:rsid w:val="00A167FB"/>
    <w:rsid w:val="00A20E1D"/>
    <w:rsid w:val="00A215A9"/>
    <w:rsid w:val="00A241E3"/>
    <w:rsid w:val="00A32095"/>
    <w:rsid w:val="00A32E70"/>
    <w:rsid w:val="00A33E33"/>
    <w:rsid w:val="00A34D08"/>
    <w:rsid w:val="00A34D7D"/>
    <w:rsid w:val="00A357F5"/>
    <w:rsid w:val="00A4072C"/>
    <w:rsid w:val="00A419D6"/>
    <w:rsid w:val="00A43557"/>
    <w:rsid w:val="00A44D85"/>
    <w:rsid w:val="00A45025"/>
    <w:rsid w:val="00A45844"/>
    <w:rsid w:val="00A51077"/>
    <w:rsid w:val="00A51F1D"/>
    <w:rsid w:val="00A5433B"/>
    <w:rsid w:val="00A54C60"/>
    <w:rsid w:val="00A54E1A"/>
    <w:rsid w:val="00A56A48"/>
    <w:rsid w:val="00A60B48"/>
    <w:rsid w:val="00A614D0"/>
    <w:rsid w:val="00A62BFB"/>
    <w:rsid w:val="00A65B9A"/>
    <w:rsid w:val="00A65FDE"/>
    <w:rsid w:val="00A6602B"/>
    <w:rsid w:val="00A6652B"/>
    <w:rsid w:val="00A670FA"/>
    <w:rsid w:val="00A70C50"/>
    <w:rsid w:val="00A71943"/>
    <w:rsid w:val="00A72607"/>
    <w:rsid w:val="00A730EF"/>
    <w:rsid w:val="00A7361D"/>
    <w:rsid w:val="00A7453D"/>
    <w:rsid w:val="00A7456C"/>
    <w:rsid w:val="00A7497A"/>
    <w:rsid w:val="00A75588"/>
    <w:rsid w:val="00A772B5"/>
    <w:rsid w:val="00A778FF"/>
    <w:rsid w:val="00A77D5D"/>
    <w:rsid w:val="00A82118"/>
    <w:rsid w:val="00A82EA9"/>
    <w:rsid w:val="00A87BD4"/>
    <w:rsid w:val="00A910BB"/>
    <w:rsid w:val="00A91E7F"/>
    <w:rsid w:val="00A936C7"/>
    <w:rsid w:val="00A95C14"/>
    <w:rsid w:val="00A95FAA"/>
    <w:rsid w:val="00A97BA6"/>
    <w:rsid w:val="00AA0797"/>
    <w:rsid w:val="00AA24D0"/>
    <w:rsid w:val="00AA4BFF"/>
    <w:rsid w:val="00AB0069"/>
    <w:rsid w:val="00AB18A3"/>
    <w:rsid w:val="00AB24E1"/>
    <w:rsid w:val="00AB278E"/>
    <w:rsid w:val="00AB2AB3"/>
    <w:rsid w:val="00AB3D71"/>
    <w:rsid w:val="00AB4853"/>
    <w:rsid w:val="00AB53AD"/>
    <w:rsid w:val="00AB6EAC"/>
    <w:rsid w:val="00AC3CBA"/>
    <w:rsid w:val="00AC61FF"/>
    <w:rsid w:val="00AC67A5"/>
    <w:rsid w:val="00AC7DBF"/>
    <w:rsid w:val="00AD0EF9"/>
    <w:rsid w:val="00AD1F3F"/>
    <w:rsid w:val="00AD2944"/>
    <w:rsid w:val="00AD35EF"/>
    <w:rsid w:val="00AD4A4D"/>
    <w:rsid w:val="00AD4F3B"/>
    <w:rsid w:val="00AD57B1"/>
    <w:rsid w:val="00AD612A"/>
    <w:rsid w:val="00AD7A2D"/>
    <w:rsid w:val="00AE1D65"/>
    <w:rsid w:val="00AE2F42"/>
    <w:rsid w:val="00AE33A9"/>
    <w:rsid w:val="00AE4666"/>
    <w:rsid w:val="00AE5255"/>
    <w:rsid w:val="00AE73F8"/>
    <w:rsid w:val="00AF140A"/>
    <w:rsid w:val="00AF1F7E"/>
    <w:rsid w:val="00AF2CDB"/>
    <w:rsid w:val="00AF3CCB"/>
    <w:rsid w:val="00AF4251"/>
    <w:rsid w:val="00AF4AEB"/>
    <w:rsid w:val="00AF5A5E"/>
    <w:rsid w:val="00AF63F8"/>
    <w:rsid w:val="00AF7241"/>
    <w:rsid w:val="00B0153A"/>
    <w:rsid w:val="00B01DF4"/>
    <w:rsid w:val="00B03CE1"/>
    <w:rsid w:val="00B03E45"/>
    <w:rsid w:val="00B045F0"/>
    <w:rsid w:val="00B04889"/>
    <w:rsid w:val="00B04DC4"/>
    <w:rsid w:val="00B06013"/>
    <w:rsid w:val="00B06CAC"/>
    <w:rsid w:val="00B07049"/>
    <w:rsid w:val="00B1380A"/>
    <w:rsid w:val="00B13902"/>
    <w:rsid w:val="00B13FA7"/>
    <w:rsid w:val="00B14244"/>
    <w:rsid w:val="00B1506B"/>
    <w:rsid w:val="00B16508"/>
    <w:rsid w:val="00B2048C"/>
    <w:rsid w:val="00B238AA"/>
    <w:rsid w:val="00B244A0"/>
    <w:rsid w:val="00B24B2E"/>
    <w:rsid w:val="00B24DB2"/>
    <w:rsid w:val="00B251E2"/>
    <w:rsid w:val="00B25570"/>
    <w:rsid w:val="00B2579E"/>
    <w:rsid w:val="00B258BE"/>
    <w:rsid w:val="00B25DA5"/>
    <w:rsid w:val="00B260DF"/>
    <w:rsid w:val="00B271E5"/>
    <w:rsid w:val="00B31660"/>
    <w:rsid w:val="00B3394C"/>
    <w:rsid w:val="00B33AC0"/>
    <w:rsid w:val="00B34081"/>
    <w:rsid w:val="00B35386"/>
    <w:rsid w:val="00B356C3"/>
    <w:rsid w:val="00B35BF4"/>
    <w:rsid w:val="00B362C6"/>
    <w:rsid w:val="00B37E3B"/>
    <w:rsid w:val="00B40BE8"/>
    <w:rsid w:val="00B41994"/>
    <w:rsid w:val="00B42655"/>
    <w:rsid w:val="00B443D3"/>
    <w:rsid w:val="00B44BDA"/>
    <w:rsid w:val="00B453F2"/>
    <w:rsid w:val="00B462E6"/>
    <w:rsid w:val="00B46EBD"/>
    <w:rsid w:val="00B470DA"/>
    <w:rsid w:val="00B47B19"/>
    <w:rsid w:val="00B51489"/>
    <w:rsid w:val="00B5163B"/>
    <w:rsid w:val="00B51651"/>
    <w:rsid w:val="00B52DED"/>
    <w:rsid w:val="00B546BF"/>
    <w:rsid w:val="00B562C4"/>
    <w:rsid w:val="00B571D5"/>
    <w:rsid w:val="00B57273"/>
    <w:rsid w:val="00B6012E"/>
    <w:rsid w:val="00B60EC4"/>
    <w:rsid w:val="00B610AB"/>
    <w:rsid w:val="00B61C6C"/>
    <w:rsid w:val="00B622E7"/>
    <w:rsid w:val="00B62C96"/>
    <w:rsid w:val="00B6380C"/>
    <w:rsid w:val="00B641A3"/>
    <w:rsid w:val="00B6545B"/>
    <w:rsid w:val="00B6556C"/>
    <w:rsid w:val="00B6734D"/>
    <w:rsid w:val="00B72B76"/>
    <w:rsid w:val="00B72F4B"/>
    <w:rsid w:val="00B73DAC"/>
    <w:rsid w:val="00B7597A"/>
    <w:rsid w:val="00B75E8C"/>
    <w:rsid w:val="00B75EC6"/>
    <w:rsid w:val="00B7603F"/>
    <w:rsid w:val="00B77AB5"/>
    <w:rsid w:val="00B77EF4"/>
    <w:rsid w:val="00B805C1"/>
    <w:rsid w:val="00B815E2"/>
    <w:rsid w:val="00B84A71"/>
    <w:rsid w:val="00B86B8B"/>
    <w:rsid w:val="00B86D98"/>
    <w:rsid w:val="00B871A9"/>
    <w:rsid w:val="00B87B22"/>
    <w:rsid w:val="00B906FF"/>
    <w:rsid w:val="00B9211C"/>
    <w:rsid w:val="00B92EEC"/>
    <w:rsid w:val="00B950A5"/>
    <w:rsid w:val="00B97541"/>
    <w:rsid w:val="00BA0412"/>
    <w:rsid w:val="00BA1CA0"/>
    <w:rsid w:val="00BA455A"/>
    <w:rsid w:val="00BA5528"/>
    <w:rsid w:val="00BA688E"/>
    <w:rsid w:val="00BB0742"/>
    <w:rsid w:val="00BB115E"/>
    <w:rsid w:val="00BB6818"/>
    <w:rsid w:val="00BC013C"/>
    <w:rsid w:val="00BC0541"/>
    <w:rsid w:val="00BC0C96"/>
    <w:rsid w:val="00BC328D"/>
    <w:rsid w:val="00BC440A"/>
    <w:rsid w:val="00BC45BA"/>
    <w:rsid w:val="00BC5D9F"/>
    <w:rsid w:val="00BC5F4E"/>
    <w:rsid w:val="00BC5FDE"/>
    <w:rsid w:val="00BC7297"/>
    <w:rsid w:val="00BD0240"/>
    <w:rsid w:val="00BD0822"/>
    <w:rsid w:val="00BD1438"/>
    <w:rsid w:val="00BD2C19"/>
    <w:rsid w:val="00BD47F5"/>
    <w:rsid w:val="00BD5E01"/>
    <w:rsid w:val="00BD5E0D"/>
    <w:rsid w:val="00BD799F"/>
    <w:rsid w:val="00BE0125"/>
    <w:rsid w:val="00BE5FB6"/>
    <w:rsid w:val="00BE705E"/>
    <w:rsid w:val="00BE79DB"/>
    <w:rsid w:val="00BF11D7"/>
    <w:rsid w:val="00BF3F8C"/>
    <w:rsid w:val="00BF467C"/>
    <w:rsid w:val="00BF7D62"/>
    <w:rsid w:val="00C0130E"/>
    <w:rsid w:val="00C04D36"/>
    <w:rsid w:val="00C05EB3"/>
    <w:rsid w:val="00C06FCE"/>
    <w:rsid w:val="00C07044"/>
    <w:rsid w:val="00C07C03"/>
    <w:rsid w:val="00C10747"/>
    <w:rsid w:val="00C10EB5"/>
    <w:rsid w:val="00C12025"/>
    <w:rsid w:val="00C133C8"/>
    <w:rsid w:val="00C1447E"/>
    <w:rsid w:val="00C15A27"/>
    <w:rsid w:val="00C15F7E"/>
    <w:rsid w:val="00C21159"/>
    <w:rsid w:val="00C21650"/>
    <w:rsid w:val="00C21B39"/>
    <w:rsid w:val="00C265C0"/>
    <w:rsid w:val="00C27482"/>
    <w:rsid w:val="00C30595"/>
    <w:rsid w:val="00C30AAD"/>
    <w:rsid w:val="00C311B3"/>
    <w:rsid w:val="00C330CC"/>
    <w:rsid w:val="00C33D9D"/>
    <w:rsid w:val="00C35637"/>
    <w:rsid w:val="00C36AC4"/>
    <w:rsid w:val="00C371F2"/>
    <w:rsid w:val="00C376DD"/>
    <w:rsid w:val="00C418FA"/>
    <w:rsid w:val="00C44FA7"/>
    <w:rsid w:val="00C46378"/>
    <w:rsid w:val="00C472A4"/>
    <w:rsid w:val="00C51961"/>
    <w:rsid w:val="00C57E53"/>
    <w:rsid w:val="00C62EDF"/>
    <w:rsid w:val="00C630B4"/>
    <w:rsid w:val="00C633A4"/>
    <w:rsid w:val="00C654F4"/>
    <w:rsid w:val="00C66654"/>
    <w:rsid w:val="00C71F95"/>
    <w:rsid w:val="00C72C64"/>
    <w:rsid w:val="00C73585"/>
    <w:rsid w:val="00C73C0D"/>
    <w:rsid w:val="00C7586A"/>
    <w:rsid w:val="00C76480"/>
    <w:rsid w:val="00C766F1"/>
    <w:rsid w:val="00C77547"/>
    <w:rsid w:val="00C778E6"/>
    <w:rsid w:val="00C81E07"/>
    <w:rsid w:val="00C8388D"/>
    <w:rsid w:val="00C85D6A"/>
    <w:rsid w:val="00C874E9"/>
    <w:rsid w:val="00C9040A"/>
    <w:rsid w:val="00C90ACE"/>
    <w:rsid w:val="00C90AFC"/>
    <w:rsid w:val="00C91138"/>
    <w:rsid w:val="00C93167"/>
    <w:rsid w:val="00C94693"/>
    <w:rsid w:val="00C94898"/>
    <w:rsid w:val="00C95425"/>
    <w:rsid w:val="00CA0D44"/>
    <w:rsid w:val="00CA2D32"/>
    <w:rsid w:val="00CA3FE6"/>
    <w:rsid w:val="00CA6DB0"/>
    <w:rsid w:val="00CB06AA"/>
    <w:rsid w:val="00CB4C37"/>
    <w:rsid w:val="00CC0083"/>
    <w:rsid w:val="00CC0363"/>
    <w:rsid w:val="00CC27F3"/>
    <w:rsid w:val="00CC3562"/>
    <w:rsid w:val="00CC5E5B"/>
    <w:rsid w:val="00CC772A"/>
    <w:rsid w:val="00CD14DB"/>
    <w:rsid w:val="00CD7E74"/>
    <w:rsid w:val="00CE2E0F"/>
    <w:rsid w:val="00CE6283"/>
    <w:rsid w:val="00CE67AA"/>
    <w:rsid w:val="00CE6F33"/>
    <w:rsid w:val="00CE73B5"/>
    <w:rsid w:val="00CE791D"/>
    <w:rsid w:val="00CE79D7"/>
    <w:rsid w:val="00CE7CE3"/>
    <w:rsid w:val="00CF0CE7"/>
    <w:rsid w:val="00CF2071"/>
    <w:rsid w:val="00CF244E"/>
    <w:rsid w:val="00CF278D"/>
    <w:rsid w:val="00CF37C7"/>
    <w:rsid w:val="00CF3CF8"/>
    <w:rsid w:val="00CF3E26"/>
    <w:rsid w:val="00CF474D"/>
    <w:rsid w:val="00CF5A64"/>
    <w:rsid w:val="00CF6622"/>
    <w:rsid w:val="00CF749A"/>
    <w:rsid w:val="00D006D9"/>
    <w:rsid w:val="00D0085A"/>
    <w:rsid w:val="00D0089A"/>
    <w:rsid w:val="00D014C7"/>
    <w:rsid w:val="00D01548"/>
    <w:rsid w:val="00D031D2"/>
    <w:rsid w:val="00D04D5F"/>
    <w:rsid w:val="00D04DFA"/>
    <w:rsid w:val="00D05F35"/>
    <w:rsid w:val="00D06393"/>
    <w:rsid w:val="00D06E5E"/>
    <w:rsid w:val="00D06F79"/>
    <w:rsid w:val="00D1012A"/>
    <w:rsid w:val="00D10597"/>
    <w:rsid w:val="00D110DD"/>
    <w:rsid w:val="00D120A3"/>
    <w:rsid w:val="00D150B3"/>
    <w:rsid w:val="00D1584B"/>
    <w:rsid w:val="00D20A02"/>
    <w:rsid w:val="00D219E9"/>
    <w:rsid w:val="00D2205B"/>
    <w:rsid w:val="00D2282B"/>
    <w:rsid w:val="00D23418"/>
    <w:rsid w:val="00D24606"/>
    <w:rsid w:val="00D2620A"/>
    <w:rsid w:val="00D27623"/>
    <w:rsid w:val="00D3056A"/>
    <w:rsid w:val="00D30AED"/>
    <w:rsid w:val="00D30F84"/>
    <w:rsid w:val="00D31091"/>
    <w:rsid w:val="00D3195B"/>
    <w:rsid w:val="00D334E5"/>
    <w:rsid w:val="00D33CFE"/>
    <w:rsid w:val="00D33DDE"/>
    <w:rsid w:val="00D344F0"/>
    <w:rsid w:val="00D34DA4"/>
    <w:rsid w:val="00D35164"/>
    <w:rsid w:val="00D3752F"/>
    <w:rsid w:val="00D40DDE"/>
    <w:rsid w:val="00D43970"/>
    <w:rsid w:val="00D43CA5"/>
    <w:rsid w:val="00D44CA5"/>
    <w:rsid w:val="00D464D3"/>
    <w:rsid w:val="00D46E12"/>
    <w:rsid w:val="00D501A4"/>
    <w:rsid w:val="00D50495"/>
    <w:rsid w:val="00D50734"/>
    <w:rsid w:val="00D507C0"/>
    <w:rsid w:val="00D513CC"/>
    <w:rsid w:val="00D62AA4"/>
    <w:rsid w:val="00D6318F"/>
    <w:rsid w:val="00D650BB"/>
    <w:rsid w:val="00D6540A"/>
    <w:rsid w:val="00D70438"/>
    <w:rsid w:val="00D7139C"/>
    <w:rsid w:val="00D717AD"/>
    <w:rsid w:val="00D720AD"/>
    <w:rsid w:val="00D74A18"/>
    <w:rsid w:val="00D74D3E"/>
    <w:rsid w:val="00D757C6"/>
    <w:rsid w:val="00D75C41"/>
    <w:rsid w:val="00D80529"/>
    <w:rsid w:val="00D80F78"/>
    <w:rsid w:val="00D80F7E"/>
    <w:rsid w:val="00D81AC3"/>
    <w:rsid w:val="00D81B5B"/>
    <w:rsid w:val="00D81C59"/>
    <w:rsid w:val="00D82246"/>
    <w:rsid w:val="00D82A5B"/>
    <w:rsid w:val="00D84637"/>
    <w:rsid w:val="00D8473B"/>
    <w:rsid w:val="00D85599"/>
    <w:rsid w:val="00D85780"/>
    <w:rsid w:val="00D9235E"/>
    <w:rsid w:val="00D925AA"/>
    <w:rsid w:val="00D9283D"/>
    <w:rsid w:val="00D930DD"/>
    <w:rsid w:val="00D9341C"/>
    <w:rsid w:val="00D94906"/>
    <w:rsid w:val="00D94B7D"/>
    <w:rsid w:val="00DA1560"/>
    <w:rsid w:val="00DA4C44"/>
    <w:rsid w:val="00DA4C48"/>
    <w:rsid w:val="00DA4E21"/>
    <w:rsid w:val="00DA71EF"/>
    <w:rsid w:val="00DA7A18"/>
    <w:rsid w:val="00DB1347"/>
    <w:rsid w:val="00DB28CE"/>
    <w:rsid w:val="00DB29BC"/>
    <w:rsid w:val="00DB2A2A"/>
    <w:rsid w:val="00DB479F"/>
    <w:rsid w:val="00DB55B6"/>
    <w:rsid w:val="00DB5F21"/>
    <w:rsid w:val="00DB6D7C"/>
    <w:rsid w:val="00DC005A"/>
    <w:rsid w:val="00DC090A"/>
    <w:rsid w:val="00DC0E7E"/>
    <w:rsid w:val="00DC30EA"/>
    <w:rsid w:val="00DC4FE9"/>
    <w:rsid w:val="00DC5918"/>
    <w:rsid w:val="00DC6C8D"/>
    <w:rsid w:val="00DC73A5"/>
    <w:rsid w:val="00DD0236"/>
    <w:rsid w:val="00DD0652"/>
    <w:rsid w:val="00DD3001"/>
    <w:rsid w:val="00DD6CD7"/>
    <w:rsid w:val="00DD76A4"/>
    <w:rsid w:val="00DD7C65"/>
    <w:rsid w:val="00DE03E4"/>
    <w:rsid w:val="00DE1134"/>
    <w:rsid w:val="00DE1AEB"/>
    <w:rsid w:val="00DE2A72"/>
    <w:rsid w:val="00DE3E15"/>
    <w:rsid w:val="00DE4732"/>
    <w:rsid w:val="00DE6668"/>
    <w:rsid w:val="00DE6987"/>
    <w:rsid w:val="00DE748F"/>
    <w:rsid w:val="00E0080A"/>
    <w:rsid w:val="00E00F31"/>
    <w:rsid w:val="00E02242"/>
    <w:rsid w:val="00E0300E"/>
    <w:rsid w:val="00E03310"/>
    <w:rsid w:val="00E04AE0"/>
    <w:rsid w:val="00E070D0"/>
    <w:rsid w:val="00E11517"/>
    <w:rsid w:val="00E13727"/>
    <w:rsid w:val="00E14455"/>
    <w:rsid w:val="00E14BA6"/>
    <w:rsid w:val="00E20254"/>
    <w:rsid w:val="00E219EB"/>
    <w:rsid w:val="00E22C13"/>
    <w:rsid w:val="00E23B99"/>
    <w:rsid w:val="00E24F15"/>
    <w:rsid w:val="00E25045"/>
    <w:rsid w:val="00E25CA3"/>
    <w:rsid w:val="00E25E05"/>
    <w:rsid w:val="00E2677C"/>
    <w:rsid w:val="00E26D83"/>
    <w:rsid w:val="00E27A1E"/>
    <w:rsid w:val="00E27D8E"/>
    <w:rsid w:val="00E306E9"/>
    <w:rsid w:val="00E307DC"/>
    <w:rsid w:val="00E334B9"/>
    <w:rsid w:val="00E33905"/>
    <w:rsid w:val="00E342D1"/>
    <w:rsid w:val="00E34B96"/>
    <w:rsid w:val="00E36D2D"/>
    <w:rsid w:val="00E37502"/>
    <w:rsid w:val="00E40127"/>
    <w:rsid w:val="00E42293"/>
    <w:rsid w:val="00E43074"/>
    <w:rsid w:val="00E431C8"/>
    <w:rsid w:val="00E44848"/>
    <w:rsid w:val="00E44926"/>
    <w:rsid w:val="00E44E09"/>
    <w:rsid w:val="00E45D53"/>
    <w:rsid w:val="00E46DBD"/>
    <w:rsid w:val="00E46F2A"/>
    <w:rsid w:val="00E51708"/>
    <w:rsid w:val="00E51729"/>
    <w:rsid w:val="00E52B07"/>
    <w:rsid w:val="00E53139"/>
    <w:rsid w:val="00E53A8F"/>
    <w:rsid w:val="00E5435E"/>
    <w:rsid w:val="00E55A81"/>
    <w:rsid w:val="00E56450"/>
    <w:rsid w:val="00E56DA8"/>
    <w:rsid w:val="00E6014A"/>
    <w:rsid w:val="00E60ACC"/>
    <w:rsid w:val="00E60C4B"/>
    <w:rsid w:val="00E60E21"/>
    <w:rsid w:val="00E61941"/>
    <w:rsid w:val="00E66638"/>
    <w:rsid w:val="00E6706E"/>
    <w:rsid w:val="00E7211D"/>
    <w:rsid w:val="00E757CA"/>
    <w:rsid w:val="00E75D48"/>
    <w:rsid w:val="00E773CD"/>
    <w:rsid w:val="00E774C9"/>
    <w:rsid w:val="00E80964"/>
    <w:rsid w:val="00E835B0"/>
    <w:rsid w:val="00E841A6"/>
    <w:rsid w:val="00E84BCB"/>
    <w:rsid w:val="00E85905"/>
    <w:rsid w:val="00E90DC4"/>
    <w:rsid w:val="00E9163F"/>
    <w:rsid w:val="00E91CB7"/>
    <w:rsid w:val="00E92A44"/>
    <w:rsid w:val="00E94989"/>
    <w:rsid w:val="00E956E8"/>
    <w:rsid w:val="00E97951"/>
    <w:rsid w:val="00EA022D"/>
    <w:rsid w:val="00EA0D10"/>
    <w:rsid w:val="00EA0F2C"/>
    <w:rsid w:val="00EA19CB"/>
    <w:rsid w:val="00EA2C8F"/>
    <w:rsid w:val="00EA5D64"/>
    <w:rsid w:val="00EA5FB0"/>
    <w:rsid w:val="00EA613A"/>
    <w:rsid w:val="00EA6A8C"/>
    <w:rsid w:val="00EB1261"/>
    <w:rsid w:val="00EB1359"/>
    <w:rsid w:val="00EB2AD1"/>
    <w:rsid w:val="00EB3067"/>
    <w:rsid w:val="00EB353E"/>
    <w:rsid w:val="00EB56E0"/>
    <w:rsid w:val="00EB5DDF"/>
    <w:rsid w:val="00EB6E66"/>
    <w:rsid w:val="00EC18E3"/>
    <w:rsid w:val="00EC3480"/>
    <w:rsid w:val="00EC3CEC"/>
    <w:rsid w:val="00EC4625"/>
    <w:rsid w:val="00EC78AB"/>
    <w:rsid w:val="00ED139E"/>
    <w:rsid w:val="00ED1759"/>
    <w:rsid w:val="00ED2081"/>
    <w:rsid w:val="00ED27A5"/>
    <w:rsid w:val="00ED3D78"/>
    <w:rsid w:val="00ED445D"/>
    <w:rsid w:val="00ED461C"/>
    <w:rsid w:val="00ED5E2B"/>
    <w:rsid w:val="00EE01C2"/>
    <w:rsid w:val="00EE1853"/>
    <w:rsid w:val="00EE37A2"/>
    <w:rsid w:val="00EE3B12"/>
    <w:rsid w:val="00EE5869"/>
    <w:rsid w:val="00EE5AF3"/>
    <w:rsid w:val="00EE5E91"/>
    <w:rsid w:val="00EE5F8C"/>
    <w:rsid w:val="00EE6B24"/>
    <w:rsid w:val="00EE73BC"/>
    <w:rsid w:val="00EF00AA"/>
    <w:rsid w:val="00EF5C49"/>
    <w:rsid w:val="00F0026A"/>
    <w:rsid w:val="00F021E7"/>
    <w:rsid w:val="00F026C1"/>
    <w:rsid w:val="00F039D1"/>
    <w:rsid w:val="00F0526B"/>
    <w:rsid w:val="00F05BEC"/>
    <w:rsid w:val="00F05D0F"/>
    <w:rsid w:val="00F05DB4"/>
    <w:rsid w:val="00F11A40"/>
    <w:rsid w:val="00F13358"/>
    <w:rsid w:val="00F1456D"/>
    <w:rsid w:val="00F15387"/>
    <w:rsid w:val="00F1545E"/>
    <w:rsid w:val="00F15D8B"/>
    <w:rsid w:val="00F16A1E"/>
    <w:rsid w:val="00F1722C"/>
    <w:rsid w:val="00F17D58"/>
    <w:rsid w:val="00F21D43"/>
    <w:rsid w:val="00F228F5"/>
    <w:rsid w:val="00F23FD4"/>
    <w:rsid w:val="00F24143"/>
    <w:rsid w:val="00F24197"/>
    <w:rsid w:val="00F241BE"/>
    <w:rsid w:val="00F24962"/>
    <w:rsid w:val="00F24A91"/>
    <w:rsid w:val="00F25038"/>
    <w:rsid w:val="00F3124A"/>
    <w:rsid w:val="00F31D41"/>
    <w:rsid w:val="00F34539"/>
    <w:rsid w:val="00F35005"/>
    <w:rsid w:val="00F364CB"/>
    <w:rsid w:val="00F36B4E"/>
    <w:rsid w:val="00F37601"/>
    <w:rsid w:val="00F4058E"/>
    <w:rsid w:val="00F407B9"/>
    <w:rsid w:val="00F4220F"/>
    <w:rsid w:val="00F423B8"/>
    <w:rsid w:val="00F43F58"/>
    <w:rsid w:val="00F45507"/>
    <w:rsid w:val="00F46014"/>
    <w:rsid w:val="00F47670"/>
    <w:rsid w:val="00F509C8"/>
    <w:rsid w:val="00F51371"/>
    <w:rsid w:val="00F51AF6"/>
    <w:rsid w:val="00F56113"/>
    <w:rsid w:val="00F5640F"/>
    <w:rsid w:val="00F56735"/>
    <w:rsid w:val="00F60F94"/>
    <w:rsid w:val="00F615F9"/>
    <w:rsid w:val="00F62055"/>
    <w:rsid w:val="00F620BE"/>
    <w:rsid w:val="00F64313"/>
    <w:rsid w:val="00F64DC5"/>
    <w:rsid w:val="00F708D0"/>
    <w:rsid w:val="00F73938"/>
    <w:rsid w:val="00F73E87"/>
    <w:rsid w:val="00F74224"/>
    <w:rsid w:val="00F747A9"/>
    <w:rsid w:val="00F76696"/>
    <w:rsid w:val="00F77A84"/>
    <w:rsid w:val="00F87905"/>
    <w:rsid w:val="00F9229E"/>
    <w:rsid w:val="00F92724"/>
    <w:rsid w:val="00F92A12"/>
    <w:rsid w:val="00F942E2"/>
    <w:rsid w:val="00F94626"/>
    <w:rsid w:val="00F9523B"/>
    <w:rsid w:val="00F9560B"/>
    <w:rsid w:val="00F95755"/>
    <w:rsid w:val="00F96E67"/>
    <w:rsid w:val="00F96E92"/>
    <w:rsid w:val="00FA13CB"/>
    <w:rsid w:val="00FA2BE9"/>
    <w:rsid w:val="00FA31AE"/>
    <w:rsid w:val="00FA4579"/>
    <w:rsid w:val="00FA4762"/>
    <w:rsid w:val="00FA4FCD"/>
    <w:rsid w:val="00FB037B"/>
    <w:rsid w:val="00FB118F"/>
    <w:rsid w:val="00FB1DA4"/>
    <w:rsid w:val="00FB2973"/>
    <w:rsid w:val="00FB32CE"/>
    <w:rsid w:val="00FB42CF"/>
    <w:rsid w:val="00FB511E"/>
    <w:rsid w:val="00FB51D6"/>
    <w:rsid w:val="00FB65B3"/>
    <w:rsid w:val="00FB6998"/>
    <w:rsid w:val="00FB7B5E"/>
    <w:rsid w:val="00FC07DD"/>
    <w:rsid w:val="00FC2B86"/>
    <w:rsid w:val="00FC48B5"/>
    <w:rsid w:val="00FC4CA2"/>
    <w:rsid w:val="00FC7629"/>
    <w:rsid w:val="00FC7B2A"/>
    <w:rsid w:val="00FD2E51"/>
    <w:rsid w:val="00FD3A84"/>
    <w:rsid w:val="00FD3D67"/>
    <w:rsid w:val="00FD536A"/>
    <w:rsid w:val="00FE3CEC"/>
    <w:rsid w:val="00FE4145"/>
    <w:rsid w:val="00FE5F2D"/>
    <w:rsid w:val="00FE743E"/>
    <w:rsid w:val="00FF0810"/>
    <w:rsid w:val="00FF11E6"/>
    <w:rsid w:val="00FF32F3"/>
    <w:rsid w:val="00FF41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B8B20DD7-0A59-4890-96FB-5849AC75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A8D"/>
    <w:rPr>
      <w:szCs w:val="24"/>
      <w:lang w:val="en-AU" w:eastAsia="en-AU"/>
    </w:rPr>
  </w:style>
  <w:style w:type="paragraph" w:styleId="Heading1">
    <w:name w:val="heading 1"/>
    <w:basedOn w:val="Normal"/>
    <w:next w:val="BodyText"/>
    <w:qFormat/>
    <w:rsid w:val="006D0095"/>
    <w:pPr>
      <w:keepNext/>
      <w:pageBreakBefore/>
      <w:numPr>
        <w:numId w:val="16"/>
      </w:numPr>
      <w:spacing w:after="1460" w:line="540" w:lineRule="atLeast"/>
      <w:outlineLvl w:val="0"/>
    </w:pPr>
    <w:rPr>
      <w:rFonts w:ascii="Franklin Gothic Book" w:hAnsi="Franklin Gothic Book"/>
      <w:color w:val="AD495D"/>
      <w:spacing w:val="-10"/>
      <w:kern w:val="28"/>
      <w:sz w:val="48"/>
      <w:szCs w:val="48"/>
    </w:rPr>
  </w:style>
  <w:style w:type="paragraph" w:styleId="Heading2">
    <w:name w:val="heading 2"/>
    <w:basedOn w:val="Heading1"/>
    <w:next w:val="BodyText"/>
    <w:qFormat/>
    <w:rsid w:val="00C371F2"/>
    <w:pPr>
      <w:pageBreakBefore w:val="0"/>
      <w:numPr>
        <w:ilvl w:val="1"/>
      </w:numPr>
      <w:tabs>
        <w:tab w:val="num" w:pos="1440"/>
      </w:tabs>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qFormat/>
    <w:rsid w:val="00C371F2"/>
    <w:pPr>
      <w:numPr>
        <w:ilvl w:val="2"/>
      </w:numPr>
      <w:tabs>
        <w:tab w:val="num" w:pos="2160"/>
      </w:tabs>
      <w:spacing w:before="380" w:after="0" w:line="280" w:lineRule="atLeast"/>
      <w:ind w:left="0" w:firstLine="0"/>
      <w:outlineLvl w:val="2"/>
    </w:pPr>
    <w:rPr>
      <w:rFonts w:ascii="Franklin Gothic Medium" w:hAnsi="Franklin Gothic Medium"/>
      <w:color w:val="54534A"/>
      <w:sz w:val="24"/>
      <w:szCs w:val="24"/>
    </w:rPr>
  </w:style>
  <w:style w:type="paragraph" w:styleId="Heading4">
    <w:name w:val="heading 4"/>
    <w:basedOn w:val="Heading3"/>
    <w:next w:val="BodyText"/>
    <w:qFormat/>
    <w:rsid w:val="0017313D"/>
    <w:pPr>
      <w:numPr>
        <w:ilvl w:val="3"/>
      </w:numPr>
      <w:tabs>
        <w:tab w:val="num" w:pos="2880"/>
      </w:tabs>
      <w:spacing w:before="300" w:line="260" w:lineRule="atLeast"/>
      <w:ind w:left="2880" w:hanging="360"/>
      <w:outlineLvl w:val="3"/>
    </w:pPr>
    <w:rPr>
      <w:color w:val="5A9A98"/>
      <w:sz w:val="22"/>
      <w:szCs w:val="22"/>
    </w:rPr>
  </w:style>
  <w:style w:type="paragraph" w:styleId="Heading5">
    <w:name w:val="heading 5"/>
    <w:basedOn w:val="BodyText"/>
    <w:next w:val="BodyText"/>
    <w:qFormat/>
    <w:rsid w:val="0017313D"/>
    <w:pPr>
      <w:keepNext/>
      <w:numPr>
        <w:ilvl w:val="4"/>
        <w:numId w:val="16"/>
      </w:numPr>
      <w:spacing w:before="320" w:after="0"/>
      <w:outlineLvl w:val="4"/>
    </w:pPr>
    <w:rPr>
      <w:b/>
      <w:color w:val="54534A"/>
    </w:rPr>
  </w:style>
  <w:style w:type="paragraph" w:styleId="Heading6">
    <w:name w:val="heading 6"/>
    <w:basedOn w:val="Heading1"/>
    <w:next w:val="BodyText"/>
    <w:qFormat/>
    <w:rsid w:val="00C371F2"/>
    <w:pPr>
      <w:numPr>
        <w:ilvl w:val="5"/>
      </w:numPr>
      <w:tabs>
        <w:tab w:val="num" w:pos="4320"/>
      </w:tabs>
      <w:ind w:left="4320" w:firstLine="0"/>
      <w:outlineLvl w:val="5"/>
    </w:pPr>
    <w:rPr>
      <w:bCs/>
    </w:rPr>
  </w:style>
  <w:style w:type="paragraph" w:styleId="Heading7">
    <w:name w:val="heading 7"/>
    <w:basedOn w:val="Heading2"/>
    <w:next w:val="BodyText"/>
    <w:qFormat/>
    <w:rsid w:val="00C371F2"/>
    <w:pPr>
      <w:numPr>
        <w:ilvl w:val="6"/>
      </w:numPr>
      <w:tabs>
        <w:tab w:val="num" w:pos="5040"/>
      </w:tabs>
      <w:ind w:left="0" w:firstLine="0"/>
      <w:outlineLvl w:val="6"/>
    </w:pPr>
  </w:style>
  <w:style w:type="paragraph" w:styleId="Heading8">
    <w:name w:val="heading 8"/>
    <w:basedOn w:val="Heading3"/>
    <w:next w:val="BodyText"/>
    <w:qFormat/>
    <w:rsid w:val="0017313D"/>
    <w:pPr>
      <w:numPr>
        <w:ilvl w:val="7"/>
      </w:numPr>
      <w:tabs>
        <w:tab w:val="num" w:pos="1440"/>
        <w:tab w:val="num" w:pos="5760"/>
      </w:tabs>
      <w:ind w:left="5760" w:hanging="360"/>
      <w:outlineLvl w:val="7"/>
    </w:pPr>
  </w:style>
  <w:style w:type="paragraph" w:styleId="Heading9">
    <w:name w:val="heading 9"/>
    <w:basedOn w:val="Heading4"/>
    <w:next w:val="BodyText"/>
    <w:qFormat/>
    <w:rsid w:val="0017313D"/>
    <w:pPr>
      <w:numPr>
        <w:ilvl w:val="8"/>
      </w:numPr>
      <w:tabs>
        <w:tab w:val="num" w:pos="6480"/>
      </w:tabs>
      <w:ind w:left="64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basedOn w:val="DefaultParagraphFont"/>
    <w:link w:val="BodyText"/>
    <w:locked/>
    <w:rsid w:val="0001356A"/>
    <w:rPr>
      <w:rFonts w:ascii="Georgia" w:hAnsi="Georgia" w:cs="Times New Roman"/>
      <w:sz w:val="19"/>
      <w:szCs w:val="19"/>
      <w:lang w:val="en-AU" w:eastAsia="en-AU" w:bidi="ar-SA"/>
    </w:rPr>
  </w:style>
  <w:style w:type="paragraph" w:customStyle="1" w:styleId="CharChar">
    <w:name w:val="Char Char"/>
    <w:basedOn w:val="Normal"/>
    <w:semiHidden/>
    <w:rsid w:val="00953A8D"/>
    <w:pPr>
      <w:spacing w:before="180" w:line="280" w:lineRule="atLeast"/>
    </w:pPr>
    <w:rPr>
      <w:rFonts w:ascii="Arial" w:hAnsi="Arial"/>
      <w:sz w:val="22"/>
      <w:szCs w:val="20"/>
      <w:lang w:eastAsia="en-US"/>
    </w:rPr>
  </w:style>
  <w:style w:type="character" w:customStyle="1" w:styleId="DraftingNote">
    <w:name w:val="Drafting Note"/>
    <w:basedOn w:val="DefaultParagraphFont"/>
    <w:rsid w:val="00F0026A"/>
    <w:rPr>
      <w:rFonts w:ascii="Georgia" w:hAnsi="Georgia" w:cs="Times New Roman"/>
      <w:b/>
      <w:color w:val="FF0000"/>
      <w:sz w:val="19"/>
      <w:szCs w:val="19"/>
      <w:u w:val="dotted"/>
    </w:rPr>
  </w:style>
  <w:style w:type="paragraph" w:customStyle="1" w:styleId="Heading1unnumbered">
    <w:name w:val="Heading 1 unnumbered"/>
    <w:basedOn w:val="Heading1"/>
    <w:next w:val="BodyText"/>
    <w:rsid w:val="00C371F2"/>
    <w:pPr>
      <w:numPr>
        <w:numId w:val="0"/>
      </w:numPr>
    </w:pPr>
  </w:style>
  <w:style w:type="paragraph" w:customStyle="1" w:styleId="Heading2unnumbered">
    <w:name w:val="Heading 2 unnumbered"/>
    <w:basedOn w:val="Heading2"/>
    <w:next w:val="BodyText"/>
    <w:rsid w:val="00C371F2"/>
    <w:pPr>
      <w:numPr>
        <w:ilvl w:val="0"/>
        <w:numId w:val="0"/>
      </w:numPr>
    </w:pPr>
  </w:style>
  <w:style w:type="paragraph" w:customStyle="1" w:styleId="Heading7unnumbered">
    <w:name w:val="Heading 7 unnumbered"/>
    <w:basedOn w:val="Heading7"/>
    <w:next w:val="BodyText"/>
    <w:semiHidden/>
    <w:rsid w:val="00C371F2"/>
    <w:pPr>
      <w:numPr>
        <w:ilvl w:val="0"/>
        <w:numId w:val="0"/>
      </w:numPr>
    </w:pPr>
  </w:style>
  <w:style w:type="paragraph" w:styleId="ListBullet">
    <w:name w:val="List Bullet"/>
    <w:basedOn w:val="BodyText"/>
    <w:rsid w:val="00994454"/>
    <w:pPr>
      <w:numPr>
        <w:numId w:val="49"/>
      </w:numPr>
      <w:spacing w:before="0"/>
    </w:pPr>
  </w:style>
  <w:style w:type="paragraph" w:styleId="ListBullet2">
    <w:name w:val="List Bullet 2"/>
    <w:basedOn w:val="ListBullet"/>
    <w:rsid w:val="00994454"/>
    <w:pPr>
      <w:numPr>
        <w:numId w:val="41"/>
      </w:numPr>
    </w:pPr>
  </w:style>
  <w:style w:type="paragraph" w:styleId="ListNumber">
    <w:name w:val="List Number"/>
    <w:basedOn w:val="ListBullet"/>
    <w:rsid w:val="000B146D"/>
  </w:style>
  <w:style w:type="paragraph" w:styleId="ListNumber2">
    <w:name w:val="List Number 2"/>
    <w:basedOn w:val="ListNumber"/>
    <w:rsid w:val="00B84A71"/>
    <w:pPr>
      <w:tabs>
        <w:tab w:val="clear" w:pos="284"/>
        <w:tab w:val="num" w:pos="567"/>
      </w:tabs>
      <w:ind w:left="567" w:hanging="283"/>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Abbreviation">
    <w:name w:val="Abbreviation"/>
    <w:basedOn w:val="BodyText"/>
    <w:rsid w:val="00F64313"/>
    <w:pPr>
      <w:ind w:left="1418" w:hanging="1418"/>
    </w:p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1"/>
    <w:qFormat/>
    <w:rsid w:val="00B546BF"/>
    <w:pPr>
      <w:pageBreakBefore/>
      <w:spacing w:before="1800" w:line="640" w:lineRule="atLeast"/>
      <w:ind w:left="2381" w:right="-1418"/>
    </w:pPr>
    <w:rPr>
      <w:rFonts w:ascii="Franklin Gothic Book" w:hAnsi="Franklin Gothic Book"/>
      <w:color w:val="5A9A98"/>
      <w:kern w:val="28"/>
      <w:sz w:val="50"/>
      <w:szCs w:val="50"/>
    </w:rPr>
  </w:style>
  <w:style w:type="paragraph" w:styleId="Subtitle">
    <w:name w:val="Subtitle"/>
    <w:basedOn w:val="Title"/>
    <w:next w:val="Date"/>
    <w:link w:val="SubtitleChar1"/>
    <w:qFormat/>
    <w:rsid w:val="00257199"/>
    <w:pPr>
      <w:pageBreakBefore w:val="0"/>
      <w:spacing w:before="200" w:line="380" w:lineRule="atLeast"/>
    </w:pPr>
    <w:rPr>
      <w:sz w:val="32"/>
      <w:szCs w:val="32"/>
    </w:rPr>
  </w:style>
  <w:style w:type="paragraph" w:styleId="Date">
    <w:name w:val="Date"/>
    <w:basedOn w:val="Subtitle"/>
    <w:next w:val="Author"/>
    <w:link w:val="DateChar1"/>
    <w:rsid w:val="00381894"/>
    <w:pPr>
      <w:spacing w:after="600"/>
    </w:pPr>
    <w:rPr>
      <w:sz w:val="24"/>
      <w:szCs w:val="24"/>
    </w:rPr>
  </w:style>
  <w:style w:type="paragraph" w:customStyle="1" w:styleId="Author">
    <w:name w:val="Author"/>
    <w:basedOn w:val="Date"/>
    <w:next w:val="Position"/>
    <w:link w:val="AuthorCharChar"/>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rsid w:val="0075426C"/>
    <w:pPr>
      <w:spacing w:before="0"/>
    </w:pPr>
    <w:rPr>
      <w:rFonts w:ascii="Franklin Gothic Book" w:hAnsi="Franklin Gothic Book"/>
    </w:rPr>
  </w:style>
  <w:style w:type="character" w:customStyle="1" w:styleId="PositionCharChar">
    <w:name w:val="Position Char Char"/>
    <w:basedOn w:val="AuthorCharChar"/>
    <w:link w:val="Position"/>
    <w:locked/>
    <w:rsid w:val="0075426C"/>
    <w:rPr>
      <w:rFonts w:ascii="Franklin Gothic Book" w:hAnsi="Franklin Gothic Book" w:cs="Times New Roman"/>
      <w:color w:val="5A9A98"/>
      <w:spacing w:val="-2"/>
      <w:kern w:val="28"/>
      <w:sz w:val="24"/>
      <w:szCs w:val="24"/>
      <w:lang w:val="en-AU" w:eastAsia="en-AU" w:bidi="ar-SA"/>
    </w:rPr>
  </w:style>
  <w:style w:type="character" w:customStyle="1" w:styleId="AuthorCharChar">
    <w:name w:val="Author Char Char"/>
    <w:basedOn w:val="DateChar1"/>
    <w:link w:val="Author"/>
    <w:locked/>
    <w:rsid w:val="0075426C"/>
    <w:rPr>
      <w:rFonts w:ascii="Franklin Gothic Medium" w:hAnsi="Franklin Gothic Medium" w:cs="Times New Roman"/>
      <w:color w:val="5A9A98"/>
      <w:spacing w:val="-2"/>
      <w:kern w:val="28"/>
      <w:sz w:val="24"/>
      <w:szCs w:val="24"/>
      <w:lang w:val="en-AU" w:eastAsia="en-AU" w:bidi="ar-SA"/>
    </w:rPr>
  </w:style>
  <w:style w:type="character" w:customStyle="1" w:styleId="DateChar1">
    <w:name w:val="Date Char1"/>
    <w:basedOn w:val="SubtitleChar1"/>
    <w:link w:val="Date"/>
    <w:locked/>
    <w:rsid w:val="00381894"/>
    <w:rPr>
      <w:rFonts w:ascii="Franklin Gothic Book" w:hAnsi="Franklin Gothic Book" w:cs="Times New Roman"/>
      <w:color w:val="5A9A98"/>
      <w:kern w:val="28"/>
      <w:sz w:val="24"/>
      <w:szCs w:val="24"/>
      <w:lang w:val="en-AU" w:eastAsia="en-AU" w:bidi="ar-SA"/>
    </w:rPr>
  </w:style>
  <w:style w:type="character" w:customStyle="1" w:styleId="SubtitleChar1">
    <w:name w:val="Subtitle Char1"/>
    <w:basedOn w:val="TitleChar1"/>
    <w:link w:val="Subtitle"/>
    <w:locked/>
    <w:rsid w:val="00E27A1E"/>
    <w:rPr>
      <w:rFonts w:ascii="Franklin Gothic Book" w:hAnsi="Franklin Gothic Book" w:cs="Times New Roman"/>
      <w:color w:val="5A9A98"/>
      <w:kern w:val="28"/>
      <w:sz w:val="32"/>
      <w:szCs w:val="32"/>
      <w:lang w:val="en-AU" w:eastAsia="en-AU" w:bidi="ar-SA"/>
    </w:rPr>
  </w:style>
  <w:style w:type="character" w:customStyle="1" w:styleId="TitleChar1">
    <w:name w:val="Title Char1"/>
    <w:basedOn w:val="DefaultParagraphFont"/>
    <w:link w:val="Title"/>
    <w:locked/>
    <w:rsid w:val="00B546BF"/>
    <w:rPr>
      <w:rFonts w:ascii="Franklin Gothic Book" w:hAnsi="Franklin Gothic Book" w:cs="Times New Roman"/>
      <w:color w:val="5A9A98"/>
      <w:kern w:val="28"/>
      <w:sz w:val="50"/>
      <w:szCs w:val="50"/>
      <w:lang w:val="en-AU" w:eastAsia="en-AU" w:bidi="ar-SA"/>
    </w:rPr>
  </w:style>
  <w:style w:type="paragraph" w:customStyle="1" w:styleId="Contents">
    <w:name w:val="Contents"/>
    <w:basedOn w:val="Normal"/>
    <w:next w:val="BodyText"/>
    <w:semiHidden/>
    <w:rsid w:val="006D0095"/>
    <w:pPr>
      <w:pageBreakBefore/>
      <w:spacing w:after="1860" w:line="540" w:lineRule="exact"/>
    </w:pPr>
    <w:rPr>
      <w:rFonts w:ascii="Franklin Gothic Book" w:hAnsi="Franklin Gothic Book"/>
      <w:color w:val="AD495D"/>
      <w:kern w:val="28"/>
      <w:sz w:val="48"/>
      <w:szCs w:val="48"/>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7A2D4A"/>
    <w:rPr>
      <w:rFonts w:ascii="Franklin Gothic Medium" w:hAnsi="Franklin Gothic Medium" w:cs="Times New Roman"/>
      <w:color w:val="54534A"/>
      <w:sz w:val="14"/>
      <w:szCs w:val="14"/>
    </w:rPr>
  </w:style>
  <w:style w:type="paragraph" w:styleId="TOC1">
    <w:name w:val="toc 1"/>
    <w:basedOn w:val="BodyText"/>
    <w:next w:val="BodyText"/>
    <w:semiHidden/>
    <w:rsid w:val="00B546BF"/>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semiHidden/>
    <w:rsid w:val="00B546BF"/>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semiHidden/>
    <w:rsid w:val="008E6453"/>
    <w:rPr>
      <w:rFonts w:ascii="Franklin Gothic Book" w:hAnsi="Franklin Gothic Book" w:cs="Times New Roman"/>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ED5E2B"/>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tabs>
        <w:tab w:val="num" w:pos="284"/>
      </w:tabs>
      <w:spacing w:before="0"/>
      <w:ind w:left="284" w:hanging="284"/>
    </w:pPr>
    <w:rPr>
      <w:szCs w:val="20"/>
    </w:rPr>
  </w:style>
  <w:style w:type="paragraph" w:customStyle="1" w:styleId="BoxText">
    <w:name w:val="Box Text"/>
    <w:basedOn w:val="Normal"/>
    <w:rsid w:val="009A28D5"/>
    <w:pPr>
      <w:spacing w:before="60" w:after="60" w:line="260" w:lineRule="atLeast"/>
    </w:pPr>
    <w:rPr>
      <w:rFonts w:ascii="Franklin Gothic Book" w:hAnsi="Franklin Gothic Book"/>
      <w:sz w:val="18"/>
      <w:szCs w:val="18"/>
    </w:rPr>
  </w:style>
  <w:style w:type="character" w:customStyle="1" w:styleId="NoteLabel">
    <w:name w:val="Note Label"/>
    <w:basedOn w:val="DefaultParagraphFont"/>
    <w:rsid w:val="0073548A"/>
    <w:rPr>
      <w:rFonts w:ascii="Franklin Gothic Medium" w:hAnsi="Franklin Gothic Medium" w:cs="Times New Roman"/>
      <w:color w:val="auto"/>
      <w:position w:val="4"/>
      <w:sz w:val="14"/>
      <w:szCs w:val="14"/>
    </w:rPr>
  </w:style>
  <w:style w:type="paragraph" w:customStyle="1" w:styleId="Note">
    <w:name w:val="Note"/>
    <w:basedOn w:val="TableTextEntries"/>
    <w:next w:val="Source"/>
    <w:link w:val="NoteCharChar"/>
    <w:rsid w:val="005900F7"/>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5900F7"/>
    <w:pPr>
      <w:spacing w:after="240"/>
    </w:pPr>
  </w:style>
  <w:style w:type="character" w:customStyle="1" w:styleId="NoteCharChar">
    <w:name w:val="Note Char Char"/>
    <w:basedOn w:val="DefaultParagraphFont"/>
    <w:link w:val="Note"/>
    <w:locked/>
    <w:rsid w:val="008D75EB"/>
    <w:rPr>
      <w:rFonts w:ascii="Franklin Gothic Book" w:hAnsi="Franklin Gothic Book" w:cs="Times New Roman"/>
      <w:sz w:val="14"/>
      <w:szCs w:val="14"/>
      <w:lang w:val="en-AU" w:eastAsia="en-US" w:bidi="ar-SA"/>
    </w:r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B546BF"/>
    <w:pPr>
      <w:tabs>
        <w:tab w:val="num" w:pos="227"/>
      </w:tabs>
      <w:ind w:left="227" w:hanging="227"/>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B546B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B546BF"/>
    <w:pPr>
      <w:tabs>
        <w:tab w:val="left" w:pos="284"/>
        <w:tab w:val="right" w:pos="8222"/>
      </w:tabs>
      <w:ind w:left="284" w:right="567" w:hanging="284"/>
    </w:pPr>
  </w:style>
  <w:style w:type="character" w:styleId="CommentReference">
    <w:name w:val="annotation reference"/>
    <w:basedOn w:val="DefaultParagraphFont"/>
    <w:rsid w:val="007A2D4A"/>
    <w:rPr>
      <w:rFonts w:ascii="Franklin Gothic Medium" w:hAnsi="Franklin Gothic Medium" w:cs="Times New Roman"/>
      <w:vanish/>
      <w:color w:val="FF00FF"/>
      <w:sz w:val="16"/>
      <w:szCs w:val="16"/>
    </w:rPr>
  </w:style>
  <w:style w:type="paragraph" w:styleId="CommentText">
    <w:name w:val="annotation text"/>
    <w:basedOn w:val="BodyText"/>
    <w:rsid w:val="006C0478"/>
    <w:pPr>
      <w:spacing w:before="0" w:after="0" w:line="240" w:lineRule="atLeast"/>
    </w:pPr>
  </w:style>
  <w:style w:type="character" w:styleId="FootnoteReference">
    <w:name w:val="footnote reference"/>
    <w:basedOn w:val="DefaultParagraphFont"/>
    <w:rsid w:val="00FB1DA4"/>
    <w:rPr>
      <w:rFonts w:ascii="Franklin Gothic Book" w:hAnsi="Franklin Gothic Book" w:cs="Times New Roman"/>
      <w:w w:val="100"/>
      <w:position w:val="6"/>
      <w:sz w:val="12"/>
      <w:szCs w:val="12"/>
      <w:vertAlign w:val="baseline"/>
    </w:rPr>
  </w:style>
  <w:style w:type="paragraph" w:styleId="FootnoteText">
    <w:name w:val="footnote text"/>
    <w:basedOn w:val="BodyText"/>
    <w:link w:val="FootnoteTextChar"/>
    <w:rsid w:val="00281D52"/>
    <w:pPr>
      <w:spacing w:before="0" w:after="0" w:line="180" w:lineRule="atLeast"/>
      <w:ind w:left="284" w:hanging="284"/>
    </w:pPr>
    <w:rPr>
      <w:rFonts w:ascii="Franklin Gothic Book" w:hAnsi="Franklin Gothic Book"/>
      <w:sz w:val="14"/>
      <w:szCs w:val="14"/>
    </w:rPr>
  </w:style>
  <w:style w:type="character" w:customStyle="1" w:styleId="FootnoteTextChar">
    <w:name w:val="Footnote Text Char"/>
    <w:basedOn w:val="DefaultParagraphFont"/>
    <w:link w:val="FootnoteText"/>
    <w:locked/>
    <w:rsid w:val="003B3AC9"/>
    <w:rPr>
      <w:rFonts w:ascii="Franklin Gothic Book" w:hAnsi="Franklin Gothic Book" w:cs="Times New Roman"/>
      <w:sz w:val="14"/>
      <w:szCs w:val="14"/>
      <w:lang w:val="en-AU" w:eastAsia="en-AU" w:bidi="ar-SA"/>
    </w:rPr>
  </w:style>
  <w:style w:type="character" w:styleId="Hyperlink">
    <w:name w:val="Hyperlink"/>
    <w:basedOn w:val="DefaultParagraphFont"/>
    <w:semiHidden/>
    <w:rsid w:val="00B97541"/>
    <w:rPr>
      <w:rFonts w:cs="Times New Roman"/>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spacing w:before="50" w:after="0" w:line="190" w:lineRule="exact"/>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B546BF"/>
    <w:pPr>
      <w:tabs>
        <w:tab w:val="left" w:pos="1418"/>
      </w:tabs>
      <w:ind w:left="1418" w:hanging="1418"/>
    </w:pPr>
  </w:style>
  <w:style w:type="paragraph" w:customStyle="1" w:styleId="CharChar2">
    <w:name w:val="Char Char2"/>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FB037B"/>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B546BF"/>
    <w:pPr>
      <w:tabs>
        <w:tab w:val="clear" w:pos="227"/>
        <w:tab w:val="num" w:pos="454"/>
      </w:tabs>
      <w:ind w:left="454"/>
    </w:pPr>
  </w:style>
  <w:style w:type="character" w:customStyle="1" w:styleId="TableListBullet2CharChar">
    <w:name w:val="Table List Bullet 2 Char Char"/>
    <w:basedOn w:val="DefaultParagraphFont"/>
    <w:link w:val="TableListBullet2"/>
    <w:locked/>
    <w:rsid w:val="00C05EB3"/>
    <w:rPr>
      <w:rFonts w:ascii="Franklin Gothic Book" w:hAnsi="Franklin Gothic Book" w:cs="Times New Roman"/>
      <w:sz w:val="17"/>
      <w:szCs w:val="17"/>
      <w:lang w:val="x-none" w:eastAsia="en-US"/>
    </w:rPr>
  </w:style>
  <w:style w:type="paragraph" w:customStyle="1" w:styleId="TableListNumber">
    <w:name w:val="Table List Number"/>
    <w:basedOn w:val="TableTextEntries"/>
    <w:rsid w:val="008C0773"/>
    <w:pPr>
      <w:tabs>
        <w:tab w:val="num" w:pos="227"/>
      </w:tabs>
      <w:ind w:left="227" w:hanging="227"/>
    </w:pPr>
  </w:style>
  <w:style w:type="paragraph" w:customStyle="1" w:styleId="TableListNumber2">
    <w:name w:val="Table List Number 2"/>
    <w:basedOn w:val="TableListNumber"/>
    <w:rsid w:val="00396E51"/>
    <w:pPr>
      <w:tabs>
        <w:tab w:val="clear" w:pos="227"/>
        <w:tab w:val="num" w:pos="454"/>
      </w:tabs>
      <w:ind w:left="454"/>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paragraph" w:customStyle="1" w:styleId="NoteNumber">
    <w:name w:val="Note Number"/>
    <w:basedOn w:val="TableTextEntries"/>
    <w:link w:val="NoteNumberCharChar"/>
    <w:rsid w:val="001E3D04"/>
    <w:pPr>
      <w:tabs>
        <w:tab w:val="num" w:pos="170"/>
      </w:tabs>
      <w:spacing w:after="0" w:line="180" w:lineRule="atLeast"/>
    </w:pPr>
    <w:rPr>
      <w:sz w:val="14"/>
      <w:szCs w:val="14"/>
    </w:rPr>
  </w:style>
  <w:style w:type="character" w:customStyle="1" w:styleId="NoteNumberCharChar">
    <w:name w:val="Note Number Char Char"/>
    <w:basedOn w:val="DefaultParagraphFont"/>
    <w:link w:val="NoteNumber"/>
    <w:locked/>
    <w:rsid w:val="001E3D04"/>
    <w:rPr>
      <w:rFonts w:ascii="Franklin Gothic Book" w:hAnsi="Franklin Gothic Book" w:cs="Times New Roman"/>
      <w:sz w:val="14"/>
      <w:szCs w:val="14"/>
      <w:lang w:val="x-none" w:eastAsia="en-US"/>
    </w:rPr>
  </w:style>
  <w:style w:type="character" w:styleId="FollowedHyperlink">
    <w:name w:val="FollowedHyperlink"/>
    <w:basedOn w:val="DefaultParagraphFont"/>
    <w:semiHidden/>
    <w:rsid w:val="00085585"/>
    <w:rPr>
      <w:rFonts w:cs="Times New Roman"/>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tabs>
        <w:tab w:val="clear" w:pos="284"/>
        <w:tab w:val="num" w:pos="567"/>
      </w:tabs>
      <w:ind w:left="567" w:hanging="283"/>
    </w:pPr>
    <w:rPr>
      <w:szCs w:val="18"/>
    </w:rPr>
  </w:style>
  <w:style w:type="paragraph" w:customStyle="1" w:styleId="BoxListNumber">
    <w:name w:val="Box List Number"/>
    <w:basedOn w:val="BoxText"/>
    <w:rsid w:val="00165C4D"/>
    <w:pPr>
      <w:tabs>
        <w:tab w:val="num" w:pos="284"/>
      </w:tabs>
      <w:spacing w:before="0"/>
      <w:ind w:left="284" w:hanging="284"/>
    </w:pPr>
  </w:style>
  <w:style w:type="paragraph" w:customStyle="1" w:styleId="BoxListNumber2">
    <w:name w:val="Box List Number 2"/>
    <w:basedOn w:val="BoxListNumber"/>
    <w:rsid w:val="006C6761"/>
    <w:pPr>
      <w:tabs>
        <w:tab w:val="clear" w:pos="284"/>
        <w:tab w:val="num" w:pos="567"/>
      </w:tabs>
      <w:ind w:left="567" w:hanging="283"/>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187D56"/>
    <w:pPr>
      <w:spacing w:before="140" w:after="240" w:line="180" w:lineRule="exact"/>
    </w:pPr>
    <w:rPr>
      <w:rFonts w:ascii="Franklin Gothic Medium" w:hAnsi="Franklin Gothic Medium"/>
      <w:color w:val="54534A"/>
      <w:sz w:val="14"/>
      <w:szCs w:val="14"/>
    </w:rPr>
  </w:style>
  <w:style w:type="table" w:styleId="TableGrid">
    <w:name w:val="Table Grid"/>
    <w:basedOn w:val="TableNormal"/>
    <w:semiHidden/>
    <w:rsid w:val="005C4005"/>
    <w:rPr>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rsid w:val="00994454"/>
    <w:pPr>
      <w:numPr>
        <w:numId w:val="48"/>
      </w:numPr>
      <w:spacing w:before="80"/>
    </w:pPr>
  </w:style>
  <w:style w:type="paragraph" w:customStyle="1" w:styleId="Ratingamber">
    <w:name w:val="Rating amber"/>
    <w:basedOn w:val="Ratingred"/>
    <w:rsid w:val="00994454"/>
    <w:pPr>
      <w:numPr>
        <w:numId w:val="47"/>
      </w:numPr>
    </w:pPr>
  </w:style>
  <w:style w:type="paragraph" w:customStyle="1" w:styleId="Ratinggreen">
    <w:name w:val="Rating green"/>
    <w:basedOn w:val="Ratingamber"/>
    <w:rsid w:val="00994454"/>
    <w:pPr>
      <w:numPr>
        <w:numId w:val="43"/>
      </w:numPr>
    </w:pPr>
  </w:style>
  <w:style w:type="paragraph" w:customStyle="1" w:styleId="Heading2numbered">
    <w:name w:val="Heading 2 numbered"/>
    <w:basedOn w:val="Heading2"/>
    <w:next w:val="Normal"/>
    <w:rsid w:val="003B3AC9"/>
    <w:pPr>
      <w:numPr>
        <w:ilvl w:val="0"/>
        <w:numId w:val="0"/>
      </w:numPr>
      <w:tabs>
        <w:tab w:val="num" w:pos="357"/>
      </w:tabs>
      <w:spacing w:before="360" w:after="60" w:line="240" w:lineRule="auto"/>
      <w:ind w:left="357" w:hanging="357"/>
    </w:pPr>
    <w:rPr>
      <w:rFonts w:ascii="Arial" w:hAnsi="Arial" w:cs="Arial"/>
      <w:b/>
      <w:i/>
      <w:iCs/>
      <w:color w:val="auto"/>
      <w:kern w:val="0"/>
      <w:sz w:val="22"/>
      <w:szCs w:val="20"/>
    </w:rPr>
  </w:style>
  <w:style w:type="paragraph" w:customStyle="1" w:styleId="Heading3numbered">
    <w:name w:val="Heading 3 numbered"/>
    <w:basedOn w:val="Heading3"/>
    <w:next w:val="Normal"/>
    <w:rsid w:val="003B3AC9"/>
    <w:pPr>
      <w:numPr>
        <w:ilvl w:val="0"/>
        <w:numId w:val="0"/>
      </w:numPr>
      <w:tabs>
        <w:tab w:val="num" w:pos="494"/>
      </w:tabs>
      <w:spacing w:before="160" w:after="60" w:line="240" w:lineRule="auto"/>
      <w:ind w:left="494" w:hanging="494"/>
    </w:pPr>
    <w:rPr>
      <w:rFonts w:ascii="Arial" w:hAnsi="Arial"/>
      <w:b/>
      <w:bCs/>
      <w:i/>
      <w:iCs/>
      <w:color w:val="auto"/>
      <w:kern w:val="0"/>
      <w:sz w:val="22"/>
      <w:szCs w:val="26"/>
      <w:lang w:eastAsia="en-US"/>
    </w:rPr>
  </w:style>
  <w:style w:type="paragraph" w:customStyle="1" w:styleId="TableTitle">
    <w:name w:val="TableTitle"/>
    <w:basedOn w:val="Normal"/>
    <w:next w:val="Normal"/>
    <w:rsid w:val="003B3AC9"/>
    <w:pPr>
      <w:keepNext/>
      <w:spacing w:before="240" w:after="120"/>
      <w:jc w:val="center"/>
    </w:pPr>
    <w:rPr>
      <w:rFonts w:ascii="Arial" w:hAnsi="Arial"/>
      <w:b/>
      <w:lang w:eastAsia="en-US"/>
    </w:rPr>
  </w:style>
  <w:style w:type="character" w:customStyle="1" w:styleId="CharChar1">
    <w:name w:val="Char Char1"/>
    <w:basedOn w:val="DefaultParagraphFont"/>
    <w:rsid w:val="0001356A"/>
    <w:rPr>
      <w:rFonts w:ascii="Georgia" w:hAnsi="Georgia" w:cs="Times New Roman"/>
      <w:sz w:val="19"/>
      <w:szCs w:val="19"/>
      <w:lang w:val="en-AU" w:eastAsia="en-AU" w:bidi="ar-SA"/>
    </w:rPr>
  </w:style>
  <w:style w:type="paragraph" w:styleId="ListBullet3">
    <w:name w:val="List Bullet 3"/>
    <w:basedOn w:val="Normal"/>
    <w:link w:val="ListBullet3Char"/>
    <w:rsid w:val="003B3AC9"/>
    <w:pPr>
      <w:tabs>
        <w:tab w:val="num" w:pos="792"/>
      </w:tabs>
      <w:ind w:left="792" w:hanging="432"/>
    </w:pPr>
    <w:rPr>
      <w:rFonts w:ascii="Arial" w:hAnsi="Arial"/>
      <w:sz w:val="22"/>
      <w:lang w:eastAsia="en-US"/>
    </w:rPr>
  </w:style>
  <w:style w:type="paragraph" w:styleId="EndnoteText">
    <w:name w:val="endnote text"/>
    <w:basedOn w:val="Normal"/>
    <w:link w:val="EndnoteTextChar1"/>
    <w:semiHidden/>
    <w:rsid w:val="003B3AC9"/>
    <w:rPr>
      <w:rFonts w:eastAsia="SimSun"/>
      <w:szCs w:val="20"/>
      <w:lang w:eastAsia="zh-CN"/>
    </w:rPr>
  </w:style>
  <w:style w:type="character" w:customStyle="1" w:styleId="EndnoteTextChar1">
    <w:name w:val="Endnote Text Char1"/>
    <w:basedOn w:val="DefaultParagraphFont"/>
    <w:link w:val="EndnoteText"/>
    <w:semiHidden/>
    <w:locked/>
    <w:rsid w:val="003B3AC9"/>
    <w:rPr>
      <w:rFonts w:eastAsia="SimSun" w:cs="Times New Roman"/>
      <w:lang w:val="en-AU" w:eastAsia="zh-CN" w:bidi="ar-SA"/>
    </w:rPr>
  </w:style>
  <w:style w:type="paragraph" w:styleId="CommentSubject">
    <w:name w:val="annotation subject"/>
    <w:basedOn w:val="CommentText"/>
    <w:next w:val="CommentText"/>
    <w:semiHidden/>
    <w:rsid w:val="00C46378"/>
    <w:pPr>
      <w:spacing w:line="240" w:lineRule="auto"/>
    </w:pPr>
    <w:rPr>
      <w:rFonts w:ascii="Times New Roman" w:hAnsi="Times New Roman"/>
      <w:b/>
      <w:bCs/>
      <w:sz w:val="20"/>
      <w:szCs w:val="20"/>
    </w:rPr>
  </w:style>
  <w:style w:type="paragraph" w:styleId="BalloonText">
    <w:name w:val="Balloon Text"/>
    <w:basedOn w:val="Normal"/>
    <w:semiHidden/>
    <w:rsid w:val="00C46378"/>
    <w:rPr>
      <w:rFonts w:ascii="Tahoma" w:hAnsi="Tahoma" w:cs="Tahoma"/>
      <w:sz w:val="16"/>
      <w:szCs w:val="16"/>
    </w:rPr>
  </w:style>
  <w:style w:type="character" w:styleId="HTMLCite">
    <w:name w:val="HTML Cite"/>
    <w:basedOn w:val="DefaultParagraphFont"/>
    <w:rsid w:val="00370F7C"/>
    <w:rPr>
      <w:rFonts w:cs="Times New Roman"/>
      <w:i/>
      <w:iCs/>
    </w:rPr>
  </w:style>
  <w:style w:type="character" w:customStyle="1" w:styleId="DateChar">
    <w:name w:val="Date Char"/>
    <w:basedOn w:val="SubtitleChar"/>
    <w:rsid w:val="00734751"/>
    <w:rPr>
      <w:rFonts w:ascii="Franklin Gothic Book" w:hAnsi="Franklin Gothic Book" w:cs="Times New Roman"/>
      <w:color w:val="5A9A98"/>
      <w:kern w:val="28"/>
      <w:sz w:val="24"/>
      <w:szCs w:val="24"/>
      <w:lang w:val="en-AU" w:eastAsia="en-AU" w:bidi="ar-SA"/>
    </w:rPr>
  </w:style>
  <w:style w:type="character" w:customStyle="1" w:styleId="SubtitleChar">
    <w:name w:val="Subtitle Char"/>
    <w:basedOn w:val="TitleChar"/>
    <w:rsid w:val="00734751"/>
    <w:rPr>
      <w:rFonts w:ascii="Franklin Gothic Book" w:hAnsi="Franklin Gothic Book" w:cs="Times New Roman"/>
      <w:color w:val="5A9A98"/>
      <w:kern w:val="28"/>
      <w:sz w:val="32"/>
      <w:szCs w:val="32"/>
      <w:lang w:val="en-AU" w:eastAsia="en-AU" w:bidi="ar-SA"/>
    </w:rPr>
  </w:style>
  <w:style w:type="character" w:customStyle="1" w:styleId="TitleChar">
    <w:name w:val="Title Char"/>
    <w:basedOn w:val="DefaultParagraphFont"/>
    <w:rsid w:val="00734751"/>
    <w:rPr>
      <w:rFonts w:ascii="Franklin Gothic Book" w:hAnsi="Franklin Gothic Book" w:cs="Times New Roman"/>
      <w:color w:val="5A9A98"/>
      <w:kern w:val="28"/>
      <w:sz w:val="50"/>
      <w:szCs w:val="50"/>
      <w:lang w:val="en-AU" w:eastAsia="en-AU" w:bidi="ar-SA"/>
    </w:rPr>
  </w:style>
  <w:style w:type="character" w:customStyle="1" w:styleId="FootnoteTextCharChar1">
    <w:name w:val="Footnote Text Char Char1"/>
    <w:basedOn w:val="DefaultParagraphFont"/>
    <w:locked/>
    <w:rsid w:val="00734751"/>
    <w:rPr>
      <w:rFonts w:ascii="Franklin Gothic Book" w:hAnsi="Franklin Gothic Book" w:cs="Times New Roman"/>
      <w:sz w:val="14"/>
      <w:szCs w:val="14"/>
      <w:lang w:val="en-AU" w:eastAsia="en-AU" w:bidi="ar-SA"/>
    </w:rPr>
  </w:style>
  <w:style w:type="character" w:customStyle="1" w:styleId="ListBullet3Char">
    <w:name w:val="List Bullet 3 Char"/>
    <w:basedOn w:val="DefaultParagraphFont"/>
    <w:link w:val="ListBullet3"/>
    <w:locked/>
    <w:rsid w:val="00734751"/>
    <w:rPr>
      <w:rFonts w:ascii="Arial" w:hAnsi="Arial" w:cs="Times New Roman"/>
      <w:sz w:val="24"/>
      <w:szCs w:val="24"/>
      <w:lang w:val="x-none" w:eastAsia="en-US"/>
    </w:rPr>
  </w:style>
  <w:style w:type="character" w:customStyle="1" w:styleId="EndnoteTextChar">
    <w:name w:val="Endnote Text Char"/>
    <w:basedOn w:val="DefaultParagraphFont"/>
    <w:semiHidden/>
    <w:locked/>
    <w:rsid w:val="00734751"/>
    <w:rPr>
      <w:rFonts w:eastAsia="SimSun" w:cs="Times New Roman"/>
      <w:lang w:val="en-AU" w:eastAsia="zh-CN" w:bidi="ar-SA"/>
    </w:rPr>
  </w:style>
  <w:style w:type="paragraph" w:customStyle="1" w:styleId="H1">
    <w:name w:val="H1"/>
    <w:basedOn w:val="Contents"/>
    <w:qFormat/>
    <w:rsid w:val="00AB4853"/>
    <w:pPr>
      <w:spacing w:after="2060"/>
    </w:pPr>
    <w:rPr>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usaid.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usaid.gov.au/Publicatio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gov.au/cca"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conomist.com/research/economics/alphabetic.cfm?term=inc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Templates\AusAID,%20New%20look\Pacific\Pacific%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10805B-98C6-48D1-A600-BC72390FD6CE}"/>
</file>

<file path=customXml/itemProps2.xml><?xml version="1.0" encoding="utf-8"?>
<ds:datastoreItem xmlns:ds="http://schemas.openxmlformats.org/officeDocument/2006/customXml" ds:itemID="{F97FDAB0-3AAF-4FE2-8F95-8C149E378C5D}"/>
</file>

<file path=customXml/itemProps3.xml><?xml version="1.0" encoding="utf-8"?>
<ds:datastoreItem xmlns:ds="http://schemas.openxmlformats.org/officeDocument/2006/customXml" ds:itemID="{A7EAFE24-B623-4885-82AE-624F2A74FA49}"/>
</file>

<file path=customXml/itemProps4.xml><?xml version="1.0" encoding="utf-8"?>
<ds:datastoreItem xmlns:ds="http://schemas.openxmlformats.org/officeDocument/2006/customXml" ds:itemID="{9FA2C80C-73D8-432F-B39D-06E7D543FE3D}"/>
</file>

<file path=docProps/app.xml><?xml version="1.0" encoding="utf-8"?>
<Properties xmlns="http://schemas.openxmlformats.org/officeDocument/2006/extended-properties" xmlns:vt="http://schemas.openxmlformats.org/officeDocument/2006/docPropsVTypes">
  <Template>Pacific report</Template>
  <TotalTime>6</TotalTime>
  <Pages>32</Pages>
  <Words>12856</Words>
  <Characters>73282</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Report</vt:lpstr>
    </vt:vector>
  </TitlesOfParts>
  <Company>ByWord Services</Company>
  <LinksUpToDate>false</LinksUpToDate>
  <CharactersWithSpaces>85967</CharactersWithSpaces>
  <SharedDoc>false</SharedDoc>
  <HLinks>
    <vt:vector size="24" baseType="variant">
      <vt:variant>
        <vt:i4>4849744</vt:i4>
      </vt:variant>
      <vt:variant>
        <vt:i4>6</vt:i4>
      </vt:variant>
      <vt:variant>
        <vt:i4>0</vt:i4>
      </vt:variant>
      <vt:variant>
        <vt:i4>5</vt:i4>
      </vt:variant>
      <vt:variant>
        <vt:lpwstr>http://www.ausaid.gov.au/</vt:lpwstr>
      </vt:variant>
      <vt:variant>
        <vt:lpwstr/>
      </vt:variant>
      <vt:variant>
        <vt:i4>7864429</vt:i4>
      </vt:variant>
      <vt:variant>
        <vt:i4>3</vt:i4>
      </vt:variant>
      <vt:variant>
        <vt:i4>0</vt:i4>
      </vt:variant>
      <vt:variant>
        <vt:i4>5</vt:i4>
      </vt:variant>
      <vt:variant>
        <vt:lpwstr>http://www.ausaid.gov.au/Publications/</vt:lpwstr>
      </vt:variant>
      <vt:variant>
        <vt:lpwstr/>
      </vt:variant>
      <vt:variant>
        <vt:i4>5373963</vt:i4>
      </vt:variant>
      <vt:variant>
        <vt:i4>0</vt:i4>
      </vt:variant>
      <vt:variant>
        <vt:i4>0</vt:i4>
      </vt:variant>
      <vt:variant>
        <vt:i4>5</vt:i4>
      </vt:variant>
      <vt:variant>
        <vt:lpwstr>http://www.ag.gov.au/cca</vt:lpwstr>
      </vt:variant>
      <vt:variant>
        <vt:lpwstr/>
      </vt:variant>
      <vt:variant>
        <vt:i4>1638475</vt:i4>
      </vt:variant>
      <vt:variant>
        <vt:i4>0</vt:i4>
      </vt:variant>
      <vt:variant>
        <vt:i4>0</vt:i4>
      </vt:variant>
      <vt:variant>
        <vt:i4>5</vt:i4>
      </vt:variant>
      <vt:variant>
        <vt:lpwstr>http://www.economist.com/research/economics/alphabetic.cfm?term=income</vt:lpwstr>
      </vt:variant>
      <vt:variant>
        <vt:lpwstr>income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Judy Fenelon</dc:creator>
  <cp:lastModifiedBy>Guest</cp:lastModifiedBy>
  <cp:revision>4</cp:revision>
  <cp:lastPrinted>2010-01-07T08:27:00Z</cp:lastPrinted>
  <dcterms:created xsi:type="dcterms:W3CDTF">2013-07-07T16:53:00Z</dcterms:created>
  <dcterms:modified xsi:type="dcterms:W3CDTF">2013-07-09T20:37:00Z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120500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RSS Feed Link">
    <vt:lpwstr/>
  </property>
  <property fmtid="{D5CDD505-2E9C-101B-9397-08002B2CF9AE}" pid="21" name="WCMSDocument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Audience">
    <vt:lpwstr/>
  </property>
  <property fmtid="{D5CDD505-2E9C-101B-9397-08002B2CF9AE}" pid="37" name="WCMSDescription">
    <vt:lpwstr/>
  </property>
  <property fmtid="{D5CDD505-2E9C-101B-9397-08002B2CF9AE}" pid="39" name="WCMSOtherCategory">
    <vt:lpwstr/>
  </property>
  <property fmtid="{D5CDD505-2E9C-101B-9397-08002B2CF9AE}" pid="40" name="AusAIDPageDescriptionMetadata">
    <vt:lpwstr/>
  </property>
  <property fmtid="{D5CDD505-2E9C-101B-9397-08002B2CF9AE}" pid="41" name="WCMSTheme">
    <vt:lpwstr/>
  </property>
  <property fmtid="{D5CDD505-2E9C-101B-9397-08002B2CF9AE}" pid="42" name="WCMSISBNISSN">
    <vt:lpwstr/>
  </property>
  <property fmtid="{D5CDD505-2E9C-101B-9397-08002B2CF9AE}" pid="43" name="PublishingContactPicture">
    <vt:lpwstr/>
  </property>
  <property fmtid="{D5CDD505-2E9C-101B-9397-08002B2CF9AE}" pid="44" name="PublishingVariationGroupID">
    <vt:lpwstr/>
  </property>
  <property fmtid="{D5CDD505-2E9C-101B-9397-08002B2CF9AE}" pid="45" name="AusAIDIdentifierMetadata">
    <vt:lpwstr/>
  </property>
  <property fmtid="{D5CDD505-2E9C-101B-9397-08002B2CF9AE}" pid="46" name="PublishingContactName">
    <vt:lpwstr/>
  </property>
  <property fmtid="{D5CDD505-2E9C-101B-9397-08002B2CF9AE}" pid="47" name="WCMSRegion">
    <vt:lpwstr/>
  </property>
  <property fmtid="{D5CDD505-2E9C-101B-9397-08002B2CF9AE}" pid="48" name="WCMSPublicationAuthor">
    <vt:lpwstr/>
  </property>
  <property fmtid="{D5CDD505-2E9C-101B-9397-08002B2CF9AE}" pid="49" name="display_urn">
    <vt:lpwstr>System Account</vt:lpwstr>
  </property>
</Properties>
</file>