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99" w:rsidRPr="00D06F79" w:rsidRDefault="00011299" w:rsidP="00011299">
      <w:pPr>
        <w:pStyle w:val="Title"/>
        <w:ind w:right="-1596"/>
        <w:rPr>
          <w:noProof/>
          <w:color w:val="FFFFFF"/>
        </w:rPr>
      </w:pPr>
      <w:r w:rsidRPr="00D7139C">
        <w:rPr>
          <w:color w:val="FFFFFF"/>
          <w:spacing w:val="-10"/>
          <w:sz w:val="48"/>
          <w:szCs w:val="48"/>
        </w:rPr>
        <w:t xml:space="preserve">Annual program performance report: </w:t>
      </w:r>
      <w:r>
        <w:rPr>
          <w:color w:val="FFFFFF"/>
          <w:spacing w:val="-10"/>
          <w:sz w:val="48"/>
          <w:szCs w:val="48"/>
        </w:rPr>
        <w:t xml:space="preserve">Papua New Guinea </w:t>
      </w:r>
      <w:r w:rsidRPr="00D7139C">
        <w:rPr>
          <w:color w:val="FFFFFF"/>
          <w:spacing w:val="-10"/>
          <w:sz w:val="48"/>
          <w:szCs w:val="48"/>
        </w:rPr>
        <w:t>2008</w:t>
      </w:r>
      <w:r w:rsidR="005C25C3">
        <w:rPr>
          <w:noProof/>
          <w:color w:val="FFFFFF"/>
          <w:lang w:val="en-US" w:eastAsia="en-US"/>
        </w:rPr>
        <w:drawing>
          <wp:anchor distT="0" distB="0" distL="114300" distR="114300" simplePos="0" relativeHeight="251649536" behindDoc="1" locked="0" layoutInCell="0" allowOverlap="1" wp14:anchorId="7D453937" wp14:editId="63B0F5BA">
            <wp:simplePos x="0" y="0"/>
            <wp:positionH relativeFrom="page">
              <wp:posOffset>0</wp:posOffset>
            </wp:positionH>
            <wp:positionV relativeFrom="page">
              <wp:posOffset>0</wp:posOffset>
            </wp:positionV>
            <wp:extent cx="7560310" cy="10694035"/>
            <wp:effectExtent l="0" t="0" r="2540" b="0"/>
            <wp:wrapNone/>
            <wp:docPr id="1186" name="Picture 1186" descr="Australian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descr="AusAID_report_pacific_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F199A">
        <w:rPr>
          <w:color w:val="FFFFFF"/>
          <w:spacing w:val="-10"/>
          <w:sz w:val="48"/>
          <w:szCs w:val="48"/>
        </w:rPr>
        <w:t>-09</w:t>
      </w:r>
    </w:p>
    <w:p w:rsidR="00011299" w:rsidRPr="002C7822" w:rsidRDefault="00AA6DD3" w:rsidP="001036EF">
      <w:pPr>
        <w:pStyle w:val="Date"/>
        <w:spacing w:before="720"/>
        <w:ind w:left="2376" w:right="-1411"/>
        <w:rPr>
          <w:rFonts w:ascii="Franklin Gothic Medium" w:hAnsi="Franklin Gothic Medium"/>
          <w:color w:val="FFFFFF"/>
        </w:rPr>
      </w:pPr>
      <w:r>
        <w:rPr>
          <w:rFonts w:ascii="Franklin Gothic Medium" w:hAnsi="Franklin Gothic Medium"/>
          <w:color w:val="FFFFFF"/>
        </w:rPr>
        <w:t xml:space="preserve">August </w:t>
      </w:r>
      <w:r w:rsidR="00011299">
        <w:rPr>
          <w:rFonts w:ascii="Franklin Gothic Medium" w:hAnsi="Franklin Gothic Medium"/>
          <w:color w:val="FFFFFF"/>
        </w:rPr>
        <w:t>2009</w:t>
      </w:r>
    </w:p>
    <w:p w:rsidR="00011299" w:rsidRDefault="005C25C3">
      <w:pPr>
        <w:pStyle w:val="BoxText"/>
        <w:pageBreakBefore/>
        <w:spacing w:before="300"/>
        <w:ind w:right="1134"/>
      </w:pPr>
      <w:r>
        <w:rPr>
          <w:noProof/>
          <w:lang w:val="en-US" w:eastAsia="en-US"/>
        </w:rPr>
        <w:lastRenderedPageBreak/>
        <w:drawing>
          <wp:anchor distT="0" distB="0" distL="114300" distR="114300" simplePos="0" relativeHeight="251651584" behindDoc="1" locked="0" layoutInCell="1" allowOverlap="1" wp14:anchorId="16CFDF6D" wp14:editId="3FBB1FEE">
            <wp:simplePos x="0" y="0"/>
            <wp:positionH relativeFrom="page">
              <wp:posOffset>0</wp:posOffset>
            </wp:positionH>
            <wp:positionV relativeFrom="page">
              <wp:posOffset>1386205</wp:posOffset>
            </wp:positionV>
            <wp:extent cx="7560310" cy="1585595"/>
            <wp:effectExtent l="0" t="0" r="2540" b="0"/>
            <wp:wrapSquare wrapText="bothSides"/>
            <wp:docPr id="1188" name="Picture 1188"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011299">
        <w:t>© Commonwealth of Australia 2009</w:t>
      </w:r>
    </w:p>
    <w:p w:rsidR="00011299" w:rsidRPr="00737052" w:rsidRDefault="00011299">
      <w:pPr>
        <w:pStyle w:val="BoxText"/>
        <w:ind w:right="1134"/>
      </w:pPr>
      <w:r>
        <w:t xml:space="preserve">This work is copyright. You may download, display, print and reproduce this material in unaltered form only (retaining this notice) for your personal, non-commercial use or use within your organisation. Apart from any use as permitted under the </w:t>
      </w:r>
      <w:r w:rsidRPr="0094221E">
        <w:rPr>
          <w:i/>
        </w:rPr>
        <w:t>Copyright Act 1968</w:t>
      </w:r>
      <w:r>
        <w:t xml:space="preserve">, all other rights are reserved. Requests and inquiries concerning reproduction and rights should be addressed to Commonwealth Copyright Administration, Attorney General’s Department, Robert Garran Offices, National Circuit, Barton ACT 2600 or posted </w:t>
      </w:r>
      <w:r w:rsidRPr="0094221E">
        <w:t xml:space="preserve">at </w:t>
      </w:r>
      <w:hyperlink r:id="rId15" w:history="1">
        <w:r w:rsidRPr="0094221E">
          <w:t>http://www.ag.gov.au/cca</w:t>
        </w:r>
      </w:hyperlink>
    </w:p>
    <w:p w:rsidR="00011299" w:rsidRPr="00CF0CE7" w:rsidRDefault="00011299">
      <w:pPr>
        <w:pStyle w:val="BoxText"/>
        <w:spacing w:before="400" w:after="0"/>
        <w:ind w:right="1134"/>
      </w:pPr>
      <w:r w:rsidRPr="00CF0CE7">
        <w:t xml:space="preserve">ISBN </w:t>
      </w:r>
      <w:r w:rsidR="00DF199A">
        <w:t>978-1-921285-95-0</w:t>
      </w:r>
    </w:p>
    <w:p w:rsidR="00011299" w:rsidRPr="00CF0CE7" w:rsidRDefault="00011299">
      <w:pPr>
        <w:pStyle w:val="BoxText"/>
        <w:spacing w:before="400"/>
        <w:ind w:right="1134"/>
      </w:pPr>
      <w:r w:rsidRPr="00CF0CE7">
        <w:t>Published by the Australian Agency for International Development (</w:t>
      </w:r>
      <w:proofErr w:type="spellStart"/>
      <w:r w:rsidRPr="00CF0CE7">
        <w:t>AusAID</w:t>
      </w:r>
      <w:proofErr w:type="spellEnd"/>
      <w:r w:rsidRPr="00CF0CE7">
        <w:t xml:space="preserve">), </w:t>
      </w:r>
      <w:smartTag w:uri="urn:schemas-microsoft-com:office:smarttags" w:element="place">
        <w:smartTag w:uri="urn:schemas-microsoft-com:office:smarttags" w:element="City">
          <w:r w:rsidRPr="00CF0CE7">
            <w:t>Canberra</w:t>
          </w:r>
        </w:smartTag>
      </w:smartTag>
      <w:r w:rsidRPr="00CF0CE7">
        <w:t xml:space="preserve">, </w:t>
      </w:r>
      <w:proofErr w:type="gramStart"/>
      <w:r w:rsidR="00AA6DD3">
        <w:t>August</w:t>
      </w:r>
      <w:proofErr w:type="gramEnd"/>
      <w:r w:rsidR="00AA6DD3">
        <w:t xml:space="preserve"> </w:t>
      </w:r>
      <w:r>
        <w:t>2009</w:t>
      </w:r>
      <w:r w:rsidRPr="00CF0CE7">
        <w:t>.</w:t>
      </w:r>
    </w:p>
    <w:p w:rsidR="00011299" w:rsidRPr="00F0526B" w:rsidRDefault="00011299">
      <w:pPr>
        <w:pStyle w:val="BoxText"/>
        <w:ind w:right="1134"/>
      </w:pPr>
      <w:r w:rsidRPr="00F0526B">
        <w:t xml:space="preserve">This document is online at </w:t>
      </w:r>
      <w:hyperlink r:id="rId16" w:history="1">
        <w:r w:rsidRPr="00F0526B">
          <w:t>www.ausaid.gov.au/publications</w:t>
        </w:r>
      </w:hyperlink>
    </w:p>
    <w:p w:rsidR="00011299" w:rsidRPr="00F0526B" w:rsidRDefault="00011299" w:rsidP="00D3231F">
      <w:pPr>
        <w:pStyle w:val="BoxText"/>
        <w:spacing w:before="400"/>
        <w:ind w:right="2415"/>
      </w:pPr>
      <w:r w:rsidRPr="00F0526B">
        <w:t xml:space="preserve">For </w:t>
      </w:r>
      <w:r>
        <w:t>furthe</w:t>
      </w:r>
      <w:r w:rsidRPr="00A045A2">
        <w:t>r information about the Australian Government’s international</w:t>
      </w:r>
      <w:r w:rsidR="00AA6DD3">
        <w:t> </w:t>
      </w:r>
      <w:r w:rsidRPr="00A045A2">
        <w:t xml:space="preserve">development program, </w:t>
      </w:r>
      <w:r w:rsidRPr="00F0526B">
        <w:t>contact:</w:t>
      </w:r>
    </w:p>
    <w:p w:rsidR="00011299" w:rsidRPr="00F0526B" w:rsidRDefault="00011299">
      <w:pPr>
        <w:pStyle w:val="BoxText"/>
        <w:spacing w:after="0"/>
        <w:ind w:right="1134"/>
      </w:pPr>
      <w:r>
        <w:t>Communications Section</w:t>
      </w:r>
    </w:p>
    <w:p w:rsidR="00011299" w:rsidRPr="00F0526B" w:rsidRDefault="00011299">
      <w:pPr>
        <w:pStyle w:val="BoxText"/>
        <w:spacing w:before="0" w:after="0"/>
        <w:ind w:right="1134"/>
      </w:pPr>
      <w:proofErr w:type="spellStart"/>
      <w:r w:rsidRPr="00F0526B">
        <w:t>AusAID</w:t>
      </w:r>
      <w:proofErr w:type="spellEnd"/>
    </w:p>
    <w:p w:rsidR="00011299" w:rsidRPr="00F0526B" w:rsidRDefault="00011299">
      <w:pPr>
        <w:pStyle w:val="BoxText"/>
        <w:spacing w:before="0" w:after="0"/>
        <w:ind w:right="1134"/>
      </w:pPr>
      <w:r w:rsidRPr="00F0526B">
        <w:t xml:space="preserve">GPO </w:t>
      </w:r>
      <w:smartTag w:uri="urn:schemas-microsoft-com:office:smarttags" w:element="address">
        <w:smartTag w:uri="urn:schemas-microsoft-com:office:smarttags" w:element="Street">
          <w:r w:rsidRPr="00F0526B">
            <w:t>Box</w:t>
          </w:r>
        </w:smartTag>
        <w:r w:rsidRPr="00F0526B">
          <w:t xml:space="preserve"> 887</w:t>
        </w:r>
      </w:smartTag>
    </w:p>
    <w:p w:rsidR="00011299" w:rsidRPr="00F0526B" w:rsidRDefault="00011299">
      <w:pPr>
        <w:pStyle w:val="BoxText"/>
        <w:spacing w:before="0"/>
        <w:ind w:right="1134"/>
      </w:pPr>
      <w:smartTag w:uri="urn:schemas-microsoft-com:office:smarttags" w:element="place">
        <w:smartTag w:uri="urn:schemas-microsoft-com:office:smarttags" w:element="City">
          <w:r w:rsidRPr="00F0526B">
            <w:t>Canberra</w:t>
          </w:r>
        </w:smartTag>
      </w:smartTag>
      <w:r w:rsidRPr="00F0526B">
        <w:t xml:space="preserve"> ACT 2601</w:t>
      </w:r>
    </w:p>
    <w:p w:rsidR="00011299" w:rsidRPr="00F0526B" w:rsidRDefault="00011299">
      <w:pPr>
        <w:pStyle w:val="BoxText"/>
        <w:spacing w:after="0"/>
        <w:ind w:right="1134"/>
      </w:pPr>
      <w:r w:rsidRPr="00F0526B">
        <w:t>Phone</w:t>
      </w:r>
      <w:r w:rsidRPr="00F0526B">
        <w:rPr>
          <w:rFonts w:ascii="Arial Unicode MS" w:eastAsia="Arial Unicode MS" w:hAnsi="Arial Unicode MS" w:cs="Arial Unicode MS" w:hint="eastAsia"/>
        </w:rPr>
        <w:t> </w:t>
      </w:r>
      <w:r w:rsidRPr="00F0526B">
        <w:t xml:space="preserve">(02) 6206 </w:t>
      </w:r>
      <w:r>
        <w:t>4000</w:t>
      </w:r>
    </w:p>
    <w:p w:rsidR="00011299" w:rsidRPr="00F0526B" w:rsidRDefault="00011299">
      <w:pPr>
        <w:pStyle w:val="BoxText"/>
        <w:spacing w:before="0" w:after="0"/>
        <w:ind w:right="1134"/>
      </w:pPr>
      <w:r w:rsidRPr="00F0526B">
        <w:t>Facsimile</w:t>
      </w:r>
      <w:r w:rsidRPr="00F0526B">
        <w:rPr>
          <w:rFonts w:ascii="Arial Unicode MS" w:eastAsia="Arial Unicode MS" w:hAnsi="Arial Unicode MS" w:cs="Arial Unicode MS" w:hint="eastAsia"/>
        </w:rPr>
        <w:t> </w:t>
      </w:r>
      <w:r w:rsidRPr="00F0526B">
        <w:t xml:space="preserve">(02) 6206 </w:t>
      </w:r>
      <w:r>
        <w:t>4880</w:t>
      </w:r>
    </w:p>
    <w:p w:rsidR="00011299" w:rsidRDefault="00011299">
      <w:pPr>
        <w:pStyle w:val="BoxText"/>
        <w:spacing w:before="0"/>
        <w:ind w:right="1134"/>
      </w:pPr>
      <w:r w:rsidRPr="00F0526B">
        <w:t>Internet</w:t>
      </w:r>
      <w:r w:rsidRPr="00F0526B">
        <w:rPr>
          <w:rFonts w:ascii="Arial Unicode MS" w:eastAsia="Arial Unicode MS" w:hAnsi="Arial Unicode MS" w:cs="Arial Unicode MS" w:hint="eastAsia"/>
        </w:rPr>
        <w:t> </w:t>
      </w:r>
      <w:hyperlink r:id="rId17" w:history="1">
        <w:r w:rsidRPr="00F0526B">
          <w:t>www.</w:t>
        </w:r>
        <w:bookmarkStart w:id="0" w:name="_Hlt536343294"/>
        <w:r w:rsidRPr="00F0526B">
          <w:t>a</w:t>
        </w:r>
        <w:bookmarkEnd w:id="0"/>
        <w:r w:rsidRPr="00F0526B">
          <w:t>u</w:t>
        </w:r>
        <w:bookmarkStart w:id="1" w:name="_Hlt536343388"/>
        <w:r w:rsidRPr="00F0526B">
          <w:t>s</w:t>
        </w:r>
        <w:bookmarkStart w:id="2" w:name="_Hlt536343250"/>
        <w:bookmarkEnd w:id="1"/>
        <w:r w:rsidRPr="00F0526B">
          <w:t>a</w:t>
        </w:r>
        <w:bookmarkStart w:id="3" w:name="_Hlt536343212"/>
        <w:bookmarkEnd w:id="2"/>
        <w:r w:rsidRPr="00F0526B">
          <w:t>i</w:t>
        </w:r>
        <w:bookmarkStart w:id="4" w:name="_Hlt536343325"/>
        <w:bookmarkEnd w:id="3"/>
        <w:r w:rsidRPr="00F0526B">
          <w:t>d</w:t>
        </w:r>
        <w:bookmarkEnd w:id="4"/>
        <w:r w:rsidRPr="00F0526B">
          <w:t>.go</w:t>
        </w:r>
        <w:bookmarkStart w:id="5" w:name="_Hlt86200017"/>
        <w:r w:rsidRPr="00F0526B">
          <w:t>v</w:t>
        </w:r>
        <w:bookmarkEnd w:id="5"/>
        <w:r w:rsidRPr="00F0526B">
          <w:t>.au</w:t>
        </w:r>
      </w:hyperlink>
    </w:p>
    <w:p w:rsidR="00011299" w:rsidRDefault="005C25C3" w:rsidP="00616432">
      <w:pPr>
        <w:pStyle w:val="H1A"/>
      </w:pPr>
      <w:r w:rsidRPr="00616432">
        <w:rPr>
          <w:lang w:val="en-US" w:eastAsia="en-US"/>
        </w:rPr>
        <w:lastRenderedPageBreak/>
        <w:drawing>
          <wp:anchor distT="0" distB="0" distL="114300" distR="114300" simplePos="0" relativeHeight="251648512" behindDoc="1" locked="0" layoutInCell="1" allowOverlap="1" wp14:anchorId="77EB55B4" wp14:editId="1A43C012">
            <wp:simplePos x="0" y="0"/>
            <wp:positionH relativeFrom="page">
              <wp:posOffset>0</wp:posOffset>
            </wp:positionH>
            <wp:positionV relativeFrom="page">
              <wp:posOffset>1386205</wp:posOffset>
            </wp:positionV>
            <wp:extent cx="7560310" cy="1585595"/>
            <wp:effectExtent l="0" t="0" r="2540" b="0"/>
            <wp:wrapNone/>
            <wp:docPr id="1185" name="Picture 1185"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011299" w:rsidRPr="00616432">
        <w:t>Contents</w:t>
      </w:r>
    </w:p>
    <w:sdt>
      <w:sdtPr>
        <w:rPr>
          <w:rFonts w:ascii="Times New Roman" w:eastAsia="Times New Roman" w:hAnsi="Times New Roman" w:cs="Times New Roman"/>
          <w:color w:val="auto"/>
          <w:sz w:val="20"/>
          <w:szCs w:val="24"/>
          <w:lang w:val="en-AU" w:eastAsia="en-AU"/>
        </w:rPr>
        <w:id w:val="-908615244"/>
        <w:docPartObj>
          <w:docPartGallery w:val="Table of Contents"/>
          <w:docPartUnique/>
        </w:docPartObj>
      </w:sdtPr>
      <w:sdtEndPr>
        <w:rPr>
          <w:b/>
          <w:bCs/>
          <w:noProof/>
        </w:rPr>
      </w:sdtEndPr>
      <w:sdtContent>
        <w:p w:rsidR="001036EF" w:rsidRDefault="001036EF">
          <w:pPr>
            <w:pStyle w:val="TOCHeading"/>
          </w:pPr>
        </w:p>
        <w:p w:rsidR="001036EF" w:rsidRDefault="001036EF">
          <w:pPr>
            <w:pStyle w:val="TOC2"/>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1224335" w:history="1">
            <w:r w:rsidRPr="002B503A">
              <w:rPr>
                <w:rStyle w:val="Hyperlink"/>
                <w:noProof/>
              </w:rPr>
              <w:t>Overview</w:t>
            </w:r>
            <w:r>
              <w:rPr>
                <w:noProof/>
                <w:webHidden/>
              </w:rPr>
              <w:tab/>
            </w:r>
            <w:r>
              <w:rPr>
                <w:noProof/>
                <w:webHidden/>
              </w:rPr>
              <w:fldChar w:fldCharType="begin"/>
            </w:r>
            <w:r>
              <w:rPr>
                <w:noProof/>
                <w:webHidden/>
              </w:rPr>
              <w:instrText xml:space="preserve"> PAGEREF _Toc361224335 \h </w:instrText>
            </w:r>
            <w:r>
              <w:rPr>
                <w:noProof/>
                <w:webHidden/>
              </w:rPr>
            </w:r>
            <w:r>
              <w:rPr>
                <w:noProof/>
                <w:webHidden/>
              </w:rPr>
              <w:fldChar w:fldCharType="separate"/>
            </w:r>
            <w:r>
              <w:rPr>
                <w:noProof/>
                <w:webHidden/>
              </w:rPr>
              <w:t>7</w:t>
            </w:r>
            <w:r>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36" w:history="1">
            <w:r w:rsidR="001036EF" w:rsidRPr="002B503A">
              <w:rPr>
                <w:rStyle w:val="Hyperlink"/>
                <w:noProof/>
              </w:rPr>
              <w:t>Ratings of progress</w:t>
            </w:r>
            <w:r w:rsidR="001036EF">
              <w:rPr>
                <w:noProof/>
                <w:webHidden/>
              </w:rPr>
              <w:tab/>
            </w:r>
            <w:r w:rsidR="001036EF">
              <w:rPr>
                <w:noProof/>
                <w:webHidden/>
              </w:rPr>
              <w:fldChar w:fldCharType="begin"/>
            </w:r>
            <w:r w:rsidR="001036EF">
              <w:rPr>
                <w:noProof/>
                <w:webHidden/>
              </w:rPr>
              <w:instrText xml:space="preserve"> PAGEREF _Toc361224336 \h </w:instrText>
            </w:r>
            <w:r w:rsidR="001036EF">
              <w:rPr>
                <w:noProof/>
                <w:webHidden/>
              </w:rPr>
            </w:r>
            <w:r w:rsidR="001036EF">
              <w:rPr>
                <w:noProof/>
                <w:webHidden/>
              </w:rPr>
              <w:fldChar w:fldCharType="separate"/>
            </w:r>
            <w:r w:rsidR="001036EF">
              <w:rPr>
                <w:noProof/>
                <w:webHidden/>
              </w:rPr>
              <w:t>7</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37" w:history="1">
            <w:r w:rsidR="001036EF" w:rsidRPr="002B503A">
              <w:rPr>
                <w:rStyle w:val="Hyperlink"/>
                <w:noProof/>
              </w:rPr>
              <w:t>Major results</w:t>
            </w:r>
            <w:r w:rsidR="001036EF">
              <w:rPr>
                <w:noProof/>
                <w:webHidden/>
              </w:rPr>
              <w:tab/>
            </w:r>
            <w:r w:rsidR="001036EF">
              <w:rPr>
                <w:noProof/>
                <w:webHidden/>
              </w:rPr>
              <w:fldChar w:fldCharType="begin"/>
            </w:r>
            <w:r w:rsidR="001036EF">
              <w:rPr>
                <w:noProof/>
                <w:webHidden/>
              </w:rPr>
              <w:instrText xml:space="preserve"> PAGEREF _Toc361224337 \h </w:instrText>
            </w:r>
            <w:r w:rsidR="001036EF">
              <w:rPr>
                <w:noProof/>
                <w:webHidden/>
              </w:rPr>
            </w:r>
            <w:r w:rsidR="001036EF">
              <w:rPr>
                <w:noProof/>
                <w:webHidden/>
              </w:rPr>
              <w:fldChar w:fldCharType="separate"/>
            </w:r>
            <w:r w:rsidR="001036EF">
              <w:rPr>
                <w:noProof/>
                <w:webHidden/>
              </w:rPr>
              <w:t>8</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38" w:history="1">
            <w:r w:rsidR="001036EF" w:rsidRPr="002B503A">
              <w:rPr>
                <w:rStyle w:val="Hyperlink"/>
                <w:noProof/>
              </w:rPr>
              <w:t>Major challenges</w:t>
            </w:r>
            <w:r w:rsidR="001036EF">
              <w:rPr>
                <w:noProof/>
                <w:webHidden/>
              </w:rPr>
              <w:tab/>
            </w:r>
            <w:r w:rsidR="001036EF">
              <w:rPr>
                <w:noProof/>
                <w:webHidden/>
              </w:rPr>
              <w:fldChar w:fldCharType="begin"/>
            </w:r>
            <w:r w:rsidR="001036EF">
              <w:rPr>
                <w:noProof/>
                <w:webHidden/>
              </w:rPr>
              <w:instrText xml:space="preserve"> PAGEREF _Toc361224338 \h </w:instrText>
            </w:r>
            <w:r w:rsidR="001036EF">
              <w:rPr>
                <w:noProof/>
                <w:webHidden/>
              </w:rPr>
            </w:r>
            <w:r w:rsidR="001036EF">
              <w:rPr>
                <w:noProof/>
                <w:webHidden/>
              </w:rPr>
              <w:fldChar w:fldCharType="separate"/>
            </w:r>
            <w:r w:rsidR="001036EF">
              <w:rPr>
                <w:noProof/>
                <w:webHidden/>
              </w:rPr>
              <w:t>9</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39" w:history="1">
            <w:r w:rsidR="001036EF" w:rsidRPr="002B503A">
              <w:rPr>
                <w:rStyle w:val="Hyperlink"/>
                <w:noProof/>
              </w:rPr>
              <w:t>Key management consequences</w:t>
            </w:r>
            <w:r w:rsidR="001036EF">
              <w:rPr>
                <w:noProof/>
                <w:webHidden/>
              </w:rPr>
              <w:tab/>
            </w:r>
            <w:r w:rsidR="001036EF">
              <w:rPr>
                <w:noProof/>
                <w:webHidden/>
              </w:rPr>
              <w:fldChar w:fldCharType="begin"/>
            </w:r>
            <w:r w:rsidR="001036EF">
              <w:rPr>
                <w:noProof/>
                <w:webHidden/>
              </w:rPr>
              <w:instrText xml:space="preserve"> PAGEREF _Toc361224339 \h </w:instrText>
            </w:r>
            <w:r w:rsidR="001036EF">
              <w:rPr>
                <w:noProof/>
                <w:webHidden/>
              </w:rPr>
            </w:r>
            <w:r w:rsidR="001036EF">
              <w:rPr>
                <w:noProof/>
                <w:webHidden/>
              </w:rPr>
              <w:fldChar w:fldCharType="separate"/>
            </w:r>
            <w:r w:rsidR="001036EF">
              <w:rPr>
                <w:noProof/>
                <w:webHidden/>
              </w:rPr>
              <w:t>10</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40" w:history="1">
            <w:r w:rsidR="001036EF" w:rsidRPr="002B503A">
              <w:rPr>
                <w:rStyle w:val="Hyperlink"/>
                <w:noProof/>
              </w:rPr>
              <w:t>Issues and constraints</w:t>
            </w:r>
            <w:r w:rsidR="001036EF">
              <w:rPr>
                <w:noProof/>
                <w:webHidden/>
              </w:rPr>
              <w:tab/>
            </w:r>
            <w:r w:rsidR="001036EF">
              <w:rPr>
                <w:noProof/>
                <w:webHidden/>
              </w:rPr>
              <w:fldChar w:fldCharType="begin"/>
            </w:r>
            <w:r w:rsidR="001036EF">
              <w:rPr>
                <w:noProof/>
                <w:webHidden/>
              </w:rPr>
              <w:instrText xml:space="preserve"> PAGEREF _Toc361224340 \h </w:instrText>
            </w:r>
            <w:r w:rsidR="001036EF">
              <w:rPr>
                <w:noProof/>
                <w:webHidden/>
              </w:rPr>
            </w:r>
            <w:r w:rsidR="001036EF">
              <w:rPr>
                <w:noProof/>
                <w:webHidden/>
              </w:rPr>
              <w:fldChar w:fldCharType="separate"/>
            </w:r>
            <w:r w:rsidR="001036EF">
              <w:rPr>
                <w:noProof/>
                <w:webHidden/>
              </w:rPr>
              <w:t>18</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41" w:history="1">
            <w:r w:rsidR="001036EF" w:rsidRPr="002B503A">
              <w:rPr>
                <w:rStyle w:val="Hyperlink"/>
                <w:noProof/>
              </w:rPr>
              <w:t>Ratings and assessment</w:t>
            </w:r>
            <w:r w:rsidR="001036EF">
              <w:rPr>
                <w:noProof/>
                <w:webHidden/>
              </w:rPr>
              <w:tab/>
            </w:r>
            <w:r w:rsidR="001036EF">
              <w:rPr>
                <w:noProof/>
                <w:webHidden/>
              </w:rPr>
              <w:fldChar w:fldCharType="begin"/>
            </w:r>
            <w:r w:rsidR="001036EF">
              <w:rPr>
                <w:noProof/>
                <w:webHidden/>
              </w:rPr>
              <w:instrText xml:space="preserve"> PAGEREF _Toc361224341 \h </w:instrText>
            </w:r>
            <w:r w:rsidR="001036EF">
              <w:rPr>
                <w:noProof/>
                <w:webHidden/>
              </w:rPr>
            </w:r>
            <w:r w:rsidR="001036EF">
              <w:rPr>
                <w:noProof/>
                <w:webHidden/>
              </w:rPr>
              <w:fldChar w:fldCharType="separate"/>
            </w:r>
            <w:r w:rsidR="001036EF">
              <w:rPr>
                <w:noProof/>
                <w:webHidden/>
              </w:rPr>
              <w:t>18</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42" w:history="1">
            <w:r w:rsidR="001036EF" w:rsidRPr="002B503A">
              <w:rPr>
                <w:rStyle w:val="Hyperlink"/>
                <w:noProof/>
              </w:rPr>
              <w:t>Objective 1:  Improved effectiveness of public sector institutions and processes at the national and subnational levels</w:t>
            </w:r>
            <w:r w:rsidR="001036EF">
              <w:rPr>
                <w:noProof/>
                <w:webHidden/>
              </w:rPr>
              <w:tab/>
            </w:r>
            <w:r w:rsidR="001036EF">
              <w:rPr>
                <w:noProof/>
                <w:webHidden/>
              </w:rPr>
              <w:fldChar w:fldCharType="begin"/>
            </w:r>
            <w:r w:rsidR="001036EF">
              <w:rPr>
                <w:noProof/>
                <w:webHidden/>
              </w:rPr>
              <w:instrText xml:space="preserve"> PAGEREF _Toc361224342 \h </w:instrText>
            </w:r>
            <w:r w:rsidR="001036EF">
              <w:rPr>
                <w:noProof/>
                <w:webHidden/>
              </w:rPr>
            </w:r>
            <w:r w:rsidR="001036EF">
              <w:rPr>
                <w:noProof/>
                <w:webHidden/>
              </w:rPr>
              <w:fldChar w:fldCharType="separate"/>
            </w:r>
            <w:r w:rsidR="001036EF">
              <w:rPr>
                <w:noProof/>
                <w:webHidden/>
              </w:rPr>
              <w:t>19</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43" w:history="1">
            <w:r w:rsidR="001036EF" w:rsidRPr="002B503A">
              <w:rPr>
                <w:rStyle w:val="Hyperlink"/>
                <w:noProof/>
              </w:rPr>
              <w:t>Ratings</w:t>
            </w:r>
            <w:r w:rsidR="001036EF">
              <w:rPr>
                <w:noProof/>
                <w:webHidden/>
              </w:rPr>
              <w:tab/>
            </w:r>
            <w:r w:rsidR="001036EF">
              <w:rPr>
                <w:noProof/>
                <w:webHidden/>
              </w:rPr>
              <w:fldChar w:fldCharType="begin"/>
            </w:r>
            <w:r w:rsidR="001036EF">
              <w:rPr>
                <w:noProof/>
                <w:webHidden/>
              </w:rPr>
              <w:instrText xml:space="preserve"> PAGEREF _Toc361224343 \h </w:instrText>
            </w:r>
            <w:r w:rsidR="001036EF">
              <w:rPr>
                <w:noProof/>
                <w:webHidden/>
              </w:rPr>
            </w:r>
            <w:r w:rsidR="001036EF">
              <w:rPr>
                <w:noProof/>
                <w:webHidden/>
              </w:rPr>
              <w:fldChar w:fldCharType="separate"/>
            </w:r>
            <w:r w:rsidR="001036EF">
              <w:rPr>
                <w:noProof/>
                <w:webHidden/>
              </w:rPr>
              <w:t>19</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44" w:history="1">
            <w:r w:rsidR="001036EF" w:rsidRPr="002B503A">
              <w:rPr>
                <w:rStyle w:val="Hyperlink"/>
                <w:noProof/>
              </w:rPr>
              <w:t>Assessment of results and performance</w:t>
            </w:r>
            <w:r w:rsidR="001036EF">
              <w:rPr>
                <w:noProof/>
                <w:webHidden/>
              </w:rPr>
              <w:tab/>
            </w:r>
            <w:r w:rsidR="001036EF">
              <w:rPr>
                <w:noProof/>
                <w:webHidden/>
              </w:rPr>
              <w:fldChar w:fldCharType="begin"/>
            </w:r>
            <w:r w:rsidR="001036EF">
              <w:rPr>
                <w:noProof/>
                <w:webHidden/>
              </w:rPr>
              <w:instrText xml:space="preserve"> PAGEREF _Toc361224344 \h </w:instrText>
            </w:r>
            <w:r w:rsidR="001036EF">
              <w:rPr>
                <w:noProof/>
                <w:webHidden/>
              </w:rPr>
            </w:r>
            <w:r w:rsidR="001036EF">
              <w:rPr>
                <w:noProof/>
                <w:webHidden/>
              </w:rPr>
              <w:fldChar w:fldCharType="separate"/>
            </w:r>
            <w:r w:rsidR="001036EF">
              <w:rPr>
                <w:noProof/>
                <w:webHidden/>
              </w:rPr>
              <w:t>19</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45" w:history="1">
            <w:r w:rsidR="001036EF" w:rsidRPr="002B503A">
              <w:rPr>
                <w:rStyle w:val="Hyperlink"/>
                <w:noProof/>
              </w:rPr>
              <w:t>Objective 2: PNG Government demonstrating open, accountable democratic behaviours and adherence to the rule of law</w:t>
            </w:r>
            <w:r w:rsidR="001036EF">
              <w:rPr>
                <w:noProof/>
                <w:webHidden/>
              </w:rPr>
              <w:tab/>
            </w:r>
            <w:r w:rsidR="001036EF">
              <w:rPr>
                <w:noProof/>
                <w:webHidden/>
              </w:rPr>
              <w:fldChar w:fldCharType="begin"/>
            </w:r>
            <w:r w:rsidR="001036EF">
              <w:rPr>
                <w:noProof/>
                <w:webHidden/>
              </w:rPr>
              <w:instrText xml:space="preserve"> PAGEREF _Toc361224345 \h </w:instrText>
            </w:r>
            <w:r w:rsidR="001036EF">
              <w:rPr>
                <w:noProof/>
                <w:webHidden/>
              </w:rPr>
            </w:r>
            <w:r w:rsidR="001036EF">
              <w:rPr>
                <w:noProof/>
                <w:webHidden/>
              </w:rPr>
              <w:fldChar w:fldCharType="separate"/>
            </w:r>
            <w:r w:rsidR="001036EF">
              <w:rPr>
                <w:noProof/>
                <w:webHidden/>
              </w:rPr>
              <w:t>22</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46" w:history="1">
            <w:r w:rsidR="001036EF" w:rsidRPr="002B503A">
              <w:rPr>
                <w:rStyle w:val="Hyperlink"/>
                <w:noProof/>
              </w:rPr>
              <w:t>Rating</w:t>
            </w:r>
            <w:r w:rsidR="001036EF">
              <w:rPr>
                <w:noProof/>
                <w:webHidden/>
              </w:rPr>
              <w:tab/>
            </w:r>
            <w:r w:rsidR="001036EF">
              <w:rPr>
                <w:noProof/>
                <w:webHidden/>
              </w:rPr>
              <w:fldChar w:fldCharType="begin"/>
            </w:r>
            <w:r w:rsidR="001036EF">
              <w:rPr>
                <w:noProof/>
                <w:webHidden/>
              </w:rPr>
              <w:instrText xml:space="preserve"> PAGEREF _Toc361224346 \h </w:instrText>
            </w:r>
            <w:r w:rsidR="001036EF">
              <w:rPr>
                <w:noProof/>
                <w:webHidden/>
              </w:rPr>
            </w:r>
            <w:r w:rsidR="001036EF">
              <w:rPr>
                <w:noProof/>
                <w:webHidden/>
              </w:rPr>
              <w:fldChar w:fldCharType="separate"/>
            </w:r>
            <w:r w:rsidR="001036EF">
              <w:rPr>
                <w:noProof/>
                <w:webHidden/>
              </w:rPr>
              <w:t>22</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47" w:history="1">
            <w:r w:rsidR="001036EF" w:rsidRPr="002B503A">
              <w:rPr>
                <w:rStyle w:val="Hyperlink"/>
                <w:noProof/>
              </w:rPr>
              <w:t>Assessment of results and performance</w:t>
            </w:r>
            <w:r w:rsidR="001036EF">
              <w:rPr>
                <w:noProof/>
                <w:webHidden/>
              </w:rPr>
              <w:tab/>
            </w:r>
            <w:r w:rsidR="001036EF">
              <w:rPr>
                <w:noProof/>
                <w:webHidden/>
              </w:rPr>
              <w:fldChar w:fldCharType="begin"/>
            </w:r>
            <w:r w:rsidR="001036EF">
              <w:rPr>
                <w:noProof/>
                <w:webHidden/>
              </w:rPr>
              <w:instrText xml:space="preserve"> PAGEREF _Toc361224347 \h </w:instrText>
            </w:r>
            <w:r w:rsidR="001036EF">
              <w:rPr>
                <w:noProof/>
                <w:webHidden/>
              </w:rPr>
            </w:r>
            <w:r w:rsidR="001036EF">
              <w:rPr>
                <w:noProof/>
                <w:webHidden/>
              </w:rPr>
              <w:fldChar w:fldCharType="separate"/>
            </w:r>
            <w:r w:rsidR="001036EF">
              <w:rPr>
                <w:noProof/>
                <w:webHidden/>
              </w:rPr>
              <w:t>22</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48" w:history="1">
            <w:r w:rsidR="001036EF" w:rsidRPr="002B503A">
              <w:rPr>
                <w:rStyle w:val="Hyperlink"/>
                <w:noProof/>
              </w:rPr>
              <w:t>Objective 3: Better articulated demand for democratic processes and institutions, and reforms of the state and civil society to meet that demand</w:t>
            </w:r>
            <w:r w:rsidR="001036EF">
              <w:rPr>
                <w:noProof/>
                <w:webHidden/>
              </w:rPr>
              <w:tab/>
            </w:r>
            <w:r w:rsidR="001036EF">
              <w:rPr>
                <w:noProof/>
                <w:webHidden/>
              </w:rPr>
              <w:fldChar w:fldCharType="begin"/>
            </w:r>
            <w:r w:rsidR="001036EF">
              <w:rPr>
                <w:noProof/>
                <w:webHidden/>
              </w:rPr>
              <w:instrText xml:space="preserve"> PAGEREF _Toc361224348 \h </w:instrText>
            </w:r>
            <w:r w:rsidR="001036EF">
              <w:rPr>
                <w:noProof/>
                <w:webHidden/>
              </w:rPr>
            </w:r>
            <w:r w:rsidR="001036EF">
              <w:rPr>
                <w:noProof/>
                <w:webHidden/>
              </w:rPr>
              <w:fldChar w:fldCharType="separate"/>
            </w:r>
            <w:r w:rsidR="001036EF">
              <w:rPr>
                <w:noProof/>
                <w:webHidden/>
              </w:rPr>
              <w:t>23</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49" w:history="1">
            <w:r w:rsidR="001036EF" w:rsidRPr="002B503A">
              <w:rPr>
                <w:rStyle w:val="Hyperlink"/>
                <w:noProof/>
              </w:rPr>
              <w:t>Rating</w:t>
            </w:r>
            <w:r w:rsidR="001036EF">
              <w:rPr>
                <w:noProof/>
                <w:webHidden/>
              </w:rPr>
              <w:tab/>
            </w:r>
            <w:r w:rsidR="001036EF">
              <w:rPr>
                <w:noProof/>
                <w:webHidden/>
              </w:rPr>
              <w:fldChar w:fldCharType="begin"/>
            </w:r>
            <w:r w:rsidR="001036EF">
              <w:rPr>
                <w:noProof/>
                <w:webHidden/>
              </w:rPr>
              <w:instrText xml:space="preserve"> PAGEREF _Toc361224349 \h </w:instrText>
            </w:r>
            <w:r w:rsidR="001036EF">
              <w:rPr>
                <w:noProof/>
                <w:webHidden/>
              </w:rPr>
            </w:r>
            <w:r w:rsidR="001036EF">
              <w:rPr>
                <w:noProof/>
                <w:webHidden/>
              </w:rPr>
              <w:fldChar w:fldCharType="separate"/>
            </w:r>
            <w:r w:rsidR="001036EF">
              <w:rPr>
                <w:noProof/>
                <w:webHidden/>
              </w:rPr>
              <w:t>24</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50" w:history="1">
            <w:r w:rsidR="001036EF" w:rsidRPr="002B503A">
              <w:rPr>
                <w:rStyle w:val="Hyperlink"/>
                <w:noProof/>
              </w:rPr>
              <w:t>Assessment of results and performance</w:t>
            </w:r>
            <w:r w:rsidR="001036EF">
              <w:rPr>
                <w:noProof/>
                <w:webHidden/>
              </w:rPr>
              <w:tab/>
            </w:r>
            <w:r w:rsidR="001036EF">
              <w:rPr>
                <w:noProof/>
                <w:webHidden/>
              </w:rPr>
              <w:fldChar w:fldCharType="begin"/>
            </w:r>
            <w:r w:rsidR="001036EF">
              <w:rPr>
                <w:noProof/>
                <w:webHidden/>
              </w:rPr>
              <w:instrText xml:space="preserve"> PAGEREF _Toc361224350 \h </w:instrText>
            </w:r>
            <w:r w:rsidR="001036EF">
              <w:rPr>
                <w:noProof/>
                <w:webHidden/>
              </w:rPr>
            </w:r>
            <w:r w:rsidR="001036EF">
              <w:rPr>
                <w:noProof/>
                <w:webHidden/>
              </w:rPr>
              <w:fldChar w:fldCharType="separate"/>
            </w:r>
            <w:r w:rsidR="001036EF">
              <w:rPr>
                <w:noProof/>
                <w:webHidden/>
              </w:rPr>
              <w:t>24</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51" w:history="1">
            <w:r w:rsidR="001036EF" w:rsidRPr="002B503A">
              <w:rPr>
                <w:rStyle w:val="Hyperlink"/>
                <w:noProof/>
              </w:rPr>
              <w:t>Expenditure</w:t>
            </w:r>
            <w:r w:rsidR="001036EF">
              <w:rPr>
                <w:noProof/>
                <w:webHidden/>
              </w:rPr>
              <w:tab/>
            </w:r>
            <w:r w:rsidR="001036EF">
              <w:rPr>
                <w:noProof/>
                <w:webHidden/>
              </w:rPr>
              <w:fldChar w:fldCharType="begin"/>
            </w:r>
            <w:r w:rsidR="001036EF">
              <w:rPr>
                <w:noProof/>
                <w:webHidden/>
              </w:rPr>
              <w:instrText xml:space="preserve"> PAGEREF _Toc361224351 \h </w:instrText>
            </w:r>
            <w:r w:rsidR="001036EF">
              <w:rPr>
                <w:noProof/>
                <w:webHidden/>
              </w:rPr>
            </w:r>
            <w:r w:rsidR="001036EF">
              <w:rPr>
                <w:noProof/>
                <w:webHidden/>
              </w:rPr>
              <w:fldChar w:fldCharType="separate"/>
            </w:r>
            <w:r w:rsidR="001036EF">
              <w:rPr>
                <w:noProof/>
                <w:webHidden/>
              </w:rPr>
              <w:t>25</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52" w:history="1">
            <w:r w:rsidR="001036EF" w:rsidRPr="002B503A">
              <w:rPr>
                <w:rStyle w:val="Hyperlink"/>
                <w:noProof/>
              </w:rPr>
              <w:t>Objective 1: A conducive enabling environment for private sector activity and investment</w:t>
            </w:r>
            <w:r w:rsidR="001036EF">
              <w:rPr>
                <w:noProof/>
                <w:webHidden/>
              </w:rPr>
              <w:tab/>
            </w:r>
            <w:r w:rsidR="001036EF">
              <w:rPr>
                <w:noProof/>
                <w:webHidden/>
              </w:rPr>
              <w:fldChar w:fldCharType="begin"/>
            </w:r>
            <w:r w:rsidR="001036EF">
              <w:rPr>
                <w:noProof/>
                <w:webHidden/>
              </w:rPr>
              <w:instrText xml:space="preserve"> PAGEREF _Toc361224352 \h </w:instrText>
            </w:r>
            <w:r w:rsidR="001036EF">
              <w:rPr>
                <w:noProof/>
                <w:webHidden/>
              </w:rPr>
            </w:r>
            <w:r w:rsidR="001036EF">
              <w:rPr>
                <w:noProof/>
                <w:webHidden/>
              </w:rPr>
              <w:fldChar w:fldCharType="separate"/>
            </w:r>
            <w:r w:rsidR="001036EF">
              <w:rPr>
                <w:noProof/>
                <w:webHidden/>
              </w:rPr>
              <w:t>26</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53" w:history="1">
            <w:r w:rsidR="001036EF" w:rsidRPr="002B503A">
              <w:rPr>
                <w:rStyle w:val="Hyperlink"/>
                <w:noProof/>
              </w:rPr>
              <w:t>Rating</w:t>
            </w:r>
            <w:r w:rsidR="001036EF">
              <w:rPr>
                <w:noProof/>
                <w:webHidden/>
              </w:rPr>
              <w:tab/>
            </w:r>
            <w:r w:rsidR="001036EF">
              <w:rPr>
                <w:noProof/>
                <w:webHidden/>
              </w:rPr>
              <w:fldChar w:fldCharType="begin"/>
            </w:r>
            <w:r w:rsidR="001036EF">
              <w:rPr>
                <w:noProof/>
                <w:webHidden/>
              </w:rPr>
              <w:instrText xml:space="preserve"> PAGEREF _Toc361224353 \h </w:instrText>
            </w:r>
            <w:r w:rsidR="001036EF">
              <w:rPr>
                <w:noProof/>
                <w:webHidden/>
              </w:rPr>
            </w:r>
            <w:r w:rsidR="001036EF">
              <w:rPr>
                <w:noProof/>
                <w:webHidden/>
              </w:rPr>
              <w:fldChar w:fldCharType="separate"/>
            </w:r>
            <w:r w:rsidR="001036EF">
              <w:rPr>
                <w:noProof/>
                <w:webHidden/>
              </w:rPr>
              <w:t>26</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54" w:history="1">
            <w:r w:rsidR="001036EF" w:rsidRPr="002B503A">
              <w:rPr>
                <w:rStyle w:val="Hyperlink"/>
                <w:noProof/>
              </w:rPr>
              <w:t>Assessment of results and performance</w:t>
            </w:r>
            <w:r w:rsidR="001036EF">
              <w:rPr>
                <w:noProof/>
                <w:webHidden/>
              </w:rPr>
              <w:tab/>
            </w:r>
            <w:r w:rsidR="001036EF">
              <w:rPr>
                <w:noProof/>
                <w:webHidden/>
              </w:rPr>
              <w:fldChar w:fldCharType="begin"/>
            </w:r>
            <w:r w:rsidR="001036EF">
              <w:rPr>
                <w:noProof/>
                <w:webHidden/>
              </w:rPr>
              <w:instrText xml:space="preserve"> PAGEREF _Toc361224354 \h </w:instrText>
            </w:r>
            <w:r w:rsidR="001036EF">
              <w:rPr>
                <w:noProof/>
                <w:webHidden/>
              </w:rPr>
            </w:r>
            <w:r w:rsidR="001036EF">
              <w:rPr>
                <w:noProof/>
                <w:webHidden/>
              </w:rPr>
              <w:fldChar w:fldCharType="separate"/>
            </w:r>
            <w:r w:rsidR="001036EF">
              <w:rPr>
                <w:noProof/>
                <w:webHidden/>
              </w:rPr>
              <w:t>26</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55" w:history="1">
            <w:r w:rsidR="001036EF" w:rsidRPr="002B503A">
              <w:rPr>
                <w:rStyle w:val="Hyperlink"/>
                <w:noProof/>
              </w:rPr>
              <w:t>Objective 2: Enhanced access to markets and services</w:t>
            </w:r>
            <w:r w:rsidR="001036EF">
              <w:rPr>
                <w:noProof/>
                <w:webHidden/>
              </w:rPr>
              <w:tab/>
            </w:r>
            <w:r w:rsidR="001036EF">
              <w:rPr>
                <w:noProof/>
                <w:webHidden/>
              </w:rPr>
              <w:fldChar w:fldCharType="begin"/>
            </w:r>
            <w:r w:rsidR="001036EF">
              <w:rPr>
                <w:noProof/>
                <w:webHidden/>
              </w:rPr>
              <w:instrText xml:space="preserve"> PAGEREF _Toc361224355 \h </w:instrText>
            </w:r>
            <w:r w:rsidR="001036EF">
              <w:rPr>
                <w:noProof/>
                <w:webHidden/>
              </w:rPr>
            </w:r>
            <w:r w:rsidR="001036EF">
              <w:rPr>
                <w:noProof/>
                <w:webHidden/>
              </w:rPr>
              <w:fldChar w:fldCharType="separate"/>
            </w:r>
            <w:r w:rsidR="001036EF">
              <w:rPr>
                <w:noProof/>
                <w:webHidden/>
              </w:rPr>
              <w:t>27</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56" w:history="1">
            <w:r w:rsidR="001036EF" w:rsidRPr="002B503A">
              <w:rPr>
                <w:rStyle w:val="Hyperlink"/>
                <w:noProof/>
              </w:rPr>
              <w:t>Rating</w:t>
            </w:r>
            <w:r w:rsidR="001036EF">
              <w:rPr>
                <w:noProof/>
                <w:webHidden/>
              </w:rPr>
              <w:tab/>
            </w:r>
            <w:r w:rsidR="001036EF">
              <w:rPr>
                <w:noProof/>
                <w:webHidden/>
              </w:rPr>
              <w:fldChar w:fldCharType="begin"/>
            </w:r>
            <w:r w:rsidR="001036EF">
              <w:rPr>
                <w:noProof/>
                <w:webHidden/>
              </w:rPr>
              <w:instrText xml:space="preserve"> PAGEREF _Toc361224356 \h </w:instrText>
            </w:r>
            <w:r w:rsidR="001036EF">
              <w:rPr>
                <w:noProof/>
                <w:webHidden/>
              </w:rPr>
            </w:r>
            <w:r w:rsidR="001036EF">
              <w:rPr>
                <w:noProof/>
                <w:webHidden/>
              </w:rPr>
              <w:fldChar w:fldCharType="separate"/>
            </w:r>
            <w:r w:rsidR="001036EF">
              <w:rPr>
                <w:noProof/>
                <w:webHidden/>
              </w:rPr>
              <w:t>27</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57" w:history="1">
            <w:r w:rsidR="001036EF" w:rsidRPr="002B503A">
              <w:rPr>
                <w:rStyle w:val="Hyperlink"/>
                <w:noProof/>
              </w:rPr>
              <w:t>Assessment of results and performance</w:t>
            </w:r>
            <w:r w:rsidR="001036EF">
              <w:rPr>
                <w:noProof/>
                <w:webHidden/>
              </w:rPr>
              <w:tab/>
            </w:r>
            <w:r w:rsidR="001036EF">
              <w:rPr>
                <w:noProof/>
                <w:webHidden/>
              </w:rPr>
              <w:fldChar w:fldCharType="begin"/>
            </w:r>
            <w:r w:rsidR="001036EF">
              <w:rPr>
                <w:noProof/>
                <w:webHidden/>
              </w:rPr>
              <w:instrText xml:space="preserve"> PAGEREF _Toc361224357 \h </w:instrText>
            </w:r>
            <w:r w:rsidR="001036EF">
              <w:rPr>
                <w:noProof/>
                <w:webHidden/>
              </w:rPr>
            </w:r>
            <w:r w:rsidR="001036EF">
              <w:rPr>
                <w:noProof/>
                <w:webHidden/>
              </w:rPr>
              <w:fldChar w:fldCharType="separate"/>
            </w:r>
            <w:r w:rsidR="001036EF">
              <w:rPr>
                <w:noProof/>
                <w:webHidden/>
              </w:rPr>
              <w:t>27</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58" w:history="1">
            <w:r w:rsidR="001036EF" w:rsidRPr="002B503A">
              <w:rPr>
                <w:rStyle w:val="Hyperlink"/>
                <w:noProof/>
              </w:rPr>
              <w:t>Objective 3: Increased agricultural productivity</w:t>
            </w:r>
            <w:r w:rsidR="001036EF">
              <w:rPr>
                <w:noProof/>
                <w:webHidden/>
              </w:rPr>
              <w:tab/>
            </w:r>
            <w:r w:rsidR="001036EF">
              <w:rPr>
                <w:noProof/>
                <w:webHidden/>
              </w:rPr>
              <w:fldChar w:fldCharType="begin"/>
            </w:r>
            <w:r w:rsidR="001036EF">
              <w:rPr>
                <w:noProof/>
                <w:webHidden/>
              </w:rPr>
              <w:instrText xml:space="preserve"> PAGEREF _Toc361224358 \h </w:instrText>
            </w:r>
            <w:r w:rsidR="001036EF">
              <w:rPr>
                <w:noProof/>
                <w:webHidden/>
              </w:rPr>
            </w:r>
            <w:r w:rsidR="001036EF">
              <w:rPr>
                <w:noProof/>
                <w:webHidden/>
              </w:rPr>
              <w:fldChar w:fldCharType="separate"/>
            </w:r>
            <w:r w:rsidR="001036EF">
              <w:rPr>
                <w:noProof/>
                <w:webHidden/>
              </w:rPr>
              <w:t>29</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59" w:history="1">
            <w:r w:rsidR="001036EF" w:rsidRPr="002B503A">
              <w:rPr>
                <w:rStyle w:val="Hyperlink"/>
                <w:noProof/>
              </w:rPr>
              <w:t>Rating</w:t>
            </w:r>
            <w:r w:rsidR="001036EF">
              <w:rPr>
                <w:noProof/>
                <w:webHidden/>
              </w:rPr>
              <w:tab/>
            </w:r>
            <w:r w:rsidR="001036EF">
              <w:rPr>
                <w:noProof/>
                <w:webHidden/>
              </w:rPr>
              <w:fldChar w:fldCharType="begin"/>
            </w:r>
            <w:r w:rsidR="001036EF">
              <w:rPr>
                <w:noProof/>
                <w:webHidden/>
              </w:rPr>
              <w:instrText xml:space="preserve"> PAGEREF _Toc361224359 \h </w:instrText>
            </w:r>
            <w:r w:rsidR="001036EF">
              <w:rPr>
                <w:noProof/>
                <w:webHidden/>
              </w:rPr>
            </w:r>
            <w:r w:rsidR="001036EF">
              <w:rPr>
                <w:noProof/>
                <w:webHidden/>
              </w:rPr>
              <w:fldChar w:fldCharType="separate"/>
            </w:r>
            <w:r w:rsidR="001036EF">
              <w:rPr>
                <w:noProof/>
                <w:webHidden/>
              </w:rPr>
              <w:t>29</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60" w:history="1">
            <w:r w:rsidR="001036EF" w:rsidRPr="002B503A">
              <w:rPr>
                <w:rStyle w:val="Hyperlink"/>
                <w:noProof/>
              </w:rPr>
              <w:t>Assessment of results and performance</w:t>
            </w:r>
            <w:r w:rsidR="001036EF">
              <w:rPr>
                <w:noProof/>
                <w:webHidden/>
              </w:rPr>
              <w:tab/>
            </w:r>
            <w:r w:rsidR="001036EF">
              <w:rPr>
                <w:noProof/>
                <w:webHidden/>
              </w:rPr>
              <w:fldChar w:fldCharType="begin"/>
            </w:r>
            <w:r w:rsidR="001036EF">
              <w:rPr>
                <w:noProof/>
                <w:webHidden/>
              </w:rPr>
              <w:instrText xml:space="preserve"> PAGEREF _Toc361224360 \h </w:instrText>
            </w:r>
            <w:r w:rsidR="001036EF">
              <w:rPr>
                <w:noProof/>
                <w:webHidden/>
              </w:rPr>
            </w:r>
            <w:r w:rsidR="001036EF">
              <w:rPr>
                <w:noProof/>
                <w:webHidden/>
              </w:rPr>
              <w:fldChar w:fldCharType="separate"/>
            </w:r>
            <w:r w:rsidR="001036EF">
              <w:rPr>
                <w:noProof/>
                <w:webHidden/>
              </w:rPr>
              <w:t>29</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61" w:history="1">
            <w:r w:rsidR="001036EF" w:rsidRPr="002B503A">
              <w:rPr>
                <w:rStyle w:val="Hyperlink"/>
                <w:noProof/>
              </w:rPr>
              <w:t>Objective 4: Increased workforce skills</w:t>
            </w:r>
            <w:r w:rsidR="001036EF">
              <w:rPr>
                <w:noProof/>
                <w:webHidden/>
              </w:rPr>
              <w:tab/>
            </w:r>
            <w:r w:rsidR="001036EF">
              <w:rPr>
                <w:noProof/>
                <w:webHidden/>
              </w:rPr>
              <w:fldChar w:fldCharType="begin"/>
            </w:r>
            <w:r w:rsidR="001036EF">
              <w:rPr>
                <w:noProof/>
                <w:webHidden/>
              </w:rPr>
              <w:instrText xml:space="preserve"> PAGEREF _Toc361224361 \h </w:instrText>
            </w:r>
            <w:r w:rsidR="001036EF">
              <w:rPr>
                <w:noProof/>
                <w:webHidden/>
              </w:rPr>
            </w:r>
            <w:r w:rsidR="001036EF">
              <w:rPr>
                <w:noProof/>
                <w:webHidden/>
              </w:rPr>
              <w:fldChar w:fldCharType="separate"/>
            </w:r>
            <w:r w:rsidR="001036EF">
              <w:rPr>
                <w:noProof/>
                <w:webHidden/>
              </w:rPr>
              <w:t>30</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62" w:history="1">
            <w:r w:rsidR="001036EF" w:rsidRPr="002B503A">
              <w:rPr>
                <w:rStyle w:val="Hyperlink"/>
                <w:noProof/>
              </w:rPr>
              <w:t>Rating</w:t>
            </w:r>
            <w:r w:rsidR="001036EF">
              <w:rPr>
                <w:noProof/>
                <w:webHidden/>
              </w:rPr>
              <w:tab/>
            </w:r>
            <w:r w:rsidR="001036EF">
              <w:rPr>
                <w:noProof/>
                <w:webHidden/>
              </w:rPr>
              <w:fldChar w:fldCharType="begin"/>
            </w:r>
            <w:r w:rsidR="001036EF">
              <w:rPr>
                <w:noProof/>
                <w:webHidden/>
              </w:rPr>
              <w:instrText xml:space="preserve"> PAGEREF _Toc361224362 \h </w:instrText>
            </w:r>
            <w:r w:rsidR="001036EF">
              <w:rPr>
                <w:noProof/>
                <w:webHidden/>
              </w:rPr>
            </w:r>
            <w:r w:rsidR="001036EF">
              <w:rPr>
                <w:noProof/>
                <w:webHidden/>
              </w:rPr>
              <w:fldChar w:fldCharType="separate"/>
            </w:r>
            <w:r w:rsidR="001036EF">
              <w:rPr>
                <w:noProof/>
                <w:webHidden/>
              </w:rPr>
              <w:t>30</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63" w:history="1">
            <w:r w:rsidR="001036EF" w:rsidRPr="002B503A">
              <w:rPr>
                <w:rStyle w:val="Hyperlink"/>
                <w:noProof/>
              </w:rPr>
              <w:t>Assessment of results and performance</w:t>
            </w:r>
            <w:r w:rsidR="001036EF">
              <w:rPr>
                <w:noProof/>
                <w:webHidden/>
              </w:rPr>
              <w:tab/>
            </w:r>
            <w:r w:rsidR="001036EF">
              <w:rPr>
                <w:noProof/>
                <w:webHidden/>
              </w:rPr>
              <w:fldChar w:fldCharType="begin"/>
            </w:r>
            <w:r w:rsidR="001036EF">
              <w:rPr>
                <w:noProof/>
                <w:webHidden/>
              </w:rPr>
              <w:instrText xml:space="preserve"> PAGEREF _Toc361224363 \h </w:instrText>
            </w:r>
            <w:r w:rsidR="001036EF">
              <w:rPr>
                <w:noProof/>
                <w:webHidden/>
              </w:rPr>
            </w:r>
            <w:r w:rsidR="001036EF">
              <w:rPr>
                <w:noProof/>
                <w:webHidden/>
              </w:rPr>
              <w:fldChar w:fldCharType="separate"/>
            </w:r>
            <w:r w:rsidR="001036EF">
              <w:rPr>
                <w:noProof/>
                <w:webHidden/>
              </w:rPr>
              <w:t>30</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64" w:history="1">
            <w:r w:rsidR="001036EF" w:rsidRPr="002B503A">
              <w:rPr>
                <w:rStyle w:val="Hyperlink"/>
                <w:noProof/>
              </w:rPr>
              <w:t>Expenditure</w:t>
            </w:r>
            <w:r w:rsidR="001036EF">
              <w:rPr>
                <w:noProof/>
                <w:webHidden/>
              </w:rPr>
              <w:tab/>
            </w:r>
            <w:r w:rsidR="001036EF">
              <w:rPr>
                <w:noProof/>
                <w:webHidden/>
              </w:rPr>
              <w:fldChar w:fldCharType="begin"/>
            </w:r>
            <w:r w:rsidR="001036EF">
              <w:rPr>
                <w:noProof/>
                <w:webHidden/>
              </w:rPr>
              <w:instrText xml:space="preserve"> PAGEREF _Toc361224364 \h </w:instrText>
            </w:r>
            <w:r w:rsidR="001036EF">
              <w:rPr>
                <w:noProof/>
                <w:webHidden/>
              </w:rPr>
            </w:r>
            <w:r w:rsidR="001036EF">
              <w:rPr>
                <w:noProof/>
                <w:webHidden/>
              </w:rPr>
              <w:fldChar w:fldCharType="separate"/>
            </w:r>
            <w:r w:rsidR="001036EF">
              <w:rPr>
                <w:noProof/>
                <w:webHidden/>
              </w:rPr>
              <w:t>30</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65" w:history="1">
            <w:r w:rsidR="001036EF" w:rsidRPr="002B503A">
              <w:rPr>
                <w:rStyle w:val="Hyperlink"/>
                <w:noProof/>
              </w:rPr>
              <w:t>Objective 1: All levels of government oriented towards and better able to coordinate and implement service delivery</w:t>
            </w:r>
            <w:r w:rsidR="001036EF">
              <w:rPr>
                <w:noProof/>
                <w:webHidden/>
              </w:rPr>
              <w:tab/>
            </w:r>
            <w:r w:rsidR="001036EF">
              <w:rPr>
                <w:noProof/>
                <w:webHidden/>
              </w:rPr>
              <w:fldChar w:fldCharType="begin"/>
            </w:r>
            <w:r w:rsidR="001036EF">
              <w:rPr>
                <w:noProof/>
                <w:webHidden/>
              </w:rPr>
              <w:instrText xml:space="preserve"> PAGEREF _Toc361224365 \h </w:instrText>
            </w:r>
            <w:r w:rsidR="001036EF">
              <w:rPr>
                <w:noProof/>
                <w:webHidden/>
              </w:rPr>
            </w:r>
            <w:r w:rsidR="001036EF">
              <w:rPr>
                <w:noProof/>
                <w:webHidden/>
              </w:rPr>
              <w:fldChar w:fldCharType="separate"/>
            </w:r>
            <w:r w:rsidR="001036EF">
              <w:rPr>
                <w:noProof/>
                <w:webHidden/>
              </w:rPr>
              <w:t>31</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66" w:history="1">
            <w:r w:rsidR="001036EF" w:rsidRPr="002B503A">
              <w:rPr>
                <w:rStyle w:val="Hyperlink"/>
                <w:noProof/>
              </w:rPr>
              <w:t>Rating</w:t>
            </w:r>
            <w:r w:rsidR="001036EF">
              <w:rPr>
                <w:noProof/>
                <w:webHidden/>
              </w:rPr>
              <w:tab/>
            </w:r>
            <w:r w:rsidR="001036EF">
              <w:rPr>
                <w:noProof/>
                <w:webHidden/>
              </w:rPr>
              <w:fldChar w:fldCharType="begin"/>
            </w:r>
            <w:r w:rsidR="001036EF">
              <w:rPr>
                <w:noProof/>
                <w:webHidden/>
              </w:rPr>
              <w:instrText xml:space="preserve"> PAGEREF _Toc361224366 \h </w:instrText>
            </w:r>
            <w:r w:rsidR="001036EF">
              <w:rPr>
                <w:noProof/>
                <w:webHidden/>
              </w:rPr>
            </w:r>
            <w:r w:rsidR="001036EF">
              <w:rPr>
                <w:noProof/>
                <w:webHidden/>
              </w:rPr>
              <w:fldChar w:fldCharType="separate"/>
            </w:r>
            <w:r w:rsidR="001036EF">
              <w:rPr>
                <w:noProof/>
                <w:webHidden/>
              </w:rPr>
              <w:t>31</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67" w:history="1">
            <w:r w:rsidR="001036EF" w:rsidRPr="002B503A">
              <w:rPr>
                <w:rStyle w:val="Hyperlink"/>
                <w:noProof/>
              </w:rPr>
              <w:t>Assessment of results and performance</w:t>
            </w:r>
            <w:r w:rsidR="001036EF">
              <w:rPr>
                <w:noProof/>
                <w:webHidden/>
              </w:rPr>
              <w:tab/>
            </w:r>
            <w:r w:rsidR="001036EF">
              <w:rPr>
                <w:noProof/>
                <w:webHidden/>
              </w:rPr>
              <w:fldChar w:fldCharType="begin"/>
            </w:r>
            <w:r w:rsidR="001036EF">
              <w:rPr>
                <w:noProof/>
                <w:webHidden/>
              </w:rPr>
              <w:instrText xml:space="preserve"> PAGEREF _Toc361224367 \h </w:instrText>
            </w:r>
            <w:r w:rsidR="001036EF">
              <w:rPr>
                <w:noProof/>
                <w:webHidden/>
              </w:rPr>
            </w:r>
            <w:r w:rsidR="001036EF">
              <w:rPr>
                <w:noProof/>
                <w:webHidden/>
              </w:rPr>
              <w:fldChar w:fldCharType="separate"/>
            </w:r>
            <w:r w:rsidR="001036EF">
              <w:rPr>
                <w:noProof/>
                <w:webHidden/>
              </w:rPr>
              <w:t>31</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68" w:history="1">
            <w:r w:rsidR="001036EF" w:rsidRPr="002B503A">
              <w:rPr>
                <w:rStyle w:val="Hyperlink"/>
                <w:noProof/>
              </w:rPr>
              <w:t>Objective 2: Increased quality of and access to education</w:t>
            </w:r>
            <w:r w:rsidR="001036EF">
              <w:rPr>
                <w:noProof/>
                <w:webHidden/>
              </w:rPr>
              <w:tab/>
            </w:r>
            <w:r w:rsidR="001036EF">
              <w:rPr>
                <w:noProof/>
                <w:webHidden/>
              </w:rPr>
              <w:fldChar w:fldCharType="begin"/>
            </w:r>
            <w:r w:rsidR="001036EF">
              <w:rPr>
                <w:noProof/>
                <w:webHidden/>
              </w:rPr>
              <w:instrText xml:space="preserve"> PAGEREF _Toc361224368 \h </w:instrText>
            </w:r>
            <w:r w:rsidR="001036EF">
              <w:rPr>
                <w:noProof/>
                <w:webHidden/>
              </w:rPr>
            </w:r>
            <w:r w:rsidR="001036EF">
              <w:rPr>
                <w:noProof/>
                <w:webHidden/>
              </w:rPr>
              <w:fldChar w:fldCharType="separate"/>
            </w:r>
            <w:r w:rsidR="001036EF">
              <w:rPr>
                <w:noProof/>
                <w:webHidden/>
              </w:rPr>
              <w:t>33</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69" w:history="1">
            <w:r w:rsidR="001036EF" w:rsidRPr="002B503A">
              <w:rPr>
                <w:rStyle w:val="Hyperlink"/>
                <w:noProof/>
              </w:rPr>
              <w:t>Rating</w:t>
            </w:r>
            <w:r w:rsidR="001036EF">
              <w:rPr>
                <w:noProof/>
                <w:webHidden/>
              </w:rPr>
              <w:tab/>
            </w:r>
            <w:r w:rsidR="001036EF">
              <w:rPr>
                <w:noProof/>
                <w:webHidden/>
              </w:rPr>
              <w:fldChar w:fldCharType="begin"/>
            </w:r>
            <w:r w:rsidR="001036EF">
              <w:rPr>
                <w:noProof/>
                <w:webHidden/>
              </w:rPr>
              <w:instrText xml:space="preserve"> PAGEREF _Toc361224369 \h </w:instrText>
            </w:r>
            <w:r w:rsidR="001036EF">
              <w:rPr>
                <w:noProof/>
                <w:webHidden/>
              </w:rPr>
            </w:r>
            <w:r w:rsidR="001036EF">
              <w:rPr>
                <w:noProof/>
                <w:webHidden/>
              </w:rPr>
              <w:fldChar w:fldCharType="separate"/>
            </w:r>
            <w:r w:rsidR="001036EF">
              <w:rPr>
                <w:noProof/>
                <w:webHidden/>
              </w:rPr>
              <w:t>33</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70" w:history="1">
            <w:r w:rsidR="001036EF" w:rsidRPr="002B503A">
              <w:rPr>
                <w:rStyle w:val="Hyperlink"/>
                <w:noProof/>
              </w:rPr>
              <w:t>Assessment of results and performance</w:t>
            </w:r>
            <w:r w:rsidR="001036EF">
              <w:rPr>
                <w:noProof/>
                <w:webHidden/>
              </w:rPr>
              <w:tab/>
            </w:r>
            <w:r w:rsidR="001036EF">
              <w:rPr>
                <w:noProof/>
                <w:webHidden/>
              </w:rPr>
              <w:fldChar w:fldCharType="begin"/>
            </w:r>
            <w:r w:rsidR="001036EF">
              <w:rPr>
                <w:noProof/>
                <w:webHidden/>
              </w:rPr>
              <w:instrText xml:space="preserve"> PAGEREF _Toc361224370 \h </w:instrText>
            </w:r>
            <w:r w:rsidR="001036EF">
              <w:rPr>
                <w:noProof/>
                <w:webHidden/>
              </w:rPr>
            </w:r>
            <w:r w:rsidR="001036EF">
              <w:rPr>
                <w:noProof/>
                <w:webHidden/>
              </w:rPr>
              <w:fldChar w:fldCharType="separate"/>
            </w:r>
            <w:r w:rsidR="001036EF">
              <w:rPr>
                <w:noProof/>
                <w:webHidden/>
              </w:rPr>
              <w:t>33</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71" w:history="1">
            <w:r w:rsidR="001036EF" w:rsidRPr="002B503A">
              <w:rPr>
                <w:rStyle w:val="Hyperlink"/>
                <w:noProof/>
              </w:rPr>
              <w:t>Objective 3: Increased quality of and access to health services</w:t>
            </w:r>
            <w:r w:rsidR="001036EF">
              <w:rPr>
                <w:noProof/>
                <w:webHidden/>
              </w:rPr>
              <w:tab/>
            </w:r>
            <w:r w:rsidR="001036EF">
              <w:rPr>
                <w:noProof/>
                <w:webHidden/>
              </w:rPr>
              <w:fldChar w:fldCharType="begin"/>
            </w:r>
            <w:r w:rsidR="001036EF">
              <w:rPr>
                <w:noProof/>
                <w:webHidden/>
              </w:rPr>
              <w:instrText xml:space="preserve"> PAGEREF _Toc361224371 \h </w:instrText>
            </w:r>
            <w:r w:rsidR="001036EF">
              <w:rPr>
                <w:noProof/>
                <w:webHidden/>
              </w:rPr>
            </w:r>
            <w:r w:rsidR="001036EF">
              <w:rPr>
                <w:noProof/>
                <w:webHidden/>
              </w:rPr>
              <w:fldChar w:fldCharType="separate"/>
            </w:r>
            <w:r w:rsidR="001036EF">
              <w:rPr>
                <w:noProof/>
                <w:webHidden/>
              </w:rPr>
              <w:t>34</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72" w:history="1">
            <w:r w:rsidR="001036EF" w:rsidRPr="002B503A">
              <w:rPr>
                <w:rStyle w:val="Hyperlink"/>
                <w:noProof/>
              </w:rPr>
              <w:t>Rating</w:t>
            </w:r>
            <w:r w:rsidR="001036EF">
              <w:rPr>
                <w:noProof/>
                <w:webHidden/>
              </w:rPr>
              <w:tab/>
            </w:r>
            <w:r w:rsidR="001036EF">
              <w:rPr>
                <w:noProof/>
                <w:webHidden/>
              </w:rPr>
              <w:fldChar w:fldCharType="begin"/>
            </w:r>
            <w:r w:rsidR="001036EF">
              <w:rPr>
                <w:noProof/>
                <w:webHidden/>
              </w:rPr>
              <w:instrText xml:space="preserve"> PAGEREF _Toc361224372 \h </w:instrText>
            </w:r>
            <w:r w:rsidR="001036EF">
              <w:rPr>
                <w:noProof/>
                <w:webHidden/>
              </w:rPr>
            </w:r>
            <w:r w:rsidR="001036EF">
              <w:rPr>
                <w:noProof/>
                <w:webHidden/>
              </w:rPr>
              <w:fldChar w:fldCharType="separate"/>
            </w:r>
            <w:r w:rsidR="001036EF">
              <w:rPr>
                <w:noProof/>
                <w:webHidden/>
              </w:rPr>
              <w:t>34</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73" w:history="1">
            <w:r w:rsidR="001036EF" w:rsidRPr="002B503A">
              <w:rPr>
                <w:rStyle w:val="Hyperlink"/>
                <w:noProof/>
              </w:rPr>
              <w:t>Assessment of results and performance</w:t>
            </w:r>
            <w:r w:rsidR="001036EF">
              <w:rPr>
                <w:noProof/>
                <w:webHidden/>
              </w:rPr>
              <w:tab/>
            </w:r>
            <w:r w:rsidR="001036EF">
              <w:rPr>
                <w:noProof/>
                <w:webHidden/>
              </w:rPr>
              <w:fldChar w:fldCharType="begin"/>
            </w:r>
            <w:r w:rsidR="001036EF">
              <w:rPr>
                <w:noProof/>
                <w:webHidden/>
              </w:rPr>
              <w:instrText xml:space="preserve"> PAGEREF _Toc361224373 \h </w:instrText>
            </w:r>
            <w:r w:rsidR="001036EF">
              <w:rPr>
                <w:noProof/>
                <w:webHidden/>
              </w:rPr>
            </w:r>
            <w:r w:rsidR="001036EF">
              <w:rPr>
                <w:noProof/>
                <w:webHidden/>
              </w:rPr>
              <w:fldChar w:fldCharType="separate"/>
            </w:r>
            <w:r w:rsidR="001036EF">
              <w:rPr>
                <w:noProof/>
                <w:webHidden/>
              </w:rPr>
              <w:t>34</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74" w:history="1">
            <w:r w:rsidR="001036EF" w:rsidRPr="002B503A">
              <w:rPr>
                <w:rStyle w:val="Hyperlink"/>
                <w:noProof/>
              </w:rPr>
              <w:t>Objective 4: Improved ability to provide law and justice services</w:t>
            </w:r>
            <w:r w:rsidR="001036EF">
              <w:rPr>
                <w:noProof/>
                <w:webHidden/>
              </w:rPr>
              <w:tab/>
            </w:r>
            <w:r w:rsidR="001036EF">
              <w:rPr>
                <w:noProof/>
                <w:webHidden/>
              </w:rPr>
              <w:fldChar w:fldCharType="begin"/>
            </w:r>
            <w:r w:rsidR="001036EF">
              <w:rPr>
                <w:noProof/>
                <w:webHidden/>
              </w:rPr>
              <w:instrText xml:space="preserve"> PAGEREF _Toc361224374 \h </w:instrText>
            </w:r>
            <w:r w:rsidR="001036EF">
              <w:rPr>
                <w:noProof/>
                <w:webHidden/>
              </w:rPr>
            </w:r>
            <w:r w:rsidR="001036EF">
              <w:rPr>
                <w:noProof/>
                <w:webHidden/>
              </w:rPr>
              <w:fldChar w:fldCharType="separate"/>
            </w:r>
            <w:r w:rsidR="001036EF">
              <w:rPr>
                <w:noProof/>
                <w:webHidden/>
              </w:rPr>
              <w:t>36</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75" w:history="1">
            <w:r w:rsidR="001036EF" w:rsidRPr="002B503A">
              <w:rPr>
                <w:rStyle w:val="Hyperlink"/>
                <w:noProof/>
              </w:rPr>
              <w:t>Rating</w:t>
            </w:r>
            <w:r w:rsidR="001036EF">
              <w:rPr>
                <w:noProof/>
                <w:webHidden/>
              </w:rPr>
              <w:tab/>
            </w:r>
            <w:r w:rsidR="001036EF">
              <w:rPr>
                <w:noProof/>
                <w:webHidden/>
              </w:rPr>
              <w:fldChar w:fldCharType="begin"/>
            </w:r>
            <w:r w:rsidR="001036EF">
              <w:rPr>
                <w:noProof/>
                <w:webHidden/>
              </w:rPr>
              <w:instrText xml:space="preserve"> PAGEREF _Toc361224375 \h </w:instrText>
            </w:r>
            <w:r w:rsidR="001036EF">
              <w:rPr>
                <w:noProof/>
                <w:webHidden/>
              </w:rPr>
            </w:r>
            <w:r w:rsidR="001036EF">
              <w:rPr>
                <w:noProof/>
                <w:webHidden/>
              </w:rPr>
              <w:fldChar w:fldCharType="separate"/>
            </w:r>
            <w:r w:rsidR="001036EF">
              <w:rPr>
                <w:noProof/>
                <w:webHidden/>
              </w:rPr>
              <w:t>36</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76" w:history="1">
            <w:r w:rsidR="001036EF" w:rsidRPr="002B503A">
              <w:rPr>
                <w:rStyle w:val="Hyperlink"/>
                <w:noProof/>
              </w:rPr>
              <w:t>Assessment of results and performance</w:t>
            </w:r>
            <w:r w:rsidR="001036EF">
              <w:rPr>
                <w:noProof/>
                <w:webHidden/>
              </w:rPr>
              <w:tab/>
            </w:r>
            <w:r w:rsidR="001036EF">
              <w:rPr>
                <w:noProof/>
                <w:webHidden/>
              </w:rPr>
              <w:fldChar w:fldCharType="begin"/>
            </w:r>
            <w:r w:rsidR="001036EF">
              <w:rPr>
                <w:noProof/>
                <w:webHidden/>
              </w:rPr>
              <w:instrText xml:space="preserve"> PAGEREF _Toc361224376 \h </w:instrText>
            </w:r>
            <w:r w:rsidR="001036EF">
              <w:rPr>
                <w:noProof/>
                <w:webHidden/>
              </w:rPr>
            </w:r>
            <w:r w:rsidR="001036EF">
              <w:rPr>
                <w:noProof/>
                <w:webHidden/>
              </w:rPr>
              <w:fldChar w:fldCharType="separate"/>
            </w:r>
            <w:r w:rsidR="001036EF">
              <w:rPr>
                <w:noProof/>
                <w:webHidden/>
              </w:rPr>
              <w:t>37</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77" w:history="1">
            <w:r w:rsidR="001036EF" w:rsidRPr="002B503A">
              <w:rPr>
                <w:rStyle w:val="Hyperlink"/>
                <w:noProof/>
              </w:rPr>
              <w:t>Expenditure</w:t>
            </w:r>
            <w:r w:rsidR="001036EF">
              <w:rPr>
                <w:noProof/>
                <w:webHidden/>
              </w:rPr>
              <w:tab/>
            </w:r>
            <w:r w:rsidR="001036EF">
              <w:rPr>
                <w:noProof/>
                <w:webHidden/>
              </w:rPr>
              <w:fldChar w:fldCharType="begin"/>
            </w:r>
            <w:r w:rsidR="001036EF">
              <w:rPr>
                <w:noProof/>
                <w:webHidden/>
              </w:rPr>
              <w:instrText xml:space="preserve"> PAGEREF _Toc361224377 \h </w:instrText>
            </w:r>
            <w:r w:rsidR="001036EF">
              <w:rPr>
                <w:noProof/>
                <w:webHidden/>
              </w:rPr>
            </w:r>
            <w:r w:rsidR="001036EF">
              <w:rPr>
                <w:noProof/>
                <w:webHidden/>
              </w:rPr>
              <w:fldChar w:fldCharType="separate"/>
            </w:r>
            <w:r w:rsidR="001036EF">
              <w:rPr>
                <w:noProof/>
                <w:webHidden/>
              </w:rPr>
              <w:t>38</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78" w:history="1">
            <w:r w:rsidR="001036EF" w:rsidRPr="002B503A">
              <w:rPr>
                <w:rStyle w:val="Hyperlink"/>
                <w:noProof/>
              </w:rPr>
              <w:t>Objective 1: Stabilise the spread of new infections by 2020</w:t>
            </w:r>
            <w:r w:rsidR="001036EF">
              <w:rPr>
                <w:noProof/>
                <w:webHidden/>
              </w:rPr>
              <w:tab/>
            </w:r>
            <w:r w:rsidR="001036EF">
              <w:rPr>
                <w:noProof/>
                <w:webHidden/>
              </w:rPr>
              <w:fldChar w:fldCharType="begin"/>
            </w:r>
            <w:r w:rsidR="001036EF">
              <w:rPr>
                <w:noProof/>
                <w:webHidden/>
              </w:rPr>
              <w:instrText xml:space="preserve"> PAGEREF _Toc361224378 \h </w:instrText>
            </w:r>
            <w:r w:rsidR="001036EF">
              <w:rPr>
                <w:noProof/>
                <w:webHidden/>
              </w:rPr>
            </w:r>
            <w:r w:rsidR="001036EF">
              <w:rPr>
                <w:noProof/>
                <w:webHidden/>
              </w:rPr>
              <w:fldChar w:fldCharType="separate"/>
            </w:r>
            <w:r w:rsidR="001036EF">
              <w:rPr>
                <w:noProof/>
                <w:webHidden/>
              </w:rPr>
              <w:t>39</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79" w:history="1">
            <w:r w:rsidR="001036EF" w:rsidRPr="002B503A">
              <w:rPr>
                <w:rStyle w:val="Hyperlink"/>
                <w:noProof/>
              </w:rPr>
              <w:t>Rating</w:t>
            </w:r>
            <w:r w:rsidR="001036EF">
              <w:rPr>
                <w:noProof/>
                <w:webHidden/>
              </w:rPr>
              <w:tab/>
            </w:r>
            <w:r w:rsidR="001036EF">
              <w:rPr>
                <w:noProof/>
                <w:webHidden/>
              </w:rPr>
              <w:fldChar w:fldCharType="begin"/>
            </w:r>
            <w:r w:rsidR="001036EF">
              <w:rPr>
                <w:noProof/>
                <w:webHidden/>
              </w:rPr>
              <w:instrText xml:space="preserve"> PAGEREF _Toc361224379 \h </w:instrText>
            </w:r>
            <w:r w:rsidR="001036EF">
              <w:rPr>
                <w:noProof/>
                <w:webHidden/>
              </w:rPr>
            </w:r>
            <w:r w:rsidR="001036EF">
              <w:rPr>
                <w:noProof/>
                <w:webHidden/>
              </w:rPr>
              <w:fldChar w:fldCharType="separate"/>
            </w:r>
            <w:r w:rsidR="001036EF">
              <w:rPr>
                <w:noProof/>
                <w:webHidden/>
              </w:rPr>
              <w:t>39</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80" w:history="1">
            <w:r w:rsidR="001036EF" w:rsidRPr="002B503A">
              <w:rPr>
                <w:rStyle w:val="Hyperlink"/>
                <w:noProof/>
              </w:rPr>
              <w:t>Assessment of results and performance</w:t>
            </w:r>
            <w:r w:rsidR="001036EF">
              <w:rPr>
                <w:noProof/>
                <w:webHidden/>
              </w:rPr>
              <w:tab/>
            </w:r>
            <w:r w:rsidR="001036EF">
              <w:rPr>
                <w:noProof/>
                <w:webHidden/>
              </w:rPr>
              <w:fldChar w:fldCharType="begin"/>
            </w:r>
            <w:r w:rsidR="001036EF">
              <w:rPr>
                <w:noProof/>
                <w:webHidden/>
              </w:rPr>
              <w:instrText xml:space="preserve"> PAGEREF _Toc361224380 \h </w:instrText>
            </w:r>
            <w:r w:rsidR="001036EF">
              <w:rPr>
                <w:noProof/>
                <w:webHidden/>
              </w:rPr>
            </w:r>
            <w:r w:rsidR="001036EF">
              <w:rPr>
                <w:noProof/>
                <w:webHidden/>
              </w:rPr>
              <w:fldChar w:fldCharType="separate"/>
            </w:r>
            <w:r w:rsidR="001036EF">
              <w:rPr>
                <w:noProof/>
                <w:webHidden/>
              </w:rPr>
              <w:t>39</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81" w:history="1">
            <w:r w:rsidR="001036EF" w:rsidRPr="002B503A">
              <w:rPr>
                <w:rStyle w:val="Hyperlink"/>
                <w:noProof/>
              </w:rPr>
              <w:t>Objective 2: Effective care and treatment of those infected</w:t>
            </w:r>
            <w:r w:rsidR="001036EF">
              <w:rPr>
                <w:noProof/>
                <w:webHidden/>
              </w:rPr>
              <w:tab/>
            </w:r>
            <w:r w:rsidR="001036EF">
              <w:rPr>
                <w:noProof/>
                <w:webHidden/>
              </w:rPr>
              <w:fldChar w:fldCharType="begin"/>
            </w:r>
            <w:r w:rsidR="001036EF">
              <w:rPr>
                <w:noProof/>
                <w:webHidden/>
              </w:rPr>
              <w:instrText xml:space="preserve"> PAGEREF _Toc361224381 \h </w:instrText>
            </w:r>
            <w:r w:rsidR="001036EF">
              <w:rPr>
                <w:noProof/>
                <w:webHidden/>
              </w:rPr>
            </w:r>
            <w:r w:rsidR="001036EF">
              <w:rPr>
                <w:noProof/>
                <w:webHidden/>
              </w:rPr>
              <w:fldChar w:fldCharType="separate"/>
            </w:r>
            <w:r w:rsidR="001036EF">
              <w:rPr>
                <w:noProof/>
                <w:webHidden/>
              </w:rPr>
              <w:t>41</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82" w:history="1">
            <w:r w:rsidR="001036EF" w:rsidRPr="002B503A">
              <w:rPr>
                <w:rStyle w:val="Hyperlink"/>
                <w:noProof/>
              </w:rPr>
              <w:t>Rating</w:t>
            </w:r>
            <w:r w:rsidR="001036EF">
              <w:rPr>
                <w:noProof/>
                <w:webHidden/>
              </w:rPr>
              <w:tab/>
            </w:r>
            <w:r w:rsidR="001036EF">
              <w:rPr>
                <w:noProof/>
                <w:webHidden/>
              </w:rPr>
              <w:fldChar w:fldCharType="begin"/>
            </w:r>
            <w:r w:rsidR="001036EF">
              <w:rPr>
                <w:noProof/>
                <w:webHidden/>
              </w:rPr>
              <w:instrText xml:space="preserve"> PAGEREF _Toc361224382 \h </w:instrText>
            </w:r>
            <w:r w:rsidR="001036EF">
              <w:rPr>
                <w:noProof/>
                <w:webHidden/>
              </w:rPr>
            </w:r>
            <w:r w:rsidR="001036EF">
              <w:rPr>
                <w:noProof/>
                <w:webHidden/>
              </w:rPr>
              <w:fldChar w:fldCharType="separate"/>
            </w:r>
            <w:r w:rsidR="001036EF">
              <w:rPr>
                <w:noProof/>
                <w:webHidden/>
              </w:rPr>
              <w:t>41</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83" w:history="1">
            <w:r w:rsidR="001036EF" w:rsidRPr="002B503A">
              <w:rPr>
                <w:rStyle w:val="Hyperlink"/>
                <w:noProof/>
              </w:rPr>
              <w:t>Assessment of results and performance</w:t>
            </w:r>
            <w:r w:rsidR="001036EF">
              <w:rPr>
                <w:noProof/>
                <w:webHidden/>
              </w:rPr>
              <w:tab/>
            </w:r>
            <w:r w:rsidR="001036EF">
              <w:rPr>
                <w:noProof/>
                <w:webHidden/>
              </w:rPr>
              <w:fldChar w:fldCharType="begin"/>
            </w:r>
            <w:r w:rsidR="001036EF">
              <w:rPr>
                <w:noProof/>
                <w:webHidden/>
              </w:rPr>
              <w:instrText xml:space="preserve"> PAGEREF _Toc361224383 \h </w:instrText>
            </w:r>
            <w:r w:rsidR="001036EF">
              <w:rPr>
                <w:noProof/>
                <w:webHidden/>
              </w:rPr>
            </w:r>
            <w:r w:rsidR="001036EF">
              <w:rPr>
                <w:noProof/>
                <w:webHidden/>
              </w:rPr>
              <w:fldChar w:fldCharType="separate"/>
            </w:r>
            <w:r w:rsidR="001036EF">
              <w:rPr>
                <w:noProof/>
                <w:webHidden/>
              </w:rPr>
              <w:t>41</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84" w:history="1">
            <w:r w:rsidR="001036EF" w:rsidRPr="002B503A">
              <w:rPr>
                <w:rStyle w:val="Hyperlink"/>
                <w:noProof/>
              </w:rPr>
              <w:t>Objective 3: Strengthened national capacity to lead, coordinate and implement the HIV response</w:t>
            </w:r>
            <w:r w:rsidR="001036EF">
              <w:rPr>
                <w:noProof/>
                <w:webHidden/>
              </w:rPr>
              <w:tab/>
            </w:r>
            <w:r w:rsidR="001036EF">
              <w:rPr>
                <w:noProof/>
                <w:webHidden/>
              </w:rPr>
              <w:fldChar w:fldCharType="begin"/>
            </w:r>
            <w:r w:rsidR="001036EF">
              <w:rPr>
                <w:noProof/>
                <w:webHidden/>
              </w:rPr>
              <w:instrText xml:space="preserve"> PAGEREF _Toc361224384 \h </w:instrText>
            </w:r>
            <w:r w:rsidR="001036EF">
              <w:rPr>
                <w:noProof/>
                <w:webHidden/>
              </w:rPr>
            </w:r>
            <w:r w:rsidR="001036EF">
              <w:rPr>
                <w:noProof/>
                <w:webHidden/>
              </w:rPr>
              <w:fldChar w:fldCharType="separate"/>
            </w:r>
            <w:r w:rsidR="001036EF">
              <w:rPr>
                <w:noProof/>
                <w:webHidden/>
              </w:rPr>
              <w:t>42</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85" w:history="1">
            <w:r w:rsidR="001036EF" w:rsidRPr="002B503A">
              <w:rPr>
                <w:rStyle w:val="Hyperlink"/>
                <w:noProof/>
              </w:rPr>
              <w:t>Ratings</w:t>
            </w:r>
            <w:r w:rsidR="001036EF">
              <w:rPr>
                <w:noProof/>
                <w:webHidden/>
              </w:rPr>
              <w:tab/>
            </w:r>
            <w:r w:rsidR="001036EF">
              <w:rPr>
                <w:noProof/>
                <w:webHidden/>
              </w:rPr>
              <w:fldChar w:fldCharType="begin"/>
            </w:r>
            <w:r w:rsidR="001036EF">
              <w:rPr>
                <w:noProof/>
                <w:webHidden/>
              </w:rPr>
              <w:instrText xml:space="preserve"> PAGEREF _Toc361224385 \h </w:instrText>
            </w:r>
            <w:r w:rsidR="001036EF">
              <w:rPr>
                <w:noProof/>
                <w:webHidden/>
              </w:rPr>
            </w:r>
            <w:r w:rsidR="001036EF">
              <w:rPr>
                <w:noProof/>
                <w:webHidden/>
              </w:rPr>
              <w:fldChar w:fldCharType="separate"/>
            </w:r>
            <w:r w:rsidR="001036EF">
              <w:rPr>
                <w:noProof/>
                <w:webHidden/>
              </w:rPr>
              <w:t>42</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86" w:history="1">
            <w:r w:rsidR="001036EF" w:rsidRPr="002B503A">
              <w:rPr>
                <w:rStyle w:val="Hyperlink"/>
                <w:noProof/>
              </w:rPr>
              <w:t>Assessment of results and performance</w:t>
            </w:r>
            <w:r w:rsidR="001036EF">
              <w:rPr>
                <w:noProof/>
                <w:webHidden/>
              </w:rPr>
              <w:tab/>
            </w:r>
            <w:r w:rsidR="001036EF">
              <w:rPr>
                <w:noProof/>
                <w:webHidden/>
              </w:rPr>
              <w:fldChar w:fldCharType="begin"/>
            </w:r>
            <w:r w:rsidR="001036EF">
              <w:rPr>
                <w:noProof/>
                <w:webHidden/>
              </w:rPr>
              <w:instrText xml:space="preserve"> PAGEREF _Toc361224386 \h </w:instrText>
            </w:r>
            <w:r w:rsidR="001036EF">
              <w:rPr>
                <w:noProof/>
                <w:webHidden/>
              </w:rPr>
            </w:r>
            <w:r w:rsidR="001036EF">
              <w:rPr>
                <w:noProof/>
                <w:webHidden/>
              </w:rPr>
              <w:fldChar w:fldCharType="separate"/>
            </w:r>
            <w:r w:rsidR="001036EF">
              <w:rPr>
                <w:noProof/>
                <w:webHidden/>
              </w:rPr>
              <w:t>42</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87" w:history="1">
            <w:r w:rsidR="001036EF" w:rsidRPr="002B503A">
              <w:rPr>
                <w:rStyle w:val="Hyperlink"/>
                <w:noProof/>
              </w:rPr>
              <w:t>Expenditure</w:t>
            </w:r>
            <w:r w:rsidR="001036EF">
              <w:rPr>
                <w:noProof/>
                <w:webHidden/>
              </w:rPr>
              <w:tab/>
            </w:r>
            <w:r w:rsidR="001036EF">
              <w:rPr>
                <w:noProof/>
                <w:webHidden/>
              </w:rPr>
              <w:fldChar w:fldCharType="begin"/>
            </w:r>
            <w:r w:rsidR="001036EF">
              <w:rPr>
                <w:noProof/>
                <w:webHidden/>
              </w:rPr>
              <w:instrText xml:space="preserve"> PAGEREF _Toc361224387 \h </w:instrText>
            </w:r>
            <w:r w:rsidR="001036EF">
              <w:rPr>
                <w:noProof/>
                <w:webHidden/>
              </w:rPr>
            </w:r>
            <w:r w:rsidR="001036EF">
              <w:rPr>
                <w:noProof/>
                <w:webHidden/>
              </w:rPr>
              <w:fldChar w:fldCharType="separate"/>
            </w:r>
            <w:r w:rsidR="001036EF">
              <w:rPr>
                <w:noProof/>
                <w:webHidden/>
              </w:rPr>
              <w:t>43</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88" w:history="1">
            <w:r w:rsidR="001036EF" w:rsidRPr="002B503A">
              <w:rPr>
                <w:rStyle w:val="Hyperlink"/>
                <w:noProof/>
              </w:rPr>
              <w:t>Government</w:t>
            </w:r>
            <w:r w:rsidR="001036EF">
              <w:rPr>
                <w:noProof/>
                <w:webHidden/>
              </w:rPr>
              <w:tab/>
            </w:r>
            <w:r w:rsidR="001036EF">
              <w:rPr>
                <w:noProof/>
                <w:webHidden/>
              </w:rPr>
              <w:fldChar w:fldCharType="begin"/>
            </w:r>
            <w:r w:rsidR="001036EF">
              <w:rPr>
                <w:noProof/>
                <w:webHidden/>
              </w:rPr>
              <w:instrText xml:space="preserve"> PAGEREF _Toc361224388 \h </w:instrText>
            </w:r>
            <w:r w:rsidR="001036EF">
              <w:rPr>
                <w:noProof/>
                <w:webHidden/>
              </w:rPr>
            </w:r>
            <w:r w:rsidR="001036EF">
              <w:rPr>
                <w:noProof/>
                <w:webHidden/>
              </w:rPr>
              <w:fldChar w:fldCharType="separate"/>
            </w:r>
            <w:r w:rsidR="001036EF">
              <w:rPr>
                <w:noProof/>
                <w:webHidden/>
              </w:rPr>
              <w:t>49</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89" w:history="1">
            <w:r w:rsidR="001036EF" w:rsidRPr="002B503A">
              <w:rPr>
                <w:rStyle w:val="Hyperlink"/>
                <w:noProof/>
              </w:rPr>
              <w:t>Civil society</w:t>
            </w:r>
            <w:r w:rsidR="001036EF">
              <w:rPr>
                <w:noProof/>
                <w:webHidden/>
              </w:rPr>
              <w:tab/>
            </w:r>
            <w:r w:rsidR="001036EF">
              <w:rPr>
                <w:noProof/>
                <w:webHidden/>
              </w:rPr>
              <w:fldChar w:fldCharType="begin"/>
            </w:r>
            <w:r w:rsidR="001036EF">
              <w:rPr>
                <w:noProof/>
                <w:webHidden/>
              </w:rPr>
              <w:instrText xml:space="preserve"> PAGEREF _Toc361224389 \h </w:instrText>
            </w:r>
            <w:r w:rsidR="001036EF">
              <w:rPr>
                <w:noProof/>
                <w:webHidden/>
              </w:rPr>
            </w:r>
            <w:r w:rsidR="001036EF">
              <w:rPr>
                <w:noProof/>
                <w:webHidden/>
              </w:rPr>
              <w:fldChar w:fldCharType="separate"/>
            </w:r>
            <w:r w:rsidR="001036EF">
              <w:rPr>
                <w:noProof/>
                <w:webHidden/>
              </w:rPr>
              <w:t>49</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90" w:history="1">
            <w:r w:rsidR="001036EF" w:rsidRPr="002B503A">
              <w:rPr>
                <w:rStyle w:val="Hyperlink"/>
                <w:noProof/>
              </w:rPr>
              <w:t>Other donors</w:t>
            </w:r>
            <w:r w:rsidR="001036EF">
              <w:rPr>
                <w:noProof/>
                <w:webHidden/>
              </w:rPr>
              <w:tab/>
            </w:r>
            <w:r w:rsidR="001036EF">
              <w:rPr>
                <w:noProof/>
                <w:webHidden/>
              </w:rPr>
              <w:fldChar w:fldCharType="begin"/>
            </w:r>
            <w:r w:rsidR="001036EF">
              <w:rPr>
                <w:noProof/>
                <w:webHidden/>
              </w:rPr>
              <w:instrText xml:space="preserve"> PAGEREF _Toc361224390 \h </w:instrText>
            </w:r>
            <w:r w:rsidR="001036EF">
              <w:rPr>
                <w:noProof/>
                <w:webHidden/>
              </w:rPr>
            </w:r>
            <w:r w:rsidR="001036EF">
              <w:rPr>
                <w:noProof/>
                <w:webHidden/>
              </w:rPr>
              <w:fldChar w:fldCharType="separate"/>
            </w:r>
            <w:r w:rsidR="001036EF">
              <w:rPr>
                <w:noProof/>
                <w:webHidden/>
              </w:rPr>
              <w:t>49</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91" w:history="1">
            <w:r w:rsidR="001036EF" w:rsidRPr="002B503A">
              <w:rPr>
                <w:rStyle w:val="Hyperlink"/>
                <w:noProof/>
              </w:rPr>
              <w:t>Whole-of-government coherence</w:t>
            </w:r>
            <w:r w:rsidR="001036EF">
              <w:rPr>
                <w:noProof/>
                <w:webHidden/>
              </w:rPr>
              <w:tab/>
            </w:r>
            <w:r w:rsidR="001036EF">
              <w:rPr>
                <w:noProof/>
                <w:webHidden/>
              </w:rPr>
              <w:fldChar w:fldCharType="begin"/>
            </w:r>
            <w:r w:rsidR="001036EF">
              <w:rPr>
                <w:noProof/>
                <w:webHidden/>
              </w:rPr>
              <w:instrText xml:space="preserve"> PAGEREF _Toc361224391 \h </w:instrText>
            </w:r>
            <w:r w:rsidR="001036EF">
              <w:rPr>
                <w:noProof/>
                <w:webHidden/>
              </w:rPr>
            </w:r>
            <w:r w:rsidR="001036EF">
              <w:rPr>
                <w:noProof/>
                <w:webHidden/>
              </w:rPr>
              <w:fldChar w:fldCharType="separate"/>
            </w:r>
            <w:r w:rsidR="001036EF">
              <w:rPr>
                <w:noProof/>
                <w:webHidden/>
              </w:rPr>
              <w:t>50</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92" w:history="1">
            <w:r w:rsidR="001036EF" w:rsidRPr="002B503A">
              <w:rPr>
                <w:rStyle w:val="Hyperlink"/>
                <w:noProof/>
              </w:rPr>
              <w:t>Quality at entry</w:t>
            </w:r>
            <w:r w:rsidR="001036EF">
              <w:rPr>
                <w:noProof/>
                <w:webHidden/>
              </w:rPr>
              <w:tab/>
            </w:r>
            <w:r w:rsidR="001036EF">
              <w:rPr>
                <w:noProof/>
                <w:webHidden/>
              </w:rPr>
              <w:fldChar w:fldCharType="begin"/>
            </w:r>
            <w:r w:rsidR="001036EF">
              <w:rPr>
                <w:noProof/>
                <w:webHidden/>
              </w:rPr>
              <w:instrText xml:space="preserve"> PAGEREF _Toc361224392 \h </w:instrText>
            </w:r>
            <w:r w:rsidR="001036EF">
              <w:rPr>
                <w:noProof/>
                <w:webHidden/>
              </w:rPr>
            </w:r>
            <w:r w:rsidR="001036EF">
              <w:rPr>
                <w:noProof/>
                <w:webHidden/>
              </w:rPr>
              <w:fldChar w:fldCharType="separate"/>
            </w:r>
            <w:r w:rsidR="001036EF">
              <w:rPr>
                <w:noProof/>
                <w:webHidden/>
              </w:rPr>
              <w:t>53</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93" w:history="1">
            <w:r w:rsidR="001036EF" w:rsidRPr="002B503A">
              <w:rPr>
                <w:rStyle w:val="Hyperlink"/>
                <w:noProof/>
              </w:rPr>
              <w:t>Quality at implementation</w:t>
            </w:r>
            <w:r w:rsidR="001036EF">
              <w:rPr>
                <w:noProof/>
                <w:webHidden/>
              </w:rPr>
              <w:tab/>
            </w:r>
            <w:r w:rsidR="001036EF">
              <w:rPr>
                <w:noProof/>
                <w:webHidden/>
              </w:rPr>
              <w:fldChar w:fldCharType="begin"/>
            </w:r>
            <w:r w:rsidR="001036EF">
              <w:rPr>
                <w:noProof/>
                <w:webHidden/>
              </w:rPr>
              <w:instrText xml:space="preserve"> PAGEREF _Toc361224393 \h </w:instrText>
            </w:r>
            <w:r w:rsidR="001036EF">
              <w:rPr>
                <w:noProof/>
                <w:webHidden/>
              </w:rPr>
            </w:r>
            <w:r w:rsidR="001036EF">
              <w:rPr>
                <w:noProof/>
                <w:webHidden/>
              </w:rPr>
              <w:fldChar w:fldCharType="separate"/>
            </w:r>
            <w:r w:rsidR="001036EF">
              <w:rPr>
                <w:noProof/>
                <w:webHidden/>
              </w:rPr>
              <w:t>54</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94" w:history="1">
            <w:r w:rsidR="001036EF" w:rsidRPr="002B503A">
              <w:rPr>
                <w:rStyle w:val="Hyperlink"/>
                <w:noProof/>
              </w:rPr>
              <w:t>Quality at completion</w:t>
            </w:r>
            <w:r w:rsidR="001036EF">
              <w:rPr>
                <w:noProof/>
                <w:webHidden/>
              </w:rPr>
              <w:tab/>
            </w:r>
            <w:r w:rsidR="001036EF">
              <w:rPr>
                <w:noProof/>
                <w:webHidden/>
              </w:rPr>
              <w:fldChar w:fldCharType="begin"/>
            </w:r>
            <w:r w:rsidR="001036EF">
              <w:rPr>
                <w:noProof/>
                <w:webHidden/>
              </w:rPr>
              <w:instrText xml:space="preserve"> PAGEREF _Toc361224394 \h </w:instrText>
            </w:r>
            <w:r w:rsidR="001036EF">
              <w:rPr>
                <w:noProof/>
                <w:webHidden/>
              </w:rPr>
            </w:r>
            <w:r w:rsidR="001036EF">
              <w:rPr>
                <w:noProof/>
                <w:webHidden/>
              </w:rPr>
              <w:fldChar w:fldCharType="separate"/>
            </w:r>
            <w:r w:rsidR="001036EF">
              <w:rPr>
                <w:noProof/>
                <w:webHidden/>
              </w:rPr>
              <w:t>57</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395" w:history="1">
            <w:r w:rsidR="001036EF" w:rsidRPr="002B503A">
              <w:rPr>
                <w:rStyle w:val="Hyperlink"/>
                <w:noProof/>
              </w:rPr>
              <w:t>Key priorities for 2009</w:t>
            </w:r>
            <w:r w:rsidR="001036EF">
              <w:rPr>
                <w:noProof/>
                <w:webHidden/>
              </w:rPr>
              <w:tab/>
            </w:r>
            <w:r w:rsidR="001036EF">
              <w:rPr>
                <w:noProof/>
                <w:webHidden/>
              </w:rPr>
              <w:fldChar w:fldCharType="begin"/>
            </w:r>
            <w:r w:rsidR="001036EF">
              <w:rPr>
                <w:noProof/>
                <w:webHidden/>
              </w:rPr>
              <w:instrText xml:space="preserve"> PAGEREF _Toc361224395 \h </w:instrText>
            </w:r>
            <w:r w:rsidR="001036EF">
              <w:rPr>
                <w:noProof/>
                <w:webHidden/>
              </w:rPr>
            </w:r>
            <w:r w:rsidR="001036EF">
              <w:rPr>
                <w:noProof/>
                <w:webHidden/>
              </w:rPr>
              <w:fldChar w:fldCharType="separate"/>
            </w:r>
            <w:r w:rsidR="001036EF">
              <w:rPr>
                <w:noProof/>
                <w:webHidden/>
              </w:rPr>
              <w:t>59</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96" w:history="1">
            <w:r w:rsidR="001036EF" w:rsidRPr="002B503A">
              <w:rPr>
                <w:rStyle w:val="Hyperlink"/>
                <w:noProof/>
              </w:rPr>
              <w:t>Scale up assistance</w:t>
            </w:r>
            <w:r w:rsidR="001036EF">
              <w:rPr>
                <w:noProof/>
                <w:webHidden/>
              </w:rPr>
              <w:tab/>
            </w:r>
            <w:r w:rsidR="001036EF">
              <w:rPr>
                <w:noProof/>
                <w:webHidden/>
              </w:rPr>
              <w:fldChar w:fldCharType="begin"/>
            </w:r>
            <w:r w:rsidR="001036EF">
              <w:rPr>
                <w:noProof/>
                <w:webHidden/>
              </w:rPr>
              <w:instrText xml:space="preserve"> PAGEREF _Toc361224396 \h </w:instrText>
            </w:r>
            <w:r w:rsidR="001036EF">
              <w:rPr>
                <w:noProof/>
                <w:webHidden/>
              </w:rPr>
            </w:r>
            <w:r w:rsidR="001036EF">
              <w:rPr>
                <w:noProof/>
                <w:webHidden/>
              </w:rPr>
              <w:fldChar w:fldCharType="separate"/>
            </w:r>
            <w:r w:rsidR="001036EF">
              <w:rPr>
                <w:noProof/>
                <w:webHidden/>
              </w:rPr>
              <w:t>59</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97" w:history="1">
            <w:r w:rsidR="001036EF" w:rsidRPr="002B503A">
              <w:rPr>
                <w:rStyle w:val="Hyperlink"/>
                <w:noProof/>
              </w:rPr>
              <w:t>Review the Treaty on Development Cooperation</w:t>
            </w:r>
            <w:r w:rsidR="001036EF">
              <w:rPr>
                <w:noProof/>
                <w:webHidden/>
              </w:rPr>
              <w:tab/>
            </w:r>
            <w:r w:rsidR="001036EF">
              <w:rPr>
                <w:noProof/>
                <w:webHidden/>
              </w:rPr>
              <w:fldChar w:fldCharType="begin"/>
            </w:r>
            <w:r w:rsidR="001036EF">
              <w:rPr>
                <w:noProof/>
                <w:webHidden/>
              </w:rPr>
              <w:instrText xml:space="preserve"> PAGEREF _Toc361224397 \h </w:instrText>
            </w:r>
            <w:r w:rsidR="001036EF">
              <w:rPr>
                <w:noProof/>
                <w:webHidden/>
              </w:rPr>
            </w:r>
            <w:r w:rsidR="001036EF">
              <w:rPr>
                <w:noProof/>
                <w:webHidden/>
              </w:rPr>
              <w:fldChar w:fldCharType="separate"/>
            </w:r>
            <w:r w:rsidR="001036EF">
              <w:rPr>
                <w:noProof/>
                <w:webHidden/>
              </w:rPr>
              <w:t>59</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98" w:history="1">
            <w:r w:rsidR="001036EF" w:rsidRPr="002B503A">
              <w:rPr>
                <w:rStyle w:val="Hyperlink"/>
                <w:noProof/>
              </w:rPr>
              <w:t>Further the Partnership for Development</w:t>
            </w:r>
            <w:r w:rsidR="001036EF">
              <w:rPr>
                <w:noProof/>
                <w:webHidden/>
              </w:rPr>
              <w:tab/>
            </w:r>
            <w:r w:rsidR="001036EF">
              <w:rPr>
                <w:noProof/>
                <w:webHidden/>
              </w:rPr>
              <w:fldChar w:fldCharType="begin"/>
            </w:r>
            <w:r w:rsidR="001036EF">
              <w:rPr>
                <w:noProof/>
                <w:webHidden/>
              </w:rPr>
              <w:instrText xml:space="preserve"> PAGEREF _Toc361224398 \h </w:instrText>
            </w:r>
            <w:r w:rsidR="001036EF">
              <w:rPr>
                <w:noProof/>
                <w:webHidden/>
              </w:rPr>
            </w:r>
            <w:r w:rsidR="001036EF">
              <w:rPr>
                <w:noProof/>
                <w:webHidden/>
              </w:rPr>
              <w:fldChar w:fldCharType="separate"/>
            </w:r>
            <w:r w:rsidR="001036EF">
              <w:rPr>
                <w:noProof/>
                <w:webHidden/>
              </w:rPr>
              <w:t>59</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399" w:history="1">
            <w:r w:rsidR="001036EF" w:rsidRPr="002B503A">
              <w:rPr>
                <w:rStyle w:val="Hyperlink"/>
                <w:noProof/>
              </w:rPr>
              <w:t>Account for the global recession</w:t>
            </w:r>
            <w:r w:rsidR="001036EF">
              <w:rPr>
                <w:noProof/>
                <w:webHidden/>
              </w:rPr>
              <w:tab/>
            </w:r>
            <w:r w:rsidR="001036EF">
              <w:rPr>
                <w:noProof/>
                <w:webHidden/>
              </w:rPr>
              <w:fldChar w:fldCharType="begin"/>
            </w:r>
            <w:r w:rsidR="001036EF">
              <w:rPr>
                <w:noProof/>
                <w:webHidden/>
              </w:rPr>
              <w:instrText xml:space="preserve"> PAGEREF _Toc361224399 \h </w:instrText>
            </w:r>
            <w:r w:rsidR="001036EF">
              <w:rPr>
                <w:noProof/>
                <w:webHidden/>
              </w:rPr>
            </w:r>
            <w:r w:rsidR="001036EF">
              <w:rPr>
                <w:noProof/>
                <w:webHidden/>
              </w:rPr>
              <w:fldChar w:fldCharType="separate"/>
            </w:r>
            <w:r w:rsidR="001036EF">
              <w:rPr>
                <w:noProof/>
                <w:webHidden/>
              </w:rPr>
              <w:t>60</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400" w:history="1">
            <w:r w:rsidR="001036EF" w:rsidRPr="002B503A">
              <w:rPr>
                <w:rStyle w:val="Hyperlink"/>
                <w:noProof/>
              </w:rPr>
              <w:t>Maximise the benefits of the LNG project</w:t>
            </w:r>
            <w:r w:rsidR="001036EF">
              <w:rPr>
                <w:noProof/>
                <w:webHidden/>
              </w:rPr>
              <w:tab/>
            </w:r>
            <w:r w:rsidR="001036EF">
              <w:rPr>
                <w:noProof/>
                <w:webHidden/>
              </w:rPr>
              <w:fldChar w:fldCharType="begin"/>
            </w:r>
            <w:r w:rsidR="001036EF">
              <w:rPr>
                <w:noProof/>
                <w:webHidden/>
              </w:rPr>
              <w:instrText xml:space="preserve"> PAGEREF _Toc361224400 \h </w:instrText>
            </w:r>
            <w:r w:rsidR="001036EF">
              <w:rPr>
                <w:noProof/>
                <w:webHidden/>
              </w:rPr>
            </w:r>
            <w:r w:rsidR="001036EF">
              <w:rPr>
                <w:noProof/>
                <w:webHidden/>
              </w:rPr>
              <w:fldChar w:fldCharType="separate"/>
            </w:r>
            <w:r w:rsidR="001036EF">
              <w:rPr>
                <w:noProof/>
                <w:webHidden/>
              </w:rPr>
              <w:t>60</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401" w:history="1">
            <w:r w:rsidR="001036EF" w:rsidRPr="002B503A">
              <w:rPr>
                <w:rStyle w:val="Hyperlink"/>
                <w:noProof/>
              </w:rPr>
              <w:t>Strengthen service delivery at the subnational level</w:t>
            </w:r>
            <w:r w:rsidR="001036EF">
              <w:rPr>
                <w:noProof/>
                <w:webHidden/>
              </w:rPr>
              <w:tab/>
            </w:r>
            <w:r w:rsidR="001036EF">
              <w:rPr>
                <w:noProof/>
                <w:webHidden/>
              </w:rPr>
              <w:fldChar w:fldCharType="begin"/>
            </w:r>
            <w:r w:rsidR="001036EF">
              <w:rPr>
                <w:noProof/>
                <w:webHidden/>
              </w:rPr>
              <w:instrText xml:space="preserve"> PAGEREF _Toc361224401 \h </w:instrText>
            </w:r>
            <w:r w:rsidR="001036EF">
              <w:rPr>
                <w:noProof/>
                <w:webHidden/>
              </w:rPr>
            </w:r>
            <w:r w:rsidR="001036EF">
              <w:rPr>
                <w:noProof/>
                <w:webHidden/>
              </w:rPr>
              <w:fldChar w:fldCharType="separate"/>
            </w:r>
            <w:r w:rsidR="001036EF">
              <w:rPr>
                <w:noProof/>
                <w:webHidden/>
              </w:rPr>
              <w:t>60</w:t>
            </w:r>
            <w:r w:rsidR="001036EF">
              <w:rPr>
                <w:noProof/>
                <w:webHidden/>
              </w:rPr>
              <w:fldChar w:fldCharType="end"/>
            </w:r>
          </w:hyperlink>
        </w:p>
        <w:p w:rsidR="001036EF" w:rsidRDefault="003A7686">
          <w:pPr>
            <w:pStyle w:val="TOC3"/>
            <w:rPr>
              <w:rFonts w:asciiTheme="minorHAnsi" w:eastAsiaTheme="minorEastAsia" w:hAnsiTheme="minorHAnsi" w:cstheme="minorBidi"/>
              <w:noProof/>
              <w:sz w:val="22"/>
              <w:szCs w:val="22"/>
              <w:lang w:val="en-US" w:eastAsia="en-US"/>
            </w:rPr>
          </w:pPr>
          <w:hyperlink w:anchor="_Toc361224402" w:history="1">
            <w:r w:rsidR="001036EF" w:rsidRPr="002B503A">
              <w:rPr>
                <w:rStyle w:val="Hyperlink"/>
                <w:noProof/>
              </w:rPr>
              <w:t>Strengthen our dialogue on development in PNG</w:t>
            </w:r>
            <w:r w:rsidR="001036EF">
              <w:rPr>
                <w:noProof/>
                <w:webHidden/>
              </w:rPr>
              <w:tab/>
            </w:r>
            <w:r w:rsidR="001036EF">
              <w:rPr>
                <w:noProof/>
                <w:webHidden/>
              </w:rPr>
              <w:fldChar w:fldCharType="begin"/>
            </w:r>
            <w:r w:rsidR="001036EF">
              <w:rPr>
                <w:noProof/>
                <w:webHidden/>
              </w:rPr>
              <w:instrText xml:space="preserve"> PAGEREF _Toc361224402 \h </w:instrText>
            </w:r>
            <w:r w:rsidR="001036EF">
              <w:rPr>
                <w:noProof/>
                <w:webHidden/>
              </w:rPr>
            </w:r>
            <w:r w:rsidR="001036EF">
              <w:rPr>
                <w:noProof/>
                <w:webHidden/>
              </w:rPr>
              <w:fldChar w:fldCharType="separate"/>
            </w:r>
            <w:r w:rsidR="001036EF">
              <w:rPr>
                <w:noProof/>
                <w:webHidden/>
              </w:rPr>
              <w:t>60</w:t>
            </w:r>
            <w:r w:rsidR="001036EF">
              <w:rPr>
                <w:noProof/>
                <w:webHidden/>
              </w:rPr>
              <w:fldChar w:fldCharType="end"/>
            </w:r>
          </w:hyperlink>
        </w:p>
        <w:p w:rsidR="001036EF" w:rsidRDefault="003A7686">
          <w:pPr>
            <w:pStyle w:val="TOC2"/>
            <w:rPr>
              <w:rFonts w:asciiTheme="minorHAnsi" w:eastAsiaTheme="minorEastAsia" w:hAnsiTheme="minorHAnsi" w:cstheme="minorBidi"/>
              <w:noProof/>
              <w:color w:val="auto"/>
              <w:sz w:val="22"/>
              <w:szCs w:val="22"/>
              <w:lang w:val="en-US" w:eastAsia="en-US"/>
            </w:rPr>
          </w:pPr>
          <w:hyperlink w:anchor="_Toc361224403" w:history="1">
            <w:r w:rsidR="001036EF" w:rsidRPr="002B503A">
              <w:rPr>
                <w:rStyle w:val="Hyperlink"/>
                <w:noProof/>
              </w:rPr>
              <w:t>Other priorities for 2009</w:t>
            </w:r>
            <w:r w:rsidR="001036EF">
              <w:rPr>
                <w:noProof/>
                <w:webHidden/>
              </w:rPr>
              <w:tab/>
            </w:r>
            <w:r w:rsidR="001036EF">
              <w:rPr>
                <w:noProof/>
                <w:webHidden/>
              </w:rPr>
              <w:fldChar w:fldCharType="begin"/>
            </w:r>
            <w:r w:rsidR="001036EF">
              <w:rPr>
                <w:noProof/>
                <w:webHidden/>
              </w:rPr>
              <w:instrText xml:space="preserve"> PAGEREF _Toc361224403 \h </w:instrText>
            </w:r>
            <w:r w:rsidR="001036EF">
              <w:rPr>
                <w:noProof/>
                <w:webHidden/>
              </w:rPr>
            </w:r>
            <w:r w:rsidR="001036EF">
              <w:rPr>
                <w:noProof/>
                <w:webHidden/>
              </w:rPr>
              <w:fldChar w:fldCharType="separate"/>
            </w:r>
            <w:r w:rsidR="001036EF">
              <w:rPr>
                <w:noProof/>
                <w:webHidden/>
              </w:rPr>
              <w:t>61</w:t>
            </w:r>
            <w:r w:rsidR="001036EF">
              <w:rPr>
                <w:noProof/>
                <w:webHidden/>
              </w:rPr>
              <w:fldChar w:fldCharType="end"/>
            </w:r>
          </w:hyperlink>
        </w:p>
        <w:p w:rsidR="00011299" w:rsidRPr="0060617B" w:rsidRDefault="001036EF" w:rsidP="001036EF">
          <w:r>
            <w:rPr>
              <w:b/>
              <w:bCs/>
              <w:noProof/>
            </w:rPr>
            <w:fldChar w:fldCharType="end"/>
          </w:r>
        </w:p>
      </w:sdtContent>
    </w:sdt>
    <w:p w:rsidR="00011299" w:rsidRPr="00001C8E" w:rsidRDefault="005C25C3" w:rsidP="001036EF">
      <w:pPr>
        <w:pStyle w:val="H1A"/>
        <w:spacing w:after="2280"/>
      </w:pPr>
      <w:bookmarkStart w:id="6" w:name="_Toc237763889"/>
      <w:r>
        <w:rPr>
          <w:lang w:val="en-US" w:eastAsia="en-US"/>
        </w:rPr>
        <w:lastRenderedPageBreak/>
        <w:drawing>
          <wp:anchor distT="0" distB="0" distL="114300" distR="114300" simplePos="0" relativeHeight="251652608" behindDoc="1" locked="0" layoutInCell="1" allowOverlap="1" wp14:anchorId="00F09FB1" wp14:editId="2A2AEC72">
            <wp:simplePos x="0" y="0"/>
            <wp:positionH relativeFrom="page">
              <wp:posOffset>0</wp:posOffset>
            </wp:positionH>
            <wp:positionV relativeFrom="page">
              <wp:posOffset>1386205</wp:posOffset>
            </wp:positionV>
            <wp:extent cx="7560310" cy="1585595"/>
            <wp:effectExtent l="0" t="0" r="2540" b="0"/>
            <wp:wrapNone/>
            <wp:docPr id="1189" name="Picture 1189"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011299" w:rsidRPr="00001C8E">
        <w:t>Abbreviations</w:t>
      </w:r>
      <w:bookmarkEnd w:id="6"/>
    </w:p>
    <w:p w:rsidR="00662C24" w:rsidRDefault="00662C24" w:rsidP="00011299">
      <w:pPr>
        <w:pStyle w:val="Abbreviation"/>
      </w:pPr>
      <w:r w:rsidRPr="000D7060">
        <w:t>ACIAR</w:t>
      </w:r>
      <w:r>
        <w:tab/>
      </w:r>
      <w:r w:rsidRPr="000D7060">
        <w:t>Australian Centre for Inter</w:t>
      </w:r>
      <w:r>
        <w:t>national Agricultural Research</w:t>
      </w:r>
    </w:p>
    <w:p w:rsidR="00886C6D" w:rsidRDefault="00886C6D" w:rsidP="00011299">
      <w:pPr>
        <w:pStyle w:val="Abbreviation"/>
      </w:pPr>
      <w:r>
        <w:t>AIDS</w:t>
      </w:r>
      <w:r>
        <w:tab/>
      </w:r>
      <w:r w:rsidR="00784FA8" w:rsidRPr="004A4C27">
        <w:t>Acquired Immune Deficiency Syndrome</w:t>
      </w:r>
    </w:p>
    <w:p w:rsidR="00011299" w:rsidRDefault="00E005A4" w:rsidP="00011299">
      <w:pPr>
        <w:pStyle w:val="Abbreviation"/>
      </w:pPr>
      <w:proofErr w:type="spellStart"/>
      <w:r>
        <w:t>AusAID</w:t>
      </w:r>
      <w:proofErr w:type="spellEnd"/>
      <w:r>
        <w:tab/>
        <w:t>Australian Agency for International Development</w:t>
      </w:r>
    </w:p>
    <w:p w:rsidR="00784FA8" w:rsidRDefault="00784FA8" w:rsidP="00011299">
      <w:pPr>
        <w:pStyle w:val="Abbreviation"/>
      </w:pPr>
      <w:r>
        <w:t>EID</w:t>
      </w:r>
      <w:r>
        <w:tab/>
        <w:t>emerging infectious diseases</w:t>
      </w:r>
    </w:p>
    <w:p w:rsidR="00886C6D" w:rsidRDefault="00886C6D" w:rsidP="00011299">
      <w:pPr>
        <w:pStyle w:val="Abbreviation"/>
      </w:pPr>
      <w:r>
        <w:t>HIV</w:t>
      </w:r>
      <w:r>
        <w:tab/>
      </w:r>
      <w:r w:rsidR="00784FA8" w:rsidRPr="004A4C27">
        <w:t xml:space="preserve">Human </w:t>
      </w:r>
      <w:proofErr w:type="spellStart"/>
      <w:r w:rsidR="00784FA8" w:rsidRPr="004A4C27">
        <w:t>Immuno</w:t>
      </w:r>
      <w:proofErr w:type="spellEnd"/>
      <w:r w:rsidR="00784FA8" w:rsidRPr="004A4C27">
        <w:t>-deficiency Virus</w:t>
      </w:r>
    </w:p>
    <w:p w:rsidR="006F7C08" w:rsidRDefault="006F7C08" w:rsidP="00011299">
      <w:pPr>
        <w:pStyle w:val="Abbreviation"/>
      </w:pPr>
      <w:r w:rsidRPr="00011299">
        <w:t>LNG</w:t>
      </w:r>
      <w:r>
        <w:tab/>
        <w:t>liquefied natural gas</w:t>
      </w:r>
    </w:p>
    <w:p w:rsidR="00E005A4" w:rsidRDefault="006F7C08" w:rsidP="00011299">
      <w:pPr>
        <w:pStyle w:val="Abbreviation"/>
      </w:pPr>
      <w:r>
        <w:t>MDGs</w:t>
      </w:r>
      <w:r>
        <w:tab/>
        <w:t>Millennium Development Goals</w:t>
      </w:r>
    </w:p>
    <w:p w:rsidR="00D763D3" w:rsidRDefault="00D763D3" w:rsidP="00011299">
      <w:pPr>
        <w:pStyle w:val="Abbreviation"/>
      </w:pPr>
      <w:r>
        <w:t>NGOs</w:t>
      </w:r>
      <w:r>
        <w:tab/>
        <w:t>non-government organisations</w:t>
      </w:r>
    </w:p>
    <w:p w:rsidR="00666B7B" w:rsidRDefault="00666B7B" w:rsidP="00011299">
      <w:pPr>
        <w:pStyle w:val="Abbreviation"/>
      </w:pPr>
      <w:r>
        <w:t>OECD</w:t>
      </w:r>
      <w:r>
        <w:tab/>
        <w:t>Organisation of Economic Co-operation and Development</w:t>
      </w:r>
    </w:p>
    <w:p w:rsidR="006F7C08" w:rsidRDefault="006F7C08" w:rsidP="00011299">
      <w:pPr>
        <w:pStyle w:val="Abbreviation"/>
      </w:pPr>
      <w:r>
        <w:t>PNG</w:t>
      </w:r>
      <w:r>
        <w:tab/>
      </w:r>
      <w:smartTag w:uri="urn:schemas-microsoft-com:office:smarttags" w:element="place">
        <w:smartTag w:uri="urn:schemas-microsoft-com:office:smarttags" w:element="country-region">
          <w:r>
            <w:t>Papua New Guinea</w:t>
          </w:r>
        </w:smartTag>
      </w:smartTag>
    </w:p>
    <w:p w:rsidR="000742E6" w:rsidRDefault="000742E6" w:rsidP="00011299">
      <w:pPr>
        <w:pStyle w:val="Abbreviation"/>
      </w:pPr>
      <w:r>
        <w:t>TB</w:t>
      </w:r>
      <w:r>
        <w:tab/>
        <w:t>tuberculosis</w:t>
      </w:r>
    </w:p>
    <w:p w:rsidR="00490187" w:rsidRDefault="00490187" w:rsidP="00011299">
      <w:pPr>
        <w:pStyle w:val="Abbreviation"/>
      </w:pPr>
      <w:r w:rsidRPr="000D7060">
        <w:t>UNICEF</w:t>
      </w:r>
      <w:r>
        <w:tab/>
      </w:r>
      <w:r w:rsidR="00784FA8" w:rsidRPr="004A4C27">
        <w:t>United Nations Children’s Fund</w:t>
      </w:r>
    </w:p>
    <w:p w:rsidR="006F7C08" w:rsidRDefault="00490187" w:rsidP="00011299">
      <w:pPr>
        <w:pStyle w:val="Abbreviation"/>
      </w:pPr>
      <w:r>
        <w:t>WHO</w:t>
      </w:r>
      <w:r>
        <w:tab/>
      </w:r>
      <w:r w:rsidR="00784FA8">
        <w:t>World Health Organization</w:t>
      </w:r>
    </w:p>
    <w:p w:rsidR="00011299" w:rsidRPr="002A7D93" w:rsidRDefault="005C25C3" w:rsidP="001036EF">
      <w:pPr>
        <w:pStyle w:val="H1A"/>
        <w:spacing w:after="2280"/>
      </w:pPr>
      <w:bookmarkStart w:id="7" w:name="_Toc237763890"/>
      <w:r>
        <w:rPr>
          <w:lang w:val="en-US" w:eastAsia="en-US"/>
        </w:rPr>
        <w:lastRenderedPageBreak/>
        <w:drawing>
          <wp:anchor distT="0" distB="0" distL="114300" distR="114300" simplePos="0" relativeHeight="251653632" behindDoc="1" locked="0" layoutInCell="1" allowOverlap="1" wp14:anchorId="4BBD8C29" wp14:editId="41B6CF75">
            <wp:simplePos x="0" y="0"/>
            <wp:positionH relativeFrom="page">
              <wp:posOffset>0</wp:posOffset>
            </wp:positionH>
            <wp:positionV relativeFrom="page">
              <wp:posOffset>1386205</wp:posOffset>
            </wp:positionV>
            <wp:extent cx="7560310" cy="1585595"/>
            <wp:effectExtent l="0" t="0" r="2540" b="0"/>
            <wp:wrapNone/>
            <wp:docPr id="1190" name="Picture 1190"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011299" w:rsidRPr="002A7D93">
        <w:t>Summary</w:t>
      </w:r>
      <w:bookmarkEnd w:id="7"/>
    </w:p>
    <w:p w:rsidR="00011299" w:rsidRDefault="00011299" w:rsidP="00A34F32">
      <w:pPr>
        <w:pStyle w:val="H2A"/>
      </w:pPr>
      <w:bookmarkStart w:id="8" w:name="_Toc234747052"/>
      <w:bookmarkStart w:id="9" w:name="_Toc234747105"/>
      <w:bookmarkStart w:id="10" w:name="_Toc234751214"/>
      <w:bookmarkStart w:id="11" w:name="_Toc234829247"/>
      <w:bookmarkStart w:id="12" w:name="_Toc235513553"/>
      <w:bookmarkStart w:id="13" w:name="_Toc235526498"/>
      <w:bookmarkStart w:id="14" w:name="_Toc236106766"/>
      <w:bookmarkStart w:id="15" w:name="_Toc236106889"/>
      <w:bookmarkStart w:id="16" w:name="_Toc237763891"/>
      <w:bookmarkStart w:id="17" w:name="_Toc361224335"/>
      <w:r w:rsidRPr="00616432">
        <w:t>Overview</w:t>
      </w:r>
      <w:bookmarkEnd w:id="8"/>
      <w:bookmarkEnd w:id="9"/>
      <w:bookmarkEnd w:id="10"/>
      <w:bookmarkEnd w:id="11"/>
      <w:bookmarkEnd w:id="12"/>
      <w:bookmarkEnd w:id="13"/>
      <w:bookmarkEnd w:id="14"/>
      <w:bookmarkEnd w:id="15"/>
      <w:bookmarkEnd w:id="16"/>
      <w:bookmarkEnd w:id="17"/>
    </w:p>
    <w:p w:rsidR="00011299" w:rsidRPr="00011299" w:rsidRDefault="00011299" w:rsidP="00011299">
      <w:pPr>
        <w:pStyle w:val="BodyText"/>
      </w:pPr>
      <w:r w:rsidRPr="00011299">
        <w:t xml:space="preserve">In 2008, </w:t>
      </w:r>
      <w:r w:rsidR="001B0802">
        <w:t>Papua New Guinea (PNG)</w:t>
      </w:r>
      <w:r w:rsidRPr="00011299">
        <w:t xml:space="preserve"> continued to face challenges similar to those identified in 2007.</w:t>
      </w:r>
      <w:r w:rsidR="006F7C08">
        <w:t xml:space="preserve"> </w:t>
      </w:r>
      <w:r w:rsidRPr="00011299">
        <w:t xml:space="preserve">In particular, the benefits of strong economic growth and </w:t>
      </w:r>
      <w:r w:rsidR="00E75E12">
        <w:t xml:space="preserve">stable </w:t>
      </w:r>
      <w:r w:rsidRPr="00011299">
        <w:t>leadership were not translated into stronger development outcomes</w:t>
      </w:r>
      <w:r w:rsidR="00904277">
        <w:t>, and the</w:t>
      </w:r>
      <w:r w:rsidRPr="00011299">
        <w:t xml:space="preserve"> slow progress towards some of the Millennium Development Goals (MDGs) </w:t>
      </w:r>
      <w:r w:rsidR="00904277">
        <w:t>means that</w:t>
      </w:r>
      <w:r w:rsidR="00904277" w:rsidRPr="00011299">
        <w:t xml:space="preserve"> </w:t>
      </w:r>
      <w:r w:rsidRPr="00011299">
        <w:t xml:space="preserve">it remains unlikely that PNG will meet any of the MDGs by </w:t>
      </w:r>
      <w:r w:rsidR="006F7C08">
        <w:t xml:space="preserve">2015. The effectiveness of </w:t>
      </w:r>
      <w:r w:rsidR="00E75E12">
        <w:t xml:space="preserve">the </w:t>
      </w:r>
      <w:r w:rsidR="006F7C08">
        <w:t>PNG G</w:t>
      </w:r>
      <w:r w:rsidRPr="00011299">
        <w:t>overnment’s own expenditure is one of the most important factors in overcoming these challenges</w:t>
      </w:r>
      <w:r w:rsidR="00904277">
        <w:t xml:space="preserve">, as </w:t>
      </w:r>
      <w:r w:rsidRPr="00011299">
        <w:t>donor funds represented just 15</w:t>
      </w:r>
      <w:r w:rsidR="00904277">
        <w:t> </w:t>
      </w:r>
      <w:r w:rsidRPr="00011299">
        <w:t>per cent of total expenditure in 2008.</w:t>
      </w:r>
    </w:p>
    <w:p w:rsidR="00011299" w:rsidRPr="00011299" w:rsidRDefault="00011299" w:rsidP="00011299">
      <w:pPr>
        <w:pStyle w:val="BodyText"/>
      </w:pPr>
      <w:r w:rsidRPr="00904277">
        <w:rPr>
          <w:spacing w:val="-1"/>
        </w:rPr>
        <w:t>A key achievement in early 2009 was the passing of legislation to reform the intergovernmental</w:t>
      </w:r>
      <w:r w:rsidRPr="00011299">
        <w:t xml:space="preserve"> financing arrangements.</w:t>
      </w:r>
      <w:r w:rsidR="006F7C08">
        <w:t xml:space="preserve"> </w:t>
      </w:r>
      <w:r w:rsidRPr="00011299">
        <w:t>It led to an increase of 40</w:t>
      </w:r>
      <w:r w:rsidR="001B735E">
        <w:t> per cent</w:t>
      </w:r>
      <w:r w:rsidRPr="00011299">
        <w:t xml:space="preserve"> in the 2009 budget for goods and services grants to provinces for key service delivery activities</w:t>
      </w:r>
      <w:r w:rsidR="00AA6DD3">
        <w:t>. It also</w:t>
      </w:r>
      <w:r w:rsidRPr="00011299">
        <w:t xml:space="preserve"> has the potential to significant</w:t>
      </w:r>
      <w:r w:rsidR="00904277">
        <w:t>ly</w:t>
      </w:r>
      <w:r w:rsidRPr="00011299">
        <w:t xml:space="preserve"> </w:t>
      </w:r>
      <w:r w:rsidR="00904277">
        <w:t>improve</w:t>
      </w:r>
      <w:r w:rsidRPr="00011299">
        <w:t xml:space="preserve"> the availability of services in </w:t>
      </w:r>
      <w:r w:rsidR="00904277">
        <w:t>PNG</w:t>
      </w:r>
      <w:r w:rsidR="00904277" w:rsidRPr="00011299">
        <w:t xml:space="preserve"> </w:t>
      </w:r>
      <w:r w:rsidRPr="00011299">
        <w:t>districts.</w:t>
      </w:r>
    </w:p>
    <w:p w:rsidR="00011299" w:rsidRPr="00011299" w:rsidRDefault="00011299" w:rsidP="00011299">
      <w:pPr>
        <w:pStyle w:val="BodyText"/>
      </w:pPr>
      <w:r w:rsidRPr="00011299">
        <w:t xml:space="preserve">However, this </w:t>
      </w:r>
      <w:r w:rsidR="00904277">
        <w:t xml:space="preserve">potential </w:t>
      </w:r>
      <w:r w:rsidRPr="00011299">
        <w:t xml:space="preserve">will be undermined without broader public service reform, which continued to make very little progress in 2008. The new strategic plan for </w:t>
      </w:r>
      <w:r w:rsidR="00113741">
        <w:t>this</w:t>
      </w:r>
      <w:r w:rsidRPr="00011299">
        <w:t xml:space="preserve"> reform was not completed</w:t>
      </w:r>
      <w:r w:rsidR="00A274E3">
        <w:t>;</w:t>
      </w:r>
      <w:r w:rsidRPr="00011299">
        <w:t xml:space="preserve"> </w:t>
      </w:r>
      <w:r w:rsidR="00113741">
        <w:t>so</w:t>
      </w:r>
      <w:r w:rsidR="00113741" w:rsidRPr="00011299">
        <w:t xml:space="preserve"> </w:t>
      </w:r>
      <w:r w:rsidRPr="00011299">
        <w:t>there remains no long</w:t>
      </w:r>
      <w:r w:rsidR="00113741">
        <w:t>-</w:t>
      </w:r>
      <w:r w:rsidRPr="00011299">
        <w:t xml:space="preserve">term national vision for public administration and accountability </w:t>
      </w:r>
      <w:r w:rsidR="00113741">
        <w:t>that</w:t>
      </w:r>
      <w:r w:rsidR="00113741" w:rsidRPr="00011299">
        <w:t xml:space="preserve"> </w:t>
      </w:r>
      <w:r w:rsidRPr="00011299">
        <w:t>donors can support. Political incentives for reform have weakened</w:t>
      </w:r>
      <w:r w:rsidR="00A274E3">
        <w:t>,</w:t>
      </w:r>
      <w:r w:rsidRPr="00011299">
        <w:t xml:space="preserve"> partly </w:t>
      </w:r>
      <w:r w:rsidR="00113741">
        <w:t>because of</w:t>
      </w:r>
      <w:r w:rsidR="00113741" w:rsidRPr="00011299">
        <w:t xml:space="preserve"> </w:t>
      </w:r>
      <w:r w:rsidRPr="00011299">
        <w:t xml:space="preserve">the anticipated benefits of the PNG Liquefied Natural Gas (LNG) Project. In addition, the </w:t>
      </w:r>
      <w:r w:rsidR="00F96968">
        <w:t>PNG Government’s</w:t>
      </w:r>
      <w:r w:rsidRPr="00011299">
        <w:t xml:space="preserve"> 2009 development budget demonstrated a reduced commitment </w:t>
      </w:r>
      <w:r w:rsidR="00BC0444">
        <w:t>overall</w:t>
      </w:r>
      <w:r w:rsidRPr="00011299">
        <w:t xml:space="preserve"> to the expenditure priorities in the Medium Term Development Strategy</w:t>
      </w:r>
      <w:r w:rsidR="005A7D37">
        <w:t xml:space="preserve"> for 2005–10</w:t>
      </w:r>
      <w:r w:rsidRPr="00011299">
        <w:t>.</w:t>
      </w:r>
    </w:p>
    <w:p w:rsidR="00011299" w:rsidRPr="00011299" w:rsidRDefault="00011299" w:rsidP="00011299">
      <w:pPr>
        <w:pStyle w:val="BodyText"/>
      </w:pPr>
      <w:r w:rsidRPr="00011299">
        <w:t xml:space="preserve">Government decisions to channel windfall revenues to off-budget and non-transparent </w:t>
      </w:r>
      <w:r w:rsidR="005A7D37">
        <w:t>activities,</w:t>
      </w:r>
      <w:r w:rsidR="005A7D37" w:rsidRPr="00011299">
        <w:t xml:space="preserve"> </w:t>
      </w:r>
      <w:r w:rsidRPr="00011299">
        <w:t xml:space="preserve">such as trust funds and </w:t>
      </w:r>
      <w:r w:rsidR="005A7D37">
        <w:t xml:space="preserve">the </w:t>
      </w:r>
      <w:r w:rsidRPr="00011299">
        <w:t>District Services Improvement Program</w:t>
      </w:r>
      <w:r w:rsidR="005A7D37">
        <w:t xml:space="preserve">, </w:t>
      </w:r>
      <w:r w:rsidRPr="00011299">
        <w:t xml:space="preserve">undermined the public sector and the government’s accountability mechanisms. In this environment, the aid program’s strong focus on improving </w:t>
      </w:r>
      <w:r w:rsidR="005A7D37">
        <w:t xml:space="preserve">the </w:t>
      </w:r>
      <w:r w:rsidRPr="00011299">
        <w:t xml:space="preserve">effectiveness </w:t>
      </w:r>
      <w:r w:rsidR="005A7D37">
        <w:t xml:space="preserve">of the </w:t>
      </w:r>
      <w:r w:rsidR="005A7D37" w:rsidRPr="00011299">
        <w:t xml:space="preserve">public sector </w:t>
      </w:r>
      <w:r w:rsidRPr="00011299">
        <w:t xml:space="preserve">as a means to strengthen service delivery and governance </w:t>
      </w:r>
      <w:r w:rsidR="005A7D37" w:rsidRPr="0046681D">
        <w:rPr>
          <w:spacing w:val="-1"/>
        </w:rPr>
        <w:t xml:space="preserve">did </w:t>
      </w:r>
      <w:r w:rsidRPr="0046681D">
        <w:rPr>
          <w:spacing w:val="-1"/>
        </w:rPr>
        <w:t xml:space="preserve">not translate </w:t>
      </w:r>
      <w:r w:rsidR="005A7D37" w:rsidRPr="0046681D">
        <w:rPr>
          <w:spacing w:val="-1"/>
        </w:rPr>
        <w:t>in</w:t>
      </w:r>
      <w:r w:rsidRPr="0046681D">
        <w:rPr>
          <w:spacing w:val="-1"/>
        </w:rPr>
        <w:t xml:space="preserve">to meaningful gains. But there is no viable alternative to the central </w:t>
      </w:r>
      <w:r w:rsidR="007A6FA0" w:rsidRPr="0046681D">
        <w:rPr>
          <w:spacing w:val="-1"/>
        </w:rPr>
        <w:t>pathway</w:t>
      </w:r>
      <w:r w:rsidR="007A6FA0" w:rsidRPr="00011299">
        <w:t xml:space="preserve"> </w:t>
      </w:r>
      <w:r w:rsidRPr="00011299">
        <w:t xml:space="preserve">of </w:t>
      </w:r>
      <w:r w:rsidR="00A274E3">
        <w:t>the</w:t>
      </w:r>
      <w:r w:rsidR="00A274E3" w:rsidRPr="00011299">
        <w:t xml:space="preserve"> </w:t>
      </w:r>
      <w:r w:rsidRPr="00011299">
        <w:t>aid strategy</w:t>
      </w:r>
      <w:r w:rsidR="00A274E3">
        <w:t xml:space="preserve"> for PNG</w:t>
      </w:r>
      <w:r w:rsidR="005A7D37">
        <w:t>,</w:t>
      </w:r>
      <w:r w:rsidRPr="00011299">
        <w:t xml:space="preserve"> which is to work towards a strong state</w:t>
      </w:r>
      <w:r w:rsidR="00A1448B">
        <w:t xml:space="preserve"> with the</w:t>
      </w:r>
      <w:r w:rsidRPr="00011299">
        <w:t xml:space="preserve"> capacity to </w:t>
      </w:r>
      <w:r w:rsidR="00A1448B">
        <w:t xml:space="preserve">deliver </w:t>
      </w:r>
      <w:r w:rsidRPr="00011299">
        <w:t>service</w:t>
      </w:r>
      <w:r w:rsidR="00A1448B">
        <w:t>s</w:t>
      </w:r>
      <w:r w:rsidRPr="00011299">
        <w:t xml:space="preserve"> and </w:t>
      </w:r>
      <w:r w:rsidR="00A1448B">
        <w:t xml:space="preserve">reduce </w:t>
      </w:r>
      <w:r w:rsidRPr="00011299">
        <w:t xml:space="preserve">poverty. In a country whose economy depends on a small number of resource projects, only the state can redistribute </w:t>
      </w:r>
      <w:r w:rsidR="00E21DBA">
        <w:t>the</w:t>
      </w:r>
      <w:r w:rsidR="00E21DBA" w:rsidRPr="00011299">
        <w:t xml:space="preserve"> </w:t>
      </w:r>
      <w:r w:rsidRPr="00011299">
        <w:t>wealth</w:t>
      </w:r>
      <w:r w:rsidR="00E21DBA">
        <w:t xml:space="preserve"> generated by those projects</w:t>
      </w:r>
      <w:r w:rsidRPr="00011299">
        <w:t>.</w:t>
      </w:r>
    </w:p>
    <w:p w:rsidR="00011299" w:rsidRPr="00011299" w:rsidRDefault="00011299" w:rsidP="00A34F32">
      <w:pPr>
        <w:pStyle w:val="H2A"/>
      </w:pPr>
      <w:bookmarkStart w:id="18" w:name="_Toc234747053"/>
      <w:bookmarkStart w:id="19" w:name="_Toc234747106"/>
      <w:bookmarkStart w:id="20" w:name="_Toc234751215"/>
      <w:bookmarkStart w:id="21" w:name="_Toc234829248"/>
      <w:bookmarkStart w:id="22" w:name="_Toc235513554"/>
      <w:bookmarkStart w:id="23" w:name="_Toc235526499"/>
      <w:bookmarkStart w:id="24" w:name="_Toc236106767"/>
      <w:bookmarkStart w:id="25" w:name="_Toc236106890"/>
      <w:bookmarkStart w:id="26" w:name="_Toc237763892"/>
      <w:bookmarkStart w:id="27" w:name="_Toc361224336"/>
      <w:r w:rsidRPr="00011299">
        <w:t xml:space="preserve">Ratings of </w:t>
      </w:r>
      <w:bookmarkEnd w:id="18"/>
      <w:bookmarkEnd w:id="19"/>
      <w:bookmarkEnd w:id="20"/>
      <w:bookmarkEnd w:id="21"/>
      <w:r w:rsidR="00A7656D">
        <w:t>progress</w:t>
      </w:r>
      <w:bookmarkEnd w:id="22"/>
      <w:bookmarkEnd w:id="23"/>
      <w:bookmarkEnd w:id="24"/>
      <w:bookmarkEnd w:id="25"/>
      <w:bookmarkEnd w:id="26"/>
      <w:bookmarkEnd w:id="27"/>
    </w:p>
    <w:p w:rsidR="00011299" w:rsidRDefault="00011299" w:rsidP="00011299">
      <w:pPr>
        <w:pStyle w:val="BodyText"/>
      </w:pPr>
      <w:r w:rsidRPr="00AB44FB">
        <w:t>The</w:t>
      </w:r>
      <w:r>
        <w:t xml:space="preserve"> PNG </w:t>
      </w:r>
      <w:r w:rsidRPr="00AB44FB">
        <w:t>program</w:t>
      </w:r>
      <w:r>
        <w:t>’s progress towards achieving</w:t>
      </w:r>
      <w:r w:rsidRPr="00AB44FB">
        <w:t xml:space="preserve"> </w:t>
      </w:r>
      <w:r>
        <w:t>the</w:t>
      </w:r>
      <w:r w:rsidRPr="00AB44FB">
        <w:t xml:space="preserve"> objectives </w:t>
      </w:r>
      <w:r w:rsidRPr="00913510">
        <w:t>of the</w:t>
      </w:r>
      <w:r w:rsidRPr="00AB44FB">
        <w:t xml:space="preserve"> </w:t>
      </w:r>
      <w:smartTag w:uri="urn:schemas-microsoft-com:office:smarttags" w:element="place">
        <w:smartTag w:uri="urn:schemas-microsoft-com:office:smarttags" w:element="country-region">
          <w:r w:rsidR="00404CBA">
            <w:t>Papua New Guinea</w:t>
          </w:r>
        </w:smartTag>
      </w:smartTag>
      <w:r w:rsidR="00A735D0" w:rsidRPr="00A735D0">
        <w:rPr>
          <w:sz w:val="12"/>
          <w:szCs w:val="12"/>
        </w:rPr>
        <w:t> </w:t>
      </w:r>
      <w:r w:rsidR="00404CBA">
        <w:t>–</w:t>
      </w:r>
      <w:r w:rsidR="00A735D0" w:rsidRPr="00A735D0">
        <w:rPr>
          <w:sz w:val="12"/>
          <w:szCs w:val="12"/>
        </w:rPr>
        <w:t> </w:t>
      </w:r>
      <w:r w:rsidR="00404CBA">
        <w:t xml:space="preserve">Australia </w:t>
      </w:r>
      <w:r w:rsidR="002679F0">
        <w:t>Development Cooperation</w:t>
      </w:r>
      <w:r w:rsidR="002679F0" w:rsidRPr="00AB44FB">
        <w:t xml:space="preserve"> Strategy </w:t>
      </w:r>
      <w:r>
        <w:t xml:space="preserve">for </w:t>
      </w:r>
      <w:r w:rsidRPr="00AB44FB">
        <w:t>200</w:t>
      </w:r>
      <w:r w:rsidR="00404CBA">
        <w:t>6–10</w:t>
      </w:r>
      <w:r w:rsidRPr="00AB44FB">
        <w:t xml:space="preserve"> </w:t>
      </w:r>
      <w:r>
        <w:t>is summarised in Table 1</w:t>
      </w:r>
      <w:r w:rsidRPr="00AB44FB">
        <w:t>.</w:t>
      </w:r>
    </w:p>
    <w:p w:rsidR="00F05B06" w:rsidRDefault="00F05B06" w:rsidP="00F05B06">
      <w:pPr>
        <w:pStyle w:val="Caption"/>
      </w:pPr>
      <w:r>
        <w:lastRenderedPageBreak/>
        <w:t xml:space="preserve">Table </w:t>
      </w:r>
      <w:fldSimple w:instr=" SEQ Table \* MERGEFORMAT ">
        <w:r w:rsidR="009A291B">
          <w:rPr>
            <w:noProof/>
          </w:rPr>
          <w:t>1</w:t>
        </w:r>
      </w:fldSimple>
      <w:r>
        <w:t xml:space="preserve">: </w:t>
      </w:r>
      <w:r w:rsidR="006D2818">
        <w:t>Likelihood that</w:t>
      </w:r>
      <w:r w:rsidR="006E771D" w:rsidRPr="00913510">
        <w:t xml:space="preserve"> the </w:t>
      </w:r>
      <w:r w:rsidR="006E771D">
        <w:t>PNG</w:t>
      </w:r>
      <w:r w:rsidR="006E771D" w:rsidRPr="00913510">
        <w:t xml:space="preserve"> program </w:t>
      </w:r>
      <w:r w:rsidR="006D2818">
        <w:t>will achieve</w:t>
      </w:r>
      <w:r w:rsidR="006E771D" w:rsidRPr="00913510">
        <w:t xml:space="preserve"> </w:t>
      </w:r>
      <w:r w:rsidR="00404CBA">
        <w:t xml:space="preserve">the </w:t>
      </w:r>
      <w:r w:rsidR="006E771D" w:rsidRPr="00913510">
        <w:t>objectives</w:t>
      </w:r>
      <w:r w:rsidR="00404CBA" w:rsidRPr="00404CBA">
        <w:t xml:space="preserve"> </w:t>
      </w:r>
      <w:r w:rsidR="00DB700C">
        <w:t>of</w:t>
      </w:r>
      <w:r w:rsidR="00404CBA">
        <w:t xml:space="preserve"> </w:t>
      </w:r>
      <w:r w:rsidR="00DB700C">
        <w:t>the</w:t>
      </w:r>
      <w:r w:rsidR="00CA177D">
        <w:t> </w:t>
      </w:r>
      <w:r w:rsidR="002679F0" w:rsidRPr="005837A0">
        <w:t>Development Cooperation Strategy</w:t>
      </w:r>
      <w:r w:rsidR="002679F0">
        <w:t xml:space="preserve"> </w:t>
      </w:r>
      <w:r w:rsidR="006D2818">
        <w:t>by 2010</w:t>
      </w:r>
    </w:p>
    <w:tbl>
      <w:tblPr>
        <w:tblW w:w="7938" w:type="dxa"/>
        <w:tblInd w:w="57" w:type="dxa"/>
        <w:tblLayout w:type="fixed"/>
        <w:tblLook w:val="01E0" w:firstRow="1" w:lastRow="1" w:firstColumn="1" w:lastColumn="1" w:noHBand="0" w:noVBand="0"/>
      </w:tblPr>
      <w:tblGrid>
        <w:gridCol w:w="5837"/>
        <w:gridCol w:w="1050"/>
        <w:gridCol w:w="1051"/>
      </w:tblGrid>
      <w:tr w:rsidR="00F05B06" w:rsidRPr="00F05B06" w:rsidTr="00A34F32">
        <w:trPr>
          <w:cantSplit/>
          <w:tblHeader/>
        </w:trPr>
        <w:tc>
          <w:tcPr>
            <w:tcW w:w="5837" w:type="dxa"/>
            <w:tcBorders>
              <w:top w:val="single" w:sz="2" w:space="0" w:color="808080"/>
              <w:left w:val="single" w:sz="2" w:space="0" w:color="808080"/>
              <w:bottom w:val="single" w:sz="12" w:space="0" w:color="auto"/>
              <w:right w:val="single" w:sz="2" w:space="0" w:color="808080"/>
            </w:tcBorders>
            <w:shd w:val="clear" w:color="auto" w:fill="DDCF56"/>
            <w:tcMar>
              <w:left w:w="57" w:type="dxa"/>
              <w:right w:w="57" w:type="dxa"/>
            </w:tcMar>
          </w:tcPr>
          <w:p w:rsidR="00011299" w:rsidRPr="00F05B06" w:rsidRDefault="00404CBA" w:rsidP="00F05B06">
            <w:pPr>
              <w:pStyle w:val="TableTextColumnHeading"/>
            </w:pPr>
            <w:r>
              <w:t>Theme and o</w:t>
            </w:r>
            <w:r w:rsidR="00011299" w:rsidRPr="00F05B06">
              <w:t>bjective</w:t>
            </w:r>
            <w:r>
              <w:t>s</w:t>
            </w:r>
          </w:p>
        </w:tc>
        <w:tc>
          <w:tcPr>
            <w:tcW w:w="1050" w:type="dxa"/>
            <w:tcBorders>
              <w:top w:val="single" w:sz="2" w:space="0" w:color="808080"/>
              <w:left w:val="single" w:sz="2" w:space="0" w:color="808080"/>
              <w:bottom w:val="single" w:sz="12" w:space="0" w:color="auto"/>
              <w:right w:val="single" w:sz="2" w:space="0" w:color="808080"/>
            </w:tcBorders>
            <w:shd w:val="clear" w:color="auto" w:fill="DDCF56"/>
            <w:tcMar>
              <w:left w:w="57" w:type="dxa"/>
              <w:right w:w="57" w:type="dxa"/>
            </w:tcMar>
          </w:tcPr>
          <w:p w:rsidR="00011299" w:rsidRPr="00F05B06" w:rsidRDefault="00011299" w:rsidP="00F05B06">
            <w:pPr>
              <w:pStyle w:val="TableTextColumnHeading"/>
            </w:pPr>
            <w:r w:rsidRPr="00F05B06">
              <w:t>2008</w:t>
            </w:r>
            <w:r w:rsidR="00F05B06" w:rsidRPr="00F05B06">
              <w:t xml:space="preserve"> r</w:t>
            </w:r>
            <w:r w:rsidRPr="00F05B06">
              <w:t>ating</w:t>
            </w:r>
          </w:p>
        </w:tc>
        <w:tc>
          <w:tcPr>
            <w:tcW w:w="1051" w:type="dxa"/>
            <w:tcBorders>
              <w:top w:val="single" w:sz="2" w:space="0" w:color="808080"/>
              <w:left w:val="single" w:sz="2" w:space="0" w:color="808080"/>
              <w:bottom w:val="single" w:sz="12" w:space="0" w:color="auto"/>
              <w:right w:val="single" w:sz="2" w:space="0" w:color="808080"/>
            </w:tcBorders>
            <w:shd w:val="clear" w:color="auto" w:fill="DDCF56"/>
            <w:tcMar>
              <w:left w:w="57" w:type="dxa"/>
              <w:right w:w="57" w:type="dxa"/>
            </w:tcMar>
          </w:tcPr>
          <w:p w:rsidR="00011299" w:rsidRPr="00F05B06" w:rsidRDefault="00011299" w:rsidP="00F05B06">
            <w:pPr>
              <w:pStyle w:val="TableTextColumnHeading"/>
            </w:pPr>
            <w:r w:rsidRPr="00F05B06">
              <w:t xml:space="preserve">2007 </w:t>
            </w:r>
            <w:r w:rsidR="00F05B06" w:rsidRPr="00F05B06">
              <w:t>r</w:t>
            </w:r>
            <w:r w:rsidRPr="00F05B06">
              <w:t>ating</w:t>
            </w:r>
          </w:p>
        </w:tc>
      </w:tr>
      <w:tr w:rsidR="007F26AF" w:rsidRPr="00F05B06">
        <w:trPr>
          <w:cantSplit/>
        </w:trPr>
        <w:tc>
          <w:tcPr>
            <w:tcW w:w="7938" w:type="dxa"/>
            <w:gridSpan w:val="3"/>
            <w:tcBorders>
              <w:top w:val="single" w:sz="12" w:space="0" w:color="auto"/>
              <w:left w:val="single" w:sz="2" w:space="0" w:color="808080"/>
              <w:bottom w:val="single" w:sz="2" w:space="0" w:color="808080"/>
              <w:right w:val="single" w:sz="2" w:space="0" w:color="808080"/>
            </w:tcBorders>
            <w:shd w:val="clear" w:color="auto" w:fill="F5F1CC"/>
            <w:tcMar>
              <w:left w:w="57" w:type="dxa"/>
              <w:right w:w="57" w:type="dxa"/>
            </w:tcMar>
          </w:tcPr>
          <w:p w:rsidR="007F26AF" w:rsidRPr="00F05B06" w:rsidRDefault="007F26AF" w:rsidP="00F05B06">
            <w:pPr>
              <w:pStyle w:val="TableHeading1"/>
            </w:pPr>
            <w:r w:rsidRPr="00F05B06">
              <w:t>Development theme 1: Improved governance and nation building</w:t>
            </w:r>
          </w:p>
        </w:tc>
      </w:tr>
      <w:tr w:rsidR="007F26AF" w:rsidRPr="00F05B06">
        <w:trPr>
          <w:cantSplit/>
        </w:trPr>
        <w:tc>
          <w:tcPr>
            <w:tcW w:w="5837" w:type="dxa"/>
            <w:vMerge w:val="restart"/>
            <w:tcBorders>
              <w:top w:val="single" w:sz="2" w:space="0" w:color="808080"/>
              <w:left w:val="single" w:sz="2" w:space="0" w:color="808080"/>
              <w:bottom w:val="single" w:sz="2" w:space="0" w:color="808080"/>
              <w:right w:val="single" w:sz="2" w:space="0" w:color="808080"/>
            </w:tcBorders>
            <w:shd w:val="clear" w:color="auto" w:fill="auto"/>
            <w:tcMar>
              <w:left w:w="57" w:type="dxa"/>
              <w:right w:w="57" w:type="dxa"/>
            </w:tcMar>
          </w:tcPr>
          <w:p w:rsidR="007F26AF" w:rsidRPr="00F05B06" w:rsidRDefault="007F26AF" w:rsidP="00F05B06">
            <w:pPr>
              <w:pStyle w:val="TableTextEntries"/>
            </w:pPr>
            <w:r w:rsidRPr="00F05B06">
              <w:t xml:space="preserve">1. Improved effectiveness of public sector institutions and processes at </w:t>
            </w:r>
            <w:r w:rsidR="000F4196">
              <w:t xml:space="preserve">the </w:t>
            </w:r>
            <w:r w:rsidRPr="00F05B06">
              <w:t xml:space="preserve">national and </w:t>
            </w:r>
            <w:r>
              <w:t>sub</w:t>
            </w:r>
            <w:r w:rsidRPr="00F05B06">
              <w:t>national level</w:t>
            </w:r>
            <w:r w:rsidR="000F4196">
              <w:t>s</w:t>
            </w:r>
          </w:p>
        </w:tc>
        <w:tc>
          <w:tcPr>
            <w:tcW w:w="1050" w:type="dxa"/>
            <w:tcBorders>
              <w:top w:val="single" w:sz="2" w:space="0" w:color="808080"/>
              <w:left w:val="single" w:sz="2" w:space="0" w:color="808080"/>
              <w:bottom w:val="single" w:sz="2" w:space="0" w:color="808080"/>
              <w:right w:val="single" w:sz="2" w:space="0" w:color="808080"/>
            </w:tcBorders>
            <w:shd w:val="clear" w:color="auto" w:fill="FF0000"/>
            <w:tcMar>
              <w:left w:w="57" w:type="dxa"/>
              <w:right w:w="57" w:type="dxa"/>
            </w:tcMar>
          </w:tcPr>
          <w:p w:rsidR="007F26AF" w:rsidRPr="00F05B06" w:rsidRDefault="007F26AF" w:rsidP="00481B8E">
            <w:pPr>
              <w:pStyle w:val="TableTextEntries"/>
              <w:spacing w:after="20"/>
            </w:pPr>
            <w:r w:rsidRPr="00F05B06">
              <w:t xml:space="preserve">National </w:t>
            </w:r>
            <w:r w:rsidR="000905BE">
              <w:t xml:space="preserve"> </w:t>
            </w:r>
            <w:r w:rsidR="000905BE" w:rsidRPr="000905BE">
              <w:rPr>
                <w:color w:val="FF0000"/>
                <w:sz w:val="10"/>
                <w:szCs w:val="10"/>
              </w:rPr>
              <w:t>Red</w:t>
            </w:r>
          </w:p>
        </w:tc>
        <w:tc>
          <w:tcPr>
            <w:tcW w:w="1051" w:type="dxa"/>
            <w:vMerge w:val="restart"/>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7F26AF" w:rsidRPr="00F05B06" w:rsidRDefault="000905BE" w:rsidP="00F05B06">
            <w:pPr>
              <w:pStyle w:val="TableTextEntries"/>
            </w:pPr>
            <w:r w:rsidRPr="000905BE">
              <w:rPr>
                <w:color w:val="FF9900"/>
                <w:sz w:val="10"/>
                <w:szCs w:val="10"/>
              </w:rPr>
              <w:t>Amber</w:t>
            </w:r>
          </w:p>
        </w:tc>
      </w:tr>
      <w:tr w:rsidR="007F26AF" w:rsidRPr="00F05B06">
        <w:trPr>
          <w:cantSplit/>
        </w:trPr>
        <w:tc>
          <w:tcPr>
            <w:tcW w:w="5837" w:type="dxa"/>
            <w:vMerge/>
            <w:tcBorders>
              <w:top w:val="single" w:sz="2" w:space="0" w:color="808080"/>
              <w:left w:val="single" w:sz="2" w:space="0" w:color="808080"/>
              <w:bottom w:val="single" w:sz="2" w:space="0" w:color="808080"/>
              <w:right w:val="single" w:sz="2" w:space="0" w:color="808080"/>
            </w:tcBorders>
            <w:shd w:val="clear" w:color="auto" w:fill="auto"/>
            <w:tcMar>
              <w:left w:w="57" w:type="dxa"/>
              <w:right w:w="57" w:type="dxa"/>
            </w:tcMar>
          </w:tcPr>
          <w:p w:rsidR="007F26AF" w:rsidRPr="00F05B06" w:rsidRDefault="007F26AF" w:rsidP="00F05B06">
            <w:pPr>
              <w:pStyle w:val="TableTextEntries"/>
            </w:pPr>
          </w:p>
        </w:tc>
        <w:tc>
          <w:tcPr>
            <w:tcW w:w="1050"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7F26AF" w:rsidRPr="00F05B06" w:rsidRDefault="007F26AF" w:rsidP="00481B8E">
            <w:pPr>
              <w:pStyle w:val="TableTextEntries"/>
              <w:spacing w:before="20"/>
            </w:pPr>
            <w:r>
              <w:t>Sub</w:t>
            </w:r>
            <w:r w:rsidRPr="00F05B06">
              <w:t>national</w:t>
            </w:r>
            <w:r w:rsidR="000905BE">
              <w:t xml:space="preserve"> </w:t>
            </w:r>
            <w:r w:rsidR="000905BE" w:rsidRPr="000905BE">
              <w:rPr>
                <w:color w:val="FF9900"/>
                <w:sz w:val="10"/>
                <w:szCs w:val="10"/>
              </w:rPr>
              <w:t>Amber</w:t>
            </w:r>
          </w:p>
        </w:tc>
        <w:tc>
          <w:tcPr>
            <w:tcW w:w="1051" w:type="dxa"/>
            <w:vMerge/>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7F26AF" w:rsidRPr="00F05B06" w:rsidRDefault="007F26AF" w:rsidP="00F05B06">
            <w:pPr>
              <w:pStyle w:val="TableTextEntries"/>
            </w:pPr>
          </w:p>
        </w:tc>
      </w:tr>
      <w:tr w:rsidR="00011299" w:rsidRPr="00F05B06">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11299" w:rsidRPr="00F05B06" w:rsidRDefault="00011299" w:rsidP="00F05B06">
            <w:pPr>
              <w:pStyle w:val="TableTextEntries"/>
            </w:pPr>
            <w:r w:rsidRPr="00F05B06">
              <w:t xml:space="preserve">2. PNG </w:t>
            </w:r>
            <w:r w:rsidR="000F4196">
              <w:t xml:space="preserve">Government </w:t>
            </w:r>
            <w:r w:rsidRPr="00F05B06">
              <w:t>demonstrating open, accountable democratic behaviours and adherence to the rule of law</w:t>
            </w:r>
          </w:p>
        </w:tc>
        <w:tc>
          <w:tcPr>
            <w:tcW w:w="1050" w:type="dxa"/>
            <w:tcBorders>
              <w:top w:val="single" w:sz="2" w:space="0" w:color="808080"/>
              <w:left w:val="single" w:sz="2" w:space="0" w:color="808080"/>
              <w:bottom w:val="single" w:sz="2" w:space="0" w:color="808080"/>
              <w:right w:val="single" w:sz="2" w:space="0" w:color="808080"/>
            </w:tcBorders>
            <w:shd w:val="clear" w:color="auto" w:fill="FF0000"/>
            <w:tcMar>
              <w:left w:w="57" w:type="dxa"/>
              <w:right w:w="57" w:type="dxa"/>
            </w:tcMar>
          </w:tcPr>
          <w:p w:rsidR="00011299" w:rsidRPr="00F05B06" w:rsidRDefault="000905BE" w:rsidP="00F05B06">
            <w:pPr>
              <w:pStyle w:val="TableTextEntries"/>
              <w:rPr>
                <w:i/>
              </w:rPr>
            </w:pPr>
            <w:r w:rsidRPr="000905BE">
              <w:rPr>
                <w:color w:val="FF0000"/>
                <w:sz w:val="10"/>
                <w:szCs w:val="10"/>
              </w:rPr>
              <w:t>Red</w:t>
            </w:r>
          </w:p>
        </w:tc>
        <w:tc>
          <w:tcPr>
            <w:tcW w:w="1051"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11299" w:rsidRPr="00F05B06" w:rsidRDefault="000905BE" w:rsidP="00F05B06">
            <w:pPr>
              <w:pStyle w:val="TableTextEntries"/>
              <w:rPr>
                <w:i/>
              </w:rPr>
            </w:pPr>
            <w:r w:rsidRPr="000905BE">
              <w:rPr>
                <w:color w:val="FF9900"/>
                <w:sz w:val="10"/>
                <w:szCs w:val="10"/>
              </w:rPr>
              <w:t>Amber</w:t>
            </w:r>
          </w:p>
        </w:tc>
      </w:tr>
      <w:tr w:rsidR="00011299" w:rsidRPr="00F05B06">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11299" w:rsidRPr="00F05B06" w:rsidRDefault="00011299" w:rsidP="00F05B06">
            <w:pPr>
              <w:pStyle w:val="TableTextEntries"/>
            </w:pPr>
            <w:r w:rsidRPr="00F05B06">
              <w:t>3. Better articulated demand for democratic processes and institutions, and reforms of the state and civil society to meet that demand</w:t>
            </w:r>
          </w:p>
        </w:tc>
        <w:tc>
          <w:tcPr>
            <w:tcW w:w="1050"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11299" w:rsidRPr="00F05B06" w:rsidRDefault="000905BE" w:rsidP="00F05B06">
            <w:pPr>
              <w:pStyle w:val="TableTextEntries"/>
              <w:rPr>
                <w:i/>
              </w:rPr>
            </w:pPr>
            <w:r w:rsidRPr="000905BE">
              <w:rPr>
                <w:color w:val="FF9900"/>
                <w:sz w:val="10"/>
                <w:szCs w:val="10"/>
              </w:rPr>
              <w:t>Amber</w:t>
            </w:r>
          </w:p>
        </w:tc>
        <w:tc>
          <w:tcPr>
            <w:tcW w:w="1051"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11299" w:rsidRPr="00F05B06" w:rsidRDefault="000905BE" w:rsidP="00F05B06">
            <w:pPr>
              <w:pStyle w:val="TableTextEntries"/>
              <w:rPr>
                <w:i/>
              </w:rPr>
            </w:pPr>
            <w:r w:rsidRPr="000905BE">
              <w:rPr>
                <w:color w:val="FF9900"/>
                <w:sz w:val="10"/>
                <w:szCs w:val="10"/>
              </w:rPr>
              <w:t>Amber</w:t>
            </w:r>
          </w:p>
        </w:tc>
      </w:tr>
      <w:tr w:rsidR="006E771D" w:rsidRPr="00F05B06">
        <w:trPr>
          <w:cantSplit/>
        </w:trPr>
        <w:tc>
          <w:tcPr>
            <w:tcW w:w="7938" w:type="dxa"/>
            <w:gridSpan w:val="3"/>
            <w:tcBorders>
              <w:top w:val="single" w:sz="2" w:space="0" w:color="808080"/>
              <w:left w:val="single" w:sz="2" w:space="0" w:color="808080"/>
              <w:bottom w:val="single" w:sz="2" w:space="0" w:color="808080"/>
              <w:right w:val="single" w:sz="2" w:space="0" w:color="808080"/>
            </w:tcBorders>
            <w:shd w:val="clear" w:color="auto" w:fill="F5F1CC"/>
            <w:tcMar>
              <w:left w:w="57" w:type="dxa"/>
              <w:right w:w="57" w:type="dxa"/>
            </w:tcMar>
          </w:tcPr>
          <w:p w:rsidR="006E771D" w:rsidRPr="00F05B06" w:rsidRDefault="006E771D" w:rsidP="00F05B06">
            <w:pPr>
              <w:pStyle w:val="TableHeading1"/>
            </w:pPr>
            <w:r w:rsidRPr="00F05B06">
              <w:t xml:space="preserve">Development </w:t>
            </w:r>
            <w:r w:rsidR="007F26AF" w:rsidRPr="00F05B06">
              <w:t xml:space="preserve">theme </w:t>
            </w:r>
            <w:r w:rsidRPr="00F05B06">
              <w:t>2: Sustainable broad-based growth and increased productivity</w:t>
            </w:r>
          </w:p>
        </w:tc>
      </w:tr>
      <w:tr w:rsidR="00011299" w:rsidRPr="00F05B06">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11299" w:rsidRPr="00F05B06" w:rsidRDefault="00011299" w:rsidP="00F05B06">
            <w:pPr>
              <w:pStyle w:val="TableTextEntries"/>
            </w:pPr>
            <w:r w:rsidRPr="00F05B06">
              <w:t>1. A conducive enabling environment for private sector activity and investment</w:t>
            </w:r>
          </w:p>
        </w:tc>
        <w:tc>
          <w:tcPr>
            <w:tcW w:w="1050" w:type="dxa"/>
            <w:tcBorders>
              <w:top w:val="single" w:sz="2" w:space="0" w:color="808080"/>
              <w:left w:val="single" w:sz="2" w:space="0" w:color="808080"/>
              <w:bottom w:val="single" w:sz="2" w:space="0" w:color="808080"/>
              <w:right w:val="single" w:sz="2" w:space="0" w:color="808080"/>
            </w:tcBorders>
            <w:shd w:val="clear" w:color="auto" w:fill="FF0000"/>
            <w:tcMar>
              <w:left w:w="57" w:type="dxa"/>
              <w:right w:w="57" w:type="dxa"/>
            </w:tcMar>
          </w:tcPr>
          <w:p w:rsidR="00011299" w:rsidRPr="00F05B06" w:rsidRDefault="000905BE" w:rsidP="00F05B06">
            <w:pPr>
              <w:pStyle w:val="TableTextEntries"/>
              <w:rPr>
                <w:i/>
              </w:rPr>
            </w:pPr>
            <w:r w:rsidRPr="000905BE">
              <w:rPr>
                <w:color w:val="FF0000"/>
                <w:sz w:val="10"/>
                <w:szCs w:val="10"/>
              </w:rPr>
              <w:t>Red</w:t>
            </w:r>
          </w:p>
        </w:tc>
        <w:tc>
          <w:tcPr>
            <w:tcW w:w="1051"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11299" w:rsidRPr="00F05B06" w:rsidRDefault="000905BE" w:rsidP="00F05B06">
            <w:pPr>
              <w:pStyle w:val="TableTextEntries"/>
              <w:rPr>
                <w:i/>
              </w:rPr>
            </w:pPr>
            <w:r w:rsidRPr="000905BE">
              <w:rPr>
                <w:color w:val="FF9900"/>
                <w:sz w:val="10"/>
                <w:szCs w:val="10"/>
              </w:rPr>
              <w:t>Amber</w:t>
            </w:r>
          </w:p>
        </w:tc>
      </w:tr>
      <w:tr w:rsidR="00011299" w:rsidRPr="00F05B06">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11299" w:rsidRPr="00F05B06" w:rsidRDefault="00011299" w:rsidP="00F05B06">
            <w:pPr>
              <w:pStyle w:val="TableTextEntries"/>
            </w:pPr>
            <w:r w:rsidRPr="00F05B06">
              <w:t>2. Enhanced access to markets and services</w:t>
            </w:r>
          </w:p>
        </w:tc>
        <w:tc>
          <w:tcPr>
            <w:tcW w:w="1050"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011299" w:rsidRPr="00F05B06" w:rsidRDefault="00616432" w:rsidP="00F05B06">
            <w:pPr>
              <w:pStyle w:val="TableTextEntries"/>
              <w:rPr>
                <w:i/>
              </w:rPr>
            </w:pPr>
            <w:r w:rsidRPr="00616432">
              <w:rPr>
                <w:color w:val="92D050"/>
              </w:rPr>
              <w:t>Green</w:t>
            </w:r>
          </w:p>
        </w:tc>
        <w:tc>
          <w:tcPr>
            <w:tcW w:w="1051"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011299" w:rsidRPr="00F05B06" w:rsidRDefault="00616432" w:rsidP="00F05B06">
            <w:pPr>
              <w:pStyle w:val="TableTextEntries"/>
              <w:rPr>
                <w:i/>
              </w:rPr>
            </w:pPr>
            <w:r w:rsidRPr="00616432">
              <w:rPr>
                <w:color w:val="92D050"/>
              </w:rPr>
              <w:t>Green</w:t>
            </w:r>
          </w:p>
        </w:tc>
      </w:tr>
      <w:tr w:rsidR="00011299" w:rsidRPr="00F05B06">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11299" w:rsidRPr="00F05B06" w:rsidRDefault="00011299" w:rsidP="00F05B06">
            <w:pPr>
              <w:pStyle w:val="TableTextEntries"/>
            </w:pPr>
            <w:r w:rsidRPr="00F05B06">
              <w:t>3. Increased agricultural productivity</w:t>
            </w:r>
          </w:p>
        </w:tc>
        <w:tc>
          <w:tcPr>
            <w:tcW w:w="1050"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11299" w:rsidRPr="00F05B06" w:rsidRDefault="000905BE" w:rsidP="00F05B06">
            <w:pPr>
              <w:pStyle w:val="TableTextEntries"/>
              <w:rPr>
                <w:i/>
              </w:rPr>
            </w:pPr>
            <w:r w:rsidRPr="000905BE">
              <w:rPr>
                <w:color w:val="FF9900"/>
                <w:sz w:val="10"/>
                <w:szCs w:val="10"/>
              </w:rPr>
              <w:t>Amber</w:t>
            </w:r>
          </w:p>
        </w:tc>
        <w:tc>
          <w:tcPr>
            <w:tcW w:w="1051"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11299" w:rsidRPr="00F05B06" w:rsidRDefault="000905BE" w:rsidP="00F05B06">
            <w:pPr>
              <w:pStyle w:val="TableTextEntries"/>
              <w:rPr>
                <w:i/>
              </w:rPr>
            </w:pPr>
            <w:r w:rsidRPr="000905BE">
              <w:rPr>
                <w:color w:val="FF9900"/>
                <w:sz w:val="10"/>
                <w:szCs w:val="10"/>
              </w:rPr>
              <w:t>Amber</w:t>
            </w:r>
          </w:p>
        </w:tc>
      </w:tr>
      <w:tr w:rsidR="00011299" w:rsidRPr="00F05B06">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11299" w:rsidRPr="00F05B06" w:rsidRDefault="00011299" w:rsidP="00F05B06">
            <w:pPr>
              <w:pStyle w:val="TableTextEntries"/>
            </w:pPr>
            <w:r w:rsidRPr="00F05B06">
              <w:t>4. Increased workforce skills</w:t>
            </w:r>
          </w:p>
        </w:tc>
        <w:tc>
          <w:tcPr>
            <w:tcW w:w="1050"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011299" w:rsidRPr="00F05B06" w:rsidRDefault="00616432" w:rsidP="00F05B06">
            <w:pPr>
              <w:pStyle w:val="TableTextEntries"/>
              <w:rPr>
                <w:i/>
              </w:rPr>
            </w:pPr>
            <w:r w:rsidRPr="00616432">
              <w:rPr>
                <w:color w:val="92D050"/>
              </w:rPr>
              <w:t>Green</w:t>
            </w:r>
          </w:p>
        </w:tc>
        <w:tc>
          <w:tcPr>
            <w:tcW w:w="1051"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011299" w:rsidRPr="00F05B06" w:rsidRDefault="00616432" w:rsidP="00F05B06">
            <w:pPr>
              <w:pStyle w:val="TableTextEntries"/>
              <w:rPr>
                <w:i/>
              </w:rPr>
            </w:pPr>
            <w:r w:rsidRPr="00616432">
              <w:rPr>
                <w:color w:val="92D050"/>
                <w:sz w:val="10"/>
                <w:szCs w:val="10"/>
              </w:rPr>
              <w:t>Green</w:t>
            </w:r>
            <w:r w:rsidRPr="00616432">
              <w:rPr>
                <w:color w:val="000000"/>
                <w:sz w:val="10"/>
                <w:szCs w:val="10"/>
                <w:lang w:val="en-US" w:eastAsia="en-CA"/>
              </w:rPr>
              <w:t> </w:t>
            </w:r>
          </w:p>
        </w:tc>
      </w:tr>
      <w:tr w:rsidR="007F26AF" w:rsidRPr="00F05B06">
        <w:trPr>
          <w:cantSplit/>
        </w:trPr>
        <w:tc>
          <w:tcPr>
            <w:tcW w:w="7938" w:type="dxa"/>
            <w:gridSpan w:val="3"/>
            <w:tcBorders>
              <w:top w:val="single" w:sz="2" w:space="0" w:color="808080"/>
              <w:left w:val="single" w:sz="2" w:space="0" w:color="808080"/>
              <w:bottom w:val="single" w:sz="2" w:space="0" w:color="808080"/>
              <w:right w:val="single" w:sz="2" w:space="0" w:color="808080"/>
            </w:tcBorders>
            <w:shd w:val="clear" w:color="auto" w:fill="F5F1CC"/>
            <w:tcMar>
              <w:left w:w="57" w:type="dxa"/>
              <w:right w:w="57" w:type="dxa"/>
            </w:tcMar>
          </w:tcPr>
          <w:p w:rsidR="007F26AF" w:rsidRPr="00F05B06" w:rsidRDefault="007F26AF" w:rsidP="00F05B06">
            <w:pPr>
              <w:pStyle w:val="TableHeading1"/>
            </w:pPr>
            <w:r w:rsidRPr="00F05B06">
              <w:t>Development theme 3: Improved service delivery and stability</w:t>
            </w:r>
          </w:p>
        </w:tc>
      </w:tr>
      <w:tr w:rsidR="00011299" w:rsidRPr="00F05B06">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11299" w:rsidRPr="00F05B06" w:rsidRDefault="00011299" w:rsidP="00F05B06">
            <w:pPr>
              <w:pStyle w:val="TableTextEntries"/>
            </w:pPr>
            <w:r w:rsidRPr="00F05B06">
              <w:t>1. All levels of government oriented towards and better able to coordinate and implement service delivery</w:t>
            </w:r>
          </w:p>
        </w:tc>
        <w:tc>
          <w:tcPr>
            <w:tcW w:w="1050"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11299" w:rsidRPr="00F05B06" w:rsidRDefault="000905BE" w:rsidP="00F05B06">
            <w:pPr>
              <w:pStyle w:val="TableTextEntries"/>
              <w:rPr>
                <w:i/>
              </w:rPr>
            </w:pPr>
            <w:r w:rsidRPr="000905BE">
              <w:rPr>
                <w:color w:val="FF9900"/>
                <w:sz w:val="10"/>
                <w:szCs w:val="10"/>
              </w:rPr>
              <w:t>Amber</w:t>
            </w:r>
          </w:p>
        </w:tc>
        <w:tc>
          <w:tcPr>
            <w:tcW w:w="1051"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11299" w:rsidRPr="00F05B06" w:rsidRDefault="000905BE" w:rsidP="00F05B06">
            <w:pPr>
              <w:pStyle w:val="TableTextEntries"/>
              <w:rPr>
                <w:i/>
              </w:rPr>
            </w:pPr>
            <w:r w:rsidRPr="000905BE">
              <w:rPr>
                <w:color w:val="FF9900"/>
                <w:sz w:val="10"/>
                <w:szCs w:val="10"/>
              </w:rPr>
              <w:t>Amber</w:t>
            </w:r>
          </w:p>
        </w:tc>
      </w:tr>
      <w:tr w:rsidR="00011299" w:rsidRPr="00F05B06">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11299" w:rsidRPr="00F05B06" w:rsidRDefault="00011299" w:rsidP="00F05B06">
            <w:pPr>
              <w:pStyle w:val="TableTextEntries"/>
            </w:pPr>
            <w:r w:rsidRPr="00F05B06">
              <w:t>2. Increased quality of and access to education</w:t>
            </w:r>
          </w:p>
        </w:tc>
        <w:tc>
          <w:tcPr>
            <w:tcW w:w="1050"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11299" w:rsidRPr="00F05B06" w:rsidRDefault="000905BE" w:rsidP="00F05B06">
            <w:pPr>
              <w:pStyle w:val="TableTextEntries"/>
              <w:rPr>
                <w:i/>
              </w:rPr>
            </w:pPr>
            <w:r w:rsidRPr="000905BE">
              <w:rPr>
                <w:color w:val="FF9900"/>
                <w:sz w:val="10"/>
                <w:szCs w:val="10"/>
              </w:rPr>
              <w:t>Amber</w:t>
            </w:r>
          </w:p>
        </w:tc>
        <w:tc>
          <w:tcPr>
            <w:tcW w:w="1051"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11299" w:rsidRPr="00F05B06" w:rsidRDefault="000905BE" w:rsidP="00F05B06">
            <w:pPr>
              <w:pStyle w:val="TableTextEntries"/>
              <w:rPr>
                <w:i/>
              </w:rPr>
            </w:pPr>
            <w:r w:rsidRPr="000905BE">
              <w:rPr>
                <w:color w:val="FF9900"/>
                <w:sz w:val="10"/>
                <w:szCs w:val="10"/>
              </w:rPr>
              <w:t>Amber</w:t>
            </w:r>
          </w:p>
        </w:tc>
      </w:tr>
      <w:tr w:rsidR="00011299" w:rsidRPr="00F05B06">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11299" w:rsidRPr="00F05B06" w:rsidRDefault="00011299" w:rsidP="00F05B06">
            <w:pPr>
              <w:pStyle w:val="TableTextEntries"/>
            </w:pPr>
            <w:r w:rsidRPr="00F05B06">
              <w:t>3. Increased quality of and access to health services</w:t>
            </w:r>
          </w:p>
        </w:tc>
        <w:tc>
          <w:tcPr>
            <w:tcW w:w="1050" w:type="dxa"/>
            <w:tcBorders>
              <w:top w:val="single" w:sz="2" w:space="0" w:color="808080"/>
              <w:left w:val="single" w:sz="2" w:space="0" w:color="808080"/>
              <w:bottom w:val="single" w:sz="2" w:space="0" w:color="808080"/>
              <w:right w:val="single" w:sz="2" w:space="0" w:color="808080"/>
            </w:tcBorders>
            <w:shd w:val="clear" w:color="auto" w:fill="FF0000"/>
            <w:tcMar>
              <w:left w:w="57" w:type="dxa"/>
              <w:right w:w="57" w:type="dxa"/>
            </w:tcMar>
          </w:tcPr>
          <w:p w:rsidR="00011299" w:rsidRPr="00F05B06" w:rsidRDefault="000905BE" w:rsidP="00F05B06">
            <w:pPr>
              <w:pStyle w:val="TableTextEntries"/>
              <w:rPr>
                <w:i/>
              </w:rPr>
            </w:pPr>
            <w:r w:rsidRPr="000905BE">
              <w:rPr>
                <w:color w:val="FF0000"/>
                <w:sz w:val="10"/>
                <w:szCs w:val="10"/>
              </w:rPr>
              <w:t>Red</w:t>
            </w:r>
          </w:p>
        </w:tc>
        <w:tc>
          <w:tcPr>
            <w:tcW w:w="1051" w:type="dxa"/>
            <w:tcBorders>
              <w:top w:val="single" w:sz="2" w:space="0" w:color="808080"/>
              <w:left w:val="single" w:sz="2" w:space="0" w:color="808080"/>
              <w:bottom w:val="single" w:sz="2" w:space="0" w:color="808080"/>
              <w:right w:val="single" w:sz="2" w:space="0" w:color="808080"/>
            </w:tcBorders>
            <w:shd w:val="clear" w:color="auto" w:fill="FF0000"/>
            <w:tcMar>
              <w:left w:w="57" w:type="dxa"/>
              <w:right w:w="57" w:type="dxa"/>
            </w:tcMar>
          </w:tcPr>
          <w:p w:rsidR="00011299" w:rsidRPr="00F05B06" w:rsidRDefault="000905BE" w:rsidP="00F05B06">
            <w:pPr>
              <w:pStyle w:val="TableTextEntries"/>
              <w:rPr>
                <w:i/>
              </w:rPr>
            </w:pPr>
            <w:r w:rsidRPr="000905BE">
              <w:rPr>
                <w:color w:val="FF0000"/>
                <w:sz w:val="10"/>
                <w:szCs w:val="10"/>
              </w:rPr>
              <w:t>Red</w:t>
            </w:r>
          </w:p>
        </w:tc>
      </w:tr>
      <w:tr w:rsidR="00011299" w:rsidRPr="00F05B06">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11299" w:rsidRPr="00F05B06" w:rsidRDefault="00011299" w:rsidP="00F05B06">
            <w:pPr>
              <w:pStyle w:val="TableTextEntries"/>
            </w:pPr>
            <w:r w:rsidRPr="00F05B06">
              <w:t>4. Improved ability to provide law and justice services</w:t>
            </w:r>
          </w:p>
        </w:tc>
        <w:tc>
          <w:tcPr>
            <w:tcW w:w="1050"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11299" w:rsidRPr="00F05B06" w:rsidRDefault="000905BE" w:rsidP="00F05B06">
            <w:pPr>
              <w:pStyle w:val="TableTextEntries"/>
              <w:rPr>
                <w:i/>
              </w:rPr>
            </w:pPr>
            <w:r w:rsidRPr="000905BE">
              <w:rPr>
                <w:color w:val="FF9900"/>
                <w:sz w:val="10"/>
                <w:szCs w:val="10"/>
              </w:rPr>
              <w:t>Amber</w:t>
            </w:r>
          </w:p>
        </w:tc>
        <w:tc>
          <w:tcPr>
            <w:tcW w:w="1051"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11299" w:rsidRPr="00F05B06" w:rsidRDefault="000905BE" w:rsidP="00F05B06">
            <w:pPr>
              <w:pStyle w:val="TableTextEntries"/>
              <w:rPr>
                <w:i/>
              </w:rPr>
            </w:pPr>
            <w:r w:rsidRPr="000905BE">
              <w:rPr>
                <w:color w:val="FF9900"/>
                <w:sz w:val="10"/>
                <w:szCs w:val="10"/>
              </w:rPr>
              <w:t>Amber</w:t>
            </w:r>
          </w:p>
        </w:tc>
      </w:tr>
      <w:tr w:rsidR="007F26AF" w:rsidRPr="00F05B06">
        <w:trPr>
          <w:cantSplit/>
        </w:trPr>
        <w:tc>
          <w:tcPr>
            <w:tcW w:w="7938" w:type="dxa"/>
            <w:gridSpan w:val="3"/>
            <w:tcBorders>
              <w:top w:val="single" w:sz="2" w:space="0" w:color="808080"/>
              <w:left w:val="single" w:sz="2" w:space="0" w:color="808080"/>
              <w:bottom w:val="single" w:sz="2" w:space="0" w:color="808080"/>
              <w:right w:val="single" w:sz="2" w:space="0" w:color="808080"/>
            </w:tcBorders>
            <w:shd w:val="clear" w:color="auto" w:fill="F5F1CC"/>
            <w:tcMar>
              <w:left w:w="57" w:type="dxa"/>
              <w:right w:w="57" w:type="dxa"/>
            </w:tcMar>
          </w:tcPr>
          <w:p w:rsidR="007F26AF" w:rsidRPr="00F05B06" w:rsidRDefault="007F26AF" w:rsidP="00F05B06">
            <w:pPr>
              <w:pStyle w:val="TableHeading1"/>
            </w:pPr>
            <w:r w:rsidRPr="00F05B06">
              <w:t>Development theme 4:</w:t>
            </w:r>
            <w:r w:rsidR="006F7C08">
              <w:t xml:space="preserve"> </w:t>
            </w:r>
            <w:r w:rsidRPr="00F05B06">
              <w:t xml:space="preserve">Strengthened, coordinated </w:t>
            </w:r>
            <w:r w:rsidR="00BE2AFD">
              <w:t>and</w:t>
            </w:r>
            <w:r w:rsidR="00BE2AFD" w:rsidRPr="00F05B06">
              <w:t xml:space="preserve"> </w:t>
            </w:r>
            <w:r w:rsidRPr="00F05B06">
              <w:t>effective response to the HIV and AIDS epidemic</w:t>
            </w:r>
          </w:p>
        </w:tc>
      </w:tr>
      <w:tr w:rsidR="00011299" w:rsidRPr="00F05B06">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11299" w:rsidRPr="00F05B06" w:rsidRDefault="00011299" w:rsidP="00F05B06">
            <w:pPr>
              <w:pStyle w:val="TableTextEntries"/>
            </w:pPr>
            <w:r w:rsidRPr="00F05B06">
              <w:t xml:space="preserve">1. Stabilise </w:t>
            </w:r>
            <w:r w:rsidR="00FE6236">
              <w:t xml:space="preserve">the </w:t>
            </w:r>
            <w:r w:rsidRPr="00F05B06">
              <w:t>spread of new infections by 2020</w:t>
            </w:r>
          </w:p>
        </w:tc>
        <w:tc>
          <w:tcPr>
            <w:tcW w:w="1050"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11299" w:rsidRPr="00F05B06" w:rsidRDefault="000905BE" w:rsidP="00F05B06">
            <w:pPr>
              <w:pStyle w:val="TableTextEntries"/>
              <w:rPr>
                <w:i/>
              </w:rPr>
            </w:pPr>
            <w:r w:rsidRPr="000905BE">
              <w:rPr>
                <w:color w:val="FF9900"/>
                <w:sz w:val="10"/>
                <w:szCs w:val="10"/>
              </w:rPr>
              <w:t>Amber</w:t>
            </w:r>
          </w:p>
        </w:tc>
        <w:tc>
          <w:tcPr>
            <w:tcW w:w="1051"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11299" w:rsidRPr="00F05B06" w:rsidRDefault="000905BE" w:rsidP="00F05B06">
            <w:pPr>
              <w:pStyle w:val="TableTextEntries"/>
              <w:rPr>
                <w:i/>
              </w:rPr>
            </w:pPr>
            <w:r w:rsidRPr="000905BE">
              <w:rPr>
                <w:color w:val="FF9900"/>
                <w:sz w:val="10"/>
                <w:szCs w:val="10"/>
              </w:rPr>
              <w:t>Amber</w:t>
            </w:r>
          </w:p>
        </w:tc>
      </w:tr>
      <w:tr w:rsidR="00011299" w:rsidRPr="00F05B06">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11299" w:rsidRPr="00F05B06" w:rsidRDefault="00011299" w:rsidP="00F05B06">
            <w:pPr>
              <w:pStyle w:val="TableTextEntries"/>
            </w:pPr>
            <w:r w:rsidRPr="00F05B06">
              <w:t>2. Effective care and treatment of those infected</w:t>
            </w:r>
          </w:p>
        </w:tc>
        <w:tc>
          <w:tcPr>
            <w:tcW w:w="1050"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11299" w:rsidRPr="00F05B06" w:rsidRDefault="000905BE" w:rsidP="00F05B06">
            <w:pPr>
              <w:pStyle w:val="TableTextEntries"/>
              <w:rPr>
                <w:i/>
              </w:rPr>
            </w:pPr>
            <w:r w:rsidRPr="000905BE">
              <w:rPr>
                <w:color w:val="FF9900"/>
                <w:sz w:val="10"/>
                <w:szCs w:val="10"/>
              </w:rPr>
              <w:t>Amber</w:t>
            </w:r>
          </w:p>
        </w:tc>
        <w:tc>
          <w:tcPr>
            <w:tcW w:w="1051"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11299" w:rsidRPr="00F05B06" w:rsidRDefault="000905BE" w:rsidP="00F05B06">
            <w:pPr>
              <w:pStyle w:val="TableTextEntries"/>
              <w:rPr>
                <w:i/>
              </w:rPr>
            </w:pPr>
            <w:r w:rsidRPr="000905BE">
              <w:rPr>
                <w:color w:val="FF9900"/>
                <w:sz w:val="10"/>
                <w:szCs w:val="10"/>
              </w:rPr>
              <w:t>Amber</w:t>
            </w:r>
          </w:p>
        </w:tc>
      </w:tr>
      <w:tr w:rsidR="006E771D" w:rsidRPr="00F05B06">
        <w:trPr>
          <w:cantSplit/>
        </w:trPr>
        <w:tc>
          <w:tcPr>
            <w:tcW w:w="5837" w:type="dxa"/>
            <w:vMerge w:val="restart"/>
            <w:tcBorders>
              <w:top w:val="single" w:sz="2" w:space="0" w:color="808080"/>
              <w:left w:val="single" w:sz="2" w:space="0" w:color="808080"/>
              <w:bottom w:val="single" w:sz="2" w:space="0" w:color="808080"/>
              <w:right w:val="single" w:sz="2" w:space="0" w:color="808080"/>
            </w:tcBorders>
            <w:shd w:val="clear" w:color="auto" w:fill="auto"/>
            <w:tcMar>
              <w:left w:w="57" w:type="dxa"/>
              <w:right w:w="57" w:type="dxa"/>
            </w:tcMar>
          </w:tcPr>
          <w:p w:rsidR="006E771D" w:rsidRPr="00F05B06" w:rsidRDefault="006E771D" w:rsidP="00F05B06">
            <w:pPr>
              <w:pStyle w:val="TableTextEntries"/>
            </w:pPr>
            <w:r w:rsidRPr="00F05B06">
              <w:t xml:space="preserve">3. Strengthened national capacity to lead, coordinate </w:t>
            </w:r>
            <w:r w:rsidR="00BE2AFD">
              <w:t>and</w:t>
            </w:r>
            <w:r w:rsidR="00BE2AFD" w:rsidRPr="00F05B06">
              <w:t xml:space="preserve"> </w:t>
            </w:r>
            <w:r w:rsidRPr="00F05B06">
              <w:t>implement the</w:t>
            </w:r>
            <w:r w:rsidR="00BE2AFD">
              <w:t> </w:t>
            </w:r>
            <w:r w:rsidRPr="00F05B06">
              <w:t>HIV</w:t>
            </w:r>
            <w:r w:rsidR="00BE2AFD">
              <w:t> </w:t>
            </w:r>
            <w:r w:rsidRPr="00F05B06">
              <w:t>response</w:t>
            </w:r>
          </w:p>
        </w:tc>
        <w:tc>
          <w:tcPr>
            <w:tcW w:w="1050" w:type="dxa"/>
            <w:tcBorders>
              <w:top w:val="single" w:sz="2" w:space="0" w:color="808080"/>
              <w:left w:val="single" w:sz="2" w:space="0" w:color="808080"/>
              <w:bottom w:val="single" w:sz="2" w:space="0" w:color="808080"/>
              <w:right w:val="single" w:sz="2" w:space="0" w:color="808080"/>
            </w:tcBorders>
            <w:shd w:val="clear" w:color="auto" w:fill="FF0000"/>
            <w:tcMar>
              <w:left w:w="57" w:type="dxa"/>
              <w:right w:w="57" w:type="dxa"/>
            </w:tcMar>
          </w:tcPr>
          <w:p w:rsidR="006E771D" w:rsidRPr="00F05B06" w:rsidRDefault="006E771D" w:rsidP="00F05B06">
            <w:pPr>
              <w:pStyle w:val="TableTextEntries"/>
            </w:pPr>
            <w:r w:rsidRPr="00F05B06">
              <w:t>Government</w:t>
            </w:r>
            <w:r w:rsidR="000905BE">
              <w:t xml:space="preserve"> </w:t>
            </w:r>
            <w:r w:rsidR="000905BE" w:rsidRPr="000905BE">
              <w:rPr>
                <w:color w:val="FF0000"/>
                <w:sz w:val="10"/>
                <w:szCs w:val="10"/>
              </w:rPr>
              <w:t>Red</w:t>
            </w:r>
            <w:r w:rsidRPr="00F05B06">
              <w:t xml:space="preserve"> </w:t>
            </w:r>
          </w:p>
        </w:tc>
        <w:tc>
          <w:tcPr>
            <w:tcW w:w="1051"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6E771D" w:rsidRPr="00F05B06" w:rsidRDefault="000905BE" w:rsidP="00F05B06">
            <w:pPr>
              <w:pStyle w:val="TableTextEntries"/>
              <w:rPr>
                <w:i/>
              </w:rPr>
            </w:pPr>
            <w:r w:rsidRPr="000905BE">
              <w:rPr>
                <w:color w:val="FF9900"/>
                <w:sz w:val="10"/>
                <w:szCs w:val="10"/>
              </w:rPr>
              <w:t>Amber</w:t>
            </w:r>
          </w:p>
        </w:tc>
      </w:tr>
      <w:tr w:rsidR="006E771D" w:rsidRPr="00F05B06">
        <w:trPr>
          <w:cantSplit/>
        </w:trPr>
        <w:tc>
          <w:tcPr>
            <w:tcW w:w="5837" w:type="dxa"/>
            <w:vMerge/>
            <w:tcBorders>
              <w:top w:val="single" w:sz="2" w:space="0" w:color="808080"/>
              <w:left w:val="single" w:sz="2" w:space="0" w:color="808080"/>
              <w:bottom w:val="single" w:sz="2" w:space="0" w:color="808080"/>
              <w:right w:val="single" w:sz="2" w:space="0" w:color="808080"/>
            </w:tcBorders>
            <w:shd w:val="clear" w:color="auto" w:fill="auto"/>
            <w:tcMar>
              <w:left w:w="57" w:type="dxa"/>
              <w:right w:w="57" w:type="dxa"/>
            </w:tcMar>
          </w:tcPr>
          <w:p w:rsidR="006E771D" w:rsidRPr="00F05B06" w:rsidRDefault="006E771D" w:rsidP="00F05B06">
            <w:pPr>
              <w:pStyle w:val="TableTextEntries"/>
            </w:pPr>
          </w:p>
        </w:tc>
        <w:tc>
          <w:tcPr>
            <w:tcW w:w="1050"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6E771D" w:rsidRPr="00F05B06" w:rsidRDefault="006E771D" w:rsidP="00F05B06">
            <w:pPr>
              <w:pStyle w:val="TableTextEntries"/>
            </w:pPr>
            <w:r w:rsidRPr="00F05B06">
              <w:t>Civil society</w:t>
            </w:r>
            <w:r w:rsidR="000905BE">
              <w:t xml:space="preserve"> </w:t>
            </w:r>
            <w:r w:rsidR="000905BE" w:rsidRPr="000905BE">
              <w:rPr>
                <w:color w:val="FF9900"/>
                <w:sz w:val="10"/>
                <w:szCs w:val="10"/>
              </w:rPr>
              <w:t>Amber</w:t>
            </w:r>
          </w:p>
        </w:tc>
        <w:tc>
          <w:tcPr>
            <w:tcW w:w="1051"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6E771D" w:rsidRPr="00F05B06" w:rsidRDefault="000905BE" w:rsidP="00F05B06">
            <w:pPr>
              <w:pStyle w:val="TableTextEntries"/>
              <w:rPr>
                <w:i/>
              </w:rPr>
            </w:pPr>
            <w:r w:rsidRPr="000905BE">
              <w:rPr>
                <w:color w:val="FF9900"/>
                <w:sz w:val="10"/>
                <w:szCs w:val="10"/>
              </w:rPr>
              <w:t>Amber</w:t>
            </w:r>
          </w:p>
        </w:tc>
      </w:tr>
    </w:tbl>
    <w:p w:rsidR="006E771D" w:rsidRDefault="006E771D" w:rsidP="00991F19">
      <w:pPr>
        <w:pStyle w:val="Note"/>
      </w:pPr>
      <w:r>
        <w:t>Note:</w:t>
      </w:r>
    </w:p>
    <w:tbl>
      <w:tblPr>
        <w:tblW w:w="7937" w:type="dxa"/>
        <w:tblInd w:w="5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1048"/>
        <w:gridCol w:w="6889"/>
      </w:tblGrid>
      <w:tr w:rsidR="006E771D" w:rsidRPr="00011299">
        <w:trPr>
          <w:cantSplit/>
          <w:trHeight w:val="20"/>
        </w:trPr>
        <w:tc>
          <w:tcPr>
            <w:tcW w:w="1049"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6E771D" w:rsidRPr="00011299" w:rsidRDefault="00616432" w:rsidP="006E771D">
            <w:pPr>
              <w:pStyle w:val="Note"/>
              <w:framePr w:wrap="around" w:hAnchor="text"/>
            </w:pPr>
            <w:proofErr w:type="spellStart"/>
            <w:r w:rsidRPr="00616432">
              <w:rPr>
                <w:color w:val="92D050"/>
              </w:rPr>
              <w:t>Green</w:t>
            </w:r>
            <w:r w:rsidR="003A7686">
              <w:rPr>
                <w:color w:val="92D050"/>
              </w:rPr>
              <w:t>Gren</w:t>
            </w:r>
            <w:proofErr w:type="spellEnd"/>
          </w:p>
        </w:tc>
        <w:tc>
          <w:tcPr>
            <w:tcW w:w="6915" w:type="dxa"/>
            <w:tcBorders>
              <w:top w:val="nil"/>
              <w:left w:val="single" w:sz="2" w:space="0" w:color="808080"/>
              <w:bottom w:val="nil"/>
              <w:right w:val="nil"/>
            </w:tcBorders>
            <w:shd w:val="clear" w:color="auto" w:fill="auto"/>
            <w:vAlign w:val="center"/>
          </w:tcPr>
          <w:p w:rsidR="006E771D" w:rsidRPr="006D2818" w:rsidRDefault="006E771D" w:rsidP="00481B8E">
            <w:pPr>
              <w:pStyle w:val="Note"/>
              <w:framePr w:wrap="around" w:hAnchor="text"/>
              <w:spacing w:before="0"/>
            </w:pPr>
            <w:r w:rsidRPr="006D2818">
              <w:t xml:space="preserve">The objective </w:t>
            </w:r>
            <w:r w:rsidR="00C17125" w:rsidRPr="006D2818">
              <w:t>will</w:t>
            </w:r>
            <w:r w:rsidRPr="006D2818">
              <w:t xml:space="preserve"> be fully achieved within the timeframe of the strategy</w:t>
            </w:r>
            <w:r w:rsidR="00266448" w:rsidRPr="006D2818">
              <w:t>.</w:t>
            </w:r>
          </w:p>
        </w:tc>
      </w:tr>
      <w:tr w:rsidR="006E771D" w:rsidRPr="00011299">
        <w:trPr>
          <w:cantSplit/>
          <w:trHeight w:val="20"/>
        </w:trPr>
        <w:tc>
          <w:tcPr>
            <w:tcW w:w="1049"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6E771D" w:rsidRPr="000905BE" w:rsidRDefault="000905BE" w:rsidP="006E771D">
            <w:pPr>
              <w:pStyle w:val="Note"/>
              <w:framePr w:wrap="around" w:hAnchor="text"/>
              <w:rPr>
                <w:color w:val="FF9900"/>
                <w:sz w:val="10"/>
                <w:szCs w:val="10"/>
              </w:rPr>
            </w:pPr>
            <w:proofErr w:type="spellStart"/>
            <w:r w:rsidRPr="000905BE">
              <w:rPr>
                <w:color w:val="FF9900"/>
                <w:sz w:val="10"/>
                <w:szCs w:val="10"/>
              </w:rPr>
              <w:t>Amber</w:t>
            </w:r>
            <w:r w:rsidR="003A7686">
              <w:rPr>
                <w:color w:val="FF9900"/>
                <w:sz w:val="10"/>
                <w:szCs w:val="10"/>
              </w:rPr>
              <w:t>Amber</w:t>
            </w:r>
            <w:proofErr w:type="spellEnd"/>
          </w:p>
        </w:tc>
        <w:tc>
          <w:tcPr>
            <w:tcW w:w="6915" w:type="dxa"/>
            <w:tcBorders>
              <w:top w:val="nil"/>
              <w:left w:val="single" w:sz="2" w:space="0" w:color="808080"/>
              <w:bottom w:val="nil"/>
              <w:right w:val="nil"/>
            </w:tcBorders>
            <w:shd w:val="clear" w:color="auto" w:fill="auto"/>
            <w:vAlign w:val="center"/>
          </w:tcPr>
          <w:p w:rsidR="006E771D" w:rsidRPr="006D2818" w:rsidRDefault="006E771D" w:rsidP="00481B8E">
            <w:pPr>
              <w:pStyle w:val="Note"/>
              <w:framePr w:wrap="around" w:hAnchor="text"/>
              <w:spacing w:before="0"/>
            </w:pPr>
            <w:r w:rsidRPr="006D2818">
              <w:t>The objective will be partly achieved within the timeframe of the strategy</w:t>
            </w:r>
            <w:r w:rsidR="00266448" w:rsidRPr="006D2818">
              <w:t>.</w:t>
            </w:r>
          </w:p>
        </w:tc>
      </w:tr>
      <w:tr w:rsidR="006E771D" w:rsidRPr="00011299">
        <w:trPr>
          <w:cantSplit/>
          <w:trHeight w:val="20"/>
        </w:trPr>
        <w:tc>
          <w:tcPr>
            <w:tcW w:w="1049" w:type="dxa"/>
            <w:tcBorders>
              <w:top w:val="single" w:sz="2" w:space="0" w:color="808080"/>
              <w:left w:val="single" w:sz="2" w:space="0" w:color="808080"/>
              <w:bottom w:val="single" w:sz="2" w:space="0" w:color="808080"/>
              <w:right w:val="single" w:sz="2" w:space="0" w:color="808080"/>
            </w:tcBorders>
            <w:shd w:val="clear" w:color="auto" w:fill="FF0000"/>
            <w:tcMar>
              <w:left w:w="57" w:type="dxa"/>
              <w:right w:w="57" w:type="dxa"/>
            </w:tcMar>
          </w:tcPr>
          <w:p w:rsidR="006E771D" w:rsidRPr="000905BE" w:rsidRDefault="000905BE" w:rsidP="006E771D">
            <w:pPr>
              <w:pStyle w:val="Note"/>
              <w:framePr w:wrap="around" w:hAnchor="text"/>
              <w:rPr>
                <w:sz w:val="10"/>
                <w:szCs w:val="10"/>
              </w:rPr>
            </w:pPr>
            <w:proofErr w:type="spellStart"/>
            <w:r w:rsidRPr="000905BE">
              <w:rPr>
                <w:color w:val="FF0000"/>
                <w:sz w:val="10"/>
                <w:szCs w:val="10"/>
              </w:rPr>
              <w:t>Red</w:t>
            </w:r>
            <w:r w:rsidR="003A7686">
              <w:rPr>
                <w:color w:val="FF0000"/>
                <w:sz w:val="10"/>
                <w:szCs w:val="10"/>
              </w:rPr>
              <w:t>Red</w:t>
            </w:r>
            <w:proofErr w:type="spellEnd"/>
          </w:p>
        </w:tc>
        <w:tc>
          <w:tcPr>
            <w:tcW w:w="6915" w:type="dxa"/>
            <w:tcBorders>
              <w:top w:val="nil"/>
              <w:left w:val="single" w:sz="2" w:space="0" w:color="808080"/>
              <w:bottom w:val="nil"/>
              <w:right w:val="nil"/>
            </w:tcBorders>
            <w:shd w:val="clear" w:color="auto" w:fill="auto"/>
            <w:vAlign w:val="center"/>
          </w:tcPr>
          <w:p w:rsidR="006E771D" w:rsidRPr="006D2818" w:rsidRDefault="006E771D" w:rsidP="00481B8E">
            <w:pPr>
              <w:pStyle w:val="Note"/>
              <w:framePr w:wrap="around" w:hAnchor="text"/>
              <w:spacing w:before="0"/>
            </w:pPr>
            <w:r w:rsidRPr="006D2818">
              <w:t>The objective is unlikely to be achieved within the timeframe of the strategy</w:t>
            </w:r>
            <w:r w:rsidR="00266448" w:rsidRPr="006D2818">
              <w:t>.</w:t>
            </w:r>
          </w:p>
        </w:tc>
      </w:tr>
    </w:tbl>
    <w:p w:rsidR="00011299" w:rsidRPr="00011299" w:rsidRDefault="00011299" w:rsidP="00A34F32">
      <w:pPr>
        <w:pStyle w:val="H2A"/>
      </w:pPr>
      <w:bookmarkStart w:id="28" w:name="_Toc234747054"/>
      <w:bookmarkStart w:id="29" w:name="_Toc234747107"/>
      <w:bookmarkStart w:id="30" w:name="_Toc234751216"/>
      <w:bookmarkStart w:id="31" w:name="_Toc234829249"/>
      <w:bookmarkStart w:id="32" w:name="_Toc235513555"/>
      <w:bookmarkStart w:id="33" w:name="_Toc235526500"/>
      <w:bookmarkStart w:id="34" w:name="_Toc236106768"/>
      <w:bookmarkStart w:id="35" w:name="_Toc236106891"/>
      <w:bookmarkStart w:id="36" w:name="_Toc237763893"/>
      <w:bookmarkStart w:id="37" w:name="_Toc361224337"/>
      <w:r w:rsidRPr="00011299">
        <w:t>Major results</w:t>
      </w:r>
      <w:bookmarkEnd w:id="28"/>
      <w:bookmarkEnd w:id="29"/>
      <w:bookmarkEnd w:id="30"/>
      <w:bookmarkEnd w:id="31"/>
      <w:bookmarkEnd w:id="32"/>
      <w:bookmarkEnd w:id="33"/>
      <w:bookmarkEnd w:id="34"/>
      <w:bookmarkEnd w:id="35"/>
      <w:bookmarkEnd w:id="36"/>
      <w:bookmarkEnd w:id="37"/>
    </w:p>
    <w:p w:rsidR="00011299" w:rsidRPr="00011299" w:rsidRDefault="00011299" w:rsidP="00991F19">
      <w:pPr>
        <w:pStyle w:val="BodyText"/>
      </w:pPr>
      <w:r w:rsidRPr="00011299">
        <w:t xml:space="preserve">In 2008, </w:t>
      </w:r>
      <w:smartTag w:uri="urn:schemas-microsoft-com:office:smarttags" w:element="place">
        <w:smartTag w:uri="urn:schemas-microsoft-com:office:smarttags" w:element="country-region">
          <w:r w:rsidRPr="00011299">
            <w:t>Australia</w:t>
          </w:r>
        </w:smartTag>
      </w:smartTag>
      <w:r w:rsidRPr="00011299">
        <w:t>’s aid to PNG was repositioned through the negotiation of the Partnership for Development</w:t>
      </w:r>
      <w:r w:rsidR="00886C6D">
        <w:t xml:space="preserve"> between the Government of Australia and the Government of Papua New Guinea</w:t>
      </w:r>
      <w:r w:rsidRPr="00011299">
        <w:t>.</w:t>
      </w:r>
      <w:r w:rsidR="006F7C08">
        <w:t xml:space="preserve"> </w:t>
      </w:r>
      <w:r w:rsidRPr="00011299">
        <w:t xml:space="preserve">The </w:t>
      </w:r>
      <w:r w:rsidR="00886C6D" w:rsidRPr="00011299">
        <w:t xml:space="preserve">partnership </w:t>
      </w:r>
      <w:r w:rsidRPr="00011299">
        <w:t xml:space="preserve">sharpens the focus of the aid program by placing development results at the centre of the aid relationship and reinforcing the critical importance of </w:t>
      </w:r>
      <w:r w:rsidR="00481B8E">
        <w:t xml:space="preserve">mobilising </w:t>
      </w:r>
      <w:r w:rsidRPr="00011299">
        <w:t xml:space="preserve">all </w:t>
      </w:r>
      <w:r w:rsidR="00B32260">
        <w:t xml:space="preserve">of </w:t>
      </w:r>
      <w:r w:rsidRPr="00011299">
        <w:t>PNG’s resources to</w:t>
      </w:r>
      <w:r w:rsidR="006D2818">
        <w:t xml:space="preserve"> meet</w:t>
      </w:r>
      <w:r w:rsidRPr="00011299">
        <w:t xml:space="preserve"> </w:t>
      </w:r>
      <w:r w:rsidR="00481B8E">
        <w:t xml:space="preserve">the </w:t>
      </w:r>
      <w:r w:rsidRPr="00011299">
        <w:t>MDG targets.</w:t>
      </w:r>
      <w:r w:rsidR="006F7C08">
        <w:t xml:space="preserve"> </w:t>
      </w:r>
      <w:r w:rsidRPr="00011299">
        <w:t xml:space="preserve">Under the </w:t>
      </w:r>
      <w:r w:rsidR="00886C6D" w:rsidRPr="00011299">
        <w:t>partnership</w:t>
      </w:r>
      <w:r w:rsidRPr="00011299">
        <w:t xml:space="preserve">, </w:t>
      </w:r>
      <w:smartTag w:uri="urn:schemas-microsoft-com:office:smarttags" w:element="place">
        <w:smartTag w:uri="urn:schemas-microsoft-com:office:smarttags" w:element="country-region">
          <w:r w:rsidRPr="00011299">
            <w:t>Australia</w:t>
          </w:r>
        </w:smartTag>
      </w:smartTag>
      <w:r w:rsidRPr="00011299">
        <w:t xml:space="preserve">’s support </w:t>
      </w:r>
      <w:r w:rsidR="00481B8E">
        <w:t>for</w:t>
      </w:r>
      <w:r w:rsidR="00481B8E" w:rsidRPr="00011299">
        <w:t xml:space="preserve"> </w:t>
      </w:r>
      <w:r w:rsidRPr="00011299">
        <w:t xml:space="preserve">basic service delivery will be increased. </w:t>
      </w:r>
      <w:r w:rsidR="006D2818">
        <w:t>The j</w:t>
      </w:r>
      <w:r w:rsidRPr="00011299">
        <w:t xml:space="preserve">oint targets </w:t>
      </w:r>
      <w:r w:rsidR="006D2818">
        <w:t xml:space="preserve">for service delivery </w:t>
      </w:r>
      <w:r w:rsidRPr="00011299">
        <w:t xml:space="preserve">will be measurable, costed </w:t>
      </w:r>
      <w:r w:rsidR="006F7C08">
        <w:t>and clearly linked to the MDGs.</w:t>
      </w:r>
    </w:p>
    <w:p w:rsidR="00011299" w:rsidRPr="00011299" w:rsidRDefault="00011299" w:rsidP="00991F19">
      <w:pPr>
        <w:pStyle w:val="BodyText"/>
      </w:pPr>
      <w:smartTag w:uri="urn:schemas-microsoft-com:office:smarttags" w:element="place">
        <w:smartTag w:uri="urn:schemas-microsoft-com:office:smarttags" w:element="country-region">
          <w:r w:rsidRPr="00011299">
            <w:t>Australia</w:t>
          </w:r>
        </w:smartTag>
      </w:smartTag>
      <w:r w:rsidRPr="00011299">
        <w:t xml:space="preserve">’s longstanding technical assistance to the National Economic and Fiscal Commission delivered significant achievements in 2008. The </w:t>
      </w:r>
      <w:r w:rsidR="00BF3E68">
        <w:t>commission’s</w:t>
      </w:r>
      <w:r w:rsidRPr="00011299">
        <w:t xml:space="preserve"> work with Treasury to reform the intergovernmental financing system paid off, with the new system brought into effect through </w:t>
      </w:r>
      <w:r w:rsidR="00481B8E" w:rsidRPr="00011299">
        <w:t xml:space="preserve">constitutional </w:t>
      </w:r>
      <w:r w:rsidRPr="00011299">
        <w:t xml:space="preserve">and </w:t>
      </w:r>
      <w:r w:rsidR="00481B8E" w:rsidRPr="00011299">
        <w:t xml:space="preserve">legislative </w:t>
      </w:r>
      <w:r w:rsidRPr="00011299">
        <w:t xml:space="preserve">changes. The new system directs national government revenues to provinces for </w:t>
      </w:r>
      <w:r w:rsidR="006A26FD">
        <w:t xml:space="preserve">their </w:t>
      </w:r>
      <w:r w:rsidRPr="00011299">
        <w:t>service delivery functions in health, education, infrastructure, rural development and village courts</w:t>
      </w:r>
      <w:r w:rsidR="00AA6DD3">
        <w:t>. It does this</w:t>
      </w:r>
      <w:r w:rsidRPr="00011299">
        <w:t xml:space="preserve"> in a way that takes into account the cost of </w:t>
      </w:r>
      <w:r w:rsidRPr="00011299">
        <w:lastRenderedPageBreak/>
        <w:t xml:space="preserve">delivering those services in each province and the other revenues available to </w:t>
      </w:r>
      <w:r w:rsidR="00481B8E">
        <w:t>each</w:t>
      </w:r>
      <w:r w:rsidR="00481B8E" w:rsidRPr="00011299">
        <w:t xml:space="preserve"> </w:t>
      </w:r>
      <w:r w:rsidRPr="00011299">
        <w:t>province. It</w:t>
      </w:r>
      <w:r w:rsidR="00582734">
        <w:t xml:space="preserve"> </w:t>
      </w:r>
      <w:r w:rsidRPr="00011299">
        <w:t xml:space="preserve">is a more equitable system that will increase </w:t>
      </w:r>
      <w:r w:rsidR="00481B8E">
        <w:t>the</w:t>
      </w:r>
      <w:r w:rsidRPr="00011299">
        <w:t xml:space="preserve"> </w:t>
      </w:r>
      <w:r w:rsidR="00481B8E">
        <w:t>total</w:t>
      </w:r>
      <w:r w:rsidR="00481B8E" w:rsidRPr="00011299">
        <w:t xml:space="preserve"> </w:t>
      </w:r>
      <w:r w:rsidRPr="00011299">
        <w:t xml:space="preserve">revenue flowing to provinces for service delivery functions. This highlights the benefits of targeting governance assistance on activities </w:t>
      </w:r>
      <w:r w:rsidR="00481B8E">
        <w:t>that</w:t>
      </w:r>
      <w:r w:rsidR="00481B8E" w:rsidRPr="00011299">
        <w:t xml:space="preserve"> </w:t>
      </w:r>
      <w:r w:rsidRPr="00011299">
        <w:t xml:space="preserve">have the potential to have a </w:t>
      </w:r>
      <w:r w:rsidR="00481B8E">
        <w:t>large</w:t>
      </w:r>
      <w:r w:rsidR="00481B8E" w:rsidRPr="00011299">
        <w:t xml:space="preserve"> </w:t>
      </w:r>
      <w:r w:rsidRPr="00011299">
        <w:t xml:space="preserve">impact on service delivery. </w:t>
      </w:r>
    </w:p>
    <w:p w:rsidR="00AD289F" w:rsidRDefault="00011299" w:rsidP="00991F19">
      <w:pPr>
        <w:pStyle w:val="BodyText"/>
      </w:pPr>
      <w:r w:rsidRPr="00011299">
        <w:t>Compared with 2007, more promising developments were made in strengthening</w:t>
      </w:r>
      <w:r w:rsidR="00AD289F">
        <w:t xml:space="preserve"> the management of the</w:t>
      </w:r>
      <w:r w:rsidRPr="00011299">
        <w:t xml:space="preserve"> health sector at the national level. These included: </w:t>
      </w:r>
    </w:p>
    <w:p w:rsidR="00AD289F" w:rsidRDefault="00AD289F" w:rsidP="00991F19">
      <w:pPr>
        <w:pStyle w:val="ListBullet"/>
      </w:pPr>
      <w:r>
        <w:t xml:space="preserve">making </w:t>
      </w:r>
      <w:r w:rsidR="00011299" w:rsidRPr="00011299">
        <w:t>reforms to the intergovernmental financing arrangements, which from 2009 will make increased funds available to provinces for</w:t>
      </w:r>
      <w:r w:rsidR="006A26FD">
        <w:t xml:space="preserve"> the</w:t>
      </w:r>
      <w:r w:rsidR="00011299" w:rsidRPr="00011299">
        <w:t xml:space="preserve"> operational costs of </w:t>
      </w:r>
      <w:r>
        <w:t xml:space="preserve">delivering </w:t>
      </w:r>
      <w:r w:rsidR="00011299" w:rsidRPr="00011299">
        <w:t>health</w:t>
      </w:r>
      <w:r w:rsidR="00B32260">
        <w:t> </w:t>
      </w:r>
      <w:r w:rsidR="00011299" w:rsidRPr="00011299">
        <w:t>service</w:t>
      </w:r>
      <w:r>
        <w:t>s</w:t>
      </w:r>
    </w:p>
    <w:p w:rsidR="00AD289F" w:rsidRDefault="00AD289F" w:rsidP="00991F19">
      <w:pPr>
        <w:pStyle w:val="ListBullet"/>
      </w:pPr>
      <w:r>
        <w:t xml:space="preserve">injecting </w:t>
      </w:r>
      <w:r w:rsidR="00011299" w:rsidRPr="00011299">
        <w:t xml:space="preserve">a new sense of purpose and leadership </w:t>
      </w:r>
      <w:r>
        <w:t>in</w:t>
      </w:r>
      <w:r w:rsidR="006A26FD">
        <w:t>to</w:t>
      </w:r>
      <w:r w:rsidRPr="00011299">
        <w:t xml:space="preserve"> </w:t>
      </w:r>
      <w:r w:rsidR="00011299" w:rsidRPr="00011299">
        <w:t xml:space="preserve">the </w:t>
      </w:r>
      <w:r w:rsidR="002F62C2">
        <w:t>National Department of Health</w:t>
      </w:r>
      <w:r w:rsidR="00011299" w:rsidRPr="00011299">
        <w:t xml:space="preserve">, which produced </w:t>
      </w:r>
      <w:r w:rsidRPr="00011299">
        <w:t xml:space="preserve">for the first time </w:t>
      </w:r>
      <w:r w:rsidR="00011299" w:rsidRPr="00011299">
        <w:t xml:space="preserve">a corporate plan (with Australian assistance) </w:t>
      </w:r>
      <w:r>
        <w:t xml:space="preserve">that </w:t>
      </w:r>
      <w:r w:rsidR="00011299" w:rsidRPr="00011299">
        <w:t>focus</w:t>
      </w:r>
      <w:r>
        <w:t>es</w:t>
      </w:r>
      <w:r w:rsidR="00011299" w:rsidRPr="00011299">
        <w:t xml:space="preserve"> on its core responsibilities within the decentralised system</w:t>
      </w:r>
    </w:p>
    <w:p w:rsidR="00AD289F" w:rsidRDefault="00011299" w:rsidP="00991F19">
      <w:pPr>
        <w:pStyle w:val="ListBullet"/>
      </w:pPr>
      <w:r w:rsidRPr="00011299">
        <w:t>roll</w:t>
      </w:r>
      <w:r w:rsidR="00AD289F">
        <w:t xml:space="preserve">ing </w:t>
      </w:r>
      <w:r w:rsidRPr="00011299">
        <w:t xml:space="preserve">out the Provincial Health Authorities Act to streamline </w:t>
      </w:r>
      <w:r w:rsidR="00AD289F">
        <w:t xml:space="preserve">the </w:t>
      </w:r>
      <w:r w:rsidRPr="00011299">
        <w:t>management of provincial health services under one board (with assistance from the Australian Capacity Building Service Centre)</w:t>
      </w:r>
    </w:p>
    <w:p w:rsidR="00AD289F" w:rsidRDefault="00011299" w:rsidP="00991F19">
      <w:pPr>
        <w:pStyle w:val="ListBullet"/>
      </w:pPr>
      <w:r w:rsidRPr="00011299">
        <w:t>establish</w:t>
      </w:r>
      <w:r w:rsidR="00AD289F">
        <w:t>ing</w:t>
      </w:r>
      <w:r w:rsidRPr="00011299">
        <w:t xml:space="preserve"> a health sector steering committee, designed to bring senior whole-of-government oversight to the </w:t>
      </w:r>
      <w:r w:rsidR="00BF3E68">
        <w:t>sector-</w:t>
      </w:r>
      <w:r w:rsidR="00BF3E68" w:rsidRPr="00011299">
        <w:t>wide approach</w:t>
      </w:r>
      <w:r w:rsidRPr="00011299">
        <w:t xml:space="preserve"> </w:t>
      </w:r>
      <w:r w:rsidR="00AD289F">
        <w:t>(</w:t>
      </w:r>
      <w:r w:rsidRPr="00011299">
        <w:t xml:space="preserve">There is now a greater understanding that under-funding rural health services is the core cause of the breakdown in service delivery and </w:t>
      </w:r>
      <w:r w:rsidR="00AD289F">
        <w:t xml:space="preserve">there is </w:t>
      </w:r>
      <w:r w:rsidRPr="00011299">
        <w:t xml:space="preserve">recognition of the need to align health sector funding with </w:t>
      </w:r>
      <w:r w:rsidR="007F26AF">
        <w:t>sub</w:t>
      </w:r>
      <w:r w:rsidRPr="00011299">
        <w:t>national responsibilities.</w:t>
      </w:r>
      <w:r w:rsidR="00AD289F">
        <w:t>)</w:t>
      </w:r>
    </w:p>
    <w:p w:rsidR="00011299" w:rsidRPr="00011299" w:rsidRDefault="00AD289F" w:rsidP="00991F19">
      <w:pPr>
        <w:pStyle w:val="ListBullet"/>
      </w:pPr>
      <w:r>
        <w:t>i</w:t>
      </w:r>
      <w:r w:rsidR="00011299" w:rsidRPr="00011299">
        <w:t>ncreas</w:t>
      </w:r>
      <w:r>
        <w:t>ing</w:t>
      </w:r>
      <w:r w:rsidR="00011299" w:rsidRPr="00011299">
        <w:t xml:space="preserve"> </w:t>
      </w:r>
      <w:r>
        <w:t xml:space="preserve">the </w:t>
      </w:r>
      <w:r w:rsidR="00011299" w:rsidRPr="00011299">
        <w:t xml:space="preserve">immunisation coverage and </w:t>
      </w:r>
      <w:r>
        <w:t xml:space="preserve">achieving </w:t>
      </w:r>
      <w:r w:rsidR="00011299" w:rsidRPr="00011299">
        <w:t>disease</w:t>
      </w:r>
      <w:r>
        <w:t>-</w:t>
      </w:r>
      <w:r w:rsidR="00011299" w:rsidRPr="00011299">
        <w:t>specific successes in malaria and tuberculosis.</w:t>
      </w:r>
    </w:p>
    <w:p w:rsidR="00011299" w:rsidRPr="00011299" w:rsidRDefault="00011299" w:rsidP="00991F19">
      <w:pPr>
        <w:pStyle w:val="BodyText"/>
      </w:pPr>
      <w:r w:rsidRPr="00011299">
        <w:t xml:space="preserve">The education and transport programs continued to make steady progress </w:t>
      </w:r>
      <w:r w:rsidR="00AD289F">
        <w:t xml:space="preserve">in </w:t>
      </w:r>
      <w:r w:rsidRPr="00011299">
        <w:t xml:space="preserve">supporting the development of key </w:t>
      </w:r>
      <w:r w:rsidR="00F96968">
        <w:t>government</w:t>
      </w:r>
      <w:r w:rsidR="006F7C08">
        <w:t xml:space="preserve"> </w:t>
      </w:r>
      <w:r w:rsidRPr="00011299">
        <w:t>sector</w:t>
      </w:r>
      <w:r w:rsidR="00F96968">
        <w:t>al</w:t>
      </w:r>
      <w:r w:rsidRPr="00011299">
        <w:t xml:space="preserve"> strategies. Australian assistance maintained priority roads (965</w:t>
      </w:r>
      <w:r w:rsidR="00F96968">
        <w:t> </w:t>
      </w:r>
      <w:r w:rsidRPr="00011299">
        <w:t>k</w:t>
      </w:r>
      <w:r w:rsidR="00F96968">
        <w:t>ilo</w:t>
      </w:r>
      <w:r w:rsidRPr="00011299">
        <w:t>m</w:t>
      </w:r>
      <w:r w:rsidR="00F96968">
        <w:t>etres</w:t>
      </w:r>
      <w:r w:rsidRPr="00011299">
        <w:t xml:space="preserve">) and improved </w:t>
      </w:r>
      <w:r w:rsidR="009D356B">
        <w:t>the</w:t>
      </w:r>
      <w:r w:rsidR="009D356B" w:rsidRPr="00011299">
        <w:t xml:space="preserve"> </w:t>
      </w:r>
      <w:r w:rsidRPr="00011299">
        <w:t xml:space="preserve">infrastructure </w:t>
      </w:r>
      <w:r w:rsidR="009D356B">
        <w:t>of schools (</w:t>
      </w:r>
      <w:r w:rsidRPr="00011299">
        <w:t>2677). The HIV and AIDS program continued to support the expansion of voluntary counselling and testing services through non-state actors and treatment in PNG through the health sector</w:t>
      </w:r>
      <w:r w:rsidR="00AA6DD3">
        <w:t xml:space="preserve">. The </w:t>
      </w:r>
      <w:r w:rsidR="00AA6DD3" w:rsidRPr="00011299">
        <w:t xml:space="preserve">number of people accessing </w:t>
      </w:r>
      <w:r w:rsidR="00AA6DD3">
        <w:t>voluntary counselling and testing</w:t>
      </w:r>
      <w:r w:rsidR="00AA6DD3" w:rsidRPr="00011299">
        <w:t xml:space="preserve"> sites increased by 48</w:t>
      </w:r>
      <w:r w:rsidR="00AA6DD3">
        <w:t> per cent</w:t>
      </w:r>
      <w:r w:rsidR="00AA6DD3" w:rsidRPr="00011299">
        <w:t xml:space="preserve"> </w:t>
      </w:r>
      <w:r w:rsidR="00AA6DD3">
        <w:t>and</w:t>
      </w:r>
      <w:r w:rsidRPr="00011299">
        <w:t xml:space="preserve"> </w:t>
      </w:r>
      <w:r w:rsidR="009D356B">
        <w:t xml:space="preserve">the </w:t>
      </w:r>
      <w:r w:rsidRPr="00011299">
        <w:t>number of people accessing treatment increased by 35</w:t>
      </w:r>
      <w:r w:rsidR="001B735E">
        <w:t> per cent</w:t>
      </w:r>
      <w:r w:rsidRPr="00011299">
        <w:t>.</w:t>
      </w:r>
    </w:p>
    <w:p w:rsidR="00011299" w:rsidRPr="00011299" w:rsidRDefault="00011299" w:rsidP="00991F19">
      <w:pPr>
        <w:pStyle w:val="BodyText"/>
      </w:pPr>
      <w:r w:rsidRPr="00011299">
        <w:t xml:space="preserve">The design of the </w:t>
      </w:r>
      <w:proofErr w:type="spellStart"/>
      <w:r w:rsidRPr="00011299">
        <w:t>Strongim</w:t>
      </w:r>
      <w:proofErr w:type="spellEnd"/>
      <w:r w:rsidRPr="00011299">
        <w:t xml:space="preserve"> </w:t>
      </w:r>
      <w:proofErr w:type="spellStart"/>
      <w:r w:rsidRPr="00011299">
        <w:t>Gavman</w:t>
      </w:r>
      <w:proofErr w:type="spellEnd"/>
      <w:r w:rsidRPr="00011299">
        <w:t xml:space="preserve"> Program, </w:t>
      </w:r>
      <w:r w:rsidR="009D356B">
        <w:t xml:space="preserve">which </w:t>
      </w:r>
      <w:r w:rsidRPr="00011299">
        <w:t>replac</w:t>
      </w:r>
      <w:r w:rsidR="009D356B">
        <w:t>ed</w:t>
      </w:r>
      <w:r w:rsidRPr="00011299">
        <w:t xml:space="preserve"> the Enhanced Cooperation Program, </w:t>
      </w:r>
      <w:r w:rsidR="00AA6DD3">
        <w:t>is the result of</w:t>
      </w:r>
      <w:r w:rsidRPr="00011299">
        <w:t xml:space="preserve"> close cooperation and consultation between Australian and PNG agencies. It strengthened the program’s </w:t>
      </w:r>
      <w:r w:rsidRPr="00DA2497">
        <w:t>focus on long</w:t>
      </w:r>
      <w:r w:rsidR="00DA2497">
        <w:t>-</w:t>
      </w:r>
      <w:r w:rsidRPr="00011299">
        <w:t>term capacity building</w:t>
      </w:r>
      <w:r w:rsidR="00DA2497">
        <w:t xml:space="preserve"> in the </w:t>
      </w:r>
      <w:r w:rsidR="00DA2497" w:rsidRPr="00011299">
        <w:t>public sector</w:t>
      </w:r>
      <w:r w:rsidRPr="00011299">
        <w:t xml:space="preserve"> through partnerships</w:t>
      </w:r>
      <w:r w:rsidR="00DA2497">
        <w:t>,</w:t>
      </w:r>
      <w:r w:rsidRPr="00011299">
        <w:t xml:space="preserve"> </w:t>
      </w:r>
      <w:r w:rsidR="00DA2497">
        <w:t xml:space="preserve">its </w:t>
      </w:r>
      <w:r w:rsidRPr="00011299">
        <w:t>integration with the broader aid program and PNG systems</w:t>
      </w:r>
      <w:r w:rsidR="00DA2497">
        <w:t>,</w:t>
      </w:r>
      <w:r w:rsidRPr="00011299">
        <w:t xml:space="preserve"> and PNG’s ownership of the program.</w:t>
      </w:r>
    </w:p>
    <w:p w:rsidR="00011299" w:rsidRPr="00011299" w:rsidRDefault="00011299" w:rsidP="00A34F32">
      <w:pPr>
        <w:pStyle w:val="H2A"/>
      </w:pPr>
      <w:bookmarkStart w:id="38" w:name="_Toc234747055"/>
      <w:bookmarkStart w:id="39" w:name="_Toc234747108"/>
      <w:bookmarkStart w:id="40" w:name="_Toc234751217"/>
      <w:bookmarkStart w:id="41" w:name="_Toc234829250"/>
      <w:bookmarkStart w:id="42" w:name="_Toc235513556"/>
      <w:bookmarkStart w:id="43" w:name="_Toc235526501"/>
      <w:bookmarkStart w:id="44" w:name="_Toc236106769"/>
      <w:bookmarkStart w:id="45" w:name="_Toc236106892"/>
      <w:bookmarkStart w:id="46" w:name="_Toc237763894"/>
      <w:bookmarkStart w:id="47" w:name="_Toc361224338"/>
      <w:r w:rsidRPr="00011299">
        <w:t>Major challenges</w:t>
      </w:r>
      <w:bookmarkEnd w:id="38"/>
      <w:bookmarkEnd w:id="39"/>
      <w:bookmarkEnd w:id="40"/>
      <w:bookmarkEnd w:id="41"/>
      <w:bookmarkEnd w:id="42"/>
      <w:bookmarkEnd w:id="43"/>
      <w:bookmarkEnd w:id="44"/>
      <w:bookmarkEnd w:id="45"/>
      <w:bookmarkEnd w:id="46"/>
      <w:bookmarkEnd w:id="47"/>
    </w:p>
    <w:p w:rsidR="00011299" w:rsidRPr="00011299" w:rsidRDefault="00011299" w:rsidP="00991F19">
      <w:pPr>
        <w:pStyle w:val="BodyText"/>
      </w:pPr>
      <w:r w:rsidRPr="00011299">
        <w:t>Overall</w:t>
      </w:r>
      <w:r w:rsidR="00DA2497">
        <w:t>,</w:t>
      </w:r>
      <w:r w:rsidRPr="00011299">
        <w:t xml:space="preserve"> </w:t>
      </w:r>
      <w:r w:rsidR="00DA2497">
        <w:t>2008</w:t>
      </w:r>
      <w:r w:rsidR="00DA2497" w:rsidRPr="00011299">
        <w:t xml:space="preserve"> </w:t>
      </w:r>
      <w:r w:rsidRPr="00011299">
        <w:t xml:space="preserve">was a challenging year for </w:t>
      </w:r>
      <w:r w:rsidR="004A5ECE">
        <w:t xml:space="preserve">the </w:t>
      </w:r>
      <w:r w:rsidR="00DA2497">
        <w:t>PNG</w:t>
      </w:r>
      <w:r w:rsidR="00DA2497" w:rsidRPr="00011299">
        <w:t xml:space="preserve"> </w:t>
      </w:r>
      <w:r w:rsidRPr="00011299">
        <w:t xml:space="preserve">aid program. </w:t>
      </w:r>
      <w:r w:rsidR="004A5ECE">
        <w:t>T</w:t>
      </w:r>
      <w:r w:rsidR="00983FFB">
        <w:t>he</w:t>
      </w:r>
      <w:r w:rsidR="00983FFB" w:rsidRPr="00011299">
        <w:t xml:space="preserve"> </w:t>
      </w:r>
      <w:r w:rsidRPr="00011299">
        <w:t xml:space="preserve">flagship </w:t>
      </w:r>
      <w:r w:rsidR="00983FFB">
        <w:t>monitoring</w:t>
      </w:r>
      <w:r w:rsidR="009A5BD6">
        <w:t>,</w:t>
      </w:r>
      <w:r w:rsidR="00983FFB">
        <w:t xml:space="preserve"> evaluation </w:t>
      </w:r>
      <w:r w:rsidR="009A5BD6">
        <w:t xml:space="preserve">and dialogue </w:t>
      </w:r>
      <w:r w:rsidR="00983FFB">
        <w:t xml:space="preserve">mechanism </w:t>
      </w:r>
      <w:r w:rsidRPr="00011299">
        <w:t xml:space="preserve">of the </w:t>
      </w:r>
      <w:r w:rsidR="002679F0">
        <w:t>Development Cooperation</w:t>
      </w:r>
      <w:r w:rsidR="002679F0" w:rsidRPr="00AB44FB">
        <w:t xml:space="preserve"> </w:t>
      </w:r>
      <w:r w:rsidR="002679F0" w:rsidRPr="00011299">
        <w:t>Strategy</w:t>
      </w:r>
      <w:r w:rsidR="004A5ECE">
        <w:t>—</w:t>
      </w:r>
      <w:r w:rsidR="004A5ECE" w:rsidRPr="00011299">
        <w:t>Performance Review and Dialogue</w:t>
      </w:r>
      <w:r w:rsidR="004A5ECE">
        <w:t>—</w:t>
      </w:r>
      <w:r w:rsidRPr="00011299">
        <w:t xml:space="preserve">ceased in 2008 </w:t>
      </w:r>
      <w:r w:rsidR="00F7768F">
        <w:t>because</w:t>
      </w:r>
      <w:r w:rsidR="00F7768F" w:rsidRPr="00011299">
        <w:t xml:space="preserve"> </w:t>
      </w:r>
      <w:r w:rsidRPr="00011299">
        <w:t xml:space="preserve">triggers for performance payments could not be agreed. This </w:t>
      </w:r>
      <w:r w:rsidR="002A73D4">
        <w:t>reduced</w:t>
      </w:r>
      <w:r w:rsidR="002A73D4" w:rsidRPr="00011299">
        <w:t xml:space="preserve"> </w:t>
      </w:r>
      <w:r w:rsidRPr="00011299">
        <w:t xml:space="preserve">opportunities to engage with </w:t>
      </w:r>
      <w:smartTag w:uri="urn:schemas-microsoft-com:office:smarttags" w:element="place">
        <w:smartTag w:uri="urn:schemas-microsoft-com:office:smarttags" w:element="country-region">
          <w:r w:rsidRPr="00011299">
            <w:t>Australia</w:t>
          </w:r>
        </w:smartTag>
      </w:smartTag>
      <w:r w:rsidRPr="00011299">
        <w:t xml:space="preserve">’s key counterpart for aid, the Department of National Planning and Monitoring, on strategic policy and governance issues. The decision by </w:t>
      </w:r>
      <w:r w:rsidR="0049163F">
        <w:t>the department</w:t>
      </w:r>
      <w:r w:rsidRPr="00011299">
        <w:t xml:space="preserve"> not to continue with the placement of a co-located </w:t>
      </w:r>
      <w:proofErr w:type="spellStart"/>
      <w:r w:rsidRPr="00011299">
        <w:t>AusAID</w:t>
      </w:r>
      <w:proofErr w:type="spellEnd"/>
      <w:r w:rsidRPr="00011299">
        <w:t xml:space="preserve"> officer also undermined the prospects for collaboration.</w:t>
      </w:r>
    </w:p>
    <w:p w:rsidR="00011299" w:rsidRPr="00011299" w:rsidRDefault="00011299" w:rsidP="00991F19">
      <w:pPr>
        <w:pStyle w:val="BodyText"/>
      </w:pPr>
      <w:r w:rsidRPr="00011299">
        <w:t xml:space="preserve">While </w:t>
      </w:r>
      <w:smartTag w:uri="urn:schemas-microsoft-com:office:smarttags" w:element="place">
        <w:smartTag w:uri="urn:schemas-microsoft-com:office:smarttags" w:element="country-region">
          <w:r w:rsidR="009A5BD6">
            <w:t>Australia</w:t>
          </w:r>
        </w:smartTag>
      </w:smartTag>
      <w:r w:rsidR="009A5BD6">
        <w:t>’s</w:t>
      </w:r>
      <w:r w:rsidR="009A5BD6" w:rsidRPr="00011299">
        <w:t xml:space="preserve"> </w:t>
      </w:r>
      <w:r w:rsidRPr="00011299">
        <w:t xml:space="preserve">support for strengthening </w:t>
      </w:r>
      <w:r w:rsidR="002A73D4">
        <w:t xml:space="preserve">the </w:t>
      </w:r>
      <w:r w:rsidR="002A73D4" w:rsidRPr="00011299">
        <w:t xml:space="preserve">public service </w:t>
      </w:r>
      <w:r w:rsidRPr="00011299">
        <w:t xml:space="preserve">made some incremental improvements in some agencies, key </w:t>
      </w:r>
      <w:r w:rsidR="00A525FD">
        <w:t xml:space="preserve">processes for reforming the </w:t>
      </w:r>
      <w:r w:rsidRPr="00011299">
        <w:t xml:space="preserve">public sector stalled in 2008. </w:t>
      </w:r>
      <w:r w:rsidRPr="00011299">
        <w:lastRenderedPageBreak/>
        <w:t>Th</w:t>
      </w:r>
      <w:r w:rsidR="002A73D4">
        <w:t>ese</w:t>
      </w:r>
      <w:r w:rsidRPr="00011299">
        <w:t xml:space="preserve"> included the development of the public sector reform plan and the work of </w:t>
      </w:r>
      <w:r w:rsidR="002A73D4">
        <w:t xml:space="preserve">the implementation committee of </w:t>
      </w:r>
      <w:r w:rsidRPr="00011299">
        <w:t xml:space="preserve">the </w:t>
      </w:r>
      <w:r w:rsidR="00901B7C" w:rsidRPr="00901B7C">
        <w:t>Public Expenditure Review and Rationalization Programme (PERR)</w:t>
      </w:r>
      <w:r w:rsidRPr="00011299">
        <w:t>. The former has been attributed to senior</w:t>
      </w:r>
      <w:r w:rsidR="002A73D4">
        <w:t>-</w:t>
      </w:r>
      <w:r w:rsidRPr="00011299">
        <w:t>level instability in central agencies and the weakening of central structures</w:t>
      </w:r>
      <w:r w:rsidR="002A73D4">
        <w:t xml:space="preserve"> for coordinating policy</w:t>
      </w:r>
      <w:r w:rsidRPr="00011299">
        <w:t xml:space="preserve">. In the case of PERR, momentum was </w:t>
      </w:r>
      <w:r w:rsidR="002A73D4" w:rsidRPr="00011299">
        <w:t xml:space="preserve">lost </w:t>
      </w:r>
      <w:r w:rsidR="002A73D4">
        <w:t>when the</w:t>
      </w:r>
      <w:r w:rsidRPr="00011299">
        <w:t xml:space="preserve"> process among donors to refocus the PERR </w:t>
      </w:r>
      <w:r w:rsidR="002A73D4" w:rsidRPr="00011299">
        <w:t>stalled</w:t>
      </w:r>
      <w:r w:rsidRPr="00011299">
        <w:t>. An</w:t>
      </w:r>
      <w:r w:rsidR="00780746">
        <w:t>other</w:t>
      </w:r>
      <w:r w:rsidRPr="00011299">
        <w:t xml:space="preserve"> important </w:t>
      </w:r>
      <w:r w:rsidR="00780746">
        <w:t xml:space="preserve">reason for the lack of reform was the </w:t>
      </w:r>
      <w:r w:rsidR="00780746" w:rsidRPr="00011299">
        <w:t xml:space="preserve">anticipated benefits of </w:t>
      </w:r>
      <w:r w:rsidRPr="00011299">
        <w:t xml:space="preserve">the LNG project, </w:t>
      </w:r>
      <w:r w:rsidR="00780746">
        <w:t xml:space="preserve">which are expected to cause the </w:t>
      </w:r>
      <w:r w:rsidR="00F96968">
        <w:t>PNG Government</w:t>
      </w:r>
      <w:r w:rsidRPr="00011299">
        <w:t xml:space="preserve"> to be ev</w:t>
      </w:r>
      <w:r w:rsidR="00F96968">
        <w:t>en less focus</w:t>
      </w:r>
      <w:r w:rsidRPr="00011299">
        <w:t xml:space="preserve">ed on reform in 2009. Improvements in central agency coordination and a shared </w:t>
      </w:r>
      <w:r w:rsidR="00F96968">
        <w:t>government</w:t>
      </w:r>
      <w:r w:rsidRPr="00011299">
        <w:t xml:space="preserve"> vision for reform</w:t>
      </w:r>
      <w:r w:rsidR="00780746">
        <w:t>, together</w:t>
      </w:r>
      <w:r w:rsidRPr="00011299">
        <w:t xml:space="preserve"> with coordinated support from donors</w:t>
      </w:r>
      <w:r w:rsidR="00780746">
        <w:t>,</w:t>
      </w:r>
      <w:r w:rsidRPr="00011299">
        <w:t xml:space="preserve"> will be critical </w:t>
      </w:r>
      <w:r w:rsidR="00780746">
        <w:t>to</w:t>
      </w:r>
      <w:r w:rsidR="00780746" w:rsidRPr="00011299">
        <w:t xml:space="preserve"> </w:t>
      </w:r>
      <w:r w:rsidRPr="00011299">
        <w:t>progressing administrative reforms and governance more broadly.</w:t>
      </w:r>
    </w:p>
    <w:p w:rsidR="00011299" w:rsidRPr="00011299" w:rsidRDefault="00011299" w:rsidP="00991F19">
      <w:pPr>
        <w:pStyle w:val="BodyText"/>
      </w:pPr>
      <w:r w:rsidRPr="00011299">
        <w:t xml:space="preserve">The </w:t>
      </w:r>
      <w:r w:rsidR="00F96968" w:rsidRPr="00011299">
        <w:t xml:space="preserve">global recession </w:t>
      </w:r>
      <w:r w:rsidRPr="00011299">
        <w:t xml:space="preserve">has the potential to affect development outcomes directly due to declining government revenues. While </w:t>
      </w:r>
      <w:r w:rsidR="009A5BD6">
        <w:t xml:space="preserve">PNG’s </w:t>
      </w:r>
      <w:r w:rsidRPr="00011299">
        <w:t xml:space="preserve">broadly sound macroeconomic policy settings and accumulated savings give </w:t>
      </w:r>
      <w:r w:rsidR="009A5BD6">
        <w:t>it</w:t>
      </w:r>
      <w:r w:rsidR="009A5BD6" w:rsidRPr="00011299">
        <w:t xml:space="preserve"> </w:t>
      </w:r>
      <w:r w:rsidRPr="00011299">
        <w:t>some breathing space, a prolonged recession presents significant risks to the resources available for front</w:t>
      </w:r>
      <w:r w:rsidR="00C16D9C">
        <w:t>-</w:t>
      </w:r>
      <w:r w:rsidRPr="00011299">
        <w:t xml:space="preserve">line service delivery. </w:t>
      </w:r>
    </w:p>
    <w:p w:rsidR="00011299" w:rsidRPr="00011299" w:rsidRDefault="00901B7C" w:rsidP="00A34F32">
      <w:pPr>
        <w:pStyle w:val="H2A"/>
      </w:pPr>
      <w:bookmarkStart w:id="48" w:name="_Toc234747056"/>
      <w:bookmarkStart w:id="49" w:name="_Toc234747109"/>
      <w:bookmarkStart w:id="50" w:name="_Toc234751218"/>
      <w:bookmarkStart w:id="51" w:name="_Toc234829251"/>
      <w:bookmarkStart w:id="52" w:name="_Toc235513557"/>
      <w:bookmarkStart w:id="53" w:name="_Toc235526502"/>
      <w:bookmarkStart w:id="54" w:name="_Toc236106770"/>
      <w:bookmarkStart w:id="55" w:name="_Toc236106893"/>
      <w:bookmarkStart w:id="56" w:name="_Toc237763895"/>
      <w:bookmarkStart w:id="57" w:name="_Toc361224339"/>
      <w:r>
        <w:t>K</w:t>
      </w:r>
      <w:r w:rsidR="00011299" w:rsidRPr="00011299">
        <w:t>ey management consequences</w:t>
      </w:r>
      <w:bookmarkEnd w:id="48"/>
      <w:bookmarkEnd w:id="49"/>
      <w:bookmarkEnd w:id="50"/>
      <w:bookmarkEnd w:id="51"/>
      <w:bookmarkEnd w:id="52"/>
      <w:bookmarkEnd w:id="53"/>
      <w:bookmarkEnd w:id="54"/>
      <w:bookmarkEnd w:id="55"/>
      <w:bookmarkEnd w:id="56"/>
      <w:bookmarkEnd w:id="57"/>
    </w:p>
    <w:p w:rsidR="00011299" w:rsidRPr="00011299" w:rsidRDefault="00011299" w:rsidP="00991F19">
      <w:pPr>
        <w:pStyle w:val="BodyText"/>
      </w:pPr>
      <w:r w:rsidRPr="00011299">
        <w:t xml:space="preserve">The </w:t>
      </w:r>
      <w:r w:rsidR="00C822F8">
        <w:t xml:space="preserve">2009 </w:t>
      </w:r>
      <w:r w:rsidR="00C16D9C" w:rsidRPr="00011299">
        <w:t xml:space="preserve">review </w:t>
      </w:r>
      <w:r w:rsidRPr="00011299">
        <w:t xml:space="preserve">of the </w:t>
      </w:r>
      <w:r w:rsidR="00A056FB">
        <w:t xml:space="preserve">Treaty on </w:t>
      </w:r>
      <w:r w:rsidRPr="00011299">
        <w:t xml:space="preserve">Development Cooperation will provide the opportunity to examine how the aid program can best assist PNG in the longer term, especially </w:t>
      </w:r>
      <w:r w:rsidR="00C17125">
        <w:t xml:space="preserve">how </w:t>
      </w:r>
      <w:r w:rsidRPr="00011299">
        <w:t xml:space="preserve">to maximise the development gains from the LNG project. The review will revisit the central </w:t>
      </w:r>
      <w:r w:rsidR="007A6FA0">
        <w:t>pathway</w:t>
      </w:r>
      <w:r w:rsidR="007A6FA0" w:rsidRPr="00011299">
        <w:t xml:space="preserve"> </w:t>
      </w:r>
      <w:r w:rsidRPr="00011299">
        <w:t xml:space="preserve">of </w:t>
      </w:r>
      <w:r w:rsidR="009A5BD6">
        <w:t>the cooperation</w:t>
      </w:r>
      <w:r w:rsidRPr="00011299">
        <w:t xml:space="preserve"> strategy </w:t>
      </w:r>
      <w:r w:rsidR="007A6FA0">
        <w:t>(</w:t>
      </w:r>
      <w:r w:rsidRPr="00011299">
        <w:t xml:space="preserve">noted </w:t>
      </w:r>
      <w:r w:rsidR="007A6FA0">
        <w:t xml:space="preserve">previously), </w:t>
      </w:r>
      <w:r w:rsidRPr="00011299">
        <w:t>review the principles underpinning the aid program</w:t>
      </w:r>
      <w:r w:rsidR="007A6FA0">
        <w:t>,</w:t>
      </w:r>
      <w:r w:rsidRPr="00011299">
        <w:t xml:space="preserve"> and link future changes </w:t>
      </w:r>
      <w:r w:rsidR="00C17125">
        <w:t>in</w:t>
      </w:r>
      <w:r w:rsidR="007A6FA0">
        <w:t xml:space="preserve"> the aid program </w:t>
      </w:r>
      <w:r w:rsidRPr="00011299">
        <w:t>to PNG’s National Str</w:t>
      </w:r>
      <w:r w:rsidR="00F96968">
        <w:t>ategic Plan 2010–</w:t>
      </w:r>
      <w:r w:rsidRPr="00011299">
        <w:t xml:space="preserve">50 and </w:t>
      </w:r>
      <w:r w:rsidR="00F96968">
        <w:t xml:space="preserve">Long Term Development </w:t>
      </w:r>
      <w:r w:rsidR="007A6FA0">
        <w:t xml:space="preserve">Strategy </w:t>
      </w:r>
      <w:r w:rsidR="00F96968">
        <w:t>2010–</w:t>
      </w:r>
      <w:r w:rsidRPr="00011299">
        <w:t xml:space="preserve">2030. It provides an opportunity to strengthen policy dialogue with the </w:t>
      </w:r>
      <w:r w:rsidR="00F96968">
        <w:t>PNG Government</w:t>
      </w:r>
      <w:r w:rsidRPr="00011299">
        <w:t xml:space="preserve"> on the contribution o</w:t>
      </w:r>
      <w:r w:rsidR="00F96968">
        <w:t>f the aid program to PNG’s long-</w:t>
      </w:r>
      <w:r w:rsidRPr="00011299">
        <w:t>term development.</w:t>
      </w:r>
    </w:p>
    <w:p w:rsidR="00011299" w:rsidRPr="00011299" w:rsidRDefault="00011299" w:rsidP="00991F19">
      <w:pPr>
        <w:pStyle w:val="BodyText"/>
      </w:pPr>
      <w:r w:rsidRPr="00011299">
        <w:t xml:space="preserve">Through </w:t>
      </w:r>
      <w:r w:rsidR="00C17125" w:rsidRPr="00011299">
        <w:t xml:space="preserve">Partnership </w:t>
      </w:r>
      <w:r w:rsidR="00C17125">
        <w:t>for Development</w:t>
      </w:r>
      <w:r w:rsidR="00C17125" w:rsidRPr="00011299">
        <w:t xml:space="preserve"> </w:t>
      </w:r>
      <w:r w:rsidRPr="00011299">
        <w:t xml:space="preserve">dialogue, </w:t>
      </w:r>
      <w:r w:rsidR="00D45F18">
        <w:t>the program</w:t>
      </w:r>
      <w:r w:rsidR="00D45F18" w:rsidRPr="00011299">
        <w:t xml:space="preserve"> </w:t>
      </w:r>
      <w:r w:rsidRPr="00011299">
        <w:t xml:space="preserve">will </w:t>
      </w:r>
      <w:r w:rsidR="00F96968">
        <w:t>focu</w:t>
      </w:r>
      <w:r w:rsidRPr="00011299">
        <w:t>s on establish</w:t>
      </w:r>
      <w:r w:rsidR="002B3D66">
        <w:t>ing</w:t>
      </w:r>
      <w:r w:rsidRPr="00011299">
        <w:t xml:space="preserve"> a long</w:t>
      </w:r>
      <w:r w:rsidR="00DA24C2">
        <w:t>-</w:t>
      </w:r>
      <w:r w:rsidRPr="00011299">
        <w:t xml:space="preserve">term national approach to public administration and financial management across all levels of government and </w:t>
      </w:r>
      <w:r w:rsidR="002B3D66">
        <w:t xml:space="preserve">developing </w:t>
      </w:r>
      <w:r w:rsidRPr="00011299">
        <w:t>consequential medium</w:t>
      </w:r>
      <w:r w:rsidR="002B3D66">
        <w:t>-</w:t>
      </w:r>
      <w:r w:rsidRPr="00011299">
        <w:t>term programs to support reforms.</w:t>
      </w:r>
      <w:r w:rsidR="006F7C08">
        <w:t xml:space="preserve"> </w:t>
      </w:r>
    </w:p>
    <w:p w:rsidR="00011299" w:rsidRPr="00011299" w:rsidRDefault="00011299" w:rsidP="00991F19">
      <w:pPr>
        <w:pStyle w:val="BodyText"/>
      </w:pPr>
      <w:smartTag w:uri="urn:schemas-microsoft-com:office:smarttags" w:element="place">
        <w:smartTag w:uri="urn:schemas-microsoft-com:office:smarttags" w:element="country-region">
          <w:r w:rsidRPr="00011299">
            <w:t>Australia</w:t>
          </w:r>
        </w:smartTag>
      </w:smartTag>
      <w:r w:rsidRPr="00011299">
        <w:t xml:space="preserve">’s response to the </w:t>
      </w:r>
      <w:r w:rsidR="00F96968">
        <w:t>global recession</w:t>
      </w:r>
      <w:r w:rsidRPr="00011299">
        <w:t xml:space="preserve"> will primarily </w:t>
      </w:r>
      <w:r w:rsidR="002B3D66">
        <w:t>be to</w:t>
      </w:r>
      <w:r w:rsidRPr="00011299">
        <w:t xml:space="preserve"> maintain or</w:t>
      </w:r>
      <w:r w:rsidR="002B3D66">
        <w:t>,</w:t>
      </w:r>
      <w:r w:rsidRPr="00011299">
        <w:t xml:space="preserve"> if possible</w:t>
      </w:r>
      <w:r w:rsidR="002B3D66">
        <w:t>,</w:t>
      </w:r>
      <w:r w:rsidRPr="00011299">
        <w:t xml:space="preserve"> improv</w:t>
      </w:r>
      <w:r w:rsidR="002B3D66">
        <w:t>e</w:t>
      </w:r>
      <w:r w:rsidRPr="00011299">
        <w:t xml:space="preserve"> service delivery by </w:t>
      </w:r>
      <w:r w:rsidR="00F96968">
        <w:t>the PNG Government</w:t>
      </w:r>
      <w:r w:rsidRPr="00011299">
        <w:t xml:space="preserve"> and its partners </w:t>
      </w:r>
      <w:r w:rsidR="002B3D66">
        <w:t>by</w:t>
      </w:r>
      <w:r w:rsidR="002B3D66" w:rsidRPr="00011299">
        <w:t xml:space="preserve"> </w:t>
      </w:r>
      <w:r w:rsidRPr="00011299">
        <w:t>progressing the implementation</w:t>
      </w:r>
      <w:r w:rsidR="002B3D66">
        <w:t xml:space="preserve"> of the Partnership for Development</w:t>
      </w:r>
      <w:r w:rsidRPr="00011299">
        <w:t>, with a strong focus on mutual commitment aimed at supporting and protecting service delivery across PNG in a tough fiscal</w:t>
      </w:r>
      <w:r w:rsidR="00C17125">
        <w:t> </w:t>
      </w:r>
      <w:r w:rsidRPr="00011299">
        <w:t>environment.</w:t>
      </w:r>
    </w:p>
    <w:p w:rsidR="00011299" w:rsidRPr="00011299" w:rsidRDefault="00011299" w:rsidP="00991F19">
      <w:pPr>
        <w:pStyle w:val="BodyText"/>
      </w:pPr>
      <w:bookmarkStart w:id="58" w:name="OLE_LINK1"/>
      <w:bookmarkStart w:id="59" w:name="OLE_LINK2"/>
      <w:r w:rsidRPr="00011299">
        <w:t xml:space="preserve">A </w:t>
      </w:r>
      <w:r w:rsidR="00AA6DD3">
        <w:t>greater</w:t>
      </w:r>
      <w:r w:rsidR="00AA6DD3" w:rsidRPr="00011299">
        <w:t xml:space="preserve"> </w:t>
      </w:r>
      <w:r w:rsidRPr="00011299">
        <w:t xml:space="preserve">focus on service delivery outcomes through the </w:t>
      </w:r>
      <w:r w:rsidR="002B3D66" w:rsidRPr="00011299">
        <w:t xml:space="preserve">partnership </w:t>
      </w:r>
      <w:r w:rsidRPr="00011299">
        <w:t xml:space="preserve">will further increase </w:t>
      </w:r>
      <w:r w:rsidR="00D45F18">
        <w:t xml:space="preserve">the </w:t>
      </w:r>
      <w:r w:rsidR="003D18C5">
        <w:t>PNG</w:t>
      </w:r>
      <w:r w:rsidR="00D45F18">
        <w:t xml:space="preserve"> program’s</w:t>
      </w:r>
      <w:r w:rsidR="00D45F18" w:rsidRPr="00011299">
        <w:t xml:space="preserve"> </w:t>
      </w:r>
      <w:r w:rsidRPr="00011299">
        <w:t>support at the provincial, district and local level</w:t>
      </w:r>
      <w:r w:rsidR="002B3D66">
        <w:t>s</w:t>
      </w:r>
      <w:r w:rsidRPr="00011299">
        <w:t xml:space="preserve">. Subsequent refinements to </w:t>
      </w:r>
      <w:r w:rsidR="00C47D44">
        <w:t>the</w:t>
      </w:r>
      <w:r w:rsidRPr="00011299">
        <w:t xml:space="preserve"> </w:t>
      </w:r>
      <w:r w:rsidR="002B3D66">
        <w:t>Sub-</w:t>
      </w:r>
      <w:r w:rsidR="002B3D66" w:rsidRPr="00011299">
        <w:t>National Strategy</w:t>
      </w:r>
      <w:r w:rsidR="002B3D66">
        <w:t xml:space="preserve">, </w:t>
      </w:r>
      <w:r w:rsidR="002B3D66" w:rsidRPr="002B3D66">
        <w:t>which provides a framework for</w:t>
      </w:r>
      <w:r w:rsidR="002B3D66">
        <w:t xml:space="preserve"> improved engagement at sub</w:t>
      </w:r>
      <w:r w:rsidR="002B3D66" w:rsidRPr="002B3D66">
        <w:t>national level</w:t>
      </w:r>
      <w:r w:rsidR="002B3D66">
        <w:t>s</w:t>
      </w:r>
      <w:r w:rsidR="002B3D66" w:rsidRPr="002B3D66">
        <w:t>,</w:t>
      </w:r>
      <w:r w:rsidR="002B3D66" w:rsidRPr="00011299" w:rsidDel="002B3D66">
        <w:t xml:space="preserve"> </w:t>
      </w:r>
      <w:r w:rsidRPr="00011299">
        <w:t xml:space="preserve">will inform the whole aid program </w:t>
      </w:r>
      <w:r w:rsidR="00D45F18">
        <w:t>and</w:t>
      </w:r>
      <w:r w:rsidR="00D45F18" w:rsidRPr="00011299">
        <w:t xml:space="preserve"> </w:t>
      </w:r>
      <w:r w:rsidRPr="00011299">
        <w:t xml:space="preserve">ensure coherency and consistency in the way </w:t>
      </w:r>
      <w:r w:rsidR="00B24397">
        <w:t xml:space="preserve">the PNG program is </w:t>
      </w:r>
      <w:r w:rsidRPr="00011299">
        <w:t xml:space="preserve">working and </w:t>
      </w:r>
      <w:r w:rsidR="003D18C5">
        <w:t xml:space="preserve">in </w:t>
      </w:r>
      <w:r w:rsidRPr="00011299">
        <w:t xml:space="preserve">the reforms </w:t>
      </w:r>
      <w:r w:rsidR="003D18C5">
        <w:t>being</w:t>
      </w:r>
      <w:r w:rsidRPr="00011299">
        <w:t xml:space="preserve"> support</w:t>
      </w:r>
      <w:r w:rsidR="003D18C5">
        <w:t>ed</w:t>
      </w:r>
      <w:r w:rsidRPr="00011299">
        <w:t xml:space="preserve"> across all levels of government. </w:t>
      </w:r>
      <w:r w:rsidR="003D18C5">
        <w:rPr>
          <w:iCs/>
        </w:rPr>
        <w:t>The</w:t>
      </w:r>
      <w:r w:rsidRPr="00011299">
        <w:rPr>
          <w:iCs/>
        </w:rPr>
        <w:t xml:space="preserve"> support for service delivery </w:t>
      </w:r>
      <w:r w:rsidR="003D18C5">
        <w:rPr>
          <w:iCs/>
        </w:rPr>
        <w:t xml:space="preserve">will be reoriented, </w:t>
      </w:r>
      <w:r w:rsidRPr="00011299">
        <w:rPr>
          <w:iCs/>
        </w:rPr>
        <w:t xml:space="preserve">based on ongoing analytical work about the benefits and risks of using PNG </w:t>
      </w:r>
      <w:r w:rsidR="00126328" w:rsidRPr="00011299">
        <w:rPr>
          <w:iCs/>
        </w:rPr>
        <w:t xml:space="preserve">government </w:t>
      </w:r>
      <w:r w:rsidRPr="00011299">
        <w:rPr>
          <w:iCs/>
        </w:rPr>
        <w:t xml:space="preserve">systems, including systems of budget execution and expenditure management. Analysis currently being undertaken for the design </w:t>
      </w:r>
      <w:r w:rsidR="002679F0">
        <w:rPr>
          <w:iCs/>
        </w:rPr>
        <w:t xml:space="preserve">of the </w:t>
      </w:r>
      <w:r w:rsidR="002679F0" w:rsidRPr="00011299">
        <w:rPr>
          <w:iCs/>
        </w:rPr>
        <w:t xml:space="preserve">new education </w:t>
      </w:r>
      <w:r w:rsidR="002679F0">
        <w:rPr>
          <w:iCs/>
        </w:rPr>
        <w:t xml:space="preserve">program </w:t>
      </w:r>
      <w:r w:rsidRPr="00011299">
        <w:rPr>
          <w:iCs/>
        </w:rPr>
        <w:t xml:space="preserve">and </w:t>
      </w:r>
      <w:r w:rsidR="002679F0">
        <w:rPr>
          <w:iCs/>
        </w:rPr>
        <w:t xml:space="preserve">the </w:t>
      </w:r>
      <w:r w:rsidRPr="00011299">
        <w:rPr>
          <w:iCs/>
        </w:rPr>
        <w:t xml:space="preserve">future health strategy will inform </w:t>
      </w:r>
      <w:r w:rsidR="003D18C5">
        <w:rPr>
          <w:iCs/>
        </w:rPr>
        <w:t>the program’s</w:t>
      </w:r>
      <w:r w:rsidR="003D18C5" w:rsidRPr="00011299">
        <w:rPr>
          <w:iCs/>
        </w:rPr>
        <w:t xml:space="preserve"> </w:t>
      </w:r>
      <w:r w:rsidRPr="00011299">
        <w:rPr>
          <w:iCs/>
        </w:rPr>
        <w:t>approach more broadly.</w:t>
      </w:r>
      <w:r w:rsidR="006F7C08">
        <w:rPr>
          <w:iCs/>
        </w:rPr>
        <w:t xml:space="preserve"> </w:t>
      </w:r>
    </w:p>
    <w:p w:rsidR="00011299" w:rsidRPr="00011299" w:rsidRDefault="00011299" w:rsidP="00991F19">
      <w:pPr>
        <w:pStyle w:val="BodyText"/>
      </w:pPr>
      <w:r w:rsidRPr="00011299">
        <w:t xml:space="preserve">In 2009 an important priority for </w:t>
      </w:r>
      <w:proofErr w:type="spellStart"/>
      <w:r w:rsidRPr="00011299">
        <w:t>AusAID</w:t>
      </w:r>
      <w:proofErr w:type="spellEnd"/>
      <w:r w:rsidRPr="00011299">
        <w:t xml:space="preserve"> will be to continue to scale up efforts to promote gender equality across the program and take forward the aid program’s response to the </w:t>
      </w:r>
      <w:r w:rsidR="001062EF">
        <w:t xml:space="preserve">2008 </w:t>
      </w:r>
      <w:r w:rsidRPr="00011299">
        <w:t xml:space="preserve">report </w:t>
      </w:r>
      <w:r w:rsidR="001062EF">
        <w:t xml:space="preserve">on </w:t>
      </w:r>
      <w:r w:rsidR="001062EF" w:rsidRPr="00011299">
        <w:t>violence against women</w:t>
      </w:r>
      <w:r w:rsidR="001062EF">
        <w:t>,</w:t>
      </w:r>
      <w:r w:rsidR="001062EF" w:rsidRPr="00011299">
        <w:t xml:space="preserve"> </w:t>
      </w:r>
      <w:r w:rsidR="001062EF">
        <w:t xml:space="preserve">which was produced </w:t>
      </w:r>
      <w:r w:rsidRPr="00011299">
        <w:t xml:space="preserve">by the Office of Development Effectiveness. </w:t>
      </w:r>
      <w:bookmarkEnd w:id="58"/>
      <w:bookmarkEnd w:id="59"/>
      <w:r w:rsidRPr="00011299">
        <w:t xml:space="preserve">Dedicated resources will be identified to progress </w:t>
      </w:r>
      <w:r w:rsidR="00AA6DD3">
        <w:t>gender equality</w:t>
      </w:r>
      <w:r w:rsidRPr="00011299">
        <w:t xml:space="preserve"> and increase </w:t>
      </w:r>
      <w:r w:rsidRPr="00011299">
        <w:lastRenderedPageBreak/>
        <w:t xml:space="preserve">the profile of </w:t>
      </w:r>
      <w:r w:rsidR="00AA6DD3">
        <w:t>the</w:t>
      </w:r>
      <w:r w:rsidRPr="00011299">
        <w:t xml:space="preserve"> very detrimental consequences </w:t>
      </w:r>
      <w:r w:rsidR="00AA6DD3">
        <w:t xml:space="preserve">of inequality </w:t>
      </w:r>
      <w:r w:rsidRPr="00011299">
        <w:t xml:space="preserve">for development with </w:t>
      </w:r>
      <w:r w:rsidR="00E83E50">
        <w:t xml:space="preserve">the </w:t>
      </w:r>
      <w:r w:rsidR="007B2AB8">
        <w:t>PNG</w:t>
      </w:r>
      <w:r w:rsidR="001062EF">
        <w:t> </w:t>
      </w:r>
      <w:r w:rsidR="007B2AB8">
        <w:t>Government</w:t>
      </w:r>
      <w:r w:rsidRPr="00011299">
        <w:t>.</w:t>
      </w:r>
    </w:p>
    <w:p w:rsidR="00266448" w:rsidRPr="002A7D93" w:rsidRDefault="00266448" w:rsidP="00A34F32">
      <w:pPr>
        <w:pStyle w:val="H1A"/>
      </w:pPr>
      <w:bookmarkStart w:id="60" w:name="_Toc237763896"/>
      <w:r w:rsidRPr="002A7D93">
        <w:lastRenderedPageBreak/>
        <w:t>Country performance</w:t>
      </w:r>
      <w:r w:rsidR="005C25C3">
        <w:rPr>
          <w:lang w:val="en-US" w:eastAsia="en-US"/>
        </w:rPr>
        <w:drawing>
          <wp:anchor distT="0" distB="0" distL="114300" distR="114300" simplePos="0" relativeHeight="251654656" behindDoc="1" locked="0" layoutInCell="1" allowOverlap="1" wp14:anchorId="1D419379" wp14:editId="77C345DF">
            <wp:simplePos x="0" y="0"/>
            <wp:positionH relativeFrom="page">
              <wp:posOffset>0</wp:posOffset>
            </wp:positionH>
            <wp:positionV relativeFrom="page">
              <wp:posOffset>1386205</wp:posOffset>
            </wp:positionV>
            <wp:extent cx="7560310" cy="1585595"/>
            <wp:effectExtent l="0" t="0" r="2540" b="0"/>
            <wp:wrapNone/>
            <wp:docPr id="1191" name="Picture 1191"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0"/>
      <w:r w:rsidRPr="002A7D93">
        <w:br/>
      </w:r>
    </w:p>
    <w:p w:rsidR="00F37D1D" w:rsidRPr="00FE1D61" w:rsidRDefault="00F37D1D" w:rsidP="00991F19">
      <w:pPr>
        <w:pStyle w:val="BodyText"/>
        <w:rPr>
          <w:spacing w:val="-1"/>
        </w:rPr>
      </w:pPr>
      <w:r w:rsidRPr="00FE1D61">
        <w:rPr>
          <w:spacing w:val="-1"/>
        </w:rPr>
        <w:t>T</w:t>
      </w:r>
      <w:r w:rsidR="00AF75B5" w:rsidRPr="00FE1D61">
        <w:rPr>
          <w:spacing w:val="-1"/>
        </w:rPr>
        <w:t xml:space="preserve">he </w:t>
      </w:r>
      <w:r w:rsidR="0010440B" w:rsidRPr="00FE1D61">
        <w:rPr>
          <w:spacing w:val="-1"/>
        </w:rPr>
        <w:t>an</w:t>
      </w:r>
      <w:r w:rsidR="00AF75B5" w:rsidRPr="00FE1D61">
        <w:rPr>
          <w:spacing w:val="-1"/>
        </w:rPr>
        <w:t>nual program performance review</w:t>
      </w:r>
      <w:r w:rsidR="0010440B" w:rsidRPr="00FE1D61">
        <w:rPr>
          <w:spacing w:val="-1"/>
        </w:rPr>
        <w:t xml:space="preserve"> </w:t>
      </w:r>
      <w:r w:rsidRPr="00FE1D61">
        <w:rPr>
          <w:spacing w:val="-1"/>
        </w:rPr>
        <w:t xml:space="preserve">for 2007 </w:t>
      </w:r>
      <w:r w:rsidR="00AF75B5" w:rsidRPr="00FE1D61">
        <w:rPr>
          <w:spacing w:val="-1"/>
        </w:rPr>
        <w:t xml:space="preserve">found that PNG’s </w:t>
      </w:r>
      <w:r w:rsidR="00266448" w:rsidRPr="00FE1D61">
        <w:rPr>
          <w:spacing w:val="-1"/>
        </w:rPr>
        <w:t xml:space="preserve">macroeconomic performance </w:t>
      </w:r>
      <w:r w:rsidRPr="00FE1D61">
        <w:rPr>
          <w:spacing w:val="-1"/>
        </w:rPr>
        <w:t xml:space="preserve">had </w:t>
      </w:r>
      <w:r w:rsidR="00AF75B5" w:rsidRPr="00FE1D61">
        <w:rPr>
          <w:spacing w:val="-1"/>
        </w:rPr>
        <w:t xml:space="preserve">continued to improve </w:t>
      </w:r>
      <w:r w:rsidR="00266448" w:rsidRPr="00FE1D61">
        <w:rPr>
          <w:spacing w:val="-1"/>
        </w:rPr>
        <w:t xml:space="preserve">and leadership </w:t>
      </w:r>
      <w:r w:rsidR="00AF75B5" w:rsidRPr="00FE1D61">
        <w:rPr>
          <w:spacing w:val="-1"/>
        </w:rPr>
        <w:t>was stable</w:t>
      </w:r>
      <w:r w:rsidR="00266448" w:rsidRPr="00FE1D61">
        <w:rPr>
          <w:spacing w:val="-1"/>
        </w:rPr>
        <w:t xml:space="preserve">, </w:t>
      </w:r>
      <w:r w:rsidR="00AF75B5" w:rsidRPr="00FE1D61">
        <w:rPr>
          <w:spacing w:val="-1"/>
        </w:rPr>
        <w:t xml:space="preserve">and </w:t>
      </w:r>
      <w:r w:rsidR="00FE65F9" w:rsidRPr="00FE1D61">
        <w:rPr>
          <w:spacing w:val="-1"/>
        </w:rPr>
        <w:t xml:space="preserve">that </w:t>
      </w:r>
      <w:r w:rsidR="00AF75B5" w:rsidRPr="00FE1D61">
        <w:rPr>
          <w:spacing w:val="-1"/>
        </w:rPr>
        <w:t>both the</w:t>
      </w:r>
      <w:r w:rsidR="00266448" w:rsidRPr="00FE1D61">
        <w:rPr>
          <w:spacing w:val="-1"/>
        </w:rPr>
        <w:t xml:space="preserve"> mineral</w:t>
      </w:r>
      <w:r w:rsidR="00AF75B5" w:rsidRPr="00FE1D61">
        <w:rPr>
          <w:spacing w:val="-1"/>
        </w:rPr>
        <w:t xml:space="preserve"> and non-mineral </w:t>
      </w:r>
      <w:r w:rsidR="00266448" w:rsidRPr="00FE1D61">
        <w:rPr>
          <w:spacing w:val="-1"/>
        </w:rPr>
        <w:t xml:space="preserve">sectors </w:t>
      </w:r>
      <w:r w:rsidR="00AF75B5" w:rsidRPr="00FE1D61">
        <w:rPr>
          <w:spacing w:val="-1"/>
        </w:rPr>
        <w:t xml:space="preserve">of the economy </w:t>
      </w:r>
      <w:r w:rsidRPr="00FE1D61">
        <w:rPr>
          <w:spacing w:val="-1"/>
        </w:rPr>
        <w:t xml:space="preserve">had </w:t>
      </w:r>
      <w:r w:rsidR="00AF75B5" w:rsidRPr="00FE1D61">
        <w:rPr>
          <w:spacing w:val="-1"/>
        </w:rPr>
        <w:t xml:space="preserve">continued to grow, with </w:t>
      </w:r>
      <w:r w:rsidR="00266448" w:rsidRPr="00FE1D61">
        <w:rPr>
          <w:spacing w:val="-1"/>
        </w:rPr>
        <w:t>increasing employment and private sector development. However, structural obstacles in the political environment and the public service had failed to turn better economic performance into development outcomes.</w:t>
      </w:r>
    </w:p>
    <w:p w:rsidR="00266448" w:rsidRPr="00FE1D61" w:rsidRDefault="00266448" w:rsidP="00991F19">
      <w:pPr>
        <w:pStyle w:val="BodyText"/>
        <w:rPr>
          <w:spacing w:val="-1"/>
        </w:rPr>
      </w:pPr>
      <w:r w:rsidRPr="00FE1D61">
        <w:rPr>
          <w:spacing w:val="-1"/>
        </w:rPr>
        <w:t xml:space="preserve">The picture </w:t>
      </w:r>
      <w:r w:rsidR="00F37D1D" w:rsidRPr="00FE1D61">
        <w:rPr>
          <w:spacing w:val="-1"/>
        </w:rPr>
        <w:t xml:space="preserve">was </w:t>
      </w:r>
      <w:r w:rsidRPr="00FE1D61">
        <w:rPr>
          <w:spacing w:val="-1"/>
        </w:rPr>
        <w:t xml:space="preserve">largely unchanged a year later. Despite improvements to </w:t>
      </w:r>
      <w:r w:rsidR="007F26AF" w:rsidRPr="00FE1D61">
        <w:rPr>
          <w:spacing w:val="-1"/>
        </w:rPr>
        <w:t>sub</w:t>
      </w:r>
      <w:r w:rsidRPr="00FE1D61">
        <w:rPr>
          <w:spacing w:val="-1"/>
        </w:rPr>
        <w:t xml:space="preserve">national financing and high expectations surrounding the proposed PNG LNG </w:t>
      </w:r>
      <w:r w:rsidR="00F24F5D" w:rsidRPr="00FE1D61">
        <w:rPr>
          <w:spacing w:val="-1"/>
        </w:rPr>
        <w:t>project</w:t>
      </w:r>
      <w:r w:rsidRPr="00FE1D61">
        <w:rPr>
          <w:spacing w:val="-1"/>
        </w:rPr>
        <w:t xml:space="preserve">, risks to service delivery increased </w:t>
      </w:r>
      <w:r w:rsidR="00F37D1D" w:rsidRPr="00FE1D61">
        <w:rPr>
          <w:spacing w:val="-1"/>
        </w:rPr>
        <w:t>in 2008</w:t>
      </w:r>
      <w:r w:rsidR="00F51DEF" w:rsidRPr="00FE1D61">
        <w:rPr>
          <w:spacing w:val="-1"/>
        </w:rPr>
        <w:t xml:space="preserve"> </w:t>
      </w:r>
      <w:r w:rsidRPr="00FE1D61">
        <w:rPr>
          <w:spacing w:val="-1"/>
        </w:rPr>
        <w:t xml:space="preserve">due to pressure on revenues as a result of the </w:t>
      </w:r>
      <w:r w:rsidR="006F7C08" w:rsidRPr="00FE1D61">
        <w:rPr>
          <w:spacing w:val="-1"/>
        </w:rPr>
        <w:t>global recession</w:t>
      </w:r>
      <w:r w:rsidRPr="00FE1D61">
        <w:rPr>
          <w:spacing w:val="-1"/>
        </w:rPr>
        <w:t xml:space="preserve"> and a reduced commitment </w:t>
      </w:r>
      <w:r w:rsidR="00C530EA">
        <w:rPr>
          <w:spacing w:val="-1"/>
        </w:rPr>
        <w:t>overall</w:t>
      </w:r>
      <w:r w:rsidRPr="00FE1D61">
        <w:rPr>
          <w:spacing w:val="-1"/>
        </w:rPr>
        <w:t xml:space="preserve"> to the objectives of the </w:t>
      </w:r>
      <w:r w:rsidR="00F24F5D" w:rsidRPr="00FE1D61">
        <w:rPr>
          <w:spacing w:val="-1"/>
        </w:rPr>
        <w:t>Medium Term Development Strategy for the period 2005–10 (</w:t>
      </w:r>
      <w:r w:rsidRPr="00FE1D61">
        <w:rPr>
          <w:spacing w:val="-1"/>
        </w:rPr>
        <w:t>MTDS</w:t>
      </w:r>
      <w:r w:rsidR="00F24F5D" w:rsidRPr="00FE1D61">
        <w:rPr>
          <w:spacing w:val="-1"/>
        </w:rPr>
        <w:t>)</w:t>
      </w:r>
      <w:r w:rsidRPr="00FE1D61">
        <w:rPr>
          <w:spacing w:val="-1"/>
        </w:rPr>
        <w:t>.</w:t>
      </w:r>
      <w:r w:rsidR="00F24F5D" w:rsidRPr="00FE1D61">
        <w:rPr>
          <w:rStyle w:val="FootnoteReference"/>
          <w:spacing w:val="-1"/>
        </w:rPr>
        <w:footnoteReference w:id="2"/>
      </w:r>
      <w:r w:rsidRPr="00FE1D61">
        <w:rPr>
          <w:spacing w:val="-1"/>
        </w:rPr>
        <w:t xml:space="preserve"> The prospect of the LNG </w:t>
      </w:r>
      <w:r w:rsidR="00F37D1D" w:rsidRPr="00FE1D61">
        <w:rPr>
          <w:spacing w:val="-1"/>
        </w:rPr>
        <w:t xml:space="preserve">project, which is </w:t>
      </w:r>
      <w:r w:rsidRPr="00FE1D61">
        <w:rPr>
          <w:spacing w:val="-1"/>
        </w:rPr>
        <w:t>scheduled to come on stream in 2011</w:t>
      </w:r>
      <w:r w:rsidR="00FE65F9" w:rsidRPr="00FE1D61">
        <w:rPr>
          <w:spacing w:val="-1"/>
        </w:rPr>
        <w:t xml:space="preserve"> and expected to generate significant revenue from around 2017</w:t>
      </w:r>
      <w:r w:rsidR="00F37D1D" w:rsidRPr="00FE1D61">
        <w:rPr>
          <w:spacing w:val="-1"/>
        </w:rPr>
        <w:t>,</w:t>
      </w:r>
      <w:r w:rsidRPr="00FE1D61">
        <w:rPr>
          <w:spacing w:val="-1"/>
        </w:rPr>
        <w:t xml:space="preserve"> may boost economic confidence in the short term</w:t>
      </w:r>
      <w:r w:rsidR="00F37D1D" w:rsidRPr="00FE1D61">
        <w:rPr>
          <w:spacing w:val="-1"/>
        </w:rPr>
        <w:t xml:space="preserve"> as</w:t>
      </w:r>
      <w:r w:rsidRPr="00FE1D61">
        <w:rPr>
          <w:spacing w:val="-1"/>
        </w:rPr>
        <w:t xml:space="preserve"> </w:t>
      </w:r>
      <w:r w:rsidR="00F37D1D" w:rsidRPr="00FE1D61">
        <w:rPr>
          <w:spacing w:val="-1"/>
        </w:rPr>
        <w:t>i</w:t>
      </w:r>
      <w:r w:rsidRPr="00FE1D61">
        <w:rPr>
          <w:spacing w:val="-1"/>
        </w:rPr>
        <w:t xml:space="preserve">t represents a major opportunity for transformational growth. But the </w:t>
      </w:r>
      <w:r w:rsidR="00F37D1D" w:rsidRPr="00FE1D61">
        <w:rPr>
          <w:spacing w:val="-1"/>
        </w:rPr>
        <w:t xml:space="preserve">government </w:t>
      </w:r>
      <w:r w:rsidRPr="00FE1D61">
        <w:rPr>
          <w:spacing w:val="-1"/>
        </w:rPr>
        <w:t xml:space="preserve">will be challenged to ensure </w:t>
      </w:r>
      <w:r w:rsidR="007F0D41" w:rsidRPr="00FE1D61">
        <w:rPr>
          <w:spacing w:val="-1"/>
        </w:rPr>
        <w:t xml:space="preserve">that </w:t>
      </w:r>
      <w:r w:rsidRPr="00FE1D61">
        <w:rPr>
          <w:spacing w:val="-1"/>
        </w:rPr>
        <w:t xml:space="preserve">the revenue from the </w:t>
      </w:r>
      <w:r w:rsidR="00F24F5D" w:rsidRPr="00FE1D61">
        <w:rPr>
          <w:spacing w:val="-1"/>
        </w:rPr>
        <w:t xml:space="preserve">project </w:t>
      </w:r>
      <w:r w:rsidRPr="00FE1D61">
        <w:rPr>
          <w:spacing w:val="-1"/>
        </w:rPr>
        <w:t>translates into positive development outcomes.</w:t>
      </w:r>
    </w:p>
    <w:p w:rsidR="00266448" w:rsidRPr="005A2D1D" w:rsidRDefault="00266448" w:rsidP="00991F19">
      <w:pPr>
        <w:pStyle w:val="BodyText"/>
        <w:rPr>
          <w:spacing w:val="-1"/>
        </w:rPr>
      </w:pPr>
      <w:r w:rsidRPr="00FE1D61">
        <w:rPr>
          <w:b/>
        </w:rPr>
        <w:t>Economic growth</w:t>
      </w:r>
      <w:r>
        <w:t xml:space="preserve"> was a healthy 7.2</w:t>
      </w:r>
      <w:r w:rsidR="001B735E">
        <w:t> per cent</w:t>
      </w:r>
      <w:r>
        <w:t xml:space="preserve"> in 2008, but is forecast to slow to less than 4</w:t>
      </w:r>
      <w:r w:rsidR="001B735E">
        <w:t> per cent</w:t>
      </w:r>
      <w:r>
        <w:t xml:space="preserve"> in 2009</w:t>
      </w:r>
      <w:r w:rsidR="00B53EA8">
        <w:t>.</w:t>
      </w:r>
      <w:r>
        <w:rPr>
          <w:rStyle w:val="FootnoteReference"/>
        </w:rPr>
        <w:footnoteReference w:id="3"/>
      </w:r>
      <w:r>
        <w:t xml:space="preserve"> Formal employment </w:t>
      </w:r>
      <w:r w:rsidR="00FE1D61">
        <w:t>grew</w:t>
      </w:r>
      <w:r>
        <w:t xml:space="preserve"> through expansion in mining, construction and </w:t>
      </w:r>
      <w:r w:rsidRPr="005A2D1D">
        <w:rPr>
          <w:spacing w:val="-1"/>
        </w:rPr>
        <w:t>smallholder agricultural production.</w:t>
      </w:r>
      <w:r w:rsidRPr="005A2D1D">
        <w:rPr>
          <w:rStyle w:val="FootnoteReference"/>
          <w:spacing w:val="-1"/>
        </w:rPr>
        <w:footnoteReference w:id="4"/>
      </w:r>
      <w:r w:rsidRPr="005A2D1D">
        <w:rPr>
          <w:spacing w:val="-1"/>
        </w:rPr>
        <w:t xml:space="preserve"> Importantly for PNG’s long</w:t>
      </w:r>
      <w:r w:rsidR="00901B7C" w:rsidRPr="005A2D1D">
        <w:rPr>
          <w:spacing w:val="-1"/>
        </w:rPr>
        <w:t>-</w:t>
      </w:r>
      <w:r w:rsidRPr="005A2D1D">
        <w:rPr>
          <w:spacing w:val="-1"/>
        </w:rPr>
        <w:t xml:space="preserve">term future, </w:t>
      </w:r>
      <w:r w:rsidR="005201F2" w:rsidRPr="005A2D1D">
        <w:rPr>
          <w:spacing w:val="-1"/>
        </w:rPr>
        <w:t xml:space="preserve">there was strong </w:t>
      </w:r>
      <w:r w:rsidRPr="005A2D1D">
        <w:rPr>
          <w:spacing w:val="-1"/>
        </w:rPr>
        <w:t xml:space="preserve">growth in </w:t>
      </w:r>
      <w:r w:rsidR="005201F2" w:rsidRPr="005A2D1D">
        <w:rPr>
          <w:spacing w:val="-1"/>
        </w:rPr>
        <w:t xml:space="preserve">the </w:t>
      </w:r>
      <w:r w:rsidRPr="005A2D1D">
        <w:rPr>
          <w:spacing w:val="-1"/>
        </w:rPr>
        <w:t xml:space="preserve">non-mining sectors, </w:t>
      </w:r>
      <w:r w:rsidR="005201F2" w:rsidRPr="005A2D1D">
        <w:rPr>
          <w:spacing w:val="-1"/>
        </w:rPr>
        <w:t xml:space="preserve">even </w:t>
      </w:r>
      <w:r w:rsidRPr="005A2D1D">
        <w:rPr>
          <w:spacing w:val="-1"/>
        </w:rPr>
        <w:t xml:space="preserve">though </w:t>
      </w:r>
      <w:r w:rsidR="005201F2" w:rsidRPr="005A2D1D">
        <w:rPr>
          <w:spacing w:val="-1"/>
        </w:rPr>
        <w:t>they</w:t>
      </w:r>
      <w:r w:rsidRPr="005A2D1D">
        <w:rPr>
          <w:spacing w:val="-1"/>
        </w:rPr>
        <w:t xml:space="preserve"> still</w:t>
      </w:r>
      <w:r w:rsidR="005201F2" w:rsidRPr="005A2D1D">
        <w:rPr>
          <w:spacing w:val="-1"/>
        </w:rPr>
        <w:t xml:space="preserve"> face</w:t>
      </w:r>
      <w:r w:rsidRPr="005A2D1D">
        <w:rPr>
          <w:spacing w:val="-1"/>
        </w:rPr>
        <w:t xml:space="preserve"> considerable structural</w:t>
      </w:r>
      <w:r>
        <w:t xml:space="preserve"> obstacles to growth. </w:t>
      </w:r>
      <w:r w:rsidR="007B2AB8">
        <w:t>The PNG Government</w:t>
      </w:r>
      <w:r>
        <w:t>’s engagement with the private sector is limited. The National Working Group to Remove Impediments to Business has met once in the past two years despite PNG slipp</w:t>
      </w:r>
      <w:r w:rsidR="0007028B">
        <w:t>ing</w:t>
      </w:r>
      <w:r>
        <w:t xml:space="preserve"> from 89 to 95 out of the 181 countries</w:t>
      </w:r>
      <w:r w:rsidR="0007028B">
        <w:t xml:space="preserve"> ranked according to the ease of doing business in them</w:t>
      </w:r>
      <w:r w:rsidR="0072656A">
        <w:t>.</w:t>
      </w:r>
      <w:r>
        <w:rPr>
          <w:rStyle w:val="FootnoteReference"/>
        </w:rPr>
        <w:footnoteReference w:id="5"/>
      </w:r>
      <w:r>
        <w:t xml:space="preserve"> The weakest areas include enforcing contracts, </w:t>
      </w:r>
      <w:r w:rsidR="0007028B">
        <w:t xml:space="preserve">obtaining </w:t>
      </w:r>
      <w:r>
        <w:t xml:space="preserve">building permits and getting credit. With the </w:t>
      </w:r>
      <w:r w:rsidR="0007028B">
        <w:t>spread</w:t>
      </w:r>
      <w:r>
        <w:t xml:space="preserve"> of the </w:t>
      </w:r>
      <w:r w:rsidR="006F7C08">
        <w:t>global recession</w:t>
      </w:r>
      <w:r>
        <w:t xml:space="preserve"> and </w:t>
      </w:r>
      <w:r w:rsidR="0007028B">
        <w:t xml:space="preserve">the </w:t>
      </w:r>
      <w:r>
        <w:t xml:space="preserve">potential </w:t>
      </w:r>
      <w:r w:rsidRPr="005A2D1D">
        <w:rPr>
          <w:spacing w:val="-1"/>
        </w:rPr>
        <w:t xml:space="preserve">for delays </w:t>
      </w:r>
      <w:r w:rsidR="00FE1D61" w:rsidRPr="005A2D1D">
        <w:rPr>
          <w:spacing w:val="-1"/>
        </w:rPr>
        <w:t xml:space="preserve">in </w:t>
      </w:r>
      <w:r w:rsidRPr="005A2D1D">
        <w:rPr>
          <w:spacing w:val="-1"/>
        </w:rPr>
        <w:t xml:space="preserve">the PNG LNG </w:t>
      </w:r>
      <w:r w:rsidR="00F24F5D" w:rsidRPr="005A2D1D">
        <w:rPr>
          <w:spacing w:val="-1"/>
        </w:rPr>
        <w:t>project</w:t>
      </w:r>
      <w:r w:rsidRPr="005A2D1D">
        <w:rPr>
          <w:spacing w:val="-1"/>
        </w:rPr>
        <w:t>, there is a risk that foreign investment more broadly may decline.</w:t>
      </w:r>
    </w:p>
    <w:p w:rsidR="00011213" w:rsidRDefault="00266448" w:rsidP="00991F19">
      <w:pPr>
        <w:pStyle w:val="BodyText"/>
      </w:pPr>
      <w:r>
        <w:t>There has been no improvement in the long</w:t>
      </w:r>
      <w:r w:rsidR="00D43018">
        <w:t>-</w:t>
      </w:r>
      <w:r>
        <w:t xml:space="preserve">term funding of </w:t>
      </w:r>
      <w:r w:rsidRPr="00FE1D61">
        <w:rPr>
          <w:b/>
        </w:rPr>
        <w:t>health services</w:t>
      </w:r>
      <w:r>
        <w:t xml:space="preserve">. Indicators of </w:t>
      </w:r>
      <w:r w:rsidR="00011213">
        <w:t xml:space="preserve">the effectiveness of </w:t>
      </w:r>
      <w:r>
        <w:t>health systems general</w:t>
      </w:r>
      <w:r w:rsidR="00011213">
        <w:t>ly</w:t>
      </w:r>
      <w:r>
        <w:t xml:space="preserve"> continued to worsen </w:t>
      </w:r>
      <w:r w:rsidR="00FE1D61">
        <w:t>in 2008</w:t>
      </w:r>
      <w:r w:rsidR="00C530EA">
        <w:t>.</w:t>
      </w:r>
      <w:r w:rsidR="00FE1D61">
        <w:t xml:space="preserve"> </w:t>
      </w:r>
      <w:r>
        <w:t xml:space="preserve">There </w:t>
      </w:r>
      <w:r w:rsidR="00011213">
        <w:t>were</w:t>
      </w:r>
      <w:r>
        <w:t xml:space="preserve"> some improvements in </w:t>
      </w:r>
      <w:r w:rsidR="00011213">
        <w:t xml:space="preserve">the coverage of </w:t>
      </w:r>
      <w:r>
        <w:t xml:space="preserve">family planning and disease control and in some management indicators. Data from the 2006 Demographic </w:t>
      </w:r>
      <w:r w:rsidR="00DC478B">
        <w:t xml:space="preserve">and </w:t>
      </w:r>
      <w:r>
        <w:t>Health Survey confirm</w:t>
      </w:r>
      <w:r w:rsidR="00011213">
        <w:t>ed there had been</w:t>
      </w:r>
      <w:r>
        <w:t xml:space="preserve"> </w:t>
      </w:r>
      <w:r w:rsidR="00011213">
        <w:t>a reduction in child mortality</w:t>
      </w:r>
      <w:r>
        <w:t xml:space="preserve"> </w:t>
      </w:r>
      <w:r w:rsidR="00011213">
        <w:t xml:space="preserve">from the </w:t>
      </w:r>
      <w:r>
        <w:t xml:space="preserve">1996 </w:t>
      </w:r>
      <w:r w:rsidR="00011213">
        <w:t>level</w:t>
      </w:r>
      <w:r>
        <w:rPr>
          <w:rStyle w:val="FootnoteReference"/>
        </w:rPr>
        <w:footnoteReference w:id="6"/>
      </w:r>
      <w:r>
        <w:t xml:space="preserve">, but progress </w:t>
      </w:r>
      <w:r w:rsidR="00011213">
        <w:t xml:space="preserve">was </w:t>
      </w:r>
      <w:r>
        <w:t xml:space="preserve">not sufficient to </w:t>
      </w:r>
      <w:r>
        <w:lastRenderedPageBreak/>
        <w:t xml:space="preserve">meet the MDG, and child mortality </w:t>
      </w:r>
      <w:r w:rsidR="007847D8">
        <w:t xml:space="preserve">in PNG </w:t>
      </w:r>
      <w:r>
        <w:t>remains the highest by some way in the Pacific. Maternal mortality showed an apparent i</w:t>
      </w:r>
      <w:r w:rsidR="00F24F5D">
        <w:t xml:space="preserve">ncrease from 370 </w:t>
      </w:r>
      <w:r w:rsidR="007847D8">
        <w:t xml:space="preserve">in 1996 </w:t>
      </w:r>
      <w:r w:rsidR="00F24F5D">
        <w:t>to 733 per 100 </w:t>
      </w:r>
      <w:r>
        <w:t xml:space="preserve">000 live births </w:t>
      </w:r>
      <w:r w:rsidR="007847D8">
        <w:t>in 2006</w:t>
      </w:r>
      <w:r>
        <w:t>.</w:t>
      </w:r>
      <w:r>
        <w:rPr>
          <w:rStyle w:val="FootnoteReference"/>
        </w:rPr>
        <w:footnoteReference w:id="7"/>
      </w:r>
      <w:r>
        <w:t xml:space="preserve"> </w:t>
      </w:r>
      <w:r w:rsidRPr="007317C3">
        <w:t>Current research through the Sub</w:t>
      </w:r>
      <w:r w:rsidR="00F375BD">
        <w:t>-</w:t>
      </w:r>
      <w:r w:rsidRPr="007317C3">
        <w:t xml:space="preserve">National Program reveals that </w:t>
      </w:r>
      <w:r w:rsidR="00011213">
        <w:t xml:space="preserve">users of </w:t>
      </w:r>
      <w:r w:rsidRPr="007317C3">
        <w:t xml:space="preserve">health services </w:t>
      </w:r>
      <w:r w:rsidR="00011213">
        <w:t>generally have to</w:t>
      </w:r>
      <w:r w:rsidRPr="007317C3">
        <w:t xml:space="preserve"> pay</w:t>
      </w:r>
      <w:r w:rsidR="00011213">
        <w:t xml:space="preserve"> for the </w:t>
      </w:r>
      <w:r w:rsidRPr="007317C3">
        <w:t>s</w:t>
      </w:r>
      <w:r w:rsidR="00011213">
        <w:t>ervices</w:t>
      </w:r>
      <w:r w:rsidRPr="007317C3">
        <w:t xml:space="preserve">. Since most of the services offered in rural areas </w:t>
      </w:r>
      <w:r w:rsidR="00011213">
        <w:t>are for</w:t>
      </w:r>
      <w:r w:rsidR="00011213" w:rsidRPr="007317C3">
        <w:t xml:space="preserve"> </w:t>
      </w:r>
      <w:r w:rsidRPr="007317C3">
        <w:t xml:space="preserve">maternal and infant health, women are funding a significant proportion of the health sector across the country. </w:t>
      </w:r>
    </w:p>
    <w:p w:rsidR="00F51DEF" w:rsidRDefault="00F51DEF" w:rsidP="00991F19">
      <w:pPr>
        <w:pStyle w:val="BodyText"/>
      </w:pPr>
      <w:r>
        <w:t>The PNG Government estimated that in December 2008 the prevalence of HIV was 2.03 per cent, with 76 665 people living with HIV (up from 1.61 per cent prevalence and 59 537 people infected in 2007).</w:t>
      </w:r>
      <w:r>
        <w:rPr>
          <w:rStyle w:val="FootnoteReference"/>
        </w:rPr>
        <w:footnoteReference w:id="8"/>
      </w:r>
      <w:r>
        <w:t xml:space="preserve"> Another sharp increase is projected for 2009, reaching 2.56 per cent prevalence and 98 757 people living with HIV. In the six months to June 2008, 58 per cent of the new cases reported were female. Rural communities are increasingly being affected. The trends reported in 2007 </w:t>
      </w:r>
      <w:r w:rsidRPr="00AA6DD3">
        <w:t>of poor official leadership, but increasing activity by civil society</w:t>
      </w:r>
      <w:r w:rsidR="00AA6DD3">
        <w:t>,</w:t>
      </w:r>
      <w:r w:rsidRPr="00AA6DD3">
        <w:t xml:space="preserve"> continued in 2008</w:t>
      </w:r>
      <w:r>
        <w:t>.</w:t>
      </w:r>
      <w:r>
        <w:rPr>
          <w:rStyle w:val="FootnoteReference"/>
        </w:rPr>
        <w:footnoteReference w:id="9"/>
      </w:r>
    </w:p>
    <w:p w:rsidR="00C02654" w:rsidRDefault="00F21CF0" w:rsidP="00991F19">
      <w:pPr>
        <w:pStyle w:val="BodyText"/>
      </w:pPr>
      <w:r>
        <w:t xml:space="preserve">There has also been no improvement in the long-term funding of </w:t>
      </w:r>
      <w:r w:rsidRPr="009A1C0A">
        <w:rPr>
          <w:b/>
        </w:rPr>
        <w:t>education services</w:t>
      </w:r>
      <w:r>
        <w:t xml:space="preserve">. </w:t>
      </w:r>
      <w:r w:rsidR="00266448">
        <w:t>There is no new information on the generally inadequate progress towards universal basic education, but a net enrolment rate of 53</w:t>
      </w:r>
      <w:r w:rsidR="001B735E">
        <w:t> per cent</w:t>
      </w:r>
      <w:r w:rsidR="00266448">
        <w:t xml:space="preserve"> and a </w:t>
      </w:r>
      <w:r w:rsidR="00C02654" w:rsidRPr="00C02654">
        <w:t xml:space="preserve">ratio of </w:t>
      </w:r>
      <w:r w:rsidR="009A1C0A">
        <w:t xml:space="preserve">females to </w:t>
      </w:r>
      <w:r w:rsidR="00C02654" w:rsidRPr="00C02654">
        <w:t>males</w:t>
      </w:r>
      <w:r w:rsidR="00C02654" w:rsidDel="00C02654">
        <w:t xml:space="preserve"> </w:t>
      </w:r>
      <w:r w:rsidR="00266448">
        <w:t xml:space="preserve">of 0.95 </w:t>
      </w:r>
      <w:r w:rsidR="00C02654">
        <w:t>were</w:t>
      </w:r>
      <w:r w:rsidR="00266448">
        <w:t xml:space="preserve"> established as 2007 baselines for the Partnership </w:t>
      </w:r>
      <w:r w:rsidR="00C02654">
        <w:t xml:space="preserve">for Development </w:t>
      </w:r>
      <w:r w:rsidR="00266448">
        <w:t>objective of progress towards universal basic education. There has been no improvement in gender parity in education</w:t>
      </w:r>
      <w:r w:rsidR="009A1C0A">
        <w:t>;</w:t>
      </w:r>
      <w:r w:rsidR="00266448">
        <w:t xml:space="preserve"> currently only 44</w:t>
      </w:r>
      <w:r w:rsidR="001B735E">
        <w:t> per cent</w:t>
      </w:r>
      <w:r w:rsidR="00266448">
        <w:t xml:space="preserve"> of primary school students are girls. </w:t>
      </w:r>
    </w:p>
    <w:p w:rsidR="008D3A30" w:rsidRDefault="00266448" w:rsidP="00991F19">
      <w:pPr>
        <w:pStyle w:val="BodyText"/>
      </w:pPr>
      <w:r>
        <w:t xml:space="preserve">In the </w:t>
      </w:r>
      <w:r w:rsidRPr="009A1C0A">
        <w:rPr>
          <w:b/>
        </w:rPr>
        <w:t>transport sector</w:t>
      </w:r>
      <w:r>
        <w:t xml:space="preserve">, </w:t>
      </w:r>
      <w:r w:rsidR="008D3A30">
        <w:t xml:space="preserve">the </w:t>
      </w:r>
      <w:r>
        <w:t>maintenance of priority roads suggests an increase in the proportion assessed as being in good condition, although this is yet to be confirmed. The number of regional airports achieving certification increased</w:t>
      </w:r>
      <w:r w:rsidR="008D3A30">
        <w:t xml:space="preserve"> in 2008</w:t>
      </w:r>
      <w:r>
        <w:t xml:space="preserve">. </w:t>
      </w:r>
    </w:p>
    <w:p w:rsidR="00266448" w:rsidRPr="009A1C0A" w:rsidRDefault="009A1C0A" w:rsidP="00991F19">
      <w:pPr>
        <w:pStyle w:val="BodyText"/>
        <w:rPr>
          <w:spacing w:val="-2"/>
        </w:rPr>
      </w:pPr>
      <w:r w:rsidRPr="009A1C0A">
        <w:rPr>
          <w:spacing w:val="-2"/>
        </w:rPr>
        <w:t xml:space="preserve">Progress in </w:t>
      </w:r>
      <w:r w:rsidR="00266448" w:rsidRPr="009A1C0A">
        <w:rPr>
          <w:b/>
          <w:spacing w:val="-2"/>
        </w:rPr>
        <w:t xml:space="preserve">law and justice </w:t>
      </w:r>
      <w:r w:rsidR="008D3A30" w:rsidRPr="009A1C0A">
        <w:rPr>
          <w:spacing w:val="-2"/>
        </w:rPr>
        <w:t xml:space="preserve">continued </w:t>
      </w:r>
      <w:r w:rsidR="00266448" w:rsidRPr="009A1C0A">
        <w:rPr>
          <w:spacing w:val="-2"/>
        </w:rPr>
        <w:t>in the areas identified as successful</w:t>
      </w:r>
      <w:r w:rsidRPr="009A1C0A">
        <w:rPr>
          <w:spacing w:val="-2"/>
        </w:rPr>
        <w:t xml:space="preserve"> in 2007</w:t>
      </w:r>
      <w:r w:rsidR="00266448" w:rsidRPr="009A1C0A">
        <w:rPr>
          <w:spacing w:val="-2"/>
        </w:rPr>
        <w:t xml:space="preserve"> (the courts, legal aid, juvenile justice and crime prevention) but serious crime rates appear unchanged and police performance remain</w:t>
      </w:r>
      <w:r w:rsidR="008D3A30" w:rsidRPr="009A1C0A">
        <w:rPr>
          <w:spacing w:val="-2"/>
        </w:rPr>
        <w:t>ed</w:t>
      </w:r>
      <w:r w:rsidR="00266448" w:rsidRPr="009A1C0A">
        <w:rPr>
          <w:spacing w:val="-2"/>
        </w:rPr>
        <w:t xml:space="preserve"> poor</w:t>
      </w:r>
      <w:r w:rsidRPr="009A1C0A">
        <w:rPr>
          <w:spacing w:val="-2"/>
        </w:rPr>
        <w:t xml:space="preserve"> in 2008</w:t>
      </w:r>
      <w:r w:rsidR="00F24F5D" w:rsidRPr="009A1C0A">
        <w:rPr>
          <w:spacing w:val="-2"/>
        </w:rPr>
        <w:t>.</w:t>
      </w:r>
      <w:r w:rsidR="00266448" w:rsidRPr="009A1C0A">
        <w:rPr>
          <w:rStyle w:val="FootnoteReference"/>
          <w:spacing w:val="-2"/>
        </w:rPr>
        <w:footnoteReference w:id="10"/>
      </w:r>
      <w:r w:rsidR="00266448" w:rsidRPr="009A1C0A">
        <w:rPr>
          <w:spacing w:val="-2"/>
        </w:rPr>
        <w:t xml:space="preserve"> The Police Commissioner demonstrated commitment to reform in terms of discipline and response to family and sexual violence. But women’s access to justice remain</w:t>
      </w:r>
      <w:r w:rsidR="002B1D07" w:rsidRPr="009A1C0A">
        <w:rPr>
          <w:spacing w:val="-2"/>
        </w:rPr>
        <w:t>ed</w:t>
      </w:r>
      <w:r w:rsidR="00266448" w:rsidRPr="009A1C0A">
        <w:rPr>
          <w:spacing w:val="-2"/>
        </w:rPr>
        <w:t xml:space="preserve"> unequal</w:t>
      </w:r>
      <w:r w:rsidR="002B1D07" w:rsidRPr="009A1C0A">
        <w:rPr>
          <w:spacing w:val="-2"/>
        </w:rPr>
        <w:t>.</w:t>
      </w:r>
      <w:r w:rsidR="00266448" w:rsidRPr="009A1C0A">
        <w:rPr>
          <w:spacing w:val="-2"/>
        </w:rPr>
        <w:t xml:space="preserve"> </w:t>
      </w:r>
      <w:r w:rsidR="002B1D07" w:rsidRPr="009A1C0A">
        <w:rPr>
          <w:spacing w:val="-2"/>
        </w:rPr>
        <w:t>T</w:t>
      </w:r>
      <w:r w:rsidR="00266448" w:rsidRPr="009A1C0A">
        <w:rPr>
          <w:spacing w:val="-2"/>
        </w:rPr>
        <w:t xml:space="preserve">he </w:t>
      </w:r>
      <w:r w:rsidR="00364EEF" w:rsidRPr="009A1C0A">
        <w:rPr>
          <w:spacing w:val="-2"/>
        </w:rPr>
        <w:t xml:space="preserve">2008 </w:t>
      </w:r>
      <w:r w:rsidR="00266448" w:rsidRPr="009A1C0A">
        <w:rPr>
          <w:spacing w:val="-2"/>
        </w:rPr>
        <w:t xml:space="preserve">evaluation </w:t>
      </w:r>
      <w:r w:rsidR="00F24F5D" w:rsidRPr="009A1C0A">
        <w:rPr>
          <w:spacing w:val="-2"/>
        </w:rPr>
        <w:t xml:space="preserve">by </w:t>
      </w:r>
      <w:proofErr w:type="spellStart"/>
      <w:r w:rsidR="00F24F5D" w:rsidRPr="009A1C0A">
        <w:rPr>
          <w:spacing w:val="-2"/>
        </w:rPr>
        <w:t>AusAID’s</w:t>
      </w:r>
      <w:proofErr w:type="spellEnd"/>
      <w:r w:rsidR="00F24F5D" w:rsidRPr="009A1C0A">
        <w:rPr>
          <w:spacing w:val="-2"/>
        </w:rPr>
        <w:t xml:space="preserve"> Office of Development Effectiveness </w:t>
      </w:r>
      <w:r w:rsidR="00266448" w:rsidRPr="009A1C0A">
        <w:rPr>
          <w:spacing w:val="-2"/>
        </w:rPr>
        <w:t>o</w:t>
      </w:r>
      <w:r w:rsidR="00F24F5D" w:rsidRPr="009A1C0A">
        <w:rPr>
          <w:spacing w:val="-2"/>
        </w:rPr>
        <w:t>f</w:t>
      </w:r>
      <w:r w:rsidR="00266448" w:rsidRPr="009A1C0A">
        <w:rPr>
          <w:spacing w:val="-2"/>
        </w:rPr>
        <w:t xml:space="preserve"> </w:t>
      </w:r>
      <w:r w:rsidR="00F24F5D" w:rsidRPr="009A1C0A">
        <w:rPr>
          <w:spacing w:val="-2"/>
        </w:rPr>
        <w:t xml:space="preserve">violence against women </w:t>
      </w:r>
      <w:r w:rsidR="00266448" w:rsidRPr="009A1C0A">
        <w:rPr>
          <w:spacing w:val="-2"/>
        </w:rPr>
        <w:t>report</w:t>
      </w:r>
      <w:r w:rsidR="00364EEF" w:rsidRPr="009A1C0A">
        <w:rPr>
          <w:spacing w:val="-2"/>
        </w:rPr>
        <w:t>ed</w:t>
      </w:r>
      <w:r w:rsidR="00266448" w:rsidRPr="009A1C0A">
        <w:rPr>
          <w:spacing w:val="-2"/>
        </w:rPr>
        <w:t xml:space="preserve"> that th</w:t>
      </w:r>
      <w:r w:rsidR="00F24F5D" w:rsidRPr="009A1C0A">
        <w:rPr>
          <w:spacing w:val="-2"/>
        </w:rPr>
        <w:t>ere is limited knowledge among</w:t>
      </w:r>
      <w:r w:rsidR="00266448" w:rsidRPr="009A1C0A">
        <w:rPr>
          <w:spacing w:val="-2"/>
        </w:rPr>
        <w:t xml:space="preserve"> women of their rights, and support services are limited to major towns only.</w:t>
      </w:r>
      <w:r w:rsidR="002B1D07" w:rsidRPr="009A1C0A">
        <w:rPr>
          <w:rStyle w:val="FootnoteReference"/>
          <w:spacing w:val="-2"/>
        </w:rPr>
        <w:footnoteReference w:id="11"/>
      </w:r>
    </w:p>
    <w:p w:rsidR="00266448" w:rsidRDefault="00266448" w:rsidP="00991F19">
      <w:pPr>
        <w:pStyle w:val="BodyText"/>
      </w:pPr>
      <w:r w:rsidRPr="008267DC">
        <w:rPr>
          <w:rFonts w:cs="Arial"/>
          <w:szCs w:val="20"/>
          <w:lang w:val="en-GB"/>
        </w:rPr>
        <w:t xml:space="preserve">PNG ranks 124 out of 136 countries in the United Nations Development Programme’s </w:t>
      </w:r>
      <w:r w:rsidRPr="009A1C0A">
        <w:rPr>
          <w:rFonts w:cs="Arial"/>
          <w:b/>
          <w:szCs w:val="20"/>
          <w:lang w:val="en-GB"/>
        </w:rPr>
        <w:t>gender-related development</w:t>
      </w:r>
      <w:r w:rsidRPr="008267DC">
        <w:rPr>
          <w:rFonts w:cs="Arial"/>
          <w:szCs w:val="20"/>
          <w:lang w:val="en-GB"/>
        </w:rPr>
        <w:t xml:space="preserve"> index.</w:t>
      </w:r>
      <w:r w:rsidRPr="008267DC">
        <w:rPr>
          <w:rStyle w:val="FootnoteReference"/>
          <w:rFonts w:cs="Arial"/>
          <w:szCs w:val="20"/>
          <w:lang w:val="en-GB"/>
        </w:rPr>
        <w:footnoteReference w:id="12"/>
      </w:r>
      <w:r w:rsidRPr="008267DC">
        <w:rPr>
          <w:rFonts w:cs="Arial"/>
          <w:szCs w:val="20"/>
          <w:lang w:val="en-GB"/>
        </w:rPr>
        <w:t xml:space="preserve"> This shows that women in PNG are significantly disadvantaged </w:t>
      </w:r>
      <w:r w:rsidR="00860D44">
        <w:rPr>
          <w:rFonts w:cs="Arial"/>
          <w:szCs w:val="20"/>
          <w:lang w:val="en-GB"/>
        </w:rPr>
        <w:t>relative</w:t>
      </w:r>
      <w:r w:rsidRPr="008267DC">
        <w:rPr>
          <w:rFonts w:cs="Arial"/>
          <w:szCs w:val="20"/>
          <w:lang w:val="en-GB"/>
        </w:rPr>
        <w:t xml:space="preserve"> to men in PNG and women in other parts of the world. </w:t>
      </w:r>
      <w:r w:rsidR="00860D44">
        <w:rPr>
          <w:rFonts w:cs="Arial"/>
          <w:szCs w:val="20"/>
          <w:lang w:val="en-GB"/>
        </w:rPr>
        <w:t xml:space="preserve">In </w:t>
      </w:r>
      <w:r w:rsidRPr="008267DC">
        <w:rPr>
          <w:rFonts w:cs="Arial"/>
          <w:szCs w:val="20"/>
          <w:lang w:val="en-GB"/>
        </w:rPr>
        <w:t xml:space="preserve">2008 </w:t>
      </w:r>
      <w:r w:rsidR="00860D44">
        <w:rPr>
          <w:rFonts w:cs="Arial"/>
          <w:szCs w:val="20"/>
          <w:lang w:val="en-GB"/>
        </w:rPr>
        <w:t>there was</w:t>
      </w:r>
      <w:r w:rsidR="00860D44" w:rsidRPr="008267DC">
        <w:rPr>
          <w:rFonts w:cs="Arial"/>
          <w:szCs w:val="20"/>
          <w:lang w:val="en-GB"/>
        </w:rPr>
        <w:t xml:space="preserve"> </w:t>
      </w:r>
      <w:r w:rsidRPr="008267DC">
        <w:rPr>
          <w:rFonts w:cs="Arial"/>
          <w:szCs w:val="20"/>
          <w:lang w:val="en-GB"/>
        </w:rPr>
        <w:t xml:space="preserve">a further attempt to have women appointed to </w:t>
      </w:r>
      <w:r>
        <w:rPr>
          <w:rFonts w:cs="Arial"/>
          <w:szCs w:val="20"/>
          <w:lang w:val="en-GB"/>
        </w:rPr>
        <w:t>P</w:t>
      </w:r>
      <w:r w:rsidRPr="008267DC">
        <w:rPr>
          <w:rFonts w:cs="Arial"/>
          <w:szCs w:val="20"/>
          <w:lang w:val="en-GB"/>
        </w:rPr>
        <w:t>arliament as allowed under the Constitution.</w:t>
      </w:r>
      <w:r>
        <w:rPr>
          <w:rFonts w:cs="Arial"/>
          <w:szCs w:val="20"/>
          <w:lang w:val="en-GB"/>
        </w:rPr>
        <w:t xml:space="preserve"> </w:t>
      </w:r>
      <w:r w:rsidRPr="008267DC">
        <w:rPr>
          <w:rFonts w:cs="Arial"/>
          <w:szCs w:val="20"/>
        </w:rPr>
        <w:t>Although three women were short listed according to a stringent merit</w:t>
      </w:r>
      <w:r w:rsidR="00860D44">
        <w:rPr>
          <w:rFonts w:cs="Arial"/>
          <w:szCs w:val="20"/>
        </w:rPr>
        <w:t>-</w:t>
      </w:r>
      <w:r w:rsidRPr="008267DC">
        <w:rPr>
          <w:rFonts w:cs="Arial"/>
          <w:szCs w:val="20"/>
        </w:rPr>
        <w:t>based selection process, Parliament did not pass the bill to appoint them</w:t>
      </w:r>
      <w:r>
        <w:rPr>
          <w:rFonts w:cs="Arial"/>
          <w:szCs w:val="20"/>
        </w:rPr>
        <w:t>.</w:t>
      </w:r>
    </w:p>
    <w:p w:rsidR="00266448" w:rsidRDefault="00814B9E" w:rsidP="00991F19">
      <w:pPr>
        <w:pStyle w:val="BodyText"/>
      </w:pPr>
      <w:r>
        <w:lastRenderedPageBreak/>
        <w:t>PNG’s c</w:t>
      </w:r>
      <w:r w:rsidR="00266448">
        <w:t xml:space="preserve">ontrol of </w:t>
      </w:r>
      <w:r w:rsidR="00266448" w:rsidRPr="00814B9E">
        <w:rPr>
          <w:b/>
        </w:rPr>
        <w:t>corruption</w:t>
      </w:r>
      <w:r w:rsidR="00860D44">
        <w:t>,</w:t>
      </w:r>
      <w:r w:rsidR="00266448">
        <w:t xml:space="preserve"> as measured by the World Bank</w:t>
      </w:r>
      <w:r w:rsidR="001D231A">
        <w:rPr>
          <w:rStyle w:val="FootnoteReference"/>
        </w:rPr>
        <w:footnoteReference w:id="13"/>
      </w:r>
      <w:r w:rsidR="00860D44">
        <w:t>,</w:t>
      </w:r>
      <w:r w:rsidR="00266448">
        <w:t xml:space="preserve"> is in long</w:t>
      </w:r>
      <w:r w:rsidR="00860D44">
        <w:t>-</w:t>
      </w:r>
      <w:r w:rsidR="00266448">
        <w:t xml:space="preserve">term decline. PNG is in the bottom </w:t>
      </w:r>
      <w:r w:rsidR="00860D44">
        <w:t xml:space="preserve">10 per cent </w:t>
      </w:r>
      <w:r w:rsidR="00266448">
        <w:t xml:space="preserve">of all countries </w:t>
      </w:r>
      <w:r>
        <w:t>ranked according their control of corruption</w:t>
      </w:r>
      <w:r w:rsidR="00266448">
        <w:t xml:space="preserve">, which significantly </w:t>
      </w:r>
      <w:r>
        <w:t xml:space="preserve">is </w:t>
      </w:r>
      <w:r w:rsidR="00266448">
        <w:t>its worst showing for all the</w:t>
      </w:r>
      <w:r w:rsidR="00613362">
        <w:t xml:space="preserve"> governance</w:t>
      </w:r>
      <w:r w:rsidR="00266448">
        <w:t xml:space="preserve"> indicators.</w:t>
      </w:r>
    </w:p>
    <w:p w:rsidR="00266448" w:rsidRDefault="00266448" w:rsidP="00991F19">
      <w:pPr>
        <w:pStyle w:val="BodyText"/>
      </w:pPr>
      <w:r>
        <w:t xml:space="preserve">The 2009 </w:t>
      </w:r>
      <w:r w:rsidRPr="00613362">
        <w:rPr>
          <w:b/>
        </w:rPr>
        <w:t>budget</w:t>
      </w:r>
      <w:r>
        <w:t xml:space="preserve"> is deliberately expansionary. It envisages a deficit of 2</w:t>
      </w:r>
      <w:r w:rsidR="001B735E">
        <w:t> per cent</w:t>
      </w:r>
      <w:r>
        <w:t xml:space="preserve"> of </w:t>
      </w:r>
      <w:r w:rsidR="001D231A">
        <w:t>gross domestic product after</w:t>
      </w:r>
      <w:r>
        <w:t xml:space="preserve"> a 4.5</w:t>
      </w:r>
      <w:r w:rsidR="001B735E">
        <w:t> per cent</w:t>
      </w:r>
      <w:r>
        <w:t xml:space="preserve"> surplus in 2008. There are significant risks of higher expenditure and lower revenues. The development budget for 2009 shows an increase, and for the first time PNG’s own resources make up more than half of it (though this has been achieved partly by reclassifying existing expenditure and partly because donor money was worth less in </w:t>
      </w:r>
      <w:r w:rsidR="001D231A">
        <w:t>k</w:t>
      </w:r>
      <w:r>
        <w:t xml:space="preserve">ina terms). </w:t>
      </w:r>
      <w:r w:rsidR="00613362">
        <w:t>An estimated 56 per cent</w:t>
      </w:r>
      <w:r w:rsidRPr="002F7FAF">
        <w:t xml:space="preserve"> of the 2009 </w:t>
      </w:r>
      <w:r>
        <w:t>b</w:t>
      </w:r>
      <w:r w:rsidRPr="002F7FAF">
        <w:t xml:space="preserve">udget overall (recurrent and development) </w:t>
      </w:r>
      <w:r w:rsidR="00613362">
        <w:t xml:space="preserve">is aligned </w:t>
      </w:r>
      <w:r w:rsidR="001D231A">
        <w:t>with</w:t>
      </w:r>
      <w:r w:rsidR="001D231A" w:rsidRPr="002F7FAF">
        <w:t xml:space="preserve"> </w:t>
      </w:r>
      <w:r w:rsidRPr="002F7FAF">
        <w:t>MTDS priorities</w:t>
      </w:r>
      <w:r w:rsidR="00613362">
        <w:t>—</w:t>
      </w:r>
      <w:r>
        <w:t>no greater than</w:t>
      </w:r>
      <w:r w:rsidRPr="002F7FAF">
        <w:t xml:space="preserve"> </w:t>
      </w:r>
      <w:r w:rsidR="00613362">
        <w:t xml:space="preserve">in </w:t>
      </w:r>
      <w:r w:rsidRPr="002F7FAF">
        <w:t xml:space="preserve">2008. </w:t>
      </w:r>
      <w:r>
        <w:t>In general</w:t>
      </w:r>
      <w:r w:rsidR="00613362">
        <w:t>,</w:t>
      </w:r>
      <w:r>
        <w:t xml:space="preserve"> the proportion of the budget directed to </w:t>
      </w:r>
      <w:r w:rsidR="00613362">
        <w:t xml:space="preserve">meeting </w:t>
      </w:r>
      <w:r w:rsidR="001D231A">
        <w:t xml:space="preserve">these </w:t>
      </w:r>
      <w:r>
        <w:t xml:space="preserve">priorities has risen </w:t>
      </w:r>
      <w:r w:rsidR="00613362">
        <w:t xml:space="preserve">since 2006 </w:t>
      </w:r>
      <w:r>
        <w:t xml:space="preserve">to </w:t>
      </w:r>
      <w:r w:rsidR="00613362">
        <w:t xml:space="preserve">reach </w:t>
      </w:r>
      <w:r>
        <w:t>the modest target of 55</w:t>
      </w:r>
      <w:r w:rsidR="001B735E">
        <w:t> per cent</w:t>
      </w:r>
      <w:r w:rsidR="004A2BB9">
        <w:t>,</w:t>
      </w:r>
      <w:r>
        <w:t xml:space="preserve"> but the </w:t>
      </w:r>
      <w:r w:rsidR="00613362">
        <w:t xml:space="preserve">corresponding </w:t>
      </w:r>
      <w:r>
        <w:t xml:space="preserve">proportion of the development budget </w:t>
      </w:r>
      <w:r w:rsidR="001D231A">
        <w:t xml:space="preserve">was </w:t>
      </w:r>
      <w:r>
        <w:t xml:space="preserve">reduced </w:t>
      </w:r>
      <w:r w:rsidR="001D231A">
        <w:t>in 2008 and 2009</w:t>
      </w:r>
      <w:r>
        <w:t xml:space="preserve"> (</w:t>
      </w:r>
      <w:r w:rsidR="001D231A">
        <w:t>Figure 1</w:t>
      </w:r>
      <w:r>
        <w:t>).</w:t>
      </w:r>
      <w:r w:rsidRPr="00DC6963">
        <w:t xml:space="preserve"> </w:t>
      </w:r>
      <w:r>
        <w:t xml:space="preserve">The continuing separation of the recurrent and development budgets remains a serious constraint to </w:t>
      </w:r>
      <w:r w:rsidR="004A2BB9">
        <w:t xml:space="preserve">efficient </w:t>
      </w:r>
      <w:r>
        <w:t>resource allocation.</w:t>
      </w:r>
    </w:p>
    <w:p w:rsidR="00266448" w:rsidRPr="009053ED" w:rsidRDefault="00266448" w:rsidP="00991F19">
      <w:pPr>
        <w:pStyle w:val="BodyText"/>
        <w:rPr>
          <w:spacing w:val="-1"/>
        </w:rPr>
      </w:pPr>
      <w:r w:rsidRPr="009053ED">
        <w:rPr>
          <w:spacing w:val="-1"/>
        </w:rPr>
        <w:t>The judg</w:t>
      </w:r>
      <w:r w:rsidR="00730D14" w:rsidRPr="009053ED">
        <w:rPr>
          <w:spacing w:val="-1"/>
        </w:rPr>
        <w:t>e</w:t>
      </w:r>
      <w:r w:rsidRPr="009053ED">
        <w:rPr>
          <w:spacing w:val="-1"/>
        </w:rPr>
        <w:t xml:space="preserve">ment of the </w:t>
      </w:r>
      <w:r w:rsidR="0014193E" w:rsidRPr="009053ED">
        <w:rPr>
          <w:spacing w:val="-1"/>
        </w:rPr>
        <w:t xml:space="preserve">International Monetary Fund </w:t>
      </w:r>
      <w:r w:rsidRPr="009053ED">
        <w:rPr>
          <w:spacing w:val="-1"/>
        </w:rPr>
        <w:t xml:space="preserve">is that progress </w:t>
      </w:r>
      <w:r w:rsidR="0014193E" w:rsidRPr="009053ED">
        <w:rPr>
          <w:spacing w:val="-1"/>
        </w:rPr>
        <w:t xml:space="preserve">in reducing </w:t>
      </w:r>
      <w:r w:rsidRPr="009053ED">
        <w:rPr>
          <w:spacing w:val="-1"/>
        </w:rPr>
        <w:t xml:space="preserve">debt, </w:t>
      </w:r>
      <w:r w:rsidR="0014193E" w:rsidRPr="009053ED">
        <w:rPr>
          <w:spacing w:val="-1"/>
        </w:rPr>
        <w:t xml:space="preserve">achieving </w:t>
      </w:r>
      <w:r w:rsidRPr="009053ED">
        <w:rPr>
          <w:spacing w:val="-1"/>
        </w:rPr>
        <w:t>large current account surpluses and sav</w:t>
      </w:r>
      <w:r w:rsidR="0014193E" w:rsidRPr="009053ED">
        <w:rPr>
          <w:spacing w:val="-1"/>
        </w:rPr>
        <w:t>ing</w:t>
      </w:r>
      <w:r w:rsidRPr="009053ED">
        <w:rPr>
          <w:spacing w:val="-1"/>
        </w:rPr>
        <w:t xml:space="preserve"> mineral revenue put PNG in a relatively favourable position at the onset of the </w:t>
      </w:r>
      <w:r w:rsidR="006F7C08" w:rsidRPr="009053ED">
        <w:rPr>
          <w:spacing w:val="-1"/>
        </w:rPr>
        <w:t>global recession</w:t>
      </w:r>
      <w:r w:rsidRPr="009053ED">
        <w:rPr>
          <w:spacing w:val="-1"/>
        </w:rPr>
        <w:t xml:space="preserve">. The </w:t>
      </w:r>
      <w:proofErr w:type="spellStart"/>
      <w:r w:rsidRPr="009053ED">
        <w:rPr>
          <w:spacing w:val="-1"/>
        </w:rPr>
        <w:t>spillover</w:t>
      </w:r>
      <w:proofErr w:type="spellEnd"/>
      <w:r w:rsidRPr="009053ED">
        <w:rPr>
          <w:spacing w:val="-1"/>
        </w:rPr>
        <w:t xml:space="preserve"> into PNG’s financial sector will be limited; the main effect will be decreased revenue </w:t>
      </w:r>
      <w:r w:rsidR="0014193E" w:rsidRPr="009053ED">
        <w:rPr>
          <w:spacing w:val="-1"/>
        </w:rPr>
        <w:t xml:space="preserve">as a result of </w:t>
      </w:r>
      <w:r w:rsidRPr="009053ED">
        <w:rPr>
          <w:spacing w:val="-1"/>
        </w:rPr>
        <w:t>falling commodity prices. The</w:t>
      </w:r>
      <w:r w:rsidR="00294C78">
        <w:rPr>
          <w:spacing w:val="-1"/>
        </w:rPr>
        <w:t> </w:t>
      </w:r>
      <w:r w:rsidR="006F7C08" w:rsidRPr="009053ED">
        <w:rPr>
          <w:spacing w:val="-1"/>
        </w:rPr>
        <w:t>global recession</w:t>
      </w:r>
      <w:r w:rsidRPr="009053ED">
        <w:rPr>
          <w:spacing w:val="-1"/>
        </w:rPr>
        <w:t xml:space="preserve"> is yet to have a substantial impact on the agricultural sector and rural communities</w:t>
      </w:r>
      <w:r w:rsidR="009053ED" w:rsidRPr="009053ED">
        <w:rPr>
          <w:spacing w:val="-1"/>
        </w:rPr>
        <w:t>—</w:t>
      </w:r>
      <w:r w:rsidRPr="009053ED">
        <w:rPr>
          <w:spacing w:val="-1"/>
        </w:rPr>
        <w:t>export crop prices have held up relatively well</w:t>
      </w:r>
      <w:r w:rsidR="009053ED" w:rsidRPr="009053ED">
        <w:rPr>
          <w:spacing w:val="-1"/>
        </w:rPr>
        <w:t>,</w:t>
      </w:r>
      <w:r w:rsidRPr="009053ED">
        <w:rPr>
          <w:spacing w:val="-1"/>
        </w:rPr>
        <w:t xml:space="preserve"> </w:t>
      </w:r>
      <w:r w:rsidR="009053ED" w:rsidRPr="009053ED">
        <w:rPr>
          <w:spacing w:val="-1"/>
        </w:rPr>
        <w:t>and the</w:t>
      </w:r>
      <w:r w:rsidRPr="009053ED">
        <w:rPr>
          <w:spacing w:val="-1"/>
        </w:rPr>
        <w:t xml:space="preserve"> genuinely vulnerable rural populations do not produce cash crops and </w:t>
      </w:r>
      <w:r w:rsidR="009053ED" w:rsidRPr="009053ED">
        <w:rPr>
          <w:spacing w:val="-1"/>
        </w:rPr>
        <w:t xml:space="preserve">so </w:t>
      </w:r>
      <w:r w:rsidRPr="009053ED">
        <w:rPr>
          <w:spacing w:val="-1"/>
        </w:rPr>
        <w:t>are insulated from the recession.</w:t>
      </w:r>
    </w:p>
    <w:p w:rsidR="005A2D1D" w:rsidRPr="00B871A9" w:rsidRDefault="005A2D1D" w:rsidP="005A2D1D">
      <w:pPr>
        <w:pStyle w:val="Caption"/>
        <w:framePr w:h="4743" w:hRule="exact" w:hSpace="181" w:wrap="around" w:vAnchor="page" w:hAnchor="page" w:x="1995" w:y="10186"/>
        <w:spacing w:before="180"/>
      </w:pPr>
      <w:r w:rsidRPr="00446BFE">
        <w:t xml:space="preserve">Figure </w:t>
      </w:r>
      <w:r w:rsidRPr="00446BFE">
        <w:fldChar w:fldCharType="begin"/>
      </w:r>
      <w:r w:rsidRPr="00446BFE">
        <w:instrText xml:space="preserve"> SEQ Figure \* ARABIC </w:instrText>
      </w:r>
      <w:r w:rsidRPr="00446BFE">
        <w:fldChar w:fldCharType="separate"/>
      </w:r>
      <w:r w:rsidR="009A291B">
        <w:rPr>
          <w:noProof/>
        </w:rPr>
        <w:t>1</w:t>
      </w:r>
      <w:r w:rsidRPr="00446BFE">
        <w:fldChar w:fldCharType="end"/>
      </w:r>
      <w:r w:rsidRPr="00446BFE">
        <w:t xml:space="preserve">: </w:t>
      </w:r>
      <w:r>
        <w:t>Proportion of PNG’s overall and development budgets directed to meeting priorities of the Medium Term Development Strategy</w:t>
      </w:r>
    </w:p>
    <w:tbl>
      <w:tblPr>
        <w:tblW w:w="793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938"/>
      </w:tblGrid>
      <w:tr w:rsidR="005A2D1D" w:rsidRPr="00446BFE">
        <w:tc>
          <w:tcPr>
            <w:tcW w:w="8505" w:type="dxa"/>
            <w:shd w:val="clear" w:color="auto" w:fill="auto"/>
          </w:tcPr>
          <w:p w:rsidR="005A2D1D" w:rsidRPr="00F645CB" w:rsidRDefault="005C25C3" w:rsidP="005A2D1D">
            <w:pPr>
              <w:framePr w:h="4743" w:hRule="exact" w:hSpace="181" w:wrap="around" w:vAnchor="page" w:hAnchor="page" w:x="1995" w:y="10186"/>
            </w:pPr>
            <w:r>
              <w:rPr>
                <w:noProof/>
                <w:lang w:val="en-US" w:eastAsia="en-US"/>
              </w:rPr>
              <w:drawing>
                <wp:inline distT="0" distB="0" distL="0" distR="0" wp14:anchorId="195C6FB4" wp14:editId="0A361141">
                  <wp:extent cx="5019675" cy="2514600"/>
                  <wp:effectExtent l="0" t="0" r="0" b="0"/>
                  <wp:docPr id="4" name="Picture 1" descr="All expenditure:&#10;2006 52 %&#10;2007 52%&#10;2008 56%&#10;2009 56%&#10;Development expenditure:&#10;2006 84%&#10;2007 89%&#10;2008 83%&#10;2009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9675" cy="2514600"/>
                          </a:xfrm>
                          <a:prstGeom prst="rect">
                            <a:avLst/>
                          </a:prstGeom>
                          <a:noFill/>
                          <a:ln>
                            <a:noFill/>
                          </a:ln>
                        </pic:spPr>
                      </pic:pic>
                    </a:graphicData>
                  </a:graphic>
                </wp:inline>
              </w:drawing>
            </w:r>
          </w:p>
        </w:tc>
      </w:tr>
    </w:tbl>
    <w:p w:rsidR="00266448" w:rsidRDefault="00266448" w:rsidP="00991F19">
      <w:pPr>
        <w:pStyle w:val="BodyText"/>
      </w:pPr>
      <w:r>
        <w:t xml:space="preserve">But the effects of the </w:t>
      </w:r>
      <w:r w:rsidR="006F7C08">
        <w:t>global recession</w:t>
      </w:r>
      <w:r>
        <w:t xml:space="preserve"> on demand may be worse than expected</w:t>
      </w:r>
      <w:r w:rsidR="00F51DEF">
        <w:t>,</w:t>
      </w:r>
      <w:r>
        <w:t xml:space="preserve"> and public expenditure and therefore service provision </w:t>
      </w:r>
      <w:r w:rsidR="00F51DEF">
        <w:t xml:space="preserve">are </w:t>
      </w:r>
      <w:r>
        <w:t xml:space="preserve">vulnerable to a prolonged downturn. Money built up in trust funds </w:t>
      </w:r>
      <w:r w:rsidR="00F51DEF">
        <w:t xml:space="preserve">during </w:t>
      </w:r>
      <w:r>
        <w:t xml:space="preserve">the </w:t>
      </w:r>
      <w:r w:rsidR="00F51DEF">
        <w:t>p</w:t>
      </w:r>
      <w:r>
        <w:t>ast three years for capital expenditure may cushion the effects for a while (and form</w:t>
      </w:r>
      <w:r w:rsidR="00F51DEF">
        <w:t>s</w:t>
      </w:r>
      <w:r>
        <w:t xml:space="preserve"> a significant part of the </w:t>
      </w:r>
      <w:r w:rsidR="00F51DEF">
        <w:t xml:space="preserve">government’s </w:t>
      </w:r>
      <w:r>
        <w:t xml:space="preserve">fiscal stimulus plans). But expenditure from the accounts has been slow, reflecting low sector capacity, and there has </w:t>
      </w:r>
      <w:r>
        <w:lastRenderedPageBreak/>
        <w:t>been ineffective accounting for sums spent to date.</w:t>
      </w:r>
      <w:r>
        <w:rPr>
          <w:rStyle w:val="FootnoteReference"/>
        </w:rPr>
        <w:footnoteReference w:id="14"/>
      </w:r>
      <w:r>
        <w:t xml:space="preserve"> Slow capital expenditure is aggravated by inadequate and inefficient expenditure from the recurrent budget (</w:t>
      </w:r>
      <w:r w:rsidR="00A80199">
        <w:t xml:space="preserve">in principle </w:t>
      </w:r>
      <w:r>
        <w:t xml:space="preserve">the trust funds cannot be used for recurrent costs). Although trust fund appropriations are aligned </w:t>
      </w:r>
      <w:r w:rsidR="00A80199">
        <w:t xml:space="preserve">in principle </w:t>
      </w:r>
      <w:r w:rsidR="00F51DEF">
        <w:t xml:space="preserve">with </w:t>
      </w:r>
      <w:r>
        <w:t>MTDS priorities, there was evidence in 2008 of money from them being reallocated from sector</w:t>
      </w:r>
      <w:r w:rsidR="00F51DEF">
        <w:t>al</w:t>
      </w:r>
      <w:r>
        <w:t xml:space="preserve"> </w:t>
      </w:r>
      <w:r w:rsidR="00F51DEF">
        <w:t xml:space="preserve">ministry </w:t>
      </w:r>
      <w:r>
        <w:t xml:space="preserve">control to activities with little </w:t>
      </w:r>
      <w:r w:rsidR="00C530EA">
        <w:t>relationship to MTDS priorities</w:t>
      </w:r>
      <w:r>
        <w:t>. Ther</w:t>
      </w:r>
      <w:r w:rsidR="007B2AB8">
        <w:t xml:space="preserve">e were worrying reductions in </w:t>
      </w:r>
      <w:r>
        <w:t xml:space="preserve">PNG </w:t>
      </w:r>
      <w:r w:rsidR="007B2AB8">
        <w:t xml:space="preserve">government </w:t>
      </w:r>
      <w:r>
        <w:t>funding commitments in the 2009 budget to such key poverty</w:t>
      </w:r>
      <w:r w:rsidR="00F51DEF">
        <w:t>-</w:t>
      </w:r>
      <w:r>
        <w:t xml:space="preserve">related </w:t>
      </w:r>
      <w:r w:rsidR="00F51DEF">
        <w:t xml:space="preserve">areas </w:t>
      </w:r>
      <w:r>
        <w:t xml:space="preserve">as road maintenance, law and justice, education and HIV/AIDS. </w:t>
      </w:r>
    </w:p>
    <w:p w:rsidR="00266448" w:rsidRDefault="00266448" w:rsidP="00991F19">
      <w:pPr>
        <w:pStyle w:val="BodyText"/>
      </w:pPr>
      <w:r>
        <w:t>One strategy for fast</w:t>
      </w:r>
      <w:r w:rsidR="00213B3E">
        <w:t>-</w:t>
      </w:r>
      <w:r>
        <w:t xml:space="preserve">tracking expenditure has been to put more money into the </w:t>
      </w:r>
      <w:r w:rsidR="00B53EA8" w:rsidRPr="00011299">
        <w:t>District Services Improvement Program</w:t>
      </w:r>
      <w:r w:rsidR="00015623">
        <w:t>, which is</w:t>
      </w:r>
      <w:r>
        <w:t xml:space="preserve"> controlled by </w:t>
      </w:r>
      <w:r w:rsidR="00213B3E">
        <w:t>members of parliament</w:t>
      </w:r>
      <w:r>
        <w:t>. But of the K356</w:t>
      </w:r>
      <w:r w:rsidR="00213B3E">
        <w:t> </w:t>
      </w:r>
      <w:r>
        <w:t>million tr</w:t>
      </w:r>
      <w:r w:rsidR="00B53EA8">
        <w:t>ansferred to districts only K44 </w:t>
      </w:r>
      <w:r>
        <w:t>million ha</w:t>
      </w:r>
      <w:r w:rsidR="00213B3E">
        <w:t>d</w:t>
      </w:r>
      <w:r>
        <w:t xml:space="preserve"> been spent</w:t>
      </w:r>
      <w:r>
        <w:rPr>
          <w:rStyle w:val="FootnoteReference"/>
        </w:rPr>
        <w:footnoteReference w:id="15"/>
      </w:r>
      <w:r>
        <w:t xml:space="preserve"> and there </w:t>
      </w:r>
      <w:r w:rsidR="00213B3E">
        <w:t>was</w:t>
      </w:r>
      <w:r>
        <w:t xml:space="preserve"> no financial reporting on the expenditure. </w:t>
      </w:r>
    </w:p>
    <w:p w:rsidR="00266448" w:rsidRDefault="00266448" w:rsidP="00991F19">
      <w:pPr>
        <w:pStyle w:val="BodyText"/>
      </w:pPr>
      <w:r>
        <w:t xml:space="preserve">A major step </w:t>
      </w:r>
      <w:r w:rsidR="00213B3E">
        <w:t xml:space="preserve">in </w:t>
      </w:r>
      <w:r>
        <w:t>improv</w:t>
      </w:r>
      <w:r w:rsidR="00213B3E">
        <w:t>ing</w:t>
      </w:r>
      <w:r>
        <w:t xml:space="preserve"> </w:t>
      </w:r>
      <w:r w:rsidR="00A80199">
        <w:t xml:space="preserve">the </w:t>
      </w:r>
      <w:r>
        <w:t xml:space="preserve">effectiveness of </w:t>
      </w:r>
      <w:r w:rsidRPr="00A80199">
        <w:rPr>
          <w:b/>
        </w:rPr>
        <w:t>public sector</w:t>
      </w:r>
      <w:r>
        <w:t xml:space="preserve"> institutions was taken in March 2009 with the passing of legislation completing the amendment of the system for intergovernmental transfers. Provinces will now receive transfers </w:t>
      </w:r>
      <w:r w:rsidR="00213B3E">
        <w:t xml:space="preserve">that </w:t>
      </w:r>
      <w:r>
        <w:t xml:space="preserve">are more closely related to the costs of </w:t>
      </w:r>
      <w:r w:rsidR="00213B3E">
        <w:t xml:space="preserve">providing </w:t>
      </w:r>
      <w:r>
        <w:t>service</w:t>
      </w:r>
      <w:r w:rsidR="00213B3E">
        <w:t>s</w:t>
      </w:r>
      <w:r>
        <w:t xml:space="preserve"> and </w:t>
      </w:r>
      <w:r w:rsidR="00A80199">
        <w:t xml:space="preserve">are </w:t>
      </w:r>
      <w:r>
        <w:t xml:space="preserve">directed to priority areas. Goods and services grants to provinces for key service delivery activities </w:t>
      </w:r>
      <w:r w:rsidR="00A80199">
        <w:t xml:space="preserve">were </w:t>
      </w:r>
      <w:r>
        <w:t>increased by 40</w:t>
      </w:r>
      <w:r w:rsidR="001B735E">
        <w:t> per cent</w:t>
      </w:r>
      <w:r>
        <w:t xml:space="preserve"> in the 2009 budget. PNG’s Provincial Performance Improvement Initiative grew to include all</w:t>
      </w:r>
      <w:r w:rsidR="00213B3E">
        <w:t xml:space="preserve"> of</w:t>
      </w:r>
      <w:r>
        <w:t xml:space="preserve"> the country’s provinces in 2008. While progress across provinces has been incremental, improvements are evident in better planning and budgeting processes, human resource management and financial management. </w:t>
      </w:r>
    </w:p>
    <w:p w:rsidR="00266448" w:rsidRDefault="00266448" w:rsidP="00991F19">
      <w:pPr>
        <w:pStyle w:val="BodyText"/>
      </w:pPr>
      <w:r>
        <w:t>Public service reform at the national level made very little progress</w:t>
      </w:r>
      <w:r w:rsidR="008F2C9F">
        <w:t xml:space="preserve"> in 2008</w:t>
      </w:r>
      <w:r>
        <w:t xml:space="preserve">. While existing projects such as </w:t>
      </w:r>
      <w:r w:rsidR="008F2C9F">
        <w:t xml:space="preserve">the devolution of </w:t>
      </w:r>
      <w:r>
        <w:t xml:space="preserve">human resource management and the strengthening of internal audit continued, a new strategic plan for public service reform was not completed and there remains no national vision for the future of the public service </w:t>
      </w:r>
      <w:r w:rsidR="008F2C9F">
        <w:t xml:space="preserve">that </w:t>
      </w:r>
      <w:r>
        <w:t>donors can support.</w:t>
      </w:r>
    </w:p>
    <w:p w:rsidR="00266448" w:rsidRDefault="00266448" w:rsidP="00991F19">
      <w:pPr>
        <w:pStyle w:val="BodyText"/>
      </w:pPr>
      <w:r>
        <w:t xml:space="preserve">A bold step was taken in 2007 to measure and publish progress </w:t>
      </w:r>
      <w:r w:rsidR="008F2C9F">
        <w:t>to</w:t>
      </w:r>
      <w:r w:rsidR="00A80199">
        <w:t>wards</w:t>
      </w:r>
      <w:r>
        <w:t xml:space="preserve"> MTDS</w:t>
      </w:r>
      <w:r w:rsidR="008F2C9F">
        <w:t xml:space="preserve"> priorities</w:t>
      </w:r>
      <w:r>
        <w:t xml:space="preserve">. Although a full assessment </w:t>
      </w:r>
      <w:r w:rsidR="008F2C9F">
        <w:t>w</w:t>
      </w:r>
      <w:r>
        <w:t xml:space="preserve">as not published in 2008, summary scores for </w:t>
      </w:r>
      <w:r w:rsidR="008F2C9F">
        <w:t>the progress</w:t>
      </w:r>
      <w:r>
        <w:t xml:space="preserve"> did appear in the 2009 budget papers. The momentum behind a performance system in the Prime Minister’s Department to track the delivery of annual targets across </w:t>
      </w:r>
      <w:r w:rsidR="008F2C9F">
        <w:t xml:space="preserve">government </w:t>
      </w:r>
      <w:r>
        <w:t xml:space="preserve">has </w:t>
      </w:r>
      <w:r w:rsidR="00C530EA">
        <w:t>been lost</w:t>
      </w:r>
      <w:r>
        <w:t>. However, there are still strong PNG-owned monitoring mechanisms in law and justice and health, and emerging systems for HIV and AIDS, education, provincial government and transport</w:t>
      </w:r>
      <w:r w:rsidR="008F2C9F">
        <w:t>,</w:t>
      </w:r>
      <w:r>
        <w:t xml:space="preserve"> which will be further developed through the Partnership </w:t>
      </w:r>
      <w:r w:rsidR="008F2C9F">
        <w:t>for Development</w:t>
      </w:r>
      <w:r>
        <w:t>.</w:t>
      </w:r>
    </w:p>
    <w:p w:rsidR="00266448" w:rsidRPr="00BC6B95" w:rsidRDefault="007B2AB8" w:rsidP="00991F19">
      <w:pPr>
        <w:pStyle w:val="BodyText"/>
        <w:rPr>
          <w:spacing w:val="-1"/>
        </w:rPr>
      </w:pPr>
      <w:r w:rsidRPr="00BC6B95">
        <w:rPr>
          <w:spacing w:val="-1"/>
        </w:rPr>
        <w:t>The PNG Government</w:t>
      </w:r>
      <w:r w:rsidR="00266448" w:rsidRPr="00BC6B95">
        <w:rPr>
          <w:spacing w:val="-1"/>
        </w:rPr>
        <w:t xml:space="preserve"> successfully reported its fiscal position in 2008 in accordance with its Fiscal Responsibility Act. This included reporting the </w:t>
      </w:r>
      <w:r w:rsidR="00355246" w:rsidRPr="00BC6B95">
        <w:rPr>
          <w:spacing w:val="-1"/>
        </w:rPr>
        <w:t xml:space="preserve">final budget outcome </w:t>
      </w:r>
      <w:r w:rsidR="00266448" w:rsidRPr="00BC6B95">
        <w:rPr>
          <w:spacing w:val="-1"/>
        </w:rPr>
        <w:t xml:space="preserve">for 2007, the 2009 </w:t>
      </w:r>
      <w:r w:rsidR="00355246" w:rsidRPr="00BC6B95">
        <w:rPr>
          <w:spacing w:val="-1"/>
        </w:rPr>
        <w:t xml:space="preserve">budget strategy </w:t>
      </w:r>
      <w:r w:rsidR="00266448" w:rsidRPr="00BC6B95">
        <w:rPr>
          <w:spacing w:val="-1"/>
        </w:rPr>
        <w:t xml:space="preserve">and the </w:t>
      </w:r>
      <w:r w:rsidR="00355246" w:rsidRPr="00BC6B95">
        <w:rPr>
          <w:spacing w:val="-1"/>
        </w:rPr>
        <w:t>mid-year economic and fiscal outlook</w:t>
      </w:r>
      <w:r w:rsidR="00266448" w:rsidRPr="00BC6B95">
        <w:rPr>
          <w:spacing w:val="-1"/>
        </w:rPr>
        <w:t>. The Act</w:t>
      </w:r>
      <w:r w:rsidR="00266448" w:rsidRPr="00BC6B95">
        <w:rPr>
          <w:i/>
          <w:spacing w:val="-1"/>
        </w:rPr>
        <w:t xml:space="preserve"> </w:t>
      </w:r>
      <w:r w:rsidR="00266448" w:rsidRPr="00BC6B95">
        <w:rPr>
          <w:spacing w:val="-1"/>
        </w:rPr>
        <w:t xml:space="preserve">also requires that Treasury be consulted where </w:t>
      </w:r>
      <w:r w:rsidR="00C74330" w:rsidRPr="00BC6B95">
        <w:rPr>
          <w:spacing w:val="-1"/>
        </w:rPr>
        <w:t xml:space="preserve">National Executive Council </w:t>
      </w:r>
      <w:r w:rsidR="00266448" w:rsidRPr="00BC6B95">
        <w:rPr>
          <w:spacing w:val="-1"/>
        </w:rPr>
        <w:t>(Cabinet) submissions have financial implications, but this is not being enforced.</w:t>
      </w:r>
      <w:r w:rsidR="00266448" w:rsidRPr="00BC6B95">
        <w:rPr>
          <w:rStyle w:val="FootnoteReference"/>
          <w:spacing w:val="-1"/>
        </w:rPr>
        <w:footnoteReference w:id="16"/>
      </w:r>
      <w:r w:rsidR="00266448" w:rsidRPr="00BC6B95">
        <w:rPr>
          <w:spacing w:val="-1"/>
        </w:rPr>
        <w:t xml:space="preserve"> A </w:t>
      </w:r>
      <w:r w:rsidR="00BE507C" w:rsidRPr="00BC6B95">
        <w:rPr>
          <w:spacing w:val="-1"/>
        </w:rPr>
        <w:t xml:space="preserve">public expenditure and financial accountability </w:t>
      </w:r>
      <w:r w:rsidR="00266448" w:rsidRPr="00BC6B95">
        <w:rPr>
          <w:spacing w:val="-1"/>
        </w:rPr>
        <w:t>assessment in 2008 evidenced no overall improvement in public expenditure management since 2006.</w:t>
      </w:r>
      <w:r w:rsidR="00266448" w:rsidRPr="00BC6B95">
        <w:rPr>
          <w:rStyle w:val="FootnoteReference"/>
          <w:spacing w:val="-1"/>
        </w:rPr>
        <w:footnoteReference w:id="17"/>
      </w:r>
      <w:r w:rsidR="00266448" w:rsidRPr="00BC6B95">
        <w:rPr>
          <w:spacing w:val="-1"/>
        </w:rPr>
        <w:t xml:space="preserve"> </w:t>
      </w:r>
      <w:r w:rsidRPr="00BC6B95">
        <w:rPr>
          <w:spacing w:val="-1"/>
        </w:rPr>
        <w:t>The PNG Government</w:t>
      </w:r>
      <w:r w:rsidR="00BE507C" w:rsidRPr="00BC6B95">
        <w:rPr>
          <w:spacing w:val="-1"/>
        </w:rPr>
        <w:t xml:space="preserve"> achieved ‘</w:t>
      </w:r>
      <w:r w:rsidR="00266448" w:rsidRPr="00BC6B95">
        <w:rPr>
          <w:spacing w:val="-1"/>
        </w:rPr>
        <w:t>A</w:t>
      </w:r>
      <w:r w:rsidR="00BE507C" w:rsidRPr="00BC6B95">
        <w:rPr>
          <w:spacing w:val="-1"/>
        </w:rPr>
        <w:t>’ or ‘B’</w:t>
      </w:r>
      <w:r w:rsidR="00266448" w:rsidRPr="00BC6B95">
        <w:rPr>
          <w:spacing w:val="-1"/>
        </w:rPr>
        <w:t xml:space="preserve"> scores for 27</w:t>
      </w:r>
      <w:r w:rsidR="0009381E" w:rsidRPr="00BC6B95">
        <w:rPr>
          <w:spacing w:val="-1"/>
        </w:rPr>
        <w:t> </w:t>
      </w:r>
      <w:r w:rsidR="00266448" w:rsidRPr="00BC6B95">
        <w:rPr>
          <w:spacing w:val="-1"/>
        </w:rPr>
        <w:t xml:space="preserve">per cent of </w:t>
      </w:r>
      <w:r w:rsidR="00BE507C" w:rsidRPr="00BC6B95">
        <w:rPr>
          <w:spacing w:val="-1"/>
        </w:rPr>
        <w:t>the assessment</w:t>
      </w:r>
      <w:r w:rsidR="00266448" w:rsidRPr="00BC6B95">
        <w:rPr>
          <w:spacing w:val="-1"/>
        </w:rPr>
        <w:t xml:space="preserve"> indicators, compared </w:t>
      </w:r>
      <w:r w:rsidR="00BE507C" w:rsidRPr="00BC6B95">
        <w:rPr>
          <w:spacing w:val="-1"/>
        </w:rPr>
        <w:t>with</w:t>
      </w:r>
      <w:r w:rsidR="00266448" w:rsidRPr="00BC6B95">
        <w:rPr>
          <w:spacing w:val="-1"/>
        </w:rPr>
        <w:t xml:space="preserve"> 34</w:t>
      </w:r>
      <w:r w:rsidR="0009381E" w:rsidRPr="00BC6B95">
        <w:rPr>
          <w:spacing w:val="-1"/>
        </w:rPr>
        <w:t> </w:t>
      </w:r>
      <w:r w:rsidR="00266448" w:rsidRPr="00BC6B95">
        <w:rPr>
          <w:spacing w:val="-1"/>
        </w:rPr>
        <w:t xml:space="preserve">per cent in 2006. The assessment confirmed </w:t>
      </w:r>
      <w:r w:rsidRPr="00BC6B95">
        <w:rPr>
          <w:spacing w:val="-1"/>
        </w:rPr>
        <w:t>the government</w:t>
      </w:r>
      <w:r w:rsidR="00266448" w:rsidRPr="00BC6B95">
        <w:rPr>
          <w:spacing w:val="-1"/>
        </w:rPr>
        <w:t>’s sound budget planning and preparation processes</w:t>
      </w:r>
      <w:r w:rsidR="0009381E" w:rsidRPr="00BC6B95">
        <w:rPr>
          <w:spacing w:val="-1"/>
        </w:rPr>
        <w:t>,</w:t>
      </w:r>
      <w:r w:rsidR="00266448" w:rsidRPr="00BC6B95">
        <w:rPr>
          <w:spacing w:val="-1"/>
        </w:rPr>
        <w:t xml:space="preserve"> and procurement processes. However, </w:t>
      </w:r>
      <w:r w:rsidR="00266448" w:rsidRPr="00BC6B95">
        <w:rPr>
          <w:spacing w:val="-1"/>
        </w:rPr>
        <w:lastRenderedPageBreak/>
        <w:t xml:space="preserve">overall ratings were low and weaknesses were observed in </w:t>
      </w:r>
      <w:r w:rsidR="00F21B2F" w:rsidRPr="00BC6B95">
        <w:rPr>
          <w:spacing w:val="-1"/>
        </w:rPr>
        <w:t xml:space="preserve">the </w:t>
      </w:r>
      <w:r w:rsidR="00266448" w:rsidRPr="00BC6B95">
        <w:rPr>
          <w:spacing w:val="-1"/>
        </w:rPr>
        <w:t>control of expenditure, accounting, recording and reporting, and external scrutiny and audit.</w:t>
      </w:r>
    </w:p>
    <w:p w:rsidR="00266448" w:rsidRDefault="00266448" w:rsidP="00991F19">
      <w:pPr>
        <w:pStyle w:val="BodyText"/>
      </w:pPr>
      <w:r w:rsidRPr="008207C7">
        <w:rPr>
          <w:b/>
        </w:rPr>
        <w:t>Aid</w:t>
      </w:r>
      <w:r>
        <w:t xml:space="preserve"> is declining both in real terms and as a proportion of </w:t>
      </w:r>
      <w:r w:rsidR="00BE507C">
        <w:t>gross national income</w:t>
      </w:r>
      <w:r>
        <w:t xml:space="preserve">. </w:t>
      </w:r>
      <w:smartTag w:uri="urn:schemas-microsoft-com:office:smarttags" w:element="place">
        <w:smartTag w:uri="urn:schemas-microsoft-com:office:smarttags" w:element="country-region">
          <w:r>
            <w:t>Australia</w:t>
          </w:r>
        </w:smartTag>
      </w:smartTag>
      <w:r>
        <w:t xml:space="preserve"> remains the predominant donor in PNG (</w:t>
      </w:r>
      <w:r w:rsidR="00F21B2F">
        <w:t>Table 2</w:t>
      </w:r>
      <w:r>
        <w:t>) and</w:t>
      </w:r>
      <w:r w:rsidR="00F21B2F">
        <w:t>,</w:t>
      </w:r>
      <w:r>
        <w:t xml:space="preserve"> in some sectors, such as law and justice, is the only significant donor.</w:t>
      </w:r>
    </w:p>
    <w:p w:rsidR="0074714C" w:rsidRDefault="0074714C" w:rsidP="00991F19">
      <w:pPr>
        <w:pStyle w:val="Caption"/>
        <w:ind w:right="3977"/>
      </w:pPr>
      <w:r>
        <w:t xml:space="preserve">Table </w:t>
      </w:r>
      <w:fldSimple w:instr=" SEQ Table \* MERGEFORMAT ">
        <w:r w:rsidR="009A291B">
          <w:rPr>
            <w:noProof/>
          </w:rPr>
          <w:t>2</w:t>
        </w:r>
      </w:fldSimple>
      <w:r>
        <w:t xml:space="preserve">: </w:t>
      </w:r>
      <w:r w:rsidR="005757BD" w:rsidRPr="00541E6E">
        <w:t>PNG</w:t>
      </w:r>
      <w:r w:rsidR="00506640">
        <w:t>’s 2008</w:t>
      </w:r>
      <w:r w:rsidR="005757BD" w:rsidRPr="00541E6E">
        <w:t xml:space="preserve"> official development assistance by source </w:t>
      </w:r>
      <w:r w:rsidR="005757BD">
        <w:t>of grants</w:t>
      </w:r>
    </w:p>
    <w:tbl>
      <w:tblPr>
        <w:tblW w:w="0" w:type="auto"/>
        <w:tblInd w:w="57" w:type="dxa"/>
        <w:tblLayout w:type="fixed"/>
        <w:tblLook w:val="0000" w:firstRow="0" w:lastRow="0" w:firstColumn="0" w:lastColumn="0" w:noHBand="0" w:noVBand="0"/>
      </w:tblPr>
      <w:tblGrid>
        <w:gridCol w:w="1984"/>
        <w:gridCol w:w="1984"/>
      </w:tblGrid>
      <w:tr w:rsidR="0074714C" w:rsidRPr="0074714C" w:rsidTr="001D3E68">
        <w:trPr>
          <w:cantSplit/>
          <w:tblHeader/>
        </w:trPr>
        <w:tc>
          <w:tcPr>
            <w:tcW w:w="1984" w:type="dxa"/>
            <w:tcBorders>
              <w:bottom w:val="single" w:sz="12" w:space="0" w:color="auto"/>
            </w:tcBorders>
            <w:shd w:val="clear" w:color="auto" w:fill="DDCF56"/>
            <w:tcMar>
              <w:left w:w="57" w:type="dxa"/>
              <w:right w:w="57" w:type="dxa"/>
            </w:tcMar>
          </w:tcPr>
          <w:p w:rsidR="0074714C" w:rsidRPr="0074714C" w:rsidRDefault="0074714C" w:rsidP="0074714C">
            <w:pPr>
              <w:pStyle w:val="TableDataColumnHeading"/>
              <w:jc w:val="left"/>
            </w:pPr>
          </w:p>
        </w:tc>
        <w:tc>
          <w:tcPr>
            <w:tcW w:w="1984" w:type="dxa"/>
            <w:tcBorders>
              <w:bottom w:val="single" w:sz="12" w:space="0" w:color="auto"/>
            </w:tcBorders>
            <w:shd w:val="clear" w:color="auto" w:fill="DDCF56"/>
            <w:tcMar>
              <w:left w:w="57" w:type="dxa"/>
              <w:right w:w="57" w:type="dxa"/>
            </w:tcMar>
          </w:tcPr>
          <w:p w:rsidR="0074714C" w:rsidRPr="0074714C" w:rsidRDefault="0074714C" w:rsidP="0074714C">
            <w:pPr>
              <w:pStyle w:val="TableDataColumnHeading"/>
            </w:pPr>
            <w:r>
              <w:t>2009 projections</w:t>
            </w:r>
          </w:p>
        </w:tc>
      </w:tr>
      <w:tr w:rsidR="0074714C" w:rsidTr="001D3E68">
        <w:trPr>
          <w:cantSplit/>
        </w:trPr>
        <w:tc>
          <w:tcPr>
            <w:tcW w:w="1984" w:type="dxa"/>
            <w:tcBorders>
              <w:top w:val="single" w:sz="12" w:space="0" w:color="auto"/>
            </w:tcBorders>
            <w:shd w:val="clear" w:color="auto" w:fill="auto"/>
            <w:tcMar>
              <w:left w:w="57" w:type="dxa"/>
              <w:right w:w="57" w:type="dxa"/>
            </w:tcMar>
          </w:tcPr>
          <w:p w:rsidR="0074714C" w:rsidRDefault="0074714C" w:rsidP="0074714C">
            <w:pPr>
              <w:pStyle w:val="TableUnit"/>
              <w:jc w:val="left"/>
            </w:pPr>
          </w:p>
        </w:tc>
        <w:tc>
          <w:tcPr>
            <w:tcW w:w="1984" w:type="dxa"/>
            <w:tcBorders>
              <w:top w:val="single" w:sz="12" w:space="0" w:color="auto"/>
            </w:tcBorders>
            <w:shd w:val="clear" w:color="auto" w:fill="auto"/>
            <w:tcMar>
              <w:left w:w="57" w:type="dxa"/>
              <w:right w:w="57" w:type="dxa"/>
            </w:tcMar>
          </w:tcPr>
          <w:p w:rsidR="0074714C" w:rsidRDefault="0074714C" w:rsidP="00A964DE">
            <w:pPr>
              <w:pStyle w:val="TableUnit"/>
            </w:pPr>
            <w:r>
              <w:t>kina million</w:t>
            </w:r>
          </w:p>
        </w:tc>
      </w:tr>
      <w:tr w:rsidR="0074714C" w:rsidTr="001D3E68">
        <w:trPr>
          <w:cantSplit/>
        </w:trPr>
        <w:tc>
          <w:tcPr>
            <w:tcW w:w="1984" w:type="dxa"/>
            <w:shd w:val="clear" w:color="auto" w:fill="auto"/>
            <w:tcMar>
              <w:left w:w="57" w:type="dxa"/>
              <w:right w:w="57" w:type="dxa"/>
            </w:tcMar>
            <w:vAlign w:val="bottom"/>
          </w:tcPr>
          <w:p w:rsidR="0074714C" w:rsidRDefault="0074714C" w:rsidP="0074714C">
            <w:pPr>
              <w:pStyle w:val="TableDataEntries"/>
              <w:jc w:val="left"/>
            </w:pPr>
            <w:smartTag w:uri="urn:schemas-microsoft-com:office:smarttags" w:element="place">
              <w:smartTag w:uri="urn:schemas-microsoft-com:office:smarttags" w:element="country-region">
                <w:r>
                  <w:t>Australia</w:t>
                </w:r>
              </w:smartTag>
            </w:smartTag>
          </w:p>
        </w:tc>
        <w:tc>
          <w:tcPr>
            <w:tcW w:w="1984" w:type="dxa"/>
            <w:shd w:val="clear" w:color="auto" w:fill="auto"/>
            <w:tcMar>
              <w:left w:w="57" w:type="dxa"/>
              <w:right w:w="57" w:type="dxa"/>
            </w:tcMar>
            <w:vAlign w:val="bottom"/>
          </w:tcPr>
          <w:p w:rsidR="0074714C" w:rsidRDefault="0074714C" w:rsidP="0074714C">
            <w:pPr>
              <w:pStyle w:val="TableDataEntries"/>
            </w:pPr>
            <w:r>
              <w:t>699</w:t>
            </w:r>
          </w:p>
        </w:tc>
      </w:tr>
      <w:tr w:rsidR="0074714C" w:rsidTr="001D3E68">
        <w:trPr>
          <w:cantSplit/>
        </w:trPr>
        <w:tc>
          <w:tcPr>
            <w:tcW w:w="1984" w:type="dxa"/>
            <w:shd w:val="clear" w:color="auto" w:fill="auto"/>
            <w:tcMar>
              <w:left w:w="57" w:type="dxa"/>
              <w:right w:w="57" w:type="dxa"/>
            </w:tcMar>
            <w:vAlign w:val="bottom"/>
          </w:tcPr>
          <w:p w:rsidR="0074714C" w:rsidRDefault="0074714C" w:rsidP="0074714C">
            <w:pPr>
              <w:pStyle w:val="TableDataEntries"/>
              <w:jc w:val="left"/>
            </w:pPr>
            <w:smartTag w:uri="urn:schemas-microsoft-com:office:smarttags" w:element="place">
              <w:smartTag w:uri="urn:schemas-microsoft-com:office:smarttags" w:element="country-region">
                <w:r>
                  <w:t>Japan</w:t>
                </w:r>
              </w:smartTag>
            </w:smartTag>
          </w:p>
        </w:tc>
        <w:tc>
          <w:tcPr>
            <w:tcW w:w="1984" w:type="dxa"/>
            <w:shd w:val="clear" w:color="auto" w:fill="auto"/>
            <w:tcMar>
              <w:left w:w="57" w:type="dxa"/>
              <w:right w:w="57" w:type="dxa"/>
            </w:tcMar>
            <w:vAlign w:val="bottom"/>
          </w:tcPr>
          <w:p w:rsidR="0074714C" w:rsidRDefault="0074714C" w:rsidP="0074714C">
            <w:pPr>
              <w:pStyle w:val="TableDataEntries"/>
            </w:pPr>
            <w:r>
              <w:t>140</w:t>
            </w:r>
          </w:p>
        </w:tc>
      </w:tr>
      <w:tr w:rsidR="0074714C" w:rsidTr="001D3E68">
        <w:trPr>
          <w:cantSplit/>
        </w:trPr>
        <w:tc>
          <w:tcPr>
            <w:tcW w:w="1984" w:type="dxa"/>
            <w:shd w:val="clear" w:color="auto" w:fill="auto"/>
            <w:tcMar>
              <w:left w:w="57" w:type="dxa"/>
              <w:right w:w="57" w:type="dxa"/>
            </w:tcMar>
            <w:vAlign w:val="bottom"/>
          </w:tcPr>
          <w:p w:rsidR="0074714C" w:rsidRDefault="00F21B2F" w:rsidP="0074714C">
            <w:pPr>
              <w:pStyle w:val="TableDataEntries"/>
              <w:jc w:val="left"/>
            </w:pPr>
            <w:r>
              <w:t>European Union</w:t>
            </w:r>
          </w:p>
        </w:tc>
        <w:tc>
          <w:tcPr>
            <w:tcW w:w="1984" w:type="dxa"/>
            <w:shd w:val="clear" w:color="auto" w:fill="auto"/>
            <w:tcMar>
              <w:left w:w="57" w:type="dxa"/>
              <w:right w:w="57" w:type="dxa"/>
            </w:tcMar>
            <w:vAlign w:val="bottom"/>
          </w:tcPr>
          <w:p w:rsidR="0074714C" w:rsidRDefault="0074714C" w:rsidP="0074714C">
            <w:pPr>
              <w:pStyle w:val="TableDataEntries"/>
            </w:pPr>
            <w:r>
              <w:t>19</w:t>
            </w:r>
          </w:p>
        </w:tc>
      </w:tr>
      <w:tr w:rsidR="0074714C" w:rsidTr="001D3E68">
        <w:trPr>
          <w:cantSplit/>
        </w:trPr>
        <w:tc>
          <w:tcPr>
            <w:tcW w:w="1984" w:type="dxa"/>
            <w:shd w:val="clear" w:color="auto" w:fill="auto"/>
            <w:tcMar>
              <w:left w:w="57" w:type="dxa"/>
              <w:right w:w="57" w:type="dxa"/>
            </w:tcMar>
            <w:vAlign w:val="bottom"/>
          </w:tcPr>
          <w:p w:rsidR="0074714C" w:rsidRDefault="0074714C" w:rsidP="0074714C">
            <w:pPr>
              <w:pStyle w:val="TableDataEntries"/>
              <w:jc w:val="left"/>
            </w:pPr>
            <w:smartTag w:uri="urn:schemas-microsoft-com:office:smarttags" w:element="place">
              <w:smartTag w:uri="urn:schemas-microsoft-com:office:smarttags" w:element="country-region">
                <w:r>
                  <w:t>New Zealand</w:t>
                </w:r>
              </w:smartTag>
            </w:smartTag>
          </w:p>
        </w:tc>
        <w:tc>
          <w:tcPr>
            <w:tcW w:w="1984" w:type="dxa"/>
            <w:shd w:val="clear" w:color="auto" w:fill="auto"/>
            <w:tcMar>
              <w:left w:w="57" w:type="dxa"/>
              <w:right w:w="57" w:type="dxa"/>
            </w:tcMar>
            <w:vAlign w:val="bottom"/>
          </w:tcPr>
          <w:p w:rsidR="0074714C" w:rsidRDefault="0074714C" w:rsidP="0074714C">
            <w:pPr>
              <w:pStyle w:val="TableDataEntries"/>
            </w:pPr>
            <w:r>
              <w:t>48</w:t>
            </w:r>
          </w:p>
        </w:tc>
      </w:tr>
      <w:tr w:rsidR="0074714C" w:rsidTr="001D3E68">
        <w:trPr>
          <w:cantSplit/>
        </w:trPr>
        <w:tc>
          <w:tcPr>
            <w:tcW w:w="1984" w:type="dxa"/>
            <w:shd w:val="clear" w:color="auto" w:fill="auto"/>
            <w:tcMar>
              <w:left w:w="57" w:type="dxa"/>
              <w:right w:w="57" w:type="dxa"/>
            </w:tcMar>
            <w:vAlign w:val="bottom"/>
          </w:tcPr>
          <w:p w:rsidR="0074714C" w:rsidRDefault="0074714C" w:rsidP="0074714C">
            <w:pPr>
              <w:pStyle w:val="TableDataEntries"/>
              <w:jc w:val="left"/>
            </w:pPr>
            <w:smartTag w:uri="urn:schemas-microsoft-com:office:smarttags" w:element="place">
              <w:smartTag w:uri="urn:schemas-microsoft-com:office:smarttags" w:element="country-region">
                <w:r>
                  <w:t>China</w:t>
                </w:r>
              </w:smartTag>
            </w:smartTag>
          </w:p>
        </w:tc>
        <w:tc>
          <w:tcPr>
            <w:tcW w:w="1984" w:type="dxa"/>
            <w:shd w:val="clear" w:color="auto" w:fill="auto"/>
            <w:tcMar>
              <w:left w:w="57" w:type="dxa"/>
              <w:right w:w="57" w:type="dxa"/>
            </w:tcMar>
            <w:vAlign w:val="bottom"/>
          </w:tcPr>
          <w:p w:rsidR="0074714C" w:rsidRDefault="0074714C" w:rsidP="0074714C">
            <w:pPr>
              <w:pStyle w:val="TableDataEntries"/>
            </w:pPr>
            <w:r>
              <w:t>24</w:t>
            </w:r>
          </w:p>
        </w:tc>
      </w:tr>
      <w:tr w:rsidR="0074714C" w:rsidTr="001D3E68">
        <w:trPr>
          <w:cantSplit/>
        </w:trPr>
        <w:tc>
          <w:tcPr>
            <w:tcW w:w="1984" w:type="dxa"/>
            <w:tcBorders>
              <w:bottom w:val="single" w:sz="12" w:space="0" w:color="auto"/>
            </w:tcBorders>
            <w:shd w:val="clear" w:color="auto" w:fill="auto"/>
            <w:tcMar>
              <w:left w:w="57" w:type="dxa"/>
              <w:right w:w="57" w:type="dxa"/>
            </w:tcMar>
            <w:vAlign w:val="bottom"/>
          </w:tcPr>
          <w:p w:rsidR="0074714C" w:rsidRDefault="0074714C" w:rsidP="0074714C">
            <w:pPr>
              <w:pStyle w:val="TableDataEntries"/>
              <w:jc w:val="left"/>
            </w:pPr>
            <w:r>
              <w:t>Others</w:t>
            </w:r>
          </w:p>
        </w:tc>
        <w:tc>
          <w:tcPr>
            <w:tcW w:w="1984" w:type="dxa"/>
            <w:tcBorders>
              <w:bottom w:val="single" w:sz="12" w:space="0" w:color="auto"/>
            </w:tcBorders>
            <w:shd w:val="clear" w:color="auto" w:fill="auto"/>
            <w:tcMar>
              <w:left w:w="57" w:type="dxa"/>
              <w:right w:w="57" w:type="dxa"/>
            </w:tcMar>
            <w:vAlign w:val="bottom"/>
          </w:tcPr>
          <w:p w:rsidR="0074714C" w:rsidRDefault="0074714C" w:rsidP="0074714C">
            <w:pPr>
              <w:pStyle w:val="TableDataEntries"/>
            </w:pPr>
            <w:r>
              <w:t>40</w:t>
            </w:r>
          </w:p>
        </w:tc>
      </w:tr>
    </w:tbl>
    <w:p w:rsidR="005757BD" w:rsidRDefault="005757BD" w:rsidP="00991F19">
      <w:pPr>
        <w:pStyle w:val="Note"/>
        <w:ind w:right="3977"/>
      </w:pPr>
      <w:r>
        <w:t xml:space="preserve">Note: </w:t>
      </w:r>
      <w:r w:rsidRPr="00541E6E">
        <w:t xml:space="preserve">Estimates for Australian aid may not </w:t>
      </w:r>
      <w:r>
        <w:t>match</w:t>
      </w:r>
      <w:r w:rsidRPr="00541E6E">
        <w:t xml:space="preserve"> figures given elsewhere in this report.</w:t>
      </w:r>
    </w:p>
    <w:p w:rsidR="0074714C" w:rsidRPr="0074714C" w:rsidRDefault="0074714C" w:rsidP="00991F19">
      <w:pPr>
        <w:pStyle w:val="Source"/>
      </w:pPr>
      <w:r>
        <w:t>Source</w:t>
      </w:r>
      <w:r w:rsidRPr="00D33DDE">
        <w:t xml:space="preserve">: </w:t>
      </w:r>
      <w:r w:rsidRPr="0074714C">
        <w:t>PNG</w:t>
      </w:r>
      <w:r w:rsidR="00506640" w:rsidRPr="00506640">
        <w:t xml:space="preserve"> </w:t>
      </w:r>
      <w:r w:rsidR="00506640" w:rsidRPr="00BB44EA">
        <w:t>2009</w:t>
      </w:r>
      <w:r w:rsidR="00506640" w:rsidRPr="00337E9C">
        <w:t xml:space="preserve"> budge</w:t>
      </w:r>
      <w:r w:rsidR="00506640">
        <w:t>t statement.</w:t>
      </w:r>
    </w:p>
    <w:p w:rsidR="00266448" w:rsidRPr="00DF6E74" w:rsidRDefault="007B2AB8" w:rsidP="00991F19">
      <w:pPr>
        <w:pStyle w:val="BodyText"/>
      </w:pPr>
      <w:r>
        <w:t xml:space="preserve">The </w:t>
      </w:r>
      <w:r w:rsidR="00266448">
        <w:t>PNG</w:t>
      </w:r>
      <w:r>
        <w:t xml:space="preserve"> Government</w:t>
      </w:r>
      <w:r w:rsidR="00266448">
        <w:t xml:space="preserve">’s interest in managing aid effectively peaked with the </w:t>
      </w:r>
      <w:r w:rsidR="00FA1137">
        <w:t xml:space="preserve">signing </w:t>
      </w:r>
      <w:r w:rsidR="00266448">
        <w:t xml:space="preserve">in July 2008 of the PNG Commitment on Aid Effectiveness, a reworking of the </w:t>
      </w:r>
      <w:proofErr w:type="spellStart"/>
      <w:r w:rsidR="00266448">
        <w:t>Kavieng</w:t>
      </w:r>
      <w:proofErr w:type="spellEnd"/>
      <w:r w:rsidR="00266448">
        <w:t xml:space="preserve"> Declaration. Th</w:t>
      </w:r>
      <w:r w:rsidR="008207C7">
        <w:t>e commitment</w:t>
      </w:r>
      <w:r w:rsidR="00266448">
        <w:t xml:space="preserve"> included an action plan for 2008 and targets to 2012, but mechanisms to monitor the action plan have not been set up. The </w:t>
      </w:r>
      <w:r w:rsidR="008207C7">
        <w:t xml:space="preserve">OECD’s </w:t>
      </w:r>
      <w:r w:rsidR="00266448">
        <w:t xml:space="preserve">2008 survey on monitoring the Paris Declaration </w:t>
      </w:r>
      <w:r w:rsidR="00FA1137">
        <w:t xml:space="preserve">on Aid Effectiveness </w:t>
      </w:r>
      <w:r w:rsidR="00266448">
        <w:t>suggested that donors in PNG were doing as well as the survey average in providing predictable aid and in working together in program</w:t>
      </w:r>
      <w:r w:rsidR="00FA1137">
        <w:t>-</w:t>
      </w:r>
      <w:r w:rsidR="00266448">
        <w:t>based approaches, but that little progress ha</w:t>
      </w:r>
      <w:r w:rsidR="00FA1137">
        <w:t>d</w:t>
      </w:r>
      <w:r w:rsidR="00266448">
        <w:t xml:space="preserve"> been made in using PNG systems for deliver</w:t>
      </w:r>
      <w:r w:rsidR="00FA1137">
        <w:t>ing aid</w:t>
      </w:r>
      <w:r w:rsidR="00266448">
        <w:t xml:space="preserve">. Donors can improve their coordination at </w:t>
      </w:r>
      <w:r w:rsidR="00FA1137">
        <w:t xml:space="preserve">the </w:t>
      </w:r>
      <w:r w:rsidR="00266448">
        <w:t>sector</w:t>
      </w:r>
      <w:r w:rsidR="00FA1137">
        <w:t>al</w:t>
      </w:r>
      <w:r w:rsidR="00266448">
        <w:t xml:space="preserve"> level (for example</w:t>
      </w:r>
      <w:r w:rsidR="00FA1137">
        <w:t>,</w:t>
      </w:r>
      <w:r w:rsidR="00266448">
        <w:t xml:space="preserve"> by further aligning infrastructure priorities and improving the functioning of the health </w:t>
      </w:r>
      <w:r w:rsidR="00886C6D">
        <w:t>sector-wide approach</w:t>
      </w:r>
      <w:r w:rsidR="00266448">
        <w:t xml:space="preserve">), but </w:t>
      </w:r>
      <w:r w:rsidR="00A51CF9">
        <w:t xml:space="preserve">addressing the </w:t>
      </w:r>
      <w:r w:rsidR="00266448">
        <w:t xml:space="preserve">constraints </w:t>
      </w:r>
      <w:r w:rsidR="00FA1137">
        <w:t xml:space="preserve">on </w:t>
      </w:r>
      <w:r w:rsidR="00266448">
        <w:t xml:space="preserve">greater aid effectiveness </w:t>
      </w:r>
      <w:r w:rsidR="00A51CF9">
        <w:t>will require regular and constructive</w:t>
      </w:r>
      <w:r w:rsidR="00266448">
        <w:t xml:space="preserve"> PNG-led dialogue with donors.</w:t>
      </w:r>
    </w:p>
    <w:p w:rsidR="00730D14" w:rsidRPr="002A7D93" w:rsidRDefault="00862CDB" w:rsidP="001D3E68">
      <w:pPr>
        <w:pStyle w:val="H1A"/>
      </w:pPr>
      <w:bookmarkStart w:id="61" w:name="_Toc237763897"/>
      <w:r w:rsidRPr="002A7D93">
        <w:lastRenderedPageBreak/>
        <w:t>Methodology for developing the APPR</w:t>
      </w:r>
      <w:r w:rsidRPr="002A7D93">
        <w:br/>
      </w:r>
      <w:r w:rsidR="005C25C3">
        <w:rPr>
          <w:lang w:val="en-US" w:eastAsia="en-US"/>
        </w:rPr>
        <w:drawing>
          <wp:anchor distT="0" distB="0" distL="114300" distR="114300" simplePos="0" relativeHeight="251655680" behindDoc="1" locked="0" layoutInCell="1" allowOverlap="1" wp14:anchorId="57409B51" wp14:editId="64934ECF">
            <wp:simplePos x="0" y="0"/>
            <wp:positionH relativeFrom="page">
              <wp:posOffset>0</wp:posOffset>
            </wp:positionH>
            <wp:positionV relativeFrom="page">
              <wp:posOffset>1386205</wp:posOffset>
            </wp:positionV>
            <wp:extent cx="7560310" cy="1585595"/>
            <wp:effectExtent l="0" t="0" r="2540" b="0"/>
            <wp:wrapNone/>
            <wp:docPr id="1192" name="Picture 1192"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1"/>
    </w:p>
    <w:p w:rsidR="000D7060" w:rsidRPr="000D7060" w:rsidRDefault="00C109E5" w:rsidP="00991F19">
      <w:pPr>
        <w:pStyle w:val="BodyText"/>
      </w:pPr>
      <w:r>
        <w:t xml:space="preserve">During 2008, </w:t>
      </w:r>
      <w:r w:rsidR="000D7060" w:rsidRPr="000D7060">
        <w:t xml:space="preserve">the third year of implementing </w:t>
      </w:r>
      <w:r>
        <w:t xml:space="preserve">the </w:t>
      </w:r>
      <w:r w:rsidR="000D7060" w:rsidRPr="000D7060">
        <w:t xml:space="preserve">PNG </w:t>
      </w:r>
      <w:r>
        <w:t xml:space="preserve">aid </w:t>
      </w:r>
      <w:r w:rsidR="000D7060" w:rsidRPr="000D7060">
        <w:t>program’s performance assessment framework</w:t>
      </w:r>
      <w:r w:rsidR="00323170">
        <w:t>, the framework</w:t>
      </w:r>
      <w:r w:rsidR="000D7060" w:rsidRPr="000D7060">
        <w:t xml:space="preserve"> was updated to reflect the new Partnership for Development and new sectoral strategies and monitoring and evaluation frameworks. From this process it became apparent that an increasing range of evaluation methodologies are being used in the PNG program. In particular</w:t>
      </w:r>
      <w:r>
        <w:t>,</w:t>
      </w:r>
      <w:r w:rsidR="000D7060" w:rsidRPr="000D7060">
        <w:t xml:space="preserve"> research-based approaches and the principles of contribution analysis are being used to further deepen </w:t>
      </w:r>
      <w:proofErr w:type="spellStart"/>
      <w:r w:rsidR="00B06F29">
        <w:t>AusAID’s</w:t>
      </w:r>
      <w:proofErr w:type="spellEnd"/>
      <w:r w:rsidR="00B06F29" w:rsidRPr="000D7060">
        <w:t xml:space="preserve"> </w:t>
      </w:r>
      <w:r w:rsidR="000D7060" w:rsidRPr="000D7060">
        <w:t xml:space="preserve">understanding of the programs’ achievements. </w:t>
      </w:r>
    </w:p>
    <w:p w:rsidR="000D7060" w:rsidRPr="000D7060" w:rsidRDefault="000D7060" w:rsidP="00991F19">
      <w:pPr>
        <w:pStyle w:val="BodyText"/>
        <w:spacing w:after="60"/>
      </w:pPr>
      <w:r w:rsidRPr="000D7060">
        <w:t xml:space="preserve">The </w:t>
      </w:r>
      <w:r w:rsidR="00B06F29">
        <w:t>2007</w:t>
      </w:r>
      <w:r w:rsidR="00B06F29" w:rsidRPr="000D7060">
        <w:t xml:space="preserve"> </w:t>
      </w:r>
      <w:r w:rsidRPr="000D7060">
        <w:t xml:space="preserve">approach </w:t>
      </w:r>
      <w:r w:rsidR="00B06F29">
        <w:t>to the</w:t>
      </w:r>
      <w:r w:rsidRPr="000D7060">
        <w:t xml:space="preserve"> </w:t>
      </w:r>
      <w:r w:rsidR="00B06F29">
        <w:t xml:space="preserve">annual program performance review </w:t>
      </w:r>
      <w:r w:rsidR="00C109E5">
        <w:t>was</w:t>
      </w:r>
      <w:r w:rsidRPr="000D7060">
        <w:t xml:space="preserve"> adopted</w:t>
      </w:r>
      <w:r w:rsidR="00C109E5">
        <w:t>,</w:t>
      </w:r>
      <w:r w:rsidR="00C109E5" w:rsidRPr="00C109E5">
        <w:t xml:space="preserve"> </w:t>
      </w:r>
      <w:r w:rsidR="00C109E5" w:rsidRPr="000D7060">
        <w:t>with only minor modifications</w:t>
      </w:r>
      <w:r w:rsidR="00C109E5">
        <w:t>,</w:t>
      </w:r>
      <w:r w:rsidRPr="000D7060">
        <w:t xml:space="preserve"> </w:t>
      </w:r>
      <w:r w:rsidR="00DE4744">
        <w:t>for</w:t>
      </w:r>
      <w:r w:rsidRPr="000D7060">
        <w:t xml:space="preserve"> the </w:t>
      </w:r>
      <w:r w:rsidR="00C109E5">
        <w:t xml:space="preserve">2008 </w:t>
      </w:r>
      <w:r w:rsidR="00B06F29">
        <w:t>review</w:t>
      </w:r>
      <w:r w:rsidRPr="000D7060">
        <w:t xml:space="preserve">. </w:t>
      </w:r>
      <w:r w:rsidR="00B8723A">
        <w:t>It included</w:t>
      </w:r>
      <w:r w:rsidRPr="000D7060">
        <w:t>:</w:t>
      </w:r>
    </w:p>
    <w:p w:rsidR="000D7060" w:rsidRPr="000D7060" w:rsidRDefault="000D7060" w:rsidP="00991F19">
      <w:pPr>
        <w:pStyle w:val="ListBullet"/>
        <w:spacing w:after="60"/>
      </w:pPr>
      <w:r w:rsidRPr="002A4067">
        <w:rPr>
          <w:b/>
        </w:rPr>
        <w:t>Quality</w:t>
      </w:r>
      <w:r w:rsidR="00B8723A" w:rsidRPr="002A4067">
        <w:rPr>
          <w:b/>
        </w:rPr>
        <w:t>-</w:t>
      </w:r>
      <w:r w:rsidR="0018150C" w:rsidRPr="002A4067">
        <w:rPr>
          <w:b/>
        </w:rPr>
        <w:t>at</w:t>
      </w:r>
      <w:r w:rsidR="00B8723A" w:rsidRPr="002A4067">
        <w:rPr>
          <w:b/>
        </w:rPr>
        <w:t>-</w:t>
      </w:r>
      <w:r w:rsidR="0018150C" w:rsidRPr="002A4067">
        <w:rPr>
          <w:b/>
        </w:rPr>
        <w:t xml:space="preserve">implementation </w:t>
      </w:r>
      <w:r w:rsidRPr="002A4067">
        <w:rPr>
          <w:b/>
        </w:rPr>
        <w:t>assessments</w:t>
      </w:r>
      <w:r w:rsidRPr="000D7060">
        <w:rPr>
          <w:i/>
        </w:rPr>
        <w:t>.</w:t>
      </w:r>
      <w:r w:rsidRPr="000D7060">
        <w:t xml:space="preserve"> </w:t>
      </w:r>
      <w:r w:rsidR="0018150C">
        <w:t>These</w:t>
      </w:r>
      <w:r w:rsidRPr="000D7060">
        <w:t xml:space="preserve"> assessments were facilitated by the Operations Policy and Management Unit; 27 initiatives from the PNG </w:t>
      </w:r>
      <w:r w:rsidR="0018150C" w:rsidRPr="000D7060">
        <w:t xml:space="preserve">program </w:t>
      </w:r>
      <w:r w:rsidRPr="000D7060">
        <w:t>were assessed and rated against criteria</w:t>
      </w:r>
      <w:r w:rsidR="0018150C">
        <w:t xml:space="preserve"> for quality at implementation</w:t>
      </w:r>
      <w:r w:rsidRPr="000D7060">
        <w:t>.</w:t>
      </w:r>
    </w:p>
    <w:p w:rsidR="000D7060" w:rsidRPr="000D7060" w:rsidRDefault="000D7060" w:rsidP="00991F19">
      <w:pPr>
        <w:pStyle w:val="ListBullet"/>
        <w:spacing w:after="60"/>
      </w:pPr>
      <w:r w:rsidRPr="002A4067">
        <w:rPr>
          <w:b/>
        </w:rPr>
        <w:t xml:space="preserve">Sector </w:t>
      </w:r>
      <w:r w:rsidR="0018150C" w:rsidRPr="002A4067">
        <w:rPr>
          <w:b/>
        </w:rPr>
        <w:t>performance reports</w:t>
      </w:r>
      <w:r w:rsidRPr="000D7060">
        <w:rPr>
          <w:i/>
        </w:rPr>
        <w:t>.</w:t>
      </w:r>
      <w:r w:rsidRPr="000D7060">
        <w:t xml:space="preserve"> </w:t>
      </w:r>
      <w:r w:rsidR="00B06F29">
        <w:t>P</w:t>
      </w:r>
      <w:r w:rsidR="0018150C" w:rsidRPr="0018150C">
        <w:t>erformance reports</w:t>
      </w:r>
      <w:r w:rsidR="0018150C" w:rsidRPr="000D7060">
        <w:t xml:space="preserve"> </w:t>
      </w:r>
      <w:r w:rsidRPr="000D7060">
        <w:t>for 2008 were prepared</w:t>
      </w:r>
      <w:r w:rsidR="00565468">
        <w:t xml:space="preserve"> for 10 sectors</w:t>
      </w:r>
      <w:r w:rsidRPr="000D7060">
        <w:t>.</w:t>
      </w:r>
      <w:r w:rsidRPr="0018150C">
        <w:rPr>
          <w:rStyle w:val="FootnoteReference"/>
        </w:rPr>
        <w:footnoteReference w:id="18"/>
      </w:r>
      <w:r w:rsidRPr="000D7060">
        <w:t xml:space="preserve"> They tracked progress </w:t>
      </w:r>
      <w:r w:rsidR="008048BB">
        <w:t>towards</w:t>
      </w:r>
      <w:r w:rsidR="008048BB" w:rsidRPr="000D7060">
        <w:t xml:space="preserve"> </w:t>
      </w:r>
      <w:r w:rsidRPr="000D7060">
        <w:t>PNG’s sector</w:t>
      </w:r>
      <w:r w:rsidR="00565468">
        <w:t>al</w:t>
      </w:r>
      <w:r w:rsidRPr="000D7060">
        <w:t xml:space="preserve"> objectives, assessed </w:t>
      </w:r>
      <w:smartTag w:uri="urn:schemas-microsoft-com:office:smarttags" w:element="place">
        <w:smartTag w:uri="urn:schemas-microsoft-com:office:smarttags" w:element="country-region">
          <w:r w:rsidRPr="000D7060">
            <w:t>Australia</w:t>
          </w:r>
        </w:smartTag>
      </w:smartTag>
      <w:r w:rsidRPr="000D7060">
        <w:t>’s contribution to PNG outcomes at the sector</w:t>
      </w:r>
      <w:r w:rsidR="008048BB">
        <w:t>al</w:t>
      </w:r>
      <w:r w:rsidRPr="000D7060">
        <w:t xml:space="preserve"> level, and identified how each sector</w:t>
      </w:r>
      <w:r w:rsidR="008048BB">
        <w:t>al</w:t>
      </w:r>
      <w:r w:rsidRPr="000D7060">
        <w:t xml:space="preserve"> program supported </w:t>
      </w:r>
      <w:r w:rsidR="008048BB">
        <w:t>the</w:t>
      </w:r>
      <w:r w:rsidRPr="000D7060">
        <w:t xml:space="preserve"> objectives </w:t>
      </w:r>
      <w:r w:rsidR="008048BB">
        <w:t xml:space="preserve">of the Development Cooperation Strategy </w:t>
      </w:r>
      <w:r w:rsidRPr="000D7060">
        <w:t xml:space="preserve">and Australian </w:t>
      </w:r>
      <w:r w:rsidR="0018150C" w:rsidRPr="000D7060">
        <w:t xml:space="preserve">government </w:t>
      </w:r>
      <w:r w:rsidRPr="000D7060">
        <w:t xml:space="preserve">priorities. Each </w:t>
      </w:r>
      <w:r w:rsidR="0018150C">
        <w:t>report</w:t>
      </w:r>
      <w:r w:rsidRPr="000D7060">
        <w:t xml:space="preserve"> also set specific annual targets for 2009 against which progress can be measured. The </w:t>
      </w:r>
      <w:r w:rsidR="0018150C">
        <w:t>reports drew on activity-</w:t>
      </w:r>
      <w:r w:rsidRPr="000D7060">
        <w:t xml:space="preserve">level monitoring and evaluation systems as well as independent reviews. All were reviewed by PNG Group </w:t>
      </w:r>
      <w:r w:rsidR="0018150C" w:rsidRPr="000D7060">
        <w:t>manage</w:t>
      </w:r>
      <w:r w:rsidR="0018150C">
        <w:t>rs</w:t>
      </w:r>
      <w:r w:rsidR="0018150C" w:rsidRPr="000D7060">
        <w:t xml:space="preserve"> </w:t>
      </w:r>
      <w:r w:rsidRPr="000D7060">
        <w:t>and Canberra-based advisers in a series of structured meetings. Some were reviewed by whole</w:t>
      </w:r>
      <w:r w:rsidR="008048BB">
        <w:t>-</w:t>
      </w:r>
      <w:r w:rsidRPr="000D7060">
        <w:t>of</w:t>
      </w:r>
      <w:r w:rsidR="008048BB">
        <w:t>-</w:t>
      </w:r>
      <w:r w:rsidRPr="000D7060">
        <w:t>government partners and PNG counterparts.</w:t>
      </w:r>
    </w:p>
    <w:p w:rsidR="000D7060" w:rsidRPr="000D7060" w:rsidRDefault="000D7060" w:rsidP="00991F19">
      <w:pPr>
        <w:pStyle w:val="ListBullet"/>
        <w:spacing w:after="60"/>
      </w:pPr>
      <w:r w:rsidRPr="002A4067">
        <w:rPr>
          <w:b/>
        </w:rPr>
        <w:t xml:space="preserve">Assessments of progress towards </w:t>
      </w:r>
      <w:r w:rsidR="008048BB" w:rsidRPr="002A4067">
        <w:rPr>
          <w:b/>
        </w:rPr>
        <w:t>strateg</w:t>
      </w:r>
      <w:r w:rsidR="00565468">
        <w:rPr>
          <w:b/>
        </w:rPr>
        <w:t>ic</w:t>
      </w:r>
      <w:r w:rsidR="008048BB" w:rsidRPr="002A4067">
        <w:rPr>
          <w:b/>
        </w:rPr>
        <w:t xml:space="preserve"> </w:t>
      </w:r>
      <w:r w:rsidRPr="002A4067">
        <w:rPr>
          <w:b/>
        </w:rPr>
        <w:t>objectives</w:t>
      </w:r>
      <w:r w:rsidRPr="000D7060">
        <w:rPr>
          <w:i/>
        </w:rPr>
        <w:t>.</w:t>
      </w:r>
      <w:r w:rsidR="00BE507C">
        <w:t xml:space="preserve"> Short cross</w:t>
      </w:r>
      <w:r w:rsidRPr="000D7060">
        <w:t xml:space="preserve">cutting papers were produced by the PNG senior management team on progress towards achieving selected development and enabling </w:t>
      </w:r>
      <w:r w:rsidR="008048BB">
        <w:t xml:space="preserve">objectives </w:t>
      </w:r>
      <w:r w:rsidR="00BE507C">
        <w:t xml:space="preserve">of the </w:t>
      </w:r>
      <w:r w:rsidR="008048BB" w:rsidRPr="000D7060">
        <w:t>D</w:t>
      </w:r>
      <w:r w:rsidR="008048BB">
        <w:t>evelopment Cooperation Strategy</w:t>
      </w:r>
      <w:r w:rsidR="00BE507C">
        <w:t>.</w:t>
      </w:r>
      <w:r w:rsidRPr="00BE507C">
        <w:rPr>
          <w:rStyle w:val="FootnoteReference"/>
        </w:rPr>
        <w:footnoteReference w:id="19"/>
      </w:r>
    </w:p>
    <w:p w:rsidR="000D7060" w:rsidRPr="000D7060" w:rsidRDefault="000D7060" w:rsidP="00991F19">
      <w:pPr>
        <w:pStyle w:val="ListBullet"/>
        <w:spacing w:after="60"/>
      </w:pPr>
      <w:r w:rsidRPr="002A4067">
        <w:rPr>
          <w:b/>
        </w:rPr>
        <w:t>Management discussion</w:t>
      </w:r>
      <w:r w:rsidRPr="000D7060">
        <w:rPr>
          <w:i/>
        </w:rPr>
        <w:t>.</w:t>
      </w:r>
      <w:r w:rsidRPr="000D7060">
        <w:t xml:space="preserve"> The PNG Group management team (</w:t>
      </w:r>
      <w:r w:rsidR="0072656A">
        <w:t xml:space="preserve">at the PNG </w:t>
      </w:r>
      <w:r w:rsidRPr="000D7060">
        <w:t xml:space="preserve">Post and </w:t>
      </w:r>
      <w:r w:rsidR="00565468">
        <w:t xml:space="preserve">in </w:t>
      </w:r>
      <w:smartTag w:uri="urn:schemas-microsoft-com:office:smarttags" w:element="place">
        <w:smartTag w:uri="urn:schemas-microsoft-com:office:smarttags" w:element="City">
          <w:r w:rsidRPr="000D7060">
            <w:t>Canberra</w:t>
          </w:r>
        </w:smartTag>
      </w:smartTag>
      <w:r w:rsidRPr="000D7060">
        <w:t>) met to analyse the conclusions from the</w:t>
      </w:r>
      <w:r w:rsidR="008048BB">
        <w:t xml:space="preserve"> assessment and reporting</w:t>
      </w:r>
      <w:r w:rsidRPr="000D7060">
        <w:t xml:space="preserve"> processes and </w:t>
      </w:r>
      <w:r w:rsidR="008048BB">
        <w:t xml:space="preserve">to </w:t>
      </w:r>
      <w:r w:rsidRPr="000D7060">
        <w:t>develop a set of recommendations on key areas for further work. These discussions informed the development of this report and the 2009</w:t>
      </w:r>
      <w:r w:rsidR="008048BB">
        <w:t>–</w:t>
      </w:r>
      <w:r w:rsidRPr="000D7060">
        <w:t>10 Business Unit Plan.</w:t>
      </w:r>
    </w:p>
    <w:p w:rsidR="000D7060" w:rsidRPr="000D7060" w:rsidRDefault="00B8723A" w:rsidP="00991F19">
      <w:pPr>
        <w:pStyle w:val="ListBullet"/>
      </w:pPr>
      <w:r w:rsidRPr="002A4067">
        <w:rPr>
          <w:b/>
        </w:rPr>
        <w:t>P</w:t>
      </w:r>
      <w:r w:rsidR="0018150C" w:rsidRPr="002A4067">
        <w:rPr>
          <w:b/>
        </w:rPr>
        <w:t>eer review</w:t>
      </w:r>
      <w:r w:rsidRPr="002A4067">
        <w:rPr>
          <w:b/>
        </w:rPr>
        <w:t xml:space="preserve"> of the annual program performance report</w:t>
      </w:r>
      <w:r w:rsidR="000D7060" w:rsidRPr="000D7060">
        <w:rPr>
          <w:i/>
        </w:rPr>
        <w:t>.</w:t>
      </w:r>
      <w:r w:rsidR="000D7060" w:rsidRPr="000D7060">
        <w:t xml:space="preserve"> The </w:t>
      </w:r>
      <w:r w:rsidR="0018150C" w:rsidRPr="000D7060">
        <w:t xml:space="preserve">peer review </w:t>
      </w:r>
      <w:r w:rsidR="000D7060" w:rsidRPr="000D7060">
        <w:t xml:space="preserve">process provided contestability and independent analysis of the report’s findings. Participants </w:t>
      </w:r>
      <w:r w:rsidR="008048BB">
        <w:t>were</w:t>
      </w:r>
      <w:r w:rsidR="008048BB" w:rsidRPr="000D7060">
        <w:t xml:space="preserve"> </w:t>
      </w:r>
      <w:r w:rsidR="000D7060" w:rsidRPr="000D7060">
        <w:t>a range of key stakeholders.</w:t>
      </w:r>
    </w:p>
    <w:p w:rsidR="000D7060" w:rsidRPr="000D7060" w:rsidRDefault="000D7060" w:rsidP="001D3E68">
      <w:pPr>
        <w:pStyle w:val="H2A"/>
      </w:pPr>
      <w:bookmarkStart w:id="62" w:name="_Toc237763898"/>
      <w:bookmarkStart w:id="63" w:name="_Toc361224340"/>
      <w:r w:rsidRPr="000D7060">
        <w:lastRenderedPageBreak/>
        <w:t>Issues and constraints</w:t>
      </w:r>
      <w:bookmarkEnd w:id="62"/>
      <w:bookmarkEnd w:id="63"/>
    </w:p>
    <w:p w:rsidR="000D7060" w:rsidRPr="000D7060" w:rsidRDefault="000D7060" w:rsidP="00991F19">
      <w:pPr>
        <w:pStyle w:val="BodyText"/>
      </w:pPr>
      <w:r w:rsidRPr="000D7060">
        <w:t xml:space="preserve">Under the </w:t>
      </w:r>
      <w:r w:rsidR="00597EFD" w:rsidRPr="000D7060">
        <w:t xml:space="preserve">Partnership </w:t>
      </w:r>
      <w:r w:rsidR="00597EFD">
        <w:t xml:space="preserve">for Development </w:t>
      </w:r>
      <w:r w:rsidRPr="000D7060">
        <w:t xml:space="preserve">and the PNG </w:t>
      </w:r>
      <w:r w:rsidR="00AA039B" w:rsidRPr="000D7060">
        <w:t xml:space="preserve">Commitment </w:t>
      </w:r>
      <w:r w:rsidR="00BE507C" w:rsidRPr="000D7060">
        <w:t xml:space="preserve">on </w:t>
      </w:r>
      <w:r w:rsidR="00AA039B" w:rsidRPr="000D7060">
        <w:t>Aid Effectiveness</w:t>
      </w:r>
      <w:r w:rsidRPr="000D7060">
        <w:t xml:space="preserve">, </w:t>
      </w:r>
      <w:smartTag w:uri="urn:schemas-microsoft-com:office:smarttags" w:element="place">
        <w:smartTag w:uri="urn:schemas-microsoft-com:office:smarttags" w:element="country-region">
          <w:r w:rsidRPr="000D7060">
            <w:t>Australia</w:t>
          </w:r>
        </w:smartTag>
      </w:smartTag>
      <w:r w:rsidRPr="000D7060">
        <w:t xml:space="preserve"> </w:t>
      </w:r>
      <w:r w:rsidR="00597EFD">
        <w:t>is</w:t>
      </w:r>
      <w:r w:rsidR="00597EFD" w:rsidRPr="000D7060">
        <w:t xml:space="preserve"> </w:t>
      </w:r>
      <w:r w:rsidRPr="000D7060">
        <w:t xml:space="preserve">committed to </w:t>
      </w:r>
      <w:r w:rsidR="00597EFD">
        <w:t>using</w:t>
      </w:r>
      <w:r w:rsidR="00597EFD" w:rsidRPr="000D7060">
        <w:t xml:space="preserve"> </w:t>
      </w:r>
      <w:r w:rsidRPr="000D7060">
        <w:t xml:space="preserve">PNG’s reporting systems wherever possible. </w:t>
      </w:r>
      <w:smartTag w:uri="urn:schemas-microsoft-com:office:smarttags" w:element="place">
        <w:smartTag w:uri="urn:schemas-microsoft-com:office:smarttags" w:element="country-region">
          <w:r w:rsidR="00597EFD">
            <w:t>Australia</w:t>
          </w:r>
        </w:smartTag>
      </w:smartTag>
      <w:r w:rsidR="00597EFD">
        <w:t xml:space="preserve"> is</w:t>
      </w:r>
      <w:r w:rsidRPr="000D7060">
        <w:t xml:space="preserve"> also continuing to move </w:t>
      </w:r>
      <w:r w:rsidR="00597EFD">
        <w:t>its</w:t>
      </w:r>
      <w:r w:rsidR="00597EFD" w:rsidRPr="000D7060">
        <w:t xml:space="preserve"> </w:t>
      </w:r>
      <w:r w:rsidR="005344B7">
        <w:t xml:space="preserve">sectoral </w:t>
      </w:r>
      <w:r w:rsidRPr="000D7060">
        <w:t>support towards program</w:t>
      </w:r>
      <w:r w:rsidR="00597EFD">
        <w:t>-</w:t>
      </w:r>
      <w:r w:rsidRPr="000D7060">
        <w:t xml:space="preserve">based approaches led by </w:t>
      </w:r>
      <w:r w:rsidR="00597EFD">
        <w:t xml:space="preserve">the </w:t>
      </w:r>
      <w:r w:rsidR="007B2AB8">
        <w:t>PNG Government</w:t>
      </w:r>
      <w:r w:rsidRPr="000D7060">
        <w:t xml:space="preserve"> (</w:t>
      </w:r>
      <w:r w:rsidR="00597EFD">
        <w:t xml:space="preserve">see objective 3 </w:t>
      </w:r>
      <w:r w:rsidR="00D3220D">
        <w:t>under</w:t>
      </w:r>
      <w:r w:rsidR="00597EFD">
        <w:t xml:space="preserve"> </w:t>
      </w:r>
      <w:r w:rsidR="006E5C67">
        <w:t xml:space="preserve">‘Development </w:t>
      </w:r>
      <w:r w:rsidR="00597EFD">
        <w:t>theme 4</w:t>
      </w:r>
      <w:r w:rsidR="006E5C67">
        <w:t>’</w:t>
      </w:r>
      <w:r w:rsidRPr="000D7060">
        <w:t xml:space="preserve">). </w:t>
      </w:r>
      <w:r w:rsidR="00597EFD">
        <w:t>The t</w:t>
      </w:r>
      <w:r w:rsidRPr="000D7060">
        <w:t>ransition to a greater use of partner government systems for reporting and implementation increases the challenge in demonstrating year</w:t>
      </w:r>
      <w:r w:rsidR="00597EFD">
        <w:t>-</w:t>
      </w:r>
      <w:r w:rsidRPr="000D7060">
        <w:t>on</w:t>
      </w:r>
      <w:r w:rsidR="00597EFD">
        <w:t>-</w:t>
      </w:r>
      <w:r w:rsidRPr="000D7060">
        <w:t xml:space="preserve">year change. The </w:t>
      </w:r>
      <w:r w:rsidR="00597EFD" w:rsidRPr="000D7060">
        <w:t xml:space="preserve">partnership </w:t>
      </w:r>
      <w:r w:rsidRPr="000D7060">
        <w:t xml:space="preserve">is taking over from the existing </w:t>
      </w:r>
      <w:r w:rsidR="0007632A" w:rsidRPr="000D7060">
        <w:t>Development Cooperation Strategy</w:t>
      </w:r>
      <w:r w:rsidRPr="000D7060">
        <w:t xml:space="preserve">, and will increasingly do so as the range of negotiated </w:t>
      </w:r>
      <w:r w:rsidR="00AA039B" w:rsidRPr="000D7060">
        <w:t xml:space="preserve">partnership </w:t>
      </w:r>
      <w:r w:rsidRPr="000D7060">
        <w:t xml:space="preserve">schedules widens. The transition from the </w:t>
      </w:r>
      <w:r w:rsidR="00BE507C" w:rsidRPr="000D7060">
        <w:t>strategy</w:t>
      </w:r>
      <w:r w:rsidRPr="000D7060">
        <w:t xml:space="preserve"> to the </w:t>
      </w:r>
      <w:r w:rsidR="00BE507C" w:rsidRPr="000D7060">
        <w:t xml:space="preserve">partnership </w:t>
      </w:r>
      <w:r w:rsidRPr="000D7060">
        <w:t xml:space="preserve">presents an opportunity to better define objectives and indicators of measurement. This is evident through the negotiation of the first five priority </w:t>
      </w:r>
      <w:r w:rsidR="008D3EF4">
        <w:t xml:space="preserve">partnership </w:t>
      </w:r>
      <w:r w:rsidRPr="000D7060">
        <w:t>schedules</w:t>
      </w:r>
      <w:r w:rsidR="0007632A">
        <w:t>,</w:t>
      </w:r>
      <w:r w:rsidRPr="000D7060">
        <w:t xml:space="preserve"> which set clearer joint targets. </w:t>
      </w:r>
    </w:p>
    <w:p w:rsidR="000D7060" w:rsidRPr="000D7060" w:rsidRDefault="000D7060" w:rsidP="00991F19">
      <w:pPr>
        <w:pStyle w:val="BodyText"/>
      </w:pPr>
      <w:r w:rsidRPr="000D7060">
        <w:t>S</w:t>
      </w:r>
      <w:r w:rsidRPr="000D7060">
        <w:rPr>
          <w:iCs/>
        </w:rPr>
        <w:t xml:space="preserve">etting annual change forecasts </w:t>
      </w:r>
      <w:r w:rsidR="0007632A">
        <w:rPr>
          <w:iCs/>
        </w:rPr>
        <w:t>(</w:t>
      </w:r>
      <w:r w:rsidRPr="000D7060">
        <w:rPr>
          <w:iCs/>
        </w:rPr>
        <w:t>through the sector performance report</w:t>
      </w:r>
      <w:r w:rsidR="0007632A">
        <w:rPr>
          <w:iCs/>
        </w:rPr>
        <w:t>ing</w:t>
      </w:r>
      <w:r w:rsidRPr="000D7060">
        <w:rPr>
          <w:iCs/>
        </w:rPr>
        <w:t xml:space="preserve"> process</w:t>
      </w:r>
      <w:r w:rsidR="0007632A">
        <w:rPr>
          <w:iCs/>
        </w:rPr>
        <w:t>)</w:t>
      </w:r>
      <w:r w:rsidRPr="000D7060">
        <w:rPr>
          <w:iCs/>
        </w:rPr>
        <w:t xml:space="preserve"> and measuring progress towards them as a way of moving to a more objective basis for rating progress </w:t>
      </w:r>
      <w:r w:rsidR="005344B7">
        <w:rPr>
          <w:iCs/>
        </w:rPr>
        <w:t>towards</w:t>
      </w:r>
      <w:r w:rsidR="005344B7" w:rsidRPr="000D7060">
        <w:rPr>
          <w:iCs/>
        </w:rPr>
        <w:t xml:space="preserve"> </w:t>
      </w:r>
      <w:r w:rsidRPr="000D7060">
        <w:rPr>
          <w:iCs/>
        </w:rPr>
        <w:t>development objectives will be a priority in 2009.</w:t>
      </w:r>
    </w:p>
    <w:p w:rsidR="000D7060" w:rsidRPr="000D7060" w:rsidRDefault="000D7060" w:rsidP="001D3E68">
      <w:pPr>
        <w:pStyle w:val="H2A"/>
      </w:pPr>
      <w:bookmarkStart w:id="64" w:name="_Toc237763899"/>
      <w:bookmarkStart w:id="65" w:name="_Toc361224341"/>
      <w:r w:rsidRPr="000D7060">
        <w:t>Ratings and assessment</w:t>
      </w:r>
      <w:bookmarkEnd w:id="64"/>
      <w:bookmarkEnd w:id="65"/>
    </w:p>
    <w:p w:rsidR="000D7060" w:rsidRPr="000D7060" w:rsidRDefault="000D7060" w:rsidP="00991F19">
      <w:pPr>
        <w:pStyle w:val="BodyText"/>
      </w:pPr>
      <w:r w:rsidRPr="000D7060">
        <w:t xml:space="preserve">As discussed in </w:t>
      </w:r>
      <w:r w:rsidR="00881039">
        <w:t>the 2007</w:t>
      </w:r>
      <w:r w:rsidRPr="000D7060">
        <w:t xml:space="preserve"> </w:t>
      </w:r>
      <w:r w:rsidR="00881039">
        <w:t>annual program performance report</w:t>
      </w:r>
      <w:r w:rsidRPr="000D7060">
        <w:t>, the close alignment of PNG</w:t>
      </w:r>
      <w:r w:rsidR="00881039">
        <w:t>’s</w:t>
      </w:r>
      <w:r w:rsidRPr="000D7060">
        <w:t xml:space="preserve"> and Australia</w:t>
      </w:r>
      <w:r w:rsidR="00881039">
        <w:t>’s</w:t>
      </w:r>
      <w:r w:rsidRPr="000D7060">
        <w:t xml:space="preserve"> development objectives and the move to program</w:t>
      </w:r>
      <w:r w:rsidR="00881039">
        <w:t>-</w:t>
      </w:r>
      <w:r w:rsidRPr="000D7060">
        <w:t xml:space="preserve">based approaches </w:t>
      </w:r>
      <w:r w:rsidR="005344B7">
        <w:t xml:space="preserve">for sectoral support </w:t>
      </w:r>
      <w:r w:rsidRPr="000D7060">
        <w:t>increasingly means that any assessment of the aid program’s performance cannot be separated from the country’s development outcomes. In most cases</w:t>
      </w:r>
      <w:r w:rsidR="00881039">
        <w:t>, the</w:t>
      </w:r>
      <w:r w:rsidRPr="000D7060">
        <w:t xml:space="preserve"> aid program</w:t>
      </w:r>
      <w:r w:rsidR="00881039">
        <w:t>’s</w:t>
      </w:r>
      <w:r w:rsidRPr="000D7060">
        <w:t xml:space="preserve"> objectives have been set at the level of whole-of-sector outcomes. Therefore, in the PNG context, factors outside of </w:t>
      </w:r>
      <w:smartTag w:uri="urn:schemas-microsoft-com:office:smarttags" w:element="place">
        <w:smartTag w:uri="urn:schemas-microsoft-com:office:smarttags" w:element="country-region">
          <w:r w:rsidRPr="000D7060">
            <w:t>Australia</w:t>
          </w:r>
        </w:smartTag>
      </w:smartTag>
      <w:r w:rsidRPr="000D7060">
        <w:t>’s influence</w:t>
      </w:r>
      <w:r w:rsidR="00881039">
        <w:t>,</w:t>
      </w:r>
      <w:r w:rsidRPr="000D7060">
        <w:t xml:space="preserve"> such as leadership stability and commitment to reform</w:t>
      </w:r>
      <w:r w:rsidR="00881039">
        <w:t>,</w:t>
      </w:r>
      <w:r w:rsidRPr="000D7060">
        <w:t xml:space="preserve"> will strongly affect </w:t>
      </w:r>
      <w:r w:rsidR="005344B7">
        <w:t xml:space="preserve">the </w:t>
      </w:r>
      <w:r w:rsidRPr="000D7060">
        <w:t>aid program</w:t>
      </w:r>
      <w:r w:rsidR="00881039">
        <w:t>’s</w:t>
      </w:r>
      <w:r w:rsidRPr="000D7060">
        <w:t xml:space="preserve"> </w:t>
      </w:r>
      <w:r w:rsidR="00881039">
        <w:t>performance</w:t>
      </w:r>
      <w:r w:rsidRPr="000D7060">
        <w:t xml:space="preserve">. </w:t>
      </w:r>
    </w:p>
    <w:p w:rsidR="000D7060" w:rsidRPr="005344B7" w:rsidRDefault="000D7060" w:rsidP="00991F19">
      <w:pPr>
        <w:pStyle w:val="BodyText"/>
        <w:rPr>
          <w:spacing w:val="-2"/>
        </w:rPr>
      </w:pPr>
      <w:r w:rsidRPr="005344B7">
        <w:rPr>
          <w:spacing w:val="-2"/>
        </w:rPr>
        <w:t xml:space="preserve">The </w:t>
      </w:r>
      <w:r w:rsidR="005344B7" w:rsidRPr="005344B7">
        <w:rPr>
          <w:spacing w:val="-2"/>
        </w:rPr>
        <w:t xml:space="preserve">aid program’s support under the </w:t>
      </w:r>
      <w:r w:rsidRPr="005344B7">
        <w:rPr>
          <w:spacing w:val="-2"/>
        </w:rPr>
        <w:t xml:space="preserve">four </w:t>
      </w:r>
      <w:r w:rsidR="00BE507C" w:rsidRPr="005344B7">
        <w:rPr>
          <w:spacing w:val="-2"/>
        </w:rPr>
        <w:t>enabling themes</w:t>
      </w:r>
      <w:r w:rsidRPr="005344B7">
        <w:rPr>
          <w:rStyle w:val="FootnoteReference"/>
          <w:spacing w:val="-2"/>
        </w:rPr>
        <w:footnoteReference w:id="20"/>
      </w:r>
      <w:r w:rsidRPr="005344B7">
        <w:rPr>
          <w:spacing w:val="-2"/>
        </w:rPr>
        <w:t xml:space="preserve"> </w:t>
      </w:r>
      <w:r w:rsidR="005344B7">
        <w:rPr>
          <w:spacing w:val="-2"/>
        </w:rPr>
        <w:t>was</w:t>
      </w:r>
      <w:r w:rsidR="00C3734E" w:rsidRPr="005344B7">
        <w:rPr>
          <w:spacing w:val="-2"/>
        </w:rPr>
        <w:t xml:space="preserve"> </w:t>
      </w:r>
      <w:r w:rsidRPr="005344B7">
        <w:rPr>
          <w:spacing w:val="-2"/>
        </w:rPr>
        <w:t xml:space="preserve">not rated separately </w:t>
      </w:r>
      <w:r w:rsidR="00C3734E" w:rsidRPr="005344B7">
        <w:rPr>
          <w:spacing w:val="-2"/>
        </w:rPr>
        <w:t>for 2008</w:t>
      </w:r>
      <w:r w:rsidRPr="005344B7">
        <w:rPr>
          <w:spacing w:val="-2"/>
        </w:rPr>
        <w:t xml:space="preserve"> as </w:t>
      </w:r>
      <w:r w:rsidR="005344B7" w:rsidRPr="005344B7">
        <w:rPr>
          <w:spacing w:val="-2"/>
        </w:rPr>
        <w:t>it influences</w:t>
      </w:r>
      <w:r w:rsidRPr="005344B7">
        <w:rPr>
          <w:spacing w:val="-2"/>
        </w:rPr>
        <w:t xml:space="preserve"> </w:t>
      </w:r>
      <w:r w:rsidR="00C3734E" w:rsidRPr="005344B7">
        <w:rPr>
          <w:spacing w:val="-2"/>
        </w:rPr>
        <w:t xml:space="preserve">the program’s ways of working rather than </w:t>
      </w:r>
      <w:r w:rsidRPr="005344B7">
        <w:rPr>
          <w:spacing w:val="-2"/>
        </w:rPr>
        <w:t>sector</w:t>
      </w:r>
      <w:r w:rsidR="00C3734E" w:rsidRPr="005344B7">
        <w:rPr>
          <w:spacing w:val="-2"/>
        </w:rPr>
        <w:t>al</w:t>
      </w:r>
      <w:r w:rsidRPr="005344B7">
        <w:rPr>
          <w:spacing w:val="-2"/>
        </w:rPr>
        <w:t xml:space="preserve"> or on-the-ground outcomes. Comments on the enabling themes are </w:t>
      </w:r>
      <w:r w:rsidR="005344B7" w:rsidRPr="005344B7">
        <w:rPr>
          <w:spacing w:val="-2"/>
        </w:rPr>
        <w:t xml:space="preserve">included </w:t>
      </w:r>
      <w:r w:rsidRPr="005344B7">
        <w:rPr>
          <w:spacing w:val="-2"/>
        </w:rPr>
        <w:t>throughout the report as well as separate</w:t>
      </w:r>
      <w:r w:rsidR="005344B7" w:rsidRPr="005344B7">
        <w:rPr>
          <w:spacing w:val="-2"/>
        </w:rPr>
        <w:t>ly</w:t>
      </w:r>
      <w:r w:rsidRPr="005344B7">
        <w:rPr>
          <w:spacing w:val="-2"/>
        </w:rPr>
        <w:t xml:space="preserve"> to maintain accountability for improving the way the aid program is operating in</w:t>
      </w:r>
      <w:r w:rsidR="00094415" w:rsidRPr="005344B7">
        <w:rPr>
          <w:spacing w:val="-2"/>
        </w:rPr>
        <w:t xml:space="preserve"> PNG</w:t>
      </w:r>
      <w:r w:rsidRPr="005344B7">
        <w:rPr>
          <w:spacing w:val="-2"/>
        </w:rPr>
        <w:t>.</w:t>
      </w:r>
      <w:r w:rsidR="006F7C08" w:rsidRPr="005344B7">
        <w:rPr>
          <w:spacing w:val="-2"/>
        </w:rPr>
        <w:t xml:space="preserve"> </w:t>
      </w:r>
    </w:p>
    <w:p w:rsidR="0074714C" w:rsidRPr="002A7D93" w:rsidRDefault="00133847" w:rsidP="001D3E68">
      <w:pPr>
        <w:pStyle w:val="H1A"/>
      </w:pPr>
      <w:bookmarkStart w:id="66" w:name="_Toc237763900"/>
      <w:r w:rsidRPr="002A7D93">
        <w:lastRenderedPageBreak/>
        <w:t>Development theme 1: Improved governance and nation building</w:t>
      </w:r>
      <w:r w:rsidR="005C25C3">
        <w:rPr>
          <w:lang w:val="en-US" w:eastAsia="en-US"/>
        </w:rPr>
        <w:drawing>
          <wp:anchor distT="0" distB="0" distL="114300" distR="114300" simplePos="0" relativeHeight="251656704" behindDoc="1" locked="0" layoutInCell="1" allowOverlap="1" wp14:anchorId="024359FB" wp14:editId="6CDFB28B">
            <wp:simplePos x="0" y="0"/>
            <wp:positionH relativeFrom="page">
              <wp:posOffset>0</wp:posOffset>
            </wp:positionH>
            <wp:positionV relativeFrom="page">
              <wp:posOffset>1386205</wp:posOffset>
            </wp:positionV>
            <wp:extent cx="7560310" cy="1585595"/>
            <wp:effectExtent l="0" t="0" r="2540" b="0"/>
            <wp:wrapNone/>
            <wp:docPr id="1289" name="Picture 1289"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6"/>
    </w:p>
    <w:p w:rsidR="000D7060" w:rsidRDefault="000D7060" w:rsidP="001D3E68">
      <w:pPr>
        <w:pStyle w:val="H2A"/>
      </w:pPr>
      <w:bookmarkStart w:id="67" w:name="_Toc234751225"/>
      <w:bookmarkStart w:id="68" w:name="_Toc234829258"/>
      <w:bookmarkStart w:id="69" w:name="_Toc237763901"/>
      <w:bookmarkStart w:id="70" w:name="_Toc361224342"/>
      <w:r w:rsidRPr="000D7060">
        <w:t>Objective 1</w:t>
      </w:r>
      <w:bookmarkEnd w:id="67"/>
      <w:bookmarkEnd w:id="68"/>
      <w:r w:rsidR="001D3E68" w:rsidRPr="000D7060">
        <w:t xml:space="preserve">: </w:t>
      </w:r>
      <w:r w:rsidR="00F752C0">
        <w:br/>
      </w:r>
      <w:bookmarkStart w:id="71" w:name="_Toc234751226"/>
      <w:bookmarkStart w:id="72" w:name="_Toc234829259"/>
      <w:r w:rsidRPr="00133847">
        <w:t xml:space="preserve">Improved effectiveness of public sector institutions and </w:t>
      </w:r>
      <w:r w:rsidR="00133847">
        <w:t xml:space="preserve">processes at </w:t>
      </w:r>
      <w:r w:rsidR="00F752C0">
        <w:t xml:space="preserve">the </w:t>
      </w:r>
      <w:r w:rsidR="00133847">
        <w:t xml:space="preserve">national </w:t>
      </w:r>
      <w:r w:rsidR="00F752C0">
        <w:t xml:space="preserve">and subnational </w:t>
      </w:r>
      <w:r w:rsidR="00133847">
        <w:t>level</w:t>
      </w:r>
      <w:bookmarkEnd w:id="71"/>
      <w:bookmarkEnd w:id="72"/>
      <w:r w:rsidR="00F752C0">
        <w:t>s</w:t>
      </w:r>
      <w:bookmarkEnd w:id="69"/>
      <w:bookmarkEnd w:id="70"/>
    </w:p>
    <w:p w:rsidR="00F752C0" w:rsidRDefault="00F752C0" w:rsidP="00B44206">
      <w:pPr>
        <w:pStyle w:val="H3A"/>
      </w:pPr>
      <w:bookmarkStart w:id="73" w:name="_Toc361224343"/>
      <w:r w:rsidRPr="00B44206">
        <w:t>Rating</w:t>
      </w:r>
      <w:r w:rsidR="00176A82" w:rsidRPr="00B44206">
        <w:t>s</w:t>
      </w:r>
      <w:bookmarkEnd w:id="73"/>
    </w:p>
    <w:p w:rsidR="00133847" w:rsidRPr="00D7139C" w:rsidRDefault="003A7686" w:rsidP="0083785B">
      <w:pPr>
        <w:pStyle w:val="Ratingred"/>
        <w:numPr>
          <w:ilvl w:val="0"/>
          <w:numId w:val="0"/>
        </w:numPr>
        <w:ind w:left="567" w:hanging="567"/>
      </w:pPr>
      <w:r>
        <w:pict>
          <v:shape id="Picture 8" o:spid="_x0000_i1026" type="#_x0000_t75" alt="Red" style="width:7.5pt;height:7.5pt;visibility:visible;mso-wrap-style:square">
            <v:imagedata r:id="rId19" o:title=""/>
          </v:shape>
        </w:pict>
      </w:r>
      <w:r w:rsidR="0083785B">
        <w:tab/>
      </w:r>
      <w:r w:rsidR="00F752C0">
        <w:t xml:space="preserve">At the </w:t>
      </w:r>
      <w:r w:rsidR="00F752C0" w:rsidRPr="00F752C0">
        <w:t>national</w:t>
      </w:r>
      <w:r w:rsidR="00F752C0">
        <w:t xml:space="preserve"> level </w:t>
      </w:r>
      <w:r w:rsidR="00F752C0" w:rsidRPr="00011299">
        <w:t xml:space="preserve">the </w:t>
      </w:r>
      <w:r w:rsidR="00133847" w:rsidRPr="00011299">
        <w:t>objective is unlikely to be achieved within the timeframe of the strategy</w:t>
      </w:r>
      <w:r w:rsidR="00133847">
        <w:t>.</w:t>
      </w:r>
    </w:p>
    <w:p w:rsidR="00133847" w:rsidRPr="00133847" w:rsidRDefault="0083785B" w:rsidP="0083785B">
      <w:pPr>
        <w:pStyle w:val="Ratingamber"/>
        <w:numPr>
          <w:ilvl w:val="0"/>
          <w:numId w:val="0"/>
        </w:numPr>
        <w:ind w:left="567" w:hanging="567"/>
      </w:pPr>
      <w:r>
        <w:rPr>
          <w:noProof/>
          <w:lang w:val="en-US" w:eastAsia="en-US"/>
        </w:rPr>
        <w:drawing>
          <wp:inline distT="0" distB="0" distL="0" distR="0" wp14:anchorId="5CD17FD3" wp14:editId="6C219FD6">
            <wp:extent cx="95238" cy="95238"/>
            <wp:effectExtent l="0" t="0" r="635" b="635"/>
            <wp:docPr id="9" name="Picture 9"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20">
                      <a:extLst>
                        <a:ext uri="{28A0092B-C50C-407E-A947-70E740481C1C}">
                          <a14:useLocalDpi xmlns:a14="http://schemas.microsoft.com/office/drawing/2010/main" val="0"/>
                        </a:ext>
                      </a:extLst>
                    </a:blip>
                    <a:stretch>
                      <a:fillRect/>
                    </a:stretch>
                  </pic:blipFill>
                  <pic:spPr>
                    <a:xfrm>
                      <a:off x="0" y="0"/>
                      <a:ext cx="95238" cy="95238"/>
                    </a:xfrm>
                    <a:prstGeom prst="rect">
                      <a:avLst/>
                    </a:prstGeom>
                  </pic:spPr>
                </pic:pic>
              </a:graphicData>
            </a:graphic>
          </wp:inline>
        </w:drawing>
      </w:r>
      <w:r>
        <w:tab/>
      </w:r>
      <w:r w:rsidR="00F752C0">
        <w:t xml:space="preserve">At subnational levels </w:t>
      </w:r>
      <w:r w:rsidR="00F752C0" w:rsidRPr="00011299">
        <w:t xml:space="preserve">the </w:t>
      </w:r>
      <w:r w:rsidR="00133847" w:rsidRPr="00011299">
        <w:t>objective will be partly achieved within the timeframe of the strategy</w:t>
      </w:r>
      <w:r w:rsidR="00133847">
        <w:t>.</w:t>
      </w:r>
    </w:p>
    <w:p w:rsidR="000D7060" w:rsidRDefault="000D7060" w:rsidP="00991F19">
      <w:pPr>
        <w:pStyle w:val="BodyText"/>
      </w:pPr>
      <w:r w:rsidRPr="00176A82">
        <w:rPr>
          <w:spacing w:val="-1"/>
        </w:rPr>
        <w:t>The major achievement of legislation to change the intergovernmental financing arrangements,</w:t>
      </w:r>
      <w:r w:rsidRPr="000D7060">
        <w:t xml:space="preserve"> and the subsequent increase in function grants to provinces, together with continuing improvements in key areas of </w:t>
      </w:r>
      <w:smartTag w:uri="urn:schemas-microsoft-com:office:smarttags" w:element="place">
        <w:smartTag w:uri="urn:schemas-microsoft-com:office:smarttags" w:element="country-region">
          <w:r w:rsidRPr="000D7060">
            <w:t>Australia</w:t>
          </w:r>
        </w:smartTag>
      </w:smartTag>
      <w:r w:rsidRPr="000D7060">
        <w:t>’s involvement at the national level, amount</w:t>
      </w:r>
      <w:r w:rsidR="006C53E0">
        <w:t>ed</w:t>
      </w:r>
      <w:r w:rsidRPr="000D7060">
        <w:t xml:space="preserve"> to </w:t>
      </w:r>
      <w:r w:rsidR="00826BD2">
        <w:t>some</w:t>
      </w:r>
      <w:r w:rsidRPr="000D7060">
        <w:t xml:space="preserve"> progress. But the loss of </w:t>
      </w:r>
      <w:r w:rsidR="00176A82">
        <w:t>the</w:t>
      </w:r>
      <w:r w:rsidR="00176A82" w:rsidRPr="000D7060">
        <w:t xml:space="preserve"> </w:t>
      </w:r>
      <w:r w:rsidRPr="000D7060">
        <w:t xml:space="preserve">vehicle for </w:t>
      </w:r>
      <w:r w:rsidR="00826BD2">
        <w:t>monitoring</w:t>
      </w:r>
      <w:r w:rsidR="00176A82">
        <w:t>,</w:t>
      </w:r>
      <w:r w:rsidR="00826BD2">
        <w:t xml:space="preserve"> evaluation and </w:t>
      </w:r>
      <w:r w:rsidRPr="000D7060">
        <w:t>high</w:t>
      </w:r>
      <w:r w:rsidR="00B50112">
        <w:t>-</w:t>
      </w:r>
      <w:r w:rsidRPr="000D7060">
        <w:t>level strategic dialogue</w:t>
      </w:r>
      <w:r w:rsidR="00176A82">
        <w:t xml:space="preserve"> </w:t>
      </w:r>
      <w:r w:rsidRPr="000D7060">
        <w:t>and the stalling of other systemic policy analysis processes such as the PERR</w:t>
      </w:r>
      <w:r w:rsidR="00901B7C" w:rsidRPr="00C07049">
        <w:rPr>
          <w:rStyle w:val="FootnoteReference"/>
        </w:rPr>
        <w:footnoteReference w:id="21"/>
      </w:r>
      <w:r w:rsidRPr="000D7060">
        <w:t xml:space="preserve"> and a public sector reform plan mean that </w:t>
      </w:r>
      <w:r w:rsidR="009A5BD6">
        <w:t>the PNG program</w:t>
      </w:r>
      <w:r w:rsidR="009A5BD6" w:rsidRPr="000D7060">
        <w:t xml:space="preserve"> </w:t>
      </w:r>
      <w:r w:rsidRPr="000D7060">
        <w:t>now need</w:t>
      </w:r>
      <w:r w:rsidR="009A5BD6">
        <w:t>s</w:t>
      </w:r>
      <w:r w:rsidRPr="000D7060">
        <w:t xml:space="preserve"> to work hard to find effective entry points to pursue this objective at the national level.</w:t>
      </w:r>
    </w:p>
    <w:p w:rsidR="006C53E0" w:rsidRPr="00541E6E" w:rsidRDefault="006C53E0" w:rsidP="0083785B">
      <w:pPr>
        <w:pStyle w:val="H3A"/>
      </w:pPr>
      <w:bookmarkStart w:id="74" w:name="_Toc361224344"/>
      <w:r w:rsidRPr="00541E6E">
        <w:t>Assessment of results and performance</w:t>
      </w:r>
      <w:bookmarkEnd w:id="74"/>
    </w:p>
    <w:p w:rsidR="000D7060" w:rsidRPr="000D7060" w:rsidRDefault="000D7060" w:rsidP="00991F19">
      <w:pPr>
        <w:pStyle w:val="BodyText"/>
      </w:pPr>
      <w:r w:rsidRPr="000D7060">
        <w:t xml:space="preserve">As noted in </w:t>
      </w:r>
      <w:r w:rsidR="00F708FE">
        <w:t>the 2007</w:t>
      </w:r>
      <w:r w:rsidRPr="000D7060">
        <w:t xml:space="preserve"> </w:t>
      </w:r>
      <w:r w:rsidR="00F708FE">
        <w:t>annual program performance report</w:t>
      </w:r>
      <w:r w:rsidRPr="000D7060">
        <w:t xml:space="preserve">, achieving progress </w:t>
      </w:r>
      <w:r w:rsidR="00176A82">
        <w:t>towards</w:t>
      </w:r>
      <w:r w:rsidR="00176A82" w:rsidRPr="000D7060">
        <w:t xml:space="preserve"> </w:t>
      </w:r>
      <w:r w:rsidRPr="000D7060">
        <w:t xml:space="preserve">this objective </w:t>
      </w:r>
      <w:r w:rsidR="00F708FE">
        <w:t>is</w:t>
      </w:r>
      <w:r w:rsidRPr="000D7060">
        <w:t xml:space="preserve"> an enormous challenge. Given the long-term deterioration of public administration in PNG it will take concerted action over time to halt this and eventually reverse it. </w:t>
      </w:r>
      <w:r w:rsidR="00F708FE">
        <w:t>R</w:t>
      </w:r>
      <w:r w:rsidRPr="000D7060">
        <w:t>eform efforts stalled within the public service</w:t>
      </w:r>
      <w:r w:rsidR="00CF4C64">
        <w:t>, which can be</w:t>
      </w:r>
      <w:r w:rsidRPr="000D7060">
        <w:t xml:space="preserve"> </w:t>
      </w:r>
      <w:r w:rsidR="00A51CF9">
        <w:t>linked to</w:t>
      </w:r>
      <w:r w:rsidRPr="000D7060">
        <w:t xml:space="preserve"> a weakening of central policy coordination structures. Uncertainty surrounding the future of the Office of the Chief Secretary and the role of the Central Agencies Coordinating Committee</w:t>
      </w:r>
      <w:r w:rsidR="00A51CF9">
        <w:t xml:space="preserve"> and</w:t>
      </w:r>
      <w:r w:rsidRPr="000D7060">
        <w:t xml:space="preserve"> unfinished restructuring in the </w:t>
      </w:r>
      <w:r w:rsidR="0049163F" w:rsidRPr="00011299">
        <w:t>Department of National Planning and Monitoring</w:t>
      </w:r>
      <w:r w:rsidRPr="000D7060">
        <w:t xml:space="preserve"> meant that </w:t>
      </w:r>
      <w:r w:rsidR="00A51CF9">
        <w:t>development partners</w:t>
      </w:r>
      <w:r w:rsidR="00CF4C64">
        <w:t>’</w:t>
      </w:r>
      <w:r w:rsidRPr="000D7060">
        <w:t xml:space="preserve"> points of entry for policy </w:t>
      </w:r>
      <w:r w:rsidR="00A51CF9">
        <w:t>dialogue</w:t>
      </w:r>
      <w:r w:rsidR="00A51CF9" w:rsidRPr="000D7060">
        <w:t xml:space="preserve"> </w:t>
      </w:r>
      <w:r w:rsidRPr="000D7060">
        <w:t xml:space="preserve">became weaker. </w:t>
      </w:r>
    </w:p>
    <w:p w:rsidR="000D7060" w:rsidRPr="000D7060" w:rsidRDefault="000D7060" w:rsidP="00991F19">
      <w:pPr>
        <w:pStyle w:val="BodyText"/>
      </w:pPr>
      <w:r w:rsidRPr="000D7060">
        <w:t xml:space="preserve">The </w:t>
      </w:r>
      <w:r w:rsidR="006C53E0">
        <w:t>monitoring</w:t>
      </w:r>
      <w:r w:rsidR="00176A82">
        <w:t>,</w:t>
      </w:r>
      <w:r w:rsidR="006C53E0">
        <w:t xml:space="preserve"> evaluation </w:t>
      </w:r>
      <w:r w:rsidR="00176A82">
        <w:t xml:space="preserve">and dialogue </w:t>
      </w:r>
      <w:r w:rsidR="006C53E0">
        <w:t xml:space="preserve">mechanism </w:t>
      </w:r>
      <w:r w:rsidR="006C53E0" w:rsidRPr="00011299">
        <w:t xml:space="preserve">of the </w:t>
      </w:r>
      <w:r w:rsidR="006C53E0">
        <w:t>Development Cooperation</w:t>
      </w:r>
      <w:r w:rsidR="006C53E0" w:rsidRPr="00AB44FB">
        <w:t xml:space="preserve"> </w:t>
      </w:r>
      <w:r w:rsidR="006C53E0" w:rsidRPr="00011299">
        <w:t>Strategy</w:t>
      </w:r>
      <w:r w:rsidR="006C53E0">
        <w:t>—</w:t>
      </w:r>
      <w:r w:rsidRPr="000D7060">
        <w:t>Performance Review and Dialogue</w:t>
      </w:r>
      <w:r w:rsidR="006C53E0">
        <w:t>—</w:t>
      </w:r>
      <w:r w:rsidRPr="000D7060">
        <w:t xml:space="preserve">ceased at the request of the Department of </w:t>
      </w:r>
      <w:r w:rsidR="00826BD2">
        <w:t xml:space="preserve">National </w:t>
      </w:r>
      <w:r w:rsidRPr="000D7060">
        <w:t>Planning</w:t>
      </w:r>
      <w:r w:rsidR="00826BD2">
        <w:t xml:space="preserve"> and Monitoring</w:t>
      </w:r>
      <w:r w:rsidR="002F2538">
        <w:t xml:space="preserve"> because triggers for performance payments of the $15 million could not be agreed.</w:t>
      </w:r>
      <w:r w:rsidRPr="000D7060">
        <w:t xml:space="preserve"> </w:t>
      </w:r>
      <w:r w:rsidR="0049163F">
        <w:t xml:space="preserve">The </w:t>
      </w:r>
      <w:r w:rsidR="0049163F" w:rsidRPr="0049163F">
        <w:t>interdepartmental co</w:t>
      </w:r>
      <w:r w:rsidRPr="0049163F">
        <w:t>ordination</w:t>
      </w:r>
      <w:r w:rsidRPr="000D7060">
        <w:t xml:space="preserve"> </w:t>
      </w:r>
      <w:r w:rsidR="006C53E0">
        <w:t>that</w:t>
      </w:r>
      <w:r w:rsidR="006C53E0" w:rsidRPr="000D7060">
        <w:t xml:space="preserve"> </w:t>
      </w:r>
      <w:r w:rsidR="0049163F" w:rsidRPr="00011299">
        <w:t xml:space="preserve">Performance Review and Dialogue </w:t>
      </w:r>
      <w:r w:rsidRPr="000D7060">
        <w:t xml:space="preserve">encouraged was replaced to some extent by the Partnership </w:t>
      </w:r>
      <w:r w:rsidR="006C53E0">
        <w:t>for Development</w:t>
      </w:r>
      <w:r w:rsidR="00E7311F">
        <w:t xml:space="preserve">. </w:t>
      </w:r>
      <w:r w:rsidRPr="000D7060">
        <w:lastRenderedPageBreak/>
        <w:t xml:space="preserve">The existing PERR </w:t>
      </w:r>
      <w:r w:rsidR="00AB7830" w:rsidRPr="000D7060">
        <w:t>implement</w:t>
      </w:r>
      <w:r w:rsidR="00AB7830">
        <w:t>ation</w:t>
      </w:r>
      <w:r w:rsidR="00AB7830" w:rsidRPr="000D7060">
        <w:t xml:space="preserve"> committee </w:t>
      </w:r>
      <w:r w:rsidRPr="000D7060">
        <w:t xml:space="preserve">continued to meet in 2008, although it lost momentum as a guiding body for reform. </w:t>
      </w:r>
    </w:p>
    <w:p w:rsidR="000D7060" w:rsidRPr="000D7060" w:rsidRDefault="000D7060" w:rsidP="00991F19">
      <w:pPr>
        <w:pStyle w:val="BodyText"/>
      </w:pPr>
      <w:r w:rsidRPr="000D7060">
        <w:t>Despite initial encouragement through the aid program, both the whole</w:t>
      </w:r>
      <w:r w:rsidR="00CD5782">
        <w:t>-</w:t>
      </w:r>
      <w:r w:rsidRPr="000D7060">
        <w:t>of</w:t>
      </w:r>
      <w:r w:rsidR="00CD5782">
        <w:t>-</w:t>
      </w:r>
      <w:r w:rsidR="00CD5782" w:rsidRPr="000D7060">
        <w:t xml:space="preserve">government </w:t>
      </w:r>
      <w:r w:rsidR="003C4AA6" w:rsidRPr="000D7060">
        <w:t xml:space="preserve">performance planning and monitoring framework </w:t>
      </w:r>
      <w:r w:rsidRPr="000D7060">
        <w:t xml:space="preserve">and the </w:t>
      </w:r>
      <w:r w:rsidR="00CD5782">
        <w:t>‘</w:t>
      </w:r>
      <w:r w:rsidRPr="000D7060">
        <w:t>pocketbook</w:t>
      </w:r>
      <w:r w:rsidR="00CD5782">
        <w:t>’</w:t>
      </w:r>
      <w:r w:rsidRPr="000D7060">
        <w:t xml:space="preserve"> publication of progress </w:t>
      </w:r>
      <w:r w:rsidR="002F2538">
        <w:t>towards</w:t>
      </w:r>
      <w:r w:rsidR="002F2538" w:rsidRPr="000D7060">
        <w:t xml:space="preserve"> </w:t>
      </w:r>
      <w:r w:rsidRPr="000D7060">
        <w:t xml:space="preserve">the MTDS </w:t>
      </w:r>
      <w:r w:rsidR="00CD5782">
        <w:t xml:space="preserve">priorities </w:t>
      </w:r>
      <w:r w:rsidRPr="000D7060">
        <w:t xml:space="preserve">stalled. Although Australian support through the </w:t>
      </w:r>
      <w:proofErr w:type="spellStart"/>
      <w:r w:rsidRPr="000D7060">
        <w:t>Strongim</w:t>
      </w:r>
      <w:proofErr w:type="spellEnd"/>
      <w:r w:rsidRPr="000D7060">
        <w:t xml:space="preserve"> </w:t>
      </w:r>
      <w:proofErr w:type="spellStart"/>
      <w:r w:rsidRPr="000D7060">
        <w:t>Gavman</w:t>
      </w:r>
      <w:proofErr w:type="spellEnd"/>
      <w:r w:rsidRPr="000D7060">
        <w:t xml:space="preserve"> Program </w:t>
      </w:r>
      <w:r w:rsidR="00E7311F">
        <w:t>assisted</w:t>
      </w:r>
      <w:r w:rsidRPr="000D7060">
        <w:t xml:space="preserve"> in maintaining Treasury capacity to manage a broadly sound macroeconomic strategy, there </w:t>
      </w:r>
      <w:r w:rsidR="00CD5782">
        <w:t>was</w:t>
      </w:r>
      <w:r w:rsidR="00CD5782" w:rsidRPr="000D7060">
        <w:t xml:space="preserve"> </w:t>
      </w:r>
      <w:r w:rsidRPr="000D7060">
        <w:t>essentially minimal progress at the national level towards the PNG objective of improved leadership and management</w:t>
      </w:r>
      <w:r w:rsidR="00CD5782">
        <w:t xml:space="preserve"> in the </w:t>
      </w:r>
      <w:r w:rsidR="00CD5782" w:rsidRPr="000D7060">
        <w:t>public sector</w:t>
      </w:r>
      <w:r w:rsidRPr="000D7060">
        <w:t>.</w:t>
      </w:r>
    </w:p>
    <w:p w:rsidR="000D7060" w:rsidRPr="000D7060" w:rsidRDefault="000D7060" w:rsidP="00991F19">
      <w:pPr>
        <w:pStyle w:val="BodyText"/>
      </w:pPr>
      <w:r w:rsidRPr="000D7060">
        <w:t xml:space="preserve">However, there </w:t>
      </w:r>
      <w:r w:rsidR="00CD5782">
        <w:t>was</w:t>
      </w:r>
      <w:r w:rsidRPr="000D7060">
        <w:t xml:space="preserve"> a renewed interest, led by the Department of Provincial and Local</w:t>
      </w:r>
      <w:r w:rsidR="0090469F">
        <w:t>-Level</w:t>
      </w:r>
      <w:r w:rsidRPr="000D7060">
        <w:t xml:space="preserve"> Government Affairs, in evidence</w:t>
      </w:r>
      <w:r w:rsidR="00CD5782">
        <w:t>-</w:t>
      </w:r>
      <w:r w:rsidRPr="000D7060">
        <w:t>based monitoring of outcomes and systems improvement at provincial and local level</w:t>
      </w:r>
      <w:r w:rsidR="00CD5782">
        <w:t>s</w:t>
      </w:r>
      <w:r w:rsidRPr="000D7060">
        <w:t xml:space="preserve"> </w:t>
      </w:r>
      <w:r w:rsidR="00CD5782">
        <w:t xml:space="preserve">(for further discussion see </w:t>
      </w:r>
      <w:r w:rsidR="006E5C67">
        <w:t>‘</w:t>
      </w:r>
      <w:r w:rsidR="006E5C67" w:rsidRPr="000D7060">
        <w:t xml:space="preserve">Development </w:t>
      </w:r>
      <w:r w:rsidR="00CD5782" w:rsidRPr="000D7060">
        <w:t>theme</w:t>
      </w:r>
      <w:r w:rsidR="00CD5782">
        <w:t> </w:t>
      </w:r>
      <w:r w:rsidRPr="000D7060">
        <w:t>3</w:t>
      </w:r>
      <w:r w:rsidR="006E5C67">
        <w:t>’</w:t>
      </w:r>
      <w:r w:rsidR="00CD5782">
        <w:t>)</w:t>
      </w:r>
      <w:r w:rsidRPr="000D7060">
        <w:t>.</w:t>
      </w:r>
    </w:p>
    <w:p w:rsidR="000D7060" w:rsidRPr="000D7060" w:rsidRDefault="00E7311F" w:rsidP="00991F19">
      <w:pPr>
        <w:pStyle w:val="BodyText"/>
      </w:pPr>
      <w:r>
        <w:t>T</w:t>
      </w:r>
      <w:r w:rsidR="000D7060" w:rsidRPr="000D7060">
        <w:t xml:space="preserve">he Australian aid program contributed to incremental changes in public sector skills and functions and to improved processes for budget planning, preparation and financial management. In particular, there </w:t>
      </w:r>
      <w:r w:rsidR="002A4067">
        <w:t>were</w:t>
      </w:r>
      <w:r w:rsidR="000D7060" w:rsidRPr="000D7060">
        <w:t xml:space="preserve"> direct Australian contributions to:</w:t>
      </w:r>
    </w:p>
    <w:p w:rsidR="000D7060" w:rsidRPr="000D7060" w:rsidRDefault="000D7060" w:rsidP="00991F19">
      <w:pPr>
        <w:pStyle w:val="ListBullet"/>
      </w:pPr>
      <w:r w:rsidRPr="000D7060">
        <w:rPr>
          <w:b/>
        </w:rPr>
        <w:t>Reforming the intergovernmental financing arrangements</w:t>
      </w:r>
      <w:r w:rsidRPr="000D7060">
        <w:t xml:space="preserve">. Australian technical assistance to </w:t>
      </w:r>
      <w:r w:rsidR="00BF3E68">
        <w:t xml:space="preserve">the </w:t>
      </w:r>
      <w:r w:rsidR="00BF3E68" w:rsidRPr="00011299">
        <w:t>National Economic and Fiscal Commission</w:t>
      </w:r>
      <w:r w:rsidR="002A4067">
        <w:t xml:space="preserve"> supported</w:t>
      </w:r>
      <w:r w:rsidRPr="000D7060">
        <w:t xml:space="preserve"> reform </w:t>
      </w:r>
      <w:r w:rsidR="002A4067">
        <w:t xml:space="preserve">that </w:t>
      </w:r>
      <w:r w:rsidRPr="000D7060">
        <w:t>result</w:t>
      </w:r>
      <w:r w:rsidR="002A4067">
        <w:t>ed</w:t>
      </w:r>
      <w:r w:rsidRPr="000D7060">
        <w:t xml:space="preserve"> in an overall increase of 40</w:t>
      </w:r>
      <w:r w:rsidR="001B735E">
        <w:t> per cent</w:t>
      </w:r>
      <w:r w:rsidRPr="000D7060">
        <w:t xml:space="preserve"> to the recurrent goods and services grants made available to provincial governments for their service delivery responsibilities in health, education, transport</w:t>
      </w:r>
      <w:r w:rsidR="002A4067">
        <w:t xml:space="preserve"> and </w:t>
      </w:r>
      <w:r w:rsidRPr="000D7060">
        <w:t>infrastructure, agriculture</w:t>
      </w:r>
      <w:r w:rsidR="002A4067">
        <w:t>,</w:t>
      </w:r>
      <w:r w:rsidRPr="000D7060">
        <w:t xml:space="preserve"> and law and justice</w:t>
      </w:r>
      <w:r w:rsidR="002A4067">
        <w:t>.</w:t>
      </w:r>
      <w:r w:rsidRPr="002A4067">
        <w:rPr>
          <w:rStyle w:val="FootnoteReference"/>
        </w:rPr>
        <w:footnoteReference w:id="22"/>
      </w:r>
    </w:p>
    <w:p w:rsidR="000D7060" w:rsidRPr="000D7060" w:rsidRDefault="000D7060" w:rsidP="00991F19">
      <w:pPr>
        <w:pStyle w:val="ListBullet"/>
      </w:pPr>
      <w:r w:rsidRPr="000D7060">
        <w:rPr>
          <w:b/>
        </w:rPr>
        <w:t>Developing a five</w:t>
      </w:r>
      <w:r w:rsidR="002A4067">
        <w:rPr>
          <w:b/>
        </w:rPr>
        <w:t>-</w:t>
      </w:r>
      <w:r w:rsidRPr="000D7060">
        <w:rPr>
          <w:b/>
        </w:rPr>
        <w:t>year framework and implementation plan for the Public Sector Workforce Development Program</w:t>
      </w:r>
      <w:r w:rsidRPr="000D7060">
        <w:t>. It was agreed that PNG would increase its co</w:t>
      </w:r>
      <w:r w:rsidR="00BF3E68">
        <w:t xml:space="preserve">ntribution to the program to </w:t>
      </w:r>
      <w:smartTag w:uri="urn:schemas-microsoft-com:office:smarttags" w:element="place">
        <w:r w:rsidR="00BF3E68">
          <w:t>K2</w:t>
        </w:r>
      </w:smartTag>
      <w:r w:rsidR="00BF3E68">
        <w:t> </w:t>
      </w:r>
      <w:r w:rsidR="00666B7B">
        <w:t>million in 2009 (</w:t>
      </w:r>
      <w:r w:rsidR="00FF6A53">
        <w:t>K</w:t>
      </w:r>
      <w:r w:rsidR="00666B7B">
        <w:t>1.5 </w:t>
      </w:r>
      <w:r w:rsidRPr="000D7060">
        <w:t xml:space="preserve">million in 2008). This relatively successful program, which started </w:t>
      </w:r>
      <w:r w:rsidR="00670FD8">
        <w:t>in 2005</w:t>
      </w:r>
      <w:r w:rsidRPr="000D7060">
        <w:t xml:space="preserve">, has reinstituted sustainable workplace training and professional development. </w:t>
      </w:r>
      <w:r w:rsidR="00670FD8">
        <w:t xml:space="preserve">A total of </w:t>
      </w:r>
      <w:r w:rsidRPr="000D7060">
        <w:rPr>
          <w:bCs/>
        </w:rPr>
        <w:t>850 officials from 22 agencies received workplace training in 2008.</w:t>
      </w:r>
      <w:r w:rsidRPr="00BF3E68">
        <w:rPr>
          <w:rStyle w:val="FootnoteReference"/>
        </w:rPr>
        <w:footnoteReference w:id="23"/>
      </w:r>
      <w:r w:rsidRPr="000D7060">
        <w:rPr>
          <w:bCs/>
        </w:rPr>
        <w:t xml:space="preserve"> </w:t>
      </w:r>
      <w:r w:rsidR="00670FD8">
        <w:t>The program</w:t>
      </w:r>
      <w:r w:rsidR="00670FD8" w:rsidRPr="000D7060">
        <w:t xml:space="preserve"> </w:t>
      </w:r>
      <w:r w:rsidRPr="000D7060">
        <w:t xml:space="preserve">is wholly owned and operated by </w:t>
      </w:r>
      <w:r w:rsidR="00670FD8">
        <w:t xml:space="preserve">the </w:t>
      </w:r>
      <w:r w:rsidR="007B2AB8">
        <w:t>PNG Government</w:t>
      </w:r>
      <w:r w:rsidRPr="000D7060">
        <w:t>, with Australian support.</w:t>
      </w:r>
    </w:p>
    <w:p w:rsidR="000D7060" w:rsidRPr="00670FD8" w:rsidRDefault="000D7060" w:rsidP="00991F19">
      <w:pPr>
        <w:pStyle w:val="ListBullet"/>
        <w:rPr>
          <w:spacing w:val="-2"/>
        </w:rPr>
      </w:pPr>
      <w:r w:rsidRPr="00422F3C">
        <w:rPr>
          <w:b/>
        </w:rPr>
        <w:t>Devolving human resource management</w:t>
      </w:r>
      <w:r w:rsidRPr="00422F3C">
        <w:t xml:space="preserve"> from the Department of Personnel Management</w:t>
      </w:r>
      <w:r w:rsidRPr="00670FD8">
        <w:rPr>
          <w:spacing w:val="-2"/>
        </w:rPr>
        <w:t xml:space="preserve"> to key agencies including Finance, Treasury, </w:t>
      </w:r>
      <w:r w:rsidR="00670FD8" w:rsidRPr="00670FD8">
        <w:rPr>
          <w:spacing w:val="-2"/>
        </w:rPr>
        <w:t xml:space="preserve">the </w:t>
      </w:r>
      <w:r w:rsidRPr="00670FD8">
        <w:rPr>
          <w:spacing w:val="-2"/>
        </w:rPr>
        <w:t xml:space="preserve">Internal Revenue Commission and </w:t>
      </w:r>
      <w:r w:rsidR="00670FD8" w:rsidRPr="00670FD8">
        <w:rPr>
          <w:spacing w:val="-2"/>
        </w:rPr>
        <w:t xml:space="preserve">the </w:t>
      </w:r>
      <w:r w:rsidR="00666B7B" w:rsidRPr="00670FD8">
        <w:rPr>
          <w:spacing w:val="-2"/>
        </w:rPr>
        <w:t>Auditor-General’s Office. Cross-</w:t>
      </w:r>
      <w:r w:rsidRPr="00670FD8">
        <w:rPr>
          <w:spacing w:val="-2"/>
        </w:rPr>
        <w:t xml:space="preserve">agency coordination improved </w:t>
      </w:r>
      <w:r w:rsidR="00670FD8" w:rsidRPr="00670FD8">
        <w:rPr>
          <w:spacing w:val="-2"/>
        </w:rPr>
        <w:t xml:space="preserve">as a result of </w:t>
      </w:r>
      <w:r w:rsidRPr="00670FD8">
        <w:rPr>
          <w:spacing w:val="-2"/>
        </w:rPr>
        <w:t xml:space="preserve">the establishment of a ‘community of practice’ for </w:t>
      </w:r>
      <w:r w:rsidR="00670FD8" w:rsidRPr="00670FD8">
        <w:rPr>
          <w:spacing w:val="-2"/>
        </w:rPr>
        <w:t xml:space="preserve">managers of </w:t>
      </w:r>
      <w:r w:rsidRPr="00670FD8">
        <w:rPr>
          <w:spacing w:val="-2"/>
        </w:rPr>
        <w:t>human resource</w:t>
      </w:r>
      <w:r w:rsidR="00670FD8" w:rsidRPr="00670FD8">
        <w:rPr>
          <w:spacing w:val="-2"/>
        </w:rPr>
        <w:t>s</w:t>
      </w:r>
      <w:r w:rsidRPr="00670FD8">
        <w:rPr>
          <w:spacing w:val="-2"/>
        </w:rPr>
        <w:t xml:space="preserve">. A similar </w:t>
      </w:r>
      <w:r w:rsidR="00670FD8" w:rsidRPr="00670FD8">
        <w:rPr>
          <w:spacing w:val="-2"/>
        </w:rPr>
        <w:t xml:space="preserve">network for </w:t>
      </w:r>
      <w:r w:rsidRPr="00670FD8">
        <w:rPr>
          <w:spacing w:val="-2"/>
        </w:rPr>
        <w:t>public financial manage</w:t>
      </w:r>
      <w:r w:rsidR="00670FD8" w:rsidRPr="00670FD8">
        <w:rPr>
          <w:spacing w:val="-2"/>
        </w:rPr>
        <w:t>rs</w:t>
      </w:r>
      <w:r w:rsidRPr="00670FD8">
        <w:rPr>
          <w:spacing w:val="-2"/>
        </w:rPr>
        <w:t xml:space="preserve"> will be established in 2009.</w:t>
      </w:r>
    </w:p>
    <w:p w:rsidR="000D7060" w:rsidRPr="000D7060" w:rsidRDefault="000D7060" w:rsidP="00991F19">
      <w:pPr>
        <w:pStyle w:val="ListBullet"/>
      </w:pPr>
      <w:r w:rsidRPr="000D7060">
        <w:rPr>
          <w:b/>
        </w:rPr>
        <w:t>Building transparency and public accountability processes in the education system</w:t>
      </w:r>
      <w:r w:rsidRPr="000D7060">
        <w:t>. Initiatives such as school</w:t>
      </w:r>
      <w:r w:rsidR="00FF6A53">
        <w:t>’</w:t>
      </w:r>
      <w:r w:rsidRPr="000D7060">
        <w:t>s plans</w:t>
      </w:r>
      <w:r w:rsidR="00FF6A53">
        <w:t xml:space="preserve"> to improve learning</w:t>
      </w:r>
      <w:r w:rsidRPr="000D7060">
        <w:t xml:space="preserve"> with strong community participation are ensuring accountability; new payroll and merit selection processes are strengthening financial management, audit and human resource systems; and national and provincial education plans are improving planning and budget processes.</w:t>
      </w:r>
    </w:p>
    <w:p w:rsidR="000D7060" w:rsidRPr="000D7060" w:rsidRDefault="000D7060" w:rsidP="00991F19">
      <w:pPr>
        <w:pStyle w:val="ListBullet"/>
        <w:keepLines/>
      </w:pPr>
      <w:r w:rsidRPr="000D7060">
        <w:rPr>
          <w:b/>
        </w:rPr>
        <w:t>Strengthening core public administration functions across the eight law and justice agencies.</w:t>
      </w:r>
      <w:r w:rsidRPr="000D7060">
        <w:t xml:space="preserve"> Th</w:t>
      </w:r>
      <w:r w:rsidR="00EF2B69">
        <w:t xml:space="preserve">e benefits are </w:t>
      </w:r>
      <w:r w:rsidRPr="000D7060">
        <w:t xml:space="preserve">demonstrated </w:t>
      </w:r>
      <w:r w:rsidR="00EF2B69">
        <w:t>in</w:t>
      </w:r>
      <w:r w:rsidR="00EF2B69" w:rsidRPr="000D7060">
        <w:t xml:space="preserve"> </w:t>
      </w:r>
      <w:r w:rsidRPr="000D7060">
        <w:t>improved medium</w:t>
      </w:r>
      <w:r w:rsidR="00EF2B69">
        <w:t>-</w:t>
      </w:r>
      <w:r w:rsidRPr="000D7060">
        <w:t xml:space="preserve">term planning and budgeting, and </w:t>
      </w:r>
      <w:r w:rsidR="00EF2B69">
        <w:t xml:space="preserve">the </w:t>
      </w:r>
      <w:r w:rsidRPr="000D7060">
        <w:t>alignment of both development and recurrent budgets to annual plans and sectoral policies. The strong policy foundation</w:t>
      </w:r>
      <w:r w:rsidR="003E5462">
        <w:t xml:space="preserve"> </w:t>
      </w:r>
      <w:r w:rsidR="00C2772C">
        <w:t xml:space="preserve">of the law and justice sector </w:t>
      </w:r>
      <w:r w:rsidRPr="000D7060">
        <w:t xml:space="preserve">is guiding coordinated and coherent resourcing decisions as well as activities leading to service delivery </w:t>
      </w:r>
      <w:r w:rsidR="00666B7B">
        <w:t>improvements across the sector.</w:t>
      </w:r>
    </w:p>
    <w:p w:rsidR="000D7060" w:rsidRPr="000D7060" w:rsidRDefault="000D7060" w:rsidP="00991F19">
      <w:pPr>
        <w:pStyle w:val="ListBullet"/>
        <w:rPr>
          <w:iCs/>
        </w:rPr>
      </w:pPr>
      <w:r w:rsidRPr="000D7060">
        <w:rPr>
          <w:b/>
          <w:iCs/>
        </w:rPr>
        <w:lastRenderedPageBreak/>
        <w:t>Delivering a development</w:t>
      </w:r>
      <w:r w:rsidR="003C4F3E">
        <w:rPr>
          <w:b/>
          <w:iCs/>
        </w:rPr>
        <w:t>-</w:t>
      </w:r>
      <w:r w:rsidRPr="000D7060">
        <w:rPr>
          <w:b/>
          <w:iCs/>
        </w:rPr>
        <w:t xml:space="preserve">oriented 2009 budget in line with the Medium Term Development Strategy and </w:t>
      </w:r>
      <w:r w:rsidR="003C4F3E">
        <w:rPr>
          <w:b/>
          <w:iCs/>
        </w:rPr>
        <w:t xml:space="preserve">the </w:t>
      </w:r>
      <w:r w:rsidRPr="000D7060">
        <w:rPr>
          <w:b/>
          <w:iCs/>
        </w:rPr>
        <w:t>new Medium Term Fiscal Strategy and a revitalised Medium Term Resource Framework</w:t>
      </w:r>
      <w:r w:rsidRPr="000D7060">
        <w:rPr>
          <w:iCs/>
        </w:rPr>
        <w:t xml:space="preserve">. </w:t>
      </w:r>
      <w:r w:rsidR="00F02627">
        <w:rPr>
          <w:iCs/>
        </w:rPr>
        <w:t xml:space="preserve">The </w:t>
      </w:r>
      <w:proofErr w:type="spellStart"/>
      <w:r w:rsidRPr="000D7060">
        <w:rPr>
          <w:iCs/>
        </w:rPr>
        <w:t>Strongim</w:t>
      </w:r>
      <w:proofErr w:type="spellEnd"/>
      <w:r w:rsidRPr="000D7060">
        <w:rPr>
          <w:iCs/>
        </w:rPr>
        <w:t xml:space="preserve"> </w:t>
      </w:r>
      <w:proofErr w:type="spellStart"/>
      <w:r w:rsidRPr="000D7060">
        <w:rPr>
          <w:iCs/>
        </w:rPr>
        <w:t>Gavman</w:t>
      </w:r>
      <w:proofErr w:type="spellEnd"/>
      <w:r w:rsidRPr="000D7060">
        <w:rPr>
          <w:iCs/>
        </w:rPr>
        <w:t xml:space="preserve"> Program</w:t>
      </w:r>
      <w:r w:rsidR="003C4F3E">
        <w:rPr>
          <w:iCs/>
        </w:rPr>
        <w:t>’s</w:t>
      </w:r>
      <w:r w:rsidRPr="000D7060">
        <w:rPr>
          <w:iCs/>
        </w:rPr>
        <w:t xml:space="preserve"> technical support in the PNG Treasury contributed to the delivery of the 2009 </w:t>
      </w:r>
      <w:r w:rsidR="003C4F3E" w:rsidRPr="000D7060">
        <w:rPr>
          <w:iCs/>
        </w:rPr>
        <w:t xml:space="preserve">budget </w:t>
      </w:r>
      <w:r w:rsidRPr="000D7060">
        <w:rPr>
          <w:iCs/>
        </w:rPr>
        <w:t xml:space="preserve">on time amid an uncertain and volatile domestic and international outlook, although </w:t>
      </w:r>
      <w:r w:rsidR="003C4F3E">
        <w:rPr>
          <w:iCs/>
        </w:rPr>
        <w:t xml:space="preserve">the </w:t>
      </w:r>
      <w:r w:rsidRPr="000D7060">
        <w:rPr>
          <w:iCs/>
        </w:rPr>
        <w:t xml:space="preserve">alignment of the development budget </w:t>
      </w:r>
      <w:r w:rsidR="003C4F3E">
        <w:rPr>
          <w:iCs/>
        </w:rPr>
        <w:t>with</w:t>
      </w:r>
      <w:r w:rsidR="003C4F3E" w:rsidRPr="000D7060">
        <w:rPr>
          <w:iCs/>
        </w:rPr>
        <w:t xml:space="preserve"> </w:t>
      </w:r>
      <w:r w:rsidRPr="000D7060">
        <w:rPr>
          <w:iCs/>
        </w:rPr>
        <w:t xml:space="preserve">MTDS priorities weakened. It is anticipated </w:t>
      </w:r>
      <w:r w:rsidR="003C4F3E">
        <w:rPr>
          <w:iCs/>
        </w:rPr>
        <w:t xml:space="preserve">that </w:t>
      </w:r>
      <w:r w:rsidRPr="000D7060">
        <w:rPr>
          <w:iCs/>
        </w:rPr>
        <w:t>the new Integrated Financial Development System will have a provision for multi-year budgeting which, if managed well, could improve budget planning and preparation.</w:t>
      </w:r>
    </w:p>
    <w:p w:rsidR="000D7060" w:rsidRPr="000D7060" w:rsidRDefault="000D7060" w:rsidP="00991F19">
      <w:pPr>
        <w:pStyle w:val="ListBullet"/>
        <w:rPr>
          <w:iCs/>
        </w:rPr>
      </w:pPr>
      <w:r w:rsidRPr="000D7060">
        <w:rPr>
          <w:b/>
          <w:iCs/>
        </w:rPr>
        <w:t xml:space="preserve">Improving financial management at the national and </w:t>
      </w:r>
      <w:r w:rsidR="007F26AF">
        <w:rPr>
          <w:b/>
          <w:iCs/>
        </w:rPr>
        <w:t>sub</w:t>
      </w:r>
      <w:r w:rsidRPr="000D7060">
        <w:rPr>
          <w:b/>
          <w:iCs/>
        </w:rPr>
        <w:t>national level</w:t>
      </w:r>
      <w:r w:rsidR="00422F3C">
        <w:rPr>
          <w:b/>
          <w:iCs/>
        </w:rPr>
        <w:t>s</w:t>
      </w:r>
      <w:r w:rsidRPr="000D7060">
        <w:rPr>
          <w:iCs/>
        </w:rPr>
        <w:t xml:space="preserve">. </w:t>
      </w:r>
      <w:r w:rsidR="00F02627">
        <w:rPr>
          <w:iCs/>
        </w:rPr>
        <w:t>The</w:t>
      </w:r>
      <w:r w:rsidR="00422F3C">
        <w:rPr>
          <w:iCs/>
        </w:rPr>
        <w:t> </w:t>
      </w:r>
      <w:proofErr w:type="spellStart"/>
      <w:r w:rsidR="00F02627" w:rsidRPr="000D7060">
        <w:t>Strongim</w:t>
      </w:r>
      <w:proofErr w:type="spellEnd"/>
      <w:r w:rsidR="00F02627" w:rsidRPr="000D7060">
        <w:t xml:space="preserve"> </w:t>
      </w:r>
      <w:proofErr w:type="spellStart"/>
      <w:r w:rsidR="00F02627" w:rsidRPr="000D7060">
        <w:t>Gavman</w:t>
      </w:r>
      <w:proofErr w:type="spellEnd"/>
      <w:r w:rsidR="00F02627" w:rsidRPr="000D7060">
        <w:t xml:space="preserve"> Program</w:t>
      </w:r>
      <w:r w:rsidR="003E5462">
        <w:t>’s support</w:t>
      </w:r>
      <w:r w:rsidRPr="000D7060">
        <w:rPr>
          <w:iCs/>
        </w:rPr>
        <w:t xml:space="preserve"> to central agencies and </w:t>
      </w:r>
      <w:r w:rsidR="00422F3C">
        <w:rPr>
          <w:iCs/>
        </w:rPr>
        <w:t xml:space="preserve">the </w:t>
      </w:r>
      <w:r w:rsidRPr="000D7060">
        <w:rPr>
          <w:iCs/>
        </w:rPr>
        <w:t xml:space="preserve">financial management advisers placed in key line agencies assisted </w:t>
      </w:r>
      <w:r w:rsidR="00F02627">
        <w:rPr>
          <w:iCs/>
        </w:rPr>
        <w:t xml:space="preserve">the </w:t>
      </w:r>
      <w:r w:rsidR="007B2AB8">
        <w:rPr>
          <w:iCs/>
        </w:rPr>
        <w:t>PNG Government</w:t>
      </w:r>
      <w:r w:rsidRPr="000D7060">
        <w:rPr>
          <w:iCs/>
        </w:rPr>
        <w:t xml:space="preserve"> to prepare budgets and better manage financial resources. </w:t>
      </w:r>
      <w:smartTag w:uri="urn:schemas-microsoft-com:office:smarttags" w:element="place">
        <w:smartTag w:uri="urn:schemas-microsoft-com:office:smarttags" w:element="country-region">
          <w:r w:rsidRPr="000D7060">
            <w:rPr>
              <w:iCs/>
            </w:rPr>
            <w:t>Australia</w:t>
          </w:r>
        </w:smartTag>
      </w:smartTag>
      <w:r w:rsidRPr="000D7060">
        <w:rPr>
          <w:iCs/>
        </w:rPr>
        <w:t xml:space="preserve"> is co-financing with the Department of Finance the delivery of the Annual Financial Management Training Plan. For the first time</w:t>
      </w:r>
      <w:r w:rsidR="003E5462">
        <w:rPr>
          <w:iCs/>
        </w:rPr>
        <w:t>,</w:t>
      </w:r>
      <w:r w:rsidRPr="000D7060">
        <w:rPr>
          <w:iCs/>
        </w:rPr>
        <w:t xml:space="preserve"> training funds were appropriated under the recurrent budget, clearly demonstrating PNG’s commitment to its contribution obligations. In 2008, training was provided to 1055 public sector officials</w:t>
      </w:r>
      <w:r w:rsidR="00422F3C">
        <w:rPr>
          <w:iCs/>
        </w:rPr>
        <w:t>,</w:t>
      </w:r>
      <w:r w:rsidRPr="000D7060">
        <w:rPr>
          <w:iCs/>
        </w:rPr>
        <w:t xml:space="preserve"> of whom 44</w:t>
      </w:r>
      <w:r w:rsidR="00422F3C">
        <w:rPr>
          <w:iCs/>
        </w:rPr>
        <w:t> </w:t>
      </w:r>
      <w:r w:rsidRPr="000D7060">
        <w:rPr>
          <w:iCs/>
        </w:rPr>
        <w:t>per cent were women, through 87</w:t>
      </w:r>
      <w:r w:rsidR="00422F3C">
        <w:rPr>
          <w:iCs/>
        </w:rPr>
        <w:t> </w:t>
      </w:r>
      <w:r w:rsidRPr="000D7060">
        <w:rPr>
          <w:iCs/>
        </w:rPr>
        <w:t>separate courses in 17 provinces</w:t>
      </w:r>
      <w:r w:rsidR="00F02627">
        <w:rPr>
          <w:iCs/>
        </w:rPr>
        <w:t>.</w:t>
      </w:r>
      <w:r w:rsidRPr="00F02627">
        <w:rPr>
          <w:rStyle w:val="FootnoteReference"/>
        </w:rPr>
        <w:footnoteReference w:id="24"/>
      </w:r>
    </w:p>
    <w:p w:rsidR="000D7060" w:rsidRPr="000D7060" w:rsidRDefault="000D7060" w:rsidP="00991F19">
      <w:pPr>
        <w:pStyle w:val="ListBullet"/>
      </w:pPr>
      <w:r w:rsidRPr="000D7060">
        <w:rPr>
          <w:b/>
        </w:rPr>
        <w:t>Strengthening the capacity of the Internal Revenue Commission</w:t>
      </w:r>
      <w:r w:rsidRPr="000D7060">
        <w:t>. Technical</w:t>
      </w:r>
      <w:r w:rsidR="00422F3C">
        <w:t> </w:t>
      </w:r>
      <w:r w:rsidRPr="000D7060">
        <w:t xml:space="preserve">support from the Advisory Support Facility and </w:t>
      </w:r>
      <w:r w:rsidR="00F02627">
        <w:t xml:space="preserve">the </w:t>
      </w:r>
      <w:proofErr w:type="spellStart"/>
      <w:r w:rsidR="00F02627" w:rsidRPr="000D7060">
        <w:t>Strongim</w:t>
      </w:r>
      <w:proofErr w:type="spellEnd"/>
      <w:r w:rsidR="00F02627" w:rsidRPr="000D7060">
        <w:t xml:space="preserve"> </w:t>
      </w:r>
      <w:proofErr w:type="spellStart"/>
      <w:r w:rsidR="00F02627" w:rsidRPr="000D7060">
        <w:t>Gavman</w:t>
      </w:r>
      <w:proofErr w:type="spellEnd"/>
      <w:r w:rsidR="00F02627" w:rsidRPr="000D7060">
        <w:t xml:space="preserve"> Program</w:t>
      </w:r>
      <w:r w:rsidRPr="000D7060">
        <w:t xml:space="preserve"> </w:t>
      </w:r>
      <w:r w:rsidR="00422F3C">
        <w:t>was</w:t>
      </w:r>
      <w:r w:rsidRPr="000D7060">
        <w:t xml:space="preserve"> instrumental in implementing the </w:t>
      </w:r>
      <w:r w:rsidR="00422F3C">
        <w:t>commission’s</w:t>
      </w:r>
      <w:r w:rsidR="00422F3C" w:rsidRPr="000D7060">
        <w:t xml:space="preserve"> </w:t>
      </w:r>
      <w:r w:rsidRPr="000D7060">
        <w:t xml:space="preserve">new corporate plan and supporting </w:t>
      </w:r>
      <w:r w:rsidR="003E5462">
        <w:t xml:space="preserve">its </w:t>
      </w:r>
      <w:r w:rsidRPr="000D7060">
        <w:t>restructur</w:t>
      </w:r>
      <w:r w:rsidR="003E5462">
        <w:t>e</w:t>
      </w:r>
      <w:r w:rsidRPr="000D7060">
        <w:t xml:space="preserve">. As a result the </w:t>
      </w:r>
      <w:r w:rsidR="00422F3C">
        <w:t>commission</w:t>
      </w:r>
      <w:r w:rsidR="00422F3C" w:rsidRPr="000D7060">
        <w:t xml:space="preserve"> </w:t>
      </w:r>
      <w:r w:rsidRPr="000D7060">
        <w:t>secured a 20</w:t>
      </w:r>
      <w:r w:rsidR="00422F3C">
        <w:t> </w:t>
      </w:r>
      <w:r w:rsidRPr="000D7060">
        <w:t xml:space="preserve">per cent funding increase through the 2009 </w:t>
      </w:r>
      <w:r w:rsidR="00422F3C" w:rsidRPr="000D7060">
        <w:t>budget</w:t>
      </w:r>
      <w:r w:rsidRPr="000D7060">
        <w:t>.</w:t>
      </w:r>
    </w:p>
    <w:p w:rsidR="000D7060" w:rsidRPr="00CF4C64" w:rsidRDefault="000D7060" w:rsidP="00991F19">
      <w:pPr>
        <w:pStyle w:val="ListBullet"/>
      </w:pPr>
      <w:r w:rsidRPr="00CF4C64">
        <w:rPr>
          <w:b/>
        </w:rPr>
        <w:t xml:space="preserve">Strengthening the operations of </w:t>
      </w:r>
      <w:r w:rsidR="00524CD9" w:rsidRPr="00CF4C64">
        <w:rPr>
          <w:b/>
        </w:rPr>
        <w:t>provincial and district treasuries</w:t>
      </w:r>
      <w:r w:rsidR="00524CD9" w:rsidRPr="00CF4C64">
        <w:t xml:space="preserve"> </w:t>
      </w:r>
      <w:r w:rsidRPr="00CF4C64">
        <w:t>in six provinces.</w:t>
      </w:r>
      <w:r w:rsidRPr="00CF4C64">
        <w:rPr>
          <w:rStyle w:val="FootnoteReference"/>
        </w:rPr>
        <w:footnoteReference w:id="25"/>
      </w:r>
      <w:r w:rsidRPr="00CF4C64">
        <w:t xml:space="preserve"> Under the Provincial Capacity Building Program most Treasury employees’ knowledge and skills </w:t>
      </w:r>
      <w:r w:rsidR="003E5462" w:rsidRPr="00CF4C64">
        <w:t>i</w:t>
      </w:r>
      <w:r w:rsidRPr="00CF4C64">
        <w:t xml:space="preserve">n financial management and reporting generally improved and </w:t>
      </w:r>
      <w:r w:rsidR="00713338" w:rsidRPr="00CF4C64">
        <w:t>they</w:t>
      </w:r>
      <w:r w:rsidR="00CF4C64">
        <w:t> </w:t>
      </w:r>
      <w:r w:rsidRPr="00CF4C64">
        <w:t>cleared a backlog of work dating back 4</w:t>
      </w:r>
      <w:r w:rsidR="00713338" w:rsidRPr="00CF4C64">
        <w:t>–</w:t>
      </w:r>
      <w:r w:rsidRPr="00CF4C64">
        <w:t xml:space="preserve">5 years in most </w:t>
      </w:r>
      <w:r w:rsidR="00713338" w:rsidRPr="00CF4C64">
        <w:t xml:space="preserve">provinces </w:t>
      </w:r>
      <w:r w:rsidRPr="00CF4C64">
        <w:t xml:space="preserve">supported </w:t>
      </w:r>
      <w:r w:rsidR="00713338" w:rsidRPr="00CF4C64">
        <w:t>by the</w:t>
      </w:r>
      <w:r w:rsidR="00CF4C64">
        <w:t> </w:t>
      </w:r>
      <w:r w:rsidR="00713338" w:rsidRPr="00CF4C64">
        <w:t>program</w:t>
      </w:r>
      <w:r w:rsidRPr="00CF4C64">
        <w:t>.</w:t>
      </w:r>
      <w:r w:rsidRPr="00CF4C64">
        <w:rPr>
          <w:rStyle w:val="FootnoteReference"/>
        </w:rPr>
        <w:footnoteReference w:id="26"/>
      </w:r>
    </w:p>
    <w:p w:rsidR="006B2988" w:rsidRDefault="000D7060" w:rsidP="00991F19">
      <w:pPr>
        <w:pStyle w:val="BodyText"/>
      </w:pPr>
      <w:smartTag w:uri="urn:schemas-microsoft-com:office:smarttags" w:element="place">
        <w:smartTag w:uri="urn:schemas-microsoft-com:office:smarttags" w:element="country-region">
          <w:r w:rsidRPr="000D7060">
            <w:t>Australia</w:t>
          </w:r>
        </w:smartTag>
      </w:smartTag>
      <w:r w:rsidRPr="000D7060">
        <w:t xml:space="preserve"> also contributed to improved effectiveness of public sector institutions </w:t>
      </w:r>
      <w:r w:rsidR="003C4A23">
        <w:t>by providing</w:t>
      </w:r>
      <w:r w:rsidRPr="000D7060">
        <w:t xml:space="preserve"> Australian Development Scholarships. In 2008, 130 Papua New Guineans received </w:t>
      </w:r>
      <w:r w:rsidR="003C4A23">
        <w:t>s</w:t>
      </w:r>
      <w:r w:rsidRPr="000D7060">
        <w:t>cholarships</w:t>
      </w:r>
      <w:r w:rsidR="001702D3">
        <w:t>—</w:t>
      </w:r>
      <w:r w:rsidRPr="000D7060">
        <w:t>50</w:t>
      </w:r>
      <w:r w:rsidR="001B735E">
        <w:t> per cent</w:t>
      </w:r>
      <w:r w:rsidRPr="000D7060">
        <w:t xml:space="preserve"> </w:t>
      </w:r>
      <w:r w:rsidR="003C4A23">
        <w:t xml:space="preserve">going </w:t>
      </w:r>
      <w:r w:rsidRPr="000D7060">
        <w:t xml:space="preserve">to public servants. However, in the past there has been a high prevalence of course changes and unsuccessful completions among scholarship recipients. </w:t>
      </w:r>
      <w:proofErr w:type="spellStart"/>
      <w:r w:rsidRPr="000D7060">
        <w:t>AusAID’s</w:t>
      </w:r>
      <w:proofErr w:type="spellEnd"/>
      <w:r w:rsidRPr="000D7060">
        <w:t xml:space="preserve"> </w:t>
      </w:r>
      <w:r w:rsidR="00D22F1D">
        <w:t>new Higher Education Development Program</w:t>
      </w:r>
      <w:r w:rsidRPr="000D7060">
        <w:t xml:space="preserve"> proposes to address current weaknesses in the </w:t>
      </w:r>
      <w:r w:rsidR="001702D3">
        <w:t xml:space="preserve">scholarships </w:t>
      </w:r>
      <w:r w:rsidRPr="000D7060">
        <w:t>program.</w:t>
      </w:r>
    </w:p>
    <w:p w:rsidR="000D7060" w:rsidRDefault="006B2988" w:rsidP="006B2988">
      <w:pPr>
        <w:pStyle w:val="H2A"/>
      </w:pPr>
      <w:r>
        <w:br w:type="page"/>
      </w:r>
      <w:bookmarkStart w:id="75" w:name="_Toc237763902"/>
      <w:bookmarkStart w:id="76" w:name="_Toc361224345"/>
      <w:r w:rsidR="00001C8E">
        <w:lastRenderedPageBreak/>
        <w:t>Objective 2:</w:t>
      </w:r>
      <w:r w:rsidR="00001C8E">
        <w:br/>
      </w:r>
      <w:r w:rsidR="000D7060" w:rsidRPr="000D7060">
        <w:t xml:space="preserve">PNG </w:t>
      </w:r>
      <w:r w:rsidR="001702D3">
        <w:t xml:space="preserve">Government </w:t>
      </w:r>
      <w:r w:rsidR="000D7060" w:rsidRPr="000D7060">
        <w:t>demonstrating open, accountable democratic behaviours and adherence to the rule of law</w:t>
      </w:r>
      <w:bookmarkEnd w:id="75"/>
      <w:bookmarkEnd w:id="76"/>
    </w:p>
    <w:p w:rsidR="00F752C0" w:rsidRPr="00F752C0" w:rsidRDefault="00F752C0" w:rsidP="006B2988">
      <w:pPr>
        <w:pStyle w:val="H3A"/>
      </w:pPr>
      <w:bookmarkStart w:id="77" w:name="_Toc361224346"/>
      <w:r>
        <w:t>Rating</w:t>
      </w:r>
      <w:bookmarkEnd w:id="77"/>
    </w:p>
    <w:p w:rsidR="00133847" w:rsidRPr="00D7139C" w:rsidRDefault="006B2988" w:rsidP="006B2988">
      <w:pPr>
        <w:pStyle w:val="Ratingred"/>
        <w:keepNext/>
        <w:numPr>
          <w:ilvl w:val="0"/>
          <w:numId w:val="0"/>
        </w:numPr>
        <w:ind w:left="567" w:hanging="567"/>
      </w:pPr>
      <w:r>
        <w:rPr>
          <w:noProof/>
          <w:lang w:val="en-US" w:eastAsia="en-US"/>
        </w:rPr>
        <w:drawing>
          <wp:inline distT="0" distB="0" distL="0" distR="0" wp14:anchorId="60FDBAF1" wp14:editId="00F9A677">
            <wp:extent cx="95263" cy="95263"/>
            <wp:effectExtent l="0" t="0" r="0" b="0"/>
            <wp:docPr id="10" name="Picture 10"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D.png"/>
                    <pic:cNvPicPr/>
                  </pic:nvPicPr>
                  <pic:blipFill>
                    <a:blip r:embed="rId21">
                      <a:extLst>
                        <a:ext uri="{28A0092B-C50C-407E-A947-70E740481C1C}">
                          <a14:useLocalDpi xmlns:a14="http://schemas.microsoft.com/office/drawing/2010/main" val="0"/>
                        </a:ext>
                      </a:extLst>
                    </a:blip>
                    <a:stretch>
                      <a:fillRect/>
                    </a:stretch>
                  </pic:blipFill>
                  <pic:spPr>
                    <a:xfrm>
                      <a:off x="0" y="0"/>
                      <a:ext cx="95263" cy="95263"/>
                    </a:xfrm>
                    <a:prstGeom prst="rect">
                      <a:avLst/>
                    </a:prstGeom>
                  </pic:spPr>
                </pic:pic>
              </a:graphicData>
            </a:graphic>
          </wp:inline>
        </w:drawing>
      </w:r>
      <w:r>
        <w:tab/>
      </w:r>
      <w:r w:rsidR="00133847" w:rsidRPr="00011299">
        <w:t>The objective is unlikely to be achieved within the timeframe of the strategy</w:t>
      </w:r>
      <w:r w:rsidR="00133847">
        <w:t>.</w:t>
      </w:r>
    </w:p>
    <w:p w:rsidR="000D7060" w:rsidRPr="000D7060" w:rsidRDefault="000D7060" w:rsidP="00991F19">
      <w:pPr>
        <w:pStyle w:val="BodyText"/>
      </w:pPr>
      <w:r w:rsidRPr="000D7060">
        <w:t>Australian support continued to strengthen the building blocks of institutions promoting accountability</w:t>
      </w:r>
      <w:r w:rsidR="001702D3">
        <w:t>.</w:t>
      </w:r>
      <w:r w:rsidRPr="000D7060">
        <w:t xml:space="preserve"> </w:t>
      </w:r>
      <w:r w:rsidR="001702D3">
        <w:t>H</w:t>
      </w:r>
      <w:r w:rsidRPr="000D7060">
        <w:t>owever</w:t>
      </w:r>
      <w:r w:rsidR="001702D3">
        <w:t>,</w:t>
      </w:r>
      <w:r w:rsidRPr="000D7060">
        <w:t xml:space="preserve"> the</w:t>
      </w:r>
      <w:r w:rsidR="001702D3">
        <w:t xml:space="preserve">re </w:t>
      </w:r>
      <w:r w:rsidR="00EE5290">
        <w:t>was</w:t>
      </w:r>
      <w:r w:rsidR="001702D3">
        <w:t xml:space="preserve"> little</w:t>
      </w:r>
      <w:r w:rsidRPr="000D7060">
        <w:t xml:space="preserve"> evidence </w:t>
      </w:r>
      <w:r w:rsidR="001702D3">
        <w:t>of</w:t>
      </w:r>
      <w:r w:rsidRPr="000D7060">
        <w:t xml:space="preserve"> links from formal institutions to chang</w:t>
      </w:r>
      <w:r w:rsidR="00EE5290">
        <w:t>ed</w:t>
      </w:r>
      <w:r w:rsidRPr="000D7060">
        <w:t xml:space="preserve"> behaviour, and </w:t>
      </w:r>
      <w:r w:rsidR="001702D3">
        <w:t>from</w:t>
      </w:r>
      <w:r w:rsidRPr="000D7060">
        <w:t xml:space="preserve"> Australian support in sector</w:t>
      </w:r>
      <w:r w:rsidR="001702D3">
        <w:t>al</w:t>
      </w:r>
      <w:r w:rsidRPr="000D7060">
        <w:t xml:space="preserve"> programs to </w:t>
      </w:r>
      <w:r w:rsidR="00615522">
        <w:t xml:space="preserve">greater </w:t>
      </w:r>
      <w:r w:rsidRPr="000D7060">
        <w:t xml:space="preserve">transparency and accountability. </w:t>
      </w:r>
    </w:p>
    <w:p w:rsidR="00F752C0" w:rsidRPr="00541E6E" w:rsidRDefault="00F752C0" w:rsidP="006B2988">
      <w:pPr>
        <w:pStyle w:val="H3A"/>
      </w:pPr>
      <w:bookmarkStart w:id="78" w:name="_Toc361224347"/>
      <w:r w:rsidRPr="00541E6E">
        <w:t>Assessment of results and performance</w:t>
      </w:r>
      <w:bookmarkEnd w:id="78"/>
    </w:p>
    <w:p w:rsidR="00615522" w:rsidRDefault="00EE5290" w:rsidP="00991F19">
      <w:pPr>
        <w:pStyle w:val="BodyText"/>
      </w:pPr>
      <w:r>
        <w:t>T</w:t>
      </w:r>
      <w:r w:rsidR="00B574E3" w:rsidRPr="000D7060">
        <w:t xml:space="preserve">his objective is </w:t>
      </w:r>
      <w:r>
        <w:t>ambitious</w:t>
      </w:r>
      <w:r w:rsidR="00B574E3" w:rsidRPr="000D7060">
        <w:t xml:space="preserve">. </w:t>
      </w:r>
      <w:r w:rsidR="000D7060" w:rsidRPr="000D7060">
        <w:t xml:space="preserve">A key barrier to </w:t>
      </w:r>
      <w:r w:rsidR="00615522">
        <w:t xml:space="preserve">the achievement of this objective </w:t>
      </w:r>
      <w:r w:rsidR="006920F2">
        <w:t>(</w:t>
      </w:r>
      <w:r w:rsidR="00615522">
        <w:t xml:space="preserve">and </w:t>
      </w:r>
      <w:r w:rsidR="006920F2">
        <w:t xml:space="preserve">to </w:t>
      </w:r>
      <w:r w:rsidR="00615522">
        <w:t>development generally</w:t>
      </w:r>
      <w:r w:rsidR="006920F2">
        <w:t>)</w:t>
      </w:r>
      <w:r w:rsidR="00615522" w:rsidRPr="000D7060">
        <w:t xml:space="preserve"> </w:t>
      </w:r>
      <w:r w:rsidR="000D7060" w:rsidRPr="000D7060">
        <w:t xml:space="preserve">is corruption, which is </w:t>
      </w:r>
      <w:r w:rsidR="006920F2">
        <w:t>present</w:t>
      </w:r>
      <w:r w:rsidR="006920F2" w:rsidRPr="000D7060">
        <w:t xml:space="preserve"> </w:t>
      </w:r>
      <w:r w:rsidR="000D7060" w:rsidRPr="000D7060">
        <w:t>in all PNG sectors</w:t>
      </w:r>
      <w:r w:rsidR="001702D3">
        <w:t>.</w:t>
      </w:r>
      <w:r w:rsidR="000D7060" w:rsidRPr="001702D3">
        <w:rPr>
          <w:rStyle w:val="FootnoteReference"/>
        </w:rPr>
        <w:footnoteReference w:id="27"/>
      </w:r>
      <w:r w:rsidR="000D7060" w:rsidRPr="000D7060">
        <w:t xml:space="preserve"> Incentives for unaccountable and undemocratic behaviour remain strong and imperfectly understood by development partners</w:t>
      </w:r>
      <w:r w:rsidR="006920F2">
        <w:t>. D</w:t>
      </w:r>
      <w:r w:rsidR="000D7060" w:rsidRPr="000D7060">
        <w:t>espite widespread media coverage of wrongdoing at the highest level</w:t>
      </w:r>
      <w:r w:rsidR="007B2AB8">
        <w:t xml:space="preserve">s, there appear to be </w:t>
      </w:r>
      <w:r w:rsidR="00615522">
        <w:t xml:space="preserve">few sanctions supported by the </w:t>
      </w:r>
      <w:r w:rsidR="000D7060" w:rsidRPr="000D7060">
        <w:t xml:space="preserve">PNG </w:t>
      </w:r>
      <w:r w:rsidR="00615522">
        <w:t>Government</w:t>
      </w:r>
      <w:r w:rsidR="000D7060" w:rsidRPr="000D7060">
        <w:t xml:space="preserve">. </w:t>
      </w:r>
    </w:p>
    <w:p w:rsidR="000D7060" w:rsidRPr="00615522" w:rsidRDefault="000D7060" w:rsidP="00991F19">
      <w:pPr>
        <w:pStyle w:val="BodyText"/>
        <w:rPr>
          <w:spacing w:val="-1"/>
        </w:rPr>
      </w:pPr>
      <w:r w:rsidRPr="00615522">
        <w:rPr>
          <w:spacing w:val="-1"/>
        </w:rPr>
        <w:t>In this context, the evidence to demonstrate how Australian</w:t>
      </w:r>
      <w:r w:rsidR="00615522" w:rsidRPr="00615522">
        <w:rPr>
          <w:spacing w:val="-1"/>
        </w:rPr>
        <w:t>-</w:t>
      </w:r>
      <w:r w:rsidRPr="00615522">
        <w:rPr>
          <w:spacing w:val="-1"/>
        </w:rPr>
        <w:t>supported activities are leading to behaviour</w:t>
      </w:r>
      <w:r w:rsidR="00615522" w:rsidRPr="00615522">
        <w:rPr>
          <w:spacing w:val="-1"/>
        </w:rPr>
        <w:t>al</w:t>
      </w:r>
      <w:r w:rsidRPr="00615522">
        <w:rPr>
          <w:spacing w:val="-1"/>
        </w:rPr>
        <w:t xml:space="preserve"> change and </w:t>
      </w:r>
      <w:r w:rsidR="00EE5290">
        <w:rPr>
          <w:spacing w:val="-1"/>
        </w:rPr>
        <w:t>to</w:t>
      </w:r>
      <w:r w:rsidR="00E415C4">
        <w:rPr>
          <w:spacing w:val="-1"/>
        </w:rPr>
        <w:t xml:space="preserve"> </w:t>
      </w:r>
      <w:r w:rsidRPr="00615522">
        <w:rPr>
          <w:spacing w:val="-1"/>
        </w:rPr>
        <w:t xml:space="preserve">transparency and accountability in public life is weak. </w:t>
      </w:r>
      <w:smartTag w:uri="urn:schemas-microsoft-com:office:smarttags" w:element="place">
        <w:smartTag w:uri="urn:schemas-microsoft-com:office:smarttags" w:element="country-region">
          <w:r w:rsidRPr="00615522">
            <w:rPr>
              <w:spacing w:val="-1"/>
            </w:rPr>
            <w:t>Australia</w:t>
          </w:r>
        </w:smartTag>
      </w:smartTag>
      <w:r w:rsidRPr="00615522">
        <w:rPr>
          <w:spacing w:val="-1"/>
        </w:rPr>
        <w:t>’s support focuse</w:t>
      </w:r>
      <w:r w:rsidR="00615522" w:rsidRPr="00615522">
        <w:rPr>
          <w:spacing w:val="-1"/>
        </w:rPr>
        <w:t>s</w:t>
      </w:r>
      <w:r w:rsidRPr="00615522">
        <w:rPr>
          <w:spacing w:val="-1"/>
        </w:rPr>
        <w:t xml:space="preserve"> on formal systems</w:t>
      </w:r>
      <w:r w:rsidR="00615522" w:rsidRPr="00615522">
        <w:rPr>
          <w:spacing w:val="-1"/>
        </w:rPr>
        <w:t>—</w:t>
      </w:r>
      <w:r w:rsidRPr="00615522">
        <w:rPr>
          <w:spacing w:val="-1"/>
        </w:rPr>
        <w:t xml:space="preserve">continuing to build </w:t>
      </w:r>
      <w:r w:rsidR="00615522" w:rsidRPr="00615522">
        <w:rPr>
          <w:spacing w:val="-1"/>
        </w:rPr>
        <w:t xml:space="preserve">the </w:t>
      </w:r>
      <w:r w:rsidRPr="00615522">
        <w:rPr>
          <w:spacing w:val="-1"/>
        </w:rPr>
        <w:t>capacity of accountability institutions in PNG</w:t>
      </w:r>
      <w:r w:rsidR="00615522" w:rsidRPr="00615522">
        <w:rPr>
          <w:spacing w:val="-1"/>
        </w:rPr>
        <w:t xml:space="preserve"> and the</w:t>
      </w:r>
      <w:r w:rsidRPr="00615522">
        <w:rPr>
          <w:spacing w:val="-1"/>
        </w:rPr>
        <w:t xml:space="preserve"> demand for better governance within civil society</w:t>
      </w:r>
      <w:r w:rsidR="00615522" w:rsidRPr="00615522">
        <w:rPr>
          <w:spacing w:val="-1"/>
        </w:rPr>
        <w:t>,</w:t>
      </w:r>
      <w:r w:rsidRPr="00615522">
        <w:rPr>
          <w:spacing w:val="-1"/>
        </w:rPr>
        <w:t xml:space="preserve"> and strengthening PNG’s procurement and financial management systems at all levels of</w:t>
      </w:r>
      <w:r w:rsidR="00920FA9">
        <w:rPr>
          <w:spacing w:val="-1"/>
        </w:rPr>
        <w:t> </w:t>
      </w:r>
      <w:r w:rsidR="00615522" w:rsidRPr="00615522">
        <w:rPr>
          <w:spacing w:val="-1"/>
        </w:rPr>
        <w:t>government</w:t>
      </w:r>
      <w:r w:rsidRPr="00615522">
        <w:rPr>
          <w:spacing w:val="-1"/>
        </w:rPr>
        <w:t>.</w:t>
      </w:r>
    </w:p>
    <w:p w:rsidR="000D7060" w:rsidRPr="000D7060" w:rsidRDefault="000D7060" w:rsidP="00991F19">
      <w:pPr>
        <w:pStyle w:val="BodyText"/>
      </w:pPr>
      <w:r w:rsidRPr="000D7060">
        <w:t>Progress within formal structures include</w:t>
      </w:r>
      <w:r w:rsidR="00517484">
        <w:t>d</w:t>
      </w:r>
      <w:r w:rsidRPr="000D7060">
        <w:t>:</w:t>
      </w:r>
    </w:p>
    <w:p w:rsidR="000D7060" w:rsidRPr="000D7060" w:rsidRDefault="00615522" w:rsidP="00991F19">
      <w:pPr>
        <w:pStyle w:val="ListBullet"/>
      </w:pPr>
      <w:r w:rsidRPr="000D7060">
        <w:rPr>
          <w:b/>
        </w:rPr>
        <w:t>Str</w:t>
      </w:r>
      <w:r>
        <w:rPr>
          <w:b/>
        </w:rPr>
        <w:t>o</w:t>
      </w:r>
      <w:r w:rsidRPr="000D7060">
        <w:rPr>
          <w:b/>
        </w:rPr>
        <w:t>ng</w:t>
      </w:r>
      <w:r>
        <w:rPr>
          <w:b/>
        </w:rPr>
        <w:t>er</w:t>
      </w:r>
      <w:r w:rsidRPr="000D7060">
        <w:rPr>
          <w:b/>
        </w:rPr>
        <w:t xml:space="preserve"> </w:t>
      </w:r>
      <w:r w:rsidR="000D7060" w:rsidRPr="000D7060">
        <w:rPr>
          <w:b/>
        </w:rPr>
        <w:t>procurement practices</w:t>
      </w:r>
      <w:r w:rsidR="000D7060" w:rsidRPr="000D7060">
        <w:t xml:space="preserve">. </w:t>
      </w:r>
      <w:r w:rsidR="00666B7B">
        <w:t>T</w:t>
      </w:r>
      <w:r w:rsidR="000D7060" w:rsidRPr="000D7060">
        <w:t xml:space="preserve">echnical assistance contributed </w:t>
      </w:r>
      <w:r w:rsidR="00666B7B">
        <w:t xml:space="preserve">through the </w:t>
      </w:r>
      <w:r w:rsidR="00666B7B" w:rsidRPr="000D7060">
        <w:t xml:space="preserve">Advisory Support Facility </w:t>
      </w:r>
      <w:r w:rsidR="000D7060" w:rsidRPr="000D7060">
        <w:t xml:space="preserve">to the Central Supply and Tenders Board </w:t>
      </w:r>
      <w:r w:rsidR="002D0160">
        <w:t xml:space="preserve">enabled the board to </w:t>
      </w:r>
      <w:r w:rsidR="000D7060" w:rsidRPr="000D7060">
        <w:t xml:space="preserve">develop its first </w:t>
      </w:r>
      <w:r w:rsidR="00EE5290" w:rsidRPr="000D7060">
        <w:t xml:space="preserve">strategic corporate plan </w:t>
      </w:r>
      <w:r w:rsidR="002D0160">
        <w:t>(for</w:t>
      </w:r>
      <w:r w:rsidR="002D0160" w:rsidRPr="000D7060">
        <w:t xml:space="preserve"> </w:t>
      </w:r>
      <w:r w:rsidR="000D7060" w:rsidRPr="000D7060">
        <w:t>the period 2009</w:t>
      </w:r>
      <w:r>
        <w:t>–</w:t>
      </w:r>
      <w:r w:rsidR="000D7060" w:rsidRPr="000D7060">
        <w:t>13</w:t>
      </w:r>
      <w:r w:rsidR="002D0160">
        <w:t>)</w:t>
      </w:r>
      <w:r w:rsidR="000D7060" w:rsidRPr="000D7060">
        <w:t xml:space="preserve">. A </w:t>
      </w:r>
      <w:r w:rsidRPr="000D7060">
        <w:t xml:space="preserve">memorandum of understanding </w:t>
      </w:r>
      <w:r w:rsidR="000D7060" w:rsidRPr="000D7060">
        <w:t xml:space="preserve">was signed in 2008 between the PNG Minister for Finance and </w:t>
      </w:r>
      <w:r w:rsidR="002D0160">
        <w:t xml:space="preserve">the </w:t>
      </w:r>
      <w:r w:rsidR="000D7060" w:rsidRPr="000D7060">
        <w:t xml:space="preserve">Chartered Institute of Purchasing and Supply Australia to provide procurement training and develop a procurement profession in PNG in collaboration with </w:t>
      </w:r>
      <w:r w:rsidR="002536BA">
        <w:t xml:space="preserve">the </w:t>
      </w:r>
      <w:r w:rsidR="002536BA" w:rsidRPr="000D7060">
        <w:t>Central Supply and Tenders Board</w:t>
      </w:r>
      <w:r w:rsidR="000D7060" w:rsidRPr="000D7060">
        <w:t>. Training will commence in 2009. However</w:t>
      </w:r>
      <w:r w:rsidR="002536BA">
        <w:t>,</w:t>
      </w:r>
      <w:r w:rsidR="000D7060" w:rsidRPr="000D7060">
        <w:t xml:space="preserve"> currently 60</w:t>
      </w:r>
      <w:r w:rsidR="001B735E">
        <w:t> per cent</w:t>
      </w:r>
      <w:r w:rsidR="000D7060" w:rsidRPr="000D7060">
        <w:t xml:space="preserve"> of </w:t>
      </w:r>
      <w:r w:rsidR="00162D80">
        <w:t xml:space="preserve">procurement </w:t>
      </w:r>
      <w:r w:rsidR="000D7060" w:rsidRPr="000D7060">
        <w:t>tenders still avoid due process</w:t>
      </w:r>
      <w:r w:rsidR="00162D80">
        <w:t>,</w:t>
      </w:r>
      <w:r w:rsidR="000D7060" w:rsidRPr="000D7060">
        <w:t xml:space="preserve"> which demonstrates the scale of the challenge</w:t>
      </w:r>
      <w:r w:rsidR="00E56CCD">
        <w:t xml:space="preserve"> to improve practices</w:t>
      </w:r>
      <w:r w:rsidR="000D7060" w:rsidRPr="000D7060">
        <w:t>.</w:t>
      </w:r>
    </w:p>
    <w:p w:rsidR="000D7060" w:rsidRPr="000D7060" w:rsidRDefault="00615522" w:rsidP="00991F19">
      <w:pPr>
        <w:pStyle w:val="ListBullet"/>
      </w:pPr>
      <w:r>
        <w:rPr>
          <w:b/>
        </w:rPr>
        <w:t>Greater</w:t>
      </w:r>
      <w:r w:rsidRPr="000D7060">
        <w:rPr>
          <w:b/>
        </w:rPr>
        <w:t xml:space="preserve"> </w:t>
      </w:r>
      <w:r w:rsidR="000D7060" w:rsidRPr="000D7060">
        <w:rPr>
          <w:b/>
        </w:rPr>
        <w:t xml:space="preserve">capacity </w:t>
      </w:r>
      <w:r>
        <w:rPr>
          <w:b/>
        </w:rPr>
        <w:t>within</w:t>
      </w:r>
      <w:r w:rsidRPr="000D7060">
        <w:rPr>
          <w:b/>
        </w:rPr>
        <w:t xml:space="preserve"> </w:t>
      </w:r>
      <w:r w:rsidR="000D7060" w:rsidRPr="000D7060">
        <w:rPr>
          <w:b/>
        </w:rPr>
        <w:t>the National Anti-Corruption Alliance</w:t>
      </w:r>
      <w:r w:rsidR="000D7060" w:rsidRPr="000D7060">
        <w:t xml:space="preserve">. The </w:t>
      </w:r>
      <w:r w:rsidR="00F52005">
        <w:t xml:space="preserve">alliance </w:t>
      </w:r>
      <w:r w:rsidR="000D7060" w:rsidRPr="000D7060">
        <w:t>continued to achieve success through agency collaboration. The National Fraud and Anti-Corruption Directorate made 43</w:t>
      </w:r>
      <w:r w:rsidR="00F52005">
        <w:t> </w:t>
      </w:r>
      <w:r w:rsidR="000D7060" w:rsidRPr="000D7060">
        <w:t xml:space="preserve">arrests in 2008, 26 of which were the result of </w:t>
      </w:r>
      <w:r w:rsidR="00EE5290">
        <w:t xml:space="preserve">the </w:t>
      </w:r>
      <w:r w:rsidR="00F52005" w:rsidRPr="00F52005">
        <w:t>National Anti-Corruption Alliance’s</w:t>
      </w:r>
      <w:r w:rsidR="00F52005" w:rsidRPr="000D7060" w:rsidDel="00F52005">
        <w:t xml:space="preserve"> </w:t>
      </w:r>
      <w:r w:rsidR="000D7060" w:rsidRPr="000D7060">
        <w:t xml:space="preserve">activity. This </w:t>
      </w:r>
      <w:r w:rsidR="00F52005">
        <w:t>was</w:t>
      </w:r>
      <w:r w:rsidR="00F52005" w:rsidRPr="000D7060">
        <w:t xml:space="preserve"> </w:t>
      </w:r>
      <w:r w:rsidR="000D7060" w:rsidRPr="000D7060">
        <w:t xml:space="preserve">a significant increase from 35 arrests in 2007, to which </w:t>
      </w:r>
      <w:r w:rsidR="00F52005">
        <w:t>the alliance</w:t>
      </w:r>
      <w:r w:rsidR="00F52005" w:rsidRPr="000D7060">
        <w:t xml:space="preserve"> </w:t>
      </w:r>
      <w:r w:rsidR="000D7060" w:rsidRPr="000D7060">
        <w:t>contributed only 3.</w:t>
      </w:r>
    </w:p>
    <w:p w:rsidR="000D7060" w:rsidRPr="000D7060" w:rsidRDefault="00F52005" w:rsidP="00991F19">
      <w:pPr>
        <w:pStyle w:val="ListBullet"/>
        <w:keepLines/>
      </w:pPr>
      <w:r w:rsidRPr="000D7060">
        <w:rPr>
          <w:b/>
        </w:rPr>
        <w:lastRenderedPageBreak/>
        <w:t>Maint</w:t>
      </w:r>
      <w:r>
        <w:rPr>
          <w:b/>
        </w:rPr>
        <w:t>enance of</w:t>
      </w:r>
      <w:r w:rsidRPr="000D7060">
        <w:rPr>
          <w:b/>
        </w:rPr>
        <w:t xml:space="preserve"> </w:t>
      </w:r>
      <w:r w:rsidR="000D7060" w:rsidRPr="000D7060">
        <w:rPr>
          <w:b/>
        </w:rPr>
        <w:t>budget transparency and accountability</w:t>
      </w:r>
      <w:r w:rsidR="000D7060" w:rsidRPr="000D7060">
        <w:t xml:space="preserve">. </w:t>
      </w:r>
      <w:r w:rsidR="007B2AB8">
        <w:t>The PNG Government</w:t>
      </w:r>
      <w:r w:rsidR="000D7060" w:rsidRPr="000D7060">
        <w:t xml:space="preserve"> successfully reported its fiscal position in 2008 in accordance with its Fiscal Responsibility Act. This included reporting the </w:t>
      </w:r>
      <w:r w:rsidR="00E56CCD" w:rsidRPr="000D7060">
        <w:t xml:space="preserve">final budget outcome </w:t>
      </w:r>
      <w:r w:rsidR="000D7060" w:rsidRPr="000D7060">
        <w:t xml:space="preserve">for 2007, the 2009 </w:t>
      </w:r>
      <w:r w:rsidR="00E56CCD" w:rsidRPr="000D7060">
        <w:t xml:space="preserve">budget strategy </w:t>
      </w:r>
      <w:r w:rsidR="000D7060" w:rsidRPr="000D7060">
        <w:t xml:space="preserve">and the </w:t>
      </w:r>
      <w:r w:rsidR="00E56CCD" w:rsidRPr="000D7060">
        <w:t>mid-year economic and fiscal outlook</w:t>
      </w:r>
      <w:r w:rsidR="000D7060" w:rsidRPr="000D7060">
        <w:t xml:space="preserve">. All reports were posted on the PNG Treasury’s website. The Act also requires that Treasury be consulted where </w:t>
      </w:r>
      <w:r w:rsidR="00C74330">
        <w:t>National Executive Council</w:t>
      </w:r>
      <w:r w:rsidR="00C74330" w:rsidRPr="000D7060">
        <w:t xml:space="preserve"> </w:t>
      </w:r>
      <w:r w:rsidR="000D7060" w:rsidRPr="000D7060">
        <w:t>submissions have financial implications, but this is not being enforced.</w:t>
      </w:r>
    </w:p>
    <w:p w:rsidR="000D7060" w:rsidRPr="000D7060" w:rsidRDefault="000D7060" w:rsidP="00991F19">
      <w:pPr>
        <w:pStyle w:val="ListBullet"/>
      </w:pPr>
      <w:r w:rsidRPr="000D7060">
        <w:rPr>
          <w:b/>
        </w:rPr>
        <w:t>Improved internal audit capacity in PNG agencies</w:t>
      </w:r>
      <w:r w:rsidRPr="000D7060">
        <w:t xml:space="preserve">. Technical support from </w:t>
      </w:r>
      <w:r w:rsidR="00666B7B">
        <w:t xml:space="preserve">the </w:t>
      </w:r>
      <w:r w:rsidR="00666B7B" w:rsidRPr="000D7060">
        <w:t>Advisory Support Facility</w:t>
      </w:r>
      <w:r w:rsidRPr="000D7060">
        <w:t xml:space="preserve"> and </w:t>
      </w:r>
      <w:r w:rsidR="00F02627">
        <w:t xml:space="preserve">the </w:t>
      </w:r>
      <w:proofErr w:type="spellStart"/>
      <w:r w:rsidR="00F02627" w:rsidRPr="000D7060">
        <w:t>Strongim</w:t>
      </w:r>
      <w:proofErr w:type="spellEnd"/>
      <w:r w:rsidR="00F02627" w:rsidRPr="000D7060">
        <w:t xml:space="preserve"> </w:t>
      </w:r>
      <w:proofErr w:type="spellStart"/>
      <w:r w:rsidR="00F02627" w:rsidRPr="000D7060">
        <w:t>Gavman</w:t>
      </w:r>
      <w:proofErr w:type="spellEnd"/>
      <w:r w:rsidR="00F02627" w:rsidRPr="000D7060">
        <w:t xml:space="preserve"> Program</w:t>
      </w:r>
      <w:r w:rsidRPr="000D7060">
        <w:t xml:space="preserve"> is contributing to revitalising the </w:t>
      </w:r>
      <w:r w:rsidR="0054300D">
        <w:t xml:space="preserve">program of the </w:t>
      </w:r>
      <w:r w:rsidRPr="000D7060">
        <w:t>Audit Committee in PNG. In 2008, more than 40 committee meetings were held</w:t>
      </w:r>
      <w:r w:rsidR="0054300D">
        <w:t>,</w:t>
      </w:r>
      <w:r w:rsidRPr="000D7060">
        <w:t xml:space="preserve"> compared </w:t>
      </w:r>
      <w:r w:rsidR="0054300D">
        <w:t>with</w:t>
      </w:r>
      <w:r w:rsidR="0054300D" w:rsidRPr="000D7060">
        <w:t xml:space="preserve"> </w:t>
      </w:r>
      <w:r w:rsidRPr="000D7060">
        <w:t>just 33 for the three years 2005</w:t>
      </w:r>
      <w:r w:rsidR="0054300D">
        <w:t>–</w:t>
      </w:r>
      <w:r w:rsidRPr="000D7060">
        <w:t xml:space="preserve">07. However, </w:t>
      </w:r>
      <w:r w:rsidR="00EE5290">
        <w:t xml:space="preserve">the </w:t>
      </w:r>
      <w:r w:rsidR="0054300D">
        <w:t xml:space="preserve">committee’s </w:t>
      </w:r>
      <w:r w:rsidRPr="000D7060">
        <w:t xml:space="preserve">capacity is still low and ongoing technical support from </w:t>
      </w:r>
      <w:r w:rsidR="00666B7B">
        <w:t xml:space="preserve">the </w:t>
      </w:r>
      <w:r w:rsidR="00666B7B" w:rsidRPr="000D7060">
        <w:t>Advisory Support Facility</w:t>
      </w:r>
      <w:r w:rsidRPr="000D7060">
        <w:t xml:space="preserve"> and </w:t>
      </w:r>
      <w:r w:rsidR="00F02627">
        <w:t xml:space="preserve">the </w:t>
      </w:r>
      <w:proofErr w:type="spellStart"/>
      <w:r w:rsidR="00F02627" w:rsidRPr="000D7060">
        <w:t>Strongim</w:t>
      </w:r>
      <w:proofErr w:type="spellEnd"/>
      <w:r w:rsidR="00F02627" w:rsidRPr="000D7060">
        <w:t xml:space="preserve"> </w:t>
      </w:r>
      <w:proofErr w:type="spellStart"/>
      <w:r w:rsidR="00F02627" w:rsidRPr="000D7060">
        <w:t>Gavman</w:t>
      </w:r>
      <w:proofErr w:type="spellEnd"/>
      <w:r w:rsidR="00F02627" w:rsidRPr="000D7060">
        <w:t xml:space="preserve"> Program</w:t>
      </w:r>
      <w:r w:rsidRPr="000D7060">
        <w:t xml:space="preserve"> is necessary.</w:t>
      </w:r>
    </w:p>
    <w:p w:rsidR="000D7060" w:rsidRPr="000D7060" w:rsidRDefault="000D7060" w:rsidP="00991F19">
      <w:pPr>
        <w:pStyle w:val="ListBullet"/>
      </w:pPr>
      <w:r w:rsidRPr="000D7060">
        <w:rPr>
          <w:b/>
        </w:rPr>
        <w:t>Improved capacity and more efficient practices in investigating complaints in the Ombudsman Commission</w:t>
      </w:r>
      <w:r w:rsidRPr="000D7060">
        <w:t xml:space="preserve">. A twinning program between the </w:t>
      </w:r>
      <w:r w:rsidR="00AD203E">
        <w:t xml:space="preserve">PNG </w:t>
      </w:r>
      <w:r w:rsidRPr="000D7060">
        <w:t xml:space="preserve">Ombudsman Commission and the Commonwealth Ombudsman in </w:t>
      </w:r>
      <w:smartTag w:uri="urn:schemas-microsoft-com:office:smarttags" w:element="place">
        <w:smartTag w:uri="urn:schemas-microsoft-com:office:smarttags" w:element="country-region">
          <w:r w:rsidRPr="000D7060">
            <w:t>Australia</w:t>
          </w:r>
        </w:smartTag>
      </w:smartTag>
      <w:r w:rsidRPr="000D7060">
        <w:t xml:space="preserve"> contributed to some improvements in capacity</w:t>
      </w:r>
      <w:r w:rsidR="0054300D">
        <w:t>;</w:t>
      </w:r>
      <w:r w:rsidRPr="000D7060">
        <w:t xml:space="preserve"> however</w:t>
      </w:r>
      <w:r w:rsidR="0054300D">
        <w:t>,</w:t>
      </w:r>
      <w:r w:rsidRPr="000D7060">
        <w:t xml:space="preserve"> overall the Ombudsman Commission continued to be affected by a declining budget </w:t>
      </w:r>
      <w:r w:rsidR="0054300D">
        <w:t>relative</w:t>
      </w:r>
      <w:r w:rsidRPr="000D7060">
        <w:t xml:space="preserve"> to the total PNG </w:t>
      </w:r>
      <w:r w:rsidR="00EE5290">
        <w:t xml:space="preserve">government </w:t>
      </w:r>
      <w:r w:rsidRPr="000D7060">
        <w:t xml:space="preserve">budget. Only one leader was referred to the Public Prosecutor in 2008 for prosecution under the Leadership Code. The appointment of a new Chief Ombudsman has revitalised the </w:t>
      </w:r>
      <w:r w:rsidR="0054300D">
        <w:t>commission</w:t>
      </w:r>
      <w:r w:rsidR="0054300D" w:rsidRPr="000D7060">
        <w:t xml:space="preserve"> </w:t>
      </w:r>
      <w:r w:rsidRPr="000D7060">
        <w:t>and further progress is expected in 2009.</w:t>
      </w:r>
    </w:p>
    <w:p w:rsidR="000D7060" w:rsidRPr="000D7060" w:rsidRDefault="00F52005" w:rsidP="00991F19">
      <w:pPr>
        <w:pStyle w:val="ListBullet"/>
      </w:pPr>
      <w:r>
        <w:rPr>
          <w:b/>
        </w:rPr>
        <w:t>Greater</w:t>
      </w:r>
      <w:r w:rsidRPr="000D7060">
        <w:rPr>
          <w:b/>
        </w:rPr>
        <w:t xml:space="preserve"> </w:t>
      </w:r>
      <w:r w:rsidR="000D7060" w:rsidRPr="000D7060">
        <w:rPr>
          <w:b/>
        </w:rPr>
        <w:t xml:space="preserve">capacity </w:t>
      </w:r>
      <w:r>
        <w:rPr>
          <w:b/>
        </w:rPr>
        <w:t>within</w:t>
      </w:r>
      <w:r w:rsidRPr="000D7060">
        <w:rPr>
          <w:b/>
        </w:rPr>
        <w:t xml:space="preserve"> </w:t>
      </w:r>
      <w:r w:rsidR="000F457F">
        <w:rPr>
          <w:b/>
        </w:rPr>
        <w:t xml:space="preserve">the </w:t>
      </w:r>
      <w:r w:rsidR="000D7060" w:rsidRPr="000D7060">
        <w:rPr>
          <w:b/>
        </w:rPr>
        <w:t>PNG Electoral Commission</w:t>
      </w:r>
      <w:r w:rsidR="000D7060" w:rsidRPr="000D7060">
        <w:t xml:space="preserve">. The </w:t>
      </w:r>
      <w:r w:rsidR="000F457F">
        <w:t>commission</w:t>
      </w:r>
      <w:r w:rsidR="000F457F" w:rsidRPr="000D7060">
        <w:t xml:space="preserve"> </w:t>
      </w:r>
      <w:r w:rsidR="000D7060" w:rsidRPr="000D7060">
        <w:t xml:space="preserve">implemented </w:t>
      </w:r>
      <w:r w:rsidR="000F457F">
        <w:t>its</w:t>
      </w:r>
      <w:r w:rsidR="000F457F" w:rsidRPr="000D7060">
        <w:t xml:space="preserve"> </w:t>
      </w:r>
      <w:r w:rsidR="000D7060" w:rsidRPr="000D7060">
        <w:t>restructure and developed a three</w:t>
      </w:r>
      <w:r w:rsidR="000F457F">
        <w:t>-</w:t>
      </w:r>
      <w:r w:rsidR="000D7060" w:rsidRPr="000D7060">
        <w:t xml:space="preserve">year </w:t>
      </w:r>
      <w:r w:rsidR="00EE5290">
        <w:t xml:space="preserve">plan to develop </w:t>
      </w:r>
      <w:r w:rsidR="00EE5290" w:rsidRPr="000D7060">
        <w:t>human resource</w:t>
      </w:r>
      <w:r w:rsidR="00EE5290">
        <w:t>s</w:t>
      </w:r>
      <w:r w:rsidR="00EE5290" w:rsidRPr="000D7060">
        <w:t xml:space="preserve"> </w:t>
      </w:r>
      <w:r w:rsidR="000D7060" w:rsidRPr="000D7060">
        <w:t xml:space="preserve">and </w:t>
      </w:r>
      <w:r w:rsidR="00EE5290" w:rsidRPr="000D7060">
        <w:t>manage capacity</w:t>
      </w:r>
      <w:r w:rsidR="000D7060" w:rsidRPr="000D7060">
        <w:t xml:space="preserve">. Lessons learned from the 2007 </w:t>
      </w:r>
      <w:r w:rsidR="00A347DD" w:rsidRPr="000D7060">
        <w:t xml:space="preserve">national elections </w:t>
      </w:r>
      <w:r w:rsidR="000D7060" w:rsidRPr="000D7060">
        <w:t xml:space="preserve">and </w:t>
      </w:r>
      <w:r w:rsidR="00A347DD">
        <w:t xml:space="preserve">the </w:t>
      </w:r>
      <w:r w:rsidR="00A347DD" w:rsidRPr="000D7060">
        <w:t>local</w:t>
      </w:r>
      <w:r w:rsidR="00A347DD">
        <w:t>-</w:t>
      </w:r>
      <w:r w:rsidR="00A347DD" w:rsidRPr="000D7060">
        <w:t xml:space="preserve">level government elections </w:t>
      </w:r>
      <w:r w:rsidR="000D7060" w:rsidRPr="000D7060">
        <w:t xml:space="preserve">were integrated into core operational areas of the </w:t>
      </w:r>
      <w:r w:rsidR="00A347DD" w:rsidRPr="00A347DD">
        <w:t>PNG Electoral Commission</w:t>
      </w:r>
      <w:r w:rsidR="000D7060" w:rsidRPr="000D7060">
        <w:t xml:space="preserve">. The </w:t>
      </w:r>
      <w:r w:rsidR="00A347DD">
        <w:t>commission</w:t>
      </w:r>
      <w:r w:rsidR="00A347DD" w:rsidRPr="000D7060">
        <w:t xml:space="preserve"> </w:t>
      </w:r>
      <w:r w:rsidR="000D7060" w:rsidRPr="000D7060">
        <w:t xml:space="preserve">managed the </w:t>
      </w:r>
      <w:r w:rsidR="00A347DD" w:rsidRPr="000D7060">
        <w:t>local</w:t>
      </w:r>
      <w:r w:rsidR="00A347DD">
        <w:t>-</w:t>
      </w:r>
      <w:r w:rsidR="00A347DD" w:rsidRPr="000D7060">
        <w:t>level elections</w:t>
      </w:r>
      <w:r w:rsidR="000D7060" w:rsidRPr="000D7060">
        <w:t>, two court</w:t>
      </w:r>
      <w:r w:rsidR="00A347DD">
        <w:t>-</w:t>
      </w:r>
      <w:r w:rsidR="000D7060" w:rsidRPr="000D7060">
        <w:t>ordered by-elections and three recounts while trialling communications and safety plans. This resulted in improved communication between police and polling officials, more efficient use of policing resources, faster response</w:t>
      </w:r>
      <w:r w:rsidR="00A347DD">
        <w:t>s</w:t>
      </w:r>
      <w:r w:rsidR="000D7060" w:rsidRPr="000D7060">
        <w:t xml:space="preserve"> to security incidents and an overall reduction in violence. </w:t>
      </w:r>
      <w:r w:rsidR="00A347DD">
        <w:t xml:space="preserve">The </w:t>
      </w:r>
      <w:r w:rsidR="00A347DD" w:rsidRPr="00A347DD">
        <w:t>PNG Electoral Commission</w:t>
      </w:r>
      <w:r w:rsidR="00A347DD">
        <w:t xml:space="preserve"> </w:t>
      </w:r>
      <w:r w:rsidR="000D7060" w:rsidRPr="000D7060">
        <w:t xml:space="preserve">also partnered the Bougainville </w:t>
      </w:r>
      <w:r w:rsidR="00A347DD">
        <w:t>Electoral Commission</w:t>
      </w:r>
      <w:r w:rsidR="00A347DD" w:rsidRPr="000D7060">
        <w:t xml:space="preserve"> </w:t>
      </w:r>
      <w:r w:rsidR="000D7060" w:rsidRPr="000D7060">
        <w:t xml:space="preserve">to successfully manage the </w:t>
      </w:r>
      <w:r w:rsidR="00A347DD" w:rsidRPr="000D7060">
        <w:t xml:space="preserve">presidential </w:t>
      </w:r>
      <w:r w:rsidR="000D7060" w:rsidRPr="000D7060">
        <w:t xml:space="preserve">by-election. </w:t>
      </w:r>
    </w:p>
    <w:p w:rsidR="000D7060" w:rsidRPr="000C1EC3" w:rsidRDefault="007B2AB8" w:rsidP="00991F19">
      <w:pPr>
        <w:pStyle w:val="BodyText"/>
      </w:pPr>
      <w:r>
        <w:t>Government</w:t>
      </w:r>
      <w:r w:rsidR="000D7060" w:rsidRPr="000D7060">
        <w:t xml:space="preserve"> resources allocated to the Auditor</w:t>
      </w:r>
      <w:r w:rsidR="00AA3293">
        <w:t>-</w:t>
      </w:r>
      <w:r w:rsidR="000D7060" w:rsidRPr="000D7060">
        <w:t>General</w:t>
      </w:r>
      <w:r w:rsidR="003F5ACA">
        <w:t>’s Office increased by 27 </w:t>
      </w:r>
      <w:r w:rsidR="000D7060" w:rsidRPr="000D7060">
        <w:t xml:space="preserve">per cent in the 2009 </w:t>
      </w:r>
      <w:r w:rsidR="00AA3293" w:rsidRPr="000D7060">
        <w:t>budget</w:t>
      </w:r>
      <w:r w:rsidR="000D7060" w:rsidRPr="000D7060">
        <w:t xml:space="preserve">. </w:t>
      </w:r>
      <w:r w:rsidR="00AA3293">
        <w:t>This office</w:t>
      </w:r>
      <w:r w:rsidR="000D7060" w:rsidRPr="000D7060">
        <w:t xml:space="preserve"> is central to </w:t>
      </w:r>
      <w:r w:rsidR="00397D66">
        <w:t>greater</w:t>
      </w:r>
      <w:r w:rsidR="00397D66" w:rsidRPr="000D7060">
        <w:t xml:space="preserve"> </w:t>
      </w:r>
      <w:r w:rsidR="000D7060" w:rsidRPr="000D7060">
        <w:t xml:space="preserve">accountability in the use of government resources and, with support from </w:t>
      </w:r>
      <w:smartTag w:uri="urn:schemas-microsoft-com:office:smarttags" w:element="place">
        <w:smartTag w:uri="urn:schemas-microsoft-com:office:smarttags" w:element="country-region">
          <w:r w:rsidR="000D7060" w:rsidRPr="000D7060">
            <w:t>Australia</w:t>
          </w:r>
        </w:smartTag>
      </w:smartTag>
      <w:r w:rsidR="000D7060" w:rsidRPr="000D7060">
        <w:t xml:space="preserve">, made notable progress in eliminating </w:t>
      </w:r>
      <w:r w:rsidR="000D7060" w:rsidRPr="00920FA9">
        <w:t xml:space="preserve">the </w:t>
      </w:r>
      <w:r w:rsidR="00920FA9" w:rsidRPr="00920FA9">
        <w:t xml:space="preserve">audit </w:t>
      </w:r>
      <w:r w:rsidR="000D7060" w:rsidRPr="00920FA9">
        <w:t>backlog</w:t>
      </w:r>
      <w:r w:rsidR="000D7060" w:rsidRPr="000D7060">
        <w:t xml:space="preserve"> at national and provincial levels </w:t>
      </w:r>
      <w:r w:rsidR="00920FA9">
        <w:t>by</w:t>
      </w:r>
      <w:r w:rsidR="00920FA9" w:rsidRPr="000D7060">
        <w:t xml:space="preserve"> </w:t>
      </w:r>
      <w:r w:rsidR="000D7060" w:rsidRPr="000D7060">
        <w:t>completing the audit of the 2006 Public Accounts in 2008. However</w:t>
      </w:r>
      <w:r w:rsidR="00397D66">
        <w:t>,</w:t>
      </w:r>
      <w:r w:rsidR="000D7060" w:rsidRPr="000D7060">
        <w:t xml:space="preserve"> follow-up by </w:t>
      </w:r>
      <w:r w:rsidR="000D7060" w:rsidRPr="000C1EC3">
        <w:t>government agencies and</w:t>
      </w:r>
      <w:r w:rsidR="000D7060" w:rsidRPr="000D7060">
        <w:t xml:space="preserve">, where appropriate, prosecution in response to external audits </w:t>
      </w:r>
      <w:r w:rsidR="008122E1">
        <w:t>are</w:t>
      </w:r>
      <w:r w:rsidR="008122E1" w:rsidRPr="000D7060">
        <w:t xml:space="preserve"> </w:t>
      </w:r>
      <w:r w:rsidR="000D7060" w:rsidRPr="000C1EC3">
        <w:t>limited.</w:t>
      </w:r>
      <w:r w:rsidR="006F7C08" w:rsidRPr="000C1EC3">
        <w:t xml:space="preserve"> </w:t>
      </w:r>
    </w:p>
    <w:p w:rsidR="000D7060" w:rsidRPr="008122E1" w:rsidRDefault="000D7060" w:rsidP="00991F19">
      <w:pPr>
        <w:pStyle w:val="BodyText"/>
      </w:pPr>
      <w:r w:rsidRPr="000D7060">
        <w:t>In 2008 the aid program</w:t>
      </w:r>
      <w:r w:rsidR="008122E1">
        <w:t>’</w:t>
      </w:r>
      <w:r w:rsidRPr="000D7060">
        <w:t xml:space="preserve">s anti-corruption strategy for PNG </w:t>
      </w:r>
      <w:r w:rsidR="008122E1">
        <w:t xml:space="preserve">for the period 2008–10 </w:t>
      </w:r>
      <w:r w:rsidRPr="000D7060">
        <w:t xml:space="preserve">was finalised. </w:t>
      </w:r>
      <w:r w:rsidR="008122E1">
        <w:t>I</w:t>
      </w:r>
      <w:r w:rsidRPr="000D7060">
        <w:t>mplement</w:t>
      </w:r>
      <w:r w:rsidR="008122E1">
        <w:t>ing the strategy</w:t>
      </w:r>
      <w:r w:rsidRPr="000D7060">
        <w:t xml:space="preserve"> in 2009 will </w:t>
      </w:r>
      <w:r w:rsidRPr="008122E1">
        <w:t xml:space="preserve">be a priority. </w:t>
      </w:r>
    </w:p>
    <w:p w:rsidR="000D7060" w:rsidRDefault="00001C8E" w:rsidP="006B2988">
      <w:pPr>
        <w:pStyle w:val="H2A"/>
      </w:pPr>
      <w:bookmarkStart w:id="79" w:name="_Toc237763903"/>
      <w:bookmarkStart w:id="80" w:name="_Toc361224348"/>
      <w:r>
        <w:lastRenderedPageBreak/>
        <w:t>Objective 3:</w:t>
      </w:r>
      <w:r>
        <w:br/>
      </w:r>
      <w:r w:rsidR="000D7060" w:rsidRPr="000D7060">
        <w:t>Better articulated demand for democratic processes and institutions, and reforms of the state and civ</w:t>
      </w:r>
      <w:r>
        <w:t>il society to meet that demand</w:t>
      </w:r>
      <w:bookmarkEnd w:id="79"/>
      <w:bookmarkEnd w:id="80"/>
    </w:p>
    <w:p w:rsidR="00D66115" w:rsidRPr="00D66115" w:rsidRDefault="00D66115" w:rsidP="006B2988">
      <w:pPr>
        <w:pStyle w:val="H3A"/>
      </w:pPr>
      <w:bookmarkStart w:id="81" w:name="_Toc361224349"/>
      <w:r>
        <w:t>Rating</w:t>
      </w:r>
      <w:bookmarkEnd w:id="81"/>
    </w:p>
    <w:p w:rsidR="00001C8E" w:rsidRPr="00133847" w:rsidRDefault="006B2988" w:rsidP="006B2988">
      <w:pPr>
        <w:pStyle w:val="Ratingamber"/>
        <w:numPr>
          <w:ilvl w:val="0"/>
          <w:numId w:val="0"/>
        </w:numPr>
        <w:ind w:left="567" w:hanging="567"/>
      </w:pPr>
      <w:r>
        <w:rPr>
          <w:noProof/>
          <w:lang w:val="en-US" w:eastAsia="en-US"/>
        </w:rPr>
        <w:drawing>
          <wp:inline distT="0" distB="0" distL="0" distR="0" wp14:anchorId="0473E0D3" wp14:editId="6C84BDF7">
            <wp:extent cx="95238" cy="95238"/>
            <wp:effectExtent l="0" t="0" r="635" b="635"/>
            <wp:docPr id="12" name="Picture 12"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mbeer.png"/>
                    <pic:cNvPicPr/>
                  </pic:nvPicPr>
                  <pic:blipFill>
                    <a:blip r:embed="rId20">
                      <a:extLst>
                        <a:ext uri="{28A0092B-C50C-407E-A947-70E740481C1C}">
                          <a14:useLocalDpi xmlns:a14="http://schemas.microsoft.com/office/drawing/2010/main" val="0"/>
                        </a:ext>
                      </a:extLst>
                    </a:blip>
                    <a:stretch>
                      <a:fillRect/>
                    </a:stretch>
                  </pic:blipFill>
                  <pic:spPr>
                    <a:xfrm>
                      <a:off x="0" y="0"/>
                      <a:ext cx="95238" cy="95238"/>
                    </a:xfrm>
                    <a:prstGeom prst="rect">
                      <a:avLst/>
                    </a:prstGeom>
                  </pic:spPr>
                </pic:pic>
              </a:graphicData>
            </a:graphic>
          </wp:inline>
        </w:drawing>
      </w:r>
      <w:r>
        <w:tab/>
      </w:r>
      <w:r w:rsidR="00001C8E" w:rsidRPr="00011299">
        <w:t>The objective will be partly achieved within the timeframe of the strategy</w:t>
      </w:r>
      <w:r w:rsidR="00001C8E">
        <w:t>.</w:t>
      </w:r>
    </w:p>
    <w:p w:rsidR="000D7060" w:rsidRPr="000D7060" w:rsidRDefault="000D7060" w:rsidP="00991F19">
      <w:pPr>
        <w:pStyle w:val="BodyText"/>
      </w:pPr>
      <w:r w:rsidRPr="000D7060">
        <w:t xml:space="preserve">Work with the churches and through small grants enabled </w:t>
      </w:r>
      <w:proofErr w:type="spellStart"/>
      <w:r w:rsidRPr="000D7060">
        <w:t>AusAID</w:t>
      </w:r>
      <w:proofErr w:type="spellEnd"/>
      <w:r w:rsidRPr="000D7060">
        <w:t xml:space="preserve"> to continue to make a difference at </w:t>
      </w:r>
      <w:r w:rsidR="00034803">
        <w:t xml:space="preserve">the </w:t>
      </w:r>
      <w:r w:rsidRPr="000D7060">
        <w:t xml:space="preserve">community level. But there are structural problems with the </w:t>
      </w:r>
      <w:r w:rsidR="00B55728">
        <w:t xml:space="preserve">portfolio of </w:t>
      </w:r>
      <w:r w:rsidRPr="000D7060">
        <w:t xml:space="preserve">democratic governance </w:t>
      </w:r>
      <w:r w:rsidR="00034803">
        <w:t>activities</w:t>
      </w:r>
      <w:r w:rsidR="00084DD1">
        <w:t>—</w:t>
      </w:r>
      <w:r w:rsidR="00B55728">
        <w:t>the</w:t>
      </w:r>
      <w:r w:rsidRPr="000D7060">
        <w:t xml:space="preserve"> growing number of small initiatives requir</w:t>
      </w:r>
      <w:r w:rsidR="000837BE">
        <w:t>ing</w:t>
      </w:r>
      <w:r w:rsidRPr="000D7060">
        <w:t xml:space="preserve"> intensive management</w:t>
      </w:r>
      <w:r w:rsidR="000837BE">
        <w:t xml:space="preserve"> are</w:t>
      </w:r>
      <w:r w:rsidRPr="000D7060">
        <w:t xml:space="preserve"> crowd</w:t>
      </w:r>
      <w:r w:rsidR="000837BE">
        <w:t>ing</w:t>
      </w:r>
      <w:r w:rsidRPr="000D7060">
        <w:t xml:space="preserve"> out strategic relationship building and </w:t>
      </w:r>
      <w:r w:rsidR="000837BE">
        <w:t>altering</w:t>
      </w:r>
      <w:r w:rsidR="0096694A">
        <w:t xml:space="preserve"> the </w:t>
      </w:r>
      <w:r w:rsidRPr="000D7060">
        <w:t xml:space="preserve">direction of the program </w:t>
      </w:r>
      <w:r w:rsidR="000837BE">
        <w:t>from</w:t>
      </w:r>
      <w:r w:rsidR="0096694A">
        <w:t>,</w:t>
      </w:r>
      <w:r w:rsidRPr="000D7060">
        <w:t xml:space="preserve"> what remains</w:t>
      </w:r>
      <w:r w:rsidR="0096694A">
        <w:t>,</w:t>
      </w:r>
      <w:r w:rsidRPr="000D7060">
        <w:t xml:space="preserve"> a very high</w:t>
      </w:r>
      <w:r w:rsidR="0096694A">
        <w:t>-</w:t>
      </w:r>
      <w:r w:rsidRPr="000D7060">
        <w:t>level objective.</w:t>
      </w:r>
    </w:p>
    <w:p w:rsidR="009C0B51" w:rsidRPr="00541E6E" w:rsidRDefault="009C0B51" w:rsidP="006B2988">
      <w:pPr>
        <w:pStyle w:val="H3A"/>
      </w:pPr>
      <w:bookmarkStart w:id="82" w:name="_Toc361224350"/>
      <w:r w:rsidRPr="00541E6E">
        <w:t>Assessment of results and performance</w:t>
      </w:r>
      <w:bookmarkEnd w:id="82"/>
    </w:p>
    <w:p w:rsidR="000D7060" w:rsidRPr="000D7060" w:rsidRDefault="000D7060" w:rsidP="000837BE">
      <w:pPr>
        <w:pStyle w:val="BodyText"/>
        <w:rPr>
          <w:bCs/>
        </w:rPr>
      </w:pPr>
      <w:r w:rsidRPr="000D7060">
        <w:t xml:space="preserve">To achieve this objective, </w:t>
      </w:r>
      <w:smartTag w:uri="urn:schemas-microsoft-com:office:smarttags" w:element="place">
        <w:smartTag w:uri="urn:schemas-microsoft-com:office:smarttags" w:element="country-region">
          <w:r w:rsidRPr="000D7060">
            <w:t>Australia</w:t>
          </w:r>
        </w:smartTag>
      </w:smartTag>
      <w:r w:rsidRPr="000D7060">
        <w:t xml:space="preserve"> supports and works in partnership with the National Broadcasting Corporation (</w:t>
      </w:r>
      <w:r w:rsidR="0039147D">
        <w:t>N</w:t>
      </w:r>
      <w:r w:rsidRPr="000D7060">
        <w:t xml:space="preserve">BC), the Department of Community Development, the Department of </w:t>
      </w:r>
      <w:r w:rsidR="00826BD2">
        <w:t xml:space="preserve">National </w:t>
      </w:r>
      <w:r w:rsidRPr="000D7060">
        <w:t>Planning and Monitoring and a significant number of civil society organisations</w:t>
      </w:r>
      <w:r w:rsidR="00D30E49">
        <w:t>,</w:t>
      </w:r>
      <w:r w:rsidRPr="000D7060">
        <w:t xml:space="preserve"> including </w:t>
      </w:r>
      <w:r w:rsidR="00D30E49">
        <w:t xml:space="preserve">the </w:t>
      </w:r>
      <w:r w:rsidRPr="000D7060">
        <w:t>media and church agencies. It covers a range of activities involving political governance, civic education and community development</w:t>
      </w:r>
      <w:r w:rsidR="00D30E49">
        <w:t>,</w:t>
      </w:r>
      <w:r w:rsidRPr="000D7060">
        <w:t xml:space="preserve"> which makes measuring performance challenging. </w:t>
      </w:r>
    </w:p>
    <w:p w:rsidR="000D7060" w:rsidRPr="000D7060" w:rsidRDefault="000D7060" w:rsidP="00991F19">
      <w:pPr>
        <w:pStyle w:val="BodyText"/>
      </w:pPr>
      <w:r w:rsidRPr="000D7060">
        <w:t>Specifically, Australian support</w:t>
      </w:r>
      <w:r w:rsidR="000837BE">
        <w:t xml:space="preserve"> assist</w:t>
      </w:r>
      <w:r w:rsidRPr="000D7060">
        <w:t xml:space="preserve">ed PNG to: </w:t>
      </w:r>
    </w:p>
    <w:p w:rsidR="000D7060" w:rsidRPr="000D7060" w:rsidRDefault="000D7060" w:rsidP="00991F19">
      <w:pPr>
        <w:pStyle w:val="ListBullet"/>
      </w:pPr>
      <w:r w:rsidRPr="000D7060">
        <w:rPr>
          <w:b/>
        </w:rPr>
        <w:t xml:space="preserve">Foster partnerships between provincial </w:t>
      </w:r>
      <w:r w:rsidR="00547681">
        <w:rPr>
          <w:b/>
        </w:rPr>
        <w:t xml:space="preserve">radio </w:t>
      </w:r>
      <w:r w:rsidRPr="000D7060">
        <w:rPr>
          <w:b/>
        </w:rPr>
        <w:t>stations and civil society organisations</w:t>
      </w:r>
      <w:r w:rsidRPr="000D7060">
        <w:t xml:space="preserve">. </w:t>
      </w:r>
      <w:r w:rsidR="00547681">
        <w:t>Thirty-eight</w:t>
      </w:r>
      <w:r w:rsidR="00547681" w:rsidRPr="000D7060">
        <w:t xml:space="preserve"> </w:t>
      </w:r>
      <w:r w:rsidRPr="000D7060">
        <w:t xml:space="preserve">grants have been provided through the PNG Media Council since the </w:t>
      </w:r>
      <w:r w:rsidR="00547681" w:rsidRPr="000D7060">
        <w:t xml:space="preserve">small grants scheme </w:t>
      </w:r>
      <w:r w:rsidR="00547681">
        <w:t>began</w:t>
      </w:r>
      <w:r w:rsidRPr="000D7060">
        <w:t xml:space="preserve"> in 2006</w:t>
      </w:r>
      <w:r w:rsidRPr="000D7060">
        <w:rPr>
          <w:i/>
        </w:rPr>
        <w:t xml:space="preserve">. </w:t>
      </w:r>
      <w:r w:rsidRPr="000D7060">
        <w:t>However</w:t>
      </w:r>
      <w:r w:rsidR="00547681">
        <w:t>,</w:t>
      </w:r>
      <w:r w:rsidRPr="000D7060">
        <w:t xml:space="preserve"> the administrative burden of running </w:t>
      </w:r>
      <w:r w:rsidR="00547681">
        <w:t>the</w:t>
      </w:r>
      <w:r w:rsidRPr="000D7060">
        <w:t xml:space="preserve"> scheme has distracted the </w:t>
      </w:r>
      <w:r w:rsidR="00547681" w:rsidRPr="000D7060">
        <w:t xml:space="preserve">Media Council </w:t>
      </w:r>
      <w:r w:rsidRPr="000D7060">
        <w:t xml:space="preserve">from its core business, and implementation of these grants slowed in 2008. From 2009, the </w:t>
      </w:r>
      <w:r w:rsidR="00547681" w:rsidRPr="000D7060">
        <w:t xml:space="preserve">Media Council </w:t>
      </w:r>
      <w:r w:rsidRPr="000D7060">
        <w:t>will be supported to fulfil only its core functions, with the management of the grants to fall under the new Democratic Governance Program.</w:t>
      </w:r>
    </w:p>
    <w:p w:rsidR="000D7060" w:rsidRPr="0014539A" w:rsidRDefault="000D7060" w:rsidP="00991F19">
      <w:pPr>
        <w:pStyle w:val="ListBullet"/>
        <w:rPr>
          <w:spacing w:val="-2"/>
        </w:rPr>
      </w:pPr>
      <w:r w:rsidRPr="0014539A">
        <w:rPr>
          <w:b/>
          <w:spacing w:val="-2"/>
        </w:rPr>
        <w:t>Implement successful programs for improving broadcasters</w:t>
      </w:r>
      <w:r w:rsidR="000837BE" w:rsidRPr="0014539A">
        <w:rPr>
          <w:b/>
          <w:spacing w:val="-2"/>
        </w:rPr>
        <w:t>’</w:t>
      </w:r>
      <w:r w:rsidRPr="0014539A">
        <w:rPr>
          <w:b/>
          <w:spacing w:val="-2"/>
        </w:rPr>
        <w:t xml:space="preserve"> HIV/AIDS content and for improving print journalists</w:t>
      </w:r>
      <w:r w:rsidR="0019176E" w:rsidRPr="0014539A">
        <w:rPr>
          <w:b/>
          <w:spacing w:val="-2"/>
        </w:rPr>
        <w:t>’</w:t>
      </w:r>
      <w:r w:rsidRPr="0014539A">
        <w:rPr>
          <w:b/>
          <w:spacing w:val="-2"/>
        </w:rPr>
        <w:t xml:space="preserve"> skills</w:t>
      </w:r>
      <w:r w:rsidRPr="0014539A">
        <w:rPr>
          <w:spacing w:val="-2"/>
        </w:rPr>
        <w:t xml:space="preserve"> through the PNG</w:t>
      </w:r>
      <w:r w:rsidR="0019176E" w:rsidRPr="0014539A">
        <w:rPr>
          <w:spacing w:val="-2"/>
        </w:rPr>
        <w:t xml:space="preserve"> Media Council</w:t>
      </w:r>
      <w:r w:rsidRPr="0014539A">
        <w:rPr>
          <w:spacing w:val="-2"/>
        </w:rPr>
        <w:t>. Popular documentaries were produced on rural and youth issues, as well as studio talk</w:t>
      </w:r>
      <w:r w:rsidR="0019176E" w:rsidRPr="0014539A">
        <w:rPr>
          <w:spacing w:val="-2"/>
        </w:rPr>
        <w:t> </w:t>
      </w:r>
      <w:r w:rsidRPr="0014539A">
        <w:rPr>
          <w:spacing w:val="-2"/>
        </w:rPr>
        <w:t xml:space="preserve">shows. </w:t>
      </w:r>
    </w:p>
    <w:p w:rsidR="000D7060" w:rsidRPr="000D7060" w:rsidRDefault="000D7060" w:rsidP="00991F19">
      <w:pPr>
        <w:pStyle w:val="ListBullet"/>
      </w:pPr>
      <w:r w:rsidRPr="000D7060">
        <w:rPr>
          <w:b/>
        </w:rPr>
        <w:t>Deliver higher quality news and current affair programs</w:t>
      </w:r>
      <w:r w:rsidRPr="000D7060">
        <w:t xml:space="preserve">. Support to the </w:t>
      </w:r>
      <w:r w:rsidR="0019176E" w:rsidRPr="000D7060">
        <w:t>National Broadcasting Corporation</w:t>
      </w:r>
      <w:r w:rsidR="0019176E" w:rsidRPr="000D7060" w:rsidDel="0019176E">
        <w:t xml:space="preserve"> </w:t>
      </w:r>
      <w:r w:rsidRPr="000D7060">
        <w:t xml:space="preserve">is delivered in partnership with the </w:t>
      </w:r>
      <w:r w:rsidR="0039147D" w:rsidRPr="0039147D">
        <w:t>Australian Broadcasting Corporation</w:t>
      </w:r>
      <w:r w:rsidR="0039147D" w:rsidRPr="000D7060" w:rsidDel="0039147D">
        <w:t xml:space="preserve"> </w:t>
      </w:r>
      <w:r w:rsidR="0039147D">
        <w:t>(</w:t>
      </w:r>
      <w:r w:rsidRPr="000D7060">
        <w:t>ABC</w:t>
      </w:r>
      <w:r w:rsidR="0039147D">
        <w:t>)</w:t>
      </w:r>
      <w:r w:rsidRPr="000D7060">
        <w:t>. In 2008 the focus of this partnership was on infrastructure, organisational development and improve</w:t>
      </w:r>
      <w:r w:rsidR="000837BE">
        <w:t>d</w:t>
      </w:r>
      <w:r w:rsidRPr="000D7060">
        <w:t xml:space="preserve"> radio content. The ABC undertook a review of programs to assist NBC news with developing and implementing a new structure to deliver higher quality news and current affair programs. </w:t>
      </w:r>
      <w:r w:rsidR="00AB67A7" w:rsidRPr="000D7060">
        <w:t xml:space="preserve">For the first time </w:t>
      </w:r>
      <w:r w:rsidRPr="000D7060">
        <w:t>NBC</w:t>
      </w:r>
      <w:r w:rsidR="000837BE">
        <w:t>’s</w:t>
      </w:r>
      <w:r w:rsidRPr="000D7060">
        <w:t xml:space="preserve"> accounts were completely up to date and from January 2009 </w:t>
      </w:r>
      <w:r w:rsidR="000837BE">
        <w:t xml:space="preserve">it </w:t>
      </w:r>
      <w:r w:rsidRPr="000D7060">
        <w:t>will deliver accurate financial reporting against budgets.</w:t>
      </w:r>
    </w:p>
    <w:p w:rsidR="000D7060" w:rsidRPr="000D7060" w:rsidRDefault="000D7060" w:rsidP="00991F19">
      <w:pPr>
        <w:pStyle w:val="ListBullet"/>
      </w:pPr>
      <w:r w:rsidRPr="000D7060">
        <w:rPr>
          <w:b/>
        </w:rPr>
        <w:t>Strengthen the performance of the Family and Sexual Violence Action Committee</w:t>
      </w:r>
      <w:r w:rsidRPr="000D7060">
        <w:t>. Achievements included the development of a community volunteer network</w:t>
      </w:r>
      <w:r w:rsidR="0013019C">
        <w:t>,</w:t>
      </w:r>
      <w:r w:rsidRPr="000D7060">
        <w:t xml:space="preserve"> engagement in </w:t>
      </w:r>
      <w:r w:rsidR="0013019C">
        <w:t xml:space="preserve">the </w:t>
      </w:r>
      <w:r w:rsidRPr="000D7060">
        <w:t>reform o</w:t>
      </w:r>
      <w:r w:rsidR="0013019C">
        <w:t>f</w:t>
      </w:r>
      <w:r w:rsidRPr="000D7060">
        <w:t xml:space="preserve"> legislation affecting families</w:t>
      </w:r>
      <w:r w:rsidR="0013019C">
        <w:t>,</w:t>
      </w:r>
      <w:r w:rsidRPr="000D7060">
        <w:t xml:space="preserve"> and </w:t>
      </w:r>
      <w:r w:rsidR="0013019C">
        <w:t xml:space="preserve">the </w:t>
      </w:r>
      <w:r w:rsidRPr="000D7060">
        <w:t xml:space="preserve">establishment of five centres </w:t>
      </w:r>
      <w:r w:rsidR="0013019C">
        <w:t xml:space="preserve">to </w:t>
      </w:r>
      <w:r w:rsidRPr="000D7060">
        <w:t>provid</w:t>
      </w:r>
      <w:r w:rsidR="0013019C">
        <w:t>e</w:t>
      </w:r>
      <w:r w:rsidRPr="000D7060">
        <w:t xml:space="preserve"> services for victims of family and sexual violence. </w:t>
      </w:r>
    </w:p>
    <w:p w:rsidR="000D7060" w:rsidRPr="000D7060" w:rsidRDefault="000D7060" w:rsidP="00991F19">
      <w:pPr>
        <w:pStyle w:val="ListBullet"/>
      </w:pPr>
      <w:r w:rsidRPr="000D7060">
        <w:rPr>
          <w:b/>
        </w:rPr>
        <w:lastRenderedPageBreak/>
        <w:t>Strengthen the capacity of the PNG Sports Federation</w:t>
      </w:r>
      <w:r w:rsidRPr="000D7060">
        <w:t xml:space="preserve">. The Sport for Development Initiative supported the PNG Sports Federation to secure full funding for </w:t>
      </w:r>
      <w:r w:rsidR="0014539A">
        <w:t>its</w:t>
      </w:r>
      <w:r w:rsidR="0014539A" w:rsidRPr="000D7060">
        <w:t xml:space="preserve"> </w:t>
      </w:r>
      <w:r w:rsidRPr="000D7060">
        <w:t xml:space="preserve">development and recurrent costs under the 2009 PNG </w:t>
      </w:r>
      <w:r w:rsidR="0013019C" w:rsidRPr="000D7060">
        <w:t>budget</w:t>
      </w:r>
      <w:r w:rsidRPr="000D7060">
        <w:t xml:space="preserve">. </w:t>
      </w:r>
      <w:r w:rsidR="0013019C">
        <w:t>Twenty</w:t>
      </w:r>
      <w:r w:rsidR="0013019C" w:rsidRPr="000D7060">
        <w:t xml:space="preserve"> </w:t>
      </w:r>
      <w:r w:rsidRPr="000D7060">
        <w:t xml:space="preserve">activities </w:t>
      </w:r>
      <w:r w:rsidR="0013019C">
        <w:t>were</w:t>
      </w:r>
      <w:r w:rsidRPr="000D7060">
        <w:t xml:space="preserve"> funded across PNG through sport organisations to better plan </w:t>
      </w:r>
      <w:r w:rsidR="0014539A">
        <w:t xml:space="preserve">activities in </w:t>
      </w:r>
      <w:r w:rsidRPr="000D7060">
        <w:t>sport and life skill</w:t>
      </w:r>
      <w:r w:rsidR="0014539A">
        <w:t>s</w:t>
      </w:r>
      <w:r w:rsidRPr="000D7060">
        <w:t xml:space="preserve"> in their communities. </w:t>
      </w:r>
      <w:r w:rsidR="0013019C" w:rsidRPr="000D7060">
        <w:t xml:space="preserve">The PNG Sports Federation </w:t>
      </w:r>
      <w:r w:rsidRPr="000D7060">
        <w:t xml:space="preserve">became the first Pacific member of the </w:t>
      </w:r>
      <w:r w:rsidR="0013019C">
        <w:t>‘</w:t>
      </w:r>
      <w:r w:rsidRPr="000D7060">
        <w:t>Kicking Out Aids</w:t>
      </w:r>
      <w:r w:rsidR="0013019C">
        <w:t>’</w:t>
      </w:r>
      <w:r w:rsidRPr="000D7060">
        <w:t xml:space="preserve"> network</w:t>
      </w:r>
      <w:r w:rsidR="0013019C">
        <w:t>,</w:t>
      </w:r>
      <w:r w:rsidRPr="000D7060">
        <w:t xml:space="preserve"> which supports HIV prevention through organised sports for youth. High</w:t>
      </w:r>
      <w:r w:rsidR="0013019C">
        <w:t>-</w:t>
      </w:r>
      <w:r w:rsidRPr="000D7060">
        <w:t>profile HIV awareness activities were successfully delivered at sporting events.</w:t>
      </w:r>
    </w:p>
    <w:p w:rsidR="000D7060" w:rsidRPr="000D7060" w:rsidRDefault="000D7060" w:rsidP="00991F19">
      <w:pPr>
        <w:pStyle w:val="BodyText"/>
      </w:pPr>
      <w:r w:rsidRPr="000D7060">
        <w:t xml:space="preserve">The reach, access and contribution </w:t>
      </w:r>
      <w:r w:rsidR="0013019C">
        <w:t xml:space="preserve">of churches </w:t>
      </w:r>
      <w:r w:rsidRPr="000D7060">
        <w:t xml:space="preserve">to development in PNG </w:t>
      </w:r>
      <w:r w:rsidR="00BE766D">
        <w:t>are</w:t>
      </w:r>
      <w:r w:rsidR="00BE766D" w:rsidRPr="000D7060">
        <w:t xml:space="preserve"> </w:t>
      </w:r>
      <w:r w:rsidRPr="000D7060">
        <w:t>considerable and in many areas exceed that of government.</w:t>
      </w:r>
      <w:r w:rsidR="0095297F" w:rsidRPr="00BE766D">
        <w:rPr>
          <w:rStyle w:val="FootnoteReference"/>
        </w:rPr>
        <w:footnoteReference w:id="28"/>
      </w:r>
      <w:r w:rsidRPr="000D7060">
        <w:t xml:space="preserve"> Support for program</w:t>
      </w:r>
      <w:r w:rsidR="00923014">
        <w:t>-</w:t>
      </w:r>
      <w:r w:rsidRPr="000D7060">
        <w:t xml:space="preserve">wide </w:t>
      </w:r>
      <w:r w:rsidR="00923014" w:rsidRPr="000D7060">
        <w:t xml:space="preserve">church </w:t>
      </w:r>
      <w:r w:rsidRPr="000D7060">
        <w:t xml:space="preserve">initiatives strengthened inter-church partnerships, </w:t>
      </w:r>
      <w:r w:rsidR="00923014">
        <w:t xml:space="preserve">made the </w:t>
      </w:r>
      <w:r w:rsidRPr="000D7060">
        <w:t>deployment of the churches</w:t>
      </w:r>
      <w:r w:rsidR="0014539A">
        <w:t>’</w:t>
      </w:r>
      <w:r w:rsidRPr="000D7060">
        <w:t xml:space="preserve"> resources and personnel</w:t>
      </w:r>
      <w:r w:rsidR="00923014" w:rsidRPr="00923014">
        <w:t xml:space="preserve"> </w:t>
      </w:r>
      <w:r w:rsidR="00923014" w:rsidRPr="000D7060">
        <w:t>more effective</w:t>
      </w:r>
      <w:r w:rsidRPr="000D7060">
        <w:t>, and promot</w:t>
      </w:r>
      <w:r w:rsidR="00923014">
        <w:t>ed</w:t>
      </w:r>
      <w:r w:rsidRPr="000D7060">
        <w:t xml:space="preserve"> cross-learning among </w:t>
      </w:r>
      <w:r w:rsidR="00923014" w:rsidRPr="000D7060">
        <w:t>churches</w:t>
      </w:r>
      <w:r w:rsidRPr="000D7060">
        <w:t>. Australian support assisted PNG to:</w:t>
      </w:r>
    </w:p>
    <w:p w:rsidR="000D7060" w:rsidRPr="000D7060" w:rsidRDefault="000D7060" w:rsidP="00991F19">
      <w:pPr>
        <w:pStyle w:val="ListBullet"/>
      </w:pPr>
      <w:r w:rsidRPr="000D7060">
        <w:rPr>
          <w:b/>
        </w:rPr>
        <w:t xml:space="preserve">Strengthen </w:t>
      </w:r>
      <w:r w:rsidR="0014539A">
        <w:rPr>
          <w:b/>
        </w:rPr>
        <w:t>the</w:t>
      </w:r>
      <w:r w:rsidR="0014539A" w:rsidRPr="000D7060">
        <w:rPr>
          <w:b/>
        </w:rPr>
        <w:t xml:space="preserve"> </w:t>
      </w:r>
      <w:r w:rsidR="00641EF1" w:rsidRPr="000D7060">
        <w:rPr>
          <w:b/>
        </w:rPr>
        <w:t xml:space="preserve">institutional capacity </w:t>
      </w:r>
      <w:r w:rsidR="00641EF1">
        <w:rPr>
          <w:b/>
        </w:rPr>
        <w:t xml:space="preserve">of </w:t>
      </w:r>
      <w:r w:rsidR="00641EF1" w:rsidRPr="000D7060">
        <w:rPr>
          <w:b/>
        </w:rPr>
        <w:t>churches</w:t>
      </w:r>
      <w:r w:rsidRPr="000D7060">
        <w:t>. Churches</w:t>
      </w:r>
      <w:r w:rsidR="00641EF1">
        <w:t>’</w:t>
      </w:r>
      <w:r w:rsidRPr="000D7060">
        <w:t xml:space="preserve"> </w:t>
      </w:r>
      <w:r w:rsidR="00641EF1" w:rsidRPr="000D7060">
        <w:t xml:space="preserve">annual plans </w:t>
      </w:r>
      <w:r w:rsidRPr="000D7060">
        <w:t xml:space="preserve">are now developed </w:t>
      </w:r>
      <w:r w:rsidR="00641EF1">
        <w:t>using</w:t>
      </w:r>
      <w:r w:rsidR="00641EF1" w:rsidRPr="000D7060">
        <w:t xml:space="preserve"> </w:t>
      </w:r>
      <w:r w:rsidRPr="000D7060">
        <w:t xml:space="preserve">an improved format and are peer reviewed, promoting greater understanding between programs, maximising harmonisation opportunities and minimising duplication. Some churches are demonstrating more critical thinking </w:t>
      </w:r>
      <w:r w:rsidR="00641EF1">
        <w:t>about</w:t>
      </w:r>
      <w:r w:rsidR="00641EF1" w:rsidRPr="000D7060">
        <w:t xml:space="preserve"> </w:t>
      </w:r>
      <w:r w:rsidRPr="000D7060">
        <w:t xml:space="preserve">their role in development, with most producing </w:t>
      </w:r>
      <w:r w:rsidR="007B2AB8" w:rsidRPr="000D7060">
        <w:t xml:space="preserve">strategic plans </w:t>
      </w:r>
      <w:r w:rsidR="0014539A">
        <w:t xml:space="preserve">that are </w:t>
      </w:r>
      <w:r w:rsidRPr="000D7060">
        <w:t xml:space="preserve">effectively preparing them for engagement in emerging policy dialogue such as the PNG </w:t>
      </w:r>
      <w:r w:rsidR="00641EF1">
        <w:t xml:space="preserve">Government’s new </w:t>
      </w:r>
      <w:r w:rsidRPr="000D7060">
        <w:t>Partnership Framework for Churches.</w:t>
      </w:r>
    </w:p>
    <w:p w:rsidR="000D7060" w:rsidRPr="000D7060" w:rsidRDefault="000D7060" w:rsidP="00991F19">
      <w:pPr>
        <w:pStyle w:val="ListBullet"/>
      </w:pPr>
      <w:r w:rsidRPr="000D7060">
        <w:rPr>
          <w:b/>
        </w:rPr>
        <w:t xml:space="preserve">Improve services delivered by PNG </w:t>
      </w:r>
      <w:r w:rsidR="00874AEB" w:rsidRPr="000D7060">
        <w:rPr>
          <w:b/>
        </w:rPr>
        <w:t xml:space="preserve">churches </w:t>
      </w:r>
      <w:r w:rsidRPr="000D7060">
        <w:rPr>
          <w:b/>
        </w:rPr>
        <w:t>to local communities</w:t>
      </w:r>
      <w:r w:rsidRPr="000D7060">
        <w:t xml:space="preserve">. The Church Partnership Program undertakes projects in </w:t>
      </w:r>
      <w:r w:rsidR="00874AEB">
        <w:t>20</w:t>
      </w:r>
      <w:r w:rsidR="00874AEB" w:rsidRPr="000D7060">
        <w:t xml:space="preserve"> </w:t>
      </w:r>
      <w:r w:rsidRPr="000D7060">
        <w:t xml:space="preserve">different service areas across PNG. Services in the major areas of health and education </w:t>
      </w:r>
      <w:r w:rsidR="00874AEB">
        <w:t>were</w:t>
      </w:r>
      <w:r w:rsidRPr="000D7060">
        <w:t xml:space="preserve"> enhanced through the training of nurses, community health volunteers, teachers and headmasters. </w:t>
      </w:r>
    </w:p>
    <w:p w:rsidR="000D7060" w:rsidRDefault="000D7060" w:rsidP="00991F19">
      <w:pPr>
        <w:pStyle w:val="ListBullet"/>
      </w:pPr>
      <w:r w:rsidRPr="000D7060">
        <w:rPr>
          <w:b/>
        </w:rPr>
        <w:t xml:space="preserve">Increase HIV/AIDS services delivered by all seven </w:t>
      </w:r>
      <w:r w:rsidR="00874AEB" w:rsidRPr="000D7060">
        <w:rPr>
          <w:b/>
        </w:rPr>
        <w:t>churches</w:t>
      </w:r>
      <w:r w:rsidRPr="000D7060">
        <w:t xml:space="preserve">. There has been an increase in people accessing </w:t>
      </w:r>
      <w:r w:rsidR="00886C6D">
        <w:t>voluntary counselling and testing</w:t>
      </w:r>
      <w:r w:rsidRPr="000D7060">
        <w:t xml:space="preserve"> services and an increase in the provision of </w:t>
      </w:r>
      <w:r w:rsidR="00811381">
        <w:t>anti-retroviral</w:t>
      </w:r>
      <w:r w:rsidR="00811381" w:rsidRPr="000D7060">
        <w:t xml:space="preserve"> </w:t>
      </w:r>
      <w:r w:rsidRPr="000D7060">
        <w:t xml:space="preserve">therapy. </w:t>
      </w:r>
      <w:r w:rsidR="00811381">
        <w:t>Work to raise a</w:t>
      </w:r>
      <w:r w:rsidRPr="000D7060">
        <w:t xml:space="preserve">wareness </w:t>
      </w:r>
      <w:r w:rsidR="00811381">
        <w:t xml:space="preserve">of </w:t>
      </w:r>
      <w:r w:rsidR="00811381" w:rsidRPr="00811381">
        <w:t>HIV/AIDS services</w:t>
      </w:r>
      <w:r w:rsidR="00811381" w:rsidRPr="000D7060">
        <w:rPr>
          <w:b/>
        </w:rPr>
        <w:t xml:space="preserve"> </w:t>
      </w:r>
      <w:r w:rsidRPr="000D7060">
        <w:t>continues through the wide dissemination of documentaries and dramas</w:t>
      </w:r>
      <w:r w:rsidR="0002690A">
        <w:t xml:space="preserve"> on </w:t>
      </w:r>
      <w:r w:rsidR="0002690A" w:rsidRPr="000D7060">
        <w:t>DVD</w:t>
      </w:r>
      <w:r w:rsidRPr="000D7060">
        <w:t>.</w:t>
      </w:r>
    </w:p>
    <w:p w:rsidR="00E143BA" w:rsidRDefault="00E143BA" w:rsidP="006B2988">
      <w:pPr>
        <w:pStyle w:val="H2A"/>
      </w:pPr>
      <w:bookmarkStart w:id="83" w:name="_Toc237763904"/>
      <w:bookmarkStart w:id="84" w:name="_Toc361224351"/>
      <w:r>
        <w:t>Expenditure</w:t>
      </w:r>
      <w:bookmarkEnd w:id="83"/>
      <w:bookmarkEnd w:id="84"/>
    </w:p>
    <w:p w:rsidR="00EB0200" w:rsidRPr="00EB0200" w:rsidRDefault="00EB0200" w:rsidP="00EB0200">
      <w:pPr>
        <w:pStyle w:val="BodyText"/>
      </w:pPr>
      <w:r>
        <w:t>Approximately $95 million—</w:t>
      </w:r>
      <w:r w:rsidR="00096BD1">
        <w:t xml:space="preserve">22 </w:t>
      </w:r>
      <w:r w:rsidRPr="00D7139C">
        <w:t>per</w:t>
      </w:r>
      <w:r>
        <w:t xml:space="preserve"> </w:t>
      </w:r>
      <w:r w:rsidRPr="00D7139C">
        <w:t>cen</w:t>
      </w:r>
      <w:r>
        <w:t xml:space="preserve">t of the </w:t>
      </w:r>
      <w:r w:rsidRPr="00035BC8">
        <w:t>2008</w:t>
      </w:r>
      <w:r w:rsidR="00096BD1">
        <w:t xml:space="preserve"> </w:t>
      </w:r>
      <w:r w:rsidRPr="00D7139C">
        <w:t>budget</w:t>
      </w:r>
      <w:r>
        <w:t xml:space="preserve"> for the PNG program—was</w:t>
      </w:r>
      <w:r w:rsidRPr="00D7139C">
        <w:t xml:space="preserve"> </w:t>
      </w:r>
      <w:r>
        <w:t>allocated</w:t>
      </w:r>
      <w:r w:rsidRPr="00D7139C">
        <w:t xml:space="preserve"> to </w:t>
      </w:r>
      <w:r>
        <w:t>improve governance and nation building</w:t>
      </w:r>
      <w:r w:rsidRPr="00D7139C">
        <w:t>.</w:t>
      </w:r>
    </w:p>
    <w:p w:rsidR="00001C8E" w:rsidRPr="002A7D93" w:rsidRDefault="00001C8E" w:rsidP="006B2988">
      <w:pPr>
        <w:pStyle w:val="H1A"/>
      </w:pPr>
      <w:bookmarkStart w:id="85" w:name="_Toc237763905"/>
      <w:r w:rsidRPr="002A7D93">
        <w:lastRenderedPageBreak/>
        <w:t>Development theme 2: Sustainable broad-based growth and increased productivity</w:t>
      </w:r>
      <w:r w:rsidR="005C25C3">
        <w:rPr>
          <w:lang w:val="en-US" w:eastAsia="en-US"/>
        </w:rPr>
        <w:drawing>
          <wp:anchor distT="0" distB="0" distL="114300" distR="114300" simplePos="0" relativeHeight="251657728" behindDoc="1" locked="0" layoutInCell="1" allowOverlap="1" wp14:anchorId="3B78A4B9" wp14:editId="1E542EB1">
            <wp:simplePos x="0" y="0"/>
            <wp:positionH relativeFrom="page">
              <wp:posOffset>0</wp:posOffset>
            </wp:positionH>
            <wp:positionV relativeFrom="page">
              <wp:posOffset>1386205</wp:posOffset>
            </wp:positionV>
            <wp:extent cx="7560310" cy="1585595"/>
            <wp:effectExtent l="0" t="0" r="2540" b="0"/>
            <wp:wrapNone/>
            <wp:docPr id="1290" name="Picture 1290"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5"/>
    </w:p>
    <w:p w:rsidR="000D7060" w:rsidRDefault="00001C8E" w:rsidP="006B2988">
      <w:pPr>
        <w:pStyle w:val="H2A"/>
      </w:pPr>
      <w:bookmarkStart w:id="86" w:name="_Toc237763906"/>
      <w:bookmarkStart w:id="87" w:name="_Toc361224352"/>
      <w:r>
        <w:t>Objective 1:</w:t>
      </w:r>
      <w:r>
        <w:br/>
      </w:r>
      <w:r w:rsidR="000D7060" w:rsidRPr="000D7060">
        <w:t>A conducive enabling environment for private sector activity and</w:t>
      </w:r>
      <w:r w:rsidR="001B5D86">
        <w:t> </w:t>
      </w:r>
      <w:r>
        <w:t>investment</w:t>
      </w:r>
      <w:bookmarkEnd w:id="86"/>
      <w:bookmarkEnd w:id="87"/>
    </w:p>
    <w:p w:rsidR="001B5D86" w:rsidRPr="001B5D86" w:rsidRDefault="001B5D86" w:rsidP="006B2988">
      <w:pPr>
        <w:pStyle w:val="H3A"/>
      </w:pPr>
      <w:bookmarkStart w:id="88" w:name="_Toc361224353"/>
      <w:r>
        <w:t>Rating</w:t>
      </w:r>
      <w:bookmarkEnd w:id="88"/>
    </w:p>
    <w:p w:rsidR="00001C8E" w:rsidRPr="00001C8E" w:rsidRDefault="006B2988" w:rsidP="006B2988">
      <w:pPr>
        <w:pStyle w:val="Ratingred"/>
        <w:numPr>
          <w:ilvl w:val="0"/>
          <w:numId w:val="0"/>
        </w:numPr>
        <w:ind w:left="567" w:hanging="567"/>
      </w:pPr>
      <w:r>
        <w:rPr>
          <w:noProof/>
          <w:lang w:val="en-US" w:eastAsia="en-US"/>
        </w:rPr>
        <w:drawing>
          <wp:inline distT="0" distB="0" distL="0" distR="0" wp14:anchorId="1E8FFBD8" wp14:editId="14BD4225">
            <wp:extent cx="95263" cy="95263"/>
            <wp:effectExtent l="0" t="0" r="0" b="0"/>
            <wp:docPr id="13" name="Picture 13"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png"/>
                    <pic:cNvPicPr/>
                  </pic:nvPicPr>
                  <pic:blipFill>
                    <a:blip r:embed="rId21">
                      <a:extLst>
                        <a:ext uri="{28A0092B-C50C-407E-A947-70E740481C1C}">
                          <a14:useLocalDpi xmlns:a14="http://schemas.microsoft.com/office/drawing/2010/main" val="0"/>
                        </a:ext>
                      </a:extLst>
                    </a:blip>
                    <a:stretch>
                      <a:fillRect/>
                    </a:stretch>
                  </pic:blipFill>
                  <pic:spPr>
                    <a:xfrm>
                      <a:off x="0" y="0"/>
                      <a:ext cx="95263" cy="95263"/>
                    </a:xfrm>
                    <a:prstGeom prst="rect">
                      <a:avLst/>
                    </a:prstGeom>
                  </pic:spPr>
                </pic:pic>
              </a:graphicData>
            </a:graphic>
          </wp:inline>
        </w:drawing>
      </w:r>
      <w:r>
        <w:tab/>
      </w:r>
      <w:r w:rsidR="001B735E" w:rsidRPr="00011299">
        <w:t>The objective is unlikely to be achieved within the timeframe of the strategy</w:t>
      </w:r>
      <w:r w:rsidR="001B735E">
        <w:t>.</w:t>
      </w:r>
    </w:p>
    <w:p w:rsidR="000D7060" w:rsidRPr="000D7060" w:rsidRDefault="000D7060" w:rsidP="00991F19">
      <w:pPr>
        <w:pStyle w:val="BodyText"/>
        <w:rPr>
          <w:iCs/>
        </w:rPr>
      </w:pPr>
      <w:r w:rsidRPr="000D7060">
        <w:rPr>
          <w:iCs/>
        </w:rPr>
        <w:t xml:space="preserve">This rating reflects </w:t>
      </w:r>
      <w:smartTag w:uri="urn:schemas-microsoft-com:office:smarttags" w:element="place">
        <w:smartTag w:uri="urn:schemas-microsoft-com:office:smarttags" w:element="country-region">
          <w:r w:rsidRPr="000D7060">
            <w:rPr>
              <w:iCs/>
            </w:rPr>
            <w:t>Australia</w:t>
          </w:r>
        </w:smartTag>
      </w:smartTag>
      <w:r w:rsidRPr="000D7060">
        <w:rPr>
          <w:iCs/>
        </w:rPr>
        <w:t xml:space="preserve">’s limited support to date </w:t>
      </w:r>
      <w:r w:rsidR="00A1460A">
        <w:rPr>
          <w:iCs/>
        </w:rPr>
        <w:t>in</w:t>
      </w:r>
      <w:r w:rsidR="00A1460A" w:rsidRPr="000D7060">
        <w:rPr>
          <w:iCs/>
        </w:rPr>
        <w:t xml:space="preserve"> </w:t>
      </w:r>
      <w:r w:rsidRPr="000D7060">
        <w:rPr>
          <w:iCs/>
        </w:rPr>
        <w:t>a difficult operating environment. Despite some support for improvements in the investment climate, and well</w:t>
      </w:r>
      <w:r w:rsidR="00A1460A">
        <w:rPr>
          <w:iCs/>
        </w:rPr>
        <w:t>-</w:t>
      </w:r>
      <w:r w:rsidRPr="000D7060">
        <w:rPr>
          <w:iCs/>
        </w:rPr>
        <w:t>regarded (but inactive in 2008) support for land reform, efforts in this area are thinly spread and Australia has not determined effective entry points for promoting the private sector.</w:t>
      </w:r>
    </w:p>
    <w:p w:rsidR="001B5D86" w:rsidRPr="00541E6E" w:rsidRDefault="001B5D86" w:rsidP="006B2988">
      <w:pPr>
        <w:pStyle w:val="H3A"/>
      </w:pPr>
      <w:bookmarkStart w:id="89" w:name="_Toc361224354"/>
      <w:r w:rsidRPr="00541E6E">
        <w:t>Assessment of results and performance</w:t>
      </w:r>
      <w:bookmarkEnd w:id="89"/>
    </w:p>
    <w:p w:rsidR="000D7060" w:rsidRPr="000D7060" w:rsidRDefault="000D7060" w:rsidP="00991F19">
      <w:pPr>
        <w:pStyle w:val="BodyText"/>
      </w:pPr>
      <w:r w:rsidRPr="000D7060">
        <w:t xml:space="preserve">The </w:t>
      </w:r>
      <w:r w:rsidR="006571AD">
        <w:t xml:space="preserve">PNG </w:t>
      </w:r>
      <w:r w:rsidRPr="000D7060">
        <w:t xml:space="preserve">aid program </w:t>
      </w:r>
      <w:r w:rsidR="0014539A" w:rsidRPr="000D7060">
        <w:t xml:space="preserve">has a small portfolio of activities aimed directly at the constraints to private sector activity, but they have not amounted to a strategic approach. </w:t>
      </w:r>
      <w:r w:rsidR="0014539A">
        <w:t>Its</w:t>
      </w:r>
      <w:r w:rsidR="0014539A" w:rsidRPr="000D7060">
        <w:t xml:space="preserve"> </w:t>
      </w:r>
      <w:r w:rsidRPr="000D7060">
        <w:t>major contribution to private sector growth</w:t>
      </w:r>
      <w:r w:rsidR="0014539A">
        <w:t xml:space="preserve"> is</w:t>
      </w:r>
      <w:r w:rsidRPr="000D7060">
        <w:t xml:space="preserve"> through support </w:t>
      </w:r>
      <w:r w:rsidR="006571AD">
        <w:t>for</w:t>
      </w:r>
      <w:r w:rsidR="006571AD" w:rsidRPr="000D7060">
        <w:t xml:space="preserve"> </w:t>
      </w:r>
      <w:r w:rsidRPr="000D7060">
        <w:t>macroeconomic management, transport</w:t>
      </w:r>
      <w:r w:rsidR="006571AD">
        <w:t>,</w:t>
      </w:r>
      <w:r w:rsidRPr="000D7060">
        <w:t xml:space="preserve"> and law and justice.</w:t>
      </w:r>
    </w:p>
    <w:p w:rsidR="000D7060" w:rsidRPr="000D7060" w:rsidRDefault="00F02627" w:rsidP="00991F19">
      <w:pPr>
        <w:pStyle w:val="BodyText"/>
      </w:pPr>
      <w:r>
        <w:t xml:space="preserve">The </w:t>
      </w:r>
      <w:proofErr w:type="spellStart"/>
      <w:r w:rsidRPr="000D7060">
        <w:t>Strongim</w:t>
      </w:r>
      <w:proofErr w:type="spellEnd"/>
      <w:r w:rsidRPr="000D7060">
        <w:t xml:space="preserve"> </w:t>
      </w:r>
      <w:proofErr w:type="spellStart"/>
      <w:r w:rsidRPr="000D7060">
        <w:t>Gavman</w:t>
      </w:r>
      <w:proofErr w:type="spellEnd"/>
      <w:r w:rsidRPr="000D7060">
        <w:t xml:space="preserve"> Program</w:t>
      </w:r>
      <w:r w:rsidR="000D7060" w:rsidRPr="000D7060">
        <w:t xml:space="preserve"> is assisting Treasury to enable private sector investment. </w:t>
      </w:r>
      <w:r w:rsidR="00DB7FE0">
        <w:t>It</w:t>
      </w:r>
      <w:r w:rsidR="00DB7FE0" w:rsidRPr="000D7060">
        <w:t xml:space="preserve"> </w:t>
      </w:r>
      <w:r w:rsidR="000D7060" w:rsidRPr="000D7060">
        <w:t>included assistance with negotiati</w:t>
      </w:r>
      <w:r w:rsidR="00DB7FE0">
        <w:t>ng</w:t>
      </w:r>
      <w:r w:rsidR="000D7060" w:rsidRPr="000D7060">
        <w:t xml:space="preserve"> tax arrangements for the PNG LNG </w:t>
      </w:r>
      <w:r w:rsidR="00DB7FE0" w:rsidRPr="000D7060">
        <w:t>project</w:t>
      </w:r>
      <w:r w:rsidR="006F52FC">
        <w:t>,</w:t>
      </w:r>
      <w:r w:rsidR="000D7060" w:rsidRPr="000D7060">
        <w:t xml:space="preserve"> input to </w:t>
      </w:r>
      <w:r w:rsidR="006F52FC">
        <w:t>developing</w:t>
      </w:r>
      <w:r w:rsidR="000D7060" w:rsidRPr="000D7060">
        <w:t xml:space="preserve"> </w:t>
      </w:r>
      <w:r w:rsidR="006F52FC">
        <w:t>the National</w:t>
      </w:r>
      <w:r w:rsidR="006F52FC" w:rsidRPr="000D7060">
        <w:t xml:space="preserve"> Public</w:t>
      </w:r>
      <w:r w:rsidR="006F52FC">
        <w:t xml:space="preserve"> </w:t>
      </w:r>
      <w:r w:rsidR="006F52FC" w:rsidRPr="000D7060">
        <w:t xml:space="preserve">Private Partnership Policy </w:t>
      </w:r>
      <w:r w:rsidR="000D7060" w:rsidRPr="000D7060">
        <w:t xml:space="preserve">being promoted by the </w:t>
      </w:r>
      <w:r w:rsidR="00C07049">
        <w:t>Asian Development Bank</w:t>
      </w:r>
      <w:r w:rsidR="000D7060" w:rsidRPr="000D7060">
        <w:t xml:space="preserve"> via engagement in the </w:t>
      </w:r>
      <w:r w:rsidR="006F52FC" w:rsidRPr="000D7060">
        <w:t>Public</w:t>
      </w:r>
      <w:r w:rsidR="006F52FC">
        <w:t xml:space="preserve"> </w:t>
      </w:r>
      <w:r w:rsidR="006F52FC" w:rsidRPr="000D7060">
        <w:t xml:space="preserve">Private Partnership </w:t>
      </w:r>
      <w:r w:rsidR="000D7060" w:rsidRPr="000D7060">
        <w:t>Taskforce</w:t>
      </w:r>
      <w:r w:rsidR="006F52FC">
        <w:t>,</w:t>
      </w:r>
      <w:r w:rsidR="000D7060" w:rsidRPr="000D7060">
        <w:t xml:space="preserve"> and </w:t>
      </w:r>
      <w:r w:rsidR="0014539A">
        <w:t xml:space="preserve">the </w:t>
      </w:r>
      <w:r w:rsidR="000D7060" w:rsidRPr="000D7060">
        <w:t xml:space="preserve">promotion of competition benefits occurring through the elimination of </w:t>
      </w:r>
      <w:r w:rsidR="006F52FC">
        <w:t>state-owned</w:t>
      </w:r>
      <w:r w:rsidR="006F52FC" w:rsidRPr="000D7060">
        <w:t xml:space="preserve"> </w:t>
      </w:r>
      <w:r w:rsidR="000D7060" w:rsidRPr="000D7060">
        <w:t>monopolies, especially in telecommu</w:t>
      </w:r>
      <w:r w:rsidR="0023613F">
        <w:t>nications and aviation.</w:t>
      </w:r>
    </w:p>
    <w:p w:rsidR="000D7060" w:rsidRPr="000D7060" w:rsidRDefault="000D7060" w:rsidP="00991F19">
      <w:pPr>
        <w:pStyle w:val="BodyText"/>
      </w:pPr>
      <w:r w:rsidRPr="000D7060">
        <w:t xml:space="preserve">In 2008 </w:t>
      </w:r>
      <w:smartTag w:uri="urn:schemas-microsoft-com:office:smarttags" w:element="place">
        <w:smartTag w:uri="urn:schemas-microsoft-com:office:smarttags" w:element="country-region">
          <w:r w:rsidRPr="000D7060">
            <w:t>Australia</w:t>
          </w:r>
        </w:smartTag>
      </w:smartTag>
      <w:r w:rsidRPr="000D7060">
        <w:t xml:space="preserve"> assisted PNG to:</w:t>
      </w:r>
    </w:p>
    <w:p w:rsidR="000D7060" w:rsidRPr="000D7060" w:rsidRDefault="000D7060" w:rsidP="00991F19">
      <w:pPr>
        <w:pStyle w:val="ListBullet"/>
      </w:pPr>
      <w:r w:rsidRPr="000D7060">
        <w:rPr>
          <w:b/>
        </w:rPr>
        <w:t>Promote access to financial services, including microfinance</w:t>
      </w:r>
      <w:r w:rsidRPr="000D7060">
        <w:t xml:space="preserve">. In collaboration with </w:t>
      </w:r>
      <w:r w:rsidR="00C07049">
        <w:t>the Asian Development Bank</w:t>
      </w:r>
      <w:r w:rsidRPr="000D7060">
        <w:t xml:space="preserve">, </w:t>
      </w:r>
      <w:r w:rsidR="00A92765">
        <w:t xml:space="preserve">the </w:t>
      </w:r>
      <w:r w:rsidRPr="000D7060">
        <w:t xml:space="preserve">International Finance Corporation and the </w:t>
      </w:r>
      <w:smartTag w:uri="urn:schemas-microsoft-com:office:smarttags" w:element="place">
        <w:smartTag w:uri="urn:schemas-microsoft-com:office:smarttags" w:element="PlaceType">
          <w:r w:rsidRPr="000D7060">
            <w:t>Institute</w:t>
          </w:r>
        </w:smartTag>
        <w:r w:rsidRPr="000D7060">
          <w:t xml:space="preserve"> of </w:t>
        </w:r>
        <w:smartTag w:uri="urn:schemas-microsoft-com:office:smarttags" w:element="PlaceName">
          <w:r w:rsidRPr="000D7060">
            <w:t>National Affairs</w:t>
          </w:r>
        </w:smartTag>
      </w:smartTag>
      <w:r w:rsidRPr="000D7060">
        <w:t xml:space="preserve">, workshops on </w:t>
      </w:r>
      <w:r w:rsidR="00A92765">
        <w:t xml:space="preserve">the </w:t>
      </w:r>
      <w:r w:rsidRPr="000D7060">
        <w:t xml:space="preserve">PNG microfinance industry and mobile banking were conducted in 2008. In consultation with the </w:t>
      </w:r>
      <w:r w:rsidR="00C07049">
        <w:t>Asian Development Bank</w:t>
      </w:r>
      <w:r w:rsidRPr="000D7060">
        <w:t xml:space="preserve">, a new program of support for the microfinance industry is </w:t>
      </w:r>
      <w:r w:rsidR="00A92765">
        <w:t>being</w:t>
      </w:r>
      <w:r w:rsidR="00A92765" w:rsidRPr="000D7060">
        <w:t xml:space="preserve"> consider</w:t>
      </w:r>
      <w:r w:rsidR="00A92765">
        <w:t>ed</w:t>
      </w:r>
      <w:r w:rsidRPr="000D7060">
        <w:t>.</w:t>
      </w:r>
    </w:p>
    <w:p w:rsidR="000D7060" w:rsidRPr="000D7060" w:rsidRDefault="000D7060" w:rsidP="00991F19">
      <w:pPr>
        <w:pStyle w:val="ListBullet"/>
      </w:pPr>
      <w:r w:rsidRPr="000D7060">
        <w:rPr>
          <w:b/>
        </w:rPr>
        <w:t>Gain accreditation to fumigate exports to Australian standards</w:t>
      </w:r>
      <w:r w:rsidRPr="000D7060">
        <w:t xml:space="preserve">. Under the Quarantine Twinning Program, PNG industry </w:t>
      </w:r>
      <w:r w:rsidR="00DF2D0A">
        <w:t>was</w:t>
      </w:r>
      <w:r w:rsidRPr="000D7060">
        <w:t xml:space="preserve"> accredited to fumigate exports to Australian standards, thereby enhancing PNG’s ‘clean trade’ image in the international market. </w:t>
      </w:r>
      <w:r w:rsidR="00DF2D0A">
        <w:t>The accreditation</w:t>
      </w:r>
      <w:r w:rsidRPr="000D7060">
        <w:t xml:space="preserve"> has also enhanced PNG</w:t>
      </w:r>
      <w:r w:rsidR="00DF2D0A">
        <w:t>’</w:t>
      </w:r>
      <w:r w:rsidRPr="000D7060">
        <w:t>s ability to minimise</w:t>
      </w:r>
      <w:r w:rsidR="00035BC8">
        <w:t xml:space="preserve"> pest</w:t>
      </w:r>
      <w:r w:rsidRPr="000D7060">
        <w:t xml:space="preserve"> incursions and hence offer increased protection for agricultural markets.</w:t>
      </w:r>
    </w:p>
    <w:p w:rsidR="000D7060" w:rsidRPr="000D7060" w:rsidRDefault="000D7060" w:rsidP="00991F19">
      <w:pPr>
        <w:pStyle w:val="ListBullet"/>
      </w:pPr>
      <w:r w:rsidRPr="000D7060">
        <w:rPr>
          <w:b/>
        </w:rPr>
        <w:lastRenderedPageBreak/>
        <w:t>Improve employment regulation</w:t>
      </w:r>
      <w:r w:rsidRPr="000D7060">
        <w:t xml:space="preserve">. Technical assistance to the Department of Labour and Industrial Relations helped </w:t>
      </w:r>
      <w:r w:rsidR="00AD4D34">
        <w:t xml:space="preserve">to </w:t>
      </w:r>
      <w:r w:rsidRPr="000D7060">
        <w:t>prepare the Employment of Non-citizens Regulation 2008</w:t>
      </w:r>
      <w:r w:rsidR="00AD4D34">
        <w:t>,</w:t>
      </w:r>
      <w:r w:rsidRPr="000D7060">
        <w:t xml:space="preserve"> which, together with the Employment of Non-citizens Act 2007, came into force on 1</w:t>
      </w:r>
      <w:r w:rsidR="00AD4D34">
        <w:t> </w:t>
      </w:r>
      <w:r w:rsidRPr="000D7060">
        <w:t>January 2009. The regulation introduces significant changes to foreign employment policy and helps businesses by improving the foreign work permits system</w:t>
      </w:r>
      <w:r w:rsidR="00CB46B5">
        <w:t>.</w:t>
      </w:r>
      <w:r w:rsidRPr="00CB46B5">
        <w:rPr>
          <w:rStyle w:val="FootnoteReference"/>
        </w:rPr>
        <w:footnoteReference w:id="29"/>
      </w:r>
    </w:p>
    <w:p w:rsidR="000D7060" w:rsidRPr="000D7060" w:rsidRDefault="000D7060" w:rsidP="00991F19">
      <w:pPr>
        <w:pStyle w:val="BodyText"/>
      </w:pPr>
      <w:r w:rsidRPr="000D7060">
        <w:t>In 2008 a renewed commitment to enhancing private sector development, including better access to microfinance, was made through the Australian Prime Minister</w:t>
      </w:r>
      <w:r w:rsidR="00B74AC4">
        <w:t>’</w:t>
      </w:r>
      <w:r w:rsidRPr="000D7060">
        <w:t xml:space="preserve">s Port Moresby Declaration. Since then, </w:t>
      </w:r>
      <w:smartTag w:uri="urn:schemas-microsoft-com:office:smarttags" w:element="place">
        <w:smartTag w:uri="urn:schemas-microsoft-com:office:smarttags" w:element="country-region">
          <w:r w:rsidRPr="000D7060">
            <w:t>Australia</w:t>
          </w:r>
        </w:smartTag>
      </w:smartTag>
      <w:r w:rsidRPr="000D7060">
        <w:t xml:space="preserve"> has strengthened its relationship with the PNG business community through meetings with the six </w:t>
      </w:r>
      <w:r w:rsidR="00B74AC4" w:rsidRPr="000D7060">
        <w:t>peak business bodies</w:t>
      </w:r>
      <w:r w:rsidRPr="000D7060">
        <w:t>. Further opportunities for coordinatin</w:t>
      </w:r>
      <w:r w:rsidR="0014539A">
        <w:t>g engagements of</w:t>
      </w:r>
      <w:r w:rsidRPr="000D7060">
        <w:t xml:space="preserve"> the aid program and the business community with </w:t>
      </w:r>
      <w:r w:rsidR="007B2AB8">
        <w:t>the PNG Government</w:t>
      </w:r>
      <w:r w:rsidRPr="000D7060">
        <w:t xml:space="preserve"> on economic growth and development issues are being explored.</w:t>
      </w:r>
    </w:p>
    <w:p w:rsidR="000D7060" w:rsidRDefault="00001C8E" w:rsidP="006B2988">
      <w:pPr>
        <w:pStyle w:val="H2A"/>
      </w:pPr>
      <w:bookmarkStart w:id="90" w:name="_Toc237763907"/>
      <w:bookmarkStart w:id="91" w:name="_Toc361224355"/>
      <w:r>
        <w:t>Objective 2:</w:t>
      </w:r>
      <w:r>
        <w:br/>
      </w:r>
      <w:r w:rsidR="000D7060" w:rsidRPr="000D7060">
        <w:t>Enhanced a</w:t>
      </w:r>
      <w:r>
        <w:t>ccess to markets and services</w:t>
      </w:r>
      <w:bookmarkEnd w:id="90"/>
      <w:bookmarkEnd w:id="91"/>
    </w:p>
    <w:p w:rsidR="001E6ED1" w:rsidRPr="001E6ED1" w:rsidRDefault="001E6ED1" w:rsidP="006B2988">
      <w:pPr>
        <w:pStyle w:val="H3A"/>
      </w:pPr>
      <w:bookmarkStart w:id="92" w:name="_Toc361224356"/>
      <w:r>
        <w:t>Rating</w:t>
      </w:r>
      <w:bookmarkEnd w:id="92"/>
    </w:p>
    <w:p w:rsidR="00001C8E" w:rsidRPr="00001C8E" w:rsidRDefault="006B2988" w:rsidP="006B2988">
      <w:pPr>
        <w:pStyle w:val="Ratinggreen"/>
        <w:numPr>
          <w:ilvl w:val="0"/>
          <w:numId w:val="0"/>
        </w:numPr>
        <w:ind w:left="567" w:hanging="567"/>
      </w:pPr>
      <w:r>
        <w:rPr>
          <w:noProof/>
          <w:lang w:val="en-US" w:eastAsia="en-US"/>
        </w:rPr>
        <w:drawing>
          <wp:inline distT="0" distB="0" distL="0" distR="0" wp14:anchorId="3B9F5384" wp14:editId="6A53D321">
            <wp:extent cx="95263" cy="95263"/>
            <wp:effectExtent l="0" t="0" r="0" b="0"/>
            <wp:docPr id="14" name="Picture 1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EEN.png"/>
                    <pic:cNvPicPr/>
                  </pic:nvPicPr>
                  <pic:blipFill>
                    <a:blip r:embed="rId22">
                      <a:extLst>
                        <a:ext uri="{28A0092B-C50C-407E-A947-70E740481C1C}">
                          <a14:useLocalDpi xmlns:a14="http://schemas.microsoft.com/office/drawing/2010/main" val="0"/>
                        </a:ext>
                      </a:extLst>
                    </a:blip>
                    <a:stretch>
                      <a:fillRect/>
                    </a:stretch>
                  </pic:blipFill>
                  <pic:spPr>
                    <a:xfrm>
                      <a:off x="0" y="0"/>
                      <a:ext cx="95263" cy="95263"/>
                    </a:xfrm>
                    <a:prstGeom prst="rect">
                      <a:avLst/>
                    </a:prstGeom>
                  </pic:spPr>
                </pic:pic>
              </a:graphicData>
            </a:graphic>
          </wp:inline>
        </w:drawing>
      </w:r>
      <w:r>
        <w:tab/>
      </w:r>
      <w:r w:rsidR="001B735E" w:rsidRPr="00011299">
        <w:t>The objective is on track to be fully achieved within the timeframe of the strategy</w:t>
      </w:r>
      <w:r w:rsidR="001B735E">
        <w:t>.</w:t>
      </w:r>
    </w:p>
    <w:p w:rsidR="000D7060" w:rsidRPr="00B96C3E" w:rsidRDefault="000D7060" w:rsidP="00991F19">
      <w:pPr>
        <w:pStyle w:val="BodyText"/>
        <w:rPr>
          <w:spacing w:val="-1"/>
        </w:rPr>
      </w:pPr>
      <w:r w:rsidRPr="00B96C3E">
        <w:rPr>
          <w:spacing w:val="-1"/>
        </w:rPr>
        <w:t xml:space="preserve">The rating reflects </w:t>
      </w:r>
      <w:r w:rsidR="001E6ED1" w:rsidRPr="00B96C3E">
        <w:rPr>
          <w:spacing w:val="-1"/>
        </w:rPr>
        <w:t xml:space="preserve">the </w:t>
      </w:r>
      <w:r w:rsidRPr="00B96C3E">
        <w:rPr>
          <w:spacing w:val="-1"/>
        </w:rPr>
        <w:t>steady progress made in the transport sector in 2008. However</w:t>
      </w:r>
      <w:r w:rsidR="001E6ED1" w:rsidRPr="00B96C3E">
        <w:rPr>
          <w:spacing w:val="-1"/>
        </w:rPr>
        <w:t>,</w:t>
      </w:r>
      <w:r w:rsidRPr="00B96C3E">
        <w:rPr>
          <w:spacing w:val="-1"/>
        </w:rPr>
        <w:t xml:space="preserve"> there </w:t>
      </w:r>
      <w:r w:rsidR="00F02627" w:rsidRPr="00B96C3E">
        <w:rPr>
          <w:spacing w:val="-1"/>
        </w:rPr>
        <w:t>was significant varia</w:t>
      </w:r>
      <w:r w:rsidR="001E6ED1" w:rsidRPr="00B96C3E">
        <w:rPr>
          <w:spacing w:val="-1"/>
        </w:rPr>
        <w:t>tion</w:t>
      </w:r>
      <w:r w:rsidR="00F02627" w:rsidRPr="00B96C3E">
        <w:rPr>
          <w:spacing w:val="-1"/>
        </w:rPr>
        <w:t xml:space="preserve"> </w:t>
      </w:r>
      <w:r w:rsidR="00631E74" w:rsidRPr="00B96C3E">
        <w:rPr>
          <w:spacing w:val="-1"/>
        </w:rPr>
        <w:t xml:space="preserve">in performance </w:t>
      </w:r>
      <w:r w:rsidR="00F02627" w:rsidRPr="00B96C3E">
        <w:rPr>
          <w:spacing w:val="-1"/>
        </w:rPr>
        <w:t>among</w:t>
      </w:r>
      <w:r w:rsidRPr="00B96C3E">
        <w:rPr>
          <w:spacing w:val="-1"/>
        </w:rPr>
        <w:t xml:space="preserve"> </w:t>
      </w:r>
      <w:r w:rsidR="00B96C3E">
        <w:rPr>
          <w:spacing w:val="-1"/>
        </w:rPr>
        <w:t>agencies</w:t>
      </w:r>
      <w:r w:rsidR="00493658">
        <w:rPr>
          <w:spacing w:val="-1"/>
        </w:rPr>
        <w:t>.</w:t>
      </w:r>
      <w:r w:rsidRPr="00B96C3E">
        <w:rPr>
          <w:spacing w:val="-1"/>
        </w:rPr>
        <w:t xml:space="preserve"> Significant increases in funding </w:t>
      </w:r>
      <w:r w:rsidR="00B96C3E" w:rsidRPr="00B96C3E">
        <w:rPr>
          <w:spacing w:val="-1"/>
        </w:rPr>
        <w:t xml:space="preserve">during </w:t>
      </w:r>
      <w:r w:rsidRPr="00B96C3E">
        <w:rPr>
          <w:spacing w:val="-1"/>
        </w:rPr>
        <w:t xml:space="preserve">the </w:t>
      </w:r>
      <w:r w:rsidR="00B96C3E" w:rsidRPr="00B96C3E">
        <w:rPr>
          <w:spacing w:val="-1"/>
        </w:rPr>
        <w:t>period 2004–08</w:t>
      </w:r>
      <w:r w:rsidRPr="00B96C3E">
        <w:rPr>
          <w:spacing w:val="-1"/>
        </w:rPr>
        <w:t xml:space="preserve"> enabled PNG to increas</w:t>
      </w:r>
      <w:r w:rsidR="00B96C3E" w:rsidRPr="00B96C3E">
        <w:rPr>
          <w:spacing w:val="-1"/>
        </w:rPr>
        <w:t>e the</w:t>
      </w:r>
      <w:r w:rsidRPr="00B96C3E">
        <w:rPr>
          <w:spacing w:val="-1"/>
        </w:rPr>
        <w:t xml:space="preserve"> maint</w:t>
      </w:r>
      <w:r w:rsidR="00B96C3E" w:rsidRPr="00B96C3E">
        <w:rPr>
          <w:spacing w:val="-1"/>
        </w:rPr>
        <w:t>enance of</w:t>
      </w:r>
      <w:r w:rsidRPr="00B96C3E">
        <w:rPr>
          <w:spacing w:val="-1"/>
        </w:rPr>
        <w:t xml:space="preserve"> key roads and manage </w:t>
      </w:r>
      <w:r w:rsidR="00B96C3E" w:rsidRPr="00B96C3E">
        <w:rPr>
          <w:spacing w:val="-1"/>
        </w:rPr>
        <w:t xml:space="preserve">the transport </w:t>
      </w:r>
      <w:r w:rsidRPr="00B96C3E">
        <w:rPr>
          <w:spacing w:val="-1"/>
        </w:rPr>
        <w:t>sector</w:t>
      </w:r>
      <w:r w:rsidR="00B96C3E" w:rsidRPr="00B96C3E">
        <w:rPr>
          <w:spacing w:val="-1"/>
        </w:rPr>
        <w:t>’s</w:t>
      </w:r>
      <w:r w:rsidRPr="00B96C3E">
        <w:rPr>
          <w:spacing w:val="-1"/>
        </w:rPr>
        <w:t xml:space="preserve"> budgets. </w:t>
      </w:r>
      <w:smartTag w:uri="urn:schemas-microsoft-com:office:smarttags" w:element="place">
        <w:smartTag w:uri="urn:schemas-microsoft-com:office:smarttags" w:element="country-region">
          <w:r w:rsidRPr="00B96C3E">
            <w:rPr>
              <w:spacing w:val="-1"/>
            </w:rPr>
            <w:t>Australia</w:t>
          </w:r>
        </w:smartTag>
      </w:smartTag>
      <w:r w:rsidRPr="00B96C3E">
        <w:rPr>
          <w:spacing w:val="-1"/>
        </w:rPr>
        <w:t>’s support to the s</w:t>
      </w:r>
      <w:r w:rsidR="007B2AB8" w:rsidRPr="00B96C3E">
        <w:rPr>
          <w:spacing w:val="-1"/>
        </w:rPr>
        <w:t xml:space="preserve">ector is well integrated with </w:t>
      </w:r>
      <w:r w:rsidRPr="00B96C3E">
        <w:rPr>
          <w:spacing w:val="-1"/>
        </w:rPr>
        <w:t>PNG</w:t>
      </w:r>
      <w:r w:rsidR="007B2AB8" w:rsidRPr="00B96C3E">
        <w:rPr>
          <w:spacing w:val="-1"/>
        </w:rPr>
        <w:t xml:space="preserve"> government</w:t>
      </w:r>
      <w:r w:rsidRPr="00B96C3E">
        <w:rPr>
          <w:spacing w:val="-1"/>
        </w:rPr>
        <w:t xml:space="preserve"> systems, including procurement systems, and </w:t>
      </w:r>
      <w:proofErr w:type="spellStart"/>
      <w:r w:rsidRPr="00B96C3E">
        <w:rPr>
          <w:spacing w:val="-1"/>
        </w:rPr>
        <w:t>well coordinated</w:t>
      </w:r>
      <w:proofErr w:type="spellEnd"/>
      <w:r w:rsidRPr="00B96C3E">
        <w:rPr>
          <w:spacing w:val="-1"/>
        </w:rPr>
        <w:t xml:space="preserve"> with development partners.</w:t>
      </w:r>
    </w:p>
    <w:p w:rsidR="001E6ED1" w:rsidRPr="00541E6E" w:rsidRDefault="001E6ED1" w:rsidP="006B2988">
      <w:pPr>
        <w:pStyle w:val="H3A"/>
      </w:pPr>
      <w:bookmarkStart w:id="93" w:name="_Toc361224357"/>
      <w:r w:rsidRPr="00541E6E">
        <w:t>Assessment of results and performance</w:t>
      </w:r>
      <w:bookmarkEnd w:id="93"/>
    </w:p>
    <w:p w:rsidR="000D7060" w:rsidRPr="000D7060" w:rsidRDefault="000D7060" w:rsidP="00991F19">
      <w:pPr>
        <w:pStyle w:val="BodyText"/>
      </w:pPr>
      <w:r w:rsidRPr="000D7060">
        <w:t xml:space="preserve">Australian assistance to the </w:t>
      </w:r>
      <w:r w:rsidR="00F02627" w:rsidRPr="000D7060">
        <w:t xml:space="preserve">transport </w:t>
      </w:r>
      <w:r w:rsidRPr="000D7060">
        <w:t xml:space="preserve">sector covers five </w:t>
      </w:r>
      <w:r w:rsidR="00B96C3E">
        <w:t>agencies</w:t>
      </w:r>
      <w:r w:rsidR="000D1F96">
        <w:t>.</w:t>
      </w:r>
      <w:r w:rsidRPr="000D1F96">
        <w:rPr>
          <w:rStyle w:val="FootnoteReference"/>
        </w:rPr>
        <w:footnoteReference w:id="30"/>
      </w:r>
      <w:r w:rsidRPr="000D7060">
        <w:t xml:space="preserve"> All demonstrated progress to varying degrees</w:t>
      </w:r>
      <w:r w:rsidR="00715742" w:rsidRPr="00715742">
        <w:t xml:space="preserve"> </w:t>
      </w:r>
      <w:r w:rsidR="00715742">
        <w:t>in 2008</w:t>
      </w:r>
      <w:r w:rsidRPr="000D7060">
        <w:t xml:space="preserve">. </w:t>
      </w:r>
    </w:p>
    <w:p w:rsidR="000D7060" w:rsidRPr="000C382A" w:rsidRDefault="000D7060" w:rsidP="00991F19">
      <w:pPr>
        <w:pStyle w:val="BodyText"/>
        <w:rPr>
          <w:spacing w:val="-2"/>
        </w:rPr>
      </w:pPr>
      <w:r w:rsidRPr="000C382A">
        <w:rPr>
          <w:spacing w:val="-2"/>
        </w:rPr>
        <w:t xml:space="preserve">The maintenance of key roads was cited in the 2007 </w:t>
      </w:r>
      <w:r w:rsidR="00715742" w:rsidRPr="000C382A">
        <w:rPr>
          <w:spacing w:val="-2"/>
        </w:rPr>
        <w:t xml:space="preserve">annual program performance report </w:t>
      </w:r>
      <w:r w:rsidRPr="000C382A">
        <w:rPr>
          <w:spacing w:val="-2"/>
        </w:rPr>
        <w:t xml:space="preserve">as being </w:t>
      </w:r>
      <w:r w:rsidR="000C382A" w:rsidRPr="000C382A">
        <w:rPr>
          <w:spacing w:val="-2"/>
        </w:rPr>
        <w:t xml:space="preserve">at </w:t>
      </w:r>
      <w:r w:rsidRPr="000C382A">
        <w:rPr>
          <w:spacing w:val="-2"/>
        </w:rPr>
        <w:t xml:space="preserve">the heart of the aid program’s growth strategy in PNG. This is evidenced by the extent of road maintenance and </w:t>
      </w:r>
      <w:r w:rsidR="000C382A" w:rsidRPr="000C382A">
        <w:rPr>
          <w:spacing w:val="-2"/>
        </w:rPr>
        <w:t xml:space="preserve">development </w:t>
      </w:r>
      <w:r w:rsidRPr="000C382A">
        <w:rPr>
          <w:spacing w:val="-2"/>
        </w:rPr>
        <w:t xml:space="preserve">in 2008. </w:t>
      </w:r>
      <w:r w:rsidR="000D1F96" w:rsidRPr="000C382A">
        <w:rPr>
          <w:spacing w:val="-2"/>
        </w:rPr>
        <w:t xml:space="preserve">A total of </w:t>
      </w:r>
      <w:r w:rsidRPr="000C382A">
        <w:rPr>
          <w:spacing w:val="-2"/>
        </w:rPr>
        <w:t>965</w:t>
      </w:r>
      <w:r w:rsidR="000C382A" w:rsidRPr="000C382A">
        <w:rPr>
          <w:spacing w:val="-2"/>
        </w:rPr>
        <w:t> </w:t>
      </w:r>
      <w:r w:rsidRPr="000C382A">
        <w:rPr>
          <w:spacing w:val="-2"/>
        </w:rPr>
        <w:t>k</w:t>
      </w:r>
      <w:r w:rsidR="000D1F96" w:rsidRPr="000C382A">
        <w:rPr>
          <w:spacing w:val="-2"/>
        </w:rPr>
        <w:t>ilo</w:t>
      </w:r>
      <w:r w:rsidRPr="000C382A">
        <w:rPr>
          <w:spacing w:val="-2"/>
        </w:rPr>
        <w:t>m</w:t>
      </w:r>
      <w:r w:rsidR="000D1F96" w:rsidRPr="000C382A">
        <w:rPr>
          <w:spacing w:val="-2"/>
        </w:rPr>
        <w:t>etre</w:t>
      </w:r>
      <w:r w:rsidRPr="000C382A">
        <w:rPr>
          <w:spacing w:val="-2"/>
        </w:rPr>
        <w:t xml:space="preserve">s of priority roads identified under the </w:t>
      </w:r>
      <w:r w:rsidR="007B2AB8" w:rsidRPr="000C382A">
        <w:rPr>
          <w:spacing w:val="-2"/>
        </w:rPr>
        <w:t>PNG Government’s</w:t>
      </w:r>
      <w:r w:rsidRPr="000C382A">
        <w:rPr>
          <w:spacing w:val="-2"/>
        </w:rPr>
        <w:t xml:space="preserve"> National Transport Development Plan were maintained with Australian support</w:t>
      </w:r>
      <w:r w:rsidR="000C382A" w:rsidRPr="000C382A">
        <w:rPr>
          <w:spacing w:val="-2"/>
        </w:rPr>
        <w:t>,</w:t>
      </w:r>
      <w:r w:rsidRPr="000C382A">
        <w:rPr>
          <w:spacing w:val="-2"/>
        </w:rPr>
        <w:t xml:space="preserve"> which suggests an increase in the proportion of roads in good condition, although the statistic for 2008 is yet to be released by </w:t>
      </w:r>
      <w:r w:rsidR="007B2AB8" w:rsidRPr="000C382A">
        <w:rPr>
          <w:spacing w:val="-2"/>
        </w:rPr>
        <w:t>the government</w:t>
      </w:r>
      <w:r w:rsidRPr="000C382A">
        <w:rPr>
          <w:spacing w:val="-2"/>
        </w:rPr>
        <w:t xml:space="preserve">. Six </w:t>
      </w:r>
      <w:r w:rsidR="000D1F96" w:rsidRPr="000C382A">
        <w:rPr>
          <w:spacing w:val="-2"/>
        </w:rPr>
        <w:t xml:space="preserve">independent completion reports </w:t>
      </w:r>
      <w:r w:rsidRPr="000C382A">
        <w:rPr>
          <w:spacing w:val="-2"/>
        </w:rPr>
        <w:t>were fina</w:t>
      </w:r>
      <w:r w:rsidR="00F15CCA" w:rsidRPr="000C382A">
        <w:rPr>
          <w:spacing w:val="-2"/>
        </w:rPr>
        <w:t>lised in 2008 by the Australian-</w:t>
      </w:r>
      <w:r w:rsidRPr="000C382A">
        <w:rPr>
          <w:spacing w:val="-2"/>
        </w:rPr>
        <w:t>supported Transport Sector Support Program, four of which involved road maintenance or road infrastructure. These include</w:t>
      </w:r>
      <w:r w:rsidR="000C382A">
        <w:rPr>
          <w:spacing w:val="-2"/>
        </w:rPr>
        <w:t>d</w:t>
      </w:r>
      <w:r w:rsidRPr="000C382A">
        <w:rPr>
          <w:spacing w:val="-2"/>
        </w:rPr>
        <w:t xml:space="preserve">: </w:t>
      </w:r>
    </w:p>
    <w:p w:rsidR="000D7060" w:rsidRPr="000D7060" w:rsidRDefault="000D7060" w:rsidP="00991F19">
      <w:pPr>
        <w:pStyle w:val="ListBullet"/>
      </w:pPr>
      <w:proofErr w:type="spellStart"/>
      <w:smartTag w:uri="urn:schemas-microsoft-com:office:smarttags" w:element="place">
        <w:smartTag w:uri="urn:schemas-microsoft-com:office:smarttags" w:element="PlaceName">
          <w:r w:rsidRPr="000D7060">
            <w:t>Lae</w:t>
          </w:r>
        </w:smartTag>
        <w:proofErr w:type="spellEnd"/>
        <w:r w:rsidRPr="000D7060">
          <w:t xml:space="preserve"> </w:t>
        </w:r>
        <w:smartTag w:uri="urn:schemas-microsoft-com:office:smarttags" w:element="PlaceType">
          <w:r w:rsidRPr="000D7060">
            <w:t>City</w:t>
          </w:r>
        </w:smartTag>
      </w:smartTag>
      <w:r w:rsidRPr="000D7060">
        <w:t xml:space="preserve"> Roads Upgrading Project </w:t>
      </w:r>
    </w:p>
    <w:p w:rsidR="000D7060" w:rsidRPr="000D7060" w:rsidRDefault="000D7060" w:rsidP="00991F19">
      <w:pPr>
        <w:pStyle w:val="ListBullet"/>
      </w:pPr>
      <w:r w:rsidRPr="000D7060">
        <w:t xml:space="preserve">Bougainville Coastal Trunk Road </w:t>
      </w:r>
      <w:r w:rsidR="000C382A" w:rsidRPr="000D7060">
        <w:t>phase</w:t>
      </w:r>
      <w:r w:rsidR="000C382A">
        <w:t>s</w:t>
      </w:r>
      <w:r w:rsidR="000C382A" w:rsidRPr="000D7060">
        <w:t xml:space="preserve"> </w:t>
      </w:r>
      <w:r w:rsidRPr="000D7060">
        <w:t xml:space="preserve">1 </w:t>
      </w:r>
      <w:r w:rsidR="000C382A">
        <w:t>and</w:t>
      </w:r>
      <w:r w:rsidRPr="000D7060">
        <w:t xml:space="preserve"> 2</w:t>
      </w:r>
    </w:p>
    <w:p w:rsidR="000D7060" w:rsidRPr="000D7060" w:rsidRDefault="000D7060" w:rsidP="00991F19">
      <w:pPr>
        <w:pStyle w:val="ListBullet"/>
      </w:pPr>
      <w:r w:rsidRPr="000D7060">
        <w:t xml:space="preserve">National Roads and Bridges Maintenance Project Phase 2 </w:t>
      </w:r>
    </w:p>
    <w:p w:rsidR="000D7060" w:rsidRPr="000D7060" w:rsidRDefault="000D7060" w:rsidP="00991F19">
      <w:pPr>
        <w:pStyle w:val="ListBullet"/>
      </w:pPr>
      <w:r w:rsidRPr="000D7060">
        <w:t>National Roads Sealing and Re-graveling project</w:t>
      </w:r>
      <w:r w:rsidR="000C382A">
        <w:t>.</w:t>
      </w:r>
    </w:p>
    <w:p w:rsidR="000C382A" w:rsidRDefault="000D7060" w:rsidP="00991F19">
      <w:pPr>
        <w:pStyle w:val="BodyText"/>
      </w:pPr>
      <w:r w:rsidRPr="000D7060">
        <w:t>The key findings from these reports were that</w:t>
      </w:r>
      <w:r w:rsidR="000C382A">
        <w:t>:</w:t>
      </w:r>
      <w:r w:rsidRPr="000D7060">
        <w:t xml:space="preserve"> </w:t>
      </w:r>
    </w:p>
    <w:p w:rsidR="000C382A" w:rsidRDefault="000D7060" w:rsidP="00991F19">
      <w:pPr>
        <w:pStyle w:val="ListBullet"/>
      </w:pPr>
      <w:r w:rsidRPr="000D7060">
        <w:lastRenderedPageBreak/>
        <w:t xml:space="preserve">the </w:t>
      </w:r>
      <w:r w:rsidR="008457D0">
        <w:t xml:space="preserve">project </w:t>
      </w:r>
      <w:r w:rsidRPr="000D7060">
        <w:t>designs were sound and largely achieved their objectives</w:t>
      </w:r>
    </w:p>
    <w:p w:rsidR="000C382A" w:rsidRDefault="000D7060" w:rsidP="00991F19">
      <w:pPr>
        <w:pStyle w:val="ListBullet"/>
      </w:pPr>
      <w:r w:rsidRPr="000D7060">
        <w:t>the projects learned from experience in implementation</w:t>
      </w:r>
    </w:p>
    <w:p w:rsidR="000C382A" w:rsidRDefault="000D7060" w:rsidP="00991F19">
      <w:pPr>
        <w:pStyle w:val="ListBullet"/>
      </w:pPr>
      <w:r w:rsidRPr="000D7060">
        <w:t>income</w:t>
      </w:r>
      <w:r w:rsidR="000C382A">
        <w:t>-</w:t>
      </w:r>
      <w:r w:rsidRPr="000D7060">
        <w:t>earning opportunities were provided for women</w:t>
      </w:r>
    </w:p>
    <w:p w:rsidR="000C382A" w:rsidRDefault="000D7060" w:rsidP="00991F19">
      <w:pPr>
        <w:pStyle w:val="ListBullet"/>
      </w:pPr>
      <w:r w:rsidRPr="000D7060">
        <w:t xml:space="preserve">new contracting models were established and shown to be effective </w:t>
      </w:r>
    </w:p>
    <w:p w:rsidR="000C382A" w:rsidRDefault="000D7060" w:rsidP="00991F19">
      <w:pPr>
        <w:pStyle w:val="ListBullet"/>
      </w:pPr>
      <w:r w:rsidRPr="000D7060">
        <w:t xml:space="preserve">sustained capacity was built in local contractors. </w:t>
      </w:r>
    </w:p>
    <w:p w:rsidR="000D7060" w:rsidRPr="000D7060" w:rsidRDefault="000D7060" w:rsidP="00991F19">
      <w:pPr>
        <w:pStyle w:val="BodyText"/>
      </w:pPr>
      <w:r w:rsidRPr="000D7060">
        <w:t>However</w:t>
      </w:r>
      <w:r w:rsidR="000C382A">
        <w:t>,</w:t>
      </w:r>
      <w:r w:rsidRPr="000D7060">
        <w:t xml:space="preserve"> minimal effort was put into evaluating the outcomes and impacts of the improved road systems. Most benefits were noted anecdotally rather than through systematic collection of </w:t>
      </w:r>
      <w:r w:rsidR="000C382A">
        <w:t>before and after</w:t>
      </w:r>
      <w:r w:rsidR="000C382A" w:rsidRPr="000D7060">
        <w:t xml:space="preserve"> </w:t>
      </w:r>
      <w:r w:rsidRPr="000D7060">
        <w:t>road</w:t>
      </w:r>
      <w:r w:rsidR="000C382A">
        <w:t>-</w:t>
      </w:r>
      <w:r w:rsidRPr="000D7060">
        <w:t>traffic counts and analysis of the types of traffic.</w:t>
      </w:r>
    </w:p>
    <w:p w:rsidR="000D7060" w:rsidRPr="000D7060" w:rsidRDefault="000D7060" w:rsidP="00991F19">
      <w:pPr>
        <w:pStyle w:val="BodyText"/>
      </w:pPr>
      <w:r w:rsidRPr="000D7060">
        <w:t xml:space="preserve">Along with the provision of funds for asset maintenance, </w:t>
      </w:r>
      <w:r w:rsidR="00F15CCA">
        <w:t xml:space="preserve">the </w:t>
      </w:r>
      <w:r w:rsidR="00F15CCA" w:rsidRPr="000D7060">
        <w:t>Transport Sector Support Program</w:t>
      </w:r>
      <w:r w:rsidRPr="000D7060">
        <w:t xml:space="preserve"> embarked on a program of capacity building. Some key achievements </w:t>
      </w:r>
      <w:r w:rsidR="000C382A">
        <w:t>were</w:t>
      </w:r>
      <w:r w:rsidRPr="000D7060">
        <w:t xml:space="preserve"> improved governance systems for statutory authorities, enhanced dialogue with the Minister for Transport on the implementation </w:t>
      </w:r>
      <w:r w:rsidR="000D1F96">
        <w:t xml:space="preserve">of the </w:t>
      </w:r>
      <w:r w:rsidR="000D1F96" w:rsidRPr="000D7060">
        <w:t>National Transport Development Plan</w:t>
      </w:r>
      <w:r w:rsidR="000C382A">
        <w:t>’s priorities,</w:t>
      </w:r>
      <w:r w:rsidR="000D1F96" w:rsidRPr="000D7060">
        <w:t xml:space="preserve"> </w:t>
      </w:r>
      <w:r w:rsidRPr="000D7060">
        <w:t xml:space="preserve">and </w:t>
      </w:r>
      <w:r w:rsidR="000C382A">
        <w:t xml:space="preserve">a </w:t>
      </w:r>
      <w:r w:rsidRPr="000D7060">
        <w:t xml:space="preserve">commitment to improve corporate planning with reviews by three of the five agencies. </w:t>
      </w:r>
    </w:p>
    <w:p w:rsidR="000D7060" w:rsidRPr="000D7060" w:rsidRDefault="000D7060" w:rsidP="00991F19">
      <w:pPr>
        <w:pStyle w:val="BodyText"/>
      </w:pPr>
      <w:r w:rsidRPr="000D7060">
        <w:t xml:space="preserve">Other achievements supported by </w:t>
      </w:r>
      <w:smartTag w:uri="urn:schemas-microsoft-com:office:smarttags" w:element="place">
        <w:smartTag w:uri="urn:schemas-microsoft-com:office:smarttags" w:element="country-region">
          <w:r w:rsidRPr="000D7060">
            <w:t>Australia</w:t>
          </w:r>
        </w:smartTag>
      </w:smartTag>
      <w:r w:rsidRPr="000D7060">
        <w:t xml:space="preserve"> include</w:t>
      </w:r>
      <w:r w:rsidR="000C382A">
        <w:t>d</w:t>
      </w:r>
      <w:r w:rsidRPr="000D7060">
        <w:t>:</w:t>
      </w:r>
    </w:p>
    <w:p w:rsidR="000D7060" w:rsidRPr="000D7060" w:rsidRDefault="000D7060" w:rsidP="00991F19">
      <w:pPr>
        <w:pStyle w:val="ListBullet"/>
      </w:pPr>
      <w:r w:rsidRPr="000D7060">
        <w:rPr>
          <w:b/>
        </w:rPr>
        <w:t>Improved safety and security at national airports</w:t>
      </w:r>
      <w:r w:rsidRPr="000D7060">
        <w:t xml:space="preserve">. The Civil Aviation Authority achieved certification of eight national airports </w:t>
      </w:r>
      <w:r w:rsidR="00B52A24">
        <w:t>from</w:t>
      </w:r>
      <w:r w:rsidR="00B52A24" w:rsidRPr="000D7060">
        <w:t xml:space="preserve"> </w:t>
      </w:r>
      <w:r w:rsidRPr="000D7060">
        <w:t xml:space="preserve">a target of 14. The certification of the remaining airports is a priority for </w:t>
      </w:r>
      <w:r w:rsidR="00F15CCA">
        <w:t xml:space="preserve">the </w:t>
      </w:r>
      <w:r w:rsidR="00F15CCA" w:rsidRPr="000D7060">
        <w:t>Transport Sector Support Program</w:t>
      </w:r>
      <w:r w:rsidRPr="000D7060">
        <w:t xml:space="preserve"> </w:t>
      </w:r>
      <w:r w:rsidR="00B52A24">
        <w:t>in</w:t>
      </w:r>
      <w:r w:rsidR="00B52A24" w:rsidRPr="000D7060">
        <w:t xml:space="preserve"> </w:t>
      </w:r>
      <w:r w:rsidRPr="000D7060">
        <w:t xml:space="preserve">2009. Australian assistance through </w:t>
      </w:r>
      <w:r w:rsidR="00F02627">
        <w:t xml:space="preserve">the </w:t>
      </w:r>
      <w:proofErr w:type="spellStart"/>
      <w:r w:rsidR="00F02627" w:rsidRPr="000D7060">
        <w:t>Strongim</w:t>
      </w:r>
      <w:proofErr w:type="spellEnd"/>
      <w:r w:rsidR="00F02627" w:rsidRPr="000D7060">
        <w:t xml:space="preserve"> </w:t>
      </w:r>
      <w:proofErr w:type="spellStart"/>
      <w:r w:rsidR="00F02627" w:rsidRPr="000D7060">
        <w:t>Gavman</w:t>
      </w:r>
      <w:proofErr w:type="spellEnd"/>
      <w:r w:rsidR="00F02627" w:rsidRPr="000D7060">
        <w:t xml:space="preserve"> Program</w:t>
      </w:r>
      <w:r w:rsidRPr="000D7060">
        <w:t xml:space="preserve"> contribut</w:t>
      </w:r>
      <w:r w:rsidR="00B52A24">
        <w:t>ed</w:t>
      </w:r>
      <w:r w:rsidRPr="000D7060">
        <w:t xml:space="preserve"> to maintaining aviation safety by establishing </w:t>
      </w:r>
      <w:r w:rsidR="000D1F96">
        <w:t>the</w:t>
      </w:r>
      <w:r w:rsidRPr="000D7060">
        <w:t xml:space="preserve"> Accident Investigation Commission and supporting the restructure of </w:t>
      </w:r>
      <w:r w:rsidR="000D1F96">
        <w:t xml:space="preserve">the </w:t>
      </w:r>
      <w:r w:rsidR="000D1F96" w:rsidRPr="000D7060">
        <w:t>Civil Aviation Authority</w:t>
      </w:r>
      <w:r w:rsidRPr="000D7060">
        <w:t>.</w:t>
      </w:r>
      <w:r w:rsidR="006F7C08">
        <w:t xml:space="preserve"> </w:t>
      </w:r>
      <w:r w:rsidR="00F02627">
        <w:t>The program</w:t>
      </w:r>
      <w:r w:rsidRPr="000D7060">
        <w:t xml:space="preserve"> provided the Deputy Chief Executive and an Aviation Safety Advis</w:t>
      </w:r>
      <w:r w:rsidR="00B52A24">
        <w:t>e</w:t>
      </w:r>
      <w:r w:rsidRPr="000D7060">
        <w:t xml:space="preserve">r to </w:t>
      </w:r>
      <w:r w:rsidR="008457D0">
        <w:t xml:space="preserve">the </w:t>
      </w:r>
      <w:r w:rsidR="000D1F96">
        <w:t>authority</w:t>
      </w:r>
      <w:r w:rsidRPr="000D7060">
        <w:t xml:space="preserve">. Advisers in </w:t>
      </w:r>
      <w:r w:rsidR="000D1F96" w:rsidRPr="000D7060">
        <w:t xml:space="preserve">transport security and maritime security will </w:t>
      </w:r>
      <w:r w:rsidRPr="000D7060">
        <w:t xml:space="preserve">commence in 2009. </w:t>
      </w:r>
    </w:p>
    <w:p w:rsidR="000D7060" w:rsidRPr="000D7060" w:rsidRDefault="000D7060" w:rsidP="00991F19">
      <w:pPr>
        <w:pStyle w:val="ListBullet"/>
      </w:pPr>
      <w:r w:rsidRPr="000D7060">
        <w:rPr>
          <w:b/>
        </w:rPr>
        <w:t>Improved processes to assist agencies with quarterly budget planning</w:t>
      </w:r>
      <w:r w:rsidR="00B52A24">
        <w:rPr>
          <w:b/>
        </w:rPr>
        <w:t xml:space="preserve"> and</w:t>
      </w:r>
      <w:r w:rsidRPr="000D7060">
        <w:rPr>
          <w:b/>
        </w:rPr>
        <w:t xml:space="preserve"> preparation</w:t>
      </w:r>
      <w:r w:rsidR="00B52A24">
        <w:rPr>
          <w:b/>
        </w:rPr>
        <w:t>,</w:t>
      </w:r>
      <w:r w:rsidRPr="000D7060">
        <w:rPr>
          <w:b/>
        </w:rPr>
        <w:t xml:space="preserve"> and financial management within </w:t>
      </w:r>
      <w:r w:rsidR="008457D0">
        <w:rPr>
          <w:b/>
        </w:rPr>
        <w:t xml:space="preserve">the </w:t>
      </w:r>
      <w:r w:rsidRPr="000D7060">
        <w:rPr>
          <w:b/>
        </w:rPr>
        <w:t>sector</w:t>
      </w:r>
      <w:r w:rsidR="008457D0">
        <w:rPr>
          <w:b/>
        </w:rPr>
        <w:t>al</w:t>
      </w:r>
      <w:r w:rsidRPr="000D7060">
        <w:rPr>
          <w:b/>
        </w:rPr>
        <w:t xml:space="preserve"> agencies</w:t>
      </w:r>
      <w:r w:rsidRPr="000D7060">
        <w:t xml:space="preserve">. </w:t>
      </w:r>
      <w:r w:rsidR="00F02627">
        <w:t xml:space="preserve">The </w:t>
      </w:r>
      <w:r w:rsidRPr="000D7060">
        <w:t>Department of Transport coordinated the production of a sector budget submission for the first time</w:t>
      </w:r>
      <w:r w:rsidR="00B52A24">
        <w:t>;</w:t>
      </w:r>
      <w:r w:rsidRPr="000D7060">
        <w:t xml:space="preserve"> however</w:t>
      </w:r>
      <w:r w:rsidR="00B52A24">
        <w:t>,</w:t>
      </w:r>
      <w:r w:rsidRPr="000D7060">
        <w:t xml:space="preserve"> the allocations from </w:t>
      </w:r>
      <w:r w:rsidR="00B52A24" w:rsidRPr="000D7060">
        <w:t xml:space="preserve">government </w:t>
      </w:r>
      <w:r w:rsidRPr="000D7060">
        <w:t xml:space="preserve">differed significantly from the budget submission. </w:t>
      </w:r>
      <w:r w:rsidR="00F02627">
        <w:t xml:space="preserve">The </w:t>
      </w:r>
      <w:r w:rsidRPr="000D7060">
        <w:t>Department of Works improved asset maintenance plans by providing explicit links to budgets.</w:t>
      </w:r>
      <w:r w:rsidR="006F7C08">
        <w:t xml:space="preserve"> </w:t>
      </w:r>
      <w:r w:rsidR="00F15CCA">
        <w:t>A</w:t>
      </w:r>
      <w:r w:rsidRPr="000D7060">
        <w:t xml:space="preserve">dvisers </w:t>
      </w:r>
      <w:r w:rsidR="00F15CCA">
        <w:t xml:space="preserve">of the </w:t>
      </w:r>
      <w:r w:rsidR="00F15CCA" w:rsidRPr="000D7060">
        <w:t xml:space="preserve">Transport Sector Support Program </w:t>
      </w:r>
      <w:r w:rsidRPr="000D7060">
        <w:t>contributed to improvements in information and data collection at the provincial level</w:t>
      </w:r>
      <w:r w:rsidR="005F4DE9">
        <w:t>,</w:t>
      </w:r>
      <w:r w:rsidRPr="000D7060">
        <w:t xml:space="preserve"> which led to improved reporting.</w:t>
      </w:r>
      <w:r w:rsidR="006F7C08">
        <w:t xml:space="preserve"> </w:t>
      </w:r>
      <w:r w:rsidRPr="000D7060">
        <w:t>However</w:t>
      </w:r>
      <w:r w:rsidR="005F4DE9">
        <w:t>,</w:t>
      </w:r>
      <w:r w:rsidRPr="000D7060">
        <w:t xml:space="preserve"> more reliable and timely reports are needed.</w:t>
      </w:r>
    </w:p>
    <w:p w:rsidR="000D7060" w:rsidRPr="00035BC8" w:rsidRDefault="000D7060" w:rsidP="00991F19">
      <w:pPr>
        <w:pStyle w:val="BodyText"/>
        <w:rPr>
          <w:spacing w:val="-2"/>
        </w:rPr>
      </w:pPr>
      <w:r w:rsidRPr="00035BC8">
        <w:rPr>
          <w:spacing w:val="-2"/>
        </w:rPr>
        <w:t xml:space="preserve">Total </w:t>
      </w:r>
      <w:r w:rsidR="000C382A" w:rsidRPr="00035BC8">
        <w:rPr>
          <w:spacing w:val="-2"/>
        </w:rPr>
        <w:t xml:space="preserve">official development assistance </w:t>
      </w:r>
      <w:r w:rsidRPr="00035BC8">
        <w:rPr>
          <w:spacing w:val="-2"/>
        </w:rPr>
        <w:t xml:space="preserve">to the transport sector has been highly volatile over the </w:t>
      </w:r>
      <w:r w:rsidR="000C382A" w:rsidRPr="00035BC8">
        <w:rPr>
          <w:spacing w:val="-2"/>
        </w:rPr>
        <w:t>p</w:t>
      </w:r>
      <w:r w:rsidRPr="00035BC8">
        <w:rPr>
          <w:spacing w:val="-2"/>
        </w:rPr>
        <w:t>ast few years. Under the Partnership for Development</w:t>
      </w:r>
      <w:r w:rsidR="000C382A" w:rsidRPr="00035BC8">
        <w:rPr>
          <w:spacing w:val="-2"/>
        </w:rPr>
        <w:t>,</w:t>
      </w:r>
      <w:r w:rsidRPr="00035BC8">
        <w:rPr>
          <w:spacing w:val="-2"/>
        </w:rPr>
        <w:t xml:space="preserve"> greater funding certainty </w:t>
      </w:r>
      <w:r w:rsidR="00493658" w:rsidRPr="00035BC8">
        <w:rPr>
          <w:spacing w:val="-2"/>
        </w:rPr>
        <w:t xml:space="preserve">from </w:t>
      </w:r>
      <w:smartTag w:uri="urn:schemas-microsoft-com:office:smarttags" w:element="place">
        <w:smartTag w:uri="urn:schemas-microsoft-com:office:smarttags" w:element="country-region">
          <w:r w:rsidR="00493658" w:rsidRPr="00035BC8">
            <w:rPr>
              <w:spacing w:val="-2"/>
            </w:rPr>
            <w:t>Australia</w:t>
          </w:r>
        </w:smartTag>
      </w:smartTag>
      <w:r w:rsidR="00493658" w:rsidRPr="00035BC8">
        <w:rPr>
          <w:spacing w:val="-2"/>
        </w:rPr>
        <w:t xml:space="preserve"> </w:t>
      </w:r>
      <w:r w:rsidRPr="00035BC8">
        <w:rPr>
          <w:spacing w:val="-2"/>
        </w:rPr>
        <w:t xml:space="preserve">will be provided to </w:t>
      </w:r>
      <w:r w:rsidR="007B2AB8" w:rsidRPr="00035BC8">
        <w:rPr>
          <w:spacing w:val="-2"/>
        </w:rPr>
        <w:t>the PNG Government</w:t>
      </w:r>
      <w:r w:rsidRPr="00035BC8">
        <w:rPr>
          <w:spacing w:val="-2"/>
        </w:rPr>
        <w:t xml:space="preserve"> through forward baseline estimates. This will assist </w:t>
      </w:r>
      <w:r w:rsidR="007B2AB8" w:rsidRPr="00035BC8">
        <w:rPr>
          <w:spacing w:val="-2"/>
        </w:rPr>
        <w:t>the government’s</w:t>
      </w:r>
      <w:r w:rsidRPr="00035BC8">
        <w:rPr>
          <w:spacing w:val="-2"/>
        </w:rPr>
        <w:t xml:space="preserve"> planning of all development resources available for the transport sector.</w:t>
      </w:r>
    </w:p>
    <w:p w:rsidR="000D7060" w:rsidRDefault="00001C8E" w:rsidP="006B2988">
      <w:pPr>
        <w:pStyle w:val="H2A"/>
      </w:pPr>
      <w:bookmarkStart w:id="94" w:name="_Toc237763908"/>
      <w:bookmarkStart w:id="95" w:name="_Toc361224358"/>
      <w:r>
        <w:lastRenderedPageBreak/>
        <w:t>Objective 3:</w:t>
      </w:r>
      <w:r>
        <w:br/>
      </w:r>
      <w:r w:rsidR="000D7060" w:rsidRPr="000D7060">
        <w:t>Increas</w:t>
      </w:r>
      <w:r>
        <w:t>ed agricultural productivity</w:t>
      </w:r>
      <w:bookmarkEnd w:id="94"/>
      <w:bookmarkEnd w:id="95"/>
    </w:p>
    <w:p w:rsidR="00F83BBF" w:rsidRPr="00F83BBF" w:rsidRDefault="00F83BBF" w:rsidP="006B2988">
      <w:pPr>
        <w:pStyle w:val="H3A"/>
      </w:pPr>
      <w:bookmarkStart w:id="96" w:name="_Toc361224359"/>
      <w:r>
        <w:t>Rating</w:t>
      </w:r>
      <w:bookmarkEnd w:id="96"/>
    </w:p>
    <w:p w:rsidR="002A7D93" w:rsidRPr="002A7D93" w:rsidRDefault="006B2988" w:rsidP="006B2988">
      <w:pPr>
        <w:pStyle w:val="Ratingamber"/>
        <w:keepNext/>
        <w:numPr>
          <w:ilvl w:val="0"/>
          <w:numId w:val="0"/>
        </w:numPr>
        <w:ind w:left="567" w:hanging="567"/>
      </w:pPr>
      <w:r>
        <w:rPr>
          <w:noProof/>
          <w:lang w:val="en-US" w:eastAsia="en-US"/>
        </w:rPr>
        <w:drawing>
          <wp:inline distT="0" distB="0" distL="0" distR="0" wp14:anchorId="2CD79393" wp14:editId="6545282C">
            <wp:extent cx="95238" cy="95238"/>
            <wp:effectExtent l="0" t="0" r="635" b="635"/>
            <wp:docPr id="15" name="Picture 15"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mbeer.png"/>
                    <pic:cNvPicPr/>
                  </pic:nvPicPr>
                  <pic:blipFill>
                    <a:blip r:embed="rId20">
                      <a:extLst>
                        <a:ext uri="{28A0092B-C50C-407E-A947-70E740481C1C}">
                          <a14:useLocalDpi xmlns:a14="http://schemas.microsoft.com/office/drawing/2010/main" val="0"/>
                        </a:ext>
                      </a:extLst>
                    </a:blip>
                    <a:stretch>
                      <a:fillRect/>
                    </a:stretch>
                  </pic:blipFill>
                  <pic:spPr>
                    <a:xfrm>
                      <a:off x="0" y="0"/>
                      <a:ext cx="95238" cy="95238"/>
                    </a:xfrm>
                    <a:prstGeom prst="rect">
                      <a:avLst/>
                    </a:prstGeom>
                  </pic:spPr>
                </pic:pic>
              </a:graphicData>
            </a:graphic>
          </wp:inline>
        </w:drawing>
      </w:r>
      <w:r>
        <w:tab/>
      </w:r>
      <w:r w:rsidR="001B735E" w:rsidRPr="00011299">
        <w:t>The objective will be partly achieved within the timeframe of the strategy</w:t>
      </w:r>
      <w:r w:rsidR="001B735E">
        <w:t>.</w:t>
      </w:r>
    </w:p>
    <w:p w:rsidR="00F83BBF" w:rsidRPr="00541E6E" w:rsidRDefault="00F83BBF" w:rsidP="006B2988">
      <w:pPr>
        <w:pStyle w:val="H3A"/>
      </w:pPr>
      <w:bookmarkStart w:id="97" w:name="_Toc361224360"/>
      <w:r w:rsidRPr="00541E6E">
        <w:t>Assessment of results and performance</w:t>
      </w:r>
      <w:bookmarkEnd w:id="97"/>
    </w:p>
    <w:p w:rsidR="000D7060" w:rsidRPr="000D7060" w:rsidRDefault="000D7060" w:rsidP="00991F19">
      <w:pPr>
        <w:pStyle w:val="BodyText"/>
      </w:pPr>
      <w:r w:rsidRPr="000D7060">
        <w:t xml:space="preserve">In 2008 the aid program narrowed its objectives to improving smallholder livelihoods </w:t>
      </w:r>
      <w:r w:rsidR="00C96222">
        <w:t>by</w:t>
      </w:r>
      <w:r w:rsidR="00C96222" w:rsidRPr="000D7060">
        <w:t xml:space="preserve"> </w:t>
      </w:r>
      <w:r w:rsidRPr="000D7060">
        <w:t>promoting applicable research</w:t>
      </w:r>
      <w:r w:rsidR="00C96222">
        <w:t>,</w:t>
      </w:r>
      <w:r w:rsidRPr="000D7060">
        <w:t xml:space="preserve"> and negotiated a more focused arrangement with the Australian Centre for International Agricultural Research (ACIAR). The assessment is that together the Agricultural and Research Development Support Facility and the ACIAR program have the potential </w:t>
      </w:r>
      <w:r w:rsidR="00C96222">
        <w:t xml:space="preserve">to produce </w:t>
      </w:r>
      <w:r w:rsidRPr="000D7060">
        <w:t xml:space="preserve">relevant research outputs </w:t>
      </w:r>
      <w:r w:rsidR="00493658">
        <w:t>for</w:t>
      </w:r>
      <w:r w:rsidR="00C96222" w:rsidRPr="000D7060">
        <w:t xml:space="preserve"> </w:t>
      </w:r>
      <w:r w:rsidRPr="000D7060">
        <w:t>take up</w:t>
      </w:r>
      <w:r w:rsidR="00493658">
        <w:t xml:space="preserve"> by PNG</w:t>
      </w:r>
      <w:r w:rsidRPr="000D7060">
        <w:t>.</w:t>
      </w:r>
    </w:p>
    <w:p w:rsidR="00426102" w:rsidRDefault="000D7060" w:rsidP="00991F19">
      <w:pPr>
        <w:pStyle w:val="BodyText"/>
      </w:pPr>
      <w:r w:rsidRPr="000D7060">
        <w:t xml:space="preserve">The aid program continues to provide limited but targeted support </w:t>
      </w:r>
      <w:r w:rsidR="0093151D">
        <w:t>for</w:t>
      </w:r>
      <w:r w:rsidR="0093151D" w:rsidRPr="000D7060">
        <w:t xml:space="preserve"> </w:t>
      </w:r>
      <w:r w:rsidRPr="000D7060">
        <w:t xml:space="preserve">improving smallholder livelihoods and incomes through assistance to PNG’s </w:t>
      </w:r>
      <w:r w:rsidR="000923CF" w:rsidRPr="000D7060">
        <w:t>national agricultural research organisations</w:t>
      </w:r>
      <w:r w:rsidR="000923CF">
        <w:t>.</w:t>
      </w:r>
      <w:r w:rsidRPr="0093151D">
        <w:rPr>
          <w:rStyle w:val="FootnoteReference"/>
        </w:rPr>
        <w:footnoteReference w:id="31"/>
      </w:r>
      <w:r w:rsidRPr="000D7060">
        <w:t xml:space="preserve"> In particular, </w:t>
      </w:r>
      <w:smartTag w:uri="urn:schemas-microsoft-com:office:smarttags" w:element="place">
        <w:smartTag w:uri="urn:schemas-microsoft-com:office:smarttags" w:element="country-region">
          <w:r w:rsidRPr="000D7060">
            <w:t>Australia</w:t>
          </w:r>
        </w:smartTag>
      </w:smartTag>
      <w:r w:rsidRPr="000D7060">
        <w:t xml:space="preserve"> targets the fresh food sector and cash crop</w:t>
      </w:r>
      <w:r w:rsidR="00426102">
        <w:t>s</w:t>
      </w:r>
      <w:r w:rsidRPr="000D7060">
        <w:t xml:space="preserve">, given their importance to the vast majority of PNG’s population. The key achievement in 2008 </w:t>
      </w:r>
      <w:r w:rsidR="00426102">
        <w:t>was</w:t>
      </w:r>
      <w:r w:rsidR="00426102" w:rsidRPr="000D7060">
        <w:t xml:space="preserve"> </w:t>
      </w:r>
      <w:r w:rsidRPr="000D7060">
        <w:t xml:space="preserve">that </w:t>
      </w:r>
      <w:r w:rsidR="005A6F5A">
        <w:t xml:space="preserve">all </w:t>
      </w:r>
      <w:r w:rsidRPr="000D7060">
        <w:t xml:space="preserve">six </w:t>
      </w:r>
      <w:r w:rsidR="00426102">
        <w:t xml:space="preserve">research </w:t>
      </w:r>
      <w:r w:rsidR="000923CF">
        <w:t>organisations</w:t>
      </w:r>
      <w:r w:rsidRPr="000D7060">
        <w:t xml:space="preserve"> took concrete steps to address systemic organisational weaknesses that affect their service delivery and ultimately smallholder production. The National Agricultural Research Institute is the most advanced</w:t>
      </w:r>
      <w:r w:rsidR="00426102">
        <w:t>,</w:t>
      </w:r>
      <w:r w:rsidRPr="000D7060">
        <w:t xml:space="preserve"> with an annual plan and results framework</w:t>
      </w:r>
      <w:r w:rsidR="00426102">
        <w:t>,</w:t>
      </w:r>
      <w:r w:rsidRPr="000D7060">
        <w:t xml:space="preserve"> which links research outputs to development outcomes</w:t>
      </w:r>
      <w:r w:rsidR="00426102">
        <w:t>,</w:t>
      </w:r>
      <w:r w:rsidRPr="000D7060">
        <w:t xml:space="preserve"> and a realigned organisational structure. </w:t>
      </w:r>
      <w:r w:rsidR="000923CF">
        <w:t>The institute</w:t>
      </w:r>
      <w:r w:rsidRPr="000D7060">
        <w:t xml:space="preserve"> received a 25</w:t>
      </w:r>
      <w:r w:rsidR="00426102">
        <w:t> </w:t>
      </w:r>
      <w:r w:rsidRPr="000D7060">
        <w:t xml:space="preserve">per cent </w:t>
      </w:r>
      <w:r w:rsidR="008457D0">
        <w:t xml:space="preserve">funding </w:t>
      </w:r>
      <w:r w:rsidRPr="000D7060">
        <w:t>increase in the 2009 budget</w:t>
      </w:r>
      <w:r w:rsidR="00426102">
        <w:t>,</w:t>
      </w:r>
      <w:r w:rsidRPr="000D7060">
        <w:t xml:space="preserve"> based on its outcome-oriented reforms. Furthering this reform in the other </w:t>
      </w:r>
      <w:r w:rsidR="000923CF">
        <w:t>organisations</w:t>
      </w:r>
      <w:r w:rsidRPr="000D7060">
        <w:t xml:space="preserve"> will be a priority </w:t>
      </w:r>
      <w:r w:rsidR="00426102">
        <w:t>in</w:t>
      </w:r>
      <w:r w:rsidR="00426102" w:rsidRPr="000D7060">
        <w:t xml:space="preserve"> </w:t>
      </w:r>
      <w:r w:rsidRPr="000D7060">
        <w:t xml:space="preserve">2009. </w:t>
      </w:r>
    </w:p>
    <w:p w:rsidR="000D7060" w:rsidRPr="000D7060" w:rsidRDefault="000D7060" w:rsidP="00991F19">
      <w:pPr>
        <w:pStyle w:val="BodyText"/>
        <w:rPr>
          <w:bCs/>
        </w:rPr>
      </w:pPr>
      <w:smartTag w:uri="urn:schemas-microsoft-com:office:smarttags" w:element="place">
        <w:smartTag w:uri="urn:schemas-microsoft-com:office:smarttags" w:element="country-region">
          <w:r w:rsidRPr="000D7060">
            <w:t>Australia</w:t>
          </w:r>
        </w:smartTag>
      </w:smartTag>
      <w:r w:rsidRPr="000D7060">
        <w:t xml:space="preserve"> supported PNG to:</w:t>
      </w:r>
    </w:p>
    <w:p w:rsidR="000D7060" w:rsidRPr="000D7060" w:rsidRDefault="000D7060" w:rsidP="00991F19">
      <w:pPr>
        <w:pStyle w:val="ListBullet"/>
      </w:pPr>
      <w:r w:rsidRPr="00B41AEA">
        <w:rPr>
          <w:b/>
          <w:spacing w:val="-2"/>
        </w:rPr>
        <w:t xml:space="preserve">Improve collaboration among the </w:t>
      </w:r>
      <w:r w:rsidR="000923CF" w:rsidRPr="00B41AEA">
        <w:rPr>
          <w:b/>
          <w:spacing w:val="-2"/>
        </w:rPr>
        <w:t>national agricultural research organisations</w:t>
      </w:r>
      <w:r w:rsidR="000923CF" w:rsidRPr="00B41AEA">
        <w:rPr>
          <w:spacing w:val="-2"/>
        </w:rPr>
        <w:t xml:space="preserve"> </w:t>
      </w:r>
      <w:r w:rsidRPr="00B41AEA">
        <w:rPr>
          <w:b/>
          <w:spacing w:val="-2"/>
        </w:rPr>
        <w:t xml:space="preserve">and increase partnerships between </w:t>
      </w:r>
      <w:r w:rsidR="000923CF" w:rsidRPr="00B41AEA">
        <w:rPr>
          <w:b/>
          <w:spacing w:val="-2"/>
        </w:rPr>
        <w:t>these organisations</w:t>
      </w:r>
      <w:r w:rsidRPr="00B41AEA">
        <w:rPr>
          <w:b/>
          <w:spacing w:val="-2"/>
        </w:rPr>
        <w:t>, the private sector and other service deliverers</w:t>
      </w:r>
      <w:r w:rsidRPr="00B41AEA">
        <w:rPr>
          <w:spacing w:val="-2"/>
        </w:rPr>
        <w:t>.</w:t>
      </w:r>
      <w:r w:rsidRPr="000D7060">
        <w:t xml:space="preserve"> The </w:t>
      </w:r>
      <w:r w:rsidR="00662C24" w:rsidRPr="000D7060">
        <w:t>Agricultural and Research Development Support Facility</w:t>
      </w:r>
      <w:r w:rsidR="00662C24">
        <w:t xml:space="preserve"> was reviewed in 2008 after 18 </w:t>
      </w:r>
      <w:r w:rsidRPr="000D7060">
        <w:t xml:space="preserve">months of implementation. The review concluded </w:t>
      </w:r>
      <w:r w:rsidR="008457D0">
        <w:t>that</w:t>
      </w:r>
      <w:r w:rsidRPr="000D7060">
        <w:t xml:space="preserve"> </w:t>
      </w:r>
      <w:r w:rsidR="008457D0" w:rsidRPr="000D7060">
        <w:t xml:space="preserve">the national agricultural research organisations </w:t>
      </w:r>
      <w:r w:rsidRPr="000D7060">
        <w:t>strong</w:t>
      </w:r>
      <w:r w:rsidR="008457D0">
        <w:t>ly agree with</w:t>
      </w:r>
      <w:r w:rsidRPr="000D7060">
        <w:t xml:space="preserve"> the ‘agricultural research for development’ paradigm</w:t>
      </w:r>
      <w:r w:rsidR="00B41AEA">
        <w:t>.</w:t>
      </w:r>
      <w:r w:rsidR="000923CF" w:rsidRPr="000D7060">
        <w:t xml:space="preserve"> </w:t>
      </w:r>
      <w:r w:rsidR="00B41AEA">
        <w:t>The facility’s</w:t>
      </w:r>
      <w:r w:rsidR="00B41AEA" w:rsidRPr="000D7060">
        <w:t xml:space="preserve"> support</w:t>
      </w:r>
      <w:r w:rsidR="00B41AEA" w:rsidRPr="000D7060" w:rsidDel="00B41AEA">
        <w:t xml:space="preserve"> </w:t>
      </w:r>
      <w:r w:rsidR="00B41AEA">
        <w:t xml:space="preserve">led to </w:t>
      </w:r>
      <w:r w:rsidRPr="000D7060">
        <w:t xml:space="preserve">progress in agency performance and improved cohesion and coordination. While there </w:t>
      </w:r>
      <w:r w:rsidR="00B41AEA">
        <w:t>were</w:t>
      </w:r>
      <w:r w:rsidRPr="000D7060">
        <w:t xml:space="preserve"> problems with </w:t>
      </w:r>
      <w:r w:rsidR="00662C24">
        <w:t>the f</w:t>
      </w:r>
      <w:r w:rsidR="00662C24" w:rsidRPr="000D7060">
        <w:t>acility</w:t>
      </w:r>
      <w:r w:rsidRPr="00B41AEA">
        <w:rPr>
          <w:rStyle w:val="FootnoteReference"/>
        </w:rPr>
        <w:footnoteReference w:id="32"/>
      </w:r>
      <w:r w:rsidRPr="000D7060">
        <w:t>, which are being addressed, it is well placed to achieve its objectives for 2009.</w:t>
      </w:r>
      <w:r w:rsidR="006F7C08">
        <w:t xml:space="preserve"> </w:t>
      </w:r>
    </w:p>
    <w:p w:rsidR="000D7060" w:rsidRPr="000D7060" w:rsidRDefault="000D7060" w:rsidP="00991F19">
      <w:pPr>
        <w:pStyle w:val="ListBullet"/>
      </w:pPr>
      <w:r w:rsidRPr="000D7060">
        <w:rPr>
          <w:b/>
        </w:rPr>
        <w:t>Further develop the Agricultural Innovations Grant Scheme</w:t>
      </w:r>
      <w:r w:rsidR="00580958">
        <w:t>, which is</w:t>
      </w:r>
      <w:r w:rsidR="00F06DE4">
        <w:rPr>
          <w:b/>
        </w:rPr>
        <w:t xml:space="preserve"> </w:t>
      </w:r>
      <w:r w:rsidR="00F06DE4" w:rsidRPr="00580958">
        <w:t>for the period</w:t>
      </w:r>
      <w:r w:rsidR="00F06DE4">
        <w:rPr>
          <w:b/>
        </w:rPr>
        <w:t xml:space="preserve"> </w:t>
      </w:r>
      <w:r w:rsidR="00662C24">
        <w:t>2007–</w:t>
      </w:r>
      <w:r w:rsidRPr="000D7060">
        <w:t>11. Key planning documents were developed</w:t>
      </w:r>
      <w:r w:rsidR="00F06DE4">
        <w:t>,</w:t>
      </w:r>
      <w:r w:rsidRPr="000D7060">
        <w:t xml:space="preserve"> such as </w:t>
      </w:r>
      <w:r w:rsidR="00580958">
        <w:t>a</w:t>
      </w:r>
      <w:r w:rsidR="00580958" w:rsidRPr="000D7060">
        <w:t xml:space="preserve"> </w:t>
      </w:r>
      <w:r w:rsidRPr="000D7060">
        <w:t xml:space="preserve">results framework and guidelines for priority areas of support. </w:t>
      </w:r>
      <w:r w:rsidR="00F06DE4">
        <w:t>Nineteen</w:t>
      </w:r>
      <w:r w:rsidR="00F06DE4" w:rsidRPr="000D7060">
        <w:t xml:space="preserve"> </w:t>
      </w:r>
      <w:r w:rsidR="000923CF">
        <w:t>projects</w:t>
      </w:r>
      <w:r w:rsidR="00F06DE4">
        <w:t>,</w:t>
      </w:r>
      <w:r w:rsidR="000923CF">
        <w:t xml:space="preserve"> valued at K4 </w:t>
      </w:r>
      <w:r w:rsidRPr="000D7060">
        <w:t>million</w:t>
      </w:r>
      <w:r w:rsidR="00F06DE4">
        <w:t>,</w:t>
      </w:r>
      <w:r w:rsidRPr="000D7060">
        <w:t xml:space="preserve"> were approved for implementation. It is hoped that this pilot </w:t>
      </w:r>
      <w:r w:rsidR="008457D0">
        <w:t xml:space="preserve">scheme </w:t>
      </w:r>
      <w:r w:rsidRPr="000D7060">
        <w:t xml:space="preserve">will evolve into a competitive grants system </w:t>
      </w:r>
      <w:r w:rsidR="00580958">
        <w:t xml:space="preserve">that </w:t>
      </w:r>
      <w:r w:rsidRPr="000D7060">
        <w:t>encourag</w:t>
      </w:r>
      <w:r w:rsidR="00580958">
        <w:t>es</w:t>
      </w:r>
      <w:r w:rsidRPr="000D7060">
        <w:t xml:space="preserve"> creative partnerships </w:t>
      </w:r>
      <w:r w:rsidR="0055123A">
        <w:t>to produce</w:t>
      </w:r>
      <w:r w:rsidR="0055123A" w:rsidRPr="000D7060">
        <w:t xml:space="preserve"> </w:t>
      </w:r>
      <w:r w:rsidRPr="000D7060">
        <w:t>potentially far</w:t>
      </w:r>
      <w:r w:rsidR="00580958">
        <w:t>-</w:t>
      </w:r>
      <w:r w:rsidRPr="000D7060">
        <w:t xml:space="preserve">reaching agricultural innovations. </w:t>
      </w:r>
    </w:p>
    <w:p w:rsidR="000D7060" w:rsidRPr="000D7060" w:rsidRDefault="000D7060" w:rsidP="00991F19">
      <w:pPr>
        <w:pStyle w:val="BodyText"/>
      </w:pPr>
      <w:r w:rsidRPr="000D7060">
        <w:t xml:space="preserve">A stronger partnership between </w:t>
      </w:r>
      <w:proofErr w:type="spellStart"/>
      <w:r w:rsidRPr="000D7060">
        <w:t>AusAID</w:t>
      </w:r>
      <w:proofErr w:type="spellEnd"/>
      <w:r w:rsidRPr="000D7060">
        <w:t xml:space="preserve"> and ACIAR was developed in 2008 </w:t>
      </w:r>
      <w:r w:rsidR="009F44D7">
        <w:t>to provide</w:t>
      </w:r>
      <w:r w:rsidR="008521CD">
        <w:t xml:space="preserve"> </w:t>
      </w:r>
      <w:r w:rsidRPr="000D7060">
        <w:t xml:space="preserve">support </w:t>
      </w:r>
      <w:r w:rsidR="009F44D7">
        <w:t xml:space="preserve">to </w:t>
      </w:r>
      <w:r w:rsidRPr="000D7060">
        <w:t xml:space="preserve">the </w:t>
      </w:r>
      <w:r w:rsidR="000923CF" w:rsidRPr="000D7060">
        <w:t xml:space="preserve">national agricultural research organisations </w:t>
      </w:r>
      <w:r w:rsidRPr="000D7060">
        <w:t xml:space="preserve">to entrench agricultural research for development. Institutionalising research for development and encouraging collaboration and </w:t>
      </w:r>
      <w:r w:rsidR="009F44D7">
        <w:lastRenderedPageBreak/>
        <w:t xml:space="preserve">the </w:t>
      </w:r>
      <w:r w:rsidRPr="000D7060">
        <w:t xml:space="preserve">sharing of ideas </w:t>
      </w:r>
      <w:r w:rsidR="009F44D7">
        <w:t>are</w:t>
      </w:r>
      <w:r w:rsidR="009F44D7" w:rsidRPr="000D7060">
        <w:t xml:space="preserve"> </w:t>
      </w:r>
      <w:r w:rsidRPr="000D7060">
        <w:t xml:space="preserve">expected to more effectively integrate smallholders into markets, resulting in increased levels of income and food security. </w:t>
      </w:r>
    </w:p>
    <w:p w:rsidR="000D7060" w:rsidRPr="000D7060" w:rsidRDefault="000D7060" w:rsidP="00991F19">
      <w:pPr>
        <w:pStyle w:val="BodyText"/>
      </w:pPr>
      <w:r w:rsidRPr="000D7060">
        <w:t>However</w:t>
      </w:r>
      <w:r w:rsidR="009F44D7">
        <w:t>,</w:t>
      </w:r>
      <w:r w:rsidRPr="000D7060">
        <w:t xml:space="preserve"> the ambition for this objective is too </w:t>
      </w:r>
      <w:r w:rsidR="00493658">
        <w:t>broad</w:t>
      </w:r>
      <w:r w:rsidR="00493658" w:rsidRPr="000D7060">
        <w:t xml:space="preserve"> </w:t>
      </w:r>
      <w:r w:rsidRPr="000D7060">
        <w:t xml:space="preserve">and will be revised in the review of the country performance framework </w:t>
      </w:r>
      <w:r w:rsidR="009F44D7">
        <w:t>in 2009</w:t>
      </w:r>
      <w:r w:rsidRPr="000D7060">
        <w:t>.</w:t>
      </w:r>
      <w:r w:rsidR="006F7C08">
        <w:t xml:space="preserve"> </w:t>
      </w:r>
    </w:p>
    <w:p w:rsidR="000D7060" w:rsidRDefault="000D7060" w:rsidP="006B2988">
      <w:pPr>
        <w:pStyle w:val="H2A"/>
      </w:pPr>
      <w:bookmarkStart w:id="98" w:name="_Toc237763909"/>
      <w:bookmarkStart w:id="99" w:name="_Toc361224361"/>
      <w:r w:rsidRPr="000D7060">
        <w:t>Objective 4:</w:t>
      </w:r>
      <w:r w:rsidR="00001C8E">
        <w:br/>
        <w:t>Increased workforce skills</w:t>
      </w:r>
      <w:bookmarkEnd w:id="98"/>
      <w:bookmarkEnd w:id="99"/>
    </w:p>
    <w:p w:rsidR="00F83BBF" w:rsidRPr="00F83BBF" w:rsidRDefault="00F83BBF" w:rsidP="006B2988">
      <w:pPr>
        <w:pStyle w:val="H3A"/>
      </w:pPr>
      <w:bookmarkStart w:id="100" w:name="_Toc361224362"/>
      <w:r>
        <w:t>Rating</w:t>
      </w:r>
      <w:bookmarkEnd w:id="100"/>
    </w:p>
    <w:p w:rsidR="002A7D93" w:rsidRPr="002A7D93" w:rsidRDefault="006B2988" w:rsidP="006B2988">
      <w:pPr>
        <w:pStyle w:val="Ratinggreen"/>
        <w:keepNext/>
        <w:numPr>
          <w:ilvl w:val="0"/>
          <w:numId w:val="0"/>
        </w:numPr>
        <w:ind w:left="567" w:hanging="567"/>
      </w:pPr>
      <w:r>
        <w:rPr>
          <w:noProof/>
          <w:lang w:val="en-US" w:eastAsia="en-US"/>
        </w:rPr>
        <w:drawing>
          <wp:inline distT="0" distB="0" distL="0" distR="0" wp14:anchorId="2922FB8C" wp14:editId="3E19025A">
            <wp:extent cx="95263" cy="95263"/>
            <wp:effectExtent l="0" t="0" r="0" b="0"/>
            <wp:docPr id="16" name="Picture 1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EEN.png"/>
                    <pic:cNvPicPr/>
                  </pic:nvPicPr>
                  <pic:blipFill>
                    <a:blip r:embed="rId22">
                      <a:extLst>
                        <a:ext uri="{28A0092B-C50C-407E-A947-70E740481C1C}">
                          <a14:useLocalDpi xmlns:a14="http://schemas.microsoft.com/office/drawing/2010/main" val="0"/>
                        </a:ext>
                      </a:extLst>
                    </a:blip>
                    <a:stretch>
                      <a:fillRect/>
                    </a:stretch>
                  </pic:blipFill>
                  <pic:spPr>
                    <a:xfrm>
                      <a:off x="0" y="0"/>
                      <a:ext cx="95263" cy="95263"/>
                    </a:xfrm>
                    <a:prstGeom prst="rect">
                      <a:avLst/>
                    </a:prstGeom>
                  </pic:spPr>
                </pic:pic>
              </a:graphicData>
            </a:graphic>
          </wp:inline>
        </w:drawing>
      </w:r>
      <w:r>
        <w:tab/>
      </w:r>
      <w:r w:rsidR="001B735E" w:rsidRPr="00011299">
        <w:t>The objective is on track to be fully achieved within the timeframe of the strategy</w:t>
      </w:r>
      <w:r w:rsidR="001B735E">
        <w:t>.</w:t>
      </w:r>
    </w:p>
    <w:p w:rsidR="00F83BBF" w:rsidRPr="00541E6E" w:rsidRDefault="00F83BBF" w:rsidP="006B2988">
      <w:pPr>
        <w:pStyle w:val="H3A"/>
      </w:pPr>
      <w:bookmarkStart w:id="101" w:name="_Toc361224363"/>
      <w:r w:rsidRPr="00541E6E">
        <w:t>Assessment of results and performance</w:t>
      </w:r>
      <w:bookmarkEnd w:id="101"/>
    </w:p>
    <w:p w:rsidR="000D7060" w:rsidRPr="000D7060" w:rsidRDefault="000D7060" w:rsidP="00991F19">
      <w:pPr>
        <w:pStyle w:val="BodyText"/>
      </w:pPr>
      <w:r w:rsidRPr="000D7060">
        <w:t xml:space="preserve">The </w:t>
      </w:r>
      <w:smartTag w:uri="urn:schemas-microsoft-com:office:smarttags" w:element="place">
        <w:smartTag w:uri="urn:schemas-microsoft-com:office:smarttags" w:element="PlaceName">
          <w:r w:rsidRPr="000D7060">
            <w:t>Australia</w:t>
          </w:r>
          <w:r w:rsidR="007F5087">
            <w:t>–</w:t>
          </w:r>
          <w:r w:rsidRPr="000D7060">
            <w:t>Pacific</w:t>
          </w:r>
        </w:smartTag>
        <w:r w:rsidRPr="000D7060">
          <w:t xml:space="preserve"> </w:t>
        </w:r>
        <w:smartTag w:uri="urn:schemas-microsoft-com:office:smarttags" w:element="PlaceName">
          <w:r w:rsidRPr="000D7060">
            <w:t>Technical</w:t>
          </w:r>
        </w:smartTag>
        <w:r w:rsidRPr="000D7060">
          <w:t xml:space="preserve"> </w:t>
        </w:r>
        <w:smartTag w:uri="urn:schemas-microsoft-com:office:smarttags" w:element="PlaceType">
          <w:r w:rsidRPr="000D7060">
            <w:t>College</w:t>
          </w:r>
        </w:smartTag>
      </w:smartTag>
      <w:r w:rsidRPr="000D7060">
        <w:t xml:space="preserve"> </w:t>
      </w:r>
      <w:r w:rsidR="004C10F5">
        <w:t>was</w:t>
      </w:r>
      <w:r w:rsidRPr="000D7060">
        <w:t xml:space="preserve"> established in PNG </w:t>
      </w:r>
      <w:r w:rsidR="004C10F5">
        <w:t xml:space="preserve">in 2007 </w:t>
      </w:r>
      <w:r w:rsidRPr="000D7060">
        <w:t xml:space="preserve">and will lead to an increase in workforce skills. The </w:t>
      </w:r>
      <w:r w:rsidR="000923CF">
        <w:t>technical college</w:t>
      </w:r>
      <w:r w:rsidRPr="000D7060">
        <w:t xml:space="preserve"> is providing training in PNG in trades (automotive, manufacturing, construction and electrical) and training outside PNG in hospitality and tourism. Students will graduate with skills of Australian standards</w:t>
      </w:r>
      <w:r w:rsidR="004C10F5">
        <w:t>,</w:t>
      </w:r>
      <w:r w:rsidRPr="000D7060">
        <w:t xml:space="preserve"> which will support </w:t>
      </w:r>
      <w:r w:rsidR="004C10F5" w:rsidRPr="000D7060">
        <w:t>broad</w:t>
      </w:r>
      <w:r w:rsidR="004C10F5">
        <w:t>-</w:t>
      </w:r>
      <w:r w:rsidRPr="000D7060">
        <w:t xml:space="preserve">based economic growth and increased productivity in PNG. Achievements </w:t>
      </w:r>
      <w:r w:rsidR="00854580">
        <w:t xml:space="preserve">in 2008 </w:t>
      </w:r>
      <w:r w:rsidRPr="000D7060">
        <w:t>include</w:t>
      </w:r>
      <w:r w:rsidR="00854580">
        <w:t>d</w:t>
      </w:r>
      <w:r w:rsidRPr="000D7060">
        <w:t>:</w:t>
      </w:r>
    </w:p>
    <w:p w:rsidR="000D7060" w:rsidRPr="000D7060" w:rsidRDefault="000D7060" w:rsidP="00991F19">
      <w:pPr>
        <w:pStyle w:val="ListBullet"/>
      </w:pPr>
      <w:r w:rsidRPr="000D7060">
        <w:t>13 graduates from trade schools</w:t>
      </w:r>
      <w:r w:rsidR="00854580">
        <w:t xml:space="preserve"> and </w:t>
      </w:r>
      <w:r w:rsidRPr="000D7060">
        <w:t>38 graduates from tourism and hospitality</w:t>
      </w:r>
    </w:p>
    <w:p w:rsidR="000D7060" w:rsidRPr="000D7060" w:rsidRDefault="000D7060" w:rsidP="00991F19">
      <w:pPr>
        <w:pStyle w:val="ListBullet"/>
      </w:pPr>
      <w:r w:rsidRPr="000D7060">
        <w:t>162 students currently on scholarships</w:t>
      </w:r>
    </w:p>
    <w:p w:rsidR="000D7060" w:rsidRPr="000D7060" w:rsidRDefault="000D7060" w:rsidP="00991F19">
      <w:pPr>
        <w:pStyle w:val="ListBullet"/>
      </w:pPr>
      <w:r w:rsidRPr="000D7060">
        <w:t>302 students currently enrolled</w:t>
      </w:r>
      <w:r w:rsidRPr="00854580">
        <w:rPr>
          <w:rStyle w:val="FootnoteReference"/>
        </w:rPr>
        <w:footnoteReference w:id="33"/>
      </w:r>
    </w:p>
    <w:p w:rsidR="000D7060" w:rsidRPr="00854580" w:rsidRDefault="00854580" w:rsidP="00991F19">
      <w:pPr>
        <w:pStyle w:val="ListBullet"/>
      </w:pPr>
      <w:r>
        <w:t>the c</w:t>
      </w:r>
      <w:r w:rsidR="000D7060" w:rsidRPr="000D7060">
        <w:t>onstruction of purpose</w:t>
      </w:r>
      <w:r>
        <w:t>-</w:t>
      </w:r>
      <w:r w:rsidR="000D7060" w:rsidRPr="000D7060">
        <w:t xml:space="preserve">built administration, class and computing rooms, accommodation for up to 70 students and </w:t>
      </w:r>
      <w:r>
        <w:t xml:space="preserve">a </w:t>
      </w:r>
      <w:r w:rsidR="000D7060" w:rsidRPr="000D7060">
        <w:t xml:space="preserve">large workshop </w:t>
      </w:r>
      <w:r>
        <w:t>in which to provide training in</w:t>
      </w:r>
      <w:r w:rsidR="000D7060" w:rsidRPr="000D7060">
        <w:t xml:space="preserve"> </w:t>
      </w:r>
      <w:r w:rsidRPr="000D7060">
        <w:t xml:space="preserve">construction </w:t>
      </w:r>
      <w:r>
        <w:t>and</w:t>
      </w:r>
      <w:r w:rsidRPr="000D7060">
        <w:t xml:space="preserve"> electrical </w:t>
      </w:r>
      <w:r>
        <w:t xml:space="preserve">trades </w:t>
      </w:r>
      <w:r w:rsidR="000D7060" w:rsidRPr="000D7060">
        <w:t xml:space="preserve">and </w:t>
      </w:r>
      <w:r w:rsidRPr="000D7060">
        <w:t xml:space="preserve">metal fabrication and automotive </w:t>
      </w:r>
      <w:r>
        <w:t>skills</w:t>
      </w:r>
      <w:r w:rsidR="000D7060" w:rsidRPr="00854580">
        <w:t xml:space="preserve">. </w:t>
      </w:r>
    </w:p>
    <w:p w:rsidR="000D7060" w:rsidRDefault="00854580" w:rsidP="00991F19">
      <w:pPr>
        <w:pStyle w:val="BodyText"/>
      </w:pPr>
      <w:r>
        <w:t>In 2009 there will be s</w:t>
      </w:r>
      <w:r w:rsidR="000D7060" w:rsidRPr="000D7060">
        <w:t xml:space="preserve">ignificant opportunities to better position </w:t>
      </w:r>
      <w:smartTag w:uri="urn:schemas-microsoft-com:office:smarttags" w:element="country-region">
        <w:smartTag w:uri="urn:schemas-microsoft-com:office:smarttags" w:element="place">
          <w:r w:rsidR="000D7060" w:rsidRPr="000D7060">
            <w:t>Australia</w:t>
          </w:r>
        </w:smartTag>
      </w:smartTag>
      <w:r w:rsidR="000D7060" w:rsidRPr="000D7060">
        <w:t>’s support for this objective</w:t>
      </w:r>
      <w:r>
        <w:t>,</w:t>
      </w:r>
      <w:r w:rsidR="000D7060" w:rsidRPr="000D7060">
        <w:t xml:space="preserve"> including through the </w:t>
      </w:r>
      <w:r w:rsidR="000E226B">
        <w:t>design of the Higher Education Development program</w:t>
      </w:r>
      <w:r w:rsidR="000D7060" w:rsidRPr="000D7060">
        <w:t xml:space="preserve"> and the negotiation of a </w:t>
      </w:r>
      <w:r>
        <w:t xml:space="preserve">higher education </w:t>
      </w:r>
      <w:r w:rsidR="007F5087">
        <w:t>schedule for</w:t>
      </w:r>
      <w:r>
        <w:t xml:space="preserve"> the </w:t>
      </w:r>
      <w:r w:rsidR="000D7060" w:rsidRPr="000D7060">
        <w:t xml:space="preserve">Partnership for Development. To feed into this, </w:t>
      </w:r>
      <w:r>
        <w:t xml:space="preserve">there will be </w:t>
      </w:r>
      <w:r w:rsidR="000D7060" w:rsidRPr="000D7060">
        <w:t xml:space="preserve">a joint review </w:t>
      </w:r>
      <w:r>
        <w:t>of</w:t>
      </w:r>
      <w:r w:rsidR="000D7060" w:rsidRPr="000D7060">
        <w:t xml:space="preserve"> </w:t>
      </w:r>
      <w:r>
        <w:t xml:space="preserve">the demand for </w:t>
      </w:r>
      <w:r w:rsidR="000D7060" w:rsidRPr="000D7060">
        <w:t xml:space="preserve">industry skills and </w:t>
      </w:r>
      <w:r>
        <w:t xml:space="preserve">the capacity of </w:t>
      </w:r>
      <w:r w:rsidR="000D7060" w:rsidRPr="000D7060">
        <w:t xml:space="preserve">tertiary </w:t>
      </w:r>
      <w:r>
        <w:t>education</w:t>
      </w:r>
      <w:r w:rsidR="00662C24">
        <w:t xml:space="preserve"> in mid-</w:t>
      </w:r>
      <w:r w:rsidR="000D7060" w:rsidRPr="000D7060">
        <w:t xml:space="preserve">2009. </w:t>
      </w:r>
    </w:p>
    <w:p w:rsidR="00235907" w:rsidRDefault="00235907" w:rsidP="006B2988">
      <w:pPr>
        <w:pStyle w:val="H2A"/>
      </w:pPr>
      <w:bookmarkStart w:id="102" w:name="_Toc237763910"/>
      <w:bookmarkStart w:id="103" w:name="_Toc361224364"/>
      <w:r>
        <w:t>Expenditure</w:t>
      </w:r>
      <w:bookmarkEnd w:id="102"/>
      <w:bookmarkEnd w:id="103"/>
    </w:p>
    <w:p w:rsidR="00EB0200" w:rsidRPr="00EB0200" w:rsidRDefault="00EB0200" w:rsidP="00EB0200">
      <w:pPr>
        <w:pStyle w:val="BodyText"/>
      </w:pPr>
      <w:r>
        <w:t>Approximately $125 million—</w:t>
      </w:r>
      <w:r w:rsidR="00F85263">
        <w:t>29</w:t>
      </w:r>
      <w:r>
        <w:t> </w:t>
      </w:r>
      <w:r w:rsidRPr="00D7139C">
        <w:t>per</w:t>
      </w:r>
      <w:r>
        <w:t xml:space="preserve"> </w:t>
      </w:r>
      <w:r w:rsidRPr="00D7139C">
        <w:t>cen</w:t>
      </w:r>
      <w:r>
        <w:t>t of the 2008</w:t>
      </w:r>
      <w:r w:rsidR="00096BD1">
        <w:t xml:space="preserve"> </w:t>
      </w:r>
      <w:r w:rsidRPr="00D7139C">
        <w:t>budget</w:t>
      </w:r>
      <w:r>
        <w:t xml:space="preserve"> for the PNG program—was</w:t>
      </w:r>
      <w:r w:rsidRPr="00D7139C">
        <w:t xml:space="preserve"> </w:t>
      </w:r>
      <w:r>
        <w:t xml:space="preserve">allocated to increase </w:t>
      </w:r>
      <w:r w:rsidRPr="000D7060">
        <w:t>sustainable broad-based growth and productivity</w:t>
      </w:r>
      <w:r w:rsidRPr="00D7139C">
        <w:t>.</w:t>
      </w:r>
    </w:p>
    <w:p w:rsidR="00A65F8B" w:rsidRPr="002A7D93" w:rsidRDefault="00A65F8B" w:rsidP="006B2988">
      <w:pPr>
        <w:pStyle w:val="H1A"/>
      </w:pPr>
      <w:bookmarkStart w:id="104" w:name="_Toc237763911"/>
      <w:r w:rsidRPr="002A7D93">
        <w:lastRenderedPageBreak/>
        <w:t>Development theme 3: Improved service delivery and stability</w:t>
      </w:r>
      <w:r w:rsidR="005C25C3">
        <w:rPr>
          <w:lang w:val="en-US" w:eastAsia="en-US"/>
        </w:rPr>
        <w:drawing>
          <wp:anchor distT="0" distB="0" distL="114300" distR="114300" simplePos="0" relativeHeight="251658752" behindDoc="1" locked="0" layoutInCell="1" allowOverlap="1" wp14:anchorId="607BFE07" wp14:editId="0FCD2963">
            <wp:simplePos x="0" y="0"/>
            <wp:positionH relativeFrom="page">
              <wp:posOffset>0</wp:posOffset>
            </wp:positionH>
            <wp:positionV relativeFrom="page">
              <wp:posOffset>1386205</wp:posOffset>
            </wp:positionV>
            <wp:extent cx="7560310" cy="1585595"/>
            <wp:effectExtent l="0" t="0" r="2540" b="0"/>
            <wp:wrapNone/>
            <wp:docPr id="1291" name="Picture 1291"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4"/>
    </w:p>
    <w:p w:rsidR="000D7060" w:rsidRDefault="00A65F8B" w:rsidP="006B2988">
      <w:pPr>
        <w:pStyle w:val="H2A"/>
      </w:pPr>
      <w:bookmarkStart w:id="105" w:name="_Toc237763912"/>
      <w:bookmarkStart w:id="106" w:name="_Toc361224365"/>
      <w:r>
        <w:t>Objective 1:</w:t>
      </w:r>
      <w:r>
        <w:br/>
      </w:r>
      <w:r w:rsidR="000D7060" w:rsidRPr="000D7060">
        <w:t>All levels of government oriented towards and better able to coordinate and implement service</w:t>
      </w:r>
      <w:r>
        <w:t xml:space="preserve"> delivery</w:t>
      </w:r>
      <w:bookmarkEnd w:id="105"/>
      <w:bookmarkEnd w:id="106"/>
    </w:p>
    <w:p w:rsidR="00FD3F88" w:rsidRPr="00FD3F88" w:rsidRDefault="00FD3F88" w:rsidP="006B2988">
      <w:pPr>
        <w:pStyle w:val="H3A"/>
      </w:pPr>
      <w:bookmarkStart w:id="107" w:name="_Toc361224366"/>
      <w:r>
        <w:t>Rating</w:t>
      </w:r>
      <w:bookmarkEnd w:id="107"/>
    </w:p>
    <w:p w:rsidR="00A65F8B" w:rsidRPr="00A65F8B" w:rsidRDefault="006B2988" w:rsidP="006B2988">
      <w:pPr>
        <w:pStyle w:val="Ratingamber"/>
        <w:numPr>
          <w:ilvl w:val="0"/>
          <w:numId w:val="0"/>
        </w:numPr>
        <w:ind w:left="567" w:hanging="567"/>
      </w:pPr>
      <w:r>
        <w:rPr>
          <w:noProof/>
          <w:lang w:val="en-US" w:eastAsia="en-US"/>
        </w:rPr>
        <w:drawing>
          <wp:inline distT="0" distB="0" distL="0" distR="0" wp14:anchorId="4CB98272" wp14:editId="03CE3432">
            <wp:extent cx="95238" cy="95238"/>
            <wp:effectExtent l="0" t="0" r="635" b="635"/>
            <wp:docPr id="17" name="Picture 17"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mbeer.png"/>
                    <pic:cNvPicPr/>
                  </pic:nvPicPr>
                  <pic:blipFill>
                    <a:blip r:embed="rId20">
                      <a:extLst>
                        <a:ext uri="{28A0092B-C50C-407E-A947-70E740481C1C}">
                          <a14:useLocalDpi xmlns:a14="http://schemas.microsoft.com/office/drawing/2010/main" val="0"/>
                        </a:ext>
                      </a:extLst>
                    </a:blip>
                    <a:stretch>
                      <a:fillRect/>
                    </a:stretch>
                  </pic:blipFill>
                  <pic:spPr>
                    <a:xfrm>
                      <a:off x="0" y="0"/>
                      <a:ext cx="95238" cy="95238"/>
                    </a:xfrm>
                    <a:prstGeom prst="rect">
                      <a:avLst/>
                    </a:prstGeom>
                  </pic:spPr>
                </pic:pic>
              </a:graphicData>
            </a:graphic>
          </wp:inline>
        </w:drawing>
      </w:r>
      <w:r>
        <w:tab/>
      </w:r>
      <w:r w:rsidR="001B735E" w:rsidRPr="00011299">
        <w:t>The objective will be partly achieved within the timeframe of the strategy</w:t>
      </w:r>
      <w:r w:rsidR="001B735E">
        <w:t>.</w:t>
      </w:r>
    </w:p>
    <w:p w:rsidR="00FD3F88" w:rsidRPr="000D7060" w:rsidRDefault="000D7060" w:rsidP="00991F19">
      <w:pPr>
        <w:pStyle w:val="BodyText"/>
      </w:pPr>
      <w:r w:rsidRPr="000D7060">
        <w:t>This rating is based on significant improvements in the system of funding provincial governments to deliver services and</w:t>
      </w:r>
      <w:r w:rsidR="00257C51">
        <w:t xml:space="preserve"> on</w:t>
      </w:r>
      <w:r w:rsidRPr="000D7060">
        <w:t xml:space="preserve"> improvements in the evidence</w:t>
      </w:r>
      <w:r w:rsidR="00257C51">
        <w:t>-</w:t>
      </w:r>
      <w:r w:rsidRPr="000D7060">
        <w:t>based monitoring of</w:t>
      </w:r>
      <w:r w:rsidR="00BC123F">
        <w:t> </w:t>
      </w:r>
      <w:r w:rsidRPr="000D7060">
        <w:t xml:space="preserve">provincial performance. There </w:t>
      </w:r>
      <w:r w:rsidR="00257C51">
        <w:t>was</w:t>
      </w:r>
      <w:r w:rsidRPr="000D7060">
        <w:t xml:space="preserve"> strong national government support for building provincial</w:t>
      </w:r>
      <w:r w:rsidR="00BC123F">
        <w:t> </w:t>
      </w:r>
      <w:r w:rsidRPr="000D7060">
        <w:t xml:space="preserve">systems through the expansion of the Provincial Performance Improvement Initiative, leading to incremental and varying levels of change. The system of coordinating national agencies with provincial governments was strengthened </w:t>
      </w:r>
      <w:r w:rsidR="00257C51">
        <w:t>by</w:t>
      </w:r>
      <w:r w:rsidRPr="000D7060">
        <w:t xml:space="preserve"> reinvigorati</w:t>
      </w:r>
      <w:r w:rsidR="00257C51">
        <w:t>ng</w:t>
      </w:r>
      <w:r w:rsidRPr="000D7060">
        <w:t xml:space="preserve"> the Provincial and Local</w:t>
      </w:r>
      <w:r w:rsidR="0090469F">
        <w:t>-l</w:t>
      </w:r>
      <w:r w:rsidRPr="000D7060">
        <w:t>evel Service Monitoring Authority.</w:t>
      </w:r>
      <w:r w:rsidR="006C2092" w:rsidRPr="006C2092">
        <w:rPr>
          <w:rStyle w:val="FootnoteReference"/>
        </w:rPr>
        <w:footnoteReference w:id="34"/>
      </w:r>
      <w:r w:rsidRPr="000D7060">
        <w:t xml:space="preserve"> However</w:t>
      </w:r>
      <w:r w:rsidR="006C2092">
        <w:t>,</w:t>
      </w:r>
      <w:r w:rsidRPr="000D7060">
        <w:t xml:space="preserve"> </w:t>
      </w:r>
      <w:r w:rsidR="00493658">
        <w:t xml:space="preserve">it will be important to have further discussions with PNG Government authorities on the </w:t>
      </w:r>
      <w:r w:rsidRPr="000D7060">
        <w:t xml:space="preserve">threats to service delivery from budget allocation decisions, </w:t>
      </w:r>
      <w:r w:rsidR="00563A91">
        <w:t xml:space="preserve">the </w:t>
      </w:r>
      <w:r w:rsidRPr="000D7060">
        <w:t>use of trust funds</w:t>
      </w:r>
      <w:r w:rsidR="00BC123F">
        <w:t xml:space="preserve"> in ways that are</w:t>
      </w:r>
      <w:r w:rsidRPr="000D7060">
        <w:t xml:space="preserve"> inconsistent with MTDS priorities, and the weaknesses of the </w:t>
      </w:r>
      <w:r w:rsidR="00B53EA8" w:rsidRPr="00011299">
        <w:t>District Services Improvement Program</w:t>
      </w:r>
      <w:r w:rsidRPr="000D7060">
        <w:t xml:space="preserve"> as a</w:t>
      </w:r>
      <w:r w:rsidR="00BC123F">
        <w:t> </w:t>
      </w:r>
      <w:r w:rsidRPr="000D7060">
        <w:t>means of promoting district</w:t>
      </w:r>
      <w:r w:rsidR="00563A91">
        <w:t>-</w:t>
      </w:r>
      <w:r w:rsidRPr="000D7060">
        <w:t>level development</w:t>
      </w:r>
      <w:r w:rsidR="00F96968">
        <w:t>.</w:t>
      </w:r>
    </w:p>
    <w:p w:rsidR="00FD3F88" w:rsidRPr="00541E6E" w:rsidRDefault="00FD3F88" w:rsidP="00BD684D">
      <w:pPr>
        <w:pStyle w:val="H3A"/>
      </w:pPr>
      <w:bookmarkStart w:id="108" w:name="_Toc361224367"/>
      <w:r w:rsidRPr="00541E6E">
        <w:t>Assessment of results and performance</w:t>
      </w:r>
      <w:bookmarkEnd w:id="108"/>
    </w:p>
    <w:p w:rsidR="000D7060" w:rsidRPr="000D7060" w:rsidRDefault="000D7060" w:rsidP="00991F19">
      <w:pPr>
        <w:pStyle w:val="BodyText"/>
      </w:pPr>
      <w:r w:rsidRPr="000D7060">
        <w:t xml:space="preserve">In 2008 </w:t>
      </w:r>
      <w:r w:rsidR="007B2AB8">
        <w:t>the PNG Government</w:t>
      </w:r>
      <w:r w:rsidRPr="000D7060">
        <w:t xml:space="preserve"> continued to struggle to turn increased revenue into improvements in service delivery. The lack of public sector capacity</w:t>
      </w:r>
      <w:r w:rsidR="00720C74">
        <w:t xml:space="preserve"> and</w:t>
      </w:r>
      <w:r w:rsidRPr="000D7060">
        <w:t xml:space="preserve"> policy coordination</w:t>
      </w:r>
      <w:r w:rsidR="00720C74">
        <w:t>,</w:t>
      </w:r>
      <w:r w:rsidRPr="000D7060">
        <w:t xml:space="preserve"> and uneven leadership and management constrain progress in this </w:t>
      </w:r>
      <w:r w:rsidR="007F5087">
        <w:t xml:space="preserve">development </w:t>
      </w:r>
      <w:r w:rsidRPr="000D7060">
        <w:t>theme. However</w:t>
      </w:r>
      <w:r w:rsidR="00720C74">
        <w:t>,</w:t>
      </w:r>
      <w:r w:rsidRPr="000D7060">
        <w:t xml:space="preserve"> a highlight </w:t>
      </w:r>
      <w:r w:rsidR="009B4B1E">
        <w:t>in</w:t>
      </w:r>
      <w:r w:rsidR="009B4B1E" w:rsidRPr="000D7060">
        <w:t xml:space="preserve"> </w:t>
      </w:r>
      <w:r w:rsidRPr="000D7060">
        <w:t xml:space="preserve">2008 was the intergovernmental financing reforms referred to under </w:t>
      </w:r>
      <w:r w:rsidR="006E5C67">
        <w:t>‘</w:t>
      </w:r>
      <w:r w:rsidR="006E5C67" w:rsidRPr="000D7060">
        <w:t xml:space="preserve">Development </w:t>
      </w:r>
      <w:r w:rsidRPr="000D7060">
        <w:t>theme</w:t>
      </w:r>
      <w:r w:rsidR="009B4B1E">
        <w:t> </w:t>
      </w:r>
      <w:r w:rsidRPr="000D7060">
        <w:t>1</w:t>
      </w:r>
      <w:r w:rsidR="006E5C67">
        <w:t>’</w:t>
      </w:r>
      <w:r w:rsidRPr="000D7060">
        <w:t xml:space="preserve">, which have the potential to significantly improve service delivery in 2009. Australian support to </w:t>
      </w:r>
      <w:r w:rsidR="00BF3E68">
        <w:t xml:space="preserve">the </w:t>
      </w:r>
      <w:r w:rsidR="00BF3E68" w:rsidRPr="00011299">
        <w:t>National Economic and Fiscal Commission</w:t>
      </w:r>
      <w:r w:rsidRPr="000D7060">
        <w:t xml:space="preserve"> was instrumental in demonstrating the continuing gap between the resources required to deliver services and </w:t>
      </w:r>
      <w:r w:rsidR="005604C6">
        <w:t>the resources</w:t>
      </w:r>
      <w:r w:rsidRPr="000D7060">
        <w:t xml:space="preserve"> allocated. </w:t>
      </w:r>
      <w:r w:rsidR="00BF3E68">
        <w:t>The commission</w:t>
      </w:r>
      <w:r w:rsidRPr="000D7060">
        <w:t xml:space="preserve"> found that only </w:t>
      </w:r>
      <w:r w:rsidR="005604C6">
        <w:t>six</w:t>
      </w:r>
      <w:r w:rsidR="005604C6" w:rsidRPr="000D7060">
        <w:t xml:space="preserve"> </w:t>
      </w:r>
      <w:r w:rsidRPr="000D7060">
        <w:t>provinces ha</w:t>
      </w:r>
      <w:r w:rsidR="005604C6">
        <w:t>d</w:t>
      </w:r>
      <w:r w:rsidRPr="000D7060">
        <w:t xml:space="preserve"> sufficient revenue to provide the services </w:t>
      </w:r>
      <w:r w:rsidR="000946EA">
        <w:t>they have</w:t>
      </w:r>
      <w:r w:rsidRPr="000D7060">
        <w:t xml:space="preserve"> responsibility for</w:t>
      </w:r>
      <w:r w:rsidR="005604C6">
        <w:t>;</w:t>
      </w:r>
      <w:r w:rsidRPr="000D7060">
        <w:t xml:space="preserve"> however, no province </w:t>
      </w:r>
      <w:r w:rsidR="000946EA">
        <w:t>spent</w:t>
      </w:r>
      <w:r w:rsidRPr="000D7060">
        <w:t xml:space="preserve"> sufficient</w:t>
      </w:r>
      <w:r w:rsidR="000946EA">
        <w:t xml:space="preserve"> revenue</w:t>
      </w:r>
      <w:r w:rsidRPr="000D7060">
        <w:t xml:space="preserve"> to meet </w:t>
      </w:r>
      <w:r w:rsidR="00BC123F">
        <w:t>its</w:t>
      </w:r>
      <w:r w:rsidRPr="000D7060">
        <w:t xml:space="preserve"> responsibilities</w:t>
      </w:r>
      <w:r w:rsidR="009B4B1E">
        <w:t>.</w:t>
      </w:r>
      <w:r w:rsidRPr="009B4B1E">
        <w:rPr>
          <w:rStyle w:val="FootnoteReference"/>
        </w:rPr>
        <w:footnoteReference w:id="35"/>
      </w:r>
      <w:r w:rsidRPr="000D7060">
        <w:t xml:space="preserve"> Provinces </w:t>
      </w:r>
      <w:r w:rsidR="000946EA">
        <w:t>are</w:t>
      </w:r>
      <w:r w:rsidR="000946EA" w:rsidRPr="000D7060">
        <w:t xml:space="preserve"> </w:t>
      </w:r>
      <w:r w:rsidRPr="000D7060">
        <w:t xml:space="preserve">now be required to use </w:t>
      </w:r>
      <w:r w:rsidR="006D0254">
        <w:t xml:space="preserve">some of </w:t>
      </w:r>
      <w:r w:rsidRPr="000D7060">
        <w:t xml:space="preserve">their allocated funds for </w:t>
      </w:r>
      <w:r w:rsidR="00493658">
        <w:t>Minimum P</w:t>
      </w:r>
      <w:r w:rsidRPr="000D7060">
        <w:t xml:space="preserve">riority </w:t>
      </w:r>
      <w:r w:rsidR="00493658">
        <w:t>A</w:t>
      </w:r>
      <w:r w:rsidRPr="000D7060">
        <w:t>ctivities in each service delivery area.</w:t>
      </w:r>
    </w:p>
    <w:p w:rsidR="000D7060" w:rsidRPr="000D7060" w:rsidRDefault="000D7060" w:rsidP="00991F19">
      <w:pPr>
        <w:pStyle w:val="BodyText"/>
      </w:pPr>
      <w:r w:rsidRPr="000D7060">
        <w:lastRenderedPageBreak/>
        <w:t xml:space="preserve">Where there is a commitment to reform and strong leadership, provinces are benefiting from the support that </w:t>
      </w:r>
      <w:r w:rsidR="00B53EA8">
        <w:t xml:space="preserve">the </w:t>
      </w:r>
      <w:r w:rsidR="00B53EA8" w:rsidRPr="000D7060">
        <w:t>Provincial Performance Improvement Initiative</w:t>
      </w:r>
      <w:r w:rsidRPr="000D7060">
        <w:t xml:space="preserve"> provides to advance the</w:t>
      </w:r>
      <w:r w:rsidR="006D0254">
        <w:t>ir</w:t>
      </w:r>
      <w:r w:rsidRPr="000D7060">
        <w:t xml:space="preserve"> reform agendas and improve their performance in key public administration areas. Australian assistance through the </w:t>
      </w:r>
      <w:r w:rsidR="00E005A4">
        <w:t>Sub</w:t>
      </w:r>
      <w:r w:rsidR="0005065C">
        <w:t>-</w:t>
      </w:r>
      <w:r w:rsidR="00E005A4" w:rsidRPr="00011299">
        <w:t>National Strategy</w:t>
      </w:r>
      <w:r w:rsidRPr="000D7060">
        <w:t xml:space="preserve"> contributed to:</w:t>
      </w:r>
    </w:p>
    <w:p w:rsidR="000D7060" w:rsidRPr="000D7060" w:rsidRDefault="000D7060" w:rsidP="00991F19">
      <w:pPr>
        <w:pStyle w:val="ListBullet"/>
      </w:pPr>
      <w:r w:rsidRPr="000D7060">
        <w:rPr>
          <w:b/>
        </w:rPr>
        <w:t>An improved understanding of service delivery constraints at the local level</w:t>
      </w:r>
      <w:r w:rsidRPr="000D7060">
        <w:t xml:space="preserve">. </w:t>
      </w:r>
      <w:smartTag w:uri="urn:schemas-microsoft-com:office:smarttags" w:element="place">
        <w:smartTag w:uri="urn:schemas-microsoft-com:office:smarttags" w:element="country-region">
          <w:r w:rsidRPr="000D7060">
            <w:t>Australia</w:t>
          </w:r>
        </w:smartTag>
      </w:smartTag>
      <w:r w:rsidRPr="000D7060">
        <w:t xml:space="preserve"> supported the </w:t>
      </w:r>
      <w:r w:rsidR="006C2092" w:rsidRPr="000D7060">
        <w:t>Department of Provincial and Local</w:t>
      </w:r>
      <w:r w:rsidR="0090469F">
        <w:t>-Level</w:t>
      </w:r>
      <w:r w:rsidR="006C2092" w:rsidRPr="000D7060">
        <w:t xml:space="preserve"> Government Affairs</w:t>
      </w:r>
      <w:r w:rsidRPr="000D7060">
        <w:t xml:space="preserve"> to work with the National Department of Education and the </w:t>
      </w:r>
      <w:r w:rsidR="006C2092">
        <w:t>National Department of Health</w:t>
      </w:r>
      <w:r w:rsidRPr="000D7060">
        <w:t xml:space="preserve"> to undertake a study of funding flows to the local level. The research continues</w:t>
      </w:r>
      <w:r w:rsidR="000807A2">
        <w:t>,</w:t>
      </w:r>
      <w:r w:rsidRPr="000D7060">
        <w:t xml:space="preserve"> but early findings provide an understanding of how facilities cope with too little funding and what impediments </w:t>
      </w:r>
      <w:r w:rsidR="000807A2">
        <w:t>there are</w:t>
      </w:r>
      <w:r w:rsidR="000807A2" w:rsidRPr="000D7060">
        <w:t xml:space="preserve"> </w:t>
      </w:r>
      <w:r w:rsidRPr="000D7060">
        <w:t xml:space="preserve">to efficient service delivery. </w:t>
      </w:r>
    </w:p>
    <w:p w:rsidR="000D7060" w:rsidRPr="000D7060" w:rsidRDefault="000D7060" w:rsidP="00991F19">
      <w:pPr>
        <w:pStyle w:val="ListBullet"/>
      </w:pPr>
      <w:r w:rsidRPr="000D7060">
        <w:rPr>
          <w:b/>
        </w:rPr>
        <w:t>Improved provincial budgets</w:t>
      </w:r>
      <w:r w:rsidRPr="000D7060">
        <w:t>. The data and unit costing tool</w:t>
      </w:r>
      <w:r w:rsidR="00B53EA8">
        <w:t xml:space="preserve"> of the </w:t>
      </w:r>
      <w:r w:rsidR="00B53EA8" w:rsidRPr="00011299">
        <w:t>National Economic and Fiscal Commission</w:t>
      </w:r>
      <w:r w:rsidRPr="000D7060">
        <w:t>, supported by budget advisers</w:t>
      </w:r>
      <w:r w:rsidR="00B53EA8">
        <w:t xml:space="preserve"> of the </w:t>
      </w:r>
      <w:r w:rsidR="00B53EA8" w:rsidRPr="000D7060">
        <w:t>Provincial Performance Improvement Initiative</w:t>
      </w:r>
      <w:r w:rsidRPr="000D7060">
        <w:t xml:space="preserve">, led to improved budgets for provinces (including Central, </w:t>
      </w:r>
      <w:proofErr w:type="spellStart"/>
      <w:r w:rsidRPr="000D7060">
        <w:t>Sandaun</w:t>
      </w:r>
      <w:proofErr w:type="spellEnd"/>
      <w:r w:rsidRPr="000D7060">
        <w:t xml:space="preserve">, West New Britain and </w:t>
      </w:r>
      <w:smartTag w:uri="urn:schemas-microsoft-com:office:smarttags" w:element="place">
        <w:smartTag w:uri="urn:schemas-microsoft-com:office:smarttags" w:element="PlaceName">
          <w:r w:rsidRPr="000D7060">
            <w:t>Milne</w:t>
          </w:r>
        </w:smartTag>
        <w:r w:rsidRPr="000D7060">
          <w:t xml:space="preserve"> </w:t>
        </w:r>
        <w:smartTag w:uri="urn:schemas-microsoft-com:office:smarttags" w:element="PlaceType">
          <w:r w:rsidRPr="000D7060">
            <w:t>Bay</w:t>
          </w:r>
        </w:smartTag>
      </w:smartTag>
      <w:r w:rsidRPr="000D7060">
        <w:t xml:space="preserve">) focused around service delivery needs. </w:t>
      </w:r>
      <w:smartTag w:uri="urn:schemas-microsoft-com:office:smarttags" w:element="place">
        <w:smartTag w:uri="urn:schemas-microsoft-com:office:smarttags" w:element="country-region">
          <w:r w:rsidR="00BC123F">
            <w:t>Australia</w:t>
          </w:r>
        </w:smartTag>
      </w:smartTag>
      <w:r w:rsidR="00BC123F">
        <w:t xml:space="preserve"> supported the</w:t>
      </w:r>
      <w:r w:rsidR="00BC123F" w:rsidRPr="000D7060">
        <w:t xml:space="preserve"> </w:t>
      </w:r>
      <w:r w:rsidRPr="000D7060">
        <w:t xml:space="preserve">2007 Provincial Expenditure Review to demonstrate how much provinces were spending in each sector </w:t>
      </w:r>
      <w:r w:rsidR="00BC123F">
        <w:t>relative to</w:t>
      </w:r>
      <w:r w:rsidR="00BC123F" w:rsidRPr="000D7060">
        <w:t xml:space="preserve"> </w:t>
      </w:r>
      <w:r w:rsidRPr="000D7060">
        <w:t>how much they need</w:t>
      </w:r>
      <w:r w:rsidR="007F5087">
        <w:t>ed</w:t>
      </w:r>
      <w:r w:rsidRPr="000D7060">
        <w:t xml:space="preserve"> to spend to provide basic services. </w:t>
      </w:r>
    </w:p>
    <w:p w:rsidR="000D7060" w:rsidRPr="000D7060" w:rsidRDefault="00BC123F" w:rsidP="00991F19">
      <w:pPr>
        <w:pStyle w:val="ListBullet"/>
      </w:pPr>
      <w:r>
        <w:rPr>
          <w:b/>
        </w:rPr>
        <w:t>Increased</w:t>
      </w:r>
      <w:r w:rsidRPr="000D7060">
        <w:rPr>
          <w:b/>
        </w:rPr>
        <w:t xml:space="preserve"> </w:t>
      </w:r>
      <w:r w:rsidR="000D7060" w:rsidRPr="000D7060">
        <w:rPr>
          <w:b/>
        </w:rPr>
        <w:t xml:space="preserve">attention </w:t>
      </w:r>
      <w:r>
        <w:rPr>
          <w:b/>
        </w:rPr>
        <w:t xml:space="preserve">paid </w:t>
      </w:r>
      <w:r w:rsidR="000D7060" w:rsidRPr="000D7060">
        <w:rPr>
          <w:b/>
        </w:rPr>
        <w:t>to provincial performance and reporting</w:t>
      </w:r>
      <w:r w:rsidR="000D7060" w:rsidRPr="000D7060">
        <w:t xml:space="preserve">. </w:t>
      </w:r>
      <w:r>
        <w:t xml:space="preserve">In </w:t>
      </w:r>
      <w:r w:rsidR="000D7060" w:rsidRPr="000D7060">
        <w:t xml:space="preserve">2008 provincial performance reports, which outline provincial performance in key service delivery areas, were tabled in </w:t>
      </w:r>
      <w:r>
        <w:t xml:space="preserve">the </w:t>
      </w:r>
      <w:r w:rsidR="000D7060" w:rsidRPr="000D7060">
        <w:t>Parliament</w:t>
      </w:r>
      <w:r>
        <w:t xml:space="preserve"> for the first time</w:t>
      </w:r>
      <w:r w:rsidR="000D7060" w:rsidRPr="000D7060">
        <w:t xml:space="preserve">. </w:t>
      </w:r>
    </w:p>
    <w:p w:rsidR="000D7060" w:rsidRPr="000D7060" w:rsidRDefault="00BC123F" w:rsidP="00991F19">
      <w:pPr>
        <w:pStyle w:val="ListBullet"/>
      </w:pPr>
      <w:r>
        <w:rPr>
          <w:b/>
        </w:rPr>
        <w:t>Clearer</w:t>
      </w:r>
      <w:r w:rsidRPr="000D7060">
        <w:rPr>
          <w:b/>
        </w:rPr>
        <w:t xml:space="preserve"> </w:t>
      </w:r>
      <w:r w:rsidR="000D7060" w:rsidRPr="000D7060">
        <w:rPr>
          <w:b/>
        </w:rPr>
        <w:t xml:space="preserve">service delivery responsibilities </w:t>
      </w:r>
      <w:r>
        <w:rPr>
          <w:b/>
        </w:rPr>
        <w:t>for</w:t>
      </w:r>
      <w:r w:rsidRPr="000D7060">
        <w:rPr>
          <w:b/>
        </w:rPr>
        <w:t xml:space="preserve"> </w:t>
      </w:r>
      <w:r w:rsidR="000D7060" w:rsidRPr="000D7060">
        <w:rPr>
          <w:b/>
        </w:rPr>
        <w:t>each layer of government in PNG</w:t>
      </w:r>
      <w:r>
        <w:rPr>
          <w:b/>
        </w:rPr>
        <w:t>.</w:t>
      </w:r>
      <w:r w:rsidR="000D7060" w:rsidRPr="000D7060">
        <w:t xml:space="preserve"> </w:t>
      </w:r>
      <w:r>
        <w:t xml:space="preserve">These responsibilities were clarified </w:t>
      </w:r>
      <w:r w:rsidR="000D7060" w:rsidRPr="000D7060">
        <w:t xml:space="preserve">through the 2008 Functional Assignment Study. </w:t>
      </w:r>
    </w:p>
    <w:p w:rsidR="000D7060" w:rsidRPr="000D7060" w:rsidRDefault="000D7060" w:rsidP="00991F19">
      <w:pPr>
        <w:pStyle w:val="ListBullet"/>
      </w:pPr>
      <w:r w:rsidRPr="000D7060">
        <w:rPr>
          <w:b/>
        </w:rPr>
        <w:t>Improved coordination of planning, budgeting and implementation of services across sectors</w:t>
      </w:r>
      <w:r w:rsidRPr="000D7060">
        <w:t>.</w:t>
      </w:r>
      <w:r w:rsidRPr="002A7D93">
        <w:rPr>
          <w:rStyle w:val="FootnoteReference"/>
        </w:rPr>
        <w:footnoteReference w:id="36"/>
      </w:r>
      <w:r w:rsidRPr="000D7060">
        <w:t xml:space="preserve"> The Provincial and Local</w:t>
      </w:r>
      <w:r w:rsidR="0090469F">
        <w:t>-l</w:t>
      </w:r>
      <w:r w:rsidRPr="000D7060">
        <w:t>evel Service Monitoring Authority continued its revitalisation</w:t>
      </w:r>
      <w:r w:rsidR="0085762A">
        <w:t>,</w:t>
      </w:r>
      <w:r w:rsidRPr="000D7060">
        <w:t xml:space="preserve"> </w:t>
      </w:r>
      <w:r w:rsidR="0085762A">
        <w:t xml:space="preserve">which </w:t>
      </w:r>
      <w:r w:rsidRPr="000D7060">
        <w:t>includ</w:t>
      </w:r>
      <w:r w:rsidR="0085762A">
        <w:t>ed</w:t>
      </w:r>
      <w:r w:rsidRPr="000D7060">
        <w:t xml:space="preserve"> engag</w:t>
      </w:r>
      <w:r w:rsidR="0085762A">
        <w:t>ing</w:t>
      </w:r>
      <w:r w:rsidRPr="000D7060">
        <w:t xml:space="preserve"> with 13 new provinces through the Provincial Coordination and Monitoring Committees</w:t>
      </w:r>
      <w:r w:rsidR="0085762A">
        <w:t>,</w:t>
      </w:r>
      <w:r w:rsidRPr="000D7060">
        <w:t xml:space="preserve"> which coordinate and monitor service delivery. The</w:t>
      </w:r>
      <w:r w:rsidR="0085762A">
        <w:t>se committees</w:t>
      </w:r>
      <w:r w:rsidRPr="000D7060">
        <w:t xml:space="preserve"> are also emerging as a key tool to promote improved communication between national and provincial agencies. </w:t>
      </w:r>
    </w:p>
    <w:p w:rsidR="000D7060" w:rsidRPr="000D7060" w:rsidRDefault="000D7060" w:rsidP="00991F19">
      <w:pPr>
        <w:pStyle w:val="ListBullet"/>
      </w:pPr>
      <w:r w:rsidRPr="000D7060">
        <w:rPr>
          <w:b/>
        </w:rPr>
        <w:t>Greater alignment of human resources with service delivery responsibilities</w:t>
      </w:r>
      <w:r w:rsidRPr="000D7060">
        <w:t xml:space="preserve">. </w:t>
      </w:r>
      <w:r w:rsidR="00B53EA8">
        <w:t xml:space="preserve">The </w:t>
      </w:r>
      <w:r w:rsidR="00B53EA8" w:rsidRPr="000D7060">
        <w:t>Provincial Performance Improvement Initiative</w:t>
      </w:r>
      <w:r w:rsidRPr="000D7060">
        <w:t xml:space="preserve"> assisted with the devolution of </w:t>
      </w:r>
      <w:r w:rsidR="00662C24">
        <w:t>human resource</w:t>
      </w:r>
      <w:r w:rsidRPr="000D7060">
        <w:t xml:space="preserve"> powers in several provinces</w:t>
      </w:r>
      <w:r w:rsidR="0085762A">
        <w:t xml:space="preserve"> by</w:t>
      </w:r>
      <w:r w:rsidRPr="000D7060">
        <w:t xml:space="preserve"> supporting restructures in East New Britain, Eastern Highlands and </w:t>
      </w:r>
      <w:smartTag w:uri="urn:schemas-microsoft-com:office:smarttags" w:element="place">
        <w:smartTag w:uri="urn:schemas-microsoft-com:office:smarttags" w:element="PlaceName">
          <w:r w:rsidRPr="000D7060">
            <w:t>Milne</w:t>
          </w:r>
        </w:smartTag>
        <w:r w:rsidRPr="000D7060">
          <w:t xml:space="preserve"> </w:t>
        </w:r>
        <w:smartTag w:uri="urn:schemas-microsoft-com:office:smarttags" w:element="PlaceType">
          <w:r w:rsidRPr="000D7060">
            <w:t>Bay</w:t>
          </w:r>
        </w:smartTag>
      </w:smartTag>
      <w:r w:rsidRPr="000D7060">
        <w:t xml:space="preserve">. </w:t>
      </w:r>
    </w:p>
    <w:p w:rsidR="00BD684D" w:rsidRDefault="000D7060" w:rsidP="00991F19">
      <w:pPr>
        <w:pStyle w:val="BodyText"/>
      </w:pPr>
      <w:r w:rsidRPr="000D7060">
        <w:t xml:space="preserve">There is a risk that </w:t>
      </w:r>
      <w:r w:rsidR="0085762A">
        <w:t>the</w:t>
      </w:r>
      <w:r w:rsidR="0085762A" w:rsidRPr="000D7060">
        <w:t xml:space="preserve"> </w:t>
      </w:r>
      <w:r w:rsidRPr="000D7060">
        <w:t xml:space="preserve">capacity </w:t>
      </w:r>
      <w:r w:rsidR="0085762A">
        <w:t xml:space="preserve">of provinces </w:t>
      </w:r>
      <w:r w:rsidRPr="000D7060">
        <w:t xml:space="preserve">to spend additional funds in a way that </w:t>
      </w:r>
      <w:r w:rsidR="0085762A">
        <w:t>improves</w:t>
      </w:r>
      <w:r w:rsidRPr="000D7060">
        <w:t xml:space="preserve"> service delivery will be </w:t>
      </w:r>
      <w:r w:rsidR="00C90D35">
        <w:t>exceeded</w:t>
      </w:r>
      <w:r w:rsidR="00C90D35" w:rsidRPr="000D7060">
        <w:t xml:space="preserve"> </w:t>
      </w:r>
      <w:r w:rsidRPr="000D7060">
        <w:t xml:space="preserve">by the increased flow of funds from the reform to intergovernmental financing. There is also a major risk that these additional funds will be directed </w:t>
      </w:r>
      <w:r w:rsidR="007F5087" w:rsidRPr="000D7060">
        <w:t xml:space="preserve">mostly </w:t>
      </w:r>
      <w:r w:rsidRPr="000D7060">
        <w:t>away from recurrent service delivery towards administration, salary and capital works, in line with current expenditure patterns</w:t>
      </w:r>
      <w:r w:rsidR="00662C24">
        <w:t>.</w:t>
      </w:r>
      <w:r w:rsidRPr="002A7D93">
        <w:rPr>
          <w:rStyle w:val="FootnoteReference"/>
        </w:rPr>
        <w:footnoteReference w:id="37"/>
      </w:r>
    </w:p>
    <w:p w:rsidR="000D7060" w:rsidRDefault="00BD684D" w:rsidP="00BD684D">
      <w:pPr>
        <w:pStyle w:val="H2A"/>
      </w:pPr>
      <w:r>
        <w:br w:type="page"/>
      </w:r>
      <w:bookmarkStart w:id="109" w:name="_Toc237763913"/>
      <w:bookmarkStart w:id="110" w:name="_Toc361224368"/>
      <w:r w:rsidR="00B65C09">
        <w:lastRenderedPageBreak/>
        <w:t>Objective 2:</w:t>
      </w:r>
      <w:r w:rsidR="00B65C09">
        <w:br/>
      </w:r>
      <w:r w:rsidR="000D7060" w:rsidRPr="000D7060">
        <w:t>Increased qualit</w:t>
      </w:r>
      <w:r w:rsidR="00B65C09">
        <w:t>y of and access to education</w:t>
      </w:r>
      <w:bookmarkEnd w:id="109"/>
      <w:bookmarkEnd w:id="110"/>
    </w:p>
    <w:p w:rsidR="00FD3F88" w:rsidRPr="00FD3F88" w:rsidRDefault="00FD3F88" w:rsidP="00BD684D">
      <w:pPr>
        <w:pStyle w:val="H3A"/>
      </w:pPr>
      <w:bookmarkStart w:id="111" w:name="_Toc361224369"/>
      <w:r>
        <w:t>Rating</w:t>
      </w:r>
      <w:bookmarkEnd w:id="111"/>
    </w:p>
    <w:p w:rsidR="00B65C09" w:rsidRPr="00B65C09" w:rsidRDefault="00BD684D" w:rsidP="00BD684D">
      <w:pPr>
        <w:pStyle w:val="Ratingamber"/>
        <w:numPr>
          <w:ilvl w:val="0"/>
          <w:numId w:val="0"/>
        </w:numPr>
        <w:ind w:left="567" w:hanging="567"/>
      </w:pPr>
      <w:r>
        <w:rPr>
          <w:noProof/>
          <w:lang w:val="en-US" w:eastAsia="en-US"/>
        </w:rPr>
        <w:drawing>
          <wp:inline distT="0" distB="0" distL="0" distR="0" wp14:anchorId="18B52168" wp14:editId="77CF51F1">
            <wp:extent cx="95238" cy="95238"/>
            <wp:effectExtent l="0" t="0" r="635" b="635"/>
            <wp:docPr id="18" name="Picture 18"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mbeer.png"/>
                    <pic:cNvPicPr/>
                  </pic:nvPicPr>
                  <pic:blipFill>
                    <a:blip r:embed="rId20">
                      <a:extLst>
                        <a:ext uri="{28A0092B-C50C-407E-A947-70E740481C1C}">
                          <a14:useLocalDpi xmlns:a14="http://schemas.microsoft.com/office/drawing/2010/main" val="0"/>
                        </a:ext>
                      </a:extLst>
                    </a:blip>
                    <a:stretch>
                      <a:fillRect/>
                    </a:stretch>
                  </pic:blipFill>
                  <pic:spPr>
                    <a:xfrm>
                      <a:off x="0" y="0"/>
                      <a:ext cx="95238" cy="95238"/>
                    </a:xfrm>
                    <a:prstGeom prst="rect">
                      <a:avLst/>
                    </a:prstGeom>
                  </pic:spPr>
                </pic:pic>
              </a:graphicData>
            </a:graphic>
          </wp:inline>
        </w:drawing>
      </w:r>
      <w:r>
        <w:tab/>
      </w:r>
      <w:r w:rsidR="001B735E" w:rsidRPr="00011299">
        <w:t>The objective will be partly achieved within the timeframe of the strategy</w:t>
      </w:r>
      <w:r w:rsidR="001B735E">
        <w:t>.</w:t>
      </w:r>
    </w:p>
    <w:p w:rsidR="00002017" w:rsidRDefault="000D7060" w:rsidP="00991F19">
      <w:pPr>
        <w:pStyle w:val="BodyText"/>
      </w:pPr>
      <w:r w:rsidRPr="000D7060">
        <w:t>The education sector has not had improvements in primary completion</w:t>
      </w:r>
      <w:r w:rsidR="00002017">
        <w:t xml:space="preserve"> rates</w:t>
      </w:r>
      <w:r w:rsidRPr="000D7060">
        <w:t xml:space="preserve">, youth literacy or female enrolment rates </w:t>
      </w:r>
      <w:r w:rsidR="006C12BF">
        <w:t>during</w:t>
      </w:r>
      <w:r w:rsidR="006C12BF" w:rsidRPr="000D7060">
        <w:t xml:space="preserve"> </w:t>
      </w:r>
      <w:r w:rsidRPr="000D7060">
        <w:t>the past decade</w:t>
      </w:r>
      <w:r w:rsidR="00662C24">
        <w:t>.</w:t>
      </w:r>
      <w:r w:rsidRPr="000D7060">
        <w:t xml:space="preserve"> However, for the first time a detailed and costed </w:t>
      </w:r>
      <w:r w:rsidR="006C12BF" w:rsidRPr="000D7060">
        <w:t>plan for universal basic education</w:t>
      </w:r>
      <w:r w:rsidRPr="000D7060">
        <w:t xml:space="preserve">, to complement the </w:t>
      </w:r>
      <w:r w:rsidR="007B2AB8">
        <w:t>PNG Government’s</w:t>
      </w:r>
      <w:r w:rsidRPr="000D7060">
        <w:t xml:space="preserve"> National Education Plan</w:t>
      </w:r>
      <w:r w:rsidR="00002017">
        <w:t>,</w:t>
      </w:r>
      <w:r w:rsidRPr="000D7060">
        <w:t xml:space="preserve"> will be completed in 2009 and will provide a roadmap to increase enrolments and the quality of education. </w:t>
      </w:r>
    </w:p>
    <w:p w:rsidR="000D7060" w:rsidRPr="000D7060" w:rsidRDefault="000D7060" w:rsidP="00991F19">
      <w:pPr>
        <w:pStyle w:val="BodyText"/>
      </w:pPr>
      <w:r w:rsidRPr="000D7060">
        <w:t xml:space="preserve">This rating reflects confidence that the new strategy and delivery mechanism for Australian support under the Partnership for Development will increase progress </w:t>
      </w:r>
      <w:r w:rsidR="00651B02">
        <w:t>towards</w:t>
      </w:r>
      <w:r w:rsidR="00651B02" w:rsidRPr="000D7060">
        <w:t xml:space="preserve"> </w:t>
      </w:r>
      <w:r w:rsidRPr="000D7060">
        <w:t xml:space="preserve">this objective. </w:t>
      </w:r>
    </w:p>
    <w:p w:rsidR="00FD3F88" w:rsidRPr="00541E6E" w:rsidRDefault="00FD3F88" w:rsidP="00BD684D">
      <w:pPr>
        <w:pStyle w:val="H3A"/>
      </w:pPr>
      <w:bookmarkStart w:id="112" w:name="_Toc361224370"/>
      <w:r w:rsidRPr="00541E6E">
        <w:t>Assessment of results and performance</w:t>
      </w:r>
      <w:bookmarkEnd w:id="112"/>
    </w:p>
    <w:p w:rsidR="000D7060" w:rsidRDefault="000D7060" w:rsidP="00991F19">
      <w:pPr>
        <w:pStyle w:val="BodyText"/>
      </w:pPr>
      <w:r w:rsidRPr="000D7060">
        <w:t>The central conclusion of an evaluation of Australian aid for education was that:</w:t>
      </w:r>
    </w:p>
    <w:p w:rsidR="000D7060" w:rsidRPr="000D7060" w:rsidRDefault="00651B02" w:rsidP="00991F19">
      <w:pPr>
        <w:pStyle w:val="Quote"/>
      </w:pPr>
      <w:r w:rsidRPr="004A4C27">
        <w:t xml:space="preserve">The benefits that have accrued from more than 10 years of investment and support for a set of </w:t>
      </w:r>
      <w:r>
        <w:t>substantive</w:t>
      </w:r>
      <w:r w:rsidRPr="004A4C27">
        <w:t xml:space="preserve"> education projects have made some limited inroads into realising the rights of all children in PNG to a complete cycle of basic education of acceptable quality. </w:t>
      </w:r>
      <w:r>
        <w:t>O</w:t>
      </w:r>
      <w:r w:rsidRPr="004A4C27">
        <w:t>verall the projects have contributed little to overcoming the deep-seated structural and institutional barriers to financing, organising and managing basic education services in an effective and sustainable way.</w:t>
      </w:r>
      <w:r w:rsidR="006C2092" w:rsidRPr="002A7D93">
        <w:rPr>
          <w:rStyle w:val="FootnoteReference"/>
        </w:rPr>
        <w:footnoteReference w:id="38"/>
      </w:r>
    </w:p>
    <w:p w:rsidR="000D7060" w:rsidRPr="000D7060" w:rsidRDefault="000D7060" w:rsidP="00991F19">
      <w:pPr>
        <w:pStyle w:val="BodyText"/>
      </w:pPr>
      <w:r w:rsidRPr="000D7060">
        <w:t xml:space="preserve">In 2008 </w:t>
      </w:r>
      <w:proofErr w:type="spellStart"/>
      <w:r w:rsidRPr="000D7060">
        <w:t>AusAID</w:t>
      </w:r>
      <w:proofErr w:type="spellEnd"/>
      <w:r w:rsidRPr="000D7060">
        <w:t xml:space="preserve"> moved decisively away from </w:t>
      </w:r>
      <w:r w:rsidR="00651B02">
        <w:t>supporting</w:t>
      </w:r>
      <w:r w:rsidRPr="000D7060">
        <w:t xml:space="preserve"> discrete supply</w:t>
      </w:r>
      <w:r w:rsidR="00651B02">
        <w:t>-</w:t>
      </w:r>
      <w:r w:rsidRPr="000D7060">
        <w:t>side improvements</w:t>
      </w:r>
      <w:r w:rsidR="00651B02">
        <w:t xml:space="preserve"> to education</w:t>
      </w:r>
      <w:r w:rsidRPr="000D7060">
        <w:t>. Stronger analysis of the barriers to</w:t>
      </w:r>
      <w:r w:rsidR="005A6F5A">
        <w:t>,</w:t>
      </w:r>
      <w:r w:rsidRPr="000D7060">
        <w:t xml:space="preserve"> and costs of</w:t>
      </w:r>
      <w:r w:rsidR="005A6F5A">
        <w:t>,</w:t>
      </w:r>
      <w:r w:rsidRPr="000D7060">
        <w:t xml:space="preserve"> increasing enrolment has strengthened the discussion between the </w:t>
      </w:r>
      <w:r w:rsidR="007B2AB8">
        <w:t>PNG Government</w:t>
      </w:r>
      <w:r w:rsidRPr="000D7060">
        <w:t xml:space="preserve"> and development partners on the way forward. However</w:t>
      </w:r>
      <w:r w:rsidR="00651B02">
        <w:t>,</w:t>
      </w:r>
      <w:r w:rsidRPr="000D7060">
        <w:t xml:space="preserve"> it is estimated that </w:t>
      </w:r>
      <w:r w:rsidR="007B2AB8" w:rsidRPr="000D7060">
        <w:t xml:space="preserve">government </w:t>
      </w:r>
      <w:r w:rsidRPr="000D7060">
        <w:t>expenditure on education (currently K691</w:t>
      </w:r>
      <w:r w:rsidR="007B2AB8">
        <w:t> </w:t>
      </w:r>
      <w:r w:rsidRPr="000D7060">
        <w:t>million</w:t>
      </w:r>
      <w:r w:rsidR="00A83EA2">
        <w:t xml:space="preserve"> a year</w:t>
      </w:r>
      <w:r w:rsidRPr="000D7060">
        <w:t xml:space="preserve">) is well below the estimated cost of achieving </w:t>
      </w:r>
      <w:r w:rsidR="00FE674B" w:rsidRPr="000D7060">
        <w:t xml:space="preserve">universal basic education </w:t>
      </w:r>
      <w:r w:rsidRPr="000D7060">
        <w:t xml:space="preserve">by 2015 </w:t>
      </w:r>
      <w:r w:rsidR="00A83EA2">
        <w:t>(</w:t>
      </w:r>
      <w:r w:rsidRPr="000D7060">
        <w:t>K1.3</w:t>
      </w:r>
      <w:r w:rsidR="007B2AB8">
        <w:t> </w:t>
      </w:r>
      <w:r w:rsidRPr="000D7060">
        <w:t xml:space="preserve">billion </w:t>
      </w:r>
      <w:r w:rsidR="007B2AB8">
        <w:t>a</w:t>
      </w:r>
      <w:r w:rsidRPr="000D7060">
        <w:t xml:space="preserve"> year</w:t>
      </w:r>
      <w:r w:rsidR="00A83EA2">
        <w:t>)</w:t>
      </w:r>
      <w:r w:rsidR="00F24F5D">
        <w:t>.</w:t>
      </w:r>
      <w:r w:rsidRPr="002A7D93">
        <w:rPr>
          <w:rStyle w:val="FootnoteReference"/>
        </w:rPr>
        <w:footnoteReference w:id="39"/>
      </w:r>
      <w:r w:rsidR="006F7C08">
        <w:t xml:space="preserve"> </w:t>
      </w:r>
      <w:r w:rsidRPr="000D7060">
        <w:t xml:space="preserve">The negotiation of the </w:t>
      </w:r>
      <w:r w:rsidR="005C16AF" w:rsidRPr="000D7060">
        <w:t xml:space="preserve">basic education schedule </w:t>
      </w:r>
      <w:r w:rsidRPr="000D7060">
        <w:t>under the Partnership for Development in 2008 contributed to increasing the analysis o</w:t>
      </w:r>
      <w:r w:rsidR="00A83EA2">
        <w:t>f</w:t>
      </w:r>
      <w:r w:rsidRPr="000D7060">
        <w:t xml:space="preserve"> the cost of supporting the plan. This included highlighting the funding gap and the need to allocate resources to the highest priority areas based on a range of credible resource envelopes</w:t>
      </w:r>
      <w:r w:rsidR="000F3A15">
        <w:t xml:space="preserve"> (budget </w:t>
      </w:r>
      <w:r w:rsidR="00FE674B">
        <w:t>ceilings)</w:t>
      </w:r>
      <w:r w:rsidRPr="000D7060">
        <w:t>.</w:t>
      </w:r>
    </w:p>
    <w:p w:rsidR="000D7060" w:rsidRPr="000D7060" w:rsidRDefault="000D7060" w:rsidP="00991F19">
      <w:pPr>
        <w:pStyle w:val="BodyText"/>
        <w:keepNext/>
      </w:pPr>
      <w:r w:rsidRPr="000D7060">
        <w:t>Meanwhile</w:t>
      </w:r>
      <w:r w:rsidR="00A83EA2">
        <w:t>,</w:t>
      </w:r>
      <w:r w:rsidRPr="000D7060">
        <w:t xml:space="preserve"> under existing programs Australian support assisted PNG to:</w:t>
      </w:r>
    </w:p>
    <w:p w:rsidR="000D7060" w:rsidRPr="000D7060" w:rsidRDefault="000D7060" w:rsidP="00991F19">
      <w:pPr>
        <w:pStyle w:val="ListBullet"/>
      </w:pPr>
      <w:r w:rsidRPr="000D7060">
        <w:rPr>
          <w:b/>
        </w:rPr>
        <w:t>Implement the National Teacher In-service Plan</w:t>
      </w:r>
      <w:r w:rsidR="00F24F5D">
        <w:t xml:space="preserve"> </w:t>
      </w:r>
      <w:r w:rsidR="00A83EA2">
        <w:t xml:space="preserve">for the period </w:t>
      </w:r>
      <w:r w:rsidR="00F24F5D">
        <w:t>2007–</w:t>
      </w:r>
      <w:r w:rsidRPr="000D7060">
        <w:t>14 to strengthen PNG’s new school curriculum. Almost 1000 school clusters were formed to deliver a program of professional devel</w:t>
      </w:r>
      <w:r w:rsidR="00662C24">
        <w:t>opment</w:t>
      </w:r>
      <w:r w:rsidR="00A83EA2">
        <w:t xml:space="preserve"> </w:t>
      </w:r>
      <w:r w:rsidR="00662C24">
        <w:t>at the local level to 27 </w:t>
      </w:r>
      <w:r w:rsidRPr="000D7060">
        <w:t xml:space="preserve">824 teachers. The cluster-based approach used </w:t>
      </w:r>
      <w:r w:rsidR="00A83EA2">
        <w:t>for</w:t>
      </w:r>
      <w:r w:rsidRPr="000D7060">
        <w:t xml:space="preserve"> teacher in-service training is also a trial of how government resources</w:t>
      </w:r>
      <w:r w:rsidR="00A83EA2">
        <w:t>,</w:t>
      </w:r>
      <w:r w:rsidRPr="000D7060">
        <w:t xml:space="preserve"> including aid</w:t>
      </w:r>
      <w:r w:rsidR="00A83EA2">
        <w:t>,</w:t>
      </w:r>
      <w:r w:rsidRPr="000D7060">
        <w:t xml:space="preserve"> can be better delivered in a decentralised environment and provides guidance o</w:t>
      </w:r>
      <w:r w:rsidR="00A83EA2">
        <w:t>n</w:t>
      </w:r>
      <w:r w:rsidRPr="000D7060">
        <w:t xml:space="preserve"> new ways of getting support to schools. </w:t>
      </w:r>
    </w:p>
    <w:p w:rsidR="000D7060" w:rsidRPr="000D7060" w:rsidRDefault="000D7060" w:rsidP="00991F19">
      <w:pPr>
        <w:pStyle w:val="ListBullet"/>
      </w:pPr>
      <w:r w:rsidRPr="000D7060">
        <w:rPr>
          <w:b/>
        </w:rPr>
        <w:t>Reform elementary teacher training</w:t>
      </w:r>
      <w:r w:rsidR="00A83EA2" w:rsidRPr="00FE674B">
        <w:t>.</w:t>
      </w:r>
      <w:r w:rsidRPr="000D7060">
        <w:t xml:space="preserve"> </w:t>
      </w:r>
      <w:r w:rsidR="00A83EA2">
        <w:t>Th</w:t>
      </w:r>
      <w:r w:rsidR="001356E9">
        <w:t xml:space="preserve">is </w:t>
      </w:r>
      <w:r w:rsidR="00A83EA2">
        <w:t>included</w:t>
      </w:r>
      <w:r w:rsidR="00A83EA2" w:rsidRPr="000D7060">
        <w:t xml:space="preserve"> </w:t>
      </w:r>
      <w:r w:rsidRPr="000D7060">
        <w:t>develop</w:t>
      </w:r>
      <w:r w:rsidR="001356E9">
        <w:t>ing</w:t>
      </w:r>
      <w:r w:rsidRPr="000D7060">
        <w:t xml:space="preserve"> </w:t>
      </w:r>
      <w:r w:rsidR="001356E9">
        <w:t xml:space="preserve">the </w:t>
      </w:r>
      <w:r w:rsidRPr="000D7060">
        <w:t>curriculum for a 12</w:t>
      </w:r>
      <w:r w:rsidR="00A83EA2">
        <w:t>-</w:t>
      </w:r>
      <w:r w:rsidRPr="000D7060">
        <w:t>month full-time elementary certificate to replace the existing 6</w:t>
      </w:r>
      <w:r w:rsidR="00A83EA2">
        <w:t>-</w:t>
      </w:r>
      <w:r w:rsidRPr="000D7060">
        <w:t>week a</w:t>
      </w:r>
      <w:r w:rsidR="002A7D93">
        <w:t>nd on-the-job training model.</w:t>
      </w:r>
    </w:p>
    <w:p w:rsidR="000D7060" w:rsidRPr="000D7060" w:rsidRDefault="000D7060" w:rsidP="00991F19">
      <w:pPr>
        <w:pStyle w:val="ListBullet"/>
        <w:spacing w:after="60"/>
      </w:pPr>
      <w:r w:rsidRPr="000D7060">
        <w:rPr>
          <w:b/>
        </w:rPr>
        <w:lastRenderedPageBreak/>
        <w:t xml:space="preserve">Strengthen education service delivery at </w:t>
      </w:r>
      <w:r w:rsidR="007F26AF">
        <w:rPr>
          <w:b/>
        </w:rPr>
        <w:t>sub</w:t>
      </w:r>
      <w:r w:rsidRPr="000D7060">
        <w:rPr>
          <w:b/>
        </w:rPr>
        <w:t>national levels</w:t>
      </w:r>
      <w:r w:rsidRPr="000D7060">
        <w:t xml:space="preserve">. This </w:t>
      </w:r>
      <w:r w:rsidR="001356E9">
        <w:t>was</w:t>
      </w:r>
      <w:r w:rsidRPr="000D7060">
        <w:t xml:space="preserve"> achieved by providing support for provincial education offices, the preparation of provincial education plans, a coaching program for provincial education advisers, regional forums, </w:t>
      </w:r>
      <w:r w:rsidR="001356E9">
        <w:t xml:space="preserve">the </w:t>
      </w:r>
      <w:r w:rsidRPr="000D7060">
        <w:t>establish</w:t>
      </w:r>
      <w:r w:rsidR="001356E9">
        <w:t>ment of</w:t>
      </w:r>
      <w:r w:rsidRPr="000D7060">
        <w:t xml:space="preserve"> regional facilities for the National Department of Education</w:t>
      </w:r>
      <w:r w:rsidR="001356E9">
        <w:t>,</w:t>
      </w:r>
      <w:r w:rsidRPr="000D7060">
        <w:t xml:space="preserve"> and grants to schools for </w:t>
      </w:r>
      <w:r w:rsidR="001356E9">
        <w:t xml:space="preserve">the </w:t>
      </w:r>
      <w:r w:rsidRPr="000D7060">
        <w:t>retention</w:t>
      </w:r>
      <w:r w:rsidR="001356E9">
        <w:t xml:space="preserve"> of students</w:t>
      </w:r>
      <w:r w:rsidRPr="000D7060">
        <w:t>.</w:t>
      </w:r>
    </w:p>
    <w:p w:rsidR="000D7060" w:rsidRPr="000D7060" w:rsidRDefault="000D7060" w:rsidP="00991F19">
      <w:pPr>
        <w:pStyle w:val="ListBullet"/>
        <w:spacing w:after="60"/>
      </w:pPr>
      <w:r w:rsidRPr="000D7060">
        <w:rPr>
          <w:b/>
        </w:rPr>
        <w:t>Increase the inspection of schools by Standard Officers</w:t>
      </w:r>
      <w:r w:rsidRPr="000D7060">
        <w:t>. In 2008, 65</w:t>
      </w:r>
      <w:r w:rsidR="001B735E">
        <w:t> per cent</w:t>
      </w:r>
      <w:r w:rsidRPr="000D7060">
        <w:t xml:space="preserve"> of elementary schools and 69</w:t>
      </w:r>
      <w:r w:rsidR="001B735E">
        <w:t> per cent</w:t>
      </w:r>
      <w:r w:rsidRPr="000D7060">
        <w:t xml:space="preserve"> of primary schools were visited by Standard Officers to support teachers and inspect schools. </w:t>
      </w:r>
    </w:p>
    <w:p w:rsidR="000D7060" w:rsidRPr="000D7060" w:rsidRDefault="000D7060" w:rsidP="00991F19">
      <w:pPr>
        <w:pStyle w:val="ListBullet"/>
      </w:pPr>
      <w:r w:rsidRPr="000D7060">
        <w:rPr>
          <w:b/>
        </w:rPr>
        <w:t>Improve schools infrastructure</w:t>
      </w:r>
      <w:r w:rsidRPr="000D7060">
        <w:t xml:space="preserve">. </w:t>
      </w:r>
      <w:smartTag w:uri="urn:schemas-microsoft-com:office:smarttags" w:element="place">
        <w:smartTag w:uri="urn:schemas-microsoft-com:office:smarttags" w:element="country-region">
          <w:r w:rsidRPr="000D7060">
            <w:t>Australia</w:t>
          </w:r>
        </w:smartTag>
      </w:smartTag>
      <w:r w:rsidRPr="000D7060">
        <w:t xml:space="preserve"> provided maintenance grants to 2603 schools</w:t>
      </w:r>
      <w:r w:rsidRPr="000D7060" w:rsidDel="00D14802">
        <w:t xml:space="preserve"> </w:t>
      </w:r>
      <w:r w:rsidRPr="000D7060">
        <w:t xml:space="preserve">and provided new classrooms and other school infrastructure </w:t>
      </w:r>
      <w:r w:rsidR="001356E9">
        <w:t>to</w:t>
      </w:r>
      <w:r w:rsidR="001356E9" w:rsidRPr="000D7060">
        <w:t xml:space="preserve"> </w:t>
      </w:r>
      <w:r w:rsidRPr="000D7060">
        <w:t xml:space="preserve">74 schools. </w:t>
      </w:r>
    </w:p>
    <w:p w:rsidR="000D7060" w:rsidRPr="000D7060" w:rsidRDefault="000D7060" w:rsidP="00991F19">
      <w:pPr>
        <w:pStyle w:val="BodyText"/>
      </w:pPr>
      <w:r w:rsidRPr="000D7060">
        <w:t xml:space="preserve">Australian support also assisted the </w:t>
      </w:r>
      <w:r w:rsidR="001356E9" w:rsidRPr="000D7060">
        <w:t xml:space="preserve">education </w:t>
      </w:r>
      <w:r w:rsidRPr="000D7060">
        <w:t>sector to continue to develop a network of District Women Facilitators across PNG. The number of facilitators increased from 323 in 2007 to 383 in 2008. Facilitators are seen as role models for the community, advocate gender equ</w:t>
      </w:r>
      <w:r w:rsidR="001356E9">
        <w:t>al</w:t>
      </w:r>
      <w:r w:rsidRPr="000D7060">
        <w:t xml:space="preserve">ity and create an enabling environment for female representation on </w:t>
      </w:r>
      <w:r w:rsidR="000F3A15" w:rsidRPr="000D7060">
        <w:t>scho</w:t>
      </w:r>
      <w:r w:rsidR="000F3A15">
        <w:t xml:space="preserve">ol boards of management </w:t>
      </w:r>
      <w:r w:rsidR="00662C24">
        <w:t>and sub</w:t>
      </w:r>
      <w:r w:rsidRPr="000D7060">
        <w:t xml:space="preserve">committees. They contribute to enhancing the awareness of the important contribution that women can make to schools, increasing the number of school facilities for female students and increasing female enrolment. There is a risk, however, of losing District Women Facilitators in the new </w:t>
      </w:r>
      <w:r w:rsidR="00886C6D">
        <w:t>sector-wide approach</w:t>
      </w:r>
      <w:r w:rsidR="001356E9">
        <w:t xml:space="preserve"> to education, which</w:t>
      </w:r>
      <w:r w:rsidRPr="000D7060">
        <w:t xml:space="preserve"> will need to be considered throughout the transition.</w:t>
      </w:r>
    </w:p>
    <w:p w:rsidR="000D7060" w:rsidRDefault="00D86A59" w:rsidP="00BD684D">
      <w:pPr>
        <w:pStyle w:val="H2A"/>
      </w:pPr>
      <w:bookmarkStart w:id="113" w:name="_Toc237763914"/>
      <w:bookmarkStart w:id="114" w:name="_Toc361224371"/>
      <w:r>
        <w:t>Objective 3:</w:t>
      </w:r>
      <w:r>
        <w:br/>
      </w:r>
      <w:r w:rsidR="000D7060" w:rsidRPr="000D7060">
        <w:t>Increased quality of</w:t>
      </w:r>
      <w:r>
        <w:t xml:space="preserve"> and access to health services</w:t>
      </w:r>
      <w:bookmarkEnd w:id="113"/>
      <w:bookmarkEnd w:id="114"/>
    </w:p>
    <w:p w:rsidR="00FD3F88" w:rsidRPr="00FD3F88" w:rsidRDefault="00FD3F88" w:rsidP="00BD684D">
      <w:pPr>
        <w:pStyle w:val="H3A"/>
      </w:pPr>
      <w:bookmarkStart w:id="115" w:name="_Toc361224372"/>
      <w:r>
        <w:t>Rating</w:t>
      </w:r>
      <w:bookmarkEnd w:id="115"/>
    </w:p>
    <w:p w:rsidR="00D86A59" w:rsidRPr="00D86A59" w:rsidRDefault="00BD684D" w:rsidP="00BD684D">
      <w:pPr>
        <w:pStyle w:val="Ratingred"/>
        <w:numPr>
          <w:ilvl w:val="0"/>
          <w:numId w:val="0"/>
        </w:numPr>
        <w:ind w:left="567" w:hanging="567"/>
      </w:pPr>
      <w:r>
        <w:rPr>
          <w:noProof/>
          <w:lang w:val="en-US" w:eastAsia="en-US"/>
        </w:rPr>
        <w:drawing>
          <wp:inline distT="0" distB="0" distL="0" distR="0" wp14:anchorId="67878F79" wp14:editId="5697F7C9">
            <wp:extent cx="95263" cy="95263"/>
            <wp:effectExtent l="0" t="0" r="0" b="0"/>
            <wp:docPr id="19" name="Picture 19"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D.png"/>
                    <pic:cNvPicPr/>
                  </pic:nvPicPr>
                  <pic:blipFill>
                    <a:blip r:embed="rId21">
                      <a:extLst>
                        <a:ext uri="{28A0092B-C50C-407E-A947-70E740481C1C}">
                          <a14:useLocalDpi xmlns:a14="http://schemas.microsoft.com/office/drawing/2010/main" val="0"/>
                        </a:ext>
                      </a:extLst>
                    </a:blip>
                    <a:stretch>
                      <a:fillRect/>
                    </a:stretch>
                  </pic:blipFill>
                  <pic:spPr>
                    <a:xfrm>
                      <a:off x="0" y="0"/>
                      <a:ext cx="95263" cy="95263"/>
                    </a:xfrm>
                    <a:prstGeom prst="rect">
                      <a:avLst/>
                    </a:prstGeom>
                  </pic:spPr>
                </pic:pic>
              </a:graphicData>
            </a:graphic>
          </wp:inline>
        </w:drawing>
      </w:r>
      <w:r>
        <w:tab/>
      </w:r>
      <w:r w:rsidR="001B735E" w:rsidRPr="00011299">
        <w:t>The objective is unlikely to be achieved within the timeframe of the strategy</w:t>
      </w:r>
      <w:r w:rsidR="001B735E">
        <w:t>.</w:t>
      </w:r>
    </w:p>
    <w:p w:rsidR="000F3A15" w:rsidRPr="000D7060" w:rsidRDefault="000F3A15" w:rsidP="00CF7472">
      <w:pPr>
        <w:pStyle w:val="BodyText"/>
        <w:spacing w:line="276" w:lineRule="atLeast"/>
      </w:pPr>
      <w:r w:rsidRPr="000D7060">
        <w:t xml:space="preserve">The </w:t>
      </w:r>
      <w:r>
        <w:t>National Department of Health</w:t>
      </w:r>
      <w:r w:rsidRPr="000D7060">
        <w:t xml:space="preserve"> successfully managed the national roll</w:t>
      </w:r>
      <w:r>
        <w:t>-</w:t>
      </w:r>
      <w:r w:rsidRPr="000D7060">
        <w:t>out of some vertical programs</w:t>
      </w:r>
      <w:r>
        <w:t>,</w:t>
      </w:r>
      <w:r w:rsidRPr="000D7060">
        <w:t xml:space="preserve"> which increased immunisation coverage and achieved disease</w:t>
      </w:r>
      <w:r>
        <w:t>-</w:t>
      </w:r>
      <w:r w:rsidRPr="000D7060">
        <w:t>specific successes. Improved leadership and health delivery structures, together with the beginnings of overhaul</w:t>
      </w:r>
      <w:r>
        <w:t>ing</w:t>
      </w:r>
      <w:r w:rsidRPr="000D7060">
        <w:t xml:space="preserve"> donor assistance, suggest that outcomes may begin to improve in the medium term. But for the present this is not happening. </w:t>
      </w:r>
    </w:p>
    <w:p w:rsidR="00FD3F88" w:rsidRPr="00541E6E" w:rsidRDefault="00FD3F88" w:rsidP="00BD684D">
      <w:pPr>
        <w:pStyle w:val="H3A"/>
      </w:pPr>
      <w:bookmarkStart w:id="116" w:name="_Toc361224373"/>
      <w:r w:rsidRPr="00541E6E">
        <w:t>Assessment of results and performance</w:t>
      </w:r>
      <w:bookmarkEnd w:id="116"/>
    </w:p>
    <w:p w:rsidR="000D7060" w:rsidRPr="000D7060" w:rsidRDefault="001A1847" w:rsidP="00CF7472">
      <w:pPr>
        <w:pStyle w:val="BodyText"/>
        <w:spacing w:line="276" w:lineRule="atLeast"/>
      </w:pPr>
      <w:r w:rsidRPr="000D7060">
        <w:t xml:space="preserve">At </w:t>
      </w:r>
      <w:r>
        <w:t xml:space="preserve">the </w:t>
      </w:r>
      <w:r w:rsidRPr="000D7060">
        <w:t>provincial level</w:t>
      </w:r>
      <w:r>
        <w:t>,</w:t>
      </w:r>
      <w:r w:rsidRPr="000D7060">
        <w:t xml:space="preserve"> </w:t>
      </w:r>
      <w:r>
        <w:t xml:space="preserve">the </w:t>
      </w:r>
      <w:r w:rsidRPr="000D7060">
        <w:t xml:space="preserve">funding </w:t>
      </w:r>
      <w:r w:rsidR="000D7060" w:rsidRPr="000D7060">
        <w:t xml:space="preserve">and capacity to deliver health services remained a crucial constraint </w:t>
      </w:r>
      <w:r>
        <w:t>to</w:t>
      </w:r>
      <w:r w:rsidRPr="000D7060">
        <w:t xml:space="preserve"> </w:t>
      </w:r>
      <w:r w:rsidR="000D7060" w:rsidRPr="000D7060">
        <w:t xml:space="preserve">improving health outcomes in 2008. As in previous years, health remained the worst supported MTDS </w:t>
      </w:r>
      <w:r>
        <w:t>priority</w:t>
      </w:r>
      <w:r w:rsidRPr="000D7060">
        <w:t xml:space="preserve"> </w:t>
      </w:r>
      <w:r w:rsidR="000D7060" w:rsidRPr="000D7060">
        <w:t xml:space="preserve">by </w:t>
      </w:r>
      <w:r w:rsidR="007B2AB8">
        <w:t>the PNG Government</w:t>
      </w:r>
      <w:r w:rsidR="000D7060" w:rsidRPr="000D7060">
        <w:t xml:space="preserve">. </w:t>
      </w:r>
      <w:r w:rsidRPr="000D7060">
        <w:t xml:space="preserve">In 2007 the </w:t>
      </w:r>
      <w:r w:rsidR="00BF3E68" w:rsidRPr="00011299">
        <w:t>National Economic and Fiscal Commission</w:t>
      </w:r>
      <w:r w:rsidR="000D7060" w:rsidRPr="000D7060">
        <w:t xml:space="preserve"> estimated </w:t>
      </w:r>
      <w:r>
        <w:t xml:space="preserve">that </w:t>
      </w:r>
      <w:r w:rsidR="000D7060" w:rsidRPr="000D7060">
        <w:t xml:space="preserve">provinces spent </w:t>
      </w:r>
      <w:r w:rsidRPr="000D7060">
        <w:t xml:space="preserve">on average </w:t>
      </w:r>
      <w:r w:rsidR="000D7060" w:rsidRPr="000D7060">
        <w:t>only 21</w:t>
      </w:r>
      <w:r w:rsidR="001B735E">
        <w:t> per cent</w:t>
      </w:r>
      <w:r w:rsidR="000D7060" w:rsidRPr="000D7060">
        <w:t xml:space="preserve"> of the cost of </w:t>
      </w:r>
      <w:r>
        <w:t xml:space="preserve">delivering </w:t>
      </w:r>
      <w:r w:rsidR="000D7060" w:rsidRPr="000D7060">
        <w:t>basic service</w:t>
      </w:r>
      <w:r>
        <w:t>s</w:t>
      </w:r>
      <w:r w:rsidR="007B2AB8">
        <w:t>.</w:t>
      </w:r>
      <w:r w:rsidR="000D7060" w:rsidRPr="001A1847">
        <w:rPr>
          <w:rStyle w:val="FootnoteReference"/>
        </w:rPr>
        <w:footnoteReference w:id="40"/>
      </w:r>
      <w:r w:rsidR="000D7060" w:rsidRPr="000D7060">
        <w:t xml:space="preserve"> </w:t>
      </w:r>
      <w:r>
        <w:t>Although</w:t>
      </w:r>
      <w:r w:rsidRPr="000D7060">
        <w:t xml:space="preserve"> </w:t>
      </w:r>
      <w:r w:rsidR="000D7060" w:rsidRPr="000D7060">
        <w:t>marginal</w:t>
      </w:r>
      <w:r>
        <w:t>ly</w:t>
      </w:r>
      <w:r w:rsidR="000D7060" w:rsidRPr="000D7060">
        <w:t xml:space="preserve"> </w:t>
      </w:r>
      <w:r>
        <w:t>better than in</w:t>
      </w:r>
      <w:r w:rsidR="000D7060" w:rsidRPr="000D7060">
        <w:t xml:space="preserve"> 2006 (19</w:t>
      </w:r>
      <w:r w:rsidR="001B735E">
        <w:t> per cent</w:t>
      </w:r>
      <w:r w:rsidR="000D7060" w:rsidRPr="000D7060">
        <w:t xml:space="preserve">) </w:t>
      </w:r>
      <w:r>
        <w:t>it is</w:t>
      </w:r>
      <w:r w:rsidRPr="000D7060">
        <w:t xml:space="preserve"> </w:t>
      </w:r>
      <w:r w:rsidR="000D7060" w:rsidRPr="000D7060">
        <w:t xml:space="preserve">a long way from meeting the full cost of basic services. </w:t>
      </w:r>
      <w:r>
        <w:t>T</w:t>
      </w:r>
      <w:r w:rsidR="000D7060" w:rsidRPr="000D7060">
        <w:t xml:space="preserve">his reflects </w:t>
      </w:r>
      <w:r>
        <w:t xml:space="preserve">a </w:t>
      </w:r>
      <w:r w:rsidR="000D7060" w:rsidRPr="000D7060">
        <w:t xml:space="preserve">lack of funds, but also shows the low priority accorded to the health sector by many provincial governments. </w:t>
      </w:r>
    </w:p>
    <w:p w:rsidR="000D7060" w:rsidRPr="00672FA1" w:rsidRDefault="000D7060" w:rsidP="00991F19">
      <w:pPr>
        <w:pStyle w:val="BodyText"/>
        <w:rPr>
          <w:spacing w:val="-1"/>
        </w:rPr>
      </w:pPr>
      <w:r w:rsidRPr="00672FA1">
        <w:rPr>
          <w:spacing w:val="-1"/>
        </w:rPr>
        <w:t xml:space="preserve">The </w:t>
      </w:r>
      <w:r w:rsidR="00507319" w:rsidRPr="00672FA1">
        <w:rPr>
          <w:spacing w:val="-1"/>
        </w:rPr>
        <w:t xml:space="preserve">2008 evaluation of the delivery of </w:t>
      </w:r>
      <w:r w:rsidRPr="00672FA1">
        <w:rPr>
          <w:spacing w:val="-1"/>
        </w:rPr>
        <w:t>health service</w:t>
      </w:r>
      <w:r w:rsidR="00507319" w:rsidRPr="00672FA1">
        <w:rPr>
          <w:spacing w:val="-1"/>
        </w:rPr>
        <w:t>s</w:t>
      </w:r>
      <w:r w:rsidRPr="00672FA1">
        <w:rPr>
          <w:rStyle w:val="FootnoteReference"/>
          <w:spacing w:val="-1"/>
        </w:rPr>
        <w:footnoteReference w:id="41"/>
      </w:r>
      <w:r w:rsidRPr="00672FA1">
        <w:rPr>
          <w:spacing w:val="-1"/>
        </w:rPr>
        <w:t xml:space="preserve"> confirmed the need identified in </w:t>
      </w:r>
      <w:r w:rsidR="00507319" w:rsidRPr="00672FA1">
        <w:rPr>
          <w:spacing w:val="-1"/>
        </w:rPr>
        <w:t>the 200</w:t>
      </w:r>
      <w:r w:rsidR="003B6BEE" w:rsidRPr="00672FA1">
        <w:rPr>
          <w:spacing w:val="-1"/>
        </w:rPr>
        <w:t>7</w:t>
      </w:r>
      <w:r w:rsidRPr="00672FA1">
        <w:rPr>
          <w:spacing w:val="-1"/>
        </w:rPr>
        <w:t xml:space="preserve"> </w:t>
      </w:r>
      <w:r w:rsidR="00507319" w:rsidRPr="00672FA1">
        <w:rPr>
          <w:spacing w:val="-1"/>
        </w:rPr>
        <w:t xml:space="preserve">annual program performance report to </w:t>
      </w:r>
      <w:r w:rsidRPr="00672FA1">
        <w:rPr>
          <w:spacing w:val="-1"/>
        </w:rPr>
        <w:t>significant</w:t>
      </w:r>
      <w:r w:rsidR="00507319" w:rsidRPr="00672FA1">
        <w:rPr>
          <w:spacing w:val="-1"/>
        </w:rPr>
        <w:t>ly</w:t>
      </w:r>
      <w:r w:rsidRPr="00672FA1">
        <w:rPr>
          <w:spacing w:val="-1"/>
        </w:rPr>
        <w:t xml:space="preserve"> change support for health and the </w:t>
      </w:r>
      <w:r w:rsidRPr="00672FA1">
        <w:rPr>
          <w:spacing w:val="-1"/>
        </w:rPr>
        <w:lastRenderedPageBreak/>
        <w:t xml:space="preserve">need to work closely with </w:t>
      </w:r>
      <w:r w:rsidR="002F62C2" w:rsidRPr="00672FA1">
        <w:rPr>
          <w:spacing w:val="-1"/>
        </w:rPr>
        <w:t>the PNG Government</w:t>
      </w:r>
      <w:r w:rsidRPr="00672FA1">
        <w:rPr>
          <w:spacing w:val="-1"/>
        </w:rPr>
        <w:t xml:space="preserve"> to adapt the sector</w:t>
      </w:r>
      <w:r w:rsidR="00507319" w:rsidRPr="00672FA1">
        <w:rPr>
          <w:spacing w:val="-1"/>
        </w:rPr>
        <w:t>’s</w:t>
      </w:r>
      <w:r w:rsidRPr="00672FA1">
        <w:rPr>
          <w:spacing w:val="-1"/>
        </w:rPr>
        <w:t xml:space="preserve"> financing arrangements to the new intergovernmental financing arrangements. The </w:t>
      </w:r>
      <w:r w:rsidR="00886C6D" w:rsidRPr="00672FA1">
        <w:rPr>
          <w:spacing w:val="-1"/>
        </w:rPr>
        <w:t>sector-wide approach</w:t>
      </w:r>
      <w:r w:rsidRPr="00672FA1">
        <w:rPr>
          <w:spacing w:val="-1"/>
        </w:rPr>
        <w:t xml:space="preserve"> and the Capacity Building Service Centre ha</w:t>
      </w:r>
      <w:r w:rsidR="003B6BEE" w:rsidRPr="00672FA1">
        <w:rPr>
          <w:spacing w:val="-1"/>
        </w:rPr>
        <w:t>ve</w:t>
      </w:r>
      <w:r w:rsidRPr="00672FA1">
        <w:rPr>
          <w:spacing w:val="-1"/>
        </w:rPr>
        <w:t xml:space="preserve"> supported a parallel system</w:t>
      </w:r>
      <w:r w:rsidR="00507319" w:rsidRPr="00672FA1">
        <w:rPr>
          <w:spacing w:val="-1"/>
        </w:rPr>
        <w:t>,</w:t>
      </w:r>
      <w:r w:rsidRPr="00672FA1">
        <w:rPr>
          <w:spacing w:val="-1"/>
        </w:rPr>
        <w:t xml:space="preserve"> giving </w:t>
      </w:r>
      <w:r w:rsidR="002F62C2" w:rsidRPr="00672FA1">
        <w:rPr>
          <w:spacing w:val="-1"/>
        </w:rPr>
        <w:t>the National Department of Health decision-</w:t>
      </w:r>
      <w:r w:rsidRPr="00672FA1">
        <w:rPr>
          <w:spacing w:val="-1"/>
        </w:rPr>
        <w:t>making power over provincial resources</w:t>
      </w:r>
      <w:r w:rsidR="00507319" w:rsidRPr="00672FA1">
        <w:rPr>
          <w:spacing w:val="-1"/>
        </w:rPr>
        <w:t>,</w:t>
      </w:r>
      <w:r w:rsidRPr="00672FA1">
        <w:rPr>
          <w:spacing w:val="-1"/>
        </w:rPr>
        <w:t xml:space="preserve"> which has undermined provincial responsibility for </w:t>
      </w:r>
      <w:r w:rsidR="00672FA1" w:rsidRPr="00672FA1">
        <w:rPr>
          <w:spacing w:val="-1"/>
        </w:rPr>
        <w:t xml:space="preserve">delivering </w:t>
      </w:r>
      <w:r w:rsidRPr="00672FA1">
        <w:rPr>
          <w:spacing w:val="-1"/>
        </w:rPr>
        <w:t>service</w:t>
      </w:r>
      <w:r w:rsidR="00672FA1" w:rsidRPr="00672FA1">
        <w:rPr>
          <w:spacing w:val="-1"/>
        </w:rPr>
        <w:t>s</w:t>
      </w:r>
      <w:r w:rsidRPr="00672FA1">
        <w:rPr>
          <w:spacing w:val="-1"/>
        </w:rPr>
        <w:t xml:space="preserve"> and distracted </w:t>
      </w:r>
      <w:r w:rsidR="002F62C2" w:rsidRPr="00672FA1">
        <w:rPr>
          <w:spacing w:val="-1"/>
        </w:rPr>
        <w:t>the department</w:t>
      </w:r>
      <w:r w:rsidRPr="00672FA1">
        <w:rPr>
          <w:spacing w:val="-1"/>
        </w:rPr>
        <w:t xml:space="preserve"> from its core role of providing whole</w:t>
      </w:r>
      <w:r w:rsidR="00507319" w:rsidRPr="00672FA1">
        <w:rPr>
          <w:spacing w:val="-1"/>
        </w:rPr>
        <w:t>-</w:t>
      </w:r>
      <w:r w:rsidRPr="00672FA1">
        <w:rPr>
          <w:spacing w:val="-1"/>
        </w:rPr>
        <w:t>of</w:t>
      </w:r>
      <w:r w:rsidR="00507319" w:rsidRPr="00672FA1">
        <w:rPr>
          <w:spacing w:val="-1"/>
        </w:rPr>
        <w:t>-</w:t>
      </w:r>
      <w:r w:rsidRPr="00672FA1">
        <w:rPr>
          <w:spacing w:val="-1"/>
        </w:rPr>
        <w:t>government leadership for</w:t>
      </w:r>
      <w:r w:rsidR="00507319" w:rsidRPr="00672FA1">
        <w:rPr>
          <w:spacing w:val="-1"/>
        </w:rPr>
        <w:t xml:space="preserve"> the</w:t>
      </w:r>
      <w:r w:rsidR="008521CD" w:rsidRPr="00672FA1">
        <w:rPr>
          <w:spacing w:val="-1"/>
        </w:rPr>
        <w:t xml:space="preserve"> </w:t>
      </w:r>
      <w:r w:rsidRPr="00672FA1">
        <w:rPr>
          <w:spacing w:val="-1"/>
        </w:rPr>
        <w:t>sector</w:t>
      </w:r>
      <w:r w:rsidR="00507319" w:rsidRPr="00672FA1">
        <w:rPr>
          <w:spacing w:val="-1"/>
        </w:rPr>
        <w:t>’s</w:t>
      </w:r>
      <w:r w:rsidRPr="00672FA1">
        <w:rPr>
          <w:spacing w:val="-1"/>
        </w:rPr>
        <w:t xml:space="preserve"> strategy and budget. </w:t>
      </w:r>
    </w:p>
    <w:p w:rsidR="000D7060" w:rsidRPr="000D7060" w:rsidRDefault="000D7060" w:rsidP="00991F19">
      <w:pPr>
        <w:pStyle w:val="BodyText"/>
      </w:pPr>
      <w:r w:rsidRPr="000D7060">
        <w:t>The evaluation found rigorous controls and auditing of funds in a joint donor trust account had contributed to delays in releasing funds for priority health activities. However</w:t>
      </w:r>
      <w:r w:rsidR="00507319">
        <w:t>, the</w:t>
      </w:r>
      <w:r w:rsidRPr="000D7060">
        <w:t xml:space="preserve"> greater disbursement of funds in 2008 (</w:t>
      </w:r>
      <w:r w:rsidR="007B2AB8">
        <w:t>K</w:t>
      </w:r>
      <w:r w:rsidRPr="000D7060">
        <w:t>102</w:t>
      </w:r>
      <w:r w:rsidR="007B2AB8">
        <w:t> </w:t>
      </w:r>
      <w:r w:rsidRPr="000D7060">
        <w:t xml:space="preserve">million, up from </w:t>
      </w:r>
      <w:r w:rsidR="007B2AB8">
        <w:t>K48 </w:t>
      </w:r>
      <w:r w:rsidRPr="000D7060">
        <w:t xml:space="preserve">million in 2007) suggests some improvement in implementation, although more is needed. In 2009, reforming these arrangements so </w:t>
      </w:r>
      <w:r w:rsidR="00507319">
        <w:t xml:space="preserve">that </w:t>
      </w:r>
      <w:r w:rsidRPr="000D7060">
        <w:t xml:space="preserve">they are in line with </w:t>
      </w:r>
      <w:r w:rsidR="007B2AB8">
        <w:t>government</w:t>
      </w:r>
      <w:r w:rsidRPr="000D7060">
        <w:t xml:space="preserve"> systems and mandates will be prioritised through the health sector steering committee.</w:t>
      </w:r>
    </w:p>
    <w:p w:rsidR="000D7060" w:rsidRPr="000D7060" w:rsidRDefault="00507319" w:rsidP="00991F19">
      <w:pPr>
        <w:pStyle w:val="BodyText"/>
      </w:pPr>
      <w:r>
        <w:t xml:space="preserve">In </w:t>
      </w:r>
      <w:r w:rsidR="000D7060" w:rsidRPr="000D7060">
        <w:t xml:space="preserve">2008 </w:t>
      </w:r>
      <w:r>
        <w:t>there were</w:t>
      </w:r>
      <w:r w:rsidRPr="000D7060">
        <w:t xml:space="preserve"> </w:t>
      </w:r>
      <w:r w:rsidR="000D7060" w:rsidRPr="000D7060">
        <w:t xml:space="preserve">promising developments in </w:t>
      </w:r>
      <w:r>
        <w:t xml:space="preserve">the management of the </w:t>
      </w:r>
      <w:r w:rsidR="000D7060" w:rsidRPr="000D7060">
        <w:t xml:space="preserve">health sector at the national level. </w:t>
      </w:r>
      <w:r w:rsidR="007B2AB8">
        <w:t>The PNG Government</w:t>
      </w:r>
      <w:r w:rsidR="000D7060" w:rsidRPr="000D7060">
        <w:t xml:space="preserve"> and development partners recognised the need to align health sector funding with </w:t>
      </w:r>
      <w:r w:rsidR="007F26AF">
        <w:t>sub</w:t>
      </w:r>
      <w:r w:rsidR="000D7060" w:rsidRPr="000D7060">
        <w:t xml:space="preserve">national responsibilities and a number of actions were taken to reorient support </w:t>
      </w:r>
      <w:r>
        <w:t>for</w:t>
      </w:r>
      <w:r w:rsidRPr="000D7060">
        <w:t xml:space="preserve"> </w:t>
      </w:r>
      <w:r>
        <w:t>the sector</w:t>
      </w:r>
      <w:r w:rsidR="000D7060" w:rsidRPr="000D7060">
        <w:t>. The</w:t>
      </w:r>
      <w:r w:rsidR="00624867">
        <w:t xml:space="preserve"> developments</w:t>
      </w:r>
      <w:r w:rsidR="000D7060" w:rsidRPr="000D7060">
        <w:t xml:space="preserve"> included: </w:t>
      </w:r>
    </w:p>
    <w:p w:rsidR="000D7060" w:rsidRPr="000D7060" w:rsidRDefault="000D7060" w:rsidP="00991F19">
      <w:pPr>
        <w:pStyle w:val="ListBullet"/>
      </w:pPr>
      <w:r w:rsidRPr="00507319">
        <w:t>reform</w:t>
      </w:r>
      <w:r w:rsidR="00624867">
        <w:t>ing</w:t>
      </w:r>
      <w:r w:rsidRPr="00507319">
        <w:rPr>
          <w:b/>
        </w:rPr>
        <w:t xml:space="preserve"> </w:t>
      </w:r>
      <w:r w:rsidRPr="00507319">
        <w:t>the intergovernmental financing arrangements, which,</w:t>
      </w:r>
      <w:r w:rsidRPr="000D7060">
        <w:t xml:space="preserve"> from 2009, will make increased funds available to provinces for operational costs of deliver</w:t>
      </w:r>
      <w:r w:rsidR="00672FA1">
        <w:t>ing health services</w:t>
      </w:r>
    </w:p>
    <w:p w:rsidR="000D7060" w:rsidRPr="000D7060" w:rsidRDefault="00624867" w:rsidP="00991F19">
      <w:pPr>
        <w:pStyle w:val="ListBullet"/>
      </w:pPr>
      <w:r>
        <w:t xml:space="preserve">creating </w:t>
      </w:r>
      <w:r w:rsidR="000D7060" w:rsidRPr="00507319">
        <w:t xml:space="preserve">a new sense of purpose and leadership </w:t>
      </w:r>
      <w:r>
        <w:t>in</w:t>
      </w:r>
      <w:r w:rsidRPr="00507319">
        <w:t xml:space="preserve"> </w:t>
      </w:r>
      <w:r w:rsidR="000D7060" w:rsidRPr="00507319">
        <w:t xml:space="preserve">the </w:t>
      </w:r>
      <w:r w:rsidR="002F62C2" w:rsidRPr="00507319">
        <w:t>National Department of Health</w:t>
      </w:r>
      <w:r w:rsidR="000D7060" w:rsidRPr="00507319">
        <w:t xml:space="preserve">, which produced </w:t>
      </w:r>
      <w:r w:rsidR="00507319">
        <w:t>its first</w:t>
      </w:r>
      <w:r w:rsidR="00507319" w:rsidRPr="00507319">
        <w:t xml:space="preserve"> </w:t>
      </w:r>
      <w:r w:rsidR="000D7060" w:rsidRPr="00507319">
        <w:t>corporate plan (with</w:t>
      </w:r>
      <w:r w:rsidR="000D7060" w:rsidRPr="000D7060">
        <w:t xml:space="preserve"> Australian assistance) focusing on its core responsibilities within the decentralised system</w:t>
      </w:r>
    </w:p>
    <w:p w:rsidR="000D7060" w:rsidRPr="000D7060" w:rsidRDefault="000D7060" w:rsidP="00991F19">
      <w:pPr>
        <w:pStyle w:val="ListBullet"/>
      </w:pPr>
      <w:r w:rsidRPr="00507319">
        <w:t>roll</w:t>
      </w:r>
      <w:r w:rsidR="00624867">
        <w:t>ing</w:t>
      </w:r>
      <w:r w:rsidR="00507319">
        <w:t xml:space="preserve"> </w:t>
      </w:r>
      <w:r w:rsidRPr="00507319">
        <w:t xml:space="preserve">out the Provincial Health Authorities Act </w:t>
      </w:r>
      <w:r w:rsidR="00507319">
        <w:t xml:space="preserve">for trial </w:t>
      </w:r>
      <w:r w:rsidRPr="00507319">
        <w:t>in three provinces (Milne Bay</w:t>
      </w:r>
      <w:r w:rsidRPr="000D7060">
        <w:t xml:space="preserve">, Eastern Highlands and Western Highlands) to streamline </w:t>
      </w:r>
      <w:r w:rsidR="00507319">
        <w:t xml:space="preserve">the </w:t>
      </w:r>
      <w:r w:rsidRPr="000D7060">
        <w:t xml:space="preserve">management of provincial health services under one board, so that hospitals are part of the provincial system (with assistance from </w:t>
      </w:r>
      <w:r w:rsidR="00662C24" w:rsidRPr="000D7060">
        <w:t>the Capacity Building Service Centre</w:t>
      </w:r>
      <w:r w:rsidRPr="000D7060">
        <w:t>)</w:t>
      </w:r>
    </w:p>
    <w:p w:rsidR="000D7060" w:rsidRPr="000D7060" w:rsidRDefault="000D7060" w:rsidP="00991F19">
      <w:pPr>
        <w:pStyle w:val="ListBullet"/>
      </w:pPr>
      <w:r w:rsidRPr="00507319">
        <w:t>establish</w:t>
      </w:r>
      <w:r w:rsidR="00624867">
        <w:t>ing</w:t>
      </w:r>
      <w:r w:rsidRPr="00507319">
        <w:t xml:space="preserve"> </w:t>
      </w:r>
      <w:r w:rsidR="00672FA1">
        <w:t>the</w:t>
      </w:r>
      <w:r w:rsidR="00672FA1" w:rsidRPr="00507319">
        <w:t xml:space="preserve"> </w:t>
      </w:r>
      <w:r w:rsidRPr="00507319">
        <w:t>health sector steering committee, designed to bring</w:t>
      </w:r>
      <w:r w:rsidRPr="000D7060">
        <w:t xml:space="preserve"> senior whole-of-government oversight to the </w:t>
      </w:r>
      <w:r w:rsidR="00886C6D">
        <w:t>sector-wide approach</w:t>
      </w:r>
    </w:p>
    <w:p w:rsidR="000D7060" w:rsidRPr="00507319" w:rsidRDefault="000D7060" w:rsidP="00991F19">
      <w:pPr>
        <w:pStyle w:val="ListBullet"/>
      </w:pPr>
      <w:r w:rsidRPr="00507319">
        <w:t>realign</w:t>
      </w:r>
      <w:r w:rsidR="00624867">
        <w:t>ing</w:t>
      </w:r>
      <w:r w:rsidRPr="00507319">
        <w:t xml:space="preserve"> </w:t>
      </w:r>
      <w:r w:rsidR="00662C24" w:rsidRPr="00507319">
        <w:t xml:space="preserve">the Capacity Building Service Centre </w:t>
      </w:r>
      <w:r w:rsidRPr="00507319">
        <w:t xml:space="preserve">to support </w:t>
      </w:r>
      <w:r w:rsidR="007F26AF" w:rsidRPr="00507319">
        <w:t>sub</w:t>
      </w:r>
      <w:r w:rsidRPr="00507319">
        <w:t>national priorities</w:t>
      </w:r>
      <w:r w:rsidR="00507319">
        <w:t>.</w:t>
      </w:r>
    </w:p>
    <w:p w:rsidR="000D7060" w:rsidRPr="000D7060" w:rsidRDefault="000D7060" w:rsidP="00991F19">
      <w:pPr>
        <w:pStyle w:val="BodyText"/>
        <w:spacing w:before="0"/>
      </w:pPr>
      <w:r w:rsidRPr="000D7060">
        <w:t>The</w:t>
      </w:r>
      <w:r w:rsidR="00624867">
        <w:t>se</w:t>
      </w:r>
      <w:r w:rsidRPr="000D7060">
        <w:t xml:space="preserve"> achievements </w:t>
      </w:r>
      <w:r w:rsidR="00624867">
        <w:t>are</w:t>
      </w:r>
      <w:r w:rsidR="00624867" w:rsidRPr="000D7060">
        <w:t xml:space="preserve"> </w:t>
      </w:r>
      <w:r w:rsidRPr="000D7060">
        <w:t>mainly in process</w:t>
      </w:r>
      <w:r w:rsidR="00624867">
        <w:t>;</w:t>
      </w:r>
      <w:r w:rsidRPr="000D7060">
        <w:t xml:space="preserve"> however, these substantial changes are needed to influence long</w:t>
      </w:r>
      <w:r w:rsidR="00624867">
        <w:t>-</w:t>
      </w:r>
      <w:r w:rsidRPr="000D7060">
        <w:t>term health outcomes.</w:t>
      </w:r>
    </w:p>
    <w:p w:rsidR="000D7060" w:rsidRPr="00CF7472" w:rsidRDefault="000D7060" w:rsidP="00991F19">
      <w:pPr>
        <w:pStyle w:val="BodyText"/>
        <w:rPr>
          <w:spacing w:val="-2"/>
        </w:rPr>
      </w:pPr>
      <w:r w:rsidRPr="00CF7472">
        <w:rPr>
          <w:spacing w:val="-2"/>
        </w:rPr>
        <w:t xml:space="preserve">The sector’s strategic goals recognise </w:t>
      </w:r>
      <w:r w:rsidR="00FD418B" w:rsidRPr="00CF7472">
        <w:rPr>
          <w:spacing w:val="-2"/>
        </w:rPr>
        <w:t xml:space="preserve">the </w:t>
      </w:r>
      <w:r w:rsidRPr="00CF7472">
        <w:rPr>
          <w:spacing w:val="-2"/>
        </w:rPr>
        <w:t xml:space="preserve">health needs of women, </w:t>
      </w:r>
      <w:r w:rsidR="00FD418B" w:rsidRPr="00CF7472">
        <w:rPr>
          <w:spacing w:val="-2"/>
        </w:rPr>
        <w:t>particularly</w:t>
      </w:r>
      <w:r w:rsidRPr="00CF7472">
        <w:rPr>
          <w:spacing w:val="-2"/>
        </w:rPr>
        <w:t xml:space="preserve"> maternal health. </w:t>
      </w:r>
      <w:r w:rsidR="00D138F0" w:rsidRPr="00CF7472">
        <w:rPr>
          <w:spacing w:val="-2"/>
        </w:rPr>
        <w:t>These received</w:t>
      </w:r>
      <w:r w:rsidRPr="00CF7472">
        <w:rPr>
          <w:spacing w:val="-2"/>
        </w:rPr>
        <w:t xml:space="preserve"> renewed </w:t>
      </w:r>
      <w:r w:rsidR="00D138F0" w:rsidRPr="00CF7472">
        <w:rPr>
          <w:spacing w:val="-2"/>
        </w:rPr>
        <w:t xml:space="preserve">attention </w:t>
      </w:r>
      <w:r w:rsidRPr="00CF7472">
        <w:rPr>
          <w:spacing w:val="-2"/>
        </w:rPr>
        <w:t xml:space="preserve">in 2008 </w:t>
      </w:r>
      <w:r w:rsidR="00D138F0" w:rsidRPr="00CF7472">
        <w:rPr>
          <w:spacing w:val="-2"/>
        </w:rPr>
        <w:t xml:space="preserve">after </w:t>
      </w:r>
      <w:r w:rsidRPr="00CF7472">
        <w:rPr>
          <w:spacing w:val="-2"/>
        </w:rPr>
        <w:t xml:space="preserve">concern </w:t>
      </w:r>
      <w:r w:rsidR="00D138F0" w:rsidRPr="00CF7472">
        <w:rPr>
          <w:spacing w:val="-2"/>
        </w:rPr>
        <w:t xml:space="preserve">was </w:t>
      </w:r>
      <w:r w:rsidRPr="00CF7472">
        <w:rPr>
          <w:spacing w:val="-2"/>
        </w:rPr>
        <w:t xml:space="preserve">sparked by the release of the </w:t>
      </w:r>
      <w:r w:rsidR="00D138F0" w:rsidRPr="00CF7472">
        <w:rPr>
          <w:spacing w:val="-2"/>
        </w:rPr>
        <w:t xml:space="preserve">maternal mortality estimate from </w:t>
      </w:r>
      <w:r w:rsidR="00672FA1" w:rsidRPr="00CF7472">
        <w:rPr>
          <w:spacing w:val="-2"/>
        </w:rPr>
        <w:t xml:space="preserve">the </w:t>
      </w:r>
      <w:r w:rsidRPr="00CF7472">
        <w:rPr>
          <w:spacing w:val="-2"/>
        </w:rPr>
        <w:t xml:space="preserve">Demographic </w:t>
      </w:r>
      <w:r w:rsidR="00DC478B" w:rsidRPr="00CF7472">
        <w:rPr>
          <w:spacing w:val="-2"/>
        </w:rPr>
        <w:t xml:space="preserve">and </w:t>
      </w:r>
      <w:r w:rsidRPr="00CF7472">
        <w:rPr>
          <w:spacing w:val="-2"/>
        </w:rPr>
        <w:t>Health Survey</w:t>
      </w:r>
      <w:r w:rsidR="00D138F0" w:rsidRPr="00CF7472">
        <w:rPr>
          <w:spacing w:val="-2"/>
        </w:rPr>
        <w:t>. This</w:t>
      </w:r>
      <w:r w:rsidRPr="00CF7472">
        <w:rPr>
          <w:spacing w:val="-2"/>
        </w:rPr>
        <w:t xml:space="preserve"> led to the establishment of a maternal health taskforce. Development partners, including </w:t>
      </w:r>
      <w:proofErr w:type="spellStart"/>
      <w:r w:rsidRPr="00CF7472">
        <w:rPr>
          <w:spacing w:val="-2"/>
        </w:rPr>
        <w:t>AusAID</w:t>
      </w:r>
      <w:proofErr w:type="spellEnd"/>
      <w:r w:rsidRPr="00CF7472">
        <w:rPr>
          <w:spacing w:val="-2"/>
        </w:rPr>
        <w:t xml:space="preserve">, advocated action </w:t>
      </w:r>
      <w:r w:rsidR="001E16C7" w:rsidRPr="00CF7472">
        <w:rPr>
          <w:spacing w:val="-2"/>
        </w:rPr>
        <w:t xml:space="preserve">on gender issues </w:t>
      </w:r>
      <w:r w:rsidRPr="00CF7472">
        <w:rPr>
          <w:spacing w:val="-2"/>
        </w:rPr>
        <w:t xml:space="preserve">and provided technical assistance </w:t>
      </w:r>
      <w:r w:rsidR="001E16C7" w:rsidRPr="00CF7472">
        <w:rPr>
          <w:spacing w:val="-2"/>
        </w:rPr>
        <w:t xml:space="preserve">to </w:t>
      </w:r>
      <w:r w:rsidRPr="00CF7472">
        <w:rPr>
          <w:spacing w:val="-2"/>
        </w:rPr>
        <w:t>rais</w:t>
      </w:r>
      <w:r w:rsidR="001E16C7" w:rsidRPr="00CF7472">
        <w:rPr>
          <w:spacing w:val="-2"/>
        </w:rPr>
        <w:t>e</w:t>
      </w:r>
      <w:r w:rsidRPr="00CF7472">
        <w:rPr>
          <w:spacing w:val="-2"/>
        </w:rPr>
        <w:t xml:space="preserve"> awareness within </w:t>
      </w:r>
      <w:r w:rsidR="002F62C2" w:rsidRPr="00CF7472">
        <w:rPr>
          <w:spacing w:val="-2"/>
        </w:rPr>
        <w:t>the National Department of Health</w:t>
      </w:r>
      <w:r w:rsidRPr="00CF7472">
        <w:rPr>
          <w:spacing w:val="-2"/>
        </w:rPr>
        <w:t xml:space="preserve"> and at facility level. This led to the recruitment of a local domestic violence project officer in </w:t>
      </w:r>
      <w:r w:rsidR="002F62C2" w:rsidRPr="00CF7472">
        <w:rPr>
          <w:spacing w:val="-2"/>
        </w:rPr>
        <w:t>the department</w:t>
      </w:r>
      <w:r w:rsidRPr="00CF7472">
        <w:rPr>
          <w:spacing w:val="-2"/>
        </w:rPr>
        <w:t xml:space="preserve"> in 2009. It also led to </w:t>
      </w:r>
      <w:r w:rsidR="002F62C2" w:rsidRPr="00CF7472">
        <w:rPr>
          <w:spacing w:val="-2"/>
        </w:rPr>
        <w:t>the department</w:t>
      </w:r>
      <w:r w:rsidRPr="00CF7472">
        <w:rPr>
          <w:spacing w:val="-2"/>
        </w:rPr>
        <w:t xml:space="preserve"> adopting an official policy position banning ‘fight fees’, which are sometimes charged by facilities for treating domestic violence injuries (</w:t>
      </w:r>
      <w:r w:rsidR="00672FA1" w:rsidRPr="00CF7472">
        <w:rPr>
          <w:spacing w:val="-2"/>
        </w:rPr>
        <w:t xml:space="preserve">but </w:t>
      </w:r>
      <w:r w:rsidRPr="00CF7472">
        <w:rPr>
          <w:spacing w:val="-2"/>
        </w:rPr>
        <w:t>some facilities continue to charge these fees).</w:t>
      </w:r>
    </w:p>
    <w:p w:rsidR="000D7060" w:rsidRPr="000D7060" w:rsidRDefault="000D7060" w:rsidP="00991F19">
      <w:pPr>
        <w:pStyle w:val="BodyText"/>
      </w:pPr>
      <w:r w:rsidRPr="000D7060">
        <w:t xml:space="preserve">In 2008 </w:t>
      </w:r>
      <w:smartTag w:uri="urn:schemas-microsoft-com:office:smarttags" w:element="place">
        <w:smartTag w:uri="urn:schemas-microsoft-com:office:smarttags" w:element="country-region">
          <w:r w:rsidRPr="000D7060">
            <w:t>Australia</w:t>
          </w:r>
        </w:smartTag>
      </w:smartTag>
      <w:r w:rsidRPr="000D7060">
        <w:t xml:space="preserve"> strengthened its bilateral policy dialogue with PNG on health outcomes through the negotiation of the </w:t>
      </w:r>
      <w:r w:rsidR="005C16AF" w:rsidRPr="000D7060">
        <w:t xml:space="preserve">health schedule </w:t>
      </w:r>
      <w:r w:rsidRPr="000D7060">
        <w:t xml:space="preserve">under the </w:t>
      </w:r>
      <w:r w:rsidR="001E16C7" w:rsidRPr="000D7060">
        <w:t>Partnership</w:t>
      </w:r>
      <w:r w:rsidR="001E16C7">
        <w:t xml:space="preserve"> for Development</w:t>
      </w:r>
      <w:r w:rsidRPr="000D7060">
        <w:t>. This negotiation focused attention on what it would take for PNG to achieve the health MDGs</w:t>
      </w:r>
      <w:r w:rsidR="005A3337">
        <w:t xml:space="preserve"> and</w:t>
      </w:r>
      <w:r w:rsidRPr="000D7060">
        <w:t xml:space="preserve"> included discussions on fundamental constraints</w:t>
      </w:r>
      <w:r w:rsidR="005A3337">
        <w:t xml:space="preserve"> in the sector</w:t>
      </w:r>
      <w:r w:rsidRPr="000D7060">
        <w:t xml:space="preserve">. Major areas of policy dialogue </w:t>
      </w:r>
      <w:r w:rsidR="005A3337">
        <w:t>between</w:t>
      </w:r>
      <w:r w:rsidR="005A3337" w:rsidRPr="000D7060">
        <w:t xml:space="preserve"> </w:t>
      </w:r>
      <w:r w:rsidRPr="000D7060">
        <w:t xml:space="preserve">development partners and </w:t>
      </w:r>
      <w:r w:rsidR="005A3337">
        <w:t xml:space="preserve">the </w:t>
      </w:r>
      <w:r w:rsidR="007B2AB8">
        <w:t>PNG Government</w:t>
      </w:r>
      <w:r w:rsidRPr="000D7060">
        <w:t xml:space="preserve"> in 2008 included medical supplies, governance arrangements, human resources and health financing. </w:t>
      </w:r>
    </w:p>
    <w:p w:rsidR="000D7060" w:rsidRPr="000D7060" w:rsidRDefault="005A3337" w:rsidP="00991F19">
      <w:pPr>
        <w:pStyle w:val="BodyText"/>
      </w:pPr>
      <w:r>
        <w:lastRenderedPageBreak/>
        <w:t xml:space="preserve">In 2008 </w:t>
      </w:r>
      <w:smartTag w:uri="urn:schemas-microsoft-com:office:smarttags" w:element="place">
        <w:smartTag w:uri="urn:schemas-microsoft-com:office:smarttags" w:element="country-region">
          <w:r w:rsidR="000D7060" w:rsidRPr="000D7060">
            <w:t>Australia</w:t>
          </w:r>
        </w:smartTag>
      </w:smartTag>
      <w:r w:rsidR="00840D50">
        <w:t>,</w:t>
      </w:r>
      <w:r w:rsidR="00E06D4A">
        <w:t xml:space="preserve"> </w:t>
      </w:r>
      <w:r w:rsidR="00840D50">
        <w:t>with</w:t>
      </w:r>
      <w:r w:rsidR="00E06D4A">
        <w:t xml:space="preserve"> other development partners</w:t>
      </w:r>
      <w:r w:rsidR="00840D50">
        <w:t>,</w:t>
      </w:r>
      <w:r w:rsidR="000D7060" w:rsidRPr="000D7060">
        <w:t xml:space="preserve"> supported PNG </w:t>
      </w:r>
      <w:r>
        <w:t>in</w:t>
      </w:r>
      <w:r w:rsidR="000D7060" w:rsidRPr="000D7060">
        <w:t xml:space="preserve">: </w:t>
      </w:r>
    </w:p>
    <w:p w:rsidR="000D7060" w:rsidRPr="000D7060" w:rsidRDefault="000D7060" w:rsidP="00991F19">
      <w:pPr>
        <w:pStyle w:val="ListBullet"/>
      </w:pPr>
      <w:r w:rsidRPr="000D7060">
        <w:rPr>
          <w:b/>
        </w:rPr>
        <w:t>Immunis</w:t>
      </w:r>
      <w:r w:rsidR="005A3337">
        <w:rPr>
          <w:b/>
        </w:rPr>
        <w:t>ing</w:t>
      </w:r>
      <w:r w:rsidRPr="000D7060">
        <w:rPr>
          <w:b/>
        </w:rPr>
        <w:t xml:space="preserve"> </w:t>
      </w:r>
      <w:r w:rsidR="005A3337">
        <w:rPr>
          <w:b/>
        </w:rPr>
        <w:t>more than</w:t>
      </w:r>
      <w:r w:rsidR="005A3337" w:rsidRPr="000D7060">
        <w:rPr>
          <w:b/>
        </w:rPr>
        <w:t xml:space="preserve"> </w:t>
      </w:r>
      <w:r w:rsidRPr="000D7060">
        <w:rPr>
          <w:b/>
        </w:rPr>
        <w:t>900</w:t>
      </w:r>
      <w:r w:rsidR="000742E6">
        <w:rPr>
          <w:b/>
        </w:rPr>
        <w:t> </w:t>
      </w:r>
      <w:r w:rsidRPr="000D7060">
        <w:rPr>
          <w:b/>
        </w:rPr>
        <w:t>000 children against measles and other childhood illnesses</w:t>
      </w:r>
      <w:r w:rsidRPr="000D7060">
        <w:t xml:space="preserve">, with </w:t>
      </w:r>
      <w:r w:rsidR="005A3337">
        <w:t>six</w:t>
      </w:r>
      <w:r w:rsidR="005A3337" w:rsidRPr="000D7060">
        <w:t xml:space="preserve"> </w:t>
      </w:r>
      <w:r w:rsidRPr="000D7060">
        <w:t xml:space="preserve">provinces reaching </w:t>
      </w:r>
      <w:r w:rsidR="005A3337">
        <w:t>more than</w:t>
      </w:r>
      <w:r w:rsidR="005A3337" w:rsidRPr="000D7060">
        <w:t xml:space="preserve"> </w:t>
      </w:r>
      <w:r w:rsidRPr="000D7060">
        <w:t>95</w:t>
      </w:r>
      <w:r w:rsidR="001B735E">
        <w:t> per cent</w:t>
      </w:r>
      <w:r w:rsidRPr="000D7060">
        <w:t xml:space="preserve"> of children. This was a good example of development partners</w:t>
      </w:r>
      <w:r w:rsidR="00E06D4A">
        <w:t>,</w:t>
      </w:r>
      <w:r w:rsidRPr="000D7060">
        <w:t xml:space="preserve"> including </w:t>
      </w:r>
      <w:proofErr w:type="spellStart"/>
      <w:r w:rsidRPr="000D7060">
        <w:t>AusAID</w:t>
      </w:r>
      <w:proofErr w:type="spellEnd"/>
      <w:r w:rsidRPr="000D7060">
        <w:t>, WHO and UNICEF</w:t>
      </w:r>
      <w:r w:rsidR="00E06D4A">
        <w:t>,</w:t>
      </w:r>
      <w:r w:rsidRPr="000D7060">
        <w:t xml:space="preserve"> working with the National Department of Health and provincial authorities to implement a common plan.</w:t>
      </w:r>
    </w:p>
    <w:p w:rsidR="000D7060" w:rsidRPr="000D7060" w:rsidRDefault="000D7060" w:rsidP="00991F19">
      <w:pPr>
        <w:pStyle w:val="ListBullet"/>
      </w:pPr>
      <w:r w:rsidRPr="000D7060">
        <w:rPr>
          <w:b/>
        </w:rPr>
        <w:t>Decreas</w:t>
      </w:r>
      <w:r w:rsidR="005A3337">
        <w:rPr>
          <w:b/>
        </w:rPr>
        <w:t>ing</w:t>
      </w:r>
      <w:r w:rsidRPr="000D7060">
        <w:rPr>
          <w:b/>
        </w:rPr>
        <w:t xml:space="preserve"> malaria incidence and deaths</w:t>
      </w:r>
      <w:r w:rsidR="00E06D4A">
        <w:t>.</w:t>
      </w:r>
      <w:r w:rsidRPr="00E06D4A">
        <w:t xml:space="preserve"> </w:t>
      </w:r>
      <w:r w:rsidR="00E06D4A">
        <w:t>C</w:t>
      </w:r>
      <w:r w:rsidRPr="000D7060">
        <w:t>oncerted support from development partners (including the Global Fund) for malaria programs</w:t>
      </w:r>
      <w:r w:rsidR="00E06D4A">
        <w:t xml:space="preserve"> brought about this improvement</w:t>
      </w:r>
      <w:r w:rsidRPr="000D7060">
        <w:t xml:space="preserve">. In 2008 PNG developed </w:t>
      </w:r>
      <w:r w:rsidR="00E06D4A">
        <w:t>the</w:t>
      </w:r>
      <w:r w:rsidR="00E06D4A" w:rsidRPr="000D7060">
        <w:t xml:space="preserve"> </w:t>
      </w:r>
      <w:r w:rsidRPr="000D7060">
        <w:t>National Malaria Control Strategic Plan with support from development partners</w:t>
      </w:r>
      <w:r w:rsidR="00E06D4A">
        <w:t>,</w:t>
      </w:r>
      <w:r w:rsidRPr="000D7060">
        <w:t xml:space="preserve"> including </w:t>
      </w:r>
      <w:proofErr w:type="spellStart"/>
      <w:r w:rsidRPr="000D7060">
        <w:t>AusAID</w:t>
      </w:r>
      <w:proofErr w:type="spellEnd"/>
      <w:r w:rsidRPr="000D7060">
        <w:t>.</w:t>
      </w:r>
    </w:p>
    <w:p w:rsidR="000D7060" w:rsidRPr="000D7060" w:rsidRDefault="000D7060" w:rsidP="00991F19">
      <w:pPr>
        <w:pStyle w:val="ListBullet"/>
      </w:pPr>
      <w:r w:rsidRPr="000D7060">
        <w:rPr>
          <w:b/>
        </w:rPr>
        <w:t>Increas</w:t>
      </w:r>
      <w:r w:rsidR="005A3337">
        <w:rPr>
          <w:b/>
        </w:rPr>
        <w:t>ing</w:t>
      </w:r>
      <w:r w:rsidRPr="000D7060">
        <w:rPr>
          <w:b/>
        </w:rPr>
        <w:t xml:space="preserve"> the coverage of </w:t>
      </w:r>
      <w:r w:rsidR="000742E6">
        <w:rPr>
          <w:b/>
        </w:rPr>
        <w:t>its</w:t>
      </w:r>
      <w:r w:rsidRPr="000D7060">
        <w:rPr>
          <w:b/>
        </w:rPr>
        <w:t xml:space="preserve"> National TB Program</w:t>
      </w:r>
      <w:r w:rsidRPr="000D7060">
        <w:t xml:space="preserve"> from 15</w:t>
      </w:r>
      <w:r w:rsidR="001B735E">
        <w:t> per cent</w:t>
      </w:r>
      <w:r w:rsidRPr="000D7060">
        <w:t xml:space="preserve"> of the population in 2007 to 34</w:t>
      </w:r>
      <w:r w:rsidR="001B735E">
        <w:t> per cent</w:t>
      </w:r>
      <w:r w:rsidRPr="000D7060">
        <w:t xml:space="preserve"> in 2008. This expanded access to high</w:t>
      </w:r>
      <w:r w:rsidR="00E06D4A">
        <w:t>-</w:t>
      </w:r>
      <w:r w:rsidRPr="000D7060">
        <w:t>quality fixed</w:t>
      </w:r>
      <w:r w:rsidR="00E06D4A">
        <w:t>-</w:t>
      </w:r>
      <w:r w:rsidRPr="000D7060">
        <w:t>dose combination drugs</w:t>
      </w:r>
      <w:r w:rsidR="00E06D4A">
        <w:t>, which are</w:t>
      </w:r>
      <w:r w:rsidRPr="000D7060">
        <w:t xml:space="preserve"> now available in 39 districts </w:t>
      </w:r>
      <w:r w:rsidR="00E06D4A">
        <w:t>(</w:t>
      </w:r>
      <w:r w:rsidRPr="000D7060">
        <w:t xml:space="preserve">up from 12 in 2007). Treatment success rates </w:t>
      </w:r>
      <w:r w:rsidR="00031100">
        <w:t>reached</w:t>
      </w:r>
      <w:r w:rsidRPr="000D7060">
        <w:t xml:space="preserve"> 71</w:t>
      </w:r>
      <w:r w:rsidR="001B735E">
        <w:t> per cent</w:t>
      </w:r>
      <w:r w:rsidRPr="000D7060">
        <w:t xml:space="preserve"> in 2007 (up from 53</w:t>
      </w:r>
      <w:r w:rsidR="001B735E">
        <w:t> per cent</w:t>
      </w:r>
      <w:r w:rsidRPr="000D7060">
        <w:t xml:space="preserve"> in 2002).</w:t>
      </w:r>
    </w:p>
    <w:p w:rsidR="000D7060" w:rsidRPr="000D7060" w:rsidRDefault="000D7060" w:rsidP="00991F19">
      <w:pPr>
        <w:pStyle w:val="ListBullet"/>
      </w:pPr>
      <w:r w:rsidRPr="000D7060">
        <w:rPr>
          <w:b/>
        </w:rPr>
        <w:t>Increas</w:t>
      </w:r>
      <w:r w:rsidR="005A3337">
        <w:rPr>
          <w:b/>
        </w:rPr>
        <w:t>ing</w:t>
      </w:r>
      <w:r w:rsidRPr="000D7060">
        <w:rPr>
          <w:b/>
        </w:rPr>
        <w:t xml:space="preserve"> education </w:t>
      </w:r>
      <w:r w:rsidR="00E06D4A">
        <w:rPr>
          <w:b/>
        </w:rPr>
        <w:t>on</w:t>
      </w:r>
      <w:r w:rsidR="00D763D3">
        <w:rPr>
          <w:b/>
        </w:rPr>
        <w:t xml:space="preserve"> </w:t>
      </w:r>
      <w:r w:rsidR="00D763D3" w:rsidRPr="00D763D3">
        <w:rPr>
          <w:b/>
        </w:rPr>
        <w:t>sexually transmitted infections</w:t>
      </w:r>
      <w:r w:rsidR="00D763D3" w:rsidRPr="00541E6E">
        <w:t xml:space="preserve"> </w:t>
      </w:r>
      <w:r w:rsidRPr="000D7060">
        <w:rPr>
          <w:b/>
        </w:rPr>
        <w:t>in PNG</w:t>
      </w:r>
      <w:r w:rsidR="00E06D4A">
        <w:rPr>
          <w:b/>
        </w:rPr>
        <w:t xml:space="preserve"> and their treatment</w:t>
      </w:r>
      <w:r w:rsidRPr="000D7060">
        <w:t xml:space="preserve">. The PNG Australia Sexual Health Improvement </w:t>
      </w:r>
      <w:r w:rsidR="00E06D4A" w:rsidRPr="000D7060">
        <w:t xml:space="preserve">Program </w:t>
      </w:r>
      <w:r w:rsidRPr="000D7060">
        <w:t xml:space="preserve">established 12 sites in </w:t>
      </w:r>
      <w:r w:rsidR="00E06D4A">
        <w:t>eight</w:t>
      </w:r>
      <w:r w:rsidR="00E06D4A" w:rsidRPr="000D7060">
        <w:t xml:space="preserve"> </w:t>
      </w:r>
      <w:r w:rsidRPr="000D7060">
        <w:t xml:space="preserve">provinces in 2008. </w:t>
      </w:r>
    </w:p>
    <w:p w:rsidR="000D7060" w:rsidRPr="000D7060" w:rsidRDefault="000D7060" w:rsidP="00991F19">
      <w:pPr>
        <w:pStyle w:val="ListBullet"/>
      </w:pPr>
      <w:r w:rsidRPr="000D7060">
        <w:rPr>
          <w:b/>
        </w:rPr>
        <w:t>Maintain</w:t>
      </w:r>
      <w:r w:rsidR="005A3337">
        <w:rPr>
          <w:b/>
        </w:rPr>
        <w:t>ing</w:t>
      </w:r>
      <w:r w:rsidRPr="000D7060">
        <w:rPr>
          <w:b/>
        </w:rPr>
        <w:t xml:space="preserve"> critical functions of </w:t>
      </w:r>
      <w:r w:rsidR="002F62C2">
        <w:rPr>
          <w:b/>
        </w:rPr>
        <w:t xml:space="preserve">the </w:t>
      </w:r>
      <w:r w:rsidR="002F62C2" w:rsidRPr="002F62C2">
        <w:rPr>
          <w:b/>
        </w:rPr>
        <w:t>National Department of Health</w:t>
      </w:r>
      <w:r w:rsidRPr="000D7060">
        <w:t>. The</w:t>
      </w:r>
      <w:r w:rsidR="00031100">
        <w:t> </w:t>
      </w:r>
      <w:r w:rsidRPr="000D7060">
        <w:t xml:space="preserve">Capacity Building Service Centre provided much needed in-line support to critical functions of </w:t>
      </w:r>
      <w:r w:rsidR="002F62C2">
        <w:t>the National Department of Health</w:t>
      </w:r>
      <w:r w:rsidR="00E06D4A">
        <w:t xml:space="preserve"> </w:t>
      </w:r>
      <w:r w:rsidR="00493658">
        <w:t>covering</w:t>
      </w:r>
      <w:r w:rsidR="00E06D4A">
        <w:t>, for example,</w:t>
      </w:r>
      <w:r w:rsidRPr="000D7060">
        <w:t xml:space="preserve"> HIV/AIDS, </w:t>
      </w:r>
      <w:r w:rsidR="00E06D4A">
        <w:t>maternal welfare</w:t>
      </w:r>
      <w:r w:rsidRPr="000D7060">
        <w:t xml:space="preserve">, immunisation and disease control. </w:t>
      </w:r>
      <w:r w:rsidR="00662C24">
        <w:t>It</w:t>
      </w:r>
      <w:r w:rsidRPr="000D7060">
        <w:t xml:space="preserve"> also maintained functionality within </w:t>
      </w:r>
      <w:r w:rsidR="00F15CCA">
        <w:t>the</w:t>
      </w:r>
      <w:r w:rsidR="00F15CCA" w:rsidRPr="000D7060">
        <w:t xml:space="preserve"> </w:t>
      </w:r>
      <w:r w:rsidRPr="000D7060">
        <w:t>management branch</w:t>
      </w:r>
      <w:r w:rsidR="00F15CCA">
        <w:t xml:space="preserve"> of the </w:t>
      </w:r>
      <w:r w:rsidR="00F15CCA" w:rsidRPr="00461025">
        <w:t>Health Services Improvement Program</w:t>
      </w:r>
      <w:r w:rsidRPr="000D7060">
        <w:t>, including procurement and audit units</w:t>
      </w:r>
      <w:r w:rsidR="00F15CCA">
        <w:t>.</w:t>
      </w:r>
      <w:r w:rsidRPr="002A7D93">
        <w:rPr>
          <w:rStyle w:val="FootnoteReference"/>
        </w:rPr>
        <w:footnoteReference w:id="42"/>
      </w:r>
      <w:r w:rsidRPr="000D7060">
        <w:t xml:space="preserve"> </w:t>
      </w:r>
      <w:r w:rsidR="00662C24" w:rsidRPr="000D7060">
        <w:t>The Capacity Building Service Centre</w:t>
      </w:r>
      <w:r w:rsidR="006443C2">
        <w:t>,</w:t>
      </w:r>
      <w:r w:rsidR="00662C24" w:rsidRPr="000D7060">
        <w:t xml:space="preserve"> </w:t>
      </w:r>
      <w:r w:rsidR="003C37F2">
        <w:t>using</w:t>
      </w:r>
      <w:r w:rsidR="003C37F2" w:rsidRPr="000D7060">
        <w:t xml:space="preserve"> </w:t>
      </w:r>
      <w:r w:rsidRPr="000D7060">
        <w:t xml:space="preserve">regional teams, also supported </w:t>
      </w:r>
      <w:r w:rsidR="00944F00">
        <w:t>the</w:t>
      </w:r>
      <w:r w:rsidR="00944F00" w:rsidRPr="000D7060">
        <w:t xml:space="preserve"> </w:t>
      </w:r>
      <w:r w:rsidRPr="000D7060">
        <w:t xml:space="preserve">delivery </w:t>
      </w:r>
      <w:r w:rsidR="00944F00">
        <w:t xml:space="preserve">of services </w:t>
      </w:r>
      <w:r w:rsidRPr="000D7060">
        <w:t>at subnational level</w:t>
      </w:r>
      <w:r w:rsidR="006443C2">
        <w:t>s</w:t>
      </w:r>
      <w:r w:rsidRPr="000D7060">
        <w:t xml:space="preserve"> through work with provincial health offices</w:t>
      </w:r>
      <w:r w:rsidR="003C37F2">
        <w:t xml:space="preserve"> and</w:t>
      </w:r>
      <w:r w:rsidRPr="000D7060">
        <w:t xml:space="preserve"> hospitals and at facility level in some districts.</w:t>
      </w:r>
    </w:p>
    <w:p w:rsidR="000D7060" w:rsidRPr="000D7060" w:rsidRDefault="000D7060" w:rsidP="00991F19">
      <w:pPr>
        <w:pStyle w:val="ListBullet"/>
      </w:pPr>
      <w:r w:rsidRPr="000D7060">
        <w:rPr>
          <w:b/>
        </w:rPr>
        <w:t>Conduct</w:t>
      </w:r>
      <w:r w:rsidR="00893209">
        <w:rPr>
          <w:b/>
        </w:rPr>
        <w:t>ing</w:t>
      </w:r>
      <w:r w:rsidRPr="000D7060">
        <w:rPr>
          <w:b/>
        </w:rPr>
        <w:t xml:space="preserve"> research </w:t>
      </w:r>
      <w:r w:rsidR="00840D50">
        <w:rPr>
          <w:b/>
        </w:rPr>
        <w:t xml:space="preserve">that </w:t>
      </w:r>
      <w:r w:rsidRPr="000D7060">
        <w:rPr>
          <w:b/>
        </w:rPr>
        <w:t>target</w:t>
      </w:r>
      <w:r w:rsidR="00840D50">
        <w:rPr>
          <w:b/>
        </w:rPr>
        <w:t>s</w:t>
      </w:r>
      <w:r w:rsidRPr="000D7060">
        <w:rPr>
          <w:b/>
        </w:rPr>
        <w:t xml:space="preserve"> PNG’s health sector priorities</w:t>
      </w:r>
      <w:r w:rsidRPr="000D7060">
        <w:t>. In 2008 the</w:t>
      </w:r>
      <w:r w:rsidR="00031100">
        <w:t> </w:t>
      </w:r>
      <w:smartTag w:uri="urn:schemas-microsoft-com:office:smarttags" w:element="place">
        <w:smartTag w:uri="urn:schemas-microsoft-com:office:smarttags" w:element="PlaceType">
          <w:r w:rsidRPr="000D7060">
            <w:t>Institute</w:t>
          </w:r>
        </w:smartTag>
        <w:r w:rsidRPr="000D7060">
          <w:t xml:space="preserve"> of </w:t>
        </w:r>
        <w:smartTag w:uri="urn:schemas-microsoft-com:office:smarttags" w:element="PlaceName">
          <w:r w:rsidRPr="000D7060">
            <w:t>Medical Research</w:t>
          </w:r>
        </w:smartTag>
      </w:smartTag>
      <w:r w:rsidRPr="000D7060">
        <w:t xml:space="preserve"> published 50 research papers in international peer</w:t>
      </w:r>
      <w:r w:rsidR="00840D50">
        <w:t>-</w:t>
      </w:r>
      <w:r w:rsidRPr="000D7060">
        <w:t>reviewed journals.</w:t>
      </w:r>
    </w:p>
    <w:p w:rsidR="000D7060" w:rsidRPr="000D7060" w:rsidRDefault="000D7060" w:rsidP="00991F19">
      <w:pPr>
        <w:pStyle w:val="ListBullet"/>
      </w:pPr>
      <w:r w:rsidRPr="000D7060">
        <w:rPr>
          <w:b/>
        </w:rPr>
        <w:t>Improv</w:t>
      </w:r>
      <w:r w:rsidR="00893209">
        <w:rPr>
          <w:b/>
        </w:rPr>
        <w:t>ing</w:t>
      </w:r>
      <w:r w:rsidRPr="000D7060">
        <w:rPr>
          <w:b/>
        </w:rPr>
        <w:t xml:space="preserve"> the quality of medical training in PNG</w:t>
      </w:r>
      <w:r w:rsidRPr="000D7060">
        <w:t xml:space="preserve">. Support </w:t>
      </w:r>
      <w:r w:rsidR="00840D50" w:rsidRPr="000D7060">
        <w:t xml:space="preserve">through the Medical School Support Project </w:t>
      </w:r>
      <w:r w:rsidRPr="000D7060">
        <w:t>for the University of Papua New Guinea School of Medicine and Health Sciences improved the quality of medical training in PNG by supporting the development of the problem-based learning curriculum and enabling international visiting lecturers and examiners to help with teaching and examination</w:t>
      </w:r>
      <w:r w:rsidR="00840D50">
        <w:t>s</w:t>
      </w:r>
      <w:r w:rsidRPr="000D7060">
        <w:t>.</w:t>
      </w:r>
    </w:p>
    <w:p w:rsidR="000D7060" w:rsidRPr="000D7060" w:rsidRDefault="000D7060" w:rsidP="00991F19">
      <w:pPr>
        <w:pStyle w:val="BodyText"/>
      </w:pPr>
      <w:r w:rsidRPr="000D7060">
        <w:t xml:space="preserve">In early 2009 </w:t>
      </w:r>
      <w:proofErr w:type="spellStart"/>
      <w:r w:rsidRPr="000D7060">
        <w:t>AusAID</w:t>
      </w:r>
      <w:proofErr w:type="spellEnd"/>
      <w:r w:rsidRPr="000D7060">
        <w:t xml:space="preserve"> recruited a health adviser </w:t>
      </w:r>
      <w:r w:rsidR="0042176A">
        <w:t xml:space="preserve">to be </w:t>
      </w:r>
      <w:r w:rsidRPr="000D7060">
        <w:t xml:space="preserve">responsible for leading </w:t>
      </w:r>
      <w:proofErr w:type="spellStart"/>
      <w:r w:rsidRPr="000D7060">
        <w:t>AusAID’s</w:t>
      </w:r>
      <w:proofErr w:type="spellEnd"/>
      <w:r w:rsidRPr="000D7060">
        <w:t xml:space="preserve"> policy engagement and advocacy on strengthening the </w:t>
      </w:r>
      <w:r w:rsidR="00886C6D">
        <w:t>sector-wide approach</w:t>
      </w:r>
      <w:r w:rsidR="00031100">
        <w:t xml:space="preserve"> to health</w:t>
      </w:r>
      <w:r w:rsidRPr="000D7060">
        <w:t xml:space="preserve">. </w:t>
      </w:r>
      <w:r w:rsidR="0042176A">
        <w:t>Increasing the</w:t>
      </w:r>
      <w:r w:rsidR="0042176A" w:rsidRPr="000D7060">
        <w:t xml:space="preserve"> </w:t>
      </w:r>
      <w:r w:rsidRPr="000D7060">
        <w:t xml:space="preserve">alignment of </w:t>
      </w:r>
      <w:proofErr w:type="spellStart"/>
      <w:r w:rsidRPr="000D7060">
        <w:t>AusAID</w:t>
      </w:r>
      <w:proofErr w:type="spellEnd"/>
      <w:r w:rsidRPr="000D7060">
        <w:t xml:space="preserve"> resources </w:t>
      </w:r>
      <w:r w:rsidR="0042176A">
        <w:t>with</w:t>
      </w:r>
      <w:r w:rsidR="0042176A" w:rsidRPr="000D7060">
        <w:t xml:space="preserve"> </w:t>
      </w:r>
      <w:r w:rsidRPr="000D7060">
        <w:t xml:space="preserve">the </w:t>
      </w:r>
      <w:r w:rsidR="00886C6D">
        <w:t>sector-wide approach</w:t>
      </w:r>
      <w:r w:rsidRPr="000D7060">
        <w:t xml:space="preserve"> (only 17</w:t>
      </w:r>
      <w:r w:rsidR="001B735E">
        <w:t> per cent</w:t>
      </w:r>
      <w:r w:rsidRPr="000D7060">
        <w:t xml:space="preserve"> in 2008) </w:t>
      </w:r>
      <w:r w:rsidR="0042176A">
        <w:t xml:space="preserve">will </w:t>
      </w:r>
      <w:r w:rsidR="00031100">
        <w:t>remain a</w:t>
      </w:r>
      <w:r w:rsidR="0042176A">
        <w:t xml:space="preserve"> priority in 2009, as will </w:t>
      </w:r>
      <w:r w:rsidRPr="000D7060">
        <w:t xml:space="preserve">working closely with the </w:t>
      </w:r>
      <w:r w:rsidR="007B2AB8">
        <w:t>PNG Government</w:t>
      </w:r>
      <w:r w:rsidRPr="000D7060">
        <w:t xml:space="preserve"> and other development partners on overall sector financing, including ensuring provinces have the funds and management authority to fulfil their service delivery responsibilities.</w:t>
      </w:r>
    </w:p>
    <w:p w:rsidR="000D7060" w:rsidRDefault="00D86A59" w:rsidP="00BD684D">
      <w:pPr>
        <w:pStyle w:val="H2A"/>
      </w:pPr>
      <w:bookmarkStart w:id="117" w:name="_Toc237763915"/>
      <w:bookmarkStart w:id="118" w:name="_Toc361224374"/>
      <w:r>
        <w:lastRenderedPageBreak/>
        <w:t>Objective 4:</w:t>
      </w:r>
      <w:r>
        <w:br/>
      </w:r>
      <w:r w:rsidR="000D7060" w:rsidRPr="000D7060">
        <w:t>Improved ability to pr</w:t>
      </w:r>
      <w:r>
        <w:t>ovide law and justice services</w:t>
      </w:r>
      <w:bookmarkEnd w:id="117"/>
      <w:bookmarkEnd w:id="118"/>
    </w:p>
    <w:p w:rsidR="00FD3F88" w:rsidRPr="00FD3F88" w:rsidRDefault="00FD3F88" w:rsidP="00BD684D">
      <w:pPr>
        <w:pStyle w:val="H3A"/>
      </w:pPr>
      <w:bookmarkStart w:id="119" w:name="_Toc361224375"/>
      <w:r>
        <w:t>Rating</w:t>
      </w:r>
      <w:bookmarkEnd w:id="119"/>
    </w:p>
    <w:p w:rsidR="00D86A59" w:rsidRPr="00D86A59" w:rsidRDefault="00BD684D" w:rsidP="00BD684D">
      <w:pPr>
        <w:pStyle w:val="Ratingamber"/>
        <w:numPr>
          <w:ilvl w:val="0"/>
          <w:numId w:val="0"/>
        </w:numPr>
        <w:ind w:left="567" w:hanging="567"/>
      </w:pPr>
      <w:r>
        <w:rPr>
          <w:noProof/>
          <w:lang w:val="en-US" w:eastAsia="en-US"/>
        </w:rPr>
        <w:drawing>
          <wp:inline distT="0" distB="0" distL="0" distR="0" wp14:anchorId="1F09CA44" wp14:editId="55A149ED">
            <wp:extent cx="95238" cy="95238"/>
            <wp:effectExtent l="0" t="0" r="635" b="635"/>
            <wp:docPr id="20" name="Picture 20"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mbeer.png"/>
                    <pic:cNvPicPr/>
                  </pic:nvPicPr>
                  <pic:blipFill>
                    <a:blip r:embed="rId20">
                      <a:extLst>
                        <a:ext uri="{28A0092B-C50C-407E-A947-70E740481C1C}">
                          <a14:useLocalDpi xmlns:a14="http://schemas.microsoft.com/office/drawing/2010/main" val="0"/>
                        </a:ext>
                      </a:extLst>
                    </a:blip>
                    <a:stretch>
                      <a:fillRect/>
                    </a:stretch>
                  </pic:blipFill>
                  <pic:spPr>
                    <a:xfrm>
                      <a:off x="0" y="0"/>
                      <a:ext cx="95238" cy="95238"/>
                    </a:xfrm>
                    <a:prstGeom prst="rect">
                      <a:avLst/>
                    </a:prstGeom>
                  </pic:spPr>
                </pic:pic>
              </a:graphicData>
            </a:graphic>
          </wp:inline>
        </w:drawing>
      </w:r>
      <w:r>
        <w:tab/>
      </w:r>
      <w:r w:rsidR="001B735E" w:rsidRPr="00011299">
        <w:t>The objective will be partly achieved within the timeframe of the strategy</w:t>
      </w:r>
      <w:r w:rsidR="001B735E">
        <w:t>.</w:t>
      </w:r>
    </w:p>
    <w:p w:rsidR="000D7060" w:rsidRPr="000D7060" w:rsidRDefault="000D7060" w:rsidP="00991F19">
      <w:pPr>
        <w:pStyle w:val="BodyText"/>
      </w:pPr>
      <w:r w:rsidRPr="000D7060">
        <w:t>The rating reflects continuing progress in strengthening the management of the eight sector</w:t>
      </w:r>
      <w:r w:rsidR="00DD02A8">
        <w:t>al</w:t>
      </w:r>
      <w:r w:rsidRPr="000D7060">
        <w:t xml:space="preserve"> agencies and some improvements in service delivery. Re-</w:t>
      </w:r>
      <w:r w:rsidR="00136D9B" w:rsidRPr="000D7060">
        <w:t>engag</w:t>
      </w:r>
      <w:r w:rsidR="00136D9B">
        <w:t>ing</w:t>
      </w:r>
      <w:r w:rsidR="00136D9B" w:rsidRPr="000D7060">
        <w:t xml:space="preserve"> </w:t>
      </w:r>
      <w:r w:rsidRPr="000D7060">
        <w:t>with the police offers the prospect of improvements in that agency</w:t>
      </w:r>
      <w:r w:rsidR="00136D9B">
        <w:t>,</w:t>
      </w:r>
      <w:r w:rsidRPr="000D7060">
        <w:t xml:space="preserve"> which </w:t>
      </w:r>
      <w:r w:rsidR="00371987">
        <w:t xml:space="preserve">to date </w:t>
      </w:r>
      <w:r w:rsidRPr="000D7060">
        <w:t xml:space="preserve">has generated the greatest risk to </w:t>
      </w:r>
      <w:r w:rsidR="00136D9B">
        <w:t xml:space="preserve">the </w:t>
      </w:r>
      <w:r w:rsidRPr="000D7060">
        <w:t>achievement of objectives</w:t>
      </w:r>
      <w:r w:rsidR="00136D9B">
        <w:t xml:space="preserve"> in law and justice</w:t>
      </w:r>
      <w:r w:rsidRPr="000D7060">
        <w:t>.</w:t>
      </w:r>
    </w:p>
    <w:p w:rsidR="00FD3F88" w:rsidRPr="00541E6E" w:rsidRDefault="00FD3F88" w:rsidP="00BD684D">
      <w:pPr>
        <w:pStyle w:val="H3A"/>
      </w:pPr>
      <w:bookmarkStart w:id="120" w:name="_Toc361224376"/>
      <w:r w:rsidRPr="00541E6E">
        <w:t>Assessment of results and performance</w:t>
      </w:r>
      <w:bookmarkEnd w:id="120"/>
    </w:p>
    <w:p w:rsidR="000D7060" w:rsidRPr="00D763D3" w:rsidRDefault="000D7060" w:rsidP="00991F19">
      <w:pPr>
        <w:pStyle w:val="BodyText"/>
      </w:pPr>
      <w:r w:rsidRPr="000D7060">
        <w:t xml:space="preserve">Support </w:t>
      </w:r>
      <w:r w:rsidR="00136D9B">
        <w:t>for</w:t>
      </w:r>
      <w:r w:rsidR="00136D9B" w:rsidRPr="000D7060">
        <w:t xml:space="preserve"> </w:t>
      </w:r>
      <w:r w:rsidRPr="000D7060">
        <w:t>the law and justice sector continu</w:t>
      </w:r>
      <w:r w:rsidR="00F02584">
        <w:t>ed</w:t>
      </w:r>
      <w:r w:rsidRPr="000D7060">
        <w:t xml:space="preserve"> to achieve measurable progress </w:t>
      </w:r>
      <w:r w:rsidR="00136D9B">
        <w:t>towards</w:t>
      </w:r>
      <w:r w:rsidR="00136D9B" w:rsidRPr="000D7060">
        <w:t xml:space="preserve"> </w:t>
      </w:r>
      <w:r w:rsidRPr="000D7060">
        <w:t xml:space="preserve">most of its </w:t>
      </w:r>
      <w:r w:rsidR="00136D9B">
        <w:t>objectives</w:t>
      </w:r>
      <w:r w:rsidRPr="000D7060">
        <w:t>. Where there is strong leadership at senior levels, activities progress</w:t>
      </w:r>
      <w:r w:rsidR="00F02584">
        <w:t>ed</w:t>
      </w:r>
      <w:r w:rsidRPr="000D7060">
        <w:t xml:space="preserve"> well and </w:t>
      </w:r>
      <w:r w:rsidR="00F02584">
        <w:t>began</w:t>
      </w:r>
      <w:r w:rsidR="00F02584" w:rsidRPr="000D7060">
        <w:t xml:space="preserve"> </w:t>
      </w:r>
      <w:r w:rsidRPr="000D7060">
        <w:t xml:space="preserve">to lead to visible </w:t>
      </w:r>
      <w:r w:rsidR="00136D9B">
        <w:t xml:space="preserve">improvements in </w:t>
      </w:r>
      <w:r w:rsidRPr="000D7060">
        <w:t xml:space="preserve">service delivery such as in legal aid, the district courts and crime prevention </w:t>
      </w:r>
      <w:r w:rsidR="00136D9B">
        <w:t>at the local level</w:t>
      </w:r>
      <w:r w:rsidRPr="000D7060">
        <w:t>. However</w:t>
      </w:r>
      <w:r w:rsidR="00F02584">
        <w:t>,</w:t>
      </w:r>
      <w:r w:rsidRPr="000D7060">
        <w:t xml:space="preserve"> where there have been management or leadership issues</w:t>
      </w:r>
      <w:r w:rsidR="00F02584">
        <w:t>,</w:t>
      </w:r>
      <w:r w:rsidRPr="000D7060">
        <w:t xml:space="preserve"> progress </w:t>
      </w:r>
      <w:r w:rsidR="00F02584">
        <w:t>was</w:t>
      </w:r>
      <w:r w:rsidRPr="000D7060">
        <w:t xml:space="preserve"> less </w:t>
      </w:r>
      <w:r w:rsidR="00F02584">
        <w:t>apparent</w:t>
      </w:r>
      <w:r w:rsidRPr="000D7060">
        <w:t xml:space="preserve">. This was the case in the Ombudsman Commission and the </w:t>
      </w:r>
      <w:r w:rsidR="00031100" w:rsidRPr="000D7060">
        <w:t xml:space="preserve">national courts </w:t>
      </w:r>
      <w:r w:rsidRPr="000D7060">
        <w:t>until late 2008</w:t>
      </w:r>
      <w:r w:rsidR="00F02584">
        <w:t>,</w:t>
      </w:r>
      <w:r w:rsidRPr="000D7060">
        <w:t xml:space="preserve"> when a new Chief Justice and </w:t>
      </w:r>
      <w:r w:rsidR="005D06D0">
        <w:t xml:space="preserve">a </w:t>
      </w:r>
      <w:r w:rsidRPr="000D7060">
        <w:t xml:space="preserve">Chief Ombudsman were appointed. Where significant donor support </w:t>
      </w:r>
      <w:r w:rsidR="00F02584">
        <w:t>was</w:t>
      </w:r>
      <w:r w:rsidRPr="000D7060">
        <w:t xml:space="preserve"> lacking, there </w:t>
      </w:r>
      <w:r w:rsidR="00F02584">
        <w:t>was</w:t>
      </w:r>
      <w:r w:rsidR="00F02584" w:rsidRPr="000D7060">
        <w:t xml:space="preserve"> </w:t>
      </w:r>
      <w:r w:rsidRPr="000D7060">
        <w:t xml:space="preserve">equally less evidence of progress, which </w:t>
      </w:r>
      <w:r w:rsidR="005D06D0">
        <w:t>was</w:t>
      </w:r>
      <w:r w:rsidR="005D06D0" w:rsidRPr="000D7060">
        <w:t xml:space="preserve"> </w:t>
      </w:r>
      <w:r w:rsidRPr="000D7060">
        <w:t xml:space="preserve">the case for the </w:t>
      </w:r>
      <w:r w:rsidR="00D763D3" w:rsidRPr="00D763D3">
        <w:t>Royal Papua New Guinea Constabulary</w:t>
      </w:r>
      <w:r w:rsidRPr="00D763D3">
        <w:t>.</w:t>
      </w:r>
    </w:p>
    <w:p w:rsidR="000D7060" w:rsidRPr="000D7060" w:rsidRDefault="000D7060" w:rsidP="00991F19">
      <w:pPr>
        <w:pStyle w:val="BodyText"/>
      </w:pPr>
      <w:r w:rsidRPr="000D7060">
        <w:t>In 2008 the combined recurrent budget for the law and justice agencies increased by 11.5</w:t>
      </w:r>
      <w:r w:rsidR="001B735E">
        <w:t> per cent</w:t>
      </w:r>
      <w:r w:rsidRPr="000D7060">
        <w:t>. The development budget increased by 17</w:t>
      </w:r>
      <w:r w:rsidR="001B735E">
        <w:t> per cent</w:t>
      </w:r>
      <w:r w:rsidRPr="000D7060">
        <w:t xml:space="preserve">, of which the vast majority came from </w:t>
      </w:r>
      <w:r w:rsidR="007B2AB8">
        <w:t>the PNG Government</w:t>
      </w:r>
      <w:r w:rsidRPr="000D7060">
        <w:t xml:space="preserve">. This </w:t>
      </w:r>
      <w:r w:rsidR="00CC03F4">
        <w:t>was</w:t>
      </w:r>
      <w:r w:rsidR="00CC03F4" w:rsidRPr="000D7060">
        <w:t xml:space="preserve"> </w:t>
      </w:r>
      <w:r w:rsidRPr="000D7060">
        <w:t xml:space="preserve">commensurate with the identification of law and justice as a priority sector </w:t>
      </w:r>
      <w:r w:rsidR="00CC03F4">
        <w:t>in</w:t>
      </w:r>
      <w:r w:rsidR="00CC03F4" w:rsidRPr="000D7060">
        <w:t xml:space="preserve"> </w:t>
      </w:r>
      <w:r w:rsidRPr="000D7060">
        <w:t>2008 and</w:t>
      </w:r>
      <w:r w:rsidR="00CC03F4">
        <w:t xml:space="preserve"> reflected</w:t>
      </w:r>
      <w:r w:rsidRPr="000D7060">
        <w:t xml:space="preserve"> improved engagement between the law and justice sector and central agencies. Increased recurrent budget allocations </w:t>
      </w:r>
      <w:r w:rsidR="00CC03F4" w:rsidRPr="000D7060">
        <w:t>in recent years</w:t>
      </w:r>
      <w:r w:rsidR="00CC03F4" w:rsidRPr="000D7060" w:rsidDel="00CC03F4">
        <w:t xml:space="preserve"> </w:t>
      </w:r>
      <w:r w:rsidRPr="000D7060">
        <w:t>have significant</w:t>
      </w:r>
      <w:r w:rsidR="00CC03F4">
        <w:t>ly</w:t>
      </w:r>
      <w:r w:rsidRPr="000D7060">
        <w:t xml:space="preserve"> boost</w:t>
      </w:r>
      <w:r w:rsidR="00CC03F4">
        <w:t>ed</w:t>
      </w:r>
      <w:r w:rsidRPr="000D7060">
        <w:t xml:space="preserve"> </w:t>
      </w:r>
      <w:r w:rsidR="00CC03F4">
        <w:t xml:space="preserve">the </w:t>
      </w:r>
      <w:r w:rsidRPr="000D7060">
        <w:t>performance</w:t>
      </w:r>
      <w:r w:rsidR="00CC03F4">
        <w:t xml:space="preserve"> of agencies</w:t>
      </w:r>
      <w:r w:rsidRPr="000D7060">
        <w:t xml:space="preserve">, </w:t>
      </w:r>
      <w:r w:rsidR="00CC03F4">
        <w:t>which</w:t>
      </w:r>
      <w:r w:rsidR="00CC03F4" w:rsidRPr="000D7060">
        <w:t xml:space="preserve"> </w:t>
      </w:r>
      <w:r w:rsidR="00CC03F4">
        <w:t xml:space="preserve">have </w:t>
      </w:r>
      <w:r w:rsidRPr="000D7060">
        <w:t>invest</w:t>
      </w:r>
      <w:r w:rsidR="00CC03F4">
        <w:t xml:space="preserve">ed more in </w:t>
      </w:r>
      <w:r w:rsidRPr="000D7060">
        <w:t>maintain</w:t>
      </w:r>
      <w:r w:rsidR="00CC03F4">
        <w:t>ing</w:t>
      </w:r>
      <w:r w:rsidRPr="000D7060">
        <w:t xml:space="preserve"> infrastructure and assets, which will benefit capacity in the longer term and result in more sustainable investments. </w:t>
      </w:r>
    </w:p>
    <w:p w:rsidR="000D7060" w:rsidRPr="000D7060" w:rsidRDefault="000D7060" w:rsidP="00991F19">
      <w:pPr>
        <w:pStyle w:val="BodyText"/>
      </w:pPr>
      <w:r w:rsidRPr="000D7060">
        <w:t xml:space="preserve">A new program of support </w:t>
      </w:r>
      <w:r w:rsidR="00B57D29">
        <w:t>for</w:t>
      </w:r>
      <w:r w:rsidR="00B57D29" w:rsidRPr="000D7060">
        <w:t xml:space="preserve"> </w:t>
      </w:r>
      <w:r w:rsidRPr="000D7060">
        <w:t xml:space="preserve">law and justice was finalised in 2008 through a genuinely joint process, </w:t>
      </w:r>
      <w:r w:rsidR="00B57D29">
        <w:t>which had</w:t>
      </w:r>
      <w:r w:rsidR="00B57D29" w:rsidRPr="000D7060">
        <w:t xml:space="preserve"> </w:t>
      </w:r>
      <w:r w:rsidRPr="000D7060">
        <w:t>the support and contribution</w:t>
      </w:r>
      <w:r w:rsidR="00B57D29">
        <w:t>s</w:t>
      </w:r>
      <w:r w:rsidRPr="000D7060">
        <w:t xml:space="preserve"> of a large range of stakeholders</w:t>
      </w:r>
      <w:r w:rsidR="00B57D29">
        <w:t>,</w:t>
      </w:r>
      <w:r w:rsidRPr="000D7060">
        <w:t xml:space="preserve"> both in PNG at national and </w:t>
      </w:r>
      <w:r w:rsidR="007F26AF">
        <w:t>sub</w:t>
      </w:r>
      <w:r w:rsidRPr="000D7060">
        <w:t xml:space="preserve">national levels and in </w:t>
      </w:r>
      <w:smartTag w:uri="urn:schemas-microsoft-com:office:smarttags" w:element="place">
        <w:smartTag w:uri="urn:schemas-microsoft-com:office:smarttags" w:element="country-region">
          <w:r w:rsidRPr="000D7060">
            <w:t>Australia</w:t>
          </w:r>
        </w:smartTag>
      </w:smartTag>
      <w:r w:rsidRPr="000D7060">
        <w:t xml:space="preserve">. Joint governance and management arrangements </w:t>
      </w:r>
      <w:r w:rsidR="00B57D29">
        <w:t>were</w:t>
      </w:r>
      <w:r w:rsidRPr="000D7060">
        <w:t xml:space="preserve"> designed to ensure that PNG’s ownership and leadership of the reform agenda </w:t>
      </w:r>
      <w:r w:rsidR="00031100">
        <w:t>are</w:t>
      </w:r>
      <w:r w:rsidR="00031100" w:rsidRPr="000D7060">
        <w:t xml:space="preserve"> </w:t>
      </w:r>
      <w:r w:rsidRPr="000D7060">
        <w:t>maintained and strengthened, while meeting the accountability requirements of both governments. Under the new program, planning, budgeting and implementation will be undertaken on an annual b</w:t>
      </w:r>
      <w:r w:rsidR="007B2AB8">
        <w:t xml:space="preserve">asis through the </w:t>
      </w:r>
      <w:r w:rsidRPr="000D7060">
        <w:t>PNG</w:t>
      </w:r>
      <w:r w:rsidR="007B2AB8">
        <w:t xml:space="preserve"> Government</w:t>
      </w:r>
      <w:r w:rsidRPr="000D7060">
        <w:t xml:space="preserve">’s systems and processes, which </w:t>
      </w:r>
      <w:r w:rsidR="00B57D29">
        <w:t>also</w:t>
      </w:r>
      <w:r w:rsidR="00B57D29" w:rsidRPr="000D7060">
        <w:t xml:space="preserve"> </w:t>
      </w:r>
      <w:r w:rsidRPr="000D7060">
        <w:t xml:space="preserve">will </w:t>
      </w:r>
      <w:r w:rsidR="00B57D29">
        <w:t>receive</w:t>
      </w:r>
      <w:r w:rsidRPr="000D7060">
        <w:t xml:space="preserve"> significant support. As a result of this</w:t>
      </w:r>
      <w:r w:rsidR="00576596">
        <w:t xml:space="preserve"> joint</w:t>
      </w:r>
      <w:r w:rsidRPr="000D7060">
        <w:t xml:space="preserve"> process, the </w:t>
      </w:r>
      <w:r w:rsidR="00576596">
        <w:t xml:space="preserve">program </w:t>
      </w:r>
      <w:r w:rsidRPr="000D7060">
        <w:t xml:space="preserve">design </w:t>
      </w:r>
      <w:r w:rsidR="00576596">
        <w:t>was</w:t>
      </w:r>
      <w:r w:rsidRPr="000D7060">
        <w:t xml:space="preserve"> well received by PNG </w:t>
      </w:r>
      <w:r w:rsidR="007B2AB8" w:rsidRPr="000D7060">
        <w:t xml:space="preserve">government </w:t>
      </w:r>
      <w:r w:rsidRPr="000D7060">
        <w:t xml:space="preserve">partners from within the law and justice sector and the </w:t>
      </w:r>
      <w:r w:rsidR="0049163F" w:rsidRPr="00011299">
        <w:t>Department of National Planning and Monitoring</w:t>
      </w:r>
      <w:r w:rsidRPr="000D7060">
        <w:t xml:space="preserve">, </w:t>
      </w:r>
      <w:r w:rsidR="00CF7472">
        <w:t>which augurs</w:t>
      </w:r>
      <w:r w:rsidRPr="000D7060">
        <w:t xml:space="preserve"> well </w:t>
      </w:r>
      <w:r w:rsidR="00CF7472">
        <w:t>for the</w:t>
      </w:r>
      <w:r w:rsidRPr="000D7060">
        <w:t xml:space="preserve"> develop</w:t>
      </w:r>
      <w:r w:rsidR="00CF7472">
        <w:t>ment of</w:t>
      </w:r>
      <w:r w:rsidRPr="000D7060">
        <w:t xml:space="preserve"> the law and justice schedule </w:t>
      </w:r>
      <w:r w:rsidR="008D3EF4">
        <w:t>of</w:t>
      </w:r>
      <w:r w:rsidR="008D3EF4" w:rsidRPr="000D7060">
        <w:t xml:space="preserve"> </w:t>
      </w:r>
      <w:r w:rsidRPr="000D7060">
        <w:t>the Partnership for Development in 2009.</w:t>
      </w:r>
    </w:p>
    <w:p w:rsidR="000D7060" w:rsidRPr="000D7060" w:rsidRDefault="000D7060" w:rsidP="00991F19">
      <w:pPr>
        <w:pStyle w:val="BodyText"/>
      </w:pPr>
      <w:r w:rsidRPr="000D7060">
        <w:t>In 2008 Australian support</w:t>
      </w:r>
      <w:r w:rsidR="00CF7472">
        <w:t xml:space="preserve"> assist</w:t>
      </w:r>
      <w:r w:rsidRPr="000D7060">
        <w:t>ed PNG to:</w:t>
      </w:r>
    </w:p>
    <w:p w:rsidR="000D7060" w:rsidRPr="000D7060" w:rsidRDefault="000D7060" w:rsidP="00991F19">
      <w:pPr>
        <w:pStyle w:val="ListBullet"/>
      </w:pPr>
      <w:r w:rsidRPr="000D7060">
        <w:rPr>
          <w:b/>
        </w:rPr>
        <w:t>Improve services for victims of domestic and sexual violence</w:t>
      </w:r>
      <w:r w:rsidRPr="000D7060">
        <w:t xml:space="preserve">. </w:t>
      </w:r>
      <w:smartTag w:uri="urn:schemas-microsoft-com:office:smarttags" w:element="place">
        <w:smartTag w:uri="urn:schemas-microsoft-com:office:smarttags" w:element="City">
          <w:r w:rsidRPr="000D7060">
            <w:t>Port Moresby</w:t>
          </w:r>
        </w:smartTag>
      </w:smartTag>
      <w:r w:rsidRPr="000D7060">
        <w:t xml:space="preserve">’s </w:t>
      </w:r>
      <w:proofErr w:type="spellStart"/>
      <w:r w:rsidRPr="000D7060">
        <w:t>Yumi</w:t>
      </w:r>
      <w:proofErr w:type="spellEnd"/>
      <w:r w:rsidRPr="000D7060">
        <w:t xml:space="preserve"> </w:t>
      </w:r>
      <w:proofErr w:type="spellStart"/>
      <w:r w:rsidRPr="000D7060">
        <w:t>Lukautim</w:t>
      </w:r>
      <w:proofErr w:type="spellEnd"/>
      <w:r w:rsidRPr="000D7060">
        <w:t xml:space="preserve"> </w:t>
      </w:r>
      <w:proofErr w:type="spellStart"/>
      <w:r w:rsidRPr="000D7060">
        <w:t>Mosbi</w:t>
      </w:r>
      <w:proofErr w:type="spellEnd"/>
      <w:r w:rsidRPr="000D7060">
        <w:t xml:space="preserve"> crime prevention activity continued to strengthen its services for victims of domestic and sexual violence and received the </w:t>
      </w:r>
      <w:r w:rsidR="007B7544">
        <w:t xml:space="preserve">United </w:t>
      </w:r>
      <w:r w:rsidR="00C50CD4">
        <w:t>Nations</w:t>
      </w:r>
      <w:r w:rsidR="007B7544" w:rsidRPr="000D7060">
        <w:t xml:space="preserve"> </w:t>
      </w:r>
      <w:r w:rsidRPr="000D7060">
        <w:t xml:space="preserve">2008 Habitat Award in recognition of excellence in urban safety and youth crime prevention. </w:t>
      </w:r>
    </w:p>
    <w:p w:rsidR="000D7060" w:rsidRPr="000D7060" w:rsidRDefault="000D7060" w:rsidP="00991F19">
      <w:pPr>
        <w:pStyle w:val="ListBullet"/>
      </w:pPr>
      <w:r w:rsidRPr="000D7060">
        <w:rPr>
          <w:b/>
        </w:rPr>
        <w:lastRenderedPageBreak/>
        <w:t>Fund 22 (</w:t>
      </w:r>
      <w:r w:rsidR="007B7544">
        <w:rPr>
          <w:b/>
        </w:rPr>
        <w:t>up</w:t>
      </w:r>
      <w:r w:rsidRPr="000D7060">
        <w:rPr>
          <w:b/>
        </w:rPr>
        <w:t xml:space="preserve"> from 13 in 2007) civil society organisations to provide community justice and crime prevention services</w:t>
      </w:r>
      <w:r w:rsidR="007B7544" w:rsidRPr="00CF7472">
        <w:t>.</w:t>
      </w:r>
      <w:r w:rsidRPr="00CF7472">
        <w:t xml:space="preserve"> </w:t>
      </w:r>
      <w:r w:rsidR="007B7544">
        <w:t xml:space="preserve">These organisations cover </w:t>
      </w:r>
      <w:r w:rsidRPr="000D7060">
        <w:t>a wide range of areas</w:t>
      </w:r>
      <w:r w:rsidR="007B7544">
        <w:t>,</w:t>
      </w:r>
      <w:r w:rsidRPr="000D7060">
        <w:t xml:space="preserve"> including human rights, domestic violence, community development and welfare. </w:t>
      </w:r>
    </w:p>
    <w:p w:rsidR="000D7060" w:rsidRPr="000D7060" w:rsidRDefault="000D7060" w:rsidP="00991F19">
      <w:pPr>
        <w:pStyle w:val="ListBullet"/>
      </w:pPr>
      <w:r w:rsidRPr="000D7060">
        <w:rPr>
          <w:b/>
        </w:rPr>
        <w:t>Improve policing, safety and crime</w:t>
      </w:r>
      <w:r w:rsidR="00F15CCA">
        <w:rPr>
          <w:b/>
        </w:rPr>
        <w:t xml:space="preserve"> prevention in Eastern Highl</w:t>
      </w:r>
      <w:r w:rsidRPr="000D7060">
        <w:rPr>
          <w:b/>
        </w:rPr>
        <w:t>ands</w:t>
      </w:r>
      <w:r w:rsidR="004272F7" w:rsidRPr="00CF7472">
        <w:t>,</w:t>
      </w:r>
      <w:r w:rsidRPr="000D7060">
        <w:rPr>
          <w:b/>
        </w:rPr>
        <w:t xml:space="preserve"> </w:t>
      </w:r>
      <w:r w:rsidRPr="000D7060">
        <w:t>a target province under the sector’s Provincial Engagement Framework. District Peace Management Teams are operating in all eight districts</w:t>
      </w:r>
      <w:r w:rsidR="00CF7472">
        <w:t>,</w:t>
      </w:r>
      <w:r w:rsidRPr="000D7060">
        <w:t xml:space="preserve"> </w:t>
      </w:r>
      <w:r w:rsidR="000453B3">
        <w:t>46</w:t>
      </w:r>
      <w:r w:rsidRPr="000D7060">
        <w:t xml:space="preserve"> new female village court magistrates and land mediators were sworn in</w:t>
      </w:r>
      <w:r w:rsidR="00CF7472">
        <w:t>,</w:t>
      </w:r>
      <w:r w:rsidRPr="000D7060">
        <w:t xml:space="preserve"> and civil society organisations have been engaged to implement crime prevention initiatives. </w:t>
      </w:r>
    </w:p>
    <w:p w:rsidR="000D7060" w:rsidRPr="000D7060" w:rsidRDefault="007D3CF6" w:rsidP="00991F19">
      <w:pPr>
        <w:pStyle w:val="ListBullet"/>
      </w:pPr>
      <w:r>
        <w:rPr>
          <w:b/>
        </w:rPr>
        <w:t xml:space="preserve">Significantly </w:t>
      </w:r>
      <w:r w:rsidR="00CF7472" w:rsidRPr="000D7060">
        <w:rPr>
          <w:b/>
        </w:rPr>
        <w:t xml:space="preserve">increase </w:t>
      </w:r>
      <w:r w:rsidR="000D7060" w:rsidRPr="000D7060">
        <w:rPr>
          <w:b/>
        </w:rPr>
        <w:t>access to village courts</w:t>
      </w:r>
      <w:r>
        <w:t>.</w:t>
      </w:r>
      <w:r w:rsidR="000D7060" w:rsidRPr="000D7060">
        <w:t xml:space="preserve"> </w:t>
      </w:r>
      <w:r>
        <w:t xml:space="preserve">These courts are </w:t>
      </w:r>
      <w:r w:rsidR="000D7060" w:rsidRPr="000D7060">
        <w:t xml:space="preserve">the first entry point into the formal justice system for most Papua New Guineans. </w:t>
      </w:r>
      <w:r w:rsidR="005A6F5A">
        <w:t>350</w:t>
      </w:r>
      <w:r w:rsidRPr="000D7060">
        <w:t xml:space="preserve"> </w:t>
      </w:r>
      <w:r w:rsidR="000D7060" w:rsidRPr="000D7060">
        <w:t xml:space="preserve">women were recruited and trained </w:t>
      </w:r>
      <w:r w:rsidR="00E02E6F">
        <w:t xml:space="preserve">as </w:t>
      </w:r>
      <w:r w:rsidR="00E02E6F" w:rsidRPr="000D7060">
        <w:t xml:space="preserve">village court magistrates </w:t>
      </w:r>
      <w:r w:rsidR="000D7060" w:rsidRPr="000D7060">
        <w:t>in 2008</w:t>
      </w:r>
      <w:r>
        <w:t>,</w:t>
      </w:r>
      <w:r w:rsidR="000D7060" w:rsidRPr="000D7060">
        <w:t xml:space="preserve"> </w:t>
      </w:r>
      <w:r>
        <w:t>up</w:t>
      </w:r>
      <w:r w:rsidR="002A7D93">
        <w:t xml:space="preserve"> from 18 in</w:t>
      </w:r>
      <w:r w:rsidR="00E02E6F">
        <w:t> </w:t>
      </w:r>
      <w:r w:rsidR="002A7D93">
        <w:t>2007.</w:t>
      </w:r>
    </w:p>
    <w:p w:rsidR="000D7060" w:rsidRPr="000D7060" w:rsidRDefault="000D7060" w:rsidP="00991F19">
      <w:pPr>
        <w:pStyle w:val="ListBullet"/>
      </w:pPr>
      <w:r w:rsidRPr="000D7060">
        <w:rPr>
          <w:b/>
        </w:rPr>
        <w:t xml:space="preserve">Strengthen police services in Bougainville </w:t>
      </w:r>
      <w:r w:rsidRPr="000D7060">
        <w:t>in accordance with the Peace Agreement and Bougainville’s Law and Justice Strategy. One hundred police officers were recruited and trained</w:t>
      </w:r>
      <w:r w:rsidR="000B0DAE">
        <w:t>,</w:t>
      </w:r>
      <w:r w:rsidRPr="000D7060">
        <w:t xml:space="preserve"> </w:t>
      </w:r>
      <w:r w:rsidR="000B0DAE" w:rsidRPr="000D7060">
        <w:t xml:space="preserve">a </w:t>
      </w:r>
      <w:r w:rsidRPr="000D7060">
        <w:t xml:space="preserve">permanent Bougainville Police Service </w:t>
      </w:r>
      <w:r w:rsidR="00E02E6F" w:rsidRPr="000D7060">
        <w:t xml:space="preserve">training facility </w:t>
      </w:r>
      <w:r w:rsidR="00E02E6F">
        <w:t>w</w:t>
      </w:r>
      <w:r w:rsidRPr="000D7060">
        <w:t>as established</w:t>
      </w:r>
      <w:r w:rsidR="00E02E6F">
        <w:t>,</w:t>
      </w:r>
      <w:r w:rsidRPr="000D7060">
        <w:t xml:space="preserve"> a</w:t>
      </w:r>
      <w:r w:rsidR="00E02E6F">
        <w:t>n</w:t>
      </w:r>
      <w:r w:rsidRPr="000D7060">
        <w:t xml:space="preserve"> </w:t>
      </w:r>
      <w:r w:rsidR="00E02E6F">
        <w:t xml:space="preserve">assessment of the training needs of the </w:t>
      </w:r>
      <w:r w:rsidRPr="000D7060">
        <w:t>Bougainville Police</w:t>
      </w:r>
      <w:r w:rsidR="00E02E6F">
        <w:t xml:space="preserve"> </w:t>
      </w:r>
      <w:r w:rsidRPr="000D7060">
        <w:t>Service</w:t>
      </w:r>
      <w:r w:rsidR="00E02E6F">
        <w:t xml:space="preserve"> was undertaken</w:t>
      </w:r>
      <w:r w:rsidRPr="000D7060">
        <w:t xml:space="preserve"> and </w:t>
      </w:r>
      <w:r w:rsidR="00E02E6F">
        <w:t xml:space="preserve">a </w:t>
      </w:r>
      <w:r w:rsidRPr="000D7060">
        <w:t>training plan completed</w:t>
      </w:r>
      <w:r w:rsidR="000B0DAE">
        <w:t>,</w:t>
      </w:r>
      <w:r w:rsidRPr="000D7060">
        <w:t xml:space="preserve"> </w:t>
      </w:r>
      <w:r w:rsidR="000B0DAE">
        <w:t xml:space="preserve">and </w:t>
      </w:r>
      <w:r w:rsidR="000B0DAE" w:rsidRPr="000D7060">
        <w:t xml:space="preserve">an </w:t>
      </w:r>
      <w:r w:rsidRPr="000D7060">
        <w:t>electronic case management/track</w:t>
      </w:r>
      <w:r w:rsidR="002A7D93">
        <w:t>ing system</w:t>
      </w:r>
      <w:r w:rsidR="00E02E6F">
        <w:t xml:space="preserve"> for </w:t>
      </w:r>
      <w:r w:rsidR="00E02E6F" w:rsidRPr="000D7060">
        <w:t>prosecutions</w:t>
      </w:r>
      <w:r w:rsidR="002A7D93">
        <w:t xml:space="preserve"> </w:t>
      </w:r>
      <w:r w:rsidR="00E02E6F">
        <w:t>was</w:t>
      </w:r>
      <w:r w:rsidR="002A7D93">
        <w:t xml:space="preserve"> introduced.</w:t>
      </w:r>
    </w:p>
    <w:p w:rsidR="000D7060" w:rsidRPr="000D7060" w:rsidRDefault="000D7060" w:rsidP="00991F19">
      <w:pPr>
        <w:pStyle w:val="ListBullet"/>
      </w:pPr>
      <w:r w:rsidRPr="000D7060">
        <w:rPr>
          <w:b/>
        </w:rPr>
        <w:t>Improve access to legal aid</w:t>
      </w:r>
      <w:r w:rsidR="00B510FC">
        <w:rPr>
          <w:b/>
        </w:rPr>
        <w:t>.</w:t>
      </w:r>
      <w:r w:rsidRPr="000D7060">
        <w:t xml:space="preserve"> </w:t>
      </w:r>
      <w:r w:rsidR="00B510FC">
        <w:t>L</w:t>
      </w:r>
      <w:r w:rsidRPr="000D7060">
        <w:t xml:space="preserve">egal aid services </w:t>
      </w:r>
      <w:r w:rsidR="00B510FC">
        <w:t xml:space="preserve">were established </w:t>
      </w:r>
      <w:r w:rsidRPr="000D7060">
        <w:t>in six additional provinces</w:t>
      </w:r>
      <w:r w:rsidR="00B510FC">
        <w:t>,</w:t>
      </w:r>
      <w:r w:rsidRPr="000D7060">
        <w:t xml:space="preserve"> which are now providing legal, paralegal and advocacy services at the provincial and district levels. This contributed to an overall increase in the number of criminal</w:t>
      </w:r>
      <w:r w:rsidR="00B510FC">
        <w:t xml:space="preserve"> cases</w:t>
      </w:r>
      <w:r w:rsidRPr="000D7060">
        <w:t xml:space="preserve"> (up 26</w:t>
      </w:r>
      <w:r w:rsidR="001B735E">
        <w:t> per cent</w:t>
      </w:r>
      <w:r w:rsidRPr="000D7060">
        <w:t xml:space="preserve"> </w:t>
      </w:r>
      <w:r w:rsidR="00B510FC">
        <w:t>on the</w:t>
      </w:r>
      <w:r w:rsidRPr="000D7060">
        <w:t xml:space="preserve"> 2007</w:t>
      </w:r>
      <w:r w:rsidR="00B510FC">
        <w:t xml:space="preserve"> number</w:t>
      </w:r>
      <w:r w:rsidRPr="000D7060">
        <w:t xml:space="preserve">) and civil </w:t>
      </w:r>
      <w:r w:rsidR="00B510FC">
        <w:t xml:space="preserve">cases </w:t>
      </w:r>
      <w:r w:rsidRPr="000D7060">
        <w:t>(up 194</w:t>
      </w:r>
      <w:r w:rsidR="001B735E">
        <w:t> per cent</w:t>
      </w:r>
      <w:r w:rsidRPr="000D7060">
        <w:t>) opened by the public solicitor in 2008</w:t>
      </w:r>
      <w:r w:rsidR="00F15CCA">
        <w:t>.</w:t>
      </w:r>
      <w:r w:rsidRPr="00F15CCA">
        <w:rPr>
          <w:rStyle w:val="FootnoteReference"/>
        </w:rPr>
        <w:footnoteReference w:id="43"/>
      </w:r>
    </w:p>
    <w:p w:rsidR="000D7060" w:rsidRPr="000D7060" w:rsidRDefault="000D7060" w:rsidP="00991F19">
      <w:pPr>
        <w:pStyle w:val="ListBullet"/>
      </w:pPr>
      <w:r w:rsidRPr="000D7060">
        <w:rPr>
          <w:b/>
        </w:rPr>
        <w:t>Improve conditions for detainees</w:t>
      </w:r>
      <w:r w:rsidRPr="000D7060">
        <w:t>.</w:t>
      </w:r>
      <w:r w:rsidR="006F7C08">
        <w:t xml:space="preserve"> </w:t>
      </w:r>
      <w:r w:rsidRPr="000D7060">
        <w:t xml:space="preserve">Ongoing infrastructure work resulted in substantially improved conditions for detainees in correctional institutions at </w:t>
      </w:r>
      <w:proofErr w:type="spellStart"/>
      <w:r w:rsidRPr="000D7060">
        <w:t>Beon</w:t>
      </w:r>
      <w:proofErr w:type="spellEnd"/>
      <w:r w:rsidRPr="000D7060">
        <w:t xml:space="preserve"> (</w:t>
      </w:r>
      <w:proofErr w:type="spellStart"/>
      <w:smartTag w:uri="urn:schemas-microsoft-com:office:smarttags" w:element="PlaceName">
        <w:r w:rsidRPr="000D7060">
          <w:t>Madang</w:t>
        </w:r>
      </w:smartTag>
      <w:proofErr w:type="spellEnd"/>
      <w:r w:rsidRPr="000D7060">
        <w:t xml:space="preserve"> </w:t>
      </w:r>
      <w:smartTag w:uri="urn:schemas-microsoft-com:office:smarttags" w:element="PlaceType">
        <w:r w:rsidRPr="000D7060">
          <w:t>Province</w:t>
        </w:r>
      </w:smartTag>
      <w:r w:rsidRPr="000D7060">
        <w:t xml:space="preserve">), </w:t>
      </w:r>
      <w:proofErr w:type="spellStart"/>
      <w:r w:rsidRPr="000D7060">
        <w:t>Biru</w:t>
      </w:r>
      <w:proofErr w:type="spellEnd"/>
      <w:r w:rsidRPr="000D7060">
        <w:t xml:space="preserve"> (</w:t>
      </w:r>
      <w:smartTag w:uri="urn:schemas-microsoft-com:office:smarttags" w:element="PlaceName">
        <w:r w:rsidRPr="000D7060">
          <w:t>Oro</w:t>
        </w:r>
      </w:smartTag>
      <w:r w:rsidRPr="000D7060">
        <w:t xml:space="preserve"> </w:t>
      </w:r>
      <w:smartTag w:uri="urn:schemas-microsoft-com:office:smarttags" w:element="PlaceType">
        <w:r w:rsidR="00F15CCA" w:rsidRPr="000D7060">
          <w:t>Province</w:t>
        </w:r>
      </w:smartTag>
      <w:r w:rsidRPr="000D7060">
        <w:t xml:space="preserve">) and </w:t>
      </w:r>
      <w:proofErr w:type="spellStart"/>
      <w:r w:rsidRPr="000D7060">
        <w:t>Buimo</w:t>
      </w:r>
      <w:proofErr w:type="spellEnd"/>
      <w:r w:rsidRPr="000D7060">
        <w:t xml:space="preserve"> (</w:t>
      </w:r>
      <w:proofErr w:type="spellStart"/>
      <w:smartTag w:uri="urn:schemas-microsoft-com:office:smarttags" w:element="place">
        <w:smartTag w:uri="urn:schemas-microsoft-com:office:smarttags" w:element="PlaceName">
          <w:r w:rsidRPr="000D7060">
            <w:t>Morobe</w:t>
          </w:r>
        </w:smartTag>
        <w:proofErr w:type="spellEnd"/>
        <w:r w:rsidRPr="000D7060">
          <w:t xml:space="preserve"> </w:t>
        </w:r>
        <w:smartTag w:uri="urn:schemas-microsoft-com:office:smarttags" w:element="PlaceType">
          <w:r w:rsidRPr="000D7060">
            <w:t>Province</w:t>
          </w:r>
        </w:smartTag>
      </w:smartTag>
      <w:r w:rsidRPr="000D7060">
        <w:t>).</w:t>
      </w:r>
    </w:p>
    <w:p w:rsidR="000D7060" w:rsidRDefault="005D777D" w:rsidP="00991F19">
      <w:pPr>
        <w:pStyle w:val="BodyText"/>
      </w:pPr>
      <w:r>
        <w:t>Despite this progress</w:t>
      </w:r>
      <w:r w:rsidR="000D7060" w:rsidRPr="000D7060">
        <w:t>, the results of community crime prevention surveys undertaken in targeted provinces</w:t>
      </w:r>
      <w:r>
        <w:t xml:space="preserve"> indicate that</w:t>
      </w:r>
      <w:r w:rsidR="000D7060" w:rsidRPr="000D7060">
        <w:t xml:space="preserve"> community confidence in police </w:t>
      </w:r>
      <w:r>
        <w:t xml:space="preserve">services </w:t>
      </w:r>
      <w:r w:rsidR="000D7060" w:rsidRPr="000D7060">
        <w:t xml:space="preserve">remain low. Reforming and strengthening the </w:t>
      </w:r>
      <w:r w:rsidR="00D763D3" w:rsidRPr="00D763D3">
        <w:t>Royal Papua New Guinea Constabulary</w:t>
      </w:r>
      <w:r w:rsidR="000D7060" w:rsidRPr="000D7060">
        <w:t xml:space="preserve"> remains a critical priority for the sector. In 2008 an agreement was reached between the Australian Federal Police and </w:t>
      </w:r>
      <w:r>
        <w:t xml:space="preserve">the </w:t>
      </w:r>
      <w:r w:rsidR="00D763D3" w:rsidRPr="00D763D3">
        <w:t>Royal Papua New Guinea Constabulary</w:t>
      </w:r>
      <w:r w:rsidR="000D7060" w:rsidRPr="000D7060">
        <w:t xml:space="preserve"> to re-establish support to the </w:t>
      </w:r>
      <w:r w:rsidR="00D763D3" w:rsidRPr="00D763D3">
        <w:t>constabulary</w:t>
      </w:r>
      <w:r w:rsidR="00D763D3" w:rsidRPr="000D7060">
        <w:t xml:space="preserve"> </w:t>
      </w:r>
      <w:r w:rsidR="000D7060" w:rsidRPr="000D7060">
        <w:t xml:space="preserve">in coordination with the broader sectoral approach. This is an important development that has the potential to positively influence future outcomes in the sector. Political support </w:t>
      </w:r>
      <w:r>
        <w:t>in</w:t>
      </w:r>
      <w:r w:rsidRPr="000D7060">
        <w:t xml:space="preserve"> </w:t>
      </w:r>
      <w:r w:rsidR="000D7060" w:rsidRPr="000D7060">
        <w:t xml:space="preserve">PNG for policing remains critical </w:t>
      </w:r>
      <w:r>
        <w:t xml:space="preserve">to </w:t>
      </w:r>
      <w:r w:rsidR="000D7060" w:rsidRPr="000D7060">
        <w:t>making progress in this area.</w:t>
      </w:r>
    </w:p>
    <w:p w:rsidR="00235907" w:rsidRDefault="00235907" w:rsidP="00BD684D">
      <w:pPr>
        <w:pStyle w:val="H2A"/>
      </w:pPr>
      <w:bookmarkStart w:id="121" w:name="_Toc237763916"/>
      <w:bookmarkStart w:id="122" w:name="_Toc361224377"/>
      <w:r>
        <w:t>Expenditure</w:t>
      </w:r>
      <w:bookmarkEnd w:id="121"/>
      <w:bookmarkEnd w:id="122"/>
    </w:p>
    <w:p w:rsidR="00E5327A" w:rsidRPr="00EB0200" w:rsidRDefault="00E5327A" w:rsidP="00E5327A">
      <w:pPr>
        <w:pStyle w:val="BodyText"/>
      </w:pPr>
      <w:r>
        <w:t>Approximately $145 million—</w:t>
      </w:r>
      <w:r w:rsidR="00096BD1">
        <w:t>34</w:t>
      </w:r>
      <w:r>
        <w:t> </w:t>
      </w:r>
      <w:r w:rsidRPr="00D7139C">
        <w:t>per</w:t>
      </w:r>
      <w:r>
        <w:t xml:space="preserve"> </w:t>
      </w:r>
      <w:r w:rsidRPr="00D7139C">
        <w:t>cen</w:t>
      </w:r>
      <w:r>
        <w:t>t of the 2008</w:t>
      </w:r>
      <w:r w:rsidRPr="00D7139C">
        <w:t xml:space="preserve"> budget</w:t>
      </w:r>
      <w:r>
        <w:t xml:space="preserve"> for the PNG program—was</w:t>
      </w:r>
      <w:r w:rsidRPr="00D7139C">
        <w:t xml:space="preserve"> </w:t>
      </w:r>
      <w:r>
        <w:t xml:space="preserve">allocated to </w:t>
      </w:r>
      <w:r w:rsidRPr="000D7060">
        <w:t>improve service delivery and stability</w:t>
      </w:r>
      <w:r w:rsidRPr="00D7139C">
        <w:t>.</w:t>
      </w:r>
    </w:p>
    <w:p w:rsidR="00D86A59" w:rsidRPr="002A7D93" w:rsidRDefault="00D86A59" w:rsidP="00BD684D">
      <w:pPr>
        <w:pStyle w:val="H1A"/>
      </w:pPr>
      <w:bookmarkStart w:id="123" w:name="_Toc237763917"/>
      <w:r w:rsidRPr="002A7D93">
        <w:lastRenderedPageBreak/>
        <w:t>Development theme 4: Strengthened, coordinated and effective response to the HIV and AIDS epidemic</w:t>
      </w:r>
      <w:r w:rsidR="005C25C3">
        <w:rPr>
          <w:lang w:val="en-US" w:eastAsia="en-US"/>
        </w:rPr>
        <w:drawing>
          <wp:anchor distT="0" distB="0" distL="114300" distR="114300" simplePos="0" relativeHeight="251659776" behindDoc="1" locked="0" layoutInCell="1" allowOverlap="1" wp14:anchorId="279DDDEB" wp14:editId="6E574B86">
            <wp:simplePos x="0" y="0"/>
            <wp:positionH relativeFrom="page">
              <wp:posOffset>0</wp:posOffset>
            </wp:positionH>
            <wp:positionV relativeFrom="page">
              <wp:posOffset>1386205</wp:posOffset>
            </wp:positionV>
            <wp:extent cx="7560310" cy="1585595"/>
            <wp:effectExtent l="0" t="0" r="2540" b="0"/>
            <wp:wrapNone/>
            <wp:docPr id="1292" name="Picture 1292"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23"/>
    </w:p>
    <w:p w:rsidR="000D7060" w:rsidRDefault="00D86A59" w:rsidP="00BD684D">
      <w:pPr>
        <w:pStyle w:val="H2A"/>
      </w:pPr>
      <w:bookmarkStart w:id="124" w:name="_Toc237763918"/>
      <w:bookmarkStart w:id="125" w:name="_Toc361224378"/>
      <w:r>
        <w:t>Objective 1:</w:t>
      </w:r>
      <w:r>
        <w:br/>
      </w:r>
      <w:r w:rsidR="000D7060" w:rsidRPr="000D7060">
        <w:t xml:space="preserve">Stabilise </w:t>
      </w:r>
      <w:r w:rsidR="00FE6236">
        <w:t xml:space="preserve">the </w:t>
      </w:r>
      <w:r w:rsidR="000D7060" w:rsidRPr="000D7060">
        <w:t>spread of new infect</w:t>
      </w:r>
      <w:r>
        <w:t>ions by 2020</w:t>
      </w:r>
      <w:bookmarkEnd w:id="124"/>
      <w:bookmarkEnd w:id="125"/>
    </w:p>
    <w:p w:rsidR="00FD3F88" w:rsidRPr="00FD3F88" w:rsidRDefault="00FD3F88" w:rsidP="00BD684D">
      <w:pPr>
        <w:pStyle w:val="H3A"/>
      </w:pPr>
      <w:bookmarkStart w:id="126" w:name="_Toc361224379"/>
      <w:r>
        <w:t>Rating</w:t>
      </w:r>
      <w:bookmarkEnd w:id="126"/>
    </w:p>
    <w:p w:rsidR="00D86A59" w:rsidRPr="00D86A59" w:rsidRDefault="00BD684D" w:rsidP="00BD684D">
      <w:pPr>
        <w:pStyle w:val="Ratingamber"/>
        <w:numPr>
          <w:ilvl w:val="0"/>
          <w:numId w:val="0"/>
        </w:numPr>
        <w:ind w:left="567" w:hanging="567"/>
      </w:pPr>
      <w:r>
        <w:rPr>
          <w:noProof/>
          <w:lang w:val="en-US" w:eastAsia="en-US"/>
        </w:rPr>
        <w:drawing>
          <wp:inline distT="0" distB="0" distL="0" distR="0" wp14:anchorId="25F934A4" wp14:editId="64652CDA">
            <wp:extent cx="95238" cy="95238"/>
            <wp:effectExtent l="0" t="0" r="635" b="635"/>
            <wp:docPr id="21" name="Picture 21"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mbeer.png"/>
                    <pic:cNvPicPr/>
                  </pic:nvPicPr>
                  <pic:blipFill>
                    <a:blip r:embed="rId20">
                      <a:extLst>
                        <a:ext uri="{28A0092B-C50C-407E-A947-70E740481C1C}">
                          <a14:useLocalDpi xmlns:a14="http://schemas.microsoft.com/office/drawing/2010/main" val="0"/>
                        </a:ext>
                      </a:extLst>
                    </a:blip>
                    <a:stretch>
                      <a:fillRect/>
                    </a:stretch>
                  </pic:blipFill>
                  <pic:spPr>
                    <a:xfrm>
                      <a:off x="0" y="0"/>
                      <a:ext cx="95238" cy="95238"/>
                    </a:xfrm>
                    <a:prstGeom prst="rect">
                      <a:avLst/>
                    </a:prstGeom>
                  </pic:spPr>
                </pic:pic>
              </a:graphicData>
            </a:graphic>
          </wp:inline>
        </w:drawing>
      </w:r>
      <w:r>
        <w:tab/>
      </w:r>
      <w:r w:rsidR="001B735E" w:rsidRPr="00011299">
        <w:t>The objective will be partly achieved within the timeframe of the strategy</w:t>
      </w:r>
      <w:r w:rsidR="001B735E">
        <w:t>.</w:t>
      </w:r>
    </w:p>
    <w:p w:rsidR="000D7060" w:rsidRPr="00D763D3" w:rsidRDefault="000D7060" w:rsidP="00991F19">
      <w:pPr>
        <w:pStyle w:val="BodyText"/>
      </w:pPr>
      <w:r w:rsidRPr="000D7060">
        <w:t xml:space="preserve">As expected the prevalence rate </w:t>
      </w:r>
      <w:r w:rsidR="008D787F">
        <w:t xml:space="preserve">of HIV/AIDS </w:t>
      </w:r>
      <w:r w:rsidRPr="000D7060">
        <w:t>continue</w:t>
      </w:r>
      <w:r w:rsidR="00C96B04">
        <w:t>d</w:t>
      </w:r>
      <w:r w:rsidRPr="000D7060">
        <w:t xml:space="preserve"> to rise</w:t>
      </w:r>
      <w:r w:rsidR="00C96B04">
        <w:t xml:space="preserve"> in 2008</w:t>
      </w:r>
      <w:r w:rsidRPr="000D7060">
        <w:t xml:space="preserve">. </w:t>
      </w:r>
      <w:r w:rsidR="00B012FD">
        <w:t xml:space="preserve">However, the </w:t>
      </w:r>
      <w:r w:rsidR="00B012FD" w:rsidRPr="000D7060">
        <w:t xml:space="preserve">HIV and AIDS program </w:t>
      </w:r>
      <w:r w:rsidR="00B012FD">
        <w:t>is still on the right track, as there was a</w:t>
      </w:r>
      <w:r w:rsidRPr="00B012FD">
        <w:t xml:space="preserve"> steady increase </w:t>
      </w:r>
      <w:r w:rsidR="008D787F" w:rsidRPr="00B012FD">
        <w:t>in the</w:t>
      </w:r>
      <w:r w:rsidRPr="00B012FD">
        <w:t xml:space="preserve"> availability of voluntary counselling</w:t>
      </w:r>
      <w:r w:rsidR="00886C6D" w:rsidRPr="00B012FD">
        <w:t>,</w:t>
      </w:r>
      <w:r w:rsidRPr="00B012FD">
        <w:t xml:space="preserve"> testing and treatment, </w:t>
      </w:r>
      <w:r w:rsidR="00D13E6C">
        <w:t xml:space="preserve">an increase </w:t>
      </w:r>
      <w:r w:rsidR="00B012FD">
        <w:t xml:space="preserve">in the </w:t>
      </w:r>
      <w:r w:rsidRPr="00B012FD">
        <w:t xml:space="preserve">monitoring and management of the risks to scaling up </w:t>
      </w:r>
      <w:r w:rsidR="00B012FD">
        <w:t xml:space="preserve">the national response to the epidemic </w:t>
      </w:r>
      <w:r w:rsidRPr="00B012FD">
        <w:t>through non-state actors,</w:t>
      </w:r>
      <w:r w:rsidR="00D13E6C">
        <w:t xml:space="preserve"> and</w:t>
      </w:r>
      <w:r w:rsidRPr="00B012FD">
        <w:t xml:space="preserve"> improved reporting </w:t>
      </w:r>
      <w:r w:rsidR="00C96B04">
        <w:t>on HIV</w:t>
      </w:r>
      <w:r w:rsidR="00C2772C">
        <w:t>/</w:t>
      </w:r>
      <w:r w:rsidR="00C96B04">
        <w:t xml:space="preserve">AIDS </w:t>
      </w:r>
      <w:r w:rsidRPr="00B012FD">
        <w:t xml:space="preserve">and effective engagement with some provinces. </w:t>
      </w:r>
      <w:r w:rsidR="00D13E6C">
        <w:t>Nevertheless,</w:t>
      </w:r>
      <w:r w:rsidRPr="00B012FD">
        <w:t xml:space="preserve"> major doubts </w:t>
      </w:r>
      <w:r w:rsidR="00D13E6C">
        <w:t xml:space="preserve">remain </w:t>
      </w:r>
      <w:r w:rsidRPr="00B012FD">
        <w:t xml:space="preserve">about </w:t>
      </w:r>
      <w:r w:rsidR="00D13E6C">
        <w:t>how</w:t>
      </w:r>
      <w:r w:rsidRPr="00B012FD">
        <w:t xml:space="preserve"> </w:t>
      </w:r>
      <w:r w:rsidR="00D13E6C">
        <w:t xml:space="preserve">the scale of </w:t>
      </w:r>
      <w:r w:rsidRPr="00B012FD">
        <w:t xml:space="preserve">the national response </w:t>
      </w:r>
      <w:r w:rsidR="00D13E6C">
        <w:t xml:space="preserve">can </w:t>
      </w:r>
      <w:r w:rsidR="00DA54F8">
        <w:t xml:space="preserve">be </w:t>
      </w:r>
      <w:r w:rsidR="00D13E6C">
        <w:t>expand</w:t>
      </w:r>
      <w:r w:rsidR="00DA54F8">
        <w:t>ed</w:t>
      </w:r>
      <w:r w:rsidR="00D13E6C">
        <w:t xml:space="preserve"> </w:t>
      </w:r>
      <w:r w:rsidRPr="00B012FD">
        <w:t>in coming years</w:t>
      </w:r>
      <w:r w:rsidRPr="00D763D3">
        <w:t>.</w:t>
      </w:r>
    </w:p>
    <w:p w:rsidR="00FD3F88" w:rsidRPr="00541E6E" w:rsidRDefault="00FD3F88" w:rsidP="00BD684D">
      <w:pPr>
        <w:pStyle w:val="H3A"/>
      </w:pPr>
      <w:bookmarkStart w:id="127" w:name="_Toc361224380"/>
      <w:r w:rsidRPr="00541E6E">
        <w:t>Assessment of results and performance</w:t>
      </w:r>
      <w:bookmarkEnd w:id="127"/>
    </w:p>
    <w:p w:rsidR="000D7060" w:rsidRPr="000D7060" w:rsidRDefault="000D7060" w:rsidP="00991F19">
      <w:pPr>
        <w:pStyle w:val="BodyText"/>
      </w:pPr>
      <w:r w:rsidRPr="000D7060">
        <w:t xml:space="preserve">The increasing prevalence of the epidemic </w:t>
      </w:r>
      <w:r w:rsidR="008D787F">
        <w:t>in rural areas is</w:t>
      </w:r>
      <w:r w:rsidR="008D787F" w:rsidRPr="000D7060">
        <w:t xml:space="preserve"> </w:t>
      </w:r>
      <w:r w:rsidRPr="000D7060">
        <w:t>a major challenge to developing and sustaining an effective national response</w:t>
      </w:r>
      <w:r w:rsidR="008D787F">
        <w:t>,</w:t>
      </w:r>
      <w:r w:rsidRPr="000D7060">
        <w:t xml:space="preserve"> especially with weak infrastructure and poor</w:t>
      </w:r>
      <w:r w:rsidR="008D787F">
        <w:t>-</w:t>
      </w:r>
      <w:r w:rsidRPr="000D7060">
        <w:t xml:space="preserve">quality services at </w:t>
      </w:r>
      <w:r w:rsidR="008D787F">
        <w:t xml:space="preserve">the </w:t>
      </w:r>
      <w:r w:rsidRPr="000D7060">
        <w:t xml:space="preserve">district level. Substantial increases in </w:t>
      </w:r>
      <w:r w:rsidR="008D787F">
        <w:t xml:space="preserve">the number of </w:t>
      </w:r>
      <w:r w:rsidRPr="000D7060">
        <w:t>HIV cases in the highland provinces were detected</w:t>
      </w:r>
      <w:r w:rsidR="008D787F">
        <w:t xml:space="preserve"> in 2008</w:t>
      </w:r>
      <w:r w:rsidRPr="000D7060">
        <w:t>, with worrying trends is some districts. Th</w:t>
      </w:r>
      <w:r w:rsidR="008D787F">
        <w:t>e</w:t>
      </w:r>
      <w:r w:rsidRPr="000D7060">
        <w:t xml:space="preserve"> data show a clear pattern of HIV infection </w:t>
      </w:r>
      <w:r w:rsidR="008D787F">
        <w:t>in</w:t>
      </w:r>
      <w:r w:rsidRPr="000D7060">
        <w:t xml:space="preserve"> provinces along the </w:t>
      </w:r>
      <w:smartTag w:uri="urn:schemas-microsoft-com:office:smarttags" w:element="Street">
        <w:smartTag w:uri="urn:schemas-microsoft-com:office:smarttags" w:element="address">
          <w:r w:rsidRPr="000D7060">
            <w:t>Highlands</w:t>
          </w:r>
          <w:r w:rsidR="00B012FD">
            <w:t> </w:t>
          </w:r>
          <w:r w:rsidRPr="000D7060">
            <w:t>Highway</w:t>
          </w:r>
        </w:smartTag>
      </w:smartTag>
      <w:r w:rsidRPr="000D7060">
        <w:t>.</w:t>
      </w:r>
    </w:p>
    <w:p w:rsidR="000D7060" w:rsidRPr="000D7060" w:rsidRDefault="000D7060" w:rsidP="00991F19">
      <w:pPr>
        <w:pStyle w:val="BodyText"/>
        <w:rPr>
          <w:bCs/>
        </w:rPr>
      </w:pPr>
      <w:r w:rsidRPr="000D7060">
        <w:t xml:space="preserve">In 2008 </w:t>
      </w:r>
      <w:smartTag w:uri="urn:schemas-microsoft-com:office:smarttags" w:element="place">
        <w:smartTag w:uri="urn:schemas-microsoft-com:office:smarttags" w:element="country-region">
          <w:r w:rsidRPr="000D7060">
            <w:t>Australia</w:t>
          </w:r>
        </w:smartTag>
      </w:smartTag>
      <w:r w:rsidRPr="000D7060">
        <w:t xml:space="preserve"> provided around 57</w:t>
      </w:r>
      <w:r w:rsidR="001B735E">
        <w:t> per cent</w:t>
      </w:r>
      <w:r w:rsidRPr="000D7060">
        <w:t xml:space="preserve"> of the total</w:t>
      </w:r>
      <w:r w:rsidR="008D787F">
        <w:t xml:space="preserve"> resources available to respond to the</w:t>
      </w:r>
      <w:r w:rsidRPr="000D7060">
        <w:t xml:space="preserve"> </w:t>
      </w:r>
      <w:r w:rsidRPr="000D7060">
        <w:rPr>
          <w:bCs/>
        </w:rPr>
        <w:t xml:space="preserve">HIV and AIDS </w:t>
      </w:r>
      <w:r w:rsidR="008D787F">
        <w:rPr>
          <w:bCs/>
        </w:rPr>
        <w:t xml:space="preserve">epidemic; </w:t>
      </w:r>
      <w:r w:rsidR="007B2AB8">
        <w:t>the PNG Government’s</w:t>
      </w:r>
      <w:r w:rsidRPr="000D7060">
        <w:t xml:space="preserve"> funding accounted for 13</w:t>
      </w:r>
      <w:r w:rsidR="001B735E">
        <w:t> per cent</w:t>
      </w:r>
      <w:r w:rsidR="008D787F">
        <w:t>.</w:t>
      </w:r>
      <w:r w:rsidRPr="000D7060">
        <w:t xml:space="preserve"> </w:t>
      </w:r>
      <w:r w:rsidR="00910BDA">
        <w:t>Australia</w:t>
      </w:r>
      <w:r w:rsidR="00910BDA" w:rsidRPr="000D7060">
        <w:t xml:space="preserve"> </w:t>
      </w:r>
      <w:r w:rsidRPr="000D7060">
        <w:rPr>
          <w:bCs/>
        </w:rPr>
        <w:t xml:space="preserve">supported </w:t>
      </w:r>
      <w:r w:rsidR="00D13E6C">
        <w:rPr>
          <w:bCs/>
        </w:rPr>
        <w:t xml:space="preserve">the </w:t>
      </w:r>
      <w:r w:rsidRPr="000D7060">
        <w:t>implementation</w:t>
      </w:r>
      <w:r w:rsidRPr="000D7060">
        <w:rPr>
          <w:bCs/>
        </w:rPr>
        <w:t xml:space="preserve"> </w:t>
      </w:r>
      <w:r w:rsidR="00910BDA">
        <w:rPr>
          <w:bCs/>
        </w:rPr>
        <w:t xml:space="preserve">of </w:t>
      </w:r>
      <w:r w:rsidR="00910BDA" w:rsidRPr="000D7060">
        <w:t xml:space="preserve">the HIV and AIDS program </w:t>
      </w:r>
      <w:r w:rsidR="00910BDA">
        <w:rPr>
          <w:bCs/>
        </w:rPr>
        <w:t>by providing</w:t>
      </w:r>
      <w:r w:rsidR="00910BDA" w:rsidRPr="000D7060">
        <w:rPr>
          <w:bCs/>
        </w:rPr>
        <w:t xml:space="preserve"> </w:t>
      </w:r>
      <w:r w:rsidRPr="000D7060">
        <w:rPr>
          <w:bCs/>
        </w:rPr>
        <w:t xml:space="preserve">funding to </w:t>
      </w:r>
      <w:r w:rsidR="00D763D3">
        <w:rPr>
          <w:bCs/>
        </w:rPr>
        <w:t>non-government organisations (</w:t>
      </w:r>
      <w:r w:rsidRPr="000D7060">
        <w:rPr>
          <w:bCs/>
        </w:rPr>
        <w:t>NGOs</w:t>
      </w:r>
      <w:r w:rsidR="00D763D3">
        <w:rPr>
          <w:bCs/>
        </w:rPr>
        <w:t>)</w:t>
      </w:r>
      <w:r w:rsidR="00D13E6C">
        <w:rPr>
          <w:bCs/>
        </w:rPr>
        <w:t>,</w:t>
      </w:r>
      <w:r w:rsidRPr="000D7060">
        <w:rPr>
          <w:bCs/>
        </w:rPr>
        <w:t xml:space="preserve"> </w:t>
      </w:r>
      <w:r w:rsidR="00D13E6C">
        <w:rPr>
          <w:bCs/>
        </w:rPr>
        <w:t>including</w:t>
      </w:r>
      <w:r w:rsidR="00D13E6C" w:rsidRPr="000D7060">
        <w:rPr>
          <w:bCs/>
        </w:rPr>
        <w:t xml:space="preserve"> </w:t>
      </w:r>
      <w:r w:rsidRPr="000D7060">
        <w:rPr>
          <w:bCs/>
        </w:rPr>
        <w:t xml:space="preserve">churches, </w:t>
      </w:r>
      <w:r w:rsidR="00910BDA">
        <w:rPr>
          <w:bCs/>
        </w:rPr>
        <w:t xml:space="preserve">building the </w:t>
      </w:r>
      <w:r w:rsidRPr="000D7060">
        <w:t>capacit</w:t>
      </w:r>
      <w:r w:rsidR="00910BDA">
        <w:t>ies</w:t>
      </w:r>
      <w:r w:rsidRPr="000D7060">
        <w:rPr>
          <w:bCs/>
        </w:rPr>
        <w:t xml:space="preserve"> </w:t>
      </w:r>
      <w:r w:rsidR="00910BDA">
        <w:rPr>
          <w:bCs/>
        </w:rPr>
        <w:t>of key coordination agencies and providing</w:t>
      </w:r>
      <w:r w:rsidRPr="000D7060">
        <w:rPr>
          <w:bCs/>
        </w:rPr>
        <w:t xml:space="preserve"> </w:t>
      </w:r>
      <w:r w:rsidRPr="000D7060">
        <w:t>technical</w:t>
      </w:r>
      <w:r w:rsidRPr="000D7060">
        <w:rPr>
          <w:bCs/>
        </w:rPr>
        <w:t xml:space="preserve"> support </w:t>
      </w:r>
      <w:r w:rsidR="00910BDA">
        <w:rPr>
          <w:bCs/>
        </w:rPr>
        <w:t>to these</w:t>
      </w:r>
      <w:r w:rsidRPr="000D7060">
        <w:rPr>
          <w:bCs/>
        </w:rPr>
        <w:t xml:space="preserve"> agencies. Australia</w:t>
      </w:r>
      <w:r w:rsidR="008A4D9A">
        <w:rPr>
          <w:bCs/>
        </w:rPr>
        <w:t>n</w:t>
      </w:r>
      <w:r w:rsidRPr="000D7060">
        <w:rPr>
          <w:bCs/>
        </w:rPr>
        <w:t xml:space="preserve"> support has a significant presence nationally</w:t>
      </w:r>
      <w:r w:rsidR="00C96B04">
        <w:rPr>
          <w:bCs/>
        </w:rPr>
        <w:t xml:space="preserve"> as a result of its</w:t>
      </w:r>
      <w:r w:rsidRPr="000D7060">
        <w:rPr>
          <w:bCs/>
        </w:rPr>
        <w:t xml:space="preserve"> activities in highland, coastal and island provinces, but </w:t>
      </w:r>
      <w:r w:rsidR="00910BDA">
        <w:rPr>
          <w:bCs/>
        </w:rPr>
        <w:t xml:space="preserve">it </w:t>
      </w:r>
      <w:r w:rsidRPr="000D7060">
        <w:rPr>
          <w:bCs/>
        </w:rPr>
        <w:t>is still not at the scale required to make an impact on the epidemic.</w:t>
      </w:r>
      <w:r w:rsidRPr="000D7060">
        <w:t xml:space="preserve"> </w:t>
      </w:r>
    </w:p>
    <w:p w:rsidR="000D7060" w:rsidRPr="000D7060" w:rsidRDefault="00D13E6C" w:rsidP="00991F19">
      <w:pPr>
        <w:pStyle w:val="BodyText"/>
      </w:pPr>
      <w:r>
        <w:t>NGOs,</w:t>
      </w:r>
      <w:r w:rsidR="000D7060" w:rsidRPr="000D7060">
        <w:t xml:space="preserve"> including church</w:t>
      </w:r>
      <w:r w:rsidR="00771CDE">
        <w:t>-</w:t>
      </w:r>
      <w:r w:rsidR="000D7060" w:rsidRPr="000D7060">
        <w:t>based agencies</w:t>
      </w:r>
      <w:r>
        <w:t>,</w:t>
      </w:r>
      <w:r w:rsidR="000D7060" w:rsidRPr="000D7060">
        <w:t xml:space="preserve"> are providing most of the prevention, treatment and community support activities. Increased funding for these </w:t>
      </w:r>
      <w:r>
        <w:t>organisations</w:t>
      </w:r>
      <w:r w:rsidRPr="000D7060">
        <w:t xml:space="preserve"> </w:t>
      </w:r>
      <w:r w:rsidR="000D7060" w:rsidRPr="000D7060">
        <w:t>during 2008 assisted in extending the scale of HIV services to provinces</w:t>
      </w:r>
      <w:r w:rsidR="00B012FD">
        <w:t>;</w:t>
      </w:r>
      <w:r w:rsidR="000D7060" w:rsidRPr="000D7060">
        <w:t xml:space="preserve"> however</w:t>
      </w:r>
      <w:r w:rsidR="00B012FD">
        <w:t>,</w:t>
      </w:r>
      <w:r w:rsidR="000D7060" w:rsidRPr="000D7060">
        <w:t xml:space="preserve"> it also highlighted the capacity constraints in these organisations </w:t>
      </w:r>
      <w:r w:rsidR="00B012FD">
        <w:t>in terms of providing</w:t>
      </w:r>
      <w:r w:rsidR="00B012FD" w:rsidRPr="000D7060">
        <w:t xml:space="preserve"> </w:t>
      </w:r>
      <w:r w:rsidR="000D7060" w:rsidRPr="000D7060">
        <w:t>effective oversight, monitoring and reporting, program design</w:t>
      </w:r>
      <w:r w:rsidR="00B012FD">
        <w:t>,</w:t>
      </w:r>
      <w:r w:rsidR="000D7060" w:rsidRPr="000D7060">
        <w:t xml:space="preserve"> planning and financial control</w:t>
      </w:r>
      <w:r>
        <w:t>s</w:t>
      </w:r>
      <w:r w:rsidR="000D7060" w:rsidRPr="000D7060">
        <w:t>.</w:t>
      </w:r>
    </w:p>
    <w:p w:rsidR="000D7060" w:rsidRPr="000D7060" w:rsidRDefault="000D7060" w:rsidP="00991F19">
      <w:pPr>
        <w:pStyle w:val="BodyText"/>
        <w:keepNext/>
      </w:pPr>
      <w:r w:rsidRPr="000D7060">
        <w:lastRenderedPageBreak/>
        <w:t>Australian support assisted PNG to:</w:t>
      </w:r>
    </w:p>
    <w:p w:rsidR="000D7060" w:rsidRPr="000D7060" w:rsidRDefault="000D7060" w:rsidP="00991F19">
      <w:pPr>
        <w:pStyle w:val="ListBullet"/>
      </w:pPr>
      <w:r w:rsidRPr="000D7060">
        <w:rPr>
          <w:b/>
        </w:rPr>
        <w:t xml:space="preserve">Strengthen mechanisms to support and advocate for </w:t>
      </w:r>
      <w:r w:rsidR="00F15CCA" w:rsidRPr="000D7060">
        <w:rPr>
          <w:b/>
        </w:rPr>
        <w:t xml:space="preserve">people living </w:t>
      </w:r>
      <w:r w:rsidRPr="000D7060">
        <w:rPr>
          <w:b/>
        </w:rPr>
        <w:t>with HIV</w:t>
      </w:r>
      <w:r w:rsidRPr="000D7060">
        <w:t>.</w:t>
      </w:r>
      <w:r w:rsidR="006F7C08">
        <w:t xml:space="preserve"> </w:t>
      </w:r>
      <w:r w:rsidRPr="000D7060">
        <w:t xml:space="preserve">The mobilisation of people living with HIV was evident in 2008, with groups established in </w:t>
      </w:r>
      <w:proofErr w:type="spellStart"/>
      <w:r w:rsidRPr="000D7060">
        <w:t>Lae</w:t>
      </w:r>
      <w:proofErr w:type="spellEnd"/>
      <w:r w:rsidRPr="000D7060">
        <w:t xml:space="preserve">, Hagen and </w:t>
      </w:r>
      <w:proofErr w:type="spellStart"/>
      <w:r w:rsidRPr="000D7060">
        <w:t>Goroka</w:t>
      </w:r>
      <w:proofErr w:type="spellEnd"/>
      <w:r w:rsidRPr="000D7060">
        <w:t xml:space="preserve">. In November 2008 the first national conference of </w:t>
      </w:r>
      <w:r w:rsidR="00F15CCA">
        <w:t>people living with HIV</w:t>
      </w:r>
      <w:r w:rsidRPr="000D7060">
        <w:t xml:space="preserve"> was held with the aim </w:t>
      </w:r>
      <w:r w:rsidR="00D13E6C">
        <w:t>of</w:t>
      </w:r>
      <w:r w:rsidR="00D13E6C" w:rsidRPr="000D7060">
        <w:t xml:space="preserve"> </w:t>
      </w:r>
      <w:r w:rsidRPr="000D7060">
        <w:t>establish</w:t>
      </w:r>
      <w:r w:rsidR="00D13E6C">
        <w:t>ing</w:t>
      </w:r>
      <w:r w:rsidRPr="000D7060">
        <w:t xml:space="preserve"> a network of positive organisations in the country. However, these groups require significant support to clarify their roles and functions in relation to the wider national response.</w:t>
      </w:r>
    </w:p>
    <w:p w:rsidR="000D7060" w:rsidRPr="000D7060" w:rsidRDefault="000D7060" w:rsidP="00991F19">
      <w:pPr>
        <w:pStyle w:val="ListBullet"/>
      </w:pPr>
      <w:r w:rsidRPr="000D7060">
        <w:rPr>
          <w:b/>
        </w:rPr>
        <w:t>Strengthen implementation and service delivery through civil society</w:t>
      </w:r>
      <w:r w:rsidRPr="000D7060">
        <w:t xml:space="preserve">. </w:t>
      </w:r>
      <w:r w:rsidR="007B415B">
        <w:t>Fifteen</w:t>
      </w:r>
      <w:r w:rsidR="007B415B" w:rsidRPr="000D7060">
        <w:t xml:space="preserve"> </w:t>
      </w:r>
      <w:r w:rsidRPr="000D7060">
        <w:t xml:space="preserve">major implementing partners, which included five new partners, were funded to deliver the majority of HIV services that support the national response. Civil society is the primary mechanism for implementing the </w:t>
      </w:r>
      <w:r w:rsidR="00F15CCA">
        <w:t>national response, and 51 </w:t>
      </w:r>
      <w:r w:rsidRPr="000D7060">
        <w:t xml:space="preserve">per cent of the Australian resources were directed to these partners. </w:t>
      </w:r>
      <w:r w:rsidR="007B415B">
        <w:t>The quality of the some services provided were improved as a result of reviews of program development and design as well as specific technical support to address gender issues.</w:t>
      </w:r>
    </w:p>
    <w:p w:rsidR="000D7060" w:rsidRPr="000D7060" w:rsidRDefault="000D7060" w:rsidP="00991F19">
      <w:pPr>
        <w:pStyle w:val="ListBullet"/>
      </w:pPr>
      <w:r w:rsidRPr="000D7060">
        <w:rPr>
          <w:b/>
        </w:rPr>
        <w:t xml:space="preserve">Establish a </w:t>
      </w:r>
      <w:r w:rsidRPr="00744439">
        <w:rPr>
          <w:b/>
        </w:rPr>
        <w:t xml:space="preserve">gender </w:t>
      </w:r>
      <w:r w:rsidR="00744439" w:rsidRPr="00744439">
        <w:rPr>
          <w:b/>
        </w:rPr>
        <w:t xml:space="preserve">equality </w:t>
      </w:r>
      <w:r w:rsidRPr="00744439">
        <w:rPr>
          <w:b/>
        </w:rPr>
        <w:t>network</w:t>
      </w:r>
      <w:r w:rsidRPr="000D7060">
        <w:rPr>
          <w:b/>
        </w:rPr>
        <w:t xml:space="preserve"> across all implementing NGO partners</w:t>
      </w:r>
      <w:r w:rsidRPr="000D7060">
        <w:t xml:space="preserve"> to support the integration of gender</w:t>
      </w:r>
      <w:r w:rsidR="00ED55F9">
        <w:t xml:space="preserve"> </w:t>
      </w:r>
      <w:r w:rsidR="00755116">
        <w:t>considerations</w:t>
      </w:r>
      <w:r w:rsidRPr="000D7060">
        <w:t xml:space="preserve"> into HIV programs</w:t>
      </w:r>
    </w:p>
    <w:p w:rsidR="000D7060" w:rsidRPr="000D7060" w:rsidRDefault="000D7060" w:rsidP="00991F19">
      <w:pPr>
        <w:pStyle w:val="ListBullet"/>
      </w:pPr>
      <w:r w:rsidRPr="000D7060">
        <w:rPr>
          <w:b/>
        </w:rPr>
        <w:t>Build more effective strategic engagement by partners in priority geographic areas and activities</w:t>
      </w:r>
      <w:r w:rsidRPr="000D7060">
        <w:t xml:space="preserve">. </w:t>
      </w:r>
      <w:smartTag w:uri="urn:schemas-microsoft-com:office:smarttags" w:element="place">
        <w:smartTag w:uri="urn:schemas-microsoft-com:office:smarttags" w:element="PlaceName">
          <w:r w:rsidRPr="000D7060">
            <w:t>Bougainville</w:t>
          </w:r>
        </w:smartTag>
        <w:r w:rsidRPr="000D7060">
          <w:t xml:space="preserve"> </w:t>
        </w:r>
        <w:smartTag w:uri="urn:schemas-microsoft-com:office:smarttags" w:element="PlaceType">
          <w:r w:rsidR="00ED55F9" w:rsidRPr="000D7060">
            <w:t>Province</w:t>
          </w:r>
        </w:smartTag>
      </w:smartTag>
      <w:r w:rsidR="00ED55F9" w:rsidRPr="000D7060">
        <w:t xml:space="preserve"> </w:t>
      </w:r>
      <w:r w:rsidRPr="000D7060">
        <w:t>was included for the first time as the principal province for strategic engagement by a new partner.</w:t>
      </w:r>
    </w:p>
    <w:p w:rsidR="000D7060" w:rsidRPr="000D7060" w:rsidRDefault="000D7060" w:rsidP="00991F19">
      <w:pPr>
        <w:pStyle w:val="ListBullet"/>
      </w:pPr>
      <w:r w:rsidRPr="000D7060">
        <w:rPr>
          <w:b/>
        </w:rPr>
        <w:t xml:space="preserve">Extend </w:t>
      </w:r>
      <w:r w:rsidR="00886C6D">
        <w:rPr>
          <w:b/>
        </w:rPr>
        <w:t>voluntary counselling and testing</w:t>
      </w:r>
      <w:r w:rsidRPr="000D7060">
        <w:rPr>
          <w:b/>
        </w:rPr>
        <w:t xml:space="preserve"> services</w:t>
      </w:r>
      <w:r w:rsidRPr="000D7060">
        <w:t xml:space="preserve"> into new districts and provinces. By the end of 2008 there were 62 </w:t>
      </w:r>
      <w:r w:rsidR="00886C6D">
        <w:t>voluntary counselling and testing</w:t>
      </w:r>
      <w:r w:rsidRPr="000D7060">
        <w:t xml:space="preserve"> sites and 256 testing sites (</w:t>
      </w:r>
      <w:r w:rsidR="00ED55F9">
        <w:t xml:space="preserve">up from </w:t>
      </w:r>
      <w:r w:rsidRPr="000D7060">
        <w:t>9 sites in 2005)</w:t>
      </w:r>
      <w:r w:rsidR="00ED55F9">
        <w:t>.</w:t>
      </w:r>
      <w:r w:rsidRPr="000D7060">
        <w:t xml:space="preserve"> </w:t>
      </w:r>
      <w:r w:rsidR="00C2772C">
        <w:t>About</w:t>
      </w:r>
      <w:r w:rsidRPr="000D7060">
        <w:t xml:space="preserve"> 93</w:t>
      </w:r>
      <w:r w:rsidR="00F15CCA">
        <w:t> </w:t>
      </w:r>
      <w:r w:rsidR="00ED55F9">
        <w:t>000</w:t>
      </w:r>
      <w:r w:rsidR="00ED55F9" w:rsidRPr="000D7060">
        <w:t xml:space="preserve"> </w:t>
      </w:r>
      <w:r w:rsidRPr="000D7060">
        <w:t>people access</w:t>
      </w:r>
      <w:r w:rsidR="00ED55F9">
        <w:t>ed</w:t>
      </w:r>
      <w:r w:rsidRPr="000D7060">
        <w:t xml:space="preserve"> these services, 48 per cent </w:t>
      </w:r>
      <w:r w:rsidR="00ED55F9">
        <w:t>more than in</w:t>
      </w:r>
      <w:r w:rsidR="00ED55F9" w:rsidRPr="000D7060">
        <w:t xml:space="preserve"> </w:t>
      </w:r>
      <w:r w:rsidRPr="000D7060">
        <w:t xml:space="preserve">2007. </w:t>
      </w:r>
    </w:p>
    <w:p w:rsidR="000D7060" w:rsidRPr="000D7060" w:rsidRDefault="000D7060" w:rsidP="00991F19">
      <w:pPr>
        <w:pStyle w:val="ListBullet"/>
      </w:pPr>
      <w:r w:rsidRPr="000D7060">
        <w:rPr>
          <w:b/>
        </w:rPr>
        <w:t xml:space="preserve">Distribute </w:t>
      </w:r>
      <w:r w:rsidR="00771CDE">
        <w:rPr>
          <w:b/>
        </w:rPr>
        <w:t>more than</w:t>
      </w:r>
      <w:r w:rsidR="00771CDE" w:rsidRPr="000D7060">
        <w:rPr>
          <w:b/>
        </w:rPr>
        <w:t xml:space="preserve"> </w:t>
      </w:r>
      <w:r w:rsidRPr="000D7060">
        <w:rPr>
          <w:b/>
        </w:rPr>
        <w:t>5</w:t>
      </w:r>
      <w:r w:rsidR="00771CDE">
        <w:rPr>
          <w:b/>
        </w:rPr>
        <w:t> </w:t>
      </w:r>
      <w:r w:rsidRPr="000D7060">
        <w:rPr>
          <w:b/>
        </w:rPr>
        <w:t>million condoms</w:t>
      </w:r>
      <w:r w:rsidRPr="000D7060">
        <w:t xml:space="preserve"> thro</w:t>
      </w:r>
      <w:r w:rsidR="00F15CCA">
        <w:t>ugh NGOs (</w:t>
      </w:r>
      <w:r w:rsidR="00771CDE">
        <w:t>up from</w:t>
      </w:r>
      <w:r w:rsidR="00F15CCA">
        <w:t xml:space="preserve"> 3 </w:t>
      </w:r>
      <w:r w:rsidRPr="000D7060">
        <w:t xml:space="preserve">million </w:t>
      </w:r>
      <w:r w:rsidR="00771CDE">
        <w:t>in</w:t>
      </w:r>
      <w:r w:rsidR="00771CDE" w:rsidRPr="000D7060">
        <w:t xml:space="preserve"> </w:t>
      </w:r>
      <w:r w:rsidRPr="000D7060">
        <w:t>2007)</w:t>
      </w:r>
      <w:r w:rsidR="00771CDE">
        <w:t>.</w:t>
      </w:r>
    </w:p>
    <w:p w:rsidR="000D7060" w:rsidRPr="000D7060" w:rsidRDefault="00F65C4A" w:rsidP="00991F19">
      <w:pPr>
        <w:pStyle w:val="BodyText"/>
      </w:pPr>
      <w:r w:rsidRPr="00F65C4A">
        <w:t>Progress in</w:t>
      </w:r>
      <w:r>
        <w:rPr>
          <w:b/>
        </w:rPr>
        <w:t xml:space="preserve"> addressing </w:t>
      </w:r>
      <w:r w:rsidR="000D7060" w:rsidRPr="000D7060">
        <w:rPr>
          <w:b/>
        </w:rPr>
        <w:t>HIV</w:t>
      </w:r>
      <w:r>
        <w:rPr>
          <w:b/>
        </w:rPr>
        <w:t>/AIDS issues</w:t>
      </w:r>
      <w:r w:rsidR="000D7060" w:rsidRPr="000D7060">
        <w:rPr>
          <w:b/>
        </w:rPr>
        <w:t xml:space="preserve"> </w:t>
      </w:r>
      <w:r w:rsidR="000D7060" w:rsidRPr="00F65C4A">
        <w:rPr>
          <w:b/>
        </w:rPr>
        <w:t xml:space="preserve">across the </w:t>
      </w:r>
      <w:r w:rsidR="00766674">
        <w:rPr>
          <w:b/>
        </w:rPr>
        <w:t xml:space="preserve">aid </w:t>
      </w:r>
      <w:r w:rsidR="000D7060" w:rsidRPr="00F65C4A">
        <w:rPr>
          <w:b/>
        </w:rPr>
        <w:t>program</w:t>
      </w:r>
      <w:r w:rsidR="000D7060" w:rsidRPr="000D7060">
        <w:t xml:space="preserve"> continu</w:t>
      </w:r>
      <w:r w:rsidR="00766674">
        <w:t>ed in 2008</w:t>
      </w:r>
      <w:r w:rsidR="000D7060" w:rsidRPr="000D7060">
        <w:t>.</w:t>
      </w:r>
    </w:p>
    <w:p w:rsidR="000D7060" w:rsidRPr="000D7060" w:rsidRDefault="00766674" w:rsidP="00991F19">
      <w:pPr>
        <w:pStyle w:val="ListBullet"/>
      </w:pPr>
      <w:r w:rsidRPr="00766674">
        <w:t>In the</w:t>
      </w:r>
      <w:r>
        <w:rPr>
          <w:b/>
        </w:rPr>
        <w:t xml:space="preserve"> e</w:t>
      </w:r>
      <w:r w:rsidR="000D7060" w:rsidRPr="00766674">
        <w:rPr>
          <w:b/>
        </w:rPr>
        <w:t>ducation</w:t>
      </w:r>
      <w:r>
        <w:rPr>
          <w:b/>
        </w:rPr>
        <w:t xml:space="preserve"> sector</w:t>
      </w:r>
      <w:r w:rsidR="000D7060" w:rsidRPr="000D7060">
        <w:t xml:space="preserve"> </w:t>
      </w:r>
      <w:r w:rsidRPr="000D7060">
        <w:t xml:space="preserve">the </w:t>
      </w:r>
      <w:r w:rsidR="000D7060" w:rsidRPr="000D7060">
        <w:t xml:space="preserve">aid program supported the leadership within the </w:t>
      </w:r>
      <w:r>
        <w:t>National Department of Education</w:t>
      </w:r>
      <w:r w:rsidRPr="000D7060">
        <w:t xml:space="preserve"> </w:t>
      </w:r>
      <w:r w:rsidR="000D7060" w:rsidRPr="000D7060">
        <w:t xml:space="preserve">to develop a national HIV policy and plan </w:t>
      </w:r>
      <w:r>
        <w:t xml:space="preserve">for </w:t>
      </w:r>
      <w:r w:rsidR="000D7060" w:rsidRPr="000D7060">
        <w:t xml:space="preserve">addressing HIV within the sector aligned to the </w:t>
      </w:r>
      <w:r w:rsidR="00C2772C">
        <w:t xml:space="preserve">National Strategic Plan for </w:t>
      </w:r>
      <w:r w:rsidR="000D7060" w:rsidRPr="000D7060">
        <w:t>HIV</w:t>
      </w:r>
      <w:r w:rsidR="00C2772C">
        <w:t>/AIDS</w:t>
      </w:r>
      <w:r w:rsidR="000D7060" w:rsidRPr="000D7060">
        <w:t>. HIV</w:t>
      </w:r>
      <w:r>
        <w:t>-</w:t>
      </w:r>
      <w:r w:rsidR="000D7060" w:rsidRPr="000D7060">
        <w:t xml:space="preserve">sensitive curriculum development and teacher training </w:t>
      </w:r>
      <w:r w:rsidR="00C2772C">
        <w:t>were</w:t>
      </w:r>
      <w:r w:rsidR="00C2772C" w:rsidRPr="000D7060">
        <w:t xml:space="preserve"> </w:t>
      </w:r>
      <w:r w:rsidR="000D7060" w:rsidRPr="000D7060">
        <w:t xml:space="preserve">progressed, including an increased focus on counselling. This has the potential to reach one million students. </w:t>
      </w:r>
    </w:p>
    <w:p w:rsidR="000D7060" w:rsidRPr="000D7060" w:rsidRDefault="00766674" w:rsidP="00991F19">
      <w:pPr>
        <w:pStyle w:val="ListBullet"/>
      </w:pPr>
      <w:r w:rsidRPr="00766674">
        <w:t>In the</w:t>
      </w:r>
      <w:r>
        <w:rPr>
          <w:b/>
        </w:rPr>
        <w:t xml:space="preserve"> p</w:t>
      </w:r>
      <w:r w:rsidR="000D7060" w:rsidRPr="00766674">
        <w:rPr>
          <w:b/>
        </w:rPr>
        <w:t xml:space="preserve">ublic </w:t>
      </w:r>
      <w:r w:rsidRPr="00766674">
        <w:rPr>
          <w:b/>
        </w:rPr>
        <w:t>sector</w:t>
      </w:r>
      <w:r w:rsidR="000D7060" w:rsidRPr="000D7060">
        <w:t xml:space="preserve"> the National Training</w:t>
      </w:r>
      <w:r w:rsidR="007B2AB8">
        <w:t xml:space="preserve"> Council incorporated the </w:t>
      </w:r>
      <w:r w:rsidR="000D7060" w:rsidRPr="000D7060">
        <w:t>PNG</w:t>
      </w:r>
      <w:r w:rsidR="007B2AB8">
        <w:t xml:space="preserve"> Government’s</w:t>
      </w:r>
      <w:r w:rsidR="000D7060" w:rsidRPr="000D7060">
        <w:t xml:space="preserve"> </w:t>
      </w:r>
      <w:r w:rsidRPr="000D7060">
        <w:t xml:space="preserve">policy </w:t>
      </w:r>
      <w:r w:rsidR="000D7060" w:rsidRPr="000D7060">
        <w:t xml:space="preserve">on HIV and AIDS into </w:t>
      </w:r>
      <w:r>
        <w:t>its</w:t>
      </w:r>
      <w:r w:rsidRPr="000D7060">
        <w:t xml:space="preserve"> draft </w:t>
      </w:r>
      <w:r w:rsidR="000D7060" w:rsidRPr="000D7060">
        <w:t>National Quality Framework, including the requirement that all major courses must have content relating to</w:t>
      </w:r>
      <w:r>
        <w:t xml:space="preserve"> HIV/AIDS</w:t>
      </w:r>
      <w:r w:rsidR="000D7060" w:rsidRPr="000D7060">
        <w:t xml:space="preserve"> awareness and each institution must have a management plan relating to HIV and AIDS.</w:t>
      </w:r>
    </w:p>
    <w:p w:rsidR="000D7060" w:rsidRPr="00766674" w:rsidRDefault="00766674" w:rsidP="00991F19">
      <w:pPr>
        <w:pStyle w:val="ListBullet"/>
      </w:pPr>
      <w:r w:rsidRPr="00766674">
        <w:t>In the</w:t>
      </w:r>
      <w:r>
        <w:rPr>
          <w:b/>
        </w:rPr>
        <w:t xml:space="preserve"> </w:t>
      </w:r>
      <w:r w:rsidRPr="00766674">
        <w:rPr>
          <w:b/>
        </w:rPr>
        <w:t xml:space="preserve">law </w:t>
      </w:r>
      <w:r w:rsidR="000D7060" w:rsidRPr="00766674">
        <w:rPr>
          <w:b/>
        </w:rPr>
        <w:t xml:space="preserve">and </w:t>
      </w:r>
      <w:r w:rsidRPr="00766674">
        <w:rPr>
          <w:b/>
        </w:rPr>
        <w:t>justice</w:t>
      </w:r>
      <w:r>
        <w:rPr>
          <w:b/>
        </w:rPr>
        <w:t xml:space="preserve"> sector</w:t>
      </w:r>
      <w:r w:rsidR="000D7060" w:rsidRPr="000D7060">
        <w:t xml:space="preserve"> all agencies have developed workplace policies and are addressing gender equality and HIV and AIDS issues in their workplaces and in their core business. Medical and health services for prisoners have been improved</w:t>
      </w:r>
      <w:r w:rsidR="00710798">
        <w:t xml:space="preserve"> and</w:t>
      </w:r>
      <w:r w:rsidR="000D7060" w:rsidRPr="000D7060">
        <w:t xml:space="preserve"> includ</w:t>
      </w:r>
      <w:r w:rsidR="00710798">
        <w:t>e</w:t>
      </w:r>
      <w:r w:rsidR="000D7060" w:rsidRPr="000D7060">
        <w:t xml:space="preserve"> HIV awareness, peer education</w:t>
      </w:r>
      <w:r w:rsidR="00710798">
        <w:t>,</w:t>
      </w:r>
      <w:r w:rsidR="000D7060" w:rsidRPr="000D7060">
        <w:t xml:space="preserve"> and </w:t>
      </w:r>
      <w:r w:rsidR="00886C6D">
        <w:t>voluntary counselling and testing</w:t>
      </w:r>
      <w:r w:rsidR="000D7060" w:rsidRPr="000D7060">
        <w:t xml:space="preserve">. Village court officials have been trained in </w:t>
      </w:r>
      <w:r w:rsidR="00710798">
        <w:t xml:space="preserve">issues associated with </w:t>
      </w:r>
      <w:r w:rsidR="000D7060" w:rsidRPr="000D7060">
        <w:t>gender</w:t>
      </w:r>
      <w:r w:rsidR="00710798">
        <w:t xml:space="preserve"> equality</w:t>
      </w:r>
      <w:r w:rsidR="000D7060" w:rsidRPr="000D7060">
        <w:t>, human rights, HIV and AIDS, and gender-based violence</w:t>
      </w:r>
      <w:r w:rsidR="000D7060" w:rsidRPr="000D7060">
        <w:rPr>
          <w:i/>
        </w:rPr>
        <w:t>.</w:t>
      </w:r>
    </w:p>
    <w:p w:rsidR="000D7060" w:rsidRPr="000D7060" w:rsidRDefault="00710798" w:rsidP="00991F19">
      <w:pPr>
        <w:pStyle w:val="ListBullet"/>
      </w:pPr>
      <w:r w:rsidRPr="00710798">
        <w:t>In</w:t>
      </w:r>
      <w:r>
        <w:rPr>
          <w:b/>
        </w:rPr>
        <w:t xml:space="preserve"> civil society</w:t>
      </w:r>
      <w:r>
        <w:t>,</w:t>
      </w:r>
      <w:r w:rsidR="000D7060" w:rsidRPr="000D7060">
        <w:t xml:space="preserve"> </w:t>
      </w:r>
      <w:r>
        <w:t>there was</w:t>
      </w:r>
      <w:r w:rsidR="000D7060" w:rsidRPr="000D7060">
        <w:t xml:space="preserve"> an expansion of HIV awareness</w:t>
      </w:r>
      <w:r>
        <w:t>-</w:t>
      </w:r>
      <w:r w:rsidR="000D7060" w:rsidRPr="000D7060">
        <w:t xml:space="preserve">raising activities through the Church Partnership Program. The </w:t>
      </w:r>
      <w:r>
        <w:t>Papua New Guinea</w:t>
      </w:r>
      <w:r w:rsidRPr="000D7060">
        <w:t xml:space="preserve"> </w:t>
      </w:r>
      <w:r w:rsidR="000D7060" w:rsidRPr="000D7060">
        <w:t xml:space="preserve">Sports Federation became a member of the Kicking AIDS </w:t>
      </w:r>
      <w:r w:rsidRPr="000D7060">
        <w:t xml:space="preserve">Out </w:t>
      </w:r>
      <w:r w:rsidR="000D7060" w:rsidRPr="000D7060">
        <w:t xml:space="preserve">Network, an international network that trains peer educators. </w:t>
      </w:r>
    </w:p>
    <w:p w:rsidR="000D7060" w:rsidRPr="000D7060" w:rsidRDefault="00710798" w:rsidP="00991F19">
      <w:pPr>
        <w:pStyle w:val="ListBullet"/>
      </w:pPr>
      <w:r w:rsidRPr="00710798">
        <w:t>In the</w:t>
      </w:r>
      <w:r>
        <w:rPr>
          <w:b/>
        </w:rPr>
        <w:t xml:space="preserve"> </w:t>
      </w:r>
      <w:r w:rsidRPr="00766674">
        <w:rPr>
          <w:b/>
        </w:rPr>
        <w:t xml:space="preserve">transport </w:t>
      </w:r>
      <w:r w:rsidR="00766674" w:rsidRPr="00766674">
        <w:rPr>
          <w:b/>
        </w:rPr>
        <w:t>and infrastructure</w:t>
      </w:r>
      <w:r>
        <w:rPr>
          <w:b/>
        </w:rPr>
        <w:t xml:space="preserve"> sector</w:t>
      </w:r>
      <w:r w:rsidR="000D7060" w:rsidRPr="000D7060">
        <w:t xml:space="preserve"> the </w:t>
      </w:r>
      <w:r w:rsidR="00F15CCA" w:rsidRPr="000D7060">
        <w:t xml:space="preserve">Transport Sector Support Program </w:t>
      </w:r>
      <w:r w:rsidR="000D7060" w:rsidRPr="000D7060">
        <w:t>work</w:t>
      </w:r>
      <w:r w:rsidR="00DA54F8">
        <w:t>ed</w:t>
      </w:r>
      <w:r w:rsidR="000D7060" w:rsidRPr="000D7060">
        <w:t xml:space="preserve"> with </w:t>
      </w:r>
      <w:r w:rsidRPr="000D7060">
        <w:t xml:space="preserve">provincial </w:t>
      </w:r>
      <w:r w:rsidR="000D7060" w:rsidRPr="000D7060">
        <w:t xml:space="preserve">AIDS </w:t>
      </w:r>
      <w:r w:rsidRPr="000D7060">
        <w:t xml:space="preserve">councils </w:t>
      </w:r>
      <w:r w:rsidR="000D7060" w:rsidRPr="000D7060">
        <w:t xml:space="preserve">to </w:t>
      </w:r>
      <w:r>
        <w:t>increase</w:t>
      </w:r>
      <w:r w:rsidR="000D7060" w:rsidRPr="000D7060">
        <w:t xml:space="preserve"> HIV awareness and distribute condoms </w:t>
      </w:r>
      <w:r w:rsidR="000D7060" w:rsidRPr="000D7060">
        <w:lastRenderedPageBreak/>
        <w:t>in rural areas</w:t>
      </w:r>
      <w:r w:rsidR="00C2772C">
        <w:t>.</w:t>
      </w:r>
      <w:r w:rsidR="000D7060" w:rsidRPr="000D7060">
        <w:t xml:space="preserve"> </w:t>
      </w:r>
      <w:r w:rsidR="00C2772C">
        <w:t>V</w:t>
      </w:r>
      <w:r w:rsidR="000D7060" w:rsidRPr="000D7060">
        <w:t xml:space="preserve">oluntary counselling and testing has increased at the </w:t>
      </w:r>
      <w:proofErr w:type="spellStart"/>
      <w:r w:rsidR="000D7060" w:rsidRPr="000D7060">
        <w:t>Morobe</w:t>
      </w:r>
      <w:proofErr w:type="spellEnd"/>
      <w:r w:rsidR="000D7060" w:rsidRPr="000D7060">
        <w:t xml:space="preserve"> work camp</w:t>
      </w:r>
      <w:r w:rsidR="00C2772C">
        <w:t>,</w:t>
      </w:r>
      <w:r w:rsidR="000D7060" w:rsidRPr="000D7060">
        <w:t xml:space="preserve"> and drama groups are funded to perform HIV skits in public places. </w:t>
      </w:r>
    </w:p>
    <w:p w:rsidR="00527339" w:rsidRDefault="00527339" w:rsidP="00991F19">
      <w:pPr>
        <w:pStyle w:val="BodyText"/>
      </w:pPr>
      <w:r w:rsidRPr="00207592">
        <w:rPr>
          <w:spacing w:val="-2"/>
        </w:rPr>
        <w:t>A stocktake of HIV mainstreaming in PNG was conducted in 2008 and led to recommendations</w:t>
      </w:r>
      <w:r w:rsidRPr="000D7060">
        <w:t xml:space="preserve"> for the future</w:t>
      </w:r>
      <w:r>
        <w:t>.</w:t>
      </w:r>
      <w:r w:rsidRPr="000D7060">
        <w:t xml:space="preserve"> Th</w:t>
      </w:r>
      <w:r>
        <w:t>ese</w:t>
      </w:r>
      <w:r w:rsidRPr="000D7060">
        <w:t xml:space="preserve"> included developing a mainstreaming strategy for the </w:t>
      </w:r>
      <w:r>
        <w:t xml:space="preserve">PNG </w:t>
      </w:r>
      <w:r w:rsidRPr="000D7060">
        <w:t>aid program</w:t>
      </w:r>
      <w:r>
        <w:t>,</w:t>
      </w:r>
      <w:r w:rsidRPr="000D7060">
        <w:t xml:space="preserve"> which will be progressed in 2009. This should assist in judging whether any given set of </w:t>
      </w:r>
      <w:r>
        <w:t>contributions is sufficient.</w:t>
      </w:r>
    </w:p>
    <w:p w:rsidR="000D7060" w:rsidRPr="000D7060" w:rsidRDefault="000D7060" w:rsidP="00991F19">
      <w:pPr>
        <w:pStyle w:val="BodyText"/>
      </w:pPr>
      <w:r w:rsidRPr="000D7060">
        <w:t xml:space="preserve">There remain substantial issues in terms of </w:t>
      </w:r>
      <w:r w:rsidR="00527339">
        <w:t xml:space="preserve">the capacity of the </w:t>
      </w:r>
      <w:r w:rsidRPr="000D7060">
        <w:t xml:space="preserve">PNG </w:t>
      </w:r>
      <w:r w:rsidR="00527339">
        <w:t xml:space="preserve">Government </w:t>
      </w:r>
      <w:r w:rsidRPr="000D7060">
        <w:t>and donor</w:t>
      </w:r>
      <w:r w:rsidR="00527339">
        <w:t>s</w:t>
      </w:r>
      <w:r w:rsidRPr="000D7060">
        <w:t xml:space="preserve"> to resource a fully scaled</w:t>
      </w:r>
      <w:r w:rsidR="00527339">
        <w:t>-</w:t>
      </w:r>
      <w:r w:rsidRPr="000D7060">
        <w:t>up national response</w:t>
      </w:r>
      <w:r w:rsidR="00527339">
        <w:t>,</w:t>
      </w:r>
      <w:r w:rsidRPr="000D7060">
        <w:t xml:space="preserve"> as well as issues relating to the capacity of implementing partners to realistically scale up and manage activities </w:t>
      </w:r>
      <w:r w:rsidR="00527339">
        <w:t>that</w:t>
      </w:r>
      <w:r w:rsidR="00527339" w:rsidRPr="000D7060">
        <w:t xml:space="preserve"> </w:t>
      </w:r>
      <w:r w:rsidRPr="000D7060">
        <w:t>can demonstrate quality and effective interventions.</w:t>
      </w:r>
    </w:p>
    <w:p w:rsidR="000D7060" w:rsidRDefault="00D86A59" w:rsidP="00BD684D">
      <w:pPr>
        <w:pStyle w:val="H2A"/>
      </w:pPr>
      <w:bookmarkStart w:id="128" w:name="_Toc237763919"/>
      <w:bookmarkStart w:id="129" w:name="_Toc361224381"/>
      <w:r>
        <w:t>Objective 2:</w:t>
      </w:r>
      <w:r>
        <w:br/>
      </w:r>
      <w:r w:rsidR="000D7060" w:rsidRPr="000D7060">
        <w:t>Effective care and treatme</w:t>
      </w:r>
      <w:r>
        <w:t>nt of those infected</w:t>
      </w:r>
      <w:bookmarkEnd w:id="128"/>
      <w:bookmarkEnd w:id="129"/>
    </w:p>
    <w:p w:rsidR="00FD3F88" w:rsidRPr="00FD3F88" w:rsidRDefault="00FD3F88" w:rsidP="00BD684D">
      <w:pPr>
        <w:pStyle w:val="H3A"/>
      </w:pPr>
      <w:bookmarkStart w:id="130" w:name="_Toc361224382"/>
      <w:r>
        <w:t>Rating</w:t>
      </w:r>
      <w:bookmarkEnd w:id="130"/>
    </w:p>
    <w:p w:rsidR="00D86A59" w:rsidRPr="00D86A59" w:rsidRDefault="00BD684D" w:rsidP="00BD684D">
      <w:pPr>
        <w:pStyle w:val="Ratingamber"/>
        <w:numPr>
          <w:ilvl w:val="0"/>
          <w:numId w:val="0"/>
        </w:numPr>
        <w:ind w:left="567" w:hanging="567"/>
      </w:pPr>
      <w:r>
        <w:rPr>
          <w:noProof/>
          <w:lang w:val="en-US" w:eastAsia="en-US"/>
        </w:rPr>
        <w:drawing>
          <wp:inline distT="0" distB="0" distL="0" distR="0" wp14:anchorId="187686A8" wp14:editId="16189E3F">
            <wp:extent cx="95238" cy="95238"/>
            <wp:effectExtent l="0" t="0" r="635" b="635"/>
            <wp:docPr id="22" name="Picture 22"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mbeer.png"/>
                    <pic:cNvPicPr/>
                  </pic:nvPicPr>
                  <pic:blipFill>
                    <a:blip r:embed="rId20">
                      <a:extLst>
                        <a:ext uri="{28A0092B-C50C-407E-A947-70E740481C1C}">
                          <a14:useLocalDpi xmlns:a14="http://schemas.microsoft.com/office/drawing/2010/main" val="0"/>
                        </a:ext>
                      </a:extLst>
                    </a:blip>
                    <a:stretch>
                      <a:fillRect/>
                    </a:stretch>
                  </pic:blipFill>
                  <pic:spPr>
                    <a:xfrm>
                      <a:off x="0" y="0"/>
                      <a:ext cx="95238" cy="95238"/>
                    </a:xfrm>
                    <a:prstGeom prst="rect">
                      <a:avLst/>
                    </a:prstGeom>
                  </pic:spPr>
                </pic:pic>
              </a:graphicData>
            </a:graphic>
          </wp:inline>
        </w:drawing>
      </w:r>
      <w:r>
        <w:tab/>
      </w:r>
      <w:r w:rsidR="001B735E" w:rsidRPr="00011299">
        <w:t>The objective will be partly achieved within the timeframe of the strategy</w:t>
      </w:r>
      <w:r w:rsidR="001B735E">
        <w:t>.</w:t>
      </w:r>
    </w:p>
    <w:p w:rsidR="00FD3F88" w:rsidRPr="00541E6E" w:rsidRDefault="00FD3F88" w:rsidP="00BD684D">
      <w:pPr>
        <w:pStyle w:val="H3A"/>
      </w:pPr>
      <w:bookmarkStart w:id="131" w:name="_Toc361224383"/>
      <w:r w:rsidRPr="00541E6E">
        <w:t>Assessment of results and performance</w:t>
      </w:r>
      <w:bookmarkEnd w:id="131"/>
    </w:p>
    <w:p w:rsidR="000D7060" w:rsidRPr="000D7060" w:rsidRDefault="000D7060" w:rsidP="00991F19">
      <w:pPr>
        <w:pStyle w:val="BodyText"/>
      </w:pPr>
      <w:r w:rsidRPr="000D7060">
        <w:t xml:space="preserve">As noted </w:t>
      </w:r>
      <w:r w:rsidR="00FD3F88">
        <w:t>in the 2007 annual program performance report</w:t>
      </w:r>
      <w:r w:rsidRPr="000D7060">
        <w:t xml:space="preserve">, progress </w:t>
      </w:r>
      <w:r w:rsidR="003D5B28">
        <w:t>towards</w:t>
      </w:r>
      <w:r w:rsidR="003D5B28" w:rsidRPr="000D7060">
        <w:t xml:space="preserve"> </w:t>
      </w:r>
      <w:r w:rsidRPr="000D7060">
        <w:t xml:space="preserve">this objective is tied at least in part to </w:t>
      </w:r>
      <w:r w:rsidR="003D5B28">
        <w:t xml:space="preserve">the performance of the </w:t>
      </w:r>
      <w:r w:rsidRPr="000D7060">
        <w:t xml:space="preserve">health sector. Encouraging changes in </w:t>
      </w:r>
      <w:r w:rsidR="003D5B28">
        <w:t>that</w:t>
      </w:r>
      <w:r w:rsidRPr="000D7060">
        <w:t xml:space="preserve"> sector should lead to improvements in the management of care and treatment</w:t>
      </w:r>
      <w:r w:rsidR="00C2772C">
        <w:t xml:space="preserve"> for people living with HIV/AIDS</w:t>
      </w:r>
      <w:r w:rsidRPr="000D7060">
        <w:t xml:space="preserve">, but in the short to medium term the delivery of services is </w:t>
      </w:r>
      <w:r w:rsidR="00DA54F8">
        <w:t>mainly</w:t>
      </w:r>
      <w:r w:rsidR="00DA54F8" w:rsidRPr="000D7060">
        <w:t xml:space="preserve"> </w:t>
      </w:r>
      <w:r w:rsidRPr="000D7060">
        <w:t xml:space="preserve">being carried forward by civil society and donors. </w:t>
      </w:r>
    </w:p>
    <w:p w:rsidR="000D7060" w:rsidRPr="000D7060" w:rsidRDefault="000D7060" w:rsidP="00991F19">
      <w:pPr>
        <w:pStyle w:val="BodyText"/>
      </w:pPr>
      <w:r w:rsidRPr="000D7060">
        <w:t xml:space="preserve">In 2008 </w:t>
      </w:r>
      <w:smartTag w:uri="urn:schemas-microsoft-com:office:smarttags" w:element="place">
        <w:smartTag w:uri="urn:schemas-microsoft-com:office:smarttags" w:element="country-region">
          <w:r w:rsidRPr="000D7060">
            <w:t>Australia</w:t>
          </w:r>
        </w:smartTag>
      </w:smartTag>
      <w:r w:rsidRPr="000D7060">
        <w:t xml:space="preserve"> contributed to:</w:t>
      </w:r>
    </w:p>
    <w:p w:rsidR="000D7060" w:rsidRPr="000D7060" w:rsidRDefault="003971DE" w:rsidP="00991F19">
      <w:pPr>
        <w:pStyle w:val="ListBullet"/>
      </w:pPr>
      <w:r>
        <w:rPr>
          <w:b/>
        </w:rPr>
        <w:t>E</w:t>
      </w:r>
      <w:r w:rsidR="000D7060" w:rsidRPr="000D7060">
        <w:rPr>
          <w:b/>
        </w:rPr>
        <w:t>xten</w:t>
      </w:r>
      <w:r>
        <w:rPr>
          <w:b/>
        </w:rPr>
        <w:t>ding</w:t>
      </w:r>
      <w:r w:rsidR="000D7060" w:rsidRPr="000D7060">
        <w:rPr>
          <w:b/>
        </w:rPr>
        <w:t xml:space="preserve"> anti-retroviral therapy</w:t>
      </w:r>
      <w:r w:rsidR="000D7060" w:rsidRPr="000D7060">
        <w:t xml:space="preserve"> </w:t>
      </w:r>
      <w:r w:rsidR="000D7060" w:rsidRPr="003971DE">
        <w:rPr>
          <w:b/>
        </w:rPr>
        <w:t>services into more regional and provincial hospitals.</w:t>
      </w:r>
      <w:r w:rsidR="000D7060" w:rsidRPr="000D7060">
        <w:t xml:space="preserve"> By the end of 2008 there were 50 </w:t>
      </w:r>
      <w:r w:rsidR="00490187" w:rsidRPr="00490187">
        <w:t>anti-retroviral therapy</w:t>
      </w:r>
      <w:r w:rsidR="00490187" w:rsidRPr="000D7060">
        <w:t xml:space="preserve"> </w:t>
      </w:r>
      <w:r w:rsidR="000D7060" w:rsidRPr="000D7060">
        <w:t xml:space="preserve">sites established (up from 38 in 2007) in all provinces except Manus and </w:t>
      </w:r>
      <w:smartTag w:uri="urn:schemas-microsoft-com:office:smarttags" w:element="place">
        <w:r w:rsidR="000D7060" w:rsidRPr="000D7060">
          <w:t>New Ireland</w:t>
        </w:r>
      </w:smartTag>
      <w:r w:rsidR="008F05F9">
        <w:t>,</w:t>
      </w:r>
      <w:r w:rsidR="000D7060" w:rsidRPr="000D7060">
        <w:t xml:space="preserve"> but at this stage only 35 can provide treatment. However</w:t>
      </w:r>
      <w:r>
        <w:t>,</w:t>
      </w:r>
      <w:r w:rsidR="000D7060" w:rsidRPr="000D7060">
        <w:t xml:space="preserve"> the sites are completely inaccessible for remote communities</w:t>
      </w:r>
      <w:r w:rsidR="00B71E18">
        <w:t>, which account for</w:t>
      </w:r>
      <w:r w:rsidR="000D7060" w:rsidRPr="000D7060">
        <w:t xml:space="preserve"> an estimated 50</w:t>
      </w:r>
      <w:r w:rsidR="001B735E">
        <w:t> per cent</w:t>
      </w:r>
      <w:r w:rsidR="000D7060" w:rsidRPr="000D7060">
        <w:t xml:space="preserve"> of the national need</w:t>
      </w:r>
      <w:r w:rsidR="00DA54F8">
        <w:t>.</w:t>
      </w:r>
      <w:r w:rsidR="000D7060" w:rsidRPr="000D7060">
        <w:t xml:space="preserve"> The escalating epidemic in rural areas will increase the demand for services in more remote</w:t>
      </w:r>
      <w:r w:rsidR="00ED71DF">
        <w:t> </w:t>
      </w:r>
      <w:r w:rsidR="000D7060" w:rsidRPr="000D7060">
        <w:t xml:space="preserve">communities. </w:t>
      </w:r>
    </w:p>
    <w:p w:rsidR="000D7060" w:rsidRPr="000D7060" w:rsidRDefault="000D7060" w:rsidP="00991F19">
      <w:pPr>
        <w:pStyle w:val="ListBullet"/>
      </w:pPr>
      <w:r w:rsidRPr="000D7060">
        <w:rPr>
          <w:b/>
        </w:rPr>
        <w:t xml:space="preserve">Training 450 health care workers to administer </w:t>
      </w:r>
      <w:r w:rsidR="00490187" w:rsidRPr="000D7060">
        <w:rPr>
          <w:b/>
        </w:rPr>
        <w:t>anti-retroviral therapy</w:t>
      </w:r>
      <w:r w:rsidR="00490187" w:rsidRPr="000D7060">
        <w:t xml:space="preserve"> </w:t>
      </w:r>
      <w:r w:rsidR="00490187">
        <w:t>(52</w:t>
      </w:r>
      <w:r w:rsidR="008F05F9">
        <w:t> had </w:t>
      </w:r>
      <w:r w:rsidR="003971DE">
        <w:t xml:space="preserve">been </w:t>
      </w:r>
      <w:r w:rsidR="008F05F9" w:rsidRPr="000D7060">
        <w:t xml:space="preserve">trained </w:t>
      </w:r>
      <w:r w:rsidRPr="000D7060">
        <w:t>at the beginning 2006)</w:t>
      </w:r>
      <w:r w:rsidR="003971DE">
        <w:t>.</w:t>
      </w:r>
    </w:p>
    <w:p w:rsidR="000D7060" w:rsidRPr="000D7060" w:rsidRDefault="000D7060" w:rsidP="008F05F9">
      <w:pPr>
        <w:pStyle w:val="BodyText"/>
        <w:keepLines/>
      </w:pPr>
      <w:r w:rsidRPr="000D7060">
        <w:t xml:space="preserve">The delivery of testing and treatment to antenatal clients lags behind other </w:t>
      </w:r>
      <w:r w:rsidR="00490187" w:rsidRPr="00490187">
        <w:t>anti-retroviral therapy</w:t>
      </w:r>
      <w:r w:rsidR="00490187" w:rsidRPr="000D7060">
        <w:t xml:space="preserve"> </w:t>
      </w:r>
      <w:r w:rsidRPr="000D7060">
        <w:t xml:space="preserve">services due to </w:t>
      </w:r>
      <w:r w:rsidR="00B71E18">
        <w:t xml:space="preserve">the </w:t>
      </w:r>
      <w:r w:rsidRPr="000D7060">
        <w:t xml:space="preserve">poor quality of maternal and child health services, and </w:t>
      </w:r>
      <w:r w:rsidR="00F07C4D">
        <w:t>the</w:t>
      </w:r>
      <w:r w:rsidR="00F07C4D" w:rsidRPr="000D7060">
        <w:t xml:space="preserve"> </w:t>
      </w:r>
      <w:r w:rsidRPr="000D7060">
        <w:t xml:space="preserve">lack of staff skills and facilities for counselling and treatment. A </w:t>
      </w:r>
      <w:r w:rsidR="00712515">
        <w:t xml:space="preserve">review of the </w:t>
      </w:r>
      <w:r w:rsidRPr="000D7060">
        <w:t xml:space="preserve">Prevention of Parent to Child Transmission </w:t>
      </w:r>
      <w:r w:rsidR="00712515">
        <w:t>Program</w:t>
      </w:r>
      <w:r w:rsidRPr="000D7060">
        <w:t xml:space="preserve"> </w:t>
      </w:r>
      <w:r w:rsidR="00F07C4D">
        <w:t>will be</w:t>
      </w:r>
      <w:r w:rsidRPr="000D7060">
        <w:t xml:space="preserve"> undertaken in 2009. </w:t>
      </w:r>
    </w:p>
    <w:p w:rsidR="000D7060" w:rsidRPr="000D7060" w:rsidRDefault="000D7060" w:rsidP="00991F19">
      <w:pPr>
        <w:pStyle w:val="BodyText"/>
      </w:pPr>
      <w:r w:rsidRPr="000D7060">
        <w:t xml:space="preserve">Performance issues in health service delivery have </w:t>
      </w:r>
      <w:r w:rsidR="00712515">
        <w:t>major</w:t>
      </w:r>
      <w:r w:rsidR="00712515" w:rsidRPr="000D7060">
        <w:t xml:space="preserve"> </w:t>
      </w:r>
      <w:r w:rsidRPr="000D7060">
        <w:t xml:space="preserve">impacts on an effective response to HIV. </w:t>
      </w:r>
      <w:smartTag w:uri="urn:schemas-microsoft-com:office:smarttags" w:element="place">
        <w:smartTag w:uri="urn:schemas-microsoft-com:office:smarttags" w:element="country-region">
          <w:r w:rsidRPr="000D7060">
            <w:t>Australia</w:t>
          </w:r>
        </w:smartTag>
      </w:smartTag>
      <w:r w:rsidRPr="000D7060">
        <w:t xml:space="preserve"> supports the </w:t>
      </w:r>
      <w:r w:rsidR="002F62C2">
        <w:t>National Department of Health</w:t>
      </w:r>
      <w:r w:rsidRPr="000D7060">
        <w:t xml:space="preserve"> on policy and programmatic issues, including surveillance, Global Fund implementation, and treatment and care services. The Capacity Building Service Centre has provided much needed in-line support to critical functions of the HIV and AIDS </w:t>
      </w:r>
      <w:r w:rsidR="00712515" w:rsidRPr="000D7060">
        <w:t xml:space="preserve">Unit </w:t>
      </w:r>
      <w:r w:rsidRPr="000D7060">
        <w:t xml:space="preserve">in </w:t>
      </w:r>
      <w:r w:rsidR="002F62C2">
        <w:t>the National Department of Health</w:t>
      </w:r>
      <w:r w:rsidRPr="000D7060">
        <w:t>.</w:t>
      </w:r>
      <w:r w:rsidRPr="000D7060" w:rsidDel="00200394">
        <w:t xml:space="preserve"> </w:t>
      </w:r>
      <w:r w:rsidRPr="000D7060">
        <w:t xml:space="preserve">Partnerships with </w:t>
      </w:r>
      <w:r w:rsidR="00712515">
        <w:t xml:space="preserve">the </w:t>
      </w:r>
      <w:r w:rsidRPr="000D7060">
        <w:t xml:space="preserve">Clinton Foundation, WHO and UNICEF have assisted in ensuring </w:t>
      </w:r>
      <w:r w:rsidR="00712515">
        <w:t xml:space="preserve">there is </w:t>
      </w:r>
      <w:r w:rsidRPr="000D7060">
        <w:t xml:space="preserve">a coordinated approach </w:t>
      </w:r>
      <w:r w:rsidR="00712515">
        <w:t>to</w:t>
      </w:r>
      <w:r w:rsidR="00712515" w:rsidRPr="000D7060">
        <w:t xml:space="preserve"> </w:t>
      </w:r>
      <w:r w:rsidRPr="000D7060">
        <w:t>support</w:t>
      </w:r>
      <w:r w:rsidR="00712515">
        <w:t>ing</w:t>
      </w:r>
      <w:r w:rsidRPr="000D7060">
        <w:t xml:space="preserve"> </w:t>
      </w:r>
      <w:r w:rsidR="002F62C2">
        <w:t>the department</w:t>
      </w:r>
      <w:r w:rsidRPr="000D7060">
        <w:t xml:space="preserve"> </w:t>
      </w:r>
      <w:r w:rsidR="00712515">
        <w:t>in its</w:t>
      </w:r>
      <w:r w:rsidR="00712515" w:rsidRPr="000D7060">
        <w:t xml:space="preserve"> </w:t>
      </w:r>
      <w:r w:rsidRPr="000D7060">
        <w:t>HIV and AIDS</w:t>
      </w:r>
      <w:r w:rsidR="00712515">
        <w:t xml:space="preserve"> activities</w:t>
      </w:r>
      <w:r w:rsidRPr="000D7060">
        <w:t xml:space="preserve">. </w:t>
      </w:r>
    </w:p>
    <w:p w:rsidR="000D7060" w:rsidRDefault="00D86A59" w:rsidP="00BD684D">
      <w:pPr>
        <w:pStyle w:val="H2A"/>
      </w:pPr>
      <w:bookmarkStart w:id="132" w:name="_Toc234751243"/>
      <w:bookmarkStart w:id="133" w:name="_Toc234829276"/>
      <w:bookmarkStart w:id="134" w:name="_Toc235513583"/>
      <w:bookmarkStart w:id="135" w:name="_Toc237763920"/>
      <w:bookmarkStart w:id="136" w:name="_Toc361224384"/>
      <w:r>
        <w:lastRenderedPageBreak/>
        <w:t>Objective 3:</w:t>
      </w:r>
      <w:bookmarkStart w:id="137" w:name="_Toc234751244"/>
      <w:bookmarkStart w:id="138" w:name="_Toc234829277"/>
      <w:bookmarkEnd w:id="132"/>
      <w:bookmarkEnd w:id="133"/>
      <w:bookmarkEnd w:id="134"/>
      <w:r w:rsidR="00B92D41">
        <w:br/>
      </w:r>
      <w:r w:rsidR="000D7060" w:rsidRPr="000D7060">
        <w:t xml:space="preserve">Strengthened national capacity to lead, coordinate </w:t>
      </w:r>
      <w:r w:rsidR="00712515">
        <w:t>and</w:t>
      </w:r>
      <w:r w:rsidR="00712515" w:rsidRPr="000D7060">
        <w:t xml:space="preserve"> </w:t>
      </w:r>
      <w:r w:rsidR="000D7060" w:rsidRPr="000D7060">
        <w:t>implement the HIV response</w:t>
      </w:r>
      <w:bookmarkEnd w:id="135"/>
      <w:bookmarkEnd w:id="136"/>
      <w:bookmarkEnd w:id="137"/>
      <w:bookmarkEnd w:id="138"/>
    </w:p>
    <w:p w:rsidR="00115409" w:rsidRPr="00115409" w:rsidRDefault="00115409" w:rsidP="00BD684D">
      <w:pPr>
        <w:pStyle w:val="H3A"/>
      </w:pPr>
      <w:bookmarkStart w:id="139" w:name="_Toc361224385"/>
      <w:r>
        <w:t>Ratings</w:t>
      </w:r>
      <w:bookmarkEnd w:id="139"/>
    </w:p>
    <w:p w:rsidR="00D86A59" w:rsidRPr="00D86A59" w:rsidRDefault="00BD684D" w:rsidP="0096627C">
      <w:pPr>
        <w:pStyle w:val="Ratingred"/>
        <w:numPr>
          <w:ilvl w:val="0"/>
          <w:numId w:val="0"/>
        </w:numPr>
        <w:ind w:left="567" w:hanging="567"/>
      </w:pPr>
      <w:r>
        <w:rPr>
          <w:noProof/>
          <w:lang w:val="en-US" w:eastAsia="en-US"/>
        </w:rPr>
        <w:drawing>
          <wp:inline distT="0" distB="0" distL="0" distR="0" wp14:anchorId="497B87BD" wp14:editId="231347FC">
            <wp:extent cx="95263" cy="95263"/>
            <wp:effectExtent l="0" t="0" r="0" b="0"/>
            <wp:docPr id="23" name="Picture 23"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D.png"/>
                    <pic:cNvPicPr/>
                  </pic:nvPicPr>
                  <pic:blipFill>
                    <a:blip r:embed="rId21">
                      <a:extLst>
                        <a:ext uri="{28A0092B-C50C-407E-A947-70E740481C1C}">
                          <a14:useLocalDpi xmlns:a14="http://schemas.microsoft.com/office/drawing/2010/main" val="0"/>
                        </a:ext>
                      </a:extLst>
                    </a:blip>
                    <a:stretch>
                      <a:fillRect/>
                    </a:stretch>
                  </pic:blipFill>
                  <pic:spPr>
                    <a:xfrm>
                      <a:off x="0" y="0"/>
                      <a:ext cx="95263" cy="95263"/>
                    </a:xfrm>
                    <a:prstGeom prst="rect">
                      <a:avLst/>
                    </a:prstGeom>
                  </pic:spPr>
                </pic:pic>
              </a:graphicData>
            </a:graphic>
          </wp:inline>
        </w:drawing>
      </w:r>
      <w:r w:rsidR="0096627C">
        <w:tab/>
      </w:r>
      <w:r w:rsidR="00405D82">
        <w:t>In the PNG Government t</w:t>
      </w:r>
      <w:r w:rsidR="001B735E" w:rsidRPr="00011299">
        <w:t>he objective is unlikely to be achieved within the timeframe of the strategy</w:t>
      </w:r>
      <w:r w:rsidR="001B735E">
        <w:t>.</w:t>
      </w:r>
    </w:p>
    <w:p w:rsidR="00D86A59" w:rsidRPr="00D86A59" w:rsidRDefault="0096627C" w:rsidP="0096627C">
      <w:pPr>
        <w:pStyle w:val="Ratingamber"/>
        <w:numPr>
          <w:ilvl w:val="0"/>
          <w:numId w:val="0"/>
        </w:numPr>
        <w:ind w:left="567" w:hanging="567"/>
      </w:pPr>
      <w:r>
        <w:rPr>
          <w:noProof/>
          <w:lang w:val="en-US" w:eastAsia="en-US"/>
        </w:rPr>
        <w:drawing>
          <wp:inline distT="0" distB="0" distL="0" distR="0" wp14:anchorId="35BD5EB9" wp14:editId="3CE7A052">
            <wp:extent cx="95238" cy="95238"/>
            <wp:effectExtent l="0" t="0" r="635" b="635"/>
            <wp:docPr id="24" name="Picture 2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mbeer.png"/>
                    <pic:cNvPicPr/>
                  </pic:nvPicPr>
                  <pic:blipFill>
                    <a:blip r:embed="rId20">
                      <a:extLst>
                        <a:ext uri="{28A0092B-C50C-407E-A947-70E740481C1C}">
                          <a14:useLocalDpi xmlns:a14="http://schemas.microsoft.com/office/drawing/2010/main" val="0"/>
                        </a:ext>
                      </a:extLst>
                    </a:blip>
                    <a:stretch>
                      <a:fillRect/>
                    </a:stretch>
                  </pic:blipFill>
                  <pic:spPr>
                    <a:xfrm>
                      <a:off x="0" y="0"/>
                      <a:ext cx="95238" cy="95238"/>
                    </a:xfrm>
                    <a:prstGeom prst="rect">
                      <a:avLst/>
                    </a:prstGeom>
                  </pic:spPr>
                </pic:pic>
              </a:graphicData>
            </a:graphic>
          </wp:inline>
        </w:drawing>
      </w:r>
      <w:r>
        <w:tab/>
      </w:r>
      <w:r w:rsidR="00405D82">
        <w:t>In civil society t</w:t>
      </w:r>
      <w:r w:rsidR="001B735E" w:rsidRPr="00011299">
        <w:t>he objective will be partly achieved within the timeframe of the strategy</w:t>
      </w:r>
      <w:r w:rsidR="001B735E">
        <w:t>.</w:t>
      </w:r>
    </w:p>
    <w:p w:rsidR="00115409" w:rsidRPr="00541E6E" w:rsidRDefault="00115409" w:rsidP="0096627C">
      <w:pPr>
        <w:pStyle w:val="H3A"/>
      </w:pPr>
      <w:bookmarkStart w:id="140" w:name="_Toc361224386"/>
      <w:r w:rsidRPr="00541E6E">
        <w:t>Assessment of results and performance</w:t>
      </w:r>
      <w:bookmarkEnd w:id="140"/>
    </w:p>
    <w:p w:rsidR="000D7060" w:rsidRPr="000D7060" w:rsidRDefault="000D7060" w:rsidP="00991F19">
      <w:pPr>
        <w:pStyle w:val="BodyText"/>
      </w:pPr>
      <w:r w:rsidRPr="000D7060">
        <w:t>There was a marked absence of political and institutional leadership of the HIV response during 2008. Fundamental capacity and organisation</w:t>
      </w:r>
      <w:r w:rsidR="00EF3F25">
        <w:t>al</w:t>
      </w:r>
      <w:r w:rsidRPr="000D7060">
        <w:t xml:space="preserve"> constraints within the </w:t>
      </w:r>
      <w:r w:rsidR="00EF3F25" w:rsidRPr="000D7060">
        <w:t xml:space="preserve">National AIDS Council Secretariat </w:t>
      </w:r>
      <w:r w:rsidRPr="000D7060">
        <w:t xml:space="preserve">continued to undermine its ability to lead the national response and undermined confidence in its ability to adequately perform. Despite substantial increases in </w:t>
      </w:r>
      <w:r w:rsidR="00EF3F25">
        <w:t xml:space="preserve">the </w:t>
      </w:r>
      <w:r w:rsidRPr="000D7060">
        <w:t xml:space="preserve">resources </w:t>
      </w:r>
      <w:r w:rsidR="00EF3F25">
        <w:t>of the secretariat</w:t>
      </w:r>
      <w:r w:rsidRPr="000D7060">
        <w:t xml:space="preserve"> during 2008, disbursements to support the national response were often slow and not well targeted (69</w:t>
      </w:r>
      <w:r w:rsidR="001B735E">
        <w:t> per cent</w:t>
      </w:r>
      <w:r w:rsidRPr="000D7060">
        <w:t xml:space="preserve"> of the development budget was administered on time). This resulted in a dramatic reduction (</w:t>
      </w:r>
      <w:r w:rsidR="00B67510">
        <w:t>two-thirds</w:t>
      </w:r>
      <w:r w:rsidRPr="000D7060">
        <w:t xml:space="preserve">) in </w:t>
      </w:r>
      <w:r w:rsidR="00EF3F25">
        <w:t>the PNG Government’s</w:t>
      </w:r>
      <w:r w:rsidRPr="000D7060">
        <w:t xml:space="preserve"> resource commitments to </w:t>
      </w:r>
      <w:r w:rsidR="00EF3F25">
        <w:t>the secretariat’s</w:t>
      </w:r>
      <w:r w:rsidRPr="000D7060">
        <w:t xml:space="preserve"> budget for 2009.</w:t>
      </w:r>
    </w:p>
    <w:p w:rsidR="000D7060" w:rsidRPr="00741948" w:rsidRDefault="000D7060" w:rsidP="00991F19">
      <w:pPr>
        <w:pStyle w:val="BodyText"/>
        <w:rPr>
          <w:spacing w:val="-2"/>
        </w:rPr>
      </w:pPr>
      <w:r w:rsidRPr="00741948">
        <w:rPr>
          <w:spacing w:val="-2"/>
        </w:rPr>
        <w:t>In th</w:t>
      </w:r>
      <w:r w:rsidR="00DA54F8">
        <w:rPr>
          <w:spacing w:val="-2"/>
        </w:rPr>
        <w:t>is</w:t>
      </w:r>
      <w:r w:rsidRPr="00741948">
        <w:rPr>
          <w:spacing w:val="-2"/>
        </w:rPr>
        <w:t xml:space="preserve"> context</w:t>
      </w:r>
      <w:r w:rsidR="00DA54F8">
        <w:rPr>
          <w:spacing w:val="-2"/>
        </w:rPr>
        <w:t>,</w:t>
      </w:r>
      <w:r w:rsidRPr="00741948">
        <w:rPr>
          <w:spacing w:val="-2"/>
        </w:rPr>
        <w:t xml:space="preserve"> during 2008 Australian assistance focused on particular strategic priorities within the </w:t>
      </w:r>
      <w:r w:rsidR="00EF3F25" w:rsidRPr="00741948">
        <w:rPr>
          <w:spacing w:val="-2"/>
        </w:rPr>
        <w:t>secretariat</w:t>
      </w:r>
      <w:r w:rsidR="00B67510">
        <w:rPr>
          <w:spacing w:val="-2"/>
        </w:rPr>
        <w:t>,</w:t>
      </w:r>
      <w:r w:rsidR="00EF3F25" w:rsidRPr="00741948">
        <w:rPr>
          <w:spacing w:val="-2"/>
        </w:rPr>
        <w:t xml:space="preserve"> </w:t>
      </w:r>
      <w:r w:rsidRPr="00741948">
        <w:rPr>
          <w:spacing w:val="-2"/>
        </w:rPr>
        <w:t xml:space="preserve">including senior management, financial and procurement systems, provincial AIDS committees, planning processes, grants and research. </w:t>
      </w:r>
    </w:p>
    <w:p w:rsidR="000D7060" w:rsidRPr="000D7060" w:rsidRDefault="00B67510" w:rsidP="008F05F9">
      <w:pPr>
        <w:pStyle w:val="BodyText"/>
        <w:keepNext/>
      </w:pPr>
      <w:r>
        <w:t xml:space="preserve">In 2008 </w:t>
      </w:r>
      <w:smartTag w:uri="urn:schemas-microsoft-com:office:smarttags" w:element="place">
        <w:smartTag w:uri="urn:schemas-microsoft-com:office:smarttags" w:element="country-region">
          <w:r w:rsidR="000D7060" w:rsidRPr="000D7060">
            <w:t>Australia</w:t>
          </w:r>
        </w:smartTag>
      </w:smartTag>
      <w:r w:rsidR="000D7060" w:rsidRPr="000D7060">
        <w:t xml:space="preserve"> assisted PNG to:</w:t>
      </w:r>
    </w:p>
    <w:p w:rsidR="000D7060" w:rsidRPr="00405D82" w:rsidRDefault="000D7060" w:rsidP="008F05F9">
      <w:pPr>
        <w:pStyle w:val="ListBullet"/>
        <w:keepLines/>
        <w:rPr>
          <w:spacing w:val="-1"/>
        </w:rPr>
      </w:pPr>
      <w:r w:rsidRPr="00405D82">
        <w:rPr>
          <w:b/>
          <w:spacing w:val="-1"/>
        </w:rPr>
        <w:t>Enhance the provincial response</w:t>
      </w:r>
      <w:r w:rsidRPr="00405D82">
        <w:rPr>
          <w:spacing w:val="-1"/>
        </w:rPr>
        <w:t xml:space="preserve">. Ongoing technical assistance </w:t>
      </w:r>
      <w:r w:rsidR="00B67510" w:rsidRPr="00405D82">
        <w:rPr>
          <w:spacing w:val="-1"/>
        </w:rPr>
        <w:t>was</w:t>
      </w:r>
      <w:r w:rsidRPr="00405D82">
        <w:rPr>
          <w:spacing w:val="-1"/>
        </w:rPr>
        <w:t xml:space="preserve"> provided to the provincial programs</w:t>
      </w:r>
      <w:r w:rsidR="00EF3F25" w:rsidRPr="00405D82">
        <w:rPr>
          <w:spacing w:val="-1"/>
        </w:rPr>
        <w:t xml:space="preserve"> of the National AIDS Council Secretariat</w:t>
      </w:r>
      <w:r w:rsidR="00B67510" w:rsidRPr="00405D82">
        <w:rPr>
          <w:spacing w:val="-1"/>
        </w:rPr>
        <w:t>,</w:t>
      </w:r>
      <w:r w:rsidRPr="00405D82">
        <w:rPr>
          <w:spacing w:val="-1"/>
        </w:rPr>
        <w:t xml:space="preserve"> leading to enhanced support and supervision </w:t>
      </w:r>
      <w:r w:rsidR="00B67510" w:rsidRPr="00405D82">
        <w:rPr>
          <w:spacing w:val="-1"/>
        </w:rPr>
        <w:t xml:space="preserve">of </w:t>
      </w:r>
      <w:r w:rsidRPr="00405D82">
        <w:rPr>
          <w:spacing w:val="-1"/>
        </w:rPr>
        <w:t xml:space="preserve">the </w:t>
      </w:r>
      <w:r w:rsidR="003265D9" w:rsidRPr="00405D82">
        <w:rPr>
          <w:spacing w:val="-1"/>
        </w:rPr>
        <w:t xml:space="preserve">provincial </w:t>
      </w:r>
      <w:r w:rsidRPr="00405D82">
        <w:rPr>
          <w:spacing w:val="-1"/>
        </w:rPr>
        <w:t xml:space="preserve">AIDS </w:t>
      </w:r>
      <w:r w:rsidR="003265D9" w:rsidRPr="00405D82">
        <w:rPr>
          <w:spacing w:val="-1"/>
        </w:rPr>
        <w:t>committees</w:t>
      </w:r>
      <w:r w:rsidRPr="00405D82">
        <w:rPr>
          <w:spacing w:val="-1"/>
        </w:rPr>
        <w:t xml:space="preserve">. New guidelines for managing and coordinating provincial and district HIV and AIDS activities were distributed to all provinces. Some </w:t>
      </w:r>
      <w:r w:rsidR="00EF3F25" w:rsidRPr="00405D82">
        <w:rPr>
          <w:spacing w:val="-1"/>
        </w:rPr>
        <w:t xml:space="preserve">provincial governments </w:t>
      </w:r>
      <w:r w:rsidRPr="00405D82">
        <w:rPr>
          <w:spacing w:val="-1"/>
        </w:rPr>
        <w:t xml:space="preserve">increased budget support to </w:t>
      </w:r>
      <w:r w:rsidR="00B67510" w:rsidRPr="00405D82">
        <w:rPr>
          <w:spacing w:val="-1"/>
        </w:rPr>
        <w:t xml:space="preserve">the AIDS committees, </w:t>
      </w:r>
      <w:r w:rsidRPr="00405D82">
        <w:rPr>
          <w:spacing w:val="-1"/>
        </w:rPr>
        <w:t xml:space="preserve">and timely disbursements to </w:t>
      </w:r>
      <w:r w:rsidR="00B67510" w:rsidRPr="00405D82">
        <w:rPr>
          <w:spacing w:val="-1"/>
        </w:rPr>
        <w:t xml:space="preserve">the </w:t>
      </w:r>
      <w:r w:rsidR="003265D9" w:rsidRPr="00405D82">
        <w:rPr>
          <w:spacing w:val="-1"/>
        </w:rPr>
        <w:t xml:space="preserve">provincial </w:t>
      </w:r>
      <w:r w:rsidR="00B67510" w:rsidRPr="00405D82">
        <w:rPr>
          <w:spacing w:val="-1"/>
        </w:rPr>
        <w:t xml:space="preserve">AIDS </w:t>
      </w:r>
      <w:r w:rsidR="003265D9" w:rsidRPr="00405D82">
        <w:rPr>
          <w:spacing w:val="-1"/>
        </w:rPr>
        <w:t>committees</w:t>
      </w:r>
      <w:r w:rsidR="003265D9" w:rsidRPr="00405D82" w:rsidDel="00B67510">
        <w:rPr>
          <w:spacing w:val="-1"/>
        </w:rPr>
        <w:t xml:space="preserve"> </w:t>
      </w:r>
      <w:r w:rsidRPr="00405D82">
        <w:rPr>
          <w:spacing w:val="-1"/>
        </w:rPr>
        <w:t xml:space="preserve">from </w:t>
      </w:r>
      <w:r w:rsidR="00EF3F25" w:rsidRPr="00405D82">
        <w:rPr>
          <w:spacing w:val="-1"/>
        </w:rPr>
        <w:t>the National AIDS Council Secretariat</w:t>
      </w:r>
      <w:r w:rsidRPr="00405D82">
        <w:rPr>
          <w:spacing w:val="-1"/>
        </w:rPr>
        <w:t xml:space="preserve"> improved significantly.</w:t>
      </w:r>
    </w:p>
    <w:p w:rsidR="000D7060" w:rsidRPr="000D7060" w:rsidRDefault="000D7060" w:rsidP="00991F19">
      <w:pPr>
        <w:pStyle w:val="ListBullet"/>
      </w:pPr>
      <w:r w:rsidRPr="000D7060">
        <w:rPr>
          <w:b/>
        </w:rPr>
        <w:t>Strengthen national monitoring and evaluation to inform the response</w:t>
      </w:r>
      <w:r w:rsidRPr="000D7060">
        <w:t xml:space="preserve">. The </w:t>
      </w:r>
      <w:r w:rsidR="00405D82" w:rsidRPr="000D7060">
        <w:t xml:space="preserve">Output Monitoring Guidelines </w:t>
      </w:r>
      <w:r w:rsidR="00405D82">
        <w:t xml:space="preserve">of the </w:t>
      </w:r>
      <w:r w:rsidRPr="000D7060">
        <w:t>National Monitoring and Evaluation System were rolled out</w:t>
      </w:r>
      <w:r w:rsidR="00CB4EB7">
        <w:t>,</w:t>
      </w:r>
      <w:r w:rsidRPr="000D7060">
        <w:t xml:space="preserve"> and </w:t>
      </w:r>
      <w:r w:rsidR="00CB4EB7">
        <w:t xml:space="preserve">the </w:t>
      </w:r>
      <w:r w:rsidR="00CB4EB7" w:rsidRPr="0089030A">
        <w:t>Provincial Monitoring, Evaluation and Surveillance Team</w:t>
      </w:r>
      <w:r w:rsidRPr="009621DB">
        <w:rPr>
          <w:rStyle w:val="FootnoteReference"/>
        </w:rPr>
        <w:footnoteReference w:id="44"/>
      </w:r>
      <w:r w:rsidRPr="000D7060">
        <w:t xml:space="preserve"> </w:t>
      </w:r>
      <w:r w:rsidR="00405D82">
        <w:t xml:space="preserve">was </w:t>
      </w:r>
      <w:r w:rsidRPr="000D7060">
        <w:t xml:space="preserve">established in the provinces. The national Monitoring and Evaluation Data Centre was established to analyse, store and disseminate HIV data. The National Research Co-ordination Unit </w:t>
      </w:r>
      <w:r w:rsidR="00CB4EB7">
        <w:t>was</w:t>
      </w:r>
      <w:r w:rsidRPr="000D7060">
        <w:t xml:space="preserve"> established. The first national surveillance report </w:t>
      </w:r>
      <w:r w:rsidR="00CB4EB7">
        <w:t>(</w:t>
      </w:r>
      <w:r w:rsidRPr="000D7060">
        <w:t>for 2007</w:t>
      </w:r>
      <w:r w:rsidR="00CB4EB7">
        <w:t>)</w:t>
      </w:r>
      <w:r w:rsidRPr="000D7060">
        <w:t xml:space="preserve"> was launched in 2008. The UNGASS report was submitted with </w:t>
      </w:r>
      <w:r w:rsidR="006F34C6">
        <w:t xml:space="preserve">data on </w:t>
      </w:r>
      <w:r w:rsidRPr="000D7060">
        <w:t>15 of 24 indicators</w:t>
      </w:r>
      <w:r w:rsidR="005A6F5A">
        <w:t>.</w:t>
      </w:r>
      <w:r w:rsidRPr="000D7060">
        <w:t xml:space="preserve">  This was the first time that </w:t>
      </w:r>
      <w:r w:rsidR="006F34C6">
        <w:t xml:space="preserve">such </w:t>
      </w:r>
      <w:r w:rsidRPr="000D7060">
        <w:t xml:space="preserve">data </w:t>
      </w:r>
      <w:r w:rsidR="006F34C6">
        <w:t>were provided, as</w:t>
      </w:r>
      <w:r w:rsidRPr="000D7060">
        <w:t xml:space="preserve"> previous reports </w:t>
      </w:r>
      <w:r w:rsidR="006F34C6">
        <w:t xml:space="preserve">included </w:t>
      </w:r>
      <w:r w:rsidRPr="000D7060">
        <w:t>only a narrative on progress. However</w:t>
      </w:r>
      <w:r w:rsidR="006F34C6">
        <w:t>,</w:t>
      </w:r>
      <w:r w:rsidRPr="000D7060">
        <w:t xml:space="preserve"> challenges remain in establishing consistent reporting and moving beyond data input to using information to prepare analysis and improve programming to be more targeted.</w:t>
      </w:r>
    </w:p>
    <w:p w:rsidR="000D7060" w:rsidRPr="000D7060" w:rsidRDefault="000D7060" w:rsidP="00991F19">
      <w:pPr>
        <w:pStyle w:val="ListBullet"/>
      </w:pPr>
      <w:r w:rsidRPr="000D7060">
        <w:rPr>
          <w:b/>
        </w:rPr>
        <w:lastRenderedPageBreak/>
        <w:t>Strengthen key planning and policy processes</w:t>
      </w:r>
      <w:r w:rsidR="006F34C6" w:rsidRPr="00405D82">
        <w:t>.</w:t>
      </w:r>
      <w:r w:rsidRPr="00405D82">
        <w:t xml:space="preserve"> </w:t>
      </w:r>
      <w:r w:rsidR="005A6F5A">
        <w:t>P</w:t>
      </w:r>
      <w:r w:rsidR="006F34C6">
        <w:t xml:space="preserve">rogress </w:t>
      </w:r>
      <w:r w:rsidRPr="000D7060">
        <w:t>includ</w:t>
      </w:r>
      <w:r w:rsidR="006F34C6">
        <w:t>ed</w:t>
      </w:r>
      <w:r w:rsidR="005A6F5A">
        <w:t>:</w:t>
      </w:r>
      <w:r w:rsidRPr="000D7060">
        <w:t xml:space="preserve"> develop</w:t>
      </w:r>
      <w:r w:rsidR="006F34C6">
        <w:t>ing</w:t>
      </w:r>
      <w:r w:rsidRPr="000D7060">
        <w:t xml:space="preserve"> the third annual plan for implementation </w:t>
      </w:r>
      <w:r w:rsidR="005A6F5A">
        <w:t xml:space="preserve">of </w:t>
      </w:r>
      <w:r w:rsidRPr="000D7060">
        <w:t>the National HIV/AIDS Strategy</w:t>
      </w:r>
      <w:r w:rsidR="005A6F5A">
        <w:t>;</w:t>
      </w:r>
      <w:r w:rsidRPr="000D7060">
        <w:t xml:space="preserve"> work</w:t>
      </w:r>
      <w:r w:rsidR="006F34C6">
        <w:t>ing</w:t>
      </w:r>
      <w:r w:rsidRPr="000D7060">
        <w:t xml:space="preserve"> towards a </w:t>
      </w:r>
      <w:r w:rsidR="006F34C6" w:rsidRPr="000D7060">
        <w:t xml:space="preserve">draft </w:t>
      </w:r>
      <w:r w:rsidR="006F34C6">
        <w:t xml:space="preserve">of the </w:t>
      </w:r>
      <w:r w:rsidRPr="000D7060">
        <w:t xml:space="preserve">National HIV Prevention Strategy and a </w:t>
      </w:r>
      <w:r w:rsidR="006F34C6" w:rsidRPr="000D7060">
        <w:t xml:space="preserve">draft </w:t>
      </w:r>
      <w:r w:rsidR="006F34C6">
        <w:t xml:space="preserve">of the </w:t>
      </w:r>
      <w:r w:rsidRPr="000D7060">
        <w:t>National Leadership Strategy to be launched during 2009</w:t>
      </w:r>
      <w:r w:rsidR="005A6F5A">
        <w:t>;</w:t>
      </w:r>
      <w:r w:rsidRPr="000D7060">
        <w:t xml:space="preserve"> review</w:t>
      </w:r>
      <w:r w:rsidR="006F34C6">
        <w:t>ing</w:t>
      </w:r>
      <w:r w:rsidRPr="000D7060">
        <w:t xml:space="preserve"> </w:t>
      </w:r>
      <w:r w:rsidR="006F34C6" w:rsidRPr="000D7060">
        <w:t>information</w:t>
      </w:r>
      <w:r w:rsidR="006F34C6">
        <w:t>,</w:t>
      </w:r>
      <w:r w:rsidR="006F34C6" w:rsidRPr="000D7060">
        <w:t xml:space="preserve"> education and communication </w:t>
      </w:r>
      <w:r w:rsidRPr="000D7060">
        <w:t xml:space="preserve">materials and approaches </w:t>
      </w:r>
      <w:r w:rsidR="00405D82">
        <w:t>in the lead-up to</w:t>
      </w:r>
      <w:r w:rsidRPr="000D7060">
        <w:t xml:space="preserve"> revis</w:t>
      </w:r>
      <w:r w:rsidR="00405D82">
        <w:t>ing committee</w:t>
      </w:r>
      <w:r w:rsidRPr="000D7060">
        <w:t xml:space="preserve"> guidelines</w:t>
      </w:r>
      <w:r w:rsidR="00405D82">
        <w:t xml:space="preserve"> for </w:t>
      </w:r>
      <w:r w:rsidR="00405D82" w:rsidRPr="000D7060">
        <w:t>provincial and district AIDS committee</w:t>
      </w:r>
      <w:r w:rsidR="00405D82">
        <w:t>s</w:t>
      </w:r>
      <w:r w:rsidR="005A6F5A">
        <w:t>;</w:t>
      </w:r>
      <w:r w:rsidRPr="000D7060">
        <w:t xml:space="preserve"> roll</w:t>
      </w:r>
      <w:r w:rsidR="006F34C6">
        <w:t xml:space="preserve">ing </w:t>
      </w:r>
      <w:r w:rsidRPr="000D7060">
        <w:t xml:space="preserve">out </w:t>
      </w:r>
      <w:r w:rsidR="003B57D8" w:rsidRPr="000D7060">
        <w:t>national</w:t>
      </w:r>
      <w:r w:rsidR="003B57D8">
        <w:t>ly</w:t>
      </w:r>
      <w:r w:rsidR="003B57D8" w:rsidRPr="000D7060">
        <w:t xml:space="preserve"> </w:t>
      </w:r>
      <w:r w:rsidRPr="000D7060">
        <w:t xml:space="preserve">the </w:t>
      </w:r>
      <w:r w:rsidR="00405D82" w:rsidRPr="000D7060">
        <w:t>committee guidelines</w:t>
      </w:r>
      <w:r w:rsidR="003B57D8">
        <w:t>,</w:t>
      </w:r>
      <w:r w:rsidRPr="000D7060">
        <w:t xml:space="preserve"> which clarif</w:t>
      </w:r>
      <w:r w:rsidR="003B57D8">
        <w:t>y</w:t>
      </w:r>
      <w:r w:rsidRPr="000D7060">
        <w:t xml:space="preserve"> </w:t>
      </w:r>
      <w:r w:rsidR="00405D82">
        <w:t xml:space="preserve">their </w:t>
      </w:r>
      <w:r w:rsidRPr="000D7060">
        <w:t>roles and responsibilities</w:t>
      </w:r>
      <w:r w:rsidR="005A6F5A">
        <w:t>;</w:t>
      </w:r>
      <w:r w:rsidRPr="000D7060">
        <w:t xml:space="preserve"> review</w:t>
      </w:r>
      <w:r w:rsidR="003B57D8">
        <w:t>ing</w:t>
      </w:r>
      <w:r w:rsidRPr="000D7060">
        <w:t xml:space="preserve"> the Family and Sexual Violence Action Committee Strategy</w:t>
      </w:r>
      <w:r w:rsidR="003B57D8">
        <w:t>, which led to</w:t>
      </w:r>
      <w:r w:rsidRPr="000D7060">
        <w:t xml:space="preserve"> work on a revised strategy</w:t>
      </w:r>
      <w:r w:rsidR="005A6F5A">
        <w:t>;</w:t>
      </w:r>
      <w:r w:rsidRPr="000D7060">
        <w:t xml:space="preserve"> and</w:t>
      </w:r>
      <w:r w:rsidR="003B57D8">
        <w:t xml:space="preserve"> launching</w:t>
      </w:r>
      <w:r w:rsidRPr="000D7060">
        <w:t xml:space="preserve"> the National </w:t>
      </w:r>
      <w:r w:rsidR="003B57D8" w:rsidRPr="000D7060">
        <w:t xml:space="preserve">Research </w:t>
      </w:r>
      <w:r w:rsidRPr="000D7060">
        <w:t>Agenda</w:t>
      </w:r>
      <w:r w:rsidR="003B57D8">
        <w:t>, which</w:t>
      </w:r>
      <w:r w:rsidRPr="000D7060">
        <w:t xml:space="preserve"> establish</w:t>
      </w:r>
      <w:r w:rsidR="003B57D8">
        <w:t>ed</w:t>
      </w:r>
      <w:r w:rsidRPr="000D7060">
        <w:t xml:space="preserve"> stronger information and analytical work across PNG.</w:t>
      </w:r>
    </w:p>
    <w:p w:rsidR="000D7060" w:rsidRPr="000D7060" w:rsidRDefault="000D7060" w:rsidP="00991F19">
      <w:pPr>
        <w:pStyle w:val="ListBullet"/>
      </w:pPr>
      <w:r w:rsidRPr="000D7060">
        <w:rPr>
          <w:b/>
        </w:rPr>
        <w:t>Re-establish the Special Parliamentary Committee on HIV and AIDS and provide leadership training through the Leadership Support Initiative</w:t>
      </w:r>
      <w:r w:rsidRPr="000D7060">
        <w:t>. However</w:t>
      </w:r>
      <w:r w:rsidR="003B57D8">
        <w:t>, the committee</w:t>
      </w:r>
      <w:r w:rsidRPr="000D7060">
        <w:t xml:space="preserve"> is yet to attract high</w:t>
      </w:r>
      <w:r w:rsidR="003B57D8">
        <w:t>-</w:t>
      </w:r>
      <w:r w:rsidRPr="000D7060">
        <w:t xml:space="preserve">profile parliamentarians </w:t>
      </w:r>
      <w:r w:rsidR="003B57D8">
        <w:t xml:space="preserve">as members </w:t>
      </w:r>
      <w:r w:rsidRPr="000D7060">
        <w:t>and its role needs further clarification.</w:t>
      </w:r>
    </w:p>
    <w:p w:rsidR="000D7060" w:rsidRPr="00741948" w:rsidRDefault="000D7060" w:rsidP="00991F19">
      <w:pPr>
        <w:pStyle w:val="ListBullet"/>
        <w:rPr>
          <w:spacing w:val="-2"/>
        </w:rPr>
      </w:pPr>
      <w:r w:rsidRPr="00741948">
        <w:rPr>
          <w:b/>
          <w:spacing w:val="-2"/>
        </w:rPr>
        <w:t>Re-establish the National AIDS Council</w:t>
      </w:r>
      <w:r w:rsidRPr="00741948">
        <w:rPr>
          <w:spacing w:val="-2"/>
        </w:rPr>
        <w:t xml:space="preserve"> in December 2008 after an </w:t>
      </w:r>
      <w:r w:rsidR="003B57D8" w:rsidRPr="00741948">
        <w:rPr>
          <w:spacing w:val="-2"/>
        </w:rPr>
        <w:t>18</w:t>
      </w:r>
      <w:r w:rsidR="003B57D8">
        <w:rPr>
          <w:spacing w:val="-2"/>
        </w:rPr>
        <w:t>-</w:t>
      </w:r>
      <w:r w:rsidRPr="00741948">
        <w:rPr>
          <w:spacing w:val="-2"/>
        </w:rPr>
        <w:t>month absence.</w:t>
      </w:r>
    </w:p>
    <w:p w:rsidR="000D7060" w:rsidRPr="000D7060" w:rsidRDefault="000D7060" w:rsidP="00991F19">
      <w:pPr>
        <w:pStyle w:val="BodyText"/>
      </w:pPr>
      <w:r w:rsidRPr="000D7060">
        <w:t xml:space="preserve">While </w:t>
      </w:r>
      <w:r w:rsidR="00EF3F25">
        <w:t xml:space="preserve">the </w:t>
      </w:r>
      <w:r w:rsidR="00EF3F25" w:rsidRPr="000D7060">
        <w:t>National AIDS Council Secretariat</w:t>
      </w:r>
      <w:r w:rsidRPr="000D7060">
        <w:t xml:space="preserve"> remains a high</w:t>
      </w:r>
      <w:r w:rsidR="0093068E">
        <w:t>-</w:t>
      </w:r>
      <w:r w:rsidRPr="000D7060">
        <w:t xml:space="preserve">risk agency, Australian assistance ensured that core operational areas in </w:t>
      </w:r>
      <w:r w:rsidR="00EF3F25">
        <w:t>the secretariat</w:t>
      </w:r>
      <w:r w:rsidRPr="000D7060">
        <w:t xml:space="preserve"> continued to function</w:t>
      </w:r>
      <w:r w:rsidR="0093068E">
        <w:t>,</w:t>
      </w:r>
      <w:r w:rsidRPr="000D7060">
        <w:t xml:space="preserve"> pending </w:t>
      </w:r>
      <w:r w:rsidR="00EF3F25">
        <w:t>its</w:t>
      </w:r>
      <w:r w:rsidR="00EF3F25" w:rsidRPr="000D7060">
        <w:t xml:space="preserve"> </w:t>
      </w:r>
      <w:r w:rsidRPr="000D7060">
        <w:t xml:space="preserve">anticipated reform and restructure under the newly appointed </w:t>
      </w:r>
      <w:r w:rsidR="0050500A" w:rsidRPr="000D7060">
        <w:t>National AIDS Council</w:t>
      </w:r>
      <w:r w:rsidRPr="000D7060">
        <w:t xml:space="preserve">. External donor assistance will be critical to the reform and ongoing operations of </w:t>
      </w:r>
      <w:r w:rsidR="00EF3F25">
        <w:t>the secretariat</w:t>
      </w:r>
      <w:r w:rsidR="00EF3F25" w:rsidRPr="000D7060">
        <w:t xml:space="preserve"> </w:t>
      </w:r>
      <w:r w:rsidRPr="000D7060">
        <w:t>for some time into the future.</w:t>
      </w:r>
    </w:p>
    <w:p w:rsidR="00405D82" w:rsidRDefault="00405D82" w:rsidP="00E5783D">
      <w:pPr>
        <w:pStyle w:val="H2A"/>
      </w:pPr>
      <w:bookmarkStart w:id="141" w:name="_Toc237763921"/>
      <w:bookmarkStart w:id="142" w:name="_Toc361224387"/>
      <w:r>
        <w:t>Expenditure</w:t>
      </w:r>
      <w:bookmarkEnd w:id="141"/>
      <w:bookmarkEnd w:id="142"/>
    </w:p>
    <w:p w:rsidR="00405D82" w:rsidRPr="00EB0200" w:rsidRDefault="00405D82" w:rsidP="00405D82">
      <w:pPr>
        <w:pStyle w:val="BodyText"/>
      </w:pPr>
      <w:r>
        <w:t>Approximately $65 million—</w:t>
      </w:r>
      <w:r w:rsidR="00096BD1">
        <w:t>15</w:t>
      </w:r>
      <w:r>
        <w:t> </w:t>
      </w:r>
      <w:r w:rsidRPr="00D7139C">
        <w:t>per</w:t>
      </w:r>
      <w:r>
        <w:t xml:space="preserve"> </w:t>
      </w:r>
      <w:r w:rsidRPr="00D7139C">
        <w:t>cen</w:t>
      </w:r>
      <w:r>
        <w:t>t of the 2008</w:t>
      </w:r>
      <w:r w:rsidR="00096BD1">
        <w:t xml:space="preserve"> </w:t>
      </w:r>
      <w:r w:rsidRPr="00D7139C">
        <w:t>budget</w:t>
      </w:r>
      <w:r>
        <w:t xml:space="preserve"> for the PNG program—was</w:t>
      </w:r>
      <w:r w:rsidRPr="00D7139C">
        <w:t xml:space="preserve"> </w:t>
      </w:r>
      <w:r>
        <w:t xml:space="preserve">allocated for a </w:t>
      </w:r>
      <w:r w:rsidRPr="00757CAC">
        <w:t>strengthened, coordinated and effective response to the HIV and AIDS</w:t>
      </w:r>
      <w:r w:rsidR="00FE5C39">
        <w:t> </w:t>
      </w:r>
      <w:r w:rsidRPr="00757CAC">
        <w:t>epidemic</w:t>
      </w:r>
      <w:r w:rsidRPr="00D7139C">
        <w:t>.</w:t>
      </w:r>
    </w:p>
    <w:p w:rsidR="00405D82" w:rsidRPr="00405D82" w:rsidRDefault="005C25C3" w:rsidP="00E5783D">
      <w:pPr>
        <w:pStyle w:val="H1A"/>
        <w:spacing w:after="2160"/>
      </w:pPr>
      <w:bookmarkStart w:id="143" w:name="_Toc237763922"/>
      <w:bookmarkStart w:id="144" w:name="_Toc215974320"/>
      <w:r>
        <w:rPr>
          <w:lang w:val="en-US" w:eastAsia="en-US"/>
        </w:rPr>
        <w:lastRenderedPageBreak/>
        <w:drawing>
          <wp:anchor distT="0" distB="0" distL="114300" distR="114300" simplePos="0" relativeHeight="251666944" behindDoc="1" locked="0" layoutInCell="1" allowOverlap="1" wp14:anchorId="1CFE3DB6" wp14:editId="60923360">
            <wp:simplePos x="0" y="0"/>
            <wp:positionH relativeFrom="page">
              <wp:posOffset>0</wp:posOffset>
            </wp:positionH>
            <wp:positionV relativeFrom="page">
              <wp:posOffset>1386205</wp:posOffset>
            </wp:positionV>
            <wp:extent cx="7560310" cy="1585595"/>
            <wp:effectExtent l="0" t="0" r="2540" b="0"/>
            <wp:wrapNone/>
            <wp:docPr id="1301" name="Picture 1301"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05D82" w:rsidRPr="00405D82">
        <w:t>Emerging priorities</w:t>
      </w:r>
      <w:bookmarkEnd w:id="143"/>
      <w:bookmarkEnd w:id="144"/>
    </w:p>
    <w:p w:rsidR="000D7060" w:rsidRPr="000D7060" w:rsidRDefault="000D7060" w:rsidP="00991F19">
      <w:pPr>
        <w:pStyle w:val="BodyText"/>
      </w:pPr>
      <w:r w:rsidRPr="000D7060">
        <w:t xml:space="preserve">The PNG program responded successfully to policy imperatives </w:t>
      </w:r>
      <w:r w:rsidR="00D347EF">
        <w:t xml:space="preserve">that emerged </w:t>
      </w:r>
      <w:r w:rsidRPr="000D7060">
        <w:t>in 2008</w:t>
      </w:r>
      <w:r w:rsidR="00D347EF">
        <w:t xml:space="preserve"> and </w:t>
      </w:r>
      <w:r w:rsidR="00405D82">
        <w:t>were</w:t>
      </w:r>
      <w:r w:rsidR="000937EC">
        <w:t xml:space="preserve"> </w:t>
      </w:r>
      <w:r w:rsidR="00D347EF">
        <w:t xml:space="preserve">not in the </w:t>
      </w:r>
      <w:r w:rsidR="00D347EF" w:rsidRPr="000D7060">
        <w:t>Development Cooperation Strategy</w:t>
      </w:r>
      <w:r w:rsidRPr="000D7060">
        <w:t xml:space="preserve">. </w:t>
      </w:r>
    </w:p>
    <w:p w:rsidR="000D7060" w:rsidRPr="000D7060" w:rsidRDefault="000937EC" w:rsidP="00991F19">
      <w:pPr>
        <w:pStyle w:val="ListBullet"/>
      </w:pPr>
      <w:r w:rsidRPr="000D7060">
        <w:t xml:space="preserve">A </w:t>
      </w:r>
      <w:r w:rsidR="000D7060" w:rsidRPr="000D7060">
        <w:t xml:space="preserve">program </w:t>
      </w:r>
      <w:r>
        <w:t xml:space="preserve">was developed and mobilised </w:t>
      </w:r>
      <w:r w:rsidR="000D7060" w:rsidRPr="000D7060">
        <w:t>to fund improved laboratory capacity and clinical management</w:t>
      </w:r>
      <w:r>
        <w:t>,</w:t>
      </w:r>
      <w:r w:rsidR="000D7060" w:rsidRPr="000D7060">
        <w:t xml:space="preserve"> focusing on </w:t>
      </w:r>
      <w:r>
        <w:t>tuberculosis</w:t>
      </w:r>
      <w:r w:rsidR="000742E6" w:rsidRPr="000D7060">
        <w:t xml:space="preserve"> </w:t>
      </w:r>
      <w:r w:rsidR="000D7060" w:rsidRPr="000D7060">
        <w:t xml:space="preserve">in </w:t>
      </w:r>
      <w:smartTag w:uri="urn:schemas-microsoft-com:office:smarttags" w:element="place">
        <w:smartTag w:uri="urn:schemas-microsoft-com:office:smarttags" w:element="PlaceName">
          <w:r w:rsidR="000D7060" w:rsidRPr="000D7060">
            <w:t>Western</w:t>
          </w:r>
        </w:smartTag>
        <w:r w:rsidR="000D7060" w:rsidRPr="000D7060">
          <w:t xml:space="preserve"> </w:t>
        </w:r>
        <w:smartTag w:uri="urn:schemas-microsoft-com:office:smarttags" w:element="PlaceType">
          <w:r w:rsidR="000D7060" w:rsidRPr="000D7060">
            <w:t>Province</w:t>
          </w:r>
        </w:smartTag>
      </w:smartTag>
      <w:r w:rsidR="000D7060" w:rsidRPr="000D7060">
        <w:t xml:space="preserve">. A further package of assistance to address cross-border health concerns between </w:t>
      </w:r>
      <w:smartTag w:uri="urn:schemas-microsoft-com:office:smarttags" w:element="PlaceName">
        <w:r w:rsidR="000D7060" w:rsidRPr="000D7060">
          <w:t>Western</w:t>
        </w:r>
      </w:smartTag>
      <w:r w:rsidR="000D7060" w:rsidRPr="000D7060">
        <w:t xml:space="preserve"> </w:t>
      </w:r>
      <w:smartTag w:uri="urn:schemas-microsoft-com:office:smarttags" w:element="PlaceType">
        <w:r w:rsidRPr="000D7060">
          <w:t>Province</w:t>
        </w:r>
      </w:smartTag>
      <w:r w:rsidRPr="000D7060">
        <w:t xml:space="preserve"> </w:t>
      </w:r>
      <w:r w:rsidR="000D7060" w:rsidRPr="000D7060">
        <w:t xml:space="preserve">and the </w:t>
      </w:r>
      <w:smartTag w:uri="urn:schemas-microsoft-com:office:smarttags" w:element="place">
        <w:r w:rsidR="000D7060" w:rsidRPr="000D7060">
          <w:t>Torres Strait</w:t>
        </w:r>
      </w:smartTag>
      <w:r w:rsidR="000D7060" w:rsidRPr="000D7060">
        <w:t xml:space="preserve"> will be taken forward in 2009.</w:t>
      </w:r>
    </w:p>
    <w:p w:rsidR="000D7060" w:rsidRPr="000D7060" w:rsidRDefault="000D7060" w:rsidP="00991F19">
      <w:pPr>
        <w:pStyle w:val="ListBullet"/>
        <w:keepLines/>
      </w:pPr>
      <w:r w:rsidRPr="000D7060">
        <w:t>Support</w:t>
      </w:r>
      <w:r w:rsidR="00650FDE">
        <w:t xml:space="preserve"> was provided for </w:t>
      </w:r>
      <w:r w:rsidRPr="000D7060">
        <w:t xml:space="preserve">the </w:t>
      </w:r>
      <w:smartTag w:uri="urn:schemas-microsoft-com:office:smarttags" w:element="place">
        <w:smartTag w:uri="urn:schemas-microsoft-com:office:smarttags" w:element="country-region">
          <w:r w:rsidR="000937EC">
            <w:t>Papua New Guinea</w:t>
          </w:r>
        </w:smartTag>
      </w:smartTag>
      <w:r w:rsidR="000937EC" w:rsidRPr="000937EC">
        <w:rPr>
          <w:sz w:val="12"/>
          <w:szCs w:val="12"/>
        </w:rPr>
        <w:t> </w:t>
      </w:r>
      <w:r w:rsidR="000937EC">
        <w:t>–</w:t>
      </w:r>
      <w:r w:rsidR="000937EC" w:rsidRPr="000937EC">
        <w:rPr>
          <w:sz w:val="12"/>
          <w:szCs w:val="12"/>
        </w:rPr>
        <w:t> </w:t>
      </w:r>
      <w:r w:rsidRPr="000D7060">
        <w:t xml:space="preserve">Australia Forest Carbon Partnership signed in March 2008. </w:t>
      </w:r>
      <w:smartTag w:uri="urn:schemas-microsoft-com:office:smarttags" w:element="country-region">
        <w:smartTag w:uri="urn:schemas-microsoft-com:office:smarttags" w:element="place">
          <w:r w:rsidRPr="000D7060">
            <w:t>Australia</w:t>
          </w:r>
        </w:smartTag>
      </w:smartTag>
      <w:r w:rsidRPr="000D7060">
        <w:t xml:space="preserve">’s initial focus </w:t>
      </w:r>
      <w:r w:rsidR="00650FDE">
        <w:t>was</w:t>
      </w:r>
      <w:r w:rsidRPr="000D7060">
        <w:t xml:space="preserve"> on </w:t>
      </w:r>
      <w:r w:rsidR="00650FDE">
        <w:t>providing</w:t>
      </w:r>
      <w:r w:rsidRPr="000D7060">
        <w:t xml:space="preserve"> advisers to key PNG agencies, predominantly</w:t>
      </w:r>
      <w:r w:rsidR="00650FDE">
        <w:t xml:space="preserve"> the</w:t>
      </w:r>
      <w:r w:rsidRPr="000D7060">
        <w:t xml:space="preserve"> Office for Climate Change</w:t>
      </w:r>
      <w:r w:rsidR="00650FDE">
        <w:t>,</w:t>
      </w:r>
      <w:r w:rsidRPr="000D7060">
        <w:t xml:space="preserve"> to build capacity </w:t>
      </w:r>
      <w:r w:rsidR="00650FDE">
        <w:t xml:space="preserve">to develop policy </w:t>
      </w:r>
      <w:r w:rsidRPr="000D7060">
        <w:t xml:space="preserve">on </w:t>
      </w:r>
      <w:r w:rsidR="00650FDE" w:rsidRPr="000D7060">
        <w:t>reduc</w:t>
      </w:r>
      <w:r w:rsidR="00884617">
        <w:t>ing</w:t>
      </w:r>
      <w:r w:rsidR="00650FDE" w:rsidRPr="000D7060">
        <w:t xml:space="preserve"> emissions from deforestation and </w:t>
      </w:r>
      <w:r w:rsidR="005A6F5A">
        <w:t xml:space="preserve">environmental </w:t>
      </w:r>
      <w:r w:rsidR="00650FDE" w:rsidRPr="000D7060">
        <w:t>degradation</w:t>
      </w:r>
      <w:r w:rsidRPr="000D7060">
        <w:t>.</w:t>
      </w:r>
    </w:p>
    <w:p w:rsidR="000D7060" w:rsidRPr="000D7060" w:rsidRDefault="00884617" w:rsidP="00991F19">
      <w:pPr>
        <w:pStyle w:val="ListBullet"/>
      </w:pPr>
      <w:r>
        <w:t>T</w:t>
      </w:r>
      <w:r w:rsidR="000D7060" w:rsidRPr="000D7060">
        <w:t xml:space="preserve">he </w:t>
      </w:r>
      <w:proofErr w:type="spellStart"/>
      <w:r w:rsidR="000D7060" w:rsidRPr="000D7060">
        <w:t>Kokoda</w:t>
      </w:r>
      <w:proofErr w:type="spellEnd"/>
      <w:r w:rsidR="000D7060" w:rsidRPr="000D7060">
        <w:t xml:space="preserve"> Development program</w:t>
      </w:r>
      <w:r>
        <w:t xml:space="preserve"> </w:t>
      </w:r>
      <w:r w:rsidR="008E26AD">
        <w:t>was</w:t>
      </w:r>
      <w:r w:rsidR="005A6F5A">
        <w:t xml:space="preserve"> </w:t>
      </w:r>
      <w:r>
        <w:t>successfully implemented</w:t>
      </w:r>
      <w:r w:rsidR="000D7060" w:rsidRPr="000D7060">
        <w:t xml:space="preserve">. </w:t>
      </w:r>
      <w:r>
        <w:t>Fourteen</w:t>
      </w:r>
      <w:r w:rsidRPr="000D7060">
        <w:t xml:space="preserve"> </w:t>
      </w:r>
      <w:r w:rsidR="000D7060" w:rsidRPr="000D7060">
        <w:t xml:space="preserve">activities along the </w:t>
      </w:r>
      <w:proofErr w:type="spellStart"/>
      <w:r w:rsidR="000D7060" w:rsidRPr="000D7060">
        <w:t>Kokoda</w:t>
      </w:r>
      <w:proofErr w:type="spellEnd"/>
      <w:r w:rsidR="000D7060" w:rsidRPr="000D7060">
        <w:t xml:space="preserve"> Track </w:t>
      </w:r>
      <w:r>
        <w:t>were</w:t>
      </w:r>
      <w:r w:rsidR="000D7060" w:rsidRPr="000D7060">
        <w:t xml:space="preserve"> funded to improve the livelihood of </w:t>
      </w:r>
      <w:r>
        <w:t>adjacent</w:t>
      </w:r>
      <w:r w:rsidRPr="000D7060">
        <w:t xml:space="preserve"> </w:t>
      </w:r>
      <w:r w:rsidR="000D7060" w:rsidRPr="000D7060">
        <w:t>communities. The activities focus</w:t>
      </w:r>
      <w:r w:rsidR="005A6F5A">
        <w:t>ed</w:t>
      </w:r>
      <w:r w:rsidR="000D7060" w:rsidRPr="000D7060">
        <w:t xml:space="preserve"> on improving </w:t>
      </w:r>
      <w:r>
        <w:t xml:space="preserve">the delivery of </w:t>
      </w:r>
      <w:r w:rsidR="000D7060" w:rsidRPr="000D7060">
        <w:t>basic service</w:t>
      </w:r>
      <w:r>
        <w:t>s</w:t>
      </w:r>
      <w:r w:rsidR="000D7060" w:rsidRPr="000D7060">
        <w:t xml:space="preserve"> in the areas of water supply, education, health and transport.</w:t>
      </w:r>
      <w:r w:rsidR="008E26AD">
        <w:t xml:space="preserve"> Support will continue in 2009.</w:t>
      </w:r>
    </w:p>
    <w:p w:rsidR="000D7060" w:rsidRDefault="000D7060" w:rsidP="00991F19">
      <w:pPr>
        <w:pStyle w:val="ListBullet"/>
      </w:pPr>
      <w:r w:rsidRPr="000D7060">
        <w:t xml:space="preserve">Funding </w:t>
      </w:r>
      <w:r w:rsidR="00884617">
        <w:t xml:space="preserve">was provided for </w:t>
      </w:r>
      <w:r w:rsidRPr="000D7060">
        <w:t>partnerships between international</w:t>
      </w:r>
      <w:r w:rsidR="00884617" w:rsidRPr="00884617">
        <w:t xml:space="preserve"> </w:t>
      </w:r>
      <w:r w:rsidR="00884617">
        <w:t>organisations</w:t>
      </w:r>
      <w:r w:rsidR="00884617" w:rsidRPr="00115409">
        <w:rPr>
          <w:rStyle w:val="FootnoteReference"/>
        </w:rPr>
        <w:t xml:space="preserve"> </w:t>
      </w:r>
      <w:r w:rsidR="00884617" w:rsidRPr="00115409">
        <w:rPr>
          <w:rStyle w:val="FootnoteReference"/>
        </w:rPr>
        <w:footnoteReference w:id="45"/>
      </w:r>
      <w:r w:rsidRPr="000D7060">
        <w:t xml:space="preserve"> and local NGOs and </w:t>
      </w:r>
      <w:r w:rsidR="00884617">
        <w:t xml:space="preserve">for the PNG </w:t>
      </w:r>
      <w:r w:rsidR="00884617" w:rsidRPr="000D7060">
        <w:t xml:space="preserve">Government </w:t>
      </w:r>
      <w:r w:rsidRPr="000D7060">
        <w:t>to improve access to eye care services</w:t>
      </w:r>
      <w:r w:rsidR="00115409">
        <w:t>.</w:t>
      </w:r>
      <w:r w:rsidR="006F7C08">
        <w:t xml:space="preserve"> </w:t>
      </w:r>
      <w:r w:rsidRPr="000D7060">
        <w:t xml:space="preserve">Opportunities for further support will be explored in 2009 in line with </w:t>
      </w:r>
      <w:r w:rsidR="00884617">
        <w:t xml:space="preserve">the </w:t>
      </w:r>
      <w:r w:rsidRPr="000D7060">
        <w:t xml:space="preserve">PNG’s recently endorsed National </w:t>
      </w:r>
      <w:r w:rsidRPr="00D73D04">
        <w:t>Policy on Disability.</w:t>
      </w:r>
    </w:p>
    <w:p w:rsidR="00D86A59" w:rsidRPr="00A13A1B" w:rsidRDefault="00D86A59" w:rsidP="00E5783D">
      <w:pPr>
        <w:pStyle w:val="H1A"/>
      </w:pPr>
      <w:bookmarkStart w:id="145" w:name="_Toc237763923"/>
      <w:r w:rsidRPr="009621DB">
        <w:lastRenderedPageBreak/>
        <w:t xml:space="preserve">Enabling </w:t>
      </w:r>
      <w:r w:rsidR="009B5487" w:rsidRPr="009621DB">
        <w:t xml:space="preserve">theme </w:t>
      </w:r>
      <w:r w:rsidRPr="009621DB">
        <w:t>1: Alignment of PNG and donor resources</w:t>
      </w:r>
      <w:r w:rsidR="005C25C3">
        <w:rPr>
          <w:lang w:val="en-US" w:eastAsia="en-US"/>
        </w:rPr>
        <w:drawing>
          <wp:anchor distT="0" distB="0" distL="114300" distR="114300" simplePos="0" relativeHeight="251660800" behindDoc="1" locked="0" layoutInCell="1" allowOverlap="1" wp14:anchorId="63C9D5EB" wp14:editId="512095BA">
            <wp:simplePos x="0" y="0"/>
            <wp:positionH relativeFrom="page">
              <wp:posOffset>0</wp:posOffset>
            </wp:positionH>
            <wp:positionV relativeFrom="page">
              <wp:posOffset>1386205</wp:posOffset>
            </wp:positionV>
            <wp:extent cx="7560310" cy="1585595"/>
            <wp:effectExtent l="0" t="0" r="2540" b="0"/>
            <wp:wrapNone/>
            <wp:docPr id="1293" name="Picture 1293"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45"/>
    </w:p>
    <w:p w:rsidR="000D7060" w:rsidRPr="000D7060" w:rsidRDefault="00A13A1B" w:rsidP="00991F19">
      <w:pPr>
        <w:pStyle w:val="BodyText"/>
      </w:pPr>
      <w:r>
        <w:t xml:space="preserve">Increasing </w:t>
      </w:r>
      <w:r w:rsidR="009B30FC">
        <w:t xml:space="preserve">numbers of </w:t>
      </w:r>
      <w:r>
        <w:t>d</w:t>
      </w:r>
      <w:r w:rsidR="000D7060" w:rsidRPr="000D7060">
        <w:t xml:space="preserve">onors are </w:t>
      </w:r>
      <w:r>
        <w:t>using</w:t>
      </w:r>
      <w:r w:rsidR="000D7060" w:rsidRPr="000D7060">
        <w:t xml:space="preserve"> PNG plans </w:t>
      </w:r>
      <w:r w:rsidR="007939BF">
        <w:t>for</w:t>
      </w:r>
      <w:r w:rsidR="000D7060" w:rsidRPr="000D7060">
        <w:t xml:space="preserve"> education, health, law and justice, transport</w:t>
      </w:r>
      <w:r>
        <w:t xml:space="preserve">, </w:t>
      </w:r>
      <w:r w:rsidR="000D7060" w:rsidRPr="000D7060">
        <w:t>and HIV and AIDS. Data for 2007 showed that 42</w:t>
      </w:r>
      <w:r w:rsidR="001B735E">
        <w:t> per cent</w:t>
      </w:r>
      <w:r w:rsidR="000D7060" w:rsidRPr="000D7060">
        <w:t xml:space="preserve"> of overall aid </w:t>
      </w:r>
      <w:r>
        <w:t>was</w:t>
      </w:r>
      <w:r w:rsidRPr="000D7060">
        <w:t xml:space="preserve"> </w:t>
      </w:r>
      <w:r w:rsidR="000D7060" w:rsidRPr="000D7060">
        <w:t>provided through program</w:t>
      </w:r>
      <w:r>
        <w:t>-</w:t>
      </w:r>
      <w:r w:rsidR="000D7060" w:rsidRPr="000D7060">
        <w:t>based approaches</w:t>
      </w:r>
      <w:r w:rsidR="003D5B28">
        <w:t>.</w:t>
      </w:r>
      <w:r w:rsidR="000D7060" w:rsidRPr="003D5B28">
        <w:rPr>
          <w:rStyle w:val="FootnoteReference"/>
        </w:rPr>
        <w:footnoteReference w:id="46"/>
      </w:r>
      <w:r w:rsidR="000D7060" w:rsidRPr="000D7060">
        <w:t xml:space="preserve"> It is expected that this </w:t>
      </w:r>
      <w:r w:rsidR="007939BF">
        <w:t xml:space="preserve">proportion </w:t>
      </w:r>
      <w:r w:rsidR="000D7060" w:rsidRPr="000D7060">
        <w:t>will continue to increase. In 2008 Australian assistance supported the ongoing development of sector</w:t>
      </w:r>
      <w:r w:rsidR="009B30FC">
        <w:t>al</w:t>
      </w:r>
      <w:r w:rsidR="000D7060" w:rsidRPr="000D7060">
        <w:t xml:space="preserve"> plans </w:t>
      </w:r>
      <w:r w:rsidR="006B702E">
        <w:t>for</w:t>
      </w:r>
      <w:r w:rsidR="006B702E" w:rsidRPr="000D7060">
        <w:t xml:space="preserve"> </w:t>
      </w:r>
      <w:r w:rsidR="000D7060" w:rsidRPr="000D7060">
        <w:t xml:space="preserve">education, transport and health. </w:t>
      </w:r>
      <w:r w:rsidR="006B702E">
        <w:t>Sixty-seven </w:t>
      </w:r>
      <w:r w:rsidR="001B735E">
        <w:t>per cent</w:t>
      </w:r>
      <w:r w:rsidR="000D7060" w:rsidRPr="000D7060">
        <w:t xml:space="preserve"> of Australian aid disbursements were recorded in the PNG budget.</w:t>
      </w:r>
      <w:r w:rsidR="006F7C08">
        <w:t xml:space="preserve"> </w:t>
      </w:r>
      <w:r w:rsidR="000D7060" w:rsidRPr="000D7060">
        <w:t>Through the Partnership for Development, there will be renewed emphasis on discussing the total resource</w:t>
      </w:r>
      <w:r w:rsidR="006B702E">
        <w:t>s</w:t>
      </w:r>
      <w:r w:rsidR="000D7060" w:rsidRPr="000D7060">
        <w:t xml:space="preserve"> available for sector</w:t>
      </w:r>
      <w:r w:rsidR="006B702E">
        <w:t>al</w:t>
      </w:r>
      <w:r w:rsidR="000D7060" w:rsidRPr="000D7060">
        <w:t xml:space="preserve"> priorities (including improving the recording of Australian aid in PNG budgets) and prioritising within budgets. The </w:t>
      </w:r>
      <w:r w:rsidR="006B702E" w:rsidRPr="000D7060">
        <w:t xml:space="preserve">partnership </w:t>
      </w:r>
      <w:r w:rsidR="000D7060" w:rsidRPr="000D7060">
        <w:t xml:space="preserve">will also introduce greater funding certainty </w:t>
      </w:r>
      <w:r w:rsidR="009B21F7">
        <w:t>by</w:t>
      </w:r>
      <w:r w:rsidR="009B21F7" w:rsidRPr="000D7060">
        <w:t xml:space="preserve"> </w:t>
      </w:r>
      <w:r w:rsidR="000D7060" w:rsidRPr="000D7060">
        <w:t xml:space="preserve">providing </w:t>
      </w:r>
      <w:r w:rsidR="009B21F7">
        <w:t xml:space="preserve">estimates of </w:t>
      </w:r>
      <w:r w:rsidR="000D7060" w:rsidRPr="000D7060">
        <w:t>forward baseline funding.</w:t>
      </w:r>
    </w:p>
    <w:p w:rsidR="000D7060" w:rsidRPr="000D7060" w:rsidRDefault="000D7060" w:rsidP="00991F19">
      <w:pPr>
        <w:pStyle w:val="BodyText"/>
      </w:pPr>
      <w:r w:rsidRPr="000D7060">
        <w:t xml:space="preserve">The 2009 </w:t>
      </w:r>
      <w:r w:rsidR="009B21F7" w:rsidRPr="000D7060">
        <w:t xml:space="preserve">budget </w:t>
      </w:r>
      <w:r w:rsidRPr="000D7060">
        <w:t xml:space="preserve">was disappointing in terms of its alignment </w:t>
      </w:r>
      <w:r w:rsidR="009B21F7">
        <w:t xml:space="preserve">of the </w:t>
      </w:r>
      <w:r w:rsidRPr="000D7060">
        <w:t xml:space="preserve">PNG </w:t>
      </w:r>
      <w:r w:rsidR="009B21F7" w:rsidRPr="000D7060">
        <w:t>development bud</w:t>
      </w:r>
      <w:r w:rsidR="009B21F7">
        <w:t xml:space="preserve">get </w:t>
      </w:r>
      <w:r w:rsidR="007B2AB8">
        <w:t xml:space="preserve">with MTDS priorities. The </w:t>
      </w:r>
      <w:r w:rsidRPr="000D7060">
        <w:t xml:space="preserve">PNG </w:t>
      </w:r>
      <w:r w:rsidR="007B2AB8">
        <w:t xml:space="preserve">Government </w:t>
      </w:r>
      <w:r w:rsidRPr="000D7060">
        <w:t xml:space="preserve">estimates </w:t>
      </w:r>
      <w:r w:rsidR="004C32D1">
        <w:t xml:space="preserve">the proportion of </w:t>
      </w:r>
      <w:r w:rsidRPr="000D7060">
        <w:t xml:space="preserve">total budget expenditure </w:t>
      </w:r>
      <w:r w:rsidR="004C32D1">
        <w:t xml:space="preserve">(recurrent and development) </w:t>
      </w:r>
      <w:r w:rsidRPr="000D7060">
        <w:t xml:space="preserve">allocated to MTDS priorities </w:t>
      </w:r>
      <w:r w:rsidR="004C32D1">
        <w:t>will be</w:t>
      </w:r>
      <w:r w:rsidRPr="000D7060">
        <w:t xml:space="preserve"> </w:t>
      </w:r>
      <w:r w:rsidR="009B30FC">
        <w:t xml:space="preserve">about </w:t>
      </w:r>
      <w:r w:rsidRPr="000D7060">
        <w:t>5</w:t>
      </w:r>
      <w:r w:rsidR="009B30FC">
        <w:t>6</w:t>
      </w:r>
      <w:r w:rsidR="001B735E">
        <w:t> per cent</w:t>
      </w:r>
      <w:r w:rsidRPr="000D7060">
        <w:t xml:space="preserve">, equivalent to </w:t>
      </w:r>
      <w:r w:rsidR="009B21F7">
        <w:t xml:space="preserve">the </w:t>
      </w:r>
      <w:r w:rsidRPr="000D7060">
        <w:t xml:space="preserve">2008 </w:t>
      </w:r>
      <w:r w:rsidR="009B21F7">
        <w:t>proportion</w:t>
      </w:r>
      <w:r w:rsidRPr="000D7060">
        <w:t xml:space="preserve">. </w:t>
      </w:r>
      <w:r w:rsidR="00840C07">
        <w:t>D</w:t>
      </w:r>
      <w:r w:rsidRPr="000D7060">
        <w:t xml:space="preserve">espite a marked increase in the </w:t>
      </w:r>
      <w:r w:rsidR="009B21F7" w:rsidRPr="000D7060">
        <w:t>development budget</w:t>
      </w:r>
      <w:r w:rsidRPr="000D7060">
        <w:t xml:space="preserve">, </w:t>
      </w:r>
      <w:r w:rsidR="009B21F7">
        <w:t xml:space="preserve">the budget’s </w:t>
      </w:r>
      <w:r w:rsidRPr="000D7060">
        <w:t>alignment with the seven MTDS priorities deteriorated to 74</w:t>
      </w:r>
      <w:r w:rsidR="001B735E">
        <w:t> per cent</w:t>
      </w:r>
      <w:r w:rsidR="004C32D1">
        <w:t>,</w:t>
      </w:r>
      <w:r w:rsidRPr="000D7060">
        <w:t xml:space="preserve"> compared </w:t>
      </w:r>
      <w:r w:rsidR="009B21F7">
        <w:t>with</w:t>
      </w:r>
      <w:r w:rsidR="009B21F7" w:rsidRPr="000D7060">
        <w:t xml:space="preserve"> </w:t>
      </w:r>
      <w:r w:rsidRPr="000D7060">
        <w:t>84</w:t>
      </w:r>
      <w:r w:rsidR="001B735E">
        <w:t> per cent</w:t>
      </w:r>
      <w:r w:rsidRPr="000D7060">
        <w:t xml:space="preserve"> in 2008, 89</w:t>
      </w:r>
      <w:r w:rsidR="001B735E">
        <w:t> per cent</w:t>
      </w:r>
      <w:r w:rsidRPr="000D7060">
        <w:t xml:space="preserve"> in 2007 and 84</w:t>
      </w:r>
      <w:r w:rsidR="001B735E">
        <w:t> per cent</w:t>
      </w:r>
      <w:r w:rsidRPr="000D7060">
        <w:t xml:space="preserve"> in 2006. This is due to high spending on general government administration and services (salaries), not included in the seven </w:t>
      </w:r>
      <w:r w:rsidR="00A00586" w:rsidRPr="000D7060">
        <w:t>areas</w:t>
      </w:r>
      <w:r w:rsidR="009B30FC">
        <w:t xml:space="preserve"> of </w:t>
      </w:r>
      <w:r w:rsidR="009B30FC" w:rsidRPr="000D7060">
        <w:t>expenditure priority</w:t>
      </w:r>
      <w:r w:rsidRPr="000D7060">
        <w:t>.</w:t>
      </w:r>
    </w:p>
    <w:p w:rsidR="000D7060" w:rsidRPr="00456427" w:rsidRDefault="000D7060" w:rsidP="00991F19">
      <w:pPr>
        <w:pStyle w:val="BodyText"/>
        <w:rPr>
          <w:spacing w:val="-1"/>
        </w:rPr>
      </w:pPr>
      <w:r w:rsidRPr="00456427">
        <w:rPr>
          <w:spacing w:val="-1"/>
        </w:rPr>
        <w:t xml:space="preserve">The 2009 </w:t>
      </w:r>
      <w:r w:rsidR="00840C07" w:rsidRPr="00456427">
        <w:rPr>
          <w:spacing w:val="-1"/>
        </w:rPr>
        <w:t xml:space="preserve">development budget </w:t>
      </w:r>
      <w:r w:rsidRPr="00456427">
        <w:rPr>
          <w:spacing w:val="-1"/>
        </w:rPr>
        <w:t>recorded decreases in funding for HIV/AIDS (by 66.6</w:t>
      </w:r>
      <w:r w:rsidR="001B735E" w:rsidRPr="00456427">
        <w:rPr>
          <w:spacing w:val="-1"/>
        </w:rPr>
        <w:t> per cent</w:t>
      </w:r>
      <w:r w:rsidRPr="00456427">
        <w:rPr>
          <w:spacing w:val="-1"/>
        </w:rPr>
        <w:t xml:space="preserve">), </w:t>
      </w:r>
      <w:r w:rsidR="00840C07" w:rsidRPr="00456427">
        <w:rPr>
          <w:spacing w:val="-1"/>
        </w:rPr>
        <w:t xml:space="preserve">law and justice </w:t>
      </w:r>
      <w:r w:rsidRPr="00456427">
        <w:rPr>
          <w:spacing w:val="-1"/>
        </w:rPr>
        <w:t>(24</w:t>
      </w:r>
      <w:r w:rsidR="001B735E" w:rsidRPr="00456427">
        <w:rPr>
          <w:spacing w:val="-1"/>
        </w:rPr>
        <w:t> per cent</w:t>
      </w:r>
      <w:r w:rsidRPr="00456427">
        <w:rPr>
          <w:spacing w:val="-1"/>
        </w:rPr>
        <w:t xml:space="preserve">), </w:t>
      </w:r>
      <w:r w:rsidR="00840C07" w:rsidRPr="00456427">
        <w:rPr>
          <w:spacing w:val="-1"/>
        </w:rPr>
        <w:t xml:space="preserve">transport </w:t>
      </w:r>
      <w:r w:rsidRPr="00456427">
        <w:rPr>
          <w:spacing w:val="-1"/>
        </w:rPr>
        <w:t>(critical maintenance recurrent budget by 38</w:t>
      </w:r>
      <w:r w:rsidR="001B735E" w:rsidRPr="00456427">
        <w:rPr>
          <w:spacing w:val="-1"/>
        </w:rPr>
        <w:t> per cent</w:t>
      </w:r>
      <w:r w:rsidRPr="00456427">
        <w:rPr>
          <w:spacing w:val="-1"/>
        </w:rPr>
        <w:t>) and education (although an increase in nominal terms</w:t>
      </w:r>
      <w:r w:rsidR="00840C07" w:rsidRPr="00456427">
        <w:rPr>
          <w:spacing w:val="-1"/>
        </w:rPr>
        <w:t>,</w:t>
      </w:r>
      <w:r w:rsidRPr="00456427">
        <w:rPr>
          <w:spacing w:val="-1"/>
        </w:rPr>
        <w:t xml:space="preserve"> it declined in real terms by 4.8</w:t>
      </w:r>
      <w:r w:rsidR="001B735E" w:rsidRPr="00456427">
        <w:rPr>
          <w:spacing w:val="-1"/>
        </w:rPr>
        <w:t> per cent</w:t>
      </w:r>
      <w:r w:rsidRPr="00456427">
        <w:rPr>
          <w:spacing w:val="-1"/>
        </w:rPr>
        <w:t>). However</w:t>
      </w:r>
      <w:r w:rsidR="00840C07" w:rsidRPr="00456427">
        <w:rPr>
          <w:spacing w:val="-1"/>
        </w:rPr>
        <w:t>,</w:t>
      </w:r>
      <w:r w:rsidRPr="00456427">
        <w:rPr>
          <w:spacing w:val="-1"/>
        </w:rPr>
        <w:t xml:space="preserve"> </w:t>
      </w:r>
      <w:r w:rsidR="00A53347">
        <w:rPr>
          <w:spacing w:val="-1"/>
        </w:rPr>
        <w:t xml:space="preserve">as noted previously, </w:t>
      </w:r>
      <w:r w:rsidRPr="00456427">
        <w:rPr>
          <w:spacing w:val="-1"/>
        </w:rPr>
        <w:t>there was a 40</w:t>
      </w:r>
      <w:r w:rsidR="001B735E" w:rsidRPr="00456427">
        <w:rPr>
          <w:spacing w:val="-1"/>
        </w:rPr>
        <w:t> per cent</w:t>
      </w:r>
      <w:r w:rsidRPr="00456427">
        <w:rPr>
          <w:spacing w:val="-1"/>
        </w:rPr>
        <w:t xml:space="preserve"> overall increase in</w:t>
      </w:r>
      <w:r w:rsidR="00456427" w:rsidRPr="00456427">
        <w:rPr>
          <w:spacing w:val="-1"/>
        </w:rPr>
        <w:t xml:space="preserve"> the</w:t>
      </w:r>
      <w:r w:rsidRPr="00456427">
        <w:rPr>
          <w:spacing w:val="-1"/>
        </w:rPr>
        <w:t xml:space="preserve"> </w:t>
      </w:r>
      <w:r w:rsidR="00456427" w:rsidRPr="00456427">
        <w:rPr>
          <w:spacing w:val="-1"/>
        </w:rPr>
        <w:t xml:space="preserve">recurrent budgets of </w:t>
      </w:r>
      <w:r w:rsidRPr="00456427">
        <w:rPr>
          <w:spacing w:val="-1"/>
        </w:rPr>
        <w:t xml:space="preserve">the </w:t>
      </w:r>
      <w:r w:rsidR="00840C07" w:rsidRPr="00456427">
        <w:rPr>
          <w:spacing w:val="-1"/>
        </w:rPr>
        <w:t xml:space="preserve">provincial and local-level governments </w:t>
      </w:r>
      <w:r w:rsidRPr="00456427">
        <w:rPr>
          <w:spacing w:val="-1"/>
        </w:rPr>
        <w:t>in line with new intergovernmental financing arrangements.</w:t>
      </w:r>
    </w:p>
    <w:p w:rsidR="00D86A59" w:rsidRPr="009B5487" w:rsidRDefault="00D86A59" w:rsidP="00E5783D">
      <w:pPr>
        <w:pStyle w:val="H1A"/>
      </w:pPr>
      <w:bookmarkStart w:id="146" w:name="_Toc237763924"/>
      <w:r w:rsidRPr="009B5487">
        <w:lastRenderedPageBreak/>
        <w:t>Enabling theme 2: Capacity building and integration with PNG systems</w:t>
      </w:r>
      <w:r w:rsidR="005C25C3">
        <w:rPr>
          <w:lang w:val="en-US" w:eastAsia="en-US"/>
        </w:rPr>
        <w:drawing>
          <wp:anchor distT="0" distB="0" distL="114300" distR="114300" simplePos="0" relativeHeight="251661824" behindDoc="1" locked="0" layoutInCell="1" allowOverlap="1" wp14:anchorId="6A1CD5FC" wp14:editId="6F4A2772">
            <wp:simplePos x="0" y="0"/>
            <wp:positionH relativeFrom="page">
              <wp:posOffset>0</wp:posOffset>
            </wp:positionH>
            <wp:positionV relativeFrom="page">
              <wp:posOffset>1386205</wp:posOffset>
            </wp:positionV>
            <wp:extent cx="7560310" cy="1585595"/>
            <wp:effectExtent l="0" t="0" r="2540" b="0"/>
            <wp:wrapNone/>
            <wp:docPr id="1294" name="Picture 1294"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46"/>
    </w:p>
    <w:p w:rsidR="000D7060" w:rsidRPr="000D7060" w:rsidRDefault="000D7060" w:rsidP="00991F19">
      <w:pPr>
        <w:pStyle w:val="BodyText"/>
      </w:pPr>
      <w:r w:rsidRPr="000D7060">
        <w:t>Capacity building is a key focus of all Australia</w:t>
      </w:r>
      <w:r w:rsidR="00AA4D84">
        <w:t>n</w:t>
      </w:r>
      <w:r w:rsidRPr="000D7060">
        <w:t xml:space="preserve"> programs </w:t>
      </w:r>
      <w:r w:rsidR="00294C78">
        <w:t xml:space="preserve">of support </w:t>
      </w:r>
      <w:r w:rsidRPr="000D7060">
        <w:t xml:space="preserve">in PNG. In 2008 the aid program produced a large body of </w:t>
      </w:r>
      <w:r w:rsidR="00AA4D84">
        <w:t>analysis</w:t>
      </w:r>
      <w:r w:rsidRPr="000D7060">
        <w:t xml:space="preserve"> on the effectiveness of its capacity</w:t>
      </w:r>
      <w:r w:rsidR="00AA4D84">
        <w:t>-</w:t>
      </w:r>
      <w:r w:rsidRPr="000D7060">
        <w:t xml:space="preserve">building support through </w:t>
      </w:r>
      <w:r w:rsidR="00AA4D84">
        <w:t xml:space="preserve">reviews of </w:t>
      </w:r>
      <w:r w:rsidRPr="000D7060">
        <w:t>sector</w:t>
      </w:r>
      <w:r w:rsidR="00294C78">
        <w:t>al</w:t>
      </w:r>
      <w:r w:rsidRPr="000D7060">
        <w:t xml:space="preserve"> program</w:t>
      </w:r>
      <w:r w:rsidR="00AA4D84">
        <w:t>s</w:t>
      </w:r>
      <w:r w:rsidR="00294C78">
        <w:t xml:space="preserve"> and</w:t>
      </w:r>
      <w:r w:rsidRPr="000D7060">
        <w:t xml:space="preserve"> design processes and a desk review </w:t>
      </w:r>
      <w:r w:rsidR="00D345B4">
        <w:t xml:space="preserve">of </w:t>
      </w:r>
      <w:r w:rsidRPr="000D7060">
        <w:t>approaches to capacity building across 12 programs in PNG</w:t>
      </w:r>
      <w:r w:rsidR="00115409">
        <w:t>.</w:t>
      </w:r>
      <w:r w:rsidRPr="00115409">
        <w:rPr>
          <w:rStyle w:val="FootnoteReference"/>
        </w:rPr>
        <w:footnoteReference w:id="47"/>
      </w:r>
      <w:r w:rsidRPr="000D7060">
        <w:t xml:space="preserve"> This analysis </w:t>
      </w:r>
      <w:r w:rsidR="00377189">
        <w:t>showed</w:t>
      </w:r>
      <w:r w:rsidRPr="000D7060">
        <w:t xml:space="preserve"> that increasingly </w:t>
      </w:r>
      <w:r w:rsidR="007B2AB8">
        <w:t>the PNG Government</w:t>
      </w:r>
      <w:r w:rsidRPr="000D7060">
        <w:t xml:space="preserve"> is becoming an equal partner, if not the leader</w:t>
      </w:r>
      <w:r w:rsidR="00377189">
        <w:t>,</w:t>
      </w:r>
      <w:r w:rsidRPr="000D7060">
        <w:t xml:space="preserve"> of capacity</w:t>
      </w:r>
      <w:r w:rsidR="00377189">
        <w:t>-</w:t>
      </w:r>
      <w:r w:rsidRPr="000D7060">
        <w:t xml:space="preserve">building interventions </w:t>
      </w:r>
      <w:r w:rsidR="00377189">
        <w:t>by helping to</w:t>
      </w:r>
      <w:r w:rsidRPr="000D7060">
        <w:t xml:space="preserve"> </w:t>
      </w:r>
      <w:r w:rsidR="00377189">
        <w:t xml:space="preserve">identify </w:t>
      </w:r>
      <w:r w:rsidRPr="000D7060">
        <w:t xml:space="preserve">needs, </w:t>
      </w:r>
      <w:r w:rsidR="00377189">
        <w:t xml:space="preserve">select </w:t>
      </w:r>
      <w:r w:rsidRPr="000D7060">
        <w:t>technical assistance and</w:t>
      </w:r>
      <w:r w:rsidR="00377189">
        <w:t xml:space="preserve"> develop</w:t>
      </w:r>
      <w:r w:rsidRPr="000D7060">
        <w:t xml:space="preserve"> terms of reference</w:t>
      </w:r>
      <w:r w:rsidR="00377189">
        <w:t>.</w:t>
      </w:r>
      <w:r w:rsidRPr="009B5487">
        <w:rPr>
          <w:rStyle w:val="FootnoteReference"/>
        </w:rPr>
        <w:footnoteReference w:id="48"/>
      </w:r>
      <w:r w:rsidRPr="000D7060">
        <w:t xml:space="preserve"> </w:t>
      </w:r>
      <w:r w:rsidR="00E83AC3">
        <w:t>A</w:t>
      </w:r>
      <w:r w:rsidRPr="000D7060">
        <w:t>lso programs owned and led</w:t>
      </w:r>
      <w:r w:rsidR="00377189">
        <w:t xml:space="preserve"> by the PNG Government</w:t>
      </w:r>
      <w:r w:rsidRPr="000D7060">
        <w:t xml:space="preserve">, such as </w:t>
      </w:r>
      <w:r w:rsidR="00B53EA8">
        <w:t xml:space="preserve">the </w:t>
      </w:r>
      <w:r w:rsidR="00B53EA8" w:rsidRPr="000D7060">
        <w:t>Provincial Performance Improvement Initiative</w:t>
      </w:r>
      <w:r w:rsidRPr="000D7060">
        <w:t xml:space="preserve">, </w:t>
      </w:r>
      <w:r w:rsidR="00E83AC3">
        <w:t xml:space="preserve">are </w:t>
      </w:r>
      <w:r w:rsidRPr="000D7060">
        <w:t>experiencing strong results.</w:t>
      </w:r>
    </w:p>
    <w:p w:rsidR="000D7060" w:rsidRPr="000D7060" w:rsidRDefault="000D7060" w:rsidP="00991F19">
      <w:pPr>
        <w:pStyle w:val="BodyText"/>
      </w:pPr>
      <w:r w:rsidRPr="000D7060">
        <w:t xml:space="preserve">The primary method used in the PNG aid program to </w:t>
      </w:r>
      <w:r w:rsidR="008A4C6B">
        <w:t>build</w:t>
      </w:r>
      <w:r w:rsidR="008A4C6B" w:rsidRPr="000D7060">
        <w:t xml:space="preserve"> </w:t>
      </w:r>
      <w:r w:rsidRPr="000D7060">
        <w:t xml:space="preserve">capacity is </w:t>
      </w:r>
      <w:r w:rsidR="008A4C6B">
        <w:t>technical assistance</w:t>
      </w:r>
      <w:r w:rsidR="00E83AC3">
        <w:t>,</w:t>
      </w:r>
      <w:r w:rsidR="008A4C6B" w:rsidRPr="000D7060">
        <w:t xml:space="preserve"> </w:t>
      </w:r>
      <w:r w:rsidRPr="000D7060">
        <w:t>which makes up 35</w:t>
      </w:r>
      <w:r w:rsidR="001B735E">
        <w:t> per cent</w:t>
      </w:r>
      <w:r w:rsidRPr="000D7060">
        <w:t xml:space="preserve"> of </w:t>
      </w:r>
      <w:smartTag w:uri="urn:schemas-microsoft-com:office:smarttags" w:element="place">
        <w:smartTag w:uri="urn:schemas-microsoft-com:office:smarttags" w:element="country-region">
          <w:r w:rsidRPr="000D7060">
            <w:t>Australia</w:t>
          </w:r>
        </w:smartTag>
      </w:smartTag>
      <w:r w:rsidRPr="000D7060">
        <w:t>’s aid to PNG (28</w:t>
      </w:r>
      <w:r w:rsidR="001B735E">
        <w:t> per cent</w:t>
      </w:r>
      <w:r w:rsidRPr="000D7060">
        <w:t xml:space="preserve"> through advisors and 7</w:t>
      </w:r>
      <w:r w:rsidR="001B735E">
        <w:t> per cent</w:t>
      </w:r>
      <w:r w:rsidRPr="000D7060">
        <w:t xml:space="preserve"> through training). Technical assistance includes expert advisers (international and Papua New Guinean), twinning and mentoring to support policy development, service delivery, financial management and human resource management. Well</w:t>
      </w:r>
      <w:r w:rsidR="00E83AC3">
        <w:t>-</w:t>
      </w:r>
      <w:r w:rsidRPr="000D7060">
        <w:t xml:space="preserve">targeted technical assistance has proven </w:t>
      </w:r>
      <w:r w:rsidR="00E83AC3">
        <w:t xml:space="preserve">to be </w:t>
      </w:r>
      <w:r w:rsidRPr="000D7060">
        <w:t>effective in improving PNG’s capacity to deliver basic services. However</w:t>
      </w:r>
      <w:r w:rsidR="00E83AC3">
        <w:t>,</w:t>
      </w:r>
      <w:r w:rsidRPr="000D7060">
        <w:t xml:space="preserve"> there is also increasing realisation that</w:t>
      </w:r>
      <w:r w:rsidR="00E83AC3">
        <w:t>,</w:t>
      </w:r>
      <w:r w:rsidRPr="000D7060">
        <w:t xml:space="preserve"> even with the best possible technical advice, public sector reforms </w:t>
      </w:r>
      <w:r w:rsidR="00E83AC3">
        <w:t>will</w:t>
      </w:r>
      <w:r w:rsidR="00E83AC3" w:rsidRPr="000D7060">
        <w:t xml:space="preserve"> </w:t>
      </w:r>
      <w:r w:rsidRPr="000D7060">
        <w:t>not be sustainable until donors develop appropriate responses to the political and cultural factors limiting the effectiveness of capacity</w:t>
      </w:r>
      <w:r w:rsidR="00E83AC3">
        <w:t>-</w:t>
      </w:r>
      <w:r w:rsidRPr="000D7060">
        <w:t>building efforts</w:t>
      </w:r>
      <w:r w:rsidR="00115409">
        <w:t>.</w:t>
      </w:r>
      <w:r w:rsidRPr="00115409">
        <w:rPr>
          <w:rStyle w:val="FootnoteReference"/>
        </w:rPr>
        <w:footnoteReference w:id="49"/>
      </w:r>
      <w:r w:rsidRPr="000D7060">
        <w:t xml:space="preserve"> </w:t>
      </w:r>
    </w:p>
    <w:p w:rsidR="000D7060" w:rsidRPr="000D7060" w:rsidRDefault="000D7060" w:rsidP="00991F19">
      <w:pPr>
        <w:pStyle w:val="BodyText"/>
      </w:pPr>
      <w:r w:rsidRPr="000D7060">
        <w:t xml:space="preserve">Evidence shows that </w:t>
      </w:r>
      <w:r w:rsidR="0081516C">
        <w:t xml:space="preserve">the </w:t>
      </w:r>
      <w:r w:rsidRPr="000D7060">
        <w:t>innovative technical assistance and oth</w:t>
      </w:r>
      <w:r w:rsidR="00E005A4">
        <w:t>er capacity-</w:t>
      </w:r>
      <w:r w:rsidRPr="000D7060">
        <w:t xml:space="preserve">building approaches </w:t>
      </w:r>
      <w:r w:rsidR="0081516C">
        <w:t xml:space="preserve">of several programs </w:t>
      </w:r>
      <w:r w:rsidRPr="000D7060">
        <w:t>are producing good results,</w:t>
      </w:r>
      <w:r w:rsidRPr="000D7060">
        <w:rPr>
          <w:iCs/>
        </w:rPr>
        <w:t xml:space="preserve"> particularly</w:t>
      </w:r>
      <w:r w:rsidR="00732528">
        <w:rPr>
          <w:iCs/>
        </w:rPr>
        <w:t xml:space="preserve"> the</w:t>
      </w:r>
      <w:r w:rsidRPr="000D7060">
        <w:rPr>
          <w:iCs/>
        </w:rPr>
        <w:t xml:space="preserve"> </w:t>
      </w:r>
      <w:r w:rsidR="00E005A4">
        <w:rPr>
          <w:iCs/>
        </w:rPr>
        <w:t>law and</w:t>
      </w:r>
      <w:r w:rsidR="00E005A4" w:rsidRPr="000D7060">
        <w:rPr>
          <w:iCs/>
        </w:rPr>
        <w:t xml:space="preserve"> justice</w:t>
      </w:r>
      <w:r w:rsidR="0081516C">
        <w:rPr>
          <w:iCs/>
        </w:rPr>
        <w:t xml:space="preserve"> program</w:t>
      </w:r>
      <w:r w:rsidRPr="000D7060">
        <w:rPr>
          <w:iCs/>
        </w:rPr>
        <w:t xml:space="preserve">, </w:t>
      </w:r>
      <w:r w:rsidR="00E005A4">
        <w:rPr>
          <w:iCs/>
        </w:rPr>
        <w:t xml:space="preserve">the </w:t>
      </w:r>
      <w:r w:rsidR="00E005A4">
        <w:t>Sub</w:t>
      </w:r>
      <w:r w:rsidR="0005065C">
        <w:t>-</w:t>
      </w:r>
      <w:r w:rsidR="00E005A4" w:rsidRPr="00011299">
        <w:t>National Strategy</w:t>
      </w:r>
      <w:r w:rsidRPr="000D7060">
        <w:rPr>
          <w:iCs/>
        </w:rPr>
        <w:t>, and education programs</w:t>
      </w:r>
      <w:r w:rsidR="0081516C">
        <w:rPr>
          <w:iCs/>
        </w:rPr>
        <w:t>.</w:t>
      </w:r>
    </w:p>
    <w:p w:rsidR="000D7060" w:rsidRPr="000D7060" w:rsidRDefault="000D7060" w:rsidP="00991F19">
      <w:pPr>
        <w:pStyle w:val="ListBullet"/>
      </w:pPr>
      <w:smartTag w:uri="urn:schemas-microsoft-com:office:smarttags" w:element="place">
        <w:smartTag w:uri="urn:schemas-microsoft-com:office:smarttags" w:element="country-region">
          <w:r w:rsidRPr="000D7060">
            <w:t>Australia</w:t>
          </w:r>
        </w:smartTag>
      </w:smartTag>
      <w:r w:rsidRPr="000D7060">
        <w:t xml:space="preserve">’s support through the </w:t>
      </w:r>
      <w:r w:rsidR="00115409" w:rsidRPr="000D7060">
        <w:t xml:space="preserve">law </w:t>
      </w:r>
      <w:r w:rsidR="00115409">
        <w:t>and</w:t>
      </w:r>
      <w:r w:rsidR="00115409" w:rsidRPr="000D7060">
        <w:t xml:space="preserve"> justice </w:t>
      </w:r>
      <w:r w:rsidRPr="000D7060">
        <w:t>program is effectively building capacity</w:t>
      </w:r>
      <w:r w:rsidR="00732528">
        <w:t>,</w:t>
      </w:r>
      <w:r w:rsidRPr="000D7060">
        <w:t xml:space="preserve"> particularly through the use of the Core Support Team. </w:t>
      </w:r>
      <w:r w:rsidR="00732528">
        <w:t>This</w:t>
      </w:r>
      <w:r w:rsidRPr="000D7060">
        <w:t xml:space="preserve"> team of advisers </w:t>
      </w:r>
      <w:r w:rsidR="00732528">
        <w:t>has</w:t>
      </w:r>
      <w:r w:rsidR="00732528" w:rsidRPr="000D7060">
        <w:t xml:space="preserve"> </w:t>
      </w:r>
      <w:r w:rsidRPr="000D7060">
        <w:t xml:space="preserve">expertise in a range of corporate functions from planning and budgeting, to </w:t>
      </w:r>
      <w:r w:rsidR="00662C24">
        <w:t>human resources</w:t>
      </w:r>
      <w:r w:rsidRPr="000D7060">
        <w:t xml:space="preserve"> and finance. The success of this approach is </w:t>
      </w:r>
      <w:r w:rsidR="00732528">
        <w:t>in</w:t>
      </w:r>
      <w:r w:rsidRPr="000D7060">
        <w:t xml:space="preserve"> working across agencies, supporting cross-sectoral working groups and establishing capacity to monitor performance and outcomes.</w:t>
      </w:r>
    </w:p>
    <w:p w:rsidR="000D7060" w:rsidRPr="000D7060" w:rsidRDefault="00E005A4" w:rsidP="00991F19">
      <w:pPr>
        <w:pStyle w:val="ListBullet"/>
      </w:pPr>
      <w:r>
        <w:t>The Sub</w:t>
      </w:r>
      <w:r w:rsidR="0005065C">
        <w:t>-</w:t>
      </w:r>
      <w:r w:rsidRPr="00011299">
        <w:t>National Strategy</w:t>
      </w:r>
      <w:r w:rsidR="000D7060" w:rsidRPr="000D7060">
        <w:t xml:space="preserve"> has supported all participating provinces in </w:t>
      </w:r>
      <w:r w:rsidR="00B53EA8">
        <w:t xml:space="preserve">the </w:t>
      </w:r>
      <w:r w:rsidR="00B53EA8" w:rsidRPr="000D7060">
        <w:t>Provincial Performance Improvement Initiative</w:t>
      </w:r>
      <w:r w:rsidR="000D7060" w:rsidRPr="000D7060">
        <w:t xml:space="preserve"> </w:t>
      </w:r>
      <w:r w:rsidR="00732528">
        <w:t>in</w:t>
      </w:r>
      <w:r w:rsidR="00732528" w:rsidRPr="000D7060">
        <w:t xml:space="preserve"> </w:t>
      </w:r>
      <w:r w:rsidR="000D7060" w:rsidRPr="000D7060">
        <w:t>analys</w:t>
      </w:r>
      <w:r w:rsidR="00732528">
        <w:t>ing</w:t>
      </w:r>
      <w:r w:rsidR="000D7060" w:rsidRPr="000D7060">
        <w:t xml:space="preserve"> their own </w:t>
      </w:r>
      <w:r w:rsidR="008620E4">
        <w:t xml:space="preserve">administrative </w:t>
      </w:r>
      <w:r w:rsidR="000D7060" w:rsidRPr="000D7060">
        <w:t>structures and articulat</w:t>
      </w:r>
      <w:r w:rsidR="00732528">
        <w:t>ing</w:t>
      </w:r>
      <w:r w:rsidR="000D7060" w:rsidRPr="000D7060">
        <w:t xml:space="preserve"> their own objectives, strengths and weaknesses</w:t>
      </w:r>
      <w:r w:rsidR="008620E4">
        <w:t>, and in</w:t>
      </w:r>
      <w:r w:rsidR="000D7060" w:rsidRPr="000D7060">
        <w:t xml:space="preserve"> develop</w:t>
      </w:r>
      <w:r w:rsidR="008620E4">
        <w:t>ing</w:t>
      </w:r>
      <w:r w:rsidR="000D7060" w:rsidRPr="000D7060">
        <w:t xml:space="preserve"> </w:t>
      </w:r>
      <w:r w:rsidR="00732528" w:rsidRPr="000D7060">
        <w:t>corporate plans and capacity</w:t>
      </w:r>
      <w:r w:rsidR="00732528">
        <w:t>-</w:t>
      </w:r>
      <w:r w:rsidR="00732528" w:rsidRPr="000D7060">
        <w:t xml:space="preserve">building plans </w:t>
      </w:r>
      <w:r w:rsidR="000D7060" w:rsidRPr="000D7060">
        <w:t xml:space="preserve">that outline their future objectives. Support is provided through technical assistance, provincial exchanges, provincial peer reviews, incentive funds and a monitoring and rating system to encourage and motivate improvements against those plans. Improvements are being seen in areas including budgeting, planning, </w:t>
      </w:r>
      <w:r w:rsidR="00662C24">
        <w:t xml:space="preserve">human </w:t>
      </w:r>
      <w:r w:rsidR="00662C24">
        <w:lastRenderedPageBreak/>
        <w:t>resources</w:t>
      </w:r>
      <w:r w:rsidR="000D7060" w:rsidRPr="000D7060">
        <w:t xml:space="preserve"> and performance monitoring. The greatest motivation </w:t>
      </w:r>
      <w:r w:rsidR="00732528">
        <w:t>for</w:t>
      </w:r>
      <w:r w:rsidR="00732528" w:rsidRPr="000D7060">
        <w:t xml:space="preserve"> </w:t>
      </w:r>
      <w:r w:rsidR="000D7060" w:rsidRPr="000D7060">
        <w:t>improve</w:t>
      </w:r>
      <w:r w:rsidR="00732528">
        <w:t>ment</w:t>
      </w:r>
      <w:r w:rsidR="000D7060" w:rsidRPr="000D7060">
        <w:t xml:space="preserve"> has been found to be competition</w:t>
      </w:r>
      <w:r w:rsidR="00732528">
        <w:t xml:space="preserve"> between provinces</w:t>
      </w:r>
      <w:r w:rsidR="000D7060" w:rsidRPr="000D7060">
        <w:t>.</w:t>
      </w:r>
      <w:r w:rsidR="000D7060" w:rsidRPr="009B5487">
        <w:rPr>
          <w:rStyle w:val="FootnoteReference"/>
        </w:rPr>
        <w:footnoteReference w:id="50"/>
      </w:r>
      <w:r w:rsidR="006F7C08">
        <w:t xml:space="preserve"> </w:t>
      </w:r>
      <w:r w:rsidR="000D7060" w:rsidRPr="000D7060">
        <w:t>In addition, good</w:t>
      </w:r>
      <w:r w:rsidR="00732528">
        <w:t>-</w:t>
      </w:r>
      <w:r w:rsidR="000D7060" w:rsidRPr="000D7060">
        <w:t xml:space="preserve">quality technical assistance that takes a ‘systems approach’ has been extremely effective in supporting </w:t>
      </w:r>
      <w:r w:rsidR="00BF3E68">
        <w:t xml:space="preserve">the </w:t>
      </w:r>
      <w:r w:rsidR="00BF3E68" w:rsidRPr="00011299">
        <w:t>National Economic and Fiscal Commission</w:t>
      </w:r>
      <w:r w:rsidR="000D7060" w:rsidRPr="000D7060">
        <w:t xml:space="preserve"> to reform the intergovernmental financing system so that it is more equitable and related to actual service delivery costs. </w:t>
      </w:r>
    </w:p>
    <w:p w:rsidR="000D7060" w:rsidRPr="000D7060" w:rsidRDefault="000D7060" w:rsidP="00991F19">
      <w:pPr>
        <w:pStyle w:val="ListBullet"/>
      </w:pPr>
      <w:r w:rsidRPr="000D7060">
        <w:t xml:space="preserve">The Basic Education Development Program has a strong focus on women and provides incentives to build </w:t>
      </w:r>
      <w:r w:rsidR="006A7A0A">
        <w:t xml:space="preserve">the </w:t>
      </w:r>
      <w:r w:rsidRPr="000D7060">
        <w:t>capacity of community members to improve school quality and infrastructure.</w:t>
      </w:r>
      <w:r w:rsidRPr="009B5487">
        <w:rPr>
          <w:rStyle w:val="FootnoteReference"/>
        </w:rPr>
        <w:footnoteReference w:id="51"/>
      </w:r>
    </w:p>
    <w:p w:rsidR="000D7060" w:rsidRPr="000D7060" w:rsidRDefault="000D7060" w:rsidP="00991F19">
      <w:pPr>
        <w:pStyle w:val="ListBullet"/>
      </w:pPr>
      <w:r w:rsidRPr="000D7060">
        <w:t xml:space="preserve">The Making a Difference </w:t>
      </w:r>
      <w:r w:rsidR="006A7A0A" w:rsidRPr="000D7060">
        <w:t>Program</w:t>
      </w:r>
      <w:r w:rsidR="006A7A0A">
        <w:t xml:space="preserve"> </w:t>
      </w:r>
      <w:r w:rsidRPr="000D7060">
        <w:t xml:space="preserve">is facilitating resource sharing and mutual understanding about capacity building across all Australian-supported development activities and by doing so </w:t>
      </w:r>
      <w:r w:rsidR="006A7A0A">
        <w:t xml:space="preserve">is </w:t>
      </w:r>
      <w:r w:rsidRPr="000D7060">
        <w:t xml:space="preserve">enhancing cross-program </w:t>
      </w:r>
      <w:r w:rsidR="00115409" w:rsidRPr="000D7060">
        <w:t>coherence</w:t>
      </w:r>
      <w:r w:rsidR="00115409">
        <w:t>.</w:t>
      </w:r>
      <w:r w:rsidRPr="00115409">
        <w:rPr>
          <w:rStyle w:val="FootnoteReference"/>
        </w:rPr>
        <w:footnoteReference w:id="52"/>
      </w:r>
    </w:p>
    <w:p w:rsidR="000D7060" w:rsidRPr="000D7060" w:rsidRDefault="000D7060" w:rsidP="00991F19">
      <w:pPr>
        <w:pStyle w:val="ListBullet"/>
      </w:pPr>
      <w:r w:rsidRPr="000D7060">
        <w:t>The redesign of the Enhanced Cooperation Program to</w:t>
      </w:r>
      <w:r w:rsidR="0051490B">
        <w:t xml:space="preserve"> be</w:t>
      </w:r>
      <w:r w:rsidR="008620E4">
        <w:t>come</w:t>
      </w:r>
      <w:r w:rsidRPr="000D7060">
        <w:t xml:space="preserve"> the </w:t>
      </w:r>
      <w:proofErr w:type="spellStart"/>
      <w:r w:rsidRPr="000D7060">
        <w:t>Strongim</w:t>
      </w:r>
      <w:proofErr w:type="spellEnd"/>
      <w:r w:rsidRPr="000D7060">
        <w:t xml:space="preserve"> </w:t>
      </w:r>
      <w:proofErr w:type="spellStart"/>
      <w:r w:rsidRPr="000D7060">
        <w:t>Gavman</w:t>
      </w:r>
      <w:proofErr w:type="spellEnd"/>
      <w:r w:rsidRPr="000D7060">
        <w:t xml:space="preserve"> Program strengthened PNG ownership of the program, sharpened the provision of mentoring and capacity development to ensure </w:t>
      </w:r>
      <w:r w:rsidR="0051490B">
        <w:t>that skills are transferred</w:t>
      </w:r>
      <w:r w:rsidR="0051490B" w:rsidRPr="000D7060">
        <w:t xml:space="preserve"> </w:t>
      </w:r>
      <w:r w:rsidRPr="000D7060">
        <w:t>direct</w:t>
      </w:r>
      <w:r w:rsidR="0051490B">
        <w:t>ly</w:t>
      </w:r>
      <w:r w:rsidRPr="000D7060">
        <w:t xml:space="preserve"> to PNG counterparts</w:t>
      </w:r>
      <w:r w:rsidR="0051490B">
        <w:t>,</w:t>
      </w:r>
      <w:r w:rsidRPr="000D7060">
        <w:t xml:space="preserve"> and strengthened the monitoring and evaluation systems. However</w:t>
      </w:r>
      <w:r w:rsidR="0051490B">
        <w:t>,</w:t>
      </w:r>
      <w:r w:rsidRPr="000D7060">
        <w:t xml:space="preserve"> </w:t>
      </w:r>
      <w:r w:rsidR="008620E4">
        <w:t>the program</w:t>
      </w:r>
      <w:r w:rsidR="008620E4" w:rsidRPr="000D7060">
        <w:t xml:space="preserve"> </w:t>
      </w:r>
      <w:r w:rsidRPr="000D7060">
        <w:t>need</w:t>
      </w:r>
      <w:r w:rsidR="008620E4">
        <w:t>s</w:t>
      </w:r>
      <w:r w:rsidRPr="000D7060">
        <w:t xml:space="preserve"> to </w:t>
      </w:r>
      <w:r w:rsidR="0051490B">
        <w:t>be</w:t>
      </w:r>
      <w:r w:rsidRPr="000D7060">
        <w:t xml:space="preserve"> realistic in </w:t>
      </w:r>
      <w:r w:rsidR="008620E4">
        <w:t>its</w:t>
      </w:r>
      <w:r w:rsidR="008620E4" w:rsidRPr="000D7060">
        <w:t xml:space="preserve"> </w:t>
      </w:r>
      <w:r w:rsidRPr="000D7060">
        <w:t xml:space="preserve">objectives and expectations for capacity building and </w:t>
      </w:r>
      <w:r w:rsidR="008620E4">
        <w:t xml:space="preserve">to </w:t>
      </w:r>
      <w:r w:rsidRPr="000D7060">
        <w:t xml:space="preserve">more clearly acknowledge when </w:t>
      </w:r>
      <w:r w:rsidR="008620E4">
        <w:t>it is</w:t>
      </w:r>
      <w:r w:rsidRPr="000D7060">
        <w:t xml:space="preserve"> in a ‘holding operation’.</w:t>
      </w:r>
    </w:p>
    <w:p w:rsidR="000D7060" w:rsidRPr="00827A15" w:rsidRDefault="000D7060" w:rsidP="00991F19">
      <w:pPr>
        <w:pStyle w:val="BodyText"/>
      </w:pPr>
      <w:r w:rsidRPr="000D7060">
        <w:t>Further work is required to ensure more effective capacity building on the ground</w:t>
      </w:r>
      <w:r w:rsidR="00827A15">
        <w:t>.</w:t>
      </w:r>
      <w:r w:rsidRPr="000D7060">
        <w:t xml:space="preserve"> </w:t>
      </w:r>
      <w:r w:rsidR="00827A15">
        <w:t>This means</w:t>
      </w:r>
      <w:r w:rsidR="00827A15" w:rsidRPr="000D7060">
        <w:t xml:space="preserve"> </w:t>
      </w:r>
      <w:r w:rsidR="00827A15">
        <w:t>increasing</w:t>
      </w:r>
      <w:r w:rsidR="00827A15" w:rsidRPr="000D7060">
        <w:t xml:space="preserve"> </w:t>
      </w:r>
      <w:r w:rsidRPr="000D7060">
        <w:t xml:space="preserve">our understanding of all dimensions of the </w:t>
      </w:r>
      <w:r w:rsidR="00827A15">
        <w:t>areas requiring greater capacity</w:t>
      </w:r>
      <w:r w:rsidR="00827A15" w:rsidRPr="000D7060">
        <w:t xml:space="preserve"> </w:t>
      </w:r>
      <w:r w:rsidRPr="000D7060">
        <w:t xml:space="preserve">and </w:t>
      </w:r>
      <w:r w:rsidR="00827A15">
        <w:t xml:space="preserve">of </w:t>
      </w:r>
      <w:r w:rsidRPr="000D7060">
        <w:t>the benefits and limitations of different capacity</w:t>
      </w:r>
      <w:r w:rsidR="00827A15">
        <w:t>-</w:t>
      </w:r>
      <w:r w:rsidRPr="000D7060">
        <w:t xml:space="preserve">building responses. </w:t>
      </w:r>
      <w:r w:rsidR="00827A15">
        <w:t>A</w:t>
      </w:r>
      <w:r w:rsidRPr="000D7060">
        <w:t xml:space="preserve"> broader range of capacity development assistance, including alternatives to </w:t>
      </w:r>
      <w:r w:rsidR="00827A15">
        <w:t>technical assistance</w:t>
      </w:r>
      <w:r w:rsidRPr="000D7060">
        <w:t xml:space="preserve">, needs to become a feature of the </w:t>
      </w:r>
      <w:r w:rsidR="00827A15">
        <w:t xml:space="preserve">PNG aid </w:t>
      </w:r>
      <w:r w:rsidRPr="000D7060">
        <w:t xml:space="preserve">program. Better monitoring of capacity development is required to ensure </w:t>
      </w:r>
      <w:r w:rsidR="00827A15">
        <w:t>that</w:t>
      </w:r>
      <w:r w:rsidRPr="000D7060">
        <w:t xml:space="preserve"> interventions </w:t>
      </w:r>
      <w:r w:rsidR="00827A15">
        <w:t xml:space="preserve">are effective; </w:t>
      </w:r>
      <w:r w:rsidRPr="000D7060">
        <w:t>guidelines have been develop</w:t>
      </w:r>
      <w:r w:rsidR="00D86A59">
        <w:t xml:space="preserve">ed to assist in this </w:t>
      </w:r>
      <w:r w:rsidR="00D86A59" w:rsidRPr="00827A15">
        <w:t>area.</w:t>
      </w:r>
    </w:p>
    <w:p w:rsidR="000D7060" w:rsidRPr="000D7060" w:rsidRDefault="000D7060" w:rsidP="00991F19">
      <w:pPr>
        <w:pStyle w:val="BodyText"/>
      </w:pPr>
      <w:r w:rsidRPr="000D7060">
        <w:t>Integration</w:t>
      </w:r>
      <w:r w:rsidR="008620E4">
        <w:t xml:space="preserve"> of support</w:t>
      </w:r>
      <w:r w:rsidRPr="000D7060">
        <w:t xml:space="preserve"> with PNG government systems is intended to strengthen the PNG </w:t>
      </w:r>
      <w:r w:rsidR="008620E4" w:rsidRPr="000D7060">
        <w:t xml:space="preserve">Government’s </w:t>
      </w:r>
      <w:r w:rsidRPr="000D7060">
        <w:t xml:space="preserve">capacity to lead the country towards </w:t>
      </w:r>
      <w:r w:rsidR="00827A15">
        <w:t>robust</w:t>
      </w:r>
      <w:r w:rsidR="00827A15" w:rsidRPr="000D7060">
        <w:t xml:space="preserve"> </w:t>
      </w:r>
      <w:r w:rsidRPr="000D7060">
        <w:t xml:space="preserve">development outcomes. </w:t>
      </w:r>
      <w:smartTag w:uri="urn:schemas-microsoft-com:office:smarttags" w:element="place">
        <w:smartTag w:uri="urn:schemas-microsoft-com:office:smarttags" w:element="country-region">
          <w:r w:rsidRPr="000D7060">
            <w:t>Australia</w:t>
          </w:r>
        </w:smartTag>
      </w:smartTag>
      <w:r w:rsidRPr="000D7060">
        <w:t xml:space="preserve">’s aid priorities have been aligned with PNG’s policy frameworks and have supported </w:t>
      </w:r>
      <w:r w:rsidR="007B2AB8">
        <w:t>the PNG Government</w:t>
      </w:r>
      <w:r w:rsidRPr="000D7060">
        <w:t xml:space="preserve">’s own program </w:t>
      </w:r>
      <w:r w:rsidR="00827A15">
        <w:t xml:space="preserve">of </w:t>
      </w:r>
      <w:r w:rsidRPr="000D7060">
        <w:t>development for some years. However</w:t>
      </w:r>
      <w:r w:rsidR="00827A15">
        <w:t>,</w:t>
      </w:r>
      <w:r w:rsidRPr="000D7060">
        <w:t xml:space="preserve"> the current challenge is </w:t>
      </w:r>
      <w:r w:rsidR="008620E4">
        <w:t xml:space="preserve">to </w:t>
      </w:r>
      <w:r w:rsidRPr="000D7060">
        <w:t>better integrat</w:t>
      </w:r>
      <w:r w:rsidR="008620E4">
        <w:t>e Australian support</w:t>
      </w:r>
      <w:r w:rsidRPr="000D7060">
        <w:t xml:space="preserve"> with PNG’s public financial management system</w:t>
      </w:r>
      <w:r w:rsidR="00E55BDA">
        <w:t>s</w:t>
      </w:r>
      <w:r w:rsidRPr="000D7060">
        <w:t xml:space="preserve"> in a decentralised system of government. </w:t>
      </w:r>
      <w:r w:rsidR="008620E4">
        <w:t>The</w:t>
      </w:r>
      <w:r w:rsidR="008620E4" w:rsidRPr="000D7060">
        <w:t xml:space="preserve"> </w:t>
      </w:r>
      <w:r w:rsidRPr="000D7060">
        <w:t>approach</w:t>
      </w:r>
      <w:r w:rsidR="008620E4">
        <w:t xml:space="preserve"> taken</w:t>
      </w:r>
      <w:r w:rsidRPr="000D7060">
        <w:t xml:space="preserve"> needs to be more transparent and systematic across the program. The 2008 </w:t>
      </w:r>
      <w:r w:rsidR="008620E4" w:rsidRPr="000D7060">
        <w:t xml:space="preserve">survey on monitoring </w:t>
      </w:r>
      <w:r w:rsidRPr="000D7060">
        <w:t xml:space="preserve">the Paris Declaration suggested </w:t>
      </w:r>
      <w:r w:rsidR="00827A15">
        <w:t>that,</w:t>
      </w:r>
      <w:r w:rsidRPr="000D7060">
        <w:t xml:space="preserve"> </w:t>
      </w:r>
      <w:r w:rsidR="00827A15" w:rsidRPr="000D7060">
        <w:t>by 2010</w:t>
      </w:r>
      <w:r w:rsidR="00827A15">
        <w:t>,</w:t>
      </w:r>
      <w:r w:rsidR="00827A15" w:rsidRPr="000D7060">
        <w:t xml:space="preserve"> </w:t>
      </w:r>
      <w:r w:rsidRPr="000D7060">
        <w:t>33</w:t>
      </w:r>
      <w:r w:rsidR="001B735E">
        <w:t> per cent</w:t>
      </w:r>
      <w:r w:rsidRPr="000D7060">
        <w:t xml:space="preserve"> of aid</w:t>
      </w:r>
      <w:r w:rsidR="00827A15">
        <w:t xml:space="preserve"> to a country’s government sector should</w:t>
      </w:r>
      <w:r w:rsidRPr="000D7060">
        <w:t xml:space="preserve"> us</w:t>
      </w:r>
      <w:r w:rsidR="00827A15">
        <w:t>e</w:t>
      </w:r>
      <w:r w:rsidRPr="000D7060">
        <w:t xml:space="preserve"> </w:t>
      </w:r>
      <w:r w:rsidR="00827A15">
        <w:t xml:space="preserve">its </w:t>
      </w:r>
      <w:r w:rsidR="00AA039B" w:rsidRPr="000D7060">
        <w:t xml:space="preserve">public financial management </w:t>
      </w:r>
      <w:r w:rsidRPr="000D7060">
        <w:t>systems</w:t>
      </w:r>
      <w:r w:rsidR="00827A15">
        <w:t>,</w:t>
      </w:r>
      <w:r w:rsidRPr="000D7060">
        <w:t xml:space="preserve"> based on the capacity of their systems, but noted the PNG Commitment on Aid Effectiveness set a more ambitious target of at least 50</w:t>
      </w:r>
      <w:r w:rsidR="001B735E">
        <w:t> per cent</w:t>
      </w:r>
      <w:r w:rsidRPr="000D7060">
        <w:t xml:space="preserve"> by 2012. The survey found that 17</w:t>
      </w:r>
      <w:r w:rsidR="001B735E">
        <w:t> per cent</w:t>
      </w:r>
      <w:r w:rsidRPr="000D7060">
        <w:t xml:space="preserve"> of Australian aid </w:t>
      </w:r>
      <w:r w:rsidR="006E5C67">
        <w:t xml:space="preserve">to PNG’s </w:t>
      </w:r>
      <w:r w:rsidR="006E5C67" w:rsidRPr="000D7060">
        <w:t xml:space="preserve">government sector </w:t>
      </w:r>
      <w:r w:rsidRPr="000D7060">
        <w:t xml:space="preserve">used PNG </w:t>
      </w:r>
      <w:r w:rsidR="00AA039B" w:rsidRPr="000D7060">
        <w:t xml:space="preserve">public financial management </w:t>
      </w:r>
      <w:r w:rsidRPr="000D7060">
        <w:t>systems in 2007</w:t>
      </w:r>
      <w:r w:rsidR="00AA039B">
        <w:t>.</w:t>
      </w:r>
      <w:r w:rsidRPr="009B5487">
        <w:rPr>
          <w:rStyle w:val="FootnoteReference"/>
        </w:rPr>
        <w:footnoteReference w:id="53"/>
      </w:r>
    </w:p>
    <w:p w:rsidR="000D7060" w:rsidRPr="000D7060" w:rsidRDefault="000D7060" w:rsidP="00991F19">
      <w:pPr>
        <w:pStyle w:val="BodyText"/>
      </w:pPr>
      <w:r w:rsidRPr="000D7060">
        <w:t xml:space="preserve">In 2008 substantial support was provided to </w:t>
      </w:r>
      <w:r w:rsidR="006E5C67">
        <w:t xml:space="preserve">the </w:t>
      </w:r>
      <w:r w:rsidR="007B2AB8">
        <w:t>PNG Government</w:t>
      </w:r>
      <w:r w:rsidRPr="000D7060">
        <w:t xml:space="preserve"> to improve financial management across national and </w:t>
      </w:r>
      <w:r w:rsidR="007F26AF">
        <w:t>sub</w:t>
      </w:r>
      <w:r w:rsidRPr="000D7060">
        <w:t>national levels of government</w:t>
      </w:r>
      <w:r w:rsidR="006E5C67">
        <w:t>,</w:t>
      </w:r>
      <w:r w:rsidRPr="000D7060">
        <w:t xml:space="preserve"> as outlined under </w:t>
      </w:r>
      <w:r w:rsidR="006E5C67">
        <w:t>‘</w:t>
      </w:r>
      <w:r w:rsidRPr="000D7060">
        <w:t xml:space="preserve">Development </w:t>
      </w:r>
      <w:r w:rsidR="006E5C67" w:rsidRPr="000D7060">
        <w:t xml:space="preserve">theme </w:t>
      </w:r>
      <w:r w:rsidRPr="000D7060">
        <w:t>1</w:t>
      </w:r>
      <w:r w:rsidR="006E5C67">
        <w:t>’</w:t>
      </w:r>
      <w:r w:rsidRPr="000D7060">
        <w:t>. However</w:t>
      </w:r>
      <w:r w:rsidR="006E5C67">
        <w:t>,</w:t>
      </w:r>
      <w:r w:rsidRPr="000D7060">
        <w:t xml:space="preserve"> there remains a key risk that in the short term </w:t>
      </w:r>
      <w:r w:rsidR="006E5C67">
        <w:t>using</w:t>
      </w:r>
      <w:r w:rsidRPr="000D7060">
        <w:t xml:space="preserve"> government systems </w:t>
      </w:r>
      <w:r w:rsidR="006E5C67">
        <w:t xml:space="preserve">that are in the process of being developed </w:t>
      </w:r>
      <w:r w:rsidRPr="000D7060">
        <w:t xml:space="preserve">can delay results, including service delivery in critical sectors. </w:t>
      </w:r>
      <w:r w:rsidR="00E55BDA">
        <w:t>The PNG program of support</w:t>
      </w:r>
      <w:r w:rsidR="00E55BDA" w:rsidRPr="000D7060">
        <w:t xml:space="preserve"> </w:t>
      </w:r>
      <w:r w:rsidRPr="000D7060">
        <w:t xml:space="preserve">will continue to strengthen </w:t>
      </w:r>
      <w:r w:rsidR="00E55BDA">
        <w:t>its</w:t>
      </w:r>
      <w:r w:rsidR="00E55BDA" w:rsidRPr="000D7060">
        <w:t xml:space="preserve"> </w:t>
      </w:r>
      <w:r w:rsidRPr="000D7060">
        <w:t xml:space="preserve">diagnostic analysis to better articulate how </w:t>
      </w:r>
      <w:r w:rsidR="00E55BDA">
        <w:t>it</w:t>
      </w:r>
      <w:r w:rsidR="00E55BDA" w:rsidRPr="000D7060">
        <w:t xml:space="preserve"> </w:t>
      </w:r>
      <w:r w:rsidRPr="000D7060">
        <w:t>will balance the short</w:t>
      </w:r>
      <w:r w:rsidR="006E5C67">
        <w:t>-</w:t>
      </w:r>
      <w:r w:rsidRPr="000D7060">
        <w:t xml:space="preserve">term service delivery </w:t>
      </w:r>
      <w:r w:rsidRPr="000D7060">
        <w:lastRenderedPageBreak/>
        <w:t xml:space="preserve">imperatives </w:t>
      </w:r>
      <w:r w:rsidR="006E5C67">
        <w:t>with</w:t>
      </w:r>
      <w:r w:rsidR="006E5C67" w:rsidRPr="000D7060">
        <w:t xml:space="preserve"> </w:t>
      </w:r>
      <w:r w:rsidR="006E5C67">
        <w:t>commitments made under the</w:t>
      </w:r>
      <w:r w:rsidRPr="000D7060">
        <w:t xml:space="preserve"> </w:t>
      </w:r>
      <w:smartTag w:uri="urn:schemas-microsoft-com:office:smarttags" w:element="City">
        <w:r w:rsidRPr="000D7060">
          <w:t>Paris</w:t>
        </w:r>
      </w:smartTag>
      <w:r w:rsidRPr="000D7060">
        <w:t xml:space="preserve"> and </w:t>
      </w:r>
      <w:smartTag w:uri="urn:schemas-microsoft-com:office:smarttags" w:element="place">
        <w:smartTag w:uri="urn:schemas-microsoft-com:office:smarttags" w:element="City">
          <w:r w:rsidRPr="000D7060">
            <w:t>Accra</w:t>
          </w:r>
        </w:smartTag>
      </w:smartTag>
      <w:r w:rsidRPr="000D7060">
        <w:t xml:space="preserve"> </w:t>
      </w:r>
      <w:r w:rsidR="006E5C67">
        <w:t>declarations to</w:t>
      </w:r>
      <w:r w:rsidR="006E5C67" w:rsidRPr="000D7060">
        <w:t xml:space="preserve"> </w:t>
      </w:r>
      <w:r w:rsidRPr="000D7060">
        <w:t xml:space="preserve">work through government systems. Some achievements and lessons on integration </w:t>
      </w:r>
      <w:r w:rsidR="00B3282D">
        <w:t xml:space="preserve">with PNG </w:t>
      </w:r>
      <w:r w:rsidR="006E5C67">
        <w:t xml:space="preserve">systems </w:t>
      </w:r>
      <w:r w:rsidRPr="000D7060">
        <w:t xml:space="preserve">across the program </w:t>
      </w:r>
      <w:r w:rsidR="006E5C67">
        <w:t>follow.</w:t>
      </w:r>
    </w:p>
    <w:p w:rsidR="000D7060" w:rsidRPr="000D7060" w:rsidRDefault="000D7060" w:rsidP="00991F19">
      <w:pPr>
        <w:pStyle w:val="ListBullet"/>
      </w:pPr>
      <w:r w:rsidRPr="000D7060">
        <w:t xml:space="preserve">Assistance provided through </w:t>
      </w:r>
      <w:r w:rsidR="00E005A4">
        <w:t>the Sub</w:t>
      </w:r>
      <w:r w:rsidR="0005065C">
        <w:t>-</w:t>
      </w:r>
      <w:r w:rsidR="00E005A4" w:rsidRPr="00011299">
        <w:t>National Strategy</w:t>
      </w:r>
      <w:r w:rsidRPr="000D7060">
        <w:t xml:space="preserve"> to the </w:t>
      </w:r>
      <w:r w:rsidR="00B53EA8" w:rsidRPr="000D7060">
        <w:t>Provincial Performance Improvement Initiative</w:t>
      </w:r>
      <w:r w:rsidRPr="000D7060">
        <w:t xml:space="preserve"> </w:t>
      </w:r>
      <w:r w:rsidR="006E5C67">
        <w:t>provides a good</w:t>
      </w:r>
      <w:r w:rsidRPr="000D7060">
        <w:t xml:space="preserve"> example of integration with provincial systems for planning, budgeting, accounting and reporting. </w:t>
      </w:r>
      <w:r w:rsidR="002C5A0E">
        <w:t>The a</w:t>
      </w:r>
      <w:r w:rsidRPr="000D7060">
        <w:t xml:space="preserve">ssistance is reflected in PNG’s chart of accounts and supports provinces </w:t>
      </w:r>
      <w:r w:rsidR="002C5A0E">
        <w:t>in</w:t>
      </w:r>
      <w:r w:rsidR="002C5A0E" w:rsidRPr="000D7060">
        <w:t xml:space="preserve"> </w:t>
      </w:r>
      <w:r w:rsidRPr="000D7060">
        <w:t>prepar</w:t>
      </w:r>
      <w:r w:rsidR="002C5A0E">
        <w:t>ing</w:t>
      </w:r>
      <w:r w:rsidRPr="000D7060">
        <w:t xml:space="preserve"> their reports </w:t>
      </w:r>
      <w:r w:rsidR="00B3282D">
        <w:t xml:space="preserve">for parliament </w:t>
      </w:r>
      <w:r w:rsidRPr="000D7060">
        <w:t>(such as s119)</w:t>
      </w:r>
      <w:r w:rsidR="002C5A0E">
        <w:t>.</w:t>
      </w:r>
      <w:r w:rsidRPr="000D7060">
        <w:t xml:space="preserve"> </w:t>
      </w:r>
      <w:r w:rsidR="002C5A0E">
        <w:t>It</w:t>
      </w:r>
      <w:r w:rsidR="002C5A0E" w:rsidRPr="000D7060">
        <w:t xml:space="preserve"> </w:t>
      </w:r>
      <w:r w:rsidRPr="000D7060">
        <w:t>does not require additional reporting.</w:t>
      </w:r>
    </w:p>
    <w:p w:rsidR="000D7060" w:rsidRPr="000D7060" w:rsidRDefault="000D7060" w:rsidP="00991F19">
      <w:pPr>
        <w:pStyle w:val="ListBullet"/>
      </w:pPr>
      <w:r w:rsidRPr="000D7060">
        <w:t>In the law and justice sec</w:t>
      </w:r>
      <w:r w:rsidR="007B2AB8">
        <w:t xml:space="preserve">tor, further integration with </w:t>
      </w:r>
      <w:r w:rsidRPr="000D7060">
        <w:t xml:space="preserve">PNG </w:t>
      </w:r>
      <w:r w:rsidR="007B2AB8">
        <w:t xml:space="preserve">government </w:t>
      </w:r>
      <w:r w:rsidRPr="000D7060">
        <w:t xml:space="preserve">systems occurred in 2008 as all development budget funds were managed through the PNG accounting systems rather than a parallel financial management system. This integration was accompanied by support to strengthen financial management through ongoing training, </w:t>
      </w:r>
      <w:r w:rsidR="008B40E5">
        <w:t xml:space="preserve">and </w:t>
      </w:r>
      <w:r w:rsidRPr="000D7060">
        <w:t>support to</w:t>
      </w:r>
      <w:r w:rsidR="002C5A0E">
        <w:t xml:space="preserve"> undertake</w:t>
      </w:r>
      <w:r w:rsidRPr="000D7060">
        <w:t xml:space="preserve"> a program of roving audits and </w:t>
      </w:r>
      <w:r w:rsidR="002C5A0E">
        <w:t xml:space="preserve">to </w:t>
      </w:r>
      <w:r w:rsidRPr="000D7060">
        <w:t>report o</w:t>
      </w:r>
      <w:r w:rsidR="002C5A0E">
        <w:t>n</w:t>
      </w:r>
      <w:r w:rsidRPr="000D7060">
        <w:t xml:space="preserve"> fraud or suspected fraud. </w:t>
      </w:r>
    </w:p>
    <w:p w:rsidR="000D7060" w:rsidRPr="000D7060" w:rsidRDefault="000D7060" w:rsidP="00991F19">
      <w:pPr>
        <w:pStyle w:val="ListBullet"/>
      </w:pPr>
      <w:r w:rsidRPr="000D7060">
        <w:t xml:space="preserve">In the education sector, </w:t>
      </w:r>
      <w:r w:rsidR="007B2AB8">
        <w:t>the PNG Government</w:t>
      </w:r>
      <w:r w:rsidRPr="000D7060">
        <w:t xml:space="preserve"> and development partners collaborated to produce a series of analytical and diagnostic papers to further assess opportunities for increased integration</w:t>
      </w:r>
      <w:r w:rsidR="002C5A0E">
        <w:t xml:space="preserve"> </w:t>
      </w:r>
      <w:r w:rsidR="00027B55">
        <w:t xml:space="preserve">of donor systems </w:t>
      </w:r>
      <w:r w:rsidR="00B3282D">
        <w:t xml:space="preserve">with PNG </w:t>
      </w:r>
      <w:r w:rsidR="002C5A0E">
        <w:t>systems,</w:t>
      </w:r>
      <w:r w:rsidRPr="000D7060">
        <w:t xml:space="preserve"> including a</w:t>
      </w:r>
      <w:r w:rsidR="00072432">
        <w:t>ssessments of</w:t>
      </w:r>
      <w:r w:rsidRPr="000D7060">
        <w:t xml:space="preserve"> procurement and financial management capacity. </w:t>
      </w:r>
      <w:smartTag w:uri="urn:schemas-microsoft-com:office:smarttags" w:element="place">
        <w:smartTag w:uri="urn:schemas-microsoft-com:office:smarttags" w:element="country-region">
          <w:r w:rsidRPr="000D7060">
            <w:t>Australia</w:t>
          </w:r>
        </w:smartTag>
      </w:smartTag>
      <w:r w:rsidRPr="000D7060">
        <w:t xml:space="preserve">’s support under the education schedule </w:t>
      </w:r>
      <w:r w:rsidR="00072432">
        <w:t xml:space="preserve">of the </w:t>
      </w:r>
      <w:r w:rsidR="00072432" w:rsidRPr="000D7060">
        <w:t xml:space="preserve">Partnership </w:t>
      </w:r>
      <w:r w:rsidR="00072432">
        <w:t xml:space="preserve">for Development </w:t>
      </w:r>
      <w:r w:rsidRPr="000D7060">
        <w:t xml:space="preserve">will </w:t>
      </w:r>
      <w:r w:rsidR="00072432">
        <w:t>gradually</w:t>
      </w:r>
      <w:r w:rsidRPr="000D7060">
        <w:t xml:space="preserve"> rel</w:t>
      </w:r>
      <w:r w:rsidR="00072432">
        <w:t>y more</w:t>
      </w:r>
      <w:r w:rsidRPr="000D7060">
        <w:t xml:space="preserve"> on PNG government procedures to disburse and account for all resources.</w:t>
      </w:r>
    </w:p>
    <w:p w:rsidR="000D7060" w:rsidRPr="000D7060" w:rsidRDefault="000D7060" w:rsidP="00991F19">
      <w:pPr>
        <w:pStyle w:val="ListBullet"/>
      </w:pPr>
      <w:r w:rsidRPr="000D7060">
        <w:t xml:space="preserve">In the health sector, the joint donor trust account managed within </w:t>
      </w:r>
      <w:r w:rsidR="009F50E7">
        <w:t>National Department of Health</w:t>
      </w:r>
      <w:r w:rsidR="009F50E7" w:rsidRPr="000D7060">
        <w:t xml:space="preserve"> </w:t>
      </w:r>
      <w:r w:rsidRPr="000D7060">
        <w:t xml:space="preserve">prepared the </w:t>
      </w:r>
      <w:r w:rsidR="009F50E7">
        <w:t>way</w:t>
      </w:r>
      <w:r w:rsidR="009F50E7" w:rsidRPr="000D7060">
        <w:t xml:space="preserve"> </w:t>
      </w:r>
      <w:r w:rsidRPr="000D7060">
        <w:t>for us</w:t>
      </w:r>
      <w:r w:rsidR="009F50E7">
        <w:t>ing</w:t>
      </w:r>
      <w:r w:rsidRPr="000D7060">
        <w:t xml:space="preserve"> government systems, and built capacity for good financial management. However</w:t>
      </w:r>
      <w:r w:rsidR="007B2AB8">
        <w:t>,</w:t>
      </w:r>
      <w:r w:rsidRPr="000D7060">
        <w:t xml:space="preserve"> the funds are s</w:t>
      </w:r>
      <w:r w:rsidR="007B2AB8">
        <w:t xml:space="preserve">till separated from recurrent </w:t>
      </w:r>
      <w:r w:rsidRPr="000D7060">
        <w:t xml:space="preserve">PNG </w:t>
      </w:r>
      <w:r w:rsidR="007B2AB8">
        <w:t xml:space="preserve">government </w:t>
      </w:r>
      <w:r w:rsidRPr="000D7060">
        <w:t>funds</w:t>
      </w:r>
      <w:r w:rsidR="009F50E7">
        <w:t>,</w:t>
      </w:r>
      <w:r w:rsidRPr="000D7060">
        <w:t xml:space="preserve"> and rigorous controls and audits have contributed to delays in releasing funds for service delivery. Continuing to improve this approach, under the broader repositioning of </w:t>
      </w:r>
      <w:smartTag w:uri="urn:schemas-microsoft-com:office:smarttags" w:element="place">
        <w:smartTag w:uri="urn:schemas-microsoft-com:office:smarttags" w:element="country-region">
          <w:r w:rsidRPr="000D7060">
            <w:t>Australia</w:t>
          </w:r>
        </w:smartTag>
      </w:smartTag>
      <w:r w:rsidRPr="000D7060">
        <w:t>’s assistance to the health sector, is a priority for 2009</w:t>
      </w:r>
      <w:r w:rsidR="009F50E7">
        <w:t>.</w:t>
      </w:r>
    </w:p>
    <w:p w:rsidR="00644ADE" w:rsidRPr="009B5487" w:rsidRDefault="00644ADE" w:rsidP="00E5783D">
      <w:pPr>
        <w:pStyle w:val="H1A"/>
      </w:pPr>
      <w:bookmarkStart w:id="147" w:name="_Toc237763925"/>
      <w:r w:rsidRPr="009B5487">
        <w:lastRenderedPageBreak/>
        <w:t xml:space="preserve">Enabling theme 3: Effective partnerships with and beyond </w:t>
      </w:r>
      <w:r w:rsidR="00115409">
        <w:t xml:space="preserve">the </w:t>
      </w:r>
      <w:r w:rsidRPr="009B5487">
        <w:t>PNG</w:t>
      </w:r>
      <w:r w:rsidR="005C25C3">
        <w:rPr>
          <w:lang w:val="en-US" w:eastAsia="en-US"/>
        </w:rPr>
        <w:drawing>
          <wp:anchor distT="0" distB="0" distL="114300" distR="114300" simplePos="0" relativeHeight="251662848" behindDoc="1" locked="0" layoutInCell="1" allowOverlap="1" wp14:anchorId="0AD826C5" wp14:editId="21540BD7">
            <wp:simplePos x="0" y="0"/>
            <wp:positionH relativeFrom="page">
              <wp:posOffset>0</wp:posOffset>
            </wp:positionH>
            <wp:positionV relativeFrom="page">
              <wp:posOffset>1386205</wp:posOffset>
            </wp:positionV>
            <wp:extent cx="7560310" cy="1585595"/>
            <wp:effectExtent l="0" t="0" r="2540" b="0"/>
            <wp:wrapNone/>
            <wp:docPr id="1295" name="Picture 1295"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0877AF">
        <w:t> </w:t>
      </w:r>
      <w:r w:rsidR="00115409">
        <w:t>Government</w:t>
      </w:r>
      <w:bookmarkEnd w:id="147"/>
    </w:p>
    <w:p w:rsidR="008E18A3" w:rsidRDefault="000D7060" w:rsidP="00E5783D">
      <w:pPr>
        <w:pStyle w:val="H2A"/>
      </w:pPr>
      <w:bookmarkStart w:id="148" w:name="_Toc235526534"/>
      <w:bookmarkStart w:id="149" w:name="_Toc237763926"/>
      <w:bookmarkStart w:id="150" w:name="_Toc361224388"/>
      <w:r w:rsidRPr="000D7060">
        <w:t>Government</w:t>
      </w:r>
      <w:bookmarkEnd w:id="148"/>
      <w:bookmarkEnd w:id="149"/>
      <w:bookmarkEnd w:id="150"/>
    </w:p>
    <w:p w:rsidR="00D46989" w:rsidRDefault="008E18A3" w:rsidP="00991F19">
      <w:pPr>
        <w:pStyle w:val="BodyText"/>
      </w:pPr>
      <w:r>
        <w:t xml:space="preserve">In </w:t>
      </w:r>
      <w:r w:rsidR="000D7060" w:rsidRPr="000D7060">
        <w:t xml:space="preserve">2008 </w:t>
      </w:r>
      <w:r>
        <w:t>there was</w:t>
      </w:r>
      <w:r w:rsidRPr="000D7060">
        <w:t xml:space="preserve"> </w:t>
      </w:r>
      <w:r w:rsidR="000D7060" w:rsidRPr="000D7060">
        <w:t xml:space="preserve">increased engagement </w:t>
      </w:r>
      <w:r w:rsidRPr="000D7060">
        <w:t xml:space="preserve">between </w:t>
      </w:r>
      <w:smartTag w:uri="urn:schemas-microsoft-com:office:smarttags" w:element="place">
        <w:smartTag w:uri="urn:schemas-microsoft-com:office:smarttags" w:element="country-region">
          <w:r w:rsidRPr="000D7060">
            <w:t>Australia</w:t>
          </w:r>
        </w:smartTag>
      </w:smartTag>
      <w:r w:rsidRPr="000D7060">
        <w:t xml:space="preserve"> and PNG </w:t>
      </w:r>
      <w:r w:rsidR="000D7060" w:rsidRPr="000D7060">
        <w:t xml:space="preserve">at </w:t>
      </w:r>
      <w:r>
        <w:t>the prime ministerial level as well as the</w:t>
      </w:r>
      <w:r w:rsidR="000D7060" w:rsidRPr="000D7060">
        <w:t xml:space="preserve"> </w:t>
      </w:r>
      <w:r w:rsidRPr="000D7060">
        <w:t xml:space="preserve">ministerial </w:t>
      </w:r>
      <w:r w:rsidR="000D7060" w:rsidRPr="000D7060">
        <w:t>level</w:t>
      </w:r>
      <w:r>
        <w:t>,</w:t>
      </w:r>
      <w:r w:rsidR="000D7060" w:rsidRPr="000D7060">
        <w:t xml:space="preserve"> which led to a renewed commitment to work cooperatively through the Partnership for Development. New agreements were also established</w:t>
      </w:r>
      <w:r w:rsidR="005A6F5A">
        <w:t xml:space="preserve">: </w:t>
      </w:r>
      <w:r w:rsidR="000D7060" w:rsidRPr="000D7060">
        <w:t xml:space="preserve">the </w:t>
      </w:r>
      <w:r>
        <w:t>Papua New Guinea</w:t>
      </w:r>
      <w:r w:rsidR="005A6F5A">
        <w:rPr>
          <w:spacing w:val="-1"/>
        </w:rPr>
        <w:t>-</w:t>
      </w:r>
      <w:r w:rsidR="000D7060" w:rsidRPr="000D7060">
        <w:t xml:space="preserve">Australia Forest Carbon </w:t>
      </w:r>
      <w:r w:rsidR="000A666E" w:rsidRPr="000D7060">
        <w:t>Partnership</w:t>
      </w:r>
      <w:r w:rsidR="000D7060" w:rsidRPr="000D7060">
        <w:t xml:space="preserve">, and the Joint Understanding between PNG and </w:t>
      </w:r>
      <w:smartTag w:uri="urn:schemas-microsoft-com:office:smarttags" w:element="country-region">
        <w:r w:rsidR="000D7060" w:rsidRPr="000D7060">
          <w:t>Australia</w:t>
        </w:r>
      </w:smartTag>
      <w:r w:rsidR="000D7060" w:rsidRPr="000D7060">
        <w:t xml:space="preserve"> on the </w:t>
      </w:r>
      <w:proofErr w:type="spellStart"/>
      <w:r w:rsidR="000D7060" w:rsidRPr="000D7060">
        <w:t>Kokoda</w:t>
      </w:r>
      <w:proofErr w:type="spellEnd"/>
      <w:r w:rsidR="000D7060" w:rsidRPr="000D7060">
        <w:t xml:space="preserve"> Track and </w:t>
      </w:r>
      <w:smartTag w:uri="urn:schemas-microsoft-com:office:smarttags" w:element="place">
        <w:smartTag w:uri="urn:schemas-microsoft-com:office:smarttags" w:element="PlaceName">
          <w:r w:rsidR="000D7060" w:rsidRPr="000D7060">
            <w:t>Owen</w:t>
          </w:r>
        </w:smartTag>
        <w:r w:rsidR="000D7060" w:rsidRPr="000D7060">
          <w:t xml:space="preserve"> </w:t>
        </w:r>
        <w:smartTag w:uri="urn:schemas-microsoft-com:office:smarttags" w:element="PlaceName">
          <w:r w:rsidR="000D7060" w:rsidRPr="000D7060">
            <w:t>Stanley</w:t>
          </w:r>
        </w:smartTag>
        <w:r w:rsidR="000D7060" w:rsidRPr="000D7060">
          <w:t xml:space="preserve"> </w:t>
        </w:r>
        <w:smartTag w:uri="urn:schemas-microsoft-com:office:smarttags" w:element="PlaceType">
          <w:r w:rsidR="000D7060" w:rsidRPr="000D7060">
            <w:t>Ranges</w:t>
          </w:r>
        </w:smartTag>
      </w:smartTag>
      <w:r w:rsidR="000D7060" w:rsidRPr="000D7060">
        <w:t>.</w:t>
      </w:r>
      <w:r w:rsidR="006F7C08">
        <w:t xml:space="preserve"> </w:t>
      </w:r>
    </w:p>
    <w:p w:rsidR="000D7060" w:rsidRPr="00D46989" w:rsidRDefault="000D7060" w:rsidP="00991F19">
      <w:pPr>
        <w:pStyle w:val="BodyText"/>
        <w:rPr>
          <w:spacing w:val="-1"/>
        </w:rPr>
      </w:pPr>
      <w:r w:rsidRPr="00D46989">
        <w:rPr>
          <w:spacing w:val="-1"/>
        </w:rPr>
        <w:t xml:space="preserve">Patterns of engagement with PNG partners over the </w:t>
      </w:r>
      <w:r w:rsidR="00D46989" w:rsidRPr="00D46989">
        <w:rPr>
          <w:spacing w:val="-1"/>
        </w:rPr>
        <w:t>p</w:t>
      </w:r>
      <w:r w:rsidRPr="00D46989">
        <w:rPr>
          <w:spacing w:val="-1"/>
        </w:rPr>
        <w:t>ast few years</w:t>
      </w:r>
      <w:r w:rsidR="00D46989" w:rsidRPr="00D46989">
        <w:rPr>
          <w:spacing w:val="-1"/>
        </w:rPr>
        <w:t>—</w:t>
      </w:r>
      <w:r w:rsidRPr="00D46989">
        <w:rPr>
          <w:spacing w:val="-1"/>
        </w:rPr>
        <w:t xml:space="preserve">direct </w:t>
      </w:r>
      <w:proofErr w:type="spellStart"/>
      <w:r w:rsidRPr="00D46989">
        <w:rPr>
          <w:spacing w:val="-1"/>
        </w:rPr>
        <w:t>AusAID</w:t>
      </w:r>
      <w:proofErr w:type="spellEnd"/>
      <w:r w:rsidRPr="00D46989">
        <w:rPr>
          <w:spacing w:val="-1"/>
        </w:rPr>
        <w:t xml:space="preserve"> management, co-location and contracting of advisers</w:t>
      </w:r>
      <w:r w:rsidR="00D46989" w:rsidRPr="00D46989">
        <w:rPr>
          <w:spacing w:val="-1"/>
        </w:rPr>
        <w:t>—</w:t>
      </w:r>
      <w:r w:rsidRPr="00D46989">
        <w:rPr>
          <w:spacing w:val="-1"/>
        </w:rPr>
        <w:t>are translating into a well</w:t>
      </w:r>
      <w:r w:rsidR="00D46989" w:rsidRPr="00D46989">
        <w:rPr>
          <w:spacing w:val="-1"/>
        </w:rPr>
        <w:t>-</w:t>
      </w:r>
      <w:r w:rsidRPr="00D46989">
        <w:rPr>
          <w:spacing w:val="-1"/>
        </w:rPr>
        <w:t xml:space="preserve">developed understanding of trends in institutions. The co-location of </w:t>
      </w:r>
      <w:proofErr w:type="spellStart"/>
      <w:r w:rsidRPr="00D46989">
        <w:rPr>
          <w:spacing w:val="-1"/>
        </w:rPr>
        <w:t>AusAID</w:t>
      </w:r>
      <w:proofErr w:type="spellEnd"/>
      <w:r w:rsidRPr="00D46989">
        <w:rPr>
          <w:spacing w:val="-1"/>
        </w:rPr>
        <w:t xml:space="preserve"> officers in </w:t>
      </w:r>
      <w:r w:rsidR="006C2092" w:rsidRPr="00D46989">
        <w:rPr>
          <w:spacing w:val="-1"/>
        </w:rPr>
        <w:t>the Department of Provincial and Local</w:t>
      </w:r>
      <w:r w:rsidR="0090469F">
        <w:rPr>
          <w:spacing w:val="-1"/>
        </w:rPr>
        <w:t>-Level</w:t>
      </w:r>
      <w:r w:rsidR="006C2092" w:rsidRPr="00D46989">
        <w:rPr>
          <w:spacing w:val="-1"/>
        </w:rPr>
        <w:t xml:space="preserve"> Government Affairs</w:t>
      </w:r>
      <w:r w:rsidRPr="00D46989">
        <w:rPr>
          <w:spacing w:val="-1"/>
        </w:rPr>
        <w:t xml:space="preserve"> and in provincial administrations (</w:t>
      </w:r>
      <w:r w:rsidR="00D46989" w:rsidRPr="00D46989">
        <w:rPr>
          <w:spacing w:val="-1"/>
        </w:rPr>
        <w:t>Eastern Highlands</w:t>
      </w:r>
      <w:r w:rsidRPr="00D46989">
        <w:rPr>
          <w:spacing w:val="-1"/>
        </w:rPr>
        <w:t xml:space="preserve">, East New Britain, Central and </w:t>
      </w:r>
      <w:smartTag w:uri="urn:schemas-microsoft-com:office:smarttags" w:element="place">
        <w:r w:rsidRPr="00D46989">
          <w:rPr>
            <w:spacing w:val="-1"/>
          </w:rPr>
          <w:t>Bougainville</w:t>
        </w:r>
      </w:smartTag>
      <w:r w:rsidRPr="00D46989">
        <w:rPr>
          <w:spacing w:val="-1"/>
        </w:rPr>
        <w:t xml:space="preserve">) continues to assist with strengthening relationships with government counterparts and to understand, come behind and contribute to the programs and reforms of responsibilities of </w:t>
      </w:r>
      <w:r w:rsidR="006C2092" w:rsidRPr="00D46989">
        <w:rPr>
          <w:spacing w:val="-1"/>
        </w:rPr>
        <w:t>the department</w:t>
      </w:r>
      <w:r w:rsidRPr="00D46989">
        <w:rPr>
          <w:spacing w:val="-1"/>
        </w:rPr>
        <w:t xml:space="preserve"> and specific </w:t>
      </w:r>
      <w:r w:rsidR="006C2092" w:rsidRPr="00D46989">
        <w:rPr>
          <w:spacing w:val="-1"/>
        </w:rPr>
        <w:t>provincial administrations</w:t>
      </w:r>
      <w:r w:rsidRPr="00D46989">
        <w:rPr>
          <w:spacing w:val="-1"/>
        </w:rPr>
        <w:t>. However</w:t>
      </w:r>
      <w:r w:rsidR="00D46989" w:rsidRPr="00D46989">
        <w:rPr>
          <w:spacing w:val="-1"/>
        </w:rPr>
        <w:t>,</w:t>
      </w:r>
      <w:r w:rsidRPr="00D46989">
        <w:rPr>
          <w:spacing w:val="-1"/>
        </w:rPr>
        <w:t xml:space="preserve"> at the national level, opportunities to engage with </w:t>
      </w:r>
      <w:proofErr w:type="spellStart"/>
      <w:r w:rsidR="008B40E5">
        <w:rPr>
          <w:spacing w:val="-1"/>
        </w:rPr>
        <w:t>AusAID’s</w:t>
      </w:r>
      <w:proofErr w:type="spellEnd"/>
      <w:r w:rsidR="008B40E5" w:rsidRPr="00D46989">
        <w:rPr>
          <w:spacing w:val="-1"/>
        </w:rPr>
        <w:t xml:space="preserve"> </w:t>
      </w:r>
      <w:r w:rsidRPr="00D46989">
        <w:rPr>
          <w:spacing w:val="-1"/>
        </w:rPr>
        <w:t xml:space="preserve">key counterpart, </w:t>
      </w:r>
      <w:r w:rsidR="0049163F" w:rsidRPr="00D46989">
        <w:rPr>
          <w:spacing w:val="-1"/>
        </w:rPr>
        <w:t>the Department of National Planning and Monitoring</w:t>
      </w:r>
      <w:r w:rsidR="00D46989" w:rsidRPr="00D46989">
        <w:rPr>
          <w:spacing w:val="-1"/>
        </w:rPr>
        <w:t>,</w:t>
      </w:r>
      <w:r w:rsidRPr="00D46989">
        <w:rPr>
          <w:spacing w:val="-1"/>
        </w:rPr>
        <w:t xml:space="preserve"> </w:t>
      </w:r>
      <w:r w:rsidR="00B3282D">
        <w:rPr>
          <w:spacing w:val="-1"/>
        </w:rPr>
        <w:t>weakened</w:t>
      </w:r>
      <w:r w:rsidRPr="00D46989">
        <w:rPr>
          <w:spacing w:val="-1"/>
        </w:rPr>
        <w:t xml:space="preserve"> </w:t>
      </w:r>
      <w:r w:rsidR="00D46989" w:rsidRPr="00D46989">
        <w:rPr>
          <w:spacing w:val="-1"/>
        </w:rPr>
        <w:t xml:space="preserve">when </w:t>
      </w:r>
      <w:r w:rsidR="0049163F" w:rsidRPr="00D46989">
        <w:rPr>
          <w:spacing w:val="-1"/>
        </w:rPr>
        <w:t xml:space="preserve">Performance Review and Dialogue </w:t>
      </w:r>
      <w:r w:rsidRPr="00D46989">
        <w:rPr>
          <w:spacing w:val="-1"/>
        </w:rPr>
        <w:t xml:space="preserve">ceased and the placement of an </w:t>
      </w:r>
      <w:proofErr w:type="spellStart"/>
      <w:r w:rsidRPr="00D46989">
        <w:rPr>
          <w:spacing w:val="-1"/>
        </w:rPr>
        <w:t>AusAID</w:t>
      </w:r>
      <w:proofErr w:type="spellEnd"/>
      <w:r w:rsidRPr="00D46989">
        <w:rPr>
          <w:spacing w:val="-1"/>
        </w:rPr>
        <w:t xml:space="preserve"> officer in the </w:t>
      </w:r>
      <w:r w:rsidR="00AA039B" w:rsidRPr="00D46989">
        <w:rPr>
          <w:spacing w:val="-1"/>
        </w:rPr>
        <w:t xml:space="preserve">department </w:t>
      </w:r>
      <w:r w:rsidRPr="00D46989">
        <w:rPr>
          <w:spacing w:val="-1"/>
        </w:rPr>
        <w:t xml:space="preserve">was discontinued. </w:t>
      </w:r>
    </w:p>
    <w:p w:rsidR="008E18A3" w:rsidRDefault="000D7060" w:rsidP="00E5783D">
      <w:pPr>
        <w:pStyle w:val="H2A"/>
      </w:pPr>
      <w:bookmarkStart w:id="151" w:name="_Toc235526535"/>
      <w:bookmarkStart w:id="152" w:name="_Toc237763927"/>
      <w:bookmarkStart w:id="153" w:name="_Toc361224389"/>
      <w:r w:rsidRPr="000D7060">
        <w:t>Civil society</w:t>
      </w:r>
      <w:bookmarkEnd w:id="151"/>
      <w:bookmarkEnd w:id="152"/>
      <w:bookmarkEnd w:id="153"/>
    </w:p>
    <w:p w:rsidR="000D7060" w:rsidRPr="000D7060" w:rsidRDefault="000D7060" w:rsidP="00991F19">
      <w:pPr>
        <w:pStyle w:val="BodyText"/>
      </w:pPr>
      <w:r w:rsidRPr="000D7060">
        <w:t xml:space="preserve">In 2008 </w:t>
      </w:r>
      <w:smartTag w:uri="urn:schemas-microsoft-com:office:smarttags" w:element="country-region">
        <w:smartTag w:uri="urn:schemas-microsoft-com:office:smarttags" w:element="place">
          <w:r w:rsidRPr="000D7060">
            <w:t>Australia</w:t>
          </w:r>
        </w:smartTag>
      </w:smartTag>
      <w:r w:rsidRPr="000D7060">
        <w:t xml:space="preserve"> strengthened </w:t>
      </w:r>
      <w:r w:rsidR="00D46989">
        <w:t xml:space="preserve">its </w:t>
      </w:r>
      <w:r w:rsidRPr="000D7060">
        <w:t xml:space="preserve">support to civil society </w:t>
      </w:r>
      <w:r w:rsidR="00666B7B">
        <w:t>through a number of partnershi</w:t>
      </w:r>
      <w:r w:rsidRPr="000D7060">
        <w:t xml:space="preserve">p arrangements such as the </w:t>
      </w:r>
      <w:r w:rsidR="00D46989" w:rsidRPr="000D7060">
        <w:t>Church Partnership Program</w:t>
      </w:r>
      <w:r w:rsidR="00D46989">
        <w:t>,</w:t>
      </w:r>
      <w:r w:rsidR="00D46989" w:rsidRPr="000D7060">
        <w:t xml:space="preserve"> </w:t>
      </w:r>
      <w:r w:rsidRPr="000D7060">
        <w:t xml:space="preserve">which facilitated policy dialogue and learning </w:t>
      </w:r>
      <w:r w:rsidR="005A6F5A">
        <w:t>both between</w:t>
      </w:r>
      <w:r w:rsidR="005A6F5A" w:rsidRPr="000D7060">
        <w:t xml:space="preserve"> </w:t>
      </w:r>
      <w:r w:rsidRPr="000D7060">
        <w:t xml:space="preserve">churches, and </w:t>
      </w:r>
      <w:r w:rsidR="008B40E5">
        <w:t>among</w:t>
      </w:r>
      <w:r w:rsidR="008B40E5" w:rsidRPr="000D7060">
        <w:t xml:space="preserve"> </w:t>
      </w:r>
      <w:r w:rsidRPr="000D7060">
        <w:t xml:space="preserve">churches, governments and civil society. The Agriculture Innovative Grants Scheme supported creative partnerships </w:t>
      </w:r>
      <w:r w:rsidR="008B40E5">
        <w:t>among</w:t>
      </w:r>
      <w:r w:rsidR="008B40E5" w:rsidRPr="000D7060">
        <w:t xml:space="preserve"> </w:t>
      </w:r>
      <w:r w:rsidRPr="000D7060">
        <w:t xml:space="preserve">NGOs, </w:t>
      </w:r>
      <w:r w:rsidR="00D46989">
        <w:t xml:space="preserve">the </w:t>
      </w:r>
      <w:r w:rsidRPr="000D7060">
        <w:t xml:space="preserve">private sector and government. </w:t>
      </w:r>
      <w:r w:rsidR="00D46989">
        <w:t>More than</w:t>
      </w:r>
      <w:r w:rsidR="00D46989" w:rsidRPr="000D7060">
        <w:t xml:space="preserve"> </w:t>
      </w:r>
      <w:r w:rsidRPr="000D7060">
        <w:t xml:space="preserve">half of the </w:t>
      </w:r>
      <w:r w:rsidR="00D46989">
        <w:t xml:space="preserve">budget of the </w:t>
      </w:r>
      <w:r w:rsidRPr="000D7060">
        <w:t xml:space="preserve">HIV and AIDS program was allocated to NGO partners (including churches and the private sector). A number of partnership arrangements between key Australian NGOs and PNG NGOs </w:t>
      </w:r>
      <w:r w:rsidR="00D46989">
        <w:t>that work on providing services in the areas of</w:t>
      </w:r>
      <w:r w:rsidRPr="000D7060">
        <w:t xml:space="preserve"> HIV and AIDS and </w:t>
      </w:r>
      <w:r w:rsidR="00D763D3" w:rsidRPr="00541E6E">
        <w:t>sexually transmitted infection</w:t>
      </w:r>
      <w:r w:rsidR="00D763D3">
        <w:t>s</w:t>
      </w:r>
      <w:r w:rsidRPr="000D7060">
        <w:t xml:space="preserve"> were also established for capacity building.</w:t>
      </w:r>
      <w:r w:rsidRPr="00D46989">
        <w:rPr>
          <w:rStyle w:val="FootnoteReference"/>
        </w:rPr>
        <w:footnoteReference w:id="54"/>
      </w:r>
    </w:p>
    <w:p w:rsidR="008E18A3" w:rsidRDefault="000D7060" w:rsidP="00E5783D">
      <w:pPr>
        <w:pStyle w:val="H2A"/>
      </w:pPr>
      <w:bookmarkStart w:id="154" w:name="_Toc235526536"/>
      <w:bookmarkStart w:id="155" w:name="_Toc237763928"/>
      <w:bookmarkStart w:id="156" w:name="_Toc361224390"/>
      <w:r w:rsidRPr="000D7060">
        <w:lastRenderedPageBreak/>
        <w:t>Other donors</w:t>
      </w:r>
      <w:bookmarkEnd w:id="154"/>
      <w:bookmarkEnd w:id="155"/>
      <w:bookmarkEnd w:id="156"/>
    </w:p>
    <w:p w:rsidR="00AC10A1" w:rsidRDefault="000D7060" w:rsidP="00991F19">
      <w:pPr>
        <w:pStyle w:val="BodyText"/>
      </w:pPr>
      <w:r w:rsidRPr="000D7060">
        <w:t>Progress was made</w:t>
      </w:r>
      <w:r w:rsidR="00AC10A1">
        <w:t xml:space="preserve"> in</w:t>
      </w:r>
      <w:r w:rsidRPr="000D7060">
        <w:t xml:space="preserve"> </w:t>
      </w:r>
      <w:r w:rsidR="00AC10A1">
        <w:t xml:space="preserve">increasing </w:t>
      </w:r>
      <w:r w:rsidRPr="000D7060">
        <w:t xml:space="preserve">donor coordination in 2008 </w:t>
      </w:r>
      <w:r w:rsidR="00AC10A1">
        <w:t>when</w:t>
      </w:r>
      <w:r w:rsidR="00AC10A1" w:rsidRPr="000D7060">
        <w:t xml:space="preserve"> </w:t>
      </w:r>
      <w:smartTag w:uri="urn:schemas-microsoft-com:office:smarttags" w:element="place">
        <w:smartTag w:uri="urn:schemas-microsoft-com:office:smarttags" w:element="country-region">
          <w:r w:rsidRPr="000D7060">
            <w:t>Australia</w:t>
          </w:r>
        </w:smartTag>
      </w:smartTag>
      <w:r w:rsidRPr="000D7060">
        <w:t xml:space="preserve"> join</w:t>
      </w:r>
      <w:r w:rsidR="00AC10A1">
        <w:t>ed</w:t>
      </w:r>
      <w:r w:rsidRPr="000D7060">
        <w:t xml:space="preserve"> with other development partners to sign the PNG Commitment on Aid Effectiveness, </w:t>
      </w:r>
      <w:r w:rsidR="00AC10A1">
        <w:t xml:space="preserve">which </w:t>
      </w:r>
      <w:r w:rsidRPr="000D7060">
        <w:t>localis</w:t>
      </w:r>
      <w:r w:rsidR="00AC10A1">
        <w:t>es</w:t>
      </w:r>
      <w:r w:rsidRPr="000D7060">
        <w:t xml:space="preserve"> the Paris Declaration. An action plan and targets were established</w:t>
      </w:r>
      <w:r w:rsidR="00AC10A1">
        <w:t>;</w:t>
      </w:r>
      <w:r w:rsidRPr="000D7060">
        <w:t xml:space="preserve"> however</w:t>
      </w:r>
      <w:r w:rsidR="00AC10A1">
        <w:t>,</w:t>
      </w:r>
      <w:r w:rsidRPr="000D7060">
        <w:t xml:space="preserve"> mechanisms to monitor this commitment have not been </w:t>
      </w:r>
      <w:proofErr w:type="spellStart"/>
      <w:r w:rsidRPr="000D7060">
        <w:t>operationalised</w:t>
      </w:r>
      <w:proofErr w:type="spellEnd"/>
      <w:r w:rsidR="00B3282D">
        <w:t xml:space="preserve"> as yet</w:t>
      </w:r>
      <w:r w:rsidRPr="000D7060">
        <w:t xml:space="preserve">. </w:t>
      </w:r>
    </w:p>
    <w:p w:rsidR="000D7060" w:rsidRDefault="000D7060" w:rsidP="00991F19">
      <w:pPr>
        <w:pStyle w:val="BodyText"/>
      </w:pPr>
      <w:r w:rsidRPr="000D7060">
        <w:t xml:space="preserve">Supporting </w:t>
      </w:r>
      <w:r w:rsidR="007B2AB8">
        <w:t>the PNG Government</w:t>
      </w:r>
      <w:r w:rsidRPr="000D7060">
        <w:t xml:space="preserve">’s own programs is the preferred avenue to donor coordination. </w:t>
      </w:r>
      <w:proofErr w:type="spellStart"/>
      <w:r w:rsidRPr="000D7060">
        <w:t>AusAID</w:t>
      </w:r>
      <w:proofErr w:type="spellEnd"/>
      <w:r w:rsidRPr="000D7060">
        <w:t xml:space="preserve"> participates in program</w:t>
      </w:r>
      <w:r w:rsidR="00AC10A1">
        <w:t>-</w:t>
      </w:r>
      <w:r w:rsidRPr="000D7060">
        <w:t xml:space="preserve">based approaches </w:t>
      </w:r>
      <w:r w:rsidR="00AC10A1">
        <w:t>in</w:t>
      </w:r>
      <w:r w:rsidR="00AC10A1" w:rsidRPr="000D7060">
        <w:t xml:space="preserve"> </w:t>
      </w:r>
      <w:r w:rsidRPr="000D7060">
        <w:t>a number of sectors (health, law and justice, transport and</w:t>
      </w:r>
      <w:r w:rsidR="00AC10A1">
        <w:t>,</w:t>
      </w:r>
      <w:r w:rsidRPr="000D7060">
        <w:t xml:space="preserve"> soon</w:t>
      </w:r>
      <w:r w:rsidR="00AC10A1">
        <w:t>,</w:t>
      </w:r>
      <w:r w:rsidRPr="000D7060">
        <w:t xml:space="preserve"> education) where increasing collaboration with development partners is supporting stronger policy dialogues with </w:t>
      </w:r>
      <w:r w:rsidR="00AC10A1">
        <w:t xml:space="preserve">the </w:t>
      </w:r>
      <w:r w:rsidR="007B2AB8">
        <w:t>PNG Government</w:t>
      </w:r>
      <w:r w:rsidRPr="000D7060">
        <w:t xml:space="preserve"> on critical issues. In sectors where </w:t>
      </w:r>
      <w:r w:rsidR="00886C6D">
        <w:t>sector-wide approach</w:t>
      </w:r>
      <w:r w:rsidR="00C07049">
        <w:t>e</w:t>
      </w:r>
      <w:r w:rsidRPr="000D7060">
        <w:t>s do not exist</w:t>
      </w:r>
      <w:r w:rsidR="00AC10A1">
        <w:t>,</w:t>
      </w:r>
      <w:r w:rsidRPr="000D7060">
        <w:t xml:space="preserve"> such as in the economic and public service sector, </w:t>
      </w:r>
      <w:smartTag w:uri="urn:schemas-microsoft-com:office:smarttags" w:element="place">
        <w:smartTag w:uri="urn:schemas-microsoft-com:office:smarttags" w:element="country-region">
          <w:r w:rsidRPr="000D7060">
            <w:t>Australia</w:t>
          </w:r>
        </w:smartTag>
      </w:smartTag>
      <w:r w:rsidRPr="000D7060">
        <w:t xml:space="preserve"> is working closely wit</w:t>
      </w:r>
      <w:r w:rsidR="007B2AB8">
        <w:t xml:space="preserve">h </w:t>
      </w:r>
      <w:r w:rsidR="00C07049">
        <w:t>the Asian Development Bank</w:t>
      </w:r>
      <w:r w:rsidR="007B2AB8">
        <w:t xml:space="preserve">, </w:t>
      </w:r>
      <w:r w:rsidR="00C07049">
        <w:t>the World Bank</w:t>
      </w:r>
      <w:r w:rsidR="007B2AB8">
        <w:t xml:space="preserve"> and </w:t>
      </w:r>
      <w:r w:rsidR="00C07049">
        <w:t>the United Nations Development Programme</w:t>
      </w:r>
      <w:r w:rsidR="007B2AB8">
        <w:t xml:space="preserve"> to support </w:t>
      </w:r>
      <w:r w:rsidRPr="000D7060">
        <w:t>PNG</w:t>
      </w:r>
      <w:r w:rsidR="007B2AB8">
        <w:t xml:space="preserve"> government</w:t>
      </w:r>
      <w:r w:rsidRPr="000D7060">
        <w:t xml:space="preserve"> reforms such as PERR and </w:t>
      </w:r>
      <w:r w:rsidR="00AC10A1">
        <w:t xml:space="preserve">the </w:t>
      </w:r>
      <w:r w:rsidRPr="000D7060">
        <w:t>Financial Management Improvement Program.</w:t>
      </w:r>
      <w:r w:rsidR="006F7C08">
        <w:t xml:space="preserve"> </w:t>
      </w:r>
      <w:r w:rsidRPr="000D7060">
        <w:t xml:space="preserve">At the </w:t>
      </w:r>
      <w:r w:rsidR="007F26AF">
        <w:t>sub</w:t>
      </w:r>
      <w:r w:rsidRPr="000D7060">
        <w:t xml:space="preserve">national level, </w:t>
      </w:r>
      <w:proofErr w:type="spellStart"/>
      <w:r w:rsidRPr="000D7060">
        <w:t>AusAID</w:t>
      </w:r>
      <w:proofErr w:type="spellEnd"/>
      <w:r w:rsidRPr="000D7060">
        <w:t xml:space="preserve"> has taken the lead in supporting donor coordination. A regular roundtable has commenced</w:t>
      </w:r>
      <w:r w:rsidR="00AC10A1">
        <w:t>,</w:t>
      </w:r>
      <w:r w:rsidRPr="000D7060">
        <w:t xml:space="preserve"> where representatives from the </w:t>
      </w:r>
      <w:r w:rsidR="00C07049">
        <w:t>European Union</w:t>
      </w:r>
      <w:r w:rsidRPr="000D7060">
        <w:t xml:space="preserve">, NZAID, </w:t>
      </w:r>
      <w:r w:rsidR="00C07049">
        <w:t>the World Bank</w:t>
      </w:r>
      <w:r w:rsidRPr="000D7060">
        <w:t xml:space="preserve"> and </w:t>
      </w:r>
      <w:r w:rsidR="00C07049">
        <w:t>the Asian Development Bank</w:t>
      </w:r>
      <w:r w:rsidR="00C07049" w:rsidRPr="000D7060">
        <w:t xml:space="preserve"> </w:t>
      </w:r>
      <w:r w:rsidRPr="000D7060">
        <w:t>discuss opportunities for collaboration.</w:t>
      </w:r>
    </w:p>
    <w:p w:rsidR="008E18A3" w:rsidRPr="008E18A3" w:rsidRDefault="008E18A3" w:rsidP="00E5783D">
      <w:pPr>
        <w:pStyle w:val="H2A"/>
      </w:pPr>
      <w:bookmarkStart w:id="157" w:name="_Toc235526537"/>
      <w:bookmarkStart w:id="158" w:name="_Toc237763929"/>
      <w:bookmarkStart w:id="159" w:name="_Toc361224391"/>
      <w:r w:rsidRPr="008E18A3">
        <w:t>Whole-of-government coherence</w:t>
      </w:r>
      <w:bookmarkEnd w:id="157"/>
      <w:bookmarkEnd w:id="158"/>
      <w:bookmarkEnd w:id="159"/>
    </w:p>
    <w:p w:rsidR="00AD203E" w:rsidRDefault="000D7060" w:rsidP="00991F19">
      <w:pPr>
        <w:pStyle w:val="BodyText"/>
      </w:pPr>
      <w:r w:rsidRPr="000D7060">
        <w:t xml:space="preserve">The aid program invested extensively in </w:t>
      </w:r>
      <w:r w:rsidRPr="00AC10A1">
        <w:t>whole</w:t>
      </w:r>
      <w:r w:rsidR="00AC10A1">
        <w:t>-</w:t>
      </w:r>
      <w:r w:rsidRPr="00AC10A1">
        <w:t>of</w:t>
      </w:r>
      <w:r w:rsidR="00AC10A1">
        <w:t>-</w:t>
      </w:r>
      <w:r w:rsidRPr="00AC10A1">
        <w:t>government coherence</w:t>
      </w:r>
      <w:r w:rsidRPr="000D7060">
        <w:t xml:space="preserve"> in 2008, resulting in much improved relationships with Australian partner agencies working in PNG. </w:t>
      </w:r>
      <w:r w:rsidR="00AC10A1">
        <w:t>The framework for t</w:t>
      </w:r>
      <w:r w:rsidRPr="000D7060">
        <w:t xml:space="preserve">he </w:t>
      </w:r>
      <w:proofErr w:type="spellStart"/>
      <w:r w:rsidRPr="000D7060">
        <w:t>Strongim</w:t>
      </w:r>
      <w:proofErr w:type="spellEnd"/>
      <w:r w:rsidRPr="000D7060">
        <w:t xml:space="preserve"> </w:t>
      </w:r>
      <w:proofErr w:type="spellStart"/>
      <w:r w:rsidRPr="000D7060">
        <w:t>Gavman</w:t>
      </w:r>
      <w:proofErr w:type="spellEnd"/>
      <w:r w:rsidRPr="000D7060">
        <w:t xml:space="preserve"> Program </w:t>
      </w:r>
      <w:r w:rsidR="00AC10A1">
        <w:t>was</w:t>
      </w:r>
      <w:r w:rsidRPr="000D7060">
        <w:t xml:space="preserve"> developed </w:t>
      </w:r>
      <w:r w:rsidR="00AC10A1">
        <w:t>in</w:t>
      </w:r>
      <w:r w:rsidR="00AC10A1" w:rsidRPr="000D7060">
        <w:t xml:space="preserve"> </w:t>
      </w:r>
      <w:r w:rsidRPr="000D7060">
        <w:t>close cooperation and consultation between Australian agencies and stakeholders in PNG</w:t>
      </w:r>
      <w:r w:rsidR="00AC1FCE">
        <w:t>,</w:t>
      </w:r>
      <w:r w:rsidRPr="000D7060">
        <w:t xml:space="preserve"> with a view to ensuring greater focus on capacity building, greater integration with </w:t>
      </w:r>
      <w:proofErr w:type="spellStart"/>
      <w:r w:rsidRPr="000D7060">
        <w:t>AusAID’s</w:t>
      </w:r>
      <w:proofErr w:type="spellEnd"/>
      <w:r w:rsidRPr="000D7060">
        <w:t xml:space="preserve"> sector</w:t>
      </w:r>
      <w:r w:rsidR="00AC1FCE">
        <w:t>al</w:t>
      </w:r>
      <w:r w:rsidRPr="000D7060">
        <w:t xml:space="preserve"> programs</w:t>
      </w:r>
      <w:r w:rsidR="00AC1FCE">
        <w:t>,</w:t>
      </w:r>
      <w:r w:rsidRPr="000D7060">
        <w:t xml:space="preserve"> and PNG’s partnership in the program. </w:t>
      </w:r>
      <w:proofErr w:type="spellStart"/>
      <w:r w:rsidRPr="000D7060">
        <w:t>AusAID</w:t>
      </w:r>
      <w:proofErr w:type="spellEnd"/>
      <w:r w:rsidRPr="000D7060">
        <w:t xml:space="preserve"> hosted seminars and roundtable discussions on monitoring and evaluation and the aid effectiveness agenda for agencies involved in the Economic and Public Sector Twinning Initiative, </w:t>
      </w:r>
      <w:r w:rsidR="00AC1FCE">
        <w:t xml:space="preserve">which </w:t>
      </w:r>
      <w:r w:rsidRPr="000D7060">
        <w:t>allow</w:t>
      </w:r>
      <w:r w:rsidR="00AC1FCE">
        <w:t>ed</w:t>
      </w:r>
      <w:r w:rsidRPr="000D7060">
        <w:t xml:space="preserve"> discussion of evolving aid policy and assist</w:t>
      </w:r>
      <w:r w:rsidR="00AC1FCE">
        <w:t>ed</w:t>
      </w:r>
      <w:r w:rsidRPr="000D7060">
        <w:t xml:space="preserve"> agencies in implementing programs. </w:t>
      </w:r>
    </w:p>
    <w:p w:rsidR="009B5487" w:rsidRDefault="000D7060" w:rsidP="00991F19">
      <w:pPr>
        <w:pStyle w:val="BodyText"/>
      </w:pPr>
      <w:r w:rsidRPr="000D7060">
        <w:t xml:space="preserve">New partnerships with the Australian Public Service Commission and Government Skills Australia are being developed to support the activities of the PNG Public Sector Workforce Development Program, and a partnership with the </w:t>
      </w:r>
      <w:r w:rsidR="00AD203E" w:rsidRPr="000D7060">
        <w:t xml:space="preserve">Commonwealth </w:t>
      </w:r>
      <w:r w:rsidRPr="000D7060">
        <w:t xml:space="preserve">Ombudsman </w:t>
      </w:r>
      <w:r w:rsidR="00AD203E">
        <w:t>was</w:t>
      </w:r>
      <w:r w:rsidRPr="000D7060">
        <w:t xml:space="preserve"> renewed for assistance to the PNG Ombudsman</w:t>
      </w:r>
      <w:r w:rsidR="00AD203E" w:rsidRPr="00AD203E">
        <w:t xml:space="preserve"> </w:t>
      </w:r>
      <w:r w:rsidR="00AD203E" w:rsidRPr="000D7060">
        <w:t>Commission</w:t>
      </w:r>
      <w:r w:rsidRPr="000D7060">
        <w:t xml:space="preserve">. The </w:t>
      </w:r>
      <w:r w:rsidR="00AD203E">
        <w:t xml:space="preserve">recent peer </w:t>
      </w:r>
      <w:r w:rsidRPr="000D7060">
        <w:t>review</w:t>
      </w:r>
      <w:r w:rsidR="006F7C08">
        <w:t xml:space="preserve"> </w:t>
      </w:r>
      <w:r w:rsidR="00666B7B">
        <w:t xml:space="preserve">of </w:t>
      </w:r>
      <w:r w:rsidR="00AD203E" w:rsidRPr="004A4C27">
        <w:t xml:space="preserve">the aid program by </w:t>
      </w:r>
      <w:r w:rsidR="00666B7B">
        <w:t>the Development Assistance Committee</w:t>
      </w:r>
      <w:r w:rsidR="00666B7B" w:rsidRPr="000D7060">
        <w:t xml:space="preserve"> </w:t>
      </w:r>
      <w:r w:rsidR="00AD203E" w:rsidRPr="004A4C27">
        <w:t xml:space="preserve">of the OECD </w:t>
      </w:r>
      <w:r w:rsidRPr="000D7060">
        <w:t>noted</w:t>
      </w:r>
      <w:r w:rsidR="009B5487">
        <w:t>:</w:t>
      </w:r>
      <w:r w:rsidRPr="000D7060">
        <w:t xml:space="preserve"> </w:t>
      </w:r>
    </w:p>
    <w:p w:rsidR="000D7060" w:rsidRPr="000D7060" w:rsidRDefault="008B40E5" w:rsidP="00991F19">
      <w:pPr>
        <w:pStyle w:val="Quote"/>
      </w:pPr>
      <w:r>
        <w:t xml:space="preserve">… </w:t>
      </w:r>
      <w:r w:rsidR="000D7060" w:rsidRPr="000D7060">
        <w:t>the whole of government approach has proved effective in making use of the wide range of expertise available throughout the government to develop more comprehensive and effective responses to the significan</w:t>
      </w:r>
      <w:r w:rsidR="00666B7B">
        <w:t>t development challenges in PNG.</w:t>
      </w:r>
      <w:r w:rsidR="000D7060" w:rsidRPr="009B5487">
        <w:rPr>
          <w:rStyle w:val="FootnoteReference"/>
        </w:rPr>
        <w:footnoteReference w:id="55"/>
      </w:r>
    </w:p>
    <w:p w:rsidR="00644ADE" w:rsidRPr="009B5487" w:rsidRDefault="00644ADE" w:rsidP="00E5783D">
      <w:pPr>
        <w:pStyle w:val="H1A"/>
        <w:spacing w:after="2280"/>
      </w:pPr>
      <w:bookmarkStart w:id="160" w:name="_Toc237763930"/>
      <w:r w:rsidRPr="009B5487">
        <w:lastRenderedPageBreak/>
        <w:t>Enabling theme 4: Gender equality</w:t>
      </w:r>
      <w:r w:rsidR="005C25C3">
        <w:rPr>
          <w:lang w:val="en-US" w:eastAsia="en-US"/>
        </w:rPr>
        <w:drawing>
          <wp:anchor distT="0" distB="0" distL="114300" distR="114300" simplePos="0" relativeHeight="251663872" behindDoc="1" locked="0" layoutInCell="1" allowOverlap="1" wp14:anchorId="3056FA64" wp14:editId="13D0AC84">
            <wp:simplePos x="0" y="0"/>
            <wp:positionH relativeFrom="page">
              <wp:posOffset>0</wp:posOffset>
            </wp:positionH>
            <wp:positionV relativeFrom="page">
              <wp:posOffset>1386205</wp:posOffset>
            </wp:positionV>
            <wp:extent cx="7560310" cy="1585595"/>
            <wp:effectExtent l="0" t="0" r="2540" b="0"/>
            <wp:wrapNone/>
            <wp:docPr id="1296" name="Picture 1296"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0"/>
    </w:p>
    <w:p w:rsidR="000D7060" w:rsidRPr="000D7060" w:rsidRDefault="000D7060" w:rsidP="00991F19">
      <w:pPr>
        <w:pStyle w:val="BodyText"/>
      </w:pPr>
      <w:r w:rsidRPr="000D7060">
        <w:t xml:space="preserve">Efforts to scale up </w:t>
      </w:r>
      <w:r w:rsidR="00755116">
        <w:t xml:space="preserve">action on </w:t>
      </w:r>
      <w:r w:rsidRPr="000D7060">
        <w:t xml:space="preserve">gender equality in the </w:t>
      </w:r>
      <w:r w:rsidR="00755116">
        <w:t xml:space="preserve">Australian </w:t>
      </w:r>
      <w:r w:rsidRPr="000D7060">
        <w:t xml:space="preserve">aid program continued in 2008 with the recruitment of a gender adviser. This </w:t>
      </w:r>
      <w:r w:rsidR="00755116">
        <w:t>led to gender issues gaining greater</w:t>
      </w:r>
      <w:r w:rsidRPr="000D7060">
        <w:t xml:space="preserve"> priorit</w:t>
      </w:r>
      <w:r w:rsidR="00755116">
        <w:t>y</w:t>
      </w:r>
      <w:r w:rsidRPr="000D7060">
        <w:t xml:space="preserve"> in the PNG program and </w:t>
      </w:r>
      <w:r w:rsidR="00755116">
        <w:t xml:space="preserve">to </w:t>
      </w:r>
      <w:r w:rsidRPr="000D7060">
        <w:t xml:space="preserve">increasing coherence on gender equality considerations. </w:t>
      </w:r>
      <w:r w:rsidR="00755116">
        <w:t>These considerations</w:t>
      </w:r>
      <w:r w:rsidRPr="000D7060">
        <w:t xml:space="preserve"> </w:t>
      </w:r>
      <w:r w:rsidR="00755116">
        <w:t xml:space="preserve">were also increasingly incorporated </w:t>
      </w:r>
      <w:r w:rsidRPr="000D7060">
        <w:t>in</w:t>
      </w:r>
      <w:r w:rsidR="00755116">
        <w:t>to</w:t>
      </w:r>
      <w:r w:rsidRPr="000D7060">
        <w:t xml:space="preserve"> policies, planning documents and designs within the program and externally. A stocktake of </w:t>
      </w:r>
      <w:r w:rsidR="00755116">
        <w:t xml:space="preserve">gender mainstreaming in </w:t>
      </w:r>
      <w:r w:rsidRPr="000D7060">
        <w:t>the aid program was undertaken and contributed to a draft framework</w:t>
      </w:r>
      <w:r w:rsidR="005C16AF">
        <w:t xml:space="preserve"> for integrating gender considerations</w:t>
      </w:r>
      <w:r w:rsidRPr="000D7060">
        <w:t>. The framework addresses gender equality against key areas of the PNG Commitment on Aid Effectiveness and will include the outcomes from the PNG national consultations</w:t>
      </w:r>
      <w:r w:rsidR="005C16AF">
        <w:t xml:space="preserve"> on </w:t>
      </w:r>
      <w:r w:rsidR="005C16AF" w:rsidRPr="000D7060">
        <w:t>gender policy</w:t>
      </w:r>
      <w:r w:rsidRPr="000D7060">
        <w:t>.</w:t>
      </w:r>
    </w:p>
    <w:p w:rsidR="000D7060" w:rsidRPr="000D7060" w:rsidRDefault="000D7060" w:rsidP="00991F19">
      <w:pPr>
        <w:pStyle w:val="BodyText"/>
      </w:pPr>
      <w:r w:rsidRPr="000D7060">
        <w:t xml:space="preserve">Significant progress was made in the development of PNG gender policies </w:t>
      </w:r>
      <w:r w:rsidR="005C16AF">
        <w:t>as a result of Australian</w:t>
      </w:r>
      <w:r w:rsidR="005C16AF" w:rsidRPr="000D7060">
        <w:t xml:space="preserve"> </w:t>
      </w:r>
      <w:r w:rsidRPr="000D7060">
        <w:t>support</w:t>
      </w:r>
      <w:r w:rsidR="005C16AF">
        <w:t>.</w:t>
      </w:r>
    </w:p>
    <w:p w:rsidR="000D7060" w:rsidRPr="000D7060" w:rsidRDefault="005C16AF" w:rsidP="00991F19">
      <w:pPr>
        <w:pStyle w:val="ListBullet"/>
      </w:pPr>
      <w:r w:rsidRPr="000D7060">
        <w:t xml:space="preserve">The </w:t>
      </w:r>
      <w:r w:rsidR="000D7060" w:rsidRPr="000D7060">
        <w:t>Department of Community Development conduct</w:t>
      </w:r>
      <w:r>
        <w:t>ed</w:t>
      </w:r>
      <w:r w:rsidR="000D7060" w:rsidRPr="000D7060">
        <w:t xml:space="preserve"> national gender policy consultations. It is envisaged the consultations will lead to a new</w:t>
      </w:r>
      <w:r w:rsidR="008B40E5">
        <w:t xml:space="preserve"> PNG</w:t>
      </w:r>
      <w:r w:rsidR="000D7060" w:rsidRPr="000D7060">
        <w:t xml:space="preserve"> gender policy and possibly a Gender Equality Bill.</w:t>
      </w:r>
      <w:r w:rsidR="006F7C08">
        <w:t xml:space="preserve"> </w:t>
      </w:r>
    </w:p>
    <w:p w:rsidR="000D7060" w:rsidRPr="000D7060" w:rsidRDefault="005C16AF" w:rsidP="00991F19">
      <w:pPr>
        <w:pStyle w:val="ListBullet"/>
      </w:pPr>
      <w:r w:rsidRPr="000D7060">
        <w:t xml:space="preserve">The </w:t>
      </w:r>
      <w:r w:rsidR="000D7060" w:rsidRPr="000D7060">
        <w:t>review of the Family and Sexual Violence Action Committee Strategy result</w:t>
      </w:r>
      <w:r>
        <w:t>ed</w:t>
      </w:r>
      <w:r w:rsidR="000D7060" w:rsidRPr="000D7060">
        <w:t xml:space="preserve"> in work on a revised strategy</w:t>
      </w:r>
      <w:r w:rsidR="008B40E5">
        <w:t>, which will</w:t>
      </w:r>
      <w:r w:rsidR="000D7060" w:rsidRPr="000D7060">
        <w:t xml:space="preserve"> be finalised in 2009.</w:t>
      </w:r>
    </w:p>
    <w:p w:rsidR="000D7060" w:rsidRPr="000D7060" w:rsidRDefault="005C16AF" w:rsidP="00991F19">
      <w:pPr>
        <w:pStyle w:val="ListBullet"/>
      </w:pPr>
      <w:r w:rsidRPr="000D7060">
        <w:t xml:space="preserve">The </w:t>
      </w:r>
      <w:r w:rsidR="000D7060" w:rsidRPr="000D7060">
        <w:t xml:space="preserve">National Gender Policy and Plan on HIV and AIDS </w:t>
      </w:r>
      <w:r>
        <w:t xml:space="preserve">was developed. It </w:t>
      </w:r>
      <w:r w:rsidR="000D7060" w:rsidRPr="000D7060">
        <w:t xml:space="preserve">provides guidelines on integrating gender </w:t>
      </w:r>
      <w:r>
        <w:t xml:space="preserve">considerations </w:t>
      </w:r>
      <w:r w:rsidR="000D7060" w:rsidRPr="000D7060">
        <w:t>into the National Strategic Plan on HIV and AIDS.</w:t>
      </w:r>
    </w:p>
    <w:p w:rsidR="000D7060" w:rsidRPr="000D7060" w:rsidRDefault="005C16AF" w:rsidP="00991F19">
      <w:pPr>
        <w:pStyle w:val="ListBullet"/>
      </w:pPr>
      <w:r>
        <w:t>A</w:t>
      </w:r>
      <w:r w:rsidR="000D7060" w:rsidRPr="000D7060">
        <w:t xml:space="preserve"> gender strategy for the transport sector</w:t>
      </w:r>
      <w:r>
        <w:t xml:space="preserve"> was developed</w:t>
      </w:r>
      <w:r w:rsidR="000D7060" w:rsidRPr="000D7060">
        <w:t>.</w:t>
      </w:r>
    </w:p>
    <w:p w:rsidR="000D7060" w:rsidRPr="000D7060" w:rsidRDefault="000D7060" w:rsidP="00991F19">
      <w:pPr>
        <w:pStyle w:val="BodyText"/>
      </w:pPr>
      <w:r w:rsidRPr="000D7060">
        <w:t xml:space="preserve">Strengthening policy discussions on gender </w:t>
      </w:r>
      <w:r w:rsidR="005C16AF">
        <w:t xml:space="preserve">issues </w:t>
      </w:r>
      <w:r w:rsidRPr="000D7060">
        <w:t xml:space="preserve">will be important </w:t>
      </w:r>
      <w:r w:rsidR="005C16AF">
        <w:t>to</w:t>
      </w:r>
      <w:r w:rsidR="005C16AF" w:rsidRPr="000D7060">
        <w:t xml:space="preserve"> </w:t>
      </w:r>
      <w:r w:rsidR="00B3282D" w:rsidRPr="000D7060">
        <w:t>encourag</w:t>
      </w:r>
      <w:r w:rsidR="00B3282D">
        <w:t>e</w:t>
      </w:r>
      <w:r w:rsidR="00B3282D" w:rsidRPr="000D7060">
        <w:t xml:space="preserve"> </w:t>
      </w:r>
      <w:r w:rsidR="005C16AF">
        <w:t xml:space="preserve">the PNG Government </w:t>
      </w:r>
      <w:r w:rsidRPr="000D7060">
        <w:t>to implement and monitor</w:t>
      </w:r>
      <w:r w:rsidR="005C16AF" w:rsidRPr="005C16AF">
        <w:t xml:space="preserve"> </w:t>
      </w:r>
      <w:r w:rsidR="005C16AF">
        <w:t>gender</w:t>
      </w:r>
      <w:r w:rsidR="005C16AF" w:rsidRPr="000D7060">
        <w:t xml:space="preserve"> policie</w:t>
      </w:r>
      <w:r w:rsidR="005C16AF">
        <w:t>s</w:t>
      </w:r>
      <w:r w:rsidRPr="000D7060">
        <w:t xml:space="preserve">. </w:t>
      </w:r>
    </w:p>
    <w:p w:rsidR="000D7060" w:rsidRPr="000D7060" w:rsidRDefault="000D7060" w:rsidP="00991F19">
      <w:pPr>
        <w:pStyle w:val="BodyText"/>
      </w:pPr>
      <w:r w:rsidRPr="000D7060">
        <w:t>Other achievements</w:t>
      </w:r>
      <w:r w:rsidR="005C16AF">
        <w:t xml:space="preserve"> in 2008</w:t>
      </w:r>
      <w:r w:rsidRPr="000D7060">
        <w:t xml:space="preserve"> </w:t>
      </w:r>
      <w:r w:rsidR="005C16AF">
        <w:t xml:space="preserve">involving Australian support </w:t>
      </w:r>
      <w:r w:rsidRPr="000D7060">
        <w:t>include</w:t>
      </w:r>
      <w:r w:rsidR="005C16AF">
        <w:t>d</w:t>
      </w:r>
      <w:r w:rsidRPr="000D7060">
        <w:t>:</w:t>
      </w:r>
      <w:r w:rsidR="006F7C08">
        <w:t xml:space="preserve"> </w:t>
      </w:r>
    </w:p>
    <w:p w:rsidR="000D7060" w:rsidRPr="000D7060" w:rsidRDefault="000D7060" w:rsidP="00991F19">
      <w:pPr>
        <w:pStyle w:val="ListBullet"/>
      </w:pPr>
      <w:r w:rsidRPr="000D7060">
        <w:rPr>
          <w:b/>
        </w:rPr>
        <w:t>Sup</w:t>
      </w:r>
      <w:r w:rsidR="00AA039B">
        <w:rPr>
          <w:b/>
        </w:rPr>
        <w:t>porting the PNG Government’s collection of sex-</w:t>
      </w:r>
      <w:r w:rsidRPr="000D7060">
        <w:rPr>
          <w:b/>
        </w:rPr>
        <w:t>disaggregated data in the health sector</w:t>
      </w:r>
      <w:r w:rsidRPr="000D7060">
        <w:t xml:space="preserve"> (including HIV) and </w:t>
      </w:r>
      <w:r w:rsidR="005C16AF">
        <w:t>using</w:t>
      </w:r>
      <w:r w:rsidR="005C16AF" w:rsidRPr="000D7060">
        <w:t xml:space="preserve"> </w:t>
      </w:r>
      <w:r w:rsidRPr="000D7060">
        <w:t>th</w:t>
      </w:r>
      <w:r w:rsidR="005C16AF">
        <w:t>e results</w:t>
      </w:r>
      <w:r w:rsidRPr="000D7060">
        <w:t xml:space="preserve"> in the planning of the Household Income and Expenditure Survey</w:t>
      </w:r>
      <w:r w:rsidR="005C16AF">
        <w:t>,</w:t>
      </w:r>
      <w:r w:rsidRPr="000D7060">
        <w:t xml:space="preserve"> </w:t>
      </w:r>
      <w:r w:rsidR="005C16AF">
        <w:t xml:space="preserve">which </w:t>
      </w:r>
      <w:r w:rsidRPr="000D7060">
        <w:t>will produce data in 2010. The use of sex</w:t>
      </w:r>
      <w:r w:rsidR="005C16AF">
        <w:t>-</w:t>
      </w:r>
      <w:r w:rsidRPr="000D7060">
        <w:t xml:space="preserve">disaggregated data to inform policy formulation is central to the statistics schedule </w:t>
      </w:r>
      <w:r w:rsidR="005C16AF">
        <w:t>of</w:t>
      </w:r>
      <w:r w:rsidR="005C16AF" w:rsidRPr="000D7060">
        <w:t xml:space="preserve"> </w:t>
      </w:r>
      <w:r w:rsidRPr="000D7060">
        <w:t>the Partnership</w:t>
      </w:r>
      <w:r w:rsidR="005C16AF">
        <w:t xml:space="preserve"> for Development</w:t>
      </w:r>
      <w:r w:rsidRPr="000D7060">
        <w:t>.</w:t>
      </w:r>
    </w:p>
    <w:p w:rsidR="000D7060" w:rsidRPr="00AA039B" w:rsidRDefault="000D7060" w:rsidP="00991F19">
      <w:pPr>
        <w:pStyle w:val="ListBullet"/>
      </w:pPr>
      <w:r w:rsidRPr="000D7060">
        <w:rPr>
          <w:b/>
        </w:rPr>
        <w:t>Strengthening gender equality throughout all law and justice agencies</w:t>
      </w:r>
      <w:r w:rsidRPr="000D7060">
        <w:t xml:space="preserve"> and address</w:t>
      </w:r>
      <w:r w:rsidR="008D3EF4">
        <w:t>ing</w:t>
      </w:r>
      <w:r w:rsidRPr="000D7060">
        <w:t xml:space="preserve"> gender-based violence by mainstreaming gender in all work plans and reports. In 2008 emphasis was given to improving police response to violence against women and girls through frontline policing </w:t>
      </w:r>
      <w:r w:rsidRPr="00AA039B">
        <w:t xml:space="preserve">activity. </w:t>
      </w:r>
    </w:p>
    <w:p w:rsidR="000D7060" w:rsidRPr="00755116" w:rsidRDefault="000D7060" w:rsidP="00991F19">
      <w:pPr>
        <w:pStyle w:val="ListBullet"/>
      </w:pPr>
      <w:r w:rsidRPr="000D7060">
        <w:rPr>
          <w:b/>
        </w:rPr>
        <w:t>Increasing gender awareness through the Church Partnership Program</w:t>
      </w:r>
      <w:r w:rsidRPr="000D7060">
        <w:t xml:space="preserve"> by supporting a church gender audit, anti-violence programs, a school retention program for girls</w:t>
      </w:r>
      <w:r w:rsidR="008D3EF4">
        <w:t>,</w:t>
      </w:r>
      <w:r w:rsidRPr="000D7060">
        <w:t xml:space="preserve"> and drama programs that address gender </w:t>
      </w:r>
      <w:r w:rsidRPr="00755116">
        <w:t>issues.</w:t>
      </w:r>
    </w:p>
    <w:p w:rsidR="000D7060" w:rsidRPr="008B635B" w:rsidRDefault="000D7060" w:rsidP="00991F19">
      <w:pPr>
        <w:pStyle w:val="ListBullet"/>
      </w:pPr>
      <w:r w:rsidRPr="000D7060">
        <w:rPr>
          <w:b/>
        </w:rPr>
        <w:lastRenderedPageBreak/>
        <w:t xml:space="preserve">Increasing the focus on gender </w:t>
      </w:r>
      <w:r w:rsidR="008D3EF4">
        <w:rPr>
          <w:b/>
        </w:rPr>
        <w:t xml:space="preserve">equality </w:t>
      </w:r>
      <w:r w:rsidRPr="000D7060">
        <w:rPr>
          <w:b/>
        </w:rPr>
        <w:t xml:space="preserve">at the </w:t>
      </w:r>
      <w:r w:rsidR="007F26AF">
        <w:rPr>
          <w:b/>
        </w:rPr>
        <w:t>sub</w:t>
      </w:r>
      <w:r w:rsidRPr="000D7060">
        <w:rPr>
          <w:b/>
        </w:rPr>
        <w:t>national level</w:t>
      </w:r>
      <w:r w:rsidR="008D3EF4">
        <w:rPr>
          <w:b/>
        </w:rPr>
        <w:t>s</w:t>
      </w:r>
      <w:r w:rsidRPr="000D7060">
        <w:t xml:space="preserve"> </w:t>
      </w:r>
      <w:r w:rsidR="008D3EF4">
        <w:t>by</w:t>
      </w:r>
      <w:r w:rsidRPr="000D7060">
        <w:t xml:space="preserve"> appoint</w:t>
      </w:r>
      <w:r w:rsidR="008D3EF4">
        <w:t>ing</w:t>
      </w:r>
      <w:r w:rsidRPr="000D7060">
        <w:t xml:space="preserve"> a full</w:t>
      </w:r>
      <w:r w:rsidR="008D3EF4">
        <w:t>-</w:t>
      </w:r>
      <w:r w:rsidRPr="000D7060">
        <w:t>time gender adviser and deliver</w:t>
      </w:r>
      <w:r w:rsidR="008D3EF4">
        <w:t>ing</w:t>
      </w:r>
      <w:r w:rsidRPr="000D7060">
        <w:t xml:space="preserve"> training </w:t>
      </w:r>
      <w:r w:rsidR="008D3EF4">
        <w:t xml:space="preserve">on gender issues </w:t>
      </w:r>
      <w:r w:rsidRPr="000D7060">
        <w:t xml:space="preserve">at the national level and in three </w:t>
      </w:r>
      <w:r w:rsidR="008D3EF4" w:rsidRPr="000D7060">
        <w:t>provincial administrations</w:t>
      </w:r>
      <w:r w:rsidRPr="000D7060">
        <w:t xml:space="preserve">. The Sub-National Strategy </w:t>
      </w:r>
      <w:r w:rsidR="008D3EF4">
        <w:t xml:space="preserve">provided </w:t>
      </w:r>
      <w:r w:rsidRPr="000D7060">
        <w:t>support</w:t>
      </w:r>
      <w:r w:rsidR="008D3EF4">
        <w:t xml:space="preserve"> to</w:t>
      </w:r>
      <w:r w:rsidRPr="000D7060">
        <w:t xml:space="preserve"> </w:t>
      </w:r>
      <w:smartTag w:uri="urn:schemas-microsoft-com:office:smarttags" w:element="place">
        <w:r w:rsidRPr="000D7060">
          <w:t>East New Britain</w:t>
        </w:r>
      </w:smartTag>
      <w:r w:rsidRPr="000D7060">
        <w:t xml:space="preserve"> to develop a gender strategy</w:t>
      </w:r>
      <w:r w:rsidR="008D3EF4">
        <w:t>,</w:t>
      </w:r>
      <w:r w:rsidRPr="000D7060">
        <w:t xml:space="preserve"> which entrenches gender </w:t>
      </w:r>
      <w:r w:rsidR="008D3EF4">
        <w:t>equality</w:t>
      </w:r>
      <w:r w:rsidR="008D3EF4" w:rsidRPr="000D7060">
        <w:t xml:space="preserve"> </w:t>
      </w:r>
      <w:r w:rsidRPr="000D7060">
        <w:t xml:space="preserve">in the administration’s operations </w:t>
      </w:r>
      <w:r w:rsidR="008D3EF4">
        <w:t xml:space="preserve">by </w:t>
      </w:r>
      <w:r w:rsidRPr="000D7060">
        <w:t xml:space="preserve">including training </w:t>
      </w:r>
      <w:r w:rsidR="008D3EF4">
        <w:t xml:space="preserve">for </w:t>
      </w:r>
      <w:r w:rsidRPr="000D7060">
        <w:t>all ward councillors and local</w:t>
      </w:r>
      <w:r w:rsidR="008D3EF4">
        <w:t>-</w:t>
      </w:r>
      <w:r w:rsidRPr="000D7060">
        <w:t xml:space="preserve">level government presidents and prioritising funding for ongoing activities and support for female </w:t>
      </w:r>
      <w:r w:rsidRPr="008B635B">
        <w:t>leaders.</w:t>
      </w:r>
    </w:p>
    <w:p w:rsidR="000D7060" w:rsidRPr="009B5487" w:rsidRDefault="000D7060" w:rsidP="00991F19">
      <w:pPr>
        <w:pStyle w:val="ListBullet"/>
      </w:pPr>
      <w:r w:rsidRPr="000D7060">
        <w:rPr>
          <w:b/>
        </w:rPr>
        <w:t>Modifying recruitment practices within the Advisory Support Facility</w:t>
      </w:r>
      <w:r w:rsidR="008D3EF4" w:rsidRPr="008D3EF4">
        <w:t>,</w:t>
      </w:r>
      <w:r w:rsidRPr="008D3EF4">
        <w:t xml:space="preserve"> </w:t>
      </w:r>
      <w:r w:rsidRPr="000D7060">
        <w:t xml:space="preserve">which now include a competency area relating to skills, knowledge and attitudes concerning women in the workplace to ensure </w:t>
      </w:r>
      <w:r w:rsidR="008D3EF4">
        <w:t>that</w:t>
      </w:r>
      <w:r w:rsidRPr="000D7060">
        <w:t xml:space="preserve"> advisers with </w:t>
      </w:r>
      <w:r w:rsidR="008D3EF4">
        <w:t>a good</w:t>
      </w:r>
      <w:r w:rsidR="008D3EF4" w:rsidRPr="000D7060">
        <w:t xml:space="preserve"> </w:t>
      </w:r>
      <w:r w:rsidRPr="000D7060">
        <w:t>understanding of gender</w:t>
      </w:r>
      <w:r w:rsidR="008D3EF4">
        <w:t>-</w:t>
      </w:r>
      <w:r w:rsidRPr="000D7060">
        <w:t>based issues</w:t>
      </w:r>
      <w:r w:rsidR="008D3EF4">
        <w:t xml:space="preserve"> are recruited</w:t>
      </w:r>
      <w:r w:rsidRPr="000D7060">
        <w:t xml:space="preserve">. Improved recruitment practices have been successful in attracting more </w:t>
      </w:r>
      <w:r w:rsidR="008D3EF4">
        <w:t>female</w:t>
      </w:r>
      <w:r w:rsidR="008D3EF4" w:rsidRPr="000D7060">
        <w:t xml:space="preserve"> </w:t>
      </w:r>
      <w:r w:rsidRPr="000D7060">
        <w:t xml:space="preserve">advisers, </w:t>
      </w:r>
      <w:r w:rsidR="007A200A">
        <w:t>who</w:t>
      </w:r>
      <w:r w:rsidR="008D3EF4">
        <w:t xml:space="preserve"> accounted for</w:t>
      </w:r>
      <w:r w:rsidR="008D3EF4" w:rsidRPr="000D7060">
        <w:t xml:space="preserve"> </w:t>
      </w:r>
      <w:r w:rsidRPr="000D7060">
        <w:t>50</w:t>
      </w:r>
      <w:r w:rsidR="008D3EF4">
        <w:t> </w:t>
      </w:r>
      <w:r w:rsidRPr="000D7060">
        <w:t>per</w:t>
      </w:r>
      <w:r w:rsidR="008D3EF4">
        <w:t xml:space="preserve"> </w:t>
      </w:r>
      <w:r w:rsidRPr="000D7060">
        <w:t xml:space="preserve">cent </w:t>
      </w:r>
      <w:r w:rsidR="008D3EF4">
        <w:t xml:space="preserve">of advisers </w:t>
      </w:r>
      <w:r w:rsidRPr="000D7060">
        <w:t>in 2008</w:t>
      </w:r>
      <w:r w:rsidR="008D3EF4">
        <w:t>, up from 3 per cent in 2003</w:t>
      </w:r>
      <w:r w:rsidRPr="000D7060">
        <w:t>.</w:t>
      </w:r>
      <w:r w:rsidRPr="009B5487">
        <w:rPr>
          <w:rStyle w:val="FootnoteReference"/>
        </w:rPr>
        <w:footnoteReference w:id="56"/>
      </w:r>
    </w:p>
    <w:p w:rsidR="000D7060" w:rsidRPr="000D7060" w:rsidRDefault="00BB4A03" w:rsidP="00991F19">
      <w:pPr>
        <w:pStyle w:val="BodyText"/>
      </w:pPr>
      <w:r>
        <w:t>The 2007 annual program performance report</w:t>
      </w:r>
      <w:r w:rsidR="000D7060" w:rsidRPr="000D7060">
        <w:t xml:space="preserve"> identified a lack of focus on gender equality within the economic and private sector programs. </w:t>
      </w:r>
      <w:r>
        <w:t>In 2008 s</w:t>
      </w:r>
      <w:r w:rsidR="000D7060" w:rsidRPr="000D7060">
        <w:t xml:space="preserve">ome progress </w:t>
      </w:r>
      <w:r>
        <w:t>was</w:t>
      </w:r>
      <w:r w:rsidR="000D7060" w:rsidRPr="000D7060">
        <w:t xml:space="preserve"> made through the new design of the Economic Public Sector Program</w:t>
      </w:r>
      <w:r>
        <w:t>,</w:t>
      </w:r>
      <w:r w:rsidR="000D7060" w:rsidRPr="000D7060">
        <w:t xml:space="preserve"> which includes strategies for </w:t>
      </w:r>
      <w:r>
        <w:t xml:space="preserve">the </w:t>
      </w:r>
      <w:r w:rsidR="000D7060" w:rsidRPr="000D7060">
        <w:t>more equitable distribution of royalties from extractive industries</w:t>
      </w:r>
      <w:r>
        <w:t>,</w:t>
      </w:r>
      <w:r w:rsidR="000D7060" w:rsidRPr="000D7060">
        <w:t xml:space="preserve"> a greater focus on policy support for the informal sector</w:t>
      </w:r>
      <w:r>
        <w:t>,</w:t>
      </w:r>
      <w:r w:rsidR="000D7060" w:rsidRPr="000D7060">
        <w:t xml:space="preserve"> and </w:t>
      </w:r>
      <w:r>
        <w:t xml:space="preserve">efforts to </w:t>
      </w:r>
      <w:r w:rsidR="000D7060" w:rsidRPr="000D7060">
        <w:t>continu</w:t>
      </w:r>
      <w:r>
        <w:t xml:space="preserve">e </w:t>
      </w:r>
      <w:r w:rsidR="000D7060" w:rsidRPr="000D7060">
        <w:t xml:space="preserve">to strengthen women’s participation in budget processes. </w:t>
      </w:r>
      <w:r w:rsidR="008B40E5">
        <w:t>Because w</w:t>
      </w:r>
      <w:r w:rsidR="000D7060" w:rsidRPr="000D7060">
        <w:t>omen remain marginalised in private sector development</w:t>
      </w:r>
      <w:r w:rsidR="008B40E5">
        <w:t>,</w:t>
      </w:r>
      <w:r w:rsidR="000D7060" w:rsidRPr="000D7060">
        <w:t xml:space="preserve"> gender </w:t>
      </w:r>
      <w:r>
        <w:t xml:space="preserve">considerations </w:t>
      </w:r>
      <w:r w:rsidR="000D7060" w:rsidRPr="000D7060">
        <w:t xml:space="preserve">will need to be central to the development of </w:t>
      </w:r>
      <w:proofErr w:type="spellStart"/>
      <w:r w:rsidR="000D7060" w:rsidRPr="000D7060">
        <w:t>AusAID’s</w:t>
      </w:r>
      <w:proofErr w:type="spellEnd"/>
      <w:r w:rsidR="000D7060" w:rsidRPr="000D7060">
        <w:t xml:space="preserve"> policy framework for working with the private sector.</w:t>
      </w:r>
    </w:p>
    <w:p w:rsidR="00A7497A" w:rsidRPr="009B5487" w:rsidRDefault="00A7497A" w:rsidP="00E5783D">
      <w:pPr>
        <w:pStyle w:val="H1A"/>
      </w:pPr>
      <w:bookmarkStart w:id="161" w:name="_Toc237763931"/>
      <w:r w:rsidRPr="009B5487">
        <w:lastRenderedPageBreak/>
        <w:t>What is the quality of activities</w:t>
      </w:r>
      <w:r w:rsidR="00B92D41">
        <w:t xml:space="preserve"> in the PNG aid program</w:t>
      </w:r>
      <w:r w:rsidRPr="009B5487">
        <w:t>?</w:t>
      </w:r>
      <w:r w:rsidR="005C25C3">
        <w:rPr>
          <w:lang w:val="en-US" w:eastAsia="en-US"/>
        </w:rPr>
        <w:drawing>
          <wp:anchor distT="0" distB="0" distL="114300" distR="114300" simplePos="0" relativeHeight="251664896" behindDoc="1" locked="0" layoutInCell="1" allowOverlap="1" wp14:anchorId="477703CB" wp14:editId="3BD9534B">
            <wp:simplePos x="0" y="0"/>
            <wp:positionH relativeFrom="page">
              <wp:posOffset>0</wp:posOffset>
            </wp:positionH>
            <wp:positionV relativeFrom="page">
              <wp:posOffset>1386205</wp:posOffset>
            </wp:positionV>
            <wp:extent cx="7560310" cy="1585595"/>
            <wp:effectExtent l="0" t="0" r="2540" b="0"/>
            <wp:wrapNone/>
            <wp:docPr id="1297" name="Picture 1297"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1"/>
    </w:p>
    <w:p w:rsidR="00A7497A" w:rsidRPr="00A7497A" w:rsidRDefault="0055687D" w:rsidP="00991F19">
      <w:pPr>
        <w:pStyle w:val="BodyText"/>
      </w:pPr>
      <w:r>
        <w:t>In 2007</w:t>
      </w:r>
      <w:r w:rsidR="00A7497A" w:rsidRPr="00A7497A">
        <w:t xml:space="preserve"> the biggest challenge to the quality of the PNG program was the monitoring and evaluation systems. </w:t>
      </w:r>
      <w:r>
        <w:t>In 2008</w:t>
      </w:r>
      <w:r w:rsidR="00A7497A" w:rsidRPr="00A7497A">
        <w:t xml:space="preserve"> </w:t>
      </w:r>
      <w:r>
        <w:t>there was</w:t>
      </w:r>
      <w:r w:rsidR="00A7497A" w:rsidRPr="00A7497A">
        <w:t xml:space="preserve"> an overall improvement from last year’s assessment</w:t>
      </w:r>
      <w:r>
        <w:t>,</w:t>
      </w:r>
      <w:r w:rsidR="00A7497A" w:rsidRPr="00A7497A">
        <w:t xml:space="preserve"> demonstrating some progress in this area. Specifically</w:t>
      </w:r>
      <w:r>
        <w:t>,</w:t>
      </w:r>
      <w:r w:rsidR="00A7497A" w:rsidRPr="00A7497A">
        <w:t xml:space="preserve"> programs supporting sector</w:t>
      </w:r>
      <w:r>
        <w:t>-</w:t>
      </w:r>
      <w:r w:rsidR="00A7497A" w:rsidRPr="00A7497A">
        <w:t xml:space="preserve">wide approaches scored higher on </w:t>
      </w:r>
      <w:r>
        <w:t xml:space="preserve">their </w:t>
      </w:r>
      <w:r w:rsidR="00A7497A" w:rsidRPr="00A7497A">
        <w:t>monitoring and evaluation systems</w:t>
      </w:r>
      <w:r>
        <w:t>,</w:t>
      </w:r>
      <w:r w:rsidR="00A7497A" w:rsidRPr="00A7497A">
        <w:t xml:space="preserve"> which may demonstrate </w:t>
      </w:r>
      <w:r>
        <w:t xml:space="preserve">that </w:t>
      </w:r>
      <w:r w:rsidR="00A7497A" w:rsidRPr="00A7497A">
        <w:t xml:space="preserve">the level of performance information is pitched at a more appropriate level for </w:t>
      </w:r>
      <w:proofErr w:type="spellStart"/>
      <w:r w:rsidR="008B40E5">
        <w:t>AusAID’s</w:t>
      </w:r>
      <w:proofErr w:type="spellEnd"/>
      <w:r w:rsidR="008B40E5" w:rsidRPr="00A7497A">
        <w:t xml:space="preserve"> </w:t>
      </w:r>
      <w:r w:rsidR="00A7497A" w:rsidRPr="00A7497A">
        <w:t xml:space="preserve">and </w:t>
      </w:r>
      <w:r>
        <w:t xml:space="preserve">the </w:t>
      </w:r>
      <w:r w:rsidR="007B2AB8">
        <w:t>PNG Government’</w:t>
      </w:r>
      <w:r w:rsidR="00A7497A" w:rsidRPr="00A7497A">
        <w:t>s own reporting purposes. In particular</w:t>
      </w:r>
      <w:r>
        <w:t>,</w:t>
      </w:r>
      <w:r w:rsidR="00A7497A" w:rsidRPr="00A7497A">
        <w:t xml:space="preserve"> there is encouraging evidence of </w:t>
      </w:r>
      <w:r w:rsidR="008B40E5">
        <w:t xml:space="preserve">PNG </w:t>
      </w:r>
      <w:r w:rsidR="007B2AB8">
        <w:t>government</w:t>
      </w:r>
      <w:r w:rsidR="00A7497A" w:rsidRPr="00A7497A">
        <w:t xml:space="preserve"> interest in generati</w:t>
      </w:r>
      <w:r>
        <w:t>ng</w:t>
      </w:r>
      <w:r w:rsidR="00A7497A" w:rsidRPr="00A7497A">
        <w:t xml:space="preserve"> and us</w:t>
      </w:r>
      <w:r>
        <w:t>ing</w:t>
      </w:r>
      <w:r w:rsidR="00A7497A" w:rsidRPr="00A7497A">
        <w:t xml:space="preserve"> information in the health and HIV and AIDS sector as well </w:t>
      </w:r>
      <w:r w:rsidR="009B5487">
        <w:t>as at the subnational level.</w:t>
      </w:r>
    </w:p>
    <w:p w:rsidR="00A7497A" w:rsidRPr="00A7497A" w:rsidRDefault="00A7497A" w:rsidP="00E5783D">
      <w:pPr>
        <w:pStyle w:val="H2A"/>
      </w:pPr>
      <w:bookmarkStart w:id="162" w:name="_Toc237763932"/>
      <w:bookmarkStart w:id="163" w:name="_Toc361224392"/>
      <w:r w:rsidRPr="00A7497A">
        <w:t>Quality at entry</w:t>
      </w:r>
      <w:bookmarkEnd w:id="162"/>
      <w:bookmarkEnd w:id="163"/>
    </w:p>
    <w:p w:rsidR="00887E9C" w:rsidRDefault="00A7497A" w:rsidP="00991F19">
      <w:pPr>
        <w:pStyle w:val="BodyText"/>
      </w:pPr>
      <w:r w:rsidRPr="00A7497A">
        <w:t xml:space="preserve">Three of the seven PNG </w:t>
      </w:r>
      <w:r w:rsidR="008B635B" w:rsidRPr="00A7497A">
        <w:t xml:space="preserve">initiatives </w:t>
      </w:r>
      <w:r w:rsidR="006A39C7">
        <w:t>with</w:t>
      </w:r>
      <w:r w:rsidRPr="00A7497A">
        <w:t xml:space="preserve"> </w:t>
      </w:r>
      <w:proofErr w:type="spellStart"/>
      <w:r w:rsidR="006A39C7">
        <w:t>AusAID</w:t>
      </w:r>
      <w:proofErr w:type="spellEnd"/>
      <w:r w:rsidR="006A39C7">
        <w:t xml:space="preserve"> </w:t>
      </w:r>
      <w:r w:rsidRPr="00A7497A">
        <w:t xml:space="preserve">reporting requirements went through the formal process </w:t>
      </w:r>
      <w:r w:rsidR="008B635B">
        <w:t xml:space="preserve">of </w:t>
      </w:r>
      <w:r w:rsidR="008B40E5">
        <w:t>having</w:t>
      </w:r>
      <w:r w:rsidR="008B635B">
        <w:t xml:space="preserve"> their quality at entry </w:t>
      </w:r>
      <w:r w:rsidR="008B40E5">
        <w:t xml:space="preserve">assessed </w:t>
      </w:r>
      <w:r w:rsidRPr="00A7497A">
        <w:t>in 2008: ACIAR</w:t>
      </w:r>
      <w:r w:rsidR="006A39C7">
        <w:t>–</w:t>
      </w:r>
      <w:proofErr w:type="spellStart"/>
      <w:r w:rsidRPr="00A7497A">
        <w:t>AusAID</w:t>
      </w:r>
      <w:proofErr w:type="spellEnd"/>
      <w:r w:rsidRPr="00A7497A">
        <w:t xml:space="preserve"> Partnership for PNG Agriculture, the Provincial Capacity Building Program Phase II and the PNG</w:t>
      </w:r>
      <w:r w:rsidR="008B635B">
        <w:t>–</w:t>
      </w:r>
      <w:r w:rsidRPr="00A7497A">
        <w:t>Australia Law and Justice Partnership. The remaining four initiatives were exempted: Development Statistics</w:t>
      </w:r>
      <w:r w:rsidR="006A39C7">
        <w:t>,</w:t>
      </w:r>
      <w:r w:rsidRPr="00A7497A">
        <w:t xml:space="preserve"> Gender Equality/Gender Based Violence initiatives (several small discrete expenditure activities)</w:t>
      </w:r>
      <w:r w:rsidR="006A39C7">
        <w:t>,</w:t>
      </w:r>
      <w:r w:rsidRPr="00A7497A">
        <w:t xml:space="preserve"> </w:t>
      </w:r>
      <w:r w:rsidR="008B40E5">
        <w:t xml:space="preserve">the </w:t>
      </w:r>
      <w:r w:rsidRPr="00A7497A">
        <w:t>scholarship facility (extended by 18 months)</w:t>
      </w:r>
      <w:r w:rsidR="006A39C7">
        <w:t xml:space="preserve"> and</w:t>
      </w:r>
      <w:r w:rsidRPr="00A7497A">
        <w:t xml:space="preserve"> </w:t>
      </w:r>
      <w:r w:rsidR="00F02627">
        <w:t xml:space="preserve">the </w:t>
      </w:r>
      <w:proofErr w:type="spellStart"/>
      <w:r w:rsidR="00F02627" w:rsidRPr="000D7060">
        <w:t>Strongim</w:t>
      </w:r>
      <w:proofErr w:type="spellEnd"/>
      <w:r w:rsidR="00F02627" w:rsidRPr="000D7060">
        <w:t xml:space="preserve"> </w:t>
      </w:r>
      <w:proofErr w:type="spellStart"/>
      <w:r w:rsidR="00F02627" w:rsidRPr="000D7060">
        <w:t>Gavman</w:t>
      </w:r>
      <w:proofErr w:type="spellEnd"/>
      <w:r w:rsidR="00F02627" w:rsidRPr="000D7060">
        <w:t xml:space="preserve"> Program</w:t>
      </w:r>
      <w:r w:rsidRPr="00A7497A">
        <w:t xml:space="preserve"> (exempted from the </w:t>
      </w:r>
      <w:proofErr w:type="spellStart"/>
      <w:r w:rsidRPr="00A7497A">
        <w:t>AusAID</w:t>
      </w:r>
      <w:proofErr w:type="spellEnd"/>
      <w:r w:rsidRPr="00A7497A">
        <w:t xml:space="preserve"> design process).</w:t>
      </w:r>
      <w:r w:rsidR="006F7C08">
        <w:t xml:space="preserve"> </w:t>
      </w:r>
    </w:p>
    <w:p w:rsidR="00A7497A" w:rsidRPr="00ED780E" w:rsidRDefault="00A7497A" w:rsidP="00991F19">
      <w:pPr>
        <w:pStyle w:val="BodyText"/>
        <w:rPr>
          <w:spacing w:val="-2"/>
        </w:rPr>
      </w:pPr>
      <w:proofErr w:type="spellStart"/>
      <w:r w:rsidRPr="00ED780E">
        <w:rPr>
          <w:spacing w:val="-2"/>
        </w:rPr>
        <w:t>AusAID</w:t>
      </w:r>
      <w:proofErr w:type="spellEnd"/>
      <w:r w:rsidRPr="00ED780E">
        <w:rPr>
          <w:spacing w:val="-2"/>
        </w:rPr>
        <w:t xml:space="preserve"> require</w:t>
      </w:r>
      <w:r w:rsidR="00887E9C" w:rsidRPr="00ED780E">
        <w:rPr>
          <w:spacing w:val="-2"/>
        </w:rPr>
        <w:t>s</w:t>
      </w:r>
      <w:r w:rsidRPr="00ED780E">
        <w:rPr>
          <w:spacing w:val="-2"/>
        </w:rPr>
        <w:t xml:space="preserve"> each program</w:t>
      </w:r>
      <w:r w:rsidR="008B40E5">
        <w:rPr>
          <w:spacing w:val="-2"/>
        </w:rPr>
        <w:t xml:space="preserve"> to</w:t>
      </w:r>
      <w:r w:rsidRPr="00ED780E">
        <w:rPr>
          <w:spacing w:val="-2"/>
        </w:rPr>
        <w:t xml:space="preserve"> rate the progress of selected </w:t>
      </w:r>
      <w:r w:rsidR="00887E9C" w:rsidRPr="00ED780E">
        <w:rPr>
          <w:spacing w:val="-2"/>
        </w:rPr>
        <w:t xml:space="preserve">initiatives </w:t>
      </w:r>
      <w:r w:rsidRPr="00ED780E">
        <w:rPr>
          <w:spacing w:val="-2"/>
        </w:rPr>
        <w:t xml:space="preserve">against the five </w:t>
      </w:r>
      <w:r w:rsidR="008B635B" w:rsidRPr="00ED780E">
        <w:rPr>
          <w:spacing w:val="-2"/>
        </w:rPr>
        <w:t xml:space="preserve">quality-at-entry </w:t>
      </w:r>
      <w:r w:rsidRPr="00ED780E">
        <w:rPr>
          <w:spacing w:val="-2"/>
        </w:rPr>
        <w:t>criteria</w:t>
      </w:r>
      <w:r w:rsidR="00887E9C" w:rsidRPr="00ED780E">
        <w:rPr>
          <w:spacing w:val="-2"/>
        </w:rPr>
        <w:t>:</w:t>
      </w:r>
      <w:r w:rsidRPr="00ED780E">
        <w:rPr>
          <w:spacing w:val="-2"/>
        </w:rPr>
        <w:t xml:space="preserve"> clear objectives, monitoring framework, sustainability, implementation and risk management</w:t>
      </w:r>
      <w:r w:rsidR="00887E9C" w:rsidRPr="00ED780E">
        <w:rPr>
          <w:spacing w:val="-2"/>
        </w:rPr>
        <w:t>,</w:t>
      </w:r>
      <w:r w:rsidRPr="00ED780E">
        <w:rPr>
          <w:spacing w:val="-2"/>
        </w:rPr>
        <w:t xml:space="preserve"> and analysis and lessons. The ACIAR</w:t>
      </w:r>
      <w:r w:rsidR="008B635B" w:rsidRPr="00ED780E">
        <w:rPr>
          <w:spacing w:val="-2"/>
        </w:rPr>
        <w:t>–</w:t>
      </w:r>
      <w:proofErr w:type="spellStart"/>
      <w:r w:rsidRPr="00ED780E">
        <w:rPr>
          <w:spacing w:val="-2"/>
        </w:rPr>
        <w:t>AusAID</w:t>
      </w:r>
      <w:proofErr w:type="spellEnd"/>
      <w:r w:rsidRPr="00ED780E">
        <w:rPr>
          <w:spacing w:val="-2"/>
        </w:rPr>
        <w:t xml:space="preserve"> Partnership for PNG Agriculture received ratings of 5 (good quality) for all five criteria. The Provincial Capacity Building Program Phase II received ratings of 4 (adequate quality) </w:t>
      </w:r>
      <w:r w:rsidR="00887E9C" w:rsidRPr="00ED780E">
        <w:rPr>
          <w:spacing w:val="-2"/>
        </w:rPr>
        <w:t xml:space="preserve">for </w:t>
      </w:r>
      <w:r w:rsidRPr="00ED780E">
        <w:rPr>
          <w:spacing w:val="-2"/>
        </w:rPr>
        <w:t xml:space="preserve">all but </w:t>
      </w:r>
      <w:r w:rsidR="00887E9C" w:rsidRPr="00ED780E">
        <w:rPr>
          <w:spacing w:val="-2"/>
        </w:rPr>
        <w:t xml:space="preserve">its </w:t>
      </w:r>
      <w:r w:rsidRPr="00ED780E">
        <w:rPr>
          <w:spacing w:val="-2"/>
        </w:rPr>
        <w:t>monitoring framework</w:t>
      </w:r>
      <w:r w:rsidR="00887E9C" w:rsidRPr="00ED780E">
        <w:rPr>
          <w:spacing w:val="-2"/>
        </w:rPr>
        <w:t>,</w:t>
      </w:r>
      <w:r w:rsidRPr="00ED780E">
        <w:rPr>
          <w:spacing w:val="-2"/>
        </w:rPr>
        <w:t xml:space="preserve"> which </w:t>
      </w:r>
      <w:r w:rsidR="00887E9C" w:rsidRPr="00ED780E">
        <w:rPr>
          <w:spacing w:val="-2"/>
        </w:rPr>
        <w:t xml:space="preserve">was </w:t>
      </w:r>
      <w:r w:rsidRPr="00ED780E">
        <w:rPr>
          <w:spacing w:val="-2"/>
        </w:rPr>
        <w:t xml:space="preserve">rated 3 (less than adequate). The report for the Provincial Capacity Building Program Phase II </w:t>
      </w:r>
      <w:r w:rsidR="00887E9C" w:rsidRPr="00ED780E">
        <w:rPr>
          <w:spacing w:val="-2"/>
        </w:rPr>
        <w:t xml:space="preserve">noted that </w:t>
      </w:r>
      <w:r w:rsidRPr="00ED780E">
        <w:rPr>
          <w:spacing w:val="-2"/>
        </w:rPr>
        <w:t xml:space="preserve">the monitoring framework </w:t>
      </w:r>
      <w:r w:rsidR="00887E9C" w:rsidRPr="00ED780E">
        <w:rPr>
          <w:spacing w:val="-2"/>
        </w:rPr>
        <w:t xml:space="preserve">was </w:t>
      </w:r>
      <w:r w:rsidRPr="00ED780E">
        <w:rPr>
          <w:spacing w:val="-2"/>
        </w:rPr>
        <w:t>too general and the program need</w:t>
      </w:r>
      <w:r w:rsidR="00887E9C" w:rsidRPr="00ED780E">
        <w:rPr>
          <w:spacing w:val="-2"/>
        </w:rPr>
        <w:t>ed</w:t>
      </w:r>
      <w:r w:rsidRPr="00ED780E">
        <w:rPr>
          <w:spacing w:val="-2"/>
        </w:rPr>
        <w:t xml:space="preserve"> additional resources to link </w:t>
      </w:r>
      <w:r w:rsidR="008B40E5">
        <w:rPr>
          <w:spacing w:val="-2"/>
        </w:rPr>
        <w:t xml:space="preserve">it </w:t>
      </w:r>
      <w:r w:rsidRPr="00ED780E">
        <w:rPr>
          <w:spacing w:val="-2"/>
        </w:rPr>
        <w:t xml:space="preserve">into the broader PNG and Australian performance monitoring framework. The </w:t>
      </w:r>
      <w:r w:rsidR="008B635B" w:rsidRPr="00ED780E">
        <w:rPr>
          <w:spacing w:val="-2"/>
        </w:rPr>
        <w:t>PNG–Australia Law and Justice Partnership</w:t>
      </w:r>
      <w:r w:rsidR="008B635B" w:rsidRPr="00ED780E" w:rsidDel="008B635B">
        <w:rPr>
          <w:spacing w:val="-2"/>
        </w:rPr>
        <w:t xml:space="preserve"> </w:t>
      </w:r>
      <w:r w:rsidRPr="00ED780E">
        <w:rPr>
          <w:spacing w:val="-2"/>
        </w:rPr>
        <w:t>rated very highly, with four 6s and one 5</w:t>
      </w:r>
      <w:r w:rsidR="00C60707" w:rsidRPr="00ED780E">
        <w:rPr>
          <w:spacing w:val="-2"/>
        </w:rPr>
        <w:t>. I</w:t>
      </w:r>
      <w:r w:rsidRPr="00ED780E">
        <w:rPr>
          <w:spacing w:val="-2"/>
        </w:rPr>
        <w:t xml:space="preserve">ts design </w:t>
      </w:r>
      <w:r w:rsidR="00C60707" w:rsidRPr="00ED780E">
        <w:rPr>
          <w:spacing w:val="-2"/>
        </w:rPr>
        <w:t xml:space="preserve">is </w:t>
      </w:r>
      <w:r w:rsidRPr="00ED780E">
        <w:rPr>
          <w:spacing w:val="-2"/>
        </w:rPr>
        <w:t>well regarded within the agency.</w:t>
      </w:r>
    </w:p>
    <w:p w:rsidR="00A7497A" w:rsidRPr="00A7497A" w:rsidRDefault="00A7497A" w:rsidP="00991F19">
      <w:pPr>
        <w:pStyle w:val="BodyText"/>
      </w:pPr>
      <w:r w:rsidRPr="00A7497A">
        <w:t>Two other activities not captured in</w:t>
      </w:r>
      <w:r w:rsidR="00ED780E">
        <w:t xml:space="preserve"> </w:t>
      </w:r>
      <w:proofErr w:type="spellStart"/>
      <w:r w:rsidR="00ED780E">
        <w:t>AusAID’s</w:t>
      </w:r>
      <w:proofErr w:type="spellEnd"/>
      <w:r w:rsidRPr="00A7497A">
        <w:t xml:space="preserve"> reporting </w:t>
      </w:r>
      <w:r w:rsidR="00ED780E">
        <w:t xml:space="preserve">requirements </w:t>
      </w:r>
      <w:r w:rsidRPr="00A7497A">
        <w:t xml:space="preserve">undertook quality </w:t>
      </w:r>
      <w:r w:rsidR="008B635B">
        <w:t xml:space="preserve">assessment </w:t>
      </w:r>
      <w:r w:rsidRPr="00A7497A">
        <w:t xml:space="preserve">processes. </w:t>
      </w:r>
      <w:proofErr w:type="spellStart"/>
      <w:r w:rsidRPr="00A7497A">
        <w:t>Tingim</w:t>
      </w:r>
      <w:proofErr w:type="spellEnd"/>
      <w:r w:rsidRPr="00A7497A">
        <w:t xml:space="preserve"> </w:t>
      </w:r>
      <w:proofErr w:type="spellStart"/>
      <w:r w:rsidRPr="00A7497A">
        <w:t>Laip</w:t>
      </w:r>
      <w:proofErr w:type="spellEnd"/>
      <w:r w:rsidRPr="00A7497A">
        <w:t xml:space="preserve">, an agreement under the PNG HIV/AIDS Program and hence </w:t>
      </w:r>
      <w:r w:rsidR="008B635B">
        <w:t xml:space="preserve">not </w:t>
      </w:r>
      <w:r w:rsidRPr="00A7497A">
        <w:t xml:space="preserve">eligible </w:t>
      </w:r>
      <w:r w:rsidR="00ED780E">
        <w:t xml:space="preserve">for a </w:t>
      </w:r>
      <w:r w:rsidR="008B635B">
        <w:t>quality-at-entry assessment</w:t>
      </w:r>
      <w:r w:rsidRPr="00A7497A">
        <w:t>, received three 4s and two 5s, as did the Health Education and Clinical Services Program.</w:t>
      </w:r>
    </w:p>
    <w:p w:rsidR="00A7497A" w:rsidRPr="00A7497A" w:rsidRDefault="00A7497A" w:rsidP="00991F19">
      <w:pPr>
        <w:pStyle w:val="BodyText"/>
      </w:pPr>
      <w:r w:rsidRPr="00A7497A">
        <w:t xml:space="preserve">The PNG program has demonstrated its commitment to increasing the quality of designs, through the creation of the Design Support </w:t>
      </w:r>
      <w:r w:rsidR="008B635B">
        <w:t>T</w:t>
      </w:r>
      <w:r w:rsidRPr="00A7497A">
        <w:t xml:space="preserve">eam in </w:t>
      </w:r>
      <w:smartTag w:uri="urn:schemas-microsoft-com:office:smarttags" w:element="place">
        <w:smartTag w:uri="urn:schemas-microsoft-com:office:smarttags" w:element="City">
          <w:r w:rsidRPr="00A7497A">
            <w:t>Canberra</w:t>
          </w:r>
        </w:smartTag>
      </w:smartTag>
      <w:r w:rsidRPr="00A7497A">
        <w:t>.</w:t>
      </w:r>
      <w:r w:rsidR="006F7C08">
        <w:t xml:space="preserve"> </w:t>
      </w:r>
      <w:r w:rsidRPr="00A7497A">
        <w:t>In 2008 this team increased its</w:t>
      </w:r>
      <w:r w:rsidR="007C2358">
        <w:t> </w:t>
      </w:r>
      <w:r w:rsidRPr="00A7497A">
        <w:t xml:space="preserve">engagement </w:t>
      </w:r>
      <w:r w:rsidR="007C2358">
        <w:t xml:space="preserve">with </w:t>
      </w:r>
      <w:r w:rsidRPr="00A7497A">
        <w:t xml:space="preserve">and support </w:t>
      </w:r>
      <w:r w:rsidR="007C2358">
        <w:t>of</w:t>
      </w:r>
      <w:r w:rsidR="007C2358" w:rsidRPr="00A7497A">
        <w:t xml:space="preserve"> </w:t>
      </w:r>
      <w:r w:rsidRPr="00A7497A">
        <w:t xml:space="preserve">sector teams </w:t>
      </w:r>
      <w:r w:rsidR="007C2358">
        <w:t>by</w:t>
      </w:r>
      <w:r w:rsidR="007C2358" w:rsidRPr="00A7497A">
        <w:t xml:space="preserve"> </w:t>
      </w:r>
      <w:r w:rsidRPr="00A7497A">
        <w:t>provid</w:t>
      </w:r>
      <w:r w:rsidR="007C2358">
        <w:t>ing</w:t>
      </w:r>
      <w:r w:rsidRPr="00A7497A">
        <w:t xml:space="preserve"> advice in a changing design environment influenced by the Partnership for Development and </w:t>
      </w:r>
      <w:r w:rsidR="008B40E5">
        <w:t xml:space="preserve">the </w:t>
      </w:r>
      <w:r w:rsidRPr="00A7497A">
        <w:t>PNG Commitment on Aid</w:t>
      </w:r>
      <w:r w:rsidR="007C2358">
        <w:t> </w:t>
      </w:r>
      <w:r w:rsidRPr="00A7497A">
        <w:t xml:space="preserve">Effectiveness. </w:t>
      </w:r>
    </w:p>
    <w:p w:rsidR="00A7497A" w:rsidRPr="00A7497A" w:rsidRDefault="00A7497A" w:rsidP="00E5783D">
      <w:pPr>
        <w:pStyle w:val="H2A"/>
      </w:pPr>
      <w:bookmarkStart w:id="164" w:name="_Toc237763933"/>
      <w:bookmarkStart w:id="165" w:name="_Toc361224393"/>
      <w:r w:rsidRPr="00A7497A">
        <w:lastRenderedPageBreak/>
        <w:t>Quality at implementation</w:t>
      </w:r>
      <w:bookmarkEnd w:id="164"/>
      <w:bookmarkEnd w:id="165"/>
    </w:p>
    <w:p w:rsidR="007C2358" w:rsidRDefault="00A1182A" w:rsidP="00991F19">
      <w:pPr>
        <w:pStyle w:val="BodyText"/>
      </w:pPr>
      <w:r>
        <w:t>In 2008–</w:t>
      </w:r>
      <w:r w:rsidR="00A7497A" w:rsidRPr="00A7497A">
        <w:t xml:space="preserve">09, 27 </w:t>
      </w:r>
      <w:r w:rsidR="007C2358" w:rsidRPr="00A7497A">
        <w:t>of a possible 76</w:t>
      </w:r>
      <w:r w:rsidR="007C2358">
        <w:t xml:space="preserve"> </w:t>
      </w:r>
      <w:r w:rsidR="00A7497A" w:rsidRPr="00A7497A">
        <w:t xml:space="preserve">PNG program initiatives </w:t>
      </w:r>
      <w:r w:rsidR="007C2358">
        <w:t>had their</w:t>
      </w:r>
      <w:r w:rsidR="00A7497A" w:rsidRPr="00A7497A">
        <w:t xml:space="preserve"> </w:t>
      </w:r>
      <w:r>
        <w:t>quality at implementation</w:t>
      </w:r>
      <w:r w:rsidR="00A7497A" w:rsidRPr="00A7497A">
        <w:t xml:space="preserve"> </w:t>
      </w:r>
      <w:r w:rsidR="007C2358">
        <w:t>assess</w:t>
      </w:r>
      <w:r w:rsidR="008B40E5">
        <w:t>ed</w:t>
      </w:r>
      <w:r w:rsidR="00A7497A" w:rsidRPr="00A7497A">
        <w:t xml:space="preserve">. </w:t>
      </w:r>
      <w:r w:rsidR="007C2358">
        <w:t>Although</w:t>
      </w:r>
      <w:r w:rsidR="00A7497A" w:rsidRPr="00A7497A">
        <w:t xml:space="preserve"> this is a relatively small number of initiatives (36</w:t>
      </w:r>
      <w:r w:rsidR="001B735E">
        <w:t> per cent</w:t>
      </w:r>
      <w:r w:rsidR="00A7497A" w:rsidRPr="00A7497A">
        <w:t xml:space="preserve">), </w:t>
      </w:r>
      <w:r w:rsidR="007C2358">
        <w:t>they</w:t>
      </w:r>
      <w:r w:rsidR="007C2358" w:rsidRPr="00A7497A">
        <w:t xml:space="preserve"> </w:t>
      </w:r>
      <w:r w:rsidR="00A7497A" w:rsidRPr="00A7497A">
        <w:t>represent</w:t>
      </w:r>
      <w:r w:rsidR="007C2358">
        <w:t>,</w:t>
      </w:r>
      <w:r w:rsidR="00A7497A" w:rsidRPr="00A7497A">
        <w:t xml:space="preserve"> in dollar terms</w:t>
      </w:r>
      <w:r w:rsidR="007C2358">
        <w:t>,</w:t>
      </w:r>
      <w:r w:rsidR="00A7497A" w:rsidRPr="00A7497A">
        <w:t xml:space="preserve"> around 73</w:t>
      </w:r>
      <w:r w:rsidR="001B735E">
        <w:t> per cent</w:t>
      </w:r>
      <w:r>
        <w:t xml:space="preserve"> of the PNG program’s 2008–</w:t>
      </w:r>
      <w:r w:rsidR="00A7497A" w:rsidRPr="00A7497A">
        <w:t xml:space="preserve">09 expenditure. </w:t>
      </w:r>
    </w:p>
    <w:p w:rsidR="00A7497A" w:rsidRDefault="00A7497A" w:rsidP="00991F19">
      <w:pPr>
        <w:pStyle w:val="BodyText"/>
      </w:pPr>
      <w:proofErr w:type="spellStart"/>
      <w:r w:rsidRPr="00A7497A">
        <w:t>AusAID</w:t>
      </w:r>
      <w:proofErr w:type="spellEnd"/>
      <w:r w:rsidRPr="00A7497A">
        <w:t xml:space="preserve"> require</w:t>
      </w:r>
      <w:r w:rsidR="007C2358">
        <w:t>s</w:t>
      </w:r>
      <w:r w:rsidRPr="00A7497A">
        <w:t xml:space="preserve"> each program </w:t>
      </w:r>
      <w:r w:rsidR="008B40E5">
        <w:t xml:space="preserve">to </w:t>
      </w:r>
      <w:r w:rsidRPr="00A7497A">
        <w:t xml:space="preserve">rate the progress of selected </w:t>
      </w:r>
      <w:r w:rsidR="00A1182A" w:rsidRPr="00A7497A">
        <w:t xml:space="preserve">initiatives </w:t>
      </w:r>
      <w:r w:rsidRPr="00A7497A">
        <w:t xml:space="preserve">against the four </w:t>
      </w:r>
      <w:r w:rsidR="008C2B61">
        <w:t>quality-at-implementa</w:t>
      </w:r>
      <w:r w:rsidR="00A1182A">
        <w:t>t</w:t>
      </w:r>
      <w:r w:rsidR="008C2B61">
        <w:t>i</w:t>
      </w:r>
      <w:r w:rsidR="00A1182A">
        <w:t>on</w:t>
      </w:r>
      <w:r w:rsidRPr="00A7497A">
        <w:t xml:space="preserve"> criteria</w:t>
      </w:r>
      <w:r w:rsidR="007C2358">
        <w:t>—</w:t>
      </w:r>
      <w:r w:rsidRPr="00A7497A">
        <w:t>implementation</w:t>
      </w:r>
      <w:r w:rsidR="008B40E5">
        <w:t xml:space="preserve"> progress</w:t>
      </w:r>
      <w:r w:rsidRPr="00A7497A">
        <w:t>, achieving objectives, monitoring and evaluation</w:t>
      </w:r>
      <w:r w:rsidR="007C2358">
        <w:t>,</w:t>
      </w:r>
      <w:r w:rsidRPr="00A7497A">
        <w:t xml:space="preserve"> and sustainability. </w:t>
      </w:r>
      <w:proofErr w:type="spellStart"/>
      <w:r w:rsidRPr="00A7497A">
        <w:t>AusAID</w:t>
      </w:r>
      <w:proofErr w:type="spellEnd"/>
      <w:r w:rsidRPr="00A7497A">
        <w:t xml:space="preserve"> </w:t>
      </w:r>
      <w:r w:rsidR="008B40E5">
        <w:t>aims</w:t>
      </w:r>
      <w:r w:rsidRPr="00A7497A">
        <w:t xml:space="preserve"> to have an overall quality rating of </w:t>
      </w:r>
      <w:r w:rsidR="007C2358" w:rsidRPr="00A7497A">
        <w:t>‘satisfactory’</w:t>
      </w:r>
      <w:r w:rsidR="007C2358">
        <w:t xml:space="preserve"> for </w:t>
      </w:r>
      <w:r w:rsidRPr="00A7497A">
        <w:t>75</w:t>
      </w:r>
      <w:r w:rsidR="001B735E">
        <w:t> per cent</w:t>
      </w:r>
      <w:r w:rsidR="007C2358">
        <w:t xml:space="preserve"> of initiatives</w:t>
      </w:r>
      <w:r w:rsidRPr="00A7497A">
        <w:t xml:space="preserve">. The PNG </w:t>
      </w:r>
      <w:r w:rsidR="00A1182A" w:rsidRPr="00A7497A">
        <w:t xml:space="preserve">program </w:t>
      </w:r>
      <w:r w:rsidRPr="00A7497A">
        <w:t xml:space="preserve">achieved an overall rating of </w:t>
      </w:r>
      <w:r w:rsidR="007C2358">
        <w:t xml:space="preserve">‘satisfactory’ for </w:t>
      </w:r>
      <w:r w:rsidRPr="00A7497A">
        <w:t>90</w:t>
      </w:r>
      <w:r w:rsidR="001B735E">
        <w:t> per cent</w:t>
      </w:r>
      <w:r w:rsidRPr="00A7497A">
        <w:t xml:space="preserve"> </w:t>
      </w:r>
      <w:r w:rsidR="007C2358">
        <w:t>(</w:t>
      </w:r>
      <w:r w:rsidR="008B40E5">
        <w:t xml:space="preserve">Figure 2 and </w:t>
      </w:r>
      <w:r w:rsidR="008C2B61">
        <w:t>Table 3</w:t>
      </w:r>
      <w:r w:rsidR="007C2358">
        <w:t>)</w:t>
      </w:r>
      <w:r w:rsidRPr="00A7497A">
        <w:t>.</w:t>
      </w:r>
    </w:p>
    <w:p w:rsidR="00A7497A" w:rsidRPr="00A7497A" w:rsidRDefault="00A7497A" w:rsidP="00991F19">
      <w:pPr>
        <w:pStyle w:val="ListBullet"/>
      </w:pPr>
      <w:r w:rsidRPr="00A7497A">
        <w:t>89</w:t>
      </w:r>
      <w:r w:rsidR="001B735E">
        <w:t> per cent</w:t>
      </w:r>
      <w:r w:rsidRPr="00A7497A">
        <w:t xml:space="preserve"> of initiative managers rated the implementation </w:t>
      </w:r>
      <w:r w:rsidR="008B40E5" w:rsidRPr="00A7497A">
        <w:t xml:space="preserve">progress </w:t>
      </w:r>
      <w:r w:rsidRPr="00A7497A">
        <w:t>as satisfactory (rated 4 or above). This is up from 71</w:t>
      </w:r>
      <w:r w:rsidR="001B735E">
        <w:t> per cent</w:t>
      </w:r>
      <w:r w:rsidRPr="00A7497A">
        <w:t xml:space="preserve"> </w:t>
      </w:r>
      <w:r w:rsidR="007C2358">
        <w:t>in 2007.</w:t>
      </w:r>
    </w:p>
    <w:p w:rsidR="00A7497A" w:rsidRPr="00A7497A" w:rsidRDefault="00A7497A" w:rsidP="00991F19">
      <w:pPr>
        <w:pStyle w:val="ListBullet"/>
      </w:pPr>
      <w:r w:rsidRPr="00A7497A">
        <w:t>93</w:t>
      </w:r>
      <w:r w:rsidR="001B735E">
        <w:t> per cent</w:t>
      </w:r>
      <w:r w:rsidRPr="00A7497A">
        <w:t xml:space="preserve"> of initiative managers determined that the</w:t>
      </w:r>
      <w:r w:rsidR="007C2358">
        <w:t>ir</w:t>
      </w:r>
      <w:r w:rsidRPr="00A7497A">
        <w:t xml:space="preserve"> initiative</w:t>
      </w:r>
      <w:r w:rsidR="007C2358">
        <w:t>s</w:t>
      </w:r>
      <w:r w:rsidRPr="00A7497A">
        <w:t xml:space="preserve"> </w:t>
      </w:r>
      <w:r w:rsidR="007C2358">
        <w:t>were</w:t>
      </w:r>
      <w:r w:rsidR="007C2358" w:rsidRPr="00A7497A">
        <w:t xml:space="preserve"> </w:t>
      </w:r>
      <w:r w:rsidRPr="00A7497A">
        <w:t xml:space="preserve">achieving </w:t>
      </w:r>
      <w:r w:rsidR="007C2358">
        <w:t>their</w:t>
      </w:r>
      <w:r w:rsidR="007C2358" w:rsidRPr="00A7497A">
        <w:t xml:space="preserve"> </w:t>
      </w:r>
      <w:r w:rsidRPr="00A7497A">
        <w:t>objectives (rated 4 or above). This is up from 86</w:t>
      </w:r>
      <w:r w:rsidR="001B735E">
        <w:t> per cent</w:t>
      </w:r>
      <w:r w:rsidRPr="00A7497A">
        <w:t xml:space="preserve"> </w:t>
      </w:r>
      <w:r w:rsidR="007C2358">
        <w:t>in 2007.</w:t>
      </w:r>
    </w:p>
    <w:p w:rsidR="00A7497A" w:rsidRPr="00A7497A" w:rsidRDefault="00A7497A" w:rsidP="00991F19">
      <w:pPr>
        <w:pStyle w:val="ListBullet"/>
      </w:pPr>
      <w:r w:rsidRPr="00A7497A">
        <w:t>85</w:t>
      </w:r>
      <w:r w:rsidR="001B735E">
        <w:t> per cent</w:t>
      </w:r>
      <w:r w:rsidRPr="00A7497A">
        <w:t xml:space="preserve"> of initiative managers rated the monitoring and evaluation framework</w:t>
      </w:r>
      <w:r w:rsidR="008B40E5">
        <w:t>s</w:t>
      </w:r>
      <w:r w:rsidRPr="00A7497A">
        <w:t xml:space="preserve"> for their initiative</w:t>
      </w:r>
      <w:r w:rsidR="007C2358">
        <w:t>s</w:t>
      </w:r>
      <w:r w:rsidRPr="00A7497A">
        <w:t xml:space="preserve"> as satisfactory (rated 4 or above). This is up from 66</w:t>
      </w:r>
      <w:r w:rsidR="001B735E">
        <w:t> p</w:t>
      </w:r>
      <w:bookmarkStart w:id="166" w:name="_GoBack"/>
      <w:bookmarkEnd w:id="166"/>
      <w:r w:rsidR="001B735E">
        <w:t>er cent</w:t>
      </w:r>
      <w:r w:rsidRPr="00A7497A">
        <w:t xml:space="preserve"> </w:t>
      </w:r>
      <w:r w:rsidR="007C2358">
        <w:t>in 2007.</w:t>
      </w:r>
    </w:p>
    <w:p w:rsidR="00A7497A" w:rsidRDefault="00A7497A" w:rsidP="00991F19">
      <w:pPr>
        <w:pStyle w:val="ListBullet"/>
      </w:pPr>
      <w:r w:rsidRPr="00A7497A">
        <w:t>93</w:t>
      </w:r>
      <w:r w:rsidR="001B735E">
        <w:t> per cent</w:t>
      </w:r>
      <w:r w:rsidRPr="00A7497A">
        <w:t xml:space="preserve"> of initiative managers rated the</w:t>
      </w:r>
      <w:r w:rsidR="007C2358">
        <w:t>ir</w:t>
      </w:r>
      <w:r w:rsidRPr="00A7497A">
        <w:t xml:space="preserve"> initiative</w:t>
      </w:r>
      <w:r w:rsidR="007C2358">
        <w:t>s</w:t>
      </w:r>
      <w:r w:rsidRPr="00A7497A">
        <w:t xml:space="preserve">’ sustainability </w:t>
      </w:r>
      <w:r w:rsidR="008B40E5">
        <w:t xml:space="preserve">prospects </w:t>
      </w:r>
      <w:r w:rsidRPr="00A7497A">
        <w:t>as satisfactory (rated 4 or above). This is up from 71</w:t>
      </w:r>
      <w:r w:rsidR="001B735E">
        <w:t> per cent</w:t>
      </w:r>
      <w:r w:rsidRPr="00A7497A">
        <w:t xml:space="preserve"> </w:t>
      </w:r>
      <w:r w:rsidR="007C2358">
        <w:t>in 2007</w:t>
      </w:r>
      <w:r w:rsidRPr="00A7497A">
        <w:t>.</w:t>
      </w:r>
    </w:p>
    <w:p w:rsidR="00A7497A" w:rsidRPr="00A7497A" w:rsidRDefault="00A7497A" w:rsidP="00991F19">
      <w:pPr>
        <w:pStyle w:val="Caption"/>
      </w:pPr>
      <w:r w:rsidRPr="00446BFE">
        <w:t xml:space="preserve">Figure </w:t>
      </w:r>
      <w:r w:rsidRPr="00446BFE">
        <w:fldChar w:fldCharType="begin"/>
      </w:r>
      <w:r w:rsidRPr="00446BFE">
        <w:instrText xml:space="preserve"> SEQ Figure \* ARABIC </w:instrText>
      </w:r>
      <w:r w:rsidRPr="00446BFE">
        <w:fldChar w:fldCharType="separate"/>
      </w:r>
      <w:r w:rsidR="009A291B">
        <w:rPr>
          <w:noProof/>
        </w:rPr>
        <w:t>2</w:t>
      </w:r>
      <w:r w:rsidRPr="00446BFE">
        <w:fldChar w:fldCharType="end"/>
      </w:r>
      <w:r w:rsidRPr="00446BFE">
        <w:t xml:space="preserve">: </w:t>
      </w:r>
      <w:r w:rsidR="008C2B61">
        <w:t>Rating</w:t>
      </w:r>
      <w:r w:rsidR="00E15A4D">
        <w:t>s</w:t>
      </w:r>
      <w:r w:rsidR="008C2B61">
        <w:t xml:space="preserve"> of </w:t>
      </w:r>
      <w:r w:rsidR="00E15A4D">
        <w:t xml:space="preserve">27 initiatives by </w:t>
      </w:r>
      <w:r w:rsidR="008C2B61">
        <w:t>q</w:t>
      </w:r>
      <w:r w:rsidRPr="00A7497A">
        <w:t>uality</w:t>
      </w:r>
      <w:r w:rsidR="008C2B61">
        <w:t>-</w:t>
      </w:r>
      <w:r w:rsidRPr="00A7497A">
        <w:t>at</w:t>
      </w:r>
      <w:r w:rsidR="008C2B61">
        <w:t>-</w:t>
      </w:r>
      <w:r w:rsidR="008C2B61" w:rsidRPr="00A7497A">
        <w:t>implementation</w:t>
      </w:r>
      <w:r w:rsidR="00E15A4D">
        <w:t xml:space="preserve"> criteria</w:t>
      </w:r>
    </w:p>
    <w:tbl>
      <w:tblPr>
        <w:tblW w:w="793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938"/>
      </w:tblGrid>
      <w:tr w:rsidR="00A7497A" w:rsidRPr="00446BFE">
        <w:tc>
          <w:tcPr>
            <w:tcW w:w="8505" w:type="dxa"/>
            <w:shd w:val="clear" w:color="auto" w:fill="auto"/>
          </w:tcPr>
          <w:p w:rsidR="00A7497A" w:rsidRPr="00E15A4D" w:rsidRDefault="005C25C3">
            <w:pPr>
              <w:rPr>
                <w:rFonts w:ascii="Georgia" w:hAnsi="Georgia"/>
                <w:sz w:val="19"/>
                <w:szCs w:val="19"/>
              </w:rPr>
            </w:pPr>
            <w:r>
              <w:rPr>
                <w:rFonts w:ascii="Georgia" w:hAnsi="Georgia"/>
                <w:noProof/>
                <w:sz w:val="19"/>
                <w:szCs w:val="19"/>
                <w:lang w:val="en-US" w:eastAsia="en-US"/>
              </w:rPr>
              <w:drawing>
                <wp:inline distT="0" distB="0" distL="0" distR="0" wp14:anchorId="1B5D4834" wp14:editId="64A7B234">
                  <wp:extent cx="5019675" cy="2514600"/>
                  <wp:effectExtent l="0" t="0" r="0" b="0"/>
                  <wp:docPr id="3" name="Picture 2" descr="Ratings of 27 initiatives by quality-at-implementation criteria&#10;&#10;1:&#10;Implementation progress: 0&#10;Achieving objectives: 0&#10;Monitoring &amp; evaluation: 0&#10;Sustainability: 0&#10;&#10;2:&#10;Implementation progress: 0&#10;Achieving objectives: 0&#10;Monitoring &amp; evaluation: 0&#10;Sustainability: 0&#10;&#10;3:&#10;Implementation progress: 3&#10;Achieving objectives: 2&#10;Monitoring &amp; evaluation: 4&#10;Sustainability: 2&#10;&#10;4:&#10;Implementation progress: 11&#10;Achieving objectives: 12&#10;Monitoring &amp; evaluation: 13&#10;Sustainability: 14&#10;&#10;5:&#10;Implementation progress: 11&#10;Achieving objectives: 12&#10;Monitoring &amp; evaluation: 9&#10;Sustainability: 10&#10;&#10;6:&#10;Implementation progress: 2&#10;Achieving objectives: 1&#10;Monitoring &amp; evaluation: 1&#10;Sustainability: 1&#10;"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19675" cy="2514600"/>
                          </a:xfrm>
                          <a:prstGeom prst="rect">
                            <a:avLst/>
                          </a:prstGeom>
                          <a:noFill/>
                          <a:ln>
                            <a:noFill/>
                          </a:ln>
                        </pic:spPr>
                      </pic:pic>
                    </a:graphicData>
                  </a:graphic>
                </wp:inline>
              </w:drawing>
            </w:r>
          </w:p>
        </w:tc>
      </w:tr>
    </w:tbl>
    <w:p w:rsidR="00A7497A" w:rsidRPr="00A7497A" w:rsidRDefault="00A7497A" w:rsidP="00991F19">
      <w:pPr>
        <w:pStyle w:val="Note"/>
        <w:spacing w:after="120"/>
      </w:pPr>
      <w:r w:rsidRPr="00C05EB3">
        <w:t xml:space="preserve">Note: </w:t>
      </w:r>
      <w:r w:rsidRPr="00A7497A">
        <w:t xml:space="preserve">Ratings: 6 = </w:t>
      </w:r>
      <w:r w:rsidR="008C2B61" w:rsidRPr="00A7497A">
        <w:t>very good</w:t>
      </w:r>
      <w:r w:rsidRPr="00A7497A">
        <w:t xml:space="preserve">; 5 = </w:t>
      </w:r>
      <w:r w:rsidR="008C2B61" w:rsidRPr="00A7497A">
        <w:t>good</w:t>
      </w:r>
      <w:r w:rsidRPr="00A7497A">
        <w:t xml:space="preserve">; 4 = </w:t>
      </w:r>
      <w:r w:rsidR="008C2B61" w:rsidRPr="00A7497A">
        <w:t>adequate</w:t>
      </w:r>
      <w:r w:rsidRPr="00A7497A">
        <w:t>; 3 =</w:t>
      </w:r>
      <w:r w:rsidR="008B40E5">
        <w:t xml:space="preserve"> </w:t>
      </w:r>
      <w:r w:rsidR="008C2B61" w:rsidRPr="00A7497A">
        <w:t>less than adequate</w:t>
      </w:r>
      <w:r w:rsidRPr="00A7497A">
        <w:t>; 2</w:t>
      </w:r>
      <w:r w:rsidR="008B40E5">
        <w:t xml:space="preserve"> </w:t>
      </w:r>
      <w:r w:rsidRPr="00A7497A">
        <w:t xml:space="preserve">= </w:t>
      </w:r>
      <w:r w:rsidR="008C2B61" w:rsidRPr="00A7497A">
        <w:t>poor</w:t>
      </w:r>
      <w:r w:rsidRPr="00A7497A">
        <w:t xml:space="preserve">; 1 = </w:t>
      </w:r>
      <w:r w:rsidR="008C2B61" w:rsidRPr="00A7497A">
        <w:t>very poor</w:t>
      </w:r>
      <w:r w:rsidR="008C2B61">
        <w:t>.</w:t>
      </w:r>
    </w:p>
    <w:p w:rsidR="00A7497A" w:rsidRPr="00A7497A" w:rsidRDefault="00A7497A" w:rsidP="00991F19">
      <w:pPr>
        <w:pStyle w:val="BodyText"/>
      </w:pPr>
      <w:r w:rsidRPr="00A7497A">
        <w:t xml:space="preserve">As was the case </w:t>
      </w:r>
      <w:r w:rsidR="00E15A4D">
        <w:t>in 2007,</w:t>
      </w:r>
      <w:r w:rsidRPr="00A7497A">
        <w:t xml:space="preserve"> a large percentage of initiatives still required improvements (all initiatives rated 4 or lower). </w:t>
      </w:r>
      <w:r w:rsidR="00E15A4D">
        <w:t xml:space="preserve">Just over </w:t>
      </w:r>
      <w:r w:rsidRPr="00A7497A">
        <w:t>51</w:t>
      </w:r>
      <w:r w:rsidR="001B735E">
        <w:t> per cent</w:t>
      </w:r>
      <w:r w:rsidRPr="00A7497A">
        <w:t xml:space="preserve"> of initiatives require</w:t>
      </w:r>
      <w:r w:rsidR="00E15A4D">
        <w:t>d</w:t>
      </w:r>
      <w:r w:rsidRPr="00A7497A">
        <w:t xml:space="preserve"> some improvement </w:t>
      </w:r>
      <w:r w:rsidR="00E15A4D">
        <w:t>in</w:t>
      </w:r>
      <w:r w:rsidR="00E15A4D" w:rsidRPr="00A7497A">
        <w:t xml:space="preserve"> </w:t>
      </w:r>
      <w:r w:rsidRPr="00A7497A">
        <w:t>implementation, 52</w:t>
      </w:r>
      <w:r w:rsidR="001B735E">
        <w:t> per cent</w:t>
      </w:r>
      <w:r w:rsidRPr="00A7497A">
        <w:t xml:space="preserve"> </w:t>
      </w:r>
      <w:r w:rsidR="00E15A4D">
        <w:t>in</w:t>
      </w:r>
      <w:r w:rsidR="00E15A4D" w:rsidRPr="00A7497A">
        <w:t xml:space="preserve"> </w:t>
      </w:r>
      <w:r w:rsidRPr="00A7497A">
        <w:t>the</w:t>
      </w:r>
      <w:r w:rsidR="00E15A4D">
        <w:t>ir</w:t>
      </w:r>
      <w:r w:rsidRPr="00A7497A">
        <w:t xml:space="preserve"> achievement of objectives, 63</w:t>
      </w:r>
      <w:r w:rsidR="001B735E">
        <w:t> per cent</w:t>
      </w:r>
      <w:r w:rsidRPr="00A7497A">
        <w:t xml:space="preserve"> </w:t>
      </w:r>
      <w:r w:rsidR="00E15A4D">
        <w:t>in</w:t>
      </w:r>
      <w:r w:rsidR="00E15A4D" w:rsidRPr="00A7497A">
        <w:t xml:space="preserve"> </w:t>
      </w:r>
      <w:r w:rsidRPr="00A7497A">
        <w:t>monitoring and evaluation and 59</w:t>
      </w:r>
      <w:r w:rsidR="001B735E">
        <w:t> per cent</w:t>
      </w:r>
      <w:r w:rsidRPr="00A7497A">
        <w:t xml:space="preserve"> </w:t>
      </w:r>
      <w:r w:rsidR="00E15A4D">
        <w:t>in</w:t>
      </w:r>
      <w:r w:rsidR="00E15A4D" w:rsidRPr="00A7497A">
        <w:t xml:space="preserve"> </w:t>
      </w:r>
      <w:r w:rsidR="00E15A4D">
        <w:t xml:space="preserve">producing </w:t>
      </w:r>
      <w:r w:rsidRPr="00A7497A">
        <w:t>sustainab</w:t>
      </w:r>
      <w:r w:rsidR="00E15A4D">
        <w:t xml:space="preserve">le </w:t>
      </w:r>
      <w:r w:rsidR="00E15A4D" w:rsidRPr="00D7139C">
        <w:t>impacts</w:t>
      </w:r>
      <w:r w:rsidRPr="00A7497A">
        <w:t xml:space="preserve">. Although there was a relatively minor change from </w:t>
      </w:r>
      <w:r w:rsidR="008D0E19">
        <w:t>2007</w:t>
      </w:r>
      <w:r w:rsidRPr="00A7497A">
        <w:t xml:space="preserve"> in the number of </w:t>
      </w:r>
      <w:r w:rsidR="008D0E19" w:rsidRPr="00A7497A">
        <w:t xml:space="preserve">initiatives </w:t>
      </w:r>
      <w:r w:rsidRPr="00A7497A">
        <w:t xml:space="preserve">rated 4 or lower, analysis shows an increase in the number of </w:t>
      </w:r>
      <w:r w:rsidR="008D0E19" w:rsidRPr="00A7497A">
        <w:t xml:space="preserve">initiatives </w:t>
      </w:r>
      <w:r w:rsidRPr="00A7497A">
        <w:t>rated as 4 (adequate).</w:t>
      </w:r>
      <w:r w:rsidR="006F7C08">
        <w:t xml:space="preserve"> </w:t>
      </w:r>
      <w:r w:rsidR="00F33A88">
        <w:t>Unlike i</w:t>
      </w:r>
      <w:r w:rsidRPr="00A7497A">
        <w:t>n 200</w:t>
      </w:r>
      <w:r w:rsidR="00F33A88">
        <w:t>7</w:t>
      </w:r>
      <w:r w:rsidRPr="00A7497A">
        <w:t xml:space="preserve">, </w:t>
      </w:r>
      <w:r w:rsidR="008D0E19">
        <w:t>no</w:t>
      </w:r>
      <w:r w:rsidRPr="00A7497A">
        <w:t xml:space="preserve"> initiative managers rated an aspect of their program as 1</w:t>
      </w:r>
      <w:r w:rsidR="008D0E19">
        <w:t xml:space="preserve"> or 2</w:t>
      </w:r>
      <w:r w:rsidR="00F33A88">
        <w:t xml:space="preserve"> in 2008</w:t>
      </w:r>
      <w:r w:rsidRPr="00A7497A">
        <w:t xml:space="preserve">. </w:t>
      </w:r>
      <w:r w:rsidR="00F33A88">
        <w:t xml:space="preserve">Although </w:t>
      </w:r>
      <w:r w:rsidRPr="00A7497A">
        <w:t>10</w:t>
      </w:r>
      <w:r w:rsidR="001B735E">
        <w:t> per cent</w:t>
      </w:r>
      <w:r w:rsidRPr="00A7497A">
        <w:t xml:space="preserve"> of initiative managers rated an aspect of their program as a 3</w:t>
      </w:r>
      <w:r w:rsidR="00F33A88">
        <w:t>,</w:t>
      </w:r>
      <w:r w:rsidRPr="00A7497A">
        <w:t xml:space="preserve"> </w:t>
      </w:r>
      <w:r w:rsidR="00F33A88" w:rsidRPr="00A7497A">
        <w:t xml:space="preserve">this </w:t>
      </w:r>
      <w:r w:rsidRPr="00A7497A">
        <w:t>is down from 21</w:t>
      </w:r>
      <w:r w:rsidR="001B735E">
        <w:t> per cent</w:t>
      </w:r>
      <w:r w:rsidRPr="00A7497A">
        <w:t xml:space="preserve"> </w:t>
      </w:r>
      <w:r w:rsidR="00F33A88">
        <w:t>in 2007.</w:t>
      </w:r>
      <w:r w:rsidRPr="00A7497A">
        <w:t xml:space="preserve"> </w:t>
      </w:r>
      <w:r w:rsidR="00F33A88">
        <w:t>Around</w:t>
      </w:r>
      <w:r w:rsidR="00F33A88" w:rsidRPr="00A7497A">
        <w:t xml:space="preserve"> </w:t>
      </w:r>
      <w:r w:rsidRPr="00A7497A">
        <w:t>46</w:t>
      </w:r>
      <w:r w:rsidR="001B735E">
        <w:t> per cent</w:t>
      </w:r>
      <w:r w:rsidRPr="00A7497A">
        <w:t xml:space="preserve"> of initiative managers rated an aspect of their program</w:t>
      </w:r>
      <w:r w:rsidR="00F33A88">
        <w:t>s</w:t>
      </w:r>
      <w:r w:rsidRPr="00A7497A">
        <w:t xml:space="preserve"> as 4</w:t>
      </w:r>
      <w:r w:rsidR="00F33A88">
        <w:t>,</w:t>
      </w:r>
      <w:r w:rsidRPr="00A7497A">
        <w:t xml:space="preserve"> </w:t>
      </w:r>
      <w:r w:rsidR="00F33A88">
        <w:t>which</w:t>
      </w:r>
      <w:r w:rsidR="00F33A88" w:rsidRPr="00A7497A">
        <w:t xml:space="preserve"> </w:t>
      </w:r>
      <w:r w:rsidRPr="00A7497A">
        <w:t>is up from 40</w:t>
      </w:r>
      <w:r w:rsidR="001B735E">
        <w:t> per cent</w:t>
      </w:r>
      <w:r w:rsidRPr="00A7497A">
        <w:t xml:space="preserve"> </w:t>
      </w:r>
      <w:r w:rsidR="00F33A88">
        <w:t>in 2007</w:t>
      </w:r>
      <w:r w:rsidRPr="00A7497A">
        <w:t xml:space="preserve">. </w:t>
      </w:r>
    </w:p>
    <w:p w:rsidR="001069AF" w:rsidRDefault="001069AF" w:rsidP="00991F19">
      <w:pPr>
        <w:sectPr w:rsidR="001069AF">
          <w:headerReference w:type="even" r:id="rId24"/>
          <w:footerReference w:type="even" r:id="rId25"/>
          <w:footerReference w:type="default" r:id="rId26"/>
          <w:pgSz w:w="11907" w:h="16840" w:code="9"/>
          <w:pgMar w:top="2381" w:right="1985" w:bottom="851" w:left="1985" w:header="851" w:footer="340" w:gutter="0"/>
          <w:cols w:space="720"/>
        </w:sectPr>
      </w:pPr>
    </w:p>
    <w:p w:rsidR="001069AF" w:rsidRDefault="001069AF" w:rsidP="00991F19">
      <w:pPr>
        <w:pStyle w:val="Caption"/>
        <w:spacing w:before="0"/>
      </w:pPr>
      <w:bookmarkStart w:id="167" w:name="_Toc201650409"/>
      <w:r>
        <w:lastRenderedPageBreak/>
        <w:t xml:space="preserve">Table </w:t>
      </w:r>
      <w:fldSimple w:instr=" SEQ Table \* MERGEFORMAT ">
        <w:r w:rsidR="009A291B">
          <w:rPr>
            <w:noProof/>
          </w:rPr>
          <w:t>3</w:t>
        </w:r>
      </w:fldSimple>
      <w:r>
        <w:t xml:space="preserve">: </w:t>
      </w:r>
      <w:bookmarkEnd w:id="167"/>
      <w:r w:rsidR="00431A12" w:rsidRPr="00431A12">
        <w:t>Quality at implementation</w:t>
      </w:r>
      <w:r w:rsidR="003F5ACA">
        <w:t xml:space="preserve"> of 27 initiatives in </w:t>
      </w:r>
      <w:r w:rsidR="008B40E5">
        <w:t xml:space="preserve">2007 and </w:t>
      </w:r>
      <w:r w:rsidR="003F5ACA">
        <w:t>2008</w:t>
      </w:r>
    </w:p>
    <w:tbl>
      <w:tblPr>
        <w:tblW w:w="0" w:type="auto"/>
        <w:tblInd w:w="93" w:type="dxa"/>
        <w:tblLook w:val="04A0" w:firstRow="1" w:lastRow="0" w:firstColumn="1" w:lastColumn="0" w:noHBand="0" w:noVBand="1"/>
      </w:tblPr>
      <w:tblGrid>
        <w:gridCol w:w="3803"/>
        <w:gridCol w:w="1809"/>
        <w:gridCol w:w="550"/>
        <w:gridCol w:w="535"/>
        <w:gridCol w:w="550"/>
        <w:gridCol w:w="550"/>
        <w:gridCol w:w="550"/>
        <w:gridCol w:w="550"/>
        <w:gridCol w:w="550"/>
        <w:gridCol w:w="550"/>
        <w:gridCol w:w="848"/>
        <w:gridCol w:w="837"/>
        <w:gridCol w:w="903"/>
      </w:tblGrid>
      <w:tr w:rsidR="005B027C" w:rsidRPr="005B027C" w:rsidTr="005B027C">
        <w:trPr>
          <w:cantSplit/>
          <w:trHeight w:val="376"/>
          <w:tblHeader/>
        </w:trPr>
        <w:tc>
          <w:tcPr>
            <w:tcW w:w="3803" w:type="dxa"/>
            <w:tcBorders>
              <w:top w:val="single" w:sz="8" w:space="0" w:color="auto"/>
              <w:left w:val="single" w:sz="8" w:space="0" w:color="auto"/>
              <w:bottom w:val="single" w:sz="8" w:space="0" w:color="auto"/>
              <w:right w:val="single" w:sz="8" w:space="0" w:color="auto"/>
            </w:tcBorders>
            <w:shd w:val="clear" w:color="000000" w:fill="DDCF56"/>
            <w:noWrap/>
            <w:vAlign w:val="center"/>
            <w:hideMark/>
          </w:tcPr>
          <w:p w:rsidR="005B027C" w:rsidRPr="005B027C" w:rsidRDefault="005B027C" w:rsidP="005B027C">
            <w:pPr>
              <w:rPr>
                <w:rFonts w:ascii="Franklin Gothic Medium" w:hAnsi="Franklin Gothic Medium"/>
                <w:color w:val="000000"/>
                <w:sz w:val="16"/>
                <w:szCs w:val="16"/>
                <w:lang w:val="en-CA" w:eastAsia="en-CA"/>
              </w:rPr>
            </w:pPr>
            <w:r w:rsidRPr="005B027C">
              <w:rPr>
                <w:rFonts w:ascii="Franklin Gothic Medium" w:hAnsi="Franklin Gothic Medium"/>
                <w:color w:val="000000"/>
                <w:sz w:val="16"/>
                <w:szCs w:val="16"/>
                <w:lang w:val="en-US" w:eastAsia="en-CA"/>
              </w:rPr>
              <w:t> </w:t>
            </w:r>
          </w:p>
        </w:tc>
        <w:tc>
          <w:tcPr>
            <w:tcW w:w="1809" w:type="dxa"/>
            <w:tcBorders>
              <w:top w:val="single" w:sz="8" w:space="0" w:color="auto"/>
              <w:left w:val="nil"/>
              <w:bottom w:val="single" w:sz="8" w:space="0" w:color="auto"/>
              <w:right w:val="single" w:sz="8" w:space="0" w:color="auto"/>
            </w:tcBorders>
            <w:shd w:val="clear" w:color="000000" w:fill="DDCF56"/>
            <w:noWrap/>
            <w:vAlign w:val="center"/>
            <w:hideMark/>
          </w:tcPr>
          <w:p w:rsidR="005B027C" w:rsidRPr="005B027C" w:rsidRDefault="005B027C" w:rsidP="005B027C">
            <w:pPr>
              <w:rPr>
                <w:rFonts w:ascii="Franklin Gothic Medium" w:hAnsi="Franklin Gothic Medium"/>
                <w:color w:val="000000"/>
                <w:sz w:val="16"/>
                <w:szCs w:val="16"/>
                <w:lang w:val="en-CA" w:eastAsia="en-CA"/>
              </w:rPr>
            </w:pPr>
            <w:r w:rsidRPr="005B027C">
              <w:rPr>
                <w:rFonts w:ascii="Franklin Gothic Medium" w:hAnsi="Franklin Gothic Medium"/>
                <w:color w:val="000000"/>
                <w:sz w:val="16"/>
                <w:szCs w:val="16"/>
                <w:lang w:val="en-US" w:eastAsia="en-CA"/>
              </w:rPr>
              <w:t> </w:t>
            </w:r>
          </w:p>
        </w:tc>
        <w:tc>
          <w:tcPr>
            <w:tcW w:w="2140" w:type="dxa"/>
            <w:gridSpan w:val="4"/>
            <w:tcBorders>
              <w:top w:val="single" w:sz="8" w:space="0" w:color="auto"/>
              <w:left w:val="nil"/>
              <w:bottom w:val="single" w:sz="8" w:space="0" w:color="auto"/>
              <w:right w:val="single" w:sz="8" w:space="0" w:color="000000"/>
            </w:tcBorders>
            <w:shd w:val="clear" w:color="000000" w:fill="DDCF56"/>
            <w:vAlign w:val="center"/>
            <w:hideMark/>
          </w:tcPr>
          <w:p w:rsidR="005B027C" w:rsidRPr="005B027C" w:rsidRDefault="005B027C" w:rsidP="005B027C">
            <w:pPr>
              <w:jc w:val="center"/>
              <w:rPr>
                <w:rFonts w:ascii="Franklin Gothic Medium" w:hAnsi="Franklin Gothic Medium"/>
                <w:color w:val="000000"/>
                <w:sz w:val="16"/>
                <w:szCs w:val="16"/>
                <w:lang w:val="en-CA" w:eastAsia="en-CA"/>
              </w:rPr>
            </w:pPr>
            <w:r w:rsidRPr="005B027C">
              <w:rPr>
                <w:rFonts w:ascii="Franklin Gothic Medium" w:hAnsi="Franklin Gothic Medium"/>
                <w:color w:val="000000"/>
                <w:sz w:val="16"/>
                <w:szCs w:val="16"/>
                <w:lang w:eastAsia="en-CA"/>
              </w:rPr>
              <w:t>2007 (last year)</w:t>
            </w:r>
          </w:p>
        </w:tc>
        <w:tc>
          <w:tcPr>
            <w:tcW w:w="2140" w:type="dxa"/>
            <w:gridSpan w:val="4"/>
            <w:tcBorders>
              <w:top w:val="single" w:sz="8" w:space="0" w:color="auto"/>
              <w:left w:val="nil"/>
              <w:bottom w:val="single" w:sz="8" w:space="0" w:color="auto"/>
              <w:right w:val="single" w:sz="8" w:space="0" w:color="000000"/>
            </w:tcBorders>
            <w:shd w:val="clear" w:color="000000" w:fill="DDCF56"/>
            <w:vAlign w:val="center"/>
            <w:hideMark/>
          </w:tcPr>
          <w:p w:rsidR="005B027C" w:rsidRPr="005B027C" w:rsidRDefault="005B027C" w:rsidP="005B027C">
            <w:pPr>
              <w:jc w:val="center"/>
              <w:rPr>
                <w:rFonts w:ascii="Franklin Gothic Medium" w:hAnsi="Franklin Gothic Medium"/>
                <w:color w:val="000000"/>
                <w:sz w:val="16"/>
                <w:szCs w:val="16"/>
                <w:lang w:val="en-CA" w:eastAsia="en-CA"/>
              </w:rPr>
            </w:pPr>
            <w:r w:rsidRPr="005B027C">
              <w:rPr>
                <w:rFonts w:ascii="Franklin Gothic Medium" w:hAnsi="Franklin Gothic Medium"/>
                <w:color w:val="000000"/>
                <w:sz w:val="16"/>
                <w:szCs w:val="16"/>
                <w:lang w:eastAsia="en-CA"/>
              </w:rPr>
              <w:t>2008</w:t>
            </w:r>
          </w:p>
        </w:tc>
        <w:tc>
          <w:tcPr>
            <w:tcW w:w="848" w:type="dxa"/>
            <w:tcBorders>
              <w:top w:val="single" w:sz="8" w:space="0" w:color="auto"/>
              <w:left w:val="nil"/>
              <w:bottom w:val="single" w:sz="8" w:space="0" w:color="auto"/>
              <w:right w:val="single" w:sz="8" w:space="0" w:color="auto"/>
            </w:tcBorders>
            <w:shd w:val="clear" w:color="000000" w:fill="DDCF56"/>
            <w:vAlign w:val="center"/>
            <w:hideMark/>
          </w:tcPr>
          <w:p w:rsidR="005B027C" w:rsidRPr="005B027C" w:rsidRDefault="005B027C" w:rsidP="005B027C">
            <w:pPr>
              <w:jc w:val="right"/>
              <w:rPr>
                <w:rFonts w:ascii="Franklin Gothic Medium" w:hAnsi="Franklin Gothic Medium"/>
                <w:color w:val="000000"/>
                <w:sz w:val="16"/>
                <w:szCs w:val="16"/>
                <w:lang w:val="en-CA" w:eastAsia="en-CA"/>
              </w:rPr>
            </w:pPr>
            <w:r w:rsidRPr="005B027C">
              <w:rPr>
                <w:rFonts w:ascii="Franklin Gothic Medium" w:hAnsi="Franklin Gothic Medium"/>
                <w:color w:val="000000"/>
                <w:sz w:val="16"/>
                <w:szCs w:val="16"/>
                <w:lang w:val="en-US" w:eastAsia="en-CA"/>
              </w:rPr>
              <w:t> </w:t>
            </w:r>
          </w:p>
        </w:tc>
        <w:tc>
          <w:tcPr>
            <w:tcW w:w="837" w:type="dxa"/>
            <w:tcBorders>
              <w:top w:val="single" w:sz="8" w:space="0" w:color="auto"/>
              <w:left w:val="nil"/>
              <w:bottom w:val="single" w:sz="8" w:space="0" w:color="auto"/>
              <w:right w:val="single" w:sz="8" w:space="0" w:color="auto"/>
            </w:tcBorders>
            <w:shd w:val="clear" w:color="000000" w:fill="DDCF56"/>
            <w:vAlign w:val="center"/>
            <w:hideMark/>
          </w:tcPr>
          <w:p w:rsidR="005B027C" w:rsidRPr="005B027C" w:rsidRDefault="005B027C" w:rsidP="005B027C">
            <w:pPr>
              <w:jc w:val="right"/>
              <w:rPr>
                <w:rFonts w:ascii="Franklin Gothic Medium" w:hAnsi="Franklin Gothic Medium"/>
                <w:color w:val="000000"/>
                <w:sz w:val="16"/>
                <w:szCs w:val="16"/>
                <w:lang w:val="en-CA" w:eastAsia="en-CA"/>
              </w:rPr>
            </w:pPr>
            <w:r w:rsidRPr="005B027C">
              <w:rPr>
                <w:rFonts w:ascii="Franklin Gothic Medium" w:hAnsi="Franklin Gothic Medium"/>
                <w:color w:val="000000"/>
                <w:sz w:val="16"/>
                <w:szCs w:val="16"/>
                <w:lang w:val="en-US" w:eastAsia="en-CA"/>
              </w:rPr>
              <w:t> </w:t>
            </w:r>
          </w:p>
        </w:tc>
        <w:tc>
          <w:tcPr>
            <w:tcW w:w="903" w:type="dxa"/>
            <w:tcBorders>
              <w:top w:val="single" w:sz="8" w:space="0" w:color="auto"/>
              <w:left w:val="nil"/>
              <w:bottom w:val="single" w:sz="8" w:space="0" w:color="auto"/>
              <w:right w:val="single" w:sz="8" w:space="0" w:color="auto"/>
            </w:tcBorders>
            <w:shd w:val="clear" w:color="000000" w:fill="DDCF56"/>
            <w:vAlign w:val="center"/>
            <w:hideMark/>
          </w:tcPr>
          <w:p w:rsidR="005B027C" w:rsidRPr="005B027C" w:rsidRDefault="005B027C" w:rsidP="005B027C">
            <w:pPr>
              <w:jc w:val="right"/>
              <w:rPr>
                <w:rFonts w:ascii="Franklin Gothic Medium" w:hAnsi="Franklin Gothic Medium"/>
                <w:color w:val="000000"/>
                <w:sz w:val="16"/>
                <w:szCs w:val="16"/>
                <w:lang w:val="en-CA" w:eastAsia="en-CA"/>
              </w:rPr>
            </w:pPr>
            <w:r w:rsidRPr="005B027C">
              <w:rPr>
                <w:rFonts w:ascii="Franklin Gothic Medium" w:hAnsi="Franklin Gothic Medium"/>
                <w:color w:val="000000"/>
                <w:sz w:val="16"/>
                <w:szCs w:val="16"/>
                <w:lang w:val="en-US" w:eastAsia="en-CA"/>
              </w:rPr>
              <w:t> </w:t>
            </w:r>
          </w:p>
        </w:tc>
      </w:tr>
      <w:tr w:rsidR="005B027C" w:rsidRPr="005B027C" w:rsidTr="005B027C">
        <w:trPr>
          <w:cantSplit/>
          <w:trHeight w:val="2110"/>
          <w:tblHeader/>
        </w:trPr>
        <w:tc>
          <w:tcPr>
            <w:tcW w:w="3803" w:type="dxa"/>
            <w:tcBorders>
              <w:top w:val="nil"/>
              <w:left w:val="single" w:sz="8" w:space="0" w:color="auto"/>
              <w:bottom w:val="single" w:sz="12" w:space="0" w:color="auto"/>
              <w:right w:val="single" w:sz="8" w:space="0" w:color="auto"/>
            </w:tcBorders>
            <w:shd w:val="clear" w:color="000000" w:fill="DDCF56"/>
            <w:noWrap/>
            <w:vAlign w:val="center"/>
            <w:hideMark/>
          </w:tcPr>
          <w:p w:rsidR="005B027C" w:rsidRPr="005B027C" w:rsidRDefault="005B027C" w:rsidP="005B027C">
            <w:pPr>
              <w:rPr>
                <w:rFonts w:ascii="Franklin Gothic Medium" w:hAnsi="Franklin Gothic Medium"/>
                <w:color w:val="000000"/>
                <w:sz w:val="16"/>
                <w:szCs w:val="16"/>
                <w:lang w:val="en-CA" w:eastAsia="en-CA"/>
              </w:rPr>
            </w:pPr>
            <w:r w:rsidRPr="005B027C">
              <w:rPr>
                <w:rFonts w:ascii="Franklin Gothic Medium" w:hAnsi="Franklin Gothic Medium"/>
                <w:color w:val="000000"/>
                <w:spacing w:val="-2"/>
                <w:sz w:val="16"/>
                <w:szCs w:val="16"/>
                <w:lang w:val="en-US" w:eastAsia="en-CA"/>
              </w:rPr>
              <w:t>Initiative</w:t>
            </w:r>
          </w:p>
        </w:tc>
        <w:tc>
          <w:tcPr>
            <w:tcW w:w="1809" w:type="dxa"/>
            <w:tcBorders>
              <w:top w:val="nil"/>
              <w:left w:val="nil"/>
              <w:bottom w:val="single" w:sz="12" w:space="0" w:color="auto"/>
              <w:right w:val="single" w:sz="8" w:space="0" w:color="auto"/>
            </w:tcBorders>
            <w:shd w:val="clear" w:color="000000" w:fill="DDCF56"/>
            <w:noWrap/>
            <w:vAlign w:val="center"/>
            <w:hideMark/>
          </w:tcPr>
          <w:p w:rsidR="005B027C" w:rsidRPr="005B027C" w:rsidRDefault="005B027C" w:rsidP="005B027C">
            <w:pPr>
              <w:rPr>
                <w:rFonts w:ascii="Franklin Gothic Medium" w:hAnsi="Franklin Gothic Medium"/>
                <w:color w:val="000000"/>
                <w:sz w:val="16"/>
                <w:szCs w:val="16"/>
                <w:lang w:val="en-CA" w:eastAsia="en-CA"/>
              </w:rPr>
            </w:pPr>
            <w:r w:rsidRPr="005B027C">
              <w:rPr>
                <w:rFonts w:ascii="Franklin Gothic Medium" w:hAnsi="Franklin Gothic Medium"/>
                <w:color w:val="000000"/>
                <w:spacing w:val="-2"/>
                <w:sz w:val="16"/>
                <w:szCs w:val="16"/>
                <w:lang w:val="en-US" w:eastAsia="en-CA"/>
              </w:rPr>
              <w:t>Sector</w:t>
            </w:r>
          </w:p>
        </w:tc>
        <w:tc>
          <w:tcPr>
            <w:tcW w:w="535" w:type="dxa"/>
            <w:tcBorders>
              <w:top w:val="nil"/>
              <w:left w:val="nil"/>
              <w:bottom w:val="single" w:sz="12" w:space="0" w:color="auto"/>
              <w:right w:val="single" w:sz="8" w:space="0" w:color="auto"/>
            </w:tcBorders>
            <w:shd w:val="clear" w:color="000000" w:fill="DDCF56"/>
            <w:textDirection w:val="btLr"/>
            <w:vAlign w:val="center"/>
            <w:hideMark/>
          </w:tcPr>
          <w:p w:rsidR="005B027C" w:rsidRPr="005B027C" w:rsidRDefault="005B027C" w:rsidP="005B027C">
            <w:pPr>
              <w:jc w:val="center"/>
              <w:rPr>
                <w:rFonts w:ascii="Franklin Gothic Medium" w:hAnsi="Franklin Gothic Medium"/>
                <w:color w:val="000000"/>
                <w:sz w:val="16"/>
                <w:szCs w:val="16"/>
                <w:lang w:val="en-CA" w:eastAsia="en-CA"/>
              </w:rPr>
            </w:pPr>
            <w:r w:rsidRPr="005B027C">
              <w:rPr>
                <w:rFonts w:ascii="Franklin Gothic Medium" w:hAnsi="Franklin Gothic Medium"/>
                <w:color w:val="000000"/>
                <w:spacing w:val="-2"/>
                <w:sz w:val="16"/>
                <w:szCs w:val="16"/>
                <w:lang w:val="en-US" w:eastAsia="en-CA"/>
              </w:rPr>
              <w:t>Implementation progress</w:t>
            </w:r>
          </w:p>
        </w:tc>
        <w:tc>
          <w:tcPr>
            <w:tcW w:w="535" w:type="dxa"/>
            <w:tcBorders>
              <w:top w:val="nil"/>
              <w:left w:val="nil"/>
              <w:bottom w:val="single" w:sz="12" w:space="0" w:color="auto"/>
              <w:right w:val="single" w:sz="8" w:space="0" w:color="auto"/>
            </w:tcBorders>
            <w:shd w:val="clear" w:color="000000" w:fill="DDCF56"/>
            <w:textDirection w:val="btLr"/>
            <w:vAlign w:val="center"/>
            <w:hideMark/>
          </w:tcPr>
          <w:p w:rsidR="005B027C" w:rsidRPr="005B027C" w:rsidRDefault="005B027C" w:rsidP="005B027C">
            <w:pPr>
              <w:jc w:val="center"/>
              <w:rPr>
                <w:rFonts w:ascii="Franklin Gothic Medium" w:hAnsi="Franklin Gothic Medium"/>
                <w:color w:val="000000"/>
                <w:sz w:val="16"/>
                <w:szCs w:val="16"/>
                <w:lang w:val="en-CA" w:eastAsia="en-CA"/>
              </w:rPr>
            </w:pPr>
            <w:r w:rsidRPr="005B027C">
              <w:rPr>
                <w:rFonts w:ascii="Franklin Gothic Medium" w:hAnsi="Franklin Gothic Medium"/>
                <w:color w:val="000000"/>
                <w:spacing w:val="-2"/>
                <w:sz w:val="16"/>
                <w:szCs w:val="16"/>
                <w:lang w:val="en-US" w:eastAsia="en-CA"/>
              </w:rPr>
              <w:t>Achieving objectives</w:t>
            </w:r>
          </w:p>
        </w:tc>
        <w:tc>
          <w:tcPr>
            <w:tcW w:w="535" w:type="dxa"/>
            <w:tcBorders>
              <w:top w:val="nil"/>
              <w:left w:val="nil"/>
              <w:bottom w:val="single" w:sz="12" w:space="0" w:color="auto"/>
              <w:right w:val="single" w:sz="8" w:space="0" w:color="auto"/>
            </w:tcBorders>
            <w:shd w:val="clear" w:color="000000" w:fill="DDCF56"/>
            <w:textDirection w:val="btLr"/>
            <w:vAlign w:val="center"/>
            <w:hideMark/>
          </w:tcPr>
          <w:p w:rsidR="005B027C" w:rsidRPr="005B027C" w:rsidRDefault="005B027C" w:rsidP="005B027C">
            <w:pPr>
              <w:jc w:val="center"/>
              <w:rPr>
                <w:rFonts w:ascii="Franklin Gothic Medium" w:hAnsi="Franklin Gothic Medium"/>
                <w:color w:val="000000"/>
                <w:sz w:val="16"/>
                <w:szCs w:val="16"/>
                <w:lang w:val="en-CA" w:eastAsia="en-CA"/>
              </w:rPr>
            </w:pPr>
            <w:r w:rsidRPr="005B027C">
              <w:rPr>
                <w:rFonts w:ascii="Franklin Gothic Medium" w:hAnsi="Franklin Gothic Medium"/>
                <w:color w:val="000000"/>
                <w:spacing w:val="-2"/>
                <w:sz w:val="16"/>
                <w:szCs w:val="16"/>
                <w:lang w:val="en-US" w:eastAsia="en-CA"/>
              </w:rPr>
              <w:t>Monitoring &amp; evaluation</w:t>
            </w:r>
          </w:p>
        </w:tc>
        <w:tc>
          <w:tcPr>
            <w:tcW w:w="535" w:type="dxa"/>
            <w:tcBorders>
              <w:top w:val="nil"/>
              <w:left w:val="nil"/>
              <w:bottom w:val="single" w:sz="12" w:space="0" w:color="auto"/>
              <w:right w:val="single" w:sz="8" w:space="0" w:color="auto"/>
            </w:tcBorders>
            <w:shd w:val="clear" w:color="000000" w:fill="DDCF56"/>
            <w:textDirection w:val="btLr"/>
            <w:vAlign w:val="center"/>
            <w:hideMark/>
          </w:tcPr>
          <w:p w:rsidR="005B027C" w:rsidRPr="005B027C" w:rsidRDefault="005B027C" w:rsidP="005B027C">
            <w:pPr>
              <w:jc w:val="center"/>
              <w:rPr>
                <w:rFonts w:ascii="Franklin Gothic Medium" w:hAnsi="Franklin Gothic Medium"/>
                <w:color w:val="000000"/>
                <w:sz w:val="16"/>
                <w:szCs w:val="16"/>
                <w:lang w:val="en-CA" w:eastAsia="en-CA"/>
              </w:rPr>
            </w:pPr>
            <w:r w:rsidRPr="005B027C">
              <w:rPr>
                <w:rFonts w:ascii="Franklin Gothic Medium" w:hAnsi="Franklin Gothic Medium"/>
                <w:color w:val="000000"/>
                <w:spacing w:val="-2"/>
                <w:sz w:val="16"/>
                <w:szCs w:val="16"/>
                <w:lang w:val="en-US" w:eastAsia="en-CA"/>
              </w:rPr>
              <w:t>Sustainability</w:t>
            </w:r>
          </w:p>
        </w:tc>
        <w:tc>
          <w:tcPr>
            <w:tcW w:w="535" w:type="dxa"/>
            <w:tcBorders>
              <w:top w:val="nil"/>
              <w:left w:val="nil"/>
              <w:bottom w:val="single" w:sz="12" w:space="0" w:color="auto"/>
              <w:right w:val="single" w:sz="8" w:space="0" w:color="auto"/>
            </w:tcBorders>
            <w:shd w:val="clear" w:color="000000" w:fill="DDCF56"/>
            <w:textDirection w:val="btLr"/>
            <w:vAlign w:val="center"/>
            <w:hideMark/>
          </w:tcPr>
          <w:p w:rsidR="005B027C" w:rsidRPr="005B027C" w:rsidRDefault="005B027C" w:rsidP="005B027C">
            <w:pPr>
              <w:jc w:val="center"/>
              <w:rPr>
                <w:rFonts w:ascii="Franklin Gothic Medium" w:hAnsi="Franklin Gothic Medium"/>
                <w:color w:val="000000"/>
                <w:sz w:val="16"/>
                <w:szCs w:val="16"/>
                <w:lang w:val="en-CA" w:eastAsia="en-CA"/>
              </w:rPr>
            </w:pPr>
            <w:r w:rsidRPr="005B027C">
              <w:rPr>
                <w:rFonts w:ascii="Franklin Gothic Medium" w:hAnsi="Franklin Gothic Medium"/>
                <w:color w:val="000000"/>
                <w:spacing w:val="-2"/>
                <w:sz w:val="16"/>
                <w:szCs w:val="16"/>
                <w:lang w:val="en-US" w:eastAsia="en-CA"/>
              </w:rPr>
              <w:t>Implementation progress</w:t>
            </w:r>
          </w:p>
        </w:tc>
        <w:tc>
          <w:tcPr>
            <w:tcW w:w="535" w:type="dxa"/>
            <w:tcBorders>
              <w:top w:val="nil"/>
              <w:left w:val="nil"/>
              <w:bottom w:val="single" w:sz="12" w:space="0" w:color="auto"/>
              <w:right w:val="single" w:sz="8" w:space="0" w:color="auto"/>
            </w:tcBorders>
            <w:shd w:val="clear" w:color="000000" w:fill="DDCF56"/>
            <w:textDirection w:val="btLr"/>
            <w:vAlign w:val="center"/>
            <w:hideMark/>
          </w:tcPr>
          <w:p w:rsidR="005B027C" w:rsidRPr="005B027C" w:rsidRDefault="005B027C" w:rsidP="005B027C">
            <w:pPr>
              <w:jc w:val="center"/>
              <w:rPr>
                <w:rFonts w:ascii="Franklin Gothic Medium" w:hAnsi="Franklin Gothic Medium"/>
                <w:color w:val="000000"/>
                <w:sz w:val="16"/>
                <w:szCs w:val="16"/>
                <w:lang w:val="en-CA" w:eastAsia="en-CA"/>
              </w:rPr>
            </w:pPr>
            <w:r w:rsidRPr="005B027C">
              <w:rPr>
                <w:rFonts w:ascii="Franklin Gothic Medium" w:hAnsi="Franklin Gothic Medium"/>
                <w:color w:val="000000"/>
                <w:spacing w:val="-2"/>
                <w:sz w:val="16"/>
                <w:szCs w:val="16"/>
                <w:lang w:val="en-US" w:eastAsia="en-CA"/>
              </w:rPr>
              <w:t>Achieving objectives</w:t>
            </w:r>
          </w:p>
        </w:tc>
        <w:tc>
          <w:tcPr>
            <w:tcW w:w="535" w:type="dxa"/>
            <w:tcBorders>
              <w:top w:val="nil"/>
              <w:left w:val="nil"/>
              <w:bottom w:val="single" w:sz="12" w:space="0" w:color="auto"/>
              <w:right w:val="single" w:sz="8" w:space="0" w:color="auto"/>
            </w:tcBorders>
            <w:shd w:val="clear" w:color="000000" w:fill="DDCF56"/>
            <w:textDirection w:val="btLr"/>
            <w:vAlign w:val="center"/>
            <w:hideMark/>
          </w:tcPr>
          <w:p w:rsidR="005B027C" w:rsidRPr="005B027C" w:rsidRDefault="005B027C" w:rsidP="005B027C">
            <w:pPr>
              <w:jc w:val="center"/>
              <w:rPr>
                <w:rFonts w:ascii="Franklin Gothic Medium" w:hAnsi="Franklin Gothic Medium"/>
                <w:color w:val="000000"/>
                <w:sz w:val="16"/>
                <w:szCs w:val="16"/>
                <w:lang w:val="en-CA" w:eastAsia="en-CA"/>
              </w:rPr>
            </w:pPr>
            <w:r w:rsidRPr="005B027C">
              <w:rPr>
                <w:rFonts w:ascii="Franklin Gothic Medium" w:hAnsi="Franklin Gothic Medium"/>
                <w:color w:val="000000"/>
                <w:spacing w:val="-2"/>
                <w:sz w:val="16"/>
                <w:szCs w:val="16"/>
                <w:lang w:val="en-US" w:eastAsia="en-CA"/>
              </w:rPr>
              <w:t>Monitoring &amp; evaluation</w:t>
            </w:r>
          </w:p>
        </w:tc>
        <w:tc>
          <w:tcPr>
            <w:tcW w:w="535" w:type="dxa"/>
            <w:tcBorders>
              <w:top w:val="nil"/>
              <w:left w:val="nil"/>
              <w:bottom w:val="single" w:sz="12" w:space="0" w:color="auto"/>
              <w:right w:val="single" w:sz="8" w:space="0" w:color="auto"/>
            </w:tcBorders>
            <w:shd w:val="clear" w:color="000000" w:fill="DDCF56"/>
            <w:textDirection w:val="btLr"/>
            <w:vAlign w:val="center"/>
            <w:hideMark/>
          </w:tcPr>
          <w:p w:rsidR="005B027C" w:rsidRPr="005B027C" w:rsidRDefault="005B027C" w:rsidP="005B027C">
            <w:pPr>
              <w:jc w:val="center"/>
              <w:rPr>
                <w:rFonts w:ascii="Franklin Gothic Medium" w:hAnsi="Franklin Gothic Medium"/>
                <w:color w:val="000000"/>
                <w:sz w:val="16"/>
                <w:szCs w:val="16"/>
                <w:lang w:val="en-CA" w:eastAsia="en-CA"/>
              </w:rPr>
            </w:pPr>
            <w:r w:rsidRPr="005B027C">
              <w:rPr>
                <w:rFonts w:ascii="Franklin Gothic Medium" w:hAnsi="Franklin Gothic Medium"/>
                <w:color w:val="000000"/>
                <w:spacing w:val="-2"/>
                <w:sz w:val="16"/>
                <w:szCs w:val="16"/>
                <w:lang w:val="en-US" w:eastAsia="en-CA"/>
              </w:rPr>
              <w:t>Sustainability</w:t>
            </w:r>
          </w:p>
        </w:tc>
        <w:tc>
          <w:tcPr>
            <w:tcW w:w="848" w:type="dxa"/>
            <w:tcBorders>
              <w:top w:val="nil"/>
              <w:left w:val="nil"/>
              <w:bottom w:val="single" w:sz="12" w:space="0" w:color="auto"/>
              <w:right w:val="single" w:sz="8" w:space="0" w:color="auto"/>
            </w:tcBorders>
            <w:shd w:val="clear" w:color="000000" w:fill="DDCF56"/>
            <w:vAlign w:val="center"/>
            <w:hideMark/>
          </w:tcPr>
          <w:p w:rsidR="005B027C" w:rsidRPr="005B027C" w:rsidRDefault="005B027C" w:rsidP="005B027C">
            <w:pPr>
              <w:jc w:val="right"/>
              <w:rPr>
                <w:rFonts w:ascii="Franklin Gothic Medium" w:hAnsi="Franklin Gothic Medium"/>
                <w:color w:val="000000"/>
                <w:sz w:val="16"/>
                <w:szCs w:val="16"/>
                <w:lang w:val="en-CA" w:eastAsia="en-CA"/>
              </w:rPr>
            </w:pPr>
            <w:r w:rsidRPr="005B027C">
              <w:rPr>
                <w:rFonts w:ascii="Franklin Gothic Medium" w:hAnsi="Franklin Gothic Medium"/>
                <w:color w:val="000000"/>
                <w:spacing w:val="-2"/>
                <w:sz w:val="16"/>
                <w:szCs w:val="16"/>
                <w:lang w:val="en-US" w:eastAsia="en-CA"/>
              </w:rPr>
              <w:t>Start date</w:t>
            </w:r>
          </w:p>
        </w:tc>
        <w:tc>
          <w:tcPr>
            <w:tcW w:w="837" w:type="dxa"/>
            <w:tcBorders>
              <w:top w:val="nil"/>
              <w:left w:val="nil"/>
              <w:bottom w:val="single" w:sz="12" w:space="0" w:color="auto"/>
              <w:right w:val="single" w:sz="8" w:space="0" w:color="auto"/>
            </w:tcBorders>
            <w:shd w:val="clear" w:color="000000" w:fill="DDCF56"/>
            <w:vAlign w:val="center"/>
            <w:hideMark/>
          </w:tcPr>
          <w:p w:rsidR="005B027C" w:rsidRPr="005B027C" w:rsidRDefault="005B027C" w:rsidP="005B027C">
            <w:pPr>
              <w:jc w:val="right"/>
              <w:rPr>
                <w:rFonts w:ascii="Franklin Gothic Medium" w:hAnsi="Franklin Gothic Medium"/>
                <w:color w:val="000000"/>
                <w:sz w:val="16"/>
                <w:szCs w:val="16"/>
                <w:lang w:val="en-CA" w:eastAsia="en-CA"/>
              </w:rPr>
            </w:pPr>
            <w:r w:rsidRPr="005B027C">
              <w:rPr>
                <w:rFonts w:ascii="Franklin Gothic Medium" w:hAnsi="Franklin Gothic Medium"/>
                <w:color w:val="000000"/>
                <w:spacing w:val="-2"/>
                <w:sz w:val="16"/>
                <w:szCs w:val="16"/>
                <w:lang w:val="en-US" w:eastAsia="en-CA"/>
              </w:rPr>
              <w:t>End date</w:t>
            </w:r>
          </w:p>
        </w:tc>
        <w:tc>
          <w:tcPr>
            <w:tcW w:w="903" w:type="dxa"/>
            <w:tcBorders>
              <w:top w:val="nil"/>
              <w:left w:val="nil"/>
              <w:bottom w:val="single" w:sz="12" w:space="0" w:color="auto"/>
              <w:right w:val="single" w:sz="8" w:space="0" w:color="auto"/>
            </w:tcBorders>
            <w:shd w:val="clear" w:color="000000" w:fill="DDCF56"/>
            <w:vAlign w:val="center"/>
            <w:hideMark/>
          </w:tcPr>
          <w:p w:rsidR="005B027C" w:rsidRPr="005B027C" w:rsidRDefault="005B027C" w:rsidP="005B027C">
            <w:pPr>
              <w:jc w:val="right"/>
              <w:rPr>
                <w:rFonts w:ascii="Franklin Gothic Medium" w:hAnsi="Franklin Gothic Medium"/>
                <w:color w:val="000000"/>
                <w:sz w:val="16"/>
                <w:szCs w:val="16"/>
                <w:lang w:val="en-CA" w:eastAsia="en-CA"/>
              </w:rPr>
            </w:pPr>
            <w:r w:rsidRPr="005B027C">
              <w:rPr>
                <w:rFonts w:ascii="Franklin Gothic Medium" w:hAnsi="Franklin Gothic Medium"/>
                <w:color w:val="000000"/>
                <w:spacing w:val="-2"/>
                <w:sz w:val="16"/>
                <w:szCs w:val="16"/>
                <w:lang w:val="en-US" w:eastAsia="en-CA"/>
              </w:rPr>
              <w:t>Approved funding</w:t>
            </w:r>
          </w:p>
        </w:tc>
      </w:tr>
      <w:tr w:rsidR="005B027C" w:rsidRPr="005B027C" w:rsidTr="005B027C">
        <w:trPr>
          <w:cantSplit/>
          <w:trHeight w:val="330"/>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PNG–Australia Agriculture Research and Development</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Rural development</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r w:rsidR="005B027C"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0905BE" w:rsidRDefault="005B027C" w:rsidP="005B027C">
            <w:pPr>
              <w:jc w:val="center"/>
              <w:rPr>
                <w:rFonts w:ascii="Franklin Gothic Book" w:hAnsi="Franklin Gothic Book"/>
                <w:color w:val="000000"/>
                <w:sz w:val="10"/>
                <w:szCs w:val="10"/>
                <w:lang w:val="en-CA" w:eastAsia="en-CA"/>
              </w:rPr>
            </w:pPr>
            <w:r w:rsidRPr="000905BE">
              <w:rPr>
                <w:rFonts w:ascii="Franklin Gothic Book" w:hAnsi="Franklin Gothic Book"/>
                <w:color w:val="FFC000"/>
                <w:sz w:val="10"/>
                <w:szCs w:val="10"/>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r w:rsidR="005B027C"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auto"/>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r w:rsidR="005B027C" w:rsidRPr="005B027C">
              <w:rPr>
                <w:rFonts w:ascii="Franklin Gothic Book" w:hAnsi="Franklin Gothic Book"/>
                <w:color w:val="000000"/>
                <w:sz w:val="16"/>
                <w:szCs w:val="16"/>
                <w:lang w:val="en-US" w:eastAsia="en-CA"/>
              </w:rPr>
              <w:t> </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01-Jul-06</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30-Jun-11</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8 521 324</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ACIAR–</w:t>
            </w:r>
            <w:proofErr w:type="spellStart"/>
            <w:r w:rsidRPr="005B027C">
              <w:rPr>
                <w:rFonts w:ascii="Franklin Gothic Book" w:hAnsi="Franklin Gothic Book"/>
                <w:color w:val="000000"/>
                <w:sz w:val="16"/>
                <w:szCs w:val="16"/>
                <w:lang w:val="en-US" w:eastAsia="en-CA"/>
              </w:rPr>
              <w:t>AusAID</w:t>
            </w:r>
            <w:proofErr w:type="spellEnd"/>
            <w:r w:rsidRPr="005B027C">
              <w:rPr>
                <w:rFonts w:ascii="Franklin Gothic Book" w:hAnsi="Franklin Gothic Book"/>
                <w:color w:val="000000"/>
                <w:sz w:val="16"/>
                <w:szCs w:val="16"/>
                <w:lang w:val="en-US" w:eastAsia="en-CA"/>
              </w:rPr>
              <w:t xml:space="preserve"> Partnership for PNG Agriculture</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Rural development</w:t>
            </w:r>
          </w:p>
        </w:tc>
        <w:tc>
          <w:tcPr>
            <w:tcW w:w="535" w:type="dxa"/>
            <w:tcBorders>
              <w:top w:val="nil"/>
              <w:left w:val="nil"/>
              <w:bottom w:val="single" w:sz="8" w:space="0" w:color="808080"/>
              <w:right w:val="single" w:sz="8" w:space="0" w:color="808080"/>
            </w:tcBorders>
            <w:shd w:val="clear" w:color="auto" w:fill="auto"/>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808080"/>
            </w:tcBorders>
            <w:shd w:val="clear" w:color="auto" w:fill="auto"/>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808080"/>
            </w:tcBorders>
            <w:shd w:val="clear" w:color="auto" w:fill="auto"/>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auto"/>
            </w:tcBorders>
            <w:shd w:val="clear" w:color="auto" w:fill="auto"/>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r w:rsidR="005B027C"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01-Sep-08</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30-Jun-12</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2 250 000</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PNG Incentive Fund</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pacing w:val="-2"/>
                <w:sz w:val="16"/>
                <w:szCs w:val="16"/>
                <w:lang w:val="en-US" w:eastAsia="en-CA"/>
              </w:rPr>
              <w:t>Policy, coordination, quality</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r w:rsidR="005B027C"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r w:rsidR="005B027C"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auto"/>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auto"/>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16-Aug-99</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31-Dec-09</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5 000 000</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PNG Research Program</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pacing w:val="-2"/>
                <w:sz w:val="16"/>
                <w:szCs w:val="16"/>
                <w:lang w:val="en-US" w:eastAsia="en-CA"/>
              </w:rPr>
              <w:t>Policy, coordination, quality</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FF00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0000"/>
                <w:sz w:val="10"/>
                <w:szCs w:val="10"/>
              </w:rPr>
              <w:t>Red</w:t>
            </w:r>
            <w:r w:rsidR="005B027C"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auto"/>
            </w:tcBorders>
            <w:shd w:val="clear" w:color="000000" w:fill="FF00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0000"/>
                <w:sz w:val="10"/>
                <w:szCs w:val="10"/>
              </w:rPr>
              <w:t>Red</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r w:rsidR="005B027C"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auto"/>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13-Sep-99</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31-Dec-10</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626 060</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PNG Transport Sector Support Program</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Infrastructure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99CC00"/>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auto"/>
            </w:tcBorders>
            <w:shd w:val="clear" w:color="000000" w:fill="99CC00"/>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22-May-06</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30-Jun-12</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46 030 978</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Key Roads for Growth Maintenance Project</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Infrastructure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auto"/>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19-Aug-02</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07-Feb-10</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10 776 288</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PNG Pandemics and EID Program</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Humanitarian</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color w:val="FF9900"/>
                <w:sz w:val="10"/>
                <w:szCs w:val="10"/>
              </w:rPr>
              <w:t>Amber</w:t>
            </w:r>
          </w:p>
        </w:tc>
        <w:tc>
          <w:tcPr>
            <w:tcW w:w="535" w:type="dxa"/>
            <w:tcBorders>
              <w:top w:val="nil"/>
              <w:left w:val="nil"/>
              <w:bottom w:val="single" w:sz="8" w:space="0" w:color="808080"/>
              <w:right w:val="single" w:sz="8" w:space="0" w:color="auto"/>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01-Jul-06</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30-Jun-10</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1 418 000</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proofErr w:type="spellStart"/>
            <w:r w:rsidRPr="005B027C">
              <w:rPr>
                <w:rFonts w:ascii="Franklin Gothic Book" w:hAnsi="Franklin Gothic Book"/>
                <w:color w:val="000000"/>
                <w:sz w:val="16"/>
                <w:szCs w:val="16"/>
                <w:lang w:val="en-US" w:eastAsia="en-CA"/>
              </w:rPr>
              <w:t>Sanap</w:t>
            </w:r>
            <w:proofErr w:type="spellEnd"/>
            <w:r w:rsidRPr="005B027C">
              <w:rPr>
                <w:rFonts w:ascii="Franklin Gothic Book" w:hAnsi="Franklin Gothic Book"/>
                <w:color w:val="000000"/>
                <w:sz w:val="16"/>
                <w:szCs w:val="16"/>
                <w:lang w:val="en-US" w:eastAsia="en-CA"/>
              </w:rPr>
              <w:t xml:space="preserve"> </w:t>
            </w:r>
            <w:proofErr w:type="spellStart"/>
            <w:r w:rsidRPr="005B027C">
              <w:rPr>
                <w:rFonts w:ascii="Franklin Gothic Book" w:hAnsi="Franklin Gothic Book"/>
                <w:color w:val="000000"/>
                <w:sz w:val="16"/>
                <w:szCs w:val="16"/>
                <w:lang w:val="en-US" w:eastAsia="en-CA"/>
              </w:rPr>
              <w:t>Wantaim</w:t>
            </w:r>
            <w:proofErr w:type="spellEnd"/>
            <w:r w:rsidRPr="005B027C">
              <w:rPr>
                <w:rFonts w:ascii="Franklin Gothic Book" w:hAnsi="Franklin Gothic Book"/>
                <w:color w:val="000000"/>
                <w:sz w:val="16"/>
                <w:szCs w:val="16"/>
                <w:lang w:val="en-US" w:eastAsia="en-CA"/>
              </w:rPr>
              <w:t>, PNG–Australia HIV and AIDS Program</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HIV/AIDS</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01-Nov-06</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31-Dec-13</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25 375 000</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Health: Capacity Building Service Centre</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Health</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auto"/>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11-Aug-04</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31-Dec-10</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14 500 000</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Health Sector Resourcing Framework</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Health</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r w:rsidR="005B027C"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03-Mar-03</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30-Apr-12</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13 106 389</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Health Program Response to HIV/AIDS</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Health</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auto"/>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01-Aug-06</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31-Dec-12</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10 520 000</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PNG Institute of Medical Research Phase 2</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Health</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01-Jan-07</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31-Dec-11</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2 100 000</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Tertiary Health Services Phase 3</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Health</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color w:val="FF9900"/>
                <w:sz w:val="10"/>
                <w:szCs w:val="10"/>
              </w:rPr>
              <w:t>Amber</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03-Sep-02</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28-Feb-09</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523 221</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WHO Technical Support Health Sector in PNG</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Health</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23-May-06</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30-Jun-09</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835 855</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Advisory Support Facility Phase 2</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Governance</w:t>
            </w:r>
          </w:p>
        </w:tc>
        <w:tc>
          <w:tcPr>
            <w:tcW w:w="535" w:type="dxa"/>
            <w:tcBorders>
              <w:top w:val="nil"/>
              <w:left w:val="nil"/>
              <w:bottom w:val="single" w:sz="8" w:space="0" w:color="808080"/>
              <w:right w:val="single" w:sz="8" w:space="0" w:color="808080"/>
            </w:tcBorders>
            <w:shd w:val="clear" w:color="000000" w:fill="99CC00"/>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99CC00"/>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auto"/>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03-Jun-02</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31-Dec-09</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17 821 473</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pacing w:val="-2"/>
                <w:sz w:val="16"/>
                <w:szCs w:val="16"/>
                <w:lang w:val="en-US" w:eastAsia="en-CA"/>
              </w:rPr>
              <w:t>Economic &amp; Public Sector Governance Twinning Schemes</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Governance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auto"/>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r w:rsidR="005B027C"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auto"/>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01-Jul-07</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30-Jun-09</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1 492 033</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Provincial Capacity Building Program Phase II</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Governance</w:t>
            </w:r>
          </w:p>
        </w:tc>
        <w:tc>
          <w:tcPr>
            <w:tcW w:w="535" w:type="dxa"/>
            <w:tcBorders>
              <w:top w:val="nil"/>
              <w:left w:val="nil"/>
              <w:bottom w:val="single" w:sz="8" w:space="0" w:color="808080"/>
              <w:right w:val="single" w:sz="8" w:space="0" w:color="808080"/>
            </w:tcBorders>
            <w:shd w:val="clear" w:color="auto" w:fill="auto"/>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808080"/>
            </w:tcBorders>
            <w:shd w:val="clear" w:color="auto" w:fill="auto"/>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808080"/>
            </w:tcBorders>
            <w:shd w:val="clear" w:color="auto" w:fill="auto"/>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auto"/>
            </w:tcBorders>
            <w:shd w:val="clear" w:color="auto" w:fill="auto"/>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r w:rsidR="005B027C"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r w:rsidR="005B027C" w:rsidRPr="005B027C">
              <w:rPr>
                <w:rFonts w:ascii="Franklin Gothic Book" w:hAnsi="Franklin Gothic Book"/>
                <w:color w:val="000000"/>
                <w:sz w:val="16"/>
                <w:szCs w:val="16"/>
                <w:lang w:val="en-US" w:eastAsia="en-CA"/>
              </w:rPr>
              <w:t> </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01-Jan-08</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31-Dec-10</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1 050 000</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Education Capacity Building Program</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Education</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08-Oct-98</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31-Dec-09</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31 800 000</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Basic Education Development Project</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Education</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13-Aug-01</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30-Jun-10</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11 500 000</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UN Strategic Partnerships Program</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Education</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18-Apr-05</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30-Jun-10</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1 500 000</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PNG–Australia Targeted Training Facility</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ECP/leadership</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25-Jul-01</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01-Oct-08</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4 000 000</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PNG Australian Development Scholarships</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ECP/leadership</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09-Aug-95</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30-Jun-09</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4 485 513</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PNG Church Partnership Program</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Democratic governance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r w:rsidR="005B027C"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auto"/>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auto"/>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28-May-03</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30-Jun-09</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6 800 484</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Electoral Support Program Phase 2</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Democratic governance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99CC00"/>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23-Jun-05</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15-Aug-10</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7 301 268</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PNG Media Program</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Democratic governance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23-Sep-03</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23-Sep-09</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4 017 372</w:t>
            </w:r>
          </w:p>
        </w:tc>
      </w:tr>
      <w:tr w:rsidR="005B027C" w:rsidRPr="005B027C" w:rsidTr="005B027C">
        <w:trPr>
          <w:cantSplit/>
          <w:trHeight w:val="315"/>
        </w:trPr>
        <w:tc>
          <w:tcPr>
            <w:tcW w:w="3803" w:type="dxa"/>
            <w:tcBorders>
              <w:top w:val="nil"/>
              <w:left w:val="single" w:sz="8" w:space="0" w:color="auto"/>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Democratic Governance Program</w:t>
            </w:r>
          </w:p>
        </w:tc>
        <w:tc>
          <w:tcPr>
            <w:tcW w:w="1809"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Democratic governance</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p>
        </w:tc>
        <w:tc>
          <w:tcPr>
            <w:tcW w:w="535" w:type="dxa"/>
            <w:tcBorders>
              <w:top w:val="nil"/>
              <w:left w:val="nil"/>
              <w:bottom w:val="single" w:sz="8" w:space="0" w:color="808080"/>
              <w:right w:val="single" w:sz="8" w:space="0" w:color="auto"/>
            </w:tcBorders>
            <w:shd w:val="clear" w:color="000000" w:fill="99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616432" w:rsidRPr="00616432">
              <w:rPr>
                <w:color w:val="92D050"/>
                <w:sz w:val="10"/>
                <w:szCs w:val="10"/>
              </w:rPr>
              <w:t>Green</w:t>
            </w:r>
            <w:r w:rsidR="00616432"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808080"/>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535" w:type="dxa"/>
            <w:tcBorders>
              <w:top w:val="nil"/>
              <w:left w:val="nil"/>
              <w:bottom w:val="single" w:sz="8" w:space="0" w:color="808080"/>
              <w:right w:val="single" w:sz="8" w:space="0" w:color="808080"/>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535" w:type="dxa"/>
            <w:tcBorders>
              <w:top w:val="nil"/>
              <w:left w:val="nil"/>
              <w:bottom w:val="single" w:sz="8" w:space="0" w:color="808080"/>
              <w:right w:val="single" w:sz="8" w:space="0" w:color="auto"/>
            </w:tcBorders>
            <w:shd w:val="clear" w:color="000000" w:fill="99CC00"/>
            <w:noWrap/>
            <w:vAlign w:val="center"/>
            <w:hideMark/>
          </w:tcPr>
          <w:p w:rsidR="005B027C" w:rsidRPr="005B027C" w:rsidRDefault="00616432" w:rsidP="005B027C">
            <w:pPr>
              <w:jc w:val="center"/>
              <w:rPr>
                <w:rFonts w:ascii="Franklin Gothic Book" w:hAnsi="Franklin Gothic Book"/>
                <w:color w:val="000000"/>
                <w:sz w:val="16"/>
                <w:szCs w:val="16"/>
                <w:lang w:val="en-CA" w:eastAsia="en-CA"/>
              </w:rPr>
            </w:pPr>
            <w:r w:rsidRPr="00616432">
              <w:rPr>
                <w:color w:val="92D050"/>
                <w:sz w:val="10"/>
                <w:szCs w:val="10"/>
              </w:rPr>
              <w:t>Green</w:t>
            </w:r>
            <w:r w:rsidRPr="00616432">
              <w:rPr>
                <w:rFonts w:ascii="Franklin Gothic Book" w:hAnsi="Franklin Gothic Book"/>
                <w:color w:val="000000"/>
                <w:sz w:val="10"/>
                <w:szCs w:val="10"/>
                <w:lang w:val="en-US" w:eastAsia="en-CA"/>
              </w:rPr>
              <w:t> </w:t>
            </w:r>
          </w:p>
        </w:tc>
        <w:tc>
          <w:tcPr>
            <w:tcW w:w="848"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05-Aug-05</w:t>
            </w:r>
          </w:p>
        </w:tc>
        <w:tc>
          <w:tcPr>
            <w:tcW w:w="837"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31-Dec-09</w:t>
            </w:r>
          </w:p>
        </w:tc>
        <w:tc>
          <w:tcPr>
            <w:tcW w:w="903" w:type="dxa"/>
            <w:tcBorders>
              <w:top w:val="nil"/>
              <w:left w:val="nil"/>
              <w:bottom w:val="single" w:sz="8"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12 023 524</w:t>
            </w:r>
          </w:p>
        </w:tc>
      </w:tr>
      <w:tr w:rsidR="005B027C" w:rsidRPr="005B027C" w:rsidTr="005B027C">
        <w:trPr>
          <w:cantSplit/>
          <w:trHeight w:val="315"/>
        </w:trPr>
        <w:tc>
          <w:tcPr>
            <w:tcW w:w="3803" w:type="dxa"/>
            <w:tcBorders>
              <w:top w:val="nil"/>
              <w:left w:val="single" w:sz="8" w:space="0" w:color="auto"/>
              <w:bottom w:val="single" w:sz="12"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Sport for Development Initiative</w:t>
            </w:r>
          </w:p>
        </w:tc>
        <w:tc>
          <w:tcPr>
            <w:tcW w:w="1809" w:type="dxa"/>
            <w:tcBorders>
              <w:top w:val="nil"/>
              <w:left w:val="nil"/>
              <w:bottom w:val="single" w:sz="12" w:space="0" w:color="auto"/>
              <w:right w:val="single" w:sz="8" w:space="0" w:color="auto"/>
            </w:tcBorders>
            <w:shd w:val="clear" w:color="auto" w:fill="auto"/>
            <w:noWrap/>
            <w:vAlign w:val="center"/>
            <w:hideMark/>
          </w:tcPr>
          <w:p w:rsidR="005B027C" w:rsidRPr="005B027C" w:rsidRDefault="005B027C" w:rsidP="005B027C">
            <w:pP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Democratic governance</w:t>
            </w:r>
          </w:p>
        </w:tc>
        <w:tc>
          <w:tcPr>
            <w:tcW w:w="535" w:type="dxa"/>
            <w:tcBorders>
              <w:top w:val="nil"/>
              <w:left w:val="nil"/>
              <w:bottom w:val="single" w:sz="12" w:space="0" w:color="auto"/>
              <w:right w:val="single" w:sz="8" w:space="0" w:color="808080"/>
            </w:tcBorders>
            <w:shd w:val="clear" w:color="auto" w:fill="auto"/>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p>
        </w:tc>
        <w:tc>
          <w:tcPr>
            <w:tcW w:w="535" w:type="dxa"/>
            <w:tcBorders>
              <w:top w:val="nil"/>
              <w:left w:val="nil"/>
              <w:bottom w:val="single" w:sz="12" w:space="0" w:color="auto"/>
              <w:right w:val="single" w:sz="8" w:space="0" w:color="808080"/>
            </w:tcBorders>
            <w:shd w:val="clear" w:color="auto" w:fill="auto"/>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p>
        </w:tc>
        <w:tc>
          <w:tcPr>
            <w:tcW w:w="535" w:type="dxa"/>
            <w:tcBorders>
              <w:top w:val="nil"/>
              <w:left w:val="nil"/>
              <w:bottom w:val="single" w:sz="12" w:space="0" w:color="auto"/>
              <w:right w:val="single" w:sz="8" w:space="0" w:color="808080"/>
            </w:tcBorders>
            <w:shd w:val="clear" w:color="auto" w:fill="auto"/>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p>
        </w:tc>
        <w:tc>
          <w:tcPr>
            <w:tcW w:w="535" w:type="dxa"/>
            <w:tcBorders>
              <w:top w:val="nil"/>
              <w:left w:val="nil"/>
              <w:bottom w:val="single" w:sz="12" w:space="0" w:color="auto"/>
              <w:right w:val="single" w:sz="8" w:space="0" w:color="auto"/>
            </w:tcBorders>
            <w:shd w:val="clear" w:color="auto" w:fill="auto"/>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p>
        </w:tc>
        <w:tc>
          <w:tcPr>
            <w:tcW w:w="535" w:type="dxa"/>
            <w:tcBorders>
              <w:top w:val="nil"/>
              <w:left w:val="nil"/>
              <w:bottom w:val="single" w:sz="12" w:space="0" w:color="auto"/>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12" w:space="0" w:color="auto"/>
              <w:right w:val="single" w:sz="8" w:space="0" w:color="808080"/>
            </w:tcBorders>
            <w:shd w:val="clear" w:color="000000" w:fill="FFCC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rFonts w:ascii="Franklin Gothic Book" w:hAnsi="Franklin Gothic Book"/>
                <w:color w:val="FFC000"/>
                <w:sz w:val="10"/>
                <w:szCs w:val="10"/>
                <w:lang w:val="en-US" w:eastAsia="en-CA"/>
              </w:rPr>
              <w:t>orange</w:t>
            </w:r>
          </w:p>
        </w:tc>
        <w:tc>
          <w:tcPr>
            <w:tcW w:w="535" w:type="dxa"/>
            <w:tcBorders>
              <w:top w:val="nil"/>
              <w:left w:val="nil"/>
              <w:bottom w:val="single" w:sz="12" w:space="0" w:color="auto"/>
              <w:right w:val="single" w:sz="8" w:space="0" w:color="808080"/>
            </w:tcBorders>
            <w:shd w:val="clear" w:color="000000" w:fill="FF9900"/>
            <w:noWrap/>
            <w:vAlign w:val="center"/>
            <w:hideMark/>
          </w:tcPr>
          <w:p w:rsidR="005B027C" w:rsidRPr="005B027C" w:rsidRDefault="000905BE" w:rsidP="005B027C">
            <w:pPr>
              <w:jc w:val="center"/>
              <w:rPr>
                <w:rFonts w:ascii="Franklin Gothic Book" w:hAnsi="Franklin Gothic Book"/>
                <w:color w:val="000000"/>
                <w:sz w:val="16"/>
                <w:szCs w:val="16"/>
                <w:lang w:val="en-CA" w:eastAsia="en-CA"/>
              </w:rPr>
            </w:pPr>
            <w:r w:rsidRPr="000905BE">
              <w:rPr>
                <w:color w:val="FF9900"/>
                <w:sz w:val="10"/>
                <w:szCs w:val="10"/>
              </w:rPr>
              <w:t>Amber</w:t>
            </w:r>
          </w:p>
        </w:tc>
        <w:tc>
          <w:tcPr>
            <w:tcW w:w="535" w:type="dxa"/>
            <w:tcBorders>
              <w:top w:val="nil"/>
              <w:left w:val="nil"/>
              <w:bottom w:val="single" w:sz="12" w:space="0" w:color="auto"/>
              <w:right w:val="single" w:sz="8" w:space="0" w:color="auto"/>
            </w:tcBorders>
            <w:shd w:val="clear" w:color="000000" w:fill="FFCC00"/>
            <w:noWrap/>
            <w:vAlign w:val="center"/>
            <w:hideMark/>
          </w:tcPr>
          <w:p w:rsidR="005B027C" w:rsidRPr="005B027C" w:rsidRDefault="005B027C" w:rsidP="005B027C">
            <w:pPr>
              <w:jc w:val="center"/>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 </w:t>
            </w:r>
            <w:r w:rsidR="000905BE" w:rsidRPr="000905BE">
              <w:rPr>
                <w:rFonts w:ascii="Franklin Gothic Book" w:hAnsi="Franklin Gothic Book"/>
                <w:color w:val="FFC000"/>
                <w:sz w:val="10"/>
                <w:szCs w:val="10"/>
                <w:lang w:val="en-US" w:eastAsia="en-CA"/>
              </w:rPr>
              <w:t>orange</w:t>
            </w:r>
          </w:p>
        </w:tc>
        <w:tc>
          <w:tcPr>
            <w:tcW w:w="848" w:type="dxa"/>
            <w:tcBorders>
              <w:top w:val="nil"/>
              <w:left w:val="nil"/>
              <w:bottom w:val="single" w:sz="12"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15-May-06</w:t>
            </w:r>
          </w:p>
        </w:tc>
        <w:tc>
          <w:tcPr>
            <w:tcW w:w="837" w:type="dxa"/>
            <w:tcBorders>
              <w:top w:val="nil"/>
              <w:left w:val="nil"/>
              <w:bottom w:val="single" w:sz="12"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30-Jun-11</w:t>
            </w:r>
          </w:p>
        </w:tc>
        <w:tc>
          <w:tcPr>
            <w:tcW w:w="903" w:type="dxa"/>
            <w:tcBorders>
              <w:top w:val="nil"/>
              <w:left w:val="nil"/>
              <w:bottom w:val="single" w:sz="12" w:space="0" w:color="auto"/>
              <w:right w:val="single" w:sz="8" w:space="0" w:color="auto"/>
            </w:tcBorders>
            <w:shd w:val="clear" w:color="auto" w:fill="auto"/>
            <w:noWrap/>
            <w:vAlign w:val="center"/>
            <w:hideMark/>
          </w:tcPr>
          <w:p w:rsidR="005B027C" w:rsidRPr="005B027C" w:rsidRDefault="005B027C" w:rsidP="005B027C">
            <w:pPr>
              <w:jc w:val="right"/>
              <w:rPr>
                <w:rFonts w:ascii="Franklin Gothic Book" w:hAnsi="Franklin Gothic Book"/>
                <w:color w:val="000000"/>
                <w:sz w:val="16"/>
                <w:szCs w:val="16"/>
                <w:lang w:val="en-CA" w:eastAsia="en-CA"/>
              </w:rPr>
            </w:pPr>
            <w:r w:rsidRPr="005B027C">
              <w:rPr>
                <w:rFonts w:ascii="Franklin Gothic Book" w:hAnsi="Franklin Gothic Book"/>
                <w:color w:val="000000"/>
                <w:sz w:val="16"/>
                <w:szCs w:val="16"/>
                <w:lang w:val="en-US" w:eastAsia="en-CA"/>
              </w:rPr>
              <w:t>3 253 645</w:t>
            </w:r>
          </w:p>
        </w:tc>
      </w:tr>
    </w:tbl>
    <w:p w:rsidR="005B027C" w:rsidRPr="005B027C" w:rsidRDefault="005B027C" w:rsidP="005B027C">
      <w:pPr>
        <w:pStyle w:val="BodyText"/>
      </w:pPr>
    </w:p>
    <w:p w:rsidR="00A43B25" w:rsidRPr="00AF63F8" w:rsidRDefault="00A43B25" w:rsidP="00991F19">
      <w:pPr>
        <w:pStyle w:val="Note"/>
        <w:rPr>
          <w:rFonts w:ascii="Franklin Gothic Medium" w:hAnsi="Franklin Gothic Medium"/>
        </w:rPr>
      </w:pPr>
      <w:r w:rsidRPr="00AF63F8">
        <w:rPr>
          <w:rFonts w:ascii="Franklin Gothic Medium" w:hAnsi="Franklin Gothic Medium"/>
        </w:rPr>
        <w:t>Definitions of rating scale</w:t>
      </w:r>
    </w:p>
    <w:tbl>
      <w:tblPr>
        <w:tblW w:w="7938" w:type="dxa"/>
        <w:tblInd w:w="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570"/>
        <w:gridCol w:w="3376"/>
        <w:gridCol w:w="581"/>
        <w:gridCol w:w="3411"/>
      </w:tblGrid>
      <w:tr w:rsidR="00A43B25" w:rsidRPr="00AF63F8" w:rsidTr="000905BE">
        <w:trPr>
          <w:cantSplit/>
        </w:trPr>
        <w:tc>
          <w:tcPr>
            <w:tcW w:w="3946" w:type="dxa"/>
            <w:gridSpan w:val="2"/>
            <w:tcBorders>
              <w:top w:val="nil"/>
              <w:left w:val="nil"/>
              <w:bottom w:val="nil"/>
              <w:right w:val="nil"/>
            </w:tcBorders>
            <w:noWrap/>
            <w:vAlign w:val="bottom"/>
          </w:tcPr>
          <w:p w:rsidR="00A43B25" w:rsidRPr="00AF63F8" w:rsidRDefault="00A43B25" w:rsidP="008B40E5">
            <w:pPr>
              <w:pStyle w:val="Note"/>
              <w:spacing w:before="20" w:after="20"/>
              <w:ind w:left="-57"/>
              <w:rPr>
                <w:rFonts w:ascii="Franklin Gothic Medium" w:hAnsi="Franklin Gothic Medium"/>
              </w:rPr>
            </w:pPr>
            <w:r w:rsidRPr="00AF63F8">
              <w:rPr>
                <w:rFonts w:ascii="Franklin Gothic Medium" w:hAnsi="Franklin Gothic Medium"/>
              </w:rPr>
              <w:t>Satisfactory (4, 5 and 6)</w:t>
            </w:r>
          </w:p>
        </w:tc>
        <w:tc>
          <w:tcPr>
            <w:tcW w:w="3992" w:type="dxa"/>
            <w:gridSpan w:val="2"/>
            <w:tcBorders>
              <w:top w:val="nil"/>
              <w:left w:val="nil"/>
              <w:bottom w:val="nil"/>
              <w:right w:val="nil"/>
            </w:tcBorders>
            <w:noWrap/>
            <w:vAlign w:val="bottom"/>
          </w:tcPr>
          <w:p w:rsidR="00A43B25" w:rsidRPr="00AF63F8" w:rsidRDefault="00A43B25" w:rsidP="008B40E5">
            <w:pPr>
              <w:pStyle w:val="Note"/>
              <w:spacing w:before="20" w:after="20"/>
              <w:ind w:left="-57"/>
              <w:rPr>
                <w:rFonts w:ascii="Franklin Gothic Medium" w:hAnsi="Franklin Gothic Medium"/>
              </w:rPr>
            </w:pPr>
            <w:r w:rsidRPr="00AF63F8">
              <w:rPr>
                <w:rFonts w:ascii="Franklin Gothic Medium" w:hAnsi="Franklin Gothic Medium"/>
              </w:rPr>
              <w:t>Less than satisfactory (1, 2 and 3)</w:t>
            </w:r>
          </w:p>
        </w:tc>
      </w:tr>
      <w:tr w:rsidR="00A43B25" w:rsidRPr="00D7139C" w:rsidTr="000905BE">
        <w:trPr>
          <w:cantSplit/>
        </w:trPr>
        <w:tc>
          <w:tcPr>
            <w:tcW w:w="570" w:type="dxa"/>
            <w:tcBorders>
              <w:top w:val="single" w:sz="2" w:space="0" w:color="808080"/>
              <w:left w:val="single" w:sz="2" w:space="0" w:color="808080"/>
              <w:bottom w:val="single" w:sz="2" w:space="0" w:color="808080"/>
              <w:right w:val="single" w:sz="2" w:space="0" w:color="808080"/>
            </w:tcBorders>
            <w:shd w:val="clear" w:color="auto" w:fill="99CC00"/>
            <w:vAlign w:val="bottom"/>
          </w:tcPr>
          <w:p w:rsidR="00A43B25" w:rsidRPr="00D7139C" w:rsidRDefault="00A43B25" w:rsidP="003F5ACA">
            <w:pPr>
              <w:pStyle w:val="Note"/>
              <w:spacing w:before="4" w:after="4"/>
              <w:jc w:val="center"/>
            </w:pPr>
            <w:r w:rsidRPr="00D7139C">
              <w:t>6</w:t>
            </w:r>
            <w:r w:rsidR="000905BE" w:rsidRPr="00616432">
              <w:rPr>
                <w:color w:val="92D050"/>
                <w:sz w:val="10"/>
                <w:szCs w:val="10"/>
              </w:rPr>
              <w:t xml:space="preserve"> Green</w:t>
            </w:r>
            <w:r w:rsidR="000905BE" w:rsidRPr="00616432">
              <w:rPr>
                <w:color w:val="000000"/>
                <w:sz w:val="10"/>
                <w:szCs w:val="10"/>
                <w:lang w:val="en-US" w:eastAsia="en-CA"/>
              </w:rPr>
              <w:t> </w:t>
            </w:r>
          </w:p>
        </w:tc>
        <w:tc>
          <w:tcPr>
            <w:tcW w:w="3376" w:type="dxa"/>
            <w:tcBorders>
              <w:top w:val="nil"/>
              <w:left w:val="single" w:sz="2" w:space="0" w:color="808080"/>
              <w:bottom w:val="nil"/>
              <w:right w:val="single" w:sz="2" w:space="0" w:color="808080"/>
            </w:tcBorders>
            <w:noWrap/>
            <w:vAlign w:val="bottom"/>
          </w:tcPr>
          <w:p w:rsidR="00A43B25" w:rsidRPr="00D7139C" w:rsidRDefault="00A43B25" w:rsidP="003F5ACA">
            <w:pPr>
              <w:pStyle w:val="Note"/>
              <w:spacing w:before="4" w:after="4"/>
            </w:pPr>
            <w:r w:rsidRPr="00D7139C">
              <w:t>Very high quality</w:t>
            </w:r>
          </w:p>
        </w:tc>
        <w:tc>
          <w:tcPr>
            <w:tcW w:w="581" w:type="dxa"/>
            <w:tcBorders>
              <w:top w:val="single" w:sz="2" w:space="0" w:color="808080"/>
              <w:left w:val="single" w:sz="2" w:space="0" w:color="808080"/>
              <w:bottom w:val="single" w:sz="2" w:space="0" w:color="808080"/>
              <w:right w:val="single" w:sz="2" w:space="0" w:color="808080"/>
            </w:tcBorders>
            <w:shd w:val="clear" w:color="auto" w:fill="FF9900"/>
            <w:noWrap/>
            <w:vAlign w:val="bottom"/>
          </w:tcPr>
          <w:p w:rsidR="00A43B25" w:rsidRPr="00D7139C" w:rsidRDefault="00A43B25" w:rsidP="003F5ACA">
            <w:pPr>
              <w:pStyle w:val="Note"/>
              <w:spacing w:before="4" w:after="4"/>
              <w:jc w:val="center"/>
            </w:pPr>
            <w:r w:rsidRPr="00D7139C">
              <w:t>3</w:t>
            </w:r>
            <w:r w:rsidR="000905BE" w:rsidRPr="000905BE">
              <w:rPr>
                <w:color w:val="FF9900"/>
                <w:sz w:val="10"/>
                <w:szCs w:val="10"/>
              </w:rPr>
              <w:t xml:space="preserve"> Amber</w:t>
            </w:r>
          </w:p>
        </w:tc>
        <w:tc>
          <w:tcPr>
            <w:tcW w:w="3411" w:type="dxa"/>
            <w:tcBorders>
              <w:top w:val="nil"/>
              <w:left w:val="single" w:sz="2" w:space="0" w:color="808080"/>
              <w:bottom w:val="nil"/>
              <w:right w:val="nil"/>
            </w:tcBorders>
            <w:noWrap/>
            <w:vAlign w:val="bottom"/>
          </w:tcPr>
          <w:p w:rsidR="00A43B25" w:rsidRPr="00D7139C" w:rsidRDefault="00A43B25" w:rsidP="003F5ACA">
            <w:pPr>
              <w:pStyle w:val="Note"/>
              <w:spacing w:before="4" w:after="4"/>
            </w:pPr>
            <w:r w:rsidRPr="00D7139C">
              <w:t>Less than adequate quality; needs significant work</w:t>
            </w:r>
          </w:p>
        </w:tc>
      </w:tr>
      <w:tr w:rsidR="00A43B25" w:rsidRPr="00D7139C" w:rsidTr="000905BE">
        <w:trPr>
          <w:cantSplit/>
        </w:trPr>
        <w:tc>
          <w:tcPr>
            <w:tcW w:w="570" w:type="dxa"/>
            <w:tcBorders>
              <w:top w:val="single" w:sz="2" w:space="0" w:color="808080"/>
              <w:left w:val="single" w:sz="2" w:space="0" w:color="808080"/>
              <w:bottom w:val="single" w:sz="2" w:space="0" w:color="808080"/>
              <w:right w:val="single" w:sz="2" w:space="0" w:color="808080"/>
            </w:tcBorders>
            <w:shd w:val="clear" w:color="auto" w:fill="99CC00"/>
            <w:vAlign w:val="bottom"/>
          </w:tcPr>
          <w:p w:rsidR="00A43B25" w:rsidRPr="00D7139C" w:rsidRDefault="00A43B25" w:rsidP="003F5ACA">
            <w:pPr>
              <w:pStyle w:val="Note"/>
              <w:spacing w:before="4" w:after="4"/>
              <w:jc w:val="center"/>
            </w:pPr>
            <w:r w:rsidRPr="00D7139C">
              <w:t>5</w:t>
            </w:r>
            <w:r w:rsidR="000905BE" w:rsidRPr="00616432">
              <w:rPr>
                <w:color w:val="92D050"/>
                <w:sz w:val="10"/>
                <w:szCs w:val="10"/>
              </w:rPr>
              <w:t xml:space="preserve"> Green</w:t>
            </w:r>
            <w:r w:rsidR="000905BE" w:rsidRPr="00616432">
              <w:rPr>
                <w:color w:val="000000"/>
                <w:sz w:val="10"/>
                <w:szCs w:val="10"/>
                <w:lang w:val="en-US" w:eastAsia="en-CA"/>
              </w:rPr>
              <w:t> </w:t>
            </w:r>
          </w:p>
        </w:tc>
        <w:tc>
          <w:tcPr>
            <w:tcW w:w="3376" w:type="dxa"/>
            <w:tcBorders>
              <w:top w:val="nil"/>
              <w:left w:val="single" w:sz="2" w:space="0" w:color="808080"/>
              <w:bottom w:val="nil"/>
              <w:right w:val="single" w:sz="2" w:space="0" w:color="808080"/>
            </w:tcBorders>
            <w:noWrap/>
            <w:vAlign w:val="bottom"/>
          </w:tcPr>
          <w:p w:rsidR="00A43B25" w:rsidRPr="00D7139C" w:rsidRDefault="00A43B25" w:rsidP="003F5ACA">
            <w:pPr>
              <w:pStyle w:val="Note"/>
              <w:spacing w:before="4" w:after="4"/>
            </w:pPr>
            <w:r w:rsidRPr="00D7139C">
              <w:t>Good quality</w:t>
            </w:r>
          </w:p>
        </w:tc>
        <w:tc>
          <w:tcPr>
            <w:tcW w:w="581" w:type="dxa"/>
            <w:tcBorders>
              <w:top w:val="single" w:sz="2" w:space="0" w:color="808080"/>
              <w:left w:val="single" w:sz="2" w:space="0" w:color="808080"/>
              <w:bottom w:val="single" w:sz="2" w:space="0" w:color="808080"/>
              <w:right w:val="single" w:sz="2" w:space="0" w:color="808080"/>
            </w:tcBorders>
            <w:shd w:val="clear" w:color="auto" w:fill="FF0000"/>
            <w:noWrap/>
            <w:vAlign w:val="bottom"/>
          </w:tcPr>
          <w:p w:rsidR="00A43B25" w:rsidRPr="00D7139C" w:rsidRDefault="00A43B25" w:rsidP="003F5ACA">
            <w:pPr>
              <w:pStyle w:val="Note"/>
              <w:spacing w:before="4" w:after="4"/>
              <w:jc w:val="center"/>
            </w:pPr>
            <w:r w:rsidRPr="00D7139C">
              <w:t>2</w:t>
            </w:r>
            <w:r w:rsidR="000905BE" w:rsidRPr="000905BE">
              <w:rPr>
                <w:color w:val="FF0000"/>
                <w:sz w:val="10"/>
                <w:szCs w:val="10"/>
              </w:rPr>
              <w:t xml:space="preserve"> Red</w:t>
            </w:r>
          </w:p>
        </w:tc>
        <w:tc>
          <w:tcPr>
            <w:tcW w:w="3411" w:type="dxa"/>
            <w:tcBorders>
              <w:top w:val="nil"/>
              <w:left w:val="single" w:sz="2" w:space="0" w:color="808080"/>
              <w:bottom w:val="nil"/>
              <w:right w:val="nil"/>
            </w:tcBorders>
            <w:noWrap/>
            <w:vAlign w:val="bottom"/>
          </w:tcPr>
          <w:p w:rsidR="00A43B25" w:rsidRPr="00D7139C" w:rsidRDefault="00A43B25" w:rsidP="003F5ACA">
            <w:pPr>
              <w:pStyle w:val="Note"/>
              <w:spacing w:before="4" w:after="4"/>
            </w:pPr>
            <w:r w:rsidRPr="00D7139C">
              <w:t>Poor quality; needs major work to improve</w:t>
            </w:r>
          </w:p>
        </w:tc>
      </w:tr>
      <w:tr w:rsidR="00A43B25" w:rsidRPr="00D7139C" w:rsidTr="000905BE">
        <w:trPr>
          <w:cantSplit/>
        </w:trPr>
        <w:tc>
          <w:tcPr>
            <w:tcW w:w="570" w:type="dxa"/>
            <w:tcBorders>
              <w:top w:val="single" w:sz="2" w:space="0" w:color="808080"/>
              <w:left w:val="single" w:sz="2" w:space="0" w:color="808080"/>
              <w:bottom w:val="single" w:sz="2" w:space="0" w:color="808080"/>
              <w:right w:val="single" w:sz="2" w:space="0" w:color="808080"/>
            </w:tcBorders>
            <w:shd w:val="clear" w:color="auto" w:fill="FFCC00"/>
            <w:vAlign w:val="bottom"/>
          </w:tcPr>
          <w:p w:rsidR="00A43B25" w:rsidRPr="00D7139C" w:rsidRDefault="00A43B25" w:rsidP="003F5ACA">
            <w:pPr>
              <w:pStyle w:val="Note"/>
              <w:spacing w:before="4" w:after="4"/>
              <w:jc w:val="center"/>
            </w:pPr>
            <w:r w:rsidRPr="00D7139C">
              <w:t>4</w:t>
            </w:r>
            <w:r w:rsidR="000905BE" w:rsidRPr="000905BE">
              <w:rPr>
                <w:color w:val="FFC000"/>
                <w:sz w:val="10"/>
                <w:szCs w:val="10"/>
                <w:lang w:val="en-US" w:eastAsia="en-CA"/>
              </w:rPr>
              <w:t xml:space="preserve"> orange</w:t>
            </w:r>
          </w:p>
        </w:tc>
        <w:tc>
          <w:tcPr>
            <w:tcW w:w="3376" w:type="dxa"/>
            <w:tcBorders>
              <w:top w:val="nil"/>
              <w:left w:val="single" w:sz="2" w:space="0" w:color="808080"/>
              <w:bottom w:val="nil"/>
              <w:right w:val="single" w:sz="2" w:space="0" w:color="808080"/>
            </w:tcBorders>
            <w:noWrap/>
            <w:vAlign w:val="bottom"/>
          </w:tcPr>
          <w:p w:rsidR="00A43B25" w:rsidRPr="00D7139C" w:rsidRDefault="00A43B25" w:rsidP="003F5ACA">
            <w:pPr>
              <w:pStyle w:val="Note"/>
              <w:spacing w:before="4" w:after="4"/>
            </w:pPr>
            <w:r w:rsidRPr="00D7139C">
              <w:t xml:space="preserve">Adequate quality; </w:t>
            </w:r>
            <w:r>
              <w:t xml:space="preserve">needs </w:t>
            </w:r>
            <w:r w:rsidRPr="00D7139C">
              <w:t>some work to improve</w:t>
            </w:r>
          </w:p>
        </w:tc>
        <w:tc>
          <w:tcPr>
            <w:tcW w:w="581" w:type="dxa"/>
            <w:tcBorders>
              <w:top w:val="single" w:sz="2" w:space="0" w:color="808080"/>
              <w:left w:val="single" w:sz="2" w:space="0" w:color="808080"/>
              <w:bottom w:val="single" w:sz="2" w:space="0" w:color="808080"/>
              <w:right w:val="single" w:sz="2" w:space="0" w:color="808080"/>
            </w:tcBorders>
            <w:shd w:val="clear" w:color="auto" w:fill="FF0000"/>
            <w:noWrap/>
            <w:vAlign w:val="bottom"/>
          </w:tcPr>
          <w:p w:rsidR="00A43B25" w:rsidRPr="00D7139C" w:rsidRDefault="00A43B25" w:rsidP="003F5ACA">
            <w:pPr>
              <w:pStyle w:val="Note"/>
              <w:spacing w:before="4" w:after="4"/>
              <w:jc w:val="center"/>
            </w:pPr>
            <w:r w:rsidRPr="00D7139C">
              <w:t>1</w:t>
            </w:r>
            <w:r w:rsidR="000905BE" w:rsidRPr="000905BE">
              <w:rPr>
                <w:color w:val="FF0000"/>
                <w:sz w:val="10"/>
                <w:szCs w:val="10"/>
              </w:rPr>
              <w:t xml:space="preserve"> Red</w:t>
            </w:r>
          </w:p>
        </w:tc>
        <w:tc>
          <w:tcPr>
            <w:tcW w:w="3411" w:type="dxa"/>
            <w:tcBorders>
              <w:top w:val="nil"/>
              <w:left w:val="single" w:sz="2" w:space="0" w:color="808080"/>
              <w:bottom w:val="nil"/>
              <w:right w:val="nil"/>
            </w:tcBorders>
            <w:noWrap/>
            <w:vAlign w:val="bottom"/>
          </w:tcPr>
          <w:p w:rsidR="00A43B25" w:rsidRPr="00D7139C" w:rsidRDefault="00A43B25" w:rsidP="003F5ACA">
            <w:pPr>
              <w:pStyle w:val="Note"/>
              <w:spacing w:before="4" w:after="4"/>
            </w:pPr>
            <w:r w:rsidRPr="00D7139C">
              <w:t>Very poor quality; needs major overhaul</w:t>
            </w:r>
          </w:p>
        </w:tc>
      </w:tr>
    </w:tbl>
    <w:p w:rsidR="001069AF" w:rsidRDefault="001069AF" w:rsidP="00991F19">
      <w:pPr>
        <w:sectPr w:rsidR="001069AF" w:rsidSect="00AD244C">
          <w:headerReference w:type="even" r:id="rId27"/>
          <w:headerReference w:type="default" r:id="rId28"/>
          <w:footerReference w:type="even" r:id="rId29"/>
          <w:footerReference w:type="default" r:id="rId30"/>
          <w:pgSz w:w="16840" w:h="11907" w:orient="landscape" w:code="9"/>
          <w:pgMar w:top="1418" w:right="2381" w:bottom="1134" w:left="851" w:header="851" w:footer="340" w:gutter="0"/>
          <w:cols w:space="720"/>
        </w:sectPr>
      </w:pPr>
    </w:p>
    <w:p w:rsidR="00A7497A" w:rsidRPr="00A7497A" w:rsidRDefault="00A7497A" w:rsidP="00991F19">
      <w:pPr>
        <w:pStyle w:val="BodyText"/>
        <w:spacing w:before="0"/>
      </w:pPr>
      <w:r w:rsidRPr="00A7497A">
        <w:lastRenderedPageBreak/>
        <w:t xml:space="preserve">Only three </w:t>
      </w:r>
      <w:r w:rsidR="008B40E5">
        <w:t>managers</w:t>
      </w:r>
      <w:r w:rsidR="008B40E5" w:rsidRPr="00A7497A">
        <w:t xml:space="preserve"> </w:t>
      </w:r>
      <w:r w:rsidRPr="00A7497A">
        <w:t xml:space="preserve">gave </w:t>
      </w:r>
      <w:r w:rsidR="006B48C1">
        <w:t>aspects of their initiatives</w:t>
      </w:r>
      <w:r w:rsidR="006B48C1" w:rsidRPr="00A7497A">
        <w:t xml:space="preserve"> </w:t>
      </w:r>
      <w:r w:rsidRPr="00A7497A">
        <w:t>the highest possible</w:t>
      </w:r>
      <w:r w:rsidR="006B48C1">
        <w:t xml:space="preserve"> </w:t>
      </w:r>
      <w:r w:rsidRPr="00A7497A">
        <w:t xml:space="preserve">rating </w:t>
      </w:r>
      <w:r w:rsidR="006B48C1">
        <w:t>(</w:t>
      </w:r>
      <w:r w:rsidRPr="00A7497A">
        <w:t>6</w:t>
      </w:r>
      <w:r w:rsidR="006B48C1">
        <w:t xml:space="preserve">), </w:t>
      </w:r>
      <w:r w:rsidRPr="00A7497A">
        <w:t>which indicates very high quality. The</w:t>
      </w:r>
      <w:r w:rsidR="006B48C1">
        <w:t xml:space="preserve"> initiatives</w:t>
      </w:r>
      <w:r w:rsidRPr="00A7497A">
        <w:t xml:space="preserve"> were the PNG </w:t>
      </w:r>
      <w:r w:rsidR="00F15CCA" w:rsidRPr="000D7060">
        <w:t>Transport Sector Support Program</w:t>
      </w:r>
      <w:r w:rsidRPr="00A7497A">
        <w:t xml:space="preserve">, </w:t>
      </w:r>
      <w:r w:rsidR="0094391C">
        <w:t xml:space="preserve">the </w:t>
      </w:r>
      <w:r w:rsidRPr="00A7497A">
        <w:t xml:space="preserve">Advisory Support Facility Phase 2 and the Electoral Support Program Phase 2. The </w:t>
      </w:r>
      <w:r w:rsidR="000D1F96" w:rsidRPr="000D7060">
        <w:t xml:space="preserve">Transport Sector Support Program </w:t>
      </w:r>
      <w:r w:rsidRPr="00A7497A">
        <w:t xml:space="preserve">received a rating of 6 </w:t>
      </w:r>
      <w:r w:rsidR="0094391C">
        <w:t>for</w:t>
      </w:r>
      <w:r w:rsidRPr="00A7497A">
        <w:t xml:space="preserve"> </w:t>
      </w:r>
      <w:r w:rsidR="0094391C">
        <w:t>three</w:t>
      </w:r>
      <w:r w:rsidR="0094391C" w:rsidRPr="00A7497A">
        <w:t xml:space="preserve"> </w:t>
      </w:r>
      <w:r w:rsidRPr="00A7497A">
        <w:t>criteria</w:t>
      </w:r>
      <w:r w:rsidR="006B48C1">
        <w:t>—</w:t>
      </w:r>
      <w:r w:rsidR="000D1F96" w:rsidRPr="00A7497A">
        <w:t>implementation progress, achieving objectives and sustainability</w:t>
      </w:r>
      <w:r w:rsidRPr="00A7497A">
        <w:t xml:space="preserve">. The Advisory Support Facility Phase 2 received a </w:t>
      </w:r>
      <w:r w:rsidR="0094391C">
        <w:t xml:space="preserve">rating of </w:t>
      </w:r>
      <w:r w:rsidRPr="00A7497A">
        <w:t xml:space="preserve">6 rating </w:t>
      </w:r>
      <w:r w:rsidR="0094391C">
        <w:t>for</w:t>
      </w:r>
      <w:r w:rsidR="0094391C" w:rsidRPr="00A7497A">
        <w:t xml:space="preserve"> </w:t>
      </w:r>
      <w:r w:rsidR="00784FA8" w:rsidRPr="00A7497A">
        <w:t xml:space="preserve">implementation progress and </w:t>
      </w:r>
      <w:r w:rsidR="0094391C" w:rsidRPr="00A7497A">
        <w:t xml:space="preserve">the Electoral Support Program Phase 2 a </w:t>
      </w:r>
      <w:r w:rsidR="0094391C">
        <w:t xml:space="preserve">rating of </w:t>
      </w:r>
      <w:r w:rsidR="0094391C" w:rsidRPr="00A7497A">
        <w:t xml:space="preserve">6 </w:t>
      </w:r>
      <w:r w:rsidR="0094391C">
        <w:t>for</w:t>
      </w:r>
      <w:r w:rsidR="0094391C" w:rsidRPr="00A7497A">
        <w:t xml:space="preserve"> </w:t>
      </w:r>
      <w:r w:rsidR="00784FA8" w:rsidRPr="00A7497A">
        <w:t>monitoring and evaluation</w:t>
      </w:r>
      <w:r w:rsidRPr="00A7497A">
        <w:t xml:space="preserve">. </w:t>
      </w:r>
    </w:p>
    <w:p w:rsidR="00A7497A" w:rsidRPr="00F15CCA" w:rsidRDefault="00E73032" w:rsidP="00991F19">
      <w:pPr>
        <w:pStyle w:val="BodyText"/>
      </w:pPr>
      <w:r>
        <w:t>When</w:t>
      </w:r>
      <w:r w:rsidR="00A7497A" w:rsidRPr="00A7497A">
        <w:t xml:space="preserve"> </w:t>
      </w:r>
      <w:r>
        <w:t>the 2007 and 2008</w:t>
      </w:r>
      <w:r w:rsidR="00A7497A" w:rsidRPr="00A7497A">
        <w:t xml:space="preserve"> results </w:t>
      </w:r>
      <w:r>
        <w:t>of</w:t>
      </w:r>
      <w:r w:rsidR="00A7497A" w:rsidRPr="00A7497A">
        <w:t xml:space="preserve"> </w:t>
      </w:r>
      <w:r>
        <w:t xml:space="preserve">initiatives’ </w:t>
      </w:r>
      <w:r w:rsidR="00A1182A">
        <w:t>quality</w:t>
      </w:r>
      <w:r>
        <w:t xml:space="preserve"> </w:t>
      </w:r>
      <w:r w:rsidR="00A1182A">
        <w:t>at</w:t>
      </w:r>
      <w:r>
        <w:t xml:space="preserve"> </w:t>
      </w:r>
      <w:r w:rsidR="00A1182A">
        <w:t>implementation</w:t>
      </w:r>
      <w:r w:rsidR="00A7497A" w:rsidRPr="00A7497A">
        <w:t xml:space="preserve"> </w:t>
      </w:r>
      <w:r>
        <w:t>are compared</w:t>
      </w:r>
      <w:r w:rsidR="00A7497A" w:rsidRPr="00A7497A">
        <w:t>, for the most part the results improved</w:t>
      </w:r>
      <w:r>
        <w:t xml:space="preserve"> in 2008</w:t>
      </w:r>
      <w:r w:rsidR="00A7497A" w:rsidRPr="00A7497A">
        <w:rPr>
          <w:i/>
        </w:rPr>
        <w:t>.</w:t>
      </w:r>
      <w:r w:rsidR="00A7497A" w:rsidRPr="00A7497A">
        <w:t xml:space="preserve"> A small number of initiatives </w:t>
      </w:r>
      <w:r w:rsidR="006B48C1">
        <w:t>had</w:t>
      </w:r>
      <w:r w:rsidR="006B48C1" w:rsidRPr="00A7497A">
        <w:t xml:space="preserve"> </w:t>
      </w:r>
      <w:r w:rsidR="00A7497A" w:rsidRPr="00A7497A">
        <w:t>the</w:t>
      </w:r>
      <w:r>
        <w:t>ir</w:t>
      </w:r>
      <w:r w:rsidR="00A7497A" w:rsidRPr="00A7497A">
        <w:t xml:space="preserve"> quality </w:t>
      </w:r>
      <w:r w:rsidR="006B48C1">
        <w:t xml:space="preserve">rated </w:t>
      </w:r>
      <w:r w:rsidR="00A7497A" w:rsidRPr="00A7497A">
        <w:t xml:space="preserve">significantly higher than </w:t>
      </w:r>
      <w:r>
        <w:t>in 2007</w:t>
      </w:r>
      <w:r w:rsidR="00A7497A" w:rsidRPr="00A7497A">
        <w:t xml:space="preserve">. The </w:t>
      </w:r>
      <w:r w:rsidR="000D1F96" w:rsidRPr="000D7060">
        <w:t>Transport Sector Support Program</w:t>
      </w:r>
      <w:r w:rsidR="00A7497A" w:rsidRPr="00A7497A">
        <w:t xml:space="preserve">, the Health Program Response to HIV/AIDS and the PNG </w:t>
      </w:r>
      <w:r w:rsidR="00A1182A" w:rsidRPr="000D7060">
        <w:t xml:space="preserve">Church Partnership Program </w:t>
      </w:r>
      <w:r w:rsidR="00A7497A" w:rsidRPr="00A7497A">
        <w:t xml:space="preserve">showed the greatest </w:t>
      </w:r>
      <w:r>
        <w:t>improvement in their quality at implementation</w:t>
      </w:r>
      <w:r w:rsidR="00A7497A" w:rsidRPr="00F15CCA">
        <w:t>.</w:t>
      </w:r>
    </w:p>
    <w:p w:rsidR="00A7497A" w:rsidRPr="00A7497A" w:rsidRDefault="00A7497A" w:rsidP="00991F19">
      <w:pPr>
        <w:pStyle w:val="BodyText"/>
      </w:pPr>
      <w:r w:rsidRPr="00A7497A">
        <w:t>However</w:t>
      </w:r>
      <w:r w:rsidR="00E73032">
        <w:t>,</w:t>
      </w:r>
      <w:r w:rsidRPr="00A7497A">
        <w:t xml:space="preserve"> it is difficult to draw conclusions from </w:t>
      </w:r>
      <w:r w:rsidR="00E73032">
        <w:t>these ratings</w:t>
      </w:r>
      <w:r w:rsidRPr="00A7497A">
        <w:t xml:space="preserve"> </w:t>
      </w:r>
      <w:r w:rsidR="00931972">
        <w:t>because</w:t>
      </w:r>
      <w:r w:rsidR="00931972" w:rsidRPr="00A7497A">
        <w:t xml:space="preserve"> </w:t>
      </w:r>
      <w:r w:rsidRPr="00A7497A">
        <w:t>many of the large sector</w:t>
      </w:r>
      <w:r w:rsidR="00931972">
        <w:t>al</w:t>
      </w:r>
      <w:r w:rsidRPr="00A7497A">
        <w:t xml:space="preserve"> programs will be mobilising new </w:t>
      </w:r>
      <w:r w:rsidR="00931972">
        <w:t>initiatives</w:t>
      </w:r>
      <w:r w:rsidR="00931972" w:rsidRPr="00A7497A">
        <w:t xml:space="preserve"> </w:t>
      </w:r>
      <w:r w:rsidRPr="00A7497A">
        <w:t xml:space="preserve">in 2010. </w:t>
      </w:r>
      <w:r w:rsidR="00931972" w:rsidRPr="00A7497A">
        <w:t xml:space="preserve">The </w:t>
      </w:r>
      <w:r w:rsidRPr="00A7497A">
        <w:t xml:space="preserve">gap between expectation and actual performance </w:t>
      </w:r>
      <w:r w:rsidR="00931972">
        <w:t>may have</w:t>
      </w:r>
      <w:r w:rsidR="00931972" w:rsidRPr="00A7497A">
        <w:t xml:space="preserve"> </w:t>
      </w:r>
      <w:r w:rsidRPr="00A7497A">
        <w:t xml:space="preserve">narrowed as </w:t>
      </w:r>
      <w:r w:rsidR="00931972">
        <w:t>initiatives</w:t>
      </w:r>
      <w:r w:rsidRPr="00A7497A">
        <w:t xml:space="preserve"> </w:t>
      </w:r>
      <w:r w:rsidR="00931972">
        <w:t>near their</w:t>
      </w:r>
      <w:r w:rsidRPr="00A7497A">
        <w:t xml:space="preserve"> finish. As new programs are mobilised under the </w:t>
      </w:r>
      <w:r w:rsidR="00931972" w:rsidRPr="00A7497A">
        <w:t xml:space="preserve">Partnership </w:t>
      </w:r>
      <w:r w:rsidR="00931972">
        <w:t xml:space="preserve">for Development </w:t>
      </w:r>
      <w:r w:rsidRPr="00A7497A">
        <w:t xml:space="preserve">and </w:t>
      </w:r>
      <w:r w:rsidR="006B48C1">
        <w:t xml:space="preserve">as </w:t>
      </w:r>
      <w:r w:rsidRPr="00A7497A">
        <w:t>ways of doing business change</w:t>
      </w:r>
      <w:r w:rsidR="00931972">
        <w:t>,</w:t>
      </w:r>
      <w:r w:rsidRPr="00A7497A">
        <w:t xml:space="preserve"> </w:t>
      </w:r>
      <w:r w:rsidR="00931972">
        <w:t>there</w:t>
      </w:r>
      <w:r w:rsidR="00931972" w:rsidRPr="00A7497A">
        <w:t xml:space="preserve"> </w:t>
      </w:r>
      <w:r w:rsidRPr="00A7497A">
        <w:t xml:space="preserve">may </w:t>
      </w:r>
      <w:r w:rsidR="00931972">
        <w:t>be</w:t>
      </w:r>
      <w:r w:rsidR="00931972" w:rsidRPr="00A7497A">
        <w:t xml:space="preserve"> </w:t>
      </w:r>
      <w:r w:rsidRPr="00A7497A">
        <w:t xml:space="preserve">a drop in </w:t>
      </w:r>
      <w:r w:rsidR="00A1182A">
        <w:t>quality-at-implementation</w:t>
      </w:r>
      <w:r w:rsidR="00A1182A" w:rsidRPr="00A7497A">
        <w:t xml:space="preserve"> </w:t>
      </w:r>
      <w:r w:rsidR="00931972">
        <w:t>ratings in 2009</w:t>
      </w:r>
      <w:r w:rsidRPr="00A7497A">
        <w:t>.</w:t>
      </w:r>
    </w:p>
    <w:p w:rsidR="00A7497A" w:rsidRPr="00A7497A" w:rsidRDefault="000877AF" w:rsidP="00080750">
      <w:pPr>
        <w:pStyle w:val="H2A"/>
      </w:pPr>
      <w:bookmarkStart w:id="168" w:name="_Toc237763934"/>
      <w:bookmarkStart w:id="169" w:name="_Toc361224394"/>
      <w:r>
        <w:t>Quality at</w:t>
      </w:r>
      <w:r w:rsidRPr="00A7497A">
        <w:t xml:space="preserve"> </w:t>
      </w:r>
      <w:r w:rsidR="00A7497A" w:rsidRPr="00A7497A">
        <w:t>completion</w:t>
      </w:r>
      <w:bookmarkEnd w:id="168"/>
      <w:bookmarkEnd w:id="169"/>
    </w:p>
    <w:p w:rsidR="00A7497A" w:rsidRPr="00A7497A" w:rsidRDefault="00A7497A" w:rsidP="00991F19">
      <w:pPr>
        <w:pStyle w:val="BodyText"/>
      </w:pPr>
      <w:r w:rsidRPr="00A7497A">
        <w:t xml:space="preserve">In November 2008 </w:t>
      </w:r>
      <w:proofErr w:type="spellStart"/>
      <w:r w:rsidRPr="00A7497A">
        <w:t>AusAID</w:t>
      </w:r>
      <w:proofErr w:type="spellEnd"/>
      <w:r w:rsidRPr="00A7497A">
        <w:t xml:space="preserve"> released new guidelines for independent evaluations of aid activities. The</w:t>
      </w:r>
      <w:r w:rsidR="006B48C1">
        <w:t>se</w:t>
      </w:r>
      <w:r w:rsidRPr="00A7497A">
        <w:t xml:space="preserve"> guidelines changed the requirements for independent completion reports and independent progress reports (previously called mid-term reviews). </w:t>
      </w:r>
      <w:proofErr w:type="spellStart"/>
      <w:r w:rsidRPr="00A7497A">
        <w:t>Monitorable</w:t>
      </w:r>
      <w:proofErr w:type="spellEnd"/>
      <w:r w:rsidRPr="00A7497A">
        <w:t xml:space="preserve"> activities must now be evaluated at least once every four years. </w:t>
      </w:r>
      <w:r w:rsidR="00125669">
        <w:t>If</w:t>
      </w:r>
      <w:r w:rsidRPr="00A7497A">
        <w:t xml:space="preserve"> an </w:t>
      </w:r>
      <w:r w:rsidR="00125669">
        <w:t>independent progress report</w:t>
      </w:r>
      <w:r w:rsidR="00125669" w:rsidRPr="00A7497A">
        <w:t xml:space="preserve"> </w:t>
      </w:r>
      <w:r w:rsidRPr="00A7497A">
        <w:t xml:space="preserve">has been conducted less than two years before the completion of an activity, an </w:t>
      </w:r>
      <w:r w:rsidR="00125669" w:rsidRPr="00A7497A">
        <w:t>independent completion report</w:t>
      </w:r>
      <w:r w:rsidR="00125669">
        <w:t xml:space="preserve"> </w:t>
      </w:r>
      <w:r w:rsidRPr="00A7497A">
        <w:t xml:space="preserve">is not required. </w:t>
      </w:r>
      <w:r w:rsidR="00125669">
        <w:t>These types of report</w:t>
      </w:r>
      <w:r w:rsidRPr="00A7497A">
        <w:t xml:space="preserve"> are required to rate activities against eight criteria</w:t>
      </w:r>
      <w:r w:rsidRPr="00125669">
        <w:rPr>
          <w:rStyle w:val="FootnoteReference"/>
        </w:rPr>
        <w:footnoteReference w:id="57"/>
      </w:r>
      <w:r w:rsidRPr="00A7497A">
        <w:t xml:space="preserve"> </w:t>
      </w:r>
      <w:r w:rsidR="006B48C1">
        <w:t>(</w:t>
      </w:r>
      <w:r w:rsidRPr="00A7497A">
        <w:t>not five</w:t>
      </w:r>
      <w:r w:rsidR="006B48C1">
        <w:t>)</w:t>
      </w:r>
      <w:r w:rsidRPr="00A7497A">
        <w:t xml:space="preserve">. In addition, the Operations Policy and Support Branch decided that </w:t>
      </w:r>
      <w:r w:rsidR="00125669" w:rsidRPr="00A7497A">
        <w:t xml:space="preserve">independent completion reports </w:t>
      </w:r>
      <w:r w:rsidRPr="00A7497A">
        <w:t xml:space="preserve">would replace the </w:t>
      </w:r>
      <w:r w:rsidR="00125669">
        <w:t>quality-at-</w:t>
      </w:r>
      <w:r w:rsidR="00125669" w:rsidRPr="00A7497A">
        <w:t xml:space="preserve">completion </w:t>
      </w:r>
      <w:r w:rsidRPr="00A7497A">
        <w:t xml:space="preserve">reports that have been used </w:t>
      </w:r>
      <w:r w:rsidR="00191FF9">
        <w:t xml:space="preserve">in </w:t>
      </w:r>
      <w:r w:rsidR="004A5153">
        <w:t xml:space="preserve">annual program performance reviews </w:t>
      </w:r>
      <w:r w:rsidRPr="00A7497A">
        <w:t xml:space="preserve">in previous years. These changes in requirements have </w:t>
      </w:r>
      <w:r w:rsidR="00125669">
        <w:t xml:space="preserve">yet </w:t>
      </w:r>
      <w:r w:rsidR="004A5153">
        <w:t>to be implemented</w:t>
      </w:r>
      <w:r w:rsidRPr="00A7497A">
        <w:t>.</w:t>
      </w:r>
    </w:p>
    <w:p w:rsidR="00A7497A" w:rsidRPr="00A7497A" w:rsidRDefault="00125669" w:rsidP="00991F19">
      <w:pPr>
        <w:pStyle w:val="BodyText"/>
      </w:pPr>
      <w:r>
        <w:t xml:space="preserve">In 2008, </w:t>
      </w:r>
      <w:proofErr w:type="spellStart"/>
      <w:r w:rsidR="00191FF9">
        <w:t>AusAID</w:t>
      </w:r>
      <w:proofErr w:type="spellEnd"/>
      <w:r w:rsidR="00191FF9" w:rsidRPr="00A7497A">
        <w:t xml:space="preserve"> </w:t>
      </w:r>
      <w:r w:rsidR="00A7497A" w:rsidRPr="00A7497A">
        <w:t xml:space="preserve">reporting </w:t>
      </w:r>
      <w:r w:rsidR="00557A0C">
        <w:t xml:space="preserve">process </w:t>
      </w:r>
      <w:r w:rsidR="00A7497A" w:rsidRPr="00A7497A">
        <w:t xml:space="preserve">identified 22 </w:t>
      </w:r>
      <w:proofErr w:type="spellStart"/>
      <w:r w:rsidR="00A7497A" w:rsidRPr="00A7497A">
        <w:t>monitorable</w:t>
      </w:r>
      <w:proofErr w:type="spellEnd"/>
      <w:r w:rsidR="00A7497A" w:rsidRPr="00A7497A">
        <w:t xml:space="preserve"> initiatives</w:t>
      </w:r>
      <w:r w:rsidR="00557A0C">
        <w:t xml:space="preserve"> in the PNG program that</w:t>
      </w:r>
      <w:r w:rsidR="00A7497A" w:rsidRPr="00A7497A">
        <w:t xml:space="preserve"> requir</w:t>
      </w:r>
      <w:r w:rsidR="00557A0C">
        <w:t>ed</w:t>
      </w:r>
      <w:r w:rsidR="00A7497A" w:rsidRPr="00A7497A">
        <w:t xml:space="preserve"> </w:t>
      </w:r>
      <w:r w:rsidRPr="00A7497A">
        <w:t>independent completion reports</w:t>
      </w:r>
      <w:r w:rsidR="00A7497A" w:rsidRPr="00A7497A">
        <w:t>. Of the 22 initiatives:</w:t>
      </w:r>
    </w:p>
    <w:p w:rsidR="00A7497A" w:rsidRPr="00A7497A" w:rsidRDefault="00A7497A" w:rsidP="00991F19">
      <w:pPr>
        <w:pStyle w:val="ListBullet"/>
      </w:pPr>
      <w:r w:rsidRPr="00A7497A">
        <w:t xml:space="preserve">5 </w:t>
      </w:r>
      <w:r w:rsidR="00125669" w:rsidRPr="00A7497A">
        <w:t xml:space="preserve">initiatives </w:t>
      </w:r>
      <w:r w:rsidR="00557A0C">
        <w:t>prepared</w:t>
      </w:r>
      <w:r w:rsidR="00557A0C" w:rsidRPr="00A7497A">
        <w:t xml:space="preserve"> </w:t>
      </w:r>
      <w:r w:rsidR="00125669" w:rsidRPr="00A7497A">
        <w:t>independent completion reports</w:t>
      </w:r>
    </w:p>
    <w:p w:rsidR="00A7497A" w:rsidRPr="00A7497A" w:rsidRDefault="00A7497A" w:rsidP="00991F19">
      <w:pPr>
        <w:pStyle w:val="ListBullet"/>
      </w:pPr>
      <w:r w:rsidRPr="00A7497A">
        <w:t xml:space="preserve">14 </w:t>
      </w:r>
      <w:r w:rsidR="00125669" w:rsidRPr="00A7497A">
        <w:t xml:space="preserve">initiatives </w:t>
      </w:r>
      <w:r w:rsidRPr="00A7497A">
        <w:t xml:space="preserve">were exempt from the </w:t>
      </w:r>
      <w:r w:rsidR="00125669">
        <w:t>reporting</w:t>
      </w:r>
      <w:r w:rsidRPr="00A7497A">
        <w:t xml:space="preserve"> process or the </w:t>
      </w:r>
      <w:r w:rsidR="00125669">
        <w:t>report</w:t>
      </w:r>
      <w:r w:rsidRPr="00A7497A">
        <w:t xml:space="preserve"> was postponed until 2009 (</w:t>
      </w:r>
      <w:r w:rsidR="00991F19">
        <w:t xml:space="preserve">for example, </w:t>
      </w:r>
      <w:r w:rsidRPr="00A7497A">
        <w:t>Gazelle Roads</w:t>
      </w:r>
      <w:r w:rsidR="00557A0C">
        <w:t xml:space="preserve"> and</w:t>
      </w:r>
      <w:r w:rsidRPr="00A7497A">
        <w:t xml:space="preserve"> </w:t>
      </w:r>
      <w:r w:rsidR="00991F19" w:rsidRPr="00991F19">
        <w:t>Papua New Guinea</w:t>
      </w:r>
      <w:r w:rsidR="00991F19" w:rsidRPr="00991F19">
        <w:rPr>
          <w:rFonts w:ascii="Arial Unicode MS" w:eastAsia="Arial Unicode MS" w:hAnsi="Arial Unicode MS" w:cs="Arial Unicode MS" w:hint="eastAsia"/>
          <w:sz w:val="12"/>
          <w:szCs w:val="12"/>
        </w:rPr>
        <w:t> </w:t>
      </w:r>
      <w:r w:rsidR="00991F19" w:rsidRPr="00991F19">
        <w:t>–</w:t>
      </w:r>
      <w:r w:rsidR="00991F19" w:rsidRPr="00991F19">
        <w:rPr>
          <w:rFonts w:ascii="Arial Unicode MS" w:eastAsia="Arial Unicode MS" w:hAnsi="Arial Unicode MS" w:cs="Arial Unicode MS" w:hint="eastAsia"/>
          <w:sz w:val="12"/>
          <w:szCs w:val="12"/>
        </w:rPr>
        <w:t> </w:t>
      </w:r>
      <w:r w:rsidR="00991F19" w:rsidRPr="00991F19">
        <w:t>Australia Target Training Facility</w:t>
      </w:r>
      <w:r w:rsidRPr="00A7497A">
        <w:t xml:space="preserve">) </w:t>
      </w:r>
      <w:r w:rsidR="0078390C">
        <w:t>(</w:t>
      </w:r>
      <w:r w:rsidRPr="00A7497A">
        <w:t xml:space="preserve">Exemptions usually applied to initiatives </w:t>
      </w:r>
      <w:r w:rsidR="00191FF9">
        <w:t>that</w:t>
      </w:r>
      <w:r w:rsidR="00191FF9" w:rsidRPr="00A7497A">
        <w:t xml:space="preserve"> </w:t>
      </w:r>
      <w:r w:rsidRPr="00A7497A">
        <w:t xml:space="preserve">had been evaluated less than two years </w:t>
      </w:r>
      <w:r w:rsidR="00191FF9">
        <w:t>before</w:t>
      </w:r>
      <w:r w:rsidR="00191FF9" w:rsidRPr="00A7497A">
        <w:t xml:space="preserve"> </w:t>
      </w:r>
      <w:r w:rsidRPr="00A7497A">
        <w:t xml:space="preserve">completion through other processes (such as </w:t>
      </w:r>
      <w:r w:rsidR="00F24F5D">
        <w:t>those of the Office of Development Effectiveness</w:t>
      </w:r>
      <w:r w:rsidRPr="00A7497A">
        <w:t xml:space="preserve">) or </w:t>
      </w:r>
      <w:r w:rsidR="0078390C">
        <w:t>that</w:t>
      </w:r>
      <w:r w:rsidR="0078390C" w:rsidRPr="00A7497A">
        <w:t xml:space="preserve"> </w:t>
      </w:r>
      <w:r w:rsidRPr="00A7497A">
        <w:t xml:space="preserve">were anomalies resulting from the migration </w:t>
      </w:r>
      <w:r w:rsidR="00B42B81">
        <w:t>of budget lines</w:t>
      </w:r>
      <w:r w:rsidR="0078390C">
        <w:t xml:space="preserve"> in </w:t>
      </w:r>
      <w:proofErr w:type="spellStart"/>
      <w:r w:rsidR="0078390C">
        <w:t>AusAID</w:t>
      </w:r>
      <w:proofErr w:type="spellEnd"/>
      <w:r w:rsidR="0078390C">
        <w:t xml:space="preserve"> systems</w:t>
      </w:r>
      <w:r w:rsidRPr="00A7497A">
        <w:t>.</w:t>
      </w:r>
      <w:r w:rsidR="0078390C">
        <w:t>)</w:t>
      </w:r>
    </w:p>
    <w:p w:rsidR="00A7497A" w:rsidRPr="00A7497A" w:rsidRDefault="00A7497A" w:rsidP="00A7497A">
      <w:pPr>
        <w:pStyle w:val="ListBullet"/>
      </w:pPr>
      <w:r w:rsidRPr="00A7497A">
        <w:t xml:space="preserve">3 </w:t>
      </w:r>
      <w:r w:rsidR="0078390C" w:rsidRPr="00A7497A">
        <w:t xml:space="preserve">initiatives </w:t>
      </w:r>
      <w:r w:rsidRPr="00A7497A">
        <w:t>undertook other forms of independent reviews.</w:t>
      </w:r>
      <w:r w:rsidRPr="00991F19">
        <w:rPr>
          <w:rStyle w:val="FootnoteReference"/>
        </w:rPr>
        <w:footnoteReference w:id="58"/>
      </w:r>
    </w:p>
    <w:p w:rsidR="00A7497A" w:rsidRPr="00A7497A" w:rsidRDefault="00A7497A" w:rsidP="00A7497A">
      <w:pPr>
        <w:pStyle w:val="BodyText"/>
      </w:pPr>
      <w:r w:rsidRPr="00A7497A">
        <w:t xml:space="preserve">Two other activities not captured in </w:t>
      </w:r>
      <w:proofErr w:type="spellStart"/>
      <w:r w:rsidR="0078390C">
        <w:t>AusAID’s</w:t>
      </w:r>
      <w:proofErr w:type="spellEnd"/>
      <w:r w:rsidR="0078390C" w:rsidRPr="00A7497A">
        <w:t xml:space="preserve"> </w:t>
      </w:r>
      <w:r w:rsidRPr="00A7497A">
        <w:t xml:space="preserve">reporting </w:t>
      </w:r>
      <w:r w:rsidR="0078390C">
        <w:t>requirements—</w:t>
      </w:r>
      <w:r w:rsidR="0078390C" w:rsidRPr="00A7497A">
        <w:t>the Curriculum Reform Improvement Program and the Com</w:t>
      </w:r>
      <w:r w:rsidR="0078390C">
        <w:t>munity Development Scheme Phase </w:t>
      </w:r>
      <w:r w:rsidR="0078390C" w:rsidRPr="00A7497A">
        <w:t>2</w:t>
      </w:r>
      <w:r w:rsidR="0078390C">
        <w:t>—</w:t>
      </w:r>
      <w:r w:rsidRPr="00A7497A">
        <w:t xml:space="preserve">were </w:t>
      </w:r>
      <w:r w:rsidRPr="00A7497A">
        <w:lastRenderedPageBreak/>
        <w:t xml:space="preserve">evaluated through </w:t>
      </w:r>
      <w:r w:rsidR="00125669" w:rsidRPr="00A7497A">
        <w:t xml:space="preserve">independent completion reports </w:t>
      </w:r>
      <w:r w:rsidRPr="00A7497A">
        <w:t>in 2008.</w:t>
      </w:r>
      <w:r w:rsidR="006F7C08">
        <w:t xml:space="preserve"> </w:t>
      </w:r>
      <w:r w:rsidRPr="00A7497A">
        <w:t xml:space="preserve">The </w:t>
      </w:r>
      <w:r w:rsidR="00125669">
        <w:t>report</w:t>
      </w:r>
      <w:r w:rsidR="00125669" w:rsidRPr="00A7497A">
        <w:t xml:space="preserve"> </w:t>
      </w:r>
      <w:r w:rsidR="00B42B81">
        <w:t xml:space="preserve">for the </w:t>
      </w:r>
      <w:r w:rsidR="00B42B81" w:rsidRPr="00A7497A">
        <w:t xml:space="preserve">Curriculum Reform Improvement Program </w:t>
      </w:r>
      <w:r w:rsidRPr="00A7497A">
        <w:t>made assessments about the relevance, effectiveness, impact and sustainability of the program, but did not provide number</w:t>
      </w:r>
      <w:r w:rsidR="0078390C">
        <w:t>ed</w:t>
      </w:r>
      <w:r w:rsidRPr="00A7497A">
        <w:t xml:space="preserve"> ratings. The</w:t>
      </w:r>
      <w:r w:rsidR="00B42B81">
        <w:t xml:space="preserve"> report for the</w:t>
      </w:r>
      <w:r w:rsidRPr="00A7497A">
        <w:t xml:space="preserve"> </w:t>
      </w:r>
      <w:r w:rsidR="00B42B81" w:rsidRPr="00A7497A">
        <w:t xml:space="preserve">Community Development Scheme </w:t>
      </w:r>
      <w:r w:rsidRPr="00A7497A">
        <w:t>allocated ratings</w:t>
      </w:r>
      <w:r w:rsidR="0078390C">
        <w:t xml:space="preserve"> of 5 for</w:t>
      </w:r>
      <w:r w:rsidRPr="00A7497A">
        <w:t xml:space="preserve"> analysis and learning</w:t>
      </w:r>
      <w:r w:rsidR="0078390C">
        <w:t>,</w:t>
      </w:r>
      <w:r w:rsidRPr="00A7497A">
        <w:t xml:space="preserve"> </w:t>
      </w:r>
      <w:r w:rsidR="0078390C">
        <w:t xml:space="preserve">5 for </w:t>
      </w:r>
      <w:r w:rsidRPr="00A7497A">
        <w:t>effectiveness</w:t>
      </w:r>
      <w:r w:rsidR="00F85263">
        <w:t xml:space="preserve"> </w:t>
      </w:r>
      <w:r w:rsidR="0078390C">
        <w:t>and 2 for</w:t>
      </w:r>
      <w:r w:rsidRPr="00A7497A">
        <w:t xml:space="preserve"> sustainability.</w:t>
      </w:r>
    </w:p>
    <w:p w:rsidR="00A7497A" w:rsidRPr="00A7497A" w:rsidRDefault="00A7497A" w:rsidP="00A7497A">
      <w:pPr>
        <w:pStyle w:val="BodyText"/>
      </w:pPr>
      <w:r w:rsidRPr="00A7497A">
        <w:t xml:space="preserve">The five </w:t>
      </w:r>
      <w:r w:rsidR="00125669" w:rsidRPr="00A7497A">
        <w:t xml:space="preserve">independent completion reports </w:t>
      </w:r>
      <w:r w:rsidRPr="00A7497A">
        <w:t>rated initiatives against five criteria</w:t>
      </w:r>
      <w:r w:rsidR="007C0D36">
        <w:t>—</w:t>
      </w:r>
      <w:r w:rsidRPr="00A7497A">
        <w:t>analysis and learning, effectiveness, efficiency, monitoring and evaluation</w:t>
      </w:r>
      <w:r w:rsidR="007C0D36">
        <w:t>,</w:t>
      </w:r>
      <w:r w:rsidRPr="00A7497A">
        <w:t xml:space="preserve"> and sustainability. The PNG program achieved an overall quality rating of </w:t>
      </w:r>
      <w:r w:rsidR="00557A0C">
        <w:t xml:space="preserve">‘satisfactory’ for </w:t>
      </w:r>
      <w:r w:rsidRPr="00A7497A">
        <w:t>60</w:t>
      </w:r>
      <w:r w:rsidR="001B735E">
        <w:t> per cent</w:t>
      </w:r>
      <w:r w:rsidRPr="00A7497A">
        <w:t xml:space="preserve"> against all five</w:t>
      </w:r>
      <w:r w:rsidR="00557A0C">
        <w:t> </w:t>
      </w:r>
      <w:r w:rsidRPr="00A7497A">
        <w:t xml:space="preserve">criteria. </w:t>
      </w:r>
    </w:p>
    <w:p w:rsidR="00A7497A" w:rsidRPr="00A7497A" w:rsidRDefault="00A7497A" w:rsidP="00A7497A">
      <w:pPr>
        <w:pStyle w:val="ListBullet"/>
      </w:pPr>
      <w:r w:rsidRPr="00A7497A">
        <w:t>60</w:t>
      </w:r>
      <w:r w:rsidR="001B735E">
        <w:t> per cent</w:t>
      </w:r>
      <w:r w:rsidRPr="00A7497A">
        <w:t xml:space="preserve"> of </w:t>
      </w:r>
      <w:r w:rsidR="00125669">
        <w:t>reports</w:t>
      </w:r>
      <w:r w:rsidR="00125669" w:rsidRPr="00A7497A">
        <w:t xml:space="preserve"> </w:t>
      </w:r>
      <w:r w:rsidRPr="00A7497A">
        <w:t>rated analysis and learning as adequate (rated 4 or above).</w:t>
      </w:r>
    </w:p>
    <w:p w:rsidR="00A7497A" w:rsidRPr="00A7497A" w:rsidRDefault="00A7497A" w:rsidP="00A7497A">
      <w:pPr>
        <w:pStyle w:val="ListBullet"/>
      </w:pPr>
      <w:r w:rsidRPr="00A7497A">
        <w:t>80</w:t>
      </w:r>
      <w:r w:rsidR="001B735E">
        <w:t> per cent</w:t>
      </w:r>
      <w:r w:rsidRPr="00A7497A">
        <w:t xml:space="preserve"> of </w:t>
      </w:r>
      <w:r w:rsidR="00125669">
        <w:t>reports</w:t>
      </w:r>
      <w:r w:rsidRPr="00A7497A">
        <w:t xml:space="preserve"> determined that the </w:t>
      </w:r>
      <w:r w:rsidR="007C0D36" w:rsidRPr="00A7497A">
        <w:t>initiative</w:t>
      </w:r>
      <w:r w:rsidR="007C0D36">
        <w:t>s</w:t>
      </w:r>
      <w:r w:rsidR="007C0D36" w:rsidRPr="00A7497A">
        <w:t xml:space="preserve"> </w:t>
      </w:r>
      <w:r w:rsidR="007C0D36">
        <w:t>were</w:t>
      </w:r>
      <w:r w:rsidR="007C0D36" w:rsidRPr="00A7497A">
        <w:t xml:space="preserve"> </w:t>
      </w:r>
      <w:r w:rsidRPr="00A7497A">
        <w:t xml:space="preserve">effective (rated 4 or above). </w:t>
      </w:r>
    </w:p>
    <w:p w:rsidR="00A7497A" w:rsidRPr="00A7497A" w:rsidRDefault="007C0D36" w:rsidP="00A7497A">
      <w:pPr>
        <w:pStyle w:val="ListBullet"/>
      </w:pPr>
      <w:r>
        <w:t>All</w:t>
      </w:r>
      <w:r w:rsidRPr="00A7497A">
        <w:t xml:space="preserve"> </w:t>
      </w:r>
      <w:r w:rsidR="00125669">
        <w:t>reports</w:t>
      </w:r>
      <w:r w:rsidR="00A7497A" w:rsidRPr="00A7497A">
        <w:t xml:space="preserve"> determined that the </w:t>
      </w:r>
      <w:r w:rsidRPr="00A7497A">
        <w:t>initiative</w:t>
      </w:r>
      <w:r>
        <w:t>s</w:t>
      </w:r>
      <w:r w:rsidRPr="00A7497A">
        <w:t xml:space="preserve"> </w:t>
      </w:r>
      <w:r w:rsidR="00A7497A" w:rsidRPr="00A7497A">
        <w:t xml:space="preserve">had been efficient (rated 4 or above). </w:t>
      </w:r>
    </w:p>
    <w:p w:rsidR="00A7497A" w:rsidRPr="00A7497A" w:rsidRDefault="00A7497A" w:rsidP="00A7497A">
      <w:pPr>
        <w:pStyle w:val="ListBullet"/>
      </w:pPr>
      <w:r w:rsidRPr="00A7497A">
        <w:t>40</w:t>
      </w:r>
      <w:r w:rsidR="001B735E">
        <w:t> per cent</w:t>
      </w:r>
      <w:r w:rsidRPr="00A7497A">
        <w:t xml:space="preserve"> of </w:t>
      </w:r>
      <w:r w:rsidR="00125669">
        <w:t>reports</w:t>
      </w:r>
      <w:r w:rsidRPr="00A7497A">
        <w:t xml:space="preserve"> rated the monitoring and evaluation framework</w:t>
      </w:r>
      <w:r w:rsidR="00557A0C">
        <w:t>s</w:t>
      </w:r>
      <w:r w:rsidRPr="00A7497A">
        <w:t xml:space="preserve"> for their </w:t>
      </w:r>
      <w:r w:rsidR="000318A5" w:rsidRPr="00A7497A">
        <w:t>initiative</w:t>
      </w:r>
      <w:r w:rsidR="000318A5">
        <w:t>s</w:t>
      </w:r>
      <w:r w:rsidR="000318A5" w:rsidRPr="00A7497A">
        <w:t xml:space="preserve"> </w:t>
      </w:r>
      <w:r w:rsidRPr="00A7497A">
        <w:t>as satisf</w:t>
      </w:r>
      <w:r w:rsidR="00125669">
        <w:t>actory (rated 4 or above).</w:t>
      </w:r>
    </w:p>
    <w:p w:rsidR="00A7497A" w:rsidRPr="00A7497A" w:rsidRDefault="00A7497A" w:rsidP="00A7497A">
      <w:pPr>
        <w:pStyle w:val="ListBullet"/>
      </w:pPr>
      <w:r w:rsidRPr="00A7497A">
        <w:t>20</w:t>
      </w:r>
      <w:r w:rsidR="001B735E">
        <w:t> per cent</w:t>
      </w:r>
      <w:r w:rsidRPr="00A7497A">
        <w:t xml:space="preserve"> of </w:t>
      </w:r>
      <w:r w:rsidR="00125669" w:rsidRPr="00A7497A">
        <w:t xml:space="preserve">reports </w:t>
      </w:r>
      <w:r w:rsidRPr="00A7497A">
        <w:t xml:space="preserve">rated the </w:t>
      </w:r>
      <w:r w:rsidR="00125669" w:rsidRPr="00A7497A">
        <w:t>initiatives</w:t>
      </w:r>
      <w:r w:rsidR="007C0D36">
        <w:t>’</w:t>
      </w:r>
      <w:r w:rsidR="00125669" w:rsidRPr="00A7497A">
        <w:t xml:space="preserve"> </w:t>
      </w:r>
      <w:r w:rsidRPr="00A7497A">
        <w:t xml:space="preserve">sustainability as satisfactory (rated 4 or above). </w:t>
      </w:r>
    </w:p>
    <w:p w:rsidR="00A7497A" w:rsidRPr="00A7497A" w:rsidRDefault="00557A0C" w:rsidP="00A7497A">
      <w:pPr>
        <w:pStyle w:val="BodyText"/>
      </w:pPr>
      <w:r>
        <w:t>V</w:t>
      </w:r>
      <w:r w:rsidR="00A7497A" w:rsidRPr="00A7497A">
        <w:t xml:space="preserve">arious reasons </w:t>
      </w:r>
      <w:r>
        <w:t xml:space="preserve">were given </w:t>
      </w:r>
      <w:r w:rsidR="00A7497A" w:rsidRPr="00A7497A">
        <w:t>for the weakness in monitoring and evaluation</w:t>
      </w:r>
      <w:r w:rsidR="000318A5">
        <w:t>,</w:t>
      </w:r>
      <w:r w:rsidR="00A7497A" w:rsidRPr="00A7497A">
        <w:t xml:space="preserve"> including poor and ineffective monitoring and evaluation </w:t>
      </w:r>
      <w:r w:rsidR="001A1F86">
        <w:t>frameworks for</w:t>
      </w:r>
      <w:r w:rsidR="00A7497A" w:rsidRPr="00A7497A">
        <w:t xml:space="preserve"> the </w:t>
      </w:r>
      <w:r w:rsidR="000318A5">
        <w:t>initiatives</w:t>
      </w:r>
      <w:r w:rsidR="000318A5" w:rsidRPr="00A7497A">
        <w:t xml:space="preserve"> </w:t>
      </w:r>
      <w:r w:rsidR="00A7497A" w:rsidRPr="00A7497A">
        <w:t xml:space="preserve">and </w:t>
      </w:r>
      <w:r w:rsidR="001A1F86">
        <w:t xml:space="preserve">not </w:t>
      </w:r>
      <w:r w:rsidR="00C50CD4">
        <w:t>specifying</w:t>
      </w:r>
      <w:r w:rsidR="001A1F86">
        <w:t xml:space="preserve"> the need for</w:t>
      </w:r>
      <w:r w:rsidR="000318A5">
        <w:t xml:space="preserve"> </w:t>
      </w:r>
      <w:r w:rsidR="00A7497A" w:rsidRPr="00A7497A">
        <w:t>formal monitoring and evaluation framework</w:t>
      </w:r>
      <w:r w:rsidR="001A1F86">
        <w:t>s</w:t>
      </w:r>
      <w:r w:rsidR="00A7497A" w:rsidRPr="00A7497A">
        <w:t xml:space="preserve"> in the contract</w:t>
      </w:r>
      <w:r w:rsidR="001A1F86">
        <w:t>s for initiatives</w:t>
      </w:r>
      <w:r w:rsidR="00A7497A" w:rsidRPr="00A7497A">
        <w:t xml:space="preserve">. </w:t>
      </w:r>
      <w:r>
        <w:t xml:space="preserve">And </w:t>
      </w:r>
      <w:r w:rsidR="00A7497A" w:rsidRPr="00A7497A">
        <w:t xml:space="preserve">various reasons </w:t>
      </w:r>
      <w:r>
        <w:t xml:space="preserve">were given </w:t>
      </w:r>
      <w:r w:rsidR="00A7497A" w:rsidRPr="00A7497A">
        <w:t xml:space="preserve">for </w:t>
      </w:r>
      <w:r w:rsidR="004D3191">
        <w:t xml:space="preserve">the </w:t>
      </w:r>
      <w:r w:rsidR="00A7497A" w:rsidRPr="00A7497A">
        <w:t xml:space="preserve">poor </w:t>
      </w:r>
      <w:r w:rsidR="004D3191">
        <w:t xml:space="preserve">prospects for </w:t>
      </w:r>
      <w:r w:rsidR="00A7497A" w:rsidRPr="00A7497A">
        <w:t>long</w:t>
      </w:r>
      <w:r w:rsidR="004D3191">
        <w:t>-</w:t>
      </w:r>
      <w:r w:rsidR="00A7497A" w:rsidRPr="00A7497A">
        <w:t>term sustainab</w:t>
      </w:r>
      <w:r w:rsidR="004D3191">
        <w:t>le benefits from</w:t>
      </w:r>
      <w:r w:rsidR="00A7497A" w:rsidRPr="00A7497A">
        <w:t xml:space="preserve"> the </w:t>
      </w:r>
      <w:r w:rsidR="004D3191" w:rsidRPr="00A7497A">
        <w:t>initiatives</w:t>
      </w:r>
      <w:r w:rsidR="004D3191">
        <w:t>,</w:t>
      </w:r>
      <w:r w:rsidR="004D3191" w:rsidRPr="00A7497A">
        <w:t xml:space="preserve"> </w:t>
      </w:r>
      <w:r w:rsidR="00A7497A" w:rsidRPr="00A7497A">
        <w:t>including the lack of adequate ongoing funding and inadequate staffing.</w:t>
      </w:r>
    </w:p>
    <w:p w:rsidR="00787E65" w:rsidRPr="009B5487" w:rsidRDefault="00787E65" w:rsidP="00080750">
      <w:pPr>
        <w:pStyle w:val="H1A"/>
      </w:pPr>
      <w:bookmarkStart w:id="170" w:name="_Toc237763935"/>
      <w:r w:rsidRPr="009B5487">
        <w:lastRenderedPageBreak/>
        <w:t>What are the management consequences of this assessment?</w:t>
      </w:r>
      <w:r w:rsidR="005C25C3">
        <w:rPr>
          <w:lang w:val="en-US" w:eastAsia="en-US"/>
        </w:rPr>
        <w:drawing>
          <wp:anchor distT="0" distB="0" distL="114300" distR="114300" simplePos="0" relativeHeight="251665920" behindDoc="1" locked="0" layoutInCell="1" allowOverlap="1" wp14:anchorId="106C6164" wp14:editId="28E0ED68">
            <wp:simplePos x="0" y="0"/>
            <wp:positionH relativeFrom="page">
              <wp:posOffset>0</wp:posOffset>
            </wp:positionH>
            <wp:positionV relativeFrom="page">
              <wp:posOffset>1386205</wp:posOffset>
            </wp:positionV>
            <wp:extent cx="7560310" cy="1585595"/>
            <wp:effectExtent l="0" t="0" r="2540" b="0"/>
            <wp:wrapNone/>
            <wp:docPr id="1300" name="Picture 1300"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descr="AusAID graphics pacific internal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70"/>
    </w:p>
    <w:p w:rsidR="00E21DBA" w:rsidRPr="00787E65" w:rsidRDefault="008F0110" w:rsidP="00787E65">
      <w:pPr>
        <w:pStyle w:val="BodyText"/>
      </w:pPr>
      <w:r>
        <w:t>The</w:t>
      </w:r>
      <w:r w:rsidRPr="00787E65">
        <w:t xml:space="preserve"> </w:t>
      </w:r>
      <w:r w:rsidR="00787E65" w:rsidRPr="00787E65">
        <w:t xml:space="preserve">increased number of </w:t>
      </w:r>
      <w:r>
        <w:t>‘</w:t>
      </w:r>
      <w:r w:rsidR="00787E65" w:rsidRPr="00787E65">
        <w:t>red</w:t>
      </w:r>
      <w:r>
        <w:t xml:space="preserve">’ </w:t>
      </w:r>
      <w:r w:rsidR="00787E65" w:rsidRPr="00787E65">
        <w:t>ratings</w:t>
      </w:r>
      <w:r>
        <w:t xml:space="preserve"> in 2008 for the likelihood that</w:t>
      </w:r>
      <w:r w:rsidRPr="00913510">
        <w:t xml:space="preserve"> the </w:t>
      </w:r>
      <w:r>
        <w:t>PNG</w:t>
      </w:r>
      <w:r w:rsidRPr="00913510">
        <w:t xml:space="preserve"> program </w:t>
      </w:r>
      <w:r>
        <w:t xml:space="preserve">will </w:t>
      </w:r>
      <w:r w:rsidRPr="00F85263">
        <w:rPr>
          <w:spacing w:val="-2"/>
        </w:rPr>
        <w:t>achieve the objectives of the</w:t>
      </w:r>
      <w:r w:rsidR="00F85263" w:rsidRPr="00F85263">
        <w:rPr>
          <w:spacing w:val="-2"/>
        </w:rPr>
        <w:t xml:space="preserve"> </w:t>
      </w:r>
      <w:r w:rsidRPr="00F85263">
        <w:rPr>
          <w:spacing w:val="-2"/>
        </w:rPr>
        <w:t xml:space="preserve">Development Cooperation Strategy </w:t>
      </w:r>
      <w:r w:rsidR="00E71B23" w:rsidRPr="00F85263">
        <w:rPr>
          <w:spacing w:val="-2"/>
        </w:rPr>
        <w:t>within its timeframe</w:t>
      </w:r>
      <w:r w:rsidRPr="00F85263">
        <w:rPr>
          <w:spacing w:val="-2"/>
        </w:rPr>
        <w:t xml:space="preserve"> </w:t>
      </w:r>
      <w:r w:rsidR="00E71B23" w:rsidRPr="00F85263">
        <w:rPr>
          <w:spacing w:val="-2"/>
        </w:rPr>
        <w:t>(</w:t>
      </w:r>
      <w:r w:rsidRPr="00F85263">
        <w:rPr>
          <w:spacing w:val="-2"/>
        </w:rPr>
        <w:t>2006–10</w:t>
      </w:r>
      <w:r w:rsidR="00E71B23" w:rsidRPr="00F85263">
        <w:rPr>
          <w:spacing w:val="-2"/>
        </w:rPr>
        <w:t>)</w:t>
      </w:r>
      <w:r w:rsidR="00787E65" w:rsidRPr="00787E65">
        <w:t xml:space="preserve"> reflects the </w:t>
      </w:r>
      <w:r w:rsidR="00C35ED7">
        <w:t>poor</w:t>
      </w:r>
      <w:r>
        <w:t xml:space="preserve"> </w:t>
      </w:r>
      <w:r w:rsidR="00787E65" w:rsidRPr="00787E65">
        <w:t>political and administrative environment for progress towards MDG</w:t>
      </w:r>
      <w:r>
        <w:t>s. This is</w:t>
      </w:r>
      <w:r w:rsidR="00787E65" w:rsidRPr="00787E65">
        <w:t xml:space="preserve"> particularly </w:t>
      </w:r>
      <w:r>
        <w:t xml:space="preserve">apparent </w:t>
      </w:r>
      <w:r w:rsidR="00787E65" w:rsidRPr="00787E65">
        <w:t xml:space="preserve">in the central agencies where so much of the momentum for change needs to be generated. But there is no viable alternative to the central </w:t>
      </w:r>
      <w:r w:rsidR="00E21DBA">
        <w:t>pathway</w:t>
      </w:r>
      <w:r w:rsidR="00E21DBA" w:rsidRPr="00787E65">
        <w:t xml:space="preserve"> </w:t>
      </w:r>
      <w:r w:rsidR="00787E65" w:rsidRPr="00787E65">
        <w:t xml:space="preserve">of </w:t>
      </w:r>
      <w:r w:rsidR="00E21DBA">
        <w:t>the</w:t>
      </w:r>
      <w:r w:rsidR="00787E65" w:rsidRPr="00787E65">
        <w:t xml:space="preserve"> strategy</w:t>
      </w:r>
      <w:r w:rsidR="00E21DBA">
        <w:t>,</w:t>
      </w:r>
      <w:r w:rsidR="00787E65" w:rsidRPr="00787E65">
        <w:t xml:space="preserve"> which is to work towards a strong state </w:t>
      </w:r>
      <w:r w:rsidR="00E21DBA">
        <w:t>with the capacity</w:t>
      </w:r>
      <w:r w:rsidR="00787E65" w:rsidRPr="00787E65">
        <w:t xml:space="preserve"> to </w:t>
      </w:r>
      <w:r w:rsidR="00E21DBA">
        <w:t xml:space="preserve">deliver </w:t>
      </w:r>
      <w:r w:rsidR="00787E65" w:rsidRPr="00787E65">
        <w:t>service</w:t>
      </w:r>
      <w:r w:rsidR="00E21DBA">
        <w:t>s</w:t>
      </w:r>
      <w:r w:rsidR="00787E65" w:rsidRPr="00787E65">
        <w:t xml:space="preserve"> and </w:t>
      </w:r>
      <w:r w:rsidR="00E21DBA">
        <w:t xml:space="preserve">reduce </w:t>
      </w:r>
      <w:r w:rsidR="00787E65" w:rsidRPr="00787E65">
        <w:t>poverty. In a country whose economy depends on a small number of resource projects, only the stat</w:t>
      </w:r>
      <w:r w:rsidR="00784FA8">
        <w:t xml:space="preserve">e can redistribute </w:t>
      </w:r>
      <w:r w:rsidR="00E21DBA">
        <w:t xml:space="preserve">the </w:t>
      </w:r>
      <w:r w:rsidR="00784FA8">
        <w:t>wealth</w:t>
      </w:r>
      <w:r w:rsidR="00E21DBA">
        <w:t xml:space="preserve"> generated by those projects</w:t>
      </w:r>
      <w:r w:rsidR="00784FA8">
        <w:t>.</w:t>
      </w:r>
    </w:p>
    <w:p w:rsidR="00787E65" w:rsidRPr="00787E65" w:rsidRDefault="00741948" w:rsidP="00080750">
      <w:pPr>
        <w:pStyle w:val="H2A"/>
      </w:pPr>
      <w:bookmarkStart w:id="171" w:name="_Toc237763936"/>
      <w:bookmarkStart w:id="172" w:name="_Toc361224395"/>
      <w:r>
        <w:t>Key p</w:t>
      </w:r>
      <w:r w:rsidR="00787E65" w:rsidRPr="00787E65">
        <w:t>riorities for</w:t>
      </w:r>
      <w:r w:rsidR="00787E65">
        <w:t xml:space="preserve"> 2009</w:t>
      </w:r>
      <w:bookmarkEnd w:id="171"/>
      <w:bookmarkEnd w:id="172"/>
    </w:p>
    <w:p w:rsidR="00787E65" w:rsidRPr="00787E65" w:rsidRDefault="00787E65" w:rsidP="00080750">
      <w:pPr>
        <w:pStyle w:val="H3A"/>
      </w:pPr>
      <w:bookmarkStart w:id="173" w:name="_Toc361224396"/>
      <w:r w:rsidRPr="00787E65">
        <w:t>Scale up</w:t>
      </w:r>
      <w:r w:rsidR="006466A5">
        <w:t xml:space="preserve"> assistance</w:t>
      </w:r>
      <w:bookmarkEnd w:id="173"/>
    </w:p>
    <w:p w:rsidR="00787E65" w:rsidRPr="00787E65" w:rsidRDefault="00787E65" w:rsidP="00787E65">
      <w:pPr>
        <w:pStyle w:val="BodyText"/>
      </w:pPr>
      <w:smartTag w:uri="urn:schemas-microsoft-com:office:smarttags" w:element="place">
        <w:smartTag w:uri="urn:schemas-microsoft-com:office:smarttags" w:element="country-region">
          <w:r w:rsidRPr="00787E65">
            <w:t>Australia</w:t>
          </w:r>
        </w:smartTag>
      </w:smartTag>
      <w:r w:rsidRPr="00787E65">
        <w:t xml:space="preserve"> remains committed to scaling up </w:t>
      </w:r>
      <w:r w:rsidR="000E28DB">
        <w:t>official development assistance</w:t>
      </w:r>
      <w:r w:rsidR="000E28DB" w:rsidRPr="00787E65">
        <w:t xml:space="preserve"> </w:t>
      </w:r>
      <w:r w:rsidRPr="00787E65">
        <w:t>to 0.5</w:t>
      </w:r>
      <w:r w:rsidR="001B735E">
        <w:t> per cent</w:t>
      </w:r>
      <w:r w:rsidRPr="00787E65">
        <w:t xml:space="preserve"> </w:t>
      </w:r>
      <w:r w:rsidR="000E28DB">
        <w:t>of gross national income</w:t>
      </w:r>
      <w:r w:rsidRPr="00787E65">
        <w:t xml:space="preserve"> by 2015. In </w:t>
      </w:r>
      <w:r>
        <w:t xml:space="preserve">the PNG program, increased </w:t>
      </w:r>
      <w:r w:rsidRPr="00787E65">
        <w:t xml:space="preserve">aid from </w:t>
      </w:r>
      <w:smartTag w:uri="urn:schemas-microsoft-com:office:smarttags" w:element="place">
        <w:smartTag w:uri="urn:schemas-microsoft-com:office:smarttags" w:element="country-region">
          <w:r w:rsidRPr="00787E65">
            <w:t>Australia</w:t>
          </w:r>
        </w:smartTag>
      </w:smartTag>
      <w:r w:rsidRPr="00787E65">
        <w:t xml:space="preserve"> will focus on improving basic service delivery through the framework of the Partnership</w:t>
      </w:r>
      <w:r w:rsidR="00B42B81">
        <w:t xml:space="preserve"> for Development</w:t>
      </w:r>
      <w:r w:rsidRPr="00787E65">
        <w:t>.</w:t>
      </w:r>
    </w:p>
    <w:p w:rsidR="00787E65" w:rsidRPr="00787E65" w:rsidRDefault="00787E65" w:rsidP="00080750">
      <w:pPr>
        <w:pStyle w:val="H3A"/>
        <w:rPr>
          <w:iCs/>
        </w:rPr>
      </w:pPr>
      <w:bookmarkStart w:id="174" w:name="_Toc361224397"/>
      <w:r w:rsidRPr="00787E65">
        <w:t xml:space="preserve">Review the </w:t>
      </w:r>
      <w:r w:rsidR="00C35ED7">
        <w:t xml:space="preserve">Treaty on </w:t>
      </w:r>
      <w:r w:rsidRPr="00787E65">
        <w:t>Development Cooperation</w:t>
      </w:r>
      <w:bookmarkEnd w:id="174"/>
    </w:p>
    <w:p w:rsidR="00787E65" w:rsidRPr="00787E65" w:rsidRDefault="00787E65" w:rsidP="00787E65">
      <w:pPr>
        <w:pStyle w:val="BodyText"/>
      </w:pPr>
      <w:r w:rsidRPr="00787E65">
        <w:t xml:space="preserve">The </w:t>
      </w:r>
      <w:r w:rsidR="00C16D9C" w:rsidRPr="00787E65">
        <w:t xml:space="preserve">review </w:t>
      </w:r>
      <w:r w:rsidRPr="00787E65">
        <w:t xml:space="preserve">of the </w:t>
      </w:r>
      <w:r w:rsidR="00C35ED7">
        <w:t xml:space="preserve">Treaty on </w:t>
      </w:r>
      <w:r w:rsidRPr="00787E65">
        <w:t>Development Cooperation</w:t>
      </w:r>
      <w:r w:rsidR="00B56AF6">
        <w:t>,</w:t>
      </w:r>
      <w:r w:rsidRPr="00787E65">
        <w:t xml:space="preserve"> requested by </w:t>
      </w:r>
      <w:r w:rsidR="00E71B23">
        <w:t xml:space="preserve">the </w:t>
      </w:r>
      <w:r w:rsidRPr="00787E65">
        <w:t xml:space="preserve">Prime Ministers </w:t>
      </w:r>
      <w:r w:rsidR="00E71B23">
        <w:t xml:space="preserve">of Papua New Guinea and Australia </w:t>
      </w:r>
      <w:r w:rsidRPr="00787E65">
        <w:t>in April 2009, provides the opportunity to examine how the aid program can best assist PNG in the longer term, especially to maximise the development gains from the proposed LNG project.</w:t>
      </w:r>
      <w:r w:rsidR="006F7C08">
        <w:t xml:space="preserve"> </w:t>
      </w:r>
      <w:r w:rsidRPr="00787E65">
        <w:t xml:space="preserve">The review will also revisit the central </w:t>
      </w:r>
      <w:r w:rsidR="008D589F">
        <w:t>pathway</w:t>
      </w:r>
      <w:r w:rsidR="008D589F" w:rsidRPr="00787E65">
        <w:t xml:space="preserve"> </w:t>
      </w:r>
      <w:r w:rsidRPr="00787E65">
        <w:t xml:space="preserve">of </w:t>
      </w:r>
      <w:r w:rsidR="00E71B23">
        <w:t>the</w:t>
      </w:r>
      <w:r w:rsidR="00E71B23" w:rsidRPr="00787E65">
        <w:t xml:space="preserve"> </w:t>
      </w:r>
      <w:r w:rsidRPr="00787E65">
        <w:t>aid strategy</w:t>
      </w:r>
      <w:r w:rsidR="008D589F">
        <w:t>,</w:t>
      </w:r>
      <w:r w:rsidRPr="00787E65">
        <w:t xml:space="preserve"> </w:t>
      </w:r>
      <w:r w:rsidR="008D589F">
        <w:t>reconsider</w:t>
      </w:r>
      <w:r w:rsidR="008D589F" w:rsidRPr="00787E65">
        <w:t xml:space="preserve"> </w:t>
      </w:r>
      <w:r w:rsidRPr="00787E65">
        <w:t>the principles underpinning the aid program</w:t>
      </w:r>
      <w:r w:rsidR="008D589F">
        <w:t>,</w:t>
      </w:r>
      <w:r w:rsidRPr="00787E65">
        <w:t xml:space="preserve"> and link future changes</w:t>
      </w:r>
      <w:r w:rsidR="008D589F">
        <w:t xml:space="preserve"> </w:t>
      </w:r>
      <w:r w:rsidR="00E71B23">
        <w:t>in</w:t>
      </w:r>
      <w:r w:rsidR="008D589F">
        <w:t xml:space="preserve"> the PNG aid program</w:t>
      </w:r>
      <w:r w:rsidRPr="00787E65">
        <w:t xml:space="preserve"> to PNG</w:t>
      </w:r>
      <w:r w:rsidR="00B42B81">
        <w:t>’s National Strategic Plan 2010–</w:t>
      </w:r>
      <w:r w:rsidRPr="00787E65">
        <w:t xml:space="preserve">50 and </w:t>
      </w:r>
      <w:r w:rsidR="00B42B81">
        <w:t xml:space="preserve">Long Term Development </w:t>
      </w:r>
      <w:r w:rsidR="00C35ED7">
        <w:t xml:space="preserve">Strategy </w:t>
      </w:r>
      <w:r w:rsidR="00B42B81">
        <w:t>2010–</w:t>
      </w:r>
      <w:r w:rsidRPr="00787E65">
        <w:t>2030. It provides an opportunity to strengthen</w:t>
      </w:r>
      <w:r w:rsidR="007B2AB8">
        <w:t xml:space="preserve"> policy dialogue with the </w:t>
      </w:r>
      <w:r w:rsidRPr="00787E65">
        <w:t>PNG</w:t>
      </w:r>
      <w:r w:rsidR="007B2AB8">
        <w:t xml:space="preserve"> Government</w:t>
      </w:r>
      <w:r w:rsidRPr="00787E65">
        <w:t xml:space="preserve"> on the contribution of the aid program to PNG’s development.</w:t>
      </w:r>
    </w:p>
    <w:p w:rsidR="00787E65" w:rsidRPr="00787E65" w:rsidRDefault="00B4096E" w:rsidP="00080750">
      <w:pPr>
        <w:pStyle w:val="H3A"/>
      </w:pPr>
      <w:bookmarkStart w:id="175" w:name="_Toc361224398"/>
      <w:r>
        <w:t xml:space="preserve">Further the </w:t>
      </w:r>
      <w:r w:rsidR="00787E65" w:rsidRPr="00787E65">
        <w:t>Partnership for Development</w:t>
      </w:r>
      <w:bookmarkEnd w:id="175"/>
    </w:p>
    <w:p w:rsidR="00787E65" w:rsidRPr="00697687" w:rsidRDefault="00787E65" w:rsidP="00787E65">
      <w:pPr>
        <w:pStyle w:val="BodyText"/>
        <w:rPr>
          <w:spacing w:val="-2"/>
        </w:rPr>
      </w:pPr>
      <w:r w:rsidRPr="00697687">
        <w:rPr>
          <w:spacing w:val="-2"/>
        </w:rPr>
        <w:t xml:space="preserve">The Partnership </w:t>
      </w:r>
      <w:r w:rsidR="008D589F" w:rsidRPr="00697687">
        <w:rPr>
          <w:spacing w:val="-2"/>
        </w:rPr>
        <w:t xml:space="preserve">for Development </w:t>
      </w:r>
      <w:r w:rsidRPr="00697687">
        <w:rPr>
          <w:spacing w:val="-2"/>
        </w:rPr>
        <w:t xml:space="preserve">sharpens the focus of the aid program by placing development results at the centre of the aid relationship and reinforcing the critical importance of </w:t>
      </w:r>
      <w:r w:rsidR="008D589F" w:rsidRPr="00697687">
        <w:rPr>
          <w:spacing w:val="-2"/>
        </w:rPr>
        <w:t xml:space="preserve">mobilising </w:t>
      </w:r>
      <w:r w:rsidRPr="00697687">
        <w:rPr>
          <w:spacing w:val="-2"/>
        </w:rPr>
        <w:t xml:space="preserve">all </w:t>
      </w:r>
      <w:r w:rsidR="008D589F" w:rsidRPr="00697687">
        <w:rPr>
          <w:spacing w:val="-2"/>
        </w:rPr>
        <w:t xml:space="preserve">of </w:t>
      </w:r>
      <w:r w:rsidRPr="00697687">
        <w:rPr>
          <w:spacing w:val="-2"/>
        </w:rPr>
        <w:t xml:space="preserve">PNG’s resources (including </w:t>
      </w:r>
      <w:r w:rsidR="008D589F" w:rsidRPr="00697687">
        <w:rPr>
          <w:spacing w:val="-2"/>
        </w:rPr>
        <w:t xml:space="preserve">those </w:t>
      </w:r>
      <w:r w:rsidRPr="00697687">
        <w:rPr>
          <w:spacing w:val="-2"/>
        </w:rPr>
        <w:t xml:space="preserve">from donors) </w:t>
      </w:r>
      <w:r w:rsidR="008D589F" w:rsidRPr="00697687">
        <w:rPr>
          <w:spacing w:val="-2"/>
        </w:rPr>
        <w:t>to make progress</w:t>
      </w:r>
      <w:r w:rsidRPr="00697687">
        <w:rPr>
          <w:spacing w:val="-2"/>
        </w:rPr>
        <w:t xml:space="preserve"> towards MDG targets. Through the </w:t>
      </w:r>
      <w:r w:rsidR="00667993" w:rsidRPr="00697687">
        <w:rPr>
          <w:spacing w:val="-2"/>
        </w:rPr>
        <w:t>partnership</w:t>
      </w:r>
      <w:r w:rsidRPr="00697687">
        <w:rPr>
          <w:spacing w:val="-2"/>
        </w:rPr>
        <w:t xml:space="preserve">, </w:t>
      </w:r>
      <w:smartTag w:uri="urn:schemas-microsoft-com:office:smarttags" w:element="place">
        <w:smartTag w:uri="urn:schemas-microsoft-com:office:smarttags" w:element="country-region">
          <w:r w:rsidR="00667993" w:rsidRPr="00697687">
            <w:rPr>
              <w:spacing w:val="-2"/>
            </w:rPr>
            <w:t>Australia</w:t>
          </w:r>
        </w:smartTag>
      </w:smartTag>
      <w:r w:rsidR="00667993" w:rsidRPr="00697687">
        <w:rPr>
          <w:spacing w:val="-2"/>
        </w:rPr>
        <w:t xml:space="preserve"> </w:t>
      </w:r>
      <w:r w:rsidRPr="00697687">
        <w:rPr>
          <w:spacing w:val="-2"/>
        </w:rPr>
        <w:t xml:space="preserve">will strengthen </w:t>
      </w:r>
      <w:r w:rsidR="00667993" w:rsidRPr="00697687">
        <w:rPr>
          <w:spacing w:val="-2"/>
        </w:rPr>
        <w:t xml:space="preserve">its </w:t>
      </w:r>
      <w:r w:rsidRPr="00697687">
        <w:rPr>
          <w:spacing w:val="-2"/>
        </w:rPr>
        <w:t xml:space="preserve">policy dialogue with </w:t>
      </w:r>
      <w:r w:rsidR="00667993" w:rsidRPr="00697687">
        <w:rPr>
          <w:spacing w:val="-2"/>
        </w:rPr>
        <w:t xml:space="preserve">the </w:t>
      </w:r>
      <w:r w:rsidR="007B2AB8" w:rsidRPr="00697687">
        <w:rPr>
          <w:spacing w:val="-2"/>
        </w:rPr>
        <w:t>PNG Government</w:t>
      </w:r>
      <w:r w:rsidR="00667993" w:rsidRPr="00697687">
        <w:rPr>
          <w:spacing w:val="-2"/>
        </w:rPr>
        <w:t xml:space="preserve"> and</w:t>
      </w:r>
      <w:r w:rsidRPr="00697687">
        <w:rPr>
          <w:spacing w:val="-2"/>
        </w:rPr>
        <w:t xml:space="preserve"> focus on establish</w:t>
      </w:r>
      <w:r w:rsidR="00667993" w:rsidRPr="00697687">
        <w:rPr>
          <w:spacing w:val="-2"/>
        </w:rPr>
        <w:t>ing</w:t>
      </w:r>
      <w:r w:rsidRPr="00697687">
        <w:rPr>
          <w:spacing w:val="-2"/>
        </w:rPr>
        <w:t xml:space="preserve"> a long</w:t>
      </w:r>
      <w:r w:rsidR="00FF0E4C" w:rsidRPr="00697687">
        <w:rPr>
          <w:spacing w:val="-2"/>
        </w:rPr>
        <w:t>-</w:t>
      </w:r>
      <w:r w:rsidRPr="00697687">
        <w:rPr>
          <w:spacing w:val="-2"/>
        </w:rPr>
        <w:t xml:space="preserve">term national approach to public administration and financial management across all levels of government and </w:t>
      </w:r>
      <w:r w:rsidR="000675CA" w:rsidRPr="00697687">
        <w:rPr>
          <w:spacing w:val="-2"/>
        </w:rPr>
        <w:t xml:space="preserve">on developing </w:t>
      </w:r>
      <w:r w:rsidRPr="00697687">
        <w:rPr>
          <w:spacing w:val="-2"/>
        </w:rPr>
        <w:t>consequential medium</w:t>
      </w:r>
      <w:r w:rsidR="000675CA" w:rsidRPr="00697687">
        <w:rPr>
          <w:spacing w:val="-2"/>
        </w:rPr>
        <w:t>-</w:t>
      </w:r>
      <w:r w:rsidRPr="00697687">
        <w:rPr>
          <w:spacing w:val="-2"/>
        </w:rPr>
        <w:t xml:space="preserve">term programs to support reforms. Implementing the five initial partnership schedules (health, </w:t>
      </w:r>
      <w:r w:rsidRPr="00697687">
        <w:rPr>
          <w:spacing w:val="-2"/>
        </w:rPr>
        <w:lastRenderedPageBreak/>
        <w:t xml:space="preserve">education, public service capacity, transport infrastructure and statistics) and negotiating a further three (HIV/AIDS, </w:t>
      </w:r>
      <w:r w:rsidR="000675CA" w:rsidRPr="00697687">
        <w:rPr>
          <w:spacing w:val="-2"/>
        </w:rPr>
        <w:t xml:space="preserve">law and justice, </w:t>
      </w:r>
      <w:r w:rsidRPr="00697687">
        <w:rPr>
          <w:spacing w:val="-2"/>
        </w:rPr>
        <w:t xml:space="preserve">and </w:t>
      </w:r>
      <w:r w:rsidR="000675CA" w:rsidRPr="00697687">
        <w:rPr>
          <w:spacing w:val="-2"/>
        </w:rPr>
        <w:t>higher education</w:t>
      </w:r>
      <w:r w:rsidRPr="00697687">
        <w:rPr>
          <w:spacing w:val="-2"/>
        </w:rPr>
        <w:t xml:space="preserve">) </w:t>
      </w:r>
      <w:r w:rsidR="000675CA" w:rsidRPr="00697687">
        <w:rPr>
          <w:spacing w:val="-2"/>
        </w:rPr>
        <w:t xml:space="preserve">are </w:t>
      </w:r>
      <w:r w:rsidRPr="00697687">
        <w:rPr>
          <w:spacing w:val="-2"/>
        </w:rPr>
        <w:t xml:space="preserve">key </w:t>
      </w:r>
      <w:r w:rsidR="000675CA" w:rsidRPr="00697687">
        <w:rPr>
          <w:spacing w:val="-2"/>
        </w:rPr>
        <w:t xml:space="preserve">priorities in </w:t>
      </w:r>
      <w:r w:rsidRPr="00697687">
        <w:rPr>
          <w:spacing w:val="-2"/>
        </w:rPr>
        <w:t>2009.</w:t>
      </w:r>
    </w:p>
    <w:p w:rsidR="00787E65" w:rsidRPr="00787E65" w:rsidRDefault="0031394A" w:rsidP="00080750">
      <w:pPr>
        <w:pStyle w:val="H3A"/>
      </w:pPr>
      <w:bookmarkStart w:id="176" w:name="_Toc361224399"/>
      <w:r>
        <w:t>Account for the g</w:t>
      </w:r>
      <w:r w:rsidR="00787E65" w:rsidRPr="00787E65">
        <w:t xml:space="preserve">lobal </w:t>
      </w:r>
      <w:r w:rsidR="00787E65">
        <w:t>r</w:t>
      </w:r>
      <w:r w:rsidR="00787E65" w:rsidRPr="00787E65">
        <w:t>ecession</w:t>
      </w:r>
      <w:bookmarkEnd w:id="176"/>
    </w:p>
    <w:p w:rsidR="00697687" w:rsidRDefault="00787E65" w:rsidP="00787E65">
      <w:pPr>
        <w:pStyle w:val="BodyText"/>
      </w:pPr>
      <w:r w:rsidRPr="00787E65">
        <w:t xml:space="preserve">The </w:t>
      </w:r>
      <w:r w:rsidR="006F7C08">
        <w:t>global recession</w:t>
      </w:r>
      <w:r w:rsidRPr="00787E65">
        <w:t xml:space="preserve"> has the potential to affect development outcomes directly due to declin</w:t>
      </w:r>
      <w:r w:rsidR="00E71B23">
        <w:t>es in</w:t>
      </w:r>
      <w:r w:rsidRPr="00787E65">
        <w:t xml:space="preserve"> government revenues. While broadly sound macroeconomic policy settings and accumulated savings give PNG some breathing space, a prolonged recession presents significant risks to the resources available for frontline service delivery. The PNG 2010 budget will need to be reprioritised to take into account the tough fiscal environment. </w:t>
      </w:r>
    </w:p>
    <w:p w:rsidR="00787E65" w:rsidRPr="00787E65" w:rsidRDefault="00787E65" w:rsidP="00787E65">
      <w:pPr>
        <w:pStyle w:val="BodyText"/>
      </w:pPr>
      <w:smartTag w:uri="urn:schemas-microsoft-com:office:smarttags" w:element="place">
        <w:smartTag w:uri="urn:schemas-microsoft-com:office:smarttags" w:element="country-region">
          <w:r w:rsidRPr="00787E65">
            <w:t>Australia</w:t>
          </w:r>
        </w:smartTag>
      </w:smartTag>
      <w:r w:rsidRPr="00787E65">
        <w:t xml:space="preserve">’s response will be </w:t>
      </w:r>
      <w:r w:rsidR="00E71B23">
        <w:t>directed</w:t>
      </w:r>
      <w:r w:rsidR="00697687" w:rsidRPr="00787E65">
        <w:t xml:space="preserve"> primarily </w:t>
      </w:r>
      <w:r w:rsidR="00697687">
        <w:t>at</w:t>
      </w:r>
      <w:r w:rsidR="00697687" w:rsidRPr="00787E65">
        <w:t xml:space="preserve"> </w:t>
      </w:r>
      <w:r w:rsidRPr="00787E65">
        <w:t>maintaining (or</w:t>
      </w:r>
      <w:r w:rsidR="00697687">
        <w:t>,</w:t>
      </w:r>
      <w:r w:rsidRPr="00787E65">
        <w:t xml:space="preserve"> if possible</w:t>
      </w:r>
      <w:r w:rsidR="00697687">
        <w:t>,</w:t>
      </w:r>
      <w:r w:rsidRPr="00787E65">
        <w:t xml:space="preserve"> improving) current levels of service delivery. This will be done</w:t>
      </w:r>
      <w:r w:rsidR="00E71B23">
        <w:t>,</w:t>
      </w:r>
      <w:r w:rsidRPr="00787E65">
        <w:t xml:space="preserve"> </w:t>
      </w:r>
      <w:r w:rsidR="00697687">
        <w:t>firstly</w:t>
      </w:r>
      <w:r w:rsidR="00E71B23">
        <w:t>,</w:t>
      </w:r>
      <w:r w:rsidR="00697687">
        <w:t xml:space="preserve"> </w:t>
      </w:r>
      <w:r w:rsidRPr="00787E65">
        <w:t xml:space="preserve">by progressing the Partnership </w:t>
      </w:r>
      <w:r w:rsidR="00697687">
        <w:t xml:space="preserve">for Development </w:t>
      </w:r>
      <w:r w:rsidRPr="00787E65">
        <w:t>with a strong focus on mutual commitment for service delivery and</w:t>
      </w:r>
      <w:r w:rsidR="00E71B23">
        <w:t>,</w:t>
      </w:r>
      <w:r w:rsidRPr="00787E65">
        <w:t xml:space="preserve"> secondly</w:t>
      </w:r>
      <w:r w:rsidR="00E71B23">
        <w:t>,</w:t>
      </w:r>
      <w:r w:rsidRPr="00787E65">
        <w:t xml:space="preserve"> </w:t>
      </w:r>
      <w:r w:rsidR="00697687">
        <w:t xml:space="preserve">by </w:t>
      </w:r>
      <w:r w:rsidRPr="00787E65">
        <w:t xml:space="preserve">strengthening dialogue with </w:t>
      </w:r>
      <w:r w:rsidR="00697687">
        <w:t xml:space="preserve">the </w:t>
      </w:r>
      <w:r w:rsidR="007B2AB8">
        <w:t>PNG Government</w:t>
      </w:r>
      <w:r w:rsidRPr="00787E65">
        <w:t xml:space="preserve"> on public financial management and its relationship to service delivery.</w:t>
      </w:r>
      <w:r w:rsidR="006F7C08">
        <w:t xml:space="preserve"> </w:t>
      </w:r>
      <w:r w:rsidR="00697687">
        <w:t>T</w:t>
      </w:r>
      <w:r w:rsidRPr="00787E65">
        <w:t xml:space="preserve">hose elements of the budget </w:t>
      </w:r>
      <w:r w:rsidR="00697687">
        <w:t>that</w:t>
      </w:r>
      <w:r w:rsidR="00697687" w:rsidRPr="00787E65">
        <w:t xml:space="preserve"> </w:t>
      </w:r>
      <w:r w:rsidRPr="00787E65">
        <w:t xml:space="preserve">are critical to maintaining levels of service delivery </w:t>
      </w:r>
      <w:r w:rsidR="00697687" w:rsidRPr="00787E65">
        <w:t xml:space="preserve">(such as recurrent goods and services allocations) </w:t>
      </w:r>
      <w:r w:rsidR="00697687">
        <w:t>require an explicitly high priority for attention</w:t>
      </w:r>
      <w:r w:rsidRPr="00787E65">
        <w:t>.</w:t>
      </w:r>
    </w:p>
    <w:p w:rsidR="00787E65" w:rsidRPr="00787E65" w:rsidRDefault="0031394A" w:rsidP="00080750">
      <w:pPr>
        <w:pStyle w:val="H3A"/>
      </w:pPr>
      <w:bookmarkStart w:id="177" w:name="_Toc361224400"/>
      <w:r>
        <w:t xml:space="preserve">Maximise the benefits of the </w:t>
      </w:r>
      <w:r w:rsidR="00787E65" w:rsidRPr="00787E65">
        <w:t>LNG project</w:t>
      </w:r>
      <w:bookmarkEnd w:id="177"/>
    </w:p>
    <w:p w:rsidR="00787E65" w:rsidRPr="00787E65" w:rsidRDefault="0031394A" w:rsidP="00787E65">
      <w:pPr>
        <w:pStyle w:val="BodyText"/>
      </w:pPr>
      <w:proofErr w:type="spellStart"/>
      <w:r>
        <w:t>AusAID</w:t>
      </w:r>
      <w:proofErr w:type="spellEnd"/>
      <w:r w:rsidRPr="00787E65">
        <w:t xml:space="preserve"> </w:t>
      </w:r>
      <w:r w:rsidR="00787E65" w:rsidRPr="00787E65">
        <w:t xml:space="preserve">will strengthen </w:t>
      </w:r>
      <w:r>
        <w:t>its</w:t>
      </w:r>
      <w:r w:rsidRPr="00787E65">
        <w:t xml:space="preserve"> </w:t>
      </w:r>
      <w:r w:rsidR="00787E65" w:rsidRPr="00787E65">
        <w:t xml:space="preserve">analysis and policy engagement with </w:t>
      </w:r>
      <w:r>
        <w:t xml:space="preserve">the </w:t>
      </w:r>
      <w:r w:rsidR="007B2AB8">
        <w:t>PNG Government</w:t>
      </w:r>
      <w:r w:rsidR="00787E65" w:rsidRPr="00787E65">
        <w:t xml:space="preserve"> on the potential impact of the LNG project on PNG’s economy and pro-poor growth, including the role for development partners in supporting PNG to maximise the benefits of significantly increased revenue flows.</w:t>
      </w:r>
    </w:p>
    <w:p w:rsidR="00787E65" w:rsidRPr="00787E65" w:rsidRDefault="00C35ED7" w:rsidP="00080750">
      <w:pPr>
        <w:pStyle w:val="H3A"/>
      </w:pPr>
      <w:bookmarkStart w:id="178" w:name="_Toc361224401"/>
      <w:r>
        <w:t>Strengthen s</w:t>
      </w:r>
      <w:r w:rsidR="00787E65" w:rsidRPr="00787E65">
        <w:t xml:space="preserve">ervice delivery at the </w:t>
      </w:r>
      <w:r w:rsidR="007F26AF">
        <w:t>sub</w:t>
      </w:r>
      <w:r w:rsidR="00787E65" w:rsidRPr="00787E65">
        <w:t>national level</w:t>
      </w:r>
      <w:bookmarkEnd w:id="178"/>
    </w:p>
    <w:p w:rsidR="00787E65" w:rsidRPr="00787E65" w:rsidRDefault="00787E65" w:rsidP="00787E65">
      <w:pPr>
        <w:pStyle w:val="BodyText"/>
      </w:pPr>
      <w:r w:rsidRPr="00787E65">
        <w:t xml:space="preserve">In 2009 </w:t>
      </w:r>
      <w:proofErr w:type="spellStart"/>
      <w:r w:rsidR="0031394A">
        <w:t>AusAID</w:t>
      </w:r>
      <w:proofErr w:type="spellEnd"/>
      <w:r w:rsidR="0031394A" w:rsidRPr="00787E65">
        <w:t xml:space="preserve"> </w:t>
      </w:r>
      <w:r w:rsidRPr="00787E65">
        <w:t xml:space="preserve">will increase </w:t>
      </w:r>
      <w:r w:rsidR="0031394A">
        <w:t>its</w:t>
      </w:r>
      <w:r w:rsidR="0031394A" w:rsidRPr="00787E65">
        <w:t xml:space="preserve"> </w:t>
      </w:r>
      <w:r w:rsidRPr="00787E65">
        <w:t>support at the provincial, district and local level</w:t>
      </w:r>
      <w:r w:rsidR="0031394A">
        <w:t>s</w:t>
      </w:r>
      <w:r w:rsidRPr="00787E65">
        <w:t xml:space="preserve"> and </w:t>
      </w:r>
      <w:r w:rsidR="00C35ED7">
        <w:t>further develop</w:t>
      </w:r>
      <w:r w:rsidR="00C35ED7" w:rsidRPr="00787E65">
        <w:t xml:space="preserve"> </w:t>
      </w:r>
      <w:r w:rsidRPr="00787E65">
        <w:t xml:space="preserve">the </w:t>
      </w:r>
      <w:r w:rsidR="0005065C">
        <w:t>Sub-</w:t>
      </w:r>
      <w:r w:rsidR="0005065C" w:rsidRPr="00787E65">
        <w:t xml:space="preserve">National Strategy </w:t>
      </w:r>
      <w:r w:rsidRPr="00787E65">
        <w:t xml:space="preserve">in order to inform the whole </w:t>
      </w:r>
      <w:r w:rsidR="0031394A">
        <w:t xml:space="preserve">PNG </w:t>
      </w:r>
      <w:r w:rsidRPr="00787E65">
        <w:t xml:space="preserve">aid program and ensure </w:t>
      </w:r>
      <w:r w:rsidR="00F85263">
        <w:t>it is</w:t>
      </w:r>
      <w:r w:rsidR="00C35ED7">
        <w:t xml:space="preserve"> </w:t>
      </w:r>
      <w:r w:rsidR="0031394A" w:rsidRPr="00787E65">
        <w:t xml:space="preserve">working </w:t>
      </w:r>
      <w:r w:rsidR="0031394A">
        <w:t xml:space="preserve">in a </w:t>
      </w:r>
      <w:r w:rsidRPr="00787E65">
        <w:t>coheren</w:t>
      </w:r>
      <w:r w:rsidR="0031394A">
        <w:t>t</w:t>
      </w:r>
      <w:r w:rsidRPr="00787E65">
        <w:t xml:space="preserve"> and consisten</w:t>
      </w:r>
      <w:r w:rsidR="0031394A">
        <w:t>t</w:t>
      </w:r>
      <w:r w:rsidRPr="00787E65">
        <w:t xml:space="preserve"> way. </w:t>
      </w:r>
      <w:r w:rsidRPr="00AA6DD3">
        <w:t xml:space="preserve">This will include promoting a coordinated approach </w:t>
      </w:r>
      <w:r w:rsidR="00AA6DD3">
        <w:t>among</w:t>
      </w:r>
      <w:r w:rsidRPr="00AA6DD3">
        <w:t xml:space="preserve"> development partners to </w:t>
      </w:r>
      <w:r w:rsidR="0031394A" w:rsidRPr="00AA6DD3">
        <w:t xml:space="preserve">the way </w:t>
      </w:r>
      <w:r w:rsidR="00C35ED7" w:rsidRPr="00AA6DD3">
        <w:t>we</w:t>
      </w:r>
      <w:r w:rsidR="0031394A" w:rsidRPr="00AA6DD3">
        <w:t xml:space="preserve"> </w:t>
      </w:r>
      <w:r w:rsidR="00AA6DD3">
        <w:t xml:space="preserve">all </w:t>
      </w:r>
      <w:r w:rsidRPr="00AA6DD3">
        <w:t xml:space="preserve">engage with </w:t>
      </w:r>
      <w:r w:rsidR="0031394A" w:rsidRPr="00AA6DD3">
        <w:t xml:space="preserve">the </w:t>
      </w:r>
      <w:r w:rsidR="007B2AB8" w:rsidRPr="00AA6DD3">
        <w:t>PNG Government</w:t>
      </w:r>
      <w:r w:rsidRPr="00787E65">
        <w:t xml:space="preserve"> on policies for sector</w:t>
      </w:r>
      <w:r w:rsidR="0031394A">
        <w:t>al</w:t>
      </w:r>
      <w:r w:rsidRPr="00787E65">
        <w:t xml:space="preserve"> financing (including at </w:t>
      </w:r>
      <w:r w:rsidR="007F26AF">
        <w:t>sub</w:t>
      </w:r>
      <w:r w:rsidRPr="00787E65">
        <w:t>national level</w:t>
      </w:r>
      <w:r w:rsidR="0031394A">
        <w:t>s</w:t>
      </w:r>
      <w:r w:rsidRPr="00787E65">
        <w:t xml:space="preserve">). </w:t>
      </w:r>
      <w:r w:rsidR="00D45F18">
        <w:t>The PNG program</w:t>
      </w:r>
      <w:r w:rsidR="00D45F18" w:rsidRPr="00787E65">
        <w:t xml:space="preserve"> </w:t>
      </w:r>
      <w:r w:rsidRPr="00787E65">
        <w:t xml:space="preserve">will </w:t>
      </w:r>
      <w:r w:rsidRPr="00787E65">
        <w:rPr>
          <w:iCs/>
        </w:rPr>
        <w:t xml:space="preserve">continue to </w:t>
      </w:r>
      <w:r w:rsidR="004A6472">
        <w:rPr>
          <w:iCs/>
        </w:rPr>
        <w:t>increase</w:t>
      </w:r>
      <w:r w:rsidRPr="00787E65">
        <w:rPr>
          <w:iCs/>
        </w:rPr>
        <w:t xml:space="preserve"> </w:t>
      </w:r>
      <w:r w:rsidR="00D45F18">
        <w:rPr>
          <w:iCs/>
        </w:rPr>
        <w:t>its</w:t>
      </w:r>
      <w:r w:rsidR="00D45F18" w:rsidRPr="00787E65">
        <w:rPr>
          <w:iCs/>
        </w:rPr>
        <w:t xml:space="preserve"> </w:t>
      </w:r>
      <w:r w:rsidRPr="00787E65">
        <w:rPr>
          <w:iCs/>
        </w:rPr>
        <w:t xml:space="preserve">understanding of the benefits and risks of using PNG </w:t>
      </w:r>
      <w:r w:rsidR="0031394A" w:rsidRPr="00787E65">
        <w:rPr>
          <w:iCs/>
        </w:rPr>
        <w:t xml:space="preserve">government </w:t>
      </w:r>
      <w:r w:rsidRPr="00787E65">
        <w:rPr>
          <w:iCs/>
        </w:rPr>
        <w:t xml:space="preserve">systems across all levels of government, including systems </w:t>
      </w:r>
      <w:r w:rsidR="0031394A">
        <w:rPr>
          <w:iCs/>
        </w:rPr>
        <w:t>for managing</w:t>
      </w:r>
      <w:r w:rsidR="0031394A" w:rsidRPr="00787E65">
        <w:rPr>
          <w:iCs/>
        </w:rPr>
        <w:t xml:space="preserve"> </w:t>
      </w:r>
      <w:r w:rsidRPr="00787E65">
        <w:rPr>
          <w:iCs/>
        </w:rPr>
        <w:t xml:space="preserve">expenditure. Analysis currently being undertaken for the </w:t>
      </w:r>
      <w:r w:rsidR="0031394A">
        <w:rPr>
          <w:iCs/>
        </w:rPr>
        <w:t xml:space="preserve">design of the </w:t>
      </w:r>
      <w:r w:rsidRPr="00787E65">
        <w:rPr>
          <w:iCs/>
        </w:rPr>
        <w:t xml:space="preserve">new education </w:t>
      </w:r>
      <w:r w:rsidR="0031394A">
        <w:rPr>
          <w:iCs/>
        </w:rPr>
        <w:t>program</w:t>
      </w:r>
      <w:r w:rsidR="0031394A" w:rsidRPr="00787E65">
        <w:rPr>
          <w:iCs/>
        </w:rPr>
        <w:t xml:space="preserve"> </w:t>
      </w:r>
      <w:r w:rsidR="00C35ED7">
        <w:rPr>
          <w:iCs/>
        </w:rPr>
        <w:t xml:space="preserve">and the future health strategy </w:t>
      </w:r>
      <w:r w:rsidRPr="00787E65">
        <w:rPr>
          <w:iCs/>
        </w:rPr>
        <w:t xml:space="preserve">will inform </w:t>
      </w:r>
      <w:r w:rsidR="00D45F18">
        <w:rPr>
          <w:iCs/>
        </w:rPr>
        <w:t>the program’s</w:t>
      </w:r>
      <w:r w:rsidR="00D45F18" w:rsidRPr="00787E65">
        <w:rPr>
          <w:iCs/>
        </w:rPr>
        <w:t xml:space="preserve"> </w:t>
      </w:r>
      <w:r w:rsidRPr="00787E65">
        <w:rPr>
          <w:iCs/>
        </w:rPr>
        <w:t>approach more broadly.</w:t>
      </w:r>
    </w:p>
    <w:p w:rsidR="00787E65" w:rsidRPr="00787E65" w:rsidRDefault="00787E65" w:rsidP="00080750">
      <w:pPr>
        <w:pStyle w:val="H3A"/>
      </w:pPr>
      <w:bookmarkStart w:id="179" w:name="_Toc361224402"/>
      <w:r w:rsidRPr="00787E65">
        <w:t>Strengthen our dialogue on</w:t>
      </w:r>
      <w:r w:rsidR="00784FA8">
        <w:t xml:space="preserve"> development in PNG</w:t>
      </w:r>
      <w:bookmarkEnd w:id="179"/>
    </w:p>
    <w:p w:rsidR="00787E65" w:rsidRPr="00787E65" w:rsidRDefault="00EB5383" w:rsidP="00787E65">
      <w:pPr>
        <w:pStyle w:val="BodyText"/>
      </w:pPr>
      <w:r>
        <w:t>The PNG program</w:t>
      </w:r>
      <w:r w:rsidR="0031394A" w:rsidRPr="00787E65">
        <w:t xml:space="preserve"> </w:t>
      </w:r>
      <w:r w:rsidR="00787E65" w:rsidRPr="00787E65">
        <w:t xml:space="preserve">will strengthen </w:t>
      </w:r>
      <w:r>
        <w:t>its</w:t>
      </w:r>
      <w:r w:rsidRPr="00787E65">
        <w:t xml:space="preserve"> </w:t>
      </w:r>
      <w:r w:rsidR="00787E65" w:rsidRPr="00787E65">
        <w:t>dialogue on development in PNG with a range of stakeholders</w:t>
      </w:r>
      <w:r w:rsidR="0031394A">
        <w:t>,</w:t>
      </w:r>
      <w:r w:rsidR="00787E65" w:rsidRPr="00787E65">
        <w:t xml:space="preserve"> including</w:t>
      </w:r>
      <w:r w:rsidR="0031394A">
        <w:t xml:space="preserve"> the private sector, development partners, civil society and research institutes.</w:t>
      </w:r>
      <w:r w:rsidR="008865DA">
        <w:t xml:space="preserve"> This will involve:</w:t>
      </w:r>
    </w:p>
    <w:p w:rsidR="00787E65" w:rsidRPr="00787E65" w:rsidRDefault="00787E65" w:rsidP="00787E65">
      <w:pPr>
        <w:pStyle w:val="ListBullet"/>
      </w:pPr>
      <w:r w:rsidRPr="00787E65">
        <w:t>redefin</w:t>
      </w:r>
      <w:r w:rsidR="008865DA">
        <w:t>ing</w:t>
      </w:r>
      <w:r w:rsidRPr="00787E65">
        <w:t xml:space="preserve"> objectives and considering more focused entry points for working with the private sector</w:t>
      </w:r>
    </w:p>
    <w:p w:rsidR="00787E65" w:rsidRPr="00787E65" w:rsidRDefault="00787E65" w:rsidP="00787E65">
      <w:pPr>
        <w:pStyle w:val="ListBullet"/>
      </w:pPr>
      <w:r w:rsidRPr="00787E65">
        <w:t>reinvigorat</w:t>
      </w:r>
      <w:r w:rsidR="008865DA">
        <w:t>ing</w:t>
      </w:r>
      <w:r w:rsidRPr="00787E65">
        <w:t xml:space="preserve"> the role of the development banks in strengthening policy dialogue with </w:t>
      </w:r>
      <w:r w:rsidR="007B2AB8">
        <w:t>the PNG Government</w:t>
      </w:r>
      <w:r w:rsidRPr="00787E65">
        <w:t xml:space="preserve"> on public sector reform</w:t>
      </w:r>
      <w:r w:rsidR="008865DA">
        <w:t>,</w:t>
      </w:r>
      <w:r w:rsidRPr="00787E65">
        <w:t xml:space="preserve"> and pursu</w:t>
      </w:r>
      <w:r w:rsidR="008865DA">
        <w:t>ing</w:t>
      </w:r>
      <w:r w:rsidRPr="00787E65">
        <w:t xml:space="preserve"> increased policy dialogue with key donors in specific sectors</w:t>
      </w:r>
      <w:r w:rsidR="008865DA">
        <w:t>,</w:t>
      </w:r>
      <w:r w:rsidRPr="00787E65">
        <w:t xml:space="preserve"> such as the </w:t>
      </w:r>
      <w:r w:rsidR="00B42B81">
        <w:t>European Union</w:t>
      </w:r>
      <w:r w:rsidRPr="00787E65">
        <w:t xml:space="preserve"> in education and </w:t>
      </w:r>
      <w:r w:rsidR="00C07049">
        <w:t>the Asian Development Bank</w:t>
      </w:r>
      <w:r w:rsidRPr="00787E65">
        <w:t xml:space="preserve"> in transport</w:t>
      </w:r>
    </w:p>
    <w:p w:rsidR="008865DA" w:rsidRDefault="00787E65" w:rsidP="00787E65">
      <w:pPr>
        <w:pStyle w:val="ListBullet"/>
      </w:pPr>
      <w:r w:rsidRPr="00787E65">
        <w:lastRenderedPageBreak/>
        <w:t>engag</w:t>
      </w:r>
      <w:r w:rsidR="004A6472">
        <w:t>ing more</w:t>
      </w:r>
      <w:r w:rsidRPr="00787E65">
        <w:t xml:space="preserve"> with professional associations and alumni networks</w:t>
      </w:r>
      <w:r w:rsidR="004A6472">
        <w:t>,</w:t>
      </w:r>
      <w:r w:rsidRPr="00787E65">
        <w:t xml:space="preserve"> </w:t>
      </w:r>
      <w:r w:rsidR="004A6472">
        <w:t>particularly</w:t>
      </w:r>
      <w:r w:rsidRPr="00787E65">
        <w:t xml:space="preserve"> the next generation of leaders</w:t>
      </w:r>
    </w:p>
    <w:p w:rsidR="008865DA" w:rsidRDefault="00787E65" w:rsidP="00787E65">
      <w:pPr>
        <w:pStyle w:val="ListBullet"/>
      </w:pPr>
      <w:r w:rsidRPr="00787E65">
        <w:t xml:space="preserve"> strengthen</w:t>
      </w:r>
      <w:r w:rsidR="008865DA">
        <w:t>ing</w:t>
      </w:r>
      <w:r w:rsidRPr="00787E65">
        <w:t xml:space="preserve"> relationships with churches involved in direct service delivery</w:t>
      </w:r>
    </w:p>
    <w:p w:rsidR="00787E65" w:rsidRPr="00787E65" w:rsidRDefault="004A6472" w:rsidP="00787E65">
      <w:pPr>
        <w:pStyle w:val="ListBullet"/>
      </w:pPr>
      <w:r>
        <w:t>making greater</w:t>
      </w:r>
      <w:r w:rsidR="00787E65" w:rsidRPr="00787E65">
        <w:t xml:space="preserve"> use of the expertise and analysis generated by research institutes in both PNG and </w:t>
      </w:r>
      <w:smartTag w:uri="urn:schemas-microsoft-com:office:smarttags" w:element="place">
        <w:smartTag w:uri="urn:schemas-microsoft-com:office:smarttags" w:element="country-region">
          <w:r w:rsidR="00787E65" w:rsidRPr="00787E65">
            <w:t>Australia</w:t>
          </w:r>
        </w:smartTag>
      </w:smartTag>
      <w:r w:rsidR="008865DA">
        <w:t>.</w:t>
      </w:r>
    </w:p>
    <w:p w:rsidR="00787E65" w:rsidRPr="00787E65" w:rsidRDefault="00787E65" w:rsidP="00080750">
      <w:pPr>
        <w:pStyle w:val="H2A"/>
      </w:pPr>
      <w:bookmarkStart w:id="180" w:name="_Toc237763937"/>
      <w:bookmarkStart w:id="181" w:name="_Toc361224403"/>
      <w:r w:rsidRPr="00787E65">
        <w:t>Other priorities</w:t>
      </w:r>
      <w:r w:rsidR="00741948">
        <w:t xml:space="preserve"> for 2009</w:t>
      </w:r>
      <w:bookmarkEnd w:id="180"/>
      <w:bookmarkEnd w:id="181"/>
    </w:p>
    <w:p w:rsidR="00787E65" w:rsidRPr="00787E65" w:rsidRDefault="00787E65" w:rsidP="009B5487">
      <w:pPr>
        <w:pStyle w:val="BodyText"/>
      </w:pPr>
      <w:r w:rsidRPr="00787E65">
        <w:t>The PNG program will also give high</w:t>
      </w:r>
      <w:r w:rsidR="00EB5383">
        <w:t>-</w:t>
      </w:r>
      <w:r w:rsidRPr="00787E65">
        <w:t xml:space="preserve">level attention to: </w:t>
      </w:r>
    </w:p>
    <w:p w:rsidR="00787E65" w:rsidRPr="00EB5383" w:rsidRDefault="00C767BA" w:rsidP="00EB5383">
      <w:pPr>
        <w:pStyle w:val="ListBullet"/>
        <w:rPr>
          <w:spacing w:val="-2"/>
        </w:rPr>
      </w:pPr>
      <w:r w:rsidRPr="00CA015B">
        <w:rPr>
          <w:b/>
          <w:spacing w:val="-2"/>
        </w:rPr>
        <w:t xml:space="preserve">Progressing </w:t>
      </w:r>
      <w:r w:rsidR="00787E65" w:rsidRPr="00CA015B">
        <w:rPr>
          <w:b/>
          <w:spacing w:val="-2"/>
        </w:rPr>
        <w:t>the</w:t>
      </w:r>
      <w:r w:rsidR="00787E65" w:rsidRPr="00EB5383">
        <w:rPr>
          <w:spacing w:val="-2"/>
        </w:rPr>
        <w:t xml:space="preserve"> </w:t>
      </w:r>
      <w:r w:rsidR="00787E65" w:rsidRPr="00EB5383">
        <w:rPr>
          <w:b/>
          <w:spacing w:val="-2"/>
        </w:rPr>
        <w:t>reorientation of Australian assistance to health</w:t>
      </w:r>
      <w:r w:rsidR="00787E65" w:rsidRPr="00EB5383">
        <w:rPr>
          <w:spacing w:val="-2"/>
        </w:rPr>
        <w:t>.</w:t>
      </w:r>
      <w:r w:rsidR="006F7C08" w:rsidRPr="00EB5383">
        <w:rPr>
          <w:spacing w:val="-2"/>
        </w:rPr>
        <w:t xml:space="preserve"> </w:t>
      </w:r>
      <w:r w:rsidR="00787E65" w:rsidRPr="00EB5383">
        <w:rPr>
          <w:spacing w:val="-2"/>
        </w:rPr>
        <w:t xml:space="preserve">This includes </w:t>
      </w:r>
      <w:r w:rsidR="00EB5383" w:rsidRPr="00EB5383">
        <w:rPr>
          <w:spacing w:val="-2"/>
        </w:rPr>
        <w:t>more closely</w:t>
      </w:r>
      <w:r w:rsidR="00787E65" w:rsidRPr="00EB5383">
        <w:rPr>
          <w:spacing w:val="-2"/>
        </w:rPr>
        <w:t xml:space="preserve"> align</w:t>
      </w:r>
      <w:r w:rsidR="00EB5383" w:rsidRPr="00EB5383">
        <w:rPr>
          <w:spacing w:val="-2"/>
        </w:rPr>
        <w:t>ing</w:t>
      </w:r>
      <w:r w:rsidR="00787E65" w:rsidRPr="00EB5383">
        <w:rPr>
          <w:spacing w:val="-2"/>
        </w:rPr>
        <w:t xml:space="preserve"> </w:t>
      </w:r>
      <w:proofErr w:type="spellStart"/>
      <w:r w:rsidR="00787E65" w:rsidRPr="00EB5383">
        <w:rPr>
          <w:spacing w:val="-2"/>
        </w:rPr>
        <w:t>AusAID</w:t>
      </w:r>
      <w:proofErr w:type="spellEnd"/>
      <w:r w:rsidR="00787E65" w:rsidRPr="00EB5383">
        <w:rPr>
          <w:spacing w:val="-2"/>
        </w:rPr>
        <w:t xml:space="preserve"> resources </w:t>
      </w:r>
      <w:r w:rsidR="00EB5383" w:rsidRPr="00EB5383">
        <w:rPr>
          <w:spacing w:val="-2"/>
        </w:rPr>
        <w:t xml:space="preserve">with </w:t>
      </w:r>
      <w:r w:rsidR="00787E65" w:rsidRPr="00EB5383">
        <w:rPr>
          <w:spacing w:val="-2"/>
        </w:rPr>
        <w:t xml:space="preserve">the </w:t>
      </w:r>
      <w:r w:rsidR="00886C6D" w:rsidRPr="00EB5383">
        <w:rPr>
          <w:spacing w:val="-2"/>
        </w:rPr>
        <w:t>sector-wide approach</w:t>
      </w:r>
      <w:r w:rsidR="00EB5383" w:rsidRPr="00EB5383">
        <w:rPr>
          <w:spacing w:val="-2"/>
        </w:rPr>
        <w:t>,</w:t>
      </w:r>
      <w:r w:rsidR="007B2AB8" w:rsidRPr="00EB5383">
        <w:rPr>
          <w:spacing w:val="-2"/>
        </w:rPr>
        <w:t xml:space="preserve"> working closely with the </w:t>
      </w:r>
      <w:r w:rsidR="00787E65" w:rsidRPr="00EB5383">
        <w:rPr>
          <w:spacing w:val="-2"/>
        </w:rPr>
        <w:t xml:space="preserve">PNG </w:t>
      </w:r>
      <w:r w:rsidR="007B2AB8" w:rsidRPr="00EB5383">
        <w:rPr>
          <w:spacing w:val="-2"/>
        </w:rPr>
        <w:t xml:space="preserve">Government </w:t>
      </w:r>
      <w:r w:rsidR="00787E65" w:rsidRPr="00EB5383">
        <w:rPr>
          <w:spacing w:val="-2"/>
        </w:rPr>
        <w:t xml:space="preserve">and other development partners on overall sector financing </w:t>
      </w:r>
      <w:r w:rsidR="00EB5383" w:rsidRPr="00EB5383">
        <w:rPr>
          <w:spacing w:val="-2"/>
        </w:rPr>
        <w:t xml:space="preserve">and </w:t>
      </w:r>
      <w:r w:rsidR="00787E65" w:rsidRPr="00EB5383">
        <w:rPr>
          <w:spacing w:val="-2"/>
        </w:rPr>
        <w:t xml:space="preserve">strengthening </w:t>
      </w:r>
      <w:r w:rsidR="007F26AF" w:rsidRPr="00EB5383">
        <w:rPr>
          <w:spacing w:val="-2"/>
        </w:rPr>
        <w:t>sub</w:t>
      </w:r>
      <w:r w:rsidR="00787E65" w:rsidRPr="00EB5383">
        <w:rPr>
          <w:spacing w:val="-2"/>
        </w:rPr>
        <w:t xml:space="preserve">national financing so </w:t>
      </w:r>
      <w:r w:rsidR="00EB5383" w:rsidRPr="00EB5383">
        <w:rPr>
          <w:spacing w:val="-2"/>
        </w:rPr>
        <w:t xml:space="preserve">that </w:t>
      </w:r>
      <w:r w:rsidR="00787E65" w:rsidRPr="00EB5383">
        <w:rPr>
          <w:spacing w:val="-2"/>
        </w:rPr>
        <w:t>provinces have the funds and management authority to fulfil their service delivery responsibilities</w:t>
      </w:r>
      <w:r w:rsidR="00EB5383" w:rsidRPr="00EB5383">
        <w:rPr>
          <w:spacing w:val="-2"/>
        </w:rPr>
        <w:t>,</w:t>
      </w:r>
      <w:r w:rsidR="00787E65" w:rsidRPr="00EB5383">
        <w:rPr>
          <w:spacing w:val="-2"/>
        </w:rPr>
        <w:t xml:space="preserve"> and better harmonising our technical assistance and capacity</w:t>
      </w:r>
      <w:r w:rsidR="00EB5383" w:rsidRPr="00EB5383">
        <w:rPr>
          <w:spacing w:val="-2"/>
        </w:rPr>
        <w:t>-</w:t>
      </w:r>
      <w:r w:rsidR="00787E65" w:rsidRPr="00EB5383">
        <w:rPr>
          <w:spacing w:val="-2"/>
        </w:rPr>
        <w:t xml:space="preserve">building inputs with </w:t>
      </w:r>
      <w:r w:rsidR="00EB5383" w:rsidRPr="00EB5383">
        <w:rPr>
          <w:spacing w:val="-2"/>
        </w:rPr>
        <w:t xml:space="preserve">the inputs of </w:t>
      </w:r>
      <w:r w:rsidR="00787E65" w:rsidRPr="00EB5383">
        <w:rPr>
          <w:spacing w:val="-2"/>
        </w:rPr>
        <w:t>other development partners.</w:t>
      </w:r>
    </w:p>
    <w:p w:rsidR="00787E65" w:rsidRPr="00787E65" w:rsidRDefault="00787E65" w:rsidP="00EB5383">
      <w:pPr>
        <w:pStyle w:val="ListBullet"/>
      </w:pPr>
      <w:r w:rsidRPr="00CA015B">
        <w:rPr>
          <w:b/>
        </w:rPr>
        <w:t>Encourag</w:t>
      </w:r>
      <w:r w:rsidR="00EB5383" w:rsidRPr="00CA015B">
        <w:rPr>
          <w:b/>
        </w:rPr>
        <w:t>ing</w:t>
      </w:r>
      <w:r w:rsidRPr="00787E65">
        <w:t xml:space="preserve"> </w:t>
      </w:r>
      <w:r w:rsidR="00B42B81">
        <w:rPr>
          <w:b/>
        </w:rPr>
        <w:t xml:space="preserve">the </w:t>
      </w:r>
      <w:r w:rsidR="007B2AB8">
        <w:rPr>
          <w:b/>
        </w:rPr>
        <w:t>PNG Government</w:t>
      </w:r>
      <w:r w:rsidR="00CA015B">
        <w:rPr>
          <w:b/>
        </w:rPr>
        <w:t>’</w:t>
      </w:r>
      <w:r w:rsidRPr="00787E65">
        <w:rPr>
          <w:b/>
        </w:rPr>
        <w:t>s ownership and leadership of the HIV and AIDS</w:t>
      </w:r>
      <w:r w:rsidRPr="00787E65">
        <w:t xml:space="preserve"> </w:t>
      </w:r>
      <w:r w:rsidRPr="00787E65">
        <w:rPr>
          <w:b/>
        </w:rPr>
        <w:t>response</w:t>
      </w:r>
      <w:r w:rsidRPr="00787E65">
        <w:t xml:space="preserve"> through the negotiation process </w:t>
      </w:r>
      <w:r w:rsidR="00CA015B">
        <w:t>for</w:t>
      </w:r>
      <w:r w:rsidR="00CA015B" w:rsidRPr="00787E65">
        <w:t xml:space="preserve"> </w:t>
      </w:r>
      <w:r w:rsidRPr="00787E65">
        <w:t xml:space="preserve">the HIV and AIDS schedule </w:t>
      </w:r>
      <w:r w:rsidR="005C16AF">
        <w:t>of</w:t>
      </w:r>
      <w:r w:rsidR="005C16AF" w:rsidRPr="00787E65">
        <w:t xml:space="preserve"> </w:t>
      </w:r>
      <w:r w:rsidRPr="00787E65">
        <w:t>the Partnership</w:t>
      </w:r>
      <w:r w:rsidR="005C16AF">
        <w:t xml:space="preserve"> for Development</w:t>
      </w:r>
      <w:r w:rsidRPr="00787E65">
        <w:t xml:space="preserve">. </w:t>
      </w:r>
    </w:p>
    <w:p w:rsidR="00787E65" w:rsidRPr="00792B0C" w:rsidRDefault="00787E65" w:rsidP="00EB5383">
      <w:pPr>
        <w:pStyle w:val="ListBullet"/>
      </w:pPr>
      <w:r w:rsidRPr="00792B0C">
        <w:rPr>
          <w:b/>
        </w:rPr>
        <w:t>Continu</w:t>
      </w:r>
      <w:r w:rsidR="00CA015B" w:rsidRPr="00792B0C">
        <w:rPr>
          <w:b/>
        </w:rPr>
        <w:t>ing</w:t>
      </w:r>
      <w:r w:rsidRPr="00792B0C">
        <w:rPr>
          <w:b/>
        </w:rPr>
        <w:t xml:space="preserve"> to scale up efforts to promote gender equality across the </w:t>
      </w:r>
      <w:r w:rsidR="00B308EB" w:rsidRPr="00792B0C">
        <w:rPr>
          <w:b/>
        </w:rPr>
        <w:t xml:space="preserve">aid </w:t>
      </w:r>
      <w:r w:rsidRPr="00792B0C">
        <w:rPr>
          <w:b/>
        </w:rPr>
        <w:t>program and ensur</w:t>
      </w:r>
      <w:r w:rsidR="00C767BA" w:rsidRPr="00792B0C">
        <w:rPr>
          <w:b/>
        </w:rPr>
        <w:t>ing</w:t>
      </w:r>
      <w:r w:rsidRPr="00792B0C">
        <w:rPr>
          <w:b/>
        </w:rPr>
        <w:t xml:space="preserve"> a strong whole</w:t>
      </w:r>
      <w:r w:rsidR="00B308EB" w:rsidRPr="00792B0C">
        <w:rPr>
          <w:b/>
        </w:rPr>
        <w:t>-</w:t>
      </w:r>
      <w:r w:rsidRPr="00792B0C">
        <w:rPr>
          <w:b/>
        </w:rPr>
        <w:t>of</w:t>
      </w:r>
      <w:r w:rsidR="00B308EB" w:rsidRPr="00792B0C">
        <w:t>-</w:t>
      </w:r>
      <w:r w:rsidRPr="00792B0C">
        <w:rPr>
          <w:b/>
        </w:rPr>
        <w:t xml:space="preserve">program response to the </w:t>
      </w:r>
      <w:r w:rsidR="00B308EB" w:rsidRPr="00792B0C">
        <w:rPr>
          <w:b/>
        </w:rPr>
        <w:t>report on violence against women</w:t>
      </w:r>
      <w:r w:rsidRPr="00792B0C">
        <w:t xml:space="preserve">. A country response to this report is currently </w:t>
      </w:r>
      <w:r w:rsidR="004C3BB6" w:rsidRPr="00792B0C">
        <w:t>being developed</w:t>
      </w:r>
      <w:r w:rsidRPr="00792B0C">
        <w:t xml:space="preserve">. Dedicated resources will be identified to progress </w:t>
      </w:r>
      <w:r w:rsidR="00AA6DD3" w:rsidRPr="00792B0C">
        <w:t>gender equality</w:t>
      </w:r>
      <w:r w:rsidRPr="00792B0C">
        <w:t xml:space="preserve"> and increase the profile of th</w:t>
      </w:r>
      <w:r w:rsidR="00AA6DD3" w:rsidRPr="00792B0C">
        <w:t xml:space="preserve">e </w:t>
      </w:r>
      <w:r w:rsidR="00792B0C" w:rsidRPr="00792B0C">
        <w:t>very detrimental consequences of inequality for development</w:t>
      </w:r>
      <w:r w:rsidRPr="00792B0C">
        <w:t xml:space="preserve"> with </w:t>
      </w:r>
      <w:r w:rsidR="00B42B81" w:rsidRPr="00792B0C">
        <w:t xml:space="preserve">the </w:t>
      </w:r>
      <w:r w:rsidR="007B2AB8" w:rsidRPr="00792B0C">
        <w:t>PNG</w:t>
      </w:r>
      <w:r w:rsidR="00792B0C">
        <w:t> </w:t>
      </w:r>
      <w:r w:rsidR="007B2AB8" w:rsidRPr="00792B0C">
        <w:t>Government</w:t>
      </w:r>
      <w:r w:rsidRPr="00792B0C">
        <w:t xml:space="preserve">. </w:t>
      </w:r>
    </w:p>
    <w:p w:rsidR="00787E65" w:rsidRPr="00787E65" w:rsidRDefault="00787E65" w:rsidP="00EB5383">
      <w:pPr>
        <w:pStyle w:val="ListBullet"/>
      </w:pPr>
      <w:r w:rsidRPr="00787E65">
        <w:rPr>
          <w:b/>
        </w:rPr>
        <w:t>Ensur</w:t>
      </w:r>
      <w:r w:rsidR="00C767BA">
        <w:rPr>
          <w:b/>
        </w:rPr>
        <w:t>ing</w:t>
      </w:r>
      <w:r w:rsidRPr="00787E65">
        <w:rPr>
          <w:b/>
        </w:rPr>
        <w:t xml:space="preserve"> greater consistency in approaches </w:t>
      </w:r>
      <w:r w:rsidR="00C767BA">
        <w:rPr>
          <w:b/>
        </w:rPr>
        <w:t xml:space="preserve">to capacity building </w:t>
      </w:r>
      <w:r w:rsidRPr="00787E65">
        <w:rPr>
          <w:b/>
        </w:rPr>
        <w:t>and clarity in objectives and expectations</w:t>
      </w:r>
      <w:r w:rsidRPr="00787E65">
        <w:t>. We will ensure</w:t>
      </w:r>
      <w:r w:rsidR="00C767BA">
        <w:t xml:space="preserve"> that</w:t>
      </w:r>
      <w:r w:rsidRPr="00787E65">
        <w:t xml:space="preserve"> the implications of our analysis in 2008 on capacity building are clearly drawn out for activity managers and </w:t>
      </w:r>
      <w:r w:rsidR="00C767BA">
        <w:t xml:space="preserve">that </w:t>
      </w:r>
      <w:r w:rsidRPr="00787E65">
        <w:t xml:space="preserve">they are equipped for their role to monitor capacity building. </w:t>
      </w:r>
    </w:p>
    <w:sectPr w:rsidR="00787E65" w:rsidRPr="00787E65" w:rsidSect="006762E5">
      <w:headerReference w:type="even" r:id="rId31"/>
      <w:headerReference w:type="default" r:id="rId32"/>
      <w:footerReference w:type="even" r:id="rId33"/>
      <w:footerReference w:type="default" r:id="rId34"/>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86" w:rsidRDefault="003A7686">
      <w:r>
        <w:separator/>
      </w:r>
    </w:p>
  </w:endnote>
  <w:endnote w:type="continuationSeparator" w:id="0">
    <w:p w:rsidR="003A7686" w:rsidRDefault="003A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6" w:rsidRPr="00AD612A" w:rsidRDefault="003A7686">
    <w:pPr>
      <w:pStyle w:val="Footer"/>
    </w:pPr>
    <w:r>
      <w:rPr>
        <w:rStyle w:val="PageNumber"/>
      </w:rPr>
      <w:fldChar w:fldCharType="begin"/>
    </w:r>
    <w:r>
      <w:rPr>
        <w:rStyle w:val="PageNumber"/>
      </w:rPr>
      <w:instrText xml:space="preserve"> PAGE </w:instrText>
    </w:r>
    <w:r>
      <w:rPr>
        <w:rStyle w:val="PageNumber"/>
      </w:rPr>
      <w:fldChar w:fldCharType="separate"/>
    </w:r>
    <w:r w:rsidR="0060646C">
      <w:rPr>
        <w:rStyle w:val="PageNumber"/>
        <w:noProof/>
      </w:rPr>
      <w:t>52</w:t>
    </w:r>
    <w:r>
      <w:rPr>
        <w:rStyle w:val="PageNumber"/>
      </w:rPr>
      <w:fldChar w:fldCharType="end"/>
    </w:r>
    <w:r w:rsidRPr="007C1ECE">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60646C">
      <w:rPr>
        <w:rFonts w:cs="Arial"/>
        <w:noProof/>
      </w:rPr>
      <w:t>Annual program performance report: Papua New Guinea 2008-09</w:t>
    </w:r>
    <w:r w:rsidRPr="00366135">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6" w:rsidRPr="001260C2" w:rsidRDefault="003A7686">
    <w:pPr>
      <w:pStyle w:val="Footer"/>
    </w:pPr>
    <w:r>
      <w:tab/>
    </w:r>
    <w:r w:rsidRPr="007A2D4A">
      <w:rPr>
        <w:color w:val="99988B"/>
      </w:rPr>
      <w:t>www.ausaid.gov.au</w:t>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60646C">
      <w:rPr>
        <w:rFonts w:cs="Arial"/>
        <w:noProof/>
      </w:rPr>
      <w:t>Annual program performance report: Papua New Guinea 2008-09</w:t>
    </w:r>
    <w:r w:rsidRPr="00366135">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60646C">
      <w:rPr>
        <w:rStyle w:val="PageNumber"/>
        <w:noProof/>
      </w:rPr>
      <w:t>53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6" w:rsidRPr="00AD612A" w:rsidRDefault="003A7686">
    <w:pPr>
      <w:pStyle w:val="Footer"/>
    </w:pPr>
    <w:r>
      <w:rPr>
        <w:noProof/>
        <w:lang w:val="en-US" w:eastAsia="en-US"/>
      </w:rPr>
      <mc:AlternateContent>
        <mc:Choice Requires="wps">
          <w:drawing>
            <wp:anchor distT="0" distB="0" distL="114300" distR="114300" simplePos="0" relativeHeight="251658240" behindDoc="0" locked="0" layoutInCell="1" allowOverlap="1" wp14:anchorId="470D962E" wp14:editId="6F474218">
              <wp:simplePos x="0" y="0"/>
              <wp:positionH relativeFrom="page">
                <wp:posOffset>144145</wp:posOffset>
              </wp:positionH>
              <wp:positionV relativeFrom="page">
                <wp:posOffset>900430</wp:posOffset>
              </wp:positionV>
              <wp:extent cx="179705" cy="5400040"/>
              <wp:effectExtent l="1270" t="0" r="0" b="0"/>
              <wp:wrapNone/>
              <wp:docPr id="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686" w:rsidRDefault="003A7686">
                          <w:pPr>
                            <w:pStyle w:val="Footer"/>
                            <w:tabs>
                              <w:tab w:val="clear" w:pos="0"/>
                              <w:tab w:val="clear" w:pos="7938"/>
                              <w:tab w:val="left" w:pos="567"/>
                            </w:tabs>
                            <w:ind w:left="0" w:right="0"/>
                          </w:pPr>
                          <w:r>
                            <w:rPr>
                              <w:rStyle w:val="PageNumber"/>
                              <w:caps/>
                            </w:rPr>
                            <w:fldChar w:fldCharType="begin"/>
                          </w:r>
                          <w:r>
                            <w:rPr>
                              <w:rStyle w:val="PageNumber"/>
                              <w:caps/>
                            </w:rPr>
                            <w:instrText xml:space="preserve"> PAGE </w:instrText>
                          </w:r>
                          <w:r>
                            <w:rPr>
                              <w:rStyle w:val="PageNumber"/>
                              <w:caps/>
                            </w:rPr>
                            <w:fldChar w:fldCharType="separate"/>
                          </w:r>
                          <w:r w:rsidR="0060646C">
                            <w:rPr>
                              <w:rStyle w:val="PageNumber"/>
                              <w:caps/>
                              <w:noProof/>
                            </w:rPr>
                            <w:t>54</w:t>
                          </w:r>
                          <w:r>
                            <w:rPr>
                              <w:rStyle w:val="PageNumber"/>
                              <w:caps/>
                            </w:rPr>
                            <w:fldChar w:fldCharType="end"/>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60646C">
                            <w:rPr>
                              <w:rFonts w:cs="Arial"/>
                              <w:noProof/>
                            </w:rPr>
                            <w:t>Annual program performance report: Papua New Guinea 2008-09</w:t>
                          </w:r>
                          <w:r w:rsidRPr="00366135">
                            <w:rPr>
                              <w:rFonts w:cs="Arial"/>
                            </w:rPr>
                            <w:fldChar w:fldCharType="end"/>
                          </w:r>
                          <w:r>
                            <w:rPr>
                              <w:rFonts w:cs="Arial"/>
                            </w:rPr>
                            <w:tab/>
                          </w:r>
                          <w:r w:rsidRPr="007A2D4A">
                            <w:rPr>
                              <w:color w:val="99988B"/>
                            </w:rPr>
                            <w:t>www.ausaid.gov.au</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3" o:spid="_x0000_s1027" type="#_x0000_t202" style="position:absolute;left:0;text-align:left;margin-left:11.35pt;margin-top:70.9pt;width:14.15pt;height:4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" filled="f" stroked="f">
              <v:textbox style="layout-flow:vertical" inset="0,0,0,0">
                <w:txbxContent>
                  <w:p w:rsidR="003A7686" w:rsidRDefault="003A7686">
                    <w:pPr>
                      <w:pStyle w:val="Footer"/>
                      <w:tabs>
                        <w:tab w:val="clear" w:pos="0"/>
                        <w:tab w:val="clear" w:pos="7938"/>
                        <w:tab w:val="left" w:pos="567"/>
                      </w:tabs>
                      <w:ind w:left="0" w:right="0"/>
                    </w:pPr>
                    <w:r>
                      <w:rPr>
                        <w:rStyle w:val="PageNumber"/>
                        <w:caps/>
                      </w:rPr>
                      <w:fldChar w:fldCharType="begin"/>
                    </w:r>
                    <w:r>
                      <w:rPr>
                        <w:rStyle w:val="PageNumber"/>
                        <w:caps/>
                      </w:rPr>
                      <w:instrText xml:space="preserve"> PAGE </w:instrText>
                    </w:r>
                    <w:r>
                      <w:rPr>
                        <w:rStyle w:val="PageNumber"/>
                        <w:caps/>
                      </w:rPr>
                      <w:fldChar w:fldCharType="separate"/>
                    </w:r>
                    <w:r w:rsidR="0060646C">
                      <w:rPr>
                        <w:rStyle w:val="PageNumber"/>
                        <w:caps/>
                        <w:noProof/>
                      </w:rPr>
                      <w:t>54</w:t>
                    </w:r>
                    <w:r>
                      <w:rPr>
                        <w:rStyle w:val="PageNumber"/>
                        <w:caps/>
                      </w:rPr>
                      <w:fldChar w:fldCharType="end"/>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60646C">
                      <w:rPr>
                        <w:rFonts w:cs="Arial"/>
                        <w:noProof/>
                      </w:rPr>
                      <w:t>Annual program performance report: Papua New Guinea 2008-09</w:t>
                    </w:r>
                    <w:r w:rsidRPr="00366135">
                      <w:rPr>
                        <w:rFonts w:cs="Arial"/>
                      </w:rPr>
                      <w:fldChar w:fldCharType="end"/>
                    </w:r>
                    <w:r>
                      <w:rPr>
                        <w:rFonts w:cs="Arial"/>
                      </w:rPr>
                      <w:tab/>
                    </w:r>
                    <w:r w:rsidRPr="007A2D4A">
                      <w:rPr>
                        <w:color w:val="99988B"/>
                      </w:rPr>
                      <w:t>www.ausaid.gov.au</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6" w:rsidRPr="00366135" w:rsidRDefault="003A76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6" w:rsidRPr="00AD612A" w:rsidRDefault="003A7686">
    <w:pPr>
      <w:pStyle w:val="Footer"/>
    </w:pPr>
    <w:r>
      <w:rPr>
        <w:rStyle w:val="PageNumber"/>
      </w:rPr>
      <w:fldChar w:fldCharType="begin"/>
    </w:r>
    <w:r>
      <w:rPr>
        <w:rStyle w:val="PageNumber"/>
      </w:rPr>
      <w:instrText xml:space="preserve"> PAGE </w:instrText>
    </w:r>
    <w:r>
      <w:rPr>
        <w:rStyle w:val="PageNumber"/>
      </w:rPr>
      <w:fldChar w:fldCharType="separate"/>
    </w:r>
    <w:r w:rsidR="0060646C">
      <w:rPr>
        <w:rStyle w:val="PageNumber"/>
        <w:noProof/>
      </w:rPr>
      <w:t>60</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60646C">
      <w:rPr>
        <w:rFonts w:cs="Arial"/>
        <w:noProof/>
      </w:rPr>
      <w:t>Annual program performance report: Papua New Guinea 2008-09</w:t>
    </w:r>
    <w:r w:rsidRPr="00592A83">
      <w:rPr>
        <w:rFonts w:cs="Arial"/>
      </w:rPr>
      <w:fldChar w:fldCharType="end"/>
    </w:r>
    <w:r>
      <w:tab/>
    </w:r>
    <w:r w:rsidRPr="007A2D4A">
      <w:rPr>
        <w:color w:val="99988B"/>
      </w:rPr>
      <w:t>www.ausaid.gov.au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6" w:rsidRPr="001260C2" w:rsidRDefault="003A7686"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60646C" w:rsidRPr="0060646C">
      <w:rPr>
        <w:rFonts w:cs="Arial"/>
        <w:b/>
        <w:bCs/>
        <w:noProof/>
        <w:lang w:val="en-US"/>
      </w:rPr>
      <w:t>Annual program performance report: Papua New Guinea 2008-09</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60646C">
      <w:rPr>
        <w:rStyle w:val="PageNumber"/>
        <w:noProof/>
      </w:rPr>
      <w:t>59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86" w:rsidRDefault="003A7686" w:rsidP="00D62AA4">
      <w:pPr>
        <w:spacing w:before="60" w:after="40" w:line="180" w:lineRule="exact"/>
      </w:pPr>
      <w:r>
        <w:continuationSeparator/>
      </w:r>
    </w:p>
  </w:footnote>
  <w:footnote w:type="continuationSeparator" w:id="0">
    <w:p w:rsidR="003A7686" w:rsidRDefault="003A7686">
      <w:r>
        <w:continuationSeparator/>
      </w:r>
    </w:p>
  </w:footnote>
  <w:footnote w:type="continuationNotice" w:id="1">
    <w:p w:rsidR="003A7686" w:rsidRDefault="003A7686"/>
  </w:footnote>
  <w:footnote w:id="2">
    <w:p w:rsidR="003A7686" w:rsidRDefault="003A7686">
      <w:pPr>
        <w:pStyle w:val="FootnoteText"/>
      </w:pPr>
      <w:r>
        <w:rPr>
          <w:rStyle w:val="FootnoteReference"/>
        </w:rPr>
        <w:footnoteRef/>
      </w:r>
      <w:r>
        <w:t xml:space="preserve"> </w:t>
      </w:r>
      <w:r>
        <w:tab/>
        <w:t xml:space="preserve">PNG Government, </w:t>
      </w:r>
      <w:r w:rsidRPr="00F24F5D">
        <w:rPr>
          <w:i/>
        </w:rPr>
        <w:t>The medium term development strategy 2005–2010: “our plan for economic and social advancement”</w:t>
      </w:r>
      <w:r>
        <w:t>, November 2004.</w:t>
      </w:r>
    </w:p>
  </w:footnote>
  <w:footnote w:id="3">
    <w:p w:rsidR="003A7686" w:rsidRPr="0081518D" w:rsidRDefault="003A7686" w:rsidP="00BB44EA">
      <w:pPr>
        <w:pStyle w:val="FootnoteText"/>
      </w:pPr>
      <w:r w:rsidRPr="00BB44EA">
        <w:rPr>
          <w:rStyle w:val="FootnoteReference"/>
        </w:rPr>
        <w:footnoteRef/>
      </w:r>
      <w:r w:rsidRPr="0081518D">
        <w:t xml:space="preserve"> </w:t>
      </w:r>
      <w:r>
        <w:tab/>
        <w:t xml:space="preserve">International Monetary Fund, </w:t>
      </w:r>
      <w:smartTag w:uri="urn:schemas-microsoft-com:office:smarttags" w:element="country-region">
        <w:r w:rsidRPr="005201F2">
          <w:rPr>
            <w:i/>
          </w:rPr>
          <w:t>Papua New Guinea</w:t>
        </w:r>
      </w:smartTag>
      <w:r w:rsidRPr="005201F2">
        <w:rPr>
          <w:i/>
        </w:rPr>
        <w:t>: staff report for the 2008 Article IV consultation</w:t>
      </w:r>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p. 10.</w:t>
      </w:r>
      <w:r w:rsidRPr="0081518D">
        <w:t xml:space="preserve"> </w:t>
      </w:r>
      <w:r>
        <w:t>The </w:t>
      </w:r>
      <w:r w:rsidRPr="0081518D">
        <w:t>PNG budget estimate was 6.2</w:t>
      </w:r>
      <w:r>
        <w:t> per cent</w:t>
      </w:r>
      <w:r w:rsidRPr="0081518D">
        <w:t>.</w:t>
      </w:r>
    </w:p>
  </w:footnote>
  <w:footnote w:id="4">
    <w:p w:rsidR="003A7686" w:rsidRPr="0081518D" w:rsidRDefault="003A7686" w:rsidP="00BB44EA">
      <w:pPr>
        <w:pStyle w:val="FootnoteText"/>
      </w:pPr>
      <w:r w:rsidRPr="00BB44EA">
        <w:rPr>
          <w:rStyle w:val="FootnoteReference"/>
        </w:rPr>
        <w:footnoteRef/>
      </w:r>
      <w:r w:rsidRPr="0081518D">
        <w:t xml:space="preserve"> </w:t>
      </w:r>
      <w:r>
        <w:tab/>
      </w:r>
      <w:proofErr w:type="gramStart"/>
      <w:r>
        <w:t>Government of Papua New Guinea,</w:t>
      </w:r>
      <w:r w:rsidRPr="0081518D">
        <w:t xml:space="preserve"> </w:t>
      </w:r>
      <w:r>
        <w:t>‘</w:t>
      </w:r>
      <w:r w:rsidRPr="0081518D">
        <w:t>2009 budget statement</w:t>
      </w:r>
      <w:r>
        <w:t>’.</w:t>
      </w:r>
      <w:proofErr w:type="gramEnd"/>
    </w:p>
  </w:footnote>
  <w:footnote w:id="5">
    <w:p w:rsidR="003A7686" w:rsidRPr="006D164D" w:rsidRDefault="003A7686" w:rsidP="00BB44EA">
      <w:pPr>
        <w:pStyle w:val="FootnoteText"/>
      </w:pPr>
      <w:r w:rsidRPr="00BB44EA">
        <w:rPr>
          <w:rStyle w:val="FootnoteReference"/>
        </w:rPr>
        <w:footnoteRef/>
      </w:r>
      <w:r w:rsidRPr="006D164D">
        <w:t xml:space="preserve"> </w:t>
      </w:r>
      <w:r>
        <w:tab/>
      </w:r>
      <w:r w:rsidRPr="006D164D">
        <w:t>World Bank</w:t>
      </w:r>
      <w:r>
        <w:t>,</w:t>
      </w:r>
      <w:r w:rsidRPr="006D164D">
        <w:t xml:space="preserve"> </w:t>
      </w:r>
      <w:r w:rsidRPr="0007028B">
        <w:rPr>
          <w:i/>
        </w:rPr>
        <w:t>Doing business: measuring business regulations</w:t>
      </w:r>
      <w:r>
        <w:t>, viewed June 2009, &lt;</w:t>
      </w:r>
      <w:r w:rsidRPr="0007028B">
        <w:t>www.doingbusiness.org/economyrankings/</w:t>
      </w:r>
      <w:r>
        <w:t>&gt;.</w:t>
      </w:r>
    </w:p>
  </w:footnote>
  <w:footnote w:id="6">
    <w:p w:rsidR="003A7686" w:rsidRPr="00BA268E" w:rsidRDefault="003A7686" w:rsidP="00BB44EA">
      <w:pPr>
        <w:pStyle w:val="FootnoteText"/>
      </w:pPr>
      <w:r w:rsidRPr="00BB44EA">
        <w:rPr>
          <w:rStyle w:val="FootnoteReference"/>
        </w:rPr>
        <w:footnoteRef/>
      </w:r>
      <w:r w:rsidRPr="00BA268E">
        <w:t xml:space="preserve"> </w:t>
      </w:r>
      <w:r>
        <w:tab/>
      </w:r>
      <w:r w:rsidRPr="00BA268E">
        <w:t>Infant mortality</w:t>
      </w:r>
      <w:r>
        <w:t xml:space="preserve"> fell</w:t>
      </w:r>
      <w:r w:rsidRPr="00BA268E">
        <w:t xml:space="preserve"> from 69 to 56.7</w:t>
      </w:r>
      <w:r>
        <w:t xml:space="preserve"> per </w:t>
      </w:r>
      <w:r w:rsidRPr="00BA268E">
        <w:t>1000 live births, child mortality from 25.3 to 19.1</w:t>
      </w:r>
      <w:r>
        <w:t xml:space="preserve"> per </w:t>
      </w:r>
      <w:r w:rsidRPr="00BA268E">
        <w:t xml:space="preserve">1000 live births, </w:t>
      </w:r>
      <w:r>
        <w:t xml:space="preserve">and </w:t>
      </w:r>
      <w:r w:rsidRPr="00BA268E">
        <w:t>under</w:t>
      </w:r>
      <w:r>
        <w:t>-</w:t>
      </w:r>
      <w:r w:rsidRPr="00BA268E">
        <w:t>5 mortality from 92.8 to 74.7 per 1000 live births</w:t>
      </w:r>
      <w:r>
        <w:t>.</w:t>
      </w:r>
    </w:p>
  </w:footnote>
  <w:footnote w:id="7">
    <w:p w:rsidR="003A7686" w:rsidRPr="00266448" w:rsidRDefault="003A7686" w:rsidP="00266448">
      <w:pPr>
        <w:pStyle w:val="FootnoteText"/>
      </w:pPr>
      <w:r w:rsidRPr="00BB44EA">
        <w:rPr>
          <w:rStyle w:val="FootnoteReference"/>
        </w:rPr>
        <w:footnoteRef/>
      </w:r>
      <w:r w:rsidRPr="0081518D">
        <w:t xml:space="preserve"> </w:t>
      </w:r>
      <w:r>
        <w:tab/>
      </w:r>
      <w:r w:rsidRPr="0081518D">
        <w:t xml:space="preserve">The 1996 </w:t>
      </w:r>
      <w:r w:rsidRPr="00266448">
        <w:rPr>
          <w:szCs w:val="16"/>
        </w:rPr>
        <w:t>figure</w:t>
      </w:r>
      <w:r w:rsidRPr="00266448">
        <w:t xml:space="preserve"> is likely to have been an underestimate; associated factors such as the proportion of attended births have marginally improved.</w:t>
      </w:r>
    </w:p>
  </w:footnote>
  <w:footnote w:id="8">
    <w:p w:rsidR="003A7686" w:rsidRPr="00266448" w:rsidRDefault="003A7686" w:rsidP="00F51DEF">
      <w:pPr>
        <w:pStyle w:val="FootnoteText"/>
      </w:pPr>
      <w:r w:rsidRPr="009A1C0A">
        <w:rPr>
          <w:rStyle w:val="FootnoteReference"/>
        </w:rPr>
        <w:footnoteRef/>
      </w:r>
      <w:r w:rsidRPr="00266448">
        <w:t xml:space="preserve"> </w:t>
      </w:r>
      <w:r>
        <w:tab/>
        <w:t xml:space="preserve">PNG </w:t>
      </w:r>
      <w:r w:rsidRPr="00C02654">
        <w:t xml:space="preserve">National AIDS Council Secretariat </w:t>
      </w:r>
      <w:r>
        <w:t>&amp;</w:t>
      </w:r>
      <w:r w:rsidRPr="00C02654">
        <w:t xml:space="preserve"> National Department of Health</w:t>
      </w:r>
      <w:r>
        <w:t>,</w:t>
      </w:r>
      <w:r w:rsidRPr="00C02654">
        <w:t xml:space="preserve"> </w:t>
      </w:r>
      <w:r w:rsidRPr="0027327B">
        <w:rPr>
          <w:i/>
        </w:rPr>
        <w:t>The 2007 estimation report on the HIV epidemic in PNG</w:t>
      </w:r>
      <w:r>
        <w:t>,</w:t>
      </w:r>
      <w:r w:rsidRPr="00266448">
        <w:t xml:space="preserve"> August 2007</w:t>
      </w:r>
      <w:r>
        <w:t>.</w:t>
      </w:r>
    </w:p>
  </w:footnote>
  <w:footnote w:id="9">
    <w:p w:rsidR="003A7686" w:rsidRPr="00266448" w:rsidRDefault="003A7686" w:rsidP="00F51DEF">
      <w:pPr>
        <w:pStyle w:val="FootnoteText"/>
      </w:pPr>
      <w:r w:rsidRPr="009A1C0A">
        <w:rPr>
          <w:rStyle w:val="FootnoteReference"/>
        </w:rPr>
        <w:footnoteRef/>
      </w:r>
      <w:r w:rsidRPr="00266448">
        <w:t xml:space="preserve"> </w:t>
      </w:r>
      <w:r>
        <w:tab/>
        <w:t xml:space="preserve">PNG </w:t>
      </w:r>
      <w:r w:rsidRPr="00266448">
        <w:t>HIV/AIDS sector performance report. The National AIDS Council was reconstituted in December 2008 after 18 months of absence.</w:t>
      </w:r>
    </w:p>
  </w:footnote>
  <w:footnote w:id="10">
    <w:p w:rsidR="003A7686" w:rsidRPr="00266448" w:rsidRDefault="003A7686" w:rsidP="00266448">
      <w:pPr>
        <w:pStyle w:val="FootnoteText"/>
      </w:pPr>
      <w:r w:rsidRPr="009A1C0A">
        <w:rPr>
          <w:rStyle w:val="FootnoteReference"/>
        </w:rPr>
        <w:footnoteRef/>
      </w:r>
      <w:r w:rsidRPr="009A1C0A">
        <w:rPr>
          <w:rStyle w:val="FootnoteReference"/>
        </w:rPr>
        <w:t xml:space="preserve"> </w:t>
      </w:r>
      <w:r>
        <w:tab/>
      </w:r>
      <w:r w:rsidRPr="00266448">
        <w:t xml:space="preserve">PNG law and justice sector report. </w:t>
      </w:r>
    </w:p>
  </w:footnote>
  <w:footnote w:id="11">
    <w:p w:rsidR="003A7686" w:rsidRPr="002B1D07" w:rsidRDefault="003A7686">
      <w:pPr>
        <w:pStyle w:val="FootnoteText"/>
      </w:pPr>
      <w:r>
        <w:rPr>
          <w:rStyle w:val="FootnoteReference"/>
        </w:rPr>
        <w:footnoteRef/>
      </w:r>
      <w:r>
        <w:t xml:space="preserve"> </w:t>
      </w:r>
      <w:r>
        <w:tab/>
        <w:t xml:space="preserve">Office of Development Effectiveness, </w:t>
      </w:r>
      <w:r w:rsidRPr="00C05CE6">
        <w:rPr>
          <w:i/>
        </w:rPr>
        <w:t>Violence against women in Melanesia and East Timor: building on global and regional promising approaches</w:t>
      </w:r>
      <w:r>
        <w:t xml:space="preserve">, Australian Agency for International Development, </w:t>
      </w:r>
      <w:smartTag w:uri="urn:schemas-microsoft-com:office:smarttags" w:element="City">
        <w:smartTag w:uri="urn:schemas-microsoft-com:office:smarttags" w:element="place">
          <w:r>
            <w:t>Canberra</w:t>
          </w:r>
        </w:smartTag>
      </w:smartTag>
      <w:r>
        <w:t>, 2008.</w:t>
      </w:r>
    </w:p>
  </w:footnote>
  <w:footnote w:id="12">
    <w:p w:rsidR="003A7686" w:rsidRPr="00802917" w:rsidRDefault="003A7686" w:rsidP="00266448">
      <w:pPr>
        <w:pStyle w:val="FootnoteText"/>
        <w:rPr>
          <w:rFonts w:cs="Arial"/>
        </w:rPr>
      </w:pPr>
      <w:r w:rsidRPr="009A1C0A">
        <w:rPr>
          <w:rStyle w:val="FootnoteReference"/>
        </w:rPr>
        <w:footnoteRef/>
      </w:r>
      <w:r w:rsidRPr="00266448">
        <w:t xml:space="preserve"> </w:t>
      </w:r>
      <w:r>
        <w:tab/>
      </w:r>
      <w:r w:rsidRPr="00266448">
        <w:t>The greater the gender disparity in basic capabilities, the lower a country’s gender-related development index compared with</w:t>
      </w:r>
      <w:r w:rsidRPr="00802917">
        <w:rPr>
          <w:rFonts w:cs="Arial"/>
        </w:rPr>
        <w:t xml:space="preserve"> its human development index.</w:t>
      </w:r>
    </w:p>
  </w:footnote>
  <w:footnote w:id="13">
    <w:p w:rsidR="003A7686" w:rsidRPr="001D231A" w:rsidRDefault="003A7686">
      <w:pPr>
        <w:pStyle w:val="FootnoteText"/>
      </w:pPr>
      <w:r>
        <w:rPr>
          <w:rStyle w:val="FootnoteReference"/>
        </w:rPr>
        <w:footnoteRef/>
      </w:r>
      <w:r>
        <w:t xml:space="preserve"> </w:t>
      </w:r>
      <w:r>
        <w:tab/>
        <w:t xml:space="preserve">World Bank, </w:t>
      </w:r>
      <w:r w:rsidRPr="001D231A">
        <w:rPr>
          <w:i/>
        </w:rPr>
        <w:t>Governance matters 2009: worldwide governance indicators, 1996–2008</w:t>
      </w:r>
      <w:r>
        <w:t>, viewed June 2009, &lt;</w:t>
      </w:r>
      <w:r w:rsidRPr="001D231A">
        <w:t>http://info.worldbank.org/governance/wgi/mc_countries.asp</w:t>
      </w:r>
      <w:r>
        <w:t>&gt;.</w:t>
      </w:r>
    </w:p>
  </w:footnote>
  <w:footnote w:id="14">
    <w:p w:rsidR="003A7686" w:rsidRPr="00337E9C" w:rsidRDefault="003A7686" w:rsidP="00BB44EA">
      <w:pPr>
        <w:pStyle w:val="FootnoteText"/>
      </w:pPr>
      <w:r w:rsidRPr="00BB44EA">
        <w:rPr>
          <w:rStyle w:val="FootnoteReference"/>
        </w:rPr>
        <w:footnoteRef/>
      </w:r>
      <w:r>
        <w:tab/>
      </w:r>
      <w:proofErr w:type="gramStart"/>
      <w:r>
        <w:t>Government of Papua New Guinea,</w:t>
      </w:r>
      <w:r w:rsidRPr="0081518D">
        <w:t xml:space="preserve"> </w:t>
      </w:r>
      <w:r>
        <w:t>‘</w:t>
      </w:r>
      <w:r w:rsidRPr="00BB44EA">
        <w:t>2009</w:t>
      </w:r>
      <w:r w:rsidRPr="00337E9C">
        <w:t xml:space="preserve"> budge</w:t>
      </w:r>
      <w:r>
        <w:t>t statement’.</w:t>
      </w:r>
      <w:proofErr w:type="gramEnd"/>
    </w:p>
  </w:footnote>
  <w:footnote w:id="15">
    <w:p w:rsidR="003A7686" w:rsidRDefault="003A7686" w:rsidP="00BB44EA">
      <w:pPr>
        <w:pStyle w:val="FootnoteText"/>
      </w:pPr>
      <w:r w:rsidRPr="00BB44EA">
        <w:rPr>
          <w:rStyle w:val="FootnoteReference"/>
        </w:rPr>
        <w:footnoteRef/>
      </w:r>
      <w:r w:rsidRPr="00337E9C">
        <w:t xml:space="preserve"> </w:t>
      </w:r>
      <w:r>
        <w:tab/>
      </w:r>
      <w:proofErr w:type="gramStart"/>
      <w:r w:rsidRPr="00337E9C">
        <w:t xml:space="preserve">As at 30 </w:t>
      </w:r>
      <w:r w:rsidRPr="00BB44EA">
        <w:t>September</w:t>
      </w:r>
      <w:r w:rsidRPr="00337E9C">
        <w:t xml:space="preserve"> 2008.</w:t>
      </w:r>
      <w:proofErr w:type="gramEnd"/>
    </w:p>
  </w:footnote>
  <w:footnote w:id="16">
    <w:p w:rsidR="003A7686" w:rsidRPr="00C6181A" w:rsidRDefault="003A7686" w:rsidP="00BB44EA">
      <w:pPr>
        <w:pStyle w:val="FootnoteText"/>
      </w:pPr>
      <w:r w:rsidRPr="00BB44EA">
        <w:rPr>
          <w:rStyle w:val="FootnoteReference"/>
        </w:rPr>
        <w:footnoteRef/>
      </w:r>
      <w:r w:rsidRPr="00C6181A">
        <w:t xml:space="preserve"> </w:t>
      </w:r>
      <w:r>
        <w:tab/>
      </w:r>
      <w:r w:rsidRPr="00C6181A">
        <w:t>PERR Implementation Committee</w:t>
      </w:r>
      <w:r>
        <w:t>,</w:t>
      </w:r>
      <w:r w:rsidRPr="00C6181A">
        <w:t xml:space="preserve"> </w:t>
      </w:r>
      <w:r>
        <w:t>‘</w:t>
      </w:r>
      <w:r w:rsidRPr="00C6181A">
        <w:t>Quarterly report</w:t>
      </w:r>
      <w:r>
        <w:t>’</w:t>
      </w:r>
      <w:r w:rsidRPr="00C6181A">
        <w:t>, September 2008</w:t>
      </w:r>
      <w:r>
        <w:t>.</w:t>
      </w:r>
    </w:p>
  </w:footnote>
  <w:footnote w:id="17">
    <w:p w:rsidR="003A7686" w:rsidRPr="00116387" w:rsidRDefault="003A7686" w:rsidP="00BB44EA">
      <w:pPr>
        <w:pStyle w:val="FootnoteText"/>
      </w:pPr>
      <w:r w:rsidRPr="00BB44EA">
        <w:rPr>
          <w:rStyle w:val="FootnoteReference"/>
        </w:rPr>
        <w:footnoteRef/>
      </w:r>
      <w:r w:rsidRPr="00337E9C">
        <w:t xml:space="preserve"> </w:t>
      </w:r>
      <w:r>
        <w:tab/>
      </w:r>
      <w:r w:rsidRPr="00337E9C">
        <w:t xml:space="preserve">The PNG public financial management performance report from the 2008 </w:t>
      </w:r>
      <w:r w:rsidRPr="000807A2">
        <w:t xml:space="preserve">public expenditure and financial accountability assessment </w:t>
      </w:r>
      <w:r w:rsidRPr="00337E9C">
        <w:t xml:space="preserve">had not been endorsed by </w:t>
      </w:r>
      <w:r>
        <w:t>the PNG Government</w:t>
      </w:r>
      <w:r w:rsidRPr="00337E9C">
        <w:t xml:space="preserve"> at the time of writing this report</w:t>
      </w:r>
      <w:r>
        <w:t xml:space="preserve"> (March 2009)</w:t>
      </w:r>
      <w:r w:rsidRPr="00337E9C">
        <w:t>.</w:t>
      </w:r>
      <w:r w:rsidRPr="00116387">
        <w:t xml:space="preserve"> </w:t>
      </w:r>
    </w:p>
  </w:footnote>
  <w:footnote w:id="18">
    <w:p w:rsidR="003A7686" w:rsidRPr="00E34A35" w:rsidRDefault="003A7686" w:rsidP="00BB44EA">
      <w:pPr>
        <w:pStyle w:val="FootnoteText"/>
      </w:pPr>
      <w:r w:rsidRPr="00BB44EA">
        <w:rPr>
          <w:rStyle w:val="FootnoteReference"/>
        </w:rPr>
        <w:footnoteRef/>
      </w:r>
      <w:r>
        <w:rPr>
          <w:vertAlign w:val="superscript"/>
        </w:rPr>
        <w:t xml:space="preserve"> </w:t>
      </w:r>
      <w:r>
        <w:tab/>
      </w:r>
      <w:r w:rsidRPr="00E34A35">
        <w:t xml:space="preserve">Education, health, HIV/AIDS, infrastructure, economic and public sector </w:t>
      </w:r>
      <w:r>
        <w:t>reform</w:t>
      </w:r>
      <w:r w:rsidRPr="00E34A35">
        <w:t xml:space="preserve">, democratic governance, law and justice, </w:t>
      </w:r>
      <w:r>
        <w:t>sub</w:t>
      </w:r>
      <w:r w:rsidRPr="00E34A35">
        <w:t xml:space="preserve">national </w:t>
      </w:r>
      <w:r>
        <w:t>program</w:t>
      </w:r>
      <w:r w:rsidRPr="00E34A35">
        <w:t>, rural development</w:t>
      </w:r>
      <w:r>
        <w:t>,</w:t>
      </w:r>
      <w:r w:rsidRPr="00E34A35">
        <w:t xml:space="preserve"> and </w:t>
      </w:r>
      <w:r w:rsidRPr="00BB44EA">
        <w:t>scholarships</w:t>
      </w:r>
      <w:r>
        <w:t>.</w:t>
      </w:r>
    </w:p>
  </w:footnote>
  <w:footnote w:id="19">
    <w:p w:rsidR="003A7686" w:rsidRPr="00E34A35" w:rsidRDefault="003A7686" w:rsidP="00BB44EA">
      <w:pPr>
        <w:pStyle w:val="FootnoteText"/>
      </w:pPr>
      <w:r w:rsidRPr="00BB44EA">
        <w:rPr>
          <w:rStyle w:val="FootnoteReference"/>
        </w:rPr>
        <w:footnoteRef/>
      </w:r>
      <w:r>
        <w:t xml:space="preserve"> </w:t>
      </w:r>
      <w:r>
        <w:tab/>
        <w:t>The objectives were i</w:t>
      </w:r>
      <w:r w:rsidRPr="00E34A35">
        <w:t xml:space="preserve">mproved governance and </w:t>
      </w:r>
      <w:r>
        <w:t>links to service delivery,</w:t>
      </w:r>
      <w:r w:rsidRPr="00E34A35">
        <w:t xml:space="preserve"> </w:t>
      </w:r>
      <w:r>
        <w:t>s</w:t>
      </w:r>
      <w:r w:rsidRPr="00E34A35">
        <w:t>ustainable broad-based growth and increased productivity</w:t>
      </w:r>
      <w:r>
        <w:t>,</w:t>
      </w:r>
      <w:r w:rsidRPr="00E34A35">
        <w:t xml:space="preserve"> </w:t>
      </w:r>
      <w:r>
        <w:t>c</w:t>
      </w:r>
      <w:r w:rsidRPr="00E34A35">
        <w:t>apacity building</w:t>
      </w:r>
      <w:r>
        <w:t xml:space="preserve">, integration </w:t>
      </w:r>
      <w:r w:rsidRPr="00BB44EA">
        <w:t>with</w:t>
      </w:r>
      <w:r>
        <w:t xml:space="preserve"> PNG systems, and</w:t>
      </w:r>
      <w:r w:rsidRPr="00E34A35">
        <w:t xml:space="preserve"> </w:t>
      </w:r>
      <w:r>
        <w:t>g</w:t>
      </w:r>
      <w:r w:rsidRPr="00E34A35">
        <w:t xml:space="preserve">ender </w:t>
      </w:r>
      <w:r>
        <w:t>equality.</w:t>
      </w:r>
    </w:p>
  </w:footnote>
  <w:footnote w:id="20">
    <w:p w:rsidR="003A7686" w:rsidRPr="00CD416E" w:rsidRDefault="003A7686" w:rsidP="002A7D93">
      <w:pPr>
        <w:pStyle w:val="FootnoteText"/>
      </w:pPr>
      <w:r w:rsidRPr="002A7D93">
        <w:rPr>
          <w:rStyle w:val="FootnoteReference"/>
        </w:rPr>
        <w:footnoteRef/>
      </w:r>
      <w:r w:rsidRPr="00CD416E">
        <w:t xml:space="preserve"> </w:t>
      </w:r>
      <w:r>
        <w:tab/>
      </w:r>
      <w:proofErr w:type="gramStart"/>
      <w:r w:rsidRPr="002A7D93">
        <w:t>Alignment</w:t>
      </w:r>
      <w:r w:rsidRPr="00CD416E">
        <w:t xml:space="preserve"> of PNG and donor resources, capacity building and integration with PNG systems, effective partnerships with and beyond </w:t>
      </w:r>
      <w:r>
        <w:t xml:space="preserve">the </w:t>
      </w:r>
      <w:r w:rsidRPr="00CD416E">
        <w:t>PNG</w:t>
      </w:r>
      <w:r>
        <w:t xml:space="preserve"> Government</w:t>
      </w:r>
      <w:r w:rsidRPr="00CD416E">
        <w:t>, and gender equality.</w:t>
      </w:r>
      <w:proofErr w:type="gramEnd"/>
      <w:r w:rsidRPr="00CD416E">
        <w:t xml:space="preserve"> </w:t>
      </w:r>
    </w:p>
  </w:footnote>
  <w:footnote w:id="21">
    <w:p w:rsidR="003A7686" w:rsidRPr="00313706" w:rsidRDefault="003A7686" w:rsidP="00901B7C">
      <w:pPr>
        <w:pStyle w:val="FootnoteText"/>
      </w:pPr>
      <w:r w:rsidRPr="002A7D93">
        <w:rPr>
          <w:rStyle w:val="FootnoteReference"/>
        </w:rPr>
        <w:footnoteRef/>
      </w:r>
      <w:r w:rsidRPr="00313706">
        <w:t xml:space="preserve"> </w:t>
      </w:r>
      <w:r>
        <w:tab/>
        <w:t xml:space="preserve">The </w:t>
      </w:r>
      <w:r w:rsidRPr="00AF0FA9">
        <w:t xml:space="preserve">Public Expenditure Review and </w:t>
      </w:r>
      <w:r>
        <w:t>Rationalization Programme (PERR</w:t>
      </w:r>
      <w:r w:rsidRPr="00313706">
        <w:t xml:space="preserve">) is a collaborative effort between </w:t>
      </w:r>
      <w:r>
        <w:t>the PNG Government</w:t>
      </w:r>
      <w:r w:rsidRPr="00313706">
        <w:t xml:space="preserve">, </w:t>
      </w:r>
      <w:proofErr w:type="spellStart"/>
      <w:r w:rsidRPr="00313706">
        <w:t>AusAID</w:t>
      </w:r>
      <w:proofErr w:type="spellEnd"/>
      <w:r w:rsidRPr="00313706">
        <w:t xml:space="preserve">, </w:t>
      </w:r>
      <w:r>
        <w:t xml:space="preserve">the United Nations Development Programme, the </w:t>
      </w:r>
      <w:r w:rsidRPr="00313706">
        <w:t xml:space="preserve">World </w:t>
      </w:r>
      <w:r w:rsidRPr="002A7D93">
        <w:t>Bank</w:t>
      </w:r>
      <w:r w:rsidRPr="00313706">
        <w:t xml:space="preserve"> and </w:t>
      </w:r>
      <w:r>
        <w:t>the Asian Development Bank</w:t>
      </w:r>
      <w:r w:rsidRPr="00313706">
        <w:t xml:space="preserve"> to prioritise and sequence economic and public sector reforms.</w:t>
      </w:r>
    </w:p>
  </w:footnote>
  <w:footnote w:id="22">
    <w:p w:rsidR="003A7686" w:rsidRPr="002A7D93" w:rsidRDefault="003A7686" w:rsidP="002A7D93">
      <w:pPr>
        <w:pStyle w:val="FootnoteText"/>
      </w:pPr>
      <w:r w:rsidRPr="002A7D93">
        <w:rPr>
          <w:rStyle w:val="FootnoteReference"/>
        </w:rPr>
        <w:footnoteRef/>
      </w:r>
      <w:r>
        <w:t xml:space="preserve"> </w:t>
      </w:r>
      <w:r>
        <w:tab/>
      </w:r>
      <w:r w:rsidRPr="00011299">
        <w:t>National Economic and Fiscal Commission</w:t>
      </w:r>
      <w:r>
        <w:t>,</w:t>
      </w:r>
      <w:r w:rsidRPr="002A7D93">
        <w:t xml:space="preserve"> </w:t>
      </w:r>
      <w:r>
        <w:t>‘</w:t>
      </w:r>
      <w:r w:rsidRPr="002A7D93">
        <w:t>Closing the gap</w:t>
      </w:r>
      <w:r>
        <w:t>:</w:t>
      </w:r>
      <w:r w:rsidRPr="002A7D93">
        <w:t xml:space="preserve"> review of all expenditure in 2007 by provincial governments</w:t>
      </w:r>
      <w:r>
        <w:t>’, 2009.</w:t>
      </w:r>
    </w:p>
  </w:footnote>
  <w:footnote w:id="23">
    <w:p w:rsidR="003A7686" w:rsidRPr="00B642C2" w:rsidRDefault="003A7686" w:rsidP="002A7D93">
      <w:pPr>
        <w:pStyle w:val="FootnoteText"/>
      </w:pPr>
      <w:r w:rsidRPr="002A7D93">
        <w:rPr>
          <w:rStyle w:val="FootnoteReference"/>
        </w:rPr>
        <w:footnoteRef/>
      </w:r>
      <w:r w:rsidRPr="00B642C2">
        <w:t xml:space="preserve"> </w:t>
      </w:r>
      <w:r>
        <w:tab/>
      </w:r>
      <w:r w:rsidRPr="00666B7B">
        <w:t>Public Sector Workforce Development Program</w:t>
      </w:r>
      <w:r>
        <w:t>,</w:t>
      </w:r>
      <w:r w:rsidRPr="00B642C2">
        <w:t xml:space="preserve"> </w:t>
      </w:r>
      <w:r>
        <w:t>‘</w:t>
      </w:r>
      <w:r w:rsidRPr="00B642C2">
        <w:t xml:space="preserve">2008 </w:t>
      </w:r>
      <w:r w:rsidRPr="002A7D93">
        <w:t>progress</w:t>
      </w:r>
      <w:r>
        <w:t xml:space="preserve"> report’.</w:t>
      </w:r>
    </w:p>
  </w:footnote>
  <w:footnote w:id="24">
    <w:p w:rsidR="003A7686" w:rsidRPr="00C6181A" w:rsidRDefault="003A7686" w:rsidP="002A7D93">
      <w:pPr>
        <w:pStyle w:val="FootnoteText"/>
      </w:pPr>
      <w:r w:rsidRPr="002A7D93">
        <w:rPr>
          <w:rStyle w:val="FootnoteReference"/>
        </w:rPr>
        <w:footnoteRef/>
      </w:r>
      <w:r w:rsidRPr="00C6181A">
        <w:t xml:space="preserve"> </w:t>
      </w:r>
      <w:r>
        <w:tab/>
      </w:r>
      <w:proofErr w:type="gramStart"/>
      <w:r w:rsidRPr="00C6181A">
        <w:t>Department of Finance, Financial Training Branch</w:t>
      </w:r>
      <w:r>
        <w:t>,</w:t>
      </w:r>
      <w:r w:rsidRPr="00C6181A">
        <w:t xml:space="preserve"> </w:t>
      </w:r>
      <w:r>
        <w:t>‘</w:t>
      </w:r>
      <w:r w:rsidRPr="00C6181A">
        <w:t>2008 annual report</w:t>
      </w:r>
      <w:r>
        <w:t>’.</w:t>
      </w:r>
      <w:proofErr w:type="gramEnd"/>
    </w:p>
  </w:footnote>
  <w:footnote w:id="25">
    <w:p w:rsidR="003A7686" w:rsidRPr="00C6181A" w:rsidRDefault="003A7686" w:rsidP="002A7D93">
      <w:pPr>
        <w:pStyle w:val="FootnoteText"/>
      </w:pPr>
      <w:r w:rsidRPr="002A7D93">
        <w:rPr>
          <w:rStyle w:val="FootnoteReference"/>
        </w:rPr>
        <w:footnoteRef/>
      </w:r>
      <w:r w:rsidRPr="00C6181A">
        <w:t xml:space="preserve"> </w:t>
      </w:r>
      <w:r>
        <w:tab/>
      </w:r>
      <w:r w:rsidRPr="00C6181A">
        <w:t xml:space="preserve">The six provinces are Central, Western, </w:t>
      </w:r>
      <w:smartTag w:uri="urn:schemas-microsoft-com:office:smarttags" w:element="PlaceName">
        <w:r w:rsidRPr="00C6181A">
          <w:t>Milne</w:t>
        </w:r>
      </w:smartTag>
      <w:r w:rsidRPr="00C6181A">
        <w:t xml:space="preserve"> </w:t>
      </w:r>
      <w:smartTag w:uri="urn:schemas-microsoft-com:office:smarttags" w:element="PlaceType">
        <w:r w:rsidRPr="00C6181A">
          <w:t>Bay</w:t>
        </w:r>
      </w:smartTag>
      <w:r w:rsidRPr="00C6181A">
        <w:t xml:space="preserve">, East New Britain, </w:t>
      </w:r>
      <w:proofErr w:type="spellStart"/>
      <w:r w:rsidRPr="00C6181A">
        <w:t>Morobe</w:t>
      </w:r>
      <w:proofErr w:type="spellEnd"/>
      <w:r w:rsidRPr="00C6181A">
        <w:t xml:space="preserve"> and </w:t>
      </w:r>
      <w:smartTag w:uri="urn:schemas-microsoft-com:office:smarttags" w:element="place">
        <w:r w:rsidRPr="00C6181A">
          <w:t>Eastern Highlands</w:t>
        </w:r>
      </w:smartTag>
      <w:r w:rsidRPr="00C6181A">
        <w:t xml:space="preserve"> and included district and local-level governments within those provinces.</w:t>
      </w:r>
    </w:p>
  </w:footnote>
  <w:footnote w:id="26">
    <w:p w:rsidR="003A7686" w:rsidRPr="00670FD8" w:rsidRDefault="003A7686" w:rsidP="002A7D93">
      <w:pPr>
        <w:pStyle w:val="FootnoteText"/>
      </w:pPr>
      <w:r w:rsidRPr="002A7D93">
        <w:rPr>
          <w:rStyle w:val="FootnoteReference"/>
        </w:rPr>
        <w:footnoteRef/>
      </w:r>
      <w:r w:rsidRPr="00C6181A">
        <w:t xml:space="preserve"> </w:t>
      </w:r>
      <w:r>
        <w:tab/>
      </w:r>
      <w:r w:rsidRPr="000D7060">
        <w:t xml:space="preserve">Provincial Capacity Building Program </w:t>
      </w:r>
      <w:r w:rsidRPr="00C6181A">
        <w:t>Phase II</w:t>
      </w:r>
      <w:r>
        <w:t>,</w:t>
      </w:r>
      <w:r w:rsidRPr="00C6181A">
        <w:t xml:space="preserve"> </w:t>
      </w:r>
      <w:r>
        <w:t>‘</w:t>
      </w:r>
      <w:r w:rsidRPr="00C6181A">
        <w:t xml:space="preserve">2008 assessment </w:t>
      </w:r>
      <w:r w:rsidRPr="00670FD8">
        <w:t>report</w:t>
      </w:r>
      <w:r>
        <w:t>’</w:t>
      </w:r>
      <w:r w:rsidRPr="00670FD8">
        <w:t>.</w:t>
      </w:r>
    </w:p>
  </w:footnote>
  <w:footnote w:id="27">
    <w:p w:rsidR="003A7686" w:rsidRPr="00546466" w:rsidRDefault="003A7686" w:rsidP="002A7D93">
      <w:pPr>
        <w:pStyle w:val="FootnoteText"/>
      </w:pPr>
      <w:r w:rsidRPr="002A7D93">
        <w:rPr>
          <w:rStyle w:val="FootnoteReference"/>
        </w:rPr>
        <w:footnoteRef/>
      </w:r>
      <w:r w:rsidRPr="00546466">
        <w:t xml:space="preserve"> </w:t>
      </w:r>
      <w:r>
        <w:tab/>
      </w:r>
      <w:r w:rsidRPr="00546466">
        <w:t xml:space="preserve">Transparency </w:t>
      </w:r>
      <w:r w:rsidRPr="002A7D93">
        <w:t>International</w:t>
      </w:r>
      <w:r w:rsidRPr="00546466">
        <w:t xml:space="preserve"> Corruption Perceptions Index</w:t>
      </w:r>
      <w:r>
        <w:t xml:space="preserve"> for PNG</w:t>
      </w:r>
      <w:r w:rsidRPr="00546466">
        <w:t xml:space="preserve"> improved marginally from 162 in 2007 to 151 in 2008 (out of 189 countries)</w:t>
      </w:r>
      <w:r>
        <w:t>.</w:t>
      </w:r>
    </w:p>
  </w:footnote>
  <w:footnote w:id="28">
    <w:p w:rsidR="003A7686" w:rsidRPr="001F3EA4" w:rsidRDefault="003A7686" w:rsidP="0095297F">
      <w:pPr>
        <w:pStyle w:val="FootnoteText"/>
      </w:pPr>
      <w:r w:rsidRPr="002A7D93">
        <w:rPr>
          <w:rStyle w:val="FootnoteReference"/>
        </w:rPr>
        <w:footnoteRef/>
      </w:r>
      <w:r w:rsidRPr="00C6181A">
        <w:t xml:space="preserve"> </w:t>
      </w:r>
      <w:r>
        <w:tab/>
        <w:t xml:space="preserve">Churches run or administer 46 per cent of all health facilities, 60 per cent of rural health services, five of the eight nursing schools, all 14 community </w:t>
      </w:r>
      <w:r w:rsidRPr="002A7D93">
        <w:t>health</w:t>
      </w:r>
      <w:r>
        <w:t xml:space="preserve"> worker schools, 47 per cent of elementary schools, 53 per cent of primary schools, 30 per cent of secondary schools, 41 per cent of vocational schools and 67 per cent of teacher education institutions.</w:t>
      </w:r>
    </w:p>
  </w:footnote>
  <w:footnote w:id="29">
    <w:p w:rsidR="003A7686" w:rsidRPr="00C6181A" w:rsidRDefault="003A7686" w:rsidP="002A7D93">
      <w:pPr>
        <w:pStyle w:val="FootnoteText"/>
      </w:pPr>
      <w:r w:rsidRPr="002A7D93">
        <w:rPr>
          <w:rStyle w:val="FootnoteReference"/>
        </w:rPr>
        <w:footnoteRef/>
      </w:r>
      <w:r w:rsidRPr="00C6181A">
        <w:t xml:space="preserve"> </w:t>
      </w:r>
      <w:r>
        <w:tab/>
      </w:r>
      <w:r w:rsidRPr="000D7060">
        <w:t>Advisory Support Facility</w:t>
      </w:r>
      <w:r>
        <w:t>,</w:t>
      </w:r>
      <w:r w:rsidRPr="00C6181A">
        <w:t xml:space="preserve"> </w:t>
      </w:r>
      <w:r>
        <w:t>‘</w:t>
      </w:r>
      <w:r w:rsidRPr="00C6181A">
        <w:t>Six-</w:t>
      </w:r>
      <w:r w:rsidRPr="002A7D93">
        <w:t>monthly</w:t>
      </w:r>
      <w:r w:rsidRPr="00C6181A">
        <w:t xml:space="preserve"> report</w:t>
      </w:r>
      <w:r>
        <w:t>’</w:t>
      </w:r>
      <w:r w:rsidRPr="00C6181A">
        <w:t>, June and December 2008</w:t>
      </w:r>
      <w:r>
        <w:t>.</w:t>
      </w:r>
    </w:p>
  </w:footnote>
  <w:footnote w:id="30">
    <w:p w:rsidR="003A7686" w:rsidRPr="008E0F76" w:rsidRDefault="003A7686" w:rsidP="002A7D93">
      <w:pPr>
        <w:pStyle w:val="FootnoteText"/>
      </w:pPr>
      <w:r w:rsidRPr="002A7D93">
        <w:rPr>
          <w:rStyle w:val="FootnoteReference"/>
        </w:rPr>
        <w:footnoteRef/>
      </w:r>
      <w:r w:rsidRPr="00C6181A">
        <w:t xml:space="preserve"> </w:t>
      </w:r>
      <w:r>
        <w:tab/>
      </w:r>
      <w:proofErr w:type="gramStart"/>
      <w:r>
        <w:t xml:space="preserve">The </w:t>
      </w:r>
      <w:r w:rsidRPr="00C6181A">
        <w:t>Department of Transport</w:t>
      </w:r>
      <w:r>
        <w:t>,</w:t>
      </w:r>
      <w:r w:rsidRPr="00C6181A">
        <w:t xml:space="preserve"> </w:t>
      </w:r>
      <w:r>
        <w:t xml:space="preserve">the </w:t>
      </w:r>
      <w:r w:rsidRPr="000D7060">
        <w:t>Department of Works</w:t>
      </w:r>
      <w:r w:rsidRPr="00C6181A">
        <w:t xml:space="preserve">, </w:t>
      </w:r>
      <w:r>
        <w:t xml:space="preserve">the </w:t>
      </w:r>
      <w:r w:rsidRPr="00C6181A">
        <w:t xml:space="preserve">National Maritime Safety Authority, </w:t>
      </w:r>
      <w:r>
        <w:t xml:space="preserve">the </w:t>
      </w:r>
      <w:r w:rsidRPr="00C6181A">
        <w:t xml:space="preserve">Civil Aviation Authority and </w:t>
      </w:r>
      <w:r>
        <w:t xml:space="preserve">the </w:t>
      </w:r>
      <w:r w:rsidRPr="00C6181A">
        <w:t>PNG Ports Corporation (Ports)</w:t>
      </w:r>
      <w:r>
        <w:t>.</w:t>
      </w:r>
      <w:proofErr w:type="gramEnd"/>
    </w:p>
  </w:footnote>
  <w:footnote w:id="31">
    <w:p w:rsidR="003A7686" w:rsidRPr="0033479D" w:rsidRDefault="003A7686" w:rsidP="002A7D93">
      <w:pPr>
        <w:pStyle w:val="FootnoteText"/>
      </w:pPr>
      <w:r w:rsidRPr="002A7D93">
        <w:rPr>
          <w:rStyle w:val="FootnoteReference"/>
        </w:rPr>
        <w:footnoteRef/>
      </w:r>
      <w:r w:rsidRPr="008E0F76">
        <w:t xml:space="preserve"> </w:t>
      </w:r>
      <w:r>
        <w:tab/>
        <w:t xml:space="preserve">These </w:t>
      </w:r>
      <w:r w:rsidRPr="000D7060">
        <w:t>organisations</w:t>
      </w:r>
      <w:r w:rsidRPr="008E0F76">
        <w:t xml:space="preserve"> include </w:t>
      </w:r>
      <w:r>
        <w:t xml:space="preserve">the </w:t>
      </w:r>
      <w:smartTag w:uri="urn:schemas-microsoft-com:office:smarttags" w:element="place">
        <w:smartTag w:uri="urn:schemas-microsoft-com:office:smarttags" w:element="City">
          <w:r w:rsidRPr="008E0F76">
            <w:t>Cocoa</w:t>
          </w:r>
        </w:smartTag>
      </w:smartTag>
      <w:r w:rsidRPr="008E0F76">
        <w:t xml:space="preserve"> and Coconut Institute, </w:t>
      </w:r>
      <w:r>
        <w:t xml:space="preserve">the </w:t>
      </w:r>
      <w:r w:rsidRPr="008E0F76">
        <w:t xml:space="preserve">Coffee Industry Corporation, </w:t>
      </w:r>
      <w:r>
        <w:t xml:space="preserve">the </w:t>
      </w:r>
      <w:r w:rsidRPr="008E0F76">
        <w:t xml:space="preserve">Fresh Produce Development Agency, </w:t>
      </w:r>
      <w:r>
        <w:t xml:space="preserve">the </w:t>
      </w:r>
      <w:r w:rsidRPr="008E0F76">
        <w:t xml:space="preserve">National Agricultural Research Institute, </w:t>
      </w:r>
      <w:r>
        <w:t xml:space="preserve">the </w:t>
      </w:r>
      <w:r w:rsidRPr="008E0F76">
        <w:t>Oil Palm Industry Corporation</w:t>
      </w:r>
      <w:r>
        <w:t xml:space="preserve"> and the</w:t>
      </w:r>
      <w:r w:rsidRPr="008E0F76">
        <w:t xml:space="preserve"> Oil Palm Research Association.</w:t>
      </w:r>
    </w:p>
  </w:footnote>
  <w:footnote w:id="32">
    <w:p w:rsidR="003A7686" w:rsidRPr="00C6181A" w:rsidRDefault="003A7686" w:rsidP="002A7D93">
      <w:pPr>
        <w:pStyle w:val="FootnoteText"/>
      </w:pPr>
      <w:r w:rsidRPr="002A7D93">
        <w:rPr>
          <w:rStyle w:val="FootnoteReference"/>
        </w:rPr>
        <w:footnoteRef/>
      </w:r>
      <w:r w:rsidRPr="00C6181A">
        <w:t xml:space="preserve"> </w:t>
      </w:r>
      <w:r>
        <w:tab/>
      </w:r>
      <w:r w:rsidRPr="00C6181A">
        <w:t>Problems identified in the review include</w:t>
      </w:r>
      <w:r>
        <w:t>d</w:t>
      </w:r>
      <w:r w:rsidRPr="00C6181A">
        <w:t xml:space="preserve"> delays in implementing activities and the limited capacity of some </w:t>
      </w:r>
      <w:r w:rsidRPr="000D7060">
        <w:t xml:space="preserve">national agricultural research organisations </w:t>
      </w:r>
      <w:r w:rsidRPr="00C6181A">
        <w:t xml:space="preserve">to fully engage in </w:t>
      </w:r>
      <w:r>
        <w:t>facility</w:t>
      </w:r>
      <w:r w:rsidRPr="00C6181A">
        <w:t xml:space="preserve"> processes.</w:t>
      </w:r>
    </w:p>
  </w:footnote>
  <w:footnote w:id="33">
    <w:p w:rsidR="003A7686" w:rsidRPr="002A7D93" w:rsidRDefault="003A7686" w:rsidP="002A7D93">
      <w:pPr>
        <w:pStyle w:val="FootnoteText"/>
      </w:pPr>
      <w:r w:rsidRPr="002A7D93">
        <w:rPr>
          <w:rStyle w:val="FootnoteReference"/>
        </w:rPr>
        <w:footnoteRef/>
      </w:r>
      <w:r>
        <w:t xml:space="preserve"> </w:t>
      </w:r>
      <w:r>
        <w:tab/>
      </w:r>
      <w:r w:rsidRPr="002A7D93">
        <w:t>Total enrolm</w:t>
      </w:r>
      <w:r>
        <w:t>ents include recipients of scholarships, self-</w:t>
      </w:r>
      <w:r w:rsidRPr="002A7D93">
        <w:t xml:space="preserve">sponsored </w:t>
      </w:r>
      <w:r>
        <w:t xml:space="preserve">students </w:t>
      </w:r>
      <w:r w:rsidRPr="002A7D93">
        <w:t>and industry</w:t>
      </w:r>
      <w:r>
        <w:t>-</w:t>
      </w:r>
      <w:r w:rsidRPr="002A7D93">
        <w:t>sponsored</w:t>
      </w:r>
      <w:r>
        <w:t xml:space="preserve"> students.</w:t>
      </w:r>
    </w:p>
  </w:footnote>
  <w:footnote w:id="34">
    <w:p w:rsidR="003A7686" w:rsidRPr="00BE120F" w:rsidRDefault="003A7686" w:rsidP="006C2092">
      <w:pPr>
        <w:pStyle w:val="FootnoteText"/>
      </w:pPr>
      <w:r w:rsidRPr="002A7D93">
        <w:rPr>
          <w:rStyle w:val="FootnoteReference"/>
        </w:rPr>
        <w:footnoteRef/>
      </w:r>
      <w:r w:rsidRPr="00C6181A">
        <w:t xml:space="preserve"> </w:t>
      </w:r>
      <w:r>
        <w:tab/>
        <w:t>This</w:t>
      </w:r>
      <w:r w:rsidRPr="000D7060">
        <w:t xml:space="preserve"> </w:t>
      </w:r>
      <w:r>
        <w:t>a</w:t>
      </w:r>
      <w:r w:rsidRPr="000D7060">
        <w:t>uthority</w:t>
      </w:r>
      <w:r w:rsidRPr="00C6181A">
        <w:t xml:space="preserve"> is a committee chaired by </w:t>
      </w:r>
      <w:r>
        <w:t xml:space="preserve">the </w:t>
      </w:r>
      <w:r w:rsidRPr="00C6181A">
        <w:t xml:space="preserve">Secretary </w:t>
      </w:r>
      <w:r>
        <w:t xml:space="preserve">of the </w:t>
      </w:r>
      <w:r w:rsidRPr="000D7060">
        <w:t>Department of Provincial and Local</w:t>
      </w:r>
      <w:r>
        <w:t>-Level</w:t>
      </w:r>
      <w:r w:rsidRPr="000D7060">
        <w:t xml:space="preserve"> Government Affairs </w:t>
      </w:r>
      <w:r w:rsidRPr="00C6181A">
        <w:t>and consists of national representatives of key service sectors such as health, education and transport</w:t>
      </w:r>
      <w:r>
        <w:t>.</w:t>
      </w:r>
    </w:p>
  </w:footnote>
  <w:footnote w:id="35">
    <w:p w:rsidR="003A7686" w:rsidRPr="00C6181A" w:rsidRDefault="003A7686" w:rsidP="002A7D93">
      <w:pPr>
        <w:pStyle w:val="FootnoteText"/>
      </w:pPr>
      <w:r w:rsidRPr="002A7D93">
        <w:rPr>
          <w:rStyle w:val="FootnoteReference"/>
        </w:rPr>
        <w:footnoteRef/>
      </w:r>
      <w:r w:rsidRPr="00C6181A">
        <w:t xml:space="preserve"> </w:t>
      </w:r>
      <w:r>
        <w:tab/>
      </w:r>
      <w:proofErr w:type="gramStart"/>
      <w:r w:rsidRPr="00011299">
        <w:t>National Economic and Fiscal Commission</w:t>
      </w:r>
      <w:r>
        <w:t>, ‘</w:t>
      </w:r>
      <w:r w:rsidRPr="00C6181A">
        <w:t>200</w:t>
      </w:r>
      <w:r>
        <w:t>7 provincial expenditure report’.</w:t>
      </w:r>
      <w:proofErr w:type="gramEnd"/>
    </w:p>
  </w:footnote>
  <w:footnote w:id="36">
    <w:p w:rsidR="003A7686" w:rsidRPr="00C6181A" w:rsidRDefault="003A7686" w:rsidP="002A7D93">
      <w:pPr>
        <w:pStyle w:val="FootnoteText"/>
      </w:pPr>
      <w:r w:rsidRPr="002A7D93">
        <w:rPr>
          <w:rStyle w:val="FootnoteReference"/>
        </w:rPr>
        <w:footnoteRef/>
      </w:r>
      <w:r w:rsidRPr="00C6181A">
        <w:t xml:space="preserve"> </w:t>
      </w:r>
      <w:r>
        <w:tab/>
      </w:r>
      <w:proofErr w:type="gramStart"/>
      <w:r w:rsidRPr="000D7060">
        <w:t>Department of Provincial and Local</w:t>
      </w:r>
      <w:r>
        <w:t>-Level</w:t>
      </w:r>
      <w:r w:rsidRPr="000D7060">
        <w:t xml:space="preserve"> Government Affairs</w:t>
      </w:r>
      <w:r>
        <w:t>,</w:t>
      </w:r>
      <w:r w:rsidRPr="000D7060">
        <w:t xml:space="preserve"> </w:t>
      </w:r>
      <w:r>
        <w:t>‘</w:t>
      </w:r>
      <w:r w:rsidRPr="00C6181A">
        <w:t xml:space="preserve">Overview of </w:t>
      </w:r>
      <w:r w:rsidRPr="002A7D93">
        <w:t>provincial</w:t>
      </w:r>
      <w:r w:rsidRPr="00C6181A">
        <w:t xml:space="preserve"> coordinating and monitoring committees</w:t>
      </w:r>
      <w:r>
        <w:t>’</w:t>
      </w:r>
      <w:r w:rsidRPr="00C6181A">
        <w:t>, October 2008</w:t>
      </w:r>
      <w:r>
        <w:t>.</w:t>
      </w:r>
      <w:proofErr w:type="gramEnd"/>
    </w:p>
  </w:footnote>
  <w:footnote w:id="37">
    <w:p w:rsidR="003A7686" w:rsidRDefault="003A7686" w:rsidP="002A7D93">
      <w:pPr>
        <w:pStyle w:val="FootnoteText"/>
      </w:pPr>
      <w:r w:rsidRPr="002A7D93">
        <w:rPr>
          <w:rStyle w:val="FootnoteReference"/>
        </w:rPr>
        <w:footnoteRef/>
      </w:r>
      <w:r w:rsidRPr="005825C5">
        <w:t xml:space="preserve"> </w:t>
      </w:r>
      <w:r>
        <w:tab/>
      </w:r>
      <w:r w:rsidRPr="005825C5">
        <w:t xml:space="preserve">In 2008 </w:t>
      </w:r>
      <w:r>
        <w:t xml:space="preserve">the </w:t>
      </w:r>
      <w:r w:rsidRPr="00011299">
        <w:t>National Economic and Fiscal Commission</w:t>
      </w:r>
      <w:r w:rsidRPr="005825C5">
        <w:t xml:space="preserve"> continued to publish its annual ‘review of provincial expenditure’. This review details these expenditure patterns and continues to provide a strong point of dialogue with provinces, </w:t>
      </w:r>
      <w:r>
        <w:t xml:space="preserve">the </w:t>
      </w:r>
      <w:r w:rsidRPr="005825C5">
        <w:t>national government and civil society about the low quality of provincial expenditure on service delivery and MTDS goals.</w:t>
      </w:r>
    </w:p>
  </w:footnote>
  <w:footnote w:id="38">
    <w:p w:rsidR="003A7686" w:rsidRPr="006262E2" w:rsidRDefault="003A7686" w:rsidP="006C2092">
      <w:pPr>
        <w:pStyle w:val="FootnoteText"/>
      </w:pPr>
      <w:r w:rsidRPr="002A7D93">
        <w:rPr>
          <w:rStyle w:val="FootnoteReference"/>
        </w:rPr>
        <w:footnoteRef/>
      </w:r>
      <w:r w:rsidRPr="006262E2">
        <w:t xml:space="preserve"> </w:t>
      </w:r>
      <w:r>
        <w:tab/>
        <w:t xml:space="preserve">Office of Development Effectiveness, </w:t>
      </w:r>
      <w:r w:rsidRPr="00F24F5D">
        <w:rPr>
          <w:i/>
        </w:rPr>
        <w:t>I</w:t>
      </w:r>
      <w:r>
        <w:rPr>
          <w:i/>
        </w:rPr>
        <w:t xml:space="preserve">mproving the provision of basic </w:t>
      </w:r>
      <w:r w:rsidRPr="00F24F5D">
        <w:rPr>
          <w:i/>
        </w:rPr>
        <w:t>education services to the poor in</w:t>
      </w:r>
      <w:r>
        <w:rPr>
          <w:i/>
        </w:rPr>
        <w:t xml:space="preserve"> </w:t>
      </w:r>
      <w:smartTag w:uri="urn:schemas-microsoft-com:office:smarttags" w:element="country-region">
        <w:r w:rsidRPr="00F24F5D">
          <w:rPr>
            <w:i/>
          </w:rPr>
          <w:t>Papua New Guinea</w:t>
        </w:r>
      </w:smartTag>
      <w:r w:rsidRPr="00F24F5D">
        <w:rPr>
          <w:i/>
        </w:rPr>
        <w:t>: a</w:t>
      </w:r>
      <w:r>
        <w:rPr>
          <w:i/>
        </w:rPr>
        <w:t> </w:t>
      </w:r>
      <w:r w:rsidRPr="00F24F5D">
        <w:rPr>
          <w:i/>
        </w:rPr>
        <w:t>case study</w:t>
      </w:r>
      <w:r w:rsidRPr="006262E2">
        <w:t xml:space="preserve">, </w:t>
      </w:r>
      <w:r>
        <w:t xml:space="preserve">Australian Agency for International Development, </w:t>
      </w:r>
      <w:smartTag w:uri="urn:schemas-microsoft-com:office:smarttags" w:element="City">
        <w:smartTag w:uri="urn:schemas-microsoft-com:office:smarttags" w:element="place">
          <w:r>
            <w:t>Canberra</w:t>
          </w:r>
        </w:smartTag>
      </w:smartTag>
      <w:r>
        <w:t>,</w:t>
      </w:r>
      <w:r w:rsidRPr="006262E2">
        <w:t xml:space="preserve"> 2009</w:t>
      </w:r>
      <w:r>
        <w:t>, p. x.</w:t>
      </w:r>
    </w:p>
  </w:footnote>
  <w:footnote w:id="39">
    <w:p w:rsidR="003A7686" w:rsidRDefault="003A7686" w:rsidP="002A7D93">
      <w:pPr>
        <w:pStyle w:val="FootnoteText"/>
      </w:pPr>
      <w:r w:rsidRPr="002A7D93">
        <w:rPr>
          <w:rStyle w:val="FootnoteReference"/>
        </w:rPr>
        <w:footnoteRef/>
      </w:r>
      <w:r w:rsidRPr="004774BF">
        <w:t xml:space="preserve"> </w:t>
      </w:r>
      <w:r>
        <w:tab/>
      </w:r>
      <w:proofErr w:type="spellStart"/>
      <w:proofErr w:type="gramStart"/>
      <w:r w:rsidRPr="004774BF">
        <w:t>AusAID</w:t>
      </w:r>
      <w:proofErr w:type="spellEnd"/>
      <w:r w:rsidRPr="004774BF">
        <w:t xml:space="preserve"> assessment based on </w:t>
      </w:r>
      <w:r>
        <w:t xml:space="preserve">the </w:t>
      </w:r>
      <w:r w:rsidRPr="004774BF">
        <w:t>unit cost of education study</w:t>
      </w:r>
      <w:r>
        <w:t>.</w:t>
      </w:r>
      <w:proofErr w:type="gramEnd"/>
    </w:p>
  </w:footnote>
  <w:footnote w:id="40">
    <w:p w:rsidR="003A7686" w:rsidRDefault="003A7686" w:rsidP="002A7D93">
      <w:pPr>
        <w:pStyle w:val="FootnoteText"/>
      </w:pPr>
      <w:r w:rsidRPr="002A7D93">
        <w:rPr>
          <w:rStyle w:val="FootnoteReference"/>
        </w:rPr>
        <w:footnoteRef/>
      </w:r>
      <w:r w:rsidRPr="00C6181A">
        <w:t xml:space="preserve"> </w:t>
      </w:r>
      <w:r>
        <w:tab/>
      </w:r>
      <w:r w:rsidRPr="00011299">
        <w:t>National Economic and Fiscal Commission</w:t>
      </w:r>
      <w:r w:rsidRPr="00C6181A">
        <w:t xml:space="preserve">, </w:t>
      </w:r>
      <w:r>
        <w:t>‘</w:t>
      </w:r>
      <w:r w:rsidRPr="00C6181A">
        <w:t>Closing the gap: review of all expenditure in 2007 by provincial governments</w:t>
      </w:r>
      <w:r>
        <w:t>’</w:t>
      </w:r>
      <w:r w:rsidRPr="00C6181A">
        <w:t>, 2009</w:t>
      </w:r>
      <w:r>
        <w:t>.</w:t>
      </w:r>
    </w:p>
  </w:footnote>
  <w:footnote w:id="41">
    <w:p w:rsidR="003A7686" w:rsidRPr="002A7D93" w:rsidRDefault="003A7686" w:rsidP="002A7D93">
      <w:pPr>
        <w:pStyle w:val="FootnoteText"/>
      </w:pPr>
      <w:r>
        <w:rPr>
          <w:rStyle w:val="FootnoteReference"/>
        </w:rPr>
        <w:footnoteRef/>
      </w:r>
      <w:r>
        <w:t xml:space="preserve"> </w:t>
      </w:r>
      <w:r>
        <w:tab/>
        <w:t xml:space="preserve">Office of Development Effectiveness, </w:t>
      </w:r>
      <w:r w:rsidRPr="003B6BEE">
        <w:rPr>
          <w:i/>
        </w:rPr>
        <w:t xml:space="preserve">Australian aid to health service delivery in </w:t>
      </w:r>
      <w:smartTag w:uri="urn:schemas-microsoft-com:office:smarttags" w:element="country-region">
        <w:r w:rsidRPr="003B6BEE">
          <w:rPr>
            <w:i/>
          </w:rPr>
          <w:t>Papua New Guinea</w:t>
        </w:r>
      </w:smartTag>
      <w:r w:rsidRPr="003B6BEE">
        <w:rPr>
          <w:i/>
        </w:rPr>
        <w:t xml:space="preserve">, </w:t>
      </w:r>
      <w:smartTag w:uri="urn:schemas-microsoft-com:office:smarttags" w:element="country-region">
        <w:r w:rsidRPr="003B6BEE">
          <w:rPr>
            <w:i/>
          </w:rPr>
          <w:t>Solomon Islands</w:t>
        </w:r>
      </w:smartTag>
      <w:r w:rsidRPr="003B6BEE">
        <w:rPr>
          <w:i/>
        </w:rPr>
        <w:t xml:space="preserve"> and </w:t>
      </w:r>
      <w:smartTag w:uri="urn:schemas-microsoft-com:office:smarttags" w:element="country-region">
        <w:r w:rsidRPr="003B6BEE">
          <w:rPr>
            <w:i/>
          </w:rPr>
          <w:t>Vanuatu</w:t>
        </w:r>
      </w:smartTag>
      <w:r w:rsidRPr="003B6BEE">
        <w:rPr>
          <w:i/>
        </w:rPr>
        <w:t>: evaluation report</w:t>
      </w:r>
      <w:r>
        <w:t xml:space="preserve">, Australian Agency for International Development, </w:t>
      </w:r>
      <w:smartTag w:uri="urn:schemas-microsoft-com:office:smarttags" w:element="place">
        <w:smartTag w:uri="urn:schemas-microsoft-com:office:smarttags" w:element="City">
          <w:r>
            <w:t>Canberra</w:t>
          </w:r>
        </w:smartTag>
      </w:smartTag>
      <w:r>
        <w:t>,</w:t>
      </w:r>
      <w:r w:rsidRPr="002A7D93">
        <w:t xml:space="preserve"> </w:t>
      </w:r>
      <w:r>
        <w:t>June 2009.</w:t>
      </w:r>
    </w:p>
  </w:footnote>
  <w:footnote w:id="42">
    <w:p w:rsidR="003A7686" w:rsidRPr="00C6181A" w:rsidRDefault="003A7686" w:rsidP="002A7D93">
      <w:pPr>
        <w:pStyle w:val="FootnoteText"/>
      </w:pPr>
      <w:r w:rsidRPr="002A7D93">
        <w:rPr>
          <w:rStyle w:val="FootnoteReference"/>
        </w:rPr>
        <w:footnoteRef/>
      </w:r>
      <w:r w:rsidRPr="00C6181A">
        <w:t xml:space="preserve"> </w:t>
      </w:r>
      <w:r>
        <w:tab/>
      </w:r>
      <w:r w:rsidRPr="00C6181A">
        <w:t xml:space="preserve">Thirteen </w:t>
      </w:r>
      <w:r w:rsidRPr="002A7D93">
        <w:t>positions</w:t>
      </w:r>
      <w:r w:rsidRPr="00C6181A">
        <w:t xml:space="preserve"> </w:t>
      </w:r>
      <w:r>
        <w:t>were</w:t>
      </w:r>
      <w:r w:rsidRPr="00C6181A">
        <w:t xml:space="preserve"> absorbed into the </w:t>
      </w:r>
      <w:r>
        <w:t>National Department of Health</w:t>
      </w:r>
      <w:r w:rsidRPr="00C6181A">
        <w:t xml:space="preserve"> in 2008, with the remaining nine to be absorbed in the restructure during 2009.</w:t>
      </w:r>
    </w:p>
  </w:footnote>
  <w:footnote w:id="43">
    <w:p w:rsidR="003A7686" w:rsidRPr="00487F9E" w:rsidRDefault="003A7686" w:rsidP="002A7D93">
      <w:pPr>
        <w:pStyle w:val="FootnoteText"/>
      </w:pPr>
      <w:r w:rsidRPr="002A7D93">
        <w:rPr>
          <w:rStyle w:val="FootnoteReference"/>
        </w:rPr>
        <w:footnoteRef/>
      </w:r>
      <w:r w:rsidRPr="00487F9E">
        <w:t xml:space="preserve"> </w:t>
      </w:r>
      <w:r>
        <w:tab/>
      </w:r>
      <w:proofErr w:type="gramStart"/>
      <w:r w:rsidRPr="00487F9E">
        <w:t xml:space="preserve">Government of PNG, </w:t>
      </w:r>
      <w:r w:rsidRPr="002A7D93">
        <w:t>Law</w:t>
      </w:r>
      <w:r w:rsidRPr="00487F9E">
        <w:t xml:space="preserve"> and Justice Sector, </w:t>
      </w:r>
      <w:r>
        <w:t>‘</w:t>
      </w:r>
      <w:r w:rsidRPr="00487F9E">
        <w:t>Annual performance report 2008</w:t>
      </w:r>
      <w:r>
        <w:t>’</w:t>
      </w:r>
      <w:r w:rsidRPr="00487F9E">
        <w:t xml:space="preserve"> (forthcoming)</w:t>
      </w:r>
      <w:r>
        <w:t>.</w:t>
      </w:r>
      <w:proofErr w:type="gramEnd"/>
    </w:p>
  </w:footnote>
  <w:footnote w:id="44">
    <w:p w:rsidR="003A7686" w:rsidRDefault="003A7686" w:rsidP="009621DB">
      <w:pPr>
        <w:pStyle w:val="FootnoteText"/>
      </w:pPr>
      <w:r w:rsidRPr="009621DB">
        <w:rPr>
          <w:rStyle w:val="FootnoteReference"/>
        </w:rPr>
        <w:footnoteRef/>
      </w:r>
      <w:r w:rsidRPr="00C6181A">
        <w:t xml:space="preserve"> </w:t>
      </w:r>
      <w:r>
        <w:tab/>
        <w:t xml:space="preserve">The </w:t>
      </w:r>
      <w:r w:rsidRPr="0089030A">
        <w:t xml:space="preserve">Provincial Monitoring, </w:t>
      </w:r>
      <w:smartTag w:uri="urn:schemas-microsoft-com:office:smarttags" w:element="PersonName">
        <w:r w:rsidRPr="0089030A">
          <w:t>Evaluation</w:t>
        </w:r>
      </w:smartTag>
      <w:r w:rsidRPr="0089030A">
        <w:t xml:space="preserve"> and Surveillance Team</w:t>
      </w:r>
      <w:r>
        <w:t xml:space="preserve"> is</w:t>
      </w:r>
      <w:r w:rsidRPr="0089030A">
        <w:t xml:space="preserve"> a technical committee comprised of provincial laboratory technicians, </w:t>
      </w:r>
      <w:r w:rsidRPr="009621DB">
        <w:t>hospital</w:t>
      </w:r>
      <w:r w:rsidRPr="0089030A">
        <w:t xml:space="preserve"> managers, doctors, disease control officers and provincial HIV response coordinators whose function is to analyse provincial data in the provinces.</w:t>
      </w:r>
    </w:p>
  </w:footnote>
  <w:footnote w:id="45">
    <w:p w:rsidR="003A7686" w:rsidRPr="00C21489" w:rsidRDefault="003A7686" w:rsidP="00884617">
      <w:pPr>
        <w:pStyle w:val="FootnoteText"/>
      </w:pPr>
      <w:r w:rsidRPr="009621DB">
        <w:rPr>
          <w:rStyle w:val="FootnoteReference"/>
        </w:rPr>
        <w:footnoteRef/>
      </w:r>
      <w:r w:rsidRPr="00C21489">
        <w:t xml:space="preserve"> </w:t>
      </w:r>
      <w:r>
        <w:tab/>
      </w:r>
      <w:proofErr w:type="gramStart"/>
      <w:r>
        <w:t xml:space="preserve">The </w:t>
      </w:r>
      <w:r w:rsidRPr="00C21489">
        <w:t xml:space="preserve">Institute for Eye </w:t>
      </w:r>
      <w:r w:rsidRPr="009621DB">
        <w:t>Research</w:t>
      </w:r>
      <w:r>
        <w:t xml:space="preserve"> and</w:t>
      </w:r>
      <w:r w:rsidRPr="00C21489">
        <w:t xml:space="preserve"> </w:t>
      </w:r>
      <w:r>
        <w:t xml:space="preserve">the </w:t>
      </w:r>
      <w:r w:rsidRPr="00C21489">
        <w:t xml:space="preserve">International Centre of </w:t>
      </w:r>
      <w:proofErr w:type="spellStart"/>
      <w:r w:rsidRPr="00C21489">
        <w:t>Eyecare</w:t>
      </w:r>
      <w:proofErr w:type="spellEnd"/>
      <w:r w:rsidRPr="00C21489">
        <w:t xml:space="preserve"> Education</w:t>
      </w:r>
      <w:r>
        <w:t>.</w:t>
      </w:r>
      <w:proofErr w:type="gramEnd"/>
    </w:p>
  </w:footnote>
  <w:footnote w:id="46">
    <w:p w:rsidR="003A7686" w:rsidRPr="00AA1B01" w:rsidRDefault="003A7686" w:rsidP="009B5487">
      <w:pPr>
        <w:pStyle w:val="FootnoteText"/>
      </w:pPr>
      <w:r w:rsidRPr="009B5487">
        <w:rPr>
          <w:rStyle w:val="FootnoteReference"/>
        </w:rPr>
        <w:footnoteRef/>
      </w:r>
      <w:r w:rsidRPr="00AA1B01">
        <w:t xml:space="preserve"> </w:t>
      </w:r>
      <w:r>
        <w:tab/>
        <w:t xml:space="preserve">OECD, </w:t>
      </w:r>
      <w:r w:rsidRPr="006B702E">
        <w:rPr>
          <w:i/>
        </w:rPr>
        <w:t xml:space="preserve">2008 survey on monitoring the </w:t>
      </w:r>
      <w:smartTag w:uri="urn:schemas-microsoft-com:office:smarttags" w:element="City">
        <w:r w:rsidRPr="006B702E">
          <w:rPr>
            <w:i/>
          </w:rPr>
          <w:t>Paris</w:t>
        </w:r>
      </w:smartTag>
      <w:r w:rsidRPr="006B702E">
        <w:rPr>
          <w:i/>
        </w:rPr>
        <w:t xml:space="preserve"> Declaration: making aid more effective by 2010</w:t>
      </w:r>
      <w:r>
        <w:t xml:space="preserve">, Organisation for Economic Co-operation and Development, </w:t>
      </w:r>
      <w:smartTag w:uri="urn:schemas-microsoft-com:office:smarttags" w:element="City">
        <w:smartTag w:uri="urn:schemas-microsoft-com:office:smarttags" w:element="place">
          <w:r>
            <w:t>Paris</w:t>
          </w:r>
        </w:smartTag>
      </w:smartTag>
      <w:r>
        <w:t>, 2008.</w:t>
      </w:r>
    </w:p>
  </w:footnote>
  <w:footnote w:id="47">
    <w:p w:rsidR="003A7686" w:rsidRPr="00C6181A" w:rsidRDefault="003A7686" w:rsidP="009B5487">
      <w:pPr>
        <w:pStyle w:val="FootnoteText"/>
      </w:pPr>
      <w:r w:rsidRPr="009B5487">
        <w:rPr>
          <w:rStyle w:val="FootnoteReference"/>
        </w:rPr>
        <w:footnoteRef/>
      </w:r>
      <w:r w:rsidRPr="00C6181A">
        <w:t xml:space="preserve"> </w:t>
      </w:r>
      <w:r>
        <w:tab/>
      </w:r>
      <w:proofErr w:type="spellStart"/>
      <w:r>
        <w:t>AusAID</w:t>
      </w:r>
      <w:proofErr w:type="spellEnd"/>
      <w:r>
        <w:t>, ‘</w:t>
      </w:r>
      <w:r w:rsidRPr="00C6181A">
        <w:t xml:space="preserve">PNG country strategy: information on capacity building frameworks by </w:t>
      </w:r>
      <w:r w:rsidRPr="009B5487">
        <w:t>sector</w:t>
      </w:r>
      <w:r w:rsidRPr="00C6181A">
        <w:t xml:space="preserve"> 2007</w:t>
      </w:r>
      <w:r>
        <w:t>–</w:t>
      </w:r>
      <w:r w:rsidRPr="00C6181A">
        <w:t>2008</w:t>
      </w:r>
      <w:r>
        <w:t>’, 2008.</w:t>
      </w:r>
    </w:p>
  </w:footnote>
  <w:footnote w:id="48">
    <w:p w:rsidR="003A7686" w:rsidRPr="00C6181A" w:rsidRDefault="003A7686" w:rsidP="009B5487">
      <w:pPr>
        <w:pStyle w:val="FootnoteText"/>
      </w:pPr>
      <w:r w:rsidRPr="009B5487">
        <w:rPr>
          <w:rStyle w:val="FootnoteReference"/>
        </w:rPr>
        <w:footnoteRef/>
      </w:r>
      <w:r w:rsidRPr="00C6181A">
        <w:t xml:space="preserve"> </w:t>
      </w:r>
      <w:r>
        <w:tab/>
      </w:r>
      <w:r w:rsidRPr="00C6181A">
        <w:t xml:space="preserve">Under </w:t>
      </w:r>
      <w:r>
        <w:t xml:space="preserve">the </w:t>
      </w:r>
      <w:r w:rsidRPr="000D7060">
        <w:t>Advisory Support Facility</w:t>
      </w:r>
      <w:r w:rsidRPr="00C6181A">
        <w:t xml:space="preserve"> </w:t>
      </w:r>
      <w:r>
        <w:t>Phase 2</w:t>
      </w:r>
      <w:r w:rsidRPr="00C6181A">
        <w:t>, individual ministries are asked to identify their own capacity</w:t>
      </w:r>
      <w:r>
        <w:t>-</w:t>
      </w:r>
      <w:r w:rsidRPr="00C6181A">
        <w:t>building needs and develop professional proposals for consideration by a facility management group</w:t>
      </w:r>
      <w:r>
        <w:t xml:space="preserve"> led by the PNG Government</w:t>
      </w:r>
      <w:r w:rsidRPr="00C6181A">
        <w:t>.</w:t>
      </w:r>
    </w:p>
  </w:footnote>
  <w:footnote w:id="49">
    <w:p w:rsidR="003A7686" w:rsidRPr="00C6181A" w:rsidRDefault="003A7686" w:rsidP="009B5487">
      <w:pPr>
        <w:pStyle w:val="FootnoteText"/>
      </w:pPr>
      <w:r w:rsidRPr="009B5487">
        <w:rPr>
          <w:rStyle w:val="FootnoteReference"/>
        </w:rPr>
        <w:footnoteRef/>
      </w:r>
      <w:r w:rsidRPr="00C6181A">
        <w:t xml:space="preserve"> </w:t>
      </w:r>
      <w:r>
        <w:tab/>
      </w:r>
      <w:proofErr w:type="spellStart"/>
      <w:r>
        <w:t>AusAID</w:t>
      </w:r>
      <w:proofErr w:type="spellEnd"/>
      <w:r>
        <w:t>, ‘</w:t>
      </w:r>
      <w:r w:rsidRPr="00C6181A">
        <w:t>PNG country strategy: information on capacity building frameworks by sector 2007</w:t>
      </w:r>
      <w:r>
        <w:t>–</w:t>
      </w:r>
      <w:r w:rsidRPr="00C6181A">
        <w:t>2008</w:t>
      </w:r>
      <w:r>
        <w:t>’.</w:t>
      </w:r>
    </w:p>
  </w:footnote>
  <w:footnote w:id="50">
    <w:p w:rsidR="003A7686" w:rsidRPr="009D7FD2" w:rsidRDefault="003A7686" w:rsidP="009B5487">
      <w:pPr>
        <w:pStyle w:val="FootnoteText"/>
      </w:pPr>
      <w:r w:rsidRPr="009B5487">
        <w:rPr>
          <w:rStyle w:val="FootnoteReference"/>
        </w:rPr>
        <w:footnoteRef/>
      </w:r>
      <w:r w:rsidRPr="009D7FD2">
        <w:t xml:space="preserve"> </w:t>
      </w:r>
      <w:r>
        <w:tab/>
      </w:r>
      <w:proofErr w:type="gramStart"/>
      <w:r>
        <w:t>Sub-</w:t>
      </w:r>
      <w:r w:rsidRPr="00011299">
        <w:t>National Strategy</w:t>
      </w:r>
      <w:r>
        <w:t>,</w:t>
      </w:r>
      <w:r w:rsidRPr="009D7FD2">
        <w:t xml:space="preserve"> </w:t>
      </w:r>
      <w:r>
        <w:t>‘M</w:t>
      </w:r>
      <w:r w:rsidRPr="009D7FD2">
        <w:t>id</w:t>
      </w:r>
      <w:r>
        <w:t>-</w:t>
      </w:r>
      <w:r w:rsidRPr="009D7FD2">
        <w:t>term review report</w:t>
      </w:r>
      <w:r>
        <w:t>’</w:t>
      </w:r>
      <w:r w:rsidRPr="009D7FD2">
        <w:t>, 2009</w:t>
      </w:r>
      <w:r>
        <w:t>.</w:t>
      </w:r>
      <w:proofErr w:type="gramEnd"/>
    </w:p>
  </w:footnote>
  <w:footnote w:id="51">
    <w:p w:rsidR="003A7686" w:rsidRPr="00C6181A" w:rsidRDefault="003A7686" w:rsidP="009B5487">
      <w:pPr>
        <w:pStyle w:val="FootnoteText"/>
      </w:pPr>
      <w:r w:rsidRPr="009B5487">
        <w:rPr>
          <w:rStyle w:val="FootnoteReference"/>
        </w:rPr>
        <w:footnoteRef/>
      </w:r>
      <w:r w:rsidRPr="00C6181A">
        <w:t xml:space="preserve"> </w:t>
      </w:r>
      <w:r>
        <w:tab/>
      </w:r>
      <w:proofErr w:type="spellStart"/>
      <w:r>
        <w:t>AusAID</w:t>
      </w:r>
      <w:proofErr w:type="spellEnd"/>
      <w:r>
        <w:t xml:space="preserve">, </w:t>
      </w:r>
      <w:r w:rsidRPr="00C6181A">
        <w:t>PNG country strategy: information on capacity building frameworks by sector 2007</w:t>
      </w:r>
      <w:r>
        <w:t>–</w:t>
      </w:r>
      <w:r w:rsidRPr="00C6181A">
        <w:t>2008</w:t>
      </w:r>
      <w:r>
        <w:t>.</w:t>
      </w:r>
    </w:p>
  </w:footnote>
  <w:footnote w:id="52">
    <w:p w:rsidR="003A7686" w:rsidRDefault="003A7686" w:rsidP="009B5487">
      <w:pPr>
        <w:pStyle w:val="FootnoteText"/>
      </w:pPr>
      <w:r w:rsidRPr="009B5487">
        <w:rPr>
          <w:rStyle w:val="FootnoteReference"/>
        </w:rPr>
        <w:footnoteRef/>
      </w:r>
      <w:r w:rsidRPr="00C6181A">
        <w:t xml:space="preserve"> </w:t>
      </w:r>
      <w:r>
        <w:tab/>
      </w:r>
      <w:smartTag w:uri="urn:schemas-microsoft-com:office:smarttags" w:element="PersonName">
        <w:r w:rsidRPr="00C6181A">
          <w:t>Evaluation</w:t>
        </w:r>
      </w:smartTag>
      <w:r w:rsidRPr="00C6181A">
        <w:t xml:space="preserve"> of </w:t>
      </w:r>
      <w:r>
        <w:t>M</w:t>
      </w:r>
      <w:r w:rsidRPr="00C6181A">
        <w:t>aking a Difference Program</w:t>
      </w:r>
      <w:r>
        <w:t>—</w:t>
      </w:r>
      <w:r w:rsidRPr="00C6181A">
        <w:t xml:space="preserve">Part 2, </w:t>
      </w:r>
      <w:smartTag w:uri="urn:schemas-microsoft-com:office:smarttags" w:element="place">
        <w:smartTag w:uri="urn:schemas-microsoft-com:office:smarttags" w:element="country-region">
          <w:r w:rsidRPr="00C6181A">
            <w:t>Papua New Guinea</w:t>
          </w:r>
        </w:smartTag>
      </w:smartTag>
      <w:r w:rsidRPr="00C6181A">
        <w:t>, Review 2008</w:t>
      </w:r>
      <w:r>
        <w:t>.</w:t>
      </w:r>
    </w:p>
  </w:footnote>
  <w:footnote w:id="53">
    <w:p w:rsidR="003A7686" w:rsidRDefault="003A7686" w:rsidP="009B5487">
      <w:pPr>
        <w:pStyle w:val="FootnoteText"/>
      </w:pPr>
      <w:r w:rsidRPr="009B5487">
        <w:rPr>
          <w:rStyle w:val="FootnoteReference"/>
        </w:rPr>
        <w:footnoteRef/>
      </w:r>
      <w:r>
        <w:t xml:space="preserve"> </w:t>
      </w:r>
      <w:r>
        <w:tab/>
        <w:t>OECD</w:t>
      </w:r>
      <w:r w:rsidRPr="00946BA0">
        <w:t xml:space="preserve">, </w:t>
      </w:r>
      <w:r>
        <w:t>p. 39.</w:t>
      </w:r>
    </w:p>
  </w:footnote>
  <w:footnote w:id="54">
    <w:p w:rsidR="003A7686" w:rsidRPr="00975CF3" w:rsidRDefault="003A7686" w:rsidP="009B5487">
      <w:pPr>
        <w:pStyle w:val="FootnoteText"/>
        <w:rPr>
          <w:spacing w:val="-2"/>
        </w:rPr>
      </w:pPr>
      <w:r w:rsidRPr="009B5487">
        <w:rPr>
          <w:rStyle w:val="FootnoteReference"/>
        </w:rPr>
        <w:footnoteRef/>
      </w:r>
      <w:r w:rsidRPr="00134E00">
        <w:t xml:space="preserve"> </w:t>
      </w:r>
      <w:r>
        <w:tab/>
      </w:r>
      <w:r w:rsidRPr="00975CF3">
        <w:rPr>
          <w:spacing w:val="-2"/>
        </w:rPr>
        <w:t>The HIV and AIDS partnerships include Scarlet Alliance and Friends Frangipani</w:t>
      </w:r>
      <w:r>
        <w:rPr>
          <w:spacing w:val="-2"/>
        </w:rPr>
        <w:t>,</w:t>
      </w:r>
      <w:r w:rsidRPr="00975CF3">
        <w:rPr>
          <w:spacing w:val="-2"/>
        </w:rPr>
        <w:t xml:space="preserve"> and the National Association of People Living with HIV and AIDS and </w:t>
      </w:r>
      <w:proofErr w:type="spellStart"/>
      <w:r w:rsidRPr="00975CF3">
        <w:rPr>
          <w:spacing w:val="-2"/>
        </w:rPr>
        <w:t>Igat</w:t>
      </w:r>
      <w:proofErr w:type="spellEnd"/>
      <w:r w:rsidRPr="00975CF3">
        <w:rPr>
          <w:spacing w:val="-2"/>
        </w:rPr>
        <w:t xml:space="preserve"> Hope; the </w:t>
      </w:r>
      <w:r>
        <w:rPr>
          <w:spacing w:val="-2"/>
          <w:lang w:val="en"/>
        </w:rPr>
        <w:t>PNG–</w:t>
      </w:r>
      <w:r w:rsidRPr="00975CF3">
        <w:rPr>
          <w:spacing w:val="-2"/>
          <w:lang w:val="en"/>
        </w:rPr>
        <w:t>Australia Sexual Health Improvement Program</w:t>
      </w:r>
      <w:r w:rsidRPr="00975CF3">
        <w:rPr>
          <w:spacing w:val="-2"/>
        </w:rPr>
        <w:t xml:space="preserve"> supported Australian NGOs to partner with PNG counterpart organisations and provincial governments to build capacity to deliver services related to sexually transmitted infections.</w:t>
      </w:r>
    </w:p>
  </w:footnote>
  <w:footnote w:id="55">
    <w:p w:rsidR="003A7686" w:rsidRPr="00AD7267" w:rsidRDefault="003A7686" w:rsidP="009B5487">
      <w:pPr>
        <w:pStyle w:val="FootnoteText"/>
      </w:pPr>
      <w:r w:rsidRPr="009B5487">
        <w:rPr>
          <w:rStyle w:val="FootnoteReference"/>
        </w:rPr>
        <w:footnoteRef/>
      </w:r>
      <w:r w:rsidRPr="00AD7267">
        <w:t xml:space="preserve"> </w:t>
      </w:r>
      <w:r>
        <w:tab/>
      </w:r>
      <w:r w:rsidRPr="00AD7267">
        <w:t>OECD</w:t>
      </w:r>
      <w:r>
        <w:t>,</w:t>
      </w:r>
      <w:r w:rsidRPr="00AD7267">
        <w:t xml:space="preserve"> </w:t>
      </w:r>
      <w:smartTag w:uri="urn:schemas-microsoft-com:office:smarttags" w:element="country-region">
        <w:r w:rsidRPr="008B40E5">
          <w:rPr>
            <w:i/>
          </w:rPr>
          <w:t>Australia</w:t>
        </w:r>
      </w:smartTag>
      <w:r w:rsidRPr="008B40E5">
        <w:rPr>
          <w:i/>
        </w:rPr>
        <w:t>: Development Assistance Committee</w:t>
      </w:r>
      <w:r w:rsidRPr="00AD203E">
        <w:rPr>
          <w:i/>
        </w:rPr>
        <w:t xml:space="preserve"> </w:t>
      </w:r>
      <w:r>
        <w:rPr>
          <w:i/>
        </w:rPr>
        <w:t xml:space="preserve">(DAC) </w:t>
      </w:r>
      <w:r w:rsidRPr="00AD203E">
        <w:rPr>
          <w:i/>
        </w:rPr>
        <w:t>peer review</w:t>
      </w:r>
      <w:r>
        <w:t xml:space="preserve">, Organisation for Economic Co-operation and Development, </w:t>
      </w:r>
      <w:smartTag w:uri="urn:schemas-microsoft-com:office:smarttags" w:element="place">
        <w:smartTag w:uri="urn:schemas-microsoft-com:office:smarttags" w:element="City">
          <w:r>
            <w:t>Paris</w:t>
          </w:r>
        </w:smartTag>
      </w:smartTag>
      <w:r>
        <w:t>,</w:t>
      </w:r>
      <w:r w:rsidRPr="00AD7267">
        <w:t xml:space="preserve"> 2009</w:t>
      </w:r>
      <w:r>
        <w:t>.</w:t>
      </w:r>
    </w:p>
  </w:footnote>
  <w:footnote w:id="56">
    <w:p w:rsidR="003A7686" w:rsidRPr="00AF55BE" w:rsidRDefault="003A7686" w:rsidP="009B5487">
      <w:pPr>
        <w:pStyle w:val="FootnoteText"/>
      </w:pPr>
      <w:r w:rsidRPr="009B5487">
        <w:rPr>
          <w:rStyle w:val="FootnoteReference"/>
        </w:rPr>
        <w:footnoteRef/>
      </w:r>
      <w:r w:rsidRPr="00AF55BE">
        <w:t xml:space="preserve"> </w:t>
      </w:r>
      <w:r>
        <w:tab/>
      </w:r>
      <w:r w:rsidRPr="000D7060">
        <w:t>Advisory Support Facility</w:t>
      </w:r>
      <w:r>
        <w:t>,</w:t>
      </w:r>
      <w:r w:rsidRPr="00AF55BE">
        <w:t xml:space="preserve"> </w:t>
      </w:r>
      <w:r>
        <w:t>‘</w:t>
      </w:r>
      <w:r w:rsidRPr="009B5487">
        <w:t>Six</w:t>
      </w:r>
      <w:r w:rsidRPr="00AF55BE">
        <w:t>-monthly re</w:t>
      </w:r>
      <w:r>
        <w:t>port’, June and December 2008.</w:t>
      </w:r>
    </w:p>
  </w:footnote>
  <w:footnote w:id="57">
    <w:p w:rsidR="003A7686" w:rsidRPr="009D50DD" w:rsidRDefault="003A7686" w:rsidP="009B5487">
      <w:pPr>
        <w:pStyle w:val="FootnoteText"/>
      </w:pPr>
      <w:r w:rsidRPr="009B5487">
        <w:rPr>
          <w:rStyle w:val="FootnoteReference"/>
        </w:rPr>
        <w:footnoteRef/>
      </w:r>
      <w:r w:rsidRPr="009D50DD">
        <w:t xml:space="preserve"> </w:t>
      </w:r>
      <w:r>
        <w:tab/>
      </w:r>
      <w:proofErr w:type="gramStart"/>
      <w:r w:rsidRPr="009D50DD">
        <w:t xml:space="preserve">Relevance, effectiveness, </w:t>
      </w:r>
      <w:r w:rsidRPr="009B5487">
        <w:t>efficiency</w:t>
      </w:r>
      <w:r w:rsidRPr="009D50DD">
        <w:t>, sustainability, impact, analysis and learning, gender equality</w:t>
      </w:r>
      <w:r>
        <w:t>,</w:t>
      </w:r>
      <w:r w:rsidRPr="009D50DD">
        <w:t xml:space="preserve"> and monitoring and evaluation</w:t>
      </w:r>
      <w:r>
        <w:t>.</w:t>
      </w:r>
      <w:proofErr w:type="gramEnd"/>
    </w:p>
  </w:footnote>
  <w:footnote w:id="58">
    <w:p w:rsidR="003A7686" w:rsidRPr="000B111A" w:rsidRDefault="003A7686" w:rsidP="009B5487">
      <w:pPr>
        <w:pStyle w:val="FootnoteText"/>
      </w:pPr>
      <w:r w:rsidRPr="009B5487">
        <w:rPr>
          <w:rStyle w:val="FootnoteReference"/>
        </w:rPr>
        <w:footnoteRef/>
      </w:r>
      <w:r>
        <w:t xml:space="preserve"> </w:t>
      </w:r>
      <w:r>
        <w:tab/>
      </w:r>
      <w:r w:rsidRPr="000B111A">
        <w:t xml:space="preserve">An independent review </w:t>
      </w:r>
      <w:r w:rsidRPr="009B5487">
        <w:t>outside</w:t>
      </w:r>
      <w:r w:rsidRPr="000B111A">
        <w:t xml:space="preserve"> the </w:t>
      </w:r>
      <w:r>
        <w:t>independent completion report</w:t>
      </w:r>
      <w:r w:rsidRPr="00A7497A">
        <w:t xml:space="preserve"> </w:t>
      </w:r>
      <w:r w:rsidRPr="000B111A">
        <w:t xml:space="preserve">process was conducted for </w:t>
      </w:r>
      <w:r>
        <w:t xml:space="preserve">initiatives in the </w:t>
      </w:r>
      <w:r w:rsidRPr="004A5153">
        <w:t>Enhanced Cooperation Program</w:t>
      </w:r>
      <w:r>
        <w:t>—</w:t>
      </w:r>
      <w:r w:rsidRPr="000B111A">
        <w:t>Economic and Public Sector Reform, Border Management and Transport Security</w:t>
      </w:r>
      <w:r>
        <w:t>,</w:t>
      </w:r>
      <w:r w:rsidRPr="000B111A">
        <w:t xml:space="preserve"> and</w:t>
      </w:r>
      <w:r>
        <w:t xml:space="preserve"> the </w:t>
      </w:r>
      <w:r w:rsidRPr="000B111A">
        <w:t>Law and Justice</w:t>
      </w:r>
      <w:r>
        <w:t> </w:t>
      </w:r>
      <w:r w:rsidRPr="000B111A">
        <w:t>Initiative.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6" w:rsidRDefault="003A7686">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6" w:rsidRDefault="003A7686">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6" w:rsidRDefault="003A7686">
    <w:pPr>
      <w:pStyle w:val="Header"/>
    </w:pPr>
    <w:r>
      <w:rPr>
        <w:noProof/>
        <w:lang w:val="en-US" w:eastAsia="en-US"/>
      </w:rPr>
      <mc:AlternateContent>
        <mc:Choice Requires="wps">
          <w:drawing>
            <wp:anchor distT="0" distB="0" distL="114300" distR="114300" simplePos="0" relativeHeight="251657216" behindDoc="0" locked="0" layoutInCell="1" allowOverlap="1" wp14:anchorId="651F4B2B" wp14:editId="7C93A428">
              <wp:simplePos x="0" y="0"/>
              <wp:positionH relativeFrom="page">
                <wp:posOffset>144145</wp:posOffset>
              </wp:positionH>
              <wp:positionV relativeFrom="page">
                <wp:posOffset>1260475</wp:posOffset>
              </wp:positionV>
              <wp:extent cx="179705" cy="5400040"/>
              <wp:effectExtent l="1270" t="3175" r="0" b="0"/>
              <wp:wrapNone/>
              <wp:docPr id="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686" w:rsidRDefault="003A7686">
                          <w:pPr>
                            <w:pStyle w:val="Footer"/>
                            <w:tabs>
                              <w:tab w:val="clear" w:pos="0"/>
                              <w:tab w:val="left" w:pos="567"/>
                            </w:tabs>
                            <w:ind w:left="0" w:right="0"/>
                          </w:pPr>
                          <w:r w:rsidRPr="007A2D4A">
                            <w:rPr>
                              <w:color w:val="99988B"/>
                            </w:rPr>
                            <w:t>www.ausaid.gov.au</w:t>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60646C">
                            <w:rPr>
                              <w:rFonts w:cs="Arial"/>
                              <w:noProof/>
                            </w:rPr>
                            <w:t>Annual program performance report: Papua New Guinea 2008-09</w:t>
                          </w:r>
                          <w:r w:rsidRPr="00366135">
                            <w:rPr>
                              <w:rFonts w:cs="Arial"/>
                            </w:rPr>
                            <w:fldChar w:fldCharType="end"/>
                          </w:r>
                          <w:r>
                            <w:tab/>
                          </w:r>
                          <w:r>
                            <w:rPr>
                              <w:rStyle w:val="PageNumber"/>
                              <w:caps/>
                            </w:rPr>
                            <w:fldChar w:fldCharType="begin"/>
                          </w:r>
                          <w:r>
                            <w:rPr>
                              <w:rStyle w:val="PageNumber"/>
                              <w:caps/>
                            </w:rPr>
                            <w:instrText xml:space="preserve"> PAGE </w:instrText>
                          </w:r>
                          <w:r>
                            <w:rPr>
                              <w:rStyle w:val="PageNumber"/>
                              <w:caps/>
                            </w:rPr>
                            <w:fldChar w:fldCharType="separate"/>
                          </w:r>
                          <w:r w:rsidR="0060646C">
                            <w:rPr>
                              <w:rStyle w:val="PageNumber"/>
                              <w:caps/>
                              <w:noProof/>
                            </w:rPr>
                            <w:t>55</w:t>
                          </w:r>
                          <w:r>
                            <w:rPr>
                              <w:rStyle w:val="PageNumber"/>
                              <w:cap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2" o:spid="_x0000_s1026" type="#_x0000_t202" style="position:absolute;left:0;text-align:left;margin-left:11.35pt;margin-top:99.25pt;width:14.15pt;height:42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" filled="f" stroked="f">
              <v:textbox style="layout-flow:vertical" inset="0,0,0,0">
                <w:txbxContent>
                  <w:p w:rsidR="003A7686" w:rsidRDefault="003A7686">
                    <w:pPr>
                      <w:pStyle w:val="Footer"/>
                      <w:tabs>
                        <w:tab w:val="clear" w:pos="0"/>
                        <w:tab w:val="left" w:pos="567"/>
                      </w:tabs>
                      <w:ind w:left="0" w:right="0"/>
                    </w:pPr>
                    <w:r w:rsidRPr="007A2D4A">
                      <w:rPr>
                        <w:color w:val="99988B"/>
                      </w:rPr>
                      <w:t>www.ausaid.gov.au</w:t>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60646C">
                      <w:rPr>
                        <w:rFonts w:cs="Arial"/>
                        <w:noProof/>
                      </w:rPr>
                      <w:t>Annual program performance report: Papua New Guinea 2008-09</w:t>
                    </w:r>
                    <w:r w:rsidRPr="00366135">
                      <w:rPr>
                        <w:rFonts w:cs="Arial"/>
                      </w:rPr>
                      <w:fldChar w:fldCharType="end"/>
                    </w:r>
                    <w:r>
                      <w:tab/>
                    </w:r>
                    <w:r>
                      <w:rPr>
                        <w:rStyle w:val="PageNumber"/>
                        <w:caps/>
                      </w:rPr>
                      <w:fldChar w:fldCharType="begin"/>
                    </w:r>
                    <w:r>
                      <w:rPr>
                        <w:rStyle w:val="PageNumber"/>
                        <w:caps/>
                      </w:rPr>
                      <w:instrText xml:space="preserve"> PAGE </w:instrText>
                    </w:r>
                    <w:r>
                      <w:rPr>
                        <w:rStyle w:val="PageNumber"/>
                        <w:caps/>
                      </w:rPr>
                      <w:fldChar w:fldCharType="separate"/>
                    </w:r>
                    <w:r w:rsidR="0060646C">
                      <w:rPr>
                        <w:rStyle w:val="PageNumber"/>
                        <w:caps/>
                        <w:noProof/>
                      </w:rPr>
                      <w:t>55</w:t>
                    </w:r>
                    <w:r>
                      <w:rPr>
                        <w:rStyle w:val="PageNumber"/>
                        <w:caps/>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6" w:rsidRDefault="003A7686" w:rsidP="00B7603F">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6" w:rsidRDefault="003A7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pt;height:7.5pt;visibility:visible;mso-wrap-style:square" o:bullet="t">
        <v:imagedata r:id="rId1" o:title=""/>
      </v:shape>
    </w:pict>
  </w:numPicBullet>
  <w:abstractNum w:abstractNumId="0">
    <w:nsid w:val="056F345C"/>
    <w:multiLevelType w:val="hybridMultilevel"/>
    <w:tmpl w:val="BEAE9C72"/>
    <w:lvl w:ilvl="0" w:tplc="28C6C026">
      <w:start w:val="1"/>
      <w:numFmt w:val="bullet"/>
      <w:pStyle w:val="Ratingred"/>
      <w:lvlText w:val=""/>
      <w:lvlJc w:val="left"/>
      <w:pPr>
        <w:tabs>
          <w:tab w:val="num" w:pos="567"/>
        </w:tabs>
        <w:ind w:left="567" w:hanging="567"/>
      </w:pPr>
      <w:rPr>
        <w:rFonts w:ascii="Wingdings" w:hAnsi="Wingdings" w:hint="default"/>
        <w:color w:val="FF00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DB72C2"/>
    <w:multiLevelType w:val="multilevel"/>
    <w:tmpl w:val="C4660D6E"/>
    <w:lvl w:ilvl="0">
      <w:start w:val="1"/>
      <w:numFmt w:val="lowerLetter"/>
      <w:lvlRestart w:val="0"/>
      <w:lvlText w:val="%1"/>
      <w:lvlJc w:val="left"/>
      <w:pPr>
        <w:tabs>
          <w:tab w:val="num" w:pos="170"/>
        </w:tabs>
        <w:ind w:left="0" w:firstLine="0"/>
      </w:pPr>
      <w:rPr>
        <w:rFonts w:hint="default"/>
        <w:b w:val="0"/>
        <w:i w:val="0"/>
        <w:color w:val="auto"/>
        <w:position w:val="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7B7DD8"/>
    <w:multiLevelType w:val="hybridMultilevel"/>
    <w:tmpl w:val="3EA6F6DE"/>
    <w:lvl w:ilvl="0" w:tplc="EBD4CD70">
      <w:start w:val="1"/>
      <w:numFmt w:val="lowerLetter"/>
      <w:pStyle w:val="TableListNumber2"/>
      <w:lvlText w:val="%1."/>
      <w:lvlJc w:val="left"/>
      <w:pPr>
        <w:tabs>
          <w:tab w:val="num" w:pos="454"/>
        </w:tabs>
        <w:ind w:left="454" w:hanging="227"/>
      </w:pPr>
      <w:rPr>
        <w:rFonts w:hint="default"/>
      </w:rPr>
    </w:lvl>
    <w:lvl w:ilvl="1" w:tplc="F6AE216C" w:tentative="1">
      <w:start w:val="1"/>
      <w:numFmt w:val="lowerLetter"/>
      <w:lvlText w:val="%2."/>
      <w:lvlJc w:val="left"/>
      <w:pPr>
        <w:tabs>
          <w:tab w:val="num" w:pos="1440"/>
        </w:tabs>
        <w:ind w:left="1440" w:hanging="360"/>
      </w:pPr>
    </w:lvl>
    <w:lvl w:ilvl="2" w:tplc="AF0CDEC0" w:tentative="1">
      <w:start w:val="1"/>
      <w:numFmt w:val="lowerRoman"/>
      <w:lvlText w:val="%3."/>
      <w:lvlJc w:val="right"/>
      <w:pPr>
        <w:tabs>
          <w:tab w:val="num" w:pos="2160"/>
        </w:tabs>
        <w:ind w:left="2160" w:hanging="180"/>
      </w:pPr>
    </w:lvl>
    <w:lvl w:ilvl="3" w:tplc="E820C414" w:tentative="1">
      <w:start w:val="1"/>
      <w:numFmt w:val="decimal"/>
      <w:lvlText w:val="%4."/>
      <w:lvlJc w:val="left"/>
      <w:pPr>
        <w:tabs>
          <w:tab w:val="num" w:pos="2880"/>
        </w:tabs>
        <w:ind w:left="2880" w:hanging="360"/>
      </w:pPr>
    </w:lvl>
    <w:lvl w:ilvl="4" w:tplc="A56CB25A" w:tentative="1">
      <w:start w:val="1"/>
      <w:numFmt w:val="lowerLetter"/>
      <w:lvlText w:val="%5."/>
      <w:lvlJc w:val="left"/>
      <w:pPr>
        <w:tabs>
          <w:tab w:val="num" w:pos="3600"/>
        </w:tabs>
        <w:ind w:left="3600" w:hanging="360"/>
      </w:pPr>
    </w:lvl>
    <w:lvl w:ilvl="5" w:tplc="AEA442B8" w:tentative="1">
      <w:start w:val="1"/>
      <w:numFmt w:val="lowerRoman"/>
      <w:lvlText w:val="%6."/>
      <w:lvlJc w:val="right"/>
      <w:pPr>
        <w:tabs>
          <w:tab w:val="num" w:pos="4320"/>
        </w:tabs>
        <w:ind w:left="4320" w:hanging="180"/>
      </w:pPr>
    </w:lvl>
    <w:lvl w:ilvl="6" w:tplc="EF44AAF4" w:tentative="1">
      <w:start w:val="1"/>
      <w:numFmt w:val="decimal"/>
      <w:lvlText w:val="%7."/>
      <w:lvlJc w:val="left"/>
      <w:pPr>
        <w:tabs>
          <w:tab w:val="num" w:pos="5040"/>
        </w:tabs>
        <w:ind w:left="5040" w:hanging="360"/>
      </w:pPr>
    </w:lvl>
    <w:lvl w:ilvl="7" w:tplc="E854744E" w:tentative="1">
      <w:start w:val="1"/>
      <w:numFmt w:val="lowerLetter"/>
      <w:lvlText w:val="%8."/>
      <w:lvlJc w:val="left"/>
      <w:pPr>
        <w:tabs>
          <w:tab w:val="num" w:pos="5760"/>
        </w:tabs>
        <w:ind w:left="5760" w:hanging="360"/>
      </w:pPr>
    </w:lvl>
    <w:lvl w:ilvl="8" w:tplc="766A5BBC" w:tentative="1">
      <w:start w:val="1"/>
      <w:numFmt w:val="lowerRoman"/>
      <w:lvlText w:val="%9."/>
      <w:lvlJc w:val="right"/>
      <w:pPr>
        <w:tabs>
          <w:tab w:val="num" w:pos="6480"/>
        </w:tabs>
        <w:ind w:left="6480" w:hanging="180"/>
      </w:pPr>
    </w:lvl>
  </w:abstractNum>
  <w:abstractNum w:abstractNumId="4">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233F6B"/>
    <w:multiLevelType w:val="hybridMultilevel"/>
    <w:tmpl w:val="53929CB2"/>
    <w:lvl w:ilvl="0" w:tplc="C9987A2A">
      <w:start w:val="1"/>
      <w:numFmt w:val="lowerLetter"/>
      <w:pStyle w:val="BoxListNumber2"/>
      <w:lvlText w:val="%1."/>
      <w:lvlJc w:val="left"/>
      <w:pPr>
        <w:tabs>
          <w:tab w:val="num" w:pos="567"/>
        </w:tabs>
        <w:ind w:left="567" w:hanging="283"/>
      </w:pPr>
      <w:rPr>
        <w:rFonts w:hint="default"/>
      </w:rPr>
    </w:lvl>
    <w:lvl w:ilvl="1" w:tplc="F8B4A7BC" w:tentative="1">
      <w:start w:val="1"/>
      <w:numFmt w:val="lowerLetter"/>
      <w:lvlText w:val="%2."/>
      <w:lvlJc w:val="left"/>
      <w:pPr>
        <w:tabs>
          <w:tab w:val="num" w:pos="1440"/>
        </w:tabs>
        <w:ind w:left="1440" w:hanging="360"/>
      </w:pPr>
    </w:lvl>
    <w:lvl w:ilvl="2" w:tplc="5F1C4A4C" w:tentative="1">
      <w:start w:val="1"/>
      <w:numFmt w:val="lowerRoman"/>
      <w:lvlText w:val="%3."/>
      <w:lvlJc w:val="right"/>
      <w:pPr>
        <w:tabs>
          <w:tab w:val="num" w:pos="2160"/>
        </w:tabs>
        <w:ind w:left="2160" w:hanging="180"/>
      </w:pPr>
    </w:lvl>
    <w:lvl w:ilvl="3" w:tplc="B854F87A" w:tentative="1">
      <w:start w:val="1"/>
      <w:numFmt w:val="decimal"/>
      <w:lvlText w:val="%4."/>
      <w:lvlJc w:val="left"/>
      <w:pPr>
        <w:tabs>
          <w:tab w:val="num" w:pos="2880"/>
        </w:tabs>
        <w:ind w:left="2880" w:hanging="360"/>
      </w:pPr>
    </w:lvl>
    <w:lvl w:ilvl="4" w:tplc="E1806BA4" w:tentative="1">
      <w:start w:val="1"/>
      <w:numFmt w:val="lowerLetter"/>
      <w:lvlText w:val="%5."/>
      <w:lvlJc w:val="left"/>
      <w:pPr>
        <w:tabs>
          <w:tab w:val="num" w:pos="3600"/>
        </w:tabs>
        <w:ind w:left="3600" w:hanging="360"/>
      </w:pPr>
    </w:lvl>
    <w:lvl w:ilvl="5" w:tplc="FF8EB288" w:tentative="1">
      <w:start w:val="1"/>
      <w:numFmt w:val="lowerRoman"/>
      <w:lvlText w:val="%6."/>
      <w:lvlJc w:val="right"/>
      <w:pPr>
        <w:tabs>
          <w:tab w:val="num" w:pos="4320"/>
        </w:tabs>
        <w:ind w:left="4320" w:hanging="180"/>
      </w:pPr>
    </w:lvl>
    <w:lvl w:ilvl="6" w:tplc="A27AB2A0" w:tentative="1">
      <w:start w:val="1"/>
      <w:numFmt w:val="decimal"/>
      <w:lvlText w:val="%7."/>
      <w:lvlJc w:val="left"/>
      <w:pPr>
        <w:tabs>
          <w:tab w:val="num" w:pos="5040"/>
        </w:tabs>
        <w:ind w:left="5040" w:hanging="360"/>
      </w:pPr>
    </w:lvl>
    <w:lvl w:ilvl="7" w:tplc="3C68B96E" w:tentative="1">
      <w:start w:val="1"/>
      <w:numFmt w:val="lowerLetter"/>
      <w:lvlText w:val="%8."/>
      <w:lvlJc w:val="left"/>
      <w:pPr>
        <w:tabs>
          <w:tab w:val="num" w:pos="5760"/>
        </w:tabs>
        <w:ind w:left="5760" w:hanging="360"/>
      </w:pPr>
    </w:lvl>
    <w:lvl w:ilvl="8" w:tplc="2284A2F6" w:tentative="1">
      <w:start w:val="1"/>
      <w:numFmt w:val="lowerRoman"/>
      <w:lvlText w:val="%9."/>
      <w:lvlJc w:val="right"/>
      <w:pPr>
        <w:tabs>
          <w:tab w:val="num" w:pos="6480"/>
        </w:tabs>
        <w:ind w:left="6480" w:hanging="180"/>
      </w:pPr>
    </w:lvl>
  </w:abstractNum>
  <w:abstractNum w:abstractNumId="8">
    <w:nsid w:val="46CD579B"/>
    <w:multiLevelType w:val="hybridMultilevel"/>
    <w:tmpl w:val="36F2514A"/>
    <w:lvl w:ilvl="0" w:tplc="9D7E5E88">
      <w:start w:val="1"/>
      <w:numFmt w:val="bullet"/>
      <w:pStyle w:val="BoxListBullet"/>
      <w:lvlText w:val="&gt;"/>
      <w:lvlJc w:val="left"/>
      <w:pPr>
        <w:tabs>
          <w:tab w:val="num" w:pos="284"/>
        </w:tabs>
        <w:ind w:left="284" w:hanging="284"/>
      </w:pPr>
      <w:rPr>
        <w:rFonts w:hint="default"/>
        <w:color w:val="auto"/>
      </w:rPr>
    </w:lvl>
    <w:lvl w:ilvl="1" w:tplc="FA88BAD2" w:tentative="1">
      <w:start w:val="1"/>
      <w:numFmt w:val="bullet"/>
      <w:lvlText w:val="o"/>
      <w:lvlJc w:val="left"/>
      <w:pPr>
        <w:tabs>
          <w:tab w:val="num" w:pos="1440"/>
        </w:tabs>
        <w:ind w:left="1440" w:hanging="360"/>
      </w:pPr>
      <w:rPr>
        <w:rFonts w:ascii="Courier New" w:hAnsi="Courier New" w:cs="Courier New" w:hint="default"/>
      </w:rPr>
    </w:lvl>
    <w:lvl w:ilvl="2" w:tplc="B616E782" w:tentative="1">
      <w:start w:val="1"/>
      <w:numFmt w:val="bullet"/>
      <w:lvlText w:val=""/>
      <w:lvlJc w:val="left"/>
      <w:pPr>
        <w:tabs>
          <w:tab w:val="num" w:pos="2160"/>
        </w:tabs>
        <w:ind w:left="2160" w:hanging="360"/>
      </w:pPr>
      <w:rPr>
        <w:rFonts w:ascii="Wingdings" w:hAnsi="Wingdings" w:hint="default"/>
      </w:rPr>
    </w:lvl>
    <w:lvl w:ilvl="3" w:tplc="F38A8780" w:tentative="1">
      <w:start w:val="1"/>
      <w:numFmt w:val="bullet"/>
      <w:lvlText w:val=""/>
      <w:lvlJc w:val="left"/>
      <w:pPr>
        <w:tabs>
          <w:tab w:val="num" w:pos="2880"/>
        </w:tabs>
        <w:ind w:left="2880" w:hanging="360"/>
      </w:pPr>
      <w:rPr>
        <w:rFonts w:ascii="Symbol" w:hAnsi="Symbol" w:hint="default"/>
      </w:rPr>
    </w:lvl>
    <w:lvl w:ilvl="4" w:tplc="CFA2F8B0" w:tentative="1">
      <w:start w:val="1"/>
      <w:numFmt w:val="bullet"/>
      <w:lvlText w:val="o"/>
      <w:lvlJc w:val="left"/>
      <w:pPr>
        <w:tabs>
          <w:tab w:val="num" w:pos="3600"/>
        </w:tabs>
        <w:ind w:left="3600" w:hanging="360"/>
      </w:pPr>
      <w:rPr>
        <w:rFonts w:ascii="Courier New" w:hAnsi="Courier New" w:cs="Courier New" w:hint="default"/>
      </w:rPr>
    </w:lvl>
    <w:lvl w:ilvl="5" w:tplc="FDFC4FD0" w:tentative="1">
      <w:start w:val="1"/>
      <w:numFmt w:val="bullet"/>
      <w:lvlText w:val=""/>
      <w:lvlJc w:val="left"/>
      <w:pPr>
        <w:tabs>
          <w:tab w:val="num" w:pos="4320"/>
        </w:tabs>
        <w:ind w:left="4320" w:hanging="360"/>
      </w:pPr>
      <w:rPr>
        <w:rFonts w:ascii="Wingdings" w:hAnsi="Wingdings" w:hint="default"/>
      </w:rPr>
    </w:lvl>
    <w:lvl w:ilvl="6" w:tplc="51D4C0B0" w:tentative="1">
      <w:start w:val="1"/>
      <w:numFmt w:val="bullet"/>
      <w:lvlText w:val=""/>
      <w:lvlJc w:val="left"/>
      <w:pPr>
        <w:tabs>
          <w:tab w:val="num" w:pos="5040"/>
        </w:tabs>
        <w:ind w:left="5040" w:hanging="360"/>
      </w:pPr>
      <w:rPr>
        <w:rFonts w:ascii="Symbol" w:hAnsi="Symbol" w:hint="default"/>
      </w:rPr>
    </w:lvl>
    <w:lvl w:ilvl="7" w:tplc="CD2CC96A" w:tentative="1">
      <w:start w:val="1"/>
      <w:numFmt w:val="bullet"/>
      <w:lvlText w:val="o"/>
      <w:lvlJc w:val="left"/>
      <w:pPr>
        <w:tabs>
          <w:tab w:val="num" w:pos="5760"/>
        </w:tabs>
        <w:ind w:left="5760" w:hanging="360"/>
      </w:pPr>
      <w:rPr>
        <w:rFonts w:ascii="Courier New" w:hAnsi="Courier New" w:cs="Courier New" w:hint="default"/>
      </w:rPr>
    </w:lvl>
    <w:lvl w:ilvl="8" w:tplc="8F06662C" w:tentative="1">
      <w:start w:val="1"/>
      <w:numFmt w:val="bullet"/>
      <w:lvlText w:val=""/>
      <w:lvlJc w:val="left"/>
      <w:pPr>
        <w:tabs>
          <w:tab w:val="num" w:pos="6480"/>
        </w:tabs>
        <w:ind w:left="6480" w:hanging="360"/>
      </w:pPr>
      <w:rPr>
        <w:rFonts w:ascii="Wingdings" w:hAnsi="Wingdings" w:hint="default"/>
      </w:rPr>
    </w:lvl>
  </w:abstractNum>
  <w:abstractNum w:abstractNumId="9">
    <w:nsid w:val="4A37775D"/>
    <w:multiLevelType w:val="multilevel"/>
    <w:tmpl w:val="9F3AF9D0"/>
    <w:lvl w:ilvl="0">
      <w:start w:val="1"/>
      <w:numFmt w:val="lowerLetter"/>
      <w:lvlRestart w:val="0"/>
      <w:pStyle w:val="NoteNumber"/>
      <w:lvlText w:val="%1"/>
      <w:lvlJc w:val="left"/>
      <w:pPr>
        <w:tabs>
          <w:tab w:val="num" w:pos="170"/>
        </w:tabs>
        <w:ind w:left="0" w:firstLine="0"/>
      </w:pPr>
      <w:rPr>
        <w:rFonts w:ascii="Franklin Gothic Medium" w:hAnsi="Franklin Gothic Medium" w:hint="default"/>
        <w:b w:val="0"/>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2B943C2"/>
    <w:multiLevelType w:val="hybridMultilevel"/>
    <w:tmpl w:val="43102CAC"/>
    <w:lvl w:ilvl="0" w:tplc="82A8EE62">
      <w:start w:val="1"/>
      <w:numFmt w:val="bullet"/>
      <w:pStyle w:val="Ratingamber"/>
      <w:lvlText w:val=""/>
      <w:lvlJc w:val="left"/>
      <w:pPr>
        <w:tabs>
          <w:tab w:val="num" w:pos="567"/>
        </w:tabs>
        <w:ind w:left="567" w:hanging="567"/>
      </w:pPr>
      <w:rPr>
        <w:rFonts w:ascii="Wingdings" w:hAnsi="Wing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98A5214"/>
    <w:multiLevelType w:val="hybridMultilevel"/>
    <w:tmpl w:val="0B5AC610"/>
    <w:lvl w:ilvl="0" w:tplc="C220D246">
      <w:start w:val="1"/>
      <w:numFmt w:val="decimal"/>
      <w:pStyle w:val="TableListNumber"/>
      <w:lvlText w:val="%1."/>
      <w:lvlJc w:val="left"/>
      <w:pPr>
        <w:tabs>
          <w:tab w:val="num" w:pos="227"/>
        </w:tabs>
        <w:ind w:left="227" w:hanging="227"/>
      </w:pPr>
      <w:rPr>
        <w:rFonts w:hint="default"/>
      </w:rPr>
    </w:lvl>
    <w:lvl w:ilvl="1" w:tplc="618CBD7E" w:tentative="1">
      <w:start w:val="1"/>
      <w:numFmt w:val="lowerLetter"/>
      <w:lvlText w:val="%2."/>
      <w:lvlJc w:val="left"/>
      <w:pPr>
        <w:tabs>
          <w:tab w:val="num" w:pos="1440"/>
        </w:tabs>
        <w:ind w:left="1440" w:hanging="360"/>
      </w:pPr>
    </w:lvl>
    <w:lvl w:ilvl="2" w:tplc="3476E624" w:tentative="1">
      <w:start w:val="1"/>
      <w:numFmt w:val="lowerRoman"/>
      <w:lvlText w:val="%3."/>
      <w:lvlJc w:val="right"/>
      <w:pPr>
        <w:tabs>
          <w:tab w:val="num" w:pos="2160"/>
        </w:tabs>
        <w:ind w:left="2160" w:hanging="180"/>
      </w:pPr>
    </w:lvl>
    <w:lvl w:ilvl="3" w:tplc="9AC868EE" w:tentative="1">
      <w:start w:val="1"/>
      <w:numFmt w:val="decimal"/>
      <w:lvlText w:val="%4."/>
      <w:lvlJc w:val="left"/>
      <w:pPr>
        <w:tabs>
          <w:tab w:val="num" w:pos="2880"/>
        </w:tabs>
        <w:ind w:left="2880" w:hanging="360"/>
      </w:pPr>
    </w:lvl>
    <w:lvl w:ilvl="4" w:tplc="DBAE35C4" w:tentative="1">
      <w:start w:val="1"/>
      <w:numFmt w:val="lowerLetter"/>
      <w:lvlText w:val="%5."/>
      <w:lvlJc w:val="left"/>
      <w:pPr>
        <w:tabs>
          <w:tab w:val="num" w:pos="3600"/>
        </w:tabs>
        <w:ind w:left="3600" w:hanging="360"/>
      </w:pPr>
    </w:lvl>
    <w:lvl w:ilvl="5" w:tplc="F8AEE652" w:tentative="1">
      <w:start w:val="1"/>
      <w:numFmt w:val="lowerRoman"/>
      <w:lvlText w:val="%6."/>
      <w:lvlJc w:val="right"/>
      <w:pPr>
        <w:tabs>
          <w:tab w:val="num" w:pos="4320"/>
        </w:tabs>
        <w:ind w:left="4320" w:hanging="180"/>
      </w:pPr>
    </w:lvl>
    <w:lvl w:ilvl="6" w:tplc="59F0DEDE" w:tentative="1">
      <w:start w:val="1"/>
      <w:numFmt w:val="decimal"/>
      <w:lvlText w:val="%7."/>
      <w:lvlJc w:val="left"/>
      <w:pPr>
        <w:tabs>
          <w:tab w:val="num" w:pos="5040"/>
        </w:tabs>
        <w:ind w:left="5040" w:hanging="360"/>
      </w:pPr>
    </w:lvl>
    <w:lvl w:ilvl="7" w:tplc="7C343432" w:tentative="1">
      <w:start w:val="1"/>
      <w:numFmt w:val="lowerLetter"/>
      <w:lvlText w:val="%8."/>
      <w:lvlJc w:val="left"/>
      <w:pPr>
        <w:tabs>
          <w:tab w:val="num" w:pos="5760"/>
        </w:tabs>
        <w:ind w:left="5760" w:hanging="360"/>
      </w:pPr>
    </w:lvl>
    <w:lvl w:ilvl="8" w:tplc="D9D45D88" w:tentative="1">
      <w:start w:val="1"/>
      <w:numFmt w:val="lowerRoman"/>
      <w:lvlText w:val="%9."/>
      <w:lvlJc w:val="right"/>
      <w:pPr>
        <w:tabs>
          <w:tab w:val="num" w:pos="6480"/>
        </w:tabs>
        <w:ind w:left="6480" w:hanging="180"/>
      </w:pPr>
    </w:lvl>
  </w:abstractNum>
  <w:abstractNum w:abstractNumId="13">
    <w:nsid w:val="64F264CF"/>
    <w:multiLevelType w:val="multilevel"/>
    <w:tmpl w:val="B52E35A0"/>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14">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CF363E8"/>
    <w:multiLevelType w:val="hybridMultilevel"/>
    <w:tmpl w:val="3586B58E"/>
    <w:lvl w:ilvl="0" w:tplc="1A5E0752">
      <w:start w:val="1"/>
      <w:numFmt w:val="bullet"/>
      <w:pStyle w:val="Ratinggreen"/>
      <w:lvlText w:val=""/>
      <w:lvlJc w:val="left"/>
      <w:pPr>
        <w:tabs>
          <w:tab w:val="num" w:pos="567"/>
        </w:tabs>
        <w:ind w:left="567" w:hanging="567"/>
      </w:pPr>
      <w:rPr>
        <w:rFonts w:ascii="Wingdings" w:hAnsi="Wing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F7A528B"/>
    <w:multiLevelType w:val="hybridMultilevel"/>
    <w:tmpl w:val="4ADC517C"/>
    <w:lvl w:ilvl="0" w:tplc="F11E9508">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0"/>
  </w:num>
  <w:num w:numId="4">
    <w:abstractNumId w:val="0"/>
  </w:num>
  <w:num w:numId="5">
    <w:abstractNumId w:val="8"/>
  </w:num>
  <w:num w:numId="6">
    <w:abstractNumId w:val="11"/>
  </w:num>
  <w:num w:numId="7">
    <w:abstractNumId w:val="6"/>
  </w:num>
  <w:num w:numId="8">
    <w:abstractNumId w:val="7"/>
  </w:num>
  <w:num w:numId="9">
    <w:abstractNumId w:val="14"/>
  </w:num>
  <w:num w:numId="10">
    <w:abstractNumId w:val="17"/>
  </w:num>
  <w:num w:numId="11">
    <w:abstractNumId w:val="5"/>
  </w:num>
  <w:num w:numId="12">
    <w:abstractNumId w:val="13"/>
  </w:num>
  <w:num w:numId="13">
    <w:abstractNumId w:val="4"/>
  </w:num>
  <w:num w:numId="14">
    <w:abstractNumId w:val="16"/>
  </w:num>
  <w:num w:numId="15">
    <w:abstractNumId w:val="9"/>
  </w:num>
  <w:num w:numId="16">
    <w:abstractNumId w:val="1"/>
  </w:num>
  <w:num w:numId="17">
    <w:abstractNumId w:val="12"/>
  </w:num>
  <w:num w:numId="18">
    <w:abstractNumId w:val="3"/>
  </w:num>
  <w:num w:numId="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06"/>
    <w:rsid w:val="00000F53"/>
    <w:rsid w:val="00001C8E"/>
    <w:rsid w:val="00002017"/>
    <w:rsid w:val="00002939"/>
    <w:rsid w:val="00004368"/>
    <w:rsid w:val="00004716"/>
    <w:rsid w:val="00011213"/>
    <w:rsid w:val="00011299"/>
    <w:rsid w:val="00011550"/>
    <w:rsid w:val="0001170C"/>
    <w:rsid w:val="000129D7"/>
    <w:rsid w:val="0001356A"/>
    <w:rsid w:val="00015623"/>
    <w:rsid w:val="00015DBC"/>
    <w:rsid w:val="00016771"/>
    <w:rsid w:val="00016CBA"/>
    <w:rsid w:val="00017D33"/>
    <w:rsid w:val="00017D64"/>
    <w:rsid w:val="0002235F"/>
    <w:rsid w:val="00022D41"/>
    <w:rsid w:val="000257E7"/>
    <w:rsid w:val="0002690A"/>
    <w:rsid w:val="00027B55"/>
    <w:rsid w:val="00030588"/>
    <w:rsid w:val="00031100"/>
    <w:rsid w:val="000318A5"/>
    <w:rsid w:val="00031B6B"/>
    <w:rsid w:val="0003425B"/>
    <w:rsid w:val="00034803"/>
    <w:rsid w:val="00034B41"/>
    <w:rsid w:val="00034E45"/>
    <w:rsid w:val="00035BC8"/>
    <w:rsid w:val="00035E2A"/>
    <w:rsid w:val="00037673"/>
    <w:rsid w:val="000433AB"/>
    <w:rsid w:val="00044EDD"/>
    <w:rsid w:val="000452A6"/>
    <w:rsid w:val="000453B3"/>
    <w:rsid w:val="0004636D"/>
    <w:rsid w:val="00046974"/>
    <w:rsid w:val="000474BB"/>
    <w:rsid w:val="0005065C"/>
    <w:rsid w:val="000513B2"/>
    <w:rsid w:val="00053D8A"/>
    <w:rsid w:val="00060A32"/>
    <w:rsid w:val="00061389"/>
    <w:rsid w:val="00063C90"/>
    <w:rsid w:val="000655EB"/>
    <w:rsid w:val="00065C12"/>
    <w:rsid w:val="000675CA"/>
    <w:rsid w:val="00067F6E"/>
    <w:rsid w:val="0007028B"/>
    <w:rsid w:val="00070BAE"/>
    <w:rsid w:val="00070F05"/>
    <w:rsid w:val="00071AD2"/>
    <w:rsid w:val="000722A1"/>
    <w:rsid w:val="00072432"/>
    <w:rsid w:val="000742E6"/>
    <w:rsid w:val="00074C9B"/>
    <w:rsid w:val="00075C1B"/>
    <w:rsid w:val="00075E37"/>
    <w:rsid w:val="0007632A"/>
    <w:rsid w:val="000766F0"/>
    <w:rsid w:val="000768E8"/>
    <w:rsid w:val="00077F2F"/>
    <w:rsid w:val="000805B2"/>
    <w:rsid w:val="00080750"/>
    <w:rsid w:val="000807A2"/>
    <w:rsid w:val="00082E97"/>
    <w:rsid w:val="000837BE"/>
    <w:rsid w:val="00084DD1"/>
    <w:rsid w:val="0008528E"/>
    <w:rsid w:val="000852E8"/>
    <w:rsid w:val="00085585"/>
    <w:rsid w:val="00085E50"/>
    <w:rsid w:val="00086164"/>
    <w:rsid w:val="000863C3"/>
    <w:rsid w:val="000877AF"/>
    <w:rsid w:val="000905BE"/>
    <w:rsid w:val="00090C8C"/>
    <w:rsid w:val="000923CF"/>
    <w:rsid w:val="00092F37"/>
    <w:rsid w:val="000937EC"/>
    <w:rsid w:val="0009381E"/>
    <w:rsid w:val="00094415"/>
    <w:rsid w:val="000946EA"/>
    <w:rsid w:val="00096BD1"/>
    <w:rsid w:val="00097A76"/>
    <w:rsid w:val="000A0794"/>
    <w:rsid w:val="000A3437"/>
    <w:rsid w:val="000A4433"/>
    <w:rsid w:val="000A5BCC"/>
    <w:rsid w:val="000A666E"/>
    <w:rsid w:val="000A7400"/>
    <w:rsid w:val="000A7708"/>
    <w:rsid w:val="000B0232"/>
    <w:rsid w:val="000B0DAE"/>
    <w:rsid w:val="000B13AB"/>
    <w:rsid w:val="000B146D"/>
    <w:rsid w:val="000B4054"/>
    <w:rsid w:val="000B56CF"/>
    <w:rsid w:val="000B5B55"/>
    <w:rsid w:val="000B6330"/>
    <w:rsid w:val="000B67EA"/>
    <w:rsid w:val="000B7FF7"/>
    <w:rsid w:val="000C0125"/>
    <w:rsid w:val="000C0807"/>
    <w:rsid w:val="000C0D83"/>
    <w:rsid w:val="000C151F"/>
    <w:rsid w:val="000C1EC3"/>
    <w:rsid w:val="000C1F1B"/>
    <w:rsid w:val="000C382A"/>
    <w:rsid w:val="000D074E"/>
    <w:rsid w:val="000D1F96"/>
    <w:rsid w:val="000D32D5"/>
    <w:rsid w:val="000D444F"/>
    <w:rsid w:val="000D7060"/>
    <w:rsid w:val="000E0333"/>
    <w:rsid w:val="000E226B"/>
    <w:rsid w:val="000E28DB"/>
    <w:rsid w:val="000E2E8A"/>
    <w:rsid w:val="000E595E"/>
    <w:rsid w:val="000E5C21"/>
    <w:rsid w:val="000F3A15"/>
    <w:rsid w:val="000F4196"/>
    <w:rsid w:val="000F457F"/>
    <w:rsid w:val="000F6DF2"/>
    <w:rsid w:val="000F7DB9"/>
    <w:rsid w:val="000F7EBB"/>
    <w:rsid w:val="001020A5"/>
    <w:rsid w:val="001036EF"/>
    <w:rsid w:val="0010440B"/>
    <w:rsid w:val="00104CCC"/>
    <w:rsid w:val="001062EF"/>
    <w:rsid w:val="001069AF"/>
    <w:rsid w:val="0010741A"/>
    <w:rsid w:val="00113741"/>
    <w:rsid w:val="00115409"/>
    <w:rsid w:val="00115A8C"/>
    <w:rsid w:val="00115D91"/>
    <w:rsid w:val="001204E2"/>
    <w:rsid w:val="001250BF"/>
    <w:rsid w:val="00125669"/>
    <w:rsid w:val="001260C2"/>
    <w:rsid w:val="00126328"/>
    <w:rsid w:val="00127B7F"/>
    <w:rsid w:val="0013019C"/>
    <w:rsid w:val="00130995"/>
    <w:rsid w:val="00132E41"/>
    <w:rsid w:val="00133847"/>
    <w:rsid w:val="001356E9"/>
    <w:rsid w:val="001360A4"/>
    <w:rsid w:val="00136D9B"/>
    <w:rsid w:val="00136E47"/>
    <w:rsid w:val="00136FF9"/>
    <w:rsid w:val="00137BA1"/>
    <w:rsid w:val="0014049B"/>
    <w:rsid w:val="00141818"/>
    <w:rsid w:val="0014193E"/>
    <w:rsid w:val="00143525"/>
    <w:rsid w:val="001436A7"/>
    <w:rsid w:val="00144611"/>
    <w:rsid w:val="0014539A"/>
    <w:rsid w:val="0014787F"/>
    <w:rsid w:val="00152D98"/>
    <w:rsid w:val="00152F9D"/>
    <w:rsid w:val="001564B4"/>
    <w:rsid w:val="00156521"/>
    <w:rsid w:val="00156AC5"/>
    <w:rsid w:val="00162D80"/>
    <w:rsid w:val="00162FB3"/>
    <w:rsid w:val="00163580"/>
    <w:rsid w:val="001644AA"/>
    <w:rsid w:val="00165C4D"/>
    <w:rsid w:val="00166BE1"/>
    <w:rsid w:val="001702D3"/>
    <w:rsid w:val="001702D7"/>
    <w:rsid w:val="001707ED"/>
    <w:rsid w:val="00170B04"/>
    <w:rsid w:val="00172093"/>
    <w:rsid w:val="001720B1"/>
    <w:rsid w:val="0017313D"/>
    <w:rsid w:val="001756DD"/>
    <w:rsid w:val="00175CFE"/>
    <w:rsid w:val="00176846"/>
    <w:rsid w:val="00176A82"/>
    <w:rsid w:val="001772C7"/>
    <w:rsid w:val="00177AE1"/>
    <w:rsid w:val="00180E63"/>
    <w:rsid w:val="00180EC6"/>
    <w:rsid w:val="0018150C"/>
    <w:rsid w:val="00182E7D"/>
    <w:rsid w:val="001840DC"/>
    <w:rsid w:val="00184C6E"/>
    <w:rsid w:val="00185C51"/>
    <w:rsid w:val="00187D56"/>
    <w:rsid w:val="0019176E"/>
    <w:rsid w:val="00191FF9"/>
    <w:rsid w:val="00193384"/>
    <w:rsid w:val="001957F2"/>
    <w:rsid w:val="0019627A"/>
    <w:rsid w:val="00197485"/>
    <w:rsid w:val="001974C9"/>
    <w:rsid w:val="001A157D"/>
    <w:rsid w:val="001A1847"/>
    <w:rsid w:val="001A1F86"/>
    <w:rsid w:val="001A4314"/>
    <w:rsid w:val="001A4CB0"/>
    <w:rsid w:val="001A4F3D"/>
    <w:rsid w:val="001A64D6"/>
    <w:rsid w:val="001A676A"/>
    <w:rsid w:val="001A7274"/>
    <w:rsid w:val="001A76CD"/>
    <w:rsid w:val="001A7A00"/>
    <w:rsid w:val="001B0033"/>
    <w:rsid w:val="001B0802"/>
    <w:rsid w:val="001B0BC3"/>
    <w:rsid w:val="001B1559"/>
    <w:rsid w:val="001B3A25"/>
    <w:rsid w:val="001B40B6"/>
    <w:rsid w:val="001B5D86"/>
    <w:rsid w:val="001B735E"/>
    <w:rsid w:val="001B7441"/>
    <w:rsid w:val="001B7D36"/>
    <w:rsid w:val="001C1650"/>
    <w:rsid w:val="001C18A5"/>
    <w:rsid w:val="001C54D5"/>
    <w:rsid w:val="001C557B"/>
    <w:rsid w:val="001C68A6"/>
    <w:rsid w:val="001C6E25"/>
    <w:rsid w:val="001D0D54"/>
    <w:rsid w:val="001D0D75"/>
    <w:rsid w:val="001D231A"/>
    <w:rsid w:val="001D24B1"/>
    <w:rsid w:val="001D2D04"/>
    <w:rsid w:val="001D3E68"/>
    <w:rsid w:val="001D522E"/>
    <w:rsid w:val="001D5233"/>
    <w:rsid w:val="001D65A4"/>
    <w:rsid w:val="001E16C7"/>
    <w:rsid w:val="001E521E"/>
    <w:rsid w:val="001E5458"/>
    <w:rsid w:val="001E61C0"/>
    <w:rsid w:val="001E6ED1"/>
    <w:rsid w:val="001E77A7"/>
    <w:rsid w:val="001F0E53"/>
    <w:rsid w:val="001F0E62"/>
    <w:rsid w:val="001F1365"/>
    <w:rsid w:val="001F353B"/>
    <w:rsid w:val="001F39C9"/>
    <w:rsid w:val="001F4CD3"/>
    <w:rsid w:val="001F4E51"/>
    <w:rsid w:val="001F5AA9"/>
    <w:rsid w:val="00203160"/>
    <w:rsid w:val="00205279"/>
    <w:rsid w:val="00205AA6"/>
    <w:rsid w:val="00207592"/>
    <w:rsid w:val="0021017E"/>
    <w:rsid w:val="00212975"/>
    <w:rsid w:val="00213176"/>
    <w:rsid w:val="00213B3E"/>
    <w:rsid w:val="00214C9D"/>
    <w:rsid w:val="00215F2D"/>
    <w:rsid w:val="002178C9"/>
    <w:rsid w:val="00223A73"/>
    <w:rsid w:val="00226029"/>
    <w:rsid w:val="00226880"/>
    <w:rsid w:val="0022688E"/>
    <w:rsid w:val="002274D0"/>
    <w:rsid w:val="00227D6B"/>
    <w:rsid w:val="00230F10"/>
    <w:rsid w:val="00231C29"/>
    <w:rsid w:val="00231CB6"/>
    <w:rsid w:val="00232097"/>
    <w:rsid w:val="00233570"/>
    <w:rsid w:val="00233D7A"/>
    <w:rsid w:val="00234583"/>
    <w:rsid w:val="00234D37"/>
    <w:rsid w:val="00235907"/>
    <w:rsid w:val="0023613F"/>
    <w:rsid w:val="00236C53"/>
    <w:rsid w:val="00237451"/>
    <w:rsid w:val="00243468"/>
    <w:rsid w:val="0024348E"/>
    <w:rsid w:val="00244F96"/>
    <w:rsid w:val="0024542D"/>
    <w:rsid w:val="0024630C"/>
    <w:rsid w:val="002505BE"/>
    <w:rsid w:val="00250D70"/>
    <w:rsid w:val="002515F6"/>
    <w:rsid w:val="002536BA"/>
    <w:rsid w:val="00254E51"/>
    <w:rsid w:val="00257199"/>
    <w:rsid w:val="00257C51"/>
    <w:rsid w:val="002600C7"/>
    <w:rsid w:val="00260CE2"/>
    <w:rsid w:val="002628BA"/>
    <w:rsid w:val="0026347A"/>
    <w:rsid w:val="00263B78"/>
    <w:rsid w:val="00266448"/>
    <w:rsid w:val="00266A89"/>
    <w:rsid w:val="00266B56"/>
    <w:rsid w:val="00266C05"/>
    <w:rsid w:val="00266F80"/>
    <w:rsid w:val="002679F0"/>
    <w:rsid w:val="002702DD"/>
    <w:rsid w:val="00272699"/>
    <w:rsid w:val="0027327B"/>
    <w:rsid w:val="0027441E"/>
    <w:rsid w:val="0027483C"/>
    <w:rsid w:val="00281D52"/>
    <w:rsid w:val="002820D7"/>
    <w:rsid w:val="00286E03"/>
    <w:rsid w:val="00287F57"/>
    <w:rsid w:val="00291B3A"/>
    <w:rsid w:val="00292656"/>
    <w:rsid w:val="00292C3C"/>
    <w:rsid w:val="00294AA6"/>
    <w:rsid w:val="00294C78"/>
    <w:rsid w:val="00294D4C"/>
    <w:rsid w:val="00296270"/>
    <w:rsid w:val="00297DF9"/>
    <w:rsid w:val="002A1D2F"/>
    <w:rsid w:val="002A2305"/>
    <w:rsid w:val="002A4067"/>
    <w:rsid w:val="002A477C"/>
    <w:rsid w:val="002A4BB1"/>
    <w:rsid w:val="002A561C"/>
    <w:rsid w:val="002A6CE4"/>
    <w:rsid w:val="002A73D4"/>
    <w:rsid w:val="002A7D93"/>
    <w:rsid w:val="002B02EA"/>
    <w:rsid w:val="002B1D07"/>
    <w:rsid w:val="002B3053"/>
    <w:rsid w:val="002B33AD"/>
    <w:rsid w:val="002B3D66"/>
    <w:rsid w:val="002B3E15"/>
    <w:rsid w:val="002C018F"/>
    <w:rsid w:val="002C0F44"/>
    <w:rsid w:val="002C159E"/>
    <w:rsid w:val="002C23D1"/>
    <w:rsid w:val="002C257C"/>
    <w:rsid w:val="002C5A0E"/>
    <w:rsid w:val="002C651D"/>
    <w:rsid w:val="002C7822"/>
    <w:rsid w:val="002C79E4"/>
    <w:rsid w:val="002D0160"/>
    <w:rsid w:val="002D1134"/>
    <w:rsid w:val="002D468F"/>
    <w:rsid w:val="002D5DED"/>
    <w:rsid w:val="002D657C"/>
    <w:rsid w:val="002D6E19"/>
    <w:rsid w:val="002D7A0A"/>
    <w:rsid w:val="002E000E"/>
    <w:rsid w:val="002E1AC2"/>
    <w:rsid w:val="002E2CDD"/>
    <w:rsid w:val="002E499B"/>
    <w:rsid w:val="002E7F6A"/>
    <w:rsid w:val="002F056E"/>
    <w:rsid w:val="002F2538"/>
    <w:rsid w:val="002F36D2"/>
    <w:rsid w:val="002F3C1A"/>
    <w:rsid w:val="002F3E97"/>
    <w:rsid w:val="002F489A"/>
    <w:rsid w:val="002F62C2"/>
    <w:rsid w:val="003023FD"/>
    <w:rsid w:val="0030414F"/>
    <w:rsid w:val="00305213"/>
    <w:rsid w:val="0031131B"/>
    <w:rsid w:val="00312B95"/>
    <w:rsid w:val="00312E50"/>
    <w:rsid w:val="0031394A"/>
    <w:rsid w:val="003147DD"/>
    <w:rsid w:val="00315D84"/>
    <w:rsid w:val="003201AB"/>
    <w:rsid w:val="00321C81"/>
    <w:rsid w:val="003225AB"/>
    <w:rsid w:val="00323170"/>
    <w:rsid w:val="00323965"/>
    <w:rsid w:val="003265D9"/>
    <w:rsid w:val="00330A76"/>
    <w:rsid w:val="00330D74"/>
    <w:rsid w:val="00330F0D"/>
    <w:rsid w:val="00332945"/>
    <w:rsid w:val="00333127"/>
    <w:rsid w:val="003360B5"/>
    <w:rsid w:val="003368B5"/>
    <w:rsid w:val="003369D5"/>
    <w:rsid w:val="00336FAC"/>
    <w:rsid w:val="00337AAE"/>
    <w:rsid w:val="003405D1"/>
    <w:rsid w:val="00345C2F"/>
    <w:rsid w:val="00347D10"/>
    <w:rsid w:val="00347E04"/>
    <w:rsid w:val="003522B0"/>
    <w:rsid w:val="00352A66"/>
    <w:rsid w:val="00352BDF"/>
    <w:rsid w:val="00355246"/>
    <w:rsid w:val="003557A9"/>
    <w:rsid w:val="0035655A"/>
    <w:rsid w:val="00357879"/>
    <w:rsid w:val="0036152B"/>
    <w:rsid w:val="00362300"/>
    <w:rsid w:val="00362945"/>
    <w:rsid w:val="00363DA6"/>
    <w:rsid w:val="003643A3"/>
    <w:rsid w:val="00364555"/>
    <w:rsid w:val="0036493C"/>
    <w:rsid w:val="00364EEF"/>
    <w:rsid w:val="00365BED"/>
    <w:rsid w:val="00365ECE"/>
    <w:rsid w:val="00366135"/>
    <w:rsid w:val="0037000D"/>
    <w:rsid w:val="00371987"/>
    <w:rsid w:val="00372C90"/>
    <w:rsid w:val="00373509"/>
    <w:rsid w:val="00377189"/>
    <w:rsid w:val="003813B0"/>
    <w:rsid w:val="00381894"/>
    <w:rsid w:val="00383994"/>
    <w:rsid w:val="003852FD"/>
    <w:rsid w:val="003864C0"/>
    <w:rsid w:val="00386714"/>
    <w:rsid w:val="00386D59"/>
    <w:rsid w:val="003870E2"/>
    <w:rsid w:val="003908F2"/>
    <w:rsid w:val="0039147D"/>
    <w:rsid w:val="00393C49"/>
    <w:rsid w:val="003941C4"/>
    <w:rsid w:val="00395037"/>
    <w:rsid w:val="003950F3"/>
    <w:rsid w:val="00396AAB"/>
    <w:rsid w:val="00396E51"/>
    <w:rsid w:val="00396FEE"/>
    <w:rsid w:val="003971DE"/>
    <w:rsid w:val="00397842"/>
    <w:rsid w:val="00397D66"/>
    <w:rsid w:val="003A121B"/>
    <w:rsid w:val="003A12E4"/>
    <w:rsid w:val="003A1A4E"/>
    <w:rsid w:val="003A2AFB"/>
    <w:rsid w:val="003A3E3B"/>
    <w:rsid w:val="003A437D"/>
    <w:rsid w:val="003A5F6E"/>
    <w:rsid w:val="003A7686"/>
    <w:rsid w:val="003B0602"/>
    <w:rsid w:val="003B3833"/>
    <w:rsid w:val="003B57D8"/>
    <w:rsid w:val="003B5B3A"/>
    <w:rsid w:val="003B669E"/>
    <w:rsid w:val="003B6BEE"/>
    <w:rsid w:val="003B7C7F"/>
    <w:rsid w:val="003C3110"/>
    <w:rsid w:val="003C37F2"/>
    <w:rsid w:val="003C4A1C"/>
    <w:rsid w:val="003C4A23"/>
    <w:rsid w:val="003C4AA6"/>
    <w:rsid w:val="003C4F3E"/>
    <w:rsid w:val="003D18C5"/>
    <w:rsid w:val="003D277A"/>
    <w:rsid w:val="003D3401"/>
    <w:rsid w:val="003D41D9"/>
    <w:rsid w:val="003D5B28"/>
    <w:rsid w:val="003D7C66"/>
    <w:rsid w:val="003E15BE"/>
    <w:rsid w:val="003E4703"/>
    <w:rsid w:val="003E4E42"/>
    <w:rsid w:val="003E5462"/>
    <w:rsid w:val="003E6A24"/>
    <w:rsid w:val="003E74A4"/>
    <w:rsid w:val="003F0648"/>
    <w:rsid w:val="003F159A"/>
    <w:rsid w:val="003F23B0"/>
    <w:rsid w:val="003F291D"/>
    <w:rsid w:val="003F4406"/>
    <w:rsid w:val="003F5ACA"/>
    <w:rsid w:val="003F6535"/>
    <w:rsid w:val="003F7DFD"/>
    <w:rsid w:val="00402E2E"/>
    <w:rsid w:val="00403EC1"/>
    <w:rsid w:val="00404981"/>
    <w:rsid w:val="00404CBA"/>
    <w:rsid w:val="00404EA8"/>
    <w:rsid w:val="00405D82"/>
    <w:rsid w:val="004069E3"/>
    <w:rsid w:val="00407CFC"/>
    <w:rsid w:val="004100C6"/>
    <w:rsid w:val="00410D4E"/>
    <w:rsid w:val="00411191"/>
    <w:rsid w:val="00412989"/>
    <w:rsid w:val="004131F2"/>
    <w:rsid w:val="00414418"/>
    <w:rsid w:val="004146C9"/>
    <w:rsid w:val="00416765"/>
    <w:rsid w:val="00420072"/>
    <w:rsid w:val="0042176A"/>
    <w:rsid w:val="00422524"/>
    <w:rsid w:val="00422662"/>
    <w:rsid w:val="004229B0"/>
    <w:rsid w:val="00422F3C"/>
    <w:rsid w:val="00425388"/>
    <w:rsid w:val="00426102"/>
    <w:rsid w:val="004272F7"/>
    <w:rsid w:val="00427DB3"/>
    <w:rsid w:val="0043018B"/>
    <w:rsid w:val="00431A12"/>
    <w:rsid w:val="00433FEB"/>
    <w:rsid w:val="004342D3"/>
    <w:rsid w:val="0043622D"/>
    <w:rsid w:val="00442BE6"/>
    <w:rsid w:val="0044452B"/>
    <w:rsid w:val="00445908"/>
    <w:rsid w:val="00446BFE"/>
    <w:rsid w:val="00447F42"/>
    <w:rsid w:val="0045116A"/>
    <w:rsid w:val="00451E60"/>
    <w:rsid w:val="00452E9D"/>
    <w:rsid w:val="004530AC"/>
    <w:rsid w:val="00453EB3"/>
    <w:rsid w:val="00454368"/>
    <w:rsid w:val="004547C0"/>
    <w:rsid w:val="00454AE8"/>
    <w:rsid w:val="00455771"/>
    <w:rsid w:val="00456427"/>
    <w:rsid w:val="00456D32"/>
    <w:rsid w:val="00456E6B"/>
    <w:rsid w:val="0045720E"/>
    <w:rsid w:val="00457853"/>
    <w:rsid w:val="00457902"/>
    <w:rsid w:val="00460B25"/>
    <w:rsid w:val="00461AD2"/>
    <w:rsid w:val="00462797"/>
    <w:rsid w:val="00464228"/>
    <w:rsid w:val="0046681D"/>
    <w:rsid w:val="00467537"/>
    <w:rsid w:val="00471026"/>
    <w:rsid w:val="004732C0"/>
    <w:rsid w:val="0047344D"/>
    <w:rsid w:val="00473951"/>
    <w:rsid w:val="00474394"/>
    <w:rsid w:val="004744D3"/>
    <w:rsid w:val="00475EFF"/>
    <w:rsid w:val="0047786B"/>
    <w:rsid w:val="00481B8E"/>
    <w:rsid w:val="004822A1"/>
    <w:rsid w:val="00482EF4"/>
    <w:rsid w:val="00483DD5"/>
    <w:rsid w:val="004845F1"/>
    <w:rsid w:val="00484BC2"/>
    <w:rsid w:val="00486E8C"/>
    <w:rsid w:val="004872E3"/>
    <w:rsid w:val="00487607"/>
    <w:rsid w:val="00487630"/>
    <w:rsid w:val="004900C1"/>
    <w:rsid w:val="00490187"/>
    <w:rsid w:val="00490743"/>
    <w:rsid w:val="00491178"/>
    <w:rsid w:val="0049163F"/>
    <w:rsid w:val="00491CCA"/>
    <w:rsid w:val="00492FC4"/>
    <w:rsid w:val="00493658"/>
    <w:rsid w:val="0049373C"/>
    <w:rsid w:val="00494CD3"/>
    <w:rsid w:val="00494FB3"/>
    <w:rsid w:val="00495EF4"/>
    <w:rsid w:val="00496DF9"/>
    <w:rsid w:val="00497240"/>
    <w:rsid w:val="004A0E27"/>
    <w:rsid w:val="004A154E"/>
    <w:rsid w:val="004A2BB9"/>
    <w:rsid w:val="004A2EFC"/>
    <w:rsid w:val="004A472E"/>
    <w:rsid w:val="004A5153"/>
    <w:rsid w:val="004A5ECE"/>
    <w:rsid w:val="004A6472"/>
    <w:rsid w:val="004B0361"/>
    <w:rsid w:val="004B3904"/>
    <w:rsid w:val="004B7492"/>
    <w:rsid w:val="004B7BC0"/>
    <w:rsid w:val="004B7C61"/>
    <w:rsid w:val="004C0E63"/>
    <w:rsid w:val="004C10F5"/>
    <w:rsid w:val="004C32D1"/>
    <w:rsid w:val="004C3546"/>
    <w:rsid w:val="004C3568"/>
    <w:rsid w:val="004C3BB6"/>
    <w:rsid w:val="004C4638"/>
    <w:rsid w:val="004C60B8"/>
    <w:rsid w:val="004D18D0"/>
    <w:rsid w:val="004D3191"/>
    <w:rsid w:val="004D5771"/>
    <w:rsid w:val="004D79AD"/>
    <w:rsid w:val="004E3796"/>
    <w:rsid w:val="004E493E"/>
    <w:rsid w:val="004E63CC"/>
    <w:rsid w:val="004F096E"/>
    <w:rsid w:val="004F0BE2"/>
    <w:rsid w:val="004F256B"/>
    <w:rsid w:val="004F75A1"/>
    <w:rsid w:val="004F79BD"/>
    <w:rsid w:val="00502E98"/>
    <w:rsid w:val="005031B6"/>
    <w:rsid w:val="0050500A"/>
    <w:rsid w:val="00506640"/>
    <w:rsid w:val="00506BC4"/>
    <w:rsid w:val="00507319"/>
    <w:rsid w:val="00507A63"/>
    <w:rsid w:val="00507D05"/>
    <w:rsid w:val="00513602"/>
    <w:rsid w:val="0051490B"/>
    <w:rsid w:val="005157A6"/>
    <w:rsid w:val="00517484"/>
    <w:rsid w:val="00520156"/>
    <w:rsid w:val="005201F2"/>
    <w:rsid w:val="005217A2"/>
    <w:rsid w:val="00524CD9"/>
    <w:rsid w:val="00527339"/>
    <w:rsid w:val="00531479"/>
    <w:rsid w:val="005343DE"/>
    <w:rsid w:val="005344B7"/>
    <w:rsid w:val="005348EF"/>
    <w:rsid w:val="005351E9"/>
    <w:rsid w:val="005353FE"/>
    <w:rsid w:val="005363D4"/>
    <w:rsid w:val="005374AC"/>
    <w:rsid w:val="0054300D"/>
    <w:rsid w:val="005435B8"/>
    <w:rsid w:val="00545090"/>
    <w:rsid w:val="00547681"/>
    <w:rsid w:val="005510FE"/>
    <w:rsid w:val="0055123A"/>
    <w:rsid w:val="0055687D"/>
    <w:rsid w:val="00556B35"/>
    <w:rsid w:val="00557A0C"/>
    <w:rsid w:val="005604C6"/>
    <w:rsid w:val="00561EE2"/>
    <w:rsid w:val="005631AD"/>
    <w:rsid w:val="005639EA"/>
    <w:rsid w:val="00563A91"/>
    <w:rsid w:val="00565468"/>
    <w:rsid w:val="005667D5"/>
    <w:rsid w:val="00572249"/>
    <w:rsid w:val="005722A1"/>
    <w:rsid w:val="00572319"/>
    <w:rsid w:val="00572841"/>
    <w:rsid w:val="00575350"/>
    <w:rsid w:val="005757BD"/>
    <w:rsid w:val="00576596"/>
    <w:rsid w:val="00576F20"/>
    <w:rsid w:val="0057736B"/>
    <w:rsid w:val="00580958"/>
    <w:rsid w:val="00580DC4"/>
    <w:rsid w:val="00582734"/>
    <w:rsid w:val="00583C0E"/>
    <w:rsid w:val="00585433"/>
    <w:rsid w:val="005879C7"/>
    <w:rsid w:val="005900F7"/>
    <w:rsid w:val="005910A3"/>
    <w:rsid w:val="00591DD6"/>
    <w:rsid w:val="005925E4"/>
    <w:rsid w:val="00592A83"/>
    <w:rsid w:val="00593B07"/>
    <w:rsid w:val="00593E3E"/>
    <w:rsid w:val="005942EA"/>
    <w:rsid w:val="005943A7"/>
    <w:rsid w:val="00596832"/>
    <w:rsid w:val="00597EFD"/>
    <w:rsid w:val="005A1052"/>
    <w:rsid w:val="005A2D1D"/>
    <w:rsid w:val="005A3337"/>
    <w:rsid w:val="005A341D"/>
    <w:rsid w:val="005A3FE0"/>
    <w:rsid w:val="005A5F33"/>
    <w:rsid w:val="005A6F5A"/>
    <w:rsid w:val="005A7D37"/>
    <w:rsid w:val="005B027C"/>
    <w:rsid w:val="005B1DF4"/>
    <w:rsid w:val="005B2981"/>
    <w:rsid w:val="005B7710"/>
    <w:rsid w:val="005C16AF"/>
    <w:rsid w:val="005C206D"/>
    <w:rsid w:val="005C25C3"/>
    <w:rsid w:val="005C2C17"/>
    <w:rsid w:val="005C349D"/>
    <w:rsid w:val="005C4005"/>
    <w:rsid w:val="005C4BD3"/>
    <w:rsid w:val="005C6FD6"/>
    <w:rsid w:val="005D06D0"/>
    <w:rsid w:val="005D0AF9"/>
    <w:rsid w:val="005D1E18"/>
    <w:rsid w:val="005D244B"/>
    <w:rsid w:val="005D2B37"/>
    <w:rsid w:val="005D2EA6"/>
    <w:rsid w:val="005D4715"/>
    <w:rsid w:val="005D777D"/>
    <w:rsid w:val="005E0A0B"/>
    <w:rsid w:val="005E1812"/>
    <w:rsid w:val="005E1AF2"/>
    <w:rsid w:val="005E1D7A"/>
    <w:rsid w:val="005E2411"/>
    <w:rsid w:val="005E344F"/>
    <w:rsid w:val="005E3CEF"/>
    <w:rsid w:val="005E51D2"/>
    <w:rsid w:val="005E725C"/>
    <w:rsid w:val="005F168A"/>
    <w:rsid w:val="005F177B"/>
    <w:rsid w:val="005F1840"/>
    <w:rsid w:val="005F218A"/>
    <w:rsid w:val="005F2F06"/>
    <w:rsid w:val="005F328A"/>
    <w:rsid w:val="005F4DE9"/>
    <w:rsid w:val="005F5193"/>
    <w:rsid w:val="005F5C10"/>
    <w:rsid w:val="005F710E"/>
    <w:rsid w:val="005F7879"/>
    <w:rsid w:val="005F7E9E"/>
    <w:rsid w:val="006007F6"/>
    <w:rsid w:val="00600A18"/>
    <w:rsid w:val="00601D94"/>
    <w:rsid w:val="00602D21"/>
    <w:rsid w:val="00604147"/>
    <w:rsid w:val="00605815"/>
    <w:rsid w:val="00605C82"/>
    <w:rsid w:val="0060617B"/>
    <w:rsid w:val="0060646C"/>
    <w:rsid w:val="00612397"/>
    <w:rsid w:val="00612FA2"/>
    <w:rsid w:val="00613362"/>
    <w:rsid w:val="00614A27"/>
    <w:rsid w:val="00615247"/>
    <w:rsid w:val="00615522"/>
    <w:rsid w:val="006155FC"/>
    <w:rsid w:val="00615695"/>
    <w:rsid w:val="00616432"/>
    <w:rsid w:val="006203BD"/>
    <w:rsid w:val="0062059B"/>
    <w:rsid w:val="00624867"/>
    <w:rsid w:val="00624C5C"/>
    <w:rsid w:val="00627E76"/>
    <w:rsid w:val="00631E74"/>
    <w:rsid w:val="006323A6"/>
    <w:rsid w:val="00632B1F"/>
    <w:rsid w:val="00635A99"/>
    <w:rsid w:val="0063679A"/>
    <w:rsid w:val="00636A86"/>
    <w:rsid w:val="00636CDD"/>
    <w:rsid w:val="006407A5"/>
    <w:rsid w:val="00641EF1"/>
    <w:rsid w:val="006443C2"/>
    <w:rsid w:val="00644ADE"/>
    <w:rsid w:val="00644E31"/>
    <w:rsid w:val="00645016"/>
    <w:rsid w:val="00645987"/>
    <w:rsid w:val="006466A5"/>
    <w:rsid w:val="0065046E"/>
    <w:rsid w:val="006504EE"/>
    <w:rsid w:val="00650B00"/>
    <w:rsid w:val="00650FDE"/>
    <w:rsid w:val="00651B02"/>
    <w:rsid w:val="0065259E"/>
    <w:rsid w:val="0065282A"/>
    <w:rsid w:val="006536A9"/>
    <w:rsid w:val="006571AD"/>
    <w:rsid w:val="00657C61"/>
    <w:rsid w:val="00657CB6"/>
    <w:rsid w:val="00657E00"/>
    <w:rsid w:val="006625B4"/>
    <w:rsid w:val="00662C24"/>
    <w:rsid w:val="006640FE"/>
    <w:rsid w:val="00666B7B"/>
    <w:rsid w:val="00667993"/>
    <w:rsid w:val="00670FD8"/>
    <w:rsid w:val="00671255"/>
    <w:rsid w:val="00671A3F"/>
    <w:rsid w:val="00672BEE"/>
    <w:rsid w:val="00672FA1"/>
    <w:rsid w:val="0067448D"/>
    <w:rsid w:val="006762E5"/>
    <w:rsid w:val="006764C8"/>
    <w:rsid w:val="006777A0"/>
    <w:rsid w:val="006813C8"/>
    <w:rsid w:val="00681A3E"/>
    <w:rsid w:val="00682A07"/>
    <w:rsid w:val="00683B97"/>
    <w:rsid w:val="00683CCF"/>
    <w:rsid w:val="00683DC7"/>
    <w:rsid w:val="00683E06"/>
    <w:rsid w:val="0068568E"/>
    <w:rsid w:val="00685B51"/>
    <w:rsid w:val="00685C3A"/>
    <w:rsid w:val="006879C2"/>
    <w:rsid w:val="0069068B"/>
    <w:rsid w:val="006920F2"/>
    <w:rsid w:val="006931D5"/>
    <w:rsid w:val="00694103"/>
    <w:rsid w:val="006974FC"/>
    <w:rsid w:val="00697687"/>
    <w:rsid w:val="006A0482"/>
    <w:rsid w:val="006A13BF"/>
    <w:rsid w:val="006A26FD"/>
    <w:rsid w:val="006A39C7"/>
    <w:rsid w:val="006A53F6"/>
    <w:rsid w:val="006A7A0A"/>
    <w:rsid w:val="006B2988"/>
    <w:rsid w:val="006B48C1"/>
    <w:rsid w:val="006B702E"/>
    <w:rsid w:val="006B7C24"/>
    <w:rsid w:val="006B7CF9"/>
    <w:rsid w:val="006C0139"/>
    <w:rsid w:val="006C111C"/>
    <w:rsid w:val="006C12BF"/>
    <w:rsid w:val="006C1AEE"/>
    <w:rsid w:val="006C2092"/>
    <w:rsid w:val="006C27E2"/>
    <w:rsid w:val="006C3927"/>
    <w:rsid w:val="006C51F7"/>
    <w:rsid w:val="006C53E0"/>
    <w:rsid w:val="006C6761"/>
    <w:rsid w:val="006D0254"/>
    <w:rsid w:val="006D0368"/>
    <w:rsid w:val="006D2333"/>
    <w:rsid w:val="006D2818"/>
    <w:rsid w:val="006D3DBE"/>
    <w:rsid w:val="006D438F"/>
    <w:rsid w:val="006D571E"/>
    <w:rsid w:val="006D6CC7"/>
    <w:rsid w:val="006D7C85"/>
    <w:rsid w:val="006E1CA2"/>
    <w:rsid w:val="006E2C81"/>
    <w:rsid w:val="006E343F"/>
    <w:rsid w:val="006E42F5"/>
    <w:rsid w:val="006E4AA9"/>
    <w:rsid w:val="006E4B25"/>
    <w:rsid w:val="006E5C67"/>
    <w:rsid w:val="006E6DB3"/>
    <w:rsid w:val="006E771D"/>
    <w:rsid w:val="006E790D"/>
    <w:rsid w:val="006E7CC1"/>
    <w:rsid w:val="006F0B6B"/>
    <w:rsid w:val="006F34C6"/>
    <w:rsid w:val="006F47C8"/>
    <w:rsid w:val="006F51F9"/>
    <w:rsid w:val="006F52FC"/>
    <w:rsid w:val="006F715C"/>
    <w:rsid w:val="006F760B"/>
    <w:rsid w:val="006F7A23"/>
    <w:rsid w:val="006F7C08"/>
    <w:rsid w:val="0070010D"/>
    <w:rsid w:val="007004DA"/>
    <w:rsid w:val="00701726"/>
    <w:rsid w:val="00701B59"/>
    <w:rsid w:val="007031E2"/>
    <w:rsid w:val="00710798"/>
    <w:rsid w:val="00711B43"/>
    <w:rsid w:val="007122CC"/>
    <w:rsid w:val="00712515"/>
    <w:rsid w:val="00713338"/>
    <w:rsid w:val="007140BF"/>
    <w:rsid w:val="00715742"/>
    <w:rsid w:val="00716799"/>
    <w:rsid w:val="00720C74"/>
    <w:rsid w:val="0072656A"/>
    <w:rsid w:val="00730D14"/>
    <w:rsid w:val="00732528"/>
    <w:rsid w:val="007339FC"/>
    <w:rsid w:val="0073548A"/>
    <w:rsid w:val="007375CF"/>
    <w:rsid w:val="00737F14"/>
    <w:rsid w:val="00740BD4"/>
    <w:rsid w:val="00741948"/>
    <w:rsid w:val="00742F5B"/>
    <w:rsid w:val="0074328B"/>
    <w:rsid w:val="00744439"/>
    <w:rsid w:val="0074714C"/>
    <w:rsid w:val="007472BA"/>
    <w:rsid w:val="007500A2"/>
    <w:rsid w:val="00751A18"/>
    <w:rsid w:val="0075426C"/>
    <w:rsid w:val="00754B6C"/>
    <w:rsid w:val="00755116"/>
    <w:rsid w:val="00757CAC"/>
    <w:rsid w:val="007609DE"/>
    <w:rsid w:val="00760D7B"/>
    <w:rsid w:val="00762176"/>
    <w:rsid w:val="00764B16"/>
    <w:rsid w:val="0076664B"/>
    <w:rsid w:val="00766674"/>
    <w:rsid w:val="00771A8A"/>
    <w:rsid w:val="00771CDE"/>
    <w:rsid w:val="00773ADD"/>
    <w:rsid w:val="00774FA0"/>
    <w:rsid w:val="00777A11"/>
    <w:rsid w:val="0078013B"/>
    <w:rsid w:val="00780746"/>
    <w:rsid w:val="00780E9B"/>
    <w:rsid w:val="0078390C"/>
    <w:rsid w:val="00784027"/>
    <w:rsid w:val="007847D8"/>
    <w:rsid w:val="007848F3"/>
    <w:rsid w:val="00784C7B"/>
    <w:rsid w:val="00784FA8"/>
    <w:rsid w:val="007864C1"/>
    <w:rsid w:val="00786718"/>
    <w:rsid w:val="00787E65"/>
    <w:rsid w:val="00792B0C"/>
    <w:rsid w:val="007939BF"/>
    <w:rsid w:val="00794312"/>
    <w:rsid w:val="0079518B"/>
    <w:rsid w:val="00797D46"/>
    <w:rsid w:val="007A01CC"/>
    <w:rsid w:val="007A0524"/>
    <w:rsid w:val="007A200A"/>
    <w:rsid w:val="007A2597"/>
    <w:rsid w:val="007A2D4A"/>
    <w:rsid w:val="007A32BB"/>
    <w:rsid w:val="007A4C9D"/>
    <w:rsid w:val="007A5DFF"/>
    <w:rsid w:val="007A6FA0"/>
    <w:rsid w:val="007B149E"/>
    <w:rsid w:val="007B1D16"/>
    <w:rsid w:val="007B2AB8"/>
    <w:rsid w:val="007B2DB4"/>
    <w:rsid w:val="007B415B"/>
    <w:rsid w:val="007B4677"/>
    <w:rsid w:val="007B497F"/>
    <w:rsid w:val="007B4ED1"/>
    <w:rsid w:val="007B7544"/>
    <w:rsid w:val="007B794B"/>
    <w:rsid w:val="007C0D36"/>
    <w:rsid w:val="007C0DEC"/>
    <w:rsid w:val="007C1ECE"/>
    <w:rsid w:val="007C2358"/>
    <w:rsid w:val="007C3820"/>
    <w:rsid w:val="007D1A32"/>
    <w:rsid w:val="007D3CF6"/>
    <w:rsid w:val="007D3FA4"/>
    <w:rsid w:val="007D620F"/>
    <w:rsid w:val="007D70A2"/>
    <w:rsid w:val="007E14BD"/>
    <w:rsid w:val="007E31EA"/>
    <w:rsid w:val="007E3B25"/>
    <w:rsid w:val="007E3B7D"/>
    <w:rsid w:val="007E5A22"/>
    <w:rsid w:val="007E7710"/>
    <w:rsid w:val="007F0D41"/>
    <w:rsid w:val="007F2008"/>
    <w:rsid w:val="007F22AC"/>
    <w:rsid w:val="007F26AF"/>
    <w:rsid w:val="007F42E3"/>
    <w:rsid w:val="007F4388"/>
    <w:rsid w:val="007F4788"/>
    <w:rsid w:val="007F5087"/>
    <w:rsid w:val="007F618A"/>
    <w:rsid w:val="007F7573"/>
    <w:rsid w:val="00801432"/>
    <w:rsid w:val="00802290"/>
    <w:rsid w:val="00803305"/>
    <w:rsid w:val="0080375B"/>
    <w:rsid w:val="008048BB"/>
    <w:rsid w:val="00804F53"/>
    <w:rsid w:val="0081042F"/>
    <w:rsid w:val="00811381"/>
    <w:rsid w:val="008120AF"/>
    <w:rsid w:val="008122E1"/>
    <w:rsid w:val="008125B6"/>
    <w:rsid w:val="00812625"/>
    <w:rsid w:val="00814B9E"/>
    <w:rsid w:val="0081516C"/>
    <w:rsid w:val="00817C8F"/>
    <w:rsid w:val="008207C7"/>
    <w:rsid w:val="00820982"/>
    <w:rsid w:val="0082170D"/>
    <w:rsid w:val="0082187A"/>
    <w:rsid w:val="00822223"/>
    <w:rsid w:val="008224E4"/>
    <w:rsid w:val="00822802"/>
    <w:rsid w:val="008229F3"/>
    <w:rsid w:val="00825521"/>
    <w:rsid w:val="00826BD2"/>
    <w:rsid w:val="00827A15"/>
    <w:rsid w:val="00831989"/>
    <w:rsid w:val="00831EBD"/>
    <w:rsid w:val="00835730"/>
    <w:rsid w:val="00836BE4"/>
    <w:rsid w:val="0083785B"/>
    <w:rsid w:val="008378B4"/>
    <w:rsid w:val="00840A1A"/>
    <w:rsid w:val="00840C07"/>
    <w:rsid w:val="00840D02"/>
    <w:rsid w:val="00840D50"/>
    <w:rsid w:val="008431E0"/>
    <w:rsid w:val="00844665"/>
    <w:rsid w:val="008457D0"/>
    <w:rsid w:val="00845E4B"/>
    <w:rsid w:val="008460D5"/>
    <w:rsid w:val="00846735"/>
    <w:rsid w:val="00846921"/>
    <w:rsid w:val="00846E42"/>
    <w:rsid w:val="00850601"/>
    <w:rsid w:val="00850D83"/>
    <w:rsid w:val="008521CD"/>
    <w:rsid w:val="00852698"/>
    <w:rsid w:val="00852948"/>
    <w:rsid w:val="00853065"/>
    <w:rsid w:val="00854580"/>
    <w:rsid w:val="00854598"/>
    <w:rsid w:val="00856BDC"/>
    <w:rsid w:val="0085762A"/>
    <w:rsid w:val="00860D44"/>
    <w:rsid w:val="00861C4F"/>
    <w:rsid w:val="008620E4"/>
    <w:rsid w:val="00862CDB"/>
    <w:rsid w:val="008642DF"/>
    <w:rsid w:val="0086434F"/>
    <w:rsid w:val="00865AD8"/>
    <w:rsid w:val="00866CE0"/>
    <w:rsid w:val="00871961"/>
    <w:rsid w:val="008721CC"/>
    <w:rsid w:val="00872226"/>
    <w:rsid w:val="0087239F"/>
    <w:rsid w:val="00872B47"/>
    <w:rsid w:val="00872C02"/>
    <w:rsid w:val="00874AEB"/>
    <w:rsid w:val="00875F84"/>
    <w:rsid w:val="008773C3"/>
    <w:rsid w:val="00877623"/>
    <w:rsid w:val="00881039"/>
    <w:rsid w:val="008824EE"/>
    <w:rsid w:val="00882B7E"/>
    <w:rsid w:val="00882D96"/>
    <w:rsid w:val="00883A06"/>
    <w:rsid w:val="00883EFA"/>
    <w:rsid w:val="00884617"/>
    <w:rsid w:val="00885A80"/>
    <w:rsid w:val="008865DA"/>
    <w:rsid w:val="00886C6D"/>
    <w:rsid w:val="00887818"/>
    <w:rsid w:val="00887E9C"/>
    <w:rsid w:val="00893209"/>
    <w:rsid w:val="00893260"/>
    <w:rsid w:val="008936C6"/>
    <w:rsid w:val="008952E6"/>
    <w:rsid w:val="0089533A"/>
    <w:rsid w:val="008A063A"/>
    <w:rsid w:val="008A146D"/>
    <w:rsid w:val="008A37E3"/>
    <w:rsid w:val="008A4C6B"/>
    <w:rsid w:val="008A4D9A"/>
    <w:rsid w:val="008A5294"/>
    <w:rsid w:val="008A6398"/>
    <w:rsid w:val="008A73CB"/>
    <w:rsid w:val="008A7FE6"/>
    <w:rsid w:val="008B02D1"/>
    <w:rsid w:val="008B178C"/>
    <w:rsid w:val="008B1A8D"/>
    <w:rsid w:val="008B1C28"/>
    <w:rsid w:val="008B31F8"/>
    <w:rsid w:val="008B40E5"/>
    <w:rsid w:val="008B635B"/>
    <w:rsid w:val="008B7A52"/>
    <w:rsid w:val="008B7F12"/>
    <w:rsid w:val="008C00EC"/>
    <w:rsid w:val="008C0773"/>
    <w:rsid w:val="008C0CE5"/>
    <w:rsid w:val="008C1F78"/>
    <w:rsid w:val="008C2B61"/>
    <w:rsid w:val="008C5ABC"/>
    <w:rsid w:val="008C5C88"/>
    <w:rsid w:val="008D095A"/>
    <w:rsid w:val="008D0E19"/>
    <w:rsid w:val="008D3A30"/>
    <w:rsid w:val="008D3EF4"/>
    <w:rsid w:val="008D589F"/>
    <w:rsid w:val="008D75EB"/>
    <w:rsid w:val="008D787F"/>
    <w:rsid w:val="008E0A3D"/>
    <w:rsid w:val="008E0A75"/>
    <w:rsid w:val="008E0EAF"/>
    <w:rsid w:val="008E1805"/>
    <w:rsid w:val="008E18A3"/>
    <w:rsid w:val="008E26AD"/>
    <w:rsid w:val="008E6453"/>
    <w:rsid w:val="008F0110"/>
    <w:rsid w:val="008F05F9"/>
    <w:rsid w:val="008F2C9F"/>
    <w:rsid w:val="00901B7C"/>
    <w:rsid w:val="009027ED"/>
    <w:rsid w:val="00904277"/>
    <w:rsid w:val="0090469F"/>
    <w:rsid w:val="00904806"/>
    <w:rsid w:val="0090525F"/>
    <w:rsid w:val="009053ED"/>
    <w:rsid w:val="00907E25"/>
    <w:rsid w:val="00910BDA"/>
    <w:rsid w:val="0091187F"/>
    <w:rsid w:val="00917927"/>
    <w:rsid w:val="00920B05"/>
    <w:rsid w:val="00920FA9"/>
    <w:rsid w:val="00923014"/>
    <w:rsid w:val="009234E5"/>
    <w:rsid w:val="00924453"/>
    <w:rsid w:val="009254FA"/>
    <w:rsid w:val="0093068E"/>
    <w:rsid w:val="0093151D"/>
    <w:rsid w:val="00931972"/>
    <w:rsid w:val="00932EB4"/>
    <w:rsid w:val="009340B2"/>
    <w:rsid w:val="00936BC3"/>
    <w:rsid w:val="009374CE"/>
    <w:rsid w:val="00940671"/>
    <w:rsid w:val="00940ECD"/>
    <w:rsid w:val="00941A6A"/>
    <w:rsid w:val="00941C25"/>
    <w:rsid w:val="0094391C"/>
    <w:rsid w:val="0094415E"/>
    <w:rsid w:val="0094416B"/>
    <w:rsid w:val="00944F00"/>
    <w:rsid w:val="00946625"/>
    <w:rsid w:val="00951733"/>
    <w:rsid w:val="009519FC"/>
    <w:rsid w:val="00952317"/>
    <w:rsid w:val="0095297F"/>
    <w:rsid w:val="00953A8D"/>
    <w:rsid w:val="0095692A"/>
    <w:rsid w:val="00957D8E"/>
    <w:rsid w:val="0096040D"/>
    <w:rsid w:val="009606C6"/>
    <w:rsid w:val="00960AA9"/>
    <w:rsid w:val="00960D9D"/>
    <w:rsid w:val="009621DB"/>
    <w:rsid w:val="009622C7"/>
    <w:rsid w:val="0096627C"/>
    <w:rsid w:val="009663D4"/>
    <w:rsid w:val="0096694A"/>
    <w:rsid w:val="0097190C"/>
    <w:rsid w:val="00975CF3"/>
    <w:rsid w:val="009765DD"/>
    <w:rsid w:val="009775E7"/>
    <w:rsid w:val="0098097B"/>
    <w:rsid w:val="00981906"/>
    <w:rsid w:val="00982E10"/>
    <w:rsid w:val="00983FFB"/>
    <w:rsid w:val="00985129"/>
    <w:rsid w:val="00985BC6"/>
    <w:rsid w:val="00985E29"/>
    <w:rsid w:val="00990CCF"/>
    <w:rsid w:val="009918D7"/>
    <w:rsid w:val="009919C7"/>
    <w:rsid w:val="00991F19"/>
    <w:rsid w:val="009932CC"/>
    <w:rsid w:val="0099432E"/>
    <w:rsid w:val="0099453D"/>
    <w:rsid w:val="009951C5"/>
    <w:rsid w:val="00996D23"/>
    <w:rsid w:val="00997A92"/>
    <w:rsid w:val="009A0A11"/>
    <w:rsid w:val="009A1504"/>
    <w:rsid w:val="009A1864"/>
    <w:rsid w:val="009A1C0A"/>
    <w:rsid w:val="009A1C69"/>
    <w:rsid w:val="009A28D5"/>
    <w:rsid w:val="009A291B"/>
    <w:rsid w:val="009A3393"/>
    <w:rsid w:val="009A43A3"/>
    <w:rsid w:val="009A5BD6"/>
    <w:rsid w:val="009A7A34"/>
    <w:rsid w:val="009B0288"/>
    <w:rsid w:val="009B077D"/>
    <w:rsid w:val="009B21F7"/>
    <w:rsid w:val="009B30FC"/>
    <w:rsid w:val="009B4B1E"/>
    <w:rsid w:val="009B5487"/>
    <w:rsid w:val="009B5599"/>
    <w:rsid w:val="009C0B51"/>
    <w:rsid w:val="009C0FD7"/>
    <w:rsid w:val="009C3C8C"/>
    <w:rsid w:val="009C4C54"/>
    <w:rsid w:val="009C4FD2"/>
    <w:rsid w:val="009C67E2"/>
    <w:rsid w:val="009C7161"/>
    <w:rsid w:val="009C76C1"/>
    <w:rsid w:val="009D05EC"/>
    <w:rsid w:val="009D356B"/>
    <w:rsid w:val="009D3AF6"/>
    <w:rsid w:val="009D4019"/>
    <w:rsid w:val="009E11BA"/>
    <w:rsid w:val="009E141B"/>
    <w:rsid w:val="009E2D6C"/>
    <w:rsid w:val="009E660D"/>
    <w:rsid w:val="009F44D7"/>
    <w:rsid w:val="009F50D8"/>
    <w:rsid w:val="009F50E7"/>
    <w:rsid w:val="009F6B1E"/>
    <w:rsid w:val="009F7E80"/>
    <w:rsid w:val="00A00586"/>
    <w:rsid w:val="00A03535"/>
    <w:rsid w:val="00A045A2"/>
    <w:rsid w:val="00A04B6D"/>
    <w:rsid w:val="00A055D8"/>
    <w:rsid w:val="00A056FB"/>
    <w:rsid w:val="00A06DD7"/>
    <w:rsid w:val="00A1182A"/>
    <w:rsid w:val="00A12BCC"/>
    <w:rsid w:val="00A13A1B"/>
    <w:rsid w:val="00A14318"/>
    <w:rsid w:val="00A1448B"/>
    <w:rsid w:val="00A1460A"/>
    <w:rsid w:val="00A14F4E"/>
    <w:rsid w:val="00A167FB"/>
    <w:rsid w:val="00A20E1D"/>
    <w:rsid w:val="00A241E3"/>
    <w:rsid w:val="00A274E3"/>
    <w:rsid w:val="00A32095"/>
    <w:rsid w:val="00A32E70"/>
    <w:rsid w:val="00A33E33"/>
    <w:rsid w:val="00A347DD"/>
    <w:rsid w:val="00A34D08"/>
    <w:rsid w:val="00A34D7D"/>
    <w:rsid w:val="00A34F32"/>
    <w:rsid w:val="00A43557"/>
    <w:rsid w:val="00A43B25"/>
    <w:rsid w:val="00A44D85"/>
    <w:rsid w:val="00A45025"/>
    <w:rsid w:val="00A45844"/>
    <w:rsid w:val="00A51077"/>
    <w:rsid w:val="00A51CF9"/>
    <w:rsid w:val="00A525FD"/>
    <w:rsid w:val="00A53347"/>
    <w:rsid w:val="00A5433B"/>
    <w:rsid w:val="00A54C60"/>
    <w:rsid w:val="00A54E1A"/>
    <w:rsid w:val="00A56A48"/>
    <w:rsid w:val="00A60B48"/>
    <w:rsid w:val="00A614D0"/>
    <w:rsid w:val="00A62BFB"/>
    <w:rsid w:val="00A64ACD"/>
    <w:rsid w:val="00A65F8B"/>
    <w:rsid w:val="00A65FDE"/>
    <w:rsid w:val="00A6602B"/>
    <w:rsid w:val="00A71943"/>
    <w:rsid w:val="00A730EF"/>
    <w:rsid w:val="00A735D0"/>
    <w:rsid w:val="00A7361D"/>
    <w:rsid w:val="00A7456C"/>
    <w:rsid w:val="00A7497A"/>
    <w:rsid w:val="00A75588"/>
    <w:rsid w:val="00A7656D"/>
    <w:rsid w:val="00A76E9F"/>
    <w:rsid w:val="00A772B5"/>
    <w:rsid w:val="00A778FF"/>
    <w:rsid w:val="00A77D5D"/>
    <w:rsid w:val="00A80199"/>
    <w:rsid w:val="00A82118"/>
    <w:rsid w:val="00A82EA9"/>
    <w:rsid w:val="00A83EA2"/>
    <w:rsid w:val="00A87BD4"/>
    <w:rsid w:val="00A91E7F"/>
    <w:rsid w:val="00A92765"/>
    <w:rsid w:val="00A95C14"/>
    <w:rsid w:val="00A95FAA"/>
    <w:rsid w:val="00A964DE"/>
    <w:rsid w:val="00A97BA6"/>
    <w:rsid w:val="00AA039B"/>
    <w:rsid w:val="00AA0797"/>
    <w:rsid w:val="00AA3293"/>
    <w:rsid w:val="00AA3A6A"/>
    <w:rsid w:val="00AA4BFF"/>
    <w:rsid w:val="00AA4D84"/>
    <w:rsid w:val="00AA6DD3"/>
    <w:rsid w:val="00AB0069"/>
    <w:rsid w:val="00AB18A3"/>
    <w:rsid w:val="00AB24E1"/>
    <w:rsid w:val="00AB2AB3"/>
    <w:rsid w:val="00AB3D71"/>
    <w:rsid w:val="00AB67A7"/>
    <w:rsid w:val="00AB6EAC"/>
    <w:rsid w:val="00AB7830"/>
    <w:rsid w:val="00AC05C4"/>
    <w:rsid w:val="00AC10A1"/>
    <w:rsid w:val="00AC1FCE"/>
    <w:rsid w:val="00AC67A5"/>
    <w:rsid w:val="00AD0EF9"/>
    <w:rsid w:val="00AD1F3F"/>
    <w:rsid w:val="00AD203E"/>
    <w:rsid w:val="00AD244C"/>
    <w:rsid w:val="00AD289F"/>
    <w:rsid w:val="00AD2944"/>
    <w:rsid w:val="00AD35EF"/>
    <w:rsid w:val="00AD4A4D"/>
    <w:rsid w:val="00AD4D34"/>
    <w:rsid w:val="00AD57B1"/>
    <w:rsid w:val="00AD612A"/>
    <w:rsid w:val="00AD7A2D"/>
    <w:rsid w:val="00AE0DEF"/>
    <w:rsid w:val="00AE271E"/>
    <w:rsid w:val="00AE2D1C"/>
    <w:rsid w:val="00AE2F42"/>
    <w:rsid w:val="00AE33A9"/>
    <w:rsid w:val="00AE4666"/>
    <w:rsid w:val="00AE5255"/>
    <w:rsid w:val="00AF0FA9"/>
    <w:rsid w:val="00AF129B"/>
    <w:rsid w:val="00AF140A"/>
    <w:rsid w:val="00AF1F7E"/>
    <w:rsid w:val="00AF2CDB"/>
    <w:rsid w:val="00AF4251"/>
    <w:rsid w:val="00AF4AEB"/>
    <w:rsid w:val="00AF5A5E"/>
    <w:rsid w:val="00AF7241"/>
    <w:rsid w:val="00AF75B5"/>
    <w:rsid w:val="00B012FD"/>
    <w:rsid w:val="00B0153A"/>
    <w:rsid w:val="00B03CE1"/>
    <w:rsid w:val="00B03E45"/>
    <w:rsid w:val="00B0404A"/>
    <w:rsid w:val="00B045F0"/>
    <w:rsid w:val="00B04889"/>
    <w:rsid w:val="00B04DC4"/>
    <w:rsid w:val="00B06013"/>
    <w:rsid w:val="00B06CAC"/>
    <w:rsid w:val="00B06F29"/>
    <w:rsid w:val="00B07049"/>
    <w:rsid w:val="00B106B4"/>
    <w:rsid w:val="00B1380A"/>
    <w:rsid w:val="00B13902"/>
    <w:rsid w:val="00B13FA7"/>
    <w:rsid w:val="00B14244"/>
    <w:rsid w:val="00B1506B"/>
    <w:rsid w:val="00B238AA"/>
    <w:rsid w:val="00B24397"/>
    <w:rsid w:val="00B24B2E"/>
    <w:rsid w:val="00B24DB2"/>
    <w:rsid w:val="00B251E2"/>
    <w:rsid w:val="00B25570"/>
    <w:rsid w:val="00B2579E"/>
    <w:rsid w:val="00B25DA5"/>
    <w:rsid w:val="00B260DF"/>
    <w:rsid w:val="00B2667F"/>
    <w:rsid w:val="00B308EB"/>
    <w:rsid w:val="00B31660"/>
    <w:rsid w:val="00B32260"/>
    <w:rsid w:val="00B3282D"/>
    <w:rsid w:val="00B3394C"/>
    <w:rsid w:val="00B33AC0"/>
    <w:rsid w:val="00B34081"/>
    <w:rsid w:val="00B35386"/>
    <w:rsid w:val="00B356C3"/>
    <w:rsid w:val="00B35BF4"/>
    <w:rsid w:val="00B362C6"/>
    <w:rsid w:val="00B37E3B"/>
    <w:rsid w:val="00B4096E"/>
    <w:rsid w:val="00B40BE8"/>
    <w:rsid w:val="00B41994"/>
    <w:rsid w:val="00B41AEA"/>
    <w:rsid w:val="00B42655"/>
    <w:rsid w:val="00B42B81"/>
    <w:rsid w:val="00B43017"/>
    <w:rsid w:val="00B44206"/>
    <w:rsid w:val="00B44BDA"/>
    <w:rsid w:val="00B453F2"/>
    <w:rsid w:val="00B462E6"/>
    <w:rsid w:val="00B46EBD"/>
    <w:rsid w:val="00B50112"/>
    <w:rsid w:val="00B510FC"/>
    <w:rsid w:val="00B51489"/>
    <w:rsid w:val="00B5163B"/>
    <w:rsid w:val="00B51651"/>
    <w:rsid w:val="00B52A24"/>
    <w:rsid w:val="00B53EA8"/>
    <w:rsid w:val="00B546BF"/>
    <w:rsid w:val="00B55728"/>
    <w:rsid w:val="00B562C4"/>
    <w:rsid w:val="00B56AF6"/>
    <w:rsid w:val="00B571D5"/>
    <w:rsid w:val="00B57273"/>
    <w:rsid w:val="00B574E3"/>
    <w:rsid w:val="00B57D29"/>
    <w:rsid w:val="00B60122"/>
    <w:rsid w:val="00B6012E"/>
    <w:rsid w:val="00B61C6C"/>
    <w:rsid w:val="00B622E7"/>
    <w:rsid w:val="00B62C96"/>
    <w:rsid w:val="00B6380C"/>
    <w:rsid w:val="00B641A3"/>
    <w:rsid w:val="00B6545B"/>
    <w:rsid w:val="00B6556C"/>
    <w:rsid w:val="00B65C09"/>
    <w:rsid w:val="00B6734D"/>
    <w:rsid w:val="00B67510"/>
    <w:rsid w:val="00B71E18"/>
    <w:rsid w:val="00B72B76"/>
    <w:rsid w:val="00B72F4B"/>
    <w:rsid w:val="00B73DAC"/>
    <w:rsid w:val="00B74AC4"/>
    <w:rsid w:val="00B7597A"/>
    <w:rsid w:val="00B75E8C"/>
    <w:rsid w:val="00B7603F"/>
    <w:rsid w:val="00B77EF4"/>
    <w:rsid w:val="00B815E2"/>
    <w:rsid w:val="00B84A71"/>
    <w:rsid w:val="00B871A9"/>
    <w:rsid w:val="00B8723A"/>
    <w:rsid w:val="00B87B22"/>
    <w:rsid w:val="00B906FF"/>
    <w:rsid w:val="00B9104A"/>
    <w:rsid w:val="00B9211C"/>
    <w:rsid w:val="00B92D41"/>
    <w:rsid w:val="00B92EEC"/>
    <w:rsid w:val="00B950A5"/>
    <w:rsid w:val="00B96C3E"/>
    <w:rsid w:val="00B97541"/>
    <w:rsid w:val="00BA1CA0"/>
    <w:rsid w:val="00BA3B92"/>
    <w:rsid w:val="00BA455A"/>
    <w:rsid w:val="00BA5528"/>
    <w:rsid w:val="00BA688E"/>
    <w:rsid w:val="00BB0742"/>
    <w:rsid w:val="00BB0B27"/>
    <w:rsid w:val="00BB1A83"/>
    <w:rsid w:val="00BB44EA"/>
    <w:rsid w:val="00BB4A03"/>
    <w:rsid w:val="00BB6818"/>
    <w:rsid w:val="00BC013C"/>
    <w:rsid w:val="00BC0444"/>
    <w:rsid w:val="00BC0541"/>
    <w:rsid w:val="00BC0C96"/>
    <w:rsid w:val="00BC123F"/>
    <w:rsid w:val="00BC328D"/>
    <w:rsid w:val="00BC45BA"/>
    <w:rsid w:val="00BC5F4E"/>
    <w:rsid w:val="00BC5FDE"/>
    <w:rsid w:val="00BC6B95"/>
    <w:rsid w:val="00BC7297"/>
    <w:rsid w:val="00BD0240"/>
    <w:rsid w:val="00BD0822"/>
    <w:rsid w:val="00BD2C19"/>
    <w:rsid w:val="00BD5E01"/>
    <w:rsid w:val="00BD684D"/>
    <w:rsid w:val="00BD799F"/>
    <w:rsid w:val="00BE0125"/>
    <w:rsid w:val="00BE2AFD"/>
    <w:rsid w:val="00BE507C"/>
    <w:rsid w:val="00BE5FB6"/>
    <w:rsid w:val="00BE766D"/>
    <w:rsid w:val="00BE79DB"/>
    <w:rsid w:val="00BF118A"/>
    <w:rsid w:val="00BF11D7"/>
    <w:rsid w:val="00BF3E68"/>
    <w:rsid w:val="00BF467C"/>
    <w:rsid w:val="00BF7D62"/>
    <w:rsid w:val="00C0130E"/>
    <w:rsid w:val="00C02654"/>
    <w:rsid w:val="00C04D36"/>
    <w:rsid w:val="00C05CE6"/>
    <w:rsid w:val="00C05EB3"/>
    <w:rsid w:val="00C06FCE"/>
    <w:rsid w:val="00C07049"/>
    <w:rsid w:val="00C07C03"/>
    <w:rsid w:val="00C10747"/>
    <w:rsid w:val="00C109E5"/>
    <w:rsid w:val="00C10EB5"/>
    <w:rsid w:val="00C1168B"/>
    <w:rsid w:val="00C12025"/>
    <w:rsid w:val="00C133C8"/>
    <w:rsid w:val="00C1447E"/>
    <w:rsid w:val="00C1471F"/>
    <w:rsid w:val="00C15F7E"/>
    <w:rsid w:val="00C16D9C"/>
    <w:rsid w:val="00C17125"/>
    <w:rsid w:val="00C21159"/>
    <w:rsid w:val="00C21650"/>
    <w:rsid w:val="00C265C0"/>
    <w:rsid w:val="00C27482"/>
    <w:rsid w:val="00C2772C"/>
    <w:rsid w:val="00C30595"/>
    <w:rsid w:val="00C30AAD"/>
    <w:rsid w:val="00C30F0D"/>
    <w:rsid w:val="00C311B3"/>
    <w:rsid w:val="00C33D9D"/>
    <w:rsid w:val="00C35637"/>
    <w:rsid w:val="00C35ED7"/>
    <w:rsid w:val="00C36AC4"/>
    <w:rsid w:val="00C371F2"/>
    <w:rsid w:val="00C3734E"/>
    <w:rsid w:val="00C418FA"/>
    <w:rsid w:val="00C43222"/>
    <w:rsid w:val="00C44FA7"/>
    <w:rsid w:val="00C472A4"/>
    <w:rsid w:val="00C47D44"/>
    <w:rsid w:val="00C50CD4"/>
    <w:rsid w:val="00C530EA"/>
    <w:rsid w:val="00C60707"/>
    <w:rsid w:val="00C62EDF"/>
    <w:rsid w:val="00C630B4"/>
    <w:rsid w:val="00C654F4"/>
    <w:rsid w:val="00C66654"/>
    <w:rsid w:val="00C708D1"/>
    <w:rsid w:val="00C71F95"/>
    <w:rsid w:val="00C72C64"/>
    <w:rsid w:val="00C73585"/>
    <w:rsid w:val="00C73C0D"/>
    <w:rsid w:val="00C74330"/>
    <w:rsid w:val="00C7586A"/>
    <w:rsid w:val="00C76480"/>
    <w:rsid w:val="00C767BA"/>
    <w:rsid w:val="00C77547"/>
    <w:rsid w:val="00C778E6"/>
    <w:rsid w:val="00C81E07"/>
    <w:rsid w:val="00C822F8"/>
    <w:rsid w:val="00C82842"/>
    <w:rsid w:val="00C8388D"/>
    <w:rsid w:val="00C85D6A"/>
    <w:rsid w:val="00C874E9"/>
    <w:rsid w:val="00C9040A"/>
    <w:rsid w:val="00C90AFC"/>
    <w:rsid w:val="00C90D35"/>
    <w:rsid w:val="00C93167"/>
    <w:rsid w:val="00C94693"/>
    <w:rsid w:val="00C94898"/>
    <w:rsid w:val="00C96222"/>
    <w:rsid w:val="00C96B04"/>
    <w:rsid w:val="00CA015B"/>
    <w:rsid w:val="00CA177D"/>
    <w:rsid w:val="00CA2D32"/>
    <w:rsid w:val="00CA3FE6"/>
    <w:rsid w:val="00CA4757"/>
    <w:rsid w:val="00CB46B5"/>
    <w:rsid w:val="00CB4EB7"/>
    <w:rsid w:val="00CB5690"/>
    <w:rsid w:val="00CC0083"/>
    <w:rsid w:val="00CC03F4"/>
    <w:rsid w:val="00CC27F3"/>
    <w:rsid w:val="00CC3562"/>
    <w:rsid w:val="00CC5E5B"/>
    <w:rsid w:val="00CC772A"/>
    <w:rsid w:val="00CD14DB"/>
    <w:rsid w:val="00CD5782"/>
    <w:rsid w:val="00CD6F70"/>
    <w:rsid w:val="00CE2E0F"/>
    <w:rsid w:val="00CE6283"/>
    <w:rsid w:val="00CE67AA"/>
    <w:rsid w:val="00CE6F33"/>
    <w:rsid w:val="00CE73B5"/>
    <w:rsid w:val="00CE791D"/>
    <w:rsid w:val="00CE79D7"/>
    <w:rsid w:val="00CE7CE3"/>
    <w:rsid w:val="00CF2071"/>
    <w:rsid w:val="00CF244E"/>
    <w:rsid w:val="00CF278D"/>
    <w:rsid w:val="00CF37C7"/>
    <w:rsid w:val="00CF3CF8"/>
    <w:rsid w:val="00CF474D"/>
    <w:rsid w:val="00CF4C64"/>
    <w:rsid w:val="00CF5A64"/>
    <w:rsid w:val="00CF6622"/>
    <w:rsid w:val="00CF7472"/>
    <w:rsid w:val="00CF749A"/>
    <w:rsid w:val="00D0089A"/>
    <w:rsid w:val="00D014C7"/>
    <w:rsid w:val="00D01548"/>
    <w:rsid w:val="00D020DC"/>
    <w:rsid w:val="00D04D5F"/>
    <w:rsid w:val="00D04DFA"/>
    <w:rsid w:val="00D05F35"/>
    <w:rsid w:val="00D06393"/>
    <w:rsid w:val="00D06E5E"/>
    <w:rsid w:val="00D06F79"/>
    <w:rsid w:val="00D10597"/>
    <w:rsid w:val="00D120A3"/>
    <w:rsid w:val="00D138F0"/>
    <w:rsid w:val="00D13E6C"/>
    <w:rsid w:val="00D1584B"/>
    <w:rsid w:val="00D219E9"/>
    <w:rsid w:val="00D2205B"/>
    <w:rsid w:val="00D2282B"/>
    <w:rsid w:val="00D22F1D"/>
    <w:rsid w:val="00D23111"/>
    <w:rsid w:val="00D23418"/>
    <w:rsid w:val="00D24606"/>
    <w:rsid w:val="00D2620A"/>
    <w:rsid w:val="00D3056A"/>
    <w:rsid w:val="00D30AED"/>
    <w:rsid w:val="00D30E49"/>
    <w:rsid w:val="00D30F84"/>
    <w:rsid w:val="00D31091"/>
    <w:rsid w:val="00D3220D"/>
    <w:rsid w:val="00D3231F"/>
    <w:rsid w:val="00D33CFE"/>
    <w:rsid w:val="00D33DDE"/>
    <w:rsid w:val="00D345B4"/>
    <w:rsid w:val="00D347EF"/>
    <w:rsid w:val="00D34DA4"/>
    <w:rsid w:val="00D3752F"/>
    <w:rsid w:val="00D40DDE"/>
    <w:rsid w:val="00D43018"/>
    <w:rsid w:val="00D43970"/>
    <w:rsid w:val="00D43CA5"/>
    <w:rsid w:val="00D44CA5"/>
    <w:rsid w:val="00D45F18"/>
    <w:rsid w:val="00D46989"/>
    <w:rsid w:val="00D46E12"/>
    <w:rsid w:val="00D50495"/>
    <w:rsid w:val="00D50734"/>
    <w:rsid w:val="00D507C0"/>
    <w:rsid w:val="00D513CC"/>
    <w:rsid w:val="00D567B2"/>
    <w:rsid w:val="00D62AA4"/>
    <w:rsid w:val="00D6318F"/>
    <w:rsid w:val="00D650BB"/>
    <w:rsid w:val="00D6540A"/>
    <w:rsid w:val="00D66115"/>
    <w:rsid w:val="00D70438"/>
    <w:rsid w:val="00D70BA2"/>
    <w:rsid w:val="00D717AD"/>
    <w:rsid w:val="00D720AD"/>
    <w:rsid w:val="00D73D04"/>
    <w:rsid w:val="00D74A18"/>
    <w:rsid w:val="00D74D3E"/>
    <w:rsid w:val="00D757C6"/>
    <w:rsid w:val="00D75C41"/>
    <w:rsid w:val="00D763D3"/>
    <w:rsid w:val="00D80529"/>
    <w:rsid w:val="00D80F78"/>
    <w:rsid w:val="00D81AC3"/>
    <w:rsid w:val="00D81C59"/>
    <w:rsid w:val="00D82A5B"/>
    <w:rsid w:val="00D84637"/>
    <w:rsid w:val="00D8473B"/>
    <w:rsid w:val="00D85780"/>
    <w:rsid w:val="00D86A59"/>
    <w:rsid w:val="00D925AA"/>
    <w:rsid w:val="00D9283D"/>
    <w:rsid w:val="00D930DD"/>
    <w:rsid w:val="00D9341C"/>
    <w:rsid w:val="00D94B7D"/>
    <w:rsid w:val="00DA1560"/>
    <w:rsid w:val="00DA2497"/>
    <w:rsid w:val="00DA24C2"/>
    <w:rsid w:val="00DA268F"/>
    <w:rsid w:val="00DA2B36"/>
    <w:rsid w:val="00DA3550"/>
    <w:rsid w:val="00DA4C44"/>
    <w:rsid w:val="00DA4C48"/>
    <w:rsid w:val="00DA4E21"/>
    <w:rsid w:val="00DA54F8"/>
    <w:rsid w:val="00DA71EF"/>
    <w:rsid w:val="00DA7A18"/>
    <w:rsid w:val="00DB1347"/>
    <w:rsid w:val="00DB28CE"/>
    <w:rsid w:val="00DB29BC"/>
    <w:rsid w:val="00DB2A2A"/>
    <w:rsid w:val="00DB479F"/>
    <w:rsid w:val="00DB55B6"/>
    <w:rsid w:val="00DB5F21"/>
    <w:rsid w:val="00DB6D7C"/>
    <w:rsid w:val="00DB700C"/>
    <w:rsid w:val="00DB7FE0"/>
    <w:rsid w:val="00DC090A"/>
    <w:rsid w:val="00DC0E7E"/>
    <w:rsid w:val="00DC30EA"/>
    <w:rsid w:val="00DC478B"/>
    <w:rsid w:val="00DC4FE9"/>
    <w:rsid w:val="00DC5918"/>
    <w:rsid w:val="00DC6C8D"/>
    <w:rsid w:val="00DC73A5"/>
    <w:rsid w:val="00DC773A"/>
    <w:rsid w:val="00DD0236"/>
    <w:rsid w:val="00DD02A8"/>
    <w:rsid w:val="00DD76A4"/>
    <w:rsid w:val="00DD7C65"/>
    <w:rsid w:val="00DE03E4"/>
    <w:rsid w:val="00DE1134"/>
    <w:rsid w:val="00DE1AEB"/>
    <w:rsid w:val="00DE34BC"/>
    <w:rsid w:val="00DE4732"/>
    <w:rsid w:val="00DE4744"/>
    <w:rsid w:val="00DE6668"/>
    <w:rsid w:val="00DE6987"/>
    <w:rsid w:val="00DF199A"/>
    <w:rsid w:val="00DF2D0A"/>
    <w:rsid w:val="00E005A4"/>
    <w:rsid w:val="00E0080A"/>
    <w:rsid w:val="00E00F31"/>
    <w:rsid w:val="00E02242"/>
    <w:rsid w:val="00E02E6F"/>
    <w:rsid w:val="00E0300E"/>
    <w:rsid w:val="00E04AE0"/>
    <w:rsid w:val="00E06D4A"/>
    <w:rsid w:val="00E070D0"/>
    <w:rsid w:val="00E101C9"/>
    <w:rsid w:val="00E10417"/>
    <w:rsid w:val="00E11517"/>
    <w:rsid w:val="00E13727"/>
    <w:rsid w:val="00E143BA"/>
    <w:rsid w:val="00E15A4D"/>
    <w:rsid w:val="00E20254"/>
    <w:rsid w:val="00E219EB"/>
    <w:rsid w:val="00E21DBA"/>
    <w:rsid w:val="00E22C13"/>
    <w:rsid w:val="00E23B90"/>
    <w:rsid w:val="00E25045"/>
    <w:rsid w:val="00E25CA3"/>
    <w:rsid w:val="00E2677C"/>
    <w:rsid w:val="00E26D83"/>
    <w:rsid w:val="00E27A1E"/>
    <w:rsid w:val="00E306E9"/>
    <w:rsid w:val="00E307DC"/>
    <w:rsid w:val="00E334B9"/>
    <w:rsid w:val="00E33905"/>
    <w:rsid w:val="00E342D1"/>
    <w:rsid w:val="00E34B96"/>
    <w:rsid w:val="00E3605F"/>
    <w:rsid w:val="00E37502"/>
    <w:rsid w:val="00E40127"/>
    <w:rsid w:val="00E415C4"/>
    <w:rsid w:val="00E43074"/>
    <w:rsid w:val="00E431C8"/>
    <w:rsid w:val="00E44926"/>
    <w:rsid w:val="00E44E09"/>
    <w:rsid w:val="00E45D53"/>
    <w:rsid w:val="00E46DBD"/>
    <w:rsid w:val="00E46F2A"/>
    <w:rsid w:val="00E51708"/>
    <w:rsid w:val="00E51729"/>
    <w:rsid w:val="00E53139"/>
    <w:rsid w:val="00E5327A"/>
    <w:rsid w:val="00E53A8F"/>
    <w:rsid w:val="00E5435E"/>
    <w:rsid w:val="00E55A81"/>
    <w:rsid w:val="00E55BDA"/>
    <w:rsid w:val="00E56450"/>
    <w:rsid w:val="00E5699F"/>
    <w:rsid w:val="00E56CCD"/>
    <w:rsid w:val="00E56DA8"/>
    <w:rsid w:val="00E5783D"/>
    <w:rsid w:val="00E60ACC"/>
    <w:rsid w:val="00E60C4B"/>
    <w:rsid w:val="00E60E21"/>
    <w:rsid w:val="00E655A1"/>
    <w:rsid w:val="00E66638"/>
    <w:rsid w:val="00E6706E"/>
    <w:rsid w:val="00E71B23"/>
    <w:rsid w:val="00E7211D"/>
    <w:rsid w:val="00E73032"/>
    <w:rsid w:val="00E7311F"/>
    <w:rsid w:val="00E757CA"/>
    <w:rsid w:val="00E75D48"/>
    <w:rsid w:val="00E75E12"/>
    <w:rsid w:val="00E773CD"/>
    <w:rsid w:val="00E774C9"/>
    <w:rsid w:val="00E80964"/>
    <w:rsid w:val="00E821E1"/>
    <w:rsid w:val="00E83AC3"/>
    <w:rsid w:val="00E83E50"/>
    <w:rsid w:val="00E841A6"/>
    <w:rsid w:val="00E84BCB"/>
    <w:rsid w:val="00E85905"/>
    <w:rsid w:val="00E90DC4"/>
    <w:rsid w:val="00E9163F"/>
    <w:rsid w:val="00E91CB7"/>
    <w:rsid w:val="00E956E8"/>
    <w:rsid w:val="00EA022D"/>
    <w:rsid w:val="00EA0D10"/>
    <w:rsid w:val="00EA0F2C"/>
    <w:rsid w:val="00EA19CB"/>
    <w:rsid w:val="00EA2C8F"/>
    <w:rsid w:val="00EA2F9A"/>
    <w:rsid w:val="00EA5D64"/>
    <w:rsid w:val="00EA613A"/>
    <w:rsid w:val="00EA6A8C"/>
    <w:rsid w:val="00EB0200"/>
    <w:rsid w:val="00EB2AD1"/>
    <w:rsid w:val="00EB3067"/>
    <w:rsid w:val="00EB353E"/>
    <w:rsid w:val="00EB5383"/>
    <w:rsid w:val="00EB56E0"/>
    <w:rsid w:val="00EB5DDF"/>
    <w:rsid w:val="00EB6E66"/>
    <w:rsid w:val="00EC3CEC"/>
    <w:rsid w:val="00EC4625"/>
    <w:rsid w:val="00ED139E"/>
    <w:rsid w:val="00ED1759"/>
    <w:rsid w:val="00ED27A5"/>
    <w:rsid w:val="00ED445D"/>
    <w:rsid w:val="00ED461C"/>
    <w:rsid w:val="00ED55F9"/>
    <w:rsid w:val="00ED5E2B"/>
    <w:rsid w:val="00ED71DF"/>
    <w:rsid w:val="00ED780E"/>
    <w:rsid w:val="00EE01C2"/>
    <w:rsid w:val="00EE0974"/>
    <w:rsid w:val="00EE098F"/>
    <w:rsid w:val="00EE1398"/>
    <w:rsid w:val="00EE37A2"/>
    <w:rsid w:val="00EE3B12"/>
    <w:rsid w:val="00EE5290"/>
    <w:rsid w:val="00EE5AF3"/>
    <w:rsid w:val="00EE5E91"/>
    <w:rsid w:val="00EE5F8C"/>
    <w:rsid w:val="00EE73BC"/>
    <w:rsid w:val="00EF00AA"/>
    <w:rsid w:val="00EF2B69"/>
    <w:rsid w:val="00EF300D"/>
    <w:rsid w:val="00EF3F25"/>
    <w:rsid w:val="00EF5C49"/>
    <w:rsid w:val="00F0026A"/>
    <w:rsid w:val="00F021E7"/>
    <w:rsid w:val="00F02584"/>
    <w:rsid w:val="00F02627"/>
    <w:rsid w:val="00F026C1"/>
    <w:rsid w:val="00F039D1"/>
    <w:rsid w:val="00F05B06"/>
    <w:rsid w:val="00F05BEC"/>
    <w:rsid w:val="00F05D0F"/>
    <w:rsid w:val="00F05DB4"/>
    <w:rsid w:val="00F06DE4"/>
    <w:rsid w:val="00F07C4D"/>
    <w:rsid w:val="00F13358"/>
    <w:rsid w:val="00F1456D"/>
    <w:rsid w:val="00F15387"/>
    <w:rsid w:val="00F15CCA"/>
    <w:rsid w:val="00F15D8B"/>
    <w:rsid w:val="00F17D58"/>
    <w:rsid w:val="00F20C1D"/>
    <w:rsid w:val="00F21B2F"/>
    <w:rsid w:val="00F21CF0"/>
    <w:rsid w:val="00F228F5"/>
    <w:rsid w:val="00F23FD4"/>
    <w:rsid w:val="00F24143"/>
    <w:rsid w:val="00F241BE"/>
    <w:rsid w:val="00F24962"/>
    <w:rsid w:val="00F24F5D"/>
    <w:rsid w:val="00F25038"/>
    <w:rsid w:val="00F30469"/>
    <w:rsid w:val="00F3124A"/>
    <w:rsid w:val="00F31D41"/>
    <w:rsid w:val="00F33A88"/>
    <w:rsid w:val="00F34539"/>
    <w:rsid w:val="00F35005"/>
    <w:rsid w:val="00F364CB"/>
    <w:rsid w:val="00F375BD"/>
    <w:rsid w:val="00F37601"/>
    <w:rsid w:val="00F37D1D"/>
    <w:rsid w:val="00F4058E"/>
    <w:rsid w:val="00F4220F"/>
    <w:rsid w:val="00F423B8"/>
    <w:rsid w:val="00F43F58"/>
    <w:rsid w:val="00F45507"/>
    <w:rsid w:val="00F46014"/>
    <w:rsid w:val="00F46C02"/>
    <w:rsid w:val="00F47670"/>
    <w:rsid w:val="00F509C8"/>
    <w:rsid w:val="00F51371"/>
    <w:rsid w:val="00F51AF6"/>
    <w:rsid w:val="00F51DEF"/>
    <w:rsid w:val="00F52005"/>
    <w:rsid w:val="00F52633"/>
    <w:rsid w:val="00F56113"/>
    <w:rsid w:val="00F5640F"/>
    <w:rsid w:val="00F56735"/>
    <w:rsid w:val="00F60F94"/>
    <w:rsid w:val="00F615F9"/>
    <w:rsid w:val="00F62055"/>
    <w:rsid w:val="00F620BE"/>
    <w:rsid w:val="00F645CB"/>
    <w:rsid w:val="00F64DC5"/>
    <w:rsid w:val="00F65C4A"/>
    <w:rsid w:val="00F708FE"/>
    <w:rsid w:val="00F70B6B"/>
    <w:rsid w:val="00F70EB5"/>
    <w:rsid w:val="00F73938"/>
    <w:rsid w:val="00F73E87"/>
    <w:rsid w:val="00F74224"/>
    <w:rsid w:val="00F747A9"/>
    <w:rsid w:val="00F752C0"/>
    <w:rsid w:val="00F76696"/>
    <w:rsid w:val="00F7768F"/>
    <w:rsid w:val="00F77A84"/>
    <w:rsid w:val="00F83BBF"/>
    <w:rsid w:val="00F85263"/>
    <w:rsid w:val="00F87905"/>
    <w:rsid w:val="00F9229E"/>
    <w:rsid w:val="00F92724"/>
    <w:rsid w:val="00F92A12"/>
    <w:rsid w:val="00F942E2"/>
    <w:rsid w:val="00F9523B"/>
    <w:rsid w:val="00F9560B"/>
    <w:rsid w:val="00F95755"/>
    <w:rsid w:val="00F96968"/>
    <w:rsid w:val="00F96E67"/>
    <w:rsid w:val="00F96E92"/>
    <w:rsid w:val="00FA1137"/>
    <w:rsid w:val="00FA13CB"/>
    <w:rsid w:val="00FA2434"/>
    <w:rsid w:val="00FA2BE9"/>
    <w:rsid w:val="00FA31AE"/>
    <w:rsid w:val="00FA4FCD"/>
    <w:rsid w:val="00FB1DA4"/>
    <w:rsid w:val="00FB2973"/>
    <w:rsid w:val="00FB42CF"/>
    <w:rsid w:val="00FB511E"/>
    <w:rsid w:val="00FB7B5E"/>
    <w:rsid w:val="00FC07DD"/>
    <w:rsid w:val="00FC2B86"/>
    <w:rsid w:val="00FC48B5"/>
    <w:rsid w:val="00FC4CA2"/>
    <w:rsid w:val="00FC7629"/>
    <w:rsid w:val="00FC7B2A"/>
    <w:rsid w:val="00FD3D67"/>
    <w:rsid w:val="00FD3F88"/>
    <w:rsid w:val="00FD418B"/>
    <w:rsid w:val="00FD449C"/>
    <w:rsid w:val="00FD536A"/>
    <w:rsid w:val="00FE1D61"/>
    <w:rsid w:val="00FE3CEC"/>
    <w:rsid w:val="00FE4145"/>
    <w:rsid w:val="00FE5C39"/>
    <w:rsid w:val="00FE5F2D"/>
    <w:rsid w:val="00FE6236"/>
    <w:rsid w:val="00FE65F9"/>
    <w:rsid w:val="00FE674B"/>
    <w:rsid w:val="00FE743E"/>
    <w:rsid w:val="00FF0810"/>
    <w:rsid w:val="00FF0E4C"/>
    <w:rsid w:val="00FF11E6"/>
    <w:rsid w:val="00FF32F3"/>
    <w:rsid w:val="00FF60ED"/>
    <w:rsid w:val="00FF6A5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49">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9A"/>
    <w:rPr>
      <w:szCs w:val="24"/>
      <w:lang w:val="en-AU" w:eastAsia="en-AU"/>
    </w:rPr>
  </w:style>
  <w:style w:type="paragraph" w:styleId="Heading1">
    <w:name w:val="heading 1"/>
    <w:basedOn w:val="Normal"/>
    <w:next w:val="BodyText"/>
    <w:qFormat/>
    <w:rsid w:val="0063679A"/>
    <w:pPr>
      <w:keepNext/>
      <w:pageBreakBefore/>
      <w:numPr>
        <w:numId w:val="12"/>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63679A"/>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qFormat/>
    <w:rsid w:val="0063679A"/>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63679A"/>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63679A"/>
    <w:pPr>
      <w:keepNext/>
      <w:numPr>
        <w:ilvl w:val="4"/>
        <w:numId w:val="12"/>
      </w:numPr>
      <w:spacing w:before="320" w:after="0"/>
      <w:outlineLvl w:val="4"/>
    </w:pPr>
    <w:rPr>
      <w:b/>
      <w:color w:val="54534A"/>
    </w:rPr>
  </w:style>
  <w:style w:type="paragraph" w:styleId="Heading6">
    <w:name w:val="heading 6"/>
    <w:basedOn w:val="Heading1"/>
    <w:next w:val="BodyText"/>
    <w:qFormat/>
    <w:rsid w:val="0063679A"/>
    <w:pPr>
      <w:numPr>
        <w:ilvl w:val="5"/>
      </w:numPr>
      <w:outlineLvl w:val="5"/>
    </w:pPr>
    <w:rPr>
      <w:bCs/>
    </w:rPr>
  </w:style>
  <w:style w:type="paragraph" w:styleId="Heading7">
    <w:name w:val="heading 7"/>
    <w:basedOn w:val="Heading2"/>
    <w:next w:val="BodyText"/>
    <w:qFormat/>
    <w:rsid w:val="0063679A"/>
    <w:pPr>
      <w:numPr>
        <w:ilvl w:val="6"/>
      </w:numPr>
      <w:outlineLvl w:val="6"/>
    </w:pPr>
  </w:style>
  <w:style w:type="paragraph" w:styleId="Heading8">
    <w:name w:val="heading 8"/>
    <w:basedOn w:val="Heading3"/>
    <w:next w:val="BodyText"/>
    <w:qFormat/>
    <w:rsid w:val="0063679A"/>
    <w:pPr>
      <w:numPr>
        <w:ilvl w:val="7"/>
      </w:numPr>
      <w:outlineLvl w:val="7"/>
    </w:pPr>
  </w:style>
  <w:style w:type="paragraph" w:styleId="Heading9">
    <w:name w:val="heading 9"/>
    <w:basedOn w:val="Heading4"/>
    <w:next w:val="BodyText"/>
    <w:qFormat/>
    <w:rsid w:val="0063679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679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63679A"/>
    <w:rPr>
      <w:rFonts w:ascii="Georgia" w:hAnsi="Georgia"/>
      <w:sz w:val="19"/>
      <w:szCs w:val="19"/>
      <w:lang w:val="en-AU" w:eastAsia="en-AU" w:bidi="ar-SA"/>
    </w:rPr>
  </w:style>
  <w:style w:type="paragraph" w:customStyle="1" w:styleId="CharChar">
    <w:name w:val="Char Char"/>
    <w:basedOn w:val="Normal"/>
    <w:semiHidden/>
    <w:rsid w:val="0063679A"/>
    <w:pPr>
      <w:spacing w:before="180" w:line="280" w:lineRule="atLeast"/>
    </w:pPr>
    <w:rPr>
      <w:rFonts w:ascii="Arial" w:hAnsi="Arial"/>
      <w:sz w:val="22"/>
      <w:szCs w:val="20"/>
      <w:lang w:eastAsia="en-US"/>
    </w:rPr>
  </w:style>
  <w:style w:type="character" w:customStyle="1" w:styleId="Heading3Char">
    <w:name w:val="Heading 3 Char"/>
    <w:basedOn w:val="DefaultParagraphFont"/>
    <w:link w:val="Heading3"/>
    <w:semiHidden/>
    <w:locked/>
    <w:rsid w:val="00133847"/>
    <w:rPr>
      <w:rFonts w:ascii="Franklin Gothic Medium" w:hAnsi="Franklin Gothic Medium"/>
      <w:color w:val="54534A"/>
      <w:kern w:val="28"/>
      <w:sz w:val="24"/>
      <w:szCs w:val="24"/>
      <w:lang w:val="en-AU" w:eastAsia="en-AU" w:bidi="ar-SA"/>
    </w:rPr>
  </w:style>
  <w:style w:type="character" w:customStyle="1" w:styleId="DraftingNote">
    <w:name w:val="Drafting Note"/>
    <w:basedOn w:val="DefaultParagraphFont"/>
    <w:rsid w:val="0063679A"/>
    <w:rPr>
      <w:rFonts w:ascii="Georgia" w:hAnsi="Georgia"/>
      <w:b/>
      <w:color w:val="FF0000"/>
      <w:sz w:val="19"/>
      <w:szCs w:val="19"/>
      <w:u w:val="dotted"/>
    </w:rPr>
  </w:style>
  <w:style w:type="paragraph" w:customStyle="1" w:styleId="Heading1unnumbered">
    <w:name w:val="Heading 1 unnumbered"/>
    <w:basedOn w:val="Heading1"/>
    <w:next w:val="BodyText"/>
    <w:rsid w:val="0063679A"/>
    <w:pPr>
      <w:numPr>
        <w:numId w:val="0"/>
      </w:numPr>
    </w:pPr>
  </w:style>
  <w:style w:type="paragraph" w:customStyle="1" w:styleId="Heading2unnumbered">
    <w:name w:val="Heading 2 unnumbered"/>
    <w:basedOn w:val="Heading2"/>
    <w:next w:val="BodyText"/>
    <w:rsid w:val="0063679A"/>
    <w:pPr>
      <w:numPr>
        <w:ilvl w:val="0"/>
        <w:numId w:val="0"/>
      </w:numPr>
    </w:pPr>
  </w:style>
  <w:style w:type="paragraph" w:customStyle="1" w:styleId="Heading7unnumbered">
    <w:name w:val="Heading 7 unnumbered"/>
    <w:basedOn w:val="Heading7"/>
    <w:next w:val="BodyText"/>
    <w:semiHidden/>
    <w:rsid w:val="0063679A"/>
    <w:pPr>
      <w:numPr>
        <w:ilvl w:val="0"/>
        <w:numId w:val="0"/>
      </w:numPr>
    </w:pPr>
  </w:style>
  <w:style w:type="paragraph" w:styleId="ListBullet">
    <w:name w:val="List Bullet"/>
    <w:basedOn w:val="BodyText"/>
    <w:rsid w:val="0063679A"/>
    <w:pPr>
      <w:numPr>
        <w:numId w:val="10"/>
      </w:numPr>
      <w:spacing w:before="0"/>
    </w:pPr>
  </w:style>
  <w:style w:type="paragraph" w:styleId="ListBullet2">
    <w:name w:val="List Bullet 2"/>
    <w:basedOn w:val="ListBullet"/>
    <w:rsid w:val="0063679A"/>
    <w:pPr>
      <w:numPr>
        <w:numId w:val="11"/>
      </w:numPr>
    </w:pPr>
  </w:style>
  <w:style w:type="paragraph" w:styleId="ListNumber">
    <w:name w:val="List Number"/>
    <w:basedOn w:val="ListBullet"/>
    <w:rsid w:val="0063679A"/>
    <w:pPr>
      <w:numPr>
        <w:numId w:val="13"/>
      </w:numPr>
    </w:pPr>
  </w:style>
  <w:style w:type="paragraph" w:styleId="ListNumber2">
    <w:name w:val="List Number 2"/>
    <w:basedOn w:val="ListNumber"/>
    <w:rsid w:val="0063679A"/>
    <w:pPr>
      <w:numPr>
        <w:numId w:val="14"/>
      </w:numPr>
    </w:pPr>
  </w:style>
  <w:style w:type="paragraph" w:styleId="Quote">
    <w:name w:val="Quote"/>
    <w:basedOn w:val="BodyText"/>
    <w:next w:val="BodyText"/>
    <w:qFormat/>
    <w:rsid w:val="0063679A"/>
    <w:pPr>
      <w:spacing w:before="0" w:line="260" w:lineRule="atLeast"/>
      <w:ind w:left="284"/>
    </w:pPr>
    <w:rPr>
      <w:sz w:val="17"/>
      <w:szCs w:val="17"/>
    </w:rPr>
  </w:style>
  <w:style w:type="character" w:customStyle="1" w:styleId="CommentTextChar">
    <w:name w:val="Comment Text Char"/>
    <w:basedOn w:val="DefaultParagraphFont"/>
    <w:link w:val="CommentText"/>
    <w:semiHidden/>
    <w:locked/>
    <w:rsid w:val="00156AC5"/>
    <w:rPr>
      <w:rFonts w:ascii="Georgia" w:hAnsi="Georgia"/>
      <w:sz w:val="19"/>
      <w:szCs w:val="19"/>
      <w:lang w:val="en-AU" w:eastAsia="en-AU" w:bidi="ar-SA"/>
    </w:rPr>
  </w:style>
  <w:style w:type="paragraph" w:styleId="CommentText">
    <w:name w:val="annotation text"/>
    <w:basedOn w:val="BodyText"/>
    <w:link w:val="CommentTextChar"/>
    <w:rsid w:val="0063679A"/>
    <w:pPr>
      <w:spacing w:before="0" w:after="0" w:line="240" w:lineRule="atLeast"/>
    </w:pPr>
  </w:style>
  <w:style w:type="paragraph" w:customStyle="1" w:styleId="Reference">
    <w:name w:val="Reference"/>
    <w:basedOn w:val="BodyText"/>
    <w:rsid w:val="0063679A"/>
    <w:pPr>
      <w:keepLines/>
      <w:spacing w:before="60" w:after="60" w:line="260" w:lineRule="atLeast"/>
      <w:ind w:left="284" w:hanging="284"/>
    </w:pPr>
    <w:rPr>
      <w:sz w:val="17"/>
      <w:szCs w:val="17"/>
    </w:rPr>
  </w:style>
  <w:style w:type="paragraph" w:styleId="Title">
    <w:name w:val="Title"/>
    <w:basedOn w:val="Normal"/>
    <w:next w:val="Subtitle"/>
    <w:link w:val="TitleChar"/>
    <w:qFormat/>
    <w:rsid w:val="0063679A"/>
    <w:pPr>
      <w:pageBreakBefore/>
      <w:spacing w:before="1800" w:line="640" w:lineRule="atLeast"/>
      <w:ind w:left="2381" w:right="-1418"/>
    </w:pPr>
    <w:rPr>
      <w:rFonts w:ascii="Franklin Gothic Book" w:hAnsi="Franklin Gothic Book"/>
      <w:color w:val="5A9A98"/>
      <w:kern w:val="28"/>
      <w:sz w:val="50"/>
      <w:szCs w:val="50"/>
    </w:rPr>
  </w:style>
  <w:style w:type="paragraph" w:styleId="Subtitle">
    <w:name w:val="Subtitle"/>
    <w:basedOn w:val="Title"/>
    <w:next w:val="Date"/>
    <w:link w:val="SubtitleChar"/>
    <w:qFormat/>
    <w:rsid w:val="0063679A"/>
    <w:pPr>
      <w:pageBreakBefore w:val="0"/>
      <w:spacing w:before="200" w:line="380" w:lineRule="atLeast"/>
    </w:pPr>
    <w:rPr>
      <w:sz w:val="32"/>
      <w:szCs w:val="32"/>
    </w:rPr>
  </w:style>
  <w:style w:type="paragraph" w:styleId="Date">
    <w:name w:val="Date"/>
    <w:basedOn w:val="Subtitle"/>
    <w:next w:val="Author"/>
    <w:link w:val="DateChar"/>
    <w:rsid w:val="0063679A"/>
    <w:pPr>
      <w:spacing w:after="600"/>
    </w:pPr>
    <w:rPr>
      <w:sz w:val="24"/>
      <w:szCs w:val="24"/>
    </w:rPr>
  </w:style>
  <w:style w:type="paragraph" w:customStyle="1" w:styleId="Author">
    <w:name w:val="Author"/>
    <w:basedOn w:val="Date"/>
    <w:next w:val="Position"/>
    <w:link w:val="AuthorCharChar"/>
    <w:rsid w:val="0063679A"/>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rsid w:val="0063679A"/>
    <w:pPr>
      <w:spacing w:before="0"/>
    </w:pPr>
    <w:rPr>
      <w:rFonts w:ascii="Franklin Gothic Book" w:hAnsi="Franklin Gothic Book"/>
    </w:rPr>
  </w:style>
  <w:style w:type="character" w:customStyle="1" w:styleId="PositionCharChar">
    <w:name w:val="Position Char Char"/>
    <w:basedOn w:val="AuthorCharChar"/>
    <w:link w:val="Position"/>
    <w:rsid w:val="0063679A"/>
    <w:rPr>
      <w:rFonts w:ascii="Franklin Gothic Book" w:hAnsi="Franklin Gothic Book"/>
      <w:color w:val="5A9A98"/>
      <w:spacing w:val="-2"/>
      <w:kern w:val="28"/>
      <w:sz w:val="24"/>
      <w:szCs w:val="24"/>
      <w:lang w:val="en-AU" w:eastAsia="en-AU" w:bidi="ar-SA"/>
    </w:rPr>
  </w:style>
  <w:style w:type="character" w:customStyle="1" w:styleId="AuthorCharChar">
    <w:name w:val="Author Char Char"/>
    <w:basedOn w:val="DateChar"/>
    <w:link w:val="Author"/>
    <w:rsid w:val="0063679A"/>
    <w:rPr>
      <w:rFonts w:ascii="Franklin Gothic Medium" w:hAnsi="Franklin Gothic Medium"/>
      <w:color w:val="5A9A98"/>
      <w:spacing w:val="-2"/>
      <w:kern w:val="28"/>
      <w:sz w:val="24"/>
      <w:szCs w:val="24"/>
      <w:lang w:val="en-AU" w:eastAsia="en-AU" w:bidi="ar-SA"/>
    </w:rPr>
  </w:style>
  <w:style w:type="character" w:customStyle="1" w:styleId="DateChar">
    <w:name w:val="Date Char"/>
    <w:basedOn w:val="SubtitleChar"/>
    <w:link w:val="Date"/>
    <w:rsid w:val="0063679A"/>
    <w:rPr>
      <w:rFonts w:ascii="Franklin Gothic Book" w:hAnsi="Franklin Gothic Book"/>
      <w:color w:val="5A9A98"/>
      <w:kern w:val="28"/>
      <w:sz w:val="24"/>
      <w:szCs w:val="24"/>
      <w:lang w:val="en-AU" w:eastAsia="en-AU" w:bidi="ar-SA"/>
    </w:rPr>
  </w:style>
  <w:style w:type="character" w:customStyle="1" w:styleId="SubtitleChar">
    <w:name w:val="Subtitle Char"/>
    <w:basedOn w:val="TitleChar"/>
    <w:link w:val="Subtitle"/>
    <w:rsid w:val="0063679A"/>
    <w:rPr>
      <w:rFonts w:ascii="Franklin Gothic Book" w:hAnsi="Franklin Gothic Book"/>
      <w:color w:val="5A9A98"/>
      <w:kern w:val="28"/>
      <w:sz w:val="32"/>
      <w:szCs w:val="32"/>
      <w:lang w:val="en-AU" w:eastAsia="en-AU" w:bidi="ar-SA"/>
    </w:rPr>
  </w:style>
  <w:style w:type="character" w:customStyle="1" w:styleId="TitleChar">
    <w:name w:val="Title Char"/>
    <w:basedOn w:val="DefaultParagraphFont"/>
    <w:link w:val="Title"/>
    <w:rsid w:val="0063679A"/>
    <w:rPr>
      <w:rFonts w:ascii="Franklin Gothic Book" w:hAnsi="Franklin Gothic Book"/>
      <w:color w:val="5A9A98"/>
      <w:kern w:val="28"/>
      <w:sz w:val="50"/>
      <w:szCs w:val="50"/>
      <w:lang w:val="en-AU" w:eastAsia="en-AU" w:bidi="ar-SA"/>
    </w:rPr>
  </w:style>
  <w:style w:type="paragraph" w:customStyle="1" w:styleId="Contents">
    <w:name w:val="Contents"/>
    <w:basedOn w:val="Normal"/>
    <w:next w:val="BodyText"/>
    <w:semiHidden/>
    <w:rsid w:val="0063679A"/>
    <w:pPr>
      <w:pageBreakBefore/>
      <w:spacing w:after="1860" w:line="540" w:lineRule="exact"/>
    </w:pPr>
    <w:rPr>
      <w:rFonts w:ascii="Franklin Gothic Book" w:hAnsi="Franklin Gothic Book"/>
      <w:color w:val="AD495D"/>
      <w:kern w:val="28"/>
      <w:sz w:val="50"/>
      <w:szCs w:val="50"/>
    </w:rPr>
  </w:style>
  <w:style w:type="paragraph" w:styleId="Footer">
    <w:name w:val="footer"/>
    <w:basedOn w:val="Normal"/>
    <w:semiHidden/>
    <w:rsid w:val="0063679A"/>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63679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63679A"/>
    <w:rPr>
      <w:rFonts w:ascii="Franklin Gothic Medium" w:hAnsi="Franklin Gothic Medium"/>
      <w:color w:val="54534A"/>
      <w:sz w:val="14"/>
      <w:szCs w:val="14"/>
    </w:rPr>
  </w:style>
  <w:style w:type="paragraph" w:styleId="TOC1">
    <w:name w:val="toc 1"/>
    <w:basedOn w:val="BodyText"/>
    <w:next w:val="BodyText"/>
    <w:uiPriority w:val="39"/>
    <w:rsid w:val="000877AF"/>
    <w:pPr>
      <w:tabs>
        <w:tab w:val="left" w:pos="397"/>
        <w:tab w:val="right" w:pos="7938"/>
      </w:tabs>
      <w:spacing w:before="24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0877AF"/>
    <w:pPr>
      <w:spacing w:before="6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63679A"/>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63679A"/>
    <w:rPr>
      <w:rFonts w:ascii="Franklin Gothic Book" w:hAnsi="Franklin Gothic Book"/>
      <w:color w:val="auto"/>
      <w:sz w:val="17"/>
      <w:szCs w:val="17"/>
    </w:rPr>
  </w:style>
  <w:style w:type="paragraph" w:customStyle="1" w:styleId="Invisiblepara">
    <w:name w:val="Invisible para"/>
    <w:basedOn w:val="Normal"/>
    <w:semiHidden/>
    <w:rsid w:val="0063679A"/>
    <w:pPr>
      <w:keepNext/>
      <w:spacing w:before="320" w:line="80" w:lineRule="exact"/>
    </w:pPr>
    <w:rPr>
      <w:sz w:val="21"/>
      <w:szCs w:val="20"/>
    </w:rPr>
  </w:style>
  <w:style w:type="paragraph" w:styleId="Caption">
    <w:name w:val="caption"/>
    <w:basedOn w:val="Normal"/>
    <w:next w:val="BodyText"/>
    <w:qFormat/>
    <w:rsid w:val="0063679A"/>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3679A"/>
    <w:pPr>
      <w:keepLines/>
      <w:numPr>
        <w:numId w:val="5"/>
      </w:numPr>
      <w:spacing w:before="0"/>
    </w:pPr>
    <w:rPr>
      <w:szCs w:val="20"/>
    </w:rPr>
  </w:style>
  <w:style w:type="paragraph" w:customStyle="1" w:styleId="BoxText">
    <w:name w:val="Box Text"/>
    <w:basedOn w:val="Normal"/>
    <w:rsid w:val="0063679A"/>
    <w:pPr>
      <w:spacing w:before="60" w:after="60" w:line="260" w:lineRule="atLeast"/>
    </w:pPr>
    <w:rPr>
      <w:rFonts w:ascii="Franklin Gothic Book" w:hAnsi="Franklin Gothic Book"/>
      <w:sz w:val="18"/>
      <w:szCs w:val="18"/>
    </w:rPr>
  </w:style>
  <w:style w:type="character" w:customStyle="1" w:styleId="NoteLabel">
    <w:name w:val="Note Label"/>
    <w:basedOn w:val="DefaultParagraphFont"/>
    <w:rsid w:val="0063679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63679A"/>
    <w:pPr>
      <w:spacing w:after="0" w:line="180" w:lineRule="atLeast"/>
    </w:pPr>
    <w:rPr>
      <w:sz w:val="14"/>
      <w:szCs w:val="14"/>
    </w:rPr>
  </w:style>
  <w:style w:type="paragraph" w:customStyle="1" w:styleId="TableTextEntries">
    <w:name w:val="Table Text Entries"/>
    <w:basedOn w:val="Normal"/>
    <w:rsid w:val="0063679A"/>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63679A"/>
    <w:pPr>
      <w:spacing w:after="240"/>
    </w:pPr>
  </w:style>
  <w:style w:type="character" w:customStyle="1" w:styleId="NoteCharChar">
    <w:name w:val="Note Char Char"/>
    <w:basedOn w:val="DefaultParagraphFont"/>
    <w:link w:val="Note"/>
    <w:rsid w:val="0063679A"/>
    <w:rPr>
      <w:rFonts w:ascii="Franklin Gothic Book" w:hAnsi="Franklin Gothic Book"/>
      <w:sz w:val="14"/>
      <w:szCs w:val="14"/>
      <w:lang w:val="en-AU" w:eastAsia="en-US" w:bidi="ar-SA"/>
    </w:rPr>
  </w:style>
  <w:style w:type="paragraph" w:customStyle="1" w:styleId="BoxHeading1">
    <w:name w:val="Box Heading 1"/>
    <w:basedOn w:val="BoxText"/>
    <w:next w:val="BoxText"/>
    <w:rsid w:val="0063679A"/>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63679A"/>
    <w:pPr>
      <w:spacing w:before="140"/>
    </w:pPr>
    <w:rPr>
      <w:rFonts w:ascii="Franklin Gothic Book" w:hAnsi="Franklin Gothic Book"/>
      <w:i/>
      <w:color w:val="auto"/>
    </w:rPr>
  </w:style>
  <w:style w:type="paragraph" w:customStyle="1" w:styleId="TableListBullet">
    <w:name w:val="Table List Bullet"/>
    <w:basedOn w:val="TableTextEntries"/>
    <w:rsid w:val="0063679A"/>
    <w:pPr>
      <w:numPr>
        <w:numId w:val="9"/>
      </w:numPr>
    </w:pPr>
  </w:style>
  <w:style w:type="paragraph" w:styleId="TableofFigures">
    <w:name w:val="table of figures"/>
    <w:basedOn w:val="BodyText"/>
    <w:next w:val="BodyText"/>
    <w:semiHidden/>
    <w:rsid w:val="0063679A"/>
    <w:pPr>
      <w:tabs>
        <w:tab w:val="left" w:pos="1077"/>
        <w:tab w:val="right" w:pos="8505"/>
      </w:tabs>
      <w:spacing w:before="60" w:line="260" w:lineRule="atLeast"/>
      <w:ind w:left="1077" w:right="567" w:hanging="1077"/>
    </w:pPr>
  </w:style>
  <w:style w:type="paragraph" w:styleId="TOC3">
    <w:name w:val="toc 3"/>
    <w:basedOn w:val="TOC2"/>
    <w:next w:val="BodyText"/>
    <w:uiPriority w:val="39"/>
    <w:rsid w:val="0063679A"/>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63679A"/>
    <w:pPr>
      <w:jc w:val="right"/>
    </w:pPr>
  </w:style>
  <w:style w:type="paragraph" w:customStyle="1" w:styleId="Recommendation">
    <w:name w:val="Recommendation"/>
    <w:basedOn w:val="BodyText"/>
    <w:next w:val="BodyText"/>
    <w:semiHidden/>
    <w:rsid w:val="0063679A"/>
    <w:pPr>
      <w:tabs>
        <w:tab w:val="left" w:pos="284"/>
      </w:tabs>
      <w:ind w:left="284" w:hanging="284"/>
    </w:pPr>
    <w:rPr>
      <w:rFonts w:eastAsia="MS Mincho" w:cs="MS Mincho"/>
      <w:b/>
    </w:rPr>
  </w:style>
  <w:style w:type="paragraph" w:styleId="TOC6">
    <w:name w:val="toc 6"/>
    <w:basedOn w:val="BodyText"/>
    <w:next w:val="BodyText"/>
    <w:semiHidden/>
    <w:rsid w:val="0063679A"/>
    <w:pPr>
      <w:tabs>
        <w:tab w:val="left" w:pos="284"/>
        <w:tab w:val="right" w:pos="8222"/>
      </w:tabs>
      <w:ind w:left="284" w:right="567" w:hanging="284"/>
    </w:pPr>
  </w:style>
  <w:style w:type="character" w:styleId="CommentReference">
    <w:name w:val="annotation reference"/>
    <w:basedOn w:val="DefaultParagraphFont"/>
    <w:rsid w:val="0063679A"/>
    <w:rPr>
      <w:rFonts w:ascii="Franklin Gothic Medium" w:hAnsi="Franklin Gothic Medium"/>
      <w:vanish/>
      <w:color w:val="FF00FF"/>
      <w:sz w:val="16"/>
      <w:szCs w:val="16"/>
    </w:rPr>
  </w:style>
  <w:style w:type="character" w:styleId="FootnoteReference">
    <w:name w:val="footnote reference"/>
    <w:basedOn w:val="DefaultParagraphFont"/>
    <w:rsid w:val="0063679A"/>
    <w:rPr>
      <w:rFonts w:ascii="Franklin Gothic Book" w:hAnsi="Franklin Gothic Book"/>
      <w:w w:val="100"/>
      <w:position w:val="6"/>
      <w:sz w:val="12"/>
      <w:szCs w:val="12"/>
      <w:vertAlign w:val="baseline"/>
    </w:rPr>
  </w:style>
  <w:style w:type="paragraph" w:styleId="FootnoteText">
    <w:name w:val="footnote text"/>
    <w:basedOn w:val="BodyText"/>
    <w:link w:val="FootnoteTextChar"/>
    <w:rsid w:val="0063679A"/>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DefaultParagraphFont"/>
    <w:link w:val="FootnoteText"/>
    <w:semiHidden/>
    <w:locked/>
    <w:rsid w:val="00266448"/>
    <w:rPr>
      <w:rFonts w:ascii="Franklin Gothic Book" w:hAnsi="Franklin Gothic Book"/>
      <w:sz w:val="14"/>
      <w:szCs w:val="14"/>
      <w:lang w:val="en-AU" w:eastAsia="en-AU" w:bidi="ar-SA"/>
    </w:rPr>
  </w:style>
  <w:style w:type="character" w:styleId="Hyperlink">
    <w:name w:val="Hyperlink"/>
    <w:basedOn w:val="DefaultParagraphFont"/>
    <w:uiPriority w:val="99"/>
    <w:rsid w:val="0063679A"/>
    <w:rPr>
      <w:color w:val="00467F"/>
      <w:u w:val="none"/>
    </w:rPr>
  </w:style>
  <w:style w:type="paragraph" w:customStyle="1" w:styleId="ChartText">
    <w:name w:val="Chart Text"/>
    <w:basedOn w:val="BodyText"/>
    <w:semiHidden/>
    <w:rsid w:val="0063679A"/>
    <w:pPr>
      <w:spacing w:before="100" w:line="190" w:lineRule="exact"/>
    </w:pPr>
    <w:rPr>
      <w:rFonts w:ascii="Arial" w:hAnsi="Arial"/>
      <w:sz w:val="17"/>
    </w:rPr>
  </w:style>
  <w:style w:type="paragraph" w:customStyle="1" w:styleId="ChartBoldText">
    <w:name w:val="Chart Bold Text"/>
    <w:basedOn w:val="ChartText"/>
    <w:next w:val="ChartText"/>
    <w:semiHidden/>
    <w:rsid w:val="0063679A"/>
    <w:pPr>
      <w:spacing w:before="0"/>
      <w:jc w:val="center"/>
    </w:pPr>
    <w:rPr>
      <w:rFonts w:ascii="Arial Bold" w:hAnsi="Arial Bold"/>
      <w:b/>
      <w:color w:val="073771"/>
      <w:szCs w:val="17"/>
    </w:rPr>
  </w:style>
  <w:style w:type="paragraph" w:customStyle="1" w:styleId="ChartHighlight">
    <w:name w:val="Chart Highlight"/>
    <w:basedOn w:val="ChartBoldText"/>
    <w:semiHidden/>
    <w:rsid w:val="0063679A"/>
    <w:pPr>
      <w:spacing w:line="210" w:lineRule="exact"/>
    </w:pPr>
    <w:rPr>
      <w:caps/>
      <w:sz w:val="19"/>
    </w:rPr>
  </w:style>
  <w:style w:type="paragraph" w:customStyle="1" w:styleId="ChartListBullet">
    <w:name w:val="Chart List Bullet"/>
    <w:basedOn w:val="TableListBullet"/>
    <w:semiHidden/>
    <w:rsid w:val="0063679A"/>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63679A"/>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63679A"/>
    <w:pPr>
      <w:tabs>
        <w:tab w:val="num" w:pos="227"/>
      </w:tabs>
      <w:spacing w:before="60"/>
      <w:ind w:left="227" w:hanging="227"/>
    </w:pPr>
  </w:style>
  <w:style w:type="paragraph" w:styleId="TOC7">
    <w:name w:val="toc 7"/>
    <w:basedOn w:val="TOC1"/>
    <w:next w:val="TOC1"/>
    <w:semiHidden/>
    <w:rsid w:val="0063679A"/>
    <w:pPr>
      <w:tabs>
        <w:tab w:val="left" w:pos="1418"/>
      </w:tabs>
      <w:ind w:left="1418" w:hanging="1418"/>
    </w:pPr>
  </w:style>
  <w:style w:type="paragraph" w:customStyle="1" w:styleId="CharChar0">
    <w:name w:val="Char Char"/>
    <w:basedOn w:val="BoxText"/>
    <w:semiHidden/>
    <w:rsid w:val="0063679A"/>
  </w:style>
  <w:style w:type="paragraph" w:customStyle="1" w:styleId="Client">
    <w:name w:val="Client"/>
    <w:basedOn w:val="Author"/>
    <w:semiHidden/>
    <w:rsid w:val="0063679A"/>
    <w:rPr>
      <w:color w:val="auto"/>
      <w:sz w:val="20"/>
      <w:szCs w:val="20"/>
    </w:rPr>
  </w:style>
  <w:style w:type="paragraph" w:customStyle="1" w:styleId="TableDataEntries">
    <w:name w:val="Table Data Entries"/>
    <w:basedOn w:val="TableTextEntries"/>
    <w:rsid w:val="0063679A"/>
    <w:pPr>
      <w:jc w:val="right"/>
    </w:pPr>
  </w:style>
  <w:style w:type="paragraph" w:customStyle="1" w:styleId="TableDataColumnHeading">
    <w:name w:val="Table Data Column Heading"/>
    <w:basedOn w:val="TableDataEntries"/>
    <w:rsid w:val="0063679A"/>
    <w:pPr>
      <w:spacing w:before="80" w:after="80"/>
    </w:pPr>
    <w:rPr>
      <w:rFonts w:ascii="Franklin Gothic Medium" w:hAnsi="Franklin Gothic Medium"/>
    </w:rPr>
  </w:style>
  <w:style w:type="paragraph" w:customStyle="1" w:styleId="TableHeading1">
    <w:name w:val="Table Heading 1"/>
    <w:basedOn w:val="TableTextEntries"/>
    <w:next w:val="TableTextEntries"/>
    <w:rsid w:val="0063679A"/>
    <w:pPr>
      <w:spacing w:before="80" w:after="80"/>
    </w:pPr>
    <w:rPr>
      <w:rFonts w:ascii="Franklin Gothic Medium" w:hAnsi="Franklin Gothic Medium"/>
    </w:rPr>
  </w:style>
  <w:style w:type="paragraph" w:customStyle="1" w:styleId="TableHeading2">
    <w:name w:val="Table Heading 2"/>
    <w:basedOn w:val="TableHeading1"/>
    <w:next w:val="TableTextEntries"/>
    <w:rsid w:val="0063679A"/>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63679A"/>
    <w:pPr>
      <w:numPr>
        <w:numId w:val="16"/>
      </w:numPr>
    </w:pPr>
  </w:style>
  <w:style w:type="character" w:customStyle="1" w:styleId="TableListBullet2CharChar">
    <w:name w:val="Table List Bullet 2 Char Char"/>
    <w:basedOn w:val="DefaultParagraphFont"/>
    <w:link w:val="TableListBullet2"/>
    <w:rsid w:val="0063679A"/>
    <w:rPr>
      <w:rFonts w:ascii="Franklin Gothic Book" w:hAnsi="Franklin Gothic Book"/>
      <w:sz w:val="17"/>
      <w:szCs w:val="17"/>
      <w:lang w:val="en-AU" w:eastAsia="en-US" w:bidi="ar-SA"/>
    </w:rPr>
  </w:style>
  <w:style w:type="paragraph" w:customStyle="1" w:styleId="TableListNumber">
    <w:name w:val="Table List Number"/>
    <w:basedOn w:val="TableTextEntries"/>
    <w:rsid w:val="0063679A"/>
    <w:pPr>
      <w:numPr>
        <w:numId w:val="17"/>
      </w:numPr>
    </w:pPr>
  </w:style>
  <w:style w:type="paragraph" w:customStyle="1" w:styleId="TableListNumber2">
    <w:name w:val="Table List Number 2"/>
    <w:basedOn w:val="TableListNumber"/>
    <w:rsid w:val="0063679A"/>
    <w:pPr>
      <w:numPr>
        <w:numId w:val="18"/>
      </w:numPr>
    </w:pPr>
  </w:style>
  <w:style w:type="paragraph" w:customStyle="1" w:styleId="TableTextColumnHeading">
    <w:name w:val="Table Text Column Heading"/>
    <w:basedOn w:val="TableDataColumnHeading"/>
    <w:rsid w:val="0063679A"/>
    <w:pPr>
      <w:jc w:val="left"/>
    </w:pPr>
  </w:style>
  <w:style w:type="paragraph" w:customStyle="1" w:styleId="TableUnit">
    <w:name w:val="Table Unit"/>
    <w:basedOn w:val="TableDataColumnHeading"/>
    <w:next w:val="TableDataEntries"/>
    <w:rsid w:val="0063679A"/>
    <w:pPr>
      <w:keepNext/>
    </w:pPr>
    <w:rPr>
      <w:rFonts w:ascii="Franklin Gothic Book" w:hAnsi="Franklin Gothic Book"/>
    </w:rPr>
  </w:style>
  <w:style w:type="paragraph" w:customStyle="1" w:styleId="NoteNumber">
    <w:name w:val="Note Number"/>
    <w:basedOn w:val="TableTextEntries"/>
    <w:link w:val="NoteNumberCharChar"/>
    <w:rsid w:val="00A274E3"/>
    <w:pPr>
      <w:numPr>
        <w:numId w:val="15"/>
      </w:numPr>
      <w:spacing w:after="0" w:line="180" w:lineRule="atLeast"/>
    </w:pPr>
    <w:rPr>
      <w:sz w:val="14"/>
      <w:szCs w:val="14"/>
    </w:rPr>
  </w:style>
  <w:style w:type="character" w:customStyle="1" w:styleId="NoteNumberCharChar">
    <w:name w:val="Note Number Char Char"/>
    <w:basedOn w:val="DefaultParagraphFont"/>
    <w:link w:val="NoteNumber"/>
    <w:rsid w:val="00A274E3"/>
    <w:rPr>
      <w:rFonts w:ascii="Franklin Gothic Book" w:hAnsi="Franklin Gothic Book"/>
      <w:sz w:val="14"/>
      <w:szCs w:val="14"/>
      <w:lang w:val="en-AU" w:eastAsia="en-US" w:bidi="ar-SA"/>
    </w:rPr>
  </w:style>
  <w:style w:type="character" w:styleId="FollowedHyperlink">
    <w:name w:val="FollowedHyperlink"/>
    <w:basedOn w:val="DefaultParagraphFont"/>
    <w:semiHidden/>
    <w:rsid w:val="0063679A"/>
    <w:rPr>
      <w:color w:val="333399"/>
      <w:u w:val="none"/>
    </w:rPr>
  </w:style>
  <w:style w:type="paragraph" w:customStyle="1" w:styleId="Blurb">
    <w:name w:val="Blurb"/>
    <w:basedOn w:val="Caption"/>
    <w:semiHidden/>
    <w:rsid w:val="0063679A"/>
    <w:pPr>
      <w:spacing w:before="180" w:after="0" w:line="280" w:lineRule="atLeast"/>
    </w:pPr>
    <w:rPr>
      <w:color w:val="FFFFFF"/>
    </w:rPr>
  </w:style>
  <w:style w:type="paragraph" w:customStyle="1" w:styleId="Figure">
    <w:name w:val="Figure"/>
    <w:basedOn w:val="BodyText"/>
    <w:next w:val="BodyText"/>
    <w:semiHidden/>
    <w:rsid w:val="0063679A"/>
    <w:pPr>
      <w:spacing w:before="0" w:line="200" w:lineRule="atLeast"/>
    </w:pPr>
    <w:rPr>
      <w:sz w:val="18"/>
      <w:szCs w:val="18"/>
    </w:rPr>
  </w:style>
  <w:style w:type="paragraph" w:customStyle="1" w:styleId="BoxListBullet2">
    <w:name w:val="Box List Bullet 2"/>
    <w:basedOn w:val="BoxListBullet"/>
    <w:rsid w:val="0063679A"/>
    <w:pPr>
      <w:numPr>
        <w:numId w:val="6"/>
      </w:numPr>
    </w:pPr>
    <w:rPr>
      <w:szCs w:val="18"/>
    </w:rPr>
  </w:style>
  <w:style w:type="paragraph" w:customStyle="1" w:styleId="BoxListNumber">
    <w:name w:val="Box List Number"/>
    <w:basedOn w:val="BoxText"/>
    <w:rsid w:val="0063679A"/>
    <w:pPr>
      <w:numPr>
        <w:numId w:val="7"/>
      </w:numPr>
      <w:spacing w:before="0"/>
    </w:pPr>
  </w:style>
  <w:style w:type="paragraph" w:customStyle="1" w:styleId="BoxListNumber2">
    <w:name w:val="Box List Number 2"/>
    <w:basedOn w:val="BoxListNumber"/>
    <w:rsid w:val="0063679A"/>
    <w:pPr>
      <w:numPr>
        <w:numId w:val="8"/>
      </w:numPr>
    </w:pPr>
  </w:style>
  <w:style w:type="paragraph" w:customStyle="1" w:styleId="BoxNoteSource">
    <w:name w:val="Box Note/Source"/>
    <w:basedOn w:val="BoxText"/>
    <w:rsid w:val="0063679A"/>
    <w:pPr>
      <w:spacing w:before="100" w:after="100" w:line="180" w:lineRule="atLeast"/>
    </w:pPr>
    <w:rPr>
      <w:sz w:val="14"/>
      <w:szCs w:val="14"/>
    </w:rPr>
  </w:style>
  <w:style w:type="paragraph" w:customStyle="1" w:styleId="BoxQuote">
    <w:name w:val="Box Quote"/>
    <w:basedOn w:val="BoxText"/>
    <w:next w:val="BoxText"/>
    <w:rsid w:val="0063679A"/>
    <w:pPr>
      <w:spacing w:before="0" w:line="240" w:lineRule="atLeast"/>
      <w:ind w:left="284"/>
    </w:pPr>
    <w:rPr>
      <w:sz w:val="16"/>
      <w:szCs w:val="16"/>
    </w:rPr>
  </w:style>
  <w:style w:type="paragraph" w:customStyle="1" w:styleId="Appendix">
    <w:name w:val="Appendix"/>
    <w:basedOn w:val="Normal"/>
    <w:semiHidden/>
    <w:rsid w:val="0063679A"/>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63679A"/>
    <w:pPr>
      <w:spacing w:before="140" w:after="240" w:line="180" w:lineRule="exact"/>
    </w:pPr>
    <w:rPr>
      <w:rFonts w:ascii="Franklin Gothic Medium" w:hAnsi="Franklin Gothic Medium"/>
      <w:color w:val="54534A"/>
      <w:sz w:val="14"/>
      <w:szCs w:val="14"/>
    </w:rPr>
  </w:style>
  <w:style w:type="table" w:styleId="TableGrid">
    <w:name w:val="Table Grid"/>
    <w:basedOn w:val="TableNormal"/>
    <w:semiHidden/>
    <w:rsid w:val="00636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breviation">
    <w:name w:val="Abbreviation"/>
    <w:basedOn w:val="BodyText"/>
    <w:rsid w:val="00011299"/>
    <w:pPr>
      <w:ind w:left="1418" w:hanging="1418"/>
    </w:pPr>
  </w:style>
  <w:style w:type="paragraph" w:customStyle="1" w:styleId="TableTitle">
    <w:name w:val="TableTitle"/>
    <w:basedOn w:val="Normal"/>
    <w:next w:val="Normal"/>
    <w:rsid w:val="000D7060"/>
    <w:pPr>
      <w:keepNext/>
      <w:spacing w:before="240" w:after="120"/>
      <w:jc w:val="center"/>
    </w:pPr>
    <w:rPr>
      <w:rFonts w:ascii="Arial" w:hAnsi="Arial"/>
      <w:b/>
      <w:lang w:eastAsia="en-US"/>
    </w:rPr>
  </w:style>
  <w:style w:type="paragraph" w:styleId="BalloonText">
    <w:name w:val="Balloon Text"/>
    <w:basedOn w:val="Normal"/>
    <w:semiHidden/>
    <w:rsid w:val="000D7060"/>
    <w:pPr>
      <w:spacing w:before="120"/>
    </w:pPr>
    <w:rPr>
      <w:rFonts w:ascii="Tahoma" w:hAnsi="Tahoma" w:cs="Tahoma"/>
      <w:sz w:val="16"/>
      <w:szCs w:val="16"/>
      <w:lang w:eastAsia="en-US"/>
    </w:rPr>
  </w:style>
  <w:style w:type="paragraph" w:styleId="CommentSubject">
    <w:name w:val="annotation subject"/>
    <w:basedOn w:val="CommentText"/>
    <w:next w:val="CommentText"/>
    <w:semiHidden/>
    <w:rsid w:val="000D7060"/>
    <w:pPr>
      <w:spacing w:before="120" w:line="240" w:lineRule="auto"/>
    </w:pPr>
    <w:rPr>
      <w:rFonts w:ascii="Arial" w:hAnsi="Arial"/>
      <w:b/>
      <w:bCs/>
      <w:sz w:val="20"/>
      <w:szCs w:val="20"/>
      <w:lang w:eastAsia="en-US"/>
    </w:rPr>
  </w:style>
  <w:style w:type="paragraph" w:customStyle="1" w:styleId="Ratingred">
    <w:name w:val="Rating red"/>
    <w:basedOn w:val="ListBullet"/>
    <w:rsid w:val="0063679A"/>
    <w:pPr>
      <w:numPr>
        <w:numId w:val="4"/>
      </w:numPr>
      <w:spacing w:before="80"/>
    </w:pPr>
  </w:style>
  <w:style w:type="paragraph" w:customStyle="1" w:styleId="Ratingamber">
    <w:name w:val="Rating amber"/>
    <w:basedOn w:val="Ratingred"/>
    <w:rsid w:val="0063679A"/>
    <w:pPr>
      <w:numPr>
        <w:numId w:val="3"/>
      </w:numPr>
    </w:pPr>
  </w:style>
  <w:style w:type="paragraph" w:customStyle="1" w:styleId="Ratinggreen">
    <w:name w:val="Rating green"/>
    <w:basedOn w:val="Ratingamber"/>
    <w:rsid w:val="0063679A"/>
    <w:pPr>
      <w:numPr>
        <w:numId w:val="2"/>
      </w:numPr>
    </w:pPr>
  </w:style>
  <w:style w:type="paragraph" w:styleId="TOCHeading">
    <w:name w:val="TOC Heading"/>
    <w:basedOn w:val="Heading1"/>
    <w:next w:val="Normal"/>
    <w:uiPriority w:val="39"/>
    <w:unhideWhenUsed/>
    <w:qFormat/>
    <w:rsid w:val="00616432"/>
    <w:pPr>
      <w:keepLines/>
      <w:pageBreakBefore w:val="0"/>
      <w:numPr>
        <w:numId w:val="0"/>
      </w:numPr>
      <w:spacing w:before="240" w:after="0" w:line="259" w:lineRule="auto"/>
      <w:outlineLvl w:val="9"/>
    </w:pPr>
    <w:rPr>
      <w:rFonts w:asciiTheme="majorHAnsi" w:eastAsiaTheme="majorEastAsia" w:hAnsiTheme="majorHAnsi" w:cstheme="majorBidi"/>
      <w:color w:val="365F91" w:themeColor="accent1" w:themeShade="BF"/>
      <w:spacing w:val="0"/>
      <w:kern w:val="0"/>
      <w:sz w:val="32"/>
      <w:szCs w:val="32"/>
      <w:lang w:val="en-US" w:eastAsia="en-US"/>
    </w:rPr>
  </w:style>
  <w:style w:type="paragraph" w:customStyle="1" w:styleId="H1A">
    <w:name w:val="H1A"/>
    <w:basedOn w:val="Contents"/>
    <w:qFormat/>
    <w:rsid w:val="00616432"/>
    <w:rPr>
      <w:noProof/>
      <w:sz w:val="46"/>
      <w:szCs w:val="46"/>
    </w:rPr>
  </w:style>
  <w:style w:type="paragraph" w:customStyle="1" w:styleId="H2A">
    <w:name w:val="H2A"/>
    <w:basedOn w:val="Heading2unnumbered"/>
    <w:qFormat/>
    <w:rsid w:val="00A34F32"/>
    <w:pPr>
      <w:spacing w:before="360"/>
    </w:pPr>
  </w:style>
  <w:style w:type="paragraph" w:customStyle="1" w:styleId="H3A">
    <w:name w:val="H3A"/>
    <w:basedOn w:val="Heading3"/>
    <w:qFormat/>
    <w:rsid w:val="00B44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9A"/>
    <w:rPr>
      <w:szCs w:val="24"/>
      <w:lang w:val="en-AU" w:eastAsia="en-AU"/>
    </w:rPr>
  </w:style>
  <w:style w:type="paragraph" w:styleId="Heading1">
    <w:name w:val="heading 1"/>
    <w:basedOn w:val="Normal"/>
    <w:next w:val="BodyText"/>
    <w:qFormat/>
    <w:rsid w:val="0063679A"/>
    <w:pPr>
      <w:keepNext/>
      <w:pageBreakBefore/>
      <w:numPr>
        <w:numId w:val="12"/>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63679A"/>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qFormat/>
    <w:rsid w:val="0063679A"/>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63679A"/>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63679A"/>
    <w:pPr>
      <w:keepNext/>
      <w:numPr>
        <w:ilvl w:val="4"/>
        <w:numId w:val="12"/>
      </w:numPr>
      <w:spacing w:before="320" w:after="0"/>
      <w:outlineLvl w:val="4"/>
    </w:pPr>
    <w:rPr>
      <w:b/>
      <w:color w:val="54534A"/>
    </w:rPr>
  </w:style>
  <w:style w:type="paragraph" w:styleId="Heading6">
    <w:name w:val="heading 6"/>
    <w:basedOn w:val="Heading1"/>
    <w:next w:val="BodyText"/>
    <w:qFormat/>
    <w:rsid w:val="0063679A"/>
    <w:pPr>
      <w:numPr>
        <w:ilvl w:val="5"/>
      </w:numPr>
      <w:outlineLvl w:val="5"/>
    </w:pPr>
    <w:rPr>
      <w:bCs/>
    </w:rPr>
  </w:style>
  <w:style w:type="paragraph" w:styleId="Heading7">
    <w:name w:val="heading 7"/>
    <w:basedOn w:val="Heading2"/>
    <w:next w:val="BodyText"/>
    <w:qFormat/>
    <w:rsid w:val="0063679A"/>
    <w:pPr>
      <w:numPr>
        <w:ilvl w:val="6"/>
      </w:numPr>
      <w:outlineLvl w:val="6"/>
    </w:pPr>
  </w:style>
  <w:style w:type="paragraph" w:styleId="Heading8">
    <w:name w:val="heading 8"/>
    <w:basedOn w:val="Heading3"/>
    <w:next w:val="BodyText"/>
    <w:qFormat/>
    <w:rsid w:val="0063679A"/>
    <w:pPr>
      <w:numPr>
        <w:ilvl w:val="7"/>
      </w:numPr>
      <w:outlineLvl w:val="7"/>
    </w:pPr>
  </w:style>
  <w:style w:type="paragraph" w:styleId="Heading9">
    <w:name w:val="heading 9"/>
    <w:basedOn w:val="Heading4"/>
    <w:next w:val="BodyText"/>
    <w:qFormat/>
    <w:rsid w:val="0063679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679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63679A"/>
    <w:rPr>
      <w:rFonts w:ascii="Georgia" w:hAnsi="Georgia"/>
      <w:sz w:val="19"/>
      <w:szCs w:val="19"/>
      <w:lang w:val="en-AU" w:eastAsia="en-AU" w:bidi="ar-SA"/>
    </w:rPr>
  </w:style>
  <w:style w:type="paragraph" w:customStyle="1" w:styleId="CharChar">
    <w:name w:val="Char Char"/>
    <w:basedOn w:val="Normal"/>
    <w:semiHidden/>
    <w:rsid w:val="0063679A"/>
    <w:pPr>
      <w:spacing w:before="180" w:line="280" w:lineRule="atLeast"/>
    </w:pPr>
    <w:rPr>
      <w:rFonts w:ascii="Arial" w:hAnsi="Arial"/>
      <w:sz w:val="22"/>
      <w:szCs w:val="20"/>
      <w:lang w:eastAsia="en-US"/>
    </w:rPr>
  </w:style>
  <w:style w:type="character" w:customStyle="1" w:styleId="Heading3Char">
    <w:name w:val="Heading 3 Char"/>
    <w:basedOn w:val="DefaultParagraphFont"/>
    <w:link w:val="Heading3"/>
    <w:semiHidden/>
    <w:locked/>
    <w:rsid w:val="00133847"/>
    <w:rPr>
      <w:rFonts w:ascii="Franklin Gothic Medium" w:hAnsi="Franklin Gothic Medium"/>
      <w:color w:val="54534A"/>
      <w:kern w:val="28"/>
      <w:sz w:val="24"/>
      <w:szCs w:val="24"/>
      <w:lang w:val="en-AU" w:eastAsia="en-AU" w:bidi="ar-SA"/>
    </w:rPr>
  </w:style>
  <w:style w:type="character" w:customStyle="1" w:styleId="DraftingNote">
    <w:name w:val="Drafting Note"/>
    <w:basedOn w:val="DefaultParagraphFont"/>
    <w:rsid w:val="0063679A"/>
    <w:rPr>
      <w:rFonts w:ascii="Georgia" w:hAnsi="Georgia"/>
      <w:b/>
      <w:color w:val="FF0000"/>
      <w:sz w:val="19"/>
      <w:szCs w:val="19"/>
      <w:u w:val="dotted"/>
    </w:rPr>
  </w:style>
  <w:style w:type="paragraph" w:customStyle="1" w:styleId="Heading1unnumbered">
    <w:name w:val="Heading 1 unnumbered"/>
    <w:basedOn w:val="Heading1"/>
    <w:next w:val="BodyText"/>
    <w:rsid w:val="0063679A"/>
    <w:pPr>
      <w:numPr>
        <w:numId w:val="0"/>
      </w:numPr>
    </w:pPr>
  </w:style>
  <w:style w:type="paragraph" w:customStyle="1" w:styleId="Heading2unnumbered">
    <w:name w:val="Heading 2 unnumbered"/>
    <w:basedOn w:val="Heading2"/>
    <w:next w:val="BodyText"/>
    <w:rsid w:val="0063679A"/>
    <w:pPr>
      <w:numPr>
        <w:ilvl w:val="0"/>
        <w:numId w:val="0"/>
      </w:numPr>
    </w:pPr>
  </w:style>
  <w:style w:type="paragraph" w:customStyle="1" w:styleId="Heading7unnumbered">
    <w:name w:val="Heading 7 unnumbered"/>
    <w:basedOn w:val="Heading7"/>
    <w:next w:val="BodyText"/>
    <w:semiHidden/>
    <w:rsid w:val="0063679A"/>
    <w:pPr>
      <w:numPr>
        <w:ilvl w:val="0"/>
        <w:numId w:val="0"/>
      </w:numPr>
    </w:pPr>
  </w:style>
  <w:style w:type="paragraph" w:styleId="ListBullet">
    <w:name w:val="List Bullet"/>
    <w:basedOn w:val="BodyText"/>
    <w:rsid w:val="0063679A"/>
    <w:pPr>
      <w:numPr>
        <w:numId w:val="10"/>
      </w:numPr>
      <w:spacing w:before="0"/>
    </w:pPr>
  </w:style>
  <w:style w:type="paragraph" w:styleId="ListBullet2">
    <w:name w:val="List Bullet 2"/>
    <w:basedOn w:val="ListBullet"/>
    <w:rsid w:val="0063679A"/>
    <w:pPr>
      <w:numPr>
        <w:numId w:val="11"/>
      </w:numPr>
    </w:pPr>
  </w:style>
  <w:style w:type="paragraph" w:styleId="ListNumber">
    <w:name w:val="List Number"/>
    <w:basedOn w:val="ListBullet"/>
    <w:rsid w:val="0063679A"/>
    <w:pPr>
      <w:numPr>
        <w:numId w:val="13"/>
      </w:numPr>
    </w:pPr>
  </w:style>
  <w:style w:type="paragraph" w:styleId="ListNumber2">
    <w:name w:val="List Number 2"/>
    <w:basedOn w:val="ListNumber"/>
    <w:rsid w:val="0063679A"/>
    <w:pPr>
      <w:numPr>
        <w:numId w:val="14"/>
      </w:numPr>
    </w:pPr>
  </w:style>
  <w:style w:type="paragraph" w:styleId="Quote">
    <w:name w:val="Quote"/>
    <w:basedOn w:val="BodyText"/>
    <w:next w:val="BodyText"/>
    <w:qFormat/>
    <w:rsid w:val="0063679A"/>
    <w:pPr>
      <w:spacing w:before="0" w:line="260" w:lineRule="atLeast"/>
      <w:ind w:left="284"/>
    </w:pPr>
    <w:rPr>
      <w:sz w:val="17"/>
      <w:szCs w:val="17"/>
    </w:rPr>
  </w:style>
  <w:style w:type="character" w:customStyle="1" w:styleId="CommentTextChar">
    <w:name w:val="Comment Text Char"/>
    <w:basedOn w:val="DefaultParagraphFont"/>
    <w:link w:val="CommentText"/>
    <w:semiHidden/>
    <w:locked/>
    <w:rsid w:val="00156AC5"/>
    <w:rPr>
      <w:rFonts w:ascii="Georgia" w:hAnsi="Georgia"/>
      <w:sz w:val="19"/>
      <w:szCs w:val="19"/>
      <w:lang w:val="en-AU" w:eastAsia="en-AU" w:bidi="ar-SA"/>
    </w:rPr>
  </w:style>
  <w:style w:type="paragraph" w:styleId="CommentText">
    <w:name w:val="annotation text"/>
    <w:basedOn w:val="BodyText"/>
    <w:link w:val="CommentTextChar"/>
    <w:rsid w:val="0063679A"/>
    <w:pPr>
      <w:spacing w:before="0" w:after="0" w:line="240" w:lineRule="atLeast"/>
    </w:pPr>
  </w:style>
  <w:style w:type="paragraph" w:customStyle="1" w:styleId="Reference">
    <w:name w:val="Reference"/>
    <w:basedOn w:val="BodyText"/>
    <w:rsid w:val="0063679A"/>
    <w:pPr>
      <w:keepLines/>
      <w:spacing w:before="60" w:after="60" w:line="260" w:lineRule="atLeast"/>
      <w:ind w:left="284" w:hanging="284"/>
    </w:pPr>
    <w:rPr>
      <w:sz w:val="17"/>
      <w:szCs w:val="17"/>
    </w:rPr>
  </w:style>
  <w:style w:type="paragraph" w:styleId="Title">
    <w:name w:val="Title"/>
    <w:basedOn w:val="Normal"/>
    <w:next w:val="Subtitle"/>
    <w:link w:val="TitleChar"/>
    <w:qFormat/>
    <w:rsid w:val="0063679A"/>
    <w:pPr>
      <w:pageBreakBefore/>
      <w:spacing w:before="1800" w:line="640" w:lineRule="atLeast"/>
      <w:ind w:left="2381" w:right="-1418"/>
    </w:pPr>
    <w:rPr>
      <w:rFonts w:ascii="Franklin Gothic Book" w:hAnsi="Franklin Gothic Book"/>
      <w:color w:val="5A9A98"/>
      <w:kern w:val="28"/>
      <w:sz w:val="50"/>
      <w:szCs w:val="50"/>
    </w:rPr>
  </w:style>
  <w:style w:type="paragraph" w:styleId="Subtitle">
    <w:name w:val="Subtitle"/>
    <w:basedOn w:val="Title"/>
    <w:next w:val="Date"/>
    <w:link w:val="SubtitleChar"/>
    <w:qFormat/>
    <w:rsid w:val="0063679A"/>
    <w:pPr>
      <w:pageBreakBefore w:val="0"/>
      <w:spacing w:before="200" w:line="380" w:lineRule="atLeast"/>
    </w:pPr>
    <w:rPr>
      <w:sz w:val="32"/>
      <w:szCs w:val="32"/>
    </w:rPr>
  </w:style>
  <w:style w:type="paragraph" w:styleId="Date">
    <w:name w:val="Date"/>
    <w:basedOn w:val="Subtitle"/>
    <w:next w:val="Author"/>
    <w:link w:val="DateChar"/>
    <w:rsid w:val="0063679A"/>
    <w:pPr>
      <w:spacing w:after="600"/>
    </w:pPr>
    <w:rPr>
      <w:sz w:val="24"/>
      <w:szCs w:val="24"/>
    </w:rPr>
  </w:style>
  <w:style w:type="paragraph" w:customStyle="1" w:styleId="Author">
    <w:name w:val="Author"/>
    <w:basedOn w:val="Date"/>
    <w:next w:val="Position"/>
    <w:link w:val="AuthorCharChar"/>
    <w:rsid w:val="0063679A"/>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rsid w:val="0063679A"/>
    <w:pPr>
      <w:spacing w:before="0"/>
    </w:pPr>
    <w:rPr>
      <w:rFonts w:ascii="Franklin Gothic Book" w:hAnsi="Franklin Gothic Book"/>
    </w:rPr>
  </w:style>
  <w:style w:type="character" w:customStyle="1" w:styleId="PositionCharChar">
    <w:name w:val="Position Char Char"/>
    <w:basedOn w:val="AuthorCharChar"/>
    <w:link w:val="Position"/>
    <w:rsid w:val="0063679A"/>
    <w:rPr>
      <w:rFonts w:ascii="Franklin Gothic Book" w:hAnsi="Franklin Gothic Book"/>
      <w:color w:val="5A9A98"/>
      <w:spacing w:val="-2"/>
      <w:kern w:val="28"/>
      <w:sz w:val="24"/>
      <w:szCs w:val="24"/>
      <w:lang w:val="en-AU" w:eastAsia="en-AU" w:bidi="ar-SA"/>
    </w:rPr>
  </w:style>
  <w:style w:type="character" w:customStyle="1" w:styleId="AuthorCharChar">
    <w:name w:val="Author Char Char"/>
    <w:basedOn w:val="DateChar"/>
    <w:link w:val="Author"/>
    <w:rsid w:val="0063679A"/>
    <w:rPr>
      <w:rFonts w:ascii="Franklin Gothic Medium" w:hAnsi="Franklin Gothic Medium"/>
      <w:color w:val="5A9A98"/>
      <w:spacing w:val="-2"/>
      <w:kern w:val="28"/>
      <w:sz w:val="24"/>
      <w:szCs w:val="24"/>
      <w:lang w:val="en-AU" w:eastAsia="en-AU" w:bidi="ar-SA"/>
    </w:rPr>
  </w:style>
  <w:style w:type="character" w:customStyle="1" w:styleId="DateChar">
    <w:name w:val="Date Char"/>
    <w:basedOn w:val="SubtitleChar"/>
    <w:link w:val="Date"/>
    <w:rsid w:val="0063679A"/>
    <w:rPr>
      <w:rFonts w:ascii="Franklin Gothic Book" w:hAnsi="Franklin Gothic Book"/>
      <w:color w:val="5A9A98"/>
      <w:kern w:val="28"/>
      <w:sz w:val="24"/>
      <w:szCs w:val="24"/>
      <w:lang w:val="en-AU" w:eastAsia="en-AU" w:bidi="ar-SA"/>
    </w:rPr>
  </w:style>
  <w:style w:type="character" w:customStyle="1" w:styleId="SubtitleChar">
    <w:name w:val="Subtitle Char"/>
    <w:basedOn w:val="TitleChar"/>
    <w:link w:val="Subtitle"/>
    <w:rsid w:val="0063679A"/>
    <w:rPr>
      <w:rFonts w:ascii="Franklin Gothic Book" w:hAnsi="Franklin Gothic Book"/>
      <w:color w:val="5A9A98"/>
      <w:kern w:val="28"/>
      <w:sz w:val="32"/>
      <w:szCs w:val="32"/>
      <w:lang w:val="en-AU" w:eastAsia="en-AU" w:bidi="ar-SA"/>
    </w:rPr>
  </w:style>
  <w:style w:type="character" w:customStyle="1" w:styleId="TitleChar">
    <w:name w:val="Title Char"/>
    <w:basedOn w:val="DefaultParagraphFont"/>
    <w:link w:val="Title"/>
    <w:rsid w:val="0063679A"/>
    <w:rPr>
      <w:rFonts w:ascii="Franklin Gothic Book" w:hAnsi="Franklin Gothic Book"/>
      <w:color w:val="5A9A98"/>
      <w:kern w:val="28"/>
      <w:sz w:val="50"/>
      <w:szCs w:val="50"/>
      <w:lang w:val="en-AU" w:eastAsia="en-AU" w:bidi="ar-SA"/>
    </w:rPr>
  </w:style>
  <w:style w:type="paragraph" w:customStyle="1" w:styleId="Contents">
    <w:name w:val="Contents"/>
    <w:basedOn w:val="Normal"/>
    <w:next w:val="BodyText"/>
    <w:semiHidden/>
    <w:rsid w:val="0063679A"/>
    <w:pPr>
      <w:pageBreakBefore/>
      <w:spacing w:after="1860" w:line="540" w:lineRule="exact"/>
    </w:pPr>
    <w:rPr>
      <w:rFonts w:ascii="Franklin Gothic Book" w:hAnsi="Franklin Gothic Book"/>
      <w:color w:val="AD495D"/>
      <w:kern w:val="28"/>
      <w:sz w:val="50"/>
      <w:szCs w:val="50"/>
    </w:rPr>
  </w:style>
  <w:style w:type="paragraph" w:styleId="Footer">
    <w:name w:val="footer"/>
    <w:basedOn w:val="Normal"/>
    <w:semiHidden/>
    <w:rsid w:val="0063679A"/>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63679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63679A"/>
    <w:rPr>
      <w:rFonts w:ascii="Franklin Gothic Medium" w:hAnsi="Franklin Gothic Medium"/>
      <w:color w:val="54534A"/>
      <w:sz w:val="14"/>
      <w:szCs w:val="14"/>
    </w:rPr>
  </w:style>
  <w:style w:type="paragraph" w:styleId="TOC1">
    <w:name w:val="toc 1"/>
    <w:basedOn w:val="BodyText"/>
    <w:next w:val="BodyText"/>
    <w:uiPriority w:val="39"/>
    <w:rsid w:val="000877AF"/>
    <w:pPr>
      <w:tabs>
        <w:tab w:val="left" w:pos="397"/>
        <w:tab w:val="right" w:pos="7938"/>
      </w:tabs>
      <w:spacing w:before="24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0877AF"/>
    <w:pPr>
      <w:spacing w:before="6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63679A"/>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63679A"/>
    <w:rPr>
      <w:rFonts w:ascii="Franklin Gothic Book" w:hAnsi="Franklin Gothic Book"/>
      <w:color w:val="auto"/>
      <w:sz w:val="17"/>
      <w:szCs w:val="17"/>
    </w:rPr>
  </w:style>
  <w:style w:type="paragraph" w:customStyle="1" w:styleId="Invisiblepara">
    <w:name w:val="Invisible para"/>
    <w:basedOn w:val="Normal"/>
    <w:semiHidden/>
    <w:rsid w:val="0063679A"/>
    <w:pPr>
      <w:keepNext/>
      <w:spacing w:before="320" w:line="80" w:lineRule="exact"/>
    </w:pPr>
    <w:rPr>
      <w:sz w:val="21"/>
      <w:szCs w:val="20"/>
    </w:rPr>
  </w:style>
  <w:style w:type="paragraph" w:styleId="Caption">
    <w:name w:val="caption"/>
    <w:basedOn w:val="Normal"/>
    <w:next w:val="BodyText"/>
    <w:qFormat/>
    <w:rsid w:val="0063679A"/>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3679A"/>
    <w:pPr>
      <w:keepLines/>
      <w:numPr>
        <w:numId w:val="5"/>
      </w:numPr>
      <w:spacing w:before="0"/>
    </w:pPr>
    <w:rPr>
      <w:szCs w:val="20"/>
    </w:rPr>
  </w:style>
  <w:style w:type="paragraph" w:customStyle="1" w:styleId="BoxText">
    <w:name w:val="Box Text"/>
    <w:basedOn w:val="Normal"/>
    <w:rsid w:val="0063679A"/>
    <w:pPr>
      <w:spacing w:before="60" w:after="60" w:line="260" w:lineRule="atLeast"/>
    </w:pPr>
    <w:rPr>
      <w:rFonts w:ascii="Franklin Gothic Book" w:hAnsi="Franklin Gothic Book"/>
      <w:sz w:val="18"/>
      <w:szCs w:val="18"/>
    </w:rPr>
  </w:style>
  <w:style w:type="character" w:customStyle="1" w:styleId="NoteLabel">
    <w:name w:val="Note Label"/>
    <w:basedOn w:val="DefaultParagraphFont"/>
    <w:rsid w:val="0063679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63679A"/>
    <w:pPr>
      <w:spacing w:after="0" w:line="180" w:lineRule="atLeast"/>
    </w:pPr>
    <w:rPr>
      <w:sz w:val="14"/>
      <w:szCs w:val="14"/>
    </w:rPr>
  </w:style>
  <w:style w:type="paragraph" w:customStyle="1" w:styleId="TableTextEntries">
    <w:name w:val="Table Text Entries"/>
    <w:basedOn w:val="Normal"/>
    <w:rsid w:val="0063679A"/>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63679A"/>
    <w:pPr>
      <w:spacing w:after="240"/>
    </w:pPr>
  </w:style>
  <w:style w:type="character" w:customStyle="1" w:styleId="NoteCharChar">
    <w:name w:val="Note Char Char"/>
    <w:basedOn w:val="DefaultParagraphFont"/>
    <w:link w:val="Note"/>
    <w:rsid w:val="0063679A"/>
    <w:rPr>
      <w:rFonts w:ascii="Franklin Gothic Book" w:hAnsi="Franklin Gothic Book"/>
      <w:sz w:val="14"/>
      <w:szCs w:val="14"/>
      <w:lang w:val="en-AU" w:eastAsia="en-US" w:bidi="ar-SA"/>
    </w:rPr>
  </w:style>
  <w:style w:type="paragraph" w:customStyle="1" w:styleId="BoxHeading1">
    <w:name w:val="Box Heading 1"/>
    <w:basedOn w:val="BoxText"/>
    <w:next w:val="BoxText"/>
    <w:rsid w:val="0063679A"/>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63679A"/>
    <w:pPr>
      <w:spacing w:before="140"/>
    </w:pPr>
    <w:rPr>
      <w:rFonts w:ascii="Franklin Gothic Book" w:hAnsi="Franklin Gothic Book"/>
      <w:i/>
      <w:color w:val="auto"/>
    </w:rPr>
  </w:style>
  <w:style w:type="paragraph" w:customStyle="1" w:styleId="TableListBullet">
    <w:name w:val="Table List Bullet"/>
    <w:basedOn w:val="TableTextEntries"/>
    <w:rsid w:val="0063679A"/>
    <w:pPr>
      <w:numPr>
        <w:numId w:val="9"/>
      </w:numPr>
    </w:pPr>
  </w:style>
  <w:style w:type="paragraph" w:styleId="TableofFigures">
    <w:name w:val="table of figures"/>
    <w:basedOn w:val="BodyText"/>
    <w:next w:val="BodyText"/>
    <w:semiHidden/>
    <w:rsid w:val="0063679A"/>
    <w:pPr>
      <w:tabs>
        <w:tab w:val="left" w:pos="1077"/>
        <w:tab w:val="right" w:pos="8505"/>
      </w:tabs>
      <w:spacing w:before="60" w:line="260" w:lineRule="atLeast"/>
      <w:ind w:left="1077" w:right="567" w:hanging="1077"/>
    </w:pPr>
  </w:style>
  <w:style w:type="paragraph" w:styleId="TOC3">
    <w:name w:val="toc 3"/>
    <w:basedOn w:val="TOC2"/>
    <w:next w:val="BodyText"/>
    <w:uiPriority w:val="39"/>
    <w:rsid w:val="0063679A"/>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63679A"/>
    <w:pPr>
      <w:jc w:val="right"/>
    </w:pPr>
  </w:style>
  <w:style w:type="paragraph" w:customStyle="1" w:styleId="Recommendation">
    <w:name w:val="Recommendation"/>
    <w:basedOn w:val="BodyText"/>
    <w:next w:val="BodyText"/>
    <w:semiHidden/>
    <w:rsid w:val="0063679A"/>
    <w:pPr>
      <w:tabs>
        <w:tab w:val="left" w:pos="284"/>
      </w:tabs>
      <w:ind w:left="284" w:hanging="284"/>
    </w:pPr>
    <w:rPr>
      <w:rFonts w:eastAsia="MS Mincho" w:cs="MS Mincho"/>
      <w:b/>
    </w:rPr>
  </w:style>
  <w:style w:type="paragraph" w:styleId="TOC6">
    <w:name w:val="toc 6"/>
    <w:basedOn w:val="BodyText"/>
    <w:next w:val="BodyText"/>
    <w:semiHidden/>
    <w:rsid w:val="0063679A"/>
    <w:pPr>
      <w:tabs>
        <w:tab w:val="left" w:pos="284"/>
        <w:tab w:val="right" w:pos="8222"/>
      </w:tabs>
      <w:ind w:left="284" w:right="567" w:hanging="284"/>
    </w:pPr>
  </w:style>
  <w:style w:type="character" w:styleId="CommentReference">
    <w:name w:val="annotation reference"/>
    <w:basedOn w:val="DefaultParagraphFont"/>
    <w:rsid w:val="0063679A"/>
    <w:rPr>
      <w:rFonts w:ascii="Franklin Gothic Medium" w:hAnsi="Franklin Gothic Medium"/>
      <w:vanish/>
      <w:color w:val="FF00FF"/>
      <w:sz w:val="16"/>
      <w:szCs w:val="16"/>
    </w:rPr>
  </w:style>
  <w:style w:type="character" w:styleId="FootnoteReference">
    <w:name w:val="footnote reference"/>
    <w:basedOn w:val="DefaultParagraphFont"/>
    <w:rsid w:val="0063679A"/>
    <w:rPr>
      <w:rFonts w:ascii="Franklin Gothic Book" w:hAnsi="Franklin Gothic Book"/>
      <w:w w:val="100"/>
      <w:position w:val="6"/>
      <w:sz w:val="12"/>
      <w:szCs w:val="12"/>
      <w:vertAlign w:val="baseline"/>
    </w:rPr>
  </w:style>
  <w:style w:type="paragraph" w:styleId="FootnoteText">
    <w:name w:val="footnote text"/>
    <w:basedOn w:val="BodyText"/>
    <w:link w:val="FootnoteTextChar"/>
    <w:rsid w:val="0063679A"/>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DefaultParagraphFont"/>
    <w:link w:val="FootnoteText"/>
    <w:semiHidden/>
    <w:locked/>
    <w:rsid w:val="00266448"/>
    <w:rPr>
      <w:rFonts w:ascii="Franklin Gothic Book" w:hAnsi="Franklin Gothic Book"/>
      <w:sz w:val="14"/>
      <w:szCs w:val="14"/>
      <w:lang w:val="en-AU" w:eastAsia="en-AU" w:bidi="ar-SA"/>
    </w:rPr>
  </w:style>
  <w:style w:type="character" w:styleId="Hyperlink">
    <w:name w:val="Hyperlink"/>
    <w:basedOn w:val="DefaultParagraphFont"/>
    <w:uiPriority w:val="99"/>
    <w:rsid w:val="0063679A"/>
    <w:rPr>
      <w:color w:val="00467F"/>
      <w:u w:val="none"/>
    </w:rPr>
  </w:style>
  <w:style w:type="paragraph" w:customStyle="1" w:styleId="ChartText">
    <w:name w:val="Chart Text"/>
    <w:basedOn w:val="BodyText"/>
    <w:semiHidden/>
    <w:rsid w:val="0063679A"/>
    <w:pPr>
      <w:spacing w:before="100" w:line="190" w:lineRule="exact"/>
    </w:pPr>
    <w:rPr>
      <w:rFonts w:ascii="Arial" w:hAnsi="Arial"/>
      <w:sz w:val="17"/>
    </w:rPr>
  </w:style>
  <w:style w:type="paragraph" w:customStyle="1" w:styleId="ChartBoldText">
    <w:name w:val="Chart Bold Text"/>
    <w:basedOn w:val="ChartText"/>
    <w:next w:val="ChartText"/>
    <w:semiHidden/>
    <w:rsid w:val="0063679A"/>
    <w:pPr>
      <w:spacing w:before="0"/>
      <w:jc w:val="center"/>
    </w:pPr>
    <w:rPr>
      <w:rFonts w:ascii="Arial Bold" w:hAnsi="Arial Bold"/>
      <w:b/>
      <w:color w:val="073771"/>
      <w:szCs w:val="17"/>
    </w:rPr>
  </w:style>
  <w:style w:type="paragraph" w:customStyle="1" w:styleId="ChartHighlight">
    <w:name w:val="Chart Highlight"/>
    <w:basedOn w:val="ChartBoldText"/>
    <w:semiHidden/>
    <w:rsid w:val="0063679A"/>
    <w:pPr>
      <w:spacing w:line="210" w:lineRule="exact"/>
    </w:pPr>
    <w:rPr>
      <w:caps/>
      <w:sz w:val="19"/>
    </w:rPr>
  </w:style>
  <w:style w:type="paragraph" w:customStyle="1" w:styleId="ChartListBullet">
    <w:name w:val="Chart List Bullet"/>
    <w:basedOn w:val="TableListBullet"/>
    <w:semiHidden/>
    <w:rsid w:val="0063679A"/>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63679A"/>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63679A"/>
    <w:pPr>
      <w:tabs>
        <w:tab w:val="num" w:pos="227"/>
      </w:tabs>
      <w:spacing w:before="60"/>
      <w:ind w:left="227" w:hanging="227"/>
    </w:pPr>
  </w:style>
  <w:style w:type="paragraph" w:styleId="TOC7">
    <w:name w:val="toc 7"/>
    <w:basedOn w:val="TOC1"/>
    <w:next w:val="TOC1"/>
    <w:semiHidden/>
    <w:rsid w:val="0063679A"/>
    <w:pPr>
      <w:tabs>
        <w:tab w:val="left" w:pos="1418"/>
      </w:tabs>
      <w:ind w:left="1418" w:hanging="1418"/>
    </w:pPr>
  </w:style>
  <w:style w:type="paragraph" w:customStyle="1" w:styleId="CharChar0">
    <w:name w:val="Char Char"/>
    <w:basedOn w:val="BoxText"/>
    <w:semiHidden/>
    <w:rsid w:val="0063679A"/>
  </w:style>
  <w:style w:type="paragraph" w:customStyle="1" w:styleId="Client">
    <w:name w:val="Client"/>
    <w:basedOn w:val="Author"/>
    <w:semiHidden/>
    <w:rsid w:val="0063679A"/>
    <w:rPr>
      <w:color w:val="auto"/>
      <w:sz w:val="20"/>
      <w:szCs w:val="20"/>
    </w:rPr>
  </w:style>
  <w:style w:type="paragraph" w:customStyle="1" w:styleId="TableDataEntries">
    <w:name w:val="Table Data Entries"/>
    <w:basedOn w:val="TableTextEntries"/>
    <w:rsid w:val="0063679A"/>
    <w:pPr>
      <w:jc w:val="right"/>
    </w:pPr>
  </w:style>
  <w:style w:type="paragraph" w:customStyle="1" w:styleId="TableDataColumnHeading">
    <w:name w:val="Table Data Column Heading"/>
    <w:basedOn w:val="TableDataEntries"/>
    <w:rsid w:val="0063679A"/>
    <w:pPr>
      <w:spacing w:before="80" w:after="80"/>
    </w:pPr>
    <w:rPr>
      <w:rFonts w:ascii="Franklin Gothic Medium" w:hAnsi="Franklin Gothic Medium"/>
    </w:rPr>
  </w:style>
  <w:style w:type="paragraph" w:customStyle="1" w:styleId="TableHeading1">
    <w:name w:val="Table Heading 1"/>
    <w:basedOn w:val="TableTextEntries"/>
    <w:next w:val="TableTextEntries"/>
    <w:rsid w:val="0063679A"/>
    <w:pPr>
      <w:spacing w:before="80" w:after="80"/>
    </w:pPr>
    <w:rPr>
      <w:rFonts w:ascii="Franklin Gothic Medium" w:hAnsi="Franklin Gothic Medium"/>
    </w:rPr>
  </w:style>
  <w:style w:type="paragraph" w:customStyle="1" w:styleId="TableHeading2">
    <w:name w:val="Table Heading 2"/>
    <w:basedOn w:val="TableHeading1"/>
    <w:next w:val="TableTextEntries"/>
    <w:rsid w:val="0063679A"/>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63679A"/>
    <w:pPr>
      <w:numPr>
        <w:numId w:val="16"/>
      </w:numPr>
    </w:pPr>
  </w:style>
  <w:style w:type="character" w:customStyle="1" w:styleId="TableListBullet2CharChar">
    <w:name w:val="Table List Bullet 2 Char Char"/>
    <w:basedOn w:val="DefaultParagraphFont"/>
    <w:link w:val="TableListBullet2"/>
    <w:rsid w:val="0063679A"/>
    <w:rPr>
      <w:rFonts w:ascii="Franklin Gothic Book" w:hAnsi="Franklin Gothic Book"/>
      <w:sz w:val="17"/>
      <w:szCs w:val="17"/>
      <w:lang w:val="en-AU" w:eastAsia="en-US" w:bidi="ar-SA"/>
    </w:rPr>
  </w:style>
  <w:style w:type="paragraph" w:customStyle="1" w:styleId="TableListNumber">
    <w:name w:val="Table List Number"/>
    <w:basedOn w:val="TableTextEntries"/>
    <w:rsid w:val="0063679A"/>
    <w:pPr>
      <w:numPr>
        <w:numId w:val="17"/>
      </w:numPr>
    </w:pPr>
  </w:style>
  <w:style w:type="paragraph" w:customStyle="1" w:styleId="TableListNumber2">
    <w:name w:val="Table List Number 2"/>
    <w:basedOn w:val="TableListNumber"/>
    <w:rsid w:val="0063679A"/>
    <w:pPr>
      <w:numPr>
        <w:numId w:val="18"/>
      </w:numPr>
    </w:pPr>
  </w:style>
  <w:style w:type="paragraph" w:customStyle="1" w:styleId="TableTextColumnHeading">
    <w:name w:val="Table Text Column Heading"/>
    <w:basedOn w:val="TableDataColumnHeading"/>
    <w:rsid w:val="0063679A"/>
    <w:pPr>
      <w:jc w:val="left"/>
    </w:pPr>
  </w:style>
  <w:style w:type="paragraph" w:customStyle="1" w:styleId="TableUnit">
    <w:name w:val="Table Unit"/>
    <w:basedOn w:val="TableDataColumnHeading"/>
    <w:next w:val="TableDataEntries"/>
    <w:rsid w:val="0063679A"/>
    <w:pPr>
      <w:keepNext/>
    </w:pPr>
    <w:rPr>
      <w:rFonts w:ascii="Franklin Gothic Book" w:hAnsi="Franklin Gothic Book"/>
    </w:rPr>
  </w:style>
  <w:style w:type="paragraph" w:customStyle="1" w:styleId="NoteNumber">
    <w:name w:val="Note Number"/>
    <w:basedOn w:val="TableTextEntries"/>
    <w:link w:val="NoteNumberCharChar"/>
    <w:rsid w:val="00A274E3"/>
    <w:pPr>
      <w:numPr>
        <w:numId w:val="15"/>
      </w:numPr>
      <w:spacing w:after="0" w:line="180" w:lineRule="atLeast"/>
    </w:pPr>
    <w:rPr>
      <w:sz w:val="14"/>
      <w:szCs w:val="14"/>
    </w:rPr>
  </w:style>
  <w:style w:type="character" w:customStyle="1" w:styleId="NoteNumberCharChar">
    <w:name w:val="Note Number Char Char"/>
    <w:basedOn w:val="DefaultParagraphFont"/>
    <w:link w:val="NoteNumber"/>
    <w:rsid w:val="00A274E3"/>
    <w:rPr>
      <w:rFonts w:ascii="Franklin Gothic Book" w:hAnsi="Franklin Gothic Book"/>
      <w:sz w:val="14"/>
      <w:szCs w:val="14"/>
      <w:lang w:val="en-AU" w:eastAsia="en-US" w:bidi="ar-SA"/>
    </w:rPr>
  </w:style>
  <w:style w:type="character" w:styleId="FollowedHyperlink">
    <w:name w:val="FollowedHyperlink"/>
    <w:basedOn w:val="DefaultParagraphFont"/>
    <w:semiHidden/>
    <w:rsid w:val="0063679A"/>
    <w:rPr>
      <w:color w:val="333399"/>
      <w:u w:val="none"/>
    </w:rPr>
  </w:style>
  <w:style w:type="paragraph" w:customStyle="1" w:styleId="Blurb">
    <w:name w:val="Blurb"/>
    <w:basedOn w:val="Caption"/>
    <w:semiHidden/>
    <w:rsid w:val="0063679A"/>
    <w:pPr>
      <w:spacing w:before="180" w:after="0" w:line="280" w:lineRule="atLeast"/>
    </w:pPr>
    <w:rPr>
      <w:color w:val="FFFFFF"/>
    </w:rPr>
  </w:style>
  <w:style w:type="paragraph" w:customStyle="1" w:styleId="Figure">
    <w:name w:val="Figure"/>
    <w:basedOn w:val="BodyText"/>
    <w:next w:val="BodyText"/>
    <w:semiHidden/>
    <w:rsid w:val="0063679A"/>
    <w:pPr>
      <w:spacing w:before="0" w:line="200" w:lineRule="atLeast"/>
    </w:pPr>
    <w:rPr>
      <w:sz w:val="18"/>
      <w:szCs w:val="18"/>
    </w:rPr>
  </w:style>
  <w:style w:type="paragraph" w:customStyle="1" w:styleId="BoxListBullet2">
    <w:name w:val="Box List Bullet 2"/>
    <w:basedOn w:val="BoxListBullet"/>
    <w:rsid w:val="0063679A"/>
    <w:pPr>
      <w:numPr>
        <w:numId w:val="6"/>
      </w:numPr>
    </w:pPr>
    <w:rPr>
      <w:szCs w:val="18"/>
    </w:rPr>
  </w:style>
  <w:style w:type="paragraph" w:customStyle="1" w:styleId="BoxListNumber">
    <w:name w:val="Box List Number"/>
    <w:basedOn w:val="BoxText"/>
    <w:rsid w:val="0063679A"/>
    <w:pPr>
      <w:numPr>
        <w:numId w:val="7"/>
      </w:numPr>
      <w:spacing w:before="0"/>
    </w:pPr>
  </w:style>
  <w:style w:type="paragraph" w:customStyle="1" w:styleId="BoxListNumber2">
    <w:name w:val="Box List Number 2"/>
    <w:basedOn w:val="BoxListNumber"/>
    <w:rsid w:val="0063679A"/>
    <w:pPr>
      <w:numPr>
        <w:numId w:val="8"/>
      </w:numPr>
    </w:pPr>
  </w:style>
  <w:style w:type="paragraph" w:customStyle="1" w:styleId="BoxNoteSource">
    <w:name w:val="Box Note/Source"/>
    <w:basedOn w:val="BoxText"/>
    <w:rsid w:val="0063679A"/>
    <w:pPr>
      <w:spacing w:before="100" w:after="100" w:line="180" w:lineRule="atLeast"/>
    </w:pPr>
    <w:rPr>
      <w:sz w:val="14"/>
      <w:szCs w:val="14"/>
    </w:rPr>
  </w:style>
  <w:style w:type="paragraph" w:customStyle="1" w:styleId="BoxQuote">
    <w:name w:val="Box Quote"/>
    <w:basedOn w:val="BoxText"/>
    <w:next w:val="BoxText"/>
    <w:rsid w:val="0063679A"/>
    <w:pPr>
      <w:spacing w:before="0" w:line="240" w:lineRule="atLeast"/>
      <w:ind w:left="284"/>
    </w:pPr>
    <w:rPr>
      <w:sz w:val="16"/>
      <w:szCs w:val="16"/>
    </w:rPr>
  </w:style>
  <w:style w:type="paragraph" w:customStyle="1" w:styleId="Appendix">
    <w:name w:val="Appendix"/>
    <w:basedOn w:val="Normal"/>
    <w:semiHidden/>
    <w:rsid w:val="0063679A"/>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63679A"/>
    <w:pPr>
      <w:spacing w:before="140" w:after="240" w:line="180" w:lineRule="exact"/>
    </w:pPr>
    <w:rPr>
      <w:rFonts w:ascii="Franklin Gothic Medium" w:hAnsi="Franklin Gothic Medium"/>
      <w:color w:val="54534A"/>
      <w:sz w:val="14"/>
      <w:szCs w:val="14"/>
    </w:rPr>
  </w:style>
  <w:style w:type="table" w:styleId="TableGrid">
    <w:name w:val="Table Grid"/>
    <w:basedOn w:val="TableNormal"/>
    <w:semiHidden/>
    <w:rsid w:val="00636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breviation">
    <w:name w:val="Abbreviation"/>
    <w:basedOn w:val="BodyText"/>
    <w:rsid w:val="00011299"/>
    <w:pPr>
      <w:ind w:left="1418" w:hanging="1418"/>
    </w:pPr>
  </w:style>
  <w:style w:type="paragraph" w:customStyle="1" w:styleId="TableTitle">
    <w:name w:val="TableTitle"/>
    <w:basedOn w:val="Normal"/>
    <w:next w:val="Normal"/>
    <w:rsid w:val="000D7060"/>
    <w:pPr>
      <w:keepNext/>
      <w:spacing w:before="240" w:after="120"/>
      <w:jc w:val="center"/>
    </w:pPr>
    <w:rPr>
      <w:rFonts w:ascii="Arial" w:hAnsi="Arial"/>
      <w:b/>
      <w:lang w:eastAsia="en-US"/>
    </w:rPr>
  </w:style>
  <w:style w:type="paragraph" w:styleId="BalloonText">
    <w:name w:val="Balloon Text"/>
    <w:basedOn w:val="Normal"/>
    <w:semiHidden/>
    <w:rsid w:val="000D7060"/>
    <w:pPr>
      <w:spacing w:before="120"/>
    </w:pPr>
    <w:rPr>
      <w:rFonts w:ascii="Tahoma" w:hAnsi="Tahoma" w:cs="Tahoma"/>
      <w:sz w:val="16"/>
      <w:szCs w:val="16"/>
      <w:lang w:eastAsia="en-US"/>
    </w:rPr>
  </w:style>
  <w:style w:type="paragraph" w:styleId="CommentSubject">
    <w:name w:val="annotation subject"/>
    <w:basedOn w:val="CommentText"/>
    <w:next w:val="CommentText"/>
    <w:semiHidden/>
    <w:rsid w:val="000D7060"/>
    <w:pPr>
      <w:spacing w:before="120" w:line="240" w:lineRule="auto"/>
    </w:pPr>
    <w:rPr>
      <w:rFonts w:ascii="Arial" w:hAnsi="Arial"/>
      <w:b/>
      <w:bCs/>
      <w:sz w:val="20"/>
      <w:szCs w:val="20"/>
      <w:lang w:eastAsia="en-US"/>
    </w:rPr>
  </w:style>
  <w:style w:type="paragraph" w:customStyle="1" w:styleId="Ratingred">
    <w:name w:val="Rating red"/>
    <w:basedOn w:val="ListBullet"/>
    <w:rsid w:val="0063679A"/>
    <w:pPr>
      <w:numPr>
        <w:numId w:val="4"/>
      </w:numPr>
      <w:spacing w:before="80"/>
    </w:pPr>
  </w:style>
  <w:style w:type="paragraph" w:customStyle="1" w:styleId="Ratingamber">
    <w:name w:val="Rating amber"/>
    <w:basedOn w:val="Ratingred"/>
    <w:rsid w:val="0063679A"/>
    <w:pPr>
      <w:numPr>
        <w:numId w:val="3"/>
      </w:numPr>
    </w:pPr>
  </w:style>
  <w:style w:type="paragraph" w:customStyle="1" w:styleId="Ratinggreen">
    <w:name w:val="Rating green"/>
    <w:basedOn w:val="Ratingamber"/>
    <w:rsid w:val="0063679A"/>
    <w:pPr>
      <w:numPr>
        <w:numId w:val="2"/>
      </w:numPr>
    </w:pPr>
  </w:style>
  <w:style w:type="paragraph" w:styleId="TOCHeading">
    <w:name w:val="TOC Heading"/>
    <w:basedOn w:val="Heading1"/>
    <w:next w:val="Normal"/>
    <w:uiPriority w:val="39"/>
    <w:unhideWhenUsed/>
    <w:qFormat/>
    <w:rsid w:val="00616432"/>
    <w:pPr>
      <w:keepLines/>
      <w:pageBreakBefore w:val="0"/>
      <w:numPr>
        <w:numId w:val="0"/>
      </w:numPr>
      <w:spacing w:before="240" w:after="0" w:line="259" w:lineRule="auto"/>
      <w:outlineLvl w:val="9"/>
    </w:pPr>
    <w:rPr>
      <w:rFonts w:asciiTheme="majorHAnsi" w:eastAsiaTheme="majorEastAsia" w:hAnsiTheme="majorHAnsi" w:cstheme="majorBidi"/>
      <w:color w:val="365F91" w:themeColor="accent1" w:themeShade="BF"/>
      <w:spacing w:val="0"/>
      <w:kern w:val="0"/>
      <w:sz w:val="32"/>
      <w:szCs w:val="32"/>
      <w:lang w:val="en-US" w:eastAsia="en-US"/>
    </w:rPr>
  </w:style>
  <w:style w:type="paragraph" w:customStyle="1" w:styleId="H1A">
    <w:name w:val="H1A"/>
    <w:basedOn w:val="Contents"/>
    <w:qFormat/>
    <w:rsid w:val="00616432"/>
    <w:rPr>
      <w:noProof/>
      <w:sz w:val="46"/>
      <w:szCs w:val="46"/>
    </w:rPr>
  </w:style>
  <w:style w:type="paragraph" w:customStyle="1" w:styleId="H2A">
    <w:name w:val="H2A"/>
    <w:basedOn w:val="Heading2unnumbered"/>
    <w:qFormat/>
    <w:rsid w:val="00A34F32"/>
    <w:pPr>
      <w:spacing w:before="360"/>
    </w:pPr>
  </w:style>
  <w:style w:type="paragraph" w:customStyle="1" w:styleId="H3A">
    <w:name w:val="H3A"/>
    <w:basedOn w:val="Heading3"/>
    <w:qFormat/>
    <w:rsid w:val="00B4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07518">
      <w:bodyDiv w:val="1"/>
      <w:marLeft w:val="0"/>
      <w:marRight w:val="0"/>
      <w:marTop w:val="0"/>
      <w:marBottom w:val="0"/>
      <w:divBdr>
        <w:top w:val="none" w:sz="0" w:space="0" w:color="auto"/>
        <w:left w:val="none" w:sz="0" w:space="0" w:color="auto"/>
        <w:bottom w:val="none" w:sz="0" w:space="0" w:color="auto"/>
        <w:right w:val="none" w:sz="0" w:space="0" w:color="auto"/>
      </w:divBdr>
    </w:div>
    <w:div w:id="291834466">
      <w:bodyDiv w:val="1"/>
      <w:marLeft w:val="0"/>
      <w:marRight w:val="0"/>
      <w:marTop w:val="0"/>
      <w:marBottom w:val="0"/>
      <w:divBdr>
        <w:top w:val="none" w:sz="0" w:space="0" w:color="auto"/>
        <w:left w:val="none" w:sz="0" w:space="0" w:color="auto"/>
        <w:bottom w:val="none" w:sz="0" w:space="0" w:color="auto"/>
        <w:right w:val="none" w:sz="0" w:space="0" w:color="auto"/>
      </w:divBdr>
    </w:div>
    <w:div w:id="968588991">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jpeg"/><Relationship Id="rId18" Type="http://schemas.openxmlformats.org/officeDocument/2006/relationships/image" Target="media/image4.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ausaid.gov.au/"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ausaid.gov.au/Publications/" TargetMode="External"/><Relationship Id="rId20" Type="http://schemas.openxmlformats.org/officeDocument/2006/relationships/image" Target="media/image5.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ag.gov.au/cca" TargetMode="External"/><Relationship Id="rId23" Type="http://schemas.openxmlformats.org/officeDocument/2006/relationships/image" Target="media/image8.wmf"/><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jpeg"/><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20New%20look\Pacific\Pacific%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63C947-681F-41CF-A1EB-9EFF27CE9063}"/>
</file>

<file path=customXml/itemProps2.xml><?xml version="1.0" encoding="utf-8"?>
<ds:datastoreItem xmlns:ds="http://schemas.openxmlformats.org/officeDocument/2006/customXml" ds:itemID="{55110C5B-6755-478B-9573-1594FFE66715}"/>
</file>

<file path=customXml/itemProps3.xml><?xml version="1.0" encoding="utf-8"?>
<ds:datastoreItem xmlns:ds="http://schemas.openxmlformats.org/officeDocument/2006/customXml" ds:itemID="{D3500653-7404-4032-9DF4-8068E49E4006}"/>
</file>

<file path=customXml/itemProps4.xml><?xml version="1.0" encoding="utf-8"?>
<ds:datastoreItem xmlns:ds="http://schemas.openxmlformats.org/officeDocument/2006/customXml" ds:itemID="{9B785890-4896-48A6-8F7B-3BDACE1A545D}"/>
</file>

<file path=customXml/itemProps5.xml><?xml version="1.0" encoding="utf-8"?>
<ds:datastoreItem xmlns:ds="http://schemas.openxmlformats.org/officeDocument/2006/customXml" ds:itemID="{0E7C42B6-AB80-4B61-BCFC-1F66CED60859}"/>
</file>

<file path=docProps/app.xml><?xml version="1.0" encoding="utf-8"?>
<Properties xmlns="http://schemas.openxmlformats.org/officeDocument/2006/extended-properties" xmlns:vt="http://schemas.openxmlformats.org/officeDocument/2006/docPropsVTypes">
  <Template>Pacific report.dot</Template>
  <TotalTime>13</TotalTime>
  <Pages>60</Pages>
  <Words>21506</Words>
  <Characters>129160</Characters>
  <Application>Microsoft Office Word</Application>
  <DocSecurity>0</DocSecurity>
  <Lines>1076</Lines>
  <Paragraphs>300</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150366</CharactersWithSpaces>
  <SharedDoc>false</SharedDoc>
  <HLinks>
    <vt:vector size="18" baseType="variant">
      <vt:variant>
        <vt:i4>4849744</vt:i4>
      </vt:variant>
      <vt:variant>
        <vt:i4>6</vt:i4>
      </vt:variant>
      <vt:variant>
        <vt:i4>0</vt:i4>
      </vt:variant>
      <vt:variant>
        <vt:i4>5</vt:i4>
      </vt:variant>
      <vt:variant>
        <vt:lpwstr>http://www.ausaid.gov.au/</vt:lpwstr>
      </vt:variant>
      <vt:variant>
        <vt:lpwstr/>
      </vt:variant>
      <vt:variant>
        <vt:i4>5701662</vt:i4>
      </vt:variant>
      <vt:variant>
        <vt:i4>3</vt:i4>
      </vt:variant>
      <vt:variant>
        <vt:i4>0</vt:i4>
      </vt:variant>
      <vt:variant>
        <vt:i4>65541</vt:i4>
      </vt:variant>
      <vt:variant>
        <vt:lpwstr>http://www.ausaid.gov.au/Publications/</vt:lpwstr>
      </vt:variant>
      <vt:variant>
        <vt:lpwstr/>
      </vt:variant>
      <vt:variant>
        <vt:i4>5373963</vt:i4>
      </vt:variant>
      <vt:variant>
        <vt:i4>0</vt:i4>
      </vt:variant>
      <vt:variant>
        <vt:i4>0</vt:i4>
      </vt:variant>
      <vt:variant>
        <vt:i4>5</vt:i4>
      </vt:variant>
      <vt:variant>
        <vt:lpwstr>http://www.ag.gov.au/cca</vt:lpwstr>
      </vt:variant>
      <vt:variant>
        <vt:lpwstr/>
      </vt:variant>
    </vt:vector>
  </HLinks>
  <HyperlinksChanged>true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Judy Fenelon</dc:creator>
  <cp:lastModifiedBy>Muhammad Khattab</cp:lastModifiedBy>
  <cp:revision>3</cp:revision>
  <cp:lastPrinted>2009-08-27T22:10:00Z</cp:lastPrinted>
  <dcterms:created xsi:type="dcterms:W3CDTF">2013-07-10T10:58:00Z</dcterms:created>
  <dcterms:modified xsi:type="dcterms:W3CDTF">2013-07-10T12:34:00Z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120200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