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E7" w:rsidRPr="00D06F79" w:rsidRDefault="00602D7F" w:rsidP="008550DA">
      <w:pPr>
        <w:pStyle w:val="Title"/>
        <w:spacing w:after="600"/>
        <w:ind w:left="2376" w:right="-1411"/>
        <w:rPr>
          <w:noProof/>
          <w:color w:val="FFFFFF"/>
        </w:rPr>
      </w:pPr>
      <w:r>
        <w:rPr>
          <w:noProof/>
          <w:color w:val="FFFFFF"/>
          <w:lang w:val="en-US" w:eastAsia="en-US"/>
        </w:rPr>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60310" cy="10694035"/>
            <wp:effectExtent l="0" t="0" r="2540" b="0"/>
            <wp:wrapNone/>
            <wp:docPr id="1186" name="Picture 1186"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AusAI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E7">
        <w:rPr>
          <w:color w:val="FFFFFF"/>
        </w:rPr>
        <w:t>Annual program performance report: Nauru 2008–0</w:t>
      </w:r>
      <w:r w:rsidR="00B1100D">
        <w:rPr>
          <w:color w:val="FFFFFF"/>
        </w:rPr>
        <w:t>9</w:t>
      </w:r>
    </w:p>
    <w:p w:rsidR="00ED30E7" w:rsidRPr="002C7822" w:rsidRDefault="00233DC0" w:rsidP="008550DA">
      <w:pPr>
        <w:pStyle w:val="Date"/>
        <w:ind w:left="2097" w:firstLine="284"/>
        <w:rPr>
          <w:rFonts w:ascii="Franklin Gothic Medium" w:hAnsi="Franklin Gothic Medium"/>
          <w:color w:val="FFFFFF"/>
        </w:rPr>
      </w:pPr>
      <w:r>
        <w:rPr>
          <w:rFonts w:ascii="Franklin Gothic Medium" w:hAnsi="Franklin Gothic Medium"/>
          <w:color w:val="FFFFFF"/>
        </w:rPr>
        <w:t>Ju</w:t>
      </w:r>
      <w:r w:rsidR="00CC4C20">
        <w:rPr>
          <w:rFonts w:ascii="Franklin Gothic Medium" w:hAnsi="Franklin Gothic Medium"/>
          <w:color w:val="FFFFFF"/>
        </w:rPr>
        <w:t>ly</w:t>
      </w:r>
      <w:r w:rsidR="00ED30E7">
        <w:rPr>
          <w:rFonts w:ascii="Franklin Gothic Medium" w:hAnsi="Franklin Gothic Medium"/>
          <w:color w:val="FFFFFF"/>
        </w:rPr>
        <w:t xml:space="preserve"> 2009</w:t>
      </w:r>
    </w:p>
    <w:p w:rsidR="00ED30E7" w:rsidRDefault="00602D7F">
      <w:pPr>
        <w:pStyle w:val="BoxText"/>
        <w:pageBreakBefore/>
        <w:spacing w:before="300"/>
        <w:ind w:right="1134"/>
      </w:pPr>
      <w:r>
        <w:rPr>
          <w:noProof/>
          <w:lang w:val="en-US" w:eastAsia="en-US"/>
        </w:rPr>
        <w:lastRenderedPageBreak/>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0310" cy="1585595"/>
            <wp:effectExtent l="0" t="0" r="2540" b="0"/>
            <wp:wrapSquare wrapText="bothSides"/>
            <wp:docPr id="1188" name="Picture 118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E7">
        <w:t>© Commonwealth of Australia 2009</w:t>
      </w:r>
    </w:p>
    <w:p w:rsidR="00ED30E7" w:rsidRPr="00737052" w:rsidRDefault="00ED30E7">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all other rights are reserved. Requests and inquiries concerning reproduction and rights should be addressed to Commonwealth Copyright Administration, Attorney General</w:t>
      </w:r>
      <w:r w:rsidR="00247AFA">
        <w:t>’</w:t>
      </w:r>
      <w:r>
        <w:t xml:space="preserve">s Department, Robert Garran Offices, National Circuit, Barton ACT 2600 or posted </w:t>
      </w:r>
      <w:r w:rsidRPr="0094221E">
        <w:t xml:space="preserve">at </w:t>
      </w:r>
      <w:hyperlink r:id="rId14" w:history="1">
        <w:r w:rsidRPr="0094221E">
          <w:t>http://www.ag.gov.au/cca</w:t>
        </w:r>
      </w:hyperlink>
    </w:p>
    <w:p w:rsidR="00ED30E7" w:rsidRPr="00CF0CE7" w:rsidRDefault="00ED30E7">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w:t>
      </w:r>
      <w:smartTag w:uri="urn:schemas-microsoft-com:office:smarttags" w:element="place">
        <w:smartTag w:uri="urn:schemas-microsoft-com:office:smarttags" w:element="City">
          <w:r w:rsidRPr="00CF0CE7">
            <w:t>Canberra</w:t>
          </w:r>
        </w:smartTag>
      </w:smartTag>
      <w:r w:rsidRPr="00CF0CE7">
        <w:t xml:space="preserve">, </w:t>
      </w:r>
      <w:proofErr w:type="gramStart"/>
      <w:r>
        <w:t>October</w:t>
      </w:r>
      <w:proofErr w:type="gramEnd"/>
      <w:r>
        <w:t xml:space="preserve"> 2009</w:t>
      </w:r>
      <w:r w:rsidRPr="00CF0CE7">
        <w:t>.</w:t>
      </w:r>
    </w:p>
    <w:p w:rsidR="00ED30E7" w:rsidRPr="00F0526B" w:rsidRDefault="00ED30E7">
      <w:pPr>
        <w:pStyle w:val="BoxText"/>
        <w:ind w:right="1134"/>
      </w:pPr>
      <w:r w:rsidRPr="00F0526B">
        <w:t xml:space="preserve">This document is online at </w:t>
      </w:r>
      <w:hyperlink r:id="rId15" w:history="1">
        <w:r w:rsidRPr="00F0526B">
          <w:t>www.ausaid.gov.au/publications</w:t>
        </w:r>
      </w:hyperlink>
    </w:p>
    <w:p w:rsidR="00ED30E7" w:rsidRPr="00F0526B" w:rsidRDefault="00ED30E7">
      <w:pPr>
        <w:pStyle w:val="BoxText"/>
        <w:ind w:right="2418"/>
      </w:pPr>
      <w:r w:rsidRPr="00F0526B">
        <w:t xml:space="preserve">For </w:t>
      </w:r>
      <w:r>
        <w:t>furthe</w:t>
      </w:r>
      <w:r w:rsidRPr="00A045A2">
        <w:t>r information about the Australian Government</w:t>
      </w:r>
      <w:r w:rsidR="00247AFA">
        <w:t>’</w:t>
      </w:r>
      <w:r w:rsidRPr="00A045A2">
        <w:t xml:space="preserve">s international development program, </w:t>
      </w:r>
      <w:r w:rsidRPr="00F0526B">
        <w:t>contact:</w:t>
      </w:r>
    </w:p>
    <w:p w:rsidR="00ED30E7" w:rsidRPr="00F0526B" w:rsidRDefault="00ED30E7">
      <w:pPr>
        <w:pStyle w:val="BoxText"/>
        <w:spacing w:after="0"/>
        <w:ind w:right="1134"/>
      </w:pPr>
      <w:r>
        <w:t>Communications Section</w:t>
      </w:r>
    </w:p>
    <w:p w:rsidR="00ED30E7" w:rsidRPr="00F0526B" w:rsidRDefault="00ED30E7">
      <w:pPr>
        <w:pStyle w:val="BoxText"/>
        <w:spacing w:before="0" w:after="0"/>
        <w:ind w:right="1134"/>
      </w:pPr>
      <w:proofErr w:type="spellStart"/>
      <w:r w:rsidRPr="00F0526B">
        <w:t>AusAID</w:t>
      </w:r>
      <w:proofErr w:type="spellEnd"/>
    </w:p>
    <w:p w:rsidR="00ED30E7" w:rsidRPr="00F0526B" w:rsidRDefault="00ED30E7">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rsidR="00ED30E7" w:rsidRPr="00F0526B" w:rsidRDefault="00ED30E7">
      <w:pPr>
        <w:pStyle w:val="BoxText"/>
        <w:spacing w:before="0"/>
        <w:ind w:right="1134"/>
      </w:pPr>
      <w:smartTag w:uri="urn:schemas-microsoft-com:office:smarttags" w:element="place">
        <w:smartTag w:uri="urn:schemas-microsoft-com:office:smarttags" w:element="City">
          <w:r w:rsidRPr="00F0526B">
            <w:t>Canberra</w:t>
          </w:r>
        </w:smartTag>
      </w:smartTag>
      <w:r w:rsidRPr="00F0526B">
        <w:t xml:space="preserve"> ACT 2601</w:t>
      </w:r>
    </w:p>
    <w:p w:rsidR="00ED30E7" w:rsidRPr="00F0526B" w:rsidRDefault="00ED30E7">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ED30E7" w:rsidRPr="00F0526B" w:rsidRDefault="00ED30E7">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ED30E7" w:rsidRDefault="00ED30E7">
      <w:pPr>
        <w:pStyle w:val="BoxText"/>
        <w:spacing w:before="0"/>
        <w:ind w:right="1134"/>
      </w:pPr>
      <w:r w:rsidRPr="00F0526B">
        <w:t>Internet</w:t>
      </w:r>
      <w:r w:rsidRPr="00F0526B">
        <w:rPr>
          <w:rFonts w:ascii="Arial Unicode MS" w:eastAsia="Arial Unicode MS" w:hAnsi="Arial Unicode MS" w:cs="Arial Unicode MS" w:hint="eastAsia"/>
        </w:rPr>
        <w:t> </w:t>
      </w:r>
      <w:hyperlink r:id="rId16"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F56682" w:rsidRDefault="00602D7F" w:rsidP="008550DA">
      <w:pPr>
        <w:pStyle w:val="H1"/>
      </w:pPr>
      <w:r w:rsidRPr="008550DA">
        <w:rPr>
          <w:lang w:val="en-US" w:eastAsia="en-US"/>
        </w:rPr>
        <w:lastRenderedPageBreak/>
        <w:drawing>
          <wp:anchor distT="0" distB="0" distL="114300" distR="114300" simplePos="0" relativeHeight="25165312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5" name="Picture 118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E7" w:rsidRPr="008550DA">
        <w:t>Contents</w:t>
      </w:r>
    </w:p>
    <w:p w:rsidR="00F56682" w:rsidRPr="00F56682" w:rsidRDefault="00F56682" w:rsidP="00F56682">
      <w:pPr>
        <w:pStyle w:val="TOCHeading"/>
      </w:pPr>
      <w:r>
        <w:fldChar w:fldCharType="begin"/>
      </w:r>
      <w:r>
        <w:instrText xml:space="preserve"> TOC \o "1-3" \h \z \u </w:instrText>
      </w:r>
      <w:r>
        <w:fldChar w:fldCharType="separate"/>
      </w:r>
      <w:hyperlink w:anchor="_Toc361056113" w:history="1">
        <w:r w:rsidRPr="004817DD">
          <w:rPr>
            <w:rStyle w:val="Hyperlink"/>
            <w:noProof/>
          </w:rPr>
          <w:t>Major results</w:t>
        </w:r>
        <w:r>
          <w:rPr>
            <w:noProof/>
            <w:webHidden/>
          </w:rPr>
          <w:tab/>
        </w:r>
        <w:r>
          <w:rPr>
            <w:noProof/>
            <w:webHidden/>
          </w:rPr>
          <w:fldChar w:fldCharType="begin"/>
        </w:r>
        <w:r>
          <w:rPr>
            <w:noProof/>
            <w:webHidden/>
          </w:rPr>
          <w:instrText xml:space="preserve"> PAGEREF _Toc361056113 \h </w:instrText>
        </w:r>
        <w:r>
          <w:rPr>
            <w:noProof/>
            <w:webHidden/>
          </w:rPr>
        </w:r>
        <w:r>
          <w:rPr>
            <w:noProof/>
            <w:webHidden/>
          </w:rPr>
          <w:fldChar w:fldCharType="separate"/>
        </w:r>
        <w:r>
          <w:rPr>
            <w:noProof/>
            <w:webHidden/>
          </w:rPr>
          <w:t>6</w:t>
        </w:r>
        <w:r>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14" w:history="1">
        <w:r w:rsidR="00F56682" w:rsidRPr="004817DD">
          <w:rPr>
            <w:rStyle w:val="Hyperlink"/>
            <w:noProof/>
          </w:rPr>
          <w:t>Major challenges</w:t>
        </w:r>
        <w:r w:rsidR="00F56682">
          <w:rPr>
            <w:noProof/>
            <w:webHidden/>
          </w:rPr>
          <w:tab/>
        </w:r>
        <w:r w:rsidR="00F56682">
          <w:rPr>
            <w:noProof/>
            <w:webHidden/>
          </w:rPr>
          <w:fldChar w:fldCharType="begin"/>
        </w:r>
        <w:r w:rsidR="00F56682">
          <w:rPr>
            <w:noProof/>
            <w:webHidden/>
          </w:rPr>
          <w:instrText xml:space="preserve"> PAGEREF _Toc361056114 \h </w:instrText>
        </w:r>
        <w:r w:rsidR="00F56682">
          <w:rPr>
            <w:noProof/>
            <w:webHidden/>
          </w:rPr>
        </w:r>
        <w:r w:rsidR="00F56682">
          <w:rPr>
            <w:noProof/>
            <w:webHidden/>
          </w:rPr>
          <w:fldChar w:fldCharType="separate"/>
        </w:r>
        <w:r w:rsidR="00F56682">
          <w:rPr>
            <w:noProof/>
            <w:webHidden/>
          </w:rPr>
          <w:t>7</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15" w:history="1">
        <w:r w:rsidR="00F56682" w:rsidRPr="004817DD">
          <w:rPr>
            <w:rStyle w:val="Hyperlink"/>
            <w:noProof/>
          </w:rPr>
          <w:t>Main management consequences</w:t>
        </w:r>
        <w:r w:rsidR="00F56682">
          <w:rPr>
            <w:noProof/>
            <w:webHidden/>
          </w:rPr>
          <w:tab/>
        </w:r>
        <w:r w:rsidR="00F56682">
          <w:rPr>
            <w:noProof/>
            <w:webHidden/>
          </w:rPr>
          <w:fldChar w:fldCharType="begin"/>
        </w:r>
        <w:r w:rsidR="00F56682">
          <w:rPr>
            <w:noProof/>
            <w:webHidden/>
          </w:rPr>
          <w:instrText xml:space="preserve"> PAGEREF _Toc361056115 \h </w:instrText>
        </w:r>
        <w:r w:rsidR="00F56682">
          <w:rPr>
            <w:noProof/>
            <w:webHidden/>
          </w:rPr>
        </w:r>
        <w:r w:rsidR="00F56682">
          <w:rPr>
            <w:noProof/>
            <w:webHidden/>
          </w:rPr>
          <w:fldChar w:fldCharType="separate"/>
        </w:r>
        <w:r w:rsidR="00F56682">
          <w:rPr>
            <w:noProof/>
            <w:webHidden/>
          </w:rPr>
          <w:t>8</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16" w:history="1">
        <w:r w:rsidR="00F56682" w:rsidRPr="004817DD">
          <w:rPr>
            <w:rStyle w:val="Hyperlink"/>
            <w:noProof/>
          </w:rPr>
          <w:t>Economic, political and social development</w:t>
        </w:r>
        <w:r w:rsidR="00F56682">
          <w:rPr>
            <w:noProof/>
            <w:webHidden/>
          </w:rPr>
          <w:tab/>
        </w:r>
        <w:r w:rsidR="00F56682">
          <w:rPr>
            <w:noProof/>
            <w:webHidden/>
          </w:rPr>
          <w:fldChar w:fldCharType="begin"/>
        </w:r>
        <w:r w:rsidR="00F56682">
          <w:rPr>
            <w:noProof/>
            <w:webHidden/>
          </w:rPr>
          <w:instrText xml:space="preserve"> PAGEREF _Toc361056116 \h </w:instrText>
        </w:r>
        <w:r w:rsidR="00F56682">
          <w:rPr>
            <w:noProof/>
            <w:webHidden/>
          </w:rPr>
        </w:r>
        <w:r w:rsidR="00F56682">
          <w:rPr>
            <w:noProof/>
            <w:webHidden/>
          </w:rPr>
          <w:fldChar w:fldCharType="separate"/>
        </w:r>
        <w:r w:rsidR="00F56682">
          <w:rPr>
            <w:noProof/>
            <w:webHidden/>
          </w:rPr>
          <w:t>9</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17" w:history="1">
        <w:r w:rsidR="00F56682" w:rsidRPr="004817DD">
          <w:rPr>
            <w:rStyle w:val="Hyperlink"/>
            <w:noProof/>
          </w:rPr>
          <w:t>Economic reforms</w:t>
        </w:r>
        <w:r w:rsidR="00F56682">
          <w:rPr>
            <w:noProof/>
            <w:webHidden/>
          </w:rPr>
          <w:tab/>
        </w:r>
        <w:r w:rsidR="00F56682">
          <w:rPr>
            <w:noProof/>
            <w:webHidden/>
          </w:rPr>
          <w:fldChar w:fldCharType="begin"/>
        </w:r>
        <w:r w:rsidR="00F56682">
          <w:rPr>
            <w:noProof/>
            <w:webHidden/>
          </w:rPr>
          <w:instrText xml:space="preserve"> PAGEREF _Toc361056117 \h </w:instrText>
        </w:r>
        <w:r w:rsidR="00F56682">
          <w:rPr>
            <w:noProof/>
            <w:webHidden/>
          </w:rPr>
        </w:r>
        <w:r w:rsidR="00F56682">
          <w:rPr>
            <w:noProof/>
            <w:webHidden/>
          </w:rPr>
          <w:fldChar w:fldCharType="separate"/>
        </w:r>
        <w:r w:rsidR="00F56682">
          <w:rPr>
            <w:noProof/>
            <w:webHidden/>
          </w:rPr>
          <w:t>10</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18" w:history="1">
        <w:r w:rsidR="00F56682" w:rsidRPr="004817DD">
          <w:rPr>
            <w:rStyle w:val="Hyperlink"/>
            <w:noProof/>
          </w:rPr>
          <w:t>Progress toward</w:t>
        </w:r>
        <w:r w:rsidR="00F56682" w:rsidRPr="004817DD">
          <w:rPr>
            <w:rStyle w:val="Hyperlink"/>
            <w:caps/>
            <w:noProof/>
          </w:rPr>
          <w:t xml:space="preserve"> </w:t>
        </w:r>
        <w:r w:rsidR="00F56682" w:rsidRPr="004817DD">
          <w:rPr>
            <w:rStyle w:val="Hyperlink"/>
            <w:noProof/>
          </w:rPr>
          <w:t>Millennium Development Goals</w:t>
        </w:r>
        <w:r w:rsidR="00F56682">
          <w:rPr>
            <w:noProof/>
            <w:webHidden/>
          </w:rPr>
          <w:tab/>
        </w:r>
        <w:r w:rsidR="00F56682">
          <w:rPr>
            <w:noProof/>
            <w:webHidden/>
          </w:rPr>
          <w:fldChar w:fldCharType="begin"/>
        </w:r>
        <w:r w:rsidR="00F56682">
          <w:rPr>
            <w:noProof/>
            <w:webHidden/>
          </w:rPr>
          <w:instrText xml:space="preserve"> PAGEREF _Toc361056118 \h </w:instrText>
        </w:r>
        <w:r w:rsidR="00F56682">
          <w:rPr>
            <w:noProof/>
            <w:webHidden/>
          </w:rPr>
        </w:r>
        <w:r w:rsidR="00F56682">
          <w:rPr>
            <w:noProof/>
            <w:webHidden/>
          </w:rPr>
          <w:fldChar w:fldCharType="separate"/>
        </w:r>
        <w:r w:rsidR="00F56682">
          <w:rPr>
            <w:noProof/>
            <w:webHidden/>
          </w:rPr>
          <w:t>10</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19" w:history="1">
        <w:r w:rsidR="00F56682" w:rsidRPr="004817DD">
          <w:rPr>
            <w:rStyle w:val="Hyperlink"/>
            <w:noProof/>
          </w:rPr>
          <w:t>Nauru’s National Sustainable Development Strategy</w:t>
        </w:r>
        <w:r w:rsidR="00F56682">
          <w:rPr>
            <w:noProof/>
            <w:webHidden/>
          </w:rPr>
          <w:tab/>
        </w:r>
        <w:r w:rsidR="00F56682">
          <w:rPr>
            <w:noProof/>
            <w:webHidden/>
          </w:rPr>
          <w:fldChar w:fldCharType="begin"/>
        </w:r>
        <w:r w:rsidR="00F56682">
          <w:rPr>
            <w:noProof/>
            <w:webHidden/>
          </w:rPr>
          <w:instrText xml:space="preserve"> PAGEREF _Toc361056119 \h </w:instrText>
        </w:r>
        <w:r w:rsidR="00F56682">
          <w:rPr>
            <w:noProof/>
            <w:webHidden/>
          </w:rPr>
        </w:r>
        <w:r w:rsidR="00F56682">
          <w:rPr>
            <w:noProof/>
            <w:webHidden/>
          </w:rPr>
          <w:fldChar w:fldCharType="separate"/>
        </w:r>
        <w:r w:rsidR="00F56682">
          <w:rPr>
            <w:noProof/>
            <w:webHidden/>
          </w:rPr>
          <w:t>11</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20" w:history="1">
        <w:r w:rsidR="00F56682" w:rsidRPr="004817DD">
          <w:rPr>
            <w:rStyle w:val="Hyperlink"/>
            <w:noProof/>
          </w:rPr>
          <w:t>Australian and other donor assistance to Nauru</w:t>
        </w:r>
        <w:r w:rsidR="00F56682">
          <w:rPr>
            <w:noProof/>
            <w:webHidden/>
          </w:rPr>
          <w:tab/>
        </w:r>
        <w:r w:rsidR="00F56682">
          <w:rPr>
            <w:noProof/>
            <w:webHidden/>
          </w:rPr>
          <w:fldChar w:fldCharType="begin"/>
        </w:r>
        <w:r w:rsidR="00F56682">
          <w:rPr>
            <w:noProof/>
            <w:webHidden/>
          </w:rPr>
          <w:instrText xml:space="preserve"> PAGEREF _Toc361056120 \h </w:instrText>
        </w:r>
        <w:r w:rsidR="00F56682">
          <w:rPr>
            <w:noProof/>
            <w:webHidden/>
          </w:rPr>
        </w:r>
        <w:r w:rsidR="00F56682">
          <w:rPr>
            <w:noProof/>
            <w:webHidden/>
          </w:rPr>
          <w:fldChar w:fldCharType="separate"/>
        </w:r>
        <w:r w:rsidR="00F56682">
          <w:rPr>
            <w:noProof/>
            <w:webHidden/>
          </w:rPr>
          <w:t>11</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21" w:history="1">
        <w:r w:rsidR="00F56682" w:rsidRPr="004817DD">
          <w:rPr>
            <w:rStyle w:val="Hyperlink"/>
            <w:noProof/>
          </w:rPr>
          <w:t>Objective 1: Through economic and financial management reform, assist with the transition to changed livelihoods and improving management and delivery of key services such as health and education to the Nauruan community</w:t>
        </w:r>
        <w:r w:rsidR="00F56682">
          <w:rPr>
            <w:noProof/>
            <w:webHidden/>
          </w:rPr>
          <w:tab/>
        </w:r>
        <w:r w:rsidR="00F56682">
          <w:rPr>
            <w:noProof/>
            <w:webHidden/>
          </w:rPr>
          <w:fldChar w:fldCharType="begin"/>
        </w:r>
        <w:r w:rsidR="00F56682">
          <w:rPr>
            <w:noProof/>
            <w:webHidden/>
          </w:rPr>
          <w:instrText xml:space="preserve"> PAGEREF _Toc361056121 \h </w:instrText>
        </w:r>
        <w:r w:rsidR="00F56682">
          <w:rPr>
            <w:noProof/>
            <w:webHidden/>
          </w:rPr>
        </w:r>
        <w:r w:rsidR="00F56682">
          <w:rPr>
            <w:noProof/>
            <w:webHidden/>
          </w:rPr>
          <w:fldChar w:fldCharType="separate"/>
        </w:r>
        <w:r w:rsidR="00F56682">
          <w:rPr>
            <w:noProof/>
            <w:webHidden/>
          </w:rPr>
          <w:t>13</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22" w:history="1">
        <w:r w:rsidR="00F56682" w:rsidRPr="004817DD">
          <w:rPr>
            <w:rStyle w:val="Hyperlink"/>
            <w:noProof/>
          </w:rPr>
          <w:t>Rating</w:t>
        </w:r>
        <w:r w:rsidR="00F56682">
          <w:rPr>
            <w:noProof/>
            <w:webHidden/>
          </w:rPr>
          <w:tab/>
        </w:r>
        <w:r w:rsidR="00F56682">
          <w:rPr>
            <w:noProof/>
            <w:webHidden/>
          </w:rPr>
          <w:fldChar w:fldCharType="begin"/>
        </w:r>
        <w:r w:rsidR="00F56682">
          <w:rPr>
            <w:noProof/>
            <w:webHidden/>
          </w:rPr>
          <w:instrText xml:space="preserve"> PAGEREF _Toc361056122 \h </w:instrText>
        </w:r>
        <w:r w:rsidR="00F56682">
          <w:rPr>
            <w:noProof/>
            <w:webHidden/>
          </w:rPr>
        </w:r>
        <w:r w:rsidR="00F56682">
          <w:rPr>
            <w:noProof/>
            <w:webHidden/>
          </w:rPr>
          <w:fldChar w:fldCharType="separate"/>
        </w:r>
        <w:r w:rsidR="00F56682">
          <w:rPr>
            <w:noProof/>
            <w:webHidden/>
          </w:rPr>
          <w:t>13</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23" w:history="1">
        <w:r w:rsidR="00F56682" w:rsidRPr="004817DD">
          <w:rPr>
            <w:rStyle w:val="Hyperlink"/>
            <w:noProof/>
          </w:rPr>
          <w:t>Assessment of results and performance</w:t>
        </w:r>
        <w:r w:rsidR="00F56682">
          <w:rPr>
            <w:noProof/>
            <w:webHidden/>
          </w:rPr>
          <w:tab/>
        </w:r>
        <w:r w:rsidR="00F56682">
          <w:rPr>
            <w:noProof/>
            <w:webHidden/>
          </w:rPr>
          <w:fldChar w:fldCharType="begin"/>
        </w:r>
        <w:r w:rsidR="00F56682">
          <w:rPr>
            <w:noProof/>
            <w:webHidden/>
          </w:rPr>
          <w:instrText xml:space="preserve"> PAGEREF _Toc361056123 \h </w:instrText>
        </w:r>
        <w:r w:rsidR="00F56682">
          <w:rPr>
            <w:noProof/>
            <w:webHidden/>
          </w:rPr>
        </w:r>
        <w:r w:rsidR="00F56682">
          <w:rPr>
            <w:noProof/>
            <w:webHidden/>
          </w:rPr>
          <w:fldChar w:fldCharType="separate"/>
        </w:r>
        <w:r w:rsidR="00F56682">
          <w:rPr>
            <w:noProof/>
            <w:webHidden/>
          </w:rPr>
          <w:t>13</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24" w:history="1">
        <w:r w:rsidR="00F56682" w:rsidRPr="004817DD">
          <w:rPr>
            <w:rStyle w:val="Hyperlink"/>
            <w:noProof/>
          </w:rPr>
          <w:t>Estimated expenditure</w:t>
        </w:r>
        <w:r w:rsidR="00F56682">
          <w:rPr>
            <w:noProof/>
            <w:webHidden/>
          </w:rPr>
          <w:tab/>
        </w:r>
        <w:r w:rsidR="00F56682">
          <w:rPr>
            <w:noProof/>
            <w:webHidden/>
          </w:rPr>
          <w:fldChar w:fldCharType="begin"/>
        </w:r>
        <w:r w:rsidR="00F56682">
          <w:rPr>
            <w:noProof/>
            <w:webHidden/>
          </w:rPr>
          <w:instrText xml:space="preserve"> PAGEREF _Toc361056124 \h </w:instrText>
        </w:r>
        <w:r w:rsidR="00F56682">
          <w:rPr>
            <w:noProof/>
            <w:webHidden/>
          </w:rPr>
        </w:r>
        <w:r w:rsidR="00F56682">
          <w:rPr>
            <w:noProof/>
            <w:webHidden/>
          </w:rPr>
          <w:fldChar w:fldCharType="separate"/>
        </w:r>
        <w:r w:rsidR="00F56682">
          <w:rPr>
            <w:noProof/>
            <w:webHidden/>
          </w:rPr>
          <w:t>14</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25" w:history="1">
        <w:r w:rsidR="00F56682" w:rsidRPr="004817DD">
          <w:rPr>
            <w:rStyle w:val="Hyperlink"/>
            <w:noProof/>
          </w:rPr>
          <w:t>Objective 2: Assist with shifting services toward a greater emphasis on primary health and preventive measures in order to place these on a more sustainable long-term footing</w:t>
        </w:r>
        <w:r w:rsidR="00F56682">
          <w:rPr>
            <w:noProof/>
            <w:webHidden/>
          </w:rPr>
          <w:tab/>
        </w:r>
        <w:r w:rsidR="00F56682">
          <w:rPr>
            <w:noProof/>
            <w:webHidden/>
          </w:rPr>
          <w:fldChar w:fldCharType="begin"/>
        </w:r>
        <w:r w:rsidR="00F56682">
          <w:rPr>
            <w:noProof/>
            <w:webHidden/>
          </w:rPr>
          <w:instrText xml:space="preserve"> PAGEREF _Toc361056125 \h </w:instrText>
        </w:r>
        <w:r w:rsidR="00F56682">
          <w:rPr>
            <w:noProof/>
            <w:webHidden/>
          </w:rPr>
        </w:r>
        <w:r w:rsidR="00F56682">
          <w:rPr>
            <w:noProof/>
            <w:webHidden/>
          </w:rPr>
          <w:fldChar w:fldCharType="separate"/>
        </w:r>
        <w:r w:rsidR="00F56682">
          <w:rPr>
            <w:noProof/>
            <w:webHidden/>
          </w:rPr>
          <w:t>15</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26" w:history="1">
        <w:r w:rsidR="00F56682" w:rsidRPr="004817DD">
          <w:rPr>
            <w:rStyle w:val="Hyperlink"/>
            <w:noProof/>
          </w:rPr>
          <w:t>Rating</w:t>
        </w:r>
        <w:r w:rsidR="00F56682">
          <w:rPr>
            <w:noProof/>
            <w:webHidden/>
          </w:rPr>
          <w:tab/>
        </w:r>
        <w:r w:rsidR="00F56682">
          <w:rPr>
            <w:noProof/>
            <w:webHidden/>
          </w:rPr>
          <w:fldChar w:fldCharType="begin"/>
        </w:r>
        <w:r w:rsidR="00F56682">
          <w:rPr>
            <w:noProof/>
            <w:webHidden/>
          </w:rPr>
          <w:instrText xml:space="preserve"> PAGEREF _Toc361056126 \h </w:instrText>
        </w:r>
        <w:r w:rsidR="00F56682">
          <w:rPr>
            <w:noProof/>
            <w:webHidden/>
          </w:rPr>
        </w:r>
        <w:r w:rsidR="00F56682">
          <w:rPr>
            <w:noProof/>
            <w:webHidden/>
          </w:rPr>
          <w:fldChar w:fldCharType="separate"/>
        </w:r>
        <w:r w:rsidR="00F56682">
          <w:rPr>
            <w:noProof/>
            <w:webHidden/>
          </w:rPr>
          <w:t>15</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27" w:history="1">
        <w:r w:rsidR="00F56682" w:rsidRPr="004817DD">
          <w:rPr>
            <w:rStyle w:val="Hyperlink"/>
            <w:noProof/>
          </w:rPr>
          <w:t>Assessment of results and performance</w:t>
        </w:r>
        <w:r w:rsidR="00F56682">
          <w:rPr>
            <w:noProof/>
            <w:webHidden/>
          </w:rPr>
          <w:tab/>
        </w:r>
        <w:r w:rsidR="00F56682">
          <w:rPr>
            <w:noProof/>
            <w:webHidden/>
          </w:rPr>
          <w:fldChar w:fldCharType="begin"/>
        </w:r>
        <w:r w:rsidR="00F56682">
          <w:rPr>
            <w:noProof/>
            <w:webHidden/>
          </w:rPr>
          <w:instrText xml:space="preserve"> PAGEREF _Toc361056127 \h </w:instrText>
        </w:r>
        <w:r w:rsidR="00F56682">
          <w:rPr>
            <w:noProof/>
            <w:webHidden/>
          </w:rPr>
        </w:r>
        <w:r w:rsidR="00F56682">
          <w:rPr>
            <w:noProof/>
            <w:webHidden/>
          </w:rPr>
          <w:fldChar w:fldCharType="separate"/>
        </w:r>
        <w:r w:rsidR="00F56682">
          <w:rPr>
            <w:noProof/>
            <w:webHidden/>
          </w:rPr>
          <w:t>15</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28" w:history="1">
        <w:r w:rsidR="00F56682" w:rsidRPr="004817DD">
          <w:rPr>
            <w:rStyle w:val="Hyperlink"/>
            <w:noProof/>
          </w:rPr>
          <w:t>Estimated expenditure</w:t>
        </w:r>
        <w:r w:rsidR="00F56682">
          <w:rPr>
            <w:noProof/>
            <w:webHidden/>
          </w:rPr>
          <w:tab/>
        </w:r>
        <w:r w:rsidR="00F56682">
          <w:rPr>
            <w:noProof/>
            <w:webHidden/>
          </w:rPr>
          <w:fldChar w:fldCharType="begin"/>
        </w:r>
        <w:r w:rsidR="00F56682">
          <w:rPr>
            <w:noProof/>
            <w:webHidden/>
          </w:rPr>
          <w:instrText xml:space="preserve"> PAGEREF _Toc361056128 \h </w:instrText>
        </w:r>
        <w:r w:rsidR="00F56682">
          <w:rPr>
            <w:noProof/>
            <w:webHidden/>
          </w:rPr>
        </w:r>
        <w:r w:rsidR="00F56682">
          <w:rPr>
            <w:noProof/>
            <w:webHidden/>
          </w:rPr>
          <w:fldChar w:fldCharType="separate"/>
        </w:r>
        <w:r w:rsidR="00F56682">
          <w:rPr>
            <w:noProof/>
            <w:webHidden/>
          </w:rPr>
          <w:t>16</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29" w:history="1">
        <w:r w:rsidR="00F56682" w:rsidRPr="004817DD">
          <w:rPr>
            <w:rStyle w:val="Hyperlink"/>
            <w:noProof/>
          </w:rPr>
          <w:t>Objective 3: Improve basic education and technical and vocational skills to develop an appropriately structured education system and skills base to meet Nauru’s future needs</w:t>
        </w:r>
        <w:r w:rsidR="00F56682">
          <w:rPr>
            <w:noProof/>
            <w:webHidden/>
          </w:rPr>
          <w:tab/>
        </w:r>
        <w:r w:rsidR="00F56682">
          <w:rPr>
            <w:noProof/>
            <w:webHidden/>
          </w:rPr>
          <w:fldChar w:fldCharType="begin"/>
        </w:r>
        <w:r w:rsidR="00F56682">
          <w:rPr>
            <w:noProof/>
            <w:webHidden/>
          </w:rPr>
          <w:instrText xml:space="preserve"> PAGEREF _Toc361056129 \h </w:instrText>
        </w:r>
        <w:r w:rsidR="00F56682">
          <w:rPr>
            <w:noProof/>
            <w:webHidden/>
          </w:rPr>
        </w:r>
        <w:r w:rsidR="00F56682">
          <w:rPr>
            <w:noProof/>
            <w:webHidden/>
          </w:rPr>
          <w:fldChar w:fldCharType="separate"/>
        </w:r>
        <w:r w:rsidR="00F56682">
          <w:rPr>
            <w:noProof/>
            <w:webHidden/>
          </w:rPr>
          <w:t>16</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30" w:history="1">
        <w:r w:rsidR="00F56682" w:rsidRPr="004817DD">
          <w:rPr>
            <w:rStyle w:val="Hyperlink"/>
            <w:noProof/>
          </w:rPr>
          <w:t>Rating</w:t>
        </w:r>
        <w:r w:rsidR="00F56682">
          <w:rPr>
            <w:noProof/>
            <w:webHidden/>
          </w:rPr>
          <w:tab/>
        </w:r>
        <w:r w:rsidR="00F56682">
          <w:rPr>
            <w:noProof/>
            <w:webHidden/>
          </w:rPr>
          <w:fldChar w:fldCharType="begin"/>
        </w:r>
        <w:r w:rsidR="00F56682">
          <w:rPr>
            <w:noProof/>
            <w:webHidden/>
          </w:rPr>
          <w:instrText xml:space="preserve"> PAGEREF _Toc361056130 \h </w:instrText>
        </w:r>
        <w:r w:rsidR="00F56682">
          <w:rPr>
            <w:noProof/>
            <w:webHidden/>
          </w:rPr>
        </w:r>
        <w:r w:rsidR="00F56682">
          <w:rPr>
            <w:noProof/>
            <w:webHidden/>
          </w:rPr>
          <w:fldChar w:fldCharType="separate"/>
        </w:r>
        <w:r w:rsidR="00F56682">
          <w:rPr>
            <w:noProof/>
            <w:webHidden/>
          </w:rPr>
          <w:t>16</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31" w:history="1">
        <w:r w:rsidR="00F56682" w:rsidRPr="004817DD">
          <w:rPr>
            <w:rStyle w:val="Hyperlink"/>
            <w:noProof/>
          </w:rPr>
          <w:t>Assessment of results and performance</w:t>
        </w:r>
        <w:r w:rsidR="00F56682">
          <w:rPr>
            <w:noProof/>
            <w:webHidden/>
          </w:rPr>
          <w:tab/>
        </w:r>
        <w:r w:rsidR="00F56682">
          <w:rPr>
            <w:noProof/>
            <w:webHidden/>
          </w:rPr>
          <w:fldChar w:fldCharType="begin"/>
        </w:r>
        <w:r w:rsidR="00F56682">
          <w:rPr>
            <w:noProof/>
            <w:webHidden/>
          </w:rPr>
          <w:instrText xml:space="preserve"> PAGEREF _Toc361056131 \h </w:instrText>
        </w:r>
        <w:r w:rsidR="00F56682">
          <w:rPr>
            <w:noProof/>
            <w:webHidden/>
          </w:rPr>
        </w:r>
        <w:r w:rsidR="00F56682">
          <w:rPr>
            <w:noProof/>
            <w:webHidden/>
          </w:rPr>
          <w:fldChar w:fldCharType="separate"/>
        </w:r>
        <w:r w:rsidR="00F56682">
          <w:rPr>
            <w:noProof/>
            <w:webHidden/>
          </w:rPr>
          <w:t>17</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32" w:history="1">
        <w:r w:rsidR="00F56682" w:rsidRPr="004817DD">
          <w:rPr>
            <w:rStyle w:val="Hyperlink"/>
            <w:noProof/>
          </w:rPr>
          <w:t>Estimated expenditure</w:t>
        </w:r>
        <w:r w:rsidR="00F56682">
          <w:rPr>
            <w:noProof/>
            <w:webHidden/>
          </w:rPr>
          <w:tab/>
        </w:r>
        <w:r w:rsidR="00F56682">
          <w:rPr>
            <w:noProof/>
            <w:webHidden/>
          </w:rPr>
          <w:fldChar w:fldCharType="begin"/>
        </w:r>
        <w:r w:rsidR="00F56682">
          <w:rPr>
            <w:noProof/>
            <w:webHidden/>
          </w:rPr>
          <w:instrText xml:space="preserve"> PAGEREF _Toc361056132 \h </w:instrText>
        </w:r>
        <w:r w:rsidR="00F56682">
          <w:rPr>
            <w:noProof/>
            <w:webHidden/>
          </w:rPr>
        </w:r>
        <w:r w:rsidR="00F56682">
          <w:rPr>
            <w:noProof/>
            <w:webHidden/>
          </w:rPr>
          <w:fldChar w:fldCharType="separate"/>
        </w:r>
        <w:r w:rsidR="00F56682">
          <w:rPr>
            <w:noProof/>
            <w:webHidden/>
          </w:rPr>
          <w:t>18</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33" w:history="1">
        <w:r w:rsidR="00F56682" w:rsidRPr="004817DD">
          <w:rPr>
            <w:rStyle w:val="Hyperlink"/>
            <w:noProof/>
          </w:rPr>
          <w:t>Objective 4: Reform the institutional arrangements for the delivery of power and water services</w:t>
        </w:r>
        <w:r w:rsidR="00F56682">
          <w:rPr>
            <w:noProof/>
            <w:webHidden/>
          </w:rPr>
          <w:tab/>
        </w:r>
        <w:r w:rsidR="00F56682">
          <w:rPr>
            <w:noProof/>
            <w:webHidden/>
          </w:rPr>
          <w:fldChar w:fldCharType="begin"/>
        </w:r>
        <w:r w:rsidR="00F56682">
          <w:rPr>
            <w:noProof/>
            <w:webHidden/>
          </w:rPr>
          <w:instrText xml:space="preserve"> PAGEREF _Toc361056133 \h </w:instrText>
        </w:r>
        <w:r w:rsidR="00F56682">
          <w:rPr>
            <w:noProof/>
            <w:webHidden/>
          </w:rPr>
        </w:r>
        <w:r w:rsidR="00F56682">
          <w:rPr>
            <w:noProof/>
            <w:webHidden/>
          </w:rPr>
          <w:fldChar w:fldCharType="separate"/>
        </w:r>
        <w:r w:rsidR="00F56682">
          <w:rPr>
            <w:noProof/>
            <w:webHidden/>
          </w:rPr>
          <w:t>19</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34" w:history="1">
        <w:r w:rsidR="00F56682" w:rsidRPr="004817DD">
          <w:rPr>
            <w:rStyle w:val="Hyperlink"/>
            <w:noProof/>
          </w:rPr>
          <w:t>Rating</w:t>
        </w:r>
        <w:r w:rsidR="00F56682">
          <w:rPr>
            <w:noProof/>
            <w:webHidden/>
          </w:rPr>
          <w:tab/>
        </w:r>
        <w:r w:rsidR="00F56682">
          <w:rPr>
            <w:noProof/>
            <w:webHidden/>
          </w:rPr>
          <w:fldChar w:fldCharType="begin"/>
        </w:r>
        <w:r w:rsidR="00F56682">
          <w:rPr>
            <w:noProof/>
            <w:webHidden/>
          </w:rPr>
          <w:instrText xml:space="preserve"> PAGEREF _Toc361056134 \h </w:instrText>
        </w:r>
        <w:r w:rsidR="00F56682">
          <w:rPr>
            <w:noProof/>
            <w:webHidden/>
          </w:rPr>
        </w:r>
        <w:r w:rsidR="00F56682">
          <w:rPr>
            <w:noProof/>
            <w:webHidden/>
          </w:rPr>
          <w:fldChar w:fldCharType="separate"/>
        </w:r>
        <w:r w:rsidR="00F56682">
          <w:rPr>
            <w:noProof/>
            <w:webHidden/>
          </w:rPr>
          <w:t>19</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35" w:history="1">
        <w:r w:rsidR="00F56682" w:rsidRPr="004817DD">
          <w:rPr>
            <w:rStyle w:val="Hyperlink"/>
            <w:noProof/>
          </w:rPr>
          <w:t>Assessment of results and performance</w:t>
        </w:r>
        <w:r w:rsidR="00F56682">
          <w:rPr>
            <w:noProof/>
            <w:webHidden/>
          </w:rPr>
          <w:tab/>
        </w:r>
        <w:r w:rsidR="00F56682">
          <w:rPr>
            <w:noProof/>
            <w:webHidden/>
          </w:rPr>
          <w:fldChar w:fldCharType="begin"/>
        </w:r>
        <w:r w:rsidR="00F56682">
          <w:rPr>
            <w:noProof/>
            <w:webHidden/>
          </w:rPr>
          <w:instrText xml:space="preserve"> PAGEREF _Toc361056135 \h </w:instrText>
        </w:r>
        <w:r w:rsidR="00F56682">
          <w:rPr>
            <w:noProof/>
            <w:webHidden/>
          </w:rPr>
        </w:r>
        <w:r w:rsidR="00F56682">
          <w:rPr>
            <w:noProof/>
            <w:webHidden/>
          </w:rPr>
          <w:fldChar w:fldCharType="separate"/>
        </w:r>
        <w:r w:rsidR="00F56682">
          <w:rPr>
            <w:noProof/>
            <w:webHidden/>
          </w:rPr>
          <w:t>19</w:t>
        </w:r>
        <w:r w:rsidR="00F56682">
          <w:rPr>
            <w:noProof/>
            <w:webHidden/>
          </w:rPr>
          <w:fldChar w:fldCharType="end"/>
        </w:r>
      </w:hyperlink>
    </w:p>
    <w:p w:rsidR="00F56682" w:rsidRDefault="00B174C6">
      <w:pPr>
        <w:pStyle w:val="TOC3"/>
        <w:rPr>
          <w:rFonts w:ascii="Calibri" w:hAnsi="Calibri" w:cs="Arial"/>
          <w:noProof/>
          <w:sz w:val="22"/>
          <w:szCs w:val="22"/>
          <w:lang w:val="en-US" w:eastAsia="en-US"/>
        </w:rPr>
      </w:pPr>
      <w:hyperlink w:anchor="_Toc361056136" w:history="1">
        <w:r w:rsidR="00F56682" w:rsidRPr="004817DD">
          <w:rPr>
            <w:rStyle w:val="Hyperlink"/>
            <w:noProof/>
          </w:rPr>
          <w:t>Estimated expenditure</w:t>
        </w:r>
        <w:r w:rsidR="00F56682">
          <w:rPr>
            <w:noProof/>
            <w:webHidden/>
          </w:rPr>
          <w:tab/>
        </w:r>
        <w:r w:rsidR="00F56682">
          <w:rPr>
            <w:noProof/>
            <w:webHidden/>
          </w:rPr>
          <w:fldChar w:fldCharType="begin"/>
        </w:r>
        <w:r w:rsidR="00F56682">
          <w:rPr>
            <w:noProof/>
            <w:webHidden/>
          </w:rPr>
          <w:instrText xml:space="preserve"> PAGEREF _Toc361056136 \h </w:instrText>
        </w:r>
        <w:r w:rsidR="00F56682">
          <w:rPr>
            <w:noProof/>
            <w:webHidden/>
          </w:rPr>
        </w:r>
        <w:r w:rsidR="00F56682">
          <w:rPr>
            <w:noProof/>
            <w:webHidden/>
          </w:rPr>
          <w:fldChar w:fldCharType="separate"/>
        </w:r>
        <w:r w:rsidR="00F56682">
          <w:rPr>
            <w:noProof/>
            <w:webHidden/>
          </w:rPr>
          <w:t>20</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37" w:history="1">
        <w:r w:rsidR="00F56682" w:rsidRPr="004817DD">
          <w:rPr>
            <w:rStyle w:val="Hyperlink"/>
            <w:noProof/>
          </w:rPr>
          <w:t>QAI summary</w:t>
        </w:r>
        <w:r w:rsidR="00F56682">
          <w:rPr>
            <w:noProof/>
            <w:webHidden/>
          </w:rPr>
          <w:tab/>
        </w:r>
        <w:r w:rsidR="00F56682">
          <w:rPr>
            <w:noProof/>
            <w:webHidden/>
          </w:rPr>
          <w:fldChar w:fldCharType="begin"/>
        </w:r>
        <w:r w:rsidR="00F56682">
          <w:rPr>
            <w:noProof/>
            <w:webHidden/>
          </w:rPr>
          <w:instrText xml:space="preserve"> PAGEREF _Toc361056137 \h </w:instrText>
        </w:r>
        <w:r w:rsidR="00F56682">
          <w:rPr>
            <w:noProof/>
            <w:webHidden/>
          </w:rPr>
        </w:r>
        <w:r w:rsidR="00F56682">
          <w:rPr>
            <w:noProof/>
            <w:webHidden/>
          </w:rPr>
          <w:fldChar w:fldCharType="separate"/>
        </w:r>
        <w:r w:rsidR="00F56682">
          <w:rPr>
            <w:noProof/>
            <w:webHidden/>
          </w:rPr>
          <w:t>22</w:t>
        </w:r>
        <w:r w:rsidR="00F56682">
          <w:rPr>
            <w:noProof/>
            <w:webHidden/>
          </w:rPr>
          <w:fldChar w:fldCharType="end"/>
        </w:r>
      </w:hyperlink>
    </w:p>
    <w:p w:rsidR="00F56682" w:rsidRDefault="00B174C6">
      <w:pPr>
        <w:pStyle w:val="TOC2"/>
        <w:rPr>
          <w:rFonts w:ascii="Calibri" w:hAnsi="Calibri" w:cs="Arial"/>
          <w:noProof/>
          <w:color w:val="auto"/>
          <w:sz w:val="22"/>
          <w:szCs w:val="22"/>
          <w:lang w:val="en-US" w:eastAsia="en-US"/>
        </w:rPr>
      </w:pPr>
      <w:hyperlink w:anchor="_Toc361056138" w:history="1">
        <w:r w:rsidR="00F56682" w:rsidRPr="004817DD">
          <w:rPr>
            <w:rStyle w:val="Hyperlink"/>
            <w:noProof/>
          </w:rPr>
          <w:t>Impact of the global recession</w:t>
        </w:r>
        <w:r w:rsidR="00F56682">
          <w:rPr>
            <w:noProof/>
            <w:webHidden/>
          </w:rPr>
          <w:tab/>
        </w:r>
        <w:r w:rsidR="00F56682">
          <w:rPr>
            <w:noProof/>
            <w:webHidden/>
          </w:rPr>
          <w:fldChar w:fldCharType="begin"/>
        </w:r>
        <w:r w:rsidR="00F56682">
          <w:rPr>
            <w:noProof/>
            <w:webHidden/>
          </w:rPr>
          <w:instrText xml:space="preserve"> PAGEREF _Toc361056138 \h </w:instrText>
        </w:r>
        <w:r w:rsidR="00F56682">
          <w:rPr>
            <w:noProof/>
            <w:webHidden/>
          </w:rPr>
        </w:r>
        <w:r w:rsidR="00F56682">
          <w:rPr>
            <w:noProof/>
            <w:webHidden/>
          </w:rPr>
          <w:fldChar w:fldCharType="separate"/>
        </w:r>
        <w:r w:rsidR="00F56682">
          <w:rPr>
            <w:noProof/>
            <w:webHidden/>
          </w:rPr>
          <w:t>25</w:t>
        </w:r>
        <w:r w:rsidR="00F56682">
          <w:rPr>
            <w:noProof/>
            <w:webHidden/>
          </w:rPr>
          <w:fldChar w:fldCharType="end"/>
        </w:r>
      </w:hyperlink>
    </w:p>
    <w:p w:rsidR="00F56682" w:rsidRPr="00F56682" w:rsidRDefault="00B174C6" w:rsidP="00F56682">
      <w:pPr>
        <w:pStyle w:val="TOC2"/>
        <w:rPr>
          <w:noProof/>
          <w:color w:val="00467F"/>
        </w:rPr>
      </w:pPr>
      <w:hyperlink w:anchor="_Toc361056139" w:history="1">
        <w:r w:rsidR="00F56682" w:rsidRPr="004817DD">
          <w:rPr>
            <w:rStyle w:val="Hyperlink"/>
            <w:noProof/>
          </w:rPr>
          <w:t>Response to management consequences identified in the 2007–08 APPR</w:t>
        </w:r>
        <w:r w:rsidR="00F56682">
          <w:rPr>
            <w:noProof/>
            <w:webHidden/>
          </w:rPr>
          <w:tab/>
        </w:r>
        <w:r w:rsidR="00F56682">
          <w:rPr>
            <w:noProof/>
            <w:webHidden/>
          </w:rPr>
          <w:fldChar w:fldCharType="begin"/>
        </w:r>
        <w:r w:rsidR="00F56682">
          <w:rPr>
            <w:noProof/>
            <w:webHidden/>
          </w:rPr>
          <w:instrText xml:space="preserve"> PAGEREF _Toc361056139 \h </w:instrText>
        </w:r>
        <w:r w:rsidR="00F56682">
          <w:rPr>
            <w:noProof/>
            <w:webHidden/>
          </w:rPr>
        </w:r>
        <w:r w:rsidR="00F56682">
          <w:rPr>
            <w:noProof/>
            <w:webHidden/>
          </w:rPr>
          <w:fldChar w:fldCharType="separate"/>
        </w:r>
        <w:r w:rsidR="00F56682">
          <w:rPr>
            <w:noProof/>
            <w:webHidden/>
          </w:rPr>
          <w:t>25</w:t>
        </w:r>
        <w:r w:rsidR="00F56682">
          <w:rPr>
            <w:noProof/>
            <w:webHidden/>
          </w:rPr>
          <w:fldChar w:fldCharType="end"/>
        </w:r>
      </w:hyperlink>
    </w:p>
    <w:p w:rsidR="00ED30E7" w:rsidRDefault="00F56682" w:rsidP="00F56682">
      <w:r>
        <w:fldChar w:fldCharType="end"/>
      </w:r>
    </w:p>
    <w:p w:rsidR="006325E7" w:rsidRDefault="00602D7F" w:rsidP="008550DA">
      <w:pPr>
        <w:pStyle w:val="H1"/>
      </w:pPr>
      <w:r>
        <w:rPr>
          <w:lang w:val="en-US" w:eastAsia="en-US"/>
        </w:rPr>
        <w:lastRenderedPageBreak/>
        <w:drawing>
          <wp:anchor distT="0" distB="0" distL="114300" distR="114300" simplePos="0" relativeHeight="25165721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9" name="Picture 118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Toc244501282"/>
      <w:r w:rsidR="006325E7">
        <w:t>Abbreviations</w:t>
      </w:r>
      <w:bookmarkEnd w:id="6"/>
    </w:p>
    <w:p w:rsidR="00C2136E" w:rsidRDefault="00913909" w:rsidP="00913909">
      <w:pPr>
        <w:pStyle w:val="BodyText"/>
        <w:tabs>
          <w:tab w:val="left" w:pos="1134"/>
        </w:tabs>
      </w:pPr>
      <w:r>
        <w:t>ADB</w:t>
      </w:r>
      <w:r>
        <w:tab/>
        <w:t>Asian Development Bank</w:t>
      </w:r>
    </w:p>
    <w:p w:rsidR="001E6A16" w:rsidRDefault="001E6A16" w:rsidP="00913909">
      <w:pPr>
        <w:pStyle w:val="BodyText"/>
        <w:tabs>
          <w:tab w:val="left" w:pos="1134"/>
        </w:tabs>
      </w:pPr>
      <w:r>
        <w:t>APPR</w:t>
      </w:r>
      <w:r>
        <w:tab/>
        <w:t>annual program performance report</w:t>
      </w:r>
    </w:p>
    <w:p w:rsidR="00913909" w:rsidRDefault="005E239E" w:rsidP="00913909">
      <w:pPr>
        <w:pStyle w:val="BodyText"/>
        <w:tabs>
          <w:tab w:val="left" w:pos="1134"/>
        </w:tabs>
      </w:pPr>
      <w:proofErr w:type="spellStart"/>
      <w:r>
        <w:t>GoN</w:t>
      </w:r>
      <w:proofErr w:type="spellEnd"/>
      <w:r>
        <w:tab/>
        <w:t xml:space="preserve">Government of </w:t>
      </w:r>
      <w:smartTag w:uri="urn:schemas-microsoft-com:office:smarttags" w:element="place">
        <w:smartTag w:uri="urn:schemas-microsoft-com:office:smarttags" w:element="country-region">
          <w:r>
            <w:t>Nauru</w:t>
          </w:r>
        </w:smartTag>
      </w:smartTag>
    </w:p>
    <w:p w:rsidR="00913909" w:rsidRDefault="00913909" w:rsidP="00913909">
      <w:pPr>
        <w:pStyle w:val="BodyText"/>
        <w:tabs>
          <w:tab w:val="left" w:pos="1134"/>
        </w:tabs>
      </w:pPr>
      <w:r>
        <w:t>MOU</w:t>
      </w:r>
      <w:r>
        <w:tab/>
      </w:r>
      <w:r w:rsidR="00D11FE9">
        <w:t>m</w:t>
      </w:r>
      <w:r>
        <w:t xml:space="preserve">emorandum of </w:t>
      </w:r>
      <w:r w:rsidR="00D11FE9">
        <w:t>u</w:t>
      </w:r>
      <w:r>
        <w:t>nderstanding</w:t>
      </w:r>
    </w:p>
    <w:p w:rsidR="00913909" w:rsidRDefault="00913909" w:rsidP="00913909">
      <w:pPr>
        <w:pStyle w:val="BodyText"/>
        <w:tabs>
          <w:tab w:val="left" w:pos="1134"/>
        </w:tabs>
      </w:pPr>
      <w:r>
        <w:t>NCD</w:t>
      </w:r>
      <w:r>
        <w:tab/>
        <w:t>non</w:t>
      </w:r>
      <w:r w:rsidR="00C44EDB">
        <w:t>-</w:t>
      </w:r>
      <w:r>
        <w:t>communicable disease</w:t>
      </w:r>
    </w:p>
    <w:p w:rsidR="00913909" w:rsidRDefault="00913909" w:rsidP="00913909">
      <w:pPr>
        <w:pStyle w:val="BodyText"/>
        <w:tabs>
          <w:tab w:val="left" w:pos="1134"/>
        </w:tabs>
      </w:pPr>
      <w:r>
        <w:t>NSDS</w:t>
      </w:r>
      <w:r>
        <w:tab/>
        <w:t>National Sustainable Development Strategy</w:t>
      </w:r>
    </w:p>
    <w:p w:rsidR="00913909" w:rsidRDefault="00913909" w:rsidP="00913909">
      <w:pPr>
        <w:pStyle w:val="BodyText"/>
        <w:tabs>
          <w:tab w:val="left" w:pos="1134"/>
        </w:tabs>
      </w:pPr>
      <w:r>
        <w:t>OECD</w:t>
      </w:r>
      <w:r>
        <w:tab/>
        <w:t>Organisation for Economic Co-operation and Development</w:t>
      </w:r>
    </w:p>
    <w:p w:rsidR="006325E7" w:rsidRDefault="00602D7F" w:rsidP="008550DA">
      <w:pPr>
        <w:pStyle w:val="H1"/>
      </w:pPr>
      <w:r>
        <w:rPr>
          <w:lang w:val="en-US" w:eastAsia="en-US"/>
        </w:rPr>
        <w:lastRenderedPageBreak/>
        <w:drawing>
          <wp:anchor distT="0" distB="0" distL="114300" distR="114300" simplePos="0" relativeHeight="25165824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0" name="Picture 119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244501283"/>
      <w:r w:rsidR="006325E7">
        <w:t>Executive Summary</w:t>
      </w:r>
      <w:bookmarkEnd w:id="7"/>
    </w:p>
    <w:p w:rsidR="00C2136E" w:rsidRDefault="00A307C5" w:rsidP="00A307C5">
      <w:pPr>
        <w:pStyle w:val="BodyText"/>
      </w:pPr>
      <w:smartTag w:uri="urn:schemas-microsoft-com:office:smarttags" w:element="country-region">
        <w:r w:rsidRPr="007A57A2">
          <w:t>Australia</w:t>
        </w:r>
      </w:smartTag>
      <w:r>
        <w:t xml:space="preserve"> remains </w:t>
      </w:r>
      <w:smartTag w:uri="urn:schemas-microsoft-com:office:smarttags" w:element="place">
        <w:smartTag w:uri="urn:schemas-microsoft-com:office:smarttags" w:element="country-region">
          <w:r w:rsidRPr="007A57A2">
            <w:t>Nauru</w:t>
          </w:r>
        </w:smartTag>
      </w:smartTag>
      <w:r w:rsidR="00247AFA">
        <w:t>’</w:t>
      </w:r>
      <w:r w:rsidRPr="007A57A2">
        <w:t>s largest donor</w:t>
      </w:r>
      <w:r>
        <w:t>,</w:t>
      </w:r>
      <w:r w:rsidRPr="007A57A2">
        <w:t xml:space="preserve"> </w:t>
      </w:r>
      <w:r w:rsidR="001E6A16">
        <w:t xml:space="preserve">having </w:t>
      </w:r>
      <w:r w:rsidRPr="007A57A2">
        <w:t>provid</w:t>
      </w:r>
      <w:r w:rsidR="001E6A16">
        <w:t>e</w:t>
      </w:r>
      <w:r w:rsidR="00924509">
        <w:t>d</w:t>
      </w:r>
      <w:r w:rsidRPr="007A57A2">
        <w:t xml:space="preserve"> a</w:t>
      </w:r>
      <w:r>
        <w:t>n estimated</w:t>
      </w:r>
      <w:r w:rsidRPr="007A57A2">
        <w:t xml:space="preserve"> total of $</w:t>
      </w:r>
      <w:r>
        <w:t>29.</w:t>
      </w:r>
      <w:r w:rsidR="00C2136E">
        <w:t>1 </w:t>
      </w:r>
      <w:r w:rsidR="00C2136E" w:rsidRPr="007A57A2">
        <w:t>m</w:t>
      </w:r>
      <w:r w:rsidRPr="007A57A2">
        <w:t>illion in official development assistance in 200</w:t>
      </w:r>
      <w:r w:rsidR="00C2136E">
        <w:t>8–0</w:t>
      </w:r>
      <w:r>
        <w:t xml:space="preserve">9. </w:t>
      </w:r>
      <w:r w:rsidR="001E6A16">
        <w:t>Most</w:t>
      </w:r>
      <w:r>
        <w:t xml:space="preserve"> Australian assistance is delivered through single-year </w:t>
      </w:r>
      <w:r w:rsidR="001E6A16">
        <w:t>m</w:t>
      </w:r>
      <w:r>
        <w:t xml:space="preserve">emorandums of </w:t>
      </w:r>
      <w:r w:rsidR="001E6A16">
        <w:t>u</w:t>
      </w:r>
      <w:r>
        <w:t>nderstanding (MOUs)</w:t>
      </w:r>
      <w:r w:rsidR="001E6A16">
        <w:t>;</w:t>
      </w:r>
      <w:r>
        <w:t xml:space="preserve"> the remainder </w:t>
      </w:r>
      <w:r w:rsidR="001E6A16">
        <w:t xml:space="preserve">is </w:t>
      </w:r>
      <w:r>
        <w:t xml:space="preserve">provided through </w:t>
      </w:r>
      <w:proofErr w:type="spellStart"/>
      <w:r>
        <w:t>AusAID</w:t>
      </w:r>
      <w:r w:rsidR="00247AFA">
        <w:t>’</w:t>
      </w:r>
      <w:r>
        <w:t>s</w:t>
      </w:r>
      <w:proofErr w:type="spellEnd"/>
      <w:r>
        <w:t xml:space="preserve"> bilateral and regional programs and other </w:t>
      </w:r>
      <w:r w:rsidR="001E6A16">
        <w:t>Australian G</w:t>
      </w:r>
      <w:r>
        <w:t xml:space="preserve">overnment </w:t>
      </w:r>
      <w:r w:rsidR="001E6A16">
        <w:t xml:space="preserve">agencies </w:t>
      </w:r>
      <w:r>
        <w:t>(primarily the Australian Federal Police). The current MOU (MOU V Amendment One) was renewed in July 2008 and expires in June 2009</w:t>
      </w:r>
      <w:r w:rsidR="001E6A16">
        <w:t xml:space="preserve"> (</w:t>
      </w:r>
      <w:r w:rsidR="007E34E1">
        <w:t xml:space="preserve">note: </w:t>
      </w:r>
      <w:r>
        <w:t xml:space="preserve">this </w:t>
      </w:r>
      <w:r w:rsidR="001E6A16">
        <w:t xml:space="preserve">report </w:t>
      </w:r>
      <w:r>
        <w:t xml:space="preserve">considers </w:t>
      </w:r>
      <w:r w:rsidR="001E6A16">
        <w:t xml:space="preserve">only </w:t>
      </w:r>
      <w:r>
        <w:t>programs undertaken during the 2008 calendar year</w:t>
      </w:r>
      <w:r w:rsidR="00924509">
        <w:t>)</w:t>
      </w:r>
      <w:r>
        <w:t xml:space="preserve">. The Pacific Partnership for Development with </w:t>
      </w:r>
      <w:smartTag w:uri="urn:schemas-microsoft-com:office:smarttags" w:element="place">
        <w:smartTag w:uri="urn:schemas-microsoft-com:office:smarttags" w:element="country-region">
          <w:r>
            <w:t>Nauru</w:t>
          </w:r>
        </w:smartTag>
      </w:smartTag>
      <w:r>
        <w:t xml:space="preserve"> will lead to a longer term MOU arrangement consistent with </w:t>
      </w:r>
      <w:proofErr w:type="spellStart"/>
      <w:r>
        <w:t>AusAID</w:t>
      </w:r>
      <w:r w:rsidR="00247AFA">
        <w:t>’</w:t>
      </w:r>
      <w:r>
        <w:t>s</w:t>
      </w:r>
      <w:proofErr w:type="spellEnd"/>
      <w:r>
        <w:t xml:space="preserve"> approach with other partner countries.</w:t>
      </w:r>
    </w:p>
    <w:p w:rsidR="00A307C5" w:rsidRPr="007A57A2" w:rsidRDefault="00A307C5" w:rsidP="00A307C5">
      <w:pPr>
        <w:pStyle w:val="BodyText"/>
      </w:pPr>
      <w:r>
        <w:t>By 2005</w:t>
      </w:r>
      <w:r w:rsidR="001E6A16">
        <w:t>,</w:t>
      </w:r>
      <w:r>
        <w:t xml:space="preserve"> most sectors in </w:t>
      </w:r>
      <w:smartTag w:uri="urn:schemas-microsoft-com:office:smarttags" w:element="place">
        <w:smartTag w:uri="urn:schemas-microsoft-com:office:smarttags" w:element="country-region">
          <w:r>
            <w:t>Nauru</w:t>
          </w:r>
        </w:smartTag>
      </w:smartTag>
      <w:r>
        <w:t xml:space="preserve"> were in </w:t>
      </w:r>
      <w:r w:rsidRPr="007A57A2">
        <w:t>crisis.</w:t>
      </w:r>
      <w:r>
        <w:t xml:space="preserve"> Since that time, reform</w:t>
      </w:r>
      <w:r w:rsidR="001E6A16">
        <w:t>-</w:t>
      </w:r>
      <w:r>
        <w:t xml:space="preserve">minded governments, with support from </w:t>
      </w:r>
      <w:smartTag w:uri="urn:schemas-microsoft-com:office:smarttags" w:element="place">
        <w:smartTag w:uri="urn:schemas-microsoft-com:office:smarttags" w:element="country-region">
          <w:r>
            <w:t>Australia</w:t>
          </w:r>
        </w:smartTag>
      </w:smartTag>
      <w:r>
        <w:t xml:space="preserve"> and other donors, have </w:t>
      </w:r>
      <w:r w:rsidR="001E6A16">
        <w:t>helped to</w:t>
      </w:r>
      <w:r w:rsidRPr="007A57A2">
        <w:t xml:space="preserve"> stabilise</w:t>
      </w:r>
      <w:r w:rsidR="001E6A16">
        <w:t xml:space="preserve"> most sectors</w:t>
      </w:r>
      <w:r>
        <w:t xml:space="preserve"> and in some cases make tangible improvements. The early improvements noted in the 2007 </w:t>
      </w:r>
      <w:r w:rsidR="00924509">
        <w:t>annual program performance report (</w:t>
      </w:r>
      <w:r>
        <w:t>APPR</w:t>
      </w:r>
      <w:r w:rsidR="00924509">
        <w:t>)</w:t>
      </w:r>
      <w:r>
        <w:t xml:space="preserve"> have now largely been consolidated, particularly in public financial management, fisheries, education</w:t>
      </w:r>
      <w:r w:rsidR="001E6A16">
        <w:t>,</w:t>
      </w:r>
      <w:r>
        <w:t xml:space="preserve"> and law and order. While </w:t>
      </w:r>
      <w:r w:rsidR="001E6A16">
        <w:t xml:space="preserve">there are </w:t>
      </w:r>
      <w:r>
        <w:t xml:space="preserve">prospects for improvement in areas such as health and utilities, </w:t>
      </w:r>
      <w:smartTag w:uri="urn:schemas-microsoft-com:office:smarttags" w:element="country-region">
        <w:r>
          <w:t>Nauru</w:t>
        </w:r>
      </w:smartTag>
      <w:r>
        <w:t xml:space="preserve"> and its development partners will continue to f</w:t>
      </w:r>
      <w:r w:rsidRPr="007A57A2">
        <w:t>ace considerable challen</w:t>
      </w:r>
      <w:r>
        <w:t xml:space="preserve">ges in meeting </w:t>
      </w:r>
      <w:smartTag w:uri="urn:schemas-microsoft-com:office:smarttags" w:element="place">
        <w:smartTag w:uri="urn:schemas-microsoft-com:office:smarttags" w:element="country-region">
          <w:r>
            <w:t>Nauru</w:t>
          </w:r>
        </w:smartTag>
      </w:smartTag>
      <w:r w:rsidR="00247AFA">
        <w:t>’</w:t>
      </w:r>
      <w:r>
        <w:t xml:space="preserve">s development aspirations. The </w:t>
      </w:r>
      <w:r w:rsidR="001E6A16">
        <w:t>g</w:t>
      </w:r>
      <w:r>
        <w:t xml:space="preserve">lobal </w:t>
      </w:r>
      <w:r w:rsidR="001E6A16">
        <w:t>ec</w:t>
      </w:r>
      <w:r>
        <w:t xml:space="preserve">onomic </w:t>
      </w:r>
      <w:r w:rsidR="001E6A16">
        <w:t>c</w:t>
      </w:r>
      <w:r>
        <w:t xml:space="preserve">risis is already having an impact and is putting the spotlight on longstanding concerns </w:t>
      </w:r>
      <w:r w:rsidR="001E6A16">
        <w:t xml:space="preserve">about </w:t>
      </w:r>
      <w:r>
        <w:t xml:space="preserve">economic </w:t>
      </w:r>
      <w:r w:rsidRPr="007A57A2">
        <w:t>sustainability</w:t>
      </w:r>
      <w:r>
        <w:t xml:space="preserve">. Even with a return to more favourable global economic conditions, </w:t>
      </w:r>
      <w:smartTag w:uri="urn:schemas-microsoft-com:office:smarttags" w:element="place">
        <w:smartTag w:uri="urn:schemas-microsoft-com:office:smarttags" w:element="country-region">
          <w:r>
            <w:t>Nauru</w:t>
          </w:r>
        </w:smartTag>
      </w:smartTag>
      <w:r>
        <w:t xml:space="preserve"> and its development partners accept that the country will </w:t>
      </w:r>
      <w:r w:rsidRPr="007A57A2">
        <w:t xml:space="preserve">require </w:t>
      </w:r>
      <w:r>
        <w:t xml:space="preserve">substantial </w:t>
      </w:r>
      <w:r w:rsidRPr="007A57A2">
        <w:t xml:space="preserve">donor assistance for </w:t>
      </w:r>
      <w:r>
        <w:t xml:space="preserve">the </w:t>
      </w:r>
      <w:r w:rsidRPr="007A57A2">
        <w:t>foreseeable future.</w:t>
      </w:r>
    </w:p>
    <w:p w:rsidR="00C2136E" w:rsidRDefault="00A307C5" w:rsidP="00A307C5">
      <w:pPr>
        <w:pStyle w:val="BodyText"/>
      </w:pPr>
      <w:smartTag w:uri="urn:schemas-microsoft-com:office:smarttags" w:element="place">
        <w:smartTag w:uri="urn:schemas-microsoft-com:office:smarttags" w:element="country-region">
          <w:r>
            <w:t>N</w:t>
          </w:r>
          <w:r w:rsidRPr="007A57A2">
            <w:t>auru</w:t>
          </w:r>
        </w:smartTag>
      </w:smartTag>
      <w:r w:rsidR="00247AFA">
        <w:t>’</w:t>
      </w:r>
      <w:r w:rsidRPr="007A57A2">
        <w:t>s National Sustainable Development Strategy (NSDS) guides</w:t>
      </w:r>
      <w:r>
        <w:t xml:space="preserve"> </w:t>
      </w:r>
      <w:r w:rsidR="001E6A16">
        <w:t>Government of Nauru (</w:t>
      </w:r>
      <w:proofErr w:type="spellStart"/>
      <w:r>
        <w:t>GoN</w:t>
      </w:r>
      <w:proofErr w:type="spellEnd"/>
      <w:r w:rsidR="001E6A16">
        <w:t>)</w:t>
      </w:r>
      <w:r>
        <w:t xml:space="preserve"> and </w:t>
      </w:r>
      <w:r w:rsidRPr="007A57A2">
        <w:t>donor programs.</w:t>
      </w:r>
      <w:r>
        <w:t xml:space="preserve"> </w:t>
      </w:r>
      <w:r w:rsidRPr="007A57A2">
        <w:t xml:space="preserve">However, </w:t>
      </w:r>
      <w:r w:rsidR="001E6A16">
        <w:t xml:space="preserve">with the notable exception of the education sector, </w:t>
      </w:r>
      <w:r w:rsidRPr="007A57A2">
        <w:t xml:space="preserve">there </w:t>
      </w:r>
      <w:r w:rsidR="001E6A16">
        <w:t xml:space="preserve">has been </w:t>
      </w:r>
      <w:r>
        <w:t xml:space="preserve">limited action </w:t>
      </w:r>
      <w:r w:rsidR="001E6A16">
        <w:t xml:space="preserve">since </w:t>
      </w:r>
      <w:r w:rsidRPr="00CF32AC">
        <w:t>the</w:t>
      </w:r>
      <w:r>
        <w:t xml:space="preserve"> last APPR in developing sector</w:t>
      </w:r>
      <w:r w:rsidR="001E6A16">
        <w:t>-</w:t>
      </w:r>
      <w:r>
        <w:t xml:space="preserve">level planning aligned to the NSDS. The move to longer term planning under the Partnership for Development is expected to provide more scope to work with </w:t>
      </w:r>
      <w:r w:rsidR="00CB524D">
        <w:t xml:space="preserve">the </w:t>
      </w:r>
      <w:proofErr w:type="spellStart"/>
      <w:r>
        <w:t>GoN</w:t>
      </w:r>
      <w:proofErr w:type="spellEnd"/>
      <w:r>
        <w:t xml:space="preserve"> on structured implementation of the NSDS </w:t>
      </w:r>
      <w:r w:rsidR="001E6A16">
        <w:t>while opening</w:t>
      </w:r>
      <w:r>
        <w:t xml:space="preserve"> up more </w:t>
      </w:r>
      <w:r w:rsidR="007E34E1">
        <w:t>contemporary</w:t>
      </w:r>
      <w:r w:rsidR="001E6A16">
        <w:t xml:space="preserve"> </w:t>
      </w:r>
      <w:r>
        <w:t xml:space="preserve">aid delivery options for </w:t>
      </w:r>
      <w:smartTag w:uri="urn:schemas-microsoft-com:office:smarttags" w:element="country-region">
        <w:smartTag w:uri="urn:schemas-microsoft-com:office:smarttags" w:element="place">
          <w:r>
            <w:t>Australia</w:t>
          </w:r>
        </w:smartTag>
      </w:smartTag>
      <w:r>
        <w:t xml:space="preserve"> and other donor partners. An independent review of the Australian aid program to </w:t>
      </w:r>
      <w:smartTag w:uri="urn:schemas-microsoft-com:office:smarttags" w:element="place">
        <w:smartTag w:uri="urn:schemas-microsoft-com:office:smarttags" w:element="country-region">
          <w:r>
            <w:t>Nauru</w:t>
          </w:r>
        </w:smartTag>
      </w:smartTag>
      <w:r>
        <w:t xml:space="preserve"> (between 2005 and 2008) has helped to consolidate lessons learned and </w:t>
      </w:r>
      <w:r w:rsidR="00C61F0B">
        <w:t xml:space="preserve">to </w:t>
      </w:r>
      <w:r>
        <w:t>provide a frame of reference for the development of new directions for the program.</w:t>
      </w:r>
    </w:p>
    <w:p w:rsidR="008550DA" w:rsidRPr="008550DA" w:rsidRDefault="00A307C5" w:rsidP="008550DA">
      <w:pPr>
        <w:pStyle w:val="H2"/>
      </w:pPr>
      <w:bookmarkStart w:id="8" w:name="_Toc205868232"/>
      <w:bookmarkStart w:id="9" w:name="_Toc205868271"/>
      <w:bookmarkStart w:id="10" w:name="_Toc206401448"/>
      <w:bookmarkStart w:id="11" w:name="_Toc206493800"/>
      <w:bookmarkStart w:id="12" w:name="_Toc207448521"/>
      <w:bookmarkStart w:id="13" w:name="_Toc208292733"/>
      <w:bookmarkStart w:id="14" w:name="_Toc229296674"/>
      <w:bookmarkStart w:id="15" w:name="_Toc244501284"/>
      <w:bookmarkStart w:id="16" w:name="_Toc361056113"/>
      <w:r w:rsidRPr="007A57A2">
        <w:t xml:space="preserve">Major </w:t>
      </w:r>
      <w:r w:rsidRPr="008550DA">
        <w:t>results</w:t>
      </w:r>
      <w:bookmarkEnd w:id="8"/>
      <w:bookmarkEnd w:id="9"/>
      <w:bookmarkEnd w:id="10"/>
      <w:bookmarkEnd w:id="11"/>
      <w:bookmarkEnd w:id="12"/>
      <w:bookmarkEnd w:id="13"/>
      <w:bookmarkEnd w:id="14"/>
      <w:bookmarkEnd w:id="15"/>
      <w:bookmarkEnd w:id="16"/>
    </w:p>
    <w:p w:rsidR="00C2136E" w:rsidRDefault="00A307C5" w:rsidP="00A307C5">
      <w:pPr>
        <w:pStyle w:val="BodyText"/>
      </w:pPr>
      <w:r w:rsidRPr="007A57A2">
        <w:t xml:space="preserve">Australian assistance </w:t>
      </w:r>
      <w:r>
        <w:t xml:space="preserve">contributed to </w:t>
      </w:r>
      <w:r w:rsidR="00C61F0B">
        <w:t xml:space="preserve">the following results </w:t>
      </w:r>
      <w:r>
        <w:t>in 200</w:t>
      </w:r>
      <w:r w:rsidR="00C2136E">
        <w:t>8–</w:t>
      </w:r>
      <w:r>
        <w:t>09</w:t>
      </w:r>
      <w:r w:rsidRPr="007A57A2">
        <w:t>:</w:t>
      </w:r>
    </w:p>
    <w:p w:rsidR="00C2136E" w:rsidRDefault="00A307C5" w:rsidP="00A307C5">
      <w:pPr>
        <w:pStyle w:val="ListBullet"/>
      </w:pPr>
      <w:smartTag w:uri="urn:schemas-microsoft-com:office:smarttags" w:element="place">
        <w:smartTag w:uri="urn:schemas-microsoft-com:office:smarttags" w:element="country-region">
          <w:r>
            <w:t>Nauru</w:t>
          </w:r>
        </w:smartTag>
      </w:smartTag>
      <w:r>
        <w:t xml:space="preserve"> delivered its fourth consecutive budget </w:t>
      </w:r>
      <w:r w:rsidRPr="00CF32AC">
        <w:t>surplus</w:t>
      </w:r>
      <w:r w:rsidR="00C61F0B">
        <w:t>.</w:t>
      </w:r>
    </w:p>
    <w:p w:rsidR="00C2136E" w:rsidRDefault="00A307C5" w:rsidP="00A307C5">
      <w:pPr>
        <w:pStyle w:val="ListBullet"/>
      </w:pPr>
      <w:r w:rsidRPr="00CF32AC">
        <w:t>By mid</w:t>
      </w:r>
      <w:r w:rsidR="00C61F0B">
        <w:t>-</w:t>
      </w:r>
      <w:r w:rsidRPr="00CF32AC">
        <w:t>2008</w:t>
      </w:r>
      <w:r w:rsidR="00C61F0B">
        <w:t>,</w:t>
      </w:r>
      <w:r w:rsidRPr="00CF32AC">
        <w:t xml:space="preserve"> </w:t>
      </w:r>
      <w:smartTag w:uri="urn:schemas-microsoft-com:office:smarttags" w:element="place">
        <w:smartTag w:uri="urn:schemas-microsoft-com:office:smarttags" w:element="country-region">
          <w:r w:rsidRPr="00CF32AC">
            <w:t>Nauru</w:t>
          </w:r>
        </w:smartTag>
      </w:smartTag>
      <w:r w:rsidRPr="00CF32AC">
        <w:t xml:space="preserve"> was no longer on any international register related to corrupt banking practices</w:t>
      </w:r>
      <w:r w:rsidR="00115FBB">
        <w:t>. T</w:t>
      </w:r>
      <w:r w:rsidRPr="00CF32AC">
        <w:t>he formal wind</w:t>
      </w:r>
      <w:r w:rsidR="00115FBB">
        <w:noBreakHyphen/>
      </w:r>
      <w:r w:rsidRPr="00CF32AC">
        <w:t xml:space="preserve">up of the Bank of Nauru has commenced. These are important </w:t>
      </w:r>
      <w:r w:rsidR="00115FBB" w:rsidRPr="00CF32AC">
        <w:t>precursors</w:t>
      </w:r>
      <w:r w:rsidRPr="00CF32AC">
        <w:t xml:space="preserve"> to </w:t>
      </w:r>
      <w:r w:rsidR="00115FBB">
        <w:t xml:space="preserve">the </w:t>
      </w:r>
      <w:r w:rsidRPr="00CF32AC">
        <w:t xml:space="preserve">establishment of normal banking functions in </w:t>
      </w:r>
      <w:smartTag w:uri="urn:schemas-microsoft-com:office:smarttags" w:element="place">
        <w:smartTag w:uri="urn:schemas-microsoft-com:office:smarttags" w:element="country-region">
          <w:r w:rsidRPr="00CF32AC">
            <w:t>Nauru</w:t>
          </w:r>
        </w:smartTag>
      </w:smartTag>
      <w:r w:rsidRPr="00CF32AC">
        <w:t xml:space="preserve"> for the first time sinc</w:t>
      </w:r>
      <w:r w:rsidR="00C2136E" w:rsidRPr="00CF32AC">
        <w:t>e</w:t>
      </w:r>
      <w:r w:rsidR="00C2136E">
        <w:t> </w:t>
      </w:r>
      <w:r w:rsidR="00C2136E" w:rsidRPr="00CF32AC">
        <w:t>2</w:t>
      </w:r>
      <w:r w:rsidRPr="00CF32AC">
        <w:t>001.</w:t>
      </w:r>
    </w:p>
    <w:p w:rsidR="00A307C5" w:rsidRPr="00CF32AC" w:rsidRDefault="00115FBB" w:rsidP="00A307C5">
      <w:pPr>
        <w:pStyle w:val="ListBullet"/>
      </w:pPr>
      <w:r>
        <w:lastRenderedPageBreak/>
        <w:t>I</w:t>
      </w:r>
      <w:r w:rsidR="00A307C5" w:rsidRPr="00CF32AC">
        <w:t>mplementation of the debt management strategy</w:t>
      </w:r>
      <w:r>
        <w:t xml:space="preserve"> continued.</w:t>
      </w:r>
      <w:r w:rsidR="00A307C5" w:rsidRPr="00CF32AC">
        <w:t xml:space="preserve"> </w:t>
      </w:r>
      <w:r>
        <w:t>Some</w:t>
      </w:r>
      <w:r w:rsidRPr="00CF32AC">
        <w:t xml:space="preserve"> </w:t>
      </w:r>
      <w:r w:rsidR="00A307C5" w:rsidRPr="00CF32AC">
        <w:t>$26</w:t>
      </w:r>
      <w:r w:rsidR="00C2136E" w:rsidRPr="00CF32AC">
        <w:t>4</w:t>
      </w:r>
      <w:r w:rsidR="00C2136E">
        <w:t> </w:t>
      </w:r>
      <w:r w:rsidR="00C2136E" w:rsidRPr="00CF32AC">
        <w:t>m</w:t>
      </w:r>
      <w:r w:rsidR="00A307C5" w:rsidRPr="00CF32AC">
        <w:t>illion in internal debts (debts between gov</w:t>
      </w:r>
      <w:r>
        <w:t>ernmen</w:t>
      </w:r>
      <w:r w:rsidR="00A307C5" w:rsidRPr="00CF32AC">
        <w:t xml:space="preserve">t entities) </w:t>
      </w:r>
      <w:r w:rsidR="00943B42">
        <w:t>was</w:t>
      </w:r>
      <w:r>
        <w:t xml:space="preserve"> </w:t>
      </w:r>
      <w:r w:rsidR="00A307C5" w:rsidRPr="00CF32AC">
        <w:t>formally written off.</w:t>
      </w:r>
    </w:p>
    <w:p w:rsidR="00C2136E" w:rsidRDefault="00A307C5" w:rsidP="00A307C5">
      <w:pPr>
        <w:pStyle w:val="ListBullet"/>
      </w:pPr>
      <w:r w:rsidRPr="00CF32AC">
        <w:t xml:space="preserve">As of April 2009, </w:t>
      </w:r>
      <w:smartTag w:uri="urn:schemas-microsoft-com:office:smarttags" w:element="place">
        <w:smartTag w:uri="urn:schemas-microsoft-com:office:smarttags" w:element="country-region">
          <w:r w:rsidRPr="00CF32AC">
            <w:t>Nauru</w:t>
          </w:r>
        </w:smartTag>
      </w:smartTag>
      <w:r w:rsidRPr="00CF32AC">
        <w:t xml:space="preserve"> was generating electricity </w:t>
      </w:r>
      <w:r w:rsidR="00115FBB">
        <w:t>using</w:t>
      </w:r>
      <w:r w:rsidR="00115FBB" w:rsidRPr="00CF32AC">
        <w:t xml:space="preserve"> </w:t>
      </w:r>
      <w:r w:rsidRPr="00CF32AC">
        <w:t xml:space="preserve">its own generators and fuel procured by </w:t>
      </w:r>
      <w:r w:rsidR="00CB524D">
        <w:t xml:space="preserve">the </w:t>
      </w:r>
      <w:proofErr w:type="spellStart"/>
      <w:r w:rsidRPr="00CF32AC">
        <w:t>GoN</w:t>
      </w:r>
      <w:proofErr w:type="spellEnd"/>
      <w:r w:rsidRPr="00CF32AC">
        <w:t xml:space="preserve"> under its own fuel purchasing arrangements (for the first time sinc</w:t>
      </w:r>
      <w:r w:rsidR="00C2136E" w:rsidRPr="00CF32AC">
        <w:t>e</w:t>
      </w:r>
      <w:r w:rsidR="00C2136E">
        <w:t> </w:t>
      </w:r>
      <w:r w:rsidR="00C2136E" w:rsidRPr="00CF32AC">
        <w:t>2</w:t>
      </w:r>
      <w:r w:rsidRPr="00CF32AC">
        <w:t>005).</w:t>
      </w:r>
    </w:p>
    <w:p w:rsidR="00A307C5" w:rsidRPr="00CF32AC" w:rsidRDefault="00115FBB" w:rsidP="00A307C5">
      <w:pPr>
        <w:pStyle w:val="ListBullet"/>
      </w:pPr>
      <w:r>
        <w:t>R</w:t>
      </w:r>
      <w:r w:rsidR="00A307C5" w:rsidRPr="00CF32AC">
        <w:t>egular neonatal clinics monitoring early childhood development milestones, nutrition and immuni</w:t>
      </w:r>
      <w:r>
        <w:t>s</w:t>
      </w:r>
      <w:r w:rsidR="00A307C5" w:rsidRPr="00CF32AC">
        <w:t>ation</w:t>
      </w:r>
      <w:r>
        <w:t xml:space="preserve"> </w:t>
      </w:r>
      <w:r w:rsidR="00E66693">
        <w:t>were</w:t>
      </w:r>
      <w:r>
        <w:t xml:space="preserve"> established, achieving</w:t>
      </w:r>
      <w:r w:rsidR="00A307C5" w:rsidRPr="00CF32AC">
        <w:t xml:space="preserve"> 100% coverage of all relevant vaccines</w:t>
      </w:r>
      <w:r w:rsidR="007E34E1">
        <w:t>.</w:t>
      </w:r>
    </w:p>
    <w:p w:rsidR="00A307C5" w:rsidRPr="00CF32AC" w:rsidRDefault="00A307C5" w:rsidP="00A307C5">
      <w:pPr>
        <w:pStyle w:val="ListBullet"/>
      </w:pPr>
      <w:r w:rsidRPr="00CF32AC">
        <w:t>At 4.2 per 1000 live births, the under</w:t>
      </w:r>
      <w:r w:rsidR="00275B49">
        <w:noBreakHyphen/>
      </w:r>
      <w:r w:rsidRPr="00CF32AC">
        <w:t xml:space="preserve">5 mortality rate in </w:t>
      </w:r>
      <w:smartTag w:uri="urn:schemas-microsoft-com:office:smarttags" w:element="country-region">
        <w:r w:rsidRPr="00CF32AC">
          <w:t>Nauru</w:t>
        </w:r>
      </w:smartTag>
      <w:r w:rsidRPr="00CF32AC">
        <w:t xml:space="preserve"> is now comparable to </w:t>
      </w:r>
      <w:r w:rsidR="00275B49">
        <w:t xml:space="preserve">the rates of </w:t>
      </w:r>
      <w:r w:rsidRPr="00CF32AC">
        <w:t xml:space="preserve">some developed countries, including </w:t>
      </w:r>
      <w:smartTag w:uri="urn:schemas-microsoft-com:office:smarttags" w:element="place">
        <w:smartTag w:uri="urn:schemas-microsoft-com:office:smarttags" w:element="country-region">
          <w:r w:rsidRPr="00CF32AC">
            <w:t>Japan</w:t>
          </w:r>
        </w:smartTag>
      </w:smartTag>
      <w:r w:rsidRPr="00CF32AC">
        <w:t>.</w:t>
      </w:r>
    </w:p>
    <w:p w:rsidR="00C2136E" w:rsidRDefault="00275B49" w:rsidP="00A307C5">
      <w:pPr>
        <w:pStyle w:val="ListBullet"/>
      </w:pPr>
      <w:smartTag w:uri="urn:schemas-microsoft-com:office:smarttags" w:element="place">
        <w:smartTag w:uri="urn:schemas-microsoft-com:office:smarttags" w:element="country-region">
          <w:r>
            <w:t>Nauru</w:t>
          </w:r>
        </w:smartTag>
      </w:smartTag>
      <w:r>
        <w:t>’s i</w:t>
      </w:r>
      <w:r w:rsidR="00A307C5" w:rsidRPr="00CF32AC">
        <w:t>nfant mortality rate has more than halved</w:t>
      </w:r>
      <w:r>
        <w:t>,</w:t>
      </w:r>
      <w:r w:rsidR="00A307C5" w:rsidRPr="00CF32AC">
        <w:t xml:space="preserve"> from 44.1 per 1000 live births in 2002 to 20.72 per 1000 live births over the 200</w:t>
      </w:r>
      <w:r w:rsidR="00C2136E" w:rsidRPr="00CF32AC">
        <w:t>5</w:t>
      </w:r>
      <w:r w:rsidR="00C2136E">
        <w:t>–</w:t>
      </w:r>
      <w:r w:rsidR="00C2136E" w:rsidRPr="00CF32AC">
        <w:t>0</w:t>
      </w:r>
      <w:r w:rsidR="00A307C5" w:rsidRPr="00CF32AC">
        <w:t>8</w:t>
      </w:r>
      <w:r>
        <w:t xml:space="preserve"> period.</w:t>
      </w:r>
    </w:p>
    <w:p w:rsidR="00C2136E" w:rsidRDefault="00A307C5" w:rsidP="00A307C5">
      <w:pPr>
        <w:pStyle w:val="ListBullet"/>
      </w:pPr>
      <w:r w:rsidRPr="00CF32AC">
        <w:t xml:space="preserve">Secondary school attendance and completion rates have </w:t>
      </w:r>
      <w:r w:rsidR="00924509">
        <w:t>risen</w:t>
      </w:r>
      <w:r w:rsidR="00924509" w:rsidRPr="00CF32AC">
        <w:t xml:space="preserve"> </w:t>
      </w:r>
      <w:r w:rsidRPr="00CF32AC">
        <w:t>from 5% in 2006 to 32% in 2009. Primary school attendance rates show a more modest increase over the same period</w:t>
      </w:r>
      <w:r w:rsidR="00275B49">
        <w:t>,</w:t>
      </w:r>
      <w:r w:rsidRPr="00CF32AC">
        <w:t xml:space="preserve"> from 76% t</w:t>
      </w:r>
      <w:r w:rsidR="00C2136E" w:rsidRPr="00CF32AC">
        <w:t>o</w:t>
      </w:r>
      <w:r w:rsidR="00C2136E">
        <w:t> </w:t>
      </w:r>
      <w:r w:rsidR="00C2136E" w:rsidRPr="00CF32AC">
        <w:t>8</w:t>
      </w:r>
      <w:r w:rsidRPr="00CF32AC">
        <w:t>1%</w:t>
      </w:r>
      <w:r w:rsidR="00275B49">
        <w:t>.</w:t>
      </w:r>
    </w:p>
    <w:p w:rsidR="00C2136E" w:rsidRDefault="00275B49" w:rsidP="00C2136E">
      <w:pPr>
        <w:pStyle w:val="ListBullet"/>
      </w:pPr>
      <w:r>
        <w:t xml:space="preserve">A </w:t>
      </w:r>
      <w:r w:rsidR="00A307C5" w:rsidRPr="00CF32AC">
        <w:t xml:space="preserve">34% increase in fisheries revenue </w:t>
      </w:r>
      <w:r>
        <w:t xml:space="preserve">was </w:t>
      </w:r>
      <w:r w:rsidR="00A307C5" w:rsidRPr="00CF32AC">
        <w:t>achieved by more efficient management of licence revenue collection (without increasing the number of licences issued)</w:t>
      </w:r>
      <w:r>
        <w:t>.</w:t>
      </w:r>
    </w:p>
    <w:p w:rsidR="00C2136E" w:rsidRDefault="00275B49" w:rsidP="00C2136E">
      <w:pPr>
        <w:pStyle w:val="ListBullet"/>
      </w:pPr>
      <w:r>
        <w:t>D</w:t>
      </w:r>
      <w:r w:rsidR="00A307C5" w:rsidRPr="00CF32AC">
        <w:t xml:space="preserve">aily clean water production (via reverse osmosis) </w:t>
      </w:r>
      <w:r>
        <w:t xml:space="preserve">increased </w:t>
      </w:r>
      <w:r w:rsidR="00A307C5" w:rsidRPr="00CF32AC">
        <w:t xml:space="preserve">from 30% to 80% </w:t>
      </w:r>
      <w:r>
        <w:t xml:space="preserve">of </w:t>
      </w:r>
      <w:r w:rsidR="00A307C5" w:rsidRPr="00CF32AC">
        <w:t>ca</w:t>
      </w:r>
      <w:r w:rsidR="00A307C5" w:rsidRPr="004131EF">
        <w:t>pacity</w:t>
      </w:r>
      <w:r>
        <w:t>.</w:t>
      </w:r>
    </w:p>
    <w:p w:rsidR="00A307C5" w:rsidRPr="007A57A2" w:rsidRDefault="00A307C5" w:rsidP="008550DA">
      <w:pPr>
        <w:pStyle w:val="H2"/>
      </w:pPr>
      <w:bookmarkStart w:id="17" w:name="_Toc205868233"/>
      <w:bookmarkStart w:id="18" w:name="_Toc205868272"/>
      <w:bookmarkStart w:id="19" w:name="_Toc206401449"/>
      <w:bookmarkStart w:id="20" w:name="_Toc206493801"/>
      <w:bookmarkStart w:id="21" w:name="_Toc207448522"/>
      <w:bookmarkStart w:id="22" w:name="_Toc208292734"/>
      <w:bookmarkStart w:id="23" w:name="_Toc229296675"/>
      <w:bookmarkStart w:id="24" w:name="_Toc244501285"/>
      <w:bookmarkStart w:id="25" w:name="_Toc361056114"/>
      <w:r w:rsidRPr="007A57A2">
        <w:t>Major challenges</w:t>
      </w:r>
      <w:bookmarkEnd w:id="17"/>
      <w:bookmarkEnd w:id="18"/>
      <w:bookmarkEnd w:id="19"/>
      <w:bookmarkEnd w:id="20"/>
      <w:bookmarkEnd w:id="21"/>
      <w:bookmarkEnd w:id="22"/>
      <w:bookmarkEnd w:id="23"/>
      <w:bookmarkEnd w:id="24"/>
      <w:bookmarkEnd w:id="25"/>
    </w:p>
    <w:p w:rsidR="00C2136E" w:rsidRDefault="00A307C5" w:rsidP="00A307C5">
      <w:pPr>
        <w:pStyle w:val="BodyText"/>
      </w:pPr>
      <w:r>
        <w:t xml:space="preserve">The </w:t>
      </w:r>
      <w:r w:rsidRPr="00CF32AC">
        <w:t>achievement</w:t>
      </w:r>
      <w:r>
        <w:t xml:space="preserve"> of development outcomes in </w:t>
      </w:r>
      <w:smartTag w:uri="urn:schemas-microsoft-com:office:smarttags" w:element="country-region">
        <w:smartTag w:uri="urn:schemas-microsoft-com:office:smarttags" w:element="place">
          <w:r w:rsidRPr="007A57A2">
            <w:t>Nauru</w:t>
          </w:r>
        </w:smartTag>
      </w:smartTag>
      <w:r w:rsidRPr="007A57A2">
        <w:t xml:space="preserve"> </w:t>
      </w:r>
      <w:r w:rsidR="007E34E1">
        <w:t>remains</w:t>
      </w:r>
      <w:r w:rsidR="00275B49">
        <w:t xml:space="preserve"> </w:t>
      </w:r>
      <w:r>
        <w:t>constrained by a number of inherent factors</w:t>
      </w:r>
      <w:r w:rsidR="00275B49">
        <w:t>, which were</w:t>
      </w:r>
      <w:r>
        <w:t xml:space="preserve"> outlined in last year</w:t>
      </w:r>
      <w:r w:rsidR="00D11FE9">
        <w:t>’</w:t>
      </w:r>
      <w:r>
        <w:t>s APPR</w:t>
      </w:r>
      <w:r w:rsidR="00275B49">
        <w:t>:</w:t>
      </w:r>
    </w:p>
    <w:p w:rsidR="00A307C5" w:rsidRPr="00CF32AC" w:rsidRDefault="00A307C5" w:rsidP="00A307C5">
      <w:pPr>
        <w:pStyle w:val="ListBullet"/>
      </w:pPr>
      <w:smartTag w:uri="urn:schemas-microsoft-com:office:smarttags" w:element="place">
        <w:smartTag w:uri="urn:schemas-microsoft-com:office:smarttags" w:element="country-region">
          <w:r>
            <w:t>Nauru</w:t>
          </w:r>
        </w:smartTag>
      </w:smartTag>
      <w:r w:rsidR="00247AFA">
        <w:t>’</w:t>
      </w:r>
      <w:r>
        <w:t>s prospects for long</w:t>
      </w:r>
      <w:r w:rsidR="00275B49">
        <w:t>-</w:t>
      </w:r>
      <w:r>
        <w:t xml:space="preserve">term economic viability remain unclear. While there are some </w:t>
      </w:r>
      <w:r w:rsidRPr="00CF32AC">
        <w:t xml:space="preserve">prospects for modest growth in the medium term, extreme levels of debt, vulnerability to external shock and reliance on imported goods and services bring </w:t>
      </w:r>
      <w:smartTag w:uri="urn:schemas-microsoft-com:office:smarttags" w:element="place">
        <w:smartTag w:uri="urn:schemas-microsoft-com:office:smarttags" w:element="country-region">
          <w:r w:rsidRPr="00CF32AC">
            <w:t>Nauru</w:t>
          </w:r>
        </w:smartTag>
      </w:smartTag>
      <w:r w:rsidR="00247AFA">
        <w:t>’</w:t>
      </w:r>
      <w:r w:rsidRPr="00CF32AC">
        <w:t xml:space="preserve">s sustainability into question. Gaining a clear understanding of </w:t>
      </w:r>
      <w:smartTag w:uri="urn:schemas-microsoft-com:office:smarttags" w:element="place">
        <w:smartTag w:uri="urn:schemas-microsoft-com:office:smarttags" w:element="country-region">
          <w:r w:rsidRPr="00CF32AC">
            <w:t>Nauru</w:t>
          </w:r>
        </w:smartTag>
      </w:smartTag>
      <w:r w:rsidR="00247AFA">
        <w:t>’</w:t>
      </w:r>
      <w:r w:rsidRPr="00CF32AC">
        <w:t>s prospects for sustainability will be important to planning and programming.</w:t>
      </w:r>
    </w:p>
    <w:p w:rsidR="00A307C5" w:rsidRPr="00CF32AC" w:rsidRDefault="00A307C5" w:rsidP="00A307C5">
      <w:pPr>
        <w:pStyle w:val="ListBullet"/>
      </w:pPr>
      <w:r w:rsidRPr="00CF32AC">
        <w:t xml:space="preserve">The impact of the global economic crisis on </w:t>
      </w:r>
      <w:smartTag w:uri="urn:schemas-microsoft-com:office:smarttags" w:element="place">
        <w:smartTag w:uri="urn:schemas-microsoft-com:office:smarttags" w:element="country-region">
          <w:r w:rsidRPr="00CF32AC">
            <w:t>Nauru</w:t>
          </w:r>
        </w:smartTag>
      </w:smartTag>
      <w:r w:rsidR="00247AFA">
        <w:t>’</w:t>
      </w:r>
      <w:r w:rsidRPr="00CF32AC">
        <w:t xml:space="preserve">s narrow revenue base through reduced phosphate prices and diminishing demand has the potential to undermine confidence in </w:t>
      </w:r>
      <w:r w:rsidR="00CB524D">
        <w:t xml:space="preserve">the </w:t>
      </w:r>
      <w:proofErr w:type="spellStart"/>
      <w:r w:rsidRPr="00CF32AC">
        <w:t>GoN</w:t>
      </w:r>
      <w:proofErr w:type="spellEnd"/>
      <w:r w:rsidRPr="00CF32AC">
        <w:t xml:space="preserve"> if balanced budgets cannot be maintained, basic service delivery suffers or phosphate royalties are not paid to government or landowners. The biggest challenge for </w:t>
      </w:r>
      <w:r w:rsidR="00CB524D">
        <w:t xml:space="preserve">the </w:t>
      </w:r>
      <w:proofErr w:type="spellStart"/>
      <w:r w:rsidRPr="00CF32AC">
        <w:t>GoN</w:t>
      </w:r>
      <w:proofErr w:type="spellEnd"/>
      <w:r w:rsidRPr="00CF32AC">
        <w:t xml:space="preserve"> will be maintaining cash flow as the year unfolds. There is significant potential for increased unemployment</w:t>
      </w:r>
      <w:r w:rsidR="00275B49">
        <w:t>. T</w:t>
      </w:r>
      <w:r w:rsidRPr="00CF32AC">
        <w:t xml:space="preserve">he most pronounced impact </w:t>
      </w:r>
      <w:r w:rsidR="00275B49">
        <w:t xml:space="preserve">is </w:t>
      </w:r>
      <w:r w:rsidRPr="00CF32AC">
        <w:t>likely to be felt by ex</w:t>
      </w:r>
      <w:r w:rsidR="00275B49">
        <w:t>patriate</w:t>
      </w:r>
      <w:r w:rsidRPr="00CF32AC">
        <w:t xml:space="preserve"> </w:t>
      </w:r>
      <w:proofErr w:type="spellStart"/>
      <w:r w:rsidRPr="00CF32AC">
        <w:t>i</w:t>
      </w:r>
      <w:proofErr w:type="spellEnd"/>
      <w:r w:rsidR="00275B49">
        <w:noBreakHyphen/>
      </w:r>
      <w:r w:rsidRPr="00CF32AC">
        <w:t xml:space="preserve">Kiribati and </w:t>
      </w:r>
      <w:r w:rsidR="001E1950">
        <w:t>F</w:t>
      </w:r>
      <w:r w:rsidR="001E1950" w:rsidRPr="00CF32AC">
        <w:t xml:space="preserve">ilipino </w:t>
      </w:r>
      <w:r w:rsidRPr="00CF32AC">
        <w:t xml:space="preserve">workers who have no local support networks if jobs are lost. </w:t>
      </w:r>
      <w:r w:rsidR="00AB798B">
        <w:t>There is a risk of capital flight and emigration by local</w:t>
      </w:r>
      <w:r w:rsidRPr="00CF32AC">
        <w:t xml:space="preserve"> business </w:t>
      </w:r>
      <w:r w:rsidR="00AB798B">
        <w:t>owners</w:t>
      </w:r>
      <w:r w:rsidRPr="00CF32AC">
        <w:t>.</w:t>
      </w:r>
    </w:p>
    <w:p w:rsidR="00A307C5" w:rsidRPr="00CF32AC" w:rsidRDefault="00275B49" w:rsidP="00A307C5">
      <w:pPr>
        <w:pStyle w:val="ListBullet"/>
      </w:pPr>
      <w:r>
        <w:t>The</w:t>
      </w:r>
      <w:r w:rsidR="00A307C5" w:rsidRPr="00CF32AC">
        <w:t xml:space="preserve"> transition from single</w:t>
      </w:r>
      <w:r>
        <w:t>-</w:t>
      </w:r>
      <w:r w:rsidR="00A307C5" w:rsidRPr="00CF32AC">
        <w:t>year MOU</w:t>
      </w:r>
      <w:r>
        <w:t>s</w:t>
      </w:r>
      <w:r w:rsidR="00A307C5" w:rsidRPr="00CF32AC">
        <w:t xml:space="preserve"> to longer term planning is an opportunity to improve planning and budgeting for both Nauru and Australia</w:t>
      </w:r>
      <w:r>
        <w:t>, but will require change management</w:t>
      </w:r>
      <w:r w:rsidR="00A307C5" w:rsidRPr="00CF32AC">
        <w:t>, particularly in relation to program design, budgeting and personnel management.</w:t>
      </w:r>
    </w:p>
    <w:p w:rsidR="00C2136E" w:rsidRDefault="008574C9" w:rsidP="00A307C5">
      <w:pPr>
        <w:pStyle w:val="ListBullet"/>
      </w:pPr>
      <w:r>
        <w:t>Sex-disaggregated d</w:t>
      </w:r>
      <w:r w:rsidR="00A307C5" w:rsidRPr="00CF32AC">
        <w:t>ata collection and analysis o</w:t>
      </w:r>
      <w:r>
        <w:t>f</w:t>
      </w:r>
      <w:r w:rsidR="00A307C5" w:rsidRPr="00CF32AC">
        <w:t xml:space="preserve"> development outcomes remains unacceptably poor</w:t>
      </w:r>
      <w:r>
        <w:t>,</w:t>
      </w:r>
      <w:r w:rsidR="00A307C5" w:rsidRPr="00CF32AC">
        <w:t xml:space="preserve"> given the small size of the population. Moves to policy-based budgeting will continue to be constrained until </w:t>
      </w:r>
      <w:r w:rsidR="00CB524D">
        <w:t xml:space="preserve">the </w:t>
      </w:r>
      <w:proofErr w:type="spellStart"/>
      <w:r w:rsidR="00A307C5" w:rsidRPr="00CF32AC">
        <w:t>GoN</w:t>
      </w:r>
      <w:proofErr w:type="spellEnd"/>
      <w:r w:rsidR="00A307C5" w:rsidRPr="00CF32AC">
        <w:t xml:space="preserve"> and donors are able to produce and use better data.</w:t>
      </w:r>
    </w:p>
    <w:p w:rsidR="00C2136E" w:rsidRDefault="00A307C5" w:rsidP="00A307C5">
      <w:pPr>
        <w:pStyle w:val="ListBullet"/>
      </w:pPr>
      <w:r w:rsidRPr="00CF32AC">
        <w:t>Attracting good</w:t>
      </w:r>
      <w:r w:rsidR="008574C9">
        <w:t>-</w:t>
      </w:r>
      <w:r w:rsidRPr="00CF32AC">
        <w:t xml:space="preserve">quality personnel to work on the program remains a major challenge for both </w:t>
      </w:r>
      <w:r w:rsidR="00CB524D">
        <w:t xml:space="preserve">the </w:t>
      </w:r>
      <w:proofErr w:type="spellStart"/>
      <w:r w:rsidRPr="00CF32AC">
        <w:t>GoN</w:t>
      </w:r>
      <w:proofErr w:type="spellEnd"/>
      <w:r w:rsidRPr="00CF32AC">
        <w:t xml:space="preserve"> and </w:t>
      </w:r>
      <w:smartTag w:uri="urn:schemas-microsoft-com:office:smarttags" w:element="place">
        <w:smartTag w:uri="urn:schemas-microsoft-com:office:smarttags" w:element="country-region">
          <w:r w:rsidRPr="00CF32AC">
            <w:t>Australia</w:t>
          </w:r>
        </w:smartTag>
      </w:smartTag>
      <w:r w:rsidRPr="00CF32AC">
        <w:t>.</w:t>
      </w:r>
    </w:p>
    <w:p w:rsidR="00A307C5" w:rsidRPr="007A57A2" w:rsidRDefault="008574C9" w:rsidP="00A307C5">
      <w:pPr>
        <w:pStyle w:val="ListBullet"/>
      </w:pPr>
      <w:r>
        <w:lastRenderedPageBreak/>
        <w:t>It is necessary to m</w:t>
      </w:r>
      <w:r w:rsidR="00A307C5" w:rsidRPr="00CF32AC">
        <w:t>anag</w:t>
      </w:r>
      <w:r>
        <w:t>e</w:t>
      </w:r>
      <w:r w:rsidR="00A307C5" w:rsidRPr="00CF32AC">
        <w:t xml:space="preserve"> expectations about the nature and extent of Australian support for </w:t>
      </w:r>
      <w:smartTag w:uri="urn:schemas-microsoft-com:office:smarttags" w:element="place">
        <w:smartTag w:uri="urn:schemas-microsoft-com:office:smarttags" w:element="country-region">
          <w:r w:rsidR="00A307C5" w:rsidRPr="00CF32AC">
            <w:t>Nauru</w:t>
          </w:r>
        </w:smartTag>
      </w:smartTag>
      <w:r w:rsidR="00A307C5" w:rsidRPr="00CF32AC">
        <w:t xml:space="preserve"> in a</w:t>
      </w:r>
      <w:r w:rsidR="00A307C5">
        <w:t xml:space="preserve"> post</w:t>
      </w:r>
      <w:r w:rsidR="00C71756">
        <w:t>–offshore processing centre</w:t>
      </w:r>
      <w:r w:rsidR="00A307C5">
        <w:t xml:space="preserve"> environment under a Pacific Partnership for Development.</w:t>
      </w:r>
    </w:p>
    <w:p w:rsidR="00A307C5" w:rsidRDefault="00A307C5" w:rsidP="008550DA">
      <w:pPr>
        <w:pStyle w:val="H2"/>
      </w:pPr>
      <w:bookmarkStart w:id="26" w:name="_Toc229296676"/>
      <w:bookmarkStart w:id="27" w:name="_Toc244501286"/>
      <w:bookmarkStart w:id="28" w:name="_Toc361056115"/>
      <w:r>
        <w:t>Main management consequences</w:t>
      </w:r>
      <w:bookmarkEnd w:id="26"/>
      <w:bookmarkEnd w:id="27"/>
      <w:bookmarkEnd w:id="28"/>
    </w:p>
    <w:p w:rsidR="00C2136E" w:rsidRDefault="00A307C5" w:rsidP="00A307C5">
      <w:pPr>
        <w:pStyle w:val="ListBullet"/>
      </w:pPr>
      <w:r>
        <w:t>Major design work</w:t>
      </w:r>
      <w:r w:rsidR="008574C9">
        <w:t>,</w:t>
      </w:r>
      <w:r>
        <w:t xml:space="preserve"> including </w:t>
      </w:r>
      <w:r w:rsidR="008574C9">
        <w:t xml:space="preserve">a clearer </w:t>
      </w:r>
      <w:r>
        <w:t>focus on cross</w:t>
      </w:r>
      <w:r w:rsidR="00E80989">
        <w:t>-</w:t>
      </w:r>
      <w:r>
        <w:t xml:space="preserve">cutting themes such as gender and anti-corruption, enhanced </w:t>
      </w:r>
      <w:r w:rsidR="000663A9">
        <w:t>monitoring and evaluation</w:t>
      </w:r>
      <w:r>
        <w:t xml:space="preserve"> and improved sex</w:t>
      </w:r>
      <w:r w:rsidR="008574C9">
        <w:t>-</w:t>
      </w:r>
      <w:r>
        <w:t>disaggregated data collection</w:t>
      </w:r>
      <w:r w:rsidR="008574C9">
        <w:t>,</w:t>
      </w:r>
      <w:r>
        <w:t xml:space="preserve"> will be required in all sectors as the program moves from single</w:t>
      </w:r>
      <w:r w:rsidR="008574C9">
        <w:t>-</w:t>
      </w:r>
      <w:r>
        <w:t>year MOUs to longer term planning under the Partnership for Development</w:t>
      </w:r>
      <w:r w:rsidR="008574C9">
        <w:t>.</w:t>
      </w:r>
    </w:p>
    <w:p w:rsidR="00A307C5" w:rsidRDefault="00A307C5" w:rsidP="00A307C5">
      <w:pPr>
        <w:pStyle w:val="ListBullet"/>
      </w:pPr>
      <w:r>
        <w:t xml:space="preserve">Review to evaluate the appropriateness of current </w:t>
      </w:r>
      <w:proofErr w:type="spellStart"/>
      <w:r>
        <w:t>AusAID</w:t>
      </w:r>
      <w:proofErr w:type="spellEnd"/>
      <w:r>
        <w:t xml:space="preserve"> management arrangements based on the new approaches to aid delivery under the </w:t>
      </w:r>
      <w:r w:rsidR="008574C9">
        <w:t>p</w:t>
      </w:r>
      <w:r>
        <w:t>artnership</w:t>
      </w:r>
      <w:r w:rsidR="00E6750B">
        <w:t xml:space="preserve"> should  be undertaken</w:t>
      </w:r>
      <w:r w:rsidR="008574C9">
        <w:t>.</w:t>
      </w:r>
    </w:p>
    <w:p w:rsidR="00A307C5" w:rsidRDefault="00A307C5" w:rsidP="00A307C5">
      <w:pPr>
        <w:pStyle w:val="ListBullet"/>
      </w:pPr>
      <w:r>
        <w:t xml:space="preserve">Under the Pacific Partnership for Development it is proposed that the Australian in-line finance team currently staffed by Australian Government </w:t>
      </w:r>
      <w:r w:rsidR="007F388C">
        <w:t>o</w:t>
      </w:r>
      <w:r>
        <w:t xml:space="preserve">fficials be transitioned to an </w:t>
      </w:r>
      <w:proofErr w:type="spellStart"/>
      <w:r>
        <w:t>AusAID</w:t>
      </w:r>
      <w:proofErr w:type="spellEnd"/>
      <w:r w:rsidR="007F388C">
        <w:t>-</w:t>
      </w:r>
      <w:r>
        <w:t>managed contractor model. This will increase the pool of available expertise to fill these positions, provid</w:t>
      </w:r>
      <w:r w:rsidR="007F388C">
        <w:t>ing</w:t>
      </w:r>
      <w:r>
        <w:t xml:space="preserve"> greater scope to match specific skills to the duty statements of the positions.</w:t>
      </w:r>
    </w:p>
    <w:p w:rsidR="00A307C5" w:rsidRDefault="007F388C" w:rsidP="00A307C5">
      <w:pPr>
        <w:pStyle w:val="ListBullet"/>
      </w:pPr>
      <w:r>
        <w:t>There is an o</w:t>
      </w:r>
      <w:r w:rsidR="00A307C5">
        <w:t xml:space="preserve">ngoing need to balance capacity building </w:t>
      </w:r>
      <w:r>
        <w:t xml:space="preserve">with the </w:t>
      </w:r>
      <w:r w:rsidR="00A307C5">
        <w:t xml:space="preserve">provision of in-line personnel and contractors, based on a common understanding of the long-term future for </w:t>
      </w:r>
      <w:smartTag w:uri="urn:schemas-microsoft-com:office:smarttags" w:element="place">
        <w:smartTag w:uri="urn:schemas-microsoft-com:office:smarttags" w:element="country-region">
          <w:r w:rsidR="00A307C5">
            <w:t>Nauru</w:t>
          </w:r>
        </w:smartTag>
      </w:smartTag>
      <w:r>
        <w:t>.</w:t>
      </w:r>
    </w:p>
    <w:p w:rsidR="00A307C5" w:rsidRDefault="007F388C" w:rsidP="00A307C5">
      <w:pPr>
        <w:pStyle w:val="ListBullet"/>
      </w:pPr>
      <w:r>
        <w:t>To</w:t>
      </w:r>
      <w:r w:rsidR="00A307C5">
        <w:t xml:space="preserve"> </w:t>
      </w:r>
      <w:r>
        <w:t xml:space="preserve">gain the </w:t>
      </w:r>
      <w:r w:rsidR="00A307C5">
        <w:t xml:space="preserve">maximum benefit </w:t>
      </w:r>
      <w:r>
        <w:t xml:space="preserve">from </w:t>
      </w:r>
      <w:r w:rsidR="00A307C5">
        <w:t xml:space="preserve">Australian and other donor investments in </w:t>
      </w:r>
      <w:smartTag w:uri="urn:schemas-microsoft-com:office:smarttags" w:element="place">
        <w:smartTag w:uri="urn:schemas-microsoft-com:office:smarttags" w:element="country-region">
          <w:r w:rsidR="00A307C5">
            <w:t>Nauru</w:t>
          </w:r>
        </w:smartTag>
      </w:smartTag>
      <w:r>
        <w:t>,</w:t>
      </w:r>
      <w:r w:rsidR="00A307C5">
        <w:t xml:space="preserve"> it will be important to ensure </w:t>
      </w:r>
      <w:r>
        <w:t xml:space="preserve">that the </w:t>
      </w:r>
      <w:r w:rsidR="00A307C5">
        <w:t>approach</w:t>
      </w:r>
      <w:r>
        <w:t xml:space="preserve"> is coherent</w:t>
      </w:r>
      <w:r w:rsidR="00A307C5">
        <w:t xml:space="preserve"> and </w:t>
      </w:r>
      <w:r>
        <w:t>that</w:t>
      </w:r>
      <w:r w:rsidR="00A307C5">
        <w:t xml:space="preserve"> other donor contributions</w:t>
      </w:r>
      <w:r>
        <w:t xml:space="preserve"> are appropriate</w:t>
      </w:r>
      <w:r w:rsidR="00A307C5">
        <w:t>.</w:t>
      </w:r>
    </w:p>
    <w:p w:rsidR="00C2136E" w:rsidRDefault="007F388C" w:rsidP="00A307C5">
      <w:pPr>
        <w:pStyle w:val="ListBullet"/>
      </w:pPr>
      <w:r>
        <w:t>J</w:t>
      </w:r>
      <w:r w:rsidR="00A307C5">
        <w:t xml:space="preserve">oint assessments of </w:t>
      </w:r>
      <w:proofErr w:type="spellStart"/>
      <w:r w:rsidR="00A307C5">
        <w:t>GoN</w:t>
      </w:r>
      <w:proofErr w:type="spellEnd"/>
      <w:r w:rsidR="00A307C5">
        <w:t xml:space="preserve"> financial systems</w:t>
      </w:r>
      <w:r>
        <w:t xml:space="preserve"> need to be managed</w:t>
      </w:r>
      <w:r w:rsidR="00A307C5">
        <w:t xml:space="preserve"> to </w:t>
      </w:r>
      <w:r>
        <w:t xml:space="preserve">allow a </w:t>
      </w:r>
      <w:r w:rsidR="00A307C5">
        <w:t>clear path towards greater use of partner systems</w:t>
      </w:r>
      <w:r>
        <w:t>.</w:t>
      </w:r>
    </w:p>
    <w:p w:rsidR="00C2136E" w:rsidRDefault="00E6750B" w:rsidP="00A307C5">
      <w:pPr>
        <w:pStyle w:val="ListBullet"/>
      </w:pPr>
      <w:proofErr w:type="spellStart"/>
      <w:r>
        <w:t>AusAID</w:t>
      </w:r>
      <w:proofErr w:type="spellEnd"/>
      <w:r>
        <w:t xml:space="preserve"> should initiate an independent </w:t>
      </w:r>
      <w:r w:rsidR="00A307C5">
        <w:t>review on long</w:t>
      </w:r>
      <w:r w:rsidR="007F388C">
        <w:t>-</w:t>
      </w:r>
      <w:r w:rsidR="00A307C5">
        <w:t>term sustainability of service delivery</w:t>
      </w:r>
      <w:r w:rsidR="007F388C">
        <w:t>.</w:t>
      </w:r>
    </w:p>
    <w:p w:rsidR="00A307C5" w:rsidRDefault="007F388C" w:rsidP="00A307C5">
      <w:pPr>
        <w:pStyle w:val="ListBullet"/>
      </w:pPr>
      <w:r>
        <w:t>A</w:t>
      </w:r>
      <w:r w:rsidR="00A307C5">
        <w:t xml:space="preserve"> social impact assessment </w:t>
      </w:r>
      <w:r>
        <w:t xml:space="preserve">is needed </w:t>
      </w:r>
      <w:r w:rsidR="00A307C5">
        <w:t xml:space="preserve">to </w:t>
      </w:r>
      <w:r>
        <w:t xml:space="preserve">gain a </w:t>
      </w:r>
      <w:r w:rsidR="00A307C5">
        <w:t>thorough understanding of the potential impacts of the reform agenda on vulnerable groups</w:t>
      </w:r>
      <w:r>
        <w:t>,</w:t>
      </w:r>
      <w:r w:rsidR="00A307C5">
        <w:t xml:space="preserve"> including women and children, the poor and non</w:t>
      </w:r>
      <w:r>
        <w:noBreakHyphen/>
      </w:r>
      <w:r w:rsidR="00A307C5">
        <w:t>indigenous community members. The analysis will also help inform development of a gender action plan aimed at maximising the benefits of the reform agenda for both wom</w:t>
      </w:r>
      <w:r>
        <w:t>e</w:t>
      </w:r>
      <w:r w:rsidR="00A307C5">
        <w:t>n and men in the community.</w:t>
      </w:r>
    </w:p>
    <w:p w:rsidR="006325E7" w:rsidRDefault="007F388C" w:rsidP="003A798F">
      <w:pPr>
        <w:pStyle w:val="ListBullet"/>
      </w:pPr>
      <w:r>
        <w:t>We will c</w:t>
      </w:r>
      <w:r w:rsidR="00A307C5">
        <w:t xml:space="preserve">ontinue to monitor </w:t>
      </w:r>
      <w:r>
        <w:t>the</w:t>
      </w:r>
      <w:r w:rsidR="00A307C5">
        <w:t xml:space="preserve"> impacts of the global recession</w:t>
      </w:r>
      <w:r>
        <w:t xml:space="preserve"> on employment and government revenue,</w:t>
      </w:r>
      <w:r w:rsidR="00A307C5">
        <w:t xml:space="preserve"> and work with </w:t>
      </w:r>
      <w:r w:rsidR="00CB524D">
        <w:t xml:space="preserve">the </w:t>
      </w:r>
      <w:proofErr w:type="spellStart"/>
      <w:r w:rsidR="00A307C5">
        <w:t>GoN</w:t>
      </w:r>
      <w:proofErr w:type="spellEnd"/>
      <w:r w:rsidR="00A307C5">
        <w:t xml:space="preserve"> and other donors to stabilise cash flows, maintain employment prospects and promote local business activity. Careful staging of construction works by </w:t>
      </w:r>
      <w:proofErr w:type="spellStart"/>
      <w:r w:rsidR="00A307C5">
        <w:t>AusAID</w:t>
      </w:r>
      <w:proofErr w:type="spellEnd"/>
      <w:r w:rsidR="00A307C5">
        <w:t xml:space="preserve"> and the </w:t>
      </w:r>
      <w:r w:rsidR="00D11FE9">
        <w:t>Australian Federal Police</w:t>
      </w:r>
      <w:r w:rsidR="00A307C5">
        <w:t xml:space="preserve"> on </w:t>
      </w:r>
      <w:r>
        <w:t xml:space="preserve">the </w:t>
      </w:r>
      <w:r w:rsidR="00A307C5">
        <w:t xml:space="preserve">island will help </w:t>
      </w:r>
      <w:r>
        <w:t xml:space="preserve">to </w:t>
      </w:r>
      <w:r w:rsidR="00A307C5">
        <w:t>ensure ongoing employment opportunities for skilled and unskilled labour.</w:t>
      </w:r>
    </w:p>
    <w:p w:rsidR="008550DA" w:rsidRPr="008550DA" w:rsidRDefault="00602D7F" w:rsidP="008550DA">
      <w:pPr>
        <w:pStyle w:val="H1"/>
      </w:pPr>
      <w:r>
        <w:rPr>
          <w:lang w:val="en-US" w:eastAsia="en-US"/>
        </w:rPr>
        <w:lastRenderedPageBreak/>
        <w:drawing>
          <wp:anchor distT="0" distB="0" distL="114300" distR="114300" simplePos="0" relativeHeight="25165926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1" name="Picture 119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 w:name="_Toc244501287"/>
      <w:r w:rsidR="006325E7">
        <w:t>Country performance</w:t>
      </w:r>
      <w:bookmarkEnd w:id="29"/>
    </w:p>
    <w:p w:rsidR="003A798F" w:rsidRPr="007A57A2" w:rsidRDefault="003A798F" w:rsidP="008550DA">
      <w:pPr>
        <w:pStyle w:val="H2"/>
      </w:pPr>
      <w:bookmarkStart w:id="30" w:name="_Toc229296678"/>
      <w:bookmarkStart w:id="31" w:name="_Toc244501288"/>
      <w:bookmarkStart w:id="32" w:name="_Toc361056116"/>
      <w:r w:rsidRPr="007A57A2">
        <w:t>Economic</w:t>
      </w:r>
      <w:r>
        <w:t>,</w:t>
      </w:r>
      <w:r w:rsidRPr="007A57A2">
        <w:t xml:space="preserve"> political and social development</w:t>
      </w:r>
      <w:bookmarkEnd w:id="30"/>
      <w:bookmarkEnd w:id="31"/>
      <w:bookmarkEnd w:id="32"/>
    </w:p>
    <w:p w:rsidR="003A798F" w:rsidRPr="00CF32AC" w:rsidRDefault="003A798F" w:rsidP="003A798F">
      <w:pPr>
        <w:pStyle w:val="BodyText"/>
      </w:pPr>
      <w:smartTag w:uri="urn:schemas-microsoft-com:office:smarttags" w:element="country-region">
        <w:r w:rsidRPr="00CF32AC">
          <w:t>Nauru</w:t>
        </w:r>
      </w:smartTag>
      <w:r w:rsidRPr="00CF32AC">
        <w:t xml:space="preserve"> relies on donor support; approximately 60</w:t>
      </w:r>
      <w:r w:rsidR="00C2136E">
        <w:t>%</w:t>
      </w:r>
      <w:r w:rsidRPr="00CF32AC">
        <w:t xml:space="preserve"> of its budget is contributed by donors (around 40% of this </w:t>
      </w:r>
      <w:r w:rsidR="007F388C">
        <w:t xml:space="preserve">is </w:t>
      </w:r>
      <w:r w:rsidRPr="00CF32AC">
        <w:t xml:space="preserve">from </w:t>
      </w:r>
      <w:smartTag w:uri="urn:schemas-microsoft-com:office:smarttags" w:element="place">
        <w:smartTag w:uri="urn:schemas-microsoft-com:office:smarttags" w:element="country-region">
          <w:r w:rsidRPr="00CF32AC">
            <w:t>Australia</w:t>
          </w:r>
        </w:smartTag>
      </w:smartTag>
      <w:r w:rsidRPr="00CF32AC">
        <w:t xml:space="preserve">). </w:t>
      </w:r>
      <w:smartTag w:uri="urn:schemas-microsoft-com:office:smarttags" w:element="place">
        <w:smartTag w:uri="urn:schemas-microsoft-com:office:smarttags" w:element="country-region">
          <w:r w:rsidRPr="00CF32AC">
            <w:t>Nauru</w:t>
          </w:r>
        </w:smartTag>
      </w:smartTag>
      <w:r w:rsidR="00247AFA">
        <w:t>’</w:t>
      </w:r>
      <w:r w:rsidRPr="00CF32AC">
        <w:t>s 2008–09 budget was around $5</w:t>
      </w:r>
      <w:r w:rsidR="00C2136E" w:rsidRPr="00CF32AC">
        <w:t>5</w:t>
      </w:r>
      <w:r w:rsidR="00C2136E">
        <w:t> </w:t>
      </w:r>
      <w:r w:rsidR="00C2136E" w:rsidRPr="00CF32AC">
        <w:t>m</w:t>
      </w:r>
      <w:r w:rsidR="00673037">
        <w:t>illion (a </w:t>
      </w:r>
      <w:r w:rsidRPr="00CF32AC">
        <w:t>$2</w:t>
      </w:r>
      <w:r w:rsidR="00C2136E" w:rsidRPr="00CF32AC">
        <w:t>0</w:t>
      </w:r>
      <w:r w:rsidR="00C2136E">
        <w:t> </w:t>
      </w:r>
      <w:r w:rsidR="00C2136E" w:rsidRPr="00CF32AC">
        <w:t>m</w:t>
      </w:r>
      <w:r w:rsidR="00C2136E">
        <w:t>illion</w:t>
      </w:r>
      <w:r w:rsidRPr="00CF32AC">
        <w:t xml:space="preserve"> increase on the previous year). </w:t>
      </w:r>
      <w:smartTag w:uri="urn:schemas-microsoft-com:office:smarttags" w:element="country-region">
        <w:r w:rsidRPr="00CF32AC">
          <w:t>Australia</w:t>
        </w:r>
      </w:smartTag>
      <w:r w:rsidRPr="00CF32AC">
        <w:t xml:space="preserve"> is the largest donor, although </w:t>
      </w:r>
      <w:smartTag w:uri="urn:schemas-microsoft-com:office:smarttags" w:element="place">
        <w:smartTag w:uri="urn:schemas-microsoft-com:office:smarttags" w:element="country-region">
          <w:r w:rsidRPr="00CF32AC">
            <w:t>Taiwan</w:t>
          </w:r>
        </w:smartTag>
      </w:smartTag>
      <w:r w:rsidRPr="00CF32AC">
        <w:t xml:space="preserve"> </w:t>
      </w:r>
      <w:r w:rsidR="00110F53" w:rsidRPr="00CF32AC">
        <w:t xml:space="preserve">also makes significant contributions </w:t>
      </w:r>
      <w:r w:rsidRPr="00CF32AC">
        <w:t>(approx</w:t>
      </w:r>
      <w:r w:rsidR="00110F53">
        <w:t>imately</w:t>
      </w:r>
      <w:r w:rsidRPr="00CF32AC">
        <w:t xml:space="preserve"> US$</w:t>
      </w:r>
      <w:r w:rsidR="00C2136E" w:rsidRPr="00CF32AC">
        <w:t>9</w:t>
      </w:r>
      <w:r w:rsidR="00C2136E">
        <w:t> </w:t>
      </w:r>
      <w:r w:rsidR="00C2136E" w:rsidRPr="00CF32AC">
        <w:t>m</w:t>
      </w:r>
      <w:r w:rsidR="00C2136E">
        <w:t>illion</w:t>
      </w:r>
      <w:r w:rsidRPr="00CF32AC">
        <w:t>).</w:t>
      </w:r>
    </w:p>
    <w:p w:rsidR="00C2136E" w:rsidRDefault="003A798F" w:rsidP="003A798F">
      <w:pPr>
        <w:pStyle w:val="BodyText"/>
      </w:pPr>
      <w:r w:rsidRPr="00CF32AC">
        <w:t xml:space="preserve">The Asian Development Bank (ADB) estimates current gross domestic product per person in </w:t>
      </w:r>
      <w:smartTag w:uri="urn:schemas-microsoft-com:office:smarttags" w:element="place">
        <w:smartTag w:uri="urn:schemas-microsoft-com:office:smarttags" w:element="country-region">
          <w:r w:rsidRPr="00CF32AC">
            <w:t>Nauru</w:t>
          </w:r>
        </w:smartTag>
      </w:smartTag>
      <w:r w:rsidRPr="00CF32AC">
        <w:t xml:space="preserve"> to be around $2500, although the figures range from $2000 to $3500 depending on the source. </w:t>
      </w:r>
      <w:smartTag w:uri="urn:schemas-microsoft-com:office:smarttags" w:element="country-region">
        <w:r w:rsidRPr="00CF32AC">
          <w:t>Nauru</w:t>
        </w:r>
      </w:smartTag>
      <w:r w:rsidRPr="00CF32AC">
        <w:t xml:space="preserve"> is one of the highest </w:t>
      </w:r>
      <w:r w:rsidR="00110F53">
        <w:t xml:space="preserve">per capita </w:t>
      </w:r>
      <w:r w:rsidR="00D11FE9">
        <w:t>official development assistance</w:t>
      </w:r>
      <w:r w:rsidRPr="00CF32AC">
        <w:t xml:space="preserve"> recipients in the world, despite the OECD categorising </w:t>
      </w:r>
      <w:smartTag w:uri="urn:schemas-microsoft-com:office:smarttags" w:element="place">
        <w:smartTag w:uri="urn:schemas-microsoft-com:office:smarttags" w:element="country-region">
          <w:r w:rsidRPr="00CF32AC">
            <w:t>Nauru</w:t>
          </w:r>
        </w:smartTag>
      </w:smartTag>
      <w:r w:rsidRPr="00CF32AC">
        <w:t xml:space="preserve"> as an upper-middle income country.</w:t>
      </w:r>
      <w:r w:rsidR="00C2136E">
        <w:t xml:space="preserve"> </w:t>
      </w:r>
      <w:r w:rsidRPr="00CF32AC">
        <w:t xml:space="preserve">There is no evidence of absolute poverty in </w:t>
      </w:r>
      <w:smartTag w:uri="urn:schemas-microsoft-com:office:smarttags" w:element="place">
        <w:smartTag w:uri="urn:schemas-microsoft-com:office:smarttags" w:element="country-region">
          <w:r w:rsidRPr="00CF32AC">
            <w:t>Nauru</w:t>
          </w:r>
        </w:smartTag>
      </w:smartTag>
      <w:r w:rsidRPr="00CF32AC">
        <w:t>; however</w:t>
      </w:r>
      <w:r w:rsidR="00110F53">
        <w:t>,</w:t>
      </w:r>
      <w:r w:rsidRPr="00CF32AC">
        <w:t xml:space="preserve"> low household income and limited employment opportunities result in generally modest-to-poor living standards.</w:t>
      </w:r>
    </w:p>
    <w:p w:rsidR="00C2136E" w:rsidRDefault="00673037" w:rsidP="003A798F">
      <w:pPr>
        <w:pStyle w:val="BodyText"/>
      </w:pPr>
      <w:r>
        <w:t>For</w:t>
      </w:r>
      <w:r w:rsidRPr="00CF32AC">
        <w:t xml:space="preserve"> </w:t>
      </w:r>
      <w:r w:rsidR="003A798F" w:rsidRPr="00CF32AC">
        <w:t>the past four years</w:t>
      </w:r>
      <w:r w:rsidR="00110F53">
        <w:t>,</w:t>
      </w:r>
      <w:r w:rsidR="003A798F" w:rsidRPr="00CF32AC">
        <w:t xml:space="preserve"> </w:t>
      </w:r>
      <w:smartTag w:uri="urn:schemas-microsoft-com:office:smarttags" w:element="country-region">
        <w:r w:rsidR="003A798F" w:rsidRPr="00CF32AC">
          <w:t>Nauru</w:t>
        </w:r>
      </w:smartTag>
      <w:r w:rsidR="003A798F" w:rsidRPr="00CF32AC">
        <w:t xml:space="preserve"> has had a reform-minded government that has worked well with </w:t>
      </w:r>
      <w:smartTag w:uri="urn:schemas-microsoft-com:office:smarttags" w:element="place">
        <w:smartTag w:uri="urn:schemas-microsoft-com:office:smarttags" w:element="country-region">
          <w:r w:rsidR="003A798F" w:rsidRPr="00CF32AC">
            <w:t>Australia</w:t>
          </w:r>
        </w:smartTag>
      </w:smartTag>
      <w:r w:rsidR="003A798F" w:rsidRPr="00CF32AC">
        <w:t xml:space="preserve"> and other donors to implement reforms. In 2007–08</w:t>
      </w:r>
      <w:r w:rsidR="00110F53">
        <w:t>,</w:t>
      </w:r>
      <w:r w:rsidR="003A798F" w:rsidRPr="00CF32AC">
        <w:t xml:space="preserve"> there was substantial capital investment to facilitate secondary phosphate mining, based on analysis which showed </w:t>
      </w:r>
      <w:r w:rsidR="00110F53">
        <w:t xml:space="preserve">that </w:t>
      </w:r>
      <w:r w:rsidR="003A798F" w:rsidRPr="00CF32AC">
        <w:t xml:space="preserve">secondary phosphate reserves could be viably mined for up to 30 years. </w:t>
      </w:r>
      <w:smartTag w:uri="urn:schemas-microsoft-com:office:smarttags" w:element="place">
        <w:smartTag w:uri="urn:schemas-microsoft-com:office:smarttags" w:element="country-region">
          <w:r w:rsidR="003A798F" w:rsidRPr="00CF32AC">
            <w:t>Nauru</w:t>
          </w:r>
        </w:smartTag>
      </w:smartTag>
      <w:r w:rsidR="003A798F" w:rsidRPr="00CF32AC">
        <w:t xml:space="preserve"> also has potential to generate income from the sale of coral aggregate, a by-product of secondary phosphate mining. Further investments in port infrastructure and phosphate production facilities will be required to support the re</w:t>
      </w:r>
      <w:r w:rsidR="00110F53">
        <w:noBreakHyphen/>
      </w:r>
      <w:r w:rsidR="003A798F" w:rsidRPr="00CF32AC">
        <w:t>establishment of mining.</w:t>
      </w:r>
    </w:p>
    <w:p w:rsidR="00C2136E" w:rsidRDefault="003A798F" w:rsidP="003A798F">
      <w:pPr>
        <w:pStyle w:val="BodyText"/>
      </w:pPr>
      <w:r w:rsidRPr="00CF32AC">
        <w:t xml:space="preserve">Given the massive external debt levels already being carried by </w:t>
      </w:r>
      <w:r w:rsidR="00CB524D">
        <w:t xml:space="preserve">the </w:t>
      </w:r>
      <w:proofErr w:type="spellStart"/>
      <w:r w:rsidRPr="00CF32AC">
        <w:t>GoN</w:t>
      </w:r>
      <w:proofErr w:type="spellEnd"/>
      <w:r w:rsidRPr="00CF32AC">
        <w:t xml:space="preserve"> (over $50</w:t>
      </w:r>
      <w:r w:rsidR="00C2136E" w:rsidRPr="00CF32AC">
        <w:t>0</w:t>
      </w:r>
      <w:r w:rsidR="00C2136E">
        <w:t> </w:t>
      </w:r>
      <w:r w:rsidR="00C2136E" w:rsidRPr="00CF32AC">
        <w:t>m</w:t>
      </w:r>
      <w:r w:rsidRPr="00CF32AC">
        <w:t>illion</w:t>
      </w:r>
      <w:r w:rsidR="00110F53">
        <w:t>,</w:t>
      </w:r>
      <w:r w:rsidRPr="00CF32AC">
        <w:t xml:space="preserve"> according to the 200</w:t>
      </w:r>
      <w:r w:rsidR="00C2136E" w:rsidRPr="00CF32AC">
        <w:t>8</w:t>
      </w:r>
      <w:r w:rsidR="00C2136E">
        <w:t>–</w:t>
      </w:r>
      <w:r w:rsidRPr="00CF32AC">
        <w:t xml:space="preserve">09 budget), it will be a challenge to find creditors willing to finance the capital works needed to get mining operations up and running. The debt management strategy (prepared with Australian assistance in 2007) notes that </w:t>
      </w:r>
      <w:smartTag w:uri="urn:schemas-microsoft-com:office:smarttags" w:element="place">
        <w:smartTag w:uri="urn:schemas-microsoft-com:office:smarttags" w:element="country-region">
          <w:r w:rsidRPr="00CF32AC">
            <w:t>Nauru</w:t>
          </w:r>
        </w:smartTag>
      </w:smartTag>
      <w:r w:rsidR="00247AFA">
        <w:t>’</w:t>
      </w:r>
      <w:r w:rsidRPr="00CF32AC">
        <w:t>s economy is capable of sustainabl</w:t>
      </w:r>
      <w:r w:rsidR="00110F53">
        <w:t>y</w:t>
      </w:r>
      <w:r w:rsidRPr="00CF32AC">
        <w:t xml:space="preserve"> servicing only $46 million of debt. </w:t>
      </w:r>
      <w:r w:rsidR="00110F53">
        <w:t xml:space="preserve">The </w:t>
      </w:r>
      <w:proofErr w:type="spellStart"/>
      <w:r w:rsidRPr="00CF32AC">
        <w:t>GoN</w:t>
      </w:r>
      <w:proofErr w:type="spellEnd"/>
      <w:r w:rsidRPr="00CF32AC">
        <w:t xml:space="preserve"> has delivered its </w:t>
      </w:r>
      <w:r w:rsidR="00110F53">
        <w:t>fourth</w:t>
      </w:r>
      <w:r w:rsidR="00110F53" w:rsidRPr="00CF32AC">
        <w:t xml:space="preserve"> </w:t>
      </w:r>
      <w:r w:rsidRPr="00CF32AC">
        <w:t xml:space="preserve">consecutive balanced budget, </w:t>
      </w:r>
      <w:r w:rsidR="00110F53">
        <w:t xml:space="preserve">but </w:t>
      </w:r>
      <w:r w:rsidRPr="00CF32AC">
        <w:t xml:space="preserve">there will be mounting pressure on budget priorities as revenue streams and local employment options come under increased pressure from the </w:t>
      </w:r>
      <w:r w:rsidR="00110F53">
        <w:t>global economic crisis</w:t>
      </w:r>
      <w:r w:rsidRPr="00CF32AC">
        <w:t>.</w:t>
      </w:r>
    </w:p>
    <w:p w:rsidR="00C2136E" w:rsidRDefault="003A798F" w:rsidP="003A798F">
      <w:pPr>
        <w:pStyle w:val="BodyText"/>
      </w:pPr>
      <w:r w:rsidRPr="00CF32AC">
        <w:t>Securing reliable purchasers of phosphate as global demand slumps will have a major impact on revenue in the immediate future. The effective management of mining operations</w:t>
      </w:r>
      <w:r w:rsidR="00110F53">
        <w:t>,</w:t>
      </w:r>
      <w:r w:rsidRPr="00CF32AC">
        <w:t xml:space="preserve"> both now and </w:t>
      </w:r>
      <w:r w:rsidR="00110F53">
        <w:t xml:space="preserve">in the </w:t>
      </w:r>
      <w:r w:rsidRPr="00CF32AC">
        <w:t>long term</w:t>
      </w:r>
      <w:r w:rsidR="00110F53">
        <w:t>,</w:t>
      </w:r>
      <w:r w:rsidRPr="00CF32AC">
        <w:t xml:space="preserve"> </w:t>
      </w:r>
      <w:r w:rsidR="00110F53">
        <w:t>is</w:t>
      </w:r>
      <w:r w:rsidR="00110F53" w:rsidRPr="00CF32AC">
        <w:t xml:space="preserve"> </w:t>
      </w:r>
      <w:r w:rsidRPr="00CF32AC">
        <w:t xml:space="preserve">a major challenge for the </w:t>
      </w:r>
      <w:proofErr w:type="spellStart"/>
      <w:r w:rsidRPr="00CF32AC">
        <w:t>GoN</w:t>
      </w:r>
      <w:proofErr w:type="spellEnd"/>
      <w:r w:rsidRPr="00CF32AC">
        <w:t>.</w:t>
      </w:r>
    </w:p>
    <w:p w:rsidR="00C2136E" w:rsidRDefault="003A798F" w:rsidP="003A798F">
      <w:pPr>
        <w:pStyle w:val="BodyText"/>
      </w:pPr>
      <w:smartTag w:uri="urn:schemas-microsoft-com:office:smarttags" w:element="place">
        <w:smartTag w:uri="urn:schemas-microsoft-com:office:smarttags" w:element="country-region">
          <w:r w:rsidRPr="00CF32AC">
            <w:t>Nauru</w:t>
          </w:r>
        </w:smartTag>
      </w:smartTag>
      <w:r w:rsidRPr="00CF32AC">
        <w:t xml:space="preserve"> also derives income from the sale of fishing licences, </w:t>
      </w:r>
      <w:r w:rsidR="00110F53">
        <w:t xml:space="preserve">and increased revenues now being collected are </w:t>
      </w:r>
      <w:r w:rsidRPr="00CF32AC">
        <w:t xml:space="preserve">a notable improvement </w:t>
      </w:r>
      <w:r w:rsidR="00110F53">
        <w:t>since</w:t>
      </w:r>
      <w:r w:rsidR="00110F53" w:rsidRPr="00CF32AC">
        <w:t xml:space="preserve"> </w:t>
      </w:r>
      <w:r w:rsidRPr="00CF32AC">
        <w:t xml:space="preserve">the previous APPR. As a result of more efficient and effective management of the licence regime (supported by Australian technical assistance) and favourable changes in the </w:t>
      </w:r>
      <w:smartTag w:uri="urn:schemas-microsoft-com:office:smarttags" w:element="place">
        <w:smartTag w:uri="urn:schemas-microsoft-com:office:smarttags" w:element="country-region">
          <w:r w:rsidRPr="00CF32AC">
            <w:t>US</w:t>
          </w:r>
        </w:smartTag>
      </w:smartTag>
      <w:r w:rsidRPr="00CF32AC">
        <w:t>$</w:t>
      </w:r>
      <w:r w:rsidR="00110F53">
        <w:t>–</w:t>
      </w:r>
      <w:r w:rsidRPr="00CF32AC">
        <w:t>A$ exchange rate, revenue from licences will almost double to $1</w:t>
      </w:r>
      <w:r w:rsidR="00C2136E" w:rsidRPr="00CF32AC">
        <w:t>0</w:t>
      </w:r>
      <w:r w:rsidR="00C2136E">
        <w:t> m</w:t>
      </w:r>
      <w:r w:rsidRPr="00CF32AC">
        <w:t>illion in the 200</w:t>
      </w:r>
      <w:r w:rsidR="00C2136E" w:rsidRPr="00CF32AC">
        <w:t>8</w:t>
      </w:r>
      <w:r w:rsidR="00C2136E">
        <w:t>–</w:t>
      </w:r>
      <w:r w:rsidRPr="00CF32AC">
        <w:t>09 financial year. Th</w:t>
      </w:r>
      <w:r w:rsidR="00110F53">
        <w:t>e</w:t>
      </w:r>
      <w:r w:rsidRPr="00CF32AC">
        <w:t xml:space="preserve"> increase occurred without a major increase in the</w:t>
      </w:r>
      <w:r w:rsidR="00110F53">
        <w:t xml:space="preserve"> number of</w:t>
      </w:r>
      <w:r w:rsidRPr="00CF32AC">
        <w:t xml:space="preserve"> licen</w:t>
      </w:r>
      <w:r w:rsidR="00110F53">
        <w:t>c</w:t>
      </w:r>
      <w:r w:rsidRPr="00CF32AC">
        <w:t>es being issued</w:t>
      </w:r>
      <w:r w:rsidR="00673037">
        <w:t xml:space="preserve"> – </w:t>
      </w:r>
      <w:r w:rsidRPr="00CF32AC">
        <w:t>a positive economic and sustainable resource management outcome.</w:t>
      </w:r>
    </w:p>
    <w:p w:rsidR="00C2136E" w:rsidRDefault="003A798F" w:rsidP="003A798F">
      <w:pPr>
        <w:pStyle w:val="BodyText"/>
      </w:pPr>
      <w:r w:rsidRPr="00CF32AC">
        <w:t xml:space="preserve">Internally generated revenue remains constrained by the small market, low incomes, limited access to credit, poor infrastructure, skills shortages and complex landownership systems. </w:t>
      </w:r>
      <w:r w:rsidRPr="00CF32AC">
        <w:lastRenderedPageBreak/>
        <w:t>There is little information on the significance of remittances</w:t>
      </w:r>
      <w:r w:rsidR="00673037">
        <w:t xml:space="preserve"> – </w:t>
      </w:r>
      <w:r w:rsidRPr="00CF32AC">
        <w:t xml:space="preserve">an information gap we will work with </w:t>
      </w:r>
      <w:r w:rsidR="00CB524D">
        <w:t xml:space="preserve">the </w:t>
      </w:r>
      <w:proofErr w:type="spellStart"/>
      <w:r w:rsidRPr="00CF32AC">
        <w:t>GoN</w:t>
      </w:r>
      <w:proofErr w:type="spellEnd"/>
      <w:r w:rsidRPr="00CF32AC">
        <w:t xml:space="preserve"> to close, given the NSDS priority to diversify its revenue base. Agreement this year to expand the National Secondary School project (supported by Australia) to include feed-in accreditation to the Australia Pacific Technical College has real potential to develop internationally transferable skills and opportunities to earn income off-shore. The </w:t>
      </w:r>
      <w:proofErr w:type="spellStart"/>
      <w:r w:rsidRPr="00CF32AC">
        <w:t>GoN</w:t>
      </w:r>
      <w:r w:rsidR="00247AFA">
        <w:t>’</w:t>
      </w:r>
      <w:r w:rsidRPr="00CF32AC">
        <w:t>s</w:t>
      </w:r>
      <w:proofErr w:type="spellEnd"/>
      <w:r w:rsidRPr="00CF32AC">
        <w:t xml:space="preserve"> increased focus on transferable technical skills is further evidence of concrete government moves to promote greater self</w:t>
      </w:r>
      <w:r w:rsidR="00110F53">
        <w:t>-</w:t>
      </w:r>
      <w:r w:rsidRPr="00CF32AC">
        <w:t xml:space="preserve">reliance in the population, </w:t>
      </w:r>
      <w:r w:rsidR="007D22EC">
        <w:t xml:space="preserve">lack of which has been </w:t>
      </w:r>
      <w:r w:rsidRPr="00CF32AC">
        <w:t>a major impediment to past development efforts.</w:t>
      </w:r>
    </w:p>
    <w:p w:rsidR="00C2136E" w:rsidRDefault="003A798F" w:rsidP="003A798F">
      <w:pPr>
        <w:pStyle w:val="BodyText"/>
      </w:pPr>
      <w:smartTag w:uri="urn:schemas-microsoft-com:office:smarttags" w:element="place">
        <w:smartTag w:uri="urn:schemas-microsoft-com:office:smarttags" w:element="country-region">
          <w:r w:rsidRPr="00CF32AC">
            <w:t>Nauru</w:t>
          </w:r>
        </w:smartTag>
      </w:smartTag>
      <w:r w:rsidRPr="00CF32AC">
        <w:t xml:space="preserve"> continues to rely almost entirely on imported food. There is little information on progress </w:t>
      </w:r>
      <w:r w:rsidR="007D22EC">
        <w:t>towards</w:t>
      </w:r>
      <w:r w:rsidR="007D22EC" w:rsidRPr="00CF32AC">
        <w:t xml:space="preserve"> </w:t>
      </w:r>
      <w:r w:rsidRPr="00CF32AC">
        <w:t xml:space="preserve">the NSDS goal </w:t>
      </w:r>
      <w:r w:rsidR="007D22EC">
        <w:t>of</w:t>
      </w:r>
      <w:r w:rsidR="007D22EC" w:rsidRPr="00CF32AC">
        <w:t xml:space="preserve"> </w:t>
      </w:r>
      <w:r w:rsidRPr="00CF32AC">
        <w:t>increas</w:t>
      </w:r>
      <w:r w:rsidR="007D22EC">
        <w:t>ing</w:t>
      </w:r>
      <w:r w:rsidRPr="00CF32AC">
        <w:t xml:space="preserve"> consumption of locally grown food</w:t>
      </w:r>
      <w:r w:rsidR="007D22EC">
        <w:t>,</w:t>
      </w:r>
      <w:r w:rsidRPr="00CF32AC">
        <w:t xml:space="preserve"> but anecdotal</w:t>
      </w:r>
      <w:r w:rsidR="007D22EC">
        <w:t xml:space="preserve"> evidence suggest</w:t>
      </w:r>
      <w:r w:rsidR="00CA66E1">
        <w:t>s</w:t>
      </w:r>
      <w:r w:rsidR="007D22EC">
        <w:t xml:space="preserve"> that some progress is being made</w:t>
      </w:r>
      <w:r w:rsidRPr="00CF32AC">
        <w:t xml:space="preserve"> (albeit on a small scale). Broader land rehabilitation programs, which complement secondary mining activities, are not yet taking place, which limits the ability to move to larger scale intensive farming.</w:t>
      </w:r>
    </w:p>
    <w:p w:rsidR="003A798F" w:rsidRPr="007A57A2" w:rsidRDefault="003A798F" w:rsidP="008550DA">
      <w:pPr>
        <w:pStyle w:val="H2"/>
      </w:pPr>
      <w:bookmarkStart w:id="33" w:name="_Toc229296679"/>
      <w:bookmarkStart w:id="34" w:name="_Toc244501289"/>
      <w:bookmarkStart w:id="35" w:name="_Toc361056117"/>
      <w:r w:rsidRPr="007A57A2">
        <w:t>Economic reforms</w:t>
      </w:r>
      <w:bookmarkEnd w:id="33"/>
      <w:bookmarkEnd w:id="34"/>
      <w:bookmarkEnd w:id="35"/>
    </w:p>
    <w:p w:rsidR="003A798F" w:rsidRDefault="003A798F" w:rsidP="003A798F">
      <w:pPr>
        <w:pStyle w:val="BodyText"/>
      </w:pPr>
      <w:r>
        <w:t xml:space="preserve">The </w:t>
      </w:r>
      <w:r w:rsidRPr="007A57A2">
        <w:t>Australian</w:t>
      </w:r>
      <w:r w:rsidR="007D22EC">
        <w:t>-</w:t>
      </w:r>
      <w:r>
        <w:t>funded</w:t>
      </w:r>
      <w:r w:rsidRPr="007A57A2">
        <w:t xml:space="preserve"> </w:t>
      </w:r>
      <w:r w:rsidR="00247AFA">
        <w:t>‘</w:t>
      </w:r>
      <w:r w:rsidRPr="007A57A2">
        <w:t>in-line</w:t>
      </w:r>
      <w:r w:rsidR="00247AFA">
        <w:t>’</w:t>
      </w:r>
      <w:r w:rsidRPr="007A57A2">
        <w:t xml:space="preserve"> finance team</w:t>
      </w:r>
      <w:r>
        <w:t xml:space="preserve"> continues to provide critical support to </w:t>
      </w:r>
      <w:r w:rsidR="007D22EC">
        <w:t xml:space="preserve">the </w:t>
      </w:r>
      <w:r w:rsidRPr="00CF32AC">
        <w:t>implementation</w:t>
      </w:r>
      <w:r>
        <w:t xml:space="preserve"> of </w:t>
      </w:r>
      <w:r w:rsidR="00CB524D">
        <w:t xml:space="preserve">the </w:t>
      </w:r>
      <w:proofErr w:type="spellStart"/>
      <w:r>
        <w:t>GoN</w:t>
      </w:r>
      <w:r w:rsidR="00247AFA">
        <w:t>’</w:t>
      </w:r>
      <w:r>
        <w:t>s</w:t>
      </w:r>
      <w:proofErr w:type="spellEnd"/>
      <w:r>
        <w:t xml:space="preserve"> finance reform agenda. Over the past 1</w:t>
      </w:r>
      <w:r w:rsidR="00C2136E">
        <w:t>2 m</w:t>
      </w:r>
      <w:r>
        <w:t>onths</w:t>
      </w:r>
      <w:r w:rsidR="007D22EC">
        <w:t>,</w:t>
      </w:r>
      <w:r>
        <w:t xml:space="preserve"> there has been further consolidation of reforms and some new achievements, for example:</w:t>
      </w:r>
    </w:p>
    <w:p w:rsidR="003A798F" w:rsidRDefault="007D22EC" w:rsidP="003A798F">
      <w:pPr>
        <w:pStyle w:val="ListBullet"/>
      </w:pPr>
      <w:r>
        <w:t>The formal</w:t>
      </w:r>
      <w:r w:rsidR="003A798F">
        <w:t xml:space="preserve"> winding up </w:t>
      </w:r>
      <w:r>
        <w:t xml:space="preserve">of </w:t>
      </w:r>
      <w:r w:rsidR="003A798F">
        <w:t xml:space="preserve">the Bank of Nauru </w:t>
      </w:r>
      <w:r w:rsidR="00943B42">
        <w:t>began</w:t>
      </w:r>
      <w:r w:rsidR="003A798F">
        <w:t xml:space="preserve">, although </w:t>
      </w:r>
      <w:r w:rsidR="00CB524D">
        <w:t xml:space="preserve">the </w:t>
      </w:r>
      <w:proofErr w:type="spellStart"/>
      <w:r w:rsidR="003A798F">
        <w:t>GoN</w:t>
      </w:r>
      <w:proofErr w:type="spellEnd"/>
      <w:r w:rsidR="003A798F">
        <w:t xml:space="preserve"> is still struggling to attract commercial banking operations</w:t>
      </w:r>
      <w:r>
        <w:t>.</w:t>
      </w:r>
    </w:p>
    <w:p w:rsidR="003A798F" w:rsidRDefault="003A798F" w:rsidP="003A798F">
      <w:pPr>
        <w:pStyle w:val="ListBullet"/>
      </w:pPr>
      <w:r>
        <w:t xml:space="preserve">Price control legislation prepared with Australian assistance </w:t>
      </w:r>
      <w:r w:rsidR="00943B42">
        <w:t>was</w:t>
      </w:r>
      <w:r>
        <w:t xml:space="preserve"> introduced and is now governing pricing arrangements for commodities such as rice and fuel</w:t>
      </w:r>
      <w:r w:rsidR="007D22EC">
        <w:t>.</w:t>
      </w:r>
    </w:p>
    <w:p w:rsidR="003A798F" w:rsidRDefault="007D22EC" w:rsidP="003A798F">
      <w:pPr>
        <w:pStyle w:val="ListBullet"/>
      </w:pPr>
      <w:r>
        <w:t>A</w:t>
      </w:r>
      <w:r w:rsidR="003A798F">
        <w:t xml:space="preserve"> Consumer Price Index</w:t>
      </w:r>
      <w:r>
        <w:t xml:space="preserve"> </w:t>
      </w:r>
      <w:r w:rsidR="00943B42">
        <w:t>was</w:t>
      </w:r>
      <w:r>
        <w:t xml:space="preserve"> developed. M</w:t>
      </w:r>
      <w:r w:rsidR="003A798F">
        <w:t>onthly report</w:t>
      </w:r>
      <w:r>
        <w:t>s are</w:t>
      </w:r>
      <w:r w:rsidR="003A798F">
        <w:t xml:space="preserve"> prepared by </w:t>
      </w:r>
      <w:smartTag w:uri="urn:schemas-microsoft-com:office:smarttags" w:element="place">
        <w:smartTag w:uri="urn:schemas-microsoft-com:office:smarttags" w:element="country-region">
          <w:r w:rsidR="00E6750B">
            <w:t>Nauru</w:t>
          </w:r>
        </w:smartTag>
      </w:smartTag>
      <w:r w:rsidR="00E6750B">
        <w:t>’s</w:t>
      </w:r>
      <w:r w:rsidR="003A798F">
        <w:t xml:space="preserve"> Bureau of Stats and Ministry of Finance</w:t>
      </w:r>
      <w:r>
        <w:t>.</w:t>
      </w:r>
    </w:p>
    <w:p w:rsidR="003A798F" w:rsidRDefault="003A798F" w:rsidP="003A798F">
      <w:pPr>
        <w:pStyle w:val="ListBullet"/>
      </w:pPr>
      <w:r>
        <w:t xml:space="preserve">Good progress </w:t>
      </w:r>
      <w:r w:rsidR="00943B42">
        <w:t>was</w:t>
      </w:r>
      <w:r w:rsidR="007D22EC">
        <w:t xml:space="preserve"> made </w:t>
      </w:r>
      <w:r>
        <w:t>in</w:t>
      </w:r>
      <w:r w:rsidR="007D22EC">
        <w:t xml:space="preserve"> </w:t>
      </w:r>
      <w:r w:rsidR="00943B42">
        <w:t>implementing</w:t>
      </w:r>
      <w:r>
        <w:t xml:space="preserve"> </w:t>
      </w:r>
      <w:smartTag w:uri="urn:schemas-microsoft-com:office:smarttags" w:element="place">
        <w:smartTag w:uri="urn:schemas-microsoft-com:office:smarttags" w:element="country-region">
          <w:r>
            <w:t>Nauru</w:t>
          </w:r>
        </w:smartTag>
      </w:smartTag>
      <w:r w:rsidR="00247AFA">
        <w:t>’</w:t>
      </w:r>
      <w:r>
        <w:t>s debt management strategy</w:t>
      </w:r>
      <w:r w:rsidR="006F76E4">
        <w:t>,</w:t>
      </w:r>
      <w:r>
        <w:t xml:space="preserve"> including ongoing negotiations with some creditors (rather than litigation)</w:t>
      </w:r>
      <w:r w:rsidR="006F76E4">
        <w:t xml:space="preserve"> and</w:t>
      </w:r>
      <w:r>
        <w:t xml:space="preserve"> the payment of some outstanding debts</w:t>
      </w:r>
      <w:r w:rsidR="006F76E4">
        <w:t>. S</w:t>
      </w:r>
      <w:r>
        <w:t xml:space="preserve">ome debts </w:t>
      </w:r>
      <w:r w:rsidR="00943B42">
        <w:t>were</w:t>
      </w:r>
      <w:r w:rsidR="006F76E4">
        <w:t xml:space="preserve"> </w:t>
      </w:r>
      <w:r>
        <w:t>successful</w:t>
      </w:r>
      <w:r w:rsidR="00943B42">
        <w:t>ly</w:t>
      </w:r>
      <w:r>
        <w:t xml:space="preserve"> written off</w:t>
      </w:r>
      <w:r w:rsidR="006F76E4">
        <w:t>; for example,</w:t>
      </w:r>
      <w:r>
        <w:t xml:space="preserve"> successful internal negotiations </w:t>
      </w:r>
      <w:r w:rsidR="006F76E4">
        <w:t xml:space="preserve">led to the waiving of </w:t>
      </w:r>
      <w:r>
        <w:t>$26</w:t>
      </w:r>
      <w:r w:rsidR="00C2136E">
        <w:t>4 m</w:t>
      </w:r>
      <w:r>
        <w:t>illion in internal debt</w:t>
      </w:r>
      <w:r w:rsidR="00874460">
        <w:t xml:space="preserve">, such as </w:t>
      </w:r>
      <w:r>
        <w:t xml:space="preserve">debts between </w:t>
      </w:r>
      <w:r w:rsidR="00874460">
        <w:t>state-owned enterprises</w:t>
      </w:r>
      <w:r w:rsidR="007D22EC">
        <w:t>.</w:t>
      </w:r>
    </w:p>
    <w:p w:rsidR="00C2136E" w:rsidRDefault="00874460" w:rsidP="003A798F">
      <w:pPr>
        <w:pStyle w:val="ListBullet"/>
      </w:pPr>
      <w:r>
        <w:t>The</w:t>
      </w:r>
      <w:r w:rsidR="003A798F" w:rsidRPr="00745CC4">
        <w:t xml:space="preserve"> Utilities Bill, </w:t>
      </w:r>
      <w:r w:rsidR="003A798F">
        <w:t xml:space="preserve">a key step in the </w:t>
      </w:r>
      <w:r w:rsidR="003A798F" w:rsidRPr="00745CC4">
        <w:t xml:space="preserve">transition of </w:t>
      </w:r>
      <w:r>
        <w:t>u</w:t>
      </w:r>
      <w:r w:rsidR="003A798F" w:rsidRPr="00745CC4">
        <w:t xml:space="preserve">tilities (currently an </w:t>
      </w:r>
      <w:proofErr w:type="spellStart"/>
      <w:r w:rsidR="003A798F" w:rsidRPr="00745CC4">
        <w:t>SoE</w:t>
      </w:r>
      <w:proofErr w:type="spellEnd"/>
      <w:r w:rsidR="003A798F" w:rsidRPr="00745CC4">
        <w:t>) to a private commercial entity</w:t>
      </w:r>
      <w:r>
        <w:t xml:space="preserve">, </w:t>
      </w:r>
      <w:r w:rsidR="00943B42">
        <w:t>was</w:t>
      </w:r>
      <w:r>
        <w:t xml:space="preserve"> drafted</w:t>
      </w:r>
      <w:r w:rsidR="007D22EC">
        <w:t>.</w:t>
      </w:r>
    </w:p>
    <w:p w:rsidR="003A798F" w:rsidRDefault="00874460" w:rsidP="003A798F">
      <w:pPr>
        <w:pStyle w:val="ListBullet"/>
      </w:pPr>
      <w:r>
        <w:t>S</w:t>
      </w:r>
      <w:r w:rsidR="003A798F">
        <w:t>tronger financial delegation arrangements</w:t>
      </w:r>
      <w:r>
        <w:t xml:space="preserve"> </w:t>
      </w:r>
      <w:r w:rsidR="00943B42">
        <w:t>were</w:t>
      </w:r>
      <w:r>
        <w:t xml:space="preserve"> established</w:t>
      </w:r>
      <w:r w:rsidR="003A798F">
        <w:t xml:space="preserve"> to ensure </w:t>
      </w:r>
      <w:r>
        <w:t xml:space="preserve">that </w:t>
      </w:r>
      <w:r w:rsidR="003A798F">
        <w:t xml:space="preserve">the most appropriate delegate </w:t>
      </w:r>
      <w:r w:rsidR="00943B42">
        <w:t>signs</w:t>
      </w:r>
      <w:r w:rsidR="003A798F">
        <w:t xml:space="preserve"> off expenditure</w:t>
      </w:r>
      <w:r w:rsidR="007D22EC">
        <w:t>.</w:t>
      </w:r>
    </w:p>
    <w:p w:rsidR="003A798F" w:rsidRDefault="003A798F" w:rsidP="008550DA">
      <w:pPr>
        <w:pStyle w:val="H2"/>
      </w:pPr>
      <w:bookmarkStart w:id="36" w:name="_Toc229296680"/>
      <w:bookmarkStart w:id="37" w:name="_Toc244501290"/>
      <w:bookmarkStart w:id="38" w:name="_Toc361056118"/>
      <w:r w:rsidRPr="007A57A2">
        <w:t>Progress toward</w:t>
      </w:r>
      <w:r w:rsidRPr="007A57A2">
        <w:rPr>
          <w:caps/>
        </w:rPr>
        <w:t xml:space="preserve"> </w:t>
      </w:r>
      <w:r>
        <w:t>Millennium Development Goals</w:t>
      </w:r>
      <w:bookmarkEnd w:id="36"/>
      <w:bookmarkEnd w:id="37"/>
      <w:bookmarkEnd w:id="38"/>
    </w:p>
    <w:p w:rsidR="00874460" w:rsidRDefault="003A798F" w:rsidP="003A798F">
      <w:pPr>
        <w:pStyle w:val="BodyText"/>
      </w:pPr>
      <w:r w:rsidRPr="00CF32AC">
        <w:t xml:space="preserve">On the major </w:t>
      </w:r>
      <w:r w:rsidR="00D11FE9">
        <w:t>Millennium Development Goal</w:t>
      </w:r>
      <w:r w:rsidR="00D11FE9" w:rsidRPr="00CF32AC">
        <w:t xml:space="preserve"> </w:t>
      </w:r>
      <w:r w:rsidRPr="00CF32AC">
        <w:t xml:space="preserve">indicators, </w:t>
      </w:r>
      <w:smartTag w:uri="urn:schemas-microsoft-com:office:smarttags" w:element="country-region">
        <w:r w:rsidRPr="00CF32AC">
          <w:t>Nauru</w:t>
        </w:r>
      </w:smartTag>
      <w:r w:rsidR="00247AFA">
        <w:t>’</w:t>
      </w:r>
      <w:r w:rsidRPr="00CF32AC">
        <w:t xml:space="preserve">s own formal reporting suggests </w:t>
      </w:r>
      <w:r w:rsidR="00874460">
        <w:t xml:space="preserve">that </w:t>
      </w:r>
      <w:smartTag w:uri="urn:schemas-microsoft-com:office:smarttags" w:element="place">
        <w:smartTag w:uri="urn:schemas-microsoft-com:office:smarttags" w:element="country-region">
          <w:r w:rsidR="00874460">
            <w:t>Nauru</w:t>
          </w:r>
        </w:smartTag>
      </w:smartTag>
      <w:r w:rsidR="00874460">
        <w:t xml:space="preserve"> is</w:t>
      </w:r>
      <w:r w:rsidRPr="00CF32AC">
        <w:t xml:space="preserve"> on track to meet targets, with the exception of environment</w:t>
      </w:r>
      <w:r w:rsidR="00874460">
        <w:t>al</w:t>
      </w:r>
      <w:r w:rsidRPr="00CF32AC">
        <w:t xml:space="preserve"> sustainability, although reliable statistics to confirm this assessment </w:t>
      </w:r>
      <w:r w:rsidR="00874460">
        <w:t>are</w:t>
      </w:r>
      <w:r w:rsidR="00874460" w:rsidRPr="00CF32AC">
        <w:t xml:space="preserve"> </w:t>
      </w:r>
      <w:r w:rsidRPr="00CF32AC">
        <w:t xml:space="preserve">not available </w:t>
      </w:r>
      <w:r w:rsidR="00874460">
        <w:t>for</w:t>
      </w:r>
      <w:r w:rsidR="00874460" w:rsidRPr="00CF32AC">
        <w:t xml:space="preserve"> </w:t>
      </w:r>
      <w:r w:rsidRPr="00CF32AC">
        <w:t>many targets.</w:t>
      </w:r>
    </w:p>
    <w:p w:rsidR="00874460" w:rsidRDefault="003A798F" w:rsidP="003A798F">
      <w:pPr>
        <w:pStyle w:val="BodyText"/>
      </w:pPr>
      <w:r w:rsidRPr="00CF32AC">
        <w:t xml:space="preserve">A more detailed examination of progress highlights several areas of concern, particularly </w:t>
      </w:r>
      <w:r w:rsidR="00874460">
        <w:t>with</w:t>
      </w:r>
      <w:r w:rsidR="00874460" w:rsidRPr="00CF32AC">
        <w:t xml:space="preserve"> </w:t>
      </w:r>
      <w:r w:rsidRPr="00CF32AC">
        <w:t>non-communicable disease</w:t>
      </w:r>
      <w:r w:rsidR="00874460">
        <w:t xml:space="preserve"> (NCD)</w:t>
      </w:r>
      <w:r w:rsidRPr="00CF32AC">
        <w:t xml:space="preserve"> rates (among the highest in the world), high rates of </w:t>
      </w:r>
      <w:r w:rsidR="00874460">
        <w:t>s</w:t>
      </w:r>
      <w:r w:rsidRPr="00CF32AC">
        <w:t xml:space="preserve">exually </w:t>
      </w:r>
      <w:r w:rsidR="00874460">
        <w:t>t</w:t>
      </w:r>
      <w:r w:rsidRPr="00CF32AC">
        <w:t xml:space="preserve">ransmitted </w:t>
      </w:r>
      <w:r w:rsidR="00874460">
        <w:t>i</w:t>
      </w:r>
      <w:r w:rsidRPr="00CF32AC">
        <w:t>nfections, school attendance rates (</w:t>
      </w:r>
      <w:r w:rsidR="00874460">
        <w:t xml:space="preserve">which, </w:t>
      </w:r>
      <w:r w:rsidRPr="00CF32AC">
        <w:t>while improving</w:t>
      </w:r>
      <w:r w:rsidR="00874460">
        <w:t>,</w:t>
      </w:r>
      <w:r w:rsidRPr="00CF32AC">
        <w:t xml:space="preserve"> are still very low), </w:t>
      </w:r>
      <w:r w:rsidR="00874460">
        <w:t xml:space="preserve">poor </w:t>
      </w:r>
      <w:r w:rsidRPr="00CF32AC">
        <w:t>levels of academic attainment</w:t>
      </w:r>
      <w:r w:rsidR="00874460">
        <w:t>, and widespread</w:t>
      </w:r>
      <w:r w:rsidRPr="00CF32AC">
        <w:t xml:space="preserve"> nutrition</w:t>
      </w:r>
      <w:r w:rsidR="00874460">
        <w:t>al</w:t>
      </w:r>
      <w:r w:rsidRPr="00CF32AC">
        <w:t xml:space="preserve"> deficiencies among children. These lagging areas will be the focus of discussions </w:t>
      </w:r>
      <w:r w:rsidR="00874460">
        <w:t>on</w:t>
      </w:r>
      <w:r w:rsidR="00874460" w:rsidRPr="00CF32AC">
        <w:t xml:space="preserve"> </w:t>
      </w:r>
      <w:r w:rsidRPr="00CF32AC">
        <w:t xml:space="preserve">the Partnership for Development between </w:t>
      </w:r>
      <w:smartTag w:uri="urn:schemas-microsoft-com:office:smarttags" w:element="country-region">
        <w:r w:rsidRPr="00CF32AC">
          <w:t>Nauru</w:t>
        </w:r>
      </w:smartTag>
      <w:r w:rsidRPr="00CF32AC">
        <w:t xml:space="preserve"> and </w:t>
      </w:r>
      <w:smartTag w:uri="urn:schemas-microsoft-com:office:smarttags" w:element="place">
        <w:smartTag w:uri="urn:schemas-microsoft-com:office:smarttags" w:element="country-region">
          <w:r w:rsidRPr="00CF32AC">
            <w:t>Australia</w:t>
          </w:r>
        </w:smartTag>
      </w:smartTag>
      <w:r w:rsidRPr="00CF32AC">
        <w:t>.</w:t>
      </w:r>
    </w:p>
    <w:p w:rsidR="003A798F" w:rsidRPr="00CF32AC" w:rsidRDefault="00874460" w:rsidP="003A798F">
      <w:pPr>
        <w:pStyle w:val="BodyText"/>
      </w:pPr>
      <w:r>
        <w:lastRenderedPageBreak/>
        <w:t>I</w:t>
      </w:r>
      <w:r w:rsidR="003A798F" w:rsidRPr="00CF32AC">
        <w:t>mproved sex</w:t>
      </w:r>
      <w:r>
        <w:t>-</w:t>
      </w:r>
      <w:r w:rsidR="003A798F" w:rsidRPr="00CF32AC">
        <w:t xml:space="preserve">disaggregated data collection and analysis will also be a priority, as prioritisation of funding, technical assistance and policy formulation by </w:t>
      </w:r>
      <w:r w:rsidR="00CB524D">
        <w:t xml:space="preserve">the </w:t>
      </w:r>
      <w:proofErr w:type="spellStart"/>
      <w:r w:rsidR="003A798F" w:rsidRPr="00CF32AC">
        <w:t>GoN</w:t>
      </w:r>
      <w:proofErr w:type="spellEnd"/>
      <w:r w:rsidR="003A798F" w:rsidRPr="00CF32AC">
        <w:t xml:space="preserve"> and development partners is constrained by the current paucity of evidence on development outcomes.</w:t>
      </w:r>
    </w:p>
    <w:p w:rsidR="003A798F" w:rsidRPr="007A57A2" w:rsidRDefault="003A798F" w:rsidP="008550DA">
      <w:pPr>
        <w:pStyle w:val="H2"/>
      </w:pPr>
      <w:bookmarkStart w:id="39" w:name="_Toc229296681"/>
      <w:bookmarkStart w:id="40" w:name="_Toc244501291"/>
      <w:bookmarkStart w:id="41" w:name="_Toc361056119"/>
      <w:smartTag w:uri="urn:schemas-microsoft-com:office:smarttags" w:element="place">
        <w:smartTag w:uri="urn:schemas-microsoft-com:office:smarttags" w:element="country-region">
          <w:r w:rsidRPr="007A57A2">
            <w:t>Nauru</w:t>
          </w:r>
        </w:smartTag>
      </w:smartTag>
      <w:r w:rsidR="00247AFA">
        <w:t>’</w:t>
      </w:r>
      <w:r w:rsidRPr="007A57A2">
        <w:t>s National Sustainable Development Strategy</w:t>
      </w:r>
      <w:bookmarkEnd w:id="39"/>
      <w:bookmarkEnd w:id="40"/>
      <w:bookmarkEnd w:id="41"/>
    </w:p>
    <w:p w:rsidR="00C2136E" w:rsidRDefault="003A798F" w:rsidP="003A798F">
      <w:pPr>
        <w:pStyle w:val="BodyText"/>
      </w:pPr>
      <w:r w:rsidRPr="00CF32AC">
        <w:t>Development of individual sector plans as foreshadowed in last year</w:t>
      </w:r>
      <w:r w:rsidR="00D11FE9">
        <w:t>’</w:t>
      </w:r>
      <w:r w:rsidRPr="00CF32AC">
        <w:t xml:space="preserve">s APPR has been slow, </w:t>
      </w:r>
      <w:r w:rsidR="00874460">
        <w:t>but</w:t>
      </w:r>
      <w:r w:rsidRPr="00CF32AC">
        <w:t xml:space="preserve"> good progress</w:t>
      </w:r>
      <w:r w:rsidR="00874460">
        <w:t xml:space="preserve"> has been made in some areas</w:t>
      </w:r>
      <w:r w:rsidRPr="00CF32AC">
        <w:t>. The strategic plan</w:t>
      </w:r>
      <w:r w:rsidR="00943B42">
        <w:t>s</w:t>
      </w:r>
      <w:r w:rsidRPr="00CF32AC">
        <w:t xml:space="preserve"> for utilities reform </w:t>
      </w:r>
      <w:r w:rsidR="00943B42">
        <w:t>and education are</w:t>
      </w:r>
      <w:r w:rsidR="00943B42" w:rsidRPr="00CF32AC">
        <w:t xml:space="preserve"> </w:t>
      </w:r>
      <w:r w:rsidRPr="00CF32AC">
        <w:t>now being implemented</w:t>
      </w:r>
      <w:r w:rsidR="00874460">
        <w:t>, and t</w:t>
      </w:r>
      <w:r w:rsidRPr="00CF32AC">
        <w:t>he sector plan for health is under development</w:t>
      </w:r>
      <w:r w:rsidR="00874460">
        <w:t>. T</w:t>
      </w:r>
      <w:r w:rsidRPr="00CF32AC">
        <w:t xml:space="preserve">he current </w:t>
      </w:r>
      <w:r w:rsidR="00874460">
        <w:t>f</w:t>
      </w:r>
      <w:r w:rsidRPr="00CF32AC">
        <w:t xml:space="preserve">isheries institutional strengthening initiative will involve </w:t>
      </w:r>
      <w:r w:rsidR="00874460">
        <w:t xml:space="preserve">the </w:t>
      </w:r>
      <w:r w:rsidRPr="00CF32AC">
        <w:t>development of a new strategic plan.</w:t>
      </w:r>
    </w:p>
    <w:p w:rsidR="00C2136E" w:rsidRDefault="003A798F" w:rsidP="003A798F">
      <w:pPr>
        <w:pStyle w:val="BodyText"/>
      </w:pPr>
      <w:r w:rsidRPr="00CF32AC">
        <w:t>The upcoming Partnership for Development priorities will be drawn as much as possible from the NSDS goals and targets. The challenge will be how progress against th</w:t>
      </w:r>
      <w:r w:rsidR="00874460">
        <w:t>o</w:t>
      </w:r>
      <w:r w:rsidRPr="00CF32AC">
        <w:t>se targets will be measured, as one of the weaknesses of the NSDS has been in its implementation (or</w:t>
      </w:r>
      <w:r w:rsidR="00874460">
        <w:t>,</w:t>
      </w:r>
      <w:r w:rsidRPr="00CF32AC">
        <w:t xml:space="preserve"> more specifically, monitoring of its implementation and progress towards targets). </w:t>
      </w:r>
      <w:r w:rsidR="00943B42">
        <w:t>C</w:t>
      </w:r>
      <w:r w:rsidRPr="00CF32AC">
        <w:t>urrently the NSDS</w:t>
      </w:r>
      <w:r w:rsidR="00943B42">
        <w:t xml:space="preserve"> lacks a monitoring and evaluation framework</w:t>
      </w:r>
      <w:r w:rsidRPr="00CF32AC">
        <w:t>.</w:t>
      </w:r>
      <w:r w:rsidR="00C2136E">
        <w:t xml:space="preserve"> </w:t>
      </w:r>
      <w:r w:rsidRPr="00CF32AC">
        <w:t xml:space="preserve">By aligning </w:t>
      </w:r>
      <w:r w:rsidR="00E6750B">
        <w:t xml:space="preserve">our priorities </w:t>
      </w:r>
      <w:r w:rsidRPr="00CF32AC">
        <w:t xml:space="preserve">more explicitly with the NSDS, we will be able to also directly assist </w:t>
      </w:r>
      <w:r w:rsidR="00CB524D">
        <w:t xml:space="preserve">the </w:t>
      </w:r>
      <w:proofErr w:type="spellStart"/>
      <w:r w:rsidRPr="00CF32AC">
        <w:t>GoN</w:t>
      </w:r>
      <w:proofErr w:type="spellEnd"/>
      <w:r w:rsidRPr="00CF32AC">
        <w:t xml:space="preserve"> </w:t>
      </w:r>
      <w:r w:rsidR="002D45C1">
        <w:t>to collect and analyse</w:t>
      </w:r>
      <w:r w:rsidRPr="00CF32AC">
        <w:t xml:space="preserve"> NSDS progress information, which will benefit both </w:t>
      </w:r>
      <w:r w:rsidR="00CB524D">
        <w:t xml:space="preserve">the </w:t>
      </w:r>
      <w:proofErr w:type="spellStart"/>
      <w:r w:rsidRPr="00CF32AC">
        <w:t>GoN</w:t>
      </w:r>
      <w:proofErr w:type="spellEnd"/>
      <w:r w:rsidRPr="00CF32AC">
        <w:t xml:space="preserve"> and </w:t>
      </w:r>
      <w:smartTag w:uri="urn:schemas-microsoft-com:office:smarttags" w:element="place">
        <w:smartTag w:uri="urn:schemas-microsoft-com:office:smarttags" w:element="country-region">
          <w:r w:rsidRPr="00CF32AC">
            <w:t>Australia</w:t>
          </w:r>
        </w:smartTag>
      </w:smartTag>
      <w:r w:rsidRPr="00CF32AC">
        <w:t xml:space="preserve"> in determining impact</w:t>
      </w:r>
      <w:r w:rsidR="00AE6E64">
        <w:t>s</w:t>
      </w:r>
      <w:r w:rsidRPr="00CF32AC">
        <w:t xml:space="preserve"> and allocation</w:t>
      </w:r>
      <w:r w:rsidR="00AE6E64">
        <w:t>s</w:t>
      </w:r>
      <w:r w:rsidRPr="00CF32AC">
        <w:t xml:space="preserve"> of future funding and technical support.</w:t>
      </w:r>
    </w:p>
    <w:p w:rsidR="003A798F" w:rsidRPr="00CF32AC" w:rsidRDefault="003A798F" w:rsidP="003A798F">
      <w:pPr>
        <w:pStyle w:val="BodyText"/>
      </w:pPr>
      <w:r w:rsidRPr="00CF32AC">
        <w:t>The NSDS is ambitious and relies heavily on as</w:t>
      </w:r>
      <w:r w:rsidR="00AE6E64">
        <w:t>-</w:t>
      </w:r>
      <w:r w:rsidRPr="00CF32AC">
        <w:t>yet</w:t>
      </w:r>
      <w:r w:rsidR="00AE6E64">
        <w:t xml:space="preserve"> </w:t>
      </w:r>
      <w:r w:rsidRPr="00CF32AC">
        <w:t xml:space="preserve">unrealised revenue from phosphate sales. The </w:t>
      </w:r>
      <w:r w:rsidR="00AE6E64">
        <w:t>strategy</w:t>
      </w:r>
      <w:r w:rsidR="00AE6E64" w:rsidRPr="00CF32AC">
        <w:t xml:space="preserve"> </w:t>
      </w:r>
      <w:r w:rsidRPr="00CF32AC">
        <w:t>is currently being updated to take account of reform progress to date and the evolving global economic climate.</w:t>
      </w:r>
    </w:p>
    <w:p w:rsidR="003A798F" w:rsidRPr="007A57A2" w:rsidRDefault="003A798F" w:rsidP="008550DA">
      <w:pPr>
        <w:pStyle w:val="H2"/>
      </w:pPr>
      <w:bookmarkStart w:id="42" w:name="_Toc229296682"/>
      <w:bookmarkStart w:id="43" w:name="_Toc244501292"/>
      <w:bookmarkStart w:id="44" w:name="_Toc361056120"/>
      <w:r w:rsidRPr="007A57A2">
        <w:t xml:space="preserve">Australian and other donor assistance to </w:t>
      </w:r>
      <w:smartTag w:uri="urn:schemas-microsoft-com:office:smarttags" w:element="place">
        <w:smartTag w:uri="urn:schemas-microsoft-com:office:smarttags" w:element="country-region">
          <w:r w:rsidRPr="007A57A2">
            <w:t>Nauru</w:t>
          </w:r>
        </w:smartTag>
      </w:smartTag>
      <w:bookmarkEnd w:id="42"/>
      <w:bookmarkEnd w:id="43"/>
      <w:bookmarkEnd w:id="44"/>
    </w:p>
    <w:p w:rsidR="00C2136E" w:rsidRDefault="003A798F" w:rsidP="003A798F">
      <w:pPr>
        <w:pStyle w:val="BodyText"/>
      </w:pPr>
      <w:smartTag w:uri="urn:schemas-microsoft-com:office:smarttags" w:element="country-region">
        <w:r w:rsidRPr="00CF32AC">
          <w:t>Australia</w:t>
        </w:r>
      </w:smartTag>
      <w:r w:rsidRPr="00CF32AC">
        <w:t xml:space="preserve"> is </w:t>
      </w:r>
      <w:smartTag w:uri="urn:schemas-microsoft-com:office:smarttags" w:element="place">
        <w:smartTag w:uri="urn:schemas-microsoft-com:office:smarttags" w:element="country-region">
          <w:r w:rsidRPr="00CF32AC">
            <w:t>Nauru</w:t>
          </w:r>
        </w:smartTag>
      </w:smartTag>
      <w:r w:rsidR="00247AFA">
        <w:t>’</w:t>
      </w:r>
      <w:r w:rsidRPr="00CF32AC">
        <w:t>s most significant donor. Aid is provided under a memorandum of understanding, with limited additional support provided through the bilateral and regional aid programs. Support through other Australian agencies</w:t>
      </w:r>
      <w:r w:rsidR="00AE6E64">
        <w:t>,</w:t>
      </w:r>
      <w:r w:rsidRPr="00CF32AC">
        <w:t xml:space="preserve"> including the Australian Federal Police and the Attorney</w:t>
      </w:r>
      <w:r w:rsidR="00AE6E64">
        <w:t>-</w:t>
      </w:r>
      <w:r w:rsidRPr="00CF32AC">
        <w:t>General</w:t>
      </w:r>
      <w:r w:rsidR="00247AFA">
        <w:t>’</w:t>
      </w:r>
      <w:r w:rsidRPr="00CF32AC">
        <w:t>s Department</w:t>
      </w:r>
      <w:r w:rsidR="00AE6E64">
        <w:t>,</w:t>
      </w:r>
      <w:r w:rsidRPr="00CF32AC">
        <w:t xml:space="preserve"> </w:t>
      </w:r>
      <w:r w:rsidR="00AE6E64">
        <w:t>brought</w:t>
      </w:r>
      <w:r w:rsidR="00AE6E64" w:rsidRPr="00CF32AC">
        <w:t xml:space="preserve"> </w:t>
      </w:r>
      <w:r w:rsidRPr="00CF32AC">
        <w:t>total Australian aid flows to an estimated $29.1 million in 2008–09.</w:t>
      </w:r>
    </w:p>
    <w:p w:rsidR="003A798F" w:rsidRPr="00CF32AC" w:rsidRDefault="003A798F" w:rsidP="003A798F">
      <w:pPr>
        <w:pStyle w:val="BodyText"/>
      </w:pPr>
      <w:smartTag w:uri="urn:schemas-microsoft-com:office:smarttags" w:element="country-region">
        <w:r w:rsidRPr="00CF32AC">
          <w:t>Nauru</w:t>
        </w:r>
      </w:smartTag>
      <w:r w:rsidR="00247AFA">
        <w:t>’</w:t>
      </w:r>
      <w:r w:rsidRPr="00CF32AC">
        <w:t xml:space="preserve">s other major bilateral donors </w:t>
      </w:r>
      <w:r w:rsidR="002D45C1">
        <w:t>are</w:t>
      </w:r>
      <w:r w:rsidR="002D45C1" w:rsidRPr="00CF32AC">
        <w:t xml:space="preserve"> </w:t>
      </w:r>
      <w:smartTag w:uri="urn:schemas-microsoft-com:office:smarttags" w:element="country-region">
        <w:r w:rsidRPr="00CF32AC">
          <w:t>Taiwan</w:t>
        </w:r>
      </w:smartTag>
      <w:r w:rsidRPr="00CF32AC">
        <w:t xml:space="preserve">, </w:t>
      </w:r>
      <w:smartTag w:uri="urn:schemas-microsoft-com:office:smarttags" w:element="place">
        <w:smartTag w:uri="urn:schemas-microsoft-com:office:smarttags" w:element="country-region">
          <w:r w:rsidRPr="00CF32AC">
            <w:t>New Zealand</w:t>
          </w:r>
        </w:smartTag>
      </w:smartTag>
      <w:r w:rsidRPr="00CF32AC">
        <w:t xml:space="preserve"> and the European Union. Multilateral and regional organisations active in </w:t>
      </w:r>
      <w:smartTag w:uri="urn:schemas-microsoft-com:office:smarttags" w:element="place">
        <w:smartTag w:uri="urn:schemas-microsoft-com:office:smarttags" w:element="country-region">
          <w:r w:rsidRPr="00CF32AC">
            <w:t>Nauru</w:t>
          </w:r>
        </w:smartTag>
      </w:smartTag>
      <w:r w:rsidRPr="00CF32AC">
        <w:t xml:space="preserve"> include the World Health Organization, the United Nations Development Programme, the Secretariat of the Pacific Community and South Pacific Applied Geosciences Commission.</w:t>
      </w:r>
      <w:r w:rsidR="00C2136E">
        <w:t xml:space="preserve"> </w:t>
      </w:r>
      <w:r w:rsidRPr="00CF32AC">
        <w:t xml:space="preserve">Following payment by </w:t>
      </w:r>
      <w:proofErr w:type="spellStart"/>
      <w:r w:rsidRPr="00CF32AC">
        <w:t>AusAID</w:t>
      </w:r>
      <w:proofErr w:type="spellEnd"/>
      <w:r w:rsidRPr="00CF32AC">
        <w:t xml:space="preserve"> of Nauru</w:t>
      </w:r>
      <w:r w:rsidR="00247AFA">
        <w:t>’</w:t>
      </w:r>
      <w:r w:rsidRPr="00CF32AC">
        <w:t>s A</w:t>
      </w:r>
      <w:r w:rsidR="002D45C1">
        <w:t xml:space="preserve">sian </w:t>
      </w:r>
      <w:r w:rsidRPr="00CF32AC">
        <w:t>D</w:t>
      </w:r>
      <w:r w:rsidR="002D45C1">
        <w:t xml:space="preserve">evelopment </w:t>
      </w:r>
      <w:r w:rsidRPr="00CF32AC">
        <w:t>B</w:t>
      </w:r>
      <w:r w:rsidR="002D45C1">
        <w:t>ank</w:t>
      </w:r>
      <w:r w:rsidRPr="00CF32AC">
        <w:t xml:space="preserve"> </w:t>
      </w:r>
      <w:r w:rsidR="002D45C1">
        <w:t xml:space="preserve">(ADB) </w:t>
      </w:r>
      <w:r w:rsidRPr="00CF32AC">
        <w:t xml:space="preserve">loan arrears, the ADB is also re-engaging with </w:t>
      </w:r>
      <w:smartTag w:uri="urn:schemas-microsoft-com:office:smarttags" w:element="place">
        <w:smartTag w:uri="urn:schemas-microsoft-com:office:smarttags" w:element="country-region">
          <w:r w:rsidRPr="00CF32AC">
            <w:t>Nauru</w:t>
          </w:r>
        </w:smartTag>
      </w:smartTag>
      <w:r w:rsidR="00AE6E64">
        <w:t>. A</w:t>
      </w:r>
      <w:r w:rsidRPr="00CF32AC">
        <w:t>pproximately $</w:t>
      </w:r>
      <w:r w:rsidR="00C2136E" w:rsidRPr="00CF32AC">
        <w:t>3</w:t>
      </w:r>
      <w:r w:rsidR="00C2136E">
        <w:t> </w:t>
      </w:r>
      <w:r w:rsidR="00C2136E" w:rsidRPr="00CF32AC">
        <w:t>m</w:t>
      </w:r>
      <w:r w:rsidRPr="00CF32AC">
        <w:t xml:space="preserve">illion </w:t>
      </w:r>
      <w:r w:rsidR="00AE6E64">
        <w:t>is</w:t>
      </w:r>
      <w:r w:rsidR="00AE6E64" w:rsidRPr="00CF32AC">
        <w:t xml:space="preserve"> </w:t>
      </w:r>
      <w:r w:rsidRPr="00CF32AC">
        <w:t xml:space="preserve">available for </w:t>
      </w:r>
      <w:smartTag w:uri="urn:schemas-microsoft-com:office:smarttags" w:element="place">
        <w:smartTag w:uri="urn:schemas-microsoft-com:office:smarttags" w:element="country-region">
          <w:r w:rsidRPr="00CF32AC">
            <w:t>Nauru</w:t>
          </w:r>
        </w:smartTag>
      </w:smartTag>
      <w:r w:rsidRPr="00CF32AC">
        <w:t xml:space="preserve"> over the next few years. This </w:t>
      </w:r>
      <w:r w:rsidR="002D45C1">
        <w:t>is likely to</w:t>
      </w:r>
      <w:r w:rsidR="00AE6E64" w:rsidRPr="00CF32AC">
        <w:t xml:space="preserve"> </w:t>
      </w:r>
      <w:r w:rsidRPr="00CF32AC">
        <w:t xml:space="preserve">go towards infrastructure support, </w:t>
      </w:r>
      <w:r w:rsidR="00AE6E64">
        <w:t>which will probably include</w:t>
      </w:r>
      <w:r w:rsidRPr="00CF32AC">
        <w:t xml:space="preserve"> improvements to </w:t>
      </w:r>
      <w:smartTag w:uri="urn:schemas-microsoft-com:office:smarttags" w:element="place">
        <w:smartTag w:uri="urn:schemas-microsoft-com:office:smarttags" w:element="country-region">
          <w:r w:rsidRPr="00CF32AC">
            <w:t>Nauru</w:t>
          </w:r>
        </w:smartTag>
      </w:smartTag>
      <w:r w:rsidR="00247AFA">
        <w:t>’</w:t>
      </w:r>
      <w:r w:rsidRPr="00CF32AC">
        <w:t>s port facility.</w:t>
      </w:r>
      <w:r w:rsidR="00C2136E">
        <w:t xml:space="preserve"> </w:t>
      </w:r>
      <w:smartTag w:uri="urn:schemas-microsoft-com:office:smarttags" w:element="country-region">
        <w:r w:rsidRPr="00CF32AC">
          <w:t>Nauru</w:t>
        </w:r>
      </w:smartTag>
      <w:r w:rsidRPr="00CF32AC">
        <w:t xml:space="preserve"> also receives modest levels of assistance from a range of other partners</w:t>
      </w:r>
      <w:r w:rsidR="00AE6E64">
        <w:t>,</w:t>
      </w:r>
      <w:r w:rsidRPr="00CF32AC">
        <w:t xml:space="preserve"> including </w:t>
      </w:r>
      <w:smartTag w:uri="urn:schemas-microsoft-com:office:smarttags" w:element="country-region">
        <w:r w:rsidRPr="00CF32AC">
          <w:t>Japan</w:t>
        </w:r>
      </w:smartTag>
      <w:r w:rsidRPr="00CF32AC">
        <w:t xml:space="preserve">, </w:t>
      </w:r>
      <w:smartTag w:uri="urn:schemas-microsoft-com:office:smarttags" w:element="country-region">
        <w:r w:rsidRPr="00CF32AC">
          <w:t>South Korea</w:t>
        </w:r>
      </w:smartTag>
      <w:r w:rsidRPr="00CF32AC">
        <w:t xml:space="preserve">, </w:t>
      </w:r>
      <w:smartTag w:uri="urn:schemas-microsoft-com:office:smarttags" w:element="country-region">
        <w:r w:rsidRPr="00CF32AC">
          <w:t>India</w:t>
        </w:r>
      </w:smartTag>
      <w:r w:rsidRPr="00CF32AC">
        <w:t xml:space="preserve">, </w:t>
      </w:r>
      <w:smartTag w:uri="urn:schemas-microsoft-com:office:smarttags" w:element="country-region">
        <w:r w:rsidRPr="00CF32AC">
          <w:t>Turkey</w:t>
        </w:r>
      </w:smartTag>
      <w:r w:rsidRPr="00CF32AC">
        <w:t xml:space="preserve"> and </w:t>
      </w:r>
      <w:smartTag w:uri="urn:schemas-microsoft-com:office:smarttags" w:element="place">
        <w:smartTag w:uri="urn:schemas-microsoft-com:office:smarttags" w:element="country-region">
          <w:r w:rsidRPr="00CF32AC">
            <w:t>Cuba</w:t>
          </w:r>
        </w:smartTag>
      </w:smartTag>
      <w:r w:rsidRPr="00CF32AC">
        <w:t>.</w:t>
      </w:r>
    </w:p>
    <w:p w:rsidR="00AE6E64" w:rsidRDefault="003A798F" w:rsidP="003A798F">
      <w:pPr>
        <w:pStyle w:val="BodyText"/>
      </w:pPr>
      <w:smartTag w:uri="urn:schemas-microsoft-com:office:smarttags" w:element="place">
        <w:smartTag w:uri="urn:schemas-microsoft-com:office:smarttags" w:element="country-region">
          <w:r w:rsidRPr="00CF32AC">
            <w:t>Nauru</w:t>
          </w:r>
        </w:smartTag>
      </w:smartTag>
      <w:r w:rsidR="00247AFA">
        <w:t>’</w:t>
      </w:r>
      <w:r w:rsidRPr="00CF32AC">
        <w:t xml:space="preserve">s capacity to coordinate donor support is limited but improving. </w:t>
      </w:r>
      <w:smartTag w:uri="urn:schemas-microsoft-com:office:smarttags" w:element="place">
        <w:smartTag w:uri="urn:schemas-microsoft-com:office:smarttags" w:element="country-region">
          <w:r w:rsidRPr="00CF32AC">
            <w:t>Australia</w:t>
          </w:r>
        </w:smartTag>
      </w:smartTag>
      <w:r w:rsidRPr="00CF32AC">
        <w:t xml:space="preserve"> will seek to lead improvements in this area by more explicitly aligning with </w:t>
      </w:r>
      <w:proofErr w:type="spellStart"/>
      <w:r w:rsidRPr="00CF32AC">
        <w:t>GoN</w:t>
      </w:r>
      <w:proofErr w:type="spellEnd"/>
      <w:r w:rsidRPr="00CF32AC">
        <w:t xml:space="preserve"> strategies and delivery mechanisms</w:t>
      </w:r>
      <w:r w:rsidR="00AE6E64">
        <w:t xml:space="preserve">. We hope that this will </w:t>
      </w:r>
      <w:r w:rsidRPr="00CF32AC">
        <w:t>improv</w:t>
      </w:r>
      <w:r w:rsidR="00AE6E64">
        <w:t>e</w:t>
      </w:r>
      <w:r w:rsidRPr="00CF32AC">
        <w:t xml:space="preserve"> </w:t>
      </w:r>
      <w:proofErr w:type="spellStart"/>
      <w:r w:rsidRPr="00CF32AC">
        <w:t>GoN</w:t>
      </w:r>
      <w:proofErr w:type="spellEnd"/>
      <w:r w:rsidRPr="00CF32AC">
        <w:t xml:space="preserve"> confidence to lead development coordination efforts more broadly.</w:t>
      </w:r>
    </w:p>
    <w:p w:rsidR="003A798F" w:rsidRPr="00CF32AC" w:rsidRDefault="00AE6E64" w:rsidP="003A798F">
      <w:pPr>
        <w:pStyle w:val="BodyText"/>
      </w:pPr>
      <w:r>
        <w:t>M</w:t>
      </w:r>
      <w:r w:rsidR="003A798F" w:rsidRPr="00CF32AC">
        <w:t xml:space="preserve">ost assistance (including much of </w:t>
      </w:r>
      <w:smartTag w:uri="urn:schemas-microsoft-com:office:smarttags" w:element="place">
        <w:smartTag w:uri="urn:schemas-microsoft-com:office:smarttags" w:element="country-region">
          <w:r w:rsidR="003A798F" w:rsidRPr="00CF32AC">
            <w:t>Taiwan</w:t>
          </w:r>
        </w:smartTag>
      </w:smartTag>
      <w:r w:rsidR="00247AFA">
        <w:t>’</w:t>
      </w:r>
      <w:r w:rsidR="003A798F" w:rsidRPr="00CF32AC">
        <w:t xml:space="preserve">s) is now reflected in the </w:t>
      </w:r>
      <w:proofErr w:type="spellStart"/>
      <w:r w:rsidR="003A798F" w:rsidRPr="00CF32AC">
        <w:t>GoN</w:t>
      </w:r>
      <w:proofErr w:type="spellEnd"/>
      <w:r w:rsidR="003A798F" w:rsidRPr="00CF32AC">
        <w:t xml:space="preserve"> budget and supporting documents, which provide a generally clear picture of what donors are working on.</w:t>
      </w:r>
      <w:r w:rsidR="00C2136E">
        <w:t xml:space="preserve"> </w:t>
      </w:r>
      <w:r w:rsidR="003A798F" w:rsidRPr="00CF32AC">
        <w:t xml:space="preserve">There are some notable exceptions, particularly </w:t>
      </w:r>
      <w:smartTag w:uri="urn:schemas-microsoft-com:office:smarttags" w:element="country-region">
        <w:smartTag w:uri="urn:schemas-microsoft-com:office:smarttags" w:element="place">
          <w:r w:rsidR="003A798F" w:rsidRPr="00CF32AC">
            <w:t>Taiwan</w:t>
          </w:r>
        </w:smartTag>
      </w:smartTag>
      <w:r w:rsidR="00247AFA">
        <w:t>’</w:t>
      </w:r>
      <w:r w:rsidR="003A798F" w:rsidRPr="00CF32AC">
        <w:t xml:space="preserve">s Grass Roots Community </w:t>
      </w:r>
      <w:r w:rsidR="003A798F" w:rsidRPr="00CF32AC">
        <w:lastRenderedPageBreak/>
        <w:t>Development Fund. However, even th</w:t>
      </w:r>
      <w:r>
        <w:t>o</w:t>
      </w:r>
      <w:r w:rsidR="003A798F" w:rsidRPr="00CF32AC">
        <w:t xml:space="preserve">se are now subject to some form of acquittal and accountability within the </w:t>
      </w:r>
      <w:proofErr w:type="spellStart"/>
      <w:r w:rsidR="003A798F" w:rsidRPr="00CF32AC">
        <w:t>GoN</w:t>
      </w:r>
      <w:proofErr w:type="spellEnd"/>
      <w:r w:rsidR="003A798F" w:rsidRPr="00CF32AC">
        <w:t xml:space="preserve"> system.</w:t>
      </w:r>
    </w:p>
    <w:p w:rsidR="003A798F" w:rsidRPr="00CF32AC" w:rsidRDefault="00AE6E64" w:rsidP="003A798F">
      <w:pPr>
        <w:pStyle w:val="BodyText"/>
      </w:pPr>
      <w:r>
        <w:t>G</w:t>
      </w:r>
      <w:r w:rsidR="003A798F" w:rsidRPr="00CF32AC">
        <w:t>reater cooperation is likely in the coming year</w:t>
      </w:r>
      <w:r>
        <w:t>,</w:t>
      </w:r>
      <w:r w:rsidR="003A798F" w:rsidRPr="00CF32AC">
        <w:t xml:space="preserve"> includ</w:t>
      </w:r>
      <w:r>
        <w:t>ing</w:t>
      </w:r>
      <w:r w:rsidR="003A798F" w:rsidRPr="00CF32AC">
        <w:t xml:space="preserve"> with the U</w:t>
      </w:r>
      <w:r w:rsidR="00D11FE9">
        <w:t>nited Nations</w:t>
      </w:r>
      <w:r w:rsidR="003A798F" w:rsidRPr="00CF32AC">
        <w:t xml:space="preserve"> bodies on health (</w:t>
      </w:r>
      <w:r w:rsidR="00D11FE9">
        <w:t>non</w:t>
      </w:r>
      <w:r w:rsidR="004A4057">
        <w:t>-</w:t>
      </w:r>
      <w:r w:rsidR="00D11FE9">
        <w:t>communicable diseases</w:t>
      </w:r>
      <w:r w:rsidR="003A798F" w:rsidRPr="00CF32AC">
        <w:t xml:space="preserve">, </w:t>
      </w:r>
      <w:r>
        <w:t>sexually transmitted infections</w:t>
      </w:r>
      <w:r w:rsidR="003A798F" w:rsidRPr="00CF32AC">
        <w:t xml:space="preserve">), </w:t>
      </w:r>
      <w:smartTag w:uri="urn:schemas-microsoft-com:office:smarttags" w:element="country-region">
        <w:smartTag w:uri="urn:schemas-microsoft-com:office:smarttags" w:element="place">
          <w:r w:rsidR="003A798F" w:rsidRPr="00CF32AC">
            <w:t>New Zealand</w:t>
          </w:r>
        </w:smartTag>
      </w:smartTag>
      <w:r w:rsidR="003A798F" w:rsidRPr="00CF32AC">
        <w:t xml:space="preserve"> </w:t>
      </w:r>
      <w:r>
        <w:t>on</w:t>
      </w:r>
      <w:r w:rsidRPr="00CF32AC">
        <w:t xml:space="preserve"> </w:t>
      </w:r>
      <w:r w:rsidR="003A798F" w:rsidRPr="00CF32AC">
        <w:t>education, the E</w:t>
      </w:r>
      <w:r w:rsidR="00D11FE9">
        <w:t xml:space="preserve">uropean </w:t>
      </w:r>
      <w:r w:rsidR="003A798F" w:rsidRPr="00CF32AC">
        <w:t>C</w:t>
      </w:r>
      <w:r w:rsidR="00D11FE9">
        <w:t>ommission</w:t>
      </w:r>
      <w:r w:rsidR="003A798F" w:rsidRPr="00CF32AC">
        <w:t xml:space="preserve"> on energy</w:t>
      </w:r>
      <w:r>
        <w:t>,</w:t>
      </w:r>
      <w:r w:rsidR="003A798F" w:rsidRPr="00CF32AC">
        <w:t xml:space="preserve"> and the ADB on infrastructure and support for the productive sectors.</w:t>
      </w:r>
    </w:p>
    <w:p w:rsidR="006325E7" w:rsidRDefault="003A798F">
      <w:pPr>
        <w:pStyle w:val="BodyText"/>
      </w:pPr>
      <w:r w:rsidRPr="00CF32AC">
        <w:t>A greater focus on program</w:t>
      </w:r>
      <w:r w:rsidR="00AE6E64">
        <w:t>-</w:t>
      </w:r>
      <w:r w:rsidRPr="00CF32AC">
        <w:t xml:space="preserve">based approaches should be pursued where existing sector capacity and planning warrant </w:t>
      </w:r>
      <w:r w:rsidR="00AE6E64">
        <w:t>such</w:t>
      </w:r>
      <w:r w:rsidR="00AE6E64" w:rsidRPr="00CF32AC">
        <w:t xml:space="preserve"> </w:t>
      </w:r>
      <w:r w:rsidRPr="00CF32AC">
        <w:t>approach</w:t>
      </w:r>
      <w:r w:rsidR="00AE6E64">
        <w:t>es</w:t>
      </w:r>
      <w:r w:rsidRPr="00CF32AC">
        <w:t xml:space="preserve">. Opportunities for delegated delivery should also be explored. For example, it may be appropriate for </w:t>
      </w:r>
      <w:proofErr w:type="spellStart"/>
      <w:r w:rsidRPr="00CF32AC">
        <w:t>AusAID</w:t>
      </w:r>
      <w:proofErr w:type="spellEnd"/>
      <w:r w:rsidRPr="00CF32AC">
        <w:t xml:space="preserve"> to manage contributions from</w:t>
      </w:r>
      <w:r w:rsidR="00AE6E64">
        <w:t>,</w:t>
      </w:r>
      <w:r w:rsidRPr="00CF32AC">
        <w:t xml:space="preserve"> say, the </w:t>
      </w:r>
      <w:r w:rsidR="00D11FE9">
        <w:t>European Union</w:t>
      </w:r>
      <w:r w:rsidR="00D11FE9" w:rsidRPr="00CF32AC">
        <w:t xml:space="preserve"> </w:t>
      </w:r>
      <w:r w:rsidR="00AE6E64">
        <w:t>to promote greater</w:t>
      </w:r>
      <w:r w:rsidRPr="00CF32AC">
        <w:t xml:space="preserve"> use of renewable energy as part of a broader program</w:t>
      </w:r>
      <w:r w:rsidR="00AE6E64">
        <w:t>-</w:t>
      </w:r>
      <w:r w:rsidRPr="00CF32AC">
        <w:t>based approach to utilities reform</w:t>
      </w:r>
      <w:r>
        <w:t>.</w:t>
      </w:r>
    </w:p>
    <w:p w:rsidR="006325E7" w:rsidRDefault="00602D7F" w:rsidP="008550DA">
      <w:pPr>
        <w:pStyle w:val="H1"/>
      </w:pPr>
      <w:r>
        <w:rPr>
          <w:lang w:val="en-US" w:eastAsia="en-US"/>
        </w:rPr>
        <w:lastRenderedPageBreak/>
        <w:drawing>
          <wp:anchor distT="0" distB="0" distL="114300" distR="114300" simplePos="0" relativeHeight="25166028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2" name="Picture 119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5" w:name="_Toc244501293"/>
      <w:r w:rsidR="006325E7">
        <w:t>What are the results of our aid program?</w:t>
      </w:r>
      <w:bookmarkEnd w:id="45"/>
    </w:p>
    <w:p w:rsidR="00C2136E" w:rsidRDefault="007A1A30" w:rsidP="008550DA">
      <w:pPr>
        <w:pStyle w:val="H2"/>
      </w:pPr>
      <w:bookmarkStart w:id="46" w:name="_Toc229296684"/>
      <w:bookmarkStart w:id="47" w:name="_Toc244501294"/>
      <w:bookmarkStart w:id="48" w:name="_Toc361056121"/>
      <w:r w:rsidRPr="00CF32AC">
        <w:t>Objective 1:</w:t>
      </w:r>
      <w:r>
        <w:t xml:space="preserve"> </w:t>
      </w:r>
      <w:r w:rsidRPr="00CF32AC">
        <w:t>Through economic and financial management reform, assist with the transition to changed livelihoods and improving management and delivery of key services such as health and education to the Nauruan community</w:t>
      </w:r>
      <w:bookmarkEnd w:id="46"/>
      <w:bookmarkEnd w:id="47"/>
      <w:bookmarkEnd w:id="48"/>
    </w:p>
    <w:p w:rsidR="0023220F" w:rsidRDefault="0023220F" w:rsidP="0023220F">
      <w:pPr>
        <w:pStyle w:val="BodyText"/>
      </w:pPr>
      <w:bookmarkStart w:id="49" w:name="OLE_LINK6"/>
      <w:bookmarkStart w:id="50" w:name="OLE_LINK7"/>
      <w:r w:rsidRPr="00560AD9">
        <w:t xml:space="preserve">This objective is drawn from language in the </w:t>
      </w:r>
      <w:r w:rsidR="00E66693">
        <w:t>MOU</w:t>
      </w:r>
      <w:r w:rsidRPr="00560AD9">
        <w:t xml:space="preserve"> between </w:t>
      </w:r>
      <w:smartTag w:uri="urn:schemas-microsoft-com:office:smarttags" w:element="country-region">
        <w:r w:rsidRPr="00560AD9">
          <w:t>Nauru</w:t>
        </w:r>
      </w:smartTag>
      <w:r w:rsidRPr="00560AD9">
        <w:t xml:space="preserve"> and </w:t>
      </w:r>
      <w:smartTag w:uri="urn:schemas-microsoft-com:office:smarttags" w:element="place">
        <w:smartTag w:uri="urn:schemas-microsoft-com:office:smarttags" w:element="country-region">
          <w:r w:rsidRPr="00560AD9">
            <w:t>Australia</w:t>
          </w:r>
        </w:smartTag>
      </w:smartTag>
      <w:r w:rsidRPr="00560AD9">
        <w:t xml:space="preserve"> and does not </w:t>
      </w:r>
      <w:r w:rsidR="002D45C1">
        <w:t>fit</w:t>
      </w:r>
      <w:r w:rsidR="002D45C1" w:rsidRPr="00560AD9">
        <w:t xml:space="preserve"> </w:t>
      </w:r>
      <w:r w:rsidRPr="00560AD9">
        <w:t>well with the NSDS goals or strategies. As a consequence</w:t>
      </w:r>
      <w:r>
        <w:t>,</w:t>
      </w:r>
      <w:r w:rsidRPr="00560AD9">
        <w:t xml:space="preserve"> there is also a disconnect</w:t>
      </w:r>
      <w:r>
        <w:t>ion from</w:t>
      </w:r>
      <w:r w:rsidRPr="00560AD9">
        <w:t xml:space="preserve"> the aid activities being delivered. In practice</w:t>
      </w:r>
      <w:r>
        <w:t>,</w:t>
      </w:r>
      <w:r w:rsidRPr="00560AD9">
        <w:t xml:space="preserve"> work on this objective is focused on improving financial governance and budget management. The impacts on delivery of key services are seen more as an </w:t>
      </w:r>
      <w:r>
        <w:t>‘</w:t>
      </w:r>
      <w:r w:rsidRPr="00560AD9">
        <w:t>enabling</w:t>
      </w:r>
      <w:r>
        <w:t>’</w:t>
      </w:r>
      <w:r w:rsidRPr="00560AD9">
        <w:t xml:space="preserve"> outcome than</w:t>
      </w:r>
      <w:r>
        <w:t xml:space="preserve"> as objectives that can be measured in their own right</w:t>
      </w:r>
      <w:r w:rsidRPr="00560AD9">
        <w:t xml:space="preserve"> (</w:t>
      </w:r>
      <w:r>
        <w:t>those impacts</w:t>
      </w:r>
      <w:r w:rsidRPr="00560AD9">
        <w:t xml:space="preserve"> are dealt with more explicitly under the other objectives). </w:t>
      </w:r>
      <w:r>
        <w:t>Because of the difficulties created by the objective’s current wording, t</w:t>
      </w:r>
      <w:r w:rsidRPr="00560AD9">
        <w:t>he upcoming Partnership for Development objectives will be more specific and targeted.</w:t>
      </w:r>
    </w:p>
    <w:p w:rsidR="007A1A30" w:rsidRPr="007A57A2" w:rsidRDefault="007A1A30" w:rsidP="007A1A30">
      <w:pPr>
        <w:pStyle w:val="Heading3"/>
      </w:pPr>
      <w:bookmarkStart w:id="51" w:name="_Toc361056122"/>
      <w:r w:rsidRPr="007A57A2">
        <w:t>Rating</w:t>
      </w:r>
      <w:bookmarkEnd w:id="51"/>
    </w:p>
    <w:p w:rsidR="007A1A30" w:rsidRDefault="00602D7F" w:rsidP="008550DA">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0810" cy="130810"/>
            <wp:effectExtent l="0" t="0" r="2540" b="2540"/>
            <wp:docPr id="1" name="Picture 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550DA">
        <w:rPr>
          <w:rFonts w:ascii="Georgia" w:hAnsi="Georgia" w:cs="Arial"/>
          <w:sz w:val="19"/>
          <w:szCs w:val="19"/>
        </w:rPr>
        <w:tab/>
      </w:r>
      <w:r w:rsidR="008550DA">
        <w:rPr>
          <w:rFonts w:ascii="Georgia" w:hAnsi="Georgia" w:cs="Arial"/>
          <w:sz w:val="19"/>
          <w:szCs w:val="19"/>
        </w:rPr>
        <w:tab/>
      </w:r>
      <w:r w:rsidR="008550DA">
        <w:rPr>
          <w:rFonts w:ascii="Georgia" w:hAnsi="Georgia" w:cs="Arial"/>
          <w:sz w:val="19"/>
          <w:szCs w:val="19"/>
        </w:rPr>
        <w:tab/>
      </w:r>
      <w:r w:rsidR="007A1A30">
        <w:rPr>
          <w:rFonts w:ascii="Georgia" w:hAnsi="Georgia" w:cs="Arial"/>
          <w:sz w:val="19"/>
          <w:szCs w:val="19"/>
        </w:rPr>
        <w:t>The objective will be partly achieved within the timeframe</w:t>
      </w:r>
      <w:r w:rsidR="00913909">
        <w:rPr>
          <w:rFonts w:ascii="Georgia" w:hAnsi="Georgia" w:cs="Arial"/>
          <w:sz w:val="19"/>
          <w:szCs w:val="19"/>
        </w:rPr>
        <w:t xml:space="preserve"> (</w:t>
      </w:r>
      <w:r w:rsidR="00E97834">
        <w:rPr>
          <w:rFonts w:ascii="Georgia" w:hAnsi="Georgia" w:cs="Arial"/>
          <w:sz w:val="19"/>
          <w:szCs w:val="19"/>
        </w:rPr>
        <w:t xml:space="preserve">to </w:t>
      </w:r>
      <w:r w:rsidR="00913909">
        <w:rPr>
          <w:rFonts w:ascii="Georgia" w:hAnsi="Georgia" w:cs="Arial"/>
          <w:sz w:val="19"/>
          <w:szCs w:val="19"/>
        </w:rPr>
        <w:t>Jun</w:t>
      </w:r>
      <w:r w:rsidR="00C2136E">
        <w:rPr>
          <w:rFonts w:ascii="Georgia" w:hAnsi="Georgia" w:cs="Arial"/>
          <w:sz w:val="19"/>
          <w:szCs w:val="19"/>
        </w:rPr>
        <w:t>e 2</w:t>
      </w:r>
      <w:r w:rsidR="00913909">
        <w:rPr>
          <w:rFonts w:ascii="Georgia" w:hAnsi="Georgia" w:cs="Arial"/>
          <w:sz w:val="19"/>
          <w:szCs w:val="19"/>
        </w:rPr>
        <w:t>009)</w:t>
      </w:r>
      <w:r w:rsidR="007A1A30">
        <w:rPr>
          <w:rFonts w:ascii="Georgia" w:hAnsi="Georgia" w:cs="Arial"/>
          <w:sz w:val="19"/>
          <w:szCs w:val="19"/>
        </w:rPr>
        <w:t>.</w:t>
      </w:r>
    </w:p>
    <w:p w:rsidR="007A1A30" w:rsidRPr="007A57A2" w:rsidRDefault="007A1A30" w:rsidP="007A1A30">
      <w:pPr>
        <w:pStyle w:val="Heading3"/>
      </w:pPr>
      <w:bookmarkStart w:id="52" w:name="_Toc361056123"/>
      <w:r w:rsidRPr="007A57A2">
        <w:t>Assessment of results and performance</w:t>
      </w:r>
      <w:bookmarkEnd w:id="52"/>
    </w:p>
    <w:bookmarkEnd w:id="49"/>
    <w:bookmarkEnd w:id="50"/>
    <w:p w:rsidR="0023220F" w:rsidRPr="00560AD9" w:rsidRDefault="0023220F" w:rsidP="0023220F">
      <w:pPr>
        <w:pStyle w:val="BodyText"/>
      </w:pPr>
      <w:r w:rsidRPr="00560AD9">
        <w:t xml:space="preserve">There </w:t>
      </w:r>
      <w:r>
        <w:t xml:space="preserve">were </w:t>
      </w:r>
      <w:r w:rsidRPr="00560AD9">
        <w:t>impressive achievements in this sector during 2008</w:t>
      </w:r>
      <w:r>
        <w:t>–</w:t>
      </w:r>
      <w:r w:rsidRPr="00560AD9">
        <w:t xml:space="preserve">09, although </w:t>
      </w:r>
      <w:r>
        <w:t xml:space="preserve">they were </w:t>
      </w:r>
      <w:r w:rsidRPr="00560AD9">
        <w:t xml:space="preserve">more modest than </w:t>
      </w:r>
      <w:r>
        <w:t>achievements</w:t>
      </w:r>
      <w:r w:rsidRPr="00560AD9">
        <w:t xml:space="preserve"> in 2007</w:t>
      </w:r>
      <w:r>
        <w:t>–</w:t>
      </w:r>
      <w:r w:rsidRPr="00560AD9">
        <w:t>08.</w:t>
      </w:r>
      <w:r>
        <w:t xml:space="preserve"> </w:t>
      </w:r>
      <w:r w:rsidRPr="00560AD9">
        <w:t>Key objectives for the period include</w:t>
      </w:r>
      <w:r>
        <w:t>d</w:t>
      </w:r>
      <w:r w:rsidRPr="00560AD9">
        <w:t xml:space="preserve"> maintaining Nauru</w:t>
      </w:r>
      <w:r>
        <w:t>’</w:t>
      </w:r>
      <w:r w:rsidRPr="00560AD9">
        <w:t>s ongoing fiscal stability; produc</w:t>
      </w:r>
      <w:r>
        <w:t>ing</w:t>
      </w:r>
      <w:r w:rsidRPr="00560AD9">
        <w:t xml:space="preserve"> a balanced budget; establish</w:t>
      </w:r>
      <w:r>
        <w:t>ing</w:t>
      </w:r>
      <w:r w:rsidRPr="00560AD9">
        <w:t xml:space="preserve"> a national procurement policy and supporting legislation; restructur</w:t>
      </w:r>
      <w:r>
        <w:t>ing</w:t>
      </w:r>
      <w:r w:rsidRPr="00560AD9">
        <w:t xml:space="preserve"> selected </w:t>
      </w:r>
      <w:r>
        <w:t>state-owned enterprises (</w:t>
      </w:r>
      <w:r w:rsidRPr="00560AD9">
        <w:t>SOEs</w:t>
      </w:r>
      <w:r>
        <w:t>),</w:t>
      </w:r>
      <w:r w:rsidRPr="00560AD9">
        <w:t xml:space="preserve"> including </w:t>
      </w:r>
      <w:proofErr w:type="spellStart"/>
      <w:r w:rsidRPr="00560AD9">
        <w:t>RoNTEL</w:t>
      </w:r>
      <w:proofErr w:type="spellEnd"/>
      <w:r w:rsidRPr="00560AD9">
        <w:t xml:space="preserve"> (the telecommunications authority)</w:t>
      </w:r>
      <w:r>
        <w:t>; and finalising</w:t>
      </w:r>
      <w:r w:rsidRPr="00560AD9">
        <w:t xml:space="preserve"> improved and simplified financial reporting regimes for SOEs and </w:t>
      </w:r>
      <w:r>
        <w:t>government</w:t>
      </w:r>
      <w:r w:rsidRPr="00560AD9">
        <w:t>. Against overall good progress</w:t>
      </w:r>
      <w:r>
        <w:t>,</w:t>
      </w:r>
      <w:r w:rsidRPr="00560AD9">
        <w:t xml:space="preserve"> some elements of the program </w:t>
      </w:r>
      <w:r>
        <w:t>were not</w:t>
      </w:r>
      <w:r w:rsidRPr="00560AD9">
        <w:t xml:space="preserve"> fully realised, including </w:t>
      </w:r>
      <w:r>
        <w:t xml:space="preserve">the </w:t>
      </w:r>
      <w:r w:rsidRPr="00560AD9">
        <w:t xml:space="preserve">preparation and submission of certified financial reports from key SOEs; </w:t>
      </w:r>
      <w:r w:rsidR="004A4057">
        <w:t xml:space="preserve">and </w:t>
      </w:r>
      <w:r>
        <w:t xml:space="preserve">the rollout of the </w:t>
      </w:r>
      <w:r w:rsidRPr="00560AD9">
        <w:t>MYOB training program to government.</w:t>
      </w:r>
    </w:p>
    <w:p w:rsidR="004A4057" w:rsidRDefault="007A1A30" w:rsidP="007A1A30">
      <w:pPr>
        <w:pStyle w:val="BodyText"/>
      </w:pPr>
      <w:r w:rsidRPr="00560AD9">
        <w:t xml:space="preserve">Since the introduction of the Australian-funded in-line finance team in 2005 (comprising the Secretary of Finance, Economics Advisor and Budget Advisor), the </w:t>
      </w:r>
      <w:proofErr w:type="spellStart"/>
      <w:r w:rsidRPr="00560AD9">
        <w:t>GoN</w:t>
      </w:r>
      <w:proofErr w:type="spellEnd"/>
      <w:r w:rsidRPr="00560AD9">
        <w:t xml:space="preserve"> has delivered successive responsible budgets, showing modest surpluses and demonstrating sound expenditure prioritisation and revenue forecasting. All government expenditure is now managed by the Ministry of Finance via the Australian in-line finance team, and arrangements are in place to have donor funding recorded in the national budget where appropriate (the 200</w:t>
      </w:r>
      <w:r w:rsidR="00C2136E" w:rsidRPr="00560AD9">
        <w:t>8</w:t>
      </w:r>
      <w:r w:rsidR="00C2136E">
        <w:t>–</w:t>
      </w:r>
      <w:r w:rsidR="00C2136E" w:rsidRPr="00560AD9">
        <w:t>0</w:t>
      </w:r>
      <w:r w:rsidRPr="00560AD9">
        <w:t xml:space="preserve">9 budget </w:t>
      </w:r>
      <w:r w:rsidR="00A41CAF">
        <w:t xml:space="preserve">was </w:t>
      </w:r>
      <w:r w:rsidRPr="00560AD9">
        <w:t xml:space="preserve">substantially drafted by a </w:t>
      </w:r>
      <w:proofErr w:type="spellStart"/>
      <w:r w:rsidRPr="00560AD9">
        <w:t>GoN</w:t>
      </w:r>
      <w:proofErr w:type="spellEnd"/>
      <w:r w:rsidRPr="00560AD9">
        <w:t xml:space="preserve"> official mentored by in-line officials). A debt management strategy has been finalised and is being progressed</w:t>
      </w:r>
      <w:r w:rsidR="00A41CAF">
        <w:t>, and</w:t>
      </w:r>
      <w:r w:rsidRPr="00560AD9">
        <w:t xml:space="preserve"> $26</w:t>
      </w:r>
      <w:r w:rsidR="00C2136E" w:rsidRPr="00560AD9">
        <w:t>4</w:t>
      </w:r>
      <w:r w:rsidR="00C2136E">
        <w:t> </w:t>
      </w:r>
      <w:r w:rsidR="00C2136E" w:rsidRPr="00560AD9">
        <w:t>m</w:t>
      </w:r>
      <w:r w:rsidRPr="00560AD9">
        <w:t xml:space="preserve">illion in internal debts (debts between </w:t>
      </w:r>
      <w:r w:rsidR="00D11FE9">
        <w:t>government</w:t>
      </w:r>
      <w:r w:rsidRPr="00560AD9">
        <w:t xml:space="preserve"> entities) </w:t>
      </w:r>
      <w:r w:rsidR="00A41CAF">
        <w:t xml:space="preserve">are </w:t>
      </w:r>
      <w:r w:rsidRPr="00560AD9">
        <w:t>being formally written off.</w:t>
      </w:r>
      <w:r w:rsidR="00C2136E">
        <w:t xml:space="preserve"> </w:t>
      </w:r>
    </w:p>
    <w:p w:rsidR="007A1A30" w:rsidRPr="00560AD9" w:rsidRDefault="007A1A30" w:rsidP="007A1A30">
      <w:pPr>
        <w:pStyle w:val="BodyText"/>
      </w:pPr>
      <w:r w:rsidRPr="00560AD9">
        <w:lastRenderedPageBreak/>
        <w:t xml:space="preserve">There has been significant streamlining of the public service in </w:t>
      </w:r>
      <w:smartTag w:uri="urn:schemas-microsoft-com:office:smarttags" w:element="country-region">
        <w:smartTag w:uri="urn:schemas-microsoft-com:office:smarttags" w:element="place">
          <w:r w:rsidRPr="00560AD9">
            <w:t>Nauru</w:t>
          </w:r>
        </w:smartTag>
      </w:smartTag>
      <w:r w:rsidRPr="00560AD9">
        <w:t xml:space="preserve">, </w:t>
      </w:r>
      <w:r w:rsidR="00853BBE">
        <w:t>including</w:t>
      </w:r>
      <w:r w:rsidR="00853BBE" w:rsidRPr="00560AD9">
        <w:t xml:space="preserve"> </w:t>
      </w:r>
      <w:r w:rsidRPr="00560AD9">
        <w:t xml:space="preserve">a restructured wage system and rationalisation of staff numbers. </w:t>
      </w:r>
      <w:r w:rsidR="00853BBE">
        <w:t>However, c</w:t>
      </w:r>
      <w:r w:rsidRPr="00560AD9">
        <w:t xml:space="preserve">apacity to deliver broader public sector reforms remains constrained </w:t>
      </w:r>
      <w:r w:rsidR="00853BBE">
        <w:t>by</w:t>
      </w:r>
      <w:r w:rsidRPr="00560AD9">
        <w:t xml:space="preserve"> limited skills and lack of relevant tertiary qualifications among public servants. New legislation has been drafted to facilitate the establishment of commercial banking arrangements, operational insurance services and pricing control. A </w:t>
      </w:r>
      <w:r w:rsidR="00853BBE">
        <w:t>p</w:t>
      </w:r>
      <w:r w:rsidRPr="00560AD9">
        <w:t xml:space="preserve">rice control board has now been formally established, as has a consumer price index, which is reviewed monthly. Work has commenced to formally wind up the Bank of Nauru, including </w:t>
      </w:r>
      <w:r w:rsidR="00853BBE">
        <w:t xml:space="preserve">the </w:t>
      </w:r>
      <w:r w:rsidRPr="00560AD9">
        <w:t xml:space="preserve">establishment of a section in </w:t>
      </w:r>
      <w:r w:rsidR="00CB524D">
        <w:t xml:space="preserve">the </w:t>
      </w:r>
      <w:proofErr w:type="spellStart"/>
      <w:r w:rsidRPr="00560AD9">
        <w:t>GoN</w:t>
      </w:r>
      <w:proofErr w:type="spellEnd"/>
      <w:r w:rsidRPr="00560AD9">
        <w:t xml:space="preserve"> Finance</w:t>
      </w:r>
      <w:r w:rsidR="00853BBE">
        <w:t xml:space="preserve"> Ministry</w:t>
      </w:r>
      <w:r w:rsidRPr="00560AD9">
        <w:t xml:space="preserve"> to manage debts. </w:t>
      </w:r>
      <w:smartTag w:uri="urn:schemas-microsoft-com:office:smarttags" w:element="place">
        <w:smartTag w:uri="urn:schemas-microsoft-com:office:smarttags" w:element="country-region">
          <w:r w:rsidRPr="00560AD9">
            <w:t>Nauru</w:t>
          </w:r>
        </w:smartTag>
      </w:smartTag>
      <w:r w:rsidR="00247AFA">
        <w:t>’</w:t>
      </w:r>
      <w:r w:rsidRPr="00560AD9">
        <w:t>s Public Works Department has been dissolved and re-established as a quasi</w:t>
      </w:r>
      <w:r w:rsidR="00853BBE">
        <w:t>-</w:t>
      </w:r>
      <w:r w:rsidRPr="00560AD9">
        <w:t>private sector body operating under a business plan prepared with Australian technical assistance. A telecommunications sector plan has been developed</w:t>
      </w:r>
      <w:r w:rsidR="00853BBE">
        <w:t>,</w:t>
      </w:r>
      <w:r w:rsidRPr="00560AD9">
        <w:t xml:space="preserve"> and </w:t>
      </w:r>
      <w:r w:rsidR="00853BBE">
        <w:t xml:space="preserve">the </w:t>
      </w:r>
      <w:r w:rsidRPr="00560AD9">
        <w:t xml:space="preserve">privatisation of </w:t>
      </w:r>
      <w:r w:rsidR="00853BBE">
        <w:t xml:space="preserve">the </w:t>
      </w:r>
      <w:smartTag w:uri="urn:schemas-microsoft-com:office:smarttags" w:element="place">
        <w:smartTag w:uri="urn:schemas-microsoft-com:office:smarttags" w:element="country-region">
          <w:r w:rsidRPr="00560AD9">
            <w:t>Nauru</w:t>
          </w:r>
        </w:smartTag>
      </w:smartTag>
      <w:r w:rsidRPr="00560AD9">
        <w:t xml:space="preserve"> telecommunication</w:t>
      </w:r>
      <w:r w:rsidR="00853BBE">
        <w:t>s</w:t>
      </w:r>
      <w:r w:rsidRPr="00560AD9">
        <w:t xml:space="preserve"> sector will start </w:t>
      </w:r>
      <w:r w:rsidR="00853BBE">
        <w:t>soon</w:t>
      </w:r>
      <w:r w:rsidRPr="00560AD9">
        <w:t>.</w:t>
      </w:r>
      <w:r w:rsidR="00C2136E">
        <w:t xml:space="preserve"> </w:t>
      </w:r>
      <w:r w:rsidRPr="00560AD9">
        <w:t xml:space="preserve">A </w:t>
      </w:r>
      <w:r w:rsidR="00853BBE">
        <w:t>b</w:t>
      </w:r>
      <w:r w:rsidRPr="00560AD9">
        <w:t>irths</w:t>
      </w:r>
      <w:r w:rsidR="00853BBE">
        <w:t>,</w:t>
      </w:r>
      <w:r w:rsidRPr="00560AD9">
        <w:t xml:space="preserve"> </w:t>
      </w:r>
      <w:r w:rsidR="00853BBE">
        <w:t>d</w:t>
      </w:r>
      <w:r w:rsidRPr="00560AD9">
        <w:t xml:space="preserve">eaths and </w:t>
      </w:r>
      <w:r w:rsidR="00853BBE">
        <w:t>m</w:t>
      </w:r>
      <w:r w:rsidRPr="00560AD9">
        <w:t>arriages database has been established</w:t>
      </w:r>
      <w:r w:rsidR="00853BBE">
        <w:t>,</w:t>
      </w:r>
      <w:r w:rsidRPr="00560AD9">
        <w:t xml:space="preserve"> which will help </w:t>
      </w:r>
      <w:r w:rsidR="00853BBE">
        <w:t>to resolve</w:t>
      </w:r>
      <w:r w:rsidR="00853BBE" w:rsidRPr="00560AD9">
        <w:t xml:space="preserve"> </w:t>
      </w:r>
      <w:r w:rsidRPr="00560AD9">
        <w:t xml:space="preserve">land ownership </w:t>
      </w:r>
      <w:r w:rsidR="00853BBE">
        <w:t>questions and bring</w:t>
      </w:r>
      <w:r w:rsidRPr="00560AD9">
        <w:t xml:space="preserve"> many other benefits.</w:t>
      </w:r>
      <w:r w:rsidR="00C2136E">
        <w:t xml:space="preserve"> </w:t>
      </w:r>
      <w:r w:rsidR="00CB524D">
        <w:t xml:space="preserve">The </w:t>
      </w:r>
      <w:proofErr w:type="spellStart"/>
      <w:r w:rsidRPr="00560AD9">
        <w:t>GoN</w:t>
      </w:r>
      <w:proofErr w:type="spellEnd"/>
      <w:r w:rsidRPr="00560AD9">
        <w:t xml:space="preserve"> realised a 34% increase in fisheries revenue </w:t>
      </w:r>
      <w:r w:rsidR="00853BBE">
        <w:t>in 2008–09,</w:t>
      </w:r>
      <w:r w:rsidRPr="00560AD9">
        <w:t xml:space="preserve"> due to enhanced revenue collection systems</w:t>
      </w:r>
      <w:r w:rsidR="004A4057">
        <w:t xml:space="preserve"> and the impact of beneficial exchange rates</w:t>
      </w:r>
      <w:r w:rsidRPr="00560AD9">
        <w:t>.</w:t>
      </w:r>
    </w:p>
    <w:p w:rsidR="00853BBE" w:rsidRDefault="007A1A30" w:rsidP="007A1A30">
      <w:pPr>
        <w:pStyle w:val="BodyText"/>
      </w:pPr>
      <w:r w:rsidRPr="00560AD9">
        <w:t xml:space="preserve">These achievements have contributed to </w:t>
      </w:r>
      <w:smartTag w:uri="urn:schemas-microsoft-com:office:smarttags" w:element="place">
        <w:smartTag w:uri="urn:schemas-microsoft-com:office:smarttags" w:element="country-region">
          <w:r w:rsidRPr="00560AD9">
            <w:t>Nauru</w:t>
          </w:r>
        </w:smartTag>
      </w:smartTag>
      <w:r w:rsidR="00247AFA">
        <w:t>’</w:t>
      </w:r>
      <w:r w:rsidRPr="00560AD9">
        <w:t>s ongoing fiscal stability (a significant achievement in its own right), better service delivery</w:t>
      </w:r>
      <w:r w:rsidR="00853BBE">
        <w:t xml:space="preserve"> (including</w:t>
      </w:r>
      <w:r w:rsidRPr="00560AD9">
        <w:t xml:space="preserve"> improved access to reliable power and water services</w:t>
      </w:r>
      <w:r w:rsidR="00853BBE">
        <w:t>)</w:t>
      </w:r>
      <w:r w:rsidRPr="00560AD9">
        <w:t>, quality health care and effective education services</w:t>
      </w:r>
      <w:r w:rsidR="00853BBE">
        <w:t xml:space="preserve">. However, </w:t>
      </w:r>
      <w:r w:rsidRPr="00560AD9">
        <w:t>the achievements reflect considerable donor assistance. The recruitment of a human resource</w:t>
      </w:r>
      <w:r w:rsidR="00853BBE">
        <w:t>s</w:t>
      </w:r>
      <w:r w:rsidRPr="00560AD9">
        <w:t xml:space="preserve"> advis</w:t>
      </w:r>
      <w:r w:rsidR="00853BBE">
        <w:t>e</w:t>
      </w:r>
      <w:r w:rsidRPr="00560AD9">
        <w:t>r will support the next step, which is the identification and training of local personnel to take on key senior roles, a process that may take a further 5–1</w:t>
      </w:r>
      <w:r w:rsidR="00C2136E" w:rsidRPr="00560AD9">
        <w:t>0</w:t>
      </w:r>
      <w:r w:rsidR="00C2136E">
        <w:t> </w:t>
      </w:r>
      <w:r w:rsidR="00C2136E" w:rsidRPr="00560AD9">
        <w:t>y</w:t>
      </w:r>
      <w:r w:rsidRPr="00560AD9">
        <w:t>ears.</w:t>
      </w:r>
    </w:p>
    <w:p w:rsidR="00C2136E" w:rsidRDefault="007A1A30" w:rsidP="007A1A30">
      <w:pPr>
        <w:pStyle w:val="BodyText"/>
      </w:pPr>
      <w:r w:rsidRPr="00560AD9">
        <w:t xml:space="preserve">Sustainability remains a problem for the public services sector as a result of limited capacity at the middle levels of the public service, although significant inroads have been made </w:t>
      </w:r>
      <w:r w:rsidR="00853BBE">
        <w:t>through</w:t>
      </w:r>
      <w:r w:rsidRPr="00560AD9">
        <w:t xml:space="preserve"> </w:t>
      </w:r>
      <w:r w:rsidR="00853BBE">
        <w:t>better</w:t>
      </w:r>
      <w:r w:rsidR="00853BBE" w:rsidRPr="00560AD9">
        <w:t xml:space="preserve"> </w:t>
      </w:r>
      <w:r w:rsidRPr="00560AD9">
        <w:t xml:space="preserve">systems, procedures and policies for improving institutional capacity. </w:t>
      </w:r>
      <w:r w:rsidR="00853BBE">
        <w:t>H</w:t>
      </w:r>
      <w:r w:rsidRPr="00560AD9">
        <w:t>owever</w:t>
      </w:r>
      <w:r w:rsidR="00853BBE">
        <w:t>,</w:t>
      </w:r>
      <w:r w:rsidRPr="00560AD9">
        <w:t xml:space="preserve"> a good stream of qualified and skilled local personnel </w:t>
      </w:r>
      <w:r w:rsidR="00853BBE">
        <w:t xml:space="preserve">is </w:t>
      </w:r>
      <w:r w:rsidRPr="00560AD9">
        <w:t>now starting to return from various scholarship programs</w:t>
      </w:r>
      <w:r w:rsidR="00853BBE">
        <w:t>,</w:t>
      </w:r>
      <w:r w:rsidRPr="00560AD9">
        <w:t xml:space="preserve"> which should improve prospects for reduced reliance on relatively expensive expatriate personnel in the long term.</w:t>
      </w:r>
    </w:p>
    <w:p w:rsidR="00C2136E" w:rsidRDefault="007A1A30" w:rsidP="007A1A30">
      <w:pPr>
        <w:pStyle w:val="BodyText"/>
      </w:pPr>
      <w:r w:rsidRPr="00560AD9">
        <w:t xml:space="preserve">The improved financial environment in </w:t>
      </w:r>
      <w:smartTag w:uri="urn:schemas-microsoft-com:office:smarttags" w:element="country-region">
        <w:r w:rsidRPr="00560AD9">
          <w:t>Nauru</w:t>
        </w:r>
      </w:smartTag>
      <w:r w:rsidRPr="00560AD9">
        <w:t xml:space="preserve"> has also been recognised by the international community</w:t>
      </w:r>
      <w:r w:rsidR="00C0704D">
        <w:t>:</w:t>
      </w:r>
      <w:r w:rsidRPr="00560AD9">
        <w:t xml:space="preserve"> the Financial Action Task Force </w:t>
      </w:r>
      <w:r w:rsidR="00C0704D">
        <w:t>has removed</w:t>
      </w:r>
      <w:r w:rsidRPr="00560AD9">
        <w:t xml:space="preserve"> </w:t>
      </w:r>
      <w:smartTag w:uri="urn:schemas-microsoft-com:office:smarttags" w:element="country-region">
        <w:r w:rsidRPr="00560AD9">
          <w:t>Nauru</w:t>
        </w:r>
      </w:smartTag>
      <w:r w:rsidRPr="00560AD9">
        <w:t xml:space="preserve"> from its black list for money laundering; the U</w:t>
      </w:r>
      <w:r w:rsidR="00853BBE">
        <w:t xml:space="preserve">nited </w:t>
      </w:r>
      <w:r w:rsidRPr="00560AD9">
        <w:t>S</w:t>
      </w:r>
      <w:r w:rsidR="00853BBE">
        <w:t>tates</w:t>
      </w:r>
      <w:r w:rsidRPr="00560AD9">
        <w:t xml:space="preserve"> Financial Intelligence Unit </w:t>
      </w:r>
      <w:r w:rsidR="00C0704D">
        <w:t>has declared</w:t>
      </w:r>
      <w:r w:rsidR="00C0704D" w:rsidRPr="00560AD9">
        <w:t xml:space="preserve"> </w:t>
      </w:r>
      <w:r w:rsidRPr="00560AD9">
        <w:t xml:space="preserve">that international transactions involving </w:t>
      </w:r>
      <w:smartTag w:uri="urn:schemas-microsoft-com:office:smarttags" w:element="country-region">
        <w:r w:rsidRPr="00560AD9">
          <w:t>Nauru</w:t>
        </w:r>
      </w:smartTag>
      <w:r w:rsidRPr="00560AD9">
        <w:t xml:space="preserve"> no longer demand enhanced monitoring arrangements; and the ADB </w:t>
      </w:r>
      <w:r w:rsidR="00C0704D">
        <w:t>has re-engaged</w:t>
      </w:r>
      <w:r w:rsidRPr="00560AD9">
        <w:t xml:space="preserve"> with </w:t>
      </w:r>
      <w:smartTag w:uri="urn:schemas-microsoft-com:office:smarttags" w:element="place">
        <w:smartTag w:uri="urn:schemas-microsoft-com:office:smarttags" w:element="country-region">
          <w:r w:rsidRPr="00560AD9">
            <w:t>Nauru</w:t>
          </w:r>
        </w:smartTag>
      </w:smartTag>
      <w:r w:rsidRPr="00560AD9">
        <w:t>.</w:t>
      </w:r>
    </w:p>
    <w:p w:rsidR="0023220F" w:rsidRPr="007A57A2" w:rsidRDefault="0023220F" w:rsidP="0023220F">
      <w:pPr>
        <w:pStyle w:val="Heading3"/>
      </w:pPr>
      <w:bookmarkStart w:id="53" w:name="_Toc361056124"/>
      <w:bookmarkStart w:id="54" w:name="_Toc229296685"/>
      <w:r w:rsidRPr="007A57A2">
        <w:t>Estimated expenditure</w:t>
      </w:r>
      <w:bookmarkEnd w:id="53"/>
    </w:p>
    <w:p w:rsidR="0023220F" w:rsidRPr="00560AD9" w:rsidRDefault="0023220F" w:rsidP="0023220F">
      <w:pPr>
        <w:pStyle w:val="BodyText"/>
      </w:pPr>
      <w:r w:rsidRPr="00560AD9">
        <w:t>In 2008–09</w:t>
      </w:r>
      <w:r>
        <w:t>,</w:t>
      </w:r>
      <w:r w:rsidRPr="00560AD9">
        <w:t xml:space="preserve"> approximately $2.2</w:t>
      </w:r>
      <w:r>
        <w:t> m</w:t>
      </w:r>
      <w:r w:rsidRPr="00560AD9">
        <w:t>illion (around 8</w:t>
      </w:r>
      <w:r>
        <w:t>%</w:t>
      </w:r>
      <w:r w:rsidRPr="00560AD9">
        <w:t xml:space="preserve">) of the $29.1 million </w:t>
      </w:r>
      <w:r>
        <w:t>in</w:t>
      </w:r>
      <w:r w:rsidRPr="00560AD9">
        <w:t xml:space="preserve"> official development assistance to </w:t>
      </w:r>
      <w:smartTag w:uri="urn:schemas-microsoft-com:office:smarttags" w:element="place">
        <w:smartTag w:uri="urn:schemas-microsoft-com:office:smarttags" w:element="country-region">
          <w:r w:rsidRPr="00560AD9">
            <w:t>Nauru</w:t>
          </w:r>
        </w:smartTag>
      </w:smartTag>
      <w:r w:rsidRPr="00560AD9">
        <w:t xml:space="preserve"> was committed to initiatives related to this objective.</w:t>
      </w:r>
    </w:p>
    <w:p w:rsidR="007A1A30" w:rsidRPr="00CF32AC" w:rsidRDefault="007A1A30" w:rsidP="002F6F99">
      <w:pPr>
        <w:pStyle w:val="H2"/>
      </w:pPr>
      <w:bookmarkStart w:id="55" w:name="_Toc244501295"/>
      <w:bookmarkStart w:id="56" w:name="_Toc361056125"/>
      <w:r w:rsidRPr="00CF32AC">
        <w:t>Objective</w:t>
      </w:r>
      <w:r>
        <w:t xml:space="preserve"> 2</w:t>
      </w:r>
      <w:r w:rsidRPr="00CF32AC">
        <w:t>: Assist with shifting services toward a greater emphasis on primary health and preventive measures in order to place these on a more sustainable long-term footing</w:t>
      </w:r>
      <w:bookmarkEnd w:id="54"/>
      <w:bookmarkEnd w:id="55"/>
      <w:bookmarkEnd w:id="56"/>
    </w:p>
    <w:p w:rsidR="0023220F" w:rsidRDefault="0023220F" w:rsidP="0023220F">
      <w:pPr>
        <w:pStyle w:val="BodyText"/>
      </w:pPr>
      <w:r w:rsidRPr="00560AD9">
        <w:t xml:space="preserve">This objective is drawn from language in the </w:t>
      </w:r>
      <w:r w:rsidR="00E66693">
        <w:t>MOU</w:t>
      </w:r>
      <w:r w:rsidRPr="00560AD9">
        <w:t xml:space="preserve"> between </w:t>
      </w:r>
      <w:smartTag w:uri="urn:schemas-microsoft-com:office:smarttags" w:element="country-region">
        <w:r w:rsidRPr="00560AD9">
          <w:t>Nauru</w:t>
        </w:r>
      </w:smartTag>
      <w:r w:rsidRPr="00560AD9">
        <w:t xml:space="preserve"> and </w:t>
      </w:r>
      <w:smartTag w:uri="urn:schemas-microsoft-com:office:smarttags" w:element="place">
        <w:smartTag w:uri="urn:schemas-microsoft-com:office:smarttags" w:element="country-region">
          <w:r w:rsidRPr="00560AD9">
            <w:t>Australia</w:t>
          </w:r>
        </w:smartTag>
      </w:smartTag>
      <w:r w:rsidR="00853BBE">
        <w:t xml:space="preserve">. It </w:t>
      </w:r>
      <w:r w:rsidRPr="00560AD9">
        <w:t>does not properly take into account that</w:t>
      </w:r>
      <w:r w:rsidR="00853BBE">
        <w:t>, at that time,</w:t>
      </w:r>
      <w:r w:rsidRPr="00560AD9">
        <w:t xml:space="preserve"> the health system </w:t>
      </w:r>
      <w:r w:rsidR="00C0704D">
        <w:t>was</w:t>
      </w:r>
      <w:r w:rsidRPr="00560AD9">
        <w:t xml:space="preserve"> in crisis and Australian assistance </w:t>
      </w:r>
      <w:r w:rsidR="00C0704D">
        <w:t>was</w:t>
      </w:r>
      <w:r w:rsidR="00853BBE">
        <w:t xml:space="preserve"> </w:t>
      </w:r>
      <w:r w:rsidRPr="00560AD9">
        <w:t xml:space="preserve">needed to respond to </w:t>
      </w:r>
      <w:r w:rsidR="00AA6DF4">
        <w:t>the crisis</w:t>
      </w:r>
      <w:r w:rsidR="00AA6DF4" w:rsidRPr="00560AD9">
        <w:t xml:space="preserve"> </w:t>
      </w:r>
      <w:r w:rsidRPr="00560AD9">
        <w:t>as a priority. As a result of assistance</w:t>
      </w:r>
      <w:r w:rsidR="00AA6DF4">
        <w:t>,</w:t>
      </w:r>
      <w:r w:rsidRPr="00560AD9">
        <w:t xml:space="preserve"> the sector has now stabilised and there is an opportunity to focus on sustainable primary health care initiatives.</w:t>
      </w:r>
    </w:p>
    <w:p w:rsidR="007A1A30" w:rsidRPr="007A57A2" w:rsidRDefault="007A1A30" w:rsidP="007A1A30">
      <w:pPr>
        <w:pStyle w:val="Heading3"/>
      </w:pPr>
      <w:bookmarkStart w:id="57" w:name="_Toc361056126"/>
      <w:r w:rsidRPr="007A57A2">
        <w:lastRenderedPageBreak/>
        <w:t>Rating</w:t>
      </w:r>
      <w:bookmarkEnd w:id="57"/>
    </w:p>
    <w:p w:rsidR="007A1A30" w:rsidRDefault="00602D7F" w:rsidP="002F6F99">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0810" cy="130810"/>
            <wp:effectExtent l="0" t="0" r="2540" b="2540"/>
            <wp:docPr id="2" name="Picture 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2F6F99">
        <w:rPr>
          <w:rFonts w:ascii="Georgia" w:hAnsi="Georgia" w:cs="Arial"/>
          <w:sz w:val="19"/>
          <w:szCs w:val="19"/>
        </w:rPr>
        <w:tab/>
      </w:r>
      <w:r w:rsidR="002F6F99">
        <w:rPr>
          <w:rFonts w:ascii="Georgia" w:hAnsi="Georgia" w:cs="Arial"/>
          <w:sz w:val="19"/>
          <w:szCs w:val="19"/>
        </w:rPr>
        <w:tab/>
      </w:r>
      <w:r w:rsidR="002F6F99">
        <w:rPr>
          <w:rFonts w:ascii="Georgia" w:hAnsi="Georgia" w:cs="Arial"/>
          <w:sz w:val="19"/>
          <w:szCs w:val="19"/>
        </w:rPr>
        <w:tab/>
      </w:r>
      <w:r w:rsidR="007A1A30">
        <w:rPr>
          <w:rFonts w:ascii="Georgia" w:hAnsi="Georgia" w:cs="Arial"/>
          <w:sz w:val="19"/>
          <w:szCs w:val="19"/>
        </w:rPr>
        <w:t>The objective will be partly achieved within the timeframe</w:t>
      </w:r>
      <w:r w:rsidR="00913909">
        <w:rPr>
          <w:rFonts w:ascii="Georgia" w:hAnsi="Georgia" w:cs="Arial"/>
          <w:sz w:val="19"/>
          <w:szCs w:val="19"/>
        </w:rPr>
        <w:t xml:space="preserve"> (</w:t>
      </w:r>
      <w:r w:rsidR="00AA6DF4">
        <w:rPr>
          <w:rFonts w:ascii="Georgia" w:hAnsi="Georgia" w:cs="Arial"/>
          <w:sz w:val="19"/>
          <w:szCs w:val="19"/>
        </w:rPr>
        <w:t xml:space="preserve">to </w:t>
      </w:r>
      <w:r w:rsidR="00913909">
        <w:rPr>
          <w:rFonts w:ascii="Georgia" w:hAnsi="Georgia" w:cs="Arial"/>
          <w:sz w:val="19"/>
          <w:szCs w:val="19"/>
        </w:rPr>
        <w:t>Jun</w:t>
      </w:r>
      <w:r w:rsidR="00C2136E">
        <w:rPr>
          <w:rFonts w:ascii="Georgia" w:hAnsi="Georgia" w:cs="Arial"/>
          <w:sz w:val="19"/>
          <w:szCs w:val="19"/>
        </w:rPr>
        <w:t>e 2</w:t>
      </w:r>
      <w:r w:rsidR="00913909">
        <w:rPr>
          <w:rFonts w:ascii="Georgia" w:hAnsi="Georgia" w:cs="Arial"/>
          <w:sz w:val="19"/>
          <w:szCs w:val="19"/>
        </w:rPr>
        <w:t>009)</w:t>
      </w:r>
      <w:r w:rsidR="007A1A30">
        <w:rPr>
          <w:rFonts w:ascii="Georgia" w:hAnsi="Georgia" w:cs="Arial"/>
          <w:sz w:val="19"/>
          <w:szCs w:val="19"/>
        </w:rPr>
        <w:t>.</w:t>
      </w:r>
    </w:p>
    <w:p w:rsidR="007A1A30" w:rsidRPr="007A57A2" w:rsidRDefault="007A1A30" w:rsidP="007A1A30">
      <w:pPr>
        <w:pStyle w:val="Heading3"/>
      </w:pPr>
      <w:bookmarkStart w:id="58" w:name="_Toc361056127"/>
      <w:r w:rsidRPr="007A57A2">
        <w:t>Assessment of results and performance</w:t>
      </w:r>
      <w:bookmarkEnd w:id="58"/>
    </w:p>
    <w:p w:rsidR="0023220F" w:rsidRDefault="00AA6DF4" w:rsidP="0023220F">
      <w:pPr>
        <w:pStyle w:val="BodyText"/>
      </w:pPr>
      <w:r>
        <w:t>T</w:t>
      </w:r>
      <w:r w:rsidR="0023220F" w:rsidRPr="00560AD9">
        <w:t xml:space="preserve">here has been some progress in the health sector under the </w:t>
      </w:r>
      <w:r w:rsidR="00C0704D">
        <w:t>guidance</w:t>
      </w:r>
      <w:r w:rsidR="00C0704D" w:rsidRPr="00560AD9">
        <w:t xml:space="preserve"> </w:t>
      </w:r>
      <w:r w:rsidR="0023220F" w:rsidRPr="00560AD9">
        <w:t>of Australian</w:t>
      </w:r>
      <w:r>
        <w:t>-</w:t>
      </w:r>
      <w:r w:rsidR="0023220F" w:rsidRPr="00560AD9">
        <w:t>funded personnel</w:t>
      </w:r>
      <w:r>
        <w:t>,</w:t>
      </w:r>
      <w:r w:rsidR="0023220F" w:rsidRPr="00560AD9">
        <w:t xml:space="preserve"> including the Secretary for Health, the Strategic Health Planner and the Health Educator</w:t>
      </w:r>
      <w:r>
        <w:t>. However</w:t>
      </w:r>
      <w:r w:rsidR="0023220F" w:rsidRPr="00560AD9">
        <w:t xml:space="preserve">, improving health sector management and achieving demonstrable improvements in health outcomes remain </w:t>
      </w:r>
      <w:r>
        <w:t>two of the</w:t>
      </w:r>
      <w:r w:rsidR="0023220F" w:rsidRPr="00560AD9">
        <w:t xml:space="preserve"> most challenging and demanding </w:t>
      </w:r>
      <w:r>
        <w:t>tasks</w:t>
      </w:r>
      <w:r w:rsidRPr="00560AD9">
        <w:t xml:space="preserve"> </w:t>
      </w:r>
      <w:r w:rsidR="0023220F" w:rsidRPr="00560AD9">
        <w:t xml:space="preserve">for the aid program and for the </w:t>
      </w:r>
      <w:proofErr w:type="spellStart"/>
      <w:r>
        <w:t>GoN</w:t>
      </w:r>
      <w:proofErr w:type="spellEnd"/>
      <w:r w:rsidR="0023220F" w:rsidRPr="00560AD9">
        <w:t xml:space="preserve">. Objectives relating to </w:t>
      </w:r>
      <w:r>
        <w:t xml:space="preserve">the </w:t>
      </w:r>
      <w:r w:rsidR="0023220F" w:rsidRPr="00560AD9">
        <w:t>development of a health sector strategic plan have not been realised, budget prioritisation still overemphasises tertiary care</w:t>
      </w:r>
      <w:r>
        <w:t>,</w:t>
      </w:r>
      <w:r w:rsidR="0023220F" w:rsidRPr="00560AD9">
        <w:t xml:space="preserve"> and infrastructure spending cannot be </w:t>
      </w:r>
      <w:r>
        <w:t>shown</w:t>
      </w:r>
      <w:r w:rsidRPr="00560AD9">
        <w:t xml:space="preserve"> </w:t>
      </w:r>
      <w:r w:rsidR="0023220F" w:rsidRPr="00560AD9">
        <w:t>to be responding to strategic planning.</w:t>
      </w:r>
    </w:p>
    <w:p w:rsidR="00C2136E" w:rsidRDefault="007A1A30" w:rsidP="007A1A30">
      <w:pPr>
        <w:pStyle w:val="BodyText"/>
      </w:pPr>
      <w:r w:rsidRPr="00560AD9">
        <w:t xml:space="preserve">Work in </w:t>
      </w:r>
      <w:smartTag w:uri="urn:schemas-microsoft-com:office:smarttags" w:element="place">
        <w:smartTag w:uri="urn:schemas-microsoft-com:office:smarttags" w:element="country-region">
          <w:r w:rsidRPr="00560AD9">
            <w:t>Nauru</w:t>
          </w:r>
        </w:smartTag>
      </w:smartTag>
      <w:r w:rsidR="00247AFA">
        <w:t>’</w:t>
      </w:r>
      <w:r w:rsidRPr="00560AD9">
        <w:t>s health sector in 2008–09 included providing key personnel oversighting management, planning and service delivery in the sector, developing infrastructure, procuring pharmaceuticals and materials, and supporting the enactment of key legislation to address NCD risk factors including a new Tobacco Bill</w:t>
      </w:r>
      <w:r w:rsidR="00AA6DF4">
        <w:t>. A</w:t>
      </w:r>
      <w:r w:rsidRPr="00560AD9">
        <w:t xml:space="preserve">ccording to the </w:t>
      </w:r>
      <w:r w:rsidR="00D11FE9">
        <w:t>World Health Organization’s</w:t>
      </w:r>
      <w:r w:rsidR="00D11FE9" w:rsidRPr="00560AD9">
        <w:t xml:space="preserve"> </w:t>
      </w:r>
      <w:r w:rsidRPr="00560AD9">
        <w:t xml:space="preserve">2007 NCD risk factor report, </w:t>
      </w:r>
      <w:smartTag w:uri="urn:schemas-microsoft-com:office:smarttags" w:element="place">
        <w:smartTag w:uri="urn:schemas-microsoft-com:office:smarttags" w:element="country-region">
          <w:r w:rsidRPr="00560AD9">
            <w:t>Nauru</w:t>
          </w:r>
        </w:smartTag>
      </w:smartTag>
      <w:r w:rsidRPr="00560AD9">
        <w:t xml:space="preserve"> has very high rates of smoking</w:t>
      </w:r>
      <w:r w:rsidR="00AA6DF4">
        <w:t>:</w:t>
      </w:r>
      <w:r w:rsidRPr="00560AD9">
        <w:t xml:space="preserve"> 49.7% for men and 56% for women.</w:t>
      </w:r>
      <w:r w:rsidR="00C2136E">
        <w:t xml:space="preserve"> </w:t>
      </w:r>
      <w:r w:rsidRPr="00560AD9">
        <w:t>A one-stop</w:t>
      </w:r>
      <w:r w:rsidR="00AA6DF4">
        <w:t xml:space="preserve"> </w:t>
      </w:r>
      <w:r w:rsidRPr="00560AD9">
        <w:t>shop for diabetes control has been established</w:t>
      </w:r>
      <w:r w:rsidR="00AA6DF4">
        <w:t>,</w:t>
      </w:r>
      <w:r w:rsidRPr="00560AD9">
        <w:t xml:space="preserve"> along with a major </w:t>
      </w:r>
      <w:r w:rsidR="00AA6DF4">
        <w:t xml:space="preserve">televised </w:t>
      </w:r>
      <w:r w:rsidRPr="00560AD9">
        <w:t>health promotion campaign on obesity, which also includes reference to alcohol abuse and domestic violence.</w:t>
      </w:r>
    </w:p>
    <w:p w:rsidR="007A1A30" w:rsidRPr="00560AD9" w:rsidRDefault="007A1A30" w:rsidP="007A1A30">
      <w:pPr>
        <w:pStyle w:val="BodyText"/>
      </w:pPr>
      <w:r w:rsidRPr="00560AD9">
        <w:t>Repairs and refurbishments of critical infrastructure have taken place</w:t>
      </w:r>
      <w:r w:rsidR="00AA6DF4">
        <w:t>,</w:t>
      </w:r>
      <w:r w:rsidRPr="00560AD9">
        <w:t xml:space="preserve"> including security upgrades to both hospital sites, provision of sanitary facilities, and improvements to the oxygen plant housing. Other Australian assistance supported </w:t>
      </w:r>
      <w:r w:rsidR="00AA6DF4">
        <w:t xml:space="preserve">the </w:t>
      </w:r>
      <w:r w:rsidRPr="00560AD9">
        <w:t>provision of a new dental clinic, described by an independent infrastructure advis</w:t>
      </w:r>
      <w:r w:rsidR="00AA6DF4">
        <w:t>e</w:t>
      </w:r>
      <w:r w:rsidRPr="00560AD9">
        <w:t xml:space="preserve">r as possibly the best dental clinic in the Pacific. However, </w:t>
      </w:r>
      <w:r w:rsidR="00AA6DF4">
        <w:t xml:space="preserve">we lack </w:t>
      </w:r>
      <w:r w:rsidRPr="00560AD9">
        <w:t xml:space="preserve">information </w:t>
      </w:r>
      <w:r w:rsidR="00AA6DF4">
        <w:t>about</w:t>
      </w:r>
      <w:r w:rsidRPr="00560AD9">
        <w:t xml:space="preserve"> the quality of dental services provided for the community through this new facility. The clinic was built using local expertise and was constructed </w:t>
      </w:r>
      <w:r w:rsidR="00AA6DF4">
        <w:t>on</w:t>
      </w:r>
      <w:r w:rsidR="00AA6DF4" w:rsidRPr="00560AD9">
        <w:t xml:space="preserve"> </w:t>
      </w:r>
      <w:r w:rsidRPr="00560AD9">
        <w:t xml:space="preserve">time and </w:t>
      </w:r>
      <w:r w:rsidR="00AA6DF4">
        <w:t xml:space="preserve">within </w:t>
      </w:r>
      <w:r w:rsidRPr="00560AD9">
        <w:t>budget, although work quality required close monitoring</w:t>
      </w:r>
      <w:r w:rsidR="00AA6DF4">
        <w:t>.</w:t>
      </w:r>
    </w:p>
    <w:p w:rsidR="007A1A30" w:rsidRPr="00560AD9" w:rsidRDefault="00F15D49" w:rsidP="007A1A30">
      <w:pPr>
        <w:pStyle w:val="BodyText"/>
      </w:pPr>
      <w:r>
        <w:t>The c</w:t>
      </w:r>
      <w:r w:rsidR="007A1A30" w:rsidRPr="00560AD9">
        <w:t xml:space="preserve">ommencement of </w:t>
      </w:r>
      <w:r>
        <w:t xml:space="preserve">a </w:t>
      </w:r>
      <w:r w:rsidR="007A1A30" w:rsidRPr="00560AD9">
        <w:t>revised drug purchasing system is expected to lead to lower recurrent costs for purchases (similar reforms for equipment purchasing are also now in place). An updated training needs analysis and Education Services Plan (along with</w:t>
      </w:r>
      <w:r w:rsidR="00C2136E">
        <w:t xml:space="preserve"> </w:t>
      </w:r>
      <w:r w:rsidR="007A1A30" w:rsidRPr="00560AD9">
        <w:t xml:space="preserve">provision of contemporary training aids and refurbishment </w:t>
      </w:r>
      <w:r>
        <w:t xml:space="preserve">of the </w:t>
      </w:r>
      <w:r w:rsidR="007A1A30" w:rsidRPr="00560AD9">
        <w:t xml:space="preserve">Health Education Room) </w:t>
      </w:r>
      <w:r w:rsidR="00207D4F">
        <w:t>have been</w:t>
      </w:r>
      <w:r w:rsidR="007A1A30" w:rsidRPr="00560AD9">
        <w:t xml:space="preserve"> completed</w:t>
      </w:r>
      <w:r>
        <w:t>. E</w:t>
      </w:r>
      <w:r w:rsidR="007A1A30" w:rsidRPr="00560AD9">
        <w:t>arly indications are that these investments are leading to improved nurse aide development training, basic life support training</w:t>
      </w:r>
      <w:r>
        <w:t>,</w:t>
      </w:r>
      <w:r w:rsidR="007A1A30" w:rsidRPr="00560AD9">
        <w:t xml:space="preserve"> infection control training, </w:t>
      </w:r>
      <w:r>
        <w:t xml:space="preserve">and </w:t>
      </w:r>
      <w:r w:rsidR="007A1A30" w:rsidRPr="00560AD9">
        <w:t>trained nurse medication and drug calculation training.</w:t>
      </w:r>
    </w:p>
    <w:p w:rsidR="00C2136E" w:rsidRDefault="007A1A30" w:rsidP="007A1A30">
      <w:pPr>
        <w:pStyle w:val="BodyText"/>
      </w:pPr>
      <w:r w:rsidRPr="00560AD9">
        <w:t>Regular neonatal clinics have been established</w:t>
      </w:r>
      <w:r w:rsidR="00F15D49">
        <w:t xml:space="preserve"> and are</w:t>
      </w:r>
      <w:r w:rsidRPr="00560AD9">
        <w:t xml:space="preserve"> monitoring early childhood development milestones, nutrition and immunization</w:t>
      </w:r>
      <w:r w:rsidR="00285310">
        <w:t xml:space="preserve"> (</w:t>
      </w:r>
      <w:r w:rsidRPr="00560AD9">
        <w:t>100% coverage of all relevant vaccines</w:t>
      </w:r>
      <w:r w:rsidR="00285310">
        <w:t xml:space="preserve"> has been achieved)</w:t>
      </w:r>
      <w:r w:rsidRPr="00560AD9">
        <w:t>. According to M</w:t>
      </w:r>
      <w:r w:rsidR="00285310">
        <w:t>inistry of Health</w:t>
      </w:r>
      <w:r w:rsidRPr="00560AD9">
        <w:t xml:space="preserve"> figures, the under</w:t>
      </w:r>
      <w:r w:rsidR="00285310">
        <w:noBreakHyphen/>
      </w:r>
      <w:r w:rsidRPr="00560AD9">
        <w:t xml:space="preserve">5 mortality rate in </w:t>
      </w:r>
      <w:smartTag w:uri="urn:schemas-microsoft-com:office:smarttags" w:element="country-region">
        <w:r w:rsidRPr="00560AD9">
          <w:t>Nauru</w:t>
        </w:r>
      </w:smartTag>
      <w:r w:rsidRPr="00560AD9">
        <w:t xml:space="preserve"> </w:t>
      </w:r>
      <w:r w:rsidR="00285310">
        <w:t>(</w:t>
      </w:r>
      <w:r w:rsidR="00285310" w:rsidRPr="00560AD9">
        <w:t>4.2 per 1000 live births</w:t>
      </w:r>
      <w:r w:rsidR="00285310">
        <w:t xml:space="preserve">) </w:t>
      </w:r>
      <w:r w:rsidRPr="00560AD9">
        <w:t xml:space="preserve">is now comparable to </w:t>
      </w:r>
      <w:r w:rsidR="00285310">
        <w:t xml:space="preserve">rates in </w:t>
      </w:r>
      <w:r w:rsidRPr="00560AD9">
        <w:t xml:space="preserve">some developed countries, including </w:t>
      </w:r>
      <w:smartTag w:uri="urn:schemas-microsoft-com:office:smarttags" w:element="place">
        <w:smartTag w:uri="urn:schemas-microsoft-com:office:smarttags" w:element="country-region">
          <w:r w:rsidRPr="00560AD9">
            <w:t>Japan</w:t>
          </w:r>
        </w:smartTag>
      </w:smartTag>
      <w:r w:rsidRPr="00560AD9">
        <w:t xml:space="preserve">. </w:t>
      </w:r>
      <w:r w:rsidR="00285310" w:rsidRPr="00560AD9">
        <w:t>M</w:t>
      </w:r>
      <w:r w:rsidR="00285310">
        <w:t>inistry of Health</w:t>
      </w:r>
      <w:r w:rsidR="00285310" w:rsidRPr="00560AD9">
        <w:t xml:space="preserve"> </w:t>
      </w:r>
      <w:r w:rsidRPr="00560AD9">
        <w:t>stat</w:t>
      </w:r>
      <w:r w:rsidR="00285310">
        <w:t>istics</w:t>
      </w:r>
      <w:r w:rsidRPr="00560AD9">
        <w:t xml:space="preserve"> also </w:t>
      </w:r>
      <w:r w:rsidR="00285310">
        <w:t>show</w:t>
      </w:r>
      <w:r w:rsidR="00285310" w:rsidRPr="00560AD9">
        <w:t xml:space="preserve"> </w:t>
      </w:r>
      <w:r w:rsidRPr="00560AD9">
        <w:t xml:space="preserve">that the infant mortality rate for </w:t>
      </w:r>
      <w:smartTag w:uri="urn:schemas-microsoft-com:office:smarttags" w:element="place">
        <w:smartTag w:uri="urn:schemas-microsoft-com:office:smarttags" w:element="country-region">
          <w:r w:rsidRPr="00560AD9">
            <w:t>Nauru</w:t>
          </w:r>
        </w:smartTag>
      </w:smartTag>
      <w:r w:rsidRPr="00560AD9">
        <w:t xml:space="preserve"> has improved from 44.1 per 1000 live births in 2002 to 20.72 per 1000 live births over the 200</w:t>
      </w:r>
      <w:r w:rsidR="00C2136E" w:rsidRPr="00560AD9">
        <w:t>5</w:t>
      </w:r>
      <w:r w:rsidR="00C2136E">
        <w:t>–</w:t>
      </w:r>
      <w:r w:rsidR="00C2136E" w:rsidRPr="00560AD9">
        <w:t>0</w:t>
      </w:r>
      <w:r w:rsidRPr="00560AD9">
        <w:t>8</w:t>
      </w:r>
      <w:r w:rsidR="00285310" w:rsidRPr="00285310">
        <w:t xml:space="preserve"> </w:t>
      </w:r>
      <w:r w:rsidR="00285310" w:rsidRPr="00560AD9">
        <w:t>period</w:t>
      </w:r>
      <w:r w:rsidRPr="00560AD9">
        <w:t>. Clearly</w:t>
      </w:r>
      <w:r w:rsidR="00285310">
        <w:t>,</w:t>
      </w:r>
      <w:r w:rsidRPr="00560AD9">
        <w:t xml:space="preserve"> there ha</w:t>
      </w:r>
      <w:r w:rsidR="00285310">
        <w:t>ve</w:t>
      </w:r>
      <w:r w:rsidRPr="00560AD9">
        <w:t xml:space="preserve"> also been improvements in data collection.</w:t>
      </w:r>
    </w:p>
    <w:p w:rsidR="00C2136E" w:rsidRDefault="007A1A30" w:rsidP="007A1A30">
      <w:pPr>
        <w:pStyle w:val="BodyText"/>
      </w:pPr>
      <w:smartTag w:uri="urn:schemas-microsoft-com:office:smarttags" w:element="country-region">
        <w:r w:rsidRPr="00560AD9">
          <w:t>Australia</w:t>
        </w:r>
      </w:smartTag>
      <w:r w:rsidRPr="00560AD9">
        <w:t xml:space="preserve"> funds three in-line positions in the </w:t>
      </w:r>
      <w:smartTag w:uri="urn:schemas-microsoft-com:office:smarttags" w:element="place">
        <w:smartTag w:uri="urn:schemas-microsoft-com:office:smarttags" w:element="country-region">
          <w:r w:rsidRPr="00560AD9">
            <w:t>Nauru</w:t>
          </w:r>
        </w:smartTag>
      </w:smartTag>
      <w:r w:rsidRPr="00560AD9">
        <w:t xml:space="preserve"> health system</w:t>
      </w:r>
      <w:r w:rsidR="00285310">
        <w:t>:</w:t>
      </w:r>
      <w:r w:rsidRPr="00560AD9">
        <w:t xml:space="preserve"> the Secretary for Health and Medical Services and two new positions</w:t>
      </w:r>
      <w:r w:rsidR="00247AFA">
        <w:t xml:space="preserve"> </w:t>
      </w:r>
      <w:r w:rsidR="00285310">
        <w:t>(</w:t>
      </w:r>
      <w:r w:rsidRPr="00560AD9">
        <w:t>the Strategic Health Planner/Project Manager and the Health Educator</w:t>
      </w:r>
      <w:r w:rsidR="00285310">
        <w:t>)</w:t>
      </w:r>
      <w:r w:rsidRPr="00560AD9">
        <w:t xml:space="preserve">. The </w:t>
      </w:r>
      <w:r w:rsidR="00285310">
        <w:t>new</w:t>
      </w:r>
      <w:r w:rsidR="00285310" w:rsidRPr="00560AD9">
        <w:t xml:space="preserve"> </w:t>
      </w:r>
      <w:r w:rsidRPr="00560AD9">
        <w:t xml:space="preserve">positions were created to improve strategic planning and implementation, education and training services for health workers and the local management of activities funded by </w:t>
      </w:r>
      <w:smartTag w:uri="urn:schemas-microsoft-com:office:smarttags" w:element="place">
        <w:smartTag w:uri="urn:schemas-microsoft-com:office:smarttags" w:element="country-region">
          <w:r w:rsidRPr="00560AD9">
            <w:t>Australia</w:t>
          </w:r>
        </w:smartTag>
      </w:smartTag>
      <w:r w:rsidRPr="00560AD9">
        <w:t xml:space="preserve">, including infrastructure and systems development. The Director of Nursing position, which was previously filled by an expatriate funded by </w:t>
      </w:r>
      <w:proofErr w:type="spellStart"/>
      <w:r w:rsidRPr="00560AD9">
        <w:t>AusAID</w:t>
      </w:r>
      <w:proofErr w:type="spellEnd"/>
      <w:r w:rsidRPr="00560AD9">
        <w:t xml:space="preserve">, </w:t>
      </w:r>
      <w:r w:rsidRPr="00560AD9">
        <w:lastRenderedPageBreak/>
        <w:t>has been filled by a local Nauruan, which reflects well on the capacity-building efforts of the Ministry of Health.</w:t>
      </w:r>
    </w:p>
    <w:p w:rsidR="007A1A30" w:rsidRPr="00560AD9" w:rsidRDefault="007A1A30" w:rsidP="007A1A30">
      <w:pPr>
        <w:pStyle w:val="BodyText"/>
      </w:pPr>
      <w:r w:rsidRPr="00560AD9">
        <w:t>A key factor limiting outcomes in the health sector is the difficulty in identifying suitable personnel to fill key positions. This is a</w:t>
      </w:r>
      <w:r w:rsidR="00285310">
        <w:t xml:space="preserve"> problem</w:t>
      </w:r>
      <w:r w:rsidRPr="00560AD9">
        <w:t xml:space="preserve"> for </w:t>
      </w:r>
      <w:smartTag w:uri="urn:schemas-microsoft-com:office:smarttags" w:element="place">
        <w:smartTag w:uri="urn:schemas-microsoft-com:office:smarttags" w:element="country-region">
          <w:r w:rsidRPr="00560AD9">
            <w:t>Nauru</w:t>
          </w:r>
        </w:smartTag>
      </w:smartTag>
      <w:r w:rsidRPr="00560AD9">
        <w:t xml:space="preserve"> across all sectors of government</w:t>
      </w:r>
      <w:r w:rsidR="00285310">
        <w:t>,</w:t>
      </w:r>
      <w:r w:rsidRPr="00560AD9">
        <w:t xml:space="preserve"> so it is critical that succession planning is undertaken at very early stages of any new deployment. Contributing to th</w:t>
      </w:r>
      <w:r w:rsidR="00285310">
        <w:t>e</w:t>
      </w:r>
      <w:r w:rsidRPr="00560AD9">
        <w:t xml:space="preserve"> </w:t>
      </w:r>
      <w:r w:rsidR="00285310">
        <w:t xml:space="preserve">shortfall </w:t>
      </w:r>
      <w:r w:rsidRPr="00560AD9">
        <w:t xml:space="preserve">is the </w:t>
      </w:r>
      <w:r w:rsidR="00285310">
        <w:t xml:space="preserve">Ministry of Health’s </w:t>
      </w:r>
      <w:r w:rsidRPr="00560AD9">
        <w:t>apparent inability to identify suitable candidates for health sector related scholarship</w:t>
      </w:r>
      <w:r w:rsidR="00207D4F">
        <w:t>s</w:t>
      </w:r>
      <w:r w:rsidRPr="00560AD9">
        <w:t xml:space="preserve">. </w:t>
      </w:r>
      <w:proofErr w:type="spellStart"/>
      <w:r w:rsidRPr="00560AD9">
        <w:t>AusAID</w:t>
      </w:r>
      <w:r w:rsidR="00247AFA">
        <w:t>’</w:t>
      </w:r>
      <w:r w:rsidRPr="00560AD9">
        <w:t>s</w:t>
      </w:r>
      <w:proofErr w:type="spellEnd"/>
      <w:r w:rsidRPr="00560AD9">
        <w:t xml:space="preserve"> scholarship officer will work with the Health Ministry during 2009 to help improve the standard of applications.</w:t>
      </w:r>
    </w:p>
    <w:p w:rsidR="007A1A30" w:rsidRPr="00560AD9" w:rsidRDefault="007A1A30" w:rsidP="007A1A30">
      <w:pPr>
        <w:pStyle w:val="BodyText"/>
      </w:pPr>
      <w:r w:rsidRPr="00560AD9">
        <w:t xml:space="preserve">Another significant issue is the need for the aid program to take a stronger approach to activity monitoring and reporting. An advisory body such as a technical advisory group may offer the kind of technical monitoring and reporting that </w:t>
      </w:r>
      <w:proofErr w:type="spellStart"/>
      <w:r w:rsidRPr="00560AD9">
        <w:t>AusAID</w:t>
      </w:r>
      <w:proofErr w:type="spellEnd"/>
      <w:r w:rsidRPr="00560AD9">
        <w:t xml:space="preserve"> and the </w:t>
      </w:r>
      <w:proofErr w:type="spellStart"/>
      <w:r w:rsidR="001E6A16">
        <w:t>GoN</w:t>
      </w:r>
      <w:proofErr w:type="spellEnd"/>
      <w:r w:rsidRPr="00560AD9">
        <w:t xml:space="preserve"> could benefit from.</w:t>
      </w:r>
    </w:p>
    <w:p w:rsidR="0023220F" w:rsidRPr="007A57A2" w:rsidRDefault="0023220F" w:rsidP="0023220F">
      <w:pPr>
        <w:pStyle w:val="Heading3"/>
      </w:pPr>
      <w:bookmarkStart w:id="59" w:name="_Toc361056128"/>
      <w:bookmarkStart w:id="60" w:name="_Toc229296686"/>
      <w:r w:rsidRPr="007A57A2">
        <w:t>Estimated expenditure</w:t>
      </w:r>
      <w:bookmarkEnd w:id="59"/>
    </w:p>
    <w:p w:rsidR="0023220F" w:rsidRPr="00560AD9" w:rsidRDefault="0023220F" w:rsidP="0023220F">
      <w:pPr>
        <w:pStyle w:val="BodyText"/>
      </w:pPr>
      <w:r w:rsidRPr="00560AD9">
        <w:t>In 2008–09</w:t>
      </w:r>
      <w:r w:rsidR="00285310">
        <w:t>,</w:t>
      </w:r>
      <w:r w:rsidRPr="00560AD9">
        <w:t xml:space="preserve"> approximately $2.1 million (around</w:t>
      </w:r>
      <w:r>
        <w:t> </w:t>
      </w:r>
      <w:r w:rsidRPr="00560AD9">
        <w:t>7</w:t>
      </w:r>
      <w:r>
        <w:t>%</w:t>
      </w:r>
      <w:r w:rsidRPr="00560AD9">
        <w:t xml:space="preserve">) of the $29.1 million of official development assistance to </w:t>
      </w:r>
      <w:smartTag w:uri="urn:schemas-microsoft-com:office:smarttags" w:element="place">
        <w:smartTag w:uri="urn:schemas-microsoft-com:office:smarttags" w:element="country-region">
          <w:r w:rsidRPr="00560AD9">
            <w:t>Nauru</w:t>
          </w:r>
        </w:smartTag>
      </w:smartTag>
      <w:r w:rsidRPr="00560AD9">
        <w:t xml:space="preserve"> was committed to initiatives related to this objective.</w:t>
      </w:r>
    </w:p>
    <w:p w:rsidR="00C2136E" w:rsidRDefault="007A1A30" w:rsidP="002F6F99">
      <w:pPr>
        <w:pStyle w:val="H2"/>
      </w:pPr>
      <w:bookmarkStart w:id="61" w:name="_Toc244501296"/>
      <w:bookmarkStart w:id="62" w:name="_Toc361056129"/>
      <w:r w:rsidRPr="00560AD9">
        <w:t xml:space="preserve">Objective 3: Improve basic education and technical and vocational skills to </w:t>
      </w:r>
      <w:bookmarkStart w:id="63" w:name="OLE_LINK1"/>
      <w:r w:rsidRPr="00560AD9">
        <w:t xml:space="preserve">develop an appropriately structured education system and skills base to meet </w:t>
      </w:r>
      <w:smartTag w:uri="urn:schemas-microsoft-com:office:smarttags" w:element="place">
        <w:smartTag w:uri="urn:schemas-microsoft-com:office:smarttags" w:element="country-region">
          <w:r w:rsidRPr="00560AD9">
            <w:t>Nauru</w:t>
          </w:r>
        </w:smartTag>
      </w:smartTag>
      <w:r w:rsidR="00247AFA">
        <w:t>’</w:t>
      </w:r>
      <w:r w:rsidRPr="00560AD9">
        <w:t>s future needs</w:t>
      </w:r>
      <w:bookmarkEnd w:id="60"/>
      <w:bookmarkEnd w:id="61"/>
      <w:bookmarkEnd w:id="62"/>
      <w:bookmarkEnd w:id="63"/>
    </w:p>
    <w:p w:rsidR="0023220F" w:rsidRPr="00560AD9" w:rsidRDefault="0023220F" w:rsidP="0023220F">
      <w:pPr>
        <w:pStyle w:val="BodyText"/>
      </w:pPr>
      <w:r w:rsidRPr="00560AD9">
        <w:t xml:space="preserve">This objective is drawn from language in the MOU between </w:t>
      </w:r>
      <w:smartTag w:uri="urn:schemas-microsoft-com:office:smarttags" w:element="country-region">
        <w:r w:rsidRPr="00560AD9">
          <w:t>Nauru</w:t>
        </w:r>
      </w:smartTag>
      <w:r w:rsidRPr="00560AD9">
        <w:t xml:space="preserve"> and </w:t>
      </w:r>
      <w:smartTag w:uri="urn:schemas-microsoft-com:office:smarttags" w:element="place">
        <w:smartTag w:uri="urn:schemas-microsoft-com:office:smarttags" w:element="country-region">
          <w:r w:rsidRPr="00560AD9">
            <w:t>Australia</w:t>
          </w:r>
        </w:smartTag>
      </w:smartTag>
      <w:r w:rsidRPr="00560AD9">
        <w:t xml:space="preserve">. The first part of the objective statement, </w:t>
      </w:r>
      <w:r>
        <w:t>‘</w:t>
      </w:r>
      <w:r w:rsidRPr="00560AD9">
        <w:t>improve basic education and technical skills</w:t>
      </w:r>
      <w:r>
        <w:t>’</w:t>
      </w:r>
      <w:r w:rsidRPr="00560AD9">
        <w:t xml:space="preserve">, is being achieved. However, the second part </w:t>
      </w:r>
      <w:r w:rsidR="00285310">
        <w:t>(</w:t>
      </w:r>
      <w:r>
        <w:t>‘</w:t>
      </w:r>
      <w:r w:rsidRPr="00560AD9">
        <w:t xml:space="preserve">an appropriately structured education system and skill base to meet </w:t>
      </w:r>
      <w:smartTag w:uri="urn:schemas-microsoft-com:office:smarttags" w:element="place">
        <w:smartTag w:uri="urn:schemas-microsoft-com:office:smarttags" w:element="country-region">
          <w:r w:rsidRPr="00560AD9">
            <w:t>Nauru</w:t>
          </w:r>
        </w:smartTag>
      </w:smartTag>
      <w:r>
        <w:t>’</w:t>
      </w:r>
      <w:r w:rsidRPr="00560AD9">
        <w:t>s future needs</w:t>
      </w:r>
      <w:r>
        <w:t>’</w:t>
      </w:r>
      <w:r w:rsidR="00285310">
        <w:t>)</w:t>
      </w:r>
      <w:r w:rsidRPr="00560AD9">
        <w:t xml:space="preserve"> will not be achieved in </w:t>
      </w:r>
      <w:r w:rsidR="00285310">
        <w:t>2008–09</w:t>
      </w:r>
      <w:r w:rsidRPr="00560AD9">
        <w:t xml:space="preserve">. While improvements in this area continue to be made, the timeframe and the state of the education sector </w:t>
      </w:r>
      <w:r w:rsidR="00FF48A9">
        <w:t xml:space="preserve">before </w:t>
      </w:r>
      <w:r w:rsidRPr="00560AD9">
        <w:t xml:space="preserve">the current aid program to </w:t>
      </w:r>
      <w:smartTag w:uri="urn:schemas-microsoft-com:office:smarttags" w:element="place">
        <w:smartTag w:uri="urn:schemas-microsoft-com:office:smarttags" w:element="country-region">
          <w:r w:rsidRPr="00560AD9">
            <w:t>Nauru</w:t>
          </w:r>
        </w:smartTag>
      </w:smartTag>
      <w:r w:rsidR="00285310">
        <w:t xml:space="preserve"> began</w:t>
      </w:r>
      <w:r w:rsidRPr="00560AD9">
        <w:t xml:space="preserve"> in 2005 </w:t>
      </w:r>
      <w:r w:rsidR="00285310">
        <w:t xml:space="preserve">make it unrealistic to expect </w:t>
      </w:r>
      <w:r w:rsidRPr="00560AD9">
        <w:t>achievement of the goal.</w:t>
      </w:r>
    </w:p>
    <w:p w:rsidR="007A1A30" w:rsidRPr="007A57A2" w:rsidRDefault="007A1A30" w:rsidP="007A1A30">
      <w:pPr>
        <w:pStyle w:val="Heading3"/>
      </w:pPr>
      <w:bookmarkStart w:id="64" w:name="_Toc361056130"/>
      <w:r w:rsidRPr="007A57A2">
        <w:t>Rating</w:t>
      </w:r>
      <w:bookmarkEnd w:id="64"/>
    </w:p>
    <w:p w:rsidR="007A1A30" w:rsidRDefault="00602D7F" w:rsidP="002F6F99">
      <w:pPr>
        <w:tabs>
          <w:tab w:val="num" w:pos="1098"/>
        </w:tabs>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54305" cy="154305"/>
            <wp:effectExtent l="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2F6F99">
        <w:rPr>
          <w:rFonts w:ascii="Georgia" w:hAnsi="Georgia" w:cs="Arial"/>
          <w:sz w:val="19"/>
          <w:szCs w:val="19"/>
        </w:rPr>
        <w:tab/>
      </w:r>
      <w:r w:rsidR="007A1A30">
        <w:rPr>
          <w:rFonts w:ascii="Georgia" w:hAnsi="Georgia" w:cs="Arial"/>
          <w:sz w:val="19"/>
          <w:szCs w:val="19"/>
        </w:rPr>
        <w:t xml:space="preserve">The </w:t>
      </w:r>
      <w:r w:rsidR="00E6750B">
        <w:rPr>
          <w:rFonts w:ascii="Georgia" w:hAnsi="Georgia" w:cs="Arial"/>
          <w:sz w:val="19"/>
          <w:szCs w:val="19"/>
        </w:rPr>
        <w:t xml:space="preserve">first part of the </w:t>
      </w:r>
      <w:r w:rsidR="007A1A30">
        <w:rPr>
          <w:rFonts w:ascii="Georgia" w:hAnsi="Georgia" w:cs="Arial"/>
          <w:sz w:val="19"/>
          <w:szCs w:val="19"/>
        </w:rPr>
        <w:t>objective</w:t>
      </w:r>
      <w:r w:rsidR="00E6750B">
        <w:rPr>
          <w:rFonts w:ascii="Georgia" w:hAnsi="Georgia" w:cs="Arial"/>
          <w:sz w:val="19"/>
          <w:szCs w:val="19"/>
        </w:rPr>
        <w:t>, ‘improving basic education and technical skills’</w:t>
      </w:r>
      <w:r w:rsidR="007A1A30">
        <w:rPr>
          <w:rFonts w:ascii="Georgia" w:hAnsi="Georgia" w:cs="Arial"/>
          <w:sz w:val="19"/>
          <w:szCs w:val="19"/>
        </w:rPr>
        <w:t xml:space="preserve"> is on track to be fully achieved within the timeframe</w:t>
      </w:r>
      <w:r w:rsidR="00913909">
        <w:rPr>
          <w:rFonts w:ascii="Georgia" w:hAnsi="Georgia" w:cs="Arial"/>
          <w:sz w:val="19"/>
          <w:szCs w:val="19"/>
        </w:rPr>
        <w:t xml:space="preserve"> (</w:t>
      </w:r>
      <w:r w:rsidR="00AA6DF4">
        <w:rPr>
          <w:rFonts w:ascii="Georgia" w:hAnsi="Georgia" w:cs="Arial"/>
          <w:sz w:val="19"/>
          <w:szCs w:val="19"/>
        </w:rPr>
        <w:t xml:space="preserve">to </w:t>
      </w:r>
      <w:r w:rsidR="00913909">
        <w:rPr>
          <w:rFonts w:ascii="Georgia" w:hAnsi="Georgia" w:cs="Arial"/>
          <w:sz w:val="19"/>
          <w:szCs w:val="19"/>
        </w:rPr>
        <w:t>Jun</w:t>
      </w:r>
      <w:r w:rsidR="00C2136E">
        <w:rPr>
          <w:rFonts w:ascii="Georgia" w:hAnsi="Georgia" w:cs="Arial"/>
          <w:sz w:val="19"/>
          <w:szCs w:val="19"/>
        </w:rPr>
        <w:t>e 2</w:t>
      </w:r>
      <w:r w:rsidR="00913909">
        <w:rPr>
          <w:rFonts w:ascii="Georgia" w:hAnsi="Georgia" w:cs="Arial"/>
          <w:sz w:val="19"/>
          <w:szCs w:val="19"/>
        </w:rPr>
        <w:t>009)</w:t>
      </w:r>
      <w:r w:rsidR="007A1A30">
        <w:rPr>
          <w:rFonts w:ascii="Georgia" w:hAnsi="Georgia" w:cs="Arial"/>
          <w:sz w:val="19"/>
          <w:szCs w:val="19"/>
        </w:rPr>
        <w:t>.</w:t>
      </w:r>
    </w:p>
    <w:p w:rsidR="007A1A30" w:rsidRPr="007A57A2" w:rsidRDefault="007A1A30" w:rsidP="007A1A30">
      <w:pPr>
        <w:pStyle w:val="Heading3"/>
      </w:pPr>
      <w:bookmarkStart w:id="65" w:name="_Toc361056131"/>
      <w:r w:rsidRPr="007A57A2">
        <w:t>Assessment of results and performance</w:t>
      </w:r>
      <w:bookmarkEnd w:id="65"/>
    </w:p>
    <w:p w:rsidR="0023220F" w:rsidRPr="00560AD9" w:rsidRDefault="0023220F" w:rsidP="0023220F">
      <w:pPr>
        <w:pStyle w:val="BodyText"/>
      </w:pPr>
      <w:r w:rsidRPr="00560AD9">
        <w:t>Under the leadership of the Australian</w:t>
      </w:r>
      <w:r w:rsidR="005854CC">
        <w:t>-</w:t>
      </w:r>
      <w:r w:rsidRPr="00560AD9">
        <w:t>funded Director of Education,</w:t>
      </w:r>
      <w:r>
        <w:t xml:space="preserve"> </w:t>
      </w:r>
      <w:r w:rsidRPr="00560AD9">
        <w:t xml:space="preserve">progress and achievements in the education sector </w:t>
      </w:r>
      <w:r w:rsidR="00FF48A9">
        <w:t>in</w:t>
      </w:r>
      <w:r w:rsidR="00FF48A9" w:rsidRPr="00560AD9">
        <w:t xml:space="preserve"> </w:t>
      </w:r>
      <w:r w:rsidRPr="00560AD9">
        <w:t>2008</w:t>
      </w:r>
      <w:r w:rsidR="00176171">
        <w:t xml:space="preserve"> -09</w:t>
      </w:r>
      <w:r w:rsidRPr="00560AD9">
        <w:t xml:space="preserve"> </w:t>
      </w:r>
      <w:r w:rsidR="00FF48A9">
        <w:t>were</w:t>
      </w:r>
      <w:r w:rsidRPr="00560AD9">
        <w:t xml:space="preserve"> considerable. Key objectives include</w:t>
      </w:r>
      <w:r w:rsidR="00FF48A9">
        <w:t>d</w:t>
      </w:r>
      <w:r w:rsidRPr="00560AD9">
        <w:t xml:space="preserve"> improvements to data collection, production of a quality strategic plan and supporting legislation,</w:t>
      </w:r>
      <w:r>
        <w:t xml:space="preserve"> </w:t>
      </w:r>
      <w:r w:rsidR="005854CC">
        <w:t>greater</w:t>
      </w:r>
      <w:r w:rsidR="005854CC" w:rsidRPr="00560AD9">
        <w:t xml:space="preserve"> </w:t>
      </w:r>
      <w:r w:rsidRPr="00560AD9">
        <w:t>numbers of skilled teachers</w:t>
      </w:r>
      <w:r w:rsidR="005854CC">
        <w:t>,</w:t>
      </w:r>
      <w:r w:rsidRPr="00560AD9">
        <w:t xml:space="preserve"> and introduction of improved infrastructure</w:t>
      </w:r>
      <w:r w:rsidR="005854CC">
        <w:t>,</w:t>
      </w:r>
      <w:r w:rsidRPr="00560AD9">
        <w:t xml:space="preserve"> including water and sanitation in every school. However, l</w:t>
      </w:r>
      <w:r w:rsidR="007D3022">
        <w:t>ess</w:t>
      </w:r>
      <w:r w:rsidRPr="00560AD9">
        <w:t xml:space="preserve"> progress has been made </w:t>
      </w:r>
      <w:r w:rsidR="006E3DF4">
        <w:t xml:space="preserve">on </w:t>
      </w:r>
      <w:r w:rsidRPr="00560AD9">
        <w:t>building up a capable senior management structure comprising local personnel, including for the role of Director Education for 2009</w:t>
      </w:r>
      <w:r>
        <w:t>–</w:t>
      </w:r>
      <w:r w:rsidRPr="00560AD9">
        <w:t>10 and beyond. This is likely to take some years to achieve</w:t>
      </w:r>
      <w:r w:rsidR="006E3DF4">
        <w:t>, and so does not seriously affect</w:t>
      </w:r>
      <w:r w:rsidRPr="00560AD9">
        <w:t xml:space="preserve"> the rating for</w:t>
      </w:r>
      <w:r>
        <w:t> </w:t>
      </w:r>
      <w:r w:rsidRPr="00560AD9">
        <w:t>2008</w:t>
      </w:r>
      <w:r w:rsidR="00176171">
        <w:t xml:space="preserve"> - 09</w:t>
      </w:r>
      <w:r w:rsidRPr="00560AD9">
        <w:t>.</w:t>
      </w:r>
    </w:p>
    <w:p w:rsidR="007A1A30" w:rsidRPr="00560AD9" w:rsidRDefault="007A1A30" w:rsidP="007A1A30">
      <w:pPr>
        <w:pStyle w:val="BodyText"/>
      </w:pPr>
      <w:r w:rsidRPr="00560AD9">
        <w:t xml:space="preserve">The education sector four years ago was in a dire state. </w:t>
      </w:r>
      <w:r w:rsidR="00FF48A9">
        <w:t>R</w:t>
      </w:r>
      <w:r w:rsidRPr="00560AD9">
        <w:t>ates of absenteeism among students and teaching staff</w:t>
      </w:r>
      <w:r w:rsidR="00FF48A9">
        <w:t xml:space="preserve"> were extremely high</w:t>
      </w:r>
      <w:r w:rsidRPr="00560AD9">
        <w:t>, enrolment numbers were falling rapidly, community attitudes to education were poor, physical infrastructure was dilapidated to the point of being a health and safety hazard, educational outcomes were deteriorating, teacher training was limited and the curriculum did not match Nauru</w:t>
      </w:r>
      <w:r w:rsidR="00247AFA">
        <w:t>’</w:t>
      </w:r>
      <w:r w:rsidRPr="00560AD9">
        <w:t>s needs.</w:t>
      </w:r>
    </w:p>
    <w:p w:rsidR="007A1A30" w:rsidRPr="00560AD9" w:rsidRDefault="007A1A30" w:rsidP="007A1A30">
      <w:pPr>
        <w:pStyle w:val="BodyText"/>
      </w:pPr>
      <w:r w:rsidRPr="00560AD9">
        <w:lastRenderedPageBreak/>
        <w:t xml:space="preserve">An anecdotal assessment of Australian assistance shows </w:t>
      </w:r>
      <w:r w:rsidR="006E3DF4">
        <w:t xml:space="preserve">that </w:t>
      </w:r>
      <w:r w:rsidRPr="00560AD9">
        <w:t xml:space="preserve">a great deal has changed, as there is now much improved access to basic education and more community engagement in the school system. According to </w:t>
      </w:r>
      <w:smartTag w:uri="urn:schemas-microsoft-com:office:smarttags" w:element="place">
        <w:smartTag w:uri="urn:schemas-microsoft-com:office:smarttags" w:element="country-region">
          <w:r w:rsidRPr="00560AD9">
            <w:t>Nauru</w:t>
          </w:r>
        </w:smartTag>
      </w:smartTag>
      <w:r w:rsidR="00247AFA">
        <w:t>’</w:t>
      </w:r>
      <w:r w:rsidRPr="00560AD9">
        <w:t>s Department of Education, school attendance increased from 63</w:t>
      </w:r>
      <w:r w:rsidR="00C2136E">
        <w:t>%</w:t>
      </w:r>
      <w:r w:rsidRPr="00560AD9">
        <w:t xml:space="preserve"> in 2006 to 67</w:t>
      </w:r>
      <w:r w:rsidR="00C2136E">
        <w:t>%</w:t>
      </w:r>
      <w:r w:rsidRPr="00560AD9">
        <w:t xml:space="preserve"> in 2007. Primary and </w:t>
      </w:r>
      <w:r w:rsidR="006E3DF4">
        <w:t>s</w:t>
      </w:r>
      <w:r w:rsidRPr="00560AD9">
        <w:t xml:space="preserve">econdary </w:t>
      </w:r>
      <w:r w:rsidR="006E3DF4">
        <w:t>s</w:t>
      </w:r>
      <w:r w:rsidRPr="00560AD9">
        <w:t>chool completion rates increased by 5% and 27%</w:t>
      </w:r>
      <w:r w:rsidR="006E3DF4">
        <w:t>,</w:t>
      </w:r>
      <w:r w:rsidRPr="00560AD9">
        <w:t xml:space="preserve"> respectively</w:t>
      </w:r>
      <w:r w:rsidR="006E3DF4">
        <w:t>,</w:t>
      </w:r>
      <w:r w:rsidRPr="00560AD9">
        <w:t xml:space="preserve"> from 2006 to 2009.</w:t>
      </w:r>
      <w:r w:rsidR="00C2136E">
        <w:t xml:space="preserve"> </w:t>
      </w:r>
      <w:r w:rsidRPr="00560AD9">
        <w:t>According to reporting from the Director of Education, teacher attend</w:t>
      </w:r>
      <w:r w:rsidR="00FF48A9">
        <w:t>ance</w:t>
      </w:r>
      <w:r w:rsidRPr="00560AD9">
        <w:t xml:space="preserve"> </w:t>
      </w:r>
      <w:r w:rsidR="00FF48A9">
        <w:t>has also improved</w:t>
      </w:r>
      <w:r w:rsidRPr="00560AD9">
        <w:t>.</w:t>
      </w:r>
    </w:p>
    <w:p w:rsidR="007A1A30" w:rsidRPr="00560AD9" w:rsidRDefault="007A1A30" w:rsidP="007A1A30">
      <w:pPr>
        <w:pStyle w:val="BodyText"/>
      </w:pPr>
      <w:smartTag w:uri="urn:schemas-microsoft-com:office:smarttags" w:element="place">
        <w:smartTag w:uri="urn:schemas-microsoft-com:office:smarttags" w:element="country-region">
          <w:r w:rsidRPr="00560AD9">
            <w:t>Australia</w:t>
          </w:r>
        </w:smartTag>
      </w:smartTag>
      <w:r w:rsidRPr="00560AD9">
        <w:t xml:space="preserve"> supports the education sector </w:t>
      </w:r>
      <w:r w:rsidR="000A0499">
        <w:t xml:space="preserve">mainly </w:t>
      </w:r>
      <w:r w:rsidRPr="00560AD9">
        <w:t xml:space="preserve">by providing key personnel and funding infrastructure projects. </w:t>
      </w:r>
      <w:smartTag w:uri="urn:schemas-microsoft-com:office:smarttags" w:element="place">
        <w:smartTag w:uri="urn:schemas-microsoft-com:office:smarttags" w:element="country-region">
          <w:r w:rsidRPr="00560AD9">
            <w:t>New Zealand</w:t>
          </w:r>
        </w:smartTag>
      </w:smartTag>
      <w:r w:rsidRPr="00560AD9">
        <w:t xml:space="preserve"> is also a significant donor and primarily supports teacher training and curriculum development. The </w:t>
      </w:r>
      <w:proofErr w:type="spellStart"/>
      <w:r w:rsidR="001E6A16">
        <w:t>GoN</w:t>
      </w:r>
      <w:proofErr w:type="spellEnd"/>
      <w:r w:rsidRPr="00560AD9">
        <w:t xml:space="preserve"> mostly funds teacher salaries and school supplies. The Australian-funded Director of Education has been responsible for the successful coordination of activities funded by the </w:t>
      </w:r>
      <w:proofErr w:type="spellStart"/>
      <w:r w:rsidR="001E6A16">
        <w:t>GoN</w:t>
      </w:r>
      <w:proofErr w:type="spellEnd"/>
      <w:r w:rsidRPr="00560AD9">
        <w:t xml:space="preserve"> and donors and in developing a five-year strategic plan for the education sector. </w:t>
      </w:r>
      <w:smartTag w:uri="urn:schemas-microsoft-com:office:smarttags" w:element="place">
        <w:smartTag w:uri="urn:schemas-microsoft-com:office:smarttags" w:element="country-region">
          <w:r w:rsidRPr="00560AD9">
            <w:t>Australia</w:t>
          </w:r>
        </w:smartTag>
      </w:smartTag>
      <w:r w:rsidRPr="00560AD9">
        <w:t xml:space="preserve"> is working closely with the </w:t>
      </w:r>
      <w:proofErr w:type="spellStart"/>
      <w:r w:rsidR="001E6A16">
        <w:t>GoN</w:t>
      </w:r>
      <w:proofErr w:type="spellEnd"/>
      <w:r w:rsidRPr="00560AD9">
        <w:t xml:space="preserve"> to develop and implement the strategies in the plan. Under the Pacific Partnership for Development, this may involve formalising a sector-wide approach. </w:t>
      </w:r>
      <w:smartTag w:uri="urn:schemas-microsoft-com:office:smarttags" w:element="country-region">
        <w:r w:rsidRPr="00560AD9">
          <w:t>Australia</w:t>
        </w:r>
      </w:smartTag>
      <w:r w:rsidRPr="00560AD9">
        <w:t xml:space="preserve"> is especially interested in assisting </w:t>
      </w:r>
      <w:smartTag w:uri="urn:schemas-microsoft-com:office:smarttags" w:element="place">
        <w:smartTag w:uri="urn:schemas-microsoft-com:office:smarttags" w:element="country-region">
          <w:r w:rsidRPr="00560AD9">
            <w:t>Nauru</w:t>
          </w:r>
        </w:smartTag>
      </w:smartTag>
      <w:r w:rsidRPr="00560AD9">
        <w:t xml:space="preserve"> to develop technical and vocational education and training, which is critical to skills required for the domestic and international labour markets. It will be important to develop information systems to report on both qualitative and quantitative aspects of initiatives.</w:t>
      </w:r>
    </w:p>
    <w:p w:rsidR="00C2136E" w:rsidRDefault="007A1A30" w:rsidP="007A1A30">
      <w:pPr>
        <w:pStyle w:val="BodyText"/>
      </w:pPr>
      <w:r w:rsidRPr="00560AD9">
        <w:t>Under the direction of the Australian-funded Director of Education</w:t>
      </w:r>
      <w:r w:rsidR="006E3DF4">
        <w:t>,</w:t>
      </w:r>
      <w:r w:rsidRPr="00560AD9">
        <w:t xml:space="preserve"> additional qualified teachers have been recruited from overseas</w:t>
      </w:r>
      <w:r w:rsidR="006E3DF4">
        <w:t>;</w:t>
      </w:r>
      <w:r w:rsidRPr="00560AD9">
        <w:t xml:space="preserve"> a teacher training, leadership and mentoring program has been introduced, a new program of technical and vocational education and training has been introduced</w:t>
      </w:r>
      <w:r w:rsidR="006E3DF4">
        <w:t>;</w:t>
      </w:r>
      <w:r w:rsidRPr="00560AD9">
        <w:t xml:space="preserve"> an early childhood education curriculum and a locally prepared primary education curriculum with </w:t>
      </w:r>
      <w:r w:rsidR="006E3DF4">
        <w:t xml:space="preserve">locally relevant </w:t>
      </w:r>
      <w:r w:rsidRPr="00560AD9">
        <w:t>content have been introduced</w:t>
      </w:r>
      <w:r w:rsidR="006E3DF4">
        <w:t>;</w:t>
      </w:r>
      <w:r w:rsidRPr="00560AD9">
        <w:t xml:space="preserve"> the One Laptop Per Child initiative has been successfully piloted</w:t>
      </w:r>
      <w:r w:rsidR="006E3DF4">
        <w:t>;</w:t>
      </w:r>
      <w:r w:rsidRPr="00560AD9">
        <w:t xml:space="preserve"> and primary and infants schools have undergone major refurbishment using local labour to address safety and sanitation concerns.</w:t>
      </w:r>
    </w:p>
    <w:p w:rsidR="00C2136E" w:rsidRDefault="007A1A30" w:rsidP="007A1A30">
      <w:pPr>
        <w:pStyle w:val="BodyText"/>
      </w:pPr>
      <w:r w:rsidRPr="00560AD9">
        <w:t xml:space="preserve">As with most other areas of donor engagement in </w:t>
      </w:r>
      <w:smartTag w:uri="urn:schemas-microsoft-com:office:smarttags" w:element="country-region">
        <w:smartTag w:uri="urn:schemas-microsoft-com:office:smarttags" w:element="place">
          <w:r w:rsidRPr="00560AD9">
            <w:t>Nauru</w:t>
          </w:r>
        </w:smartTag>
      </w:smartTag>
      <w:r w:rsidRPr="00560AD9">
        <w:t xml:space="preserve">, the key constraint </w:t>
      </w:r>
      <w:r w:rsidR="000578F5">
        <w:t>on</w:t>
      </w:r>
      <w:r w:rsidR="000578F5" w:rsidRPr="00560AD9">
        <w:t xml:space="preserve"> </w:t>
      </w:r>
      <w:r w:rsidRPr="00560AD9">
        <w:t xml:space="preserve">future development is the lack of suitably qualified and skilled local personnel to take on key roles </w:t>
      </w:r>
      <w:r w:rsidR="007D3022">
        <w:t>such as</w:t>
      </w:r>
      <w:r w:rsidRPr="00560AD9">
        <w:t xml:space="preserve"> the Director of Education</w:t>
      </w:r>
      <w:r w:rsidR="006E3DF4">
        <w:t>,</w:t>
      </w:r>
      <w:r w:rsidRPr="00560AD9">
        <w:t xml:space="preserve"> although ongoing training of staff is occurring. As a result, there will be a need for further high-level advisory assistance that is more deliberately focused on developing the managerial and professional capacity of the Department of Education.</w:t>
      </w:r>
    </w:p>
    <w:p w:rsidR="00C2136E" w:rsidRDefault="007A1A30" w:rsidP="007A1A30">
      <w:pPr>
        <w:pStyle w:val="BodyText"/>
      </w:pPr>
      <w:r w:rsidRPr="00560AD9">
        <w:t>The Director of Education has overseen improvements in administrative capacity through the training of 43 office staff and the appointment of a buildings coordinator and a statistics officer. These roles have led to better arrangements for building maintenance and better collection of information for planning and decision making. The development of data-gathering systems to inform future policy and funding priorities is advancing</w:t>
      </w:r>
      <w:r w:rsidR="006E3DF4">
        <w:t>,</w:t>
      </w:r>
      <w:r w:rsidRPr="00560AD9">
        <w:t xml:space="preserve"> and already some statistics are available and informing decision making.</w:t>
      </w:r>
    </w:p>
    <w:p w:rsidR="007A1A30" w:rsidRPr="00560AD9" w:rsidRDefault="007A1A30" w:rsidP="007A1A30">
      <w:pPr>
        <w:pStyle w:val="BodyText"/>
      </w:pPr>
      <w:r w:rsidRPr="00560AD9">
        <w:t xml:space="preserve">A major component of </w:t>
      </w:r>
      <w:proofErr w:type="spellStart"/>
      <w:r w:rsidRPr="00560AD9">
        <w:t>AusAID</w:t>
      </w:r>
      <w:r w:rsidR="00247AFA">
        <w:t>’</w:t>
      </w:r>
      <w:r w:rsidRPr="00560AD9">
        <w:t>s</w:t>
      </w:r>
      <w:proofErr w:type="spellEnd"/>
      <w:r w:rsidRPr="00560AD9">
        <w:t xml:space="preserve"> work in the education sector is the $10 million redevelopment of the </w:t>
      </w:r>
      <w:smartTag w:uri="urn:schemas-microsoft-com:office:smarttags" w:element="place">
        <w:smartTag w:uri="urn:schemas-microsoft-com:office:smarttags" w:element="PlaceName">
          <w:r w:rsidRPr="00560AD9">
            <w:t>Nauru</w:t>
          </w:r>
        </w:smartTag>
        <w:r w:rsidRPr="00560AD9">
          <w:t xml:space="preserve"> </w:t>
        </w:r>
        <w:smartTag w:uri="urn:schemas-microsoft-com:office:smarttags" w:element="PlaceType">
          <w:r w:rsidRPr="00560AD9">
            <w:t>Secondary School</w:t>
          </w:r>
        </w:smartTag>
      </w:smartTag>
      <w:r w:rsidRPr="00560AD9">
        <w:t xml:space="preserve">. The school will be ready for use in 2010 and will include technical and vocational education facilities </w:t>
      </w:r>
      <w:r w:rsidR="006E3DF4">
        <w:t>that</w:t>
      </w:r>
      <w:r w:rsidR="006E3DF4" w:rsidRPr="00560AD9">
        <w:t xml:space="preserve"> </w:t>
      </w:r>
      <w:r w:rsidRPr="00560AD9">
        <w:t xml:space="preserve">will enable Nauruan students to qualify for entry into the </w:t>
      </w:r>
      <w:smartTag w:uri="urn:schemas-microsoft-com:office:smarttags" w:element="place">
        <w:smartTag w:uri="urn:schemas-microsoft-com:office:smarttags" w:element="PlaceName">
          <w:r w:rsidRPr="00560AD9">
            <w:t>Australian</w:t>
          </w:r>
        </w:smartTag>
        <w:r w:rsidRPr="00560AD9">
          <w:t xml:space="preserve"> </w:t>
        </w:r>
        <w:smartTag w:uri="urn:schemas-microsoft-com:office:smarttags" w:element="PlaceName">
          <w:r w:rsidRPr="00560AD9">
            <w:t>Pacific</w:t>
          </w:r>
        </w:smartTag>
        <w:r w:rsidRPr="00560AD9">
          <w:t xml:space="preserve"> </w:t>
        </w:r>
        <w:smartTag w:uri="urn:schemas-microsoft-com:office:smarttags" w:element="PlaceName">
          <w:r w:rsidRPr="00560AD9">
            <w:t>Technical</w:t>
          </w:r>
        </w:smartTag>
        <w:r w:rsidRPr="00560AD9">
          <w:t xml:space="preserve"> </w:t>
        </w:r>
        <w:smartTag w:uri="urn:schemas-microsoft-com:office:smarttags" w:element="PlaceType">
          <w:r w:rsidRPr="00560AD9">
            <w:t>College</w:t>
          </w:r>
        </w:smartTag>
      </w:smartTag>
      <w:r w:rsidRPr="00560AD9">
        <w:t>. Th</w:t>
      </w:r>
      <w:r w:rsidR="006E3DF4">
        <w:t>o</w:t>
      </w:r>
      <w:r w:rsidRPr="00560AD9">
        <w:t xml:space="preserve">se facilities will be the first of their kind on </w:t>
      </w:r>
      <w:smartTag w:uri="urn:schemas-microsoft-com:office:smarttags" w:element="place">
        <w:smartTag w:uri="urn:schemas-microsoft-com:office:smarttags" w:element="country-region">
          <w:r w:rsidRPr="00560AD9">
            <w:t>Nauru</w:t>
          </w:r>
        </w:smartTag>
      </w:smartTag>
      <w:r w:rsidR="006E3DF4">
        <w:t>,</w:t>
      </w:r>
      <w:r w:rsidRPr="00560AD9">
        <w:t xml:space="preserve"> and </w:t>
      </w:r>
      <w:r w:rsidR="006E3DF4">
        <w:t xml:space="preserve">the </w:t>
      </w:r>
      <w:proofErr w:type="spellStart"/>
      <w:r w:rsidR="006E3DF4">
        <w:t>AusAID</w:t>
      </w:r>
      <w:proofErr w:type="spellEnd"/>
      <w:r w:rsidR="006E3DF4">
        <w:t xml:space="preserve">-funded </w:t>
      </w:r>
      <w:r w:rsidRPr="00560AD9">
        <w:t xml:space="preserve">construction project </w:t>
      </w:r>
      <w:r w:rsidR="006E3DF4">
        <w:t xml:space="preserve">will be the first </w:t>
      </w:r>
      <w:r w:rsidRPr="00560AD9">
        <w:t>to incorporate recognition of climate change in the design. Furthermore, the community</w:t>
      </w:r>
      <w:r w:rsidR="00247AFA">
        <w:t>’</w:t>
      </w:r>
      <w:r w:rsidRPr="00560AD9">
        <w:t xml:space="preserve">s engagement in the project points to an improving community attitude to education. Equally, the shift in emphasis by </w:t>
      </w:r>
      <w:r w:rsidR="00CB524D">
        <w:t xml:space="preserve">the </w:t>
      </w:r>
      <w:proofErr w:type="spellStart"/>
      <w:r w:rsidRPr="00560AD9">
        <w:t>GoN</w:t>
      </w:r>
      <w:proofErr w:type="spellEnd"/>
      <w:r w:rsidRPr="00560AD9">
        <w:t xml:space="preserve"> to achieving both academic and </w:t>
      </w:r>
      <w:r w:rsidR="00D11FE9">
        <w:t>TAFE-delivered vocational education and training</w:t>
      </w:r>
      <w:r w:rsidR="00D11FE9" w:rsidRPr="00560AD9">
        <w:t xml:space="preserve"> </w:t>
      </w:r>
      <w:r w:rsidRPr="00560AD9">
        <w:t>outcomes is a positive and constructive policy move. However, ongoing recurrent funding for maintenance and operations of the school will need to be available through future budgets to ensure continued benefit for the community.</w:t>
      </w:r>
    </w:p>
    <w:p w:rsidR="007A1A30" w:rsidRPr="00560AD9" w:rsidRDefault="007A1A30" w:rsidP="007A1A30">
      <w:pPr>
        <w:pStyle w:val="BodyText"/>
      </w:pPr>
      <w:r w:rsidRPr="00560AD9">
        <w:lastRenderedPageBreak/>
        <w:t xml:space="preserve">In collaboration with </w:t>
      </w:r>
      <w:r w:rsidR="00CB524D">
        <w:t xml:space="preserve">the </w:t>
      </w:r>
      <w:proofErr w:type="spellStart"/>
      <w:r w:rsidRPr="00560AD9">
        <w:t>G</w:t>
      </w:r>
      <w:r w:rsidR="006E3DF4">
        <w:t>o</w:t>
      </w:r>
      <w:r w:rsidRPr="00560AD9">
        <w:t>N</w:t>
      </w:r>
      <w:proofErr w:type="spellEnd"/>
      <w:r w:rsidRPr="00560AD9">
        <w:t xml:space="preserve">, </w:t>
      </w:r>
      <w:proofErr w:type="spellStart"/>
      <w:r w:rsidRPr="00560AD9">
        <w:t>AusAID</w:t>
      </w:r>
      <w:proofErr w:type="spellEnd"/>
      <w:r w:rsidRPr="00560AD9">
        <w:t xml:space="preserve"> chose a community participatory approach to deliver the new secondary school as </w:t>
      </w:r>
      <w:r w:rsidR="006E3DF4">
        <w:t>a</w:t>
      </w:r>
      <w:r w:rsidR="006E3DF4" w:rsidRPr="00560AD9">
        <w:t xml:space="preserve"> </w:t>
      </w:r>
      <w:r w:rsidRPr="00560AD9">
        <w:t xml:space="preserve">considered alternative to more traditional and less risky delivery through a commercial building contract. The </w:t>
      </w:r>
      <w:r w:rsidR="006E3DF4">
        <w:t>expected</w:t>
      </w:r>
      <w:r w:rsidR="006E3DF4" w:rsidRPr="00560AD9">
        <w:t xml:space="preserve"> </w:t>
      </w:r>
      <w:r w:rsidRPr="00560AD9">
        <w:t>benefits of this approach are now being reali</w:t>
      </w:r>
      <w:r w:rsidR="006E3DF4">
        <w:t>s</w:t>
      </w:r>
      <w:r w:rsidRPr="00560AD9">
        <w:t>ed through increased local employment</w:t>
      </w:r>
      <w:r w:rsidR="006E3DF4">
        <w:t xml:space="preserve">, </w:t>
      </w:r>
      <w:r w:rsidRPr="00560AD9">
        <w:t xml:space="preserve">skill development </w:t>
      </w:r>
      <w:r w:rsidR="006E3DF4">
        <w:t xml:space="preserve">and </w:t>
      </w:r>
      <w:r w:rsidRPr="00560AD9">
        <w:t xml:space="preserve">local ownership of the buildings. With the </w:t>
      </w:r>
      <w:r w:rsidR="00D11FE9">
        <w:t>global financial crisis</w:t>
      </w:r>
      <w:r w:rsidR="00D11FE9" w:rsidRPr="00560AD9">
        <w:t xml:space="preserve"> </w:t>
      </w:r>
      <w:r w:rsidRPr="00560AD9">
        <w:t xml:space="preserve">now </w:t>
      </w:r>
      <w:r w:rsidR="006E3DF4">
        <w:t>affecting</w:t>
      </w:r>
      <w:r w:rsidRPr="00560AD9">
        <w:t xml:space="preserve"> the local economy</w:t>
      </w:r>
      <w:r w:rsidR="006E3DF4">
        <w:t>,</w:t>
      </w:r>
      <w:r w:rsidRPr="00560AD9">
        <w:t xml:space="preserve"> the local economic stimulus provided by community engagement with school construction is broadly welcomed.</w:t>
      </w:r>
    </w:p>
    <w:p w:rsidR="007A1A30" w:rsidRPr="00560AD9" w:rsidRDefault="007A1A30" w:rsidP="007A1A30">
      <w:pPr>
        <w:pStyle w:val="BodyText"/>
      </w:pPr>
      <w:smartTag w:uri="urn:schemas-microsoft-com:office:smarttags" w:element="place">
        <w:smartTag w:uri="urn:schemas-microsoft-com:office:smarttags" w:element="country-region">
          <w:r w:rsidRPr="00560AD9">
            <w:t>Australia</w:t>
          </w:r>
        </w:smartTag>
      </w:smartTag>
      <w:r w:rsidRPr="00560AD9">
        <w:t xml:space="preserve"> continues to fund Australian Regional Development Scholarships. </w:t>
      </w:r>
      <w:r w:rsidR="002D1084">
        <w:t>Twenty</w:t>
      </w:r>
      <w:r w:rsidR="002D1084">
        <w:noBreakHyphen/>
        <w:t>nine</w:t>
      </w:r>
      <w:r w:rsidR="00C2136E">
        <w:t xml:space="preserve"> </w:t>
      </w:r>
      <w:proofErr w:type="spellStart"/>
      <w:r w:rsidRPr="00560AD9">
        <w:t>Nauruans</w:t>
      </w:r>
      <w:proofErr w:type="spellEnd"/>
      <w:r w:rsidRPr="00560AD9">
        <w:t xml:space="preserve"> are </w:t>
      </w:r>
      <w:r w:rsidR="002D1084">
        <w:t xml:space="preserve">currently </w:t>
      </w:r>
      <w:r w:rsidRPr="00560AD9">
        <w:t xml:space="preserve">studying at universities in </w:t>
      </w:r>
      <w:smartTag w:uri="urn:schemas-microsoft-com:office:smarttags" w:element="place">
        <w:r w:rsidRPr="00560AD9">
          <w:t>Asia</w:t>
        </w:r>
      </w:smartTag>
      <w:r w:rsidRPr="00560AD9">
        <w:t xml:space="preserve"> and the Pacific. </w:t>
      </w:r>
      <w:smartTag w:uri="urn:schemas-microsoft-com:office:smarttags" w:element="country-region">
        <w:r w:rsidRPr="00560AD9">
          <w:t>Nauru</w:t>
        </w:r>
      </w:smartTag>
      <w:r w:rsidRPr="00560AD9">
        <w:t xml:space="preserve"> accesses 8–10 Regional Development Scholarships annually, focusing on skills required for </w:t>
      </w:r>
      <w:smartTag w:uri="urn:schemas-microsoft-com:office:smarttags" w:element="place">
        <w:smartTag w:uri="urn:schemas-microsoft-com:office:smarttags" w:element="country-region">
          <w:r w:rsidRPr="00560AD9">
            <w:t>Nauru</w:t>
          </w:r>
        </w:smartTag>
      </w:smartTag>
      <w:r w:rsidR="00247AFA">
        <w:t>’</w:t>
      </w:r>
      <w:r w:rsidRPr="00560AD9">
        <w:t xml:space="preserve">s future. Eight students completed their courses in 2008; seven returned to </w:t>
      </w:r>
      <w:smartTag w:uri="urn:schemas-microsoft-com:office:smarttags" w:element="place">
        <w:smartTag w:uri="urn:schemas-microsoft-com:office:smarttags" w:element="country-region">
          <w:r w:rsidRPr="00560AD9">
            <w:t>Nauru</w:t>
          </w:r>
        </w:smartTag>
      </w:smartTag>
      <w:r w:rsidRPr="00560AD9">
        <w:t xml:space="preserve"> and are all currently employed in their field of study, </w:t>
      </w:r>
      <w:r w:rsidR="002D1084">
        <w:t xml:space="preserve">and </w:t>
      </w:r>
      <w:r w:rsidRPr="00560AD9">
        <w:t xml:space="preserve">one continued with further studies. </w:t>
      </w:r>
      <w:smartTag w:uri="urn:schemas-microsoft-com:office:smarttags" w:element="country-region">
        <w:r w:rsidRPr="00560AD9">
          <w:t>Nauru</w:t>
        </w:r>
      </w:smartTag>
      <w:r w:rsidRPr="00560AD9">
        <w:t xml:space="preserve"> has also been offered </w:t>
      </w:r>
      <w:r w:rsidR="002D1084">
        <w:t>nine</w:t>
      </w:r>
      <w:r w:rsidRPr="00560AD9">
        <w:t xml:space="preserve"> </w:t>
      </w:r>
      <w:smartTag w:uri="urn:schemas-microsoft-com:office:smarttags" w:element="PlaceName">
        <w:r w:rsidRPr="00560AD9">
          <w:t>Australia</w:t>
        </w:r>
      </w:smartTag>
      <w:r w:rsidRPr="00560AD9">
        <w:t xml:space="preserve"> </w:t>
      </w:r>
      <w:smartTag w:uri="urn:schemas-microsoft-com:office:smarttags" w:element="PlaceName">
        <w:r w:rsidRPr="00560AD9">
          <w:t>Pacific</w:t>
        </w:r>
      </w:smartTag>
      <w:r w:rsidRPr="00560AD9">
        <w:t xml:space="preserve"> </w:t>
      </w:r>
      <w:smartTag w:uri="urn:schemas-microsoft-com:office:smarttags" w:element="PlaceName">
        <w:r w:rsidRPr="00560AD9">
          <w:t>Technical</w:t>
        </w:r>
      </w:smartTag>
      <w:r w:rsidRPr="00560AD9">
        <w:t xml:space="preserve"> </w:t>
      </w:r>
      <w:smartTag w:uri="urn:schemas-microsoft-com:office:smarttags" w:element="PlaceType">
        <w:r w:rsidRPr="00560AD9">
          <w:t>College</w:t>
        </w:r>
      </w:smartTag>
      <w:r w:rsidRPr="00560AD9">
        <w:t xml:space="preserve"> scholarships t</w:t>
      </w:r>
      <w:r w:rsidR="00CF5833" w:rsidRPr="00560AD9">
        <w:t>o</w:t>
      </w:r>
      <w:r w:rsidR="00CF5833">
        <w:t xml:space="preserve"> </w:t>
      </w:r>
      <w:r w:rsidR="00CF5833" w:rsidRPr="00560AD9">
        <w:t>d</w:t>
      </w:r>
      <w:r w:rsidRPr="00560AD9">
        <w:t xml:space="preserve">ate – six to the </w:t>
      </w:r>
      <w:smartTag w:uri="urn:schemas-microsoft-com:office:smarttags" w:element="PlaceType">
        <w:r w:rsidRPr="00560AD9">
          <w:t>school</w:t>
        </w:r>
      </w:smartTag>
      <w:r w:rsidRPr="00560AD9">
        <w:t xml:space="preserve"> of </w:t>
      </w:r>
      <w:smartTag w:uri="urn:schemas-microsoft-com:office:smarttags" w:element="PlaceName">
        <w:r w:rsidRPr="00560AD9">
          <w:t>Automotive</w:t>
        </w:r>
      </w:smartTag>
      <w:r w:rsidRPr="00560AD9">
        <w:t xml:space="preserve">, Construction, Electrical and Manufacturing and three to the </w:t>
      </w:r>
      <w:smartTag w:uri="urn:schemas-microsoft-com:office:smarttags" w:element="place">
        <w:smartTag w:uri="urn:schemas-microsoft-com:office:smarttags" w:element="PlaceType">
          <w:r w:rsidRPr="00560AD9">
            <w:t>School</w:t>
          </w:r>
        </w:smartTag>
        <w:r w:rsidRPr="00560AD9">
          <w:t xml:space="preserve"> of </w:t>
        </w:r>
        <w:smartTag w:uri="urn:schemas-microsoft-com:office:smarttags" w:element="PlaceName">
          <w:r w:rsidRPr="00560AD9">
            <w:t>Tourism</w:t>
          </w:r>
        </w:smartTag>
      </w:smartTag>
      <w:r w:rsidRPr="00560AD9">
        <w:t xml:space="preserve"> and Hospitality. </w:t>
      </w:r>
      <w:smartTag w:uri="urn:schemas-microsoft-com:office:smarttags" w:element="place">
        <w:smartTag w:uri="urn:schemas-microsoft-com:office:smarttags" w:element="country-region">
          <w:r w:rsidRPr="00560AD9">
            <w:t>Nauru</w:t>
          </w:r>
        </w:smartTag>
      </w:smartTag>
      <w:r w:rsidRPr="00560AD9">
        <w:t xml:space="preserve"> also had one Australian Leadership Awards Scholar in 200</w:t>
      </w:r>
      <w:r w:rsidR="00C2136E" w:rsidRPr="00560AD9">
        <w:t>8</w:t>
      </w:r>
      <w:r w:rsidR="00C2136E">
        <w:t>–</w:t>
      </w:r>
      <w:r w:rsidR="00C2136E" w:rsidRPr="00560AD9">
        <w:t>0</w:t>
      </w:r>
      <w:r w:rsidRPr="00560AD9">
        <w:t>9.</w:t>
      </w:r>
    </w:p>
    <w:p w:rsidR="007A1A30" w:rsidRPr="00560AD9" w:rsidRDefault="007A1A30" w:rsidP="007A1A30">
      <w:pPr>
        <w:pStyle w:val="BodyText"/>
      </w:pPr>
      <w:r w:rsidRPr="00560AD9">
        <w:t xml:space="preserve">Another significant constraint </w:t>
      </w:r>
      <w:r w:rsidR="000578F5">
        <w:t>on</w:t>
      </w:r>
      <w:r w:rsidR="000578F5" w:rsidRPr="00560AD9">
        <w:t xml:space="preserve"> </w:t>
      </w:r>
      <w:r w:rsidRPr="00560AD9">
        <w:t xml:space="preserve">improved attendance and educational outcomes is linked to poor nutrition and </w:t>
      </w:r>
      <w:r w:rsidR="002D1084">
        <w:t xml:space="preserve">the quality of </w:t>
      </w:r>
      <w:r w:rsidRPr="00560AD9">
        <w:t xml:space="preserve">food available to young pupils. </w:t>
      </w:r>
      <w:smartTag w:uri="urn:schemas-microsoft-com:office:smarttags" w:element="place">
        <w:smartTag w:uri="urn:schemas-microsoft-com:office:smarttags" w:element="country-region">
          <w:r w:rsidRPr="00560AD9">
            <w:t>Nauru</w:t>
          </w:r>
        </w:smartTag>
      </w:smartTag>
      <w:r w:rsidR="00247AFA">
        <w:t>’</w:t>
      </w:r>
      <w:r w:rsidRPr="00560AD9">
        <w:t xml:space="preserve">s Director of Education advises that introducing a school food program may be a valuable way to improve enrolment and retention rates, while at the same time improving the poor nutrition currently experienced by young </w:t>
      </w:r>
      <w:proofErr w:type="spellStart"/>
      <w:r w:rsidRPr="00560AD9">
        <w:t>Nauruans</w:t>
      </w:r>
      <w:proofErr w:type="spellEnd"/>
      <w:r w:rsidRPr="00560AD9">
        <w:t xml:space="preserve">. </w:t>
      </w:r>
      <w:smartTag w:uri="urn:schemas-microsoft-com:office:smarttags" w:element="place">
        <w:smartTag w:uri="urn:schemas-microsoft-com:office:smarttags" w:element="country-region">
          <w:r w:rsidRPr="00560AD9">
            <w:t>Australia</w:t>
          </w:r>
        </w:smartTag>
      </w:smartTag>
      <w:r w:rsidRPr="00560AD9">
        <w:t xml:space="preserve"> plans to </w:t>
      </w:r>
      <w:r w:rsidR="000578F5">
        <w:t>discuss</w:t>
      </w:r>
      <w:r w:rsidR="000578F5" w:rsidRPr="00560AD9">
        <w:t xml:space="preserve"> </w:t>
      </w:r>
      <w:r w:rsidRPr="00560AD9">
        <w:t xml:space="preserve">the introduction of a school feeding program with the </w:t>
      </w:r>
      <w:proofErr w:type="spellStart"/>
      <w:r w:rsidR="001E6A16">
        <w:t>GoN</w:t>
      </w:r>
      <w:proofErr w:type="spellEnd"/>
      <w:r w:rsidRPr="00560AD9">
        <w:t xml:space="preserve"> as part of ongoing planning discussions for 200</w:t>
      </w:r>
      <w:r w:rsidR="00C2136E" w:rsidRPr="00560AD9">
        <w:t>9</w:t>
      </w:r>
      <w:r w:rsidR="00C2136E">
        <w:t>–</w:t>
      </w:r>
      <w:r w:rsidR="00C2136E" w:rsidRPr="00560AD9">
        <w:t>1</w:t>
      </w:r>
      <w:r w:rsidRPr="00560AD9">
        <w:t xml:space="preserve">0. </w:t>
      </w:r>
      <w:r w:rsidR="004E33DA">
        <w:t>A school feeding program</w:t>
      </w:r>
      <w:r w:rsidR="004E33DA" w:rsidRPr="00560AD9">
        <w:t xml:space="preserve"> </w:t>
      </w:r>
      <w:r w:rsidRPr="00560AD9">
        <w:t xml:space="preserve">should contribute to improved educational outcomes as a result of better attendance rates </w:t>
      </w:r>
      <w:r w:rsidR="002D1084">
        <w:t>and to</w:t>
      </w:r>
      <w:r w:rsidRPr="00560AD9">
        <w:t xml:space="preserve"> improved health outcomes from higher nutritional standards.</w:t>
      </w:r>
    </w:p>
    <w:p w:rsidR="0023220F" w:rsidRPr="007A57A2" w:rsidRDefault="0023220F" w:rsidP="0023220F">
      <w:pPr>
        <w:pStyle w:val="Heading3"/>
      </w:pPr>
      <w:bookmarkStart w:id="66" w:name="_Toc361056132"/>
      <w:bookmarkStart w:id="67" w:name="_Toc229296687"/>
      <w:r w:rsidRPr="007A57A2">
        <w:t>Estimated expenditure</w:t>
      </w:r>
      <w:bookmarkEnd w:id="66"/>
    </w:p>
    <w:p w:rsidR="0023220F" w:rsidRPr="00560AD9" w:rsidRDefault="0023220F" w:rsidP="0023220F">
      <w:pPr>
        <w:pStyle w:val="BodyText"/>
      </w:pPr>
      <w:bookmarkStart w:id="68" w:name="OLE_LINK8"/>
      <w:bookmarkStart w:id="69" w:name="OLE_LINK9"/>
      <w:r w:rsidRPr="00560AD9">
        <w:t>In 2008–09</w:t>
      </w:r>
      <w:r w:rsidR="002D1084">
        <w:t>,</w:t>
      </w:r>
      <w:r w:rsidRPr="00560AD9">
        <w:t xml:space="preserve"> approximately $6.2 million (around 21</w:t>
      </w:r>
      <w:r>
        <w:t>%</w:t>
      </w:r>
      <w:r w:rsidRPr="00560AD9">
        <w:t xml:space="preserve">) of the $29.1 million of official development assistance to </w:t>
      </w:r>
      <w:smartTag w:uri="urn:schemas-microsoft-com:office:smarttags" w:element="place">
        <w:smartTag w:uri="urn:schemas-microsoft-com:office:smarttags" w:element="country-region">
          <w:r w:rsidRPr="00560AD9">
            <w:t>Nauru</w:t>
          </w:r>
        </w:smartTag>
      </w:smartTag>
      <w:r w:rsidRPr="00560AD9">
        <w:t xml:space="preserve"> was committed to initiatives related to this objective.</w:t>
      </w:r>
    </w:p>
    <w:p w:rsidR="007A1A30" w:rsidRPr="00560AD9" w:rsidRDefault="007A1A30" w:rsidP="002F6F99">
      <w:pPr>
        <w:pStyle w:val="H2"/>
      </w:pPr>
      <w:bookmarkStart w:id="70" w:name="_Toc244501297"/>
      <w:bookmarkStart w:id="71" w:name="_Toc361056133"/>
      <w:bookmarkEnd w:id="68"/>
      <w:bookmarkEnd w:id="69"/>
      <w:r w:rsidRPr="00560AD9">
        <w:t>Objective 4: Reform the institutional arrangements for the delivery of power and water services</w:t>
      </w:r>
      <w:bookmarkEnd w:id="67"/>
      <w:bookmarkEnd w:id="70"/>
      <w:bookmarkEnd w:id="71"/>
    </w:p>
    <w:p w:rsidR="0023220F" w:rsidRDefault="0023220F" w:rsidP="0023220F">
      <w:pPr>
        <w:pStyle w:val="BodyText"/>
      </w:pPr>
      <w:r w:rsidRPr="00560AD9">
        <w:t xml:space="preserve">This objective is drawn from language in the MOU between </w:t>
      </w:r>
      <w:smartTag w:uri="urn:schemas-microsoft-com:office:smarttags" w:element="country-region">
        <w:r w:rsidRPr="00560AD9">
          <w:t>Nauru</w:t>
        </w:r>
      </w:smartTag>
      <w:r w:rsidRPr="00560AD9">
        <w:t xml:space="preserve"> and </w:t>
      </w:r>
      <w:smartTag w:uri="urn:schemas-microsoft-com:office:smarttags" w:element="place">
        <w:smartTag w:uri="urn:schemas-microsoft-com:office:smarttags" w:element="country-region">
          <w:r w:rsidRPr="00560AD9">
            <w:t>Australia</w:t>
          </w:r>
        </w:smartTag>
      </w:smartTag>
      <w:r w:rsidRPr="00560AD9">
        <w:t xml:space="preserve">. The analysis of the achievements </w:t>
      </w:r>
      <w:r w:rsidR="002D1084">
        <w:t>under the</w:t>
      </w:r>
      <w:r w:rsidRPr="00560AD9">
        <w:t xml:space="preserve"> objective distinguishes between reform and service delivery. To date</w:t>
      </w:r>
      <w:r w:rsidR="002D1084">
        <w:t>,</w:t>
      </w:r>
      <w:r w:rsidRPr="00560AD9">
        <w:t xml:space="preserve"> achievements in service delivery have been significant, but the focus needs to be on implementing sustainable reforms.</w:t>
      </w:r>
    </w:p>
    <w:p w:rsidR="007A1A30" w:rsidRPr="007A57A2" w:rsidRDefault="007A1A30" w:rsidP="007A1A30">
      <w:pPr>
        <w:pStyle w:val="Heading3"/>
      </w:pPr>
      <w:bookmarkStart w:id="72" w:name="_Toc361056134"/>
      <w:r w:rsidRPr="007A57A2">
        <w:t>Rating</w:t>
      </w:r>
      <w:bookmarkEnd w:id="72"/>
    </w:p>
    <w:p w:rsidR="007A1A30" w:rsidRDefault="00602D7F" w:rsidP="002F6F99">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30810" cy="130810"/>
            <wp:effectExtent l="0" t="0" r="2540" b="2540"/>
            <wp:docPr id="4"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2F6F99">
        <w:rPr>
          <w:rFonts w:ascii="Georgia" w:hAnsi="Georgia" w:cs="Arial"/>
          <w:sz w:val="19"/>
          <w:szCs w:val="19"/>
        </w:rPr>
        <w:tab/>
      </w:r>
      <w:r w:rsidR="002F6F99">
        <w:rPr>
          <w:rFonts w:ascii="Georgia" w:hAnsi="Georgia" w:cs="Arial"/>
          <w:sz w:val="19"/>
          <w:szCs w:val="19"/>
        </w:rPr>
        <w:tab/>
      </w:r>
      <w:r w:rsidR="002F6F99">
        <w:rPr>
          <w:rFonts w:ascii="Georgia" w:hAnsi="Georgia" w:cs="Arial"/>
          <w:sz w:val="19"/>
          <w:szCs w:val="19"/>
        </w:rPr>
        <w:tab/>
      </w:r>
      <w:r w:rsidR="007A1A30">
        <w:rPr>
          <w:rFonts w:ascii="Georgia" w:hAnsi="Georgia" w:cs="Arial"/>
          <w:sz w:val="19"/>
          <w:szCs w:val="19"/>
        </w:rPr>
        <w:t>The objective will be partly achieved within the timeframe</w:t>
      </w:r>
      <w:r w:rsidR="00913909">
        <w:rPr>
          <w:rFonts w:ascii="Georgia" w:hAnsi="Georgia" w:cs="Arial"/>
          <w:sz w:val="19"/>
          <w:szCs w:val="19"/>
        </w:rPr>
        <w:t xml:space="preserve"> (</w:t>
      </w:r>
      <w:r w:rsidR="00AA6DF4">
        <w:rPr>
          <w:rFonts w:ascii="Georgia" w:hAnsi="Georgia" w:cs="Arial"/>
          <w:sz w:val="19"/>
          <w:szCs w:val="19"/>
        </w:rPr>
        <w:t xml:space="preserve">to </w:t>
      </w:r>
      <w:r w:rsidR="00913909">
        <w:rPr>
          <w:rFonts w:ascii="Georgia" w:hAnsi="Georgia" w:cs="Arial"/>
          <w:sz w:val="19"/>
          <w:szCs w:val="19"/>
        </w:rPr>
        <w:t>Jun</w:t>
      </w:r>
      <w:r w:rsidR="00C2136E">
        <w:rPr>
          <w:rFonts w:ascii="Georgia" w:hAnsi="Georgia" w:cs="Arial"/>
          <w:sz w:val="19"/>
          <w:szCs w:val="19"/>
        </w:rPr>
        <w:t>e 2</w:t>
      </w:r>
      <w:r w:rsidR="00913909">
        <w:rPr>
          <w:rFonts w:ascii="Georgia" w:hAnsi="Georgia" w:cs="Arial"/>
          <w:sz w:val="19"/>
          <w:szCs w:val="19"/>
        </w:rPr>
        <w:t>009)</w:t>
      </w:r>
      <w:r w:rsidR="007A1A30">
        <w:rPr>
          <w:rFonts w:ascii="Georgia" w:hAnsi="Georgia" w:cs="Arial"/>
          <w:sz w:val="19"/>
          <w:szCs w:val="19"/>
        </w:rPr>
        <w:t>.</w:t>
      </w:r>
    </w:p>
    <w:p w:rsidR="007A1A30" w:rsidRPr="007A57A2" w:rsidRDefault="007A1A30" w:rsidP="007A1A30">
      <w:pPr>
        <w:pStyle w:val="Heading3"/>
      </w:pPr>
      <w:bookmarkStart w:id="73" w:name="_Toc361056135"/>
      <w:r w:rsidRPr="007A57A2">
        <w:t>Assessment of results and performance</w:t>
      </w:r>
      <w:bookmarkEnd w:id="73"/>
    </w:p>
    <w:p w:rsidR="0023220F" w:rsidRPr="00560AD9" w:rsidRDefault="0023220F" w:rsidP="0023220F">
      <w:pPr>
        <w:pStyle w:val="BodyText"/>
      </w:pPr>
      <w:r w:rsidRPr="00560AD9">
        <w:t>While progress and achievements in this sector during 2008</w:t>
      </w:r>
      <w:r>
        <w:t>–</w:t>
      </w:r>
      <w:r w:rsidRPr="00560AD9">
        <w:t xml:space="preserve">09 </w:t>
      </w:r>
      <w:r w:rsidR="002D1084">
        <w:t>were</w:t>
      </w:r>
      <w:r w:rsidRPr="00560AD9">
        <w:t xml:space="preserve"> positive, particularly </w:t>
      </w:r>
      <w:r w:rsidR="002D1084">
        <w:t xml:space="preserve">in </w:t>
      </w:r>
      <w:r w:rsidRPr="00560AD9">
        <w:t>service delivery, progress toward</w:t>
      </w:r>
      <w:r w:rsidR="002D1084">
        <w:t>s</w:t>
      </w:r>
      <w:r w:rsidRPr="00560AD9">
        <w:t xml:space="preserve"> </w:t>
      </w:r>
      <w:r w:rsidR="002D1084">
        <w:t xml:space="preserve">the </w:t>
      </w:r>
      <w:r w:rsidRPr="00560AD9">
        <w:t>implementation of cost recovery</w:t>
      </w:r>
      <w:r w:rsidR="002D1084">
        <w:t xml:space="preserve"> and</w:t>
      </w:r>
      <w:r w:rsidRPr="00560AD9">
        <w:t xml:space="preserve"> demand management and </w:t>
      </w:r>
      <w:r w:rsidR="002D1084">
        <w:t xml:space="preserve">the </w:t>
      </w:r>
      <w:r w:rsidRPr="00560AD9">
        <w:t xml:space="preserve">introduction of more diverse energy sources </w:t>
      </w:r>
      <w:r w:rsidR="002D1084">
        <w:t>did</w:t>
      </w:r>
      <w:r w:rsidR="002D1084" w:rsidRPr="00560AD9">
        <w:t xml:space="preserve"> </w:t>
      </w:r>
      <w:r w:rsidRPr="00560AD9">
        <w:t>not fully me</w:t>
      </w:r>
      <w:r w:rsidR="002D1084">
        <w:t>e</w:t>
      </w:r>
      <w:r w:rsidRPr="00560AD9">
        <w:t xml:space="preserve">t expectations. Key objectives for the year also included </w:t>
      </w:r>
      <w:r w:rsidR="002D1084">
        <w:t xml:space="preserve">the </w:t>
      </w:r>
      <w:r w:rsidRPr="00560AD9">
        <w:t>finalisation of the refurbishment program for fixed generators; identification and training for a skilled local to take over the maintenance program for water desalination equipment;</w:t>
      </w:r>
      <w:r>
        <w:t xml:space="preserve"> </w:t>
      </w:r>
      <w:r w:rsidRPr="00560AD9">
        <w:t xml:space="preserve">improved fuel management planning; </w:t>
      </w:r>
      <w:r w:rsidRPr="00560AD9">
        <w:lastRenderedPageBreak/>
        <w:t xml:space="preserve">and </w:t>
      </w:r>
      <w:r w:rsidR="002D1084">
        <w:t xml:space="preserve">the </w:t>
      </w:r>
      <w:r w:rsidRPr="00560AD9">
        <w:t>introduction of a strong public awareness campaign aimed at reducing energy consumption.</w:t>
      </w:r>
    </w:p>
    <w:p w:rsidR="00C2136E" w:rsidRDefault="007A1A30" w:rsidP="007A1A30">
      <w:pPr>
        <w:pStyle w:val="BodyText"/>
      </w:pPr>
      <w:r w:rsidRPr="00560AD9">
        <w:t>The current utilities program focuses on maintaining basic power and water services, which rely on expensive diesel-powered generators and reverse-osmosis desalination equipment</w:t>
      </w:r>
      <w:r w:rsidR="002D1084">
        <w:t xml:space="preserve"> (d</w:t>
      </w:r>
      <w:r w:rsidRPr="00560AD9">
        <w:t>iesel purchases account for a very significant proportion of the Nauruan annual budget</w:t>
      </w:r>
      <w:r w:rsidR="002D1084">
        <w:t>). A</w:t>
      </w:r>
      <w:r w:rsidRPr="00560AD9">
        <w:t xml:space="preserve"> cost-recovery mechanism for household consumption has yet to be introduced</w:t>
      </w:r>
      <w:r w:rsidR="002D1084">
        <w:t>, but</w:t>
      </w:r>
      <w:r w:rsidRPr="00560AD9">
        <w:t xml:space="preserve"> cost-recovery arrangements for commercial entities and government have been successfully initiated and are expected to deliver modest profits in coming months. A user-pays cost recovery system for households is expected to be rolled out in 200</w:t>
      </w:r>
      <w:r w:rsidR="00C2136E" w:rsidRPr="00560AD9">
        <w:t>9</w:t>
      </w:r>
      <w:r w:rsidR="00C2136E">
        <w:t>–</w:t>
      </w:r>
      <w:r w:rsidR="00C2136E" w:rsidRPr="00560AD9">
        <w:t>1</w:t>
      </w:r>
      <w:r w:rsidRPr="00560AD9">
        <w:t xml:space="preserve">0, although it will be important to fully understand </w:t>
      </w:r>
      <w:r w:rsidR="002D1084">
        <w:t>its</w:t>
      </w:r>
      <w:r w:rsidR="002D1084" w:rsidRPr="00560AD9">
        <w:t xml:space="preserve"> </w:t>
      </w:r>
      <w:r w:rsidRPr="00560AD9">
        <w:t>potential impact on vulnerable groups to inform staged and appropriate rollout, exemption programs and subsidy arrangements. Cost recovery for utilities will be a sensitive issue for the Nauruan community after generations of free government</w:t>
      </w:r>
      <w:r w:rsidR="002D1084">
        <w:t>-</w:t>
      </w:r>
      <w:r w:rsidRPr="00560AD9">
        <w:t xml:space="preserve">supplied energy and water services. </w:t>
      </w:r>
      <w:r w:rsidR="002D1084">
        <w:t>E</w:t>
      </w:r>
      <w:r w:rsidRPr="00560AD9">
        <w:t xml:space="preserve">arly and willing acceptance by the community </w:t>
      </w:r>
      <w:r w:rsidR="002D1084">
        <w:t>is unlikely,</w:t>
      </w:r>
      <w:r w:rsidRPr="00560AD9">
        <w:t xml:space="preserve"> </w:t>
      </w:r>
      <w:r w:rsidR="00823839">
        <w:t>and</w:t>
      </w:r>
      <w:r w:rsidR="00823839" w:rsidRPr="00560AD9">
        <w:t xml:space="preserve"> </w:t>
      </w:r>
      <w:r w:rsidRPr="00560AD9">
        <w:t>transition to full cost recovery is likely to take several years</w:t>
      </w:r>
      <w:r w:rsidR="002D1084">
        <w:t>.</w:t>
      </w:r>
      <w:r w:rsidR="00CE3CC9">
        <w:t xml:space="preserve"> The transition</w:t>
      </w:r>
      <w:r w:rsidRPr="00560AD9">
        <w:t xml:space="preserve"> will need to be balanced with significant public education and awareness programs </w:t>
      </w:r>
      <w:r w:rsidR="00CE3CC9">
        <w:t>on</w:t>
      </w:r>
      <w:r w:rsidR="00CE3CC9" w:rsidRPr="00560AD9">
        <w:t xml:space="preserve"> </w:t>
      </w:r>
      <w:r w:rsidRPr="00560AD9">
        <w:t>the broader benefits of a self</w:t>
      </w:r>
      <w:r w:rsidR="00CE3CC9">
        <w:t>-</w:t>
      </w:r>
      <w:r w:rsidRPr="00560AD9">
        <w:t>sustaining power and water service.</w:t>
      </w:r>
    </w:p>
    <w:p w:rsidR="00C2136E" w:rsidRDefault="007A1A30" w:rsidP="007A1A30">
      <w:pPr>
        <w:pStyle w:val="BodyText"/>
        <w:rPr>
          <w:szCs w:val="22"/>
        </w:rPr>
      </w:pPr>
      <w:r w:rsidRPr="00560AD9">
        <w:t>I</w:t>
      </w:r>
      <w:r w:rsidR="00CF5833" w:rsidRPr="00560AD9">
        <w:t>n</w:t>
      </w:r>
      <w:r w:rsidR="00CF5833">
        <w:t xml:space="preserve"> </w:t>
      </w:r>
      <w:r w:rsidR="00CF5833" w:rsidRPr="00560AD9">
        <w:t>t</w:t>
      </w:r>
      <w:r w:rsidRPr="00560AD9">
        <w:t>he longer term</w:t>
      </w:r>
      <w:r w:rsidR="00CE3CC9">
        <w:t>,</w:t>
      </w:r>
      <w:r w:rsidRPr="00560AD9">
        <w:t xml:space="preserve"> </w:t>
      </w:r>
      <w:r w:rsidR="00CE3CC9">
        <w:t xml:space="preserve">we need to continue to develop </w:t>
      </w:r>
      <w:r w:rsidRPr="00560AD9">
        <w:t>a more sustainable utilities policy as reforms ar</w:t>
      </w:r>
      <w:r w:rsidR="00CF5833" w:rsidRPr="00560AD9">
        <w:t>e</w:t>
      </w:r>
      <w:r w:rsidR="00CF5833">
        <w:t xml:space="preserve"> </w:t>
      </w:r>
      <w:r w:rsidR="00CF5833" w:rsidRPr="00560AD9">
        <w:t>i</w:t>
      </w:r>
      <w:r w:rsidRPr="00560AD9">
        <w:t xml:space="preserve">mplemented. Reforms will need to maintain a focus on cost recovery while safeguarding the access of those without the means to pay, as well as </w:t>
      </w:r>
      <w:r w:rsidR="00CE3CC9">
        <w:t xml:space="preserve">on </w:t>
      </w:r>
      <w:r w:rsidRPr="00560AD9">
        <w:t xml:space="preserve">greater use of sustainable energy instead of fossil fuels. </w:t>
      </w:r>
      <w:smartTag w:uri="urn:schemas-microsoft-com:office:smarttags" w:element="country-region">
        <w:r w:rsidRPr="00560AD9">
          <w:t>Australia</w:t>
        </w:r>
      </w:smartTag>
      <w:r w:rsidRPr="00560AD9">
        <w:t xml:space="preserve"> funds the in-line Chief Executive Officer of Utilities to implement </w:t>
      </w:r>
      <w:smartTag w:uri="urn:schemas-microsoft-com:office:smarttags" w:element="place">
        <w:smartTag w:uri="urn:schemas-microsoft-com:office:smarttags" w:element="country-region">
          <w:r w:rsidRPr="00560AD9">
            <w:t>Nauru</w:t>
          </w:r>
        </w:smartTag>
      </w:smartTag>
      <w:r w:rsidR="00247AFA">
        <w:t>’</w:t>
      </w:r>
      <w:r w:rsidRPr="00560AD9">
        <w:t xml:space="preserve">s Utilities Strategic Plan </w:t>
      </w:r>
      <w:r w:rsidR="00CE3CC9">
        <w:t>(</w:t>
      </w:r>
      <w:r w:rsidRPr="00560AD9">
        <w:t>prepared with Australia</w:t>
      </w:r>
      <w:r w:rsidR="00CE3CC9">
        <w:t>n</w:t>
      </w:r>
      <w:r w:rsidRPr="00560AD9">
        <w:t xml:space="preserve"> and ADB</w:t>
      </w:r>
      <w:r w:rsidR="00CE3CC9">
        <w:t xml:space="preserve"> support)</w:t>
      </w:r>
      <w:r w:rsidRPr="00560AD9">
        <w:t>. The plan focuses on depoliticising utility services, moving toward</w:t>
      </w:r>
      <w:r w:rsidR="00CE3CC9">
        <w:t>s</w:t>
      </w:r>
      <w:r w:rsidRPr="00560AD9">
        <w:t xml:space="preserve"> user pays and cost recovery, reducing dependence on non-renewable energy sources, implementing demand management and public awareness campaigns, and introducing necessary legislative and policy changes to implement such reforms. Along with the </w:t>
      </w:r>
      <w:r w:rsidR="00CE3CC9">
        <w:t>s</w:t>
      </w:r>
      <w:r w:rsidRPr="00560AD9">
        <w:t xml:space="preserve">trategic </w:t>
      </w:r>
      <w:r w:rsidR="00CE3CC9">
        <w:t>p</w:t>
      </w:r>
      <w:r w:rsidRPr="00560AD9">
        <w:t>lan, the CEO also overs</w:t>
      </w:r>
      <w:r w:rsidR="00CE3CC9">
        <w:t>aw</w:t>
      </w:r>
      <w:r w:rsidRPr="00560AD9">
        <w:t xml:space="preserve"> the development of the first</w:t>
      </w:r>
      <w:r w:rsidR="00CE3CC9">
        <w:t>-</w:t>
      </w:r>
      <w:r w:rsidRPr="00560AD9">
        <w:t>ever Utilities Annual Plan in 200</w:t>
      </w:r>
      <w:r w:rsidR="00C2136E" w:rsidRPr="00560AD9">
        <w:t>8</w:t>
      </w:r>
      <w:r w:rsidR="00C2136E">
        <w:t>–</w:t>
      </w:r>
      <w:r w:rsidR="00C2136E" w:rsidRPr="00560AD9">
        <w:t>0</w:t>
      </w:r>
      <w:r w:rsidRPr="00560AD9">
        <w:t>9</w:t>
      </w:r>
      <w:r w:rsidR="00CE3CC9">
        <w:t>. The annual plan</w:t>
      </w:r>
      <w:r w:rsidRPr="00560AD9">
        <w:t xml:space="preserve"> has been approved by </w:t>
      </w:r>
      <w:r w:rsidR="00CB524D">
        <w:t xml:space="preserve">the </w:t>
      </w:r>
      <w:proofErr w:type="spellStart"/>
      <w:r w:rsidR="001E6A16">
        <w:t>GoN</w:t>
      </w:r>
      <w:proofErr w:type="spellEnd"/>
      <w:r w:rsidRPr="00560AD9">
        <w:t xml:space="preserve"> and </w:t>
      </w:r>
      <w:r w:rsidR="00CE3CC9">
        <w:t xml:space="preserve">is </w:t>
      </w:r>
      <w:r w:rsidRPr="00560AD9">
        <w:t>supported by a $2.</w:t>
      </w:r>
      <w:r w:rsidR="00C2136E" w:rsidRPr="00560AD9">
        <w:t>1</w:t>
      </w:r>
      <w:r w:rsidR="00C2136E">
        <w:t> </w:t>
      </w:r>
      <w:r w:rsidR="00C2136E" w:rsidRPr="00560AD9">
        <w:t>m</w:t>
      </w:r>
      <w:r w:rsidR="00C2136E">
        <w:t>illion</w:t>
      </w:r>
      <w:r w:rsidRPr="00560AD9">
        <w:t xml:space="preserve"> costed budget. Finally, </w:t>
      </w:r>
      <w:r w:rsidRPr="00560AD9">
        <w:rPr>
          <w:szCs w:val="22"/>
        </w:rPr>
        <w:t xml:space="preserve">the Utilities Bill currently under development will facilitate the transition of </w:t>
      </w:r>
      <w:r w:rsidR="00CE3CC9">
        <w:rPr>
          <w:szCs w:val="22"/>
        </w:rPr>
        <w:t>u</w:t>
      </w:r>
      <w:r w:rsidRPr="00560AD9">
        <w:rPr>
          <w:szCs w:val="22"/>
        </w:rPr>
        <w:t>tilities to a private commercial entity.</w:t>
      </w:r>
    </w:p>
    <w:p w:rsidR="00C2136E" w:rsidRDefault="00CE3CC9" w:rsidP="007A1A30">
      <w:pPr>
        <w:pStyle w:val="BodyText"/>
      </w:pPr>
      <w:r>
        <w:t>The</w:t>
      </w:r>
      <w:r w:rsidR="007A1A30" w:rsidRPr="00560AD9">
        <w:t xml:space="preserve"> most significant achievement </w:t>
      </w:r>
      <w:r>
        <w:t xml:space="preserve">in service delivery in </w:t>
      </w:r>
      <w:smartTag w:uri="urn:schemas-microsoft-com:office:smarttags" w:element="place">
        <w:smartTag w:uri="urn:schemas-microsoft-com:office:smarttags" w:element="country-region">
          <w:r>
            <w:t>Nauru</w:t>
          </w:r>
        </w:smartTag>
      </w:smartTag>
      <w:r>
        <w:t>’s</w:t>
      </w:r>
      <w:r w:rsidR="007A1A30" w:rsidRPr="00560AD9">
        <w:t xml:space="preserve"> utilities sector has been the return to relatively reliable and stable services. As of April 2009, </w:t>
      </w:r>
      <w:smartTag w:uri="urn:schemas-microsoft-com:office:smarttags" w:element="place">
        <w:smartTag w:uri="urn:schemas-microsoft-com:office:smarttags" w:element="country-region">
          <w:r w:rsidR="007A1A30" w:rsidRPr="00560AD9">
            <w:t>Nauru</w:t>
          </w:r>
        </w:smartTag>
      </w:smartTag>
      <w:r w:rsidR="007A1A30" w:rsidRPr="00560AD9">
        <w:t xml:space="preserve"> was generating electricity on its own generators for the first time since 2005</w:t>
      </w:r>
      <w:r>
        <w:t>,</w:t>
      </w:r>
      <w:r w:rsidR="007A1A30" w:rsidRPr="00560AD9">
        <w:t xml:space="preserve"> and with fuel procured by the </w:t>
      </w:r>
      <w:proofErr w:type="spellStart"/>
      <w:r w:rsidR="001E6A16">
        <w:t>GoN</w:t>
      </w:r>
      <w:proofErr w:type="spellEnd"/>
      <w:r w:rsidR="007A1A30" w:rsidRPr="00560AD9">
        <w:t xml:space="preserve"> under its own fuel purchasing arrangements</w:t>
      </w:r>
      <w:r>
        <w:t>.</w:t>
      </w:r>
      <w:r w:rsidR="007A1A30" w:rsidRPr="00560AD9">
        <w:t xml:space="preserve"> The Australian-funded Power Station Manager has overseen refurbishment work on </w:t>
      </w:r>
      <w:smartTag w:uri="urn:schemas-microsoft-com:office:smarttags" w:element="country-region">
        <w:r w:rsidR="007A1A30" w:rsidRPr="00560AD9">
          <w:t>Nauru</w:t>
        </w:r>
      </w:smartTag>
      <w:r w:rsidR="00247AFA">
        <w:t>’</w:t>
      </w:r>
      <w:r w:rsidR="007A1A30" w:rsidRPr="00560AD9">
        <w:t xml:space="preserve">s fixed power generation and water desalination assets, and has managed the procurement and commissioning of more efficient power generators from </w:t>
      </w:r>
      <w:smartTag w:uri="urn:schemas-microsoft-com:office:smarttags" w:element="place">
        <w:smartTag w:uri="urn:schemas-microsoft-com:office:smarttags" w:element="country-region">
          <w:r w:rsidR="007A1A30" w:rsidRPr="00560AD9">
            <w:t>Australia</w:t>
          </w:r>
        </w:smartTag>
      </w:smartTag>
      <w:r w:rsidR="007A1A30" w:rsidRPr="00560AD9">
        <w:t xml:space="preserve">. The </w:t>
      </w:r>
      <w:r>
        <w:t>m</w:t>
      </w:r>
      <w:r w:rsidR="007A1A30" w:rsidRPr="00560AD9">
        <w:t>anager</w:t>
      </w:r>
      <w:r w:rsidR="00247AFA">
        <w:t>’</w:t>
      </w:r>
      <w:r w:rsidR="007A1A30" w:rsidRPr="00560AD9">
        <w:t>s work has improved the reliability of energy services and desalination equipment so</w:t>
      </w:r>
      <w:r>
        <w:t xml:space="preserve"> that</w:t>
      </w:r>
      <w:r w:rsidR="007A1A30" w:rsidRPr="00560AD9">
        <w:t xml:space="preserve"> they are capable of delivering a 24-hour service. However, until adequate demand management strategies and user-pays systems are in place, the cost in fuel for 24-hour operation is beyond </w:t>
      </w:r>
      <w:smartTag w:uri="urn:schemas-microsoft-com:office:smarttags" w:element="place">
        <w:smartTag w:uri="urn:schemas-microsoft-com:office:smarttags" w:element="country-region">
          <w:r w:rsidR="007A1A30" w:rsidRPr="00560AD9">
            <w:t>Nauru</w:t>
          </w:r>
        </w:smartTag>
      </w:smartTag>
      <w:r w:rsidR="00247AFA">
        <w:t>’</w:t>
      </w:r>
      <w:r w:rsidR="007A1A30" w:rsidRPr="00560AD9">
        <w:t>s resources.</w:t>
      </w:r>
    </w:p>
    <w:p w:rsidR="007A1A30" w:rsidRPr="00560AD9" w:rsidRDefault="007A1A30" w:rsidP="007A1A30">
      <w:pPr>
        <w:pStyle w:val="BodyText"/>
      </w:pPr>
      <w:r w:rsidRPr="00560AD9">
        <w:t xml:space="preserve">Fuel security has improved since the </w:t>
      </w:r>
      <w:r w:rsidR="00CE3CC9">
        <w:t xml:space="preserve">manager’s </w:t>
      </w:r>
      <w:r w:rsidRPr="00560AD9">
        <w:t>arrival. In the past, up to 20</w:t>
      </w:r>
      <w:r w:rsidR="00C2136E">
        <w:t>%</w:t>
      </w:r>
      <w:r w:rsidRPr="00560AD9">
        <w:t xml:space="preserve"> of </w:t>
      </w:r>
      <w:smartTag w:uri="urn:schemas-microsoft-com:office:smarttags" w:element="place">
        <w:smartTag w:uri="urn:schemas-microsoft-com:office:smarttags" w:element="country-region">
          <w:r w:rsidRPr="00560AD9">
            <w:t>Nauru</w:t>
          </w:r>
        </w:smartTag>
      </w:smartTag>
      <w:r w:rsidR="00247AFA">
        <w:t>’</w:t>
      </w:r>
      <w:r w:rsidRPr="00560AD9">
        <w:t xml:space="preserve">s diesel supplies were unaccounted for at any given time. Better security arrangements, stock control and monitoring have resulted in negligible amounts being unaccounted for. Improved operations and management at the power station have resulted in better work practices and personnel training, less absenteeism and fewer occupational health and safety </w:t>
      </w:r>
      <w:r w:rsidR="00CE3CC9">
        <w:t>problems</w:t>
      </w:r>
      <w:r w:rsidRPr="00560AD9">
        <w:t>.</w:t>
      </w:r>
    </w:p>
    <w:p w:rsidR="007A1A30" w:rsidRPr="00560AD9" w:rsidRDefault="007A1A30" w:rsidP="007A1A30">
      <w:pPr>
        <w:pStyle w:val="BodyText"/>
      </w:pPr>
      <w:r w:rsidRPr="00560AD9">
        <w:t xml:space="preserve">Daily clean water production (via reverse osmosis) has increased from 30% to 80% </w:t>
      </w:r>
      <w:r w:rsidR="00CE3CC9">
        <w:t xml:space="preserve">of </w:t>
      </w:r>
      <w:r w:rsidRPr="00560AD9">
        <w:t>capacity. Anecdotal evidence suggests</w:t>
      </w:r>
      <w:r w:rsidR="00CE3CC9">
        <w:t xml:space="preserve"> that</w:t>
      </w:r>
      <w:r w:rsidRPr="00560AD9">
        <w:t xml:space="preserve"> community attitudes to power and water services are improving as reliability and access improve</w:t>
      </w:r>
      <w:r w:rsidR="00CE3CC9">
        <w:t>,</w:t>
      </w:r>
      <w:r w:rsidRPr="00560AD9">
        <w:t xml:space="preserve"> but there is still strong community resistance to cost-recovery or user-pays systems. </w:t>
      </w:r>
      <w:r w:rsidR="00CE3CC9">
        <w:t>That resistance</w:t>
      </w:r>
      <w:r w:rsidR="00CE3CC9" w:rsidRPr="00560AD9">
        <w:t xml:space="preserve"> </w:t>
      </w:r>
      <w:r w:rsidRPr="00560AD9">
        <w:t>will be difficult to overcome</w:t>
      </w:r>
      <w:r w:rsidR="00CE3CC9">
        <w:t>,</w:t>
      </w:r>
      <w:r w:rsidRPr="00560AD9">
        <w:t xml:space="preserve"> and political </w:t>
      </w:r>
      <w:r w:rsidRPr="00560AD9">
        <w:lastRenderedPageBreak/>
        <w:t xml:space="preserve">will is necessary to pursue this critical element of utilities reform. </w:t>
      </w:r>
      <w:proofErr w:type="spellStart"/>
      <w:r w:rsidRPr="00560AD9">
        <w:t>AusAID</w:t>
      </w:r>
      <w:proofErr w:type="spellEnd"/>
      <w:r w:rsidRPr="00560AD9">
        <w:t xml:space="preserve"> will need to continue to engage with the </w:t>
      </w:r>
      <w:proofErr w:type="spellStart"/>
      <w:r w:rsidR="001E6A16">
        <w:t>GoN</w:t>
      </w:r>
      <w:proofErr w:type="spellEnd"/>
      <w:r w:rsidRPr="00560AD9">
        <w:t xml:space="preserve"> and other development partners to develop and implement pragmatic policies. It will also be important for </w:t>
      </w:r>
      <w:smartTag w:uri="urn:schemas-microsoft-com:office:smarttags" w:element="place">
        <w:smartTag w:uri="urn:schemas-microsoft-com:office:smarttags" w:element="country-region">
          <w:r w:rsidRPr="00560AD9">
            <w:t>Nauru</w:t>
          </w:r>
        </w:smartTag>
      </w:smartTag>
      <w:r w:rsidRPr="00560AD9">
        <w:t xml:space="preserve"> to develop strategies to manage the rising cost of fuel.</w:t>
      </w:r>
    </w:p>
    <w:p w:rsidR="00C2136E" w:rsidRDefault="007A1A30" w:rsidP="007A1A30">
      <w:pPr>
        <w:pStyle w:val="BodyText"/>
      </w:pPr>
      <w:r w:rsidRPr="00560AD9">
        <w:t xml:space="preserve">Long-term availability of qualified personnel remains problematic, as does the limited effect of personnel capacity-building efforts to date </w:t>
      </w:r>
      <w:r w:rsidR="00CE3CC9">
        <w:t>(</w:t>
      </w:r>
      <w:r w:rsidRPr="00560AD9">
        <w:t xml:space="preserve">many of those sent overseas for training </w:t>
      </w:r>
      <w:r w:rsidR="00CE3CC9">
        <w:t>have taken</w:t>
      </w:r>
      <w:r w:rsidR="00CE3CC9" w:rsidRPr="00560AD9">
        <w:t xml:space="preserve"> </w:t>
      </w:r>
      <w:r w:rsidRPr="00560AD9">
        <w:t xml:space="preserve">up employment in </w:t>
      </w:r>
      <w:smartTag w:uri="urn:schemas-microsoft-com:office:smarttags" w:element="place">
        <w:smartTag w:uri="urn:schemas-microsoft-com:office:smarttags" w:element="country-region">
          <w:r w:rsidRPr="00560AD9">
            <w:t>Australia</w:t>
          </w:r>
        </w:smartTag>
      </w:smartTag>
      <w:r w:rsidR="00CE3CC9">
        <w:t>)</w:t>
      </w:r>
      <w:r w:rsidRPr="00560AD9">
        <w:t>. The establishment of a small trade school at the power station is resulting in some improvement in local trade skills relevant to power and water services.</w:t>
      </w:r>
    </w:p>
    <w:p w:rsidR="006325E7" w:rsidRDefault="007A1A30" w:rsidP="007A1A30">
      <w:pPr>
        <w:pStyle w:val="BodyText"/>
      </w:pPr>
      <w:r w:rsidRPr="00560AD9">
        <w:t xml:space="preserve">Progress has been made in improving </w:t>
      </w:r>
      <w:smartTag w:uri="urn:schemas-microsoft-com:office:smarttags" w:element="country-region">
        <w:r w:rsidRPr="00560AD9">
          <w:t>Nauru</w:t>
        </w:r>
      </w:smartTag>
      <w:r w:rsidR="00247AFA">
        <w:t>’</w:t>
      </w:r>
      <w:r w:rsidRPr="00560AD9">
        <w:t>s telecommunications system</w:t>
      </w:r>
      <w:r w:rsidR="00CE3CC9">
        <w:t>,</w:t>
      </w:r>
      <w:r w:rsidRPr="00560AD9">
        <w:t xml:space="preserve"> including </w:t>
      </w:r>
      <w:r w:rsidR="00CE3CC9">
        <w:t xml:space="preserve">the </w:t>
      </w:r>
      <w:r w:rsidRPr="00560AD9">
        <w:t xml:space="preserve">recent development of a funded </w:t>
      </w:r>
      <w:r w:rsidR="00CE3CC9">
        <w:t>t</w:t>
      </w:r>
      <w:r w:rsidRPr="00560AD9">
        <w:t xml:space="preserve">elecommunications </w:t>
      </w:r>
      <w:r w:rsidR="00CE3CC9">
        <w:t>s</w:t>
      </w:r>
      <w:r w:rsidRPr="00560AD9">
        <w:t xml:space="preserve">ector </w:t>
      </w:r>
      <w:r w:rsidR="00CE3CC9">
        <w:t>p</w:t>
      </w:r>
      <w:r w:rsidRPr="00560AD9">
        <w:t xml:space="preserve">lan for </w:t>
      </w:r>
      <w:smartTag w:uri="urn:schemas-microsoft-com:office:smarttags" w:element="place">
        <w:smartTag w:uri="urn:schemas-microsoft-com:office:smarttags" w:element="country-region">
          <w:r w:rsidRPr="00560AD9">
            <w:t>Nauru</w:t>
          </w:r>
        </w:smartTag>
      </w:smartTag>
      <w:r w:rsidR="00CE3CC9">
        <w:t>. I</w:t>
      </w:r>
      <w:r w:rsidRPr="00560AD9">
        <w:t>mplementation</w:t>
      </w:r>
      <w:r w:rsidR="00CE3CC9" w:rsidRPr="00560AD9">
        <w:t>, including the privati</w:t>
      </w:r>
      <w:r w:rsidR="00CE3CC9">
        <w:t>s</w:t>
      </w:r>
      <w:r w:rsidR="00CE3CC9" w:rsidRPr="00560AD9">
        <w:t>ation of the telecommunications sector</w:t>
      </w:r>
      <w:r w:rsidR="00CE3CC9">
        <w:t>,</w:t>
      </w:r>
      <w:r w:rsidRPr="00560AD9">
        <w:t xml:space="preserve"> </w:t>
      </w:r>
      <w:r w:rsidR="00CE3CC9">
        <w:t xml:space="preserve">is </w:t>
      </w:r>
      <w:r w:rsidRPr="00560AD9">
        <w:t xml:space="preserve">to start </w:t>
      </w:r>
      <w:r w:rsidR="00CE3CC9">
        <w:t>soon</w:t>
      </w:r>
      <w:r w:rsidRPr="00560AD9">
        <w:t xml:space="preserve">. The planned restructuring of </w:t>
      </w:r>
      <w:smartTag w:uri="urn:schemas-microsoft-com:office:smarttags" w:element="place">
        <w:smartTag w:uri="urn:schemas-microsoft-com:office:smarttags" w:element="country-region">
          <w:r w:rsidRPr="00560AD9">
            <w:t>Nauru</w:t>
          </w:r>
        </w:smartTag>
      </w:smartTag>
      <w:r w:rsidR="00247AFA">
        <w:t>’</w:t>
      </w:r>
      <w:r w:rsidRPr="00560AD9">
        <w:t>s telecommunications authority (</w:t>
      </w:r>
      <w:proofErr w:type="spellStart"/>
      <w:r w:rsidRPr="00560AD9">
        <w:t>Rontel</w:t>
      </w:r>
      <w:proofErr w:type="spellEnd"/>
      <w:r w:rsidRPr="00560AD9">
        <w:t xml:space="preserve">) has not yet occurred. The </w:t>
      </w:r>
      <w:proofErr w:type="spellStart"/>
      <w:r w:rsidR="001E6A16">
        <w:t>GoN</w:t>
      </w:r>
      <w:proofErr w:type="spellEnd"/>
      <w:r w:rsidRPr="00560AD9">
        <w:t xml:space="preserve"> has recently gone to tender for the provision of mobile telephone services on the island. As a result, a commercial services provider is expected to </w:t>
      </w:r>
      <w:r w:rsidR="006C2598">
        <w:t>begin</w:t>
      </w:r>
      <w:r w:rsidR="006C2598" w:rsidRPr="00560AD9">
        <w:t xml:space="preserve"> </w:t>
      </w:r>
      <w:r w:rsidRPr="00560AD9">
        <w:t>operations in the coming financial year.</w:t>
      </w:r>
      <w:r w:rsidR="00C2136E">
        <w:t xml:space="preserve"> </w:t>
      </w:r>
      <w:r w:rsidRPr="007A1A30">
        <w:t>Developments</w:t>
      </w:r>
      <w:r w:rsidRPr="00560AD9">
        <w:t xml:space="preserve"> in the telecommunications sector will need to be carefully monitored to ensure equitable, sustainable and commercially viable services for the community and government in the longer term.</w:t>
      </w:r>
    </w:p>
    <w:p w:rsidR="0023220F" w:rsidRPr="007A57A2" w:rsidRDefault="0023220F" w:rsidP="0023220F">
      <w:pPr>
        <w:pStyle w:val="Heading3"/>
      </w:pPr>
      <w:bookmarkStart w:id="74" w:name="_Toc361056136"/>
      <w:r w:rsidRPr="007A57A2">
        <w:t>Estimated expenditure</w:t>
      </w:r>
      <w:bookmarkEnd w:id="74"/>
    </w:p>
    <w:p w:rsidR="0023220F" w:rsidRPr="00560AD9" w:rsidRDefault="0023220F" w:rsidP="0023220F">
      <w:pPr>
        <w:pStyle w:val="BodyText"/>
      </w:pPr>
      <w:r w:rsidRPr="00560AD9">
        <w:t>In 2008–09</w:t>
      </w:r>
      <w:r w:rsidR="006C2598">
        <w:t>,</w:t>
      </w:r>
      <w:r w:rsidRPr="00560AD9">
        <w:t xml:space="preserve"> approximately $5.1 million (around</w:t>
      </w:r>
      <w:r>
        <w:t> </w:t>
      </w:r>
      <w:r w:rsidRPr="00560AD9">
        <w:t>17</w:t>
      </w:r>
      <w:r>
        <w:t>%</w:t>
      </w:r>
      <w:r w:rsidRPr="00560AD9">
        <w:t xml:space="preserve">) of the $29.1 million of official development assistance to </w:t>
      </w:r>
      <w:smartTag w:uri="urn:schemas-microsoft-com:office:smarttags" w:element="place">
        <w:smartTag w:uri="urn:schemas-microsoft-com:office:smarttags" w:element="country-region">
          <w:r w:rsidRPr="00560AD9">
            <w:t>Nauru</w:t>
          </w:r>
        </w:smartTag>
      </w:smartTag>
      <w:r w:rsidRPr="00560AD9">
        <w:t xml:space="preserve"> was committed to initiatives related to this objective.</w:t>
      </w:r>
    </w:p>
    <w:p w:rsidR="0023220F" w:rsidRDefault="0023220F" w:rsidP="007A1A30">
      <w:pPr>
        <w:pStyle w:val="BodyText"/>
      </w:pPr>
    </w:p>
    <w:p w:rsidR="007A1A30" w:rsidRDefault="007A1A30" w:rsidP="002F6F99">
      <w:pPr>
        <w:pStyle w:val="H1"/>
        <w:spacing w:after="1980"/>
      </w:pPr>
      <w:bookmarkStart w:id="75" w:name="_Toc242005054"/>
      <w:bookmarkStart w:id="76" w:name="_Toc244501298"/>
      <w:r>
        <w:lastRenderedPageBreak/>
        <w:t>What is the quality of our aid activities?</w:t>
      </w:r>
      <w:bookmarkEnd w:id="75"/>
      <w:r w:rsidR="00602D7F">
        <w:rPr>
          <w:lang w:val="en-US" w:eastAsia="en-US"/>
        </w:rPr>
        <w:drawing>
          <wp:anchor distT="0" distB="0" distL="114300" distR="114300" simplePos="0" relativeHeight="25166131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3" name="Picture 1193"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6"/>
    </w:p>
    <w:p w:rsidR="00282A60" w:rsidRPr="00C75D14" w:rsidRDefault="00282A60" w:rsidP="006C2598">
      <w:pPr>
        <w:pStyle w:val="BodyText"/>
        <w:spacing w:after="0"/>
      </w:pPr>
      <w:r w:rsidRPr="00C75D14">
        <w:t>Assessments of the quality of activities at implementation indicated mixed results, although improvements were noted in all sectors against last year</w:t>
      </w:r>
      <w:r w:rsidR="00247AFA">
        <w:t>’</w:t>
      </w:r>
      <w:r w:rsidRPr="00C75D14">
        <w:t xml:space="preserve">s results. The </w:t>
      </w:r>
      <w:r w:rsidR="006C2598">
        <w:t>Nauru P</w:t>
      </w:r>
      <w:r w:rsidRPr="00C75D14">
        <w:t xml:space="preserve">rogram has responded well to emerging demands and priorities. However, it is difficult to assess the quality-of-implementation arrangements due to the lack of sector-specific design material, including activity-specific statements of objectives. </w:t>
      </w:r>
      <w:r w:rsidR="006C2598">
        <w:t>H</w:t>
      </w:r>
      <w:r w:rsidRPr="00C75D14">
        <w:t xml:space="preserve">owever, a recent review of the relevance, effectiveness and efficiency of Australian assistance to </w:t>
      </w:r>
      <w:smartTag w:uri="urn:schemas-microsoft-com:office:smarttags" w:element="place">
        <w:smartTag w:uri="urn:schemas-microsoft-com:office:smarttags" w:element="country-region">
          <w:r w:rsidRPr="00C75D14">
            <w:t>Nauru</w:t>
          </w:r>
        </w:smartTag>
      </w:smartTag>
      <w:r w:rsidRPr="00C75D14">
        <w:t xml:space="preserve"> </w:t>
      </w:r>
      <w:r w:rsidR="006C2598">
        <w:t xml:space="preserve">in the period from </w:t>
      </w:r>
      <w:r w:rsidRPr="00C75D14">
        <w:t>200</w:t>
      </w:r>
      <w:r w:rsidR="00C2136E" w:rsidRPr="00C75D14">
        <w:t>5</w:t>
      </w:r>
      <w:r w:rsidR="006C2598">
        <w:t xml:space="preserve"> to </w:t>
      </w:r>
      <w:r w:rsidR="00C2136E" w:rsidRPr="00C75D14">
        <w:t>2</w:t>
      </w:r>
      <w:r w:rsidRPr="00C75D14">
        <w:t>008 concludes that:</w:t>
      </w:r>
    </w:p>
    <w:p w:rsidR="00C2136E" w:rsidRDefault="00282A60" w:rsidP="006C2598">
      <w:pPr>
        <w:pStyle w:val="BodyText"/>
        <w:ind w:left="284"/>
        <w:rPr>
          <w:szCs w:val="22"/>
        </w:rPr>
      </w:pPr>
      <w:r w:rsidRPr="00C75D14">
        <w:t xml:space="preserve">Without Australian development assistance between 2005 and 2008 </w:t>
      </w:r>
      <w:smartTag w:uri="urn:schemas-microsoft-com:office:smarttags" w:element="place">
        <w:smartTag w:uri="urn:schemas-microsoft-com:office:smarttags" w:element="country-region">
          <w:r w:rsidRPr="00C75D14">
            <w:t>Nauru</w:t>
          </w:r>
        </w:smartTag>
      </w:smartTag>
      <w:r w:rsidR="00247AFA">
        <w:t>’</w:t>
      </w:r>
      <w:r w:rsidRPr="00C75D14">
        <w:t>s standard of living would have declined significantly.</w:t>
      </w:r>
      <w:r w:rsidR="00C2136E">
        <w:t xml:space="preserve"> </w:t>
      </w:r>
      <w:r w:rsidRPr="00C75D14">
        <w:t>This is a testament to the effectiveness of the support provided.</w:t>
      </w:r>
      <w:r w:rsidR="00C2136E">
        <w:t xml:space="preserve"> </w:t>
      </w:r>
      <w:r w:rsidRPr="00C75D14">
        <w:t>Nevertheless, the nation remains highly vulnerable in a number of areas</w:t>
      </w:r>
      <w:r w:rsidRPr="00C75D14">
        <w:rPr>
          <w:szCs w:val="22"/>
        </w:rPr>
        <w:t>.</w:t>
      </w:r>
    </w:p>
    <w:p w:rsidR="00282A60" w:rsidRPr="00C75D14" w:rsidRDefault="00282A60" w:rsidP="00282A60">
      <w:pPr>
        <w:pStyle w:val="BodyText"/>
      </w:pPr>
      <w:r w:rsidRPr="00C75D14">
        <w:t xml:space="preserve">The review also found that </w:t>
      </w:r>
      <w:r w:rsidR="006C2598">
        <w:t>most</w:t>
      </w:r>
      <w:r w:rsidRPr="00C75D14">
        <w:t xml:space="preserve"> of the delivery methodologies being employed for </w:t>
      </w:r>
      <w:smartTag w:uri="urn:schemas-microsoft-com:office:smarttags" w:element="country-region">
        <w:r w:rsidRPr="00C75D14">
          <w:t>Nauru</w:t>
        </w:r>
      </w:smartTag>
      <w:r w:rsidRPr="00C75D14">
        <w:t>, including on-budget support (cash transfers) and use of in-line personnel</w:t>
      </w:r>
      <w:r w:rsidR="006C2598">
        <w:t>,</w:t>
      </w:r>
      <w:r w:rsidRPr="00C75D14">
        <w:t xml:space="preserve"> were both appropriate and relevant to </w:t>
      </w:r>
      <w:smartTag w:uri="urn:schemas-microsoft-com:office:smarttags" w:element="place">
        <w:smartTag w:uri="urn:schemas-microsoft-com:office:smarttags" w:element="country-region">
          <w:r w:rsidRPr="00C75D14">
            <w:t>Nauru</w:t>
          </w:r>
        </w:smartTag>
      </w:smartTag>
      <w:r w:rsidR="00247AFA">
        <w:t>’</w:t>
      </w:r>
      <w:r w:rsidRPr="00C75D14">
        <w:t>s circumstances.</w:t>
      </w:r>
      <w:r w:rsidR="00C2136E">
        <w:t xml:space="preserve"> </w:t>
      </w:r>
      <w:r w:rsidRPr="00C75D14">
        <w:t xml:space="preserve">However, the review </w:t>
      </w:r>
      <w:r w:rsidR="006C2598">
        <w:t>found</w:t>
      </w:r>
      <w:r w:rsidRPr="00C75D14">
        <w:t xml:space="preserve"> the traditional bilateral project approach (as employed </w:t>
      </w:r>
      <w:r w:rsidR="006C2598">
        <w:t>for</w:t>
      </w:r>
      <w:r w:rsidR="006C2598" w:rsidRPr="00C75D14">
        <w:t xml:space="preserve"> </w:t>
      </w:r>
      <w:r w:rsidRPr="00C75D14">
        <w:t xml:space="preserve">the </w:t>
      </w:r>
      <w:smartTag w:uri="urn:schemas-microsoft-com:office:smarttags" w:element="place">
        <w:smartTag w:uri="urn:schemas-microsoft-com:office:smarttags" w:element="PlaceName">
          <w:r w:rsidRPr="00C75D14">
            <w:t>Nauru</w:t>
          </w:r>
        </w:smartTag>
        <w:r w:rsidRPr="00C75D14">
          <w:t xml:space="preserve"> </w:t>
        </w:r>
        <w:smartTag w:uri="urn:schemas-microsoft-com:office:smarttags" w:element="PlaceType">
          <w:r w:rsidRPr="00C75D14">
            <w:t>Secondary School</w:t>
          </w:r>
        </w:smartTag>
      </w:smartTag>
      <w:r w:rsidRPr="00C75D14">
        <w:t xml:space="preserve"> reconstruction project) to be less effective than other options </w:t>
      </w:r>
      <w:r w:rsidR="006C2598">
        <w:t>and to lack broad</w:t>
      </w:r>
      <w:r w:rsidRPr="00C75D14">
        <w:t xml:space="preserve"> community support.</w:t>
      </w:r>
      <w:r w:rsidR="00C2136E">
        <w:t xml:space="preserve"> </w:t>
      </w:r>
      <w:r w:rsidRPr="00C75D14">
        <w:t>We believe</w:t>
      </w:r>
      <w:r w:rsidR="006C2598">
        <w:t xml:space="preserve"> that</w:t>
      </w:r>
      <w:r w:rsidRPr="00C75D14">
        <w:t xml:space="preserve"> this assessment reflects early community discontent with the managing contractor</w:t>
      </w:r>
      <w:r w:rsidR="006C2598">
        <w:t>’</w:t>
      </w:r>
      <w:r w:rsidRPr="00C75D14">
        <w:t>s performance in engaging the community</w:t>
      </w:r>
      <w:r w:rsidR="006C2598">
        <w:t>,</w:t>
      </w:r>
      <w:r w:rsidRPr="00C75D14">
        <w:t xml:space="preserve"> rather than lack of support for the community</w:t>
      </w:r>
      <w:r w:rsidR="006C2598">
        <w:t>-</w:t>
      </w:r>
      <w:r w:rsidRPr="00C75D14">
        <w:t xml:space="preserve">based construction approach. </w:t>
      </w:r>
      <w:r w:rsidR="006C2598">
        <w:t>S</w:t>
      </w:r>
      <w:r w:rsidRPr="00C75D14">
        <w:t>ome personnel changes and subsequent recasting of the community construction approach employed by the project seem to be generating much higher levels of community support and engagement on the project.</w:t>
      </w:r>
    </w:p>
    <w:p w:rsidR="00C2136E" w:rsidRDefault="00282A60" w:rsidP="00282A60">
      <w:pPr>
        <w:pStyle w:val="BodyText"/>
      </w:pPr>
      <w:r w:rsidRPr="00C75D14">
        <w:t>Of the initiatives assessed, all were making satisfactory progress towards their objectives and most were satisfactory in their implementation progress, monitoring and evaluation. The sustainability of initiatives was generally less than satisfactory</w:t>
      </w:r>
      <w:r w:rsidR="006C2598">
        <w:t>,</w:t>
      </w:r>
      <w:r w:rsidRPr="00C75D14">
        <w:t xml:space="preserve"> due largely to the limited availability of personnel and institutional capacity more broadly. The exception was in institutional and governance reforms</w:t>
      </w:r>
      <w:r w:rsidR="006C2598">
        <w:t>,</w:t>
      </w:r>
      <w:r w:rsidRPr="00C75D14">
        <w:t xml:space="preserve"> where significant progress in structural and procedural reform </w:t>
      </w:r>
      <w:r w:rsidR="006C2598">
        <w:t>has increased</w:t>
      </w:r>
      <w:r w:rsidR="006C2598" w:rsidRPr="00C75D14">
        <w:t xml:space="preserve"> </w:t>
      </w:r>
      <w:r w:rsidRPr="00C75D14">
        <w:t xml:space="preserve">the likelihood of sustained benefit. Sustainability has also been affected by a deliberate focus on provision of key personnel within </w:t>
      </w:r>
      <w:r w:rsidR="006C2598">
        <w:t>m</w:t>
      </w:r>
      <w:r w:rsidRPr="00C75D14">
        <w:t>inistries and SOEs</w:t>
      </w:r>
      <w:r w:rsidR="006C2598">
        <w:t>,</w:t>
      </w:r>
      <w:r w:rsidRPr="00C75D14">
        <w:t xml:space="preserve"> rather than on capacity building and institutional reform in some sectors.</w:t>
      </w:r>
      <w:r w:rsidR="00C2136E">
        <w:t xml:space="preserve"> </w:t>
      </w:r>
      <w:r w:rsidRPr="00C75D14">
        <w:t>This has been partly due to the precedents in aid delivery flowing from the presence of the Offshore Processing Centre</w:t>
      </w:r>
      <w:r w:rsidR="006C2598">
        <w:t>, which has placed</w:t>
      </w:r>
      <w:r w:rsidRPr="00C75D14">
        <w:t xml:space="preserve"> the focus on immediate improvements to the reliability of service delivery rather than on longer term reform, institutional strengthening and strategic planning.</w:t>
      </w:r>
    </w:p>
    <w:p w:rsidR="00282A60" w:rsidRPr="00C75D14" w:rsidRDefault="006C2598" w:rsidP="00282A60">
      <w:pPr>
        <w:pStyle w:val="BodyText"/>
      </w:pPr>
      <w:r>
        <w:t>Factors</w:t>
      </w:r>
      <w:r w:rsidRPr="00C75D14">
        <w:t xml:space="preserve"> </w:t>
      </w:r>
      <w:r w:rsidR="00282A60" w:rsidRPr="00C75D14">
        <w:t>preventing higher quality scores are considerable and include the following</w:t>
      </w:r>
      <w:r>
        <w:t>:</w:t>
      </w:r>
    </w:p>
    <w:p w:rsidR="00282A60" w:rsidRPr="00C75D14" w:rsidRDefault="00282A60" w:rsidP="00282A60">
      <w:pPr>
        <w:pStyle w:val="ListBullet"/>
      </w:pPr>
      <w:r w:rsidRPr="00C75D14">
        <w:rPr>
          <w:b/>
        </w:rPr>
        <w:t>Short funding cycles and lack of sector</w:t>
      </w:r>
      <w:r w:rsidR="00823839">
        <w:rPr>
          <w:b/>
        </w:rPr>
        <w:t>-</w:t>
      </w:r>
      <w:r w:rsidRPr="00C75D14">
        <w:rPr>
          <w:b/>
        </w:rPr>
        <w:t>wide designs</w:t>
      </w:r>
      <w:r w:rsidRPr="00C75D14">
        <w:rPr>
          <w:b/>
        </w:rPr>
        <w:br/>
      </w:r>
      <w:r w:rsidRPr="00C75D14">
        <w:t xml:space="preserve">Longer funding cycles would facilitate longer term planning </w:t>
      </w:r>
      <w:r w:rsidR="006C2598">
        <w:t>by</w:t>
      </w:r>
      <w:r w:rsidRPr="00C75D14">
        <w:t xml:space="preserve"> both governments and would provide more certainty for the </w:t>
      </w:r>
      <w:proofErr w:type="spellStart"/>
      <w:r w:rsidR="001E6A16">
        <w:t>GoN</w:t>
      </w:r>
      <w:proofErr w:type="spellEnd"/>
      <w:r w:rsidRPr="00C75D14">
        <w:t xml:space="preserve"> in budget planning. Longer term sectoral initiatives responding to sector-specific desig</w:t>
      </w:r>
      <w:r w:rsidR="00CF5833" w:rsidRPr="00C75D14">
        <w:t>n</w:t>
      </w:r>
      <w:r w:rsidR="00CF5833">
        <w:t xml:space="preserve"> </w:t>
      </w:r>
      <w:r w:rsidR="00CF5833" w:rsidRPr="00C75D14">
        <w:t>a</w:t>
      </w:r>
      <w:r w:rsidRPr="00C75D14">
        <w:t xml:space="preserve">nd objective statements would enable more </w:t>
      </w:r>
      <w:r w:rsidRPr="00C75D14">
        <w:lastRenderedPageBreak/>
        <w:t xml:space="preserve">adequate monitoring of quality and outcomes. </w:t>
      </w:r>
      <w:r w:rsidR="006C2598">
        <w:t>Current arrangements</w:t>
      </w:r>
      <w:r w:rsidRPr="00C75D14">
        <w:t xml:space="preserve"> contribute to the </w:t>
      </w:r>
      <w:r w:rsidR="00B964F1">
        <w:t>Nauru P</w:t>
      </w:r>
      <w:r w:rsidRPr="00C75D14">
        <w:t>rogram being administratively cumbersome.</w:t>
      </w:r>
    </w:p>
    <w:p w:rsidR="00282A60" w:rsidRPr="00C75D14" w:rsidRDefault="00282A60" w:rsidP="00282A60">
      <w:pPr>
        <w:pStyle w:val="ListBullet"/>
      </w:pPr>
      <w:r w:rsidRPr="00C75D14">
        <w:rPr>
          <w:b/>
        </w:rPr>
        <w:t>Lack of capacity to implement reforms</w:t>
      </w:r>
      <w:r w:rsidRPr="00C75D14">
        <w:rPr>
          <w:b/>
        </w:rPr>
        <w:br/>
      </w:r>
      <w:r w:rsidRPr="00C75D14">
        <w:t xml:space="preserve">The lack of suitable </w:t>
      </w:r>
      <w:r w:rsidR="00B964F1">
        <w:t xml:space="preserve">local or expatriate </w:t>
      </w:r>
      <w:r w:rsidRPr="00C75D14">
        <w:t xml:space="preserve">personnel and resources to fill and fund key positions and reforms in all sectors continues to be </w:t>
      </w:r>
      <w:r w:rsidR="00B964F1">
        <w:t xml:space="preserve">a </w:t>
      </w:r>
      <w:r w:rsidRPr="00C75D14">
        <w:t>problem</w:t>
      </w:r>
      <w:r w:rsidR="00B964F1">
        <w:t>,</w:t>
      </w:r>
      <w:r w:rsidRPr="00C75D14">
        <w:t xml:space="preserve"> and from time to time creates delays in program and policy implementation or development. Early succession planning is critical for all positions, particularly if funding cycles continue</w:t>
      </w:r>
      <w:r w:rsidR="00B964F1">
        <w:t xml:space="preserve"> to be short-term</w:t>
      </w:r>
      <w:r w:rsidRPr="00C75D14">
        <w:t>.</w:t>
      </w:r>
    </w:p>
    <w:p w:rsidR="00282A60" w:rsidRPr="00C75D14" w:rsidRDefault="00282A60" w:rsidP="00282A60">
      <w:pPr>
        <w:pStyle w:val="ListBullet"/>
      </w:pPr>
      <w:r w:rsidRPr="00C75D14">
        <w:rPr>
          <w:b/>
        </w:rPr>
        <w:t>Limited monitoring and evaluation framework</w:t>
      </w:r>
      <w:r w:rsidRPr="00C75D14">
        <w:rPr>
          <w:b/>
        </w:rPr>
        <w:br/>
      </w:r>
      <w:r w:rsidRPr="00C75D14">
        <w:t>While there have been improvements in physical monitoring arrangements an</w:t>
      </w:r>
      <w:r w:rsidR="00CF5833" w:rsidRPr="00C75D14">
        <w:t>d</w:t>
      </w:r>
      <w:r w:rsidR="00CF5833">
        <w:t xml:space="preserve"> </w:t>
      </w:r>
      <w:r w:rsidR="00CF5833" w:rsidRPr="00C75D14">
        <w:t>r</w:t>
      </w:r>
      <w:r w:rsidRPr="00C75D14">
        <w:t xml:space="preserve">eporting in most sectors, the lack of formal and agreed monitoring and evaluation </w:t>
      </w:r>
      <w:r w:rsidR="00B964F1" w:rsidRPr="00C75D14">
        <w:t>framework</w:t>
      </w:r>
      <w:r w:rsidR="00B964F1">
        <w:t xml:space="preserve">s </w:t>
      </w:r>
      <w:r w:rsidRPr="00C75D14">
        <w:t>limits the program</w:t>
      </w:r>
      <w:r w:rsidR="00247AFA">
        <w:t>’</w:t>
      </w:r>
      <w:r w:rsidRPr="00C75D14">
        <w:t>s ability to achieve and reliably assess th</w:t>
      </w:r>
      <w:r w:rsidR="00CF5833" w:rsidRPr="00C75D14">
        <w:t>e</w:t>
      </w:r>
      <w:r w:rsidR="00CF5833">
        <w:t xml:space="preserve"> </w:t>
      </w:r>
      <w:r w:rsidR="00CF5833" w:rsidRPr="00C75D14">
        <w:t>q</w:t>
      </w:r>
      <w:r w:rsidRPr="00C75D14">
        <w:t>uality of outcomes. Reliable sex</w:t>
      </w:r>
      <w:r w:rsidR="00B964F1">
        <w:t>-</w:t>
      </w:r>
      <w:r w:rsidRPr="00C75D14">
        <w:t>disaggregated performance data would enable changes and improvements to be effectively and reliably monitored. Data collection arrangements to support an agreed monitoring and evaluation framework should be included in the designs of all initiatives.</w:t>
      </w:r>
    </w:p>
    <w:p w:rsidR="00282A60" w:rsidRPr="00C75D14" w:rsidRDefault="00282A60" w:rsidP="00282A60">
      <w:pPr>
        <w:pStyle w:val="ListBullet"/>
      </w:pPr>
      <w:r w:rsidRPr="00C75D14">
        <w:rPr>
          <w:b/>
        </w:rPr>
        <w:t>Lack of reliable</w:t>
      </w:r>
      <w:r w:rsidR="00C2136E">
        <w:rPr>
          <w:b/>
        </w:rPr>
        <w:t xml:space="preserve"> </w:t>
      </w:r>
      <w:r w:rsidRPr="00C75D14">
        <w:rPr>
          <w:b/>
        </w:rPr>
        <w:t>sex</w:t>
      </w:r>
      <w:r w:rsidR="00B964F1">
        <w:rPr>
          <w:b/>
        </w:rPr>
        <w:t>-</w:t>
      </w:r>
      <w:r w:rsidRPr="00C75D14">
        <w:rPr>
          <w:b/>
        </w:rPr>
        <w:t>disaggregated development data</w:t>
      </w:r>
      <w:r w:rsidRPr="00C75D14">
        <w:rPr>
          <w:b/>
        </w:rPr>
        <w:br/>
      </w:r>
      <w:r w:rsidR="00B964F1">
        <w:t>Because</w:t>
      </w:r>
      <w:r w:rsidRPr="00C75D14">
        <w:t xml:space="preserve"> of Nauru</w:t>
      </w:r>
      <w:r w:rsidR="00247AFA">
        <w:t>’</w:t>
      </w:r>
      <w:r w:rsidRPr="00C75D14">
        <w:t xml:space="preserve">s small </w:t>
      </w:r>
      <w:r w:rsidR="00B964F1">
        <w:t>size</w:t>
      </w:r>
      <w:r w:rsidRPr="00C75D14">
        <w:t>, both negative and positive</w:t>
      </w:r>
      <w:r w:rsidR="00B964F1">
        <w:t xml:space="preserve"> impacts</w:t>
      </w:r>
      <w:r w:rsidRPr="00C75D14">
        <w:t xml:space="preserve"> of external drivers</w:t>
      </w:r>
      <w:r w:rsidR="00B964F1">
        <w:t>,</w:t>
      </w:r>
      <w:r w:rsidRPr="00C75D14">
        <w:t xml:space="preserve"> such as development assistance programs or international economic factors</w:t>
      </w:r>
      <w:r w:rsidR="00B964F1">
        <w:t>,</w:t>
      </w:r>
      <w:r w:rsidRPr="00C75D14">
        <w:t xml:space="preserve"> can be swift, significant and readily observed. This results in considerable amounts of anecdotal evidence underpinning policy, planning and funding priorities. </w:t>
      </w:r>
      <w:r w:rsidR="00B964F1">
        <w:t>In turn, t</w:t>
      </w:r>
      <w:r w:rsidRPr="00C75D14">
        <w:t xml:space="preserve">his has led to a reliance on </w:t>
      </w:r>
      <w:r w:rsidR="00247AFA">
        <w:t>‘</w:t>
      </w:r>
      <w:r w:rsidRPr="00C75D14">
        <w:t>observational</w:t>
      </w:r>
      <w:r w:rsidR="00247AFA">
        <w:t>’</w:t>
      </w:r>
      <w:r w:rsidRPr="00C75D14">
        <w:t xml:space="preserve"> evidence rather than hard data. In the context of current international approaches to aid delivery</w:t>
      </w:r>
      <w:r w:rsidR="00B964F1">
        <w:t>,</w:t>
      </w:r>
      <w:r w:rsidRPr="00C75D14">
        <w:t xml:space="preserve"> the lack of hard data to support evidence</w:t>
      </w:r>
      <w:r w:rsidR="00B964F1">
        <w:t>-</w:t>
      </w:r>
      <w:r w:rsidRPr="00C75D14">
        <w:t>based policymaking presents a potential risk to future funding levels.</w:t>
      </w:r>
      <w:r w:rsidR="00C2136E">
        <w:t xml:space="preserve"> </w:t>
      </w:r>
      <w:r w:rsidRPr="00C75D14">
        <w:t xml:space="preserve">The Bureau of Statistics and key line agencies such as education and health will be targeted for support under the </w:t>
      </w:r>
      <w:r w:rsidR="00B964F1">
        <w:t>Pacific Partnership for Development</w:t>
      </w:r>
      <w:r w:rsidRPr="00C75D14">
        <w:t>.</w:t>
      </w:r>
    </w:p>
    <w:p w:rsidR="00C2136E" w:rsidRDefault="00282A60" w:rsidP="00282A60">
      <w:pPr>
        <w:pStyle w:val="ListBullet"/>
      </w:pPr>
      <w:r w:rsidRPr="00C75D14">
        <w:rPr>
          <w:b/>
        </w:rPr>
        <w:t xml:space="preserve">Greater partnership with the Government of </w:t>
      </w:r>
      <w:smartTag w:uri="urn:schemas-microsoft-com:office:smarttags" w:element="place">
        <w:smartTag w:uri="urn:schemas-microsoft-com:office:smarttags" w:element="country-region">
          <w:r w:rsidRPr="00C75D14">
            <w:rPr>
              <w:b/>
            </w:rPr>
            <w:t>Nauru</w:t>
          </w:r>
        </w:smartTag>
      </w:smartTag>
      <w:r w:rsidRPr="00C75D14">
        <w:rPr>
          <w:b/>
        </w:rPr>
        <w:t xml:space="preserve"> to enhance aid management</w:t>
      </w:r>
      <w:r w:rsidRPr="00C75D14">
        <w:rPr>
          <w:b/>
        </w:rPr>
        <w:br/>
      </w:r>
      <w:proofErr w:type="spellStart"/>
      <w:r w:rsidRPr="00C75D14">
        <w:t>AusAID</w:t>
      </w:r>
      <w:proofErr w:type="spellEnd"/>
      <w:r w:rsidRPr="00C75D14">
        <w:t xml:space="preserve"> has demonstrated that using the systems of partner governments has considerable advantages </w:t>
      </w:r>
      <w:r w:rsidR="00B964F1">
        <w:t>in</w:t>
      </w:r>
      <w:r w:rsidRPr="00C75D14">
        <w:t xml:space="preserve"> local capacity building, administrative effectiveness, and reform and development outcomes. Joint risk management and monitoring arrangements could further improve implementation and outcomes.</w:t>
      </w:r>
    </w:p>
    <w:p w:rsidR="00282A60" w:rsidRPr="00C75D14" w:rsidRDefault="00282A60" w:rsidP="00282A60">
      <w:pPr>
        <w:pStyle w:val="ListBullet"/>
      </w:pPr>
      <w:r w:rsidRPr="00C75D14">
        <w:rPr>
          <w:b/>
        </w:rPr>
        <w:t>Contingency planning to respond to external factors</w:t>
      </w:r>
      <w:r w:rsidRPr="00C75D14">
        <w:rPr>
          <w:b/>
        </w:rPr>
        <w:br/>
      </w:r>
      <w:r w:rsidRPr="00C75D14">
        <w:t xml:space="preserve">Unreliable and irregular transport links to and from </w:t>
      </w:r>
      <w:smartTag w:uri="urn:schemas-microsoft-com:office:smarttags" w:element="place">
        <w:smartTag w:uri="urn:schemas-microsoft-com:office:smarttags" w:element="country-region">
          <w:r w:rsidRPr="00C75D14">
            <w:t>Nauru</w:t>
          </w:r>
        </w:smartTag>
      </w:smartTag>
      <w:r w:rsidRPr="00C75D14">
        <w:t xml:space="preserve">, as well as local political developments and landowner issues, have occasionally caused considerable delays to the implementation and progress of activities. Contingencies should be considered at all stages of program planning to accommodate such developments as far as </w:t>
      </w:r>
      <w:r w:rsidR="00B964F1">
        <w:t xml:space="preserve">they </w:t>
      </w:r>
      <w:r w:rsidRPr="00C75D14">
        <w:t>can be reasonably predicted.</w:t>
      </w:r>
    </w:p>
    <w:p w:rsidR="00282A60" w:rsidRDefault="00282A60" w:rsidP="002F6F99">
      <w:pPr>
        <w:pStyle w:val="H2"/>
      </w:pPr>
      <w:bookmarkStart w:id="77" w:name="_Toc244501299"/>
      <w:bookmarkStart w:id="78" w:name="_Toc361056137"/>
      <w:r w:rsidRPr="0093491E">
        <w:t xml:space="preserve">QAI </w:t>
      </w:r>
      <w:r w:rsidR="00B964F1">
        <w:t>s</w:t>
      </w:r>
      <w:r w:rsidRPr="0093491E">
        <w:t>ummary</w:t>
      </w:r>
      <w:bookmarkEnd w:id="77"/>
      <w:bookmarkEnd w:id="78"/>
    </w:p>
    <w:p w:rsidR="00B964F1" w:rsidRPr="00C75D14" w:rsidRDefault="00B964F1" w:rsidP="00B964F1">
      <w:pPr>
        <w:pStyle w:val="BodyText"/>
      </w:pPr>
      <w:bookmarkStart w:id="79" w:name="_Toc201650409"/>
      <w:r w:rsidRPr="00C75D14">
        <w:t>While progress has been strong over the past 12</w:t>
      </w:r>
      <w:r>
        <w:t> </w:t>
      </w:r>
      <w:r w:rsidRPr="00C75D14">
        <w:t xml:space="preserve">months, scores </w:t>
      </w:r>
      <w:r w:rsidR="00CC5D0E">
        <w:t xml:space="preserve">for 2008–09 </w:t>
      </w:r>
      <w:r w:rsidR="001B5248">
        <w:t xml:space="preserve">(Table 1) </w:t>
      </w:r>
      <w:r w:rsidR="00CC5D0E">
        <w:t>we</w:t>
      </w:r>
      <w:r w:rsidRPr="00C75D14">
        <w:t>re generally a little lower than scores for 2007</w:t>
      </w:r>
      <w:r>
        <w:t>–</w:t>
      </w:r>
      <w:r w:rsidRPr="00C75D14">
        <w:t>08. This is largely due to the very low starting point from which the 2007</w:t>
      </w:r>
      <w:r>
        <w:t>–</w:t>
      </w:r>
      <w:r w:rsidRPr="00C75D14">
        <w:t xml:space="preserve">08 achievements were measured. Scores for </w:t>
      </w:r>
      <w:r>
        <w:t>2008–09</w:t>
      </w:r>
      <w:r w:rsidRPr="00C75D14">
        <w:t xml:space="preserve"> reflect the higher expectations of stakeholders and the failure in most sectors to fully meet those expectations</w:t>
      </w:r>
      <w:r>
        <w:t>,</w:t>
      </w:r>
      <w:r w:rsidRPr="00C75D14">
        <w:t xml:space="preserve"> even though the achievements </w:t>
      </w:r>
      <w:r w:rsidR="00E66693">
        <w:t>were</w:t>
      </w:r>
      <w:r w:rsidRPr="00C75D14">
        <w:t xml:space="preserve"> significant.</w:t>
      </w:r>
    </w:p>
    <w:p w:rsidR="00282A60" w:rsidRDefault="00282A60" w:rsidP="00282A60">
      <w:pPr>
        <w:pStyle w:val="Caption"/>
      </w:pPr>
      <w:r>
        <w:lastRenderedPageBreak/>
        <w:t xml:space="preserve">Table </w:t>
      </w:r>
      <w:r w:rsidR="00B174C6">
        <w:fldChar w:fldCharType="begin"/>
      </w:r>
      <w:r w:rsidR="00B174C6">
        <w:instrText xml:space="preserve"> SEQ Table \* MERGEFORMAT </w:instrText>
      </w:r>
      <w:r w:rsidR="00B174C6">
        <w:fldChar w:fldCharType="separate"/>
      </w:r>
      <w:r w:rsidR="00AD4CCC">
        <w:rPr>
          <w:noProof/>
        </w:rPr>
        <w:t>1</w:t>
      </w:r>
      <w:r w:rsidR="00B174C6">
        <w:rPr>
          <w:noProof/>
        </w:rPr>
        <w:fldChar w:fldCharType="end"/>
      </w:r>
      <w:r>
        <w:t xml:space="preserve">: </w:t>
      </w:r>
      <w:bookmarkEnd w:id="79"/>
      <w:r>
        <w:t>Quality at implementation</w:t>
      </w:r>
    </w:p>
    <w:tbl>
      <w:tblPr>
        <w:tblW w:w="7938" w:type="dxa"/>
        <w:tblInd w:w="57" w:type="dxa"/>
        <w:tblLayout w:type="fixed"/>
        <w:tblLook w:val="01E0" w:firstRow="1" w:lastRow="1" w:firstColumn="1" w:lastColumn="1" w:noHBand="0" w:noVBand="0"/>
      </w:tblPr>
      <w:tblGrid>
        <w:gridCol w:w="1532"/>
        <w:gridCol w:w="1445"/>
        <w:gridCol w:w="1240"/>
        <w:gridCol w:w="413"/>
        <w:gridCol w:w="899"/>
        <w:gridCol w:w="755"/>
        <w:gridCol w:w="413"/>
        <w:gridCol w:w="1241"/>
      </w:tblGrid>
      <w:tr w:rsidR="00282A60" w:rsidRPr="00F1689A" w:rsidTr="0048164E">
        <w:trPr>
          <w:cantSplit/>
          <w:trHeight w:val="613"/>
          <w:tblHeader/>
        </w:trPr>
        <w:tc>
          <w:tcPr>
            <w:tcW w:w="2977" w:type="dxa"/>
            <w:gridSpan w:val="2"/>
            <w:tcBorders>
              <w:top w:val="single" w:sz="12" w:space="0" w:color="auto"/>
              <w:bottom w:val="single" w:sz="2" w:space="0" w:color="auto"/>
            </w:tcBorders>
            <w:shd w:val="clear" w:color="auto" w:fill="auto"/>
            <w:tcMar>
              <w:left w:w="57" w:type="dxa"/>
              <w:right w:w="57" w:type="dxa"/>
            </w:tcMar>
          </w:tcPr>
          <w:p w:rsidR="00282A60" w:rsidRPr="00F1689A" w:rsidRDefault="00282A60" w:rsidP="008574C9">
            <w:pPr>
              <w:pStyle w:val="TableTextColumnHeading"/>
              <w:keepNext/>
            </w:pPr>
            <w:r w:rsidRPr="00F1689A">
              <w:t>Initiative</w:t>
            </w:r>
          </w:p>
        </w:tc>
        <w:tc>
          <w:tcPr>
            <w:tcW w:w="1240" w:type="dxa"/>
            <w:tcBorders>
              <w:top w:val="single" w:sz="12" w:space="0" w:color="auto"/>
              <w:bottom w:val="single" w:sz="2" w:space="0" w:color="auto"/>
            </w:tcBorders>
            <w:shd w:val="clear" w:color="auto" w:fill="auto"/>
            <w:tcMar>
              <w:left w:w="57" w:type="dxa"/>
              <w:right w:w="57" w:type="dxa"/>
            </w:tcMar>
          </w:tcPr>
          <w:p w:rsidR="00282A60" w:rsidRPr="00F1689A" w:rsidRDefault="00282A60" w:rsidP="008574C9">
            <w:pPr>
              <w:pStyle w:val="TableTextColumnHeading"/>
              <w:keepNext/>
            </w:pPr>
            <w:r w:rsidRPr="00F1689A">
              <w:t xml:space="preserve">Achieving </w:t>
            </w:r>
            <w:r w:rsidR="008574C9">
              <w:t>o</w:t>
            </w:r>
            <w:r w:rsidRPr="00F1689A">
              <w:t>bjectives</w:t>
            </w:r>
          </w:p>
        </w:tc>
        <w:tc>
          <w:tcPr>
            <w:tcW w:w="1312" w:type="dxa"/>
            <w:gridSpan w:val="2"/>
            <w:tcBorders>
              <w:top w:val="single" w:sz="12" w:space="0" w:color="auto"/>
              <w:bottom w:val="single" w:sz="2" w:space="0" w:color="auto"/>
            </w:tcBorders>
            <w:shd w:val="clear" w:color="auto" w:fill="auto"/>
            <w:tcMar>
              <w:left w:w="57" w:type="dxa"/>
              <w:right w:w="57" w:type="dxa"/>
            </w:tcMar>
          </w:tcPr>
          <w:p w:rsidR="00282A60" w:rsidRPr="00F1689A" w:rsidRDefault="00282A60" w:rsidP="00A33698">
            <w:pPr>
              <w:pStyle w:val="TableTextColumnHeading"/>
              <w:keepNext/>
            </w:pPr>
            <w:r w:rsidRPr="00F1689A">
              <w:t xml:space="preserve">Implementation </w:t>
            </w:r>
            <w:r w:rsidR="008574C9">
              <w:t>p</w:t>
            </w:r>
            <w:r w:rsidRPr="00F1689A">
              <w:t>rogress</w:t>
            </w:r>
          </w:p>
        </w:tc>
        <w:tc>
          <w:tcPr>
            <w:tcW w:w="1168" w:type="dxa"/>
            <w:gridSpan w:val="2"/>
            <w:tcBorders>
              <w:top w:val="single" w:sz="12" w:space="0" w:color="auto"/>
              <w:bottom w:val="single" w:sz="2" w:space="0" w:color="auto"/>
            </w:tcBorders>
            <w:shd w:val="clear" w:color="auto" w:fill="auto"/>
            <w:tcMar>
              <w:left w:w="57" w:type="dxa"/>
              <w:right w:w="57" w:type="dxa"/>
            </w:tcMar>
          </w:tcPr>
          <w:p w:rsidR="00282A60" w:rsidRPr="00F1689A" w:rsidRDefault="00282A60" w:rsidP="008574C9">
            <w:pPr>
              <w:pStyle w:val="TableTextColumnHeading"/>
              <w:keepNext/>
            </w:pPr>
            <w:r w:rsidRPr="00F1689A">
              <w:t>M</w:t>
            </w:r>
            <w:r w:rsidR="008574C9">
              <w:t>onitoring and evaluation</w:t>
            </w:r>
          </w:p>
        </w:tc>
        <w:tc>
          <w:tcPr>
            <w:tcW w:w="1241" w:type="dxa"/>
            <w:tcBorders>
              <w:top w:val="single" w:sz="12" w:space="0" w:color="auto"/>
              <w:bottom w:val="single" w:sz="2" w:space="0" w:color="auto"/>
            </w:tcBorders>
            <w:shd w:val="clear" w:color="auto" w:fill="auto"/>
            <w:tcMar>
              <w:left w:w="57" w:type="dxa"/>
              <w:right w:w="57" w:type="dxa"/>
            </w:tcMar>
          </w:tcPr>
          <w:p w:rsidR="00282A60" w:rsidRPr="00F1689A" w:rsidRDefault="00282A60" w:rsidP="00A33698">
            <w:pPr>
              <w:pStyle w:val="TableTextColumnHeading"/>
              <w:keepNext/>
            </w:pPr>
            <w:r w:rsidRPr="00F1689A">
              <w:t>Sustainability</w:t>
            </w:r>
          </w:p>
        </w:tc>
      </w:tr>
      <w:tr w:rsidR="00282A60" w:rsidRPr="00F1689A" w:rsidTr="0048164E">
        <w:trPr>
          <w:cantSplit/>
        </w:trPr>
        <w:tc>
          <w:tcPr>
            <w:tcW w:w="2977" w:type="dxa"/>
            <w:gridSpan w:val="2"/>
            <w:tcBorders>
              <w:top w:val="single" w:sz="2" w:space="0" w:color="auto"/>
            </w:tcBorders>
            <w:shd w:val="clear" w:color="auto" w:fill="auto"/>
            <w:tcMar>
              <w:left w:w="57" w:type="dxa"/>
              <w:right w:w="57" w:type="dxa"/>
            </w:tcMar>
          </w:tcPr>
          <w:p w:rsidR="00282A60" w:rsidRPr="00A96D2B" w:rsidRDefault="00282A60" w:rsidP="00A33698">
            <w:pPr>
              <w:pStyle w:val="TableTextEntries"/>
              <w:keepNext/>
            </w:pPr>
            <w:r w:rsidRPr="00A96D2B">
              <w:t>Economic and Financial Management Reform</w:t>
            </w:r>
          </w:p>
        </w:tc>
        <w:tc>
          <w:tcPr>
            <w:tcW w:w="1240" w:type="dxa"/>
            <w:tcBorders>
              <w:top w:val="single" w:sz="2" w:space="0" w:color="auto"/>
            </w:tcBorders>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c>
          <w:tcPr>
            <w:tcW w:w="1312" w:type="dxa"/>
            <w:gridSpan w:val="2"/>
            <w:tcBorders>
              <w:top w:val="single" w:sz="2" w:space="0" w:color="auto"/>
            </w:tcBorders>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c>
          <w:tcPr>
            <w:tcW w:w="1168" w:type="dxa"/>
            <w:gridSpan w:val="2"/>
            <w:tcBorders>
              <w:top w:val="single" w:sz="2" w:space="0" w:color="auto"/>
            </w:tcBorders>
            <w:shd w:val="clear" w:color="auto" w:fill="FF9900"/>
            <w:tcMar>
              <w:left w:w="57" w:type="dxa"/>
              <w:right w:w="57" w:type="dxa"/>
            </w:tcMar>
            <w:vAlign w:val="center"/>
          </w:tcPr>
          <w:p w:rsidR="00282A60" w:rsidRPr="00F3724D" w:rsidRDefault="00282A60" w:rsidP="008574C9">
            <w:pPr>
              <w:pStyle w:val="TableTextEntries"/>
              <w:keepNext/>
              <w:jc w:val="center"/>
            </w:pPr>
            <w:r w:rsidRPr="00F3724D">
              <w:t>3</w:t>
            </w:r>
          </w:p>
        </w:tc>
        <w:tc>
          <w:tcPr>
            <w:tcW w:w="1241" w:type="dxa"/>
            <w:tcBorders>
              <w:top w:val="single" w:sz="2" w:space="0" w:color="auto"/>
            </w:tcBorders>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r>
      <w:tr w:rsidR="00282A60" w:rsidRPr="00F1689A" w:rsidTr="0048164E">
        <w:trPr>
          <w:cantSplit/>
        </w:trPr>
        <w:tc>
          <w:tcPr>
            <w:tcW w:w="2977" w:type="dxa"/>
            <w:gridSpan w:val="2"/>
            <w:shd w:val="clear" w:color="auto" w:fill="auto"/>
            <w:tcMar>
              <w:left w:w="57" w:type="dxa"/>
              <w:right w:w="57" w:type="dxa"/>
            </w:tcMar>
          </w:tcPr>
          <w:p w:rsidR="00282A60" w:rsidRPr="00A96D2B" w:rsidRDefault="00282A60" w:rsidP="00A33698">
            <w:pPr>
              <w:pStyle w:val="TableTextEntries"/>
              <w:keepNext/>
            </w:pPr>
            <w:r w:rsidRPr="00A96D2B">
              <w:t>Health</w:t>
            </w:r>
          </w:p>
        </w:tc>
        <w:tc>
          <w:tcPr>
            <w:tcW w:w="1240" w:type="dxa"/>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c>
          <w:tcPr>
            <w:tcW w:w="1312" w:type="dxa"/>
            <w:gridSpan w:val="2"/>
            <w:shd w:val="clear" w:color="auto" w:fill="FF9900"/>
            <w:tcMar>
              <w:left w:w="57" w:type="dxa"/>
              <w:right w:w="57" w:type="dxa"/>
            </w:tcMar>
            <w:vAlign w:val="center"/>
          </w:tcPr>
          <w:p w:rsidR="00282A60" w:rsidRPr="00F3724D" w:rsidRDefault="00282A60" w:rsidP="008574C9">
            <w:pPr>
              <w:pStyle w:val="TableTextEntries"/>
              <w:keepNext/>
              <w:jc w:val="center"/>
            </w:pPr>
            <w:r w:rsidRPr="00F3724D">
              <w:t>3</w:t>
            </w:r>
          </w:p>
        </w:tc>
        <w:tc>
          <w:tcPr>
            <w:tcW w:w="1168" w:type="dxa"/>
            <w:gridSpan w:val="2"/>
            <w:shd w:val="clear" w:color="auto" w:fill="FF9900"/>
            <w:tcMar>
              <w:left w:w="57" w:type="dxa"/>
              <w:right w:w="57" w:type="dxa"/>
            </w:tcMar>
            <w:vAlign w:val="center"/>
          </w:tcPr>
          <w:p w:rsidR="00282A60" w:rsidRPr="00F3724D" w:rsidRDefault="00282A60" w:rsidP="008574C9">
            <w:pPr>
              <w:pStyle w:val="TableTextEntries"/>
              <w:keepNext/>
              <w:jc w:val="center"/>
            </w:pPr>
            <w:r w:rsidRPr="00F3724D">
              <w:t>2</w:t>
            </w:r>
          </w:p>
        </w:tc>
        <w:tc>
          <w:tcPr>
            <w:tcW w:w="1241" w:type="dxa"/>
            <w:shd w:val="clear" w:color="auto" w:fill="FF9900"/>
            <w:tcMar>
              <w:left w:w="57" w:type="dxa"/>
              <w:right w:w="57" w:type="dxa"/>
            </w:tcMar>
            <w:vAlign w:val="center"/>
          </w:tcPr>
          <w:p w:rsidR="00282A60" w:rsidRPr="00F3724D" w:rsidRDefault="00282A60" w:rsidP="008574C9">
            <w:pPr>
              <w:pStyle w:val="TableTextEntries"/>
              <w:keepNext/>
              <w:jc w:val="center"/>
            </w:pPr>
            <w:r w:rsidRPr="00F3724D">
              <w:t>2</w:t>
            </w:r>
          </w:p>
        </w:tc>
      </w:tr>
      <w:tr w:rsidR="00282A60" w:rsidRPr="00F1689A" w:rsidTr="0048164E">
        <w:trPr>
          <w:cantSplit/>
        </w:trPr>
        <w:tc>
          <w:tcPr>
            <w:tcW w:w="2977" w:type="dxa"/>
            <w:gridSpan w:val="2"/>
            <w:shd w:val="clear" w:color="auto" w:fill="auto"/>
            <w:tcMar>
              <w:left w:w="57" w:type="dxa"/>
              <w:right w:w="57" w:type="dxa"/>
            </w:tcMar>
          </w:tcPr>
          <w:p w:rsidR="00282A60" w:rsidRPr="00A96D2B" w:rsidRDefault="00282A60" w:rsidP="00A33698">
            <w:pPr>
              <w:pStyle w:val="TableTextEntries"/>
              <w:keepNext/>
            </w:pPr>
            <w:r w:rsidRPr="00A96D2B">
              <w:t>Education</w:t>
            </w:r>
          </w:p>
        </w:tc>
        <w:tc>
          <w:tcPr>
            <w:tcW w:w="1240" w:type="dxa"/>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c>
          <w:tcPr>
            <w:tcW w:w="1312" w:type="dxa"/>
            <w:gridSpan w:val="2"/>
            <w:shd w:val="clear" w:color="auto" w:fill="99CC00"/>
            <w:tcMar>
              <w:left w:w="57" w:type="dxa"/>
              <w:right w:w="57" w:type="dxa"/>
            </w:tcMar>
            <w:vAlign w:val="center"/>
          </w:tcPr>
          <w:p w:rsidR="00282A60" w:rsidRPr="00F3724D" w:rsidRDefault="00282A60" w:rsidP="008574C9">
            <w:pPr>
              <w:pStyle w:val="TableTextEntries"/>
              <w:keepNext/>
              <w:jc w:val="center"/>
            </w:pPr>
            <w:r w:rsidRPr="00F3724D">
              <w:t>5</w:t>
            </w:r>
          </w:p>
        </w:tc>
        <w:tc>
          <w:tcPr>
            <w:tcW w:w="1168" w:type="dxa"/>
            <w:gridSpan w:val="2"/>
            <w:shd w:val="clear" w:color="auto" w:fill="99CC00"/>
            <w:tcMar>
              <w:left w:w="57" w:type="dxa"/>
              <w:right w:w="57" w:type="dxa"/>
            </w:tcMar>
            <w:vAlign w:val="center"/>
          </w:tcPr>
          <w:p w:rsidR="00282A60" w:rsidRPr="00F3724D" w:rsidRDefault="00282A60" w:rsidP="008574C9">
            <w:pPr>
              <w:pStyle w:val="TableTextEntries"/>
              <w:keepNext/>
              <w:jc w:val="center"/>
            </w:pPr>
            <w:r w:rsidRPr="00F3724D">
              <w:t>5</w:t>
            </w:r>
          </w:p>
        </w:tc>
        <w:tc>
          <w:tcPr>
            <w:tcW w:w="1241" w:type="dxa"/>
            <w:shd w:val="clear" w:color="auto" w:fill="99CC00"/>
            <w:tcMar>
              <w:left w:w="57" w:type="dxa"/>
              <w:right w:w="57" w:type="dxa"/>
            </w:tcMar>
            <w:vAlign w:val="center"/>
          </w:tcPr>
          <w:p w:rsidR="00282A60" w:rsidRPr="00F3724D" w:rsidRDefault="00282A60" w:rsidP="008574C9">
            <w:pPr>
              <w:pStyle w:val="TableTextEntries"/>
              <w:keepNext/>
              <w:jc w:val="center"/>
            </w:pPr>
            <w:r w:rsidRPr="00F3724D">
              <w:t>5</w:t>
            </w:r>
          </w:p>
        </w:tc>
      </w:tr>
      <w:tr w:rsidR="00282A60" w:rsidRPr="00F1689A" w:rsidTr="0048164E">
        <w:trPr>
          <w:cantSplit/>
        </w:trPr>
        <w:tc>
          <w:tcPr>
            <w:tcW w:w="2977" w:type="dxa"/>
            <w:gridSpan w:val="2"/>
            <w:tcBorders>
              <w:bottom w:val="single" w:sz="12" w:space="0" w:color="auto"/>
            </w:tcBorders>
            <w:shd w:val="clear" w:color="auto" w:fill="auto"/>
            <w:tcMar>
              <w:left w:w="57" w:type="dxa"/>
              <w:right w:w="57" w:type="dxa"/>
            </w:tcMar>
          </w:tcPr>
          <w:p w:rsidR="00282A60" w:rsidRPr="00A96D2B" w:rsidRDefault="00282A60" w:rsidP="00A33698">
            <w:pPr>
              <w:pStyle w:val="TableTextEntries"/>
              <w:keepNext/>
            </w:pPr>
            <w:r w:rsidRPr="00A96D2B">
              <w:t>Infrastructure/Utilities</w:t>
            </w:r>
          </w:p>
        </w:tc>
        <w:tc>
          <w:tcPr>
            <w:tcW w:w="1240" w:type="dxa"/>
            <w:tcBorders>
              <w:bottom w:val="single" w:sz="12" w:space="0" w:color="auto"/>
            </w:tcBorders>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c>
          <w:tcPr>
            <w:tcW w:w="1312" w:type="dxa"/>
            <w:gridSpan w:val="2"/>
            <w:tcBorders>
              <w:bottom w:val="single" w:sz="12" w:space="0" w:color="auto"/>
            </w:tcBorders>
            <w:shd w:val="clear" w:color="auto" w:fill="99CC00"/>
            <w:tcMar>
              <w:left w:w="57" w:type="dxa"/>
              <w:right w:w="57" w:type="dxa"/>
            </w:tcMar>
            <w:vAlign w:val="center"/>
          </w:tcPr>
          <w:p w:rsidR="00282A60" w:rsidRPr="00F3724D" w:rsidRDefault="00282A60" w:rsidP="008574C9">
            <w:pPr>
              <w:pStyle w:val="TableTextEntries"/>
              <w:keepNext/>
              <w:jc w:val="center"/>
            </w:pPr>
            <w:r w:rsidRPr="00F3724D">
              <w:t>5</w:t>
            </w:r>
          </w:p>
        </w:tc>
        <w:tc>
          <w:tcPr>
            <w:tcW w:w="1168" w:type="dxa"/>
            <w:gridSpan w:val="2"/>
            <w:tcBorders>
              <w:bottom w:val="single" w:sz="12" w:space="0" w:color="auto"/>
            </w:tcBorders>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c>
          <w:tcPr>
            <w:tcW w:w="1241" w:type="dxa"/>
            <w:tcBorders>
              <w:bottom w:val="single" w:sz="12" w:space="0" w:color="auto"/>
            </w:tcBorders>
            <w:shd w:val="clear" w:color="auto" w:fill="FFCC00"/>
            <w:tcMar>
              <w:left w:w="57" w:type="dxa"/>
              <w:right w:w="57" w:type="dxa"/>
            </w:tcMar>
            <w:vAlign w:val="center"/>
          </w:tcPr>
          <w:p w:rsidR="00282A60" w:rsidRPr="00F3724D" w:rsidRDefault="00282A60" w:rsidP="008574C9">
            <w:pPr>
              <w:pStyle w:val="TableTextEntries"/>
              <w:keepNext/>
              <w:jc w:val="center"/>
            </w:pPr>
            <w:r w:rsidRPr="00F3724D">
              <w:t>4</w:t>
            </w:r>
          </w:p>
        </w:tc>
      </w:tr>
      <w:tr w:rsidR="00282A60" w:rsidTr="0048164E">
        <w:tblPrEx>
          <w:tblLook w:val="04A0" w:firstRow="1" w:lastRow="0" w:firstColumn="1" w:lastColumn="0" w:noHBand="0" w:noVBand="1"/>
        </w:tblPrEx>
        <w:trPr>
          <w:cantSplit/>
        </w:trPr>
        <w:tc>
          <w:tcPr>
            <w:tcW w:w="2977" w:type="dxa"/>
            <w:gridSpan w:val="2"/>
            <w:tcBorders>
              <w:top w:val="single" w:sz="2" w:space="0" w:color="auto"/>
              <w:left w:val="nil"/>
              <w:bottom w:val="nil"/>
              <w:right w:val="nil"/>
            </w:tcBorders>
            <w:tcMar>
              <w:top w:w="0" w:type="dxa"/>
              <w:left w:w="57" w:type="dxa"/>
              <w:bottom w:w="0" w:type="dxa"/>
              <w:right w:w="57" w:type="dxa"/>
            </w:tcMar>
            <w:vAlign w:val="bottom"/>
          </w:tcPr>
          <w:p w:rsidR="00282A60" w:rsidRDefault="00282A60" w:rsidP="00A33698">
            <w:pPr>
              <w:pStyle w:val="TableDataEntries"/>
              <w:keepNext/>
              <w:jc w:val="left"/>
            </w:pPr>
            <w:r>
              <w:t>Satisfactory (4, 5 and 6)</w:t>
            </w:r>
          </w:p>
        </w:tc>
        <w:tc>
          <w:tcPr>
            <w:tcW w:w="1653" w:type="dxa"/>
            <w:gridSpan w:val="2"/>
            <w:tcBorders>
              <w:top w:val="single" w:sz="2" w:space="0" w:color="auto"/>
              <w:left w:val="nil"/>
              <w:bottom w:val="nil"/>
              <w:right w:val="nil"/>
            </w:tcBorders>
            <w:tcMar>
              <w:top w:w="0" w:type="dxa"/>
              <w:left w:w="57" w:type="dxa"/>
              <w:bottom w:w="0" w:type="dxa"/>
              <w:right w:w="57" w:type="dxa"/>
            </w:tcMar>
          </w:tcPr>
          <w:p w:rsidR="00282A60" w:rsidRDefault="00282A60" w:rsidP="00A33698">
            <w:pPr>
              <w:pStyle w:val="TableDataEntries"/>
              <w:keepNext/>
            </w:pPr>
          </w:p>
        </w:tc>
        <w:tc>
          <w:tcPr>
            <w:tcW w:w="1654" w:type="dxa"/>
            <w:gridSpan w:val="2"/>
            <w:tcBorders>
              <w:top w:val="single" w:sz="2" w:space="0" w:color="auto"/>
              <w:left w:val="nil"/>
              <w:bottom w:val="nil"/>
              <w:right w:val="nil"/>
            </w:tcBorders>
            <w:tcMar>
              <w:top w:w="0" w:type="dxa"/>
              <w:left w:w="57" w:type="dxa"/>
              <w:bottom w:w="0" w:type="dxa"/>
              <w:right w:w="57" w:type="dxa"/>
            </w:tcMar>
          </w:tcPr>
          <w:p w:rsidR="00282A60" w:rsidRDefault="00282A60" w:rsidP="00A33698">
            <w:pPr>
              <w:pStyle w:val="TableDataEntries"/>
              <w:keepNext/>
            </w:pPr>
          </w:p>
        </w:tc>
        <w:tc>
          <w:tcPr>
            <w:tcW w:w="1654" w:type="dxa"/>
            <w:gridSpan w:val="2"/>
            <w:tcBorders>
              <w:top w:val="single" w:sz="2" w:space="0" w:color="auto"/>
              <w:left w:val="nil"/>
              <w:bottom w:val="nil"/>
              <w:right w:val="nil"/>
            </w:tcBorders>
            <w:tcMar>
              <w:top w:w="0" w:type="dxa"/>
              <w:left w:w="57" w:type="dxa"/>
              <w:bottom w:w="0" w:type="dxa"/>
              <w:right w:w="57" w:type="dxa"/>
            </w:tcMar>
          </w:tcPr>
          <w:p w:rsidR="00282A60" w:rsidRDefault="00282A60" w:rsidP="00A33698">
            <w:pPr>
              <w:pStyle w:val="TableDataEntries"/>
              <w:keepNext/>
            </w:pPr>
          </w:p>
        </w:tc>
      </w:tr>
      <w:tr w:rsidR="00282A60" w:rsidTr="0048164E">
        <w:tblPrEx>
          <w:tblLook w:val="04A0" w:firstRow="1" w:lastRow="0" w:firstColumn="1" w:lastColumn="0" w:noHBand="0" w:noVBand="1"/>
        </w:tblPrEx>
        <w:trPr>
          <w:cantSplit/>
        </w:trPr>
        <w:tc>
          <w:tcPr>
            <w:tcW w:w="1532" w:type="dxa"/>
            <w:shd w:val="clear" w:color="auto" w:fill="99CC00"/>
            <w:tcMar>
              <w:top w:w="0" w:type="dxa"/>
              <w:left w:w="57" w:type="dxa"/>
              <w:bottom w:w="0" w:type="dxa"/>
              <w:right w:w="57" w:type="dxa"/>
            </w:tcMar>
          </w:tcPr>
          <w:p w:rsidR="00282A60" w:rsidRDefault="00282A60" w:rsidP="00A33698">
            <w:pPr>
              <w:pStyle w:val="TableDataEntries"/>
              <w:keepNext/>
              <w:jc w:val="left"/>
            </w:pPr>
            <w:r>
              <w:t>6</w:t>
            </w:r>
          </w:p>
        </w:tc>
        <w:tc>
          <w:tcPr>
            <w:tcW w:w="1445" w:type="dxa"/>
            <w:shd w:val="clear" w:color="auto" w:fill="99CC00"/>
            <w:tcMar>
              <w:top w:w="0" w:type="dxa"/>
              <w:left w:w="57" w:type="dxa"/>
              <w:bottom w:w="0" w:type="dxa"/>
              <w:right w:w="57" w:type="dxa"/>
            </w:tcMar>
          </w:tcPr>
          <w:p w:rsidR="00282A60" w:rsidRDefault="00282A60" w:rsidP="00A33698">
            <w:pPr>
              <w:pStyle w:val="TableDataEntries"/>
              <w:keepNext/>
            </w:pPr>
          </w:p>
        </w:tc>
        <w:tc>
          <w:tcPr>
            <w:tcW w:w="2552" w:type="dxa"/>
            <w:gridSpan w:val="3"/>
            <w:tcMar>
              <w:top w:w="0" w:type="dxa"/>
              <w:left w:w="57" w:type="dxa"/>
              <w:bottom w:w="0" w:type="dxa"/>
              <w:right w:w="57" w:type="dxa"/>
            </w:tcMar>
          </w:tcPr>
          <w:p w:rsidR="00282A60" w:rsidRDefault="00282A60" w:rsidP="00A33698">
            <w:pPr>
              <w:pStyle w:val="TableDataEntries"/>
              <w:keepNext/>
              <w:jc w:val="left"/>
            </w:pPr>
            <w:r>
              <w:t>Very high quality</w:t>
            </w:r>
          </w:p>
        </w:tc>
        <w:tc>
          <w:tcPr>
            <w:tcW w:w="2409" w:type="dxa"/>
            <w:gridSpan w:val="3"/>
            <w:tcMar>
              <w:top w:w="0" w:type="dxa"/>
              <w:left w:w="57" w:type="dxa"/>
              <w:bottom w:w="0" w:type="dxa"/>
              <w:right w:w="57" w:type="dxa"/>
            </w:tcMar>
          </w:tcPr>
          <w:p w:rsidR="00282A60" w:rsidRDefault="00282A60" w:rsidP="00A33698">
            <w:pPr>
              <w:pStyle w:val="TableDataEntries"/>
              <w:keepNext/>
            </w:pPr>
          </w:p>
        </w:tc>
      </w:tr>
      <w:tr w:rsidR="00282A60" w:rsidTr="0048164E">
        <w:tblPrEx>
          <w:tblLook w:val="04A0" w:firstRow="1" w:lastRow="0" w:firstColumn="1" w:lastColumn="0" w:noHBand="0" w:noVBand="1"/>
        </w:tblPrEx>
        <w:trPr>
          <w:cantSplit/>
        </w:trPr>
        <w:tc>
          <w:tcPr>
            <w:tcW w:w="1532" w:type="dxa"/>
            <w:shd w:val="clear" w:color="auto" w:fill="99CC00"/>
            <w:tcMar>
              <w:top w:w="0" w:type="dxa"/>
              <w:left w:w="57" w:type="dxa"/>
              <w:bottom w:w="0" w:type="dxa"/>
              <w:right w:w="57" w:type="dxa"/>
            </w:tcMar>
          </w:tcPr>
          <w:p w:rsidR="00282A60" w:rsidRDefault="00282A60" w:rsidP="00A33698">
            <w:pPr>
              <w:pStyle w:val="TableDataEntries"/>
              <w:keepNext/>
              <w:jc w:val="left"/>
            </w:pPr>
            <w:r>
              <w:t>5</w:t>
            </w:r>
          </w:p>
        </w:tc>
        <w:tc>
          <w:tcPr>
            <w:tcW w:w="1445" w:type="dxa"/>
            <w:shd w:val="clear" w:color="auto" w:fill="99CC00"/>
            <w:tcMar>
              <w:top w:w="0" w:type="dxa"/>
              <w:left w:w="57" w:type="dxa"/>
              <w:bottom w:w="0" w:type="dxa"/>
              <w:right w:w="57" w:type="dxa"/>
            </w:tcMar>
          </w:tcPr>
          <w:p w:rsidR="00282A60" w:rsidRDefault="00282A60" w:rsidP="00A33698">
            <w:pPr>
              <w:pStyle w:val="TableDataEntries"/>
              <w:keepNext/>
            </w:pPr>
          </w:p>
        </w:tc>
        <w:tc>
          <w:tcPr>
            <w:tcW w:w="2552" w:type="dxa"/>
            <w:gridSpan w:val="3"/>
            <w:tcMar>
              <w:top w:w="0" w:type="dxa"/>
              <w:left w:w="57" w:type="dxa"/>
              <w:bottom w:w="0" w:type="dxa"/>
              <w:right w:w="57" w:type="dxa"/>
            </w:tcMar>
          </w:tcPr>
          <w:p w:rsidR="00282A60" w:rsidRDefault="00282A60" w:rsidP="00A33698">
            <w:pPr>
              <w:pStyle w:val="TableDataEntries"/>
              <w:keepNext/>
              <w:jc w:val="left"/>
            </w:pPr>
            <w:r>
              <w:t>Good quality</w:t>
            </w:r>
          </w:p>
        </w:tc>
        <w:tc>
          <w:tcPr>
            <w:tcW w:w="2409" w:type="dxa"/>
            <w:gridSpan w:val="3"/>
            <w:tcMar>
              <w:top w:w="0" w:type="dxa"/>
              <w:left w:w="57" w:type="dxa"/>
              <w:bottom w:w="0" w:type="dxa"/>
              <w:right w:w="57" w:type="dxa"/>
            </w:tcMar>
          </w:tcPr>
          <w:p w:rsidR="00282A60" w:rsidRDefault="00282A60" w:rsidP="00A33698">
            <w:pPr>
              <w:pStyle w:val="TableDataEntries"/>
              <w:keepNext/>
            </w:pPr>
          </w:p>
        </w:tc>
      </w:tr>
      <w:tr w:rsidR="00282A60" w:rsidTr="0048164E">
        <w:tblPrEx>
          <w:tblLook w:val="04A0" w:firstRow="1" w:lastRow="0" w:firstColumn="1" w:lastColumn="0" w:noHBand="0" w:noVBand="1"/>
        </w:tblPrEx>
        <w:trPr>
          <w:cantSplit/>
        </w:trPr>
        <w:tc>
          <w:tcPr>
            <w:tcW w:w="1532" w:type="dxa"/>
            <w:shd w:val="clear" w:color="auto" w:fill="FFCC00"/>
            <w:tcMar>
              <w:top w:w="0" w:type="dxa"/>
              <w:left w:w="57" w:type="dxa"/>
              <w:bottom w:w="0" w:type="dxa"/>
              <w:right w:w="57" w:type="dxa"/>
            </w:tcMar>
          </w:tcPr>
          <w:p w:rsidR="00282A60" w:rsidRDefault="00282A60" w:rsidP="00A33698">
            <w:pPr>
              <w:pStyle w:val="TableDataEntries"/>
              <w:keepNext/>
              <w:jc w:val="left"/>
            </w:pPr>
            <w:r>
              <w:t>4</w:t>
            </w:r>
          </w:p>
        </w:tc>
        <w:tc>
          <w:tcPr>
            <w:tcW w:w="1445" w:type="dxa"/>
            <w:shd w:val="clear" w:color="auto" w:fill="FFCC00"/>
            <w:tcMar>
              <w:top w:w="0" w:type="dxa"/>
              <w:left w:w="57" w:type="dxa"/>
              <w:bottom w:w="0" w:type="dxa"/>
              <w:right w:w="57" w:type="dxa"/>
            </w:tcMar>
          </w:tcPr>
          <w:p w:rsidR="00282A60" w:rsidRDefault="00282A60" w:rsidP="00A33698">
            <w:pPr>
              <w:pStyle w:val="TableDataEntries"/>
              <w:keepNext/>
            </w:pPr>
          </w:p>
        </w:tc>
        <w:tc>
          <w:tcPr>
            <w:tcW w:w="4961" w:type="dxa"/>
            <w:gridSpan w:val="6"/>
            <w:tcMar>
              <w:top w:w="0" w:type="dxa"/>
              <w:left w:w="57" w:type="dxa"/>
              <w:bottom w:w="0" w:type="dxa"/>
              <w:right w:w="57" w:type="dxa"/>
            </w:tcMar>
          </w:tcPr>
          <w:p w:rsidR="00282A60" w:rsidRDefault="00282A60" w:rsidP="00A33698">
            <w:pPr>
              <w:pStyle w:val="TableDataEntries"/>
              <w:keepNext/>
              <w:jc w:val="left"/>
            </w:pPr>
            <w:r>
              <w:t>Adequate quality; some work to improve needed</w:t>
            </w:r>
          </w:p>
        </w:tc>
      </w:tr>
      <w:tr w:rsidR="00282A60" w:rsidTr="0048164E">
        <w:tblPrEx>
          <w:tblLook w:val="04A0" w:firstRow="1" w:lastRow="0" w:firstColumn="1" w:lastColumn="0" w:noHBand="0" w:noVBand="1"/>
        </w:tblPrEx>
        <w:trPr>
          <w:cantSplit/>
        </w:trPr>
        <w:tc>
          <w:tcPr>
            <w:tcW w:w="2977" w:type="dxa"/>
            <w:gridSpan w:val="2"/>
            <w:tcMar>
              <w:top w:w="0" w:type="dxa"/>
              <w:left w:w="57" w:type="dxa"/>
              <w:bottom w:w="0" w:type="dxa"/>
              <w:right w:w="57" w:type="dxa"/>
            </w:tcMar>
            <w:vAlign w:val="bottom"/>
          </w:tcPr>
          <w:p w:rsidR="00282A60" w:rsidRDefault="00282A60" w:rsidP="00A33698">
            <w:pPr>
              <w:pStyle w:val="TableDataEntries"/>
              <w:keepNext/>
              <w:jc w:val="left"/>
            </w:pPr>
            <w:r>
              <w:t>Less than satisfactory (1, 2 and 3)</w:t>
            </w:r>
          </w:p>
        </w:tc>
        <w:tc>
          <w:tcPr>
            <w:tcW w:w="1653" w:type="dxa"/>
            <w:gridSpan w:val="2"/>
            <w:tcMar>
              <w:top w:w="0" w:type="dxa"/>
              <w:left w:w="57" w:type="dxa"/>
              <w:bottom w:w="0" w:type="dxa"/>
              <w:right w:w="57" w:type="dxa"/>
            </w:tcMar>
          </w:tcPr>
          <w:p w:rsidR="00282A60" w:rsidRDefault="00282A60" w:rsidP="00A33698">
            <w:pPr>
              <w:pStyle w:val="TableDataEntries"/>
              <w:keepNext/>
            </w:pPr>
          </w:p>
        </w:tc>
        <w:tc>
          <w:tcPr>
            <w:tcW w:w="1654" w:type="dxa"/>
            <w:gridSpan w:val="2"/>
            <w:tcMar>
              <w:top w:w="0" w:type="dxa"/>
              <w:left w:w="57" w:type="dxa"/>
              <w:bottom w:w="0" w:type="dxa"/>
              <w:right w:w="57" w:type="dxa"/>
            </w:tcMar>
          </w:tcPr>
          <w:p w:rsidR="00282A60" w:rsidRDefault="00282A60" w:rsidP="00A33698">
            <w:pPr>
              <w:pStyle w:val="TableDataEntries"/>
              <w:keepNext/>
            </w:pPr>
          </w:p>
        </w:tc>
        <w:tc>
          <w:tcPr>
            <w:tcW w:w="1654" w:type="dxa"/>
            <w:gridSpan w:val="2"/>
            <w:tcMar>
              <w:top w:w="0" w:type="dxa"/>
              <w:left w:w="57" w:type="dxa"/>
              <w:bottom w:w="0" w:type="dxa"/>
              <w:right w:w="57" w:type="dxa"/>
            </w:tcMar>
          </w:tcPr>
          <w:p w:rsidR="00282A60" w:rsidRDefault="00282A60" w:rsidP="00A33698">
            <w:pPr>
              <w:pStyle w:val="TableDataEntries"/>
              <w:keepNext/>
            </w:pPr>
          </w:p>
        </w:tc>
      </w:tr>
      <w:tr w:rsidR="00282A60" w:rsidTr="0048164E">
        <w:tblPrEx>
          <w:tblLook w:val="04A0" w:firstRow="1" w:lastRow="0" w:firstColumn="1" w:lastColumn="0" w:noHBand="0" w:noVBand="1"/>
        </w:tblPrEx>
        <w:trPr>
          <w:cantSplit/>
        </w:trPr>
        <w:tc>
          <w:tcPr>
            <w:tcW w:w="1532" w:type="dxa"/>
            <w:shd w:val="clear" w:color="auto" w:fill="FF9900"/>
            <w:tcMar>
              <w:top w:w="0" w:type="dxa"/>
              <w:left w:w="57" w:type="dxa"/>
              <w:bottom w:w="0" w:type="dxa"/>
              <w:right w:w="57" w:type="dxa"/>
            </w:tcMar>
          </w:tcPr>
          <w:p w:rsidR="00282A60" w:rsidRDefault="00282A60" w:rsidP="00A33698">
            <w:pPr>
              <w:pStyle w:val="TableDataEntries"/>
              <w:keepNext/>
              <w:jc w:val="left"/>
            </w:pPr>
            <w:r>
              <w:t>3</w:t>
            </w:r>
          </w:p>
        </w:tc>
        <w:tc>
          <w:tcPr>
            <w:tcW w:w="1445" w:type="dxa"/>
            <w:shd w:val="clear" w:color="auto" w:fill="FF9900"/>
            <w:tcMar>
              <w:top w:w="0" w:type="dxa"/>
              <w:left w:w="57" w:type="dxa"/>
              <w:bottom w:w="0" w:type="dxa"/>
              <w:right w:w="57" w:type="dxa"/>
            </w:tcMar>
          </w:tcPr>
          <w:p w:rsidR="00282A60" w:rsidRDefault="00282A60" w:rsidP="00A33698">
            <w:pPr>
              <w:pStyle w:val="TableDataEntries"/>
              <w:keepNext/>
            </w:pPr>
          </w:p>
        </w:tc>
        <w:tc>
          <w:tcPr>
            <w:tcW w:w="4961" w:type="dxa"/>
            <w:gridSpan w:val="6"/>
            <w:tcMar>
              <w:top w:w="0" w:type="dxa"/>
              <w:left w:w="57" w:type="dxa"/>
              <w:bottom w:w="0" w:type="dxa"/>
              <w:right w:w="57" w:type="dxa"/>
            </w:tcMar>
          </w:tcPr>
          <w:p w:rsidR="00282A60" w:rsidRDefault="00282A60" w:rsidP="00A33698">
            <w:pPr>
              <w:pStyle w:val="TableDataEntries"/>
              <w:keepNext/>
              <w:jc w:val="left"/>
            </w:pPr>
            <w:r>
              <w:t>Less than adequate quality; needs significant work</w:t>
            </w:r>
          </w:p>
        </w:tc>
      </w:tr>
      <w:tr w:rsidR="00282A60" w:rsidTr="0048164E">
        <w:tblPrEx>
          <w:tblLook w:val="04A0" w:firstRow="1" w:lastRow="0" w:firstColumn="1" w:lastColumn="0" w:noHBand="0" w:noVBand="1"/>
        </w:tblPrEx>
        <w:trPr>
          <w:cantSplit/>
        </w:trPr>
        <w:tc>
          <w:tcPr>
            <w:tcW w:w="1532" w:type="dxa"/>
            <w:shd w:val="clear" w:color="auto" w:fill="FF9900"/>
            <w:tcMar>
              <w:top w:w="0" w:type="dxa"/>
              <w:left w:w="57" w:type="dxa"/>
              <w:bottom w:w="0" w:type="dxa"/>
              <w:right w:w="57" w:type="dxa"/>
            </w:tcMar>
          </w:tcPr>
          <w:p w:rsidR="00282A60" w:rsidRDefault="00282A60" w:rsidP="00A33698">
            <w:pPr>
              <w:pStyle w:val="TableDataEntries"/>
              <w:keepNext/>
              <w:jc w:val="left"/>
            </w:pPr>
            <w:r>
              <w:t>2</w:t>
            </w:r>
          </w:p>
        </w:tc>
        <w:tc>
          <w:tcPr>
            <w:tcW w:w="1445" w:type="dxa"/>
            <w:shd w:val="clear" w:color="auto" w:fill="FF9900"/>
            <w:tcMar>
              <w:top w:w="0" w:type="dxa"/>
              <w:left w:w="57" w:type="dxa"/>
              <w:bottom w:w="0" w:type="dxa"/>
              <w:right w:w="57" w:type="dxa"/>
            </w:tcMar>
          </w:tcPr>
          <w:p w:rsidR="00282A60" w:rsidRDefault="00282A60" w:rsidP="00A33698">
            <w:pPr>
              <w:pStyle w:val="TableDataEntries"/>
              <w:keepNext/>
            </w:pPr>
          </w:p>
        </w:tc>
        <w:tc>
          <w:tcPr>
            <w:tcW w:w="4961" w:type="dxa"/>
            <w:gridSpan w:val="6"/>
            <w:tcMar>
              <w:top w:w="0" w:type="dxa"/>
              <w:left w:w="57" w:type="dxa"/>
              <w:bottom w:w="0" w:type="dxa"/>
              <w:right w:w="57" w:type="dxa"/>
            </w:tcMar>
          </w:tcPr>
          <w:p w:rsidR="00282A60" w:rsidRDefault="00282A60" w:rsidP="00A33698">
            <w:pPr>
              <w:pStyle w:val="TableDataEntries"/>
              <w:keepNext/>
              <w:jc w:val="left"/>
            </w:pPr>
            <w:r>
              <w:t>Poor quality; needs major work to improve</w:t>
            </w:r>
          </w:p>
        </w:tc>
      </w:tr>
      <w:tr w:rsidR="00282A60" w:rsidTr="0048164E">
        <w:tblPrEx>
          <w:tblLook w:val="04A0" w:firstRow="1" w:lastRow="0" w:firstColumn="1" w:lastColumn="0" w:noHBand="0" w:noVBand="1"/>
        </w:tblPrEx>
        <w:trPr>
          <w:cantSplit/>
        </w:trPr>
        <w:tc>
          <w:tcPr>
            <w:tcW w:w="1532" w:type="dxa"/>
            <w:tcBorders>
              <w:top w:val="nil"/>
              <w:left w:val="nil"/>
              <w:bottom w:val="single" w:sz="12" w:space="0" w:color="auto"/>
              <w:right w:val="nil"/>
            </w:tcBorders>
            <w:shd w:val="clear" w:color="auto" w:fill="FF9900"/>
            <w:tcMar>
              <w:top w:w="0" w:type="dxa"/>
              <w:left w:w="57" w:type="dxa"/>
              <w:bottom w:w="0" w:type="dxa"/>
              <w:right w:w="57" w:type="dxa"/>
            </w:tcMar>
          </w:tcPr>
          <w:p w:rsidR="00282A60" w:rsidRDefault="00282A60" w:rsidP="00A33698">
            <w:pPr>
              <w:pStyle w:val="TableDataEntries"/>
              <w:jc w:val="left"/>
            </w:pPr>
            <w:r>
              <w:t>1</w:t>
            </w:r>
          </w:p>
        </w:tc>
        <w:tc>
          <w:tcPr>
            <w:tcW w:w="1445" w:type="dxa"/>
            <w:tcBorders>
              <w:top w:val="nil"/>
              <w:left w:val="nil"/>
              <w:bottom w:val="single" w:sz="12" w:space="0" w:color="auto"/>
              <w:right w:val="nil"/>
            </w:tcBorders>
            <w:shd w:val="clear" w:color="auto" w:fill="FF9900"/>
            <w:tcMar>
              <w:top w:w="0" w:type="dxa"/>
              <w:left w:w="57" w:type="dxa"/>
              <w:bottom w:w="0" w:type="dxa"/>
              <w:right w:w="57" w:type="dxa"/>
            </w:tcMar>
          </w:tcPr>
          <w:p w:rsidR="00282A60" w:rsidRDefault="00282A60" w:rsidP="00A33698">
            <w:pPr>
              <w:pStyle w:val="TableDataEntries"/>
            </w:pPr>
          </w:p>
        </w:tc>
        <w:tc>
          <w:tcPr>
            <w:tcW w:w="4961" w:type="dxa"/>
            <w:gridSpan w:val="6"/>
            <w:tcBorders>
              <w:top w:val="nil"/>
              <w:left w:val="nil"/>
              <w:bottom w:val="single" w:sz="12" w:space="0" w:color="auto"/>
              <w:right w:val="nil"/>
            </w:tcBorders>
            <w:tcMar>
              <w:top w:w="0" w:type="dxa"/>
              <w:left w:w="57" w:type="dxa"/>
              <w:bottom w:w="0" w:type="dxa"/>
              <w:right w:w="57" w:type="dxa"/>
            </w:tcMar>
          </w:tcPr>
          <w:p w:rsidR="00282A60" w:rsidRDefault="00282A60" w:rsidP="00A33698">
            <w:pPr>
              <w:pStyle w:val="TableDataEntries"/>
              <w:jc w:val="left"/>
            </w:pPr>
            <w:r>
              <w:t>Very poor quality; needs major overhaul</w:t>
            </w:r>
          </w:p>
        </w:tc>
      </w:tr>
    </w:tbl>
    <w:p w:rsidR="00B22154" w:rsidRDefault="00B22154" w:rsidP="0048164E">
      <w:pPr>
        <w:pStyle w:val="H1"/>
        <w:spacing w:after="1600"/>
      </w:pPr>
      <w:bookmarkStart w:id="80" w:name="_Toc215974320"/>
      <w:bookmarkStart w:id="81" w:name="_Toc244501300"/>
      <w:r w:rsidRPr="00B22154">
        <w:lastRenderedPageBreak/>
        <w:t>What are the management consequences of this assessment?</w:t>
      </w:r>
      <w:bookmarkStart w:id="82" w:name="_GoBack"/>
      <w:r w:rsidR="00602D7F">
        <w:rPr>
          <w:lang w:val="en-US" w:eastAsia="en-US"/>
        </w:rPr>
        <w:drawing>
          <wp:anchor distT="0" distB="0" distL="114300" distR="114300" simplePos="0" relativeHeight="25166233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5" name="Picture 119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0"/>
      <w:bookmarkEnd w:id="81"/>
      <w:bookmarkEnd w:id="82"/>
    </w:p>
    <w:p w:rsidR="00C2136E" w:rsidRDefault="00B22154" w:rsidP="0048164E">
      <w:pPr>
        <w:pStyle w:val="BodyText"/>
        <w:ind w:right="175"/>
      </w:pPr>
      <w:r w:rsidRPr="00C75D14">
        <w:t>The previous MOU arrangements under which the program operated required a strong Canberra</w:t>
      </w:r>
      <w:r w:rsidR="00B964F1">
        <w:t>-</w:t>
      </w:r>
      <w:r w:rsidRPr="00C75D14">
        <w:t>based presence, able to respond to predomina</w:t>
      </w:r>
      <w:r w:rsidR="00B964F1">
        <w:t>n</w:t>
      </w:r>
      <w:r w:rsidRPr="00C75D14">
        <w:t>tly demand</w:t>
      </w:r>
      <w:r w:rsidR="00B964F1">
        <w:t>-</w:t>
      </w:r>
      <w:r w:rsidRPr="00C75D14">
        <w:t xml:space="preserve">based </w:t>
      </w:r>
      <w:r w:rsidR="00B964F1">
        <w:t xml:space="preserve">programming </w:t>
      </w:r>
      <w:r w:rsidRPr="00C75D14">
        <w:t>(ad</w:t>
      </w:r>
      <w:r w:rsidR="00B964F1">
        <w:t> </w:t>
      </w:r>
      <w:r w:rsidRPr="00C75D14">
        <w:t xml:space="preserve">hoc payments for </w:t>
      </w:r>
      <w:proofErr w:type="spellStart"/>
      <w:r w:rsidRPr="00C75D14">
        <w:t>GoN</w:t>
      </w:r>
      <w:proofErr w:type="spellEnd"/>
      <w:r w:rsidRPr="00C75D14">
        <w:t xml:space="preserve"> recurrent costs) and contract</w:t>
      </w:r>
      <w:r w:rsidR="00B964F1">
        <w:t>-</w:t>
      </w:r>
      <w:r w:rsidRPr="00C75D14">
        <w:t>intensive programming (</w:t>
      </w:r>
      <w:r w:rsidR="00B964F1">
        <w:t>many</w:t>
      </w:r>
      <w:r w:rsidRPr="00C75D14">
        <w:t xml:space="preserve"> </w:t>
      </w:r>
      <w:proofErr w:type="spellStart"/>
      <w:r w:rsidRPr="00C75D14">
        <w:t>AusAID</w:t>
      </w:r>
      <w:proofErr w:type="spellEnd"/>
      <w:r w:rsidR="00B964F1">
        <w:t>-</w:t>
      </w:r>
      <w:r w:rsidRPr="00C75D14">
        <w:t>managed personnel contracts). The move from annual MOUs to a conventional long</w:t>
      </w:r>
      <w:r w:rsidR="00B964F1">
        <w:noBreakHyphen/>
      </w:r>
      <w:r w:rsidRPr="00C75D14">
        <w:t xml:space="preserve">term development relationship under the </w:t>
      </w:r>
      <w:r w:rsidR="00EB5ACF">
        <w:t xml:space="preserve">Pacific </w:t>
      </w:r>
      <w:r w:rsidRPr="00C75D14">
        <w:t xml:space="preserve">Partnership for Development will require changes to </w:t>
      </w:r>
      <w:proofErr w:type="spellStart"/>
      <w:r w:rsidRPr="00C75D14">
        <w:t>AusAID</w:t>
      </w:r>
      <w:r w:rsidR="00247AFA">
        <w:t>’</w:t>
      </w:r>
      <w:r w:rsidRPr="00C75D14">
        <w:t>s</w:t>
      </w:r>
      <w:proofErr w:type="spellEnd"/>
      <w:r w:rsidRPr="00C75D14">
        <w:t xml:space="preserve"> management of the Nauru </w:t>
      </w:r>
      <w:r w:rsidR="00B964F1">
        <w:t>P</w:t>
      </w:r>
      <w:r w:rsidRPr="00C75D14">
        <w:t>rogram.</w:t>
      </w:r>
    </w:p>
    <w:p w:rsidR="00C2136E" w:rsidRDefault="00B22154" w:rsidP="00B22154">
      <w:pPr>
        <w:pStyle w:val="BodyText"/>
      </w:pPr>
      <w:r w:rsidRPr="00C75D14">
        <w:t xml:space="preserve">For </w:t>
      </w:r>
      <w:r w:rsidR="00B964F1">
        <w:t>example</w:t>
      </w:r>
      <w:r w:rsidRPr="00C75D14">
        <w:t xml:space="preserve">, the </w:t>
      </w:r>
      <w:r w:rsidR="00B964F1">
        <w:t>p</w:t>
      </w:r>
      <w:r w:rsidRPr="00C75D14">
        <w:t xml:space="preserve">artnership will require </w:t>
      </w:r>
      <w:r w:rsidR="00B964F1">
        <w:t xml:space="preserve">the </w:t>
      </w:r>
      <w:r w:rsidRPr="00C75D14">
        <w:t xml:space="preserve">designing of initiatives for the first time in </w:t>
      </w:r>
      <w:smartTag w:uri="urn:schemas-microsoft-com:office:smarttags" w:element="country-region">
        <w:r w:rsidRPr="00C75D14">
          <w:t>Nauru</w:t>
        </w:r>
      </w:smartTag>
      <w:r w:rsidRPr="00C75D14">
        <w:t xml:space="preserve"> (the </w:t>
      </w:r>
      <w:smartTag w:uri="urn:schemas-microsoft-com:office:smarttags" w:element="PlaceName">
        <w:r w:rsidR="00D11FE9">
          <w:t>Nauru</w:t>
        </w:r>
      </w:smartTag>
      <w:r w:rsidR="00D11FE9">
        <w:t xml:space="preserve"> </w:t>
      </w:r>
      <w:smartTag w:uri="urn:schemas-microsoft-com:office:smarttags" w:element="PlaceType">
        <w:r w:rsidR="00D11FE9">
          <w:t>Secondary School</w:t>
        </w:r>
      </w:smartTag>
      <w:r w:rsidRPr="00C75D14">
        <w:t xml:space="preserve"> project was the first </w:t>
      </w:r>
      <w:r w:rsidR="00247AFA">
        <w:t>‘</w:t>
      </w:r>
      <w:r w:rsidRPr="00C75D14">
        <w:t>project</w:t>
      </w:r>
      <w:r w:rsidR="00247AFA">
        <w:t>’</w:t>
      </w:r>
      <w:r w:rsidRPr="00C75D14">
        <w:t xml:space="preserve"> in </w:t>
      </w:r>
      <w:smartTag w:uri="urn:schemas-microsoft-com:office:smarttags" w:element="place">
        <w:smartTag w:uri="urn:schemas-microsoft-com:office:smarttags" w:element="country-region">
          <w:r w:rsidRPr="00C75D14">
            <w:t>Nauru</w:t>
          </w:r>
        </w:smartTag>
      </w:smartTag>
      <w:r w:rsidRPr="00C75D14">
        <w:t xml:space="preserve"> but is essentially an infrastructure refurbishment). This will facilitate </w:t>
      </w:r>
      <w:r w:rsidR="00B964F1">
        <w:t xml:space="preserve">the </w:t>
      </w:r>
      <w:r w:rsidRPr="00C75D14">
        <w:t xml:space="preserve">inclusion of objectives relating not only to key sectoral outcomes, but also </w:t>
      </w:r>
      <w:r w:rsidR="00B964F1">
        <w:t>to</w:t>
      </w:r>
      <w:r w:rsidRPr="00C75D14">
        <w:t xml:space="preserve"> cross</w:t>
      </w:r>
      <w:r w:rsidR="00B964F1">
        <w:t>-</w:t>
      </w:r>
      <w:r w:rsidRPr="00C75D14">
        <w:t>cutting themes such as gender, anti-corruption and environment for the first time.</w:t>
      </w:r>
      <w:r w:rsidR="00C2136E">
        <w:t xml:space="preserve"> </w:t>
      </w:r>
      <w:r w:rsidRPr="00C75D14">
        <w:t xml:space="preserve">This is also an opportunity to build the Nauru </w:t>
      </w:r>
      <w:r w:rsidR="00EB5ACF">
        <w:t>P</w:t>
      </w:r>
      <w:r w:rsidRPr="00C75D14">
        <w:t>rogram with program</w:t>
      </w:r>
      <w:r w:rsidR="00EB5ACF">
        <w:t>-</w:t>
      </w:r>
      <w:r w:rsidRPr="00C75D14">
        <w:t xml:space="preserve">based approaches specifically in mind, as there </w:t>
      </w:r>
      <w:r w:rsidR="00E24FA0">
        <w:t>is</w:t>
      </w:r>
      <w:r w:rsidR="00E24FA0" w:rsidRPr="00C75D14">
        <w:t xml:space="preserve"> </w:t>
      </w:r>
      <w:r w:rsidRPr="00C75D14">
        <w:t xml:space="preserve">no legacy </w:t>
      </w:r>
      <w:r w:rsidR="00247AFA">
        <w:t>‘</w:t>
      </w:r>
      <w:r w:rsidRPr="00C75D14">
        <w:t>project mindset</w:t>
      </w:r>
      <w:r w:rsidR="00247AFA">
        <w:t>’</w:t>
      </w:r>
      <w:r w:rsidRPr="00C75D14">
        <w:t xml:space="preserve"> to overcome. Th</w:t>
      </w:r>
      <w:r w:rsidR="00770AFC">
        <w:t>e</w:t>
      </w:r>
      <w:r w:rsidRPr="00C75D14">
        <w:t xml:space="preserve"> change to more directly engaging in </w:t>
      </w:r>
      <w:r w:rsidR="00CB524D">
        <w:t xml:space="preserve">the </w:t>
      </w:r>
      <w:proofErr w:type="spellStart"/>
      <w:r w:rsidRPr="00C75D14">
        <w:t>GoN</w:t>
      </w:r>
      <w:r w:rsidR="00247AFA">
        <w:t>’</w:t>
      </w:r>
      <w:r w:rsidRPr="00C75D14">
        <w:t>s</w:t>
      </w:r>
      <w:proofErr w:type="spellEnd"/>
      <w:r w:rsidRPr="00C75D14">
        <w:t xml:space="preserve"> policy development will require a more appropriate in-country profile to support program development and policy work over the period of transition (the </w:t>
      </w:r>
      <w:r w:rsidR="00EB5ACF">
        <w:t xml:space="preserve">$15 million per year </w:t>
      </w:r>
      <w:r w:rsidRPr="00C75D14">
        <w:t xml:space="preserve">Nauru </w:t>
      </w:r>
      <w:r w:rsidR="00EB5ACF">
        <w:t>P</w:t>
      </w:r>
      <w:r w:rsidRPr="00C75D14">
        <w:t xml:space="preserve">rogram has one </w:t>
      </w:r>
      <w:r w:rsidR="00EB5ACF">
        <w:t>Australia</w:t>
      </w:r>
      <w:r w:rsidRPr="00C75D14">
        <w:t>-based</w:t>
      </w:r>
      <w:r w:rsidR="00EB5ACF">
        <w:t xml:space="preserve"> position, while the similarly sized</w:t>
      </w:r>
      <w:r w:rsidRPr="00C75D14">
        <w:t xml:space="preserve"> Kiribati</w:t>
      </w:r>
      <w:r w:rsidR="00EB5ACF">
        <w:t xml:space="preserve"> Program</w:t>
      </w:r>
      <w:r w:rsidRPr="00C75D14">
        <w:t xml:space="preserve"> is supported by </w:t>
      </w:r>
      <w:r w:rsidR="007E34E1">
        <w:t>two</w:t>
      </w:r>
      <w:r w:rsidRPr="00C75D14">
        <w:t xml:space="preserve"> </w:t>
      </w:r>
      <w:r w:rsidR="00EB5ACF">
        <w:t>Australia</w:t>
      </w:r>
      <w:r w:rsidRPr="00C75D14">
        <w:t>-based</w:t>
      </w:r>
      <w:r w:rsidR="00EB5ACF">
        <w:t xml:space="preserve"> position</w:t>
      </w:r>
      <w:r w:rsidR="007E34E1">
        <w:t>s</w:t>
      </w:r>
      <w:r w:rsidRPr="00C75D14">
        <w:t xml:space="preserve">, one </w:t>
      </w:r>
      <w:r w:rsidR="00D11FE9">
        <w:t>D</w:t>
      </w:r>
      <w:r w:rsidR="007E34E1">
        <w:t>evelopment Program Specialist</w:t>
      </w:r>
      <w:r w:rsidR="00D11FE9" w:rsidRPr="00C75D14">
        <w:t xml:space="preserve"> </w:t>
      </w:r>
      <w:r w:rsidRPr="00C75D14">
        <w:t xml:space="preserve">position and six </w:t>
      </w:r>
      <w:r w:rsidR="00EB5ACF">
        <w:t>overseas</w:t>
      </w:r>
      <w:r w:rsidRPr="00C75D14">
        <w:t>-based positions).</w:t>
      </w:r>
    </w:p>
    <w:p w:rsidR="00B22154" w:rsidRPr="00C75D14" w:rsidRDefault="00B22154" w:rsidP="00B22154">
      <w:pPr>
        <w:pStyle w:val="BodyText"/>
      </w:pPr>
      <w:r w:rsidRPr="00C75D14">
        <w:t xml:space="preserve">Under the Pacific Partnership for Development, it is proposed that the in-line </w:t>
      </w:r>
      <w:r w:rsidR="00EB5ACF">
        <w:t>f</w:t>
      </w:r>
      <w:r w:rsidRPr="00C75D14">
        <w:t xml:space="preserve">inance team currently staffed by Australian Government </w:t>
      </w:r>
      <w:r w:rsidR="00EB5ACF">
        <w:t>of</w:t>
      </w:r>
      <w:r w:rsidRPr="00C75D14">
        <w:t xml:space="preserve">ficials will transition to an </w:t>
      </w:r>
      <w:proofErr w:type="spellStart"/>
      <w:r w:rsidRPr="00C75D14">
        <w:t>AusAID</w:t>
      </w:r>
      <w:proofErr w:type="spellEnd"/>
      <w:r w:rsidR="00EB5ACF">
        <w:t>-</w:t>
      </w:r>
      <w:r w:rsidRPr="00C75D14">
        <w:t>funded contractor model. This approach will expand the pool of available expertise and provide greater opportunity to match specific skill sets with duty statements for the relevant positions.</w:t>
      </w:r>
    </w:p>
    <w:p w:rsidR="00B22154" w:rsidRPr="00C75D14" w:rsidRDefault="00B22154" w:rsidP="00B22154">
      <w:pPr>
        <w:pStyle w:val="BodyText"/>
      </w:pPr>
      <w:r w:rsidRPr="00C75D14">
        <w:t>As part of the shift to program</w:t>
      </w:r>
      <w:r w:rsidR="00EB5ACF">
        <w:t>-</w:t>
      </w:r>
      <w:r w:rsidRPr="00C75D14">
        <w:t xml:space="preserve">based approaches, donors will need to be pragmatic about achieving a balance between investments in pure capacity building </w:t>
      </w:r>
      <w:r w:rsidR="00EB5ACF">
        <w:t>and the</w:t>
      </w:r>
      <w:r w:rsidR="00EB5ACF" w:rsidRPr="00C75D14">
        <w:t xml:space="preserve"> </w:t>
      </w:r>
      <w:r w:rsidRPr="00C75D14">
        <w:t xml:space="preserve">provision of in-line personnel and contractors. The depth and extent of </w:t>
      </w:r>
      <w:smartTag w:uri="urn:schemas-microsoft-com:office:smarttags" w:element="place">
        <w:smartTag w:uri="urn:schemas-microsoft-com:office:smarttags" w:element="country-region">
          <w:r w:rsidRPr="00C75D14">
            <w:t>Nauru</w:t>
          </w:r>
        </w:smartTag>
      </w:smartTag>
      <w:r w:rsidR="00247AFA">
        <w:t>’</w:t>
      </w:r>
      <w:r w:rsidRPr="00C75D14">
        <w:t>s capacity constraints mean that capacity substitution is often required alongside more explicit capacity</w:t>
      </w:r>
      <w:r w:rsidR="00EB5ACF">
        <w:t>-</w:t>
      </w:r>
      <w:r w:rsidRPr="00C75D14">
        <w:t>building efforts if basic services are to be maintained in both the short and long term</w:t>
      </w:r>
      <w:r w:rsidR="00EB5ACF">
        <w:t>s</w:t>
      </w:r>
      <w:r w:rsidRPr="00C75D14">
        <w:t>.</w:t>
      </w:r>
    </w:p>
    <w:p w:rsidR="00C2136E" w:rsidRDefault="00B22154" w:rsidP="00B22154">
      <w:pPr>
        <w:pStyle w:val="BodyText"/>
      </w:pPr>
      <w:r w:rsidRPr="00C75D14">
        <w:t xml:space="preserve">Any moves to use partner government systems will need to take place under a clear framework of risks and </w:t>
      </w:r>
      <w:r w:rsidR="00EB5ACF">
        <w:t xml:space="preserve">risk </w:t>
      </w:r>
      <w:r w:rsidRPr="00C75D14">
        <w:t xml:space="preserve">treatments. </w:t>
      </w:r>
      <w:r w:rsidR="00CB524D">
        <w:t xml:space="preserve">The </w:t>
      </w:r>
      <w:proofErr w:type="spellStart"/>
      <w:r w:rsidRPr="00C75D14">
        <w:t>GoN</w:t>
      </w:r>
      <w:proofErr w:type="spellEnd"/>
      <w:r w:rsidRPr="00C75D14">
        <w:t xml:space="preserve"> has already indicated a desire to undertake a </w:t>
      </w:r>
      <w:r w:rsidR="00EB5ACF">
        <w:t>p</w:t>
      </w:r>
      <w:r w:rsidRPr="00C75D14">
        <w:t xml:space="preserve">ublic </w:t>
      </w:r>
      <w:r w:rsidR="00EB5ACF">
        <w:t>e</w:t>
      </w:r>
      <w:r w:rsidRPr="00C75D14">
        <w:t xml:space="preserve">xpenditure and </w:t>
      </w:r>
      <w:r w:rsidR="00EB5ACF">
        <w:t>f</w:t>
      </w:r>
      <w:r w:rsidRPr="00C75D14">
        <w:t xml:space="preserve">inancial </w:t>
      </w:r>
      <w:r w:rsidR="00EB5ACF">
        <w:t>a</w:t>
      </w:r>
      <w:r w:rsidRPr="00C75D14">
        <w:t xml:space="preserve">ssessment analysis, which will </w:t>
      </w:r>
      <w:r w:rsidR="00EB5ACF">
        <w:t>help to give</w:t>
      </w:r>
      <w:r w:rsidRPr="00C75D14">
        <w:t xml:space="preserve"> a clear picture of the suitability of </w:t>
      </w:r>
      <w:proofErr w:type="spellStart"/>
      <w:r w:rsidRPr="00C75D14">
        <w:t>GoN</w:t>
      </w:r>
      <w:proofErr w:type="spellEnd"/>
      <w:r w:rsidRPr="00C75D14">
        <w:t xml:space="preserve"> financial systems and priority actions to remedy weaknesses.</w:t>
      </w:r>
    </w:p>
    <w:p w:rsidR="00C2136E" w:rsidRDefault="00B22154" w:rsidP="00B22154">
      <w:pPr>
        <w:pStyle w:val="BodyText"/>
      </w:pPr>
      <w:r w:rsidRPr="00C75D14">
        <w:t xml:space="preserve">Closer alignment of our programs and budget to </w:t>
      </w:r>
      <w:r w:rsidR="00CB524D">
        <w:t xml:space="preserve">the </w:t>
      </w:r>
      <w:proofErr w:type="spellStart"/>
      <w:r w:rsidRPr="00C75D14">
        <w:t>GoN</w:t>
      </w:r>
      <w:r w:rsidR="00247AFA">
        <w:t>’</w:t>
      </w:r>
      <w:r w:rsidRPr="00C75D14">
        <w:t>s</w:t>
      </w:r>
      <w:proofErr w:type="spellEnd"/>
      <w:r w:rsidRPr="00C75D14">
        <w:t xml:space="preserve"> own policies and budgeting processes will also help to highlight w</w:t>
      </w:r>
      <w:r w:rsidR="00EB5ACF">
        <w:t>h</w:t>
      </w:r>
      <w:r w:rsidRPr="00C75D14">
        <w:t xml:space="preserve">ere data and information gaps lie. </w:t>
      </w:r>
      <w:smartTag w:uri="urn:schemas-microsoft-com:office:smarttags" w:element="place">
        <w:smartTag w:uri="urn:schemas-microsoft-com:office:smarttags" w:element="country-region">
          <w:r w:rsidRPr="00C75D14">
            <w:t>Nauru</w:t>
          </w:r>
        </w:smartTag>
      </w:smartTag>
      <w:r w:rsidRPr="00C75D14">
        <w:t xml:space="preserve"> has a poor statistical base</w:t>
      </w:r>
      <w:r w:rsidR="00EB5ACF">
        <w:t>,</w:t>
      </w:r>
      <w:r w:rsidRPr="00C75D14">
        <w:t xml:space="preserve"> and joint efforts to strengthen collection and analysis will be required to improve both governments</w:t>
      </w:r>
      <w:r w:rsidR="00EB5ACF">
        <w:t>’</w:t>
      </w:r>
      <w:r w:rsidRPr="00C75D14">
        <w:t xml:space="preserve"> capacity to report on development progress. Support </w:t>
      </w:r>
      <w:r w:rsidR="00EB5ACF">
        <w:t xml:space="preserve">to improve </w:t>
      </w:r>
      <w:proofErr w:type="spellStart"/>
      <w:r w:rsidRPr="00C75D14">
        <w:t>GoN</w:t>
      </w:r>
      <w:proofErr w:type="spellEnd"/>
      <w:r w:rsidRPr="00C75D14">
        <w:t xml:space="preserve"> data collection systems will be pursued through regional and bilateral mechanisms.</w:t>
      </w:r>
    </w:p>
    <w:p w:rsidR="00C2136E" w:rsidRDefault="00B22154" w:rsidP="00B22154">
      <w:pPr>
        <w:pStyle w:val="BodyText"/>
      </w:pPr>
      <w:r w:rsidRPr="00C75D14">
        <w:t xml:space="preserve">As the major donor in </w:t>
      </w:r>
      <w:smartTag w:uri="urn:schemas-microsoft-com:office:smarttags" w:element="country-region">
        <w:r w:rsidRPr="00C75D14">
          <w:t>Nauru</w:t>
        </w:r>
      </w:smartTag>
      <w:r w:rsidRPr="00C75D14">
        <w:t xml:space="preserve">, </w:t>
      </w:r>
      <w:smartTag w:uri="urn:schemas-microsoft-com:office:smarttags" w:element="place">
        <w:smartTag w:uri="urn:schemas-microsoft-com:office:smarttags" w:element="country-region">
          <w:r w:rsidRPr="00C75D14">
            <w:t>Australia</w:t>
          </w:r>
        </w:smartTag>
      </w:smartTag>
      <w:r w:rsidRPr="00C75D14">
        <w:t xml:space="preserve"> </w:t>
      </w:r>
      <w:r w:rsidR="00770AFC">
        <w:t>has</w:t>
      </w:r>
      <w:r w:rsidRPr="00C75D14">
        <w:t xml:space="preserve"> effectively </w:t>
      </w:r>
      <w:r w:rsidR="00770AFC">
        <w:t xml:space="preserve">invested in </w:t>
      </w:r>
      <w:r w:rsidRPr="00C75D14">
        <w:t xml:space="preserve">all sectors to one extent or another. In that context, </w:t>
      </w:r>
      <w:smartTag w:uri="urn:schemas-microsoft-com:office:smarttags" w:element="country-region">
        <w:r w:rsidRPr="00C75D14">
          <w:t>Australia</w:t>
        </w:r>
      </w:smartTag>
      <w:r w:rsidRPr="00C75D14">
        <w:t xml:space="preserve"> will need to work with </w:t>
      </w:r>
      <w:smartTag w:uri="urn:schemas-microsoft-com:office:smarttags" w:element="place">
        <w:smartTag w:uri="urn:schemas-microsoft-com:office:smarttags" w:element="country-region">
          <w:r w:rsidRPr="00C75D14">
            <w:t>Nauru</w:t>
          </w:r>
        </w:smartTag>
      </w:smartTag>
      <w:r w:rsidRPr="00C75D14">
        <w:t xml:space="preserve"> to enhance donor coordination </w:t>
      </w:r>
      <w:r w:rsidRPr="00C75D14">
        <w:lastRenderedPageBreak/>
        <w:t>to ensure appropriate input f</w:t>
      </w:r>
      <w:r w:rsidR="00D11FE9">
        <w:t>r</w:t>
      </w:r>
      <w:r w:rsidRPr="00C75D14">
        <w:t xml:space="preserve">om other donors </w:t>
      </w:r>
      <w:r w:rsidR="00EB5ACF">
        <w:t>and to</w:t>
      </w:r>
      <w:r w:rsidRPr="00C75D14">
        <w:t xml:space="preserve"> ensure </w:t>
      </w:r>
      <w:r w:rsidR="00EB5ACF">
        <w:t xml:space="preserve">that </w:t>
      </w:r>
      <w:r w:rsidRPr="00C75D14">
        <w:t>there is coherence in the approach of all donors in order to maximise the benefits.</w:t>
      </w:r>
      <w:r w:rsidR="00C2136E">
        <w:t xml:space="preserve"> </w:t>
      </w:r>
      <w:r w:rsidRPr="00C75D14">
        <w:t xml:space="preserve">Consideration should be given to the placement of an Australian in-line official within the Aid Management Unit to assist with coordination efforts and to build the capacity of the </w:t>
      </w:r>
      <w:r w:rsidR="00EB5ACF">
        <w:t>u</w:t>
      </w:r>
      <w:r w:rsidR="00D11FE9">
        <w:t>nit</w:t>
      </w:r>
      <w:r w:rsidR="00D11FE9" w:rsidRPr="00C75D14">
        <w:t xml:space="preserve"> </w:t>
      </w:r>
      <w:r w:rsidRPr="00C75D14">
        <w:t>as an institution.</w:t>
      </w:r>
    </w:p>
    <w:p w:rsidR="00B22154" w:rsidRPr="00C75D14" w:rsidRDefault="00B22154" w:rsidP="00B22154">
      <w:pPr>
        <w:pStyle w:val="BodyText"/>
      </w:pPr>
      <w:r w:rsidRPr="00C75D14">
        <w:t xml:space="preserve">Development of a common understanding between </w:t>
      </w:r>
      <w:r w:rsidR="00CB524D">
        <w:t xml:space="preserve">the </w:t>
      </w:r>
      <w:proofErr w:type="spellStart"/>
      <w:r w:rsidRPr="00C75D14">
        <w:t>GoN</w:t>
      </w:r>
      <w:proofErr w:type="spellEnd"/>
      <w:r w:rsidRPr="00C75D14">
        <w:t xml:space="preserve"> and its development partners on the long-term future for </w:t>
      </w:r>
      <w:smartTag w:uri="urn:schemas-microsoft-com:office:smarttags" w:element="place">
        <w:smartTag w:uri="urn:schemas-microsoft-com:office:smarttags" w:element="country-region">
          <w:r w:rsidRPr="00C75D14">
            <w:t>Nauru</w:t>
          </w:r>
        </w:smartTag>
      </w:smartTag>
      <w:r w:rsidRPr="00C75D14">
        <w:t xml:space="preserve"> will also be a focus for the coming year. </w:t>
      </w:r>
      <w:proofErr w:type="spellStart"/>
      <w:r w:rsidRPr="00C75D14">
        <w:t>AusAID</w:t>
      </w:r>
      <w:proofErr w:type="spellEnd"/>
      <w:r w:rsidRPr="00C75D14">
        <w:t xml:space="preserve"> will be leading a multi-donor study on </w:t>
      </w:r>
      <w:r w:rsidR="00EB5ACF">
        <w:t xml:space="preserve">the </w:t>
      </w:r>
      <w:r w:rsidRPr="00C75D14">
        <w:t>long</w:t>
      </w:r>
      <w:r w:rsidR="00EB5ACF">
        <w:t>-</w:t>
      </w:r>
      <w:r w:rsidRPr="00C75D14">
        <w:t xml:space="preserve">term sustainability of service delivery in small island states, </w:t>
      </w:r>
      <w:r w:rsidR="00EB5ACF">
        <w:t>in which</w:t>
      </w:r>
      <w:r w:rsidR="00EB5ACF" w:rsidRPr="00C75D14">
        <w:t xml:space="preserve"> </w:t>
      </w:r>
      <w:smartTag w:uri="urn:schemas-microsoft-com:office:smarttags" w:element="country-region">
        <w:r w:rsidRPr="00C75D14">
          <w:t>Nauru</w:t>
        </w:r>
      </w:smartTag>
      <w:r w:rsidR="00EB5ACF">
        <w:t xml:space="preserve">, </w:t>
      </w:r>
      <w:smartTag w:uri="urn:schemas-microsoft-com:office:smarttags" w:element="country-region">
        <w:r w:rsidR="00EB5ACF">
          <w:t>Tuvalu</w:t>
        </w:r>
      </w:smartTag>
      <w:r w:rsidR="00EB5ACF">
        <w:t xml:space="preserve"> and </w:t>
      </w:r>
      <w:smartTag w:uri="urn:schemas-microsoft-com:office:smarttags" w:element="place">
        <w:smartTag w:uri="urn:schemas-microsoft-com:office:smarttags" w:element="country-region">
          <w:r w:rsidR="00EB5ACF">
            <w:t>Kiribati</w:t>
          </w:r>
        </w:smartTag>
      </w:smartTag>
      <w:r w:rsidR="00EB5ACF">
        <w:t xml:space="preserve"> will </w:t>
      </w:r>
      <w:r w:rsidRPr="00C75D14">
        <w:t>be the three focus countries. Th</w:t>
      </w:r>
      <w:r w:rsidR="00EB5ACF">
        <w:t>e</w:t>
      </w:r>
      <w:r w:rsidRPr="00C75D14">
        <w:t xml:space="preserve"> study will assist </w:t>
      </w:r>
      <w:r w:rsidR="00CB524D">
        <w:t xml:space="preserve">the </w:t>
      </w:r>
      <w:proofErr w:type="spellStart"/>
      <w:r w:rsidRPr="00C75D14">
        <w:t>GoN</w:t>
      </w:r>
      <w:proofErr w:type="spellEnd"/>
      <w:r w:rsidRPr="00C75D14">
        <w:t xml:space="preserve"> </w:t>
      </w:r>
      <w:r w:rsidR="00EB5ACF">
        <w:t>to develop</w:t>
      </w:r>
      <w:r w:rsidRPr="00C75D14">
        <w:t xml:space="preserve"> its long-term strategic vision for the country.</w:t>
      </w:r>
    </w:p>
    <w:p w:rsidR="00B22154" w:rsidRPr="00C75D14" w:rsidRDefault="00B22154" w:rsidP="00B22154">
      <w:pPr>
        <w:pStyle w:val="BodyText"/>
      </w:pPr>
      <w:r w:rsidRPr="00C75D14">
        <w:t>It will be important for all stakeholders to develop a clear understanding of the flow</w:t>
      </w:r>
      <w:r w:rsidR="00EB5ACF">
        <w:noBreakHyphen/>
      </w:r>
      <w:r w:rsidRPr="00C75D14">
        <w:t xml:space="preserve">on effects of a successful reform agenda for all members of the community. </w:t>
      </w:r>
      <w:r w:rsidR="00770AFC">
        <w:t>G</w:t>
      </w:r>
      <w:r w:rsidRPr="00C75D14">
        <w:t xml:space="preserve">ood social impact analysis </w:t>
      </w:r>
      <w:r w:rsidR="00770AFC">
        <w:t>should inform</w:t>
      </w:r>
      <w:r w:rsidR="00770AFC" w:rsidRPr="00C75D14">
        <w:t xml:space="preserve"> </w:t>
      </w:r>
      <w:r w:rsidRPr="00C75D14">
        <w:t xml:space="preserve">the planned rollout of reforms. A sound understanding of broad social impacts will help </w:t>
      </w:r>
      <w:r w:rsidR="00EB5ACF">
        <w:t xml:space="preserve">to </w:t>
      </w:r>
      <w:r w:rsidRPr="00C75D14">
        <w:t xml:space="preserve">inform development of a gender action plan aimed at ensuring </w:t>
      </w:r>
      <w:r w:rsidR="006B3576">
        <w:t xml:space="preserve">that </w:t>
      </w:r>
      <w:r w:rsidR="00176171">
        <w:t xml:space="preserve">activities undertaken </w:t>
      </w:r>
      <w:r w:rsidRPr="00C75D14">
        <w:t>maximise benefits and mitigate disadvantage</w:t>
      </w:r>
      <w:r w:rsidR="00176171">
        <w:t xml:space="preserve"> for both woman and men</w:t>
      </w:r>
      <w:r w:rsidRPr="00C75D14">
        <w:t>.</w:t>
      </w:r>
    </w:p>
    <w:p w:rsidR="00B22154" w:rsidRPr="00C75D14" w:rsidRDefault="00D11FE9" w:rsidP="0048164E">
      <w:pPr>
        <w:pStyle w:val="H2"/>
      </w:pPr>
      <w:bookmarkStart w:id="83" w:name="_Toc244501301"/>
      <w:bookmarkStart w:id="84" w:name="_Toc361056138"/>
      <w:r>
        <w:t>Impact of the global r</w:t>
      </w:r>
      <w:r w:rsidR="00B22154" w:rsidRPr="00C75D14">
        <w:t>ecession</w:t>
      </w:r>
      <w:bookmarkEnd w:id="83"/>
      <w:bookmarkEnd w:id="84"/>
    </w:p>
    <w:p w:rsidR="00B22154" w:rsidRPr="00C75D14" w:rsidRDefault="00B22154" w:rsidP="00B22154">
      <w:pPr>
        <w:pStyle w:val="BodyText"/>
      </w:pPr>
      <w:r w:rsidRPr="00C75D14">
        <w:t>The key impact of the global recession</w:t>
      </w:r>
      <w:r w:rsidR="006B3576">
        <w:t xml:space="preserve"> on </w:t>
      </w:r>
      <w:smartTag w:uri="urn:schemas-microsoft-com:office:smarttags" w:element="place">
        <w:smartTag w:uri="urn:schemas-microsoft-com:office:smarttags" w:element="country-region">
          <w:r w:rsidR="006B3576">
            <w:t>Nauru</w:t>
          </w:r>
        </w:smartTag>
      </w:smartTag>
      <w:r w:rsidRPr="00C75D14">
        <w:t xml:space="preserve"> is </w:t>
      </w:r>
      <w:r w:rsidR="006B3576">
        <w:t>its effect</w:t>
      </w:r>
      <w:r w:rsidRPr="00C75D14">
        <w:t xml:space="preserve"> on global phosphate pricing and demand. Recent reforms in the fisheries sector have </w:t>
      </w:r>
      <w:r w:rsidR="006B3576">
        <w:t>significantly improved</w:t>
      </w:r>
      <w:r w:rsidR="006B3576" w:rsidRPr="00C75D14">
        <w:t xml:space="preserve"> </w:t>
      </w:r>
      <w:r w:rsidRPr="00C75D14">
        <w:t>fisheries revenue</w:t>
      </w:r>
      <w:r w:rsidR="006B3576">
        <w:t>,</w:t>
      </w:r>
      <w:r w:rsidRPr="00C75D14">
        <w:t xml:space="preserve"> and there is no expectation that revenue will drop off </w:t>
      </w:r>
      <w:r w:rsidR="006B3576">
        <w:t>again</w:t>
      </w:r>
      <w:r w:rsidRPr="00C75D14">
        <w:t>. With reduced phosphate revenue, landowner and government royalties payments will be diminished or not paid at all</w:t>
      </w:r>
      <w:r w:rsidR="006B3576">
        <w:t xml:space="preserve">, creating </w:t>
      </w:r>
      <w:r w:rsidRPr="00C75D14">
        <w:t>significant potential for job losses and reduced business activity, including retail, construction and maintenance programs. Ex</w:t>
      </w:r>
      <w:r w:rsidR="006B3576">
        <w:t>patriate</w:t>
      </w:r>
      <w:r w:rsidRPr="00C75D14">
        <w:t xml:space="preserve"> Filipino, </w:t>
      </w:r>
      <w:proofErr w:type="spellStart"/>
      <w:r w:rsidRPr="00C75D14">
        <w:t>i</w:t>
      </w:r>
      <w:proofErr w:type="spellEnd"/>
      <w:r w:rsidRPr="00C75D14">
        <w:t>-Kiribati and Chinese business owners are most at risk</w:t>
      </w:r>
      <w:r w:rsidR="006B3576">
        <w:t>,</w:t>
      </w:r>
      <w:r w:rsidRPr="00C75D14">
        <w:t xml:space="preserve"> as </w:t>
      </w:r>
      <w:r w:rsidR="006B3576">
        <w:t xml:space="preserve">there are </w:t>
      </w:r>
      <w:r w:rsidRPr="00C75D14">
        <w:t>no local support networks if jobs are lost or businesses fail.</w:t>
      </w:r>
    </w:p>
    <w:p w:rsidR="00B22154" w:rsidRPr="00C75D14" w:rsidRDefault="00B22154" w:rsidP="00B22154">
      <w:pPr>
        <w:pStyle w:val="BodyText"/>
      </w:pPr>
      <w:r w:rsidRPr="00C75D14">
        <w:t xml:space="preserve">While the crisis has not </w:t>
      </w:r>
      <w:r w:rsidR="006B3576">
        <w:t>yet affected</w:t>
      </w:r>
      <w:r w:rsidR="006B3576" w:rsidRPr="00C75D14">
        <w:t xml:space="preserve"> </w:t>
      </w:r>
      <w:smartTag w:uri="urn:schemas-microsoft-com:office:smarttags" w:element="country-region">
        <w:r w:rsidRPr="00C75D14">
          <w:t>Nauru</w:t>
        </w:r>
      </w:smartTag>
      <w:r w:rsidRPr="00C75D14">
        <w:t xml:space="preserve"> to the extent that </w:t>
      </w:r>
      <w:smartTag w:uri="urn:schemas-microsoft-com:office:smarttags" w:element="place">
        <w:smartTag w:uri="urn:schemas-microsoft-com:office:smarttags" w:element="country-region">
          <w:r w:rsidR="006B3576">
            <w:t>Nauru</w:t>
          </w:r>
        </w:smartTag>
      </w:smartTag>
      <w:r w:rsidR="006B3576">
        <w:t xml:space="preserve"> is</w:t>
      </w:r>
      <w:r w:rsidRPr="00C75D14">
        <w:t xml:space="preserve"> actively seeking targeted donor responses, the potential impacts are significant. It will be critical to continue to monitor the impacts as they develop and work with </w:t>
      </w:r>
      <w:r w:rsidR="00CB524D">
        <w:t xml:space="preserve">the </w:t>
      </w:r>
      <w:proofErr w:type="spellStart"/>
      <w:r w:rsidRPr="00C75D14">
        <w:t>GoN</w:t>
      </w:r>
      <w:proofErr w:type="spellEnd"/>
      <w:r w:rsidRPr="00C75D14">
        <w:t xml:space="preserve"> and other donors to ensure </w:t>
      </w:r>
      <w:r w:rsidR="006B3576">
        <w:t xml:space="preserve">that </w:t>
      </w:r>
      <w:r w:rsidR="00CB524D">
        <w:t xml:space="preserve">the </w:t>
      </w:r>
      <w:proofErr w:type="spellStart"/>
      <w:r w:rsidRPr="00C75D14">
        <w:t>GoN</w:t>
      </w:r>
      <w:proofErr w:type="spellEnd"/>
      <w:r w:rsidRPr="00C75D14">
        <w:t xml:space="preserve"> maintains adequate cash flow </w:t>
      </w:r>
      <w:r w:rsidR="00DB4D16">
        <w:t>to deliver services</w:t>
      </w:r>
      <w:r w:rsidRPr="00C75D14">
        <w:t xml:space="preserve"> and </w:t>
      </w:r>
      <w:r w:rsidR="006B3576">
        <w:t xml:space="preserve">maintain </w:t>
      </w:r>
      <w:r w:rsidRPr="00C75D14">
        <w:t xml:space="preserve">employment opportunities and business activity. A phased approach to the two major construction projects funded by </w:t>
      </w:r>
      <w:proofErr w:type="spellStart"/>
      <w:r w:rsidRPr="00C75D14">
        <w:t>AusAID</w:t>
      </w:r>
      <w:proofErr w:type="spellEnd"/>
      <w:r w:rsidRPr="00C75D14">
        <w:t xml:space="preserve"> and </w:t>
      </w:r>
      <w:r w:rsidR="00D11FE9">
        <w:t>the Australian Federal Police</w:t>
      </w:r>
      <w:r w:rsidRPr="00C75D14">
        <w:t xml:space="preserve"> (</w:t>
      </w:r>
      <w:r w:rsidR="006B3576" w:rsidRPr="00C75D14">
        <w:t xml:space="preserve">the </w:t>
      </w:r>
      <w:smartTag w:uri="urn:schemas-microsoft-com:office:smarttags" w:element="place">
        <w:smartTag w:uri="urn:schemas-microsoft-com:office:smarttags" w:element="PlaceName">
          <w:r w:rsidR="006B3576">
            <w:t>Nauru</w:t>
          </w:r>
        </w:smartTag>
        <w:r w:rsidR="006B3576">
          <w:t xml:space="preserve"> </w:t>
        </w:r>
        <w:smartTag w:uri="urn:schemas-microsoft-com:office:smarttags" w:element="PlaceType">
          <w:r w:rsidR="006B3576">
            <w:t>Secondary School</w:t>
          </w:r>
        </w:smartTag>
      </w:smartTag>
      <w:r w:rsidR="006B3576" w:rsidRPr="00C75D14">
        <w:t xml:space="preserve"> </w:t>
      </w:r>
      <w:r w:rsidR="006B3576">
        <w:t xml:space="preserve">and the </w:t>
      </w:r>
      <w:r w:rsidRPr="00C75D14">
        <w:t>new Police Headquarters</w:t>
      </w:r>
      <w:r w:rsidR="006B3576">
        <w:t>, respectively</w:t>
      </w:r>
      <w:r w:rsidRPr="00C75D14">
        <w:t>) will be important to ensur</w:t>
      </w:r>
      <w:r w:rsidR="006B3576">
        <w:t>e</w:t>
      </w:r>
      <w:r w:rsidRPr="00C75D14">
        <w:t xml:space="preserve"> ongoing employment opportunities for skilled and unskilled labour. This approach also provides more and longer term opportunities for skills development for </w:t>
      </w:r>
      <w:proofErr w:type="spellStart"/>
      <w:r w:rsidRPr="00C75D14">
        <w:t>Nauruans</w:t>
      </w:r>
      <w:proofErr w:type="spellEnd"/>
      <w:r w:rsidRPr="00C75D14">
        <w:t>.</w:t>
      </w:r>
    </w:p>
    <w:p w:rsidR="00B22154" w:rsidRPr="00C75D14" w:rsidRDefault="00B22154" w:rsidP="0048164E">
      <w:pPr>
        <w:pStyle w:val="H2"/>
      </w:pPr>
      <w:bookmarkStart w:id="85" w:name="_Toc244501302"/>
      <w:bookmarkStart w:id="86" w:name="_Toc361056139"/>
      <w:r w:rsidRPr="00C75D14">
        <w:t xml:space="preserve">Response to </w:t>
      </w:r>
      <w:r w:rsidR="00D11FE9" w:rsidRPr="00C75D14">
        <w:t xml:space="preserve">management consequences </w:t>
      </w:r>
      <w:r w:rsidRPr="00C75D14">
        <w:t>identified in the</w:t>
      </w:r>
      <w:r w:rsidR="006B3576">
        <w:br/>
      </w:r>
      <w:r w:rsidRPr="00C75D14">
        <w:t>200</w:t>
      </w:r>
      <w:r w:rsidR="00C2136E" w:rsidRPr="00C75D14">
        <w:t>7</w:t>
      </w:r>
      <w:r w:rsidR="00C2136E">
        <w:t>–</w:t>
      </w:r>
      <w:r w:rsidR="00C2136E" w:rsidRPr="00C75D14">
        <w:t>0</w:t>
      </w:r>
      <w:r w:rsidRPr="00C75D14">
        <w:t>8 APPR</w:t>
      </w:r>
      <w:bookmarkEnd w:id="85"/>
      <w:bookmarkEnd w:id="86"/>
    </w:p>
    <w:p w:rsidR="00B22154" w:rsidRPr="00C75D14" w:rsidRDefault="00B22154" w:rsidP="00B22154">
      <w:pPr>
        <w:pStyle w:val="BodyText"/>
      </w:pPr>
      <w:r w:rsidRPr="00C75D14">
        <w:t>Management consequences identified in the 200</w:t>
      </w:r>
      <w:r w:rsidR="00C2136E" w:rsidRPr="00C75D14">
        <w:t>7</w:t>
      </w:r>
      <w:r w:rsidR="00C2136E">
        <w:t>–</w:t>
      </w:r>
      <w:r w:rsidR="00C2136E" w:rsidRPr="00C75D14">
        <w:t>0</w:t>
      </w:r>
      <w:r w:rsidRPr="00C75D14">
        <w:t xml:space="preserve">8 APPR </w:t>
      </w:r>
      <w:r w:rsidR="006B3576">
        <w:t>centred on</w:t>
      </w:r>
      <w:r w:rsidRPr="00C75D14">
        <w:t>:</w:t>
      </w:r>
    </w:p>
    <w:p w:rsidR="00B22154" w:rsidRPr="00C75D14" w:rsidRDefault="00B22154" w:rsidP="00B22154">
      <w:pPr>
        <w:pStyle w:val="ListBullet"/>
      </w:pPr>
      <w:r w:rsidRPr="00C75D14">
        <w:t>lack of program strategy</w:t>
      </w:r>
    </w:p>
    <w:p w:rsidR="00B22154" w:rsidRPr="00C75D14" w:rsidRDefault="00B22154" w:rsidP="00B22154">
      <w:pPr>
        <w:pStyle w:val="ListBullet"/>
      </w:pPr>
      <w:r w:rsidRPr="00C75D14">
        <w:t>annual rather than multi-year funding/planning cycles</w:t>
      </w:r>
    </w:p>
    <w:p w:rsidR="00B22154" w:rsidRPr="00C75D14" w:rsidRDefault="00B22154" w:rsidP="00B22154">
      <w:pPr>
        <w:pStyle w:val="ListBullet"/>
      </w:pPr>
      <w:r w:rsidRPr="00C75D14">
        <w:t>broad sectoral focus</w:t>
      </w:r>
    </w:p>
    <w:p w:rsidR="00B22154" w:rsidRPr="00C75D14" w:rsidRDefault="00B22154" w:rsidP="00B22154">
      <w:pPr>
        <w:pStyle w:val="ListBullet"/>
      </w:pPr>
      <w:r w:rsidRPr="00C75D14">
        <w:t>forms of aid</w:t>
      </w:r>
    </w:p>
    <w:p w:rsidR="00B22154" w:rsidRPr="00C75D14" w:rsidRDefault="00B22154" w:rsidP="00B22154">
      <w:pPr>
        <w:pStyle w:val="ListBullet"/>
      </w:pPr>
      <w:r w:rsidRPr="00C75D14">
        <w:t>lack of activity design</w:t>
      </w:r>
    </w:p>
    <w:p w:rsidR="00B22154" w:rsidRPr="00C75D14" w:rsidRDefault="00B22154" w:rsidP="00B22154">
      <w:pPr>
        <w:pStyle w:val="ListBullet"/>
      </w:pPr>
      <w:r w:rsidRPr="00C75D14">
        <w:t>information gaps</w:t>
      </w:r>
      <w:r w:rsidR="006B3576">
        <w:t>.</w:t>
      </w:r>
    </w:p>
    <w:p w:rsidR="00C2136E" w:rsidRDefault="00B22154" w:rsidP="00B22154">
      <w:pPr>
        <w:pStyle w:val="BodyText"/>
      </w:pPr>
      <w:r w:rsidRPr="00C75D14">
        <w:lastRenderedPageBreak/>
        <w:t xml:space="preserve">The lack of strategy will be </w:t>
      </w:r>
      <w:r w:rsidR="006B3576">
        <w:t>remedied by</w:t>
      </w:r>
      <w:r w:rsidRPr="00C75D14">
        <w:t xml:space="preserve"> implementation strategies (and sector plans) </w:t>
      </w:r>
      <w:r w:rsidR="006B3576">
        <w:t xml:space="preserve">developed </w:t>
      </w:r>
      <w:r w:rsidRPr="00C75D14">
        <w:t>under the proposed Pacific Partnership for Development and aligned with Nauru</w:t>
      </w:r>
      <w:r w:rsidR="00247AFA">
        <w:t>’</w:t>
      </w:r>
      <w:r w:rsidRPr="00C75D14">
        <w:t>s National Sustainable Development Strategy.</w:t>
      </w:r>
    </w:p>
    <w:p w:rsidR="00B22154" w:rsidRPr="00C75D14" w:rsidRDefault="00B22154" w:rsidP="00B22154">
      <w:pPr>
        <w:pStyle w:val="BodyText"/>
      </w:pPr>
      <w:r w:rsidRPr="00C75D14">
        <w:t xml:space="preserve">With the closure of the </w:t>
      </w:r>
      <w:r w:rsidR="00DB4D16">
        <w:t>o</w:t>
      </w:r>
      <w:r w:rsidRPr="00C75D14">
        <w:t xml:space="preserve">ffshore </w:t>
      </w:r>
      <w:r w:rsidR="00DB4D16">
        <w:t>p</w:t>
      </w:r>
      <w:r w:rsidRPr="00C75D14">
        <w:t xml:space="preserve">rocessing </w:t>
      </w:r>
      <w:r w:rsidR="00DB4D16">
        <w:t>c</w:t>
      </w:r>
      <w:r w:rsidRPr="00C75D14">
        <w:t xml:space="preserve">entre in March 2008 and the subsequent expiry of the associated MOU, there will no longer be a requirement for annual </w:t>
      </w:r>
      <w:r w:rsidR="00247AFA">
        <w:t>‘</w:t>
      </w:r>
      <w:r w:rsidRPr="00C75D14">
        <w:t>negotiations</w:t>
      </w:r>
      <w:r w:rsidR="00247AFA">
        <w:t>’</w:t>
      </w:r>
      <w:r w:rsidRPr="00C75D14">
        <w:t xml:space="preserve"> over aid funding levels and mutual commitments.</w:t>
      </w:r>
      <w:r w:rsidR="00C2136E">
        <w:t xml:space="preserve"> </w:t>
      </w:r>
      <w:r w:rsidR="006B3576">
        <w:t>The e</w:t>
      </w:r>
      <w:r w:rsidRPr="00C75D14">
        <w:t xml:space="preserve">stablishment of the </w:t>
      </w:r>
      <w:r w:rsidR="006B3576" w:rsidRPr="00C75D14">
        <w:t xml:space="preserve">Partnership for Development </w:t>
      </w:r>
      <w:r w:rsidRPr="00C75D14">
        <w:t>offers an opportunity to introduce multi-year funding certainty</w:t>
      </w:r>
      <w:r w:rsidR="006B3576">
        <w:t>,</w:t>
      </w:r>
      <w:r w:rsidRPr="00C75D14">
        <w:t xml:space="preserve"> </w:t>
      </w:r>
      <w:r w:rsidR="006B3576">
        <w:t xml:space="preserve">making </w:t>
      </w:r>
      <w:r w:rsidRPr="00C75D14">
        <w:t>multi-year program and budget planning</w:t>
      </w:r>
      <w:r w:rsidR="006B3576">
        <w:t xml:space="preserve"> possible</w:t>
      </w:r>
      <w:r w:rsidRPr="00C75D14">
        <w:t>.</w:t>
      </w:r>
    </w:p>
    <w:p w:rsidR="00C2136E" w:rsidRDefault="00B22154" w:rsidP="00B22154">
      <w:pPr>
        <w:pStyle w:val="BodyText"/>
      </w:pPr>
      <w:r w:rsidRPr="00C75D14">
        <w:t>The</w:t>
      </w:r>
      <w:r w:rsidR="006B3576">
        <w:t xml:space="preserve"> program’s</w:t>
      </w:r>
      <w:r w:rsidRPr="00C75D14">
        <w:t xml:space="preserve"> broad sectoral focus is likely to rema</w:t>
      </w:r>
      <w:r w:rsidR="00D11FE9">
        <w:t>i</w:t>
      </w:r>
      <w:r w:rsidRPr="00C75D14">
        <w:t>n largely unchanged</w:t>
      </w:r>
      <w:r w:rsidR="00176171">
        <w:t xml:space="preserve">. </w:t>
      </w:r>
      <w:r w:rsidRPr="00C75D14">
        <w:t xml:space="preserve"> However, the </w:t>
      </w:r>
      <w:r w:rsidR="006B3576" w:rsidRPr="00C75D14">
        <w:t>Pacific Partnership for Development</w:t>
      </w:r>
      <w:r w:rsidR="006B3576">
        <w:t>’s</w:t>
      </w:r>
      <w:r w:rsidR="006B3576" w:rsidRPr="00C75D14">
        <w:t xml:space="preserve"> </w:t>
      </w:r>
      <w:r w:rsidRPr="00C75D14">
        <w:t xml:space="preserve">more streamlined focus on </w:t>
      </w:r>
      <w:r w:rsidR="004C5C7A">
        <w:t>five p</w:t>
      </w:r>
      <w:r w:rsidRPr="00C75D14">
        <w:t xml:space="preserve">riority outcome areas and subsequent implementation planning should </w:t>
      </w:r>
      <w:r w:rsidR="004C5C7A">
        <w:t xml:space="preserve">make it easier to streamline </w:t>
      </w:r>
      <w:r w:rsidRPr="00C75D14">
        <w:t>program activities</w:t>
      </w:r>
      <w:r w:rsidR="004C5C7A">
        <w:t>, giving</w:t>
      </w:r>
      <w:r w:rsidR="00DB4D16">
        <w:t xml:space="preserve"> </w:t>
      </w:r>
      <w:r w:rsidRPr="00C75D14">
        <w:t>greater priorit</w:t>
      </w:r>
      <w:r w:rsidR="004C5C7A">
        <w:t xml:space="preserve">y to </w:t>
      </w:r>
      <w:r w:rsidR="00DB4D16">
        <w:t xml:space="preserve">supporting </w:t>
      </w:r>
      <w:r w:rsidRPr="00C75D14">
        <w:t>specific agreed program priorities rather than ad hoc requests for assistance.</w:t>
      </w:r>
    </w:p>
    <w:p w:rsidR="00B22154" w:rsidRPr="00C75D14" w:rsidRDefault="00B22154" w:rsidP="00B22154">
      <w:pPr>
        <w:pStyle w:val="BodyText"/>
      </w:pPr>
      <w:r w:rsidRPr="00C75D14">
        <w:t>Last year</w:t>
      </w:r>
      <w:r w:rsidR="00D11FE9">
        <w:t>’</w:t>
      </w:r>
      <w:r w:rsidRPr="00C75D14">
        <w:t xml:space="preserve">s APPR called for more diversity in aid delivery approaches in </w:t>
      </w:r>
      <w:smartTag w:uri="urn:schemas-microsoft-com:office:smarttags" w:element="place">
        <w:smartTag w:uri="urn:schemas-microsoft-com:office:smarttags" w:element="country-region">
          <w:r w:rsidRPr="00C75D14">
            <w:t>Nauru</w:t>
          </w:r>
        </w:smartTag>
      </w:smartTag>
      <w:r w:rsidRPr="00C75D14">
        <w:t>, including through taking advantage of opportunities to facilitate re-engagement of other donors in order to harness other resources and expertise. Since that time</w:t>
      </w:r>
      <w:r w:rsidR="004C5C7A">
        <w:t>,</w:t>
      </w:r>
      <w:r w:rsidRPr="00C75D14">
        <w:t xml:space="preserve"> </w:t>
      </w:r>
      <w:smartTag w:uri="urn:schemas-microsoft-com:office:smarttags" w:element="country-region">
        <w:r w:rsidRPr="00C75D14">
          <w:t>Nauru</w:t>
        </w:r>
      </w:smartTag>
      <w:r w:rsidR="00247AFA">
        <w:t>’</w:t>
      </w:r>
      <w:r w:rsidRPr="00C75D14">
        <w:t>s loan arrears to the ADB have been paid out</w:t>
      </w:r>
      <w:r w:rsidR="004C5C7A">
        <w:t xml:space="preserve"> and the ADB has re</w:t>
      </w:r>
      <w:r w:rsidR="004C5C7A">
        <w:noBreakHyphen/>
        <w:t xml:space="preserve">engaged with </w:t>
      </w:r>
      <w:smartTag w:uri="urn:schemas-microsoft-com:office:smarttags" w:element="place">
        <w:smartTag w:uri="urn:schemas-microsoft-com:office:smarttags" w:element="country-region">
          <w:r w:rsidR="004C5C7A">
            <w:t>Nauru</w:t>
          </w:r>
        </w:smartTag>
      </w:smartTag>
      <w:r w:rsidRPr="00C75D14">
        <w:t xml:space="preserve">. </w:t>
      </w:r>
      <w:proofErr w:type="spellStart"/>
      <w:r w:rsidRPr="00C75D14">
        <w:t>AusAID</w:t>
      </w:r>
      <w:proofErr w:type="spellEnd"/>
      <w:r w:rsidRPr="00C75D14">
        <w:t xml:space="preserve"> is now partnering with the ADB in work associated with improvements to </w:t>
      </w:r>
      <w:smartTag w:uri="urn:schemas-microsoft-com:office:smarttags" w:element="place">
        <w:smartTag w:uri="urn:schemas-microsoft-com:office:smarttags" w:element="country-region">
          <w:r w:rsidRPr="00C75D14">
            <w:t>Nauru</w:t>
          </w:r>
        </w:smartTag>
      </w:smartTag>
      <w:r w:rsidR="00247AFA">
        <w:t>’</w:t>
      </w:r>
      <w:r w:rsidRPr="00C75D14">
        <w:t xml:space="preserve">s port facility. The ADB is also working on developing a development </w:t>
      </w:r>
      <w:r w:rsidR="004C5C7A">
        <w:t>t</w:t>
      </w:r>
      <w:r w:rsidRPr="00C75D14">
        <w:t xml:space="preserve">rust </w:t>
      </w:r>
      <w:r w:rsidR="004C5C7A">
        <w:t>f</w:t>
      </w:r>
      <w:r w:rsidRPr="00C75D14">
        <w:t xml:space="preserve">und for </w:t>
      </w:r>
      <w:smartTag w:uri="urn:schemas-microsoft-com:office:smarttags" w:element="place">
        <w:smartTag w:uri="urn:schemas-microsoft-com:office:smarttags" w:element="country-region">
          <w:r w:rsidRPr="00C75D14">
            <w:t>Nauru</w:t>
          </w:r>
        </w:smartTag>
      </w:smartTag>
      <w:r w:rsidRPr="00C75D14">
        <w:t>.</w:t>
      </w:r>
      <w:r w:rsidR="00C2136E">
        <w:t xml:space="preserve"> </w:t>
      </w:r>
      <w:r w:rsidRPr="00C75D14">
        <w:t>Regional initiatives are being drawn upon in areas of governance (</w:t>
      </w:r>
      <w:r w:rsidR="00D11FE9">
        <w:t>for example,</w:t>
      </w:r>
      <w:r w:rsidRPr="00C75D14">
        <w:t xml:space="preserve"> regional audit and ombudsman initiatives); fisheries</w:t>
      </w:r>
      <w:r w:rsidR="004C5C7A">
        <w:t>;</w:t>
      </w:r>
      <w:r w:rsidRPr="00C75D14">
        <w:t xml:space="preserve"> specialist medical care and medical equipment maintenance; teacher training</w:t>
      </w:r>
      <w:r w:rsidR="004C5C7A">
        <w:t>;</w:t>
      </w:r>
      <w:r w:rsidRPr="00C75D14">
        <w:t xml:space="preserve"> and other</w:t>
      </w:r>
      <w:r w:rsidR="004C5C7A">
        <w:t xml:space="preserve"> area</w:t>
      </w:r>
      <w:r w:rsidRPr="00C75D14">
        <w:t xml:space="preserve">s. Significant funds are now channelled through </w:t>
      </w:r>
      <w:smartTag w:uri="urn:schemas-microsoft-com:office:smarttags" w:element="place">
        <w:smartTag w:uri="urn:schemas-microsoft-com:office:smarttags" w:element="country-region">
          <w:r w:rsidRPr="00C75D14">
            <w:t>Nauru</w:t>
          </w:r>
        </w:smartTag>
      </w:smartTag>
      <w:r w:rsidR="00247AFA">
        <w:t>’</w:t>
      </w:r>
      <w:r w:rsidRPr="00C75D14">
        <w:t>s own budget system</w:t>
      </w:r>
      <w:r w:rsidR="004C5C7A">
        <w:t>,</w:t>
      </w:r>
      <w:r w:rsidRPr="00C75D14">
        <w:t xml:space="preserve"> which has been audited</w:t>
      </w:r>
      <w:r w:rsidR="004C5C7A">
        <w:t>,</w:t>
      </w:r>
      <w:r w:rsidRPr="00C75D14">
        <w:t xml:space="preserve"> reviewed</w:t>
      </w:r>
      <w:r w:rsidR="004C5C7A">
        <w:t xml:space="preserve"> and </w:t>
      </w:r>
      <w:r w:rsidRPr="00C75D14">
        <w:t>subsequent</w:t>
      </w:r>
      <w:r w:rsidR="004C5C7A">
        <w:t>ly provided with</w:t>
      </w:r>
      <w:r w:rsidRPr="00C75D14">
        <w:t xml:space="preserve"> technical assistance to address areas of weakness.</w:t>
      </w:r>
      <w:r w:rsidR="00C2136E">
        <w:t xml:space="preserve"> </w:t>
      </w:r>
      <w:r w:rsidRPr="00C75D14">
        <w:t xml:space="preserve">Early agreement has been reached with </w:t>
      </w:r>
      <w:smartTag w:uri="urn:schemas-microsoft-com:office:smarttags" w:element="place">
        <w:smartTag w:uri="urn:schemas-microsoft-com:office:smarttags" w:element="country-region">
          <w:r w:rsidRPr="00C75D14">
            <w:t>Nauru</w:t>
          </w:r>
        </w:smartTag>
      </w:smartTag>
      <w:r w:rsidRPr="00C75D14">
        <w:t xml:space="preserve"> to undertake a </w:t>
      </w:r>
      <w:r w:rsidR="004C5C7A" w:rsidRPr="00C75D14">
        <w:t xml:space="preserve">public expenditure and financial accountability </w:t>
      </w:r>
      <w:r w:rsidRPr="00C75D14">
        <w:t xml:space="preserve">assessment, which will help </w:t>
      </w:r>
      <w:r w:rsidR="004C5C7A">
        <w:t xml:space="preserve">to </w:t>
      </w:r>
      <w:r w:rsidRPr="00C75D14">
        <w:t xml:space="preserve">determine how appropriate aid mechanisms might be used. Recruitment of additional personnel </w:t>
      </w:r>
      <w:r w:rsidR="004C5C7A">
        <w:t>to fill</w:t>
      </w:r>
      <w:r w:rsidR="004C5C7A" w:rsidRPr="00C75D14">
        <w:t xml:space="preserve"> </w:t>
      </w:r>
      <w:r w:rsidRPr="00C75D14">
        <w:t>in-line roles in senior positions in utilities, health and fisheries has been undertaken and is resulting in significant improvements in service delivery, institutional governance and</w:t>
      </w:r>
      <w:r w:rsidR="004C5C7A">
        <w:t>, in the case of fisheries,</w:t>
      </w:r>
      <w:r w:rsidRPr="00C75D14">
        <w:t xml:space="preserve"> </w:t>
      </w:r>
      <w:r>
        <w:t>revenue collection.</w:t>
      </w:r>
    </w:p>
    <w:p w:rsidR="00B22154" w:rsidRPr="00C75D14" w:rsidRDefault="00B22154" w:rsidP="00B22154">
      <w:pPr>
        <w:pStyle w:val="BodyText"/>
      </w:pPr>
      <w:r w:rsidRPr="00C75D14">
        <w:t>Lack of activity design is the central theme behind the bulk of the other management consequences outlined in last year</w:t>
      </w:r>
      <w:r w:rsidR="004C5C7A">
        <w:t>’s</w:t>
      </w:r>
      <w:r w:rsidRPr="00C75D14">
        <w:t xml:space="preserve"> APPR, such as lack of formalised monitoring and evaluation arrangements; greater use of </w:t>
      </w:r>
      <w:r w:rsidR="00CB524D">
        <w:t xml:space="preserve">the </w:t>
      </w:r>
      <w:proofErr w:type="spellStart"/>
      <w:r w:rsidRPr="00C75D14">
        <w:t>GoN</w:t>
      </w:r>
      <w:r w:rsidR="00D11FE9">
        <w:t>’</w:t>
      </w:r>
      <w:r w:rsidRPr="00C75D14">
        <w:t>s</w:t>
      </w:r>
      <w:proofErr w:type="spellEnd"/>
      <w:r w:rsidRPr="00C75D14">
        <w:t xml:space="preserve"> own systems; </w:t>
      </w:r>
      <w:r w:rsidR="004C5C7A">
        <w:t xml:space="preserve">and </w:t>
      </w:r>
      <w:r w:rsidRPr="00C75D14">
        <w:t>lack of focus on gender and other cross-cutting</w:t>
      </w:r>
      <w:r w:rsidR="004C5C7A">
        <w:t xml:space="preserve"> factors.</w:t>
      </w:r>
      <w:r w:rsidRPr="00C75D14">
        <w:t xml:space="preserve"> While maintenance of the status quo will be required to some extent under the </w:t>
      </w:r>
      <w:r w:rsidR="004C5C7A">
        <w:t>Partnership for Development</w:t>
      </w:r>
      <w:r w:rsidRPr="00C75D14">
        <w:t xml:space="preserve">, the focus </w:t>
      </w:r>
      <w:r w:rsidR="004C5C7A">
        <w:t>in 2009–10</w:t>
      </w:r>
      <w:r w:rsidRPr="00C75D14">
        <w:t xml:space="preserve"> will be </w:t>
      </w:r>
      <w:r w:rsidR="004C5C7A">
        <w:t>on</w:t>
      </w:r>
      <w:r w:rsidR="004C5C7A" w:rsidRPr="00C75D14">
        <w:t xml:space="preserve"> </w:t>
      </w:r>
      <w:r w:rsidRPr="00C75D14">
        <w:t>develop</w:t>
      </w:r>
      <w:r w:rsidR="004C5C7A">
        <w:t>ing</w:t>
      </w:r>
      <w:r w:rsidRPr="00C75D14">
        <w:t xml:space="preserve"> detailed program designs </w:t>
      </w:r>
      <w:r w:rsidR="004C5C7A">
        <w:t>that include</w:t>
      </w:r>
      <w:r w:rsidRPr="00C75D14">
        <w:t xml:space="preserve"> better </w:t>
      </w:r>
      <w:r w:rsidR="004C5C7A">
        <w:t>monitoring and evaluation</w:t>
      </w:r>
      <w:r w:rsidRPr="00C75D14">
        <w:t xml:space="preserve"> arrangements</w:t>
      </w:r>
      <w:r w:rsidR="004C5C7A">
        <w:t xml:space="preserve"> and take</w:t>
      </w:r>
      <w:r w:rsidRPr="00C75D14">
        <w:t xml:space="preserve"> gender and other cross</w:t>
      </w:r>
      <w:r w:rsidR="004C5C7A">
        <w:t>-</w:t>
      </w:r>
      <w:r w:rsidRPr="00C75D14">
        <w:t>cutting themes</w:t>
      </w:r>
      <w:r w:rsidR="004C5C7A">
        <w:t xml:space="preserve"> into account,</w:t>
      </w:r>
      <w:r w:rsidRPr="00C75D14">
        <w:t xml:space="preserve"> starting with </w:t>
      </w:r>
      <w:r w:rsidR="004C5C7A">
        <w:t xml:space="preserve">the </w:t>
      </w:r>
      <w:r w:rsidRPr="00C75D14">
        <w:t>development of clear implementation strategies.</w:t>
      </w:r>
    </w:p>
    <w:p w:rsidR="007A1A30" w:rsidRDefault="00B22154" w:rsidP="007A1A30">
      <w:pPr>
        <w:pStyle w:val="BodyText"/>
      </w:pPr>
      <w:r w:rsidRPr="00C75D14">
        <w:t>Support for better sex</w:t>
      </w:r>
      <w:r w:rsidR="004C5C7A">
        <w:t>-</w:t>
      </w:r>
      <w:r w:rsidRPr="00C75D14">
        <w:t>disaggregated data collection is starting to fill some information gaps, particularly in the areas of education, health and utilities. However</w:t>
      </w:r>
      <w:r w:rsidR="004C5C7A">
        <w:t>,</w:t>
      </w:r>
      <w:r w:rsidRPr="00C75D14">
        <w:t xml:space="preserve"> more support for </w:t>
      </w:r>
      <w:smartTag w:uri="urn:schemas-microsoft-com:office:smarttags" w:element="place">
        <w:smartTag w:uri="urn:schemas-microsoft-com:office:smarttags" w:element="country-region">
          <w:r w:rsidRPr="00C75D14">
            <w:t>Nauru</w:t>
          </w:r>
        </w:smartTag>
      </w:smartTag>
      <w:r w:rsidR="00247AFA">
        <w:t>’</w:t>
      </w:r>
      <w:r w:rsidRPr="00C75D14">
        <w:t xml:space="preserve">s own data collection and management systems will be a priority under the </w:t>
      </w:r>
      <w:r w:rsidR="004C5C7A">
        <w:t xml:space="preserve">Partnership for Development </w:t>
      </w:r>
      <w:r w:rsidRPr="00C75D14">
        <w:t xml:space="preserve">to better inform budget and programming prioritisation and to help inform the donor community of progress toward goals. Engagement of a local Nauruan to manage the scholarship program and provide some </w:t>
      </w:r>
      <w:r w:rsidR="004C5C7A">
        <w:t>overseas</w:t>
      </w:r>
      <w:r w:rsidRPr="00C75D14">
        <w:t xml:space="preserve">-based services has helped </w:t>
      </w:r>
      <w:r w:rsidR="004C5C7A">
        <w:t xml:space="preserve">to </w:t>
      </w:r>
      <w:r w:rsidRPr="00C75D14">
        <w:t>improve data collection and local administration.</w:t>
      </w:r>
      <w:r w:rsidR="00C2136E">
        <w:t xml:space="preserve"> </w:t>
      </w:r>
      <w:r w:rsidRPr="00C75D14">
        <w:t>Engagement wit</w:t>
      </w:r>
      <w:r w:rsidR="00D11FE9">
        <w:t>h</w:t>
      </w:r>
      <w:r w:rsidRPr="00C75D14">
        <w:t xml:space="preserve"> regional statistical support through </w:t>
      </w:r>
      <w:r w:rsidR="004C5C7A">
        <w:t>the Secretariat of the Pacific Community</w:t>
      </w:r>
      <w:r w:rsidRPr="00C75D14">
        <w:t xml:space="preserve"> is also helping to improve data collection and management.</w:t>
      </w:r>
    </w:p>
    <w:sectPr w:rsidR="007A1A30" w:rsidSect="0048164E">
      <w:headerReference w:type="even" r:id="rId19"/>
      <w:footerReference w:type="even" r:id="rId20"/>
      <w:footerReference w:type="default" r:id="rId21"/>
      <w:pgSz w:w="11907" w:h="16840" w:code="9"/>
      <w:pgMar w:top="2381" w:right="1917"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C6" w:rsidRDefault="00B174C6">
      <w:r>
        <w:separator/>
      </w:r>
    </w:p>
  </w:endnote>
  <w:endnote w:type="continuationSeparator" w:id="0">
    <w:p w:rsidR="00B174C6" w:rsidRDefault="00B1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3" w:rsidRPr="00AD612A" w:rsidRDefault="00E66693">
    <w:pPr>
      <w:pStyle w:val="Footer"/>
    </w:pPr>
    <w:r>
      <w:rPr>
        <w:rStyle w:val="PageNumber"/>
      </w:rPr>
      <w:fldChar w:fldCharType="begin"/>
    </w:r>
    <w:r>
      <w:rPr>
        <w:rStyle w:val="PageNumber"/>
      </w:rPr>
      <w:instrText xml:space="preserve"> PAGE </w:instrText>
    </w:r>
    <w:r>
      <w:rPr>
        <w:rStyle w:val="PageNumber"/>
      </w:rPr>
      <w:fldChar w:fldCharType="separate"/>
    </w:r>
    <w:r w:rsidR="00501BE2">
      <w:rPr>
        <w:rStyle w:val="PageNumber"/>
        <w:noProof/>
      </w:rPr>
      <w:t>22</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501BE2">
      <w:rPr>
        <w:rFonts w:cs="Arial"/>
        <w:noProof/>
      </w:rPr>
      <w:t>Annual program performance report: Nauru 2008–09</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3" w:rsidRPr="001260C2" w:rsidRDefault="00E66693"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501BE2">
      <w:rPr>
        <w:rFonts w:cs="Arial"/>
        <w:noProof/>
      </w:rPr>
      <w:t>Annual program performance report: Nauru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501BE2">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C6" w:rsidRDefault="00B174C6" w:rsidP="00D62AA4">
      <w:pPr>
        <w:spacing w:before="60" w:after="40" w:line="180" w:lineRule="exact"/>
      </w:pPr>
      <w:r>
        <w:continuationSeparator/>
      </w:r>
    </w:p>
  </w:footnote>
  <w:footnote w:type="continuationSeparator" w:id="0">
    <w:p w:rsidR="00B174C6" w:rsidRDefault="00B174C6">
      <w:r>
        <w:continuationSeparator/>
      </w:r>
    </w:p>
  </w:footnote>
  <w:footnote w:type="continuationNotice" w:id="1">
    <w:p w:rsidR="00B174C6" w:rsidRDefault="00B17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3" w:rsidRDefault="00E66693"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mber" style="width:7.5pt;height:7.5pt" o:bullet="t">
        <v:imagedata r:id="rId1" o:title="ambeer"/>
      </v:shape>
    </w:pict>
  </w:numPicBullet>
  <w:abstractNum w:abstractNumId="0">
    <w:nsid w:val="0CDD2303"/>
    <w:multiLevelType w:val="hybridMultilevel"/>
    <w:tmpl w:val="C850620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4A8C49FC">
      <w:start w:val="1"/>
      <w:numFmt w:val="lowerLetter"/>
      <w:pStyle w:val="TableListNumber2"/>
      <w:lvlText w:val="%1."/>
      <w:lvlJc w:val="left"/>
      <w:pPr>
        <w:tabs>
          <w:tab w:val="num" w:pos="454"/>
        </w:tabs>
        <w:ind w:left="454" w:hanging="227"/>
      </w:pPr>
      <w:rPr>
        <w:rFonts w:hint="default"/>
      </w:rPr>
    </w:lvl>
    <w:lvl w:ilvl="1" w:tplc="9DDEBB68" w:tentative="1">
      <w:start w:val="1"/>
      <w:numFmt w:val="lowerLetter"/>
      <w:lvlText w:val="%2."/>
      <w:lvlJc w:val="left"/>
      <w:pPr>
        <w:tabs>
          <w:tab w:val="num" w:pos="1440"/>
        </w:tabs>
        <w:ind w:left="1440" w:hanging="360"/>
      </w:pPr>
    </w:lvl>
    <w:lvl w:ilvl="2" w:tplc="0094A192" w:tentative="1">
      <w:start w:val="1"/>
      <w:numFmt w:val="lowerRoman"/>
      <w:lvlText w:val="%3."/>
      <w:lvlJc w:val="right"/>
      <w:pPr>
        <w:tabs>
          <w:tab w:val="num" w:pos="2160"/>
        </w:tabs>
        <w:ind w:left="2160" w:hanging="180"/>
      </w:pPr>
    </w:lvl>
    <w:lvl w:ilvl="3" w:tplc="E082832A" w:tentative="1">
      <w:start w:val="1"/>
      <w:numFmt w:val="decimal"/>
      <w:lvlText w:val="%4."/>
      <w:lvlJc w:val="left"/>
      <w:pPr>
        <w:tabs>
          <w:tab w:val="num" w:pos="2880"/>
        </w:tabs>
        <w:ind w:left="2880" w:hanging="360"/>
      </w:pPr>
    </w:lvl>
    <w:lvl w:ilvl="4" w:tplc="489E2280" w:tentative="1">
      <w:start w:val="1"/>
      <w:numFmt w:val="lowerLetter"/>
      <w:lvlText w:val="%5."/>
      <w:lvlJc w:val="left"/>
      <w:pPr>
        <w:tabs>
          <w:tab w:val="num" w:pos="3600"/>
        </w:tabs>
        <w:ind w:left="3600" w:hanging="360"/>
      </w:pPr>
    </w:lvl>
    <w:lvl w:ilvl="5" w:tplc="DB2A5E3A" w:tentative="1">
      <w:start w:val="1"/>
      <w:numFmt w:val="lowerRoman"/>
      <w:lvlText w:val="%6."/>
      <w:lvlJc w:val="right"/>
      <w:pPr>
        <w:tabs>
          <w:tab w:val="num" w:pos="4320"/>
        </w:tabs>
        <w:ind w:left="4320" w:hanging="180"/>
      </w:pPr>
    </w:lvl>
    <w:lvl w:ilvl="6" w:tplc="63449BAA" w:tentative="1">
      <w:start w:val="1"/>
      <w:numFmt w:val="decimal"/>
      <w:lvlText w:val="%7."/>
      <w:lvlJc w:val="left"/>
      <w:pPr>
        <w:tabs>
          <w:tab w:val="num" w:pos="5040"/>
        </w:tabs>
        <w:ind w:left="5040" w:hanging="360"/>
      </w:pPr>
    </w:lvl>
    <w:lvl w:ilvl="7" w:tplc="389E6270" w:tentative="1">
      <w:start w:val="1"/>
      <w:numFmt w:val="lowerLetter"/>
      <w:lvlText w:val="%8."/>
      <w:lvlJc w:val="left"/>
      <w:pPr>
        <w:tabs>
          <w:tab w:val="num" w:pos="5760"/>
        </w:tabs>
        <w:ind w:left="5760" w:hanging="360"/>
      </w:pPr>
    </w:lvl>
    <w:lvl w:ilvl="8" w:tplc="F51CE034" w:tentative="1">
      <w:start w:val="1"/>
      <w:numFmt w:val="lowerRoman"/>
      <w:lvlText w:val="%9."/>
      <w:lvlJc w:val="right"/>
      <w:pPr>
        <w:tabs>
          <w:tab w:val="num" w:pos="6480"/>
        </w:tabs>
        <w:ind w:left="6480" w:hanging="180"/>
      </w:pPr>
    </w:lvl>
  </w:abstractNum>
  <w:abstractNum w:abstractNumId="4">
    <w:nsid w:val="17BE0C71"/>
    <w:multiLevelType w:val="hybridMultilevel"/>
    <w:tmpl w:val="914ED0E6"/>
    <w:lvl w:ilvl="0" w:tplc="1E620FC4">
      <w:start w:val="1"/>
      <w:numFmt w:val="lowerLetter"/>
      <w:lvlRestart w:val="0"/>
      <w:lvlText w:val="%1"/>
      <w:lvlJc w:val="left"/>
      <w:pPr>
        <w:tabs>
          <w:tab w:val="num" w:pos="170"/>
        </w:tabs>
        <w:ind w:left="0" w:firstLine="0"/>
      </w:pPr>
      <w:rPr>
        <w:rFonts w:hint="default"/>
        <w:b w:val="0"/>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29565C4"/>
    <w:multiLevelType w:val="multilevel"/>
    <w:tmpl w:val="1220BD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33F6B"/>
    <w:multiLevelType w:val="hybridMultilevel"/>
    <w:tmpl w:val="53929CB2"/>
    <w:lvl w:ilvl="0" w:tplc="7E38BEC0">
      <w:start w:val="1"/>
      <w:numFmt w:val="lowerLetter"/>
      <w:pStyle w:val="BoxListNumber2"/>
      <w:lvlText w:val="%1."/>
      <w:lvlJc w:val="left"/>
      <w:pPr>
        <w:tabs>
          <w:tab w:val="num" w:pos="567"/>
        </w:tabs>
        <w:ind w:left="567" w:hanging="283"/>
      </w:pPr>
      <w:rPr>
        <w:rFonts w:hint="default"/>
      </w:rPr>
    </w:lvl>
    <w:lvl w:ilvl="1" w:tplc="83886E44" w:tentative="1">
      <w:start w:val="1"/>
      <w:numFmt w:val="lowerLetter"/>
      <w:lvlText w:val="%2."/>
      <w:lvlJc w:val="left"/>
      <w:pPr>
        <w:tabs>
          <w:tab w:val="num" w:pos="1440"/>
        </w:tabs>
        <w:ind w:left="1440" w:hanging="360"/>
      </w:pPr>
    </w:lvl>
    <w:lvl w:ilvl="2" w:tplc="B3AA11DA" w:tentative="1">
      <w:start w:val="1"/>
      <w:numFmt w:val="lowerRoman"/>
      <w:lvlText w:val="%3."/>
      <w:lvlJc w:val="right"/>
      <w:pPr>
        <w:tabs>
          <w:tab w:val="num" w:pos="2160"/>
        </w:tabs>
        <w:ind w:left="2160" w:hanging="180"/>
      </w:pPr>
    </w:lvl>
    <w:lvl w:ilvl="3" w:tplc="30D234EC" w:tentative="1">
      <w:start w:val="1"/>
      <w:numFmt w:val="decimal"/>
      <w:lvlText w:val="%4."/>
      <w:lvlJc w:val="left"/>
      <w:pPr>
        <w:tabs>
          <w:tab w:val="num" w:pos="2880"/>
        </w:tabs>
        <w:ind w:left="2880" w:hanging="360"/>
      </w:pPr>
    </w:lvl>
    <w:lvl w:ilvl="4" w:tplc="D28E484E" w:tentative="1">
      <w:start w:val="1"/>
      <w:numFmt w:val="lowerLetter"/>
      <w:lvlText w:val="%5."/>
      <w:lvlJc w:val="left"/>
      <w:pPr>
        <w:tabs>
          <w:tab w:val="num" w:pos="3600"/>
        </w:tabs>
        <w:ind w:left="3600" w:hanging="360"/>
      </w:pPr>
    </w:lvl>
    <w:lvl w:ilvl="5" w:tplc="31E0B19A" w:tentative="1">
      <w:start w:val="1"/>
      <w:numFmt w:val="lowerRoman"/>
      <w:lvlText w:val="%6."/>
      <w:lvlJc w:val="right"/>
      <w:pPr>
        <w:tabs>
          <w:tab w:val="num" w:pos="4320"/>
        </w:tabs>
        <w:ind w:left="4320" w:hanging="180"/>
      </w:pPr>
    </w:lvl>
    <w:lvl w:ilvl="6" w:tplc="113EE580" w:tentative="1">
      <w:start w:val="1"/>
      <w:numFmt w:val="decimal"/>
      <w:lvlText w:val="%7."/>
      <w:lvlJc w:val="left"/>
      <w:pPr>
        <w:tabs>
          <w:tab w:val="num" w:pos="5040"/>
        </w:tabs>
        <w:ind w:left="5040" w:hanging="360"/>
      </w:pPr>
    </w:lvl>
    <w:lvl w:ilvl="7" w:tplc="0D84EE6C" w:tentative="1">
      <w:start w:val="1"/>
      <w:numFmt w:val="lowerLetter"/>
      <w:lvlText w:val="%8."/>
      <w:lvlJc w:val="left"/>
      <w:pPr>
        <w:tabs>
          <w:tab w:val="num" w:pos="5760"/>
        </w:tabs>
        <w:ind w:left="5760" w:hanging="360"/>
      </w:pPr>
    </w:lvl>
    <w:lvl w:ilvl="8" w:tplc="4040574C" w:tentative="1">
      <w:start w:val="1"/>
      <w:numFmt w:val="lowerRoman"/>
      <w:lvlText w:val="%9."/>
      <w:lvlJc w:val="right"/>
      <w:pPr>
        <w:tabs>
          <w:tab w:val="num" w:pos="6480"/>
        </w:tabs>
        <w:ind w:left="6480" w:hanging="180"/>
      </w:pPr>
    </w:lvl>
  </w:abstractNum>
  <w:abstractNum w:abstractNumId="10">
    <w:nsid w:val="3B5576AF"/>
    <w:multiLevelType w:val="hybridMultilevel"/>
    <w:tmpl w:val="C51EB26E"/>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36F2514A"/>
    <w:lvl w:ilvl="0" w:tplc="B8DA339E">
      <w:start w:val="1"/>
      <w:numFmt w:val="bullet"/>
      <w:pStyle w:val="BoxListBullet"/>
      <w:lvlText w:val="&gt;"/>
      <w:lvlJc w:val="left"/>
      <w:pPr>
        <w:tabs>
          <w:tab w:val="num" w:pos="284"/>
        </w:tabs>
        <w:ind w:left="284" w:hanging="284"/>
      </w:pPr>
      <w:rPr>
        <w:rFonts w:hint="default"/>
        <w:color w:val="auto"/>
      </w:rPr>
    </w:lvl>
    <w:lvl w:ilvl="1" w:tplc="A91ADA5E" w:tentative="1">
      <w:start w:val="1"/>
      <w:numFmt w:val="bullet"/>
      <w:lvlText w:val="o"/>
      <w:lvlJc w:val="left"/>
      <w:pPr>
        <w:tabs>
          <w:tab w:val="num" w:pos="1440"/>
        </w:tabs>
        <w:ind w:left="1440" w:hanging="360"/>
      </w:pPr>
      <w:rPr>
        <w:rFonts w:ascii="Courier New" w:hAnsi="Courier New" w:cs="Courier New" w:hint="default"/>
      </w:rPr>
    </w:lvl>
    <w:lvl w:ilvl="2" w:tplc="D9AC3DFE" w:tentative="1">
      <w:start w:val="1"/>
      <w:numFmt w:val="bullet"/>
      <w:lvlText w:val=""/>
      <w:lvlJc w:val="left"/>
      <w:pPr>
        <w:tabs>
          <w:tab w:val="num" w:pos="2160"/>
        </w:tabs>
        <w:ind w:left="2160" w:hanging="360"/>
      </w:pPr>
      <w:rPr>
        <w:rFonts w:ascii="Wingdings" w:hAnsi="Wingdings" w:hint="default"/>
      </w:rPr>
    </w:lvl>
    <w:lvl w:ilvl="3" w:tplc="887A50DC" w:tentative="1">
      <w:start w:val="1"/>
      <w:numFmt w:val="bullet"/>
      <w:lvlText w:val=""/>
      <w:lvlJc w:val="left"/>
      <w:pPr>
        <w:tabs>
          <w:tab w:val="num" w:pos="2880"/>
        </w:tabs>
        <w:ind w:left="2880" w:hanging="360"/>
      </w:pPr>
      <w:rPr>
        <w:rFonts w:ascii="Symbol" w:hAnsi="Symbol" w:hint="default"/>
      </w:rPr>
    </w:lvl>
    <w:lvl w:ilvl="4" w:tplc="5888B098" w:tentative="1">
      <w:start w:val="1"/>
      <w:numFmt w:val="bullet"/>
      <w:lvlText w:val="o"/>
      <w:lvlJc w:val="left"/>
      <w:pPr>
        <w:tabs>
          <w:tab w:val="num" w:pos="3600"/>
        </w:tabs>
        <w:ind w:left="3600" w:hanging="360"/>
      </w:pPr>
      <w:rPr>
        <w:rFonts w:ascii="Courier New" w:hAnsi="Courier New" w:cs="Courier New" w:hint="default"/>
      </w:rPr>
    </w:lvl>
    <w:lvl w:ilvl="5" w:tplc="3F224906" w:tentative="1">
      <w:start w:val="1"/>
      <w:numFmt w:val="bullet"/>
      <w:lvlText w:val=""/>
      <w:lvlJc w:val="left"/>
      <w:pPr>
        <w:tabs>
          <w:tab w:val="num" w:pos="4320"/>
        </w:tabs>
        <w:ind w:left="4320" w:hanging="360"/>
      </w:pPr>
      <w:rPr>
        <w:rFonts w:ascii="Wingdings" w:hAnsi="Wingdings" w:hint="default"/>
      </w:rPr>
    </w:lvl>
    <w:lvl w:ilvl="6" w:tplc="D7B82BB4" w:tentative="1">
      <w:start w:val="1"/>
      <w:numFmt w:val="bullet"/>
      <w:lvlText w:val=""/>
      <w:lvlJc w:val="left"/>
      <w:pPr>
        <w:tabs>
          <w:tab w:val="num" w:pos="5040"/>
        </w:tabs>
        <w:ind w:left="5040" w:hanging="360"/>
      </w:pPr>
      <w:rPr>
        <w:rFonts w:ascii="Symbol" w:hAnsi="Symbol" w:hint="default"/>
      </w:rPr>
    </w:lvl>
    <w:lvl w:ilvl="7" w:tplc="E2AED7B4" w:tentative="1">
      <w:start w:val="1"/>
      <w:numFmt w:val="bullet"/>
      <w:lvlText w:val="o"/>
      <w:lvlJc w:val="left"/>
      <w:pPr>
        <w:tabs>
          <w:tab w:val="num" w:pos="5760"/>
        </w:tabs>
        <w:ind w:left="5760" w:hanging="360"/>
      </w:pPr>
      <w:rPr>
        <w:rFonts w:ascii="Courier New" w:hAnsi="Courier New" w:cs="Courier New" w:hint="default"/>
      </w:rPr>
    </w:lvl>
    <w:lvl w:ilvl="8" w:tplc="BF4C5B44" w:tentative="1">
      <w:start w:val="1"/>
      <w:numFmt w:val="bullet"/>
      <w:lvlText w:val=""/>
      <w:lvlJc w:val="left"/>
      <w:pPr>
        <w:tabs>
          <w:tab w:val="num" w:pos="6480"/>
        </w:tabs>
        <w:ind w:left="6480" w:hanging="360"/>
      </w:pPr>
      <w:rPr>
        <w:rFonts w:ascii="Wingdings" w:hAnsi="Wingdings" w:hint="default"/>
      </w:rPr>
    </w:lvl>
  </w:abstractNum>
  <w:abstractNum w:abstractNumId="12">
    <w:nsid w:val="4A37775D"/>
    <w:multiLevelType w:val="multilevel"/>
    <w:tmpl w:val="C4660D6E"/>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591512A"/>
    <w:multiLevelType w:val="hybridMultilevel"/>
    <w:tmpl w:val="13A8539E"/>
    <w:lvl w:ilvl="0" w:tplc="03ECC4C4">
      <w:start w:val="1"/>
      <w:numFmt w:val="bullet"/>
      <w:lvlText w:val=""/>
      <w:lvlJc w:val="left"/>
      <w:pPr>
        <w:tabs>
          <w:tab w:val="num" w:pos="720"/>
        </w:tabs>
        <w:ind w:left="720" w:hanging="360"/>
      </w:pPr>
      <w:rPr>
        <w:rFonts w:ascii="Wingdings" w:hAnsi="Wingdings" w:hint="default"/>
        <w:color w:val="FF8A3B"/>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2AECF1BE">
      <w:start w:val="1"/>
      <w:numFmt w:val="decimal"/>
      <w:pStyle w:val="TableListNumber"/>
      <w:lvlText w:val="%1."/>
      <w:lvlJc w:val="left"/>
      <w:pPr>
        <w:tabs>
          <w:tab w:val="num" w:pos="227"/>
        </w:tabs>
        <w:ind w:left="227" w:hanging="227"/>
      </w:pPr>
      <w:rPr>
        <w:rFonts w:hint="default"/>
      </w:rPr>
    </w:lvl>
    <w:lvl w:ilvl="1" w:tplc="8E362DAE" w:tentative="1">
      <w:start w:val="1"/>
      <w:numFmt w:val="lowerLetter"/>
      <w:lvlText w:val="%2."/>
      <w:lvlJc w:val="left"/>
      <w:pPr>
        <w:tabs>
          <w:tab w:val="num" w:pos="1440"/>
        </w:tabs>
        <w:ind w:left="1440" w:hanging="360"/>
      </w:pPr>
    </w:lvl>
    <w:lvl w:ilvl="2" w:tplc="F23A5C98" w:tentative="1">
      <w:start w:val="1"/>
      <w:numFmt w:val="lowerRoman"/>
      <w:lvlText w:val="%3."/>
      <w:lvlJc w:val="right"/>
      <w:pPr>
        <w:tabs>
          <w:tab w:val="num" w:pos="2160"/>
        </w:tabs>
        <w:ind w:left="2160" w:hanging="180"/>
      </w:pPr>
    </w:lvl>
    <w:lvl w:ilvl="3" w:tplc="AE02EEF2" w:tentative="1">
      <w:start w:val="1"/>
      <w:numFmt w:val="decimal"/>
      <w:lvlText w:val="%4."/>
      <w:lvlJc w:val="left"/>
      <w:pPr>
        <w:tabs>
          <w:tab w:val="num" w:pos="2880"/>
        </w:tabs>
        <w:ind w:left="2880" w:hanging="360"/>
      </w:pPr>
    </w:lvl>
    <w:lvl w:ilvl="4" w:tplc="7204671C" w:tentative="1">
      <w:start w:val="1"/>
      <w:numFmt w:val="lowerLetter"/>
      <w:lvlText w:val="%5."/>
      <w:lvlJc w:val="left"/>
      <w:pPr>
        <w:tabs>
          <w:tab w:val="num" w:pos="3600"/>
        </w:tabs>
        <w:ind w:left="3600" w:hanging="360"/>
      </w:pPr>
    </w:lvl>
    <w:lvl w:ilvl="5" w:tplc="2200E1A8" w:tentative="1">
      <w:start w:val="1"/>
      <w:numFmt w:val="lowerRoman"/>
      <w:lvlText w:val="%6."/>
      <w:lvlJc w:val="right"/>
      <w:pPr>
        <w:tabs>
          <w:tab w:val="num" w:pos="4320"/>
        </w:tabs>
        <w:ind w:left="4320" w:hanging="180"/>
      </w:pPr>
    </w:lvl>
    <w:lvl w:ilvl="6" w:tplc="708E9836" w:tentative="1">
      <w:start w:val="1"/>
      <w:numFmt w:val="decimal"/>
      <w:lvlText w:val="%7."/>
      <w:lvlJc w:val="left"/>
      <w:pPr>
        <w:tabs>
          <w:tab w:val="num" w:pos="5040"/>
        </w:tabs>
        <w:ind w:left="5040" w:hanging="360"/>
      </w:pPr>
    </w:lvl>
    <w:lvl w:ilvl="7" w:tplc="BB16E190" w:tentative="1">
      <w:start w:val="1"/>
      <w:numFmt w:val="lowerLetter"/>
      <w:lvlText w:val="%8."/>
      <w:lvlJc w:val="left"/>
      <w:pPr>
        <w:tabs>
          <w:tab w:val="num" w:pos="5760"/>
        </w:tabs>
        <w:ind w:left="5760" w:hanging="360"/>
      </w:pPr>
    </w:lvl>
    <w:lvl w:ilvl="8" w:tplc="F566F028" w:tentative="1">
      <w:start w:val="1"/>
      <w:numFmt w:val="lowerRoman"/>
      <w:lvlText w:val="%9."/>
      <w:lvlJc w:val="right"/>
      <w:pPr>
        <w:tabs>
          <w:tab w:val="num" w:pos="6480"/>
        </w:tabs>
        <w:ind w:left="6480" w:hanging="180"/>
      </w:pPr>
    </w:lvl>
  </w:abstractNum>
  <w:abstractNum w:abstractNumId="16">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17">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BC6CEFBA"/>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1A10E69"/>
    <w:multiLevelType w:val="singleLevel"/>
    <w:tmpl w:val="5B3C8342"/>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abstractNum>
  <w:abstractNum w:abstractNumId="21">
    <w:nsid w:val="723D6EBA"/>
    <w:multiLevelType w:val="multilevel"/>
    <w:tmpl w:val="C33450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22">
    <w:nsid w:val="72BB502B"/>
    <w:multiLevelType w:val="multilevel"/>
    <w:tmpl w:val="6FD4AAEC"/>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3">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3"/>
  </w:num>
  <w:num w:numId="4">
    <w:abstractNumId w:val="6"/>
  </w:num>
  <w:num w:numId="5">
    <w:abstractNumId w:val="9"/>
  </w:num>
  <w:num w:numId="6">
    <w:abstractNumId w:val="13"/>
  </w:num>
  <w:num w:numId="7">
    <w:abstractNumId w:val="11"/>
  </w:num>
  <w:num w:numId="8">
    <w:abstractNumId w:val="8"/>
  </w:num>
  <w:num w:numId="9">
    <w:abstractNumId w:val="5"/>
  </w:num>
  <w:num w:numId="10">
    <w:abstractNumId w:val="12"/>
    <w:lvlOverride w:ilvl="0">
      <w:startOverride w:val="1"/>
    </w:lvlOverride>
  </w:num>
  <w:num w:numId="11">
    <w:abstractNumId w:val="25"/>
  </w:num>
  <w:num w:numId="12">
    <w:abstractNumId w:val="16"/>
  </w:num>
  <w:num w:numId="13">
    <w:abstractNumId w:val="7"/>
  </w:num>
  <w:num w:numId="14">
    <w:abstractNumId w:val="21"/>
  </w:num>
  <w:num w:numId="15">
    <w:abstractNumId w:val="17"/>
  </w:num>
  <w:num w:numId="16">
    <w:abstractNumId w:val="18"/>
  </w:num>
  <w:num w:numId="17">
    <w:abstractNumId w:val="2"/>
  </w:num>
  <w:num w:numId="18">
    <w:abstractNumId w:val="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22"/>
  </w:num>
  <w:num w:numId="24">
    <w:abstractNumId w:val="22"/>
    <w:lvlOverride w:ilvl="0">
      <w:startOverride w:val="1"/>
    </w:lvlOverride>
  </w:num>
  <w:num w:numId="25">
    <w:abstractNumId w:val="19"/>
  </w:num>
  <w:num w:numId="26">
    <w:abstractNumId w:val="10"/>
  </w:num>
  <w:num w:numId="27">
    <w:abstractNumId w:val="10"/>
    <w:lvlOverride w:ilvl="0">
      <w:startOverride w:val="1"/>
    </w:lvlOverride>
  </w:num>
  <w:num w:numId="28">
    <w:abstractNumId w:val="12"/>
    <w:lvlOverride w:ilvl="0">
      <w:startOverride w:val="1"/>
    </w:lvlOverride>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E7"/>
    <w:rsid w:val="00002939"/>
    <w:rsid w:val="00004368"/>
    <w:rsid w:val="00011550"/>
    <w:rsid w:val="0001170C"/>
    <w:rsid w:val="000129D7"/>
    <w:rsid w:val="0001356A"/>
    <w:rsid w:val="00015DBC"/>
    <w:rsid w:val="00016771"/>
    <w:rsid w:val="00016CBA"/>
    <w:rsid w:val="00017D33"/>
    <w:rsid w:val="0002235F"/>
    <w:rsid w:val="00022D41"/>
    <w:rsid w:val="000257E7"/>
    <w:rsid w:val="00030588"/>
    <w:rsid w:val="0003425B"/>
    <w:rsid w:val="00034B41"/>
    <w:rsid w:val="00034E45"/>
    <w:rsid w:val="00035E2A"/>
    <w:rsid w:val="00037673"/>
    <w:rsid w:val="000433AB"/>
    <w:rsid w:val="00044EDD"/>
    <w:rsid w:val="000452A6"/>
    <w:rsid w:val="0004636D"/>
    <w:rsid w:val="00046974"/>
    <w:rsid w:val="00050F61"/>
    <w:rsid w:val="000513B2"/>
    <w:rsid w:val="00053D8A"/>
    <w:rsid w:val="000578F5"/>
    <w:rsid w:val="00060A32"/>
    <w:rsid w:val="00061389"/>
    <w:rsid w:val="00063C90"/>
    <w:rsid w:val="000655EB"/>
    <w:rsid w:val="00065C12"/>
    <w:rsid w:val="000663A9"/>
    <w:rsid w:val="00067F6E"/>
    <w:rsid w:val="00070BAE"/>
    <w:rsid w:val="00070F05"/>
    <w:rsid w:val="000722A1"/>
    <w:rsid w:val="00074C9B"/>
    <w:rsid w:val="00075C1B"/>
    <w:rsid w:val="00075E37"/>
    <w:rsid w:val="000766F0"/>
    <w:rsid w:val="00076B21"/>
    <w:rsid w:val="000805B2"/>
    <w:rsid w:val="00082E97"/>
    <w:rsid w:val="000852E8"/>
    <w:rsid w:val="00085585"/>
    <w:rsid w:val="00085E50"/>
    <w:rsid w:val="00086164"/>
    <w:rsid w:val="000863C3"/>
    <w:rsid w:val="00090C8C"/>
    <w:rsid w:val="00092F37"/>
    <w:rsid w:val="00097A76"/>
    <w:rsid w:val="000A0499"/>
    <w:rsid w:val="000A0794"/>
    <w:rsid w:val="000A3437"/>
    <w:rsid w:val="000A4433"/>
    <w:rsid w:val="000A5BCC"/>
    <w:rsid w:val="000A7400"/>
    <w:rsid w:val="000A7708"/>
    <w:rsid w:val="000B0232"/>
    <w:rsid w:val="000B13AB"/>
    <w:rsid w:val="000B146D"/>
    <w:rsid w:val="000B4054"/>
    <w:rsid w:val="000B56CF"/>
    <w:rsid w:val="000B5B55"/>
    <w:rsid w:val="000B6330"/>
    <w:rsid w:val="000B67EA"/>
    <w:rsid w:val="000B7FF7"/>
    <w:rsid w:val="000C0125"/>
    <w:rsid w:val="000C0807"/>
    <w:rsid w:val="000C0D83"/>
    <w:rsid w:val="000C690D"/>
    <w:rsid w:val="000D074E"/>
    <w:rsid w:val="000D32D5"/>
    <w:rsid w:val="000D444F"/>
    <w:rsid w:val="000E0333"/>
    <w:rsid w:val="000E2E8A"/>
    <w:rsid w:val="000E595E"/>
    <w:rsid w:val="000E5C21"/>
    <w:rsid w:val="000F7DB9"/>
    <w:rsid w:val="000F7EBB"/>
    <w:rsid w:val="00101209"/>
    <w:rsid w:val="001020A5"/>
    <w:rsid w:val="00104CCC"/>
    <w:rsid w:val="00110F53"/>
    <w:rsid w:val="00115A8C"/>
    <w:rsid w:val="00115D91"/>
    <w:rsid w:val="00115FBB"/>
    <w:rsid w:val="001204E2"/>
    <w:rsid w:val="001250BF"/>
    <w:rsid w:val="001260C2"/>
    <w:rsid w:val="00127B7F"/>
    <w:rsid w:val="00130995"/>
    <w:rsid w:val="00132E41"/>
    <w:rsid w:val="00135B7B"/>
    <w:rsid w:val="001360A4"/>
    <w:rsid w:val="00136E47"/>
    <w:rsid w:val="00136FF9"/>
    <w:rsid w:val="00137BA1"/>
    <w:rsid w:val="0014049B"/>
    <w:rsid w:val="00141818"/>
    <w:rsid w:val="00143525"/>
    <w:rsid w:val="001436A7"/>
    <w:rsid w:val="00144611"/>
    <w:rsid w:val="0014787F"/>
    <w:rsid w:val="00152D98"/>
    <w:rsid w:val="001564B4"/>
    <w:rsid w:val="00156521"/>
    <w:rsid w:val="001644AA"/>
    <w:rsid w:val="00165C4D"/>
    <w:rsid w:val="0016697B"/>
    <w:rsid w:val="00166BE1"/>
    <w:rsid w:val="001702D7"/>
    <w:rsid w:val="001707ED"/>
    <w:rsid w:val="00170B04"/>
    <w:rsid w:val="00172093"/>
    <w:rsid w:val="0017313D"/>
    <w:rsid w:val="001752A7"/>
    <w:rsid w:val="001756DD"/>
    <w:rsid w:val="00175CFE"/>
    <w:rsid w:val="00176171"/>
    <w:rsid w:val="00176846"/>
    <w:rsid w:val="001772C7"/>
    <w:rsid w:val="00177AE1"/>
    <w:rsid w:val="00180E63"/>
    <w:rsid w:val="00180EC6"/>
    <w:rsid w:val="00182E7D"/>
    <w:rsid w:val="001840DC"/>
    <w:rsid w:val="00184C6E"/>
    <w:rsid w:val="00187D56"/>
    <w:rsid w:val="00190F94"/>
    <w:rsid w:val="00193384"/>
    <w:rsid w:val="001945E2"/>
    <w:rsid w:val="001957F2"/>
    <w:rsid w:val="0019627A"/>
    <w:rsid w:val="00197485"/>
    <w:rsid w:val="001A157D"/>
    <w:rsid w:val="001A4314"/>
    <w:rsid w:val="001A4CB0"/>
    <w:rsid w:val="001A4F3D"/>
    <w:rsid w:val="001A64D6"/>
    <w:rsid w:val="001A676A"/>
    <w:rsid w:val="001A7274"/>
    <w:rsid w:val="001A76CD"/>
    <w:rsid w:val="001A7A00"/>
    <w:rsid w:val="001B0BC3"/>
    <w:rsid w:val="001B1559"/>
    <w:rsid w:val="001B3A25"/>
    <w:rsid w:val="001B40B6"/>
    <w:rsid w:val="001B5248"/>
    <w:rsid w:val="001B7441"/>
    <w:rsid w:val="001B7D36"/>
    <w:rsid w:val="001C1650"/>
    <w:rsid w:val="001C18A5"/>
    <w:rsid w:val="001C54D5"/>
    <w:rsid w:val="001C557B"/>
    <w:rsid w:val="001C68A6"/>
    <w:rsid w:val="001C6E25"/>
    <w:rsid w:val="001D0D54"/>
    <w:rsid w:val="001D0D75"/>
    <w:rsid w:val="001D24B1"/>
    <w:rsid w:val="001D2D04"/>
    <w:rsid w:val="001D5233"/>
    <w:rsid w:val="001D65A4"/>
    <w:rsid w:val="001E1950"/>
    <w:rsid w:val="001E521E"/>
    <w:rsid w:val="001E5458"/>
    <w:rsid w:val="001E61C0"/>
    <w:rsid w:val="001E6A16"/>
    <w:rsid w:val="001E77A7"/>
    <w:rsid w:val="001F0E53"/>
    <w:rsid w:val="001F0E62"/>
    <w:rsid w:val="001F1365"/>
    <w:rsid w:val="001F353B"/>
    <w:rsid w:val="001F39C9"/>
    <w:rsid w:val="001F49B0"/>
    <w:rsid w:val="001F4CD3"/>
    <w:rsid w:val="001F4E51"/>
    <w:rsid w:val="001F5AA9"/>
    <w:rsid w:val="00203160"/>
    <w:rsid w:val="00205AA6"/>
    <w:rsid w:val="00207D4F"/>
    <w:rsid w:val="0021017E"/>
    <w:rsid w:val="00212975"/>
    <w:rsid w:val="00213176"/>
    <w:rsid w:val="00214C9D"/>
    <w:rsid w:val="002178C9"/>
    <w:rsid w:val="00226029"/>
    <w:rsid w:val="00226880"/>
    <w:rsid w:val="0022688E"/>
    <w:rsid w:val="002274D0"/>
    <w:rsid w:val="00227D6B"/>
    <w:rsid w:val="00230F10"/>
    <w:rsid w:val="00231CB6"/>
    <w:rsid w:val="00232097"/>
    <w:rsid w:val="0023220F"/>
    <w:rsid w:val="00233570"/>
    <w:rsid w:val="00233D7A"/>
    <w:rsid w:val="00233DC0"/>
    <w:rsid w:val="00234583"/>
    <w:rsid w:val="00234D37"/>
    <w:rsid w:val="00236C53"/>
    <w:rsid w:val="00237451"/>
    <w:rsid w:val="00243468"/>
    <w:rsid w:val="0024348E"/>
    <w:rsid w:val="00244B13"/>
    <w:rsid w:val="00244F96"/>
    <w:rsid w:val="0024542D"/>
    <w:rsid w:val="0024630C"/>
    <w:rsid w:val="00247AFA"/>
    <w:rsid w:val="002505BE"/>
    <w:rsid w:val="00250D70"/>
    <w:rsid w:val="002515F6"/>
    <w:rsid w:val="00254E51"/>
    <w:rsid w:val="00257199"/>
    <w:rsid w:val="002600C7"/>
    <w:rsid w:val="00260CE2"/>
    <w:rsid w:val="0026347A"/>
    <w:rsid w:val="00263B78"/>
    <w:rsid w:val="00266A89"/>
    <w:rsid w:val="00266B56"/>
    <w:rsid w:val="00266C05"/>
    <w:rsid w:val="002702DD"/>
    <w:rsid w:val="00272699"/>
    <w:rsid w:val="0027441E"/>
    <w:rsid w:val="0027483C"/>
    <w:rsid w:val="00275B49"/>
    <w:rsid w:val="00281D52"/>
    <w:rsid w:val="002820D7"/>
    <w:rsid w:val="00282A60"/>
    <w:rsid w:val="00285310"/>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D1084"/>
    <w:rsid w:val="002D45C1"/>
    <w:rsid w:val="002D468F"/>
    <w:rsid w:val="002D5DED"/>
    <w:rsid w:val="002D657C"/>
    <w:rsid w:val="002D6E19"/>
    <w:rsid w:val="002D7A0A"/>
    <w:rsid w:val="002E000E"/>
    <w:rsid w:val="002E1AC2"/>
    <w:rsid w:val="002E2CDD"/>
    <w:rsid w:val="002E499B"/>
    <w:rsid w:val="002E7F6A"/>
    <w:rsid w:val="002F056E"/>
    <w:rsid w:val="002F36D2"/>
    <w:rsid w:val="002F3C1A"/>
    <w:rsid w:val="002F3E97"/>
    <w:rsid w:val="002F489A"/>
    <w:rsid w:val="002F6F99"/>
    <w:rsid w:val="003023FD"/>
    <w:rsid w:val="0030414F"/>
    <w:rsid w:val="00305213"/>
    <w:rsid w:val="0031131B"/>
    <w:rsid w:val="00312B95"/>
    <w:rsid w:val="00312E50"/>
    <w:rsid w:val="003147DD"/>
    <w:rsid w:val="00315D84"/>
    <w:rsid w:val="00321C81"/>
    <w:rsid w:val="003225AB"/>
    <w:rsid w:val="00323965"/>
    <w:rsid w:val="00330A76"/>
    <w:rsid w:val="00330D74"/>
    <w:rsid w:val="00332945"/>
    <w:rsid w:val="00333127"/>
    <w:rsid w:val="003360B5"/>
    <w:rsid w:val="003368B5"/>
    <w:rsid w:val="003369D5"/>
    <w:rsid w:val="00336FAC"/>
    <w:rsid w:val="00337AAE"/>
    <w:rsid w:val="003405D1"/>
    <w:rsid w:val="00345C2F"/>
    <w:rsid w:val="00347D10"/>
    <w:rsid w:val="00347E04"/>
    <w:rsid w:val="003522B0"/>
    <w:rsid w:val="00352A66"/>
    <w:rsid w:val="00352BDF"/>
    <w:rsid w:val="003557A9"/>
    <w:rsid w:val="0035655A"/>
    <w:rsid w:val="00357879"/>
    <w:rsid w:val="0036152B"/>
    <w:rsid w:val="00362300"/>
    <w:rsid w:val="00362945"/>
    <w:rsid w:val="00363DA6"/>
    <w:rsid w:val="003643A3"/>
    <w:rsid w:val="00364555"/>
    <w:rsid w:val="0036493C"/>
    <w:rsid w:val="00365BED"/>
    <w:rsid w:val="00365ECE"/>
    <w:rsid w:val="00366135"/>
    <w:rsid w:val="0037000D"/>
    <w:rsid w:val="00372C90"/>
    <w:rsid w:val="00373509"/>
    <w:rsid w:val="003813B0"/>
    <w:rsid w:val="0038189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A62F9"/>
    <w:rsid w:val="003A798F"/>
    <w:rsid w:val="003B0602"/>
    <w:rsid w:val="003B3833"/>
    <w:rsid w:val="003B5B3A"/>
    <w:rsid w:val="003B669E"/>
    <w:rsid w:val="003D277A"/>
    <w:rsid w:val="003D3401"/>
    <w:rsid w:val="003D41D9"/>
    <w:rsid w:val="003D7C66"/>
    <w:rsid w:val="003E15BE"/>
    <w:rsid w:val="003E4703"/>
    <w:rsid w:val="003E4E42"/>
    <w:rsid w:val="003E6A24"/>
    <w:rsid w:val="003E74A4"/>
    <w:rsid w:val="003F0648"/>
    <w:rsid w:val="003F159A"/>
    <w:rsid w:val="003F23B0"/>
    <w:rsid w:val="003F291D"/>
    <w:rsid w:val="003F4406"/>
    <w:rsid w:val="003F62DA"/>
    <w:rsid w:val="003F6535"/>
    <w:rsid w:val="003F7DFD"/>
    <w:rsid w:val="00403EC1"/>
    <w:rsid w:val="00404981"/>
    <w:rsid w:val="00404EA8"/>
    <w:rsid w:val="004069E3"/>
    <w:rsid w:val="00407CFC"/>
    <w:rsid w:val="00410D4E"/>
    <w:rsid w:val="00411191"/>
    <w:rsid w:val="00412989"/>
    <w:rsid w:val="004131F2"/>
    <w:rsid w:val="00414418"/>
    <w:rsid w:val="004146C9"/>
    <w:rsid w:val="00416765"/>
    <w:rsid w:val="00420072"/>
    <w:rsid w:val="00422524"/>
    <w:rsid w:val="00422662"/>
    <w:rsid w:val="004229B0"/>
    <w:rsid w:val="00425388"/>
    <w:rsid w:val="00427DB3"/>
    <w:rsid w:val="0043018B"/>
    <w:rsid w:val="00433FEB"/>
    <w:rsid w:val="0043622D"/>
    <w:rsid w:val="00442BE6"/>
    <w:rsid w:val="0044452B"/>
    <w:rsid w:val="00445908"/>
    <w:rsid w:val="00446BFE"/>
    <w:rsid w:val="00447F42"/>
    <w:rsid w:val="0045116A"/>
    <w:rsid w:val="00451E60"/>
    <w:rsid w:val="00452E9D"/>
    <w:rsid w:val="004530AC"/>
    <w:rsid w:val="00453EB3"/>
    <w:rsid w:val="00454368"/>
    <w:rsid w:val="004547C0"/>
    <w:rsid w:val="00454AE8"/>
    <w:rsid w:val="00454ED3"/>
    <w:rsid w:val="00456D32"/>
    <w:rsid w:val="0045720E"/>
    <w:rsid w:val="00457853"/>
    <w:rsid w:val="00457902"/>
    <w:rsid w:val="00460B25"/>
    <w:rsid w:val="00461AD2"/>
    <w:rsid w:val="00462797"/>
    <w:rsid w:val="00464228"/>
    <w:rsid w:val="00467537"/>
    <w:rsid w:val="00471026"/>
    <w:rsid w:val="004732C0"/>
    <w:rsid w:val="00474394"/>
    <w:rsid w:val="004744D3"/>
    <w:rsid w:val="00475EFF"/>
    <w:rsid w:val="0047786B"/>
    <w:rsid w:val="0048164E"/>
    <w:rsid w:val="004822A1"/>
    <w:rsid w:val="00482EF4"/>
    <w:rsid w:val="00483DD5"/>
    <w:rsid w:val="004845F1"/>
    <w:rsid w:val="00484BC2"/>
    <w:rsid w:val="00486E8C"/>
    <w:rsid w:val="00487070"/>
    <w:rsid w:val="004872E3"/>
    <w:rsid w:val="004874C5"/>
    <w:rsid w:val="00487630"/>
    <w:rsid w:val="004900C1"/>
    <w:rsid w:val="00490743"/>
    <w:rsid w:val="0049078F"/>
    <w:rsid w:val="00491178"/>
    <w:rsid w:val="00492FC4"/>
    <w:rsid w:val="00494CD3"/>
    <w:rsid w:val="00494FB3"/>
    <w:rsid w:val="00495EF4"/>
    <w:rsid w:val="00496DF9"/>
    <w:rsid w:val="00497240"/>
    <w:rsid w:val="004A154E"/>
    <w:rsid w:val="004A2EFC"/>
    <w:rsid w:val="004A4057"/>
    <w:rsid w:val="004A472E"/>
    <w:rsid w:val="004B0361"/>
    <w:rsid w:val="004B3904"/>
    <w:rsid w:val="004B7492"/>
    <w:rsid w:val="004B7C61"/>
    <w:rsid w:val="004C0E63"/>
    <w:rsid w:val="004C3546"/>
    <w:rsid w:val="004C3568"/>
    <w:rsid w:val="004C4638"/>
    <w:rsid w:val="004C5C7A"/>
    <w:rsid w:val="004C60B8"/>
    <w:rsid w:val="004D18D0"/>
    <w:rsid w:val="004D5771"/>
    <w:rsid w:val="004D79AD"/>
    <w:rsid w:val="004E33DA"/>
    <w:rsid w:val="004E493E"/>
    <w:rsid w:val="004E63CC"/>
    <w:rsid w:val="004F096E"/>
    <w:rsid w:val="004F0BE2"/>
    <w:rsid w:val="004F256B"/>
    <w:rsid w:val="004F75A1"/>
    <w:rsid w:val="004F79BD"/>
    <w:rsid w:val="00501BE2"/>
    <w:rsid w:val="00502E98"/>
    <w:rsid w:val="005031B6"/>
    <w:rsid w:val="00506BC4"/>
    <w:rsid w:val="00507A63"/>
    <w:rsid w:val="00507D05"/>
    <w:rsid w:val="00513602"/>
    <w:rsid w:val="005157A6"/>
    <w:rsid w:val="00531479"/>
    <w:rsid w:val="005343DE"/>
    <w:rsid w:val="005348EF"/>
    <w:rsid w:val="005351E9"/>
    <w:rsid w:val="005353FE"/>
    <w:rsid w:val="005363D4"/>
    <w:rsid w:val="005374AC"/>
    <w:rsid w:val="00545090"/>
    <w:rsid w:val="005510FE"/>
    <w:rsid w:val="00556B35"/>
    <w:rsid w:val="00561EE2"/>
    <w:rsid w:val="005631AD"/>
    <w:rsid w:val="005639EA"/>
    <w:rsid w:val="005667D5"/>
    <w:rsid w:val="005722A1"/>
    <w:rsid w:val="00572319"/>
    <w:rsid w:val="00572841"/>
    <w:rsid w:val="00575350"/>
    <w:rsid w:val="00580DC4"/>
    <w:rsid w:val="00585433"/>
    <w:rsid w:val="005854CC"/>
    <w:rsid w:val="005879C7"/>
    <w:rsid w:val="005900F7"/>
    <w:rsid w:val="005910A3"/>
    <w:rsid w:val="00591DD6"/>
    <w:rsid w:val="005925E4"/>
    <w:rsid w:val="00592A83"/>
    <w:rsid w:val="00593B07"/>
    <w:rsid w:val="00593E3E"/>
    <w:rsid w:val="005942EA"/>
    <w:rsid w:val="005943A7"/>
    <w:rsid w:val="00596832"/>
    <w:rsid w:val="005A1052"/>
    <w:rsid w:val="005A341D"/>
    <w:rsid w:val="005A3FE0"/>
    <w:rsid w:val="005B1DF4"/>
    <w:rsid w:val="005B2981"/>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39E"/>
    <w:rsid w:val="005E2411"/>
    <w:rsid w:val="005E344F"/>
    <w:rsid w:val="005E3CEF"/>
    <w:rsid w:val="005E51D2"/>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2D7F"/>
    <w:rsid w:val="00604147"/>
    <w:rsid w:val="00605815"/>
    <w:rsid w:val="00605C82"/>
    <w:rsid w:val="0060617B"/>
    <w:rsid w:val="00613317"/>
    <w:rsid w:val="00614A27"/>
    <w:rsid w:val="00615247"/>
    <w:rsid w:val="006155FC"/>
    <w:rsid w:val="00615695"/>
    <w:rsid w:val="006203BD"/>
    <w:rsid w:val="0062059B"/>
    <w:rsid w:val="00624C5C"/>
    <w:rsid w:val="00627E76"/>
    <w:rsid w:val="006323A6"/>
    <w:rsid w:val="006325E7"/>
    <w:rsid w:val="00632B1F"/>
    <w:rsid w:val="00635A99"/>
    <w:rsid w:val="00636A86"/>
    <w:rsid w:val="00645987"/>
    <w:rsid w:val="0065046E"/>
    <w:rsid w:val="006504EE"/>
    <w:rsid w:val="00650B00"/>
    <w:rsid w:val="0065259E"/>
    <w:rsid w:val="0065282A"/>
    <w:rsid w:val="006536A9"/>
    <w:rsid w:val="00657C61"/>
    <w:rsid w:val="00657CB6"/>
    <w:rsid w:val="00657E00"/>
    <w:rsid w:val="006625B4"/>
    <w:rsid w:val="006640FE"/>
    <w:rsid w:val="00671255"/>
    <w:rsid w:val="00671A3F"/>
    <w:rsid w:val="00672BEE"/>
    <w:rsid w:val="00673037"/>
    <w:rsid w:val="0067448D"/>
    <w:rsid w:val="006762E5"/>
    <w:rsid w:val="006764C8"/>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B3576"/>
    <w:rsid w:val="006B7C24"/>
    <w:rsid w:val="006B7CF9"/>
    <w:rsid w:val="006C0139"/>
    <w:rsid w:val="006C111C"/>
    <w:rsid w:val="006C1AEE"/>
    <w:rsid w:val="006C2598"/>
    <w:rsid w:val="006C27E2"/>
    <w:rsid w:val="006C3927"/>
    <w:rsid w:val="006C51F7"/>
    <w:rsid w:val="006C6761"/>
    <w:rsid w:val="006D0368"/>
    <w:rsid w:val="006D2333"/>
    <w:rsid w:val="006D3DBE"/>
    <w:rsid w:val="006D571E"/>
    <w:rsid w:val="006D6CC7"/>
    <w:rsid w:val="006D7C85"/>
    <w:rsid w:val="006E1CA2"/>
    <w:rsid w:val="006E2C81"/>
    <w:rsid w:val="006E343F"/>
    <w:rsid w:val="006E3DF4"/>
    <w:rsid w:val="006E42F5"/>
    <w:rsid w:val="006E4AA9"/>
    <w:rsid w:val="006E6DB3"/>
    <w:rsid w:val="006E7CC1"/>
    <w:rsid w:val="006F0B6B"/>
    <w:rsid w:val="006F34A8"/>
    <w:rsid w:val="006F47C8"/>
    <w:rsid w:val="006F51F9"/>
    <w:rsid w:val="006F715C"/>
    <w:rsid w:val="006F76E4"/>
    <w:rsid w:val="006F7A23"/>
    <w:rsid w:val="0070010D"/>
    <w:rsid w:val="007004DA"/>
    <w:rsid w:val="00701726"/>
    <w:rsid w:val="007031E2"/>
    <w:rsid w:val="00711B43"/>
    <w:rsid w:val="007122CC"/>
    <w:rsid w:val="00716799"/>
    <w:rsid w:val="007339FC"/>
    <w:rsid w:val="0073548A"/>
    <w:rsid w:val="007375CF"/>
    <w:rsid w:val="00737F14"/>
    <w:rsid w:val="00740BD4"/>
    <w:rsid w:val="00742F5B"/>
    <w:rsid w:val="0074328B"/>
    <w:rsid w:val="007500A2"/>
    <w:rsid w:val="00751A18"/>
    <w:rsid w:val="0075426C"/>
    <w:rsid w:val="00754B6C"/>
    <w:rsid w:val="007609DE"/>
    <w:rsid w:val="00760D7B"/>
    <w:rsid w:val="00762176"/>
    <w:rsid w:val="00763A41"/>
    <w:rsid w:val="00763B81"/>
    <w:rsid w:val="00764B16"/>
    <w:rsid w:val="0076664B"/>
    <w:rsid w:val="00770AFC"/>
    <w:rsid w:val="00771A8A"/>
    <w:rsid w:val="00773ADD"/>
    <w:rsid w:val="00774FA0"/>
    <w:rsid w:val="00777A11"/>
    <w:rsid w:val="0078013B"/>
    <w:rsid w:val="00780E9B"/>
    <w:rsid w:val="00784027"/>
    <w:rsid w:val="007848F3"/>
    <w:rsid w:val="00784C7B"/>
    <w:rsid w:val="007864C1"/>
    <w:rsid w:val="00786718"/>
    <w:rsid w:val="00794312"/>
    <w:rsid w:val="0079518B"/>
    <w:rsid w:val="00797D46"/>
    <w:rsid w:val="007A01CC"/>
    <w:rsid w:val="007A0524"/>
    <w:rsid w:val="007A1A30"/>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3820"/>
    <w:rsid w:val="007D1A32"/>
    <w:rsid w:val="007D22EC"/>
    <w:rsid w:val="007D3022"/>
    <w:rsid w:val="007D3FA4"/>
    <w:rsid w:val="007D620F"/>
    <w:rsid w:val="007E14BD"/>
    <w:rsid w:val="007E31EA"/>
    <w:rsid w:val="007E34E1"/>
    <w:rsid w:val="007E3B25"/>
    <w:rsid w:val="007E3B7D"/>
    <w:rsid w:val="007E5A22"/>
    <w:rsid w:val="007E7710"/>
    <w:rsid w:val="007F2008"/>
    <w:rsid w:val="007F22AC"/>
    <w:rsid w:val="007F388C"/>
    <w:rsid w:val="007F42E3"/>
    <w:rsid w:val="007F4388"/>
    <w:rsid w:val="007F4788"/>
    <w:rsid w:val="007F618A"/>
    <w:rsid w:val="00801432"/>
    <w:rsid w:val="00801489"/>
    <w:rsid w:val="00802290"/>
    <w:rsid w:val="00803305"/>
    <w:rsid w:val="0080375B"/>
    <w:rsid w:val="00804F53"/>
    <w:rsid w:val="0081042F"/>
    <w:rsid w:val="008120AF"/>
    <w:rsid w:val="008125B6"/>
    <w:rsid w:val="00812625"/>
    <w:rsid w:val="00817C8F"/>
    <w:rsid w:val="00820982"/>
    <w:rsid w:val="0082170D"/>
    <w:rsid w:val="0082187A"/>
    <w:rsid w:val="00822223"/>
    <w:rsid w:val="00822802"/>
    <w:rsid w:val="00823839"/>
    <w:rsid w:val="00825521"/>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3BBE"/>
    <w:rsid w:val="00854598"/>
    <w:rsid w:val="008550DA"/>
    <w:rsid w:val="00856BDC"/>
    <w:rsid w:val="008574C9"/>
    <w:rsid w:val="008618AC"/>
    <w:rsid w:val="00861C4F"/>
    <w:rsid w:val="008642DF"/>
    <w:rsid w:val="0086434F"/>
    <w:rsid w:val="00865AD8"/>
    <w:rsid w:val="00866CE0"/>
    <w:rsid w:val="008721CC"/>
    <w:rsid w:val="00872226"/>
    <w:rsid w:val="0087239F"/>
    <w:rsid w:val="00872B47"/>
    <w:rsid w:val="00874460"/>
    <w:rsid w:val="00875F84"/>
    <w:rsid w:val="008773C3"/>
    <w:rsid w:val="00877623"/>
    <w:rsid w:val="008824EE"/>
    <w:rsid w:val="00882B7E"/>
    <w:rsid w:val="00882D96"/>
    <w:rsid w:val="00883EFA"/>
    <w:rsid w:val="00885A80"/>
    <w:rsid w:val="00887818"/>
    <w:rsid w:val="00893260"/>
    <w:rsid w:val="008952E6"/>
    <w:rsid w:val="0089533A"/>
    <w:rsid w:val="00897582"/>
    <w:rsid w:val="008A063A"/>
    <w:rsid w:val="008A146D"/>
    <w:rsid w:val="008A37E3"/>
    <w:rsid w:val="008A5294"/>
    <w:rsid w:val="008A6398"/>
    <w:rsid w:val="008A73CB"/>
    <w:rsid w:val="008A7FE6"/>
    <w:rsid w:val="008B02D1"/>
    <w:rsid w:val="008B1A8D"/>
    <w:rsid w:val="008B1C28"/>
    <w:rsid w:val="008B31F8"/>
    <w:rsid w:val="008B674F"/>
    <w:rsid w:val="008B7A52"/>
    <w:rsid w:val="008B7F12"/>
    <w:rsid w:val="008C00EC"/>
    <w:rsid w:val="008C0773"/>
    <w:rsid w:val="008C0CE5"/>
    <w:rsid w:val="008C1F78"/>
    <w:rsid w:val="008C5ABC"/>
    <w:rsid w:val="008C5C88"/>
    <w:rsid w:val="008D095A"/>
    <w:rsid w:val="008D75EB"/>
    <w:rsid w:val="008E0A3D"/>
    <w:rsid w:val="008E0A75"/>
    <w:rsid w:val="008E0EAF"/>
    <w:rsid w:val="008E1805"/>
    <w:rsid w:val="008E6453"/>
    <w:rsid w:val="009027ED"/>
    <w:rsid w:val="0090525F"/>
    <w:rsid w:val="00913909"/>
    <w:rsid w:val="00917927"/>
    <w:rsid w:val="00920B05"/>
    <w:rsid w:val="00924453"/>
    <w:rsid w:val="00924509"/>
    <w:rsid w:val="009254FA"/>
    <w:rsid w:val="00932EB4"/>
    <w:rsid w:val="009340B2"/>
    <w:rsid w:val="00936BC3"/>
    <w:rsid w:val="009374CE"/>
    <w:rsid w:val="00940671"/>
    <w:rsid w:val="00940ECD"/>
    <w:rsid w:val="00941A6A"/>
    <w:rsid w:val="00941C25"/>
    <w:rsid w:val="00943B42"/>
    <w:rsid w:val="0094415E"/>
    <w:rsid w:val="0094416B"/>
    <w:rsid w:val="00946625"/>
    <w:rsid w:val="00951733"/>
    <w:rsid w:val="009519FC"/>
    <w:rsid w:val="00952317"/>
    <w:rsid w:val="00953A8D"/>
    <w:rsid w:val="00955A49"/>
    <w:rsid w:val="0095692A"/>
    <w:rsid w:val="00957BD1"/>
    <w:rsid w:val="00957D8E"/>
    <w:rsid w:val="0096040D"/>
    <w:rsid w:val="009606C6"/>
    <w:rsid w:val="00960AA9"/>
    <w:rsid w:val="00960D9D"/>
    <w:rsid w:val="009622C7"/>
    <w:rsid w:val="009663D4"/>
    <w:rsid w:val="0097190C"/>
    <w:rsid w:val="009765DD"/>
    <w:rsid w:val="009775E7"/>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7A34"/>
    <w:rsid w:val="009B0288"/>
    <w:rsid w:val="009B077D"/>
    <w:rsid w:val="009B5599"/>
    <w:rsid w:val="009C0FD7"/>
    <w:rsid w:val="009C3C8C"/>
    <w:rsid w:val="009C4C54"/>
    <w:rsid w:val="009C4FD2"/>
    <w:rsid w:val="009C7161"/>
    <w:rsid w:val="009C76C1"/>
    <w:rsid w:val="009D05EC"/>
    <w:rsid w:val="009D3AF6"/>
    <w:rsid w:val="009D4019"/>
    <w:rsid w:val="009E11BA"/>
    <w:rsid w:val="009E141B"/>
    <w:rsid w:val="009E23D8"/>
    <w:rsid w:val="009E2D6C"/>
    <w:rsid w:val="009E660D"/>
    <w:rsid w:val="009F50D8"/>
    <w:rsid w:val="009F7E80"/>
    <w:rsid w:val="00A03535"/>
    <w:rsid w:val="00A045A2"/>
    <w:rsid w:val="00A04B6D"/>
    <w:rsid w:val="00A06DD7"/>
    <w:rsid w:val="00A12BCC"/>
    <w:rsid w:val="00A14318"/>
    <w:rsid w:val="00A14F4E"/>
    <w:rsid w:val="00A167FB"/>
    <w:rsid w:val="00A20E1D"/>
    <w:rsid w:val="00A241E3"/>
    <w:rsid w:val="00A307C5"/>
    <w:rsid w:val="00A32095"/>
    <w:rsid w:val="00A32E70"/>
    <w:rsid w:val="00A33698"/>
    <w:rsid w:val="00A33E33"/>
    <w:rsid w:val="00A34D08"/>
    <w:rsid w:val="00A34D7D"/>
    <w:rsid w:val="00A41CAF"/>
    <w:rsid w:val="00A43557"/>
    <w:rsid w:val="00A44D85"/>
    <w:rsid w:val="00A45025"/>
    <w:rsid w:val="00A45844"/>
    <w:rsid w:val="00A51077"/>
    <w:rsid w:val="00A5433B"/>
    <w:rsid w:val="00A54C60"/>
    <w:rsid w:val="00A54E1A"/>
    <w:rsid w:val="00A56A48"/>
    <w:rsid w:val="00A60B48"/>
    <w:rsid w:val="00A614D0"/>
    <w:rsid w:val="00A62BFB"/>
    <w:rsid w:val="00A65FDE"/>
    <w:rsid w:val="00A6602B"/>
    <w:rsid w:val="00A71943"/>
    <w:rsid w:val="00A730EF"/>
    <w:rsid w:val="00A7361D"/>
    <w:rsid w:val="00A7456C"/>
    <w:rsid w:val="00A75588"/>
    <w:rsid w:val="00A772B5"/>
    <w:rsid w:val="00A778FF"/>
    <w:rsid w:val="00A77D5D"/>
    <w:rsid w:val="00A82118"/>
    <w:rsid w:val="00A82EA9"/>
    <w:rsid w:val="00A87BD4"/>
    <w:rsid w:val="00A91E7F"/>
    <w:rsid w:val="00A95C14"/>
    <w:rsid w:val="00A95FAA"/>
    <w:rsid w:val="00A97BA6"/>
    <w:rsid w:val="00AA0797"/>
    <w:rsid w:val="00AA4BFF"/>
    <w:rsid w:val="00AA6DF4"/>
    <w:rsid w:val="00AB0069"/>
    <w:rsid w:val="00AB18A3"/>
    <w:rsid w:val="00AB24E1"/>
    <w:rsid w:val="00AB2AB3"/>
    <w:rsid w:val="00AB3D71"/>
    <w:rsid w:val="00AB6EAC"/>
    <w:rsid w:val="00AB798B"/>
    <w:rsid w:val="00AC67A5"/>
    <w:rsid w:val="00AD0EF9"/>
    <w:rsid w:val="00AD1F3F"/>
    <w:rsid w:val="00AD2944"/>
    <w:rsid w:val="00AD35EF"/>
    <w:rsid w:val="00AD4A4D"/>
    <w:rsid w:val="00AD4CCC"/>
    <w:rsid w:val="00AD57B1"/>
    <w:rsid w:val="00AD612A"/>
    <w:rsid w:val="00AD7A2D"/>
    <w:rsid w:val="00AE2F42"/>
    <w:rsid w:val="00AE33A9"/>
    <w:rsid w:val="00AE4666"/>
    <w:rsid w:val="00AE5255"/>
    <w:rsid w:val="00AE6E64"/>
    <w:rsid w:val="00AF140A"/>
    <w:rsid w:val="00AF1F7E"/>
    <w:rsid w:val="00AF2CDB"/>
    <w:rsid w:val="00AF4251"/>
    <w:rsid w:val="00AF4AEB"/>
    <w:rsid w:val="00AF5A5E"/>
    <w:rsid w:val="00AF7241"/>
    <w:rsid w:val="00B0153A"/>
    <w:rsid w:val="00B03CE1"/>
    <w:rsid w:val="00B03E45"/>
    <w:rsid w:val="00B045F0"/>
    <w:rsid w:val="00B04889"/>
    <w:rsid w:val="00B04DC4"/>
    <w:rsid w:val="00B06013"/>
    <w:rsid w:val="00B06CAC"/>
    <w:rsid w:val="00B07049"/>
    <w:rsid w:val="00B1100D"/>
    <w:rsid w:val="00B1380A"/>
    <w:rsid w:val="00B13902"/>
    <w:rsid w:val="00B13FA7"/>
    <w:rsid w:val="00B14244"/>
    <w:rsid w:val="00B1506B"/>
    <w:rsid w:val="00B174C6"/>
    <w:rsid w:val="00B22154"/>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3F2"/>
    <w:rsid w:val="00B462E6"/>
    <w:rsid w:val="00B46EBD"/>
    <w:rsid w:val="00B51489"/>
    <w:rsid w:val="00B5163B"/>
    <w:rsid w:val="00B51651"/>
    <w:rsid w:val="00B546BF"/>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74"/>
    <w:rsid w:val="00B73DAC"/>
    <w:rsid w:val="00B7597A"/>
    <w:rsid w:val="00B75E8C"/>
    <w:rsid w:val="00B7603F"/>
    <w:rsid w:val="00B77EF4"/>
    <w:rsid w:val="00B815E2"/>
    <w:rsid w:val="00B84A71"/>
    <w:rsid w:val="00B871A9"/>
    <w:rsid w:val="00B87B22"/>
    <w:rsid w:val="00B906FF"/>
    <w:rsid w:val="00B9211C"/>
    <w:rsid w:val="00B92EEC"/>
    <w:rsid w:val="00B950A5"/>
    <w:rsid w:val="00B964F1"/>
    <w:rsid w:val="00B97541"/>
    <w:rsid w:val="00BA1CA0"/>
    <w:rsid w:val="00BA455A"/>
    <w:rsid w:val="00BA5528"/>
    <w:rsid w:val="00BA688E"/>
    <w:rsid w:val="00BB0742"/>
    <w:rsid w:val="00BB6818"/>
    <w:rsid w:val="00BC013C"/>
    <w:rsid w:val="00BC0541"/>
    <w:rsid w:val="00BC0C96"/>
    <w:rsid w:val="00BC328D"/>
    <w:rsid w:val="00BC45BA"/>
    <w:rsid w:val="00BC5F4E"/>
    <w:rsid w:val="00BC5FDE"/>
    <w:rsid w:val="00BC7297"/>
    <w:rsid w:val="00BC7FF6"/>
    <w:rsid w:val="00BD0240"/>
    <w:rsid w:val="00BD0822"/>
    <w:rsid w:val="00BD2C19"/>
    <w:rsid w:val="00BD5E01"/>
    <w:rsid w:val="00BD799F"/>
    <w:rsid w:val="00BE0125"/>
    <w:rsid w:val="00BE5FB6"/>
    <w:rsid w:val="00BE79DB"/>
    <w:rsid w:val="00BF11D7"/>
    <w:rsid w:val="00BF22D7"/>
    <w:rsid w:val="00BF4331"/>
    <w:rsid w:val="00BF467C"/>
    <w:rsid w:val="00BF7D62"/>
    <w:rsid w:val="00C0130E"/>
    <w:rsid w:val="00C04D36"/>
    <w:rsid w:val="00C05EB3"/>
    <w:rsid w:val="00C06FCE"/>
    <w:rsid w:val="00C0704D"/>
    <w:rsid w:val="00C07C03"/>
    <w:rsid w:val="00C10747"/>
    <w:rsid w:val="00C10EB5"/>
    <w:rsid w:val="00C12025"/>
    <w:rsid w:val="00C133C8"/>
    <w:rsid w:val="00C1447E"/>
    <w:rsid w:val="00C15F7E"/>
    <w:rsid w:val="00C21159"/>
    <w:rsid w:val="00C2136E"/>
    <w:rsid w:val="00C21650"/>
    <w:rsid w:val="00C265C0"/>
    <w:rsid w:val="00C27482"/>
    <w:rsid w:val="00C30595"/>
    <w:rsid w:val="00C30AAD"/>
    <w:rsid w:val="00C311B3"/>
    <w:rsid w:val="00C33D9D"/>
    <w:rsid w:val="00C35637"/>
    <w:rsid w:val="00C36AC4"/>
    <w:rsid w:val="00C371F2"/>
    <w:rsid w:val="00C418FA"/>
    <w:rsid w:val="00C44EDB"/>
    <w:rsid w:val="00C44FA7"/>
    <w:rsid w:val="00C472A4"/>
    <w:rsid w:val="00C502C8"/>
    <w:rsid w:val="00C61F0B"/>
    <w:rsid w:val="00C62EDF"/>
    <w:rsid w:val="00C630B4"/>
    <w:rsid w:val="00C64172"/>
    <w:rsid w:val="00C654F4"/>
    <w:rsid w:val="00C66654"/>
    <w:rsid w:val="00C71756"/>
    <w:rsid w:val="00C71F95"/>
    <w:rsid w:val="00C72C64"/>
    <w:rsid w:val="00C73585"/>
    <w:rsid w:val="00C73C0D"/>
    <w:rsid w:val="00C7586A"/>
    <w:rsid w:val="00C76480"/>
    <w:rsid w:val="00C77547"/>
    <w:rsid w:val="00C778E6"/>
    <w:rsid w:val="00C81E07"/>
    <w:rsid w:val="00C8388D"/>
    <w:rsid w:val="00C85D6A"/>
    <w:rsid w:val="00C874E9"/>
    <w:rsid w:val="00C9040A"/>
    <w:rsid w:val="00C90AFC"/>
    <w:rsid w:val="00C93167"/>
    <w:rsid w:val="00C94693"/>
    <w:rsid w:val="00C94898"/>
    <w:rsid w:val="00CA2D32"/>
    <w:rsid w:val="00CA3FE6"/>
    <w:rsid w:val="00CA66E1"/>
    <w:rsid w:val="00CB524D"/>
    <w:rsid w:val="00CC0083"/>
    <w:rsid w:val="00CC27F3"/>
    <w:rsid w:val="00CC3562"/>
    <w:rsid w:val="00CC4C20"/>
    <w:rsid w:val="00CC5D0E"/>
    <w:rsid w:val="00CC5E5B"/>
    <w:rsid w:val="00CC772A"/>
    <w:rsid w:val="00CD14DB"/>
    <w:rsid w:val="00CD1C50"/>
    <w:rsid w:val="00CE2E0F"/>
    <w:rsid w:val="00CE3CC9"/>
    <w:rsid w:val="00CE6283"/>
    <w:rsid w:val="00CE67AA"/>
    <w:rsid w:val="00CE6F33"/>
    <w:rsid w:val="00CE73B5"/>
    <w:rsid w:val="00CE791D"/>
    <w:rsid w:val="00CE79D7"/>
    <w:rsid w:val="00CE7CE3"/>
    <w:rsid w:val="00CF0E1E"/>
    <w:rsid w:val="00CF2071"/>
    <w:rsid w:val="00CF244E"/>
    <w:rsid w:val="00CF278D"/>
    <w:rsid w:val="00CF37C7"/>
    <w:rsid w:val="00CF3CF8"/>
    <w:rsid w:val="00CF474D"/>
    <w:rsid w:val="00CF5833"/>
    <w:rsid w:val="00CF5A64"/>
    <w:rsid w:val="00CF6622"/>
    <w:rsid w:val="00CF749A"/>
    <w:rsid w:val="00D0089A"/>
    <w:rsid w:val="00D014C7"/>
    <w:rsid w:val="00D01548"/>
    <w:rsid w:val="00D04D5F"/>
    <w:rsid w:val="00D04DFA"/>
    <w:rsid w:val="00D05F35"/>
    <w:rsid w:val="00D06393"/>
    <w:rsid w:val="00D06E5E"/>
    <w:rsid w:val="00D06F79"/>
    <w:rsid w:val="00D10597"/>
    <w:rsid w:val="00D11FE9"/>
    <w:rsid w:val="00D120A3"/>
    <w:rsid w:val="00D1584B"/>
    <w:rsid w:val="00D219E9"/>
    <w:rsid w:val="00D2205B"/>
    <w:rsid w:val="00D2282B"/>
    <w:rsid w:val="00D23418"/>
    <w:rsid w:val="00D24606"/>
    <w:rsid w:val="00D2620A"/>
    <w:rsid w:val="00D3056A"/>
    <w:rsid w:val="00D30AED"/>
    <w:rsid w:val="00D30F84"/>
    <w:rsid w:val="00D31091"/>
    <w:rsid w:val="00D33CFE"/>
    <w:rsid w:val="00D33DDE"/>
    <w:rsid w:val="00D34DA4"/>
    <w:rsid w:val="00D3752F"/>
    <w:rsid w:val="00D40DDE"/>
    <w:rsid w:val="00D43970"/>
    <w:rsid w:val="00D43CA5"/>
    <w:rsid w:val="00D44CA5"/>
    <w:rsid w:val="00D46E12"/>
    <w:rsid w:val="00D50495"/>
    <w:rsid w:val="00D50734"/>
    <w:rsid w:val="00D507C0"/>
    <w:rsid w:val="00D513CC"/>
    <w:rsid w:val="00D62AA4"/>
    <w:rsid w:val="00D6318F"/>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95B06"/>
    <w:rsid w:val="00DA1560"/>
    <w:rsid w:val="00DA4C44"/>
    <w:rsid w:val="00DA4C48"/>
    <w:rsid w:val="00DA4E21"/>
    <w:rsid w:val="00DA71EF"/>
    <w:rsid w:val="00DA7A18"/>
    <w:rsid w:val="00DB1347"/>
    <w:rsid w:val="00DB28CE"/>
    <w:rsid w:val="00DB29BC"/>
    <w:rsid w:val="00DB2A2A"/>
    <w:rsid w:val="00DB479F"/>
    <w:rsid w:val="00DB4D16"/>
    <w:rsid w:val="00DB55B6"/>
    <w:rsid w:val="00DB5F21"/>
    <w:rsid w:val="00DB6D7C"/>
    <w:rsid w:val="00DC090A"/>
    <w:rsid w:val="00DC0E7E"/>
    <w:rsid w:val="00DC30EA"/>
    <w:rsid w:val="00DC4FE9"/>
    <w:rsid w:val="00DC5918"/>
    <w:rsid w:val="00DC6C8D"/>
    <w:rsid w:val="00DC73A5"/>
    <w:rsid w:val="00DC7CF0"/>
    <w:rsid w:val="00DD0236"/>
    <w:rsid w:val="00DD76A4"/>
    <w:rsid w:val="00DD7C65"/>
    <w:rsid w:val="00DE03E4"/>
    <w:rsid w:val="00DE1134"/>
    <w:rsid w:val="00DE1AEB"/>
    <w:rsid w:val="00DE4732"/>
    <w:rsid w:val="00DE6668"/>
    <w:rsid w:val="00DE6987"/>
    <w:rsid w:val="00E0080A"/>
    <w:rsid w:val="00E00F31"/>
    <w:rsid w:val="00E02242"/>
    <w:rsid w:val="00E0300E"/>
    <w:rsid w:val="00E04AE0"/>
    <w:rsid w:val="00E070D0"/>
    <w:rsid w:val="00E11517"/>
    <w:rsid w:val="00E13727"/>
    <w:rsid w:val="00E20254"/>
    <w:rsid w:val="00E219EB"/>
    <w:rsid w:val="00E22C13"/>
    <w:rsid w:val="00E24FA0"/>
    <w:rsid w:val="00E25045"/>
    <w:rsid w:val="00E25CA3"/>
    <w:rsid w:val="00E2677C"/>
    <w:rsid w:val="00E26D83"/>
    <w:rsid w:val="00E27A1E"/>
    <w:rsid w:val="00E306E9"/>
    <w:rsid w:val="00E307DC"/>
    <w:rsid w:val="00E334B9"/>
    <w:rsid w:val="00E33905"/>
    <w:rsid w:val="00E342D1"/>
    <w:rsid w:val="00E34B96"/>
    <w:rsid w:val="00E37502"/>
    <w:rsid w:val="00E40127"/>
    <w:rsid w:val="00E43074"/>
    <w:rsid w:val="00E431C8"/>
    <w:rsid w:val="00E44926"/>
    <w:rsid w:val="00E44E09"/>
    <w:rsid w:val="00E45D53"/>
    <w:rsid w:val="00E46DBD"/>
    <w:rsid w:val="00E46F2A"/>
    <w:rsid w:val="00E51708"/>
    <w:rsid w:val="00E51729"/>
    <w:rsid w:val="00E53139"/>
    <w:rsid w:val="00E53A8F"/>
    <w:rsid w:val="00E5435E"/>
    <w:rsid w:val="00E55A81"/>
    <w:rsid w:val="00E56450"/>
    <w:rsid w:val="00E56DA8"/>
    <w:rsid w:val="00E60ACC"/>
    <w:rsid w:val="00E60C4B"/>
    <w:rsid w:val="00E60E21"/>
    <w:rsid w:val="00E665FE"/>
    <w:rsid w:val="00E66638"/>
    <w:rsid w:val="00E66693"/>
    <w:rsid w:val="00E6706E"/>
    <w:rsid w:val="00E6750B"/>
    <w:rsid w:val="00E7211D"/>
    <w:rsid w:val="00E757CA"/>
    <w:rsid w:val="00E75D48"/>
    <w:rsid w:val="00E773CD"/>
    <w:rsid w:val="00E774C9"/>
    <w:rsid w:val="00E80964"/>
    <w:rsid w:val="00E80989"/>
    <w:rsid w:val="00E841A6"/>
    <w:rsid w:val="00E84BCB"/>
    <w:rsid w:val="00E85905"/>
    <w:rsid w:val="00E90DC4"/>
    <w:rsid w:val="00E9163F"/>
    <w:rsid w:val="00E91CB7"/>
    <w:rsid w:val="00E956E8"/>
    <w:rsid w:val="00E97834"/>
    <w:rsid w:val="00EA022D"/>
    <w:rsid w:val="00EA0D10"/>
    <w:rsid w:val="00EA0F2C"/>
    <w:rsid w:val="00EA17E2"/>
    <w:rsid w:val="00EA19CB"/>
    <w:rsid w:val="00EA2C8F"/>
    <w:rsid w:val="00EA5D64"/>
    <w:rsid w:val="00EA613A"/>
    <w:rsid w:val="00EA6A8C"/>
    <w:rsid w:val="00EB2AD1"/>
    <w:rsid w:val="00EB3067"/>
    <w:rsid w:val="00EB353E"/>
    <w:rsid w:val="00EB56E0"/>
    <w:rsid w:val="00EB5ACF"/>
    <w:rsid w:val="00EB5DDF"/>
    <w:rsid w:val="00EB6E66"/>
    <w:rsid w:val="00EC3CEC"/>
    <w:rsid w:val="00EC4625"/>
    <w:rsid w:val="00ED139E"/>
    <w:rsid w:val="00ED1759"/>
    <w:rsid w:val="00ED27A5"/>
    <w:rsid w:val="00ED30E7"/>
    <w:rsid w:val="00ED445D"/>
    <w:rsid w:val="00ED461C"/>
    <w:rsid w:val="00ED5E2B"/>
    <w:rsid w:val="00EE01C2"/>
    <w:rsid w:val="00EE37A2"/>
    <w:rsid w:val="00EE3B12"/>
    <w:rsid w:val="00EE5AF3"/>
    <w:rsid w:val="00EE5E91"/>
    <w:rsid w:val="00EE5F8C"/>
    <w:rsid w:val="00EE73BC"/>
    <w:rsid w:val="00EF00AA"/>
    <w:rsid w:val="00EF5C49"/>
    <w:rsid w:val="00F0026A"/>
    <w:rsid w:val="00F021E7"/>
    <w:rsid w:val="00F026C1"/>
    <w:rsid w:val="00F039D1"/>
    <w:rsid w:val="00F05BEC"/>
    <w:rsid w:val="00F05D0F"/>
    <w:rsid w:val="00F05DB4"/>
    <w:rsid w:val="00F13358"/>
    <w:rsid w:val="00F1456D"/>
    <w:rsid w:val="00F15387"/>
    <w:rsid w:val="00F15D49"/>
    <w:rsid w:val="00F15D8B"/>
    <w:rsid w:val="00F17D58"/>
    <w:rsid w:val="00F228F5"/>
    <w:rsid w:val="00F23FD4"/>
    <w:rsid w:val="00F24143"/>
    <w:rsid w:val="00F241BE"/>
    <w:rsid w:val="00F24962"/>
    <w:rsid w:val="00F25038"/>
    <w:rsid w:val="00F30C41"/>
    <w:rsid w:val="00F3124A"/>
    <w:rsid w:val="00F31D41"/>
    <w:rsid w:val="00F34539"/>
    <w:rsid w:val="00F35005"/>
    <w:rsid w:val="00F364CB"/>
    <w:rsid w:val="00F37601"/>
    <w:rsid w:val="00F4058E"/>
    <w:rsid w:val="00F4220F"/>
    <w:rsid w:val="00F423B8"/>
    <w:rsid w:val="00F43F58"/>
    <w:rsid w:val="00F45507"/>
    <w:rsid w:val="00F46014"/>
    <w:rsid w:val="00F47670"/>
    <w:rsid w:val="00F509C8"/>
    <w:rsid w:val="00F51371"/>
    <w:rsid w:val="00F51AF6"/>
    <w:rsid w:val="00F56113"/>
    <w:rsid w:val="00F5640F"/>
    <w:rsid w:val="00F56682"/>
    <w:rsid w:val="00F56735"/>
    <w:rsid w:val="00F60F94"/>
    <w:rsid w:val="00F615F9"/>
    <w:rsid w:val="00F62055"/>
    <w:rsid w:val="00F620BE"/>
    <w:rsid w:val="00F64DC5"/>
    <w:rsid w:val="00F73938"/>
    <w:rsid w:val="00F73E87"/>
    <w:rsid w:val="00F74224"/>
    <w:rsid w:val="00F747A9"/>
    <w:rsid w:val="00F76696"/>
    <w:rsid w:val="00F77A84"/>
    <w:rsid w:val="00F847E6"/>
    <w:rsid w:val="00F87905"/>
    <w:rsid w:val="00F9128F"/>
    <w:rsid w:val="00F9229E"/>
    <w:rsid w:val="00F92724"/>
    <w:rsid w:val="00F92A12"/>
    <w:rsid w:val="00F942E2"/>
    <w:rsid w:val="00F9523B"/>
    <w:rsid w:val="00F9560B"/>
    <w:rsid w:val="00F95755"/>
    <w:rsid w:val="00F96E67"/>
    <w:rsid w:val="00F96E92"/>
    <w:rsid w:val="00FA13CB"/>
    <w:rsid w:val="00FA2BE9"/>
    <w:rsid w:val="00FA31AE"/>
    <w:rsid w:val="00FA4FCD"/>
    <w:rsid w:val="00FB1DA4"/>
    <w:rsid w:val="00FB2973"/>
    <w:rsid w:val="00FB42CF"/>
    <w:rsid w:val="00FB511E"/>
    <w:rsid w:val="00FB7B5E"/>
    <w:rsid w:val="00FC07DD"/>
    <w:rsid w:val="00FC2B86"/>
    <w:rsid w:val="00FC48B5"/>
    <w:rsid w:val="00FC4CA2"/>
    <w:rsid w:val="00FC7629"/>
    <w:rsid w:val="00FC7B2A"/>
    <w:rsid w:val="00FD3D67"/>
    <w:rsid w:val="00FD536A"/>
    <w:rsid w:val="00FE3CEC"/>
    <w:rsid w:val="00FE4145"/>
    <w:rsid w:val="00FE5F2D"/>
    <w:rsid w:val="00FE743E"/>
    <w:rsid w:val="00FF0810"/>
    <w:rsid w:val="00FF11E6"/>
    <w:rsid w:val="00FF32F3"/>
    <w:rsid w:val="00FF4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colormru v:ext="edit" colors="#5a9a98,#ddcf56,#ad495d,#ab9c8f,#b5d3d2,#7e6d5f,#f26631,#54534a"/>
    </o:shapedefaults>
    <o:shapelayout v:ext="edit">
      <o:idmap v:ext="edit" data="1"/>
    </o:shapelayout>
  </w:shapeDefaults>
  <w:decimalSymbol w:val="."/>
  <w:listSeparator w:val=","/>
  <w15:chartTrackingRefBased/>
  <w15:docId w15:val="{57B96421-4A01-4C01-9121-E0E207CD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C371F2"/>
    <w:pPr>
      <w:keepNext/>
      <w:pageBreakBefore/>
      <w:numPr>
        <w:numId w:val="1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C371F2"/>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C371F2"/>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17313D"/>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17313D"/>
    <w:pPr>
      <w:keepNext/>
      <w:numPr>
        <w:ilvl w:val="4"/>
        <w:numId w:val="15"/>
      </w:numPr>
      <w:spacing w:before="320" w:after="0"/>
      <w:outlineLvl w:val="4"/>
    </w:pPr>
    <w:rPr>
      <w:b/>
      <w:color w:val="54534A"/>
    </w:rPr>
  </w:style>
  <w:style w:type="paragraph" w:styleId="Heading6">
    <w:name w:val="heading 6"/>
    <w:basedOn w:val="Heading1"/>
    <w:next w:val="BodyText"/>
    <w:qFormat/>
    <w:rsid w:val="00C371F2"/>
    <w:pPr>
      <w:numPr>
        <w:ilvl w:val="5"/>
      </w:numPr>
      <w:outlineLvl w:val="5"/>
    </w:pPr>
    <w:rPr>
      <w:bCs/>
    </w:rPr>
  </w:style>
  <w:style w:type="paragraph" w:styleId="Heading7">
    <w:name w:val="heading 7"/>
    <w:basedOn w:val="Heading2"/>
    <w:next w:val="BodyText"/>
    <w:qFormat/>
    <w:rsid w:val="00C371F2"/>
    <w:pPr>
      <w:numPr>
        <w:ilvl w:val="6"/>
      </w:numPr>
      <w:outlineLvl w:val="6"/>
    </w:p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C371F2"/>
    <w:pPr>
      <w:numPr>
        <w:numId w:val="0"/>
      </w:numPr>
    </w:pPr>
  </w:style>
  <w:style w:type="paragraph" w:customStyle="1" w:styleId="Heading2unnumbered">
    <w:name w:val="Heading 2 unnumbered"/>
    <w:basedOn w:val="Heading2"/>
    <w:next w:val="BodyText"/>
    <w:rsid w:val="00C371F2"/>
    <w:pPr>
      <w:numPr>
        <w:ilvl w:val="0"/>
        <w:numId w:val="0"/>
      </w:numPr>
    </w:pPr>
  </w:style>
  <w:style w:type="paragraph" w:customStyle="1" w:styleId="Heading7unnumbered">
    <w:name w:val="Heading 7 unnumbered"/>
    <w:basedOn w:val="Heading7"/>
    <w:next w:val="BodyText"/>
    <w:semiHidden/>
    <w:rsid w:val="00C371F2"/>
    <w:pPr>
      <w:numPr>
        <w:ilvl w:val="0"/>
        <w:numId w:val="0"/>
      </w:numPr>
    </w:pPr>
  </w:style>
  <w:style w:type="paragraph" w:styleId="ListBullet">
    <w:name w:val="List Bullet"/>
    <w:basedOn w:val="BodyText"/>
    <w:rsid w:val="00960AA9"/>
    <w:pPr>
      <w:numPr>
        <w:numId w:val="11"/>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styleId="Quote">
    <w:name w:val="Quote"/>
    <w:basedOn w:val="BodyText"/>
    <w:next w:val="BodyText"/>
    <w:qFormat/>
    <w:rsid w:val="00B84A71"/>
    <w:pPr>
      <w:spacing w:before="0" w:line="260" w:lineRule="atLeast"/>
      <w:ind w:left="284"/>
    </w:pPr>
    <w:rPr>
      <w:sz w:val="17"/>
      <w:szCs w:val="17"/>
    </w:rPr>
  </w:style>
  <w:style w:type="paragraph" w:styleId="DocumentMap">
    <w:name w:val="Document Map"/>
    <w:basedOn w:val="Normal"/>
    <w:link w:val="DocumentMapChar"/>
    <w:rsid w:val="0016697B"/>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B546BF"/>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B546BF"/>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B546BF"/>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B546BF"/>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7"/>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5900F7"/>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5900F7"/>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B546BF"/>
    <w:pPr>
      <w:numPr>
        <w:numId w:val="16"/>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B546B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B546BF"/>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link w:val="CommentTextChar"/>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B546BF"/>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546BF"/>
    <w:pPr>
      <w:numPr>
        <w:numId w:val="17"/>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5900F7"/>
    <w:pPr>
      <w:numPr>
        <w:numId w:val="22"/>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6"/>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8"/>
      </w:numPr>
      <w:spacing w:before="0"/>
    </w:pPr>
  </w:style>
  <w:style w:type="paragraph" w:customStyle="1" w:styleId="BoxListNumber2">
    <w:name w:val="Box List Number 2"/>
    <w:basedOn w:val="BoxListNumber"/>
    <w:rsid w:val="006C6761"/>
    <w:pPr>
      <w:numPr>
        <w:numId w:val="5"/>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B546BF"/>
    <w:rPr>
      <w:rFonts w:ascii="Franklin Gothic Book" w:hAnsi="Franklin Gothic Book"/>
      <w:color w:val="5A9A98"/>
      <w:kern w:val="28"/>
      <w:sz w:val="50"/>
      <w:szCs w:val="50"/>
      <w:lang w:val="en-AU" w:eastAsia="en-AU" w:bidi="ar-SA"/>
    </w:rPr>
  </w:style>
  <w:style w:type="character" w:customStyle="1" w:styleId="SubtitleChar">
    <w:name w:val="Subtitle Char"/>
    <w:basedOn w:val="TitleChar"/>
    <w:link w:val="Subtitle"/>
    <w:rsid w:val="00E27A1E"/>
    <w:rPr>
      <w:rFonts w:ascii="Franklin Gothic Book" w:hAnsi="Franklin Gothic Book"/>
      <w:color w:val="5A9A98"/>
      <w:kern w:val="28"/>
      <w:sz w:val="32"/>
      <w:szCs w:val="32"/>
      <w:lang w:val="en-AU" w:eastAsia="en-AU" w:bidi="ar-SA"/>
    </w:rPr>
  </w:style>
  <w:style w:type="character" w:customStyle="1" w:styleId="DateChar">
    <w:name w:val="Date Char"/>
    <w:basedOn w:val="SubtitleChar"/>
    <w:link w:val="Date"/>
    <w:rsid w:val="00381894"/>
    <w:rPr>
      <w:rFonts w:ascii="Franklin Gothic Book" w:hAnsi="Franklin Gothic Book"/>
      <w:color w:val="5A9A98"/>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A9A98"/>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5A9A98"/>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basedOn w:val="DefaultParagraphFont"/>
    <w:link w:val="DocumentMap"/>
    <w:rsid w:val="0016697B"/>
    <w:rPr>
      <w:rFonts w:ascii="Tahoma" w:hAnsi="Tahoma" w:cs="Tahoma"/>
      <w:sz w:val="16"/>
      <w:szCs w:val="16"/>
    </w:rPr>
  </w:style>
  <w:style w:type="paragraph" w:styleId="CommentSubject">
    <w:name w:val="annotation subject"/>
    <w:basedOn w:val="CommentText"/>
    <w:next w:val="CommentText"/>
    <w:link w:val="CommentSubjectChar"/>
    <w:rsid w:val="008574C9"/>
    <w:pPr>
      <w:spacing w:before="0" w:after="0" w:line="240" w:lineRule="auto"/>
    </w:pPr>
    <w:rPr>
      <w:rFonts w:ascii="Times New Roman" w:hAnsi="Times New Roman"/>
      <w:b/>
      <w:bCs/>
      <w:sz w:val="20"/>
      <w:szCs w:val="20"/>
    </w:rPr>
  </w:style>
  <w:style w:type="character" w:customStyle="1" w:styleId="CommentTextChar">
    <w:name w:val="Comment Text Char"/>
    <w:basedOn w:val="BodyTextChar"/>
    <w:link w:val="CommentText"/>
    <w:rsid w:val="008574C9"/>
    <w:rPr>
      <w:rFonts w:ascii="Georgia" w:hAnsi="Georgia"/>
      <w:sz w:val="19"/>
      <w:szCs w:val="19"/>
      <w:lang w:val="en-AU" w:eastAsia="en-AU" w:bidi="ar-SA"/>
    </w:rPr>
  </w:style>
  <w:style w:type="character" w:customStyle="1" w:styleId="CommentSubjectChar">
    <w:name w:val="Comment Subject Char"/>
    <w:basedOn w:val="CommentTextChar"/>
    <w:link w:val="CommentSubject"/>
    <w:rsid w:val="008574C9"/>
    <w:rPr>
      <w:rFonts w:ascii="Georgia" w:hAnsi="Georgia"/>
      <w:sz w:val="19"/>
      <w:szCs w:val="19"/>
      <w:lang w:val="en-AU" w:eastAsia="en-AU" w:bidi="ar-SA"/>
    </w:rPr>
  </w:style>
  <w:style w:type="paragraph" w:styleId="Revision">
    <w:name w:val="Revision"/>
    <w:hidden/>
    <w:uiPriority w:val="99"/>
    <w:semiHidden/>
    <w:rsid w:val="008574C9"/>
    <w:rPr>
      <w:szCs w:val="24"/>
      <w:lang w:val="en-AU" w:eastAsia="en-AU"/>
    </w:rPr>
  </w:style>
  <w:style w:type="paragraph" w:styleId="BalloonText">
    <w:name w:val="Balloon Text"/>
    <w:basedOn w:val="Normal"/>
    <w:link w:val="BalloonTextChar"/>
    <w:rsid w:val="008574C9"/>
    <w:rPr>
      <w:rFonts w:ascii="Tahoma" w:hAnsi="Tahoma" w:cs="Tahoma"/>
      <w:sz w:val="16"/>
      <w:szCs w:val="16"/>
    </w:rPr>
  </w:style>
  <w:style w:type="character" w:customStyle="1" w:styleId="BalloonTextChar">
    <w:name w:val="Balloon Text Char"/>
    <w:basedOn w:val="DefaultParagraphFont"/>
    <w:link w:val="BalloonText"/>
    <w:rsid w:val="008574C9"/>
    <w:rPr>
      <w:rFonts w:ascii="Tahoma" w:hAnsi="Tahoma" w:cs="Tahoma"/>
      <w:sz w:val="16"/>
      <w:szCs w:val="16"/>
    </w:rPr>
  </w:style>
  <w:style w:type="paragraph" w:customStyle="1" w:styleId="H1">
    <w:name w:val="H1"/>
    <w:basedOn w:val="Contents"/>
    <w:qFormat/>
    <w:rsid w:val="008550DA"/>
    <w:rPr>
      <w:noProof/>
    </w:rPr>
  </w:style>
  <w:style w:type="paragraph" w:customStyle="1" w:styleId="H2">
    <w:name w:val="H2"/>
    <w:basedOn w:val="Heading2unnumbered"/>
    <w:qFormat/>
    <w:rsid w:val="008550DA"/>
  </w:style>
  <w:style w:type="paragraph" w:styleId="TOCHeading">
    <w:name w:val="TOC Heading"/>
    <w:basedOn w:val="Heading1"/>
    <w:next w:val="Normal"/>
    <w:uiPriority w:val="39"/>
    <w:unhideWhenUsed/>
    <w:qFormat/>
    <w:rsid w:val="00F56682"/>
    <w:pPr>
      <w:keepLines/>
      <w:pageBreakBefore w:val="0"/>
      <w:numPr>
        <w:numId w:val="0"/>
      </w:numPr>
      <w:spacing w:before="480" w:after="0" w:line="276" w:lineRule="auto"/>
      <w:outlineLvl w:val="9"/>
    </w:pPr>
    <w:rPr>
      <w:rFonts w:ascii="Cambria" w:hAnsi="Cambria"/>
      <w:b/>
      <w:bCs/>
      <w:color w:val="365F91"/>
      <w:spacing w:val="0"/>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ausai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usaid.gov.au/Publica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gov.au/cc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My%20Dropbox\work\AusAID%20APPRs\Nauru\Pacif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0F75DB-7746-4020-8A74-C9874226EB32}"/>
</file>

<file path=customXml/itemProps2.xml><?xml version="1.0" encoding="utf-8"?>
<ds:datastoreItem xmlns:ds="http://schemas.openxmlformats.org/officeDocument/2006/customXml" ds:itemID="{49F359C9-58DE-4791-9322-9182D2CC6662}"/>
</file>

<file path=customXml/itemProps3.xml><?xml version="1.0" encoding="utf-8"?>
<ds:datastoreItem xmlns:ds="http://schemas.openxmlformats.org/officeDocument/2006/customXml" ds:itemID="{3728615A-CF79-4772-9109-34DFDDC1D42D}"/>
</file>

<file path=customXml/itemProps4.xml><?xml version="1.0" encoding="utf-8"?>
<ds:datastoreItem xmlns:ds="http://schemas.openxmlformats.org/officeDocument/2006/customXml" ds:itemID="{539FD97F-DA7F-4A9F-ACD7-FE9F3AF39333}"/>
</file>

<file path=customXml/itemProps5.xml><?xml version="1.0" encoding="utf-8"?>
<ds:datastoreItem xmlns:ds="http://schemas.openxmlformats.org/officeDocument/2006/customXml" ds:itemID="{38214F66-0813-4DFA-B22C-525E36152545}"/>
</file>

<file path=docProps/app.xml><?xml version="1.0" encoding="utf-8"?>
<Properties xmlns="http://schemas.openxmlformats.org/officeDocument/2006/extended-properties" xmlns:vt="http://schemas.openxmlformats.org/officeDocument/2006/docPropsVTypes">
  <Template>Pacific report</Template>
  <TotalTime>5</TotalTime>
  <Pages>25</Pages>
  <Words>9975</Words>
  <Characters>56862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66704</CharactersWithSpaces>
  <SharedDoc>false</SharedDoc>
  <HLinks>
    <vt:vector size="180" baseType="variant">
      <vt:variant>
        <vt:i4>1310774</vt:i4>
      </vt:variant>
      <vt:variant>
        <vt:i4>167</vt:i4>
      </vt:variant>
      <vt:variant>
        <vt:i4>0</vt:i4>
      </vt:variant>
      <vt:variant>
        <vt:i4>5</vt:i4>
      </vt:variant>
      <vt:variant>
        <vt:lpwstr/>
      </vt:variant>
      <vt:variant>
        <vt:lpwstr>_Toc361056139</vt:lpwstr>
      </vt:variant>
      <vt:variant>
        <vt:i4>1310774</vt:i4>
      </vt:variant>
      <vt:variant>
        <vt:i4>161</vt:i4>
      </vt:variant>
      <vt:variant>
        <vt:i4>0</vt:i4>
      </vt:variant>
      <vt:variant>
        <vt:i4>5</vt:i4>
      </vt:variant>
      <vt:variant>
        <vt:lpwstr/>
      </vt:variant>
      <vt:variant>
        <vt:lpwstr>_Toc361056138</vt:lpwstr>
      </vt:variant>
      <vt:variant>
        <vt:i4>1310774</vt:i4>
      </vt:variant>
      <vt:variant>
        <vt:i4>155</vt:i4>
      </vt:variant>
      <vt:variant>
        <vt:i4>0</vt:i4>
      </vt:variant>
      <vt:variant>
        <vt:i4>5</vt:i4>
      </vt:variant>
      <vt:variant>
        <vt:lpwstr/>
      </vt:variant>
      <vt:variant>
        <vt:lpwstr>_Toc361056137</vt:lpwstr>
      </vt:variant>
      <vt:variant>
        <vt:i4>1310774</vt:i4>
      </vt:variant>
      <vt:variant>
        <vt:i4>149</vt:i4>
      </vt:variant>
      <vt:variant>
        <vt:i4>0</vt:i4>
      </vt:variant>
      <vt:variant>
        <vt:i4>5</vt:i4>
      </vt:variant>
      <vt:variant>
        <vt:lpwstr/>
      </vt:variant>
      <vt:variant>
        <vt:lpwstr>_Toc361056136</vt:lpwstr>
      </vt:variant>
      <vt:variant>
        <vt:i4>1310774</vt:i4>
      </vt:variant>
      <vt:variant>
        <vt:i4>143</vt:i4>
      </vt:variant>
      <vt:variant>
        <vt:i4>0</vt:i4>
      </vt:variant>
      <vt:variant>
        <vt:i4>5</vt:i4>
      </vt:variant>
      <vt:variant>
        <vt:lpwstr/>
      </vt:variant>
      <vt:variant>
        <vt:lpwstr>_Toc361056135</vt:lpwstr>
      </vt:variant>
      <vt:variant>
        <vt:i4>1310774</vt:i4>
      </vt:variant>
      <vt:variant>
        <vt:i4>137</vt:i4>
      </vt:variant>
      <vt:variant>
        <vt:i4>0</vt:i4>
      </vt:variant>
      <vt:variant>
        <vt:i4>5</vt:i4>
      </vt:variant>
      <vt:variant>
        <vt:lpwstr/>
      </vt:variant>
      <vt:variant>
        <vt:lpwstr>_Toc361056134</vt:lpwstr>
      </vt:variant>
      <vt:variant>
        <vt:i4>1310774</vt:i4>
      </vt:variant>
      <vt:variant>
        <vt:i4>131</vt:i4>
      </vt:variant>
      <vt:variant>
        <vt:i4>0</vt:i4>
      </vt:variant>
      <vt:variant>
        <vt:i4>5</vt:i4>
      </vt:variant>
      <vt:variant>
        <vt:lpwstr/>
      </vt:variant>
      <vt:variant>
        <vt:lpwstr>_Toc361056133</vt:lpwstr>
      </vt:variant>
      <vt:variant>
        <vt:i4>1310774</vt:i4>
      </vt:variant>
      <vt:variant>
        <vt:i4>125</vt:i4>
      </vt:variant>
      <vt:variant>
        <vt:i4>0</vt:i4>
      </vt:variant>
      <vt:variant>
        <vt:i4>5</vt:i4>
      </vt:variant>
      <vt:variant>
        <vt:lpwstr/>
      </vt:variant>
      <vt:variant>
        <vt:lpwstr>_Toc361056132</vt:lpwstr>
      </vt:variant>
      <vt:variant>
        <vt:i4>1310774</vt:i4>
      </vt:variant>
      <vt:variant>
        <vt:i4>119</vt:i4>
      </vt:variant>
      <vt:variant>
        <vt:i4>0</vt:i4>
      </vt:variant>
      <vt:variant>
        <vt:i4>5</vt:i4>
      </vt:variant>
      <vt:variant>
        <vt:lpwstr/>
      </vt:variant>
      <vt:variant>
        <vt:lpwstr>_Toc361056131</vt:lpwstr>
      </vt:variant>
      <vt:variant>
        <vt:i4>1310774</vt:i4>
      </vt:variant>
      <vt:variant>
        <vt:i4>113</vt:i4>
      </vt:variant>
      <vt:variant>
        <vt:i4>0</vt:i4>
      </vt:variant>
      <vt:variant>
        <vt:i4>5</vt:i4>
      </vt:variant>
      <vt:variant>
        <vt:lpwstr/>
      </vt:variant>
      <vt:variant>
        <vt:lpwstr>_Toc361056130</vt:lpwstr>
      </vt:variant>
      <vt:variant>
        <vt:i4>1376310</vt:i4>
      </vt:variant>
      <vt:variant>
        <vt:i4>107</vt:i4>
      </vt:variant>
      <vt:variant>
        <vt:i4>0</vt:i4>
      </vt:variant>
      <vt:variant>
        <vt:i4>5</vt:i4>
      </vt:variant>
      <vt:variant>
        <vt:lpwstr/>
      </vt:variant>
      <vt:variant>
        <vt:lpwstr>_Toc361056129</vt:lpwstr>
      </vt:variant>
      <vt:variant>
        <vt:i4>1376310</vt:i4>
      </vt:variant>
      <vt:variant>
        <vt:i4>101</vt:i4>
      </vt:variant>
      <vt:variant>
        <vt:i4>0</vt:i4>
      </vt:variant>
      <vt:variant>
        <vt:i4>5</vt:i4>
      </vt:variant>
      <vt:variant>
        <vt:lpwstr/>
      </vt:variant>
      <vt:variant>
        <vt:lpwstr>_Toc361056128</vt:lpwstr>
      </vt:variant>
      <vt:variant>
        <vt:i4>1376310</vt:i4>
      </vt:variant>
      <vt:variant>
        <vt:i4>95</vt:i4>
      </vt:variant>
      <vt:variant>
        <vt:i4>0</vt:i4>
      </vt:variant>
      <vt:variant>
        <vt:i4>5</vt:i4>
      </vt:variant>
      <vt:variant>
        <vt:lpwstr/>
      </vt:variant>
      <vt:variant>
        <vt:lpwstr>_Toc361056127</vt:lpwstr>
      </vt:variant>
      <vt:variant>
        <vt:i4>1376310</vt:i4>
      </vt:variant>
      <vt:variant>
        <vt:i4>89</vt:i4>
      </vt:variant>
      <vt:variant>
        <vt:i4>0</vt:i4>
      </vt:variant>
      <vt:variant>
        <vt:i4>5</vt:i4>
      </vt:variant>
      <vt:variant>
        <vt:lpwstr/>
      </vt:variant>
      <vt:variant>
        <vt:lpwstr>_Toc361056126</vt:lpwstr>
      </vt:variant>
      <vt:variant>
        <vt:i4>1376310</vt:i4>
      </vt:variant>
      <vt:variant>
        <vt:i4>83</vt:i4>
      </vt:variant>
      <vt:variant>
        <vt:i4>0</vt:i4>
      </vt:variant>
      <vt:variant>
        <vt:i4>5</vt:i4>
      </vt:variant>
      <vt:variant>
        <vt:lpwstr/>
      </vt:variant>
      <vt:variant>
        <vt:lpwstr>_Toc361056125</vt:lpwstr>
      </vt:variant>
      <vt:variant>
        <vt:i4>1376310</vt:i4>
      </vt:variant>
      <vt:variant>
        <vt:i4>77</vt:i4>
      </vt:variant>
      <vt:variant>
        <vt:i4>0</vt:i4>
      </vt:variant>
      <vt:variant>
        <vt:i4>5</vt:i4>
      </vt:variant>
      <vt:variant>
        <vt:lpwstr/>
      </vt:variant>
      <vt:variant>
        <vt:lpwstr>_Toc361056124</vt:lpwstr>
      </vt:variant>
      <vt:variant>
        <vt:i4>1376310</vt:i4>
      </vt:variant>
      <vt:variant>
        <vt:i4>71</vt:i4>
      </vt:variant>
      <vt:variant>
        <vt:i4>0</vt:i4>
      </vt:variant>
      <vt:variant>
        <vt:i4>5</vt:i4>
      </vt:variant>
      <vt:variant>
        <vt:lpwstr/>
      </vt:variant>
      <vt:variant>
        <vt:lpwstr>_Toc361056123</vt:lpwstr>
      </vt:variant>
      <vt:variant>
        <vt:i4>1376310</vt:i4>
      </vt:variant>
      <vt:variant>
        <vt:i4>65</vt:i4>
      </vt:variant>
      <vt:variant>
        <vt:i4>0</vt:i4>
      </vt:variant>
      <vt:variant>
        <vt:i4>5</vt:i4>
      </vt:variant>
      <vt:variant>
        <vt:lpwstr/>
      </vt:variant>
      <vt:variant>
        <vt:lpwstr>_Toc361056122</vt:lpwstr>
      </vt:variant>
      <vt:variant>
        <vt:i4>1376310</vt:i4>
      </vt:variant>
      <vt:variant>
        <vt:i4>59</vt:i4>
      </vt:variant>
      <vt:variant>
        <vt:i4>0</vt:i4>
      </vt:variant>
      <vt:variant>
        <vt:i4>5</vt:i4>
      </vt:variant>
      <vt:variant>
        <vt:lpwstr/>
      </vt:variant>
      <vt:variant>
        <vt:lpwstr>_Toc361056121</vt:lpwstr>
      </vt:variant>
      <vt:variant>
        <vt:i4>1376310</vt:i4>
      </vt:variant>
      <vt:variant>
        <vt:i4>53</vt:i4>
      </vt:variant>
      <vt:variant>
        <vt:i4>0</vt:i4>
      </vt:variant>
      <vt:variant>
        <vt:i4>5</vt:i4>
      </vt:variant>
      <vt:variant>
        <vt:lpwstr/>
      </vt:variant>
      <vt:variant>
        <vt:lpwstr>_Toc361056120</vt:lpwstr>
      </vt:variant>
      <vt:variant>
        <vt:i4>1441846</vt:i4>
      </vt:variant>
      <vt:variant>
        <vt:i4>47</vt:i4>
      </vt:variant>
      <vt:variant>
        <vt:i4>0</vt:i4>
      </vt:variant>
      <vt:variant>
        <vt:i4>5</vt:i4>
      </vt:variant>
      <vt:variant>
        <vt:lpwstr/>
      </vt:variant>
      <vt:variant>
        <vt:lpwstr>_Toc361056119</vt:lpwstr>
      </vt:variant>
      <vt:variant>
        <vt:i4>1441846</vt:i4>
      </vt:variant>
      <vt:variant>
        <vt:i4>41</vt:i4>
      </vt:variant>
      <vt:variant>
        <vt:i4>0</vt:i4>
      </vt:variant>
      <vt:variant>
        <vt:i4>5</vt:i4>
      </vt:variant>
      <vt:variant>
        <vt:lpwstr/>
      </vt:variant>
      <vt:variant>
        <vt:lpwstr>_Toc361056118</vt:lpwstr>
      </vt:variant>
      <vt:variant>
        <vt:i4>1441846</vt:i4>
      </vt:variant>
      <vt:variant>
        <vt:i4>35</vt:i4>
      </vt:variant>
      <vt:variant>
        <vt:i4>0</vt:i4>
      </vt:variant>
      <vt:variant>
        <vt:i4>5</vt:i4>
      </vt:variant>
      <vt:variant>
        <vt:lpwstr/>
      </vt:variant>
      <vt:variant>
        <vt:lpwstr>_Toc361056117</vt:lpwstr>
      </vt:variant>
      <vt:variant>
        <vt:i4>1441846</vt:i4>
      </vt:variant>
      <vt:variant>
        <vt:i4>29</vt:i4>
      </vt:variant>
      <vt:variant>
        <vt:i4>0</vt:i4>
      </vt:variant>
      <vt:variant>
        <vt:i4>5</vt:i4>
      </vt:variant>
      <vt:variant>
        <vt:lpwstr/>
      </vt:variant>
      <vt:variant>
        <vt:lpwstr>_Toc361056116</vt:lpwstr>
      </vt:variant>
      <vt:variant>
        <vt:i4>1441846</vt:i4>
      </vt:variant>
      <vt:variant>
        <vt:i4>23</vt:i4>
      </vt:variant>
      <vt:variant>
        <vt:i4>0</vt:i4>
      </vt:variant>
      <vt:variant>
        <vt:i4>5</vt:i4>
      </vt:variant>
      <vt:variant>
        <vt:lpwstr/>
      </vt:variant>
      <vt:variant>
        <vt:lpwstr>_Toc361056115</vt:lpwstr>
      </vt:variant>
      <vt:variant>
        <vt:i4>1441846</vt:i4>
      </vt:variant>
      <vt:variant>
        <vt:i4>17</vt:i4>
      </vt:variant>
      <vt:variant>
        <vt:i4>0</vt:i4>
      </vt:variant>
      <vt:variant>
        <vt:i4>5</vt:i4>
      </vt:variant>
      <vt:variant>
        <vt:lpwstr/>
      </vt:variant>
      <vt:variant>
        <vt:lpwstr>_Toc361056114</vt:lpwstr>
      </vt:variant>
      <vt:variant>
        <vt:i4>1441846</vt:i4>
      </vt:variant>
      <vt:variant>
        <vt:i4>11</vt:i4>
      </vt:variant>
      <vt:variant>
        <vt:i4>0</vt:i4>
      </vt:variant>
      <vt:variant>
        <vt:i4>5</vt:i4>
      </vt:variant>
      <vt:variant>
        <vt:lpwstr/>
      </vt:variant>
      <vt:variant>
        <vt:lpwstr>_Toc361056113</vt:lpwstr>
      </vt:variant>
      <vt:variant>
        <vt:i4>4849744</vt:i4>
      </vt:variant>
      <vt:variant>
        <vt:i4>6</vt:i4>
      </vt:variant>
      <vt:variant>
        <vt:i4>0</vt:i4>
      </vt:variant>
      <vt:variant>
        <vt:i4>5</vt:i4>
      </vt:variant>
      <vt:variant>
        <vt:lpwstr>http://www.ausaid.gov.au/</vt:lpwstr>
      </vt:variant>
      <vt:variant>
        <vt:lpwstr/>
      </vt:variant>
      <vt:variant>
        <vt:i4>7864429</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WWW</dc:creator>
  <cp:keywords/>
  <cp:lastModifiedBy>Guest</cp:lastModifiedBy>
  <cp:revision>5</cp:revision>
  <cp:lastPrinted>2009-12-02T08:28:00Z</cp:lastPrinted>
  <dcterms:created xsi:type="dcterms:W3CDTF">2013-07-09T20:02:00Z</dcterms:created>
  <dcterms:modified xsi:type="dcterms:W3CDTF">2013-07-09T20:08:00Z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120100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