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34D1" w:rsidRPr="000134D1" w:rsidRDefault="000134D1" w:rsidP="000134D1">
      <w:pPr>
        <w:pStyle w:val="Title"/>
        <w:ind w:right="-1596"/>
        <w:rPr>
          <w:noProof/>
          <w:color w:val="FFFFFF"/>
          <w:lang w:val="en-US"/>
        </w:rPr>
      </w:pPr>
      <w:r w:rsidRPr="00D7139C">
        <w:rPr>
          <w:color w:val="FFFFFF"/>
          <w:spacing w:val="-10"/>
          <w:sz w:val="48"/>
          <w:szCs w:val="48"/>
        </w:rPr>
        <w:t xml:space="preserve">Annual program performance report: </w:t>
      </w:r>
      <w:r w:rsidR="007C53BD">
        <w:rPr>
          <w:color w:val="FFFFFF"/>
          <w:spacing w:val="-10"/>
          <w:sz w:val="48"/>
          <w:szCs w:val="48"/>
        </w:rPr>
        <w:t>Vanuatu 2008</w:t>
      </w:r>
      <w:r w:rsidR="00C14A1A">
        <w:rPr>
          <w:noProof/>
          <w:color w:val="FFFFFF"/>
          <w:lang w:val="en-US" w:eastAsia="en-US"/>
        </w:rPr>
        <w:drawing>
          <wp:anchor distT="0" distB="0" distL="114300" distR="114300" simplePos="0" relativeHeight="251657728" behindDoc="1" locked="0" layoutInCell="0" allowOverlap="1">
            <wp:simplePos x="0" y="0"/>
            <wp:positionH relativeFrom="page">
              <wp:posOffset>0</wp:posOffset>
            </wp:positionH>
            <wp:positionV relativeFrom="page">
              <wp:posOffset>0</wp:posOffset>
            </wp:positionV>
            <wp:extent cx="7560310" cy="10694035"/>
            <wp:effectExtent l="0" t="0" r="2540" b="0"/>
            <wp:wrapNone/>
            <wp:docPr id="1190" name="Picture 1190" descr="Australain Government Logo, AusA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0" descr="AusAID_report_pacific_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560310" cy="106940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134D1" w:rsidRDefault="000134D1" w:rsidP="000134D1">
      <w:pPr>
        <w:pStyle w:val="Subtitle"/>
        <w:rPr>
          <w:color w:val="FFFFFF"/>
        </w:rPr>
      </w:pPr>
    </w:p>
    <w:p w:rsidR="000134D1" w:rsidRPr="002C7822" w:rsidRDefault="003B32D0" w:rsidP="000134D1">
      <w:pPr>
        <w:pStyle w:val="Date"/>
        <w:rPr>
          <w:rFonts w:ascii="Franklin Gothic Medium" w:hAnsi="Franklin Gothic Medium"/>
          <w:color w:val="FFFFFF"/>
        </w:rPr>
      </w:pPr>
      <w:r>
        <w:rPr>
          <w:rFonts w:ascii="Franklin Gothic Medium" w:hAnsi="Franklin Gothic Medium"/>
          <w:color w:val="FFFFFF"/>
        </w:rPr>
        <w:t>February</w:t>
      </w:r>
      <w:r w:rsidR="000134D1">
        <w:rPr>
          <w:rFonts w:ascii="Franklin Gothic Medium" w:hAnsi="Franklin Gothic Medium"/>
          <w:color w:val="FFFFFF"/>
        </w:rPr>
        <w:t xml:space="preserve"> 20</w:t>
      </w:r>
      <w:r>
        <w:rPr>
          <w:rFonts w:ascii="Franklin Gothic Medium" w:hAnsi="Franklin Gothic Medium"/>
          <w:color w:val="FFFFFF"/>
        </w:rPr>
        <w:t>1</w:t>
      </w:r>
      <w:r w:rsidR="000134D1">
        <w:rPr>
          <w:rFonts w:ascii="Franklin Gothic Medium" w:hAnsi="Franklin Gothic Medium"/>
          <w:color w:val="FFFFFF"/>
        </w:rPr>
        <w:t>0</w:t>
      </w:r>
    </w:p>
    <w:p w:rsidR="000134D1" w:rsidRPr="002C7822" w:rsidRDefault="000134D1">
      <w:pPr>
        <w:pStyle w:val="Date"/>
        <w:rPr>
          <w:rFonts w:ascii="Franklin Gothic Medium" w:hAnsi="Franklin Gothic Medium"/>
          <w:color w:val="FFFFFF"/>
        </w:rPr>
      </w:pPr>
    </w:p>
    <w:p w:rsidR="000134D1" w:rsidRDefault="00C14A1A">
      <w:pPr>
        <w:pStyle w:val="BoxText"/>
        <w:pageBreakBefore/>
        <w:spacing w:before="300"/>
        <w:ind w:right="1134"/>
      </w:pPr>
      <w:r>
        <w:rPr>
          <w:noProof/>
          <w:lang w:val="en-US" w:eastAsia="en-US"/>
        </w:rPr>
        <w:lastRenderedPageBreak/>
        <w:drawing>
          <wp:anchor distT="0" distB="0" distL="114300" distR="114300" simplePos="0" relativeHeight="251655680" behindDoc="1" locked="0" layoutInCell="1" allowOverlap="1">
            <wp:simplePos x="0" y="0"/>
            <wp:positionH relativeFrom="page">
              <wp:posOffset>0</wp:posOffset>
            </wp:positionH>
            <wp:positionV relativeFrom="page">
              <wp:posOffset>1386205</wp:posOffset>
            </wp:positionV>
            <wp:extent cx="7560310" cy="1585595"/>
            <wp:effectExtent l="0" t="0" r="2540" b="0"/>
            <wp:wrapSquare wrapText="bothSides"/>
            <wp:docPr id="1188" name="Picture 1188" descr="AusAID graphics pacific internal chap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8" descr="AusAID graphics pacific internal chapte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560310" cy="1585595"/>
                    </a:xfrm>
                    <a:prstGeom prst="rect">
                      <a:avLst/>
                    </a:prstGeom>
                    <a:noFill/>
                    <a:ln>
                      <a:noFill/>
                    </a:ln>
                  </pic:spPr>
                </pic:pic>
              </a:graphicData>
            </a:graphic>
            <wp14:sizeRelH relativeFrom="page">
              <wp14:pctWidth>0</wp14:pctWidth>
            </wp14:sizeRelH>
            <wp14:sizeRelV relativeFrom="page">
              <wp14:pctHeight>0</wp14:pctHeight>
            </wp14:sizeRelV>
          </wp:anchor>
        </w:drawing>
      </w:r>
      <w:r w:rsidR="000134D1">
        <w:t xml:space="preserve">© Commonwealth of Australia </w:t>
      </w:r>
      <w:r w:rsidR="000D4DE4">
        <w:t>20</w:t>
      </w:r>
      <w:r w:rsidR="003B32D0">
        <w:t>1</w:t>
      </w:r>
      <w:r w:rsidR="000D4DE4">
        <w:t>0</w:t>
      </w:r>
    </w:p>
    <w:p w:rsidR="000134D1" w:rsidRPr="00737052" w:rsidRDefault="000134D1">
      <w:pPr>
        <w:pStyle w:val="BoxText"/>
        <w:ind w:right="1134"/>
      </w:pPr>
      <w:r>
        <w:t xml:space="preserve">This work is copyright. You may download, display, print and reproduce this material in unaltered form only (retaining this notice) for your personal, non-commercial use or use within your organisation. Apart from any use as permitted under the </w:t>
      </w:r>
      <w:r w:rsidRPr="0094221E">
        <w:rPr>
          <w:i/>
        </w:rPr>
        <w:t>Copyright Act 1968</w:t>
      </w:r>
      <w:r>
        <w:t>, all other rights are reserved. Requests and inquiries concerning reproduction and rights should be addressed to Commonwealth Copyright Administration, Attorney</w:t>
      </w:r>
      <w:r w:rsidR="00CE7C6C">
        <w:t>-</w:t>
      </w:r>
      <w:r>
        <w:t xml:space="preserve">General’s Department, Robert Garran Offices, National Circuit, Barton ACT 2600 or posted </w:t>
      </w:r>
      <w:r w:rsidRPr="0094221E">
        <w:t xml:space="preserve">at </w:t>
      </w:r>
      <w:hyperlink r:id="rId13" w:history="1">
        <w:r w:rsidRPr="0094221E">
          <w:t>http://www.ag.gov.au/cca</w:t>
        </w:r>
      </w:hyperlink>
    </w:p>
    <w:p w:rsidR="000134D1" w:rsidRPr="00CF0CE7" w:rsidRDefault="000134D1">
      <w:pPr>
        <w:pStyle w:val="BoxText"/>
        <w:spacing w:before="400"/>
        <w:ind w:right="1134"/>
      </w:pPr>
      <w:r w:rsidRPr="00CF0CE7">
        <w:t>Published by the Australian Agency for International Development (</w:t>
      </w:r>
      <w:proofErr w:type="spellStart"/>
      <w:r w:rsidRPr="00CF0CE7">
        <w:t>AusAID</w:t>
      </w:r>
      <w:proofErr w:type="spellEnd"/>
      <w:r w:rsidRPr="00CF0CE7">
        <w:t xml:space="preserve">), </w:t>
      </w:r>
      <w:smartTag w:uri="urn:schemas-microsoft-com:office:smarttags" w:element="place">
        <w:smartTag w:uri="urn:schemas-microsoft-com:office:smarttags" w:element="City">
          <w:r w:rsidRPr="00CF0CE7">
            <w:t>Canberra</w:t>
          </w:r>
        </w:smartTag>
      </w:smartTag>
      <w:r w:rsidRPr="00CF0CE7">
        <w:t xml:space="preserve">, </w:t>
      </w:r>
      <w:proofErr w:type="gramStart"/>
      <w:r w:rsidR="003B32D0">
        <w:t>February</w:t>
      </w:r>
      <w:proofErr w:type="gramEnd"/>
      <w:r w:rsidR="00B64223">
        <w:t xml:space="preserve"> </w:t>
      </w:r>
      <w:r w:rsidR="000D4DE4">
        <w:t>20</w:t>
      </w:r>
      <w:r w:rsidR="003B32D0">
        <w:t>1</w:t>
      </w:r>
      <w:r w:rsidR="000D4DE4">
        <w:t>0</w:t>
      </w:r>
      <w:r w:rsidRPr="00CF0CE7">
        <w:t>.</w:t>
      </w:r>
    </w:p>
    <w:p w:rsidR="000134D1" w:rsidRPr="00F0526B" w:rsidRDefault="000134D1">
      <w:pPr>
        <w:pStyle w:val="BoxText"/>
        <w:ind w:right="1134"/>
      </w:pPr>
      <w:r w:rsidRPr="00F0526B">
        <w:t xml:space="preserve">This document is online at </w:t>
      </w:r>
      <w:hyperlink r:id="rId14" w:history="1">
        <w:r w:rsidRPr="00F0526B">
          <w:t>www.ausaid.gov.au/publications</w:t>
        </w:r>
      </w:hyperlink>
    </w:p>
    <w:p w:rsidR="000134D1" w:rsidRPr="00F0526B" w:rsidRDefault="000134D1">
      <w:pPr>
        <w:pStyle w:val="BoxText"/>
        <w:ind w:right="2418"/>
      </w:pPr>
      <w:r w:rsidRPr="00F0526B">
        <w:t xml:space="preserve">For </w:t>
      </w:r>
      <w:r>
        <w:t>furthe</w:t>
      </w:r>
      <w:r w:rsidRPr="00A045A2">
        <w:t xml:space="preserve">r information about the Australian Government’s international development program, </w:t>
      </w:r>
      <w:r w:rsidRPr="00F0526B">
        <w:t>contact:</w:t>
      </w:r>
    </w:p>
    <w:p w:rsidR="000134D1" w:rsidRPr="00F0526B" w:rsidRDefault="000134D1">
      <w:pPr>
        <w:pStyle w:val="BoxText"/>
        <w:spacing w:after="0"/>
        <w:ind w:right="1134"/>
      </w:pPr>
      <w:r>
        <w:t>Communications Section</w:t>
      </w:r>
    </w:p>
    <w:p w:rsidR="000134D1" w:rsidRPr="00F0526B" w:rsidRDefault="000134D1">
      <w:pPr>
        <w:pStyle w:val="BoxText"/>
        <w:spacing w:before="0" w:after="0"/>
        <w:ind w:right="1134"/>
      </w:pPr>
      <w:proofErr w:type="spellStart"/>
      <w:r w:rsidRPr="00F0526B">
        <w:t>AusAID</w:t>
      </w:r>
      <w:proofErr w:type="spellEnd"/>
    </w:p>
    <w:p w:rsidR="000134D1" w:rsidRPr="00F0526B" w:rsidRDefault="000134D1">
      <w:pPr>
        <w:pStyle w:val="BoxText"/>
        <w:spacing w:before="0" w:after="0"/>
        <w:ind w:right="1134"/>
      </w:pPr>
      <w:r w:rsidRPr="00F0526B">
        <w:t xml:space="preserve">GPO </w:t>
      </w:r>
      <w:smartTag w:uri="urn:schemas-microsoft-com:office:smarttags" w:element="address">
        <w:smartTag w:uri="urn:schemas-microsoft-com:office:smarttags" w:element="Street">
          <w:r w:rsidRPr="00F0526B">
            <w:t>Box</w:t>
          </w:r>
        </w:smartTag>
        <w:r w:rsidRPr="00F0526B">
          <w:t xml:space="preserve"> 887</w:t>
        </w:r>
      </w:smartTag>
    </w:p>
    <w:p w:rsidR="000134D1" w:rsidRPr="00F0526B" w:rsidRDefault="000134D1">
      <w:pPr>
        <w:pStyle w:val="BoxText"/>
        <w:spacing w:before="0"/>
        <w:ind w:right="1134"/>
      </w:pPr>
      <w:smartTag w:uri="urn:schemas-microsoft-com:office:smarttags" w:element="place">
        <w:smartTag w:uri="urn:schemas-microsoft-com:office:smarttags" w:element="City">
          <w:r w:rsidRPr="00F0526B">
            <w:t>Canberra</w:t>
          </w:r>
        </w:smartTag>
      </w:smartTag>
      <w:r w:rsidRPr="00F0526B">
        <w:t xml:space="preserve"> ACT 2601</w:t>
      </w:r>
    </w:p>
    <w:p w:rsidR="000134D1" w:rsidRPr="00F0526B" w:rsidRDefault="000134D1">
      <w:pPr>
        <w:pStyle w:val="BoxText"/>
        <w:spacing w:after="0"/>
        <w:ind w:right="1134"/>
      </w:pPr>
      <w:proofErr w:type="gramStart"/>
      <w:r w:rsidRPr="00F0526B">
        <w:t>Phone</w:t>
      </w:r>
      <w:proofErr w:type="gramEnd"/>
      <w:r w:rsidRPr="00F0526B">
        <w:rPr>
          <w:rFonts w:ascii="Arial Unicode MS" w:eastAsia="Arial Unicode MS" w:hAnsi="Arial Unicode MS" w:cs="Arial Unicode MS" w:hint="eastAsia"/>
        </w:rPr>
        <w:t> </w:t>
      </w:r>
      <w:r w:rsidRPr="00F0526B">
        <w:t xml:space="preserve">(02) 6206 </w:t>
      </w:r>
      <w:r>
        <w:t>4000</w:t>
      </w:r>
    </w:p>
    <w:p w:rsidR="000134D1" w:rsidRPr="00F0526B" w:rsidRDefault="000134D1">
      <w:pPr>
        <w:pStyle w:val="BoxText"/>
        <w:spacing w:before="0" w:after="0"/>
        <w:ind w:right="1134"/>
      </w:pPr>
      <w:proofErr w:type="gramStart"/>
      <w:r w:rsidRPr="00F0526B">
        <w:t>Facsimile</w:t>
      </w:r>
      <w:proofErr w:type="gramEnd"/>
      <w:r w:rsidRPr="00F0526B">
        <w:rPr>
          <w:rFonts w:ascii="Arial Unicode MS" w:eastAsia="Arial Unicode MS" w:hAnsi="Arial Unicode MS" w:cs="Arial Unicode MS" w:hint="eastAsia"/>
        </w:rPr>
        <w:t> </w:t>
      </w:r>
      <w:r w:rsidRPr="00F0526B">
        <w:t xml:space="preserve">(02) 6206 </w:t>
      </w:r>
      <w:r>
        <w:t>4880</w:t>
      </w:r>
    </w:p>
    <w:p w:rsidR="000134D1" w:rsidRDefault="000134D1">
      <w:pPr>
        <w:pStyle w:val="BoxText"/>
        <w:spacing w:before="0"/>
        <w:ind w:right="1134"/>
      </w:pPr>
      <w:r w:rsidRPr="00F0526B">
        <w:t>Internet</w:t>
      </w:r>
      <w:r w:rsidRPr="00F0526B">
        <w:rPr>
          <w:rFonts w:ascii="Arial Unicode MS" w:eastAsia="Arial Unicode MS" w:hAnsi="Arial Unicode MS" w:cs="Arial Unicode MS" w:hint="eastAsia"/>
        </w:rPr>
        <w:t> </w:t>
      </w:r>
      <w:hyperlink r:id="rId15" w:history="1">
        <w:r w:rsidRPr="00F0526B">
          <w:t>www.</w:t>
        </w:r>
        <w:bookmarkStart w:id="0" w:name="_Hlt536343294"/>
        <w:r w:rsidRPr="00F0526B">
          <w:t>a</w:t>
        </w:r>
        <w:bookmarkEnd w:id="0"/>
        <w:r w:rsidRPr="00F0526B">
          <w:t>u</w:t>
        </w:r>
        <w:bookmarkStart w:id="1" w:name="_Hlt536343388"/>
        <w:r w:rsidRPr="00F0526B">
          <w:t>s</w:t>
        </w:r>
        <w:bookmarkStart w:id="2" w:name="_Hlt536343250"/>
        <w:bookmarkEnd w:id="1"/>
        <w:r w:rsidRPr="00F0526B">
          <w:t>a</w:t>
        </w:r>
        <w:bookmarkStart w:id="3" w:name="_Hlt536343212"/>
        <w:bookmarkEnd w:id="2"/>
        <w:r w:rsidRPr="00F0526B">
          <w:t>i</w:t>
        </w:r>
        <w:bookmarkStart w:id="4" w:name="_Hlt536343325"/>
        <w:bookmarkEnd w:id="3"/>
        <w:r w:rsidRPr="00F0526B">
          <w:t>d</w:t>
        </w:r>
        <w:bookmarkEnd w:id="4"/>
        <w:r w:rsidRPr="00F0526B">
          <w:t>.go</w:t>
        </w:r>
        <w:bookmarkStart w:id="5" w:name="_Hlt86200017"/>
        <w:r w:rsidRPr="00F0526B">
          <w:t>v</w:t>
        </w:r>
        <w:bookmarkEnd w:id="5"/>
        <w:r w:rsidRPr="00F0526B">
          <w:t>.au</w:t>
        </w:r>
      </w:hyperlink>
    </w:p>
    <w:p w:rsidR="000134D1" w:rsidRDefault="00C14A1A">
      <w:pPr>
        <w:pStyle w:val="Contents"/>
        <w:rPr>
          <w:noProof/>
        </w:rPr>
      </w:pPr>
      <w:r>
        <w:rPr>
          <w:noProof/>
          <w:lang w:val="en-US" w:eastAsia="en-US"/>
        </w:rPr>
        <w:lastRenderedPageBreak/>
        <w:drawing>
          <wp:anchor distT="0" distB="0" distL="114300" distR="114300" simplePos="0" relativeHeight="251653632" behindDoc="1" locked="0" layoutInCell="1" allowOverlap="1">
            <wp:simplePos x="0" y="0"/>
            <wp:positionH relativeFrom="page">
              <wp:posOffset>0</wp:posOffset>
            </wp:positionH>
            <wp:positionV relativeFrom="page">
              <wp:posOffset>1386205</wp:posOffset>
            </wp:positionV>
            <wp:extent cx="7560310" cy="1585595"/>
            <wp:effectExtent l="0" t="0" r="2540" b="0"/>
            <wp:wrapNone/>
            <wp:docPr id="1185" name="Picture 1185" descr="AusAID graphics pacific internal chap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5" descr="AusAID graphics pacific internal chapte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560310" cy="1585595"/>
                    </a:xfrm>
                    <a:prstGeom prst="rect">
                      <a:avLst/>
                    </a:prstGeom>
                    <a:noFill/>
                    <a:ln>
                      <a:noFill/>
                    </a:ln>
                  </pic:spPr>
                </pic:pic>
              </a:graphicData>
            </a:graphic>
            <wp14:sizeRelH relativeFrom="page">
              <wp14:pctWidth>0</wp14:pctWidth>
            </wp14:sizeRelH>
            <wp14:sizeRelV relativeFrom="page">
              <wp14:pctHeight>0</wp14:pctHeight>
            </wp14:sizeRelV>
          </wp:anchor>
        </w:drawing>
      </w:r>
      <w:r w:rsidR="000134D1">
        <w:rPr>
          <w:noProof/>
        </w:rPr>
        <w:t>Contents</w:t>
      </w:r>
    </w:p>
    <w:p w:rsidR="0037179A" w:rsidRDefault="007C066E">
      <w:pPr>
        <w:pStyle w:val="TOC1"/>
        <w:rPr>
          <w:rFonts w:asciiTheme="minorHAnsi" w:eastAsiaTheme="minorEastAsia" w:hAnsiTheme="minorHAnsi" w:cstheme="minorBidi"/>
          <w:noProof/>
          <w:color w:val="auto"/>
          <w:sz w:val="22"/>
          <w:szCs w:val="22"/>
          <w:lang w:val="en-US" w:eastAsia="en-US"/>
        </w:rPr>
      </w:pPr>
      <w:r>
        <w:fldChar w:fldCharType="begin"/>
      </w:r>
      <w:r>
        <w:instrText xml:space="preserve"> TOC \o "1-2" </w:instrText>
      </w:r>
      <w:r>
        <w:fldChar w:fldCharType="separate"/>
      </w:r>
      <w:r w:rsidR="0037179A">
        <w:rPr>
          <w:noProof/>
        </w:rPr>
        <w:t>Abbreviations</w:t>
      </w:r>
      <w:r w:rsidR="0037179A">
        <w:rPr>
          <w:noProof/>
        </w:rPr>
        <w:tab/>
      </w:r>
      <w:r w:rsidR="0037179A">
        <w:rPr>
          <w:noProof/>
        </w:rPr>
        <w:fldChar w:fldCharType="begin"/>
      </w:r>
      <w:r w:rsidR="0037179A">
        <w:rPr>
          <w:noProof/>
        </w:rPr>
        <w:instrText xml:space="preserve"> PAGEREF _Toc360984079 \h </w:instrText>
      </w:r>
      <w:r w:rsidR="0037179A">
        <w:rPr>
          <w:noProof/>
        </w:rPr>
      </w:r>
      <w:r w:rsidR="0037179A">
        <w:rPr>
          <w:noProof/>
        </w:rPr>
        <w:fldChar w:fldCharType="separate"/>
      </w:r>
      <w:r w:rsidR="0037179A">
        <w:rPr>
          <w:noProof/>
        </w:rPr>
        <w:t>4</w:t>
      </w:r>
      <w:r w:rsidR="0037179A">
        <w:rPr>
          <w:noProof/>
        </w:rPr>
        <w:fldChar w:fldCharType="end"/>
      </w:r>
    </w:p>
    <w:p w:rsidR="0037179A" w:rsidRDefault="0037179A">
      <w:pPr>
        <w:pStyle w:val="TOC1"/>
        <w:rPr>
          <w:rFonts w:asciiTheme="minorHAnsi" w:eastAsiaTheme="minorEastAsia" w:hAnsiTheme="minorHAnsi" w:cstheme="minorBidi"/>
          <w:noProof/>
          <w:color w:val="auto"/>
          <w:sz w:val="22"/>
          <w:szCs w:val="22"/>
          <w:lang w:val="en-US" w:eastAsia="en-US"/>
        </w:rPr>
      </w:pPr>
      <w:r>
        <w:rPr>
          <w:noProof/>
        </w:rPr>
        <w:t>Summary</w:t>
      </w:r>
      <w:r>
        <w:rPr>
          <w:noProof/>
        </w:rPr>
        <w:tab/>
      </w:r>
      <w:r>
        <w:rPr>
          <w:noProof/>
        </w:rPr>
        <w:fldChar w:fldCharType="begin"/>
      </w:r>
      <w:r>
        <w:rPr>
          <w:noProof/>
        </w:rPr>
        <w:instrText xml:space="preserve"> PAGEREF _Toc360984080 \h </w:instrText>
      </w:r>
      <w:r>
        <w:rPr>
          <w:noProof/>
        </w:rPr>
      </w:r>
      <w:r>
        <w:rPr>
          <w:noProof/>
        </w:rPr>
        <w:fldChar w:fldCharType="separate"/>
      </w:r>
      <w:r>
        <w:rPr>
          <w:noProof/>
        </w:rPr>
        <w:t>5</w:t>
      </w:r>
      <w:r>
        <w:rPr>
          <w:noProof/>
        </w:rPr>
        <w:fldChar w:fldCharType="end"/>
      </w:r>
    </w:p>
    <w:p w:rsidR="0037179A" w:rsidRDefault="0037179A">
      <w:pPr>
        <w:pStyle w:val="TOC2"/>
        <w:rPr>
          <w:rFonts w:asciiTheme="minorHAnsi" w:eastAsiaTheme="minorEastAsia" w:hAnsiTheme="minorHAnsi" w:cstheme="minorBidi"/>
          <w:noProof/>
          <w:color w:val="auto"/>
          <w:sz w:val="22"/>
          <w:szCs w:val="22"/>
          <w:lang w:val="en-US" w:eastAsia="en-US"/>
        </w:rPr>
      </w:pPr>
      <w:r>
        <w:rPr>
          <w:noProof/>
        </w:rPr>
        <w:t>Overview</w:t>
      </w:r>
      <w:r>
        <w:rPr>
          <w:noProof/>
        </w:rPr>
        <w:tab/>
      </w:r>
      <w:r>
        <w:rPr>
          <w:noProof/>
        </w:rPr>
        <w:fldChar w:fldCharType="begin"/>
      </w:r>
      <w:r>
        <w:rPr>
          <w:noProof/>
        </w:rPr>
        <w:instrText xml:space="preserve"> PAGEREF _Toc360984081 \h </w:instrText>
      </w:r>
      <w:r>
        <w:rPr>
          <w:noProof/>
        </w:rPr>
      </w:r>
      <w:r>
        <w:rPr>
          <w:noProof/>
        </w:rPr>
        <w:fldChar w:fldCharType="separate"/>
      </w:r>
      <w:r>
        <w:rPr>
          <w:noProof/>
        </w:rPr>
        <w:t>5</w:t>
      </w:r>
      <w:r>
        <w:rPr>
          <w:noProof/>
        </w:rPr>
        <w:fldChar w:fldCharType="end"/>
      </w:r>
    </w:p>
    <w:p w:rsidR="0037179A" w:rsidRDefault="0037179A">
      <w:pPr>
        <w:pStyle w:val="TOC2"/>
        <w:rPr>
          <w:rFonts w:asciiTheme="minorHAnsi" w:eastAsiaTheme="minorEastAsia" w:hAnsiTheme="minorHAnsi" w:cstheme="minorBidi"/>
          <w:noProof/>
          <w:color w:val="auto"/>
          <w:sz w:val="22"/>
          <w:szCs w:val="22"/>
          <w:lang w:val="en-US" w:eastAsia="en-US"/>
        </w:rPr>
      </w:pPr>
      <w:r>
        <w:rPr>
          <w:noProof/>
        </w:rPr>
        <w:t>Ratings</w:t>
      </w:r>
      <w:r>
        <w:rPr>
          <w:noProof/>
        </w:rPr>
        <w:tab/>
      </w:r>
      <w:r>
        <w:rPr>
          <w:noProof/>
        </w:rPr>
        <w:fldChar w:fldCharType="begin"/>
      </w:r>
      <w:r>
        <w:rPr>
          <w:noProof/>
        </w:rPr>
        <w:instrText xml:space="preserve"> PAGEREF _Toc360984082 \h </w:instrText>
      </w:r>
      <w:r>
        <w:rPr>
          <w:noProof/>
        </w:rPr>
      </w:r>
      <w:r>
        <w:rPr>
          <w:noProof/>
        </w:rPr>
        <w:fldChar w:fldCharType="separate"/>
      </w:r>
      <w:r>
        <w:rPr>
          <w:noProof/>
        </w:rPr>
        <w:t>5</w:t>
      </w:r>
      <w:r>
        <w:rPr>
          <w:noProof/>
        </w:rPr>
        <w:fldChar w:fldCharType="end"/>
      </w:r>
    </w:p>
    <w:p w:rsidR="0037179A" w:rsidRDefault="0037179A">
      <w:pPr>
        <w:pStyle w:val="TOC2"/>
        <w:rPr>
          <w:rFonts w:asciiTheme="minorHAnsi" w:eastAsiaTheme="minorEastAsia" w:hAnsiTheme="minorHAnsi" w:cstheme="minorBidi"/>
          <w:noProof/>
          <w:color w:val="auto"/>
          <w:sz w:val="22"/>
          <w:szCs w:val="22"/>
          <w:lang w:val="en-US" w:eastAsia="en-US"/>
        </w:rPr>
      </w:pPr>
      <w:r>
        <w:rPr>
          <w:noProof/>
        </w:rPr>
        <w:t>Major results</w:t>
      </w:r>
      <w:r>
        <w:rPr>
          <w:noProof/>
        </w:rPr>
        <w:tab/>
      </w:r>
      <w:r>
        <w:rPr>
          <w:noProof/>
        </w:rPr>
        <w:fldChar w:fldCharType="begin"/>
      </w:r>
      <w:r>
        <w:rPr>
          <w:noProof/>
        </w:rPr>
        <w:instrText xml:space="preserve"> PAGEREF _Toc360984083 \h </w:instrText>
      </w:r>
      <w:r>
        <w:rPr>
          <w:noProof/>
        </w:rPr>
      </w:r>
      <w:r>
        <w:rPr>
          <w:noProof/>
        </w:rPr>
        <w:fldChar w:fldCharType="separate"/>
      </w:r>
      <w:r>
        <w:rPr>
          <w:noProof/>
        </w:rPr>
        <w:t>6</w:t>
      </w:r>
      <w:r>
        <w:rPr>
          <w:noProof/>
        </w:rPr>
        <w:fldChar w:fldCharType="end"/>
      </w:r>
    </w:p>
    <w:p w:rsidR="0037179A" w:rsidRDefault="0037179A">
      <w:pPr>
        <w:pStyle w:val="TOC2"/>
        <w:rPr>
          <w:rFonts w:asciiTheme="minorHAnsi" w:eastAsiaTheme="minorEastAsia" w:hAnsiTheme="minorHAnsi" w:cstheme="minorBidi"/>
          <w:noProof/>
          <w:color w:val="auto"/>
          <w:sz w:val="22"/>
          <w:szCs w:val="22"/>
          <w:lang w:val="en-US" w:eastAsia="en-US"/>
        </w:rPr>
      </w:pPr>
      <w:r>
        <w:rPr>
          <w:noProof/>
        </w:rPr>
        <w:t>Major challenges</w:t>
      </w:r>
      <w:r>
        <w:rPr>
          <w:noProof/>
        </w:rPr>
        <w:tab/>
      </w:r>
      <w:r>
        <w:rPr>
          <w:noProof/>
        </w:rPr>
        <w:fldChar w:fldCharType="begin"/>
      </w:r>
      <w:r>
        <w:rPr>
          <w:noProof/>
        </w:rPr>
        <w:instrText xml:space="preserve"> PAGEREF _Toc360984084 \h </w:instrText>
      </w:r>
      <w:r>
        <w:rPr>
          <w:noProof/>
        </w:rPr>
      </w:r>
      <w:r>
        <w:rPr>
          <w:noProof/>
        </w:rPr>
        <w:fldChar w:fldCharType="separate"/>
      </w:r>
      <w:r>
        <w:rPr>
          <w:noProof/>
        </w:rPr>
        <w:t>7</w:t>
      </w:r>
      <w:r>
        <w:rPr>
          <w:noProof/>
        </w:rPr>
        <w:fldChar w:fldCharType="end"/>
      </w:r>
    </w:p>
    <w:p w:rsidR="0037179A" w:rsidRDefault="0037179A">
      <w:pPr>
        <w:pStyle w:val="TOC1"/>
        <w:rPr>
          <w:rFonts w:asciiTheme="minorHAnsi" w:eastAsiaTheme="minorEastAsia" w:hAnsiTheme="minorHAnsi" w:cstheme="minorBidi"/>
          <w:noProof/>
          <w:color w:val="auto"/>
          <w:sz w:val="22"/>
          <w:szCs w:val="22"/>
          <w:lang w:val="en-US" w:eastAsia="en-US"/>
        </w:rPr>
      </w:pPr>
      <w:r>
        <w:rPr>
          <w:noProof/>
        </w:rPr>
        <w:t>Country performance</w:t>
      </w:r>
      <w:r>
        <w:rPr>
          <w:noProof/>
        </w:rPr>
        <w:tab/>
      </w:r>
      <w:r>
        <w:rPr>
          <w:noProof/>
        </w:rPr>
        <w:fldChar w:fldCharType="begin"/>
      </w:r>
      <w:r>
        <w:rPr>
          <w:noProof/>
        </w:rPr>
        <w:instrText xml:space="preserve"> PAGEREF _Toc360984085 \h </w:instrText>
      </w:r>
      <w:r>
        <w:rPr>
          <w:noProof/>
        </w:rPr>
      </w:r>
      <w:r>
        <w:rPr>
          <w:noProof/>
        </w:rPr>
        <w:fldChar w:fldCharType="separate"/>
      </w:r>
      <w:r>
        <w:rPr>
          <w:noProof/>
        </w:rPr>
        <w:t>8</w:t>
      </w:r>
      <w:r>
        <w:rPr>
          <w:noProof/>
        </w:rPr>
        <w:fldChar w:fldCharType="end"/>
      </w:r>
    </w:p>
    <w:p w:rsidR="0037179A" w:rsidRDefault="0037179A">
      <w:pPr>
        <w:pStyle w:val="TOC1"/>
        <w:rPr>
          <w:rFonts w:asciiTheme="minorHAnsi" w:eastAsiaTheme="minorEastAsia" w:hAnsiTheme="minorHAnsi" w:cstheme="minorBidi"/>
          <w:noProof/>
          <w:color w:val="auto"/>
          <w:sz w:val="22"/>
          <w:szCs w:val="22"/>
          <w:lang w:val="en-US" w:eastAsia="en-US"/>
        </w:rPr>
      </w:pPr>
      <w:r>
        <w:rPr>
          <w:noProof/>
        </w:rPr>
        <w:t>What are the results of our aid program?</w:t>
      </w:r>
      <w:r>
        <w:rPr>
          <w:noProof/>
        </w:rPr>
        <w:tab/>
      </w:r>
      <w:r>
        <w:rPr>
          <w:noProof/>
        </w:rPr>
        <w:fldChar w:fldCharType="begin"/>
      </w:r>
      <w:r>
        <w:rPr>
          <w:noProof/>
        </w:rPr>
        <w:instrText xml:space="preserve"> PAGEREF _Toc360984086 \h </w:instrText>
      </w:r>
      <w:r>
        <w:rPr>
          <w:noProof/>
        </w:rPr>
      </w:r>
      <w:r>
        <w:rPr>
          <w:noProof/>
        </w:rPr>
        <w:fldChar w:fldCharType="separate"/>
      </w:r>
      <w:r>
        <w:rPr>
          <w:noProof/>
        </w:rPr>
        <w:t>10</w:t>
      </w:r>
      <w:r>
        <w:rPr>
          <w:noProof/>
        </w:rPr>
        <w:fldChar w:fldCharType="end"/>
      </w:r>
    </w:p>
    <w:p w:rsidR="0037179A" w:rsidRDefault="0037179A">
      <w:pPr>
        <w:pStyle w:val="TOC2"/>
        <w:rPr>
          <w:rFonts w:asciiTheme="minorHAnsi" w:eastAsiaTheme="minorEastAsia" w:hAnsiTheme="minorHAnsi" w:cstheme="minorBidi"/>
          <w:noProof/>
          <w:color w:val="auto"/>
          <w:sz w:val="22"/>
          <w:szCs w:val="22"/>
          <w:lang w:val="en-US" w:eastAsia="en-US"/>
        </w:rPr>
      </w:pPr>
      <w:r>
        <w:rPr>
          <w:noProof/>
        </w:rPr>
        <w:t>Objective 1: Improved financial management and accountability</w:t>
      </w:r>
      <w:r>
        <w:rPr>
          <w:noProof/>
        </w:rPr>
        <w:tab/>
      </w:r>
      <w:r>
        <w:rPr>
          <w:noProof/>
        </w:rPr>
        <w:fldChar w:fldCharType="begin"/>
      </w:r>
      <w:r>
        <w:rPr>
          <w:noProof/>
        </w:rPr>
        <w:instrText xml:space="preserve"> PAGEREF _Toc360984087 \h </w:instrText>
      </w:r>
      <w:r>
        <w:rPr>
          <w:noProof/>
        </w:rPr>
      </w:r>
      <w:r>
        <w:rPr>
          <w:noProof/>
        </w:rPr>
        <w:fldChar w:fldCharType="separate"/>
      </w:r>
      <w:r>
        <w:rPr>
          <w:noProof/>
        </w:rPr>
        <w:t>10</w:t>
      </w:r>
      <w:r>
        <w:rPr>
          <w:noProof/>
        </w:rPr>
        <w:fldChar w:fldCharType="end"/>
      </w:r>
    </w:p>
    <w:p w:rsidR="0037179A" w:rsidRDefault="0037179A">
      <w:pPr>
        <w:pStyle w:val="TOC2"/>
        <w:rPr>
          <w:rFonts w:asciiTheme="minorHAnsi" w:eastAsiaTheme="minorEastAsia" w:hAnsiTheme="minorHAnsi" w:cstheme="minorBidi"/>
          <w:noProof/>
          <w:color w:val="auto"/>
          <w:sz w:val="22"/>
          <w:szCs w:val="22"/>
          <w:lang w:val="en-US" w:eastAsia="en-US"/>
        </w:rPr>
      </w:pPr>
      <w:r>
        <w:rPr>
          <w:noProof/>
        </w:rPr>
        <w:t>Objective 2: More effective legal institutions and improved police services</w:t>
      </w:r>
      <w:r>
        <w:rPr>
          <w:noProof/>
        </w:rPr>
        <w:tab/>
      </w:r>
      <w:r>
        <w:rPr>
          <w:noProof/>
        </w:rPr>
        <w:fldChar w:fldCharType="begin"/>
      </w:r>
      <w:r>
        <w:rPr>
          <w:noProof/>
        </w:rPr>
        <w:instrText xml:space="preserve"> PAGEREF _Toc360984088 \h </w:instrText>
      </w:r>
      <w:r>
        <w:rPr>
          <w:noProof/>
        </w:rPr>
      </w:r>
      <w:r>
        <w:rPr>
          <w:noProof/>
        </w:rPr>
        <w:fldChar w:fldCharType="separate"/>
      </w:r>
      <w:r>
        <w:rPr>
          <w:noProof/>
        </w:rPr>
        <w:t>12</w:t>
      </w:r>
      <w:r>
        <w:rPr>
          <w:noProof/>
        </w:rPr>
        <w:fldChar w:fldCharType="end"/>
      </w:r>
    </w:p>
    <w:p w:rsidR="0037179A" w:rsidRDefault="0037179A">
      <w:pPr>
        <w:pStyle w:val="TOC2"/>
        <w:rPr>
          <w:rFonts w:asciiTheme="minorHAnsi" w:eastAsiaTheme="minorEastAsia" w:hAnsiTheme="minorHAnsi" w:cstheme="minorBidi"/>
          <w:noProof/>
          <w:color w:val="auto"/>
          <w:sz w:val="22"/>
          <w:szCs w:val="22"/>
          <w:lang w:val="en-US" w:eastAsia="en-US"/>
        </w:rPr>
      </w:pPr>
      <w:r>
        <w:rPr>
          <w:noProof/>
        </w:rPr>
        <w:t>Objective 3: Stronger links between central, line and provincial systems</w:t>
      </w:r>
      <w:r>
        <w:rPr>
          <w:noProof/>
        </w:rPr>
        <w:tab/>
      </w:r>
      <w:r>
        <w:rPr>
          <w:noProof/>
        </w:rPr>
        <w:fldChar w:fldCharType="begin"/>
      </w:r>
      <w:r>
        <w:rPr>
          <w:noProof/>
        </w:rPr>
        <w:instrText xml:space="preserve"> PAGEREF _Toc360984089 \h </w:instrText>
      </w:r>
      <w:r>
        <w:rPr>
          <w:noProof/>
        </w:rPr>
      </w:r>
      <w:r>
        <w:rPr>
          <w:noProof/>
        </w:rPr>
        <w:fldChar w:fldCharType="separate"/>
      </w:r>
      <w:r>
        <w:rPr>
          <w:noProof/>
        </w:rPr>
        <w:t>16</w:t>
      </w:r>
      <w:r>
        <w:rPr>
          <w:noProof/>
        </w:rPr>
        <w:fldChar w:fldCharType="end"/>
      </w:r>
    </w:p>
    <w:p w:rsidR="0037179A" w:rsidRDefault="0037179A">
      <w:pPr>
        <w:pStyle w:val="TOC2"/>
        <w:rPr>
          <w:rFonts w:asciiTheme="minorHAnsi" w:eastAsiaTheme="minorEastAsia" w:hAnsiTheme="minorHAnsi" w:cstheme="minorBidi"/>
          <w:noProof/>
          <w:color w:val="auto"/>
          <w:sz w:val="22"/>
          <w:szCs w:val="22"/>
          <w:lang w:val="en-US" w:eastAsia="en-US"/>
        </w:rPr>
      </w:pPr>
      <w:r>
        <w:rPr>
          <w:noProof/>
        </w:rPr>
        <w:t>Objective 4: Improved service delivery to populations in greatest hardship, including rural communities and informal settlements in urban areas</w:t>
      </w:r>
      <w:r>
        <w:rPr>
          <w:noProof/>
        </w:rPr>
        <w:tab/>
      </w:r>
      <w:r>
        <w:rPr>
          <w:noProof/>
        </w:rPr>
        <w:fldChar w:fldCharType="begin"/>
      </w:r>
      <w:r>
        <w:rPr>
          <w:noProof/>
        </w:rPr>
        <w:instrText xml:space="preserve"> PAGEREF _Toc360984090 \h </w:instrText>
      </w:r>
      <w:r>
        <w:rPr>
          <w:noProof/>
        </w:rPr>
      </w:r>
      <w:r>
        <w:rPr>
          <w:noProof/>
        </w:rPr>
        <w:fldChar w:fldCharType="separate"/>
      </w:r>
      <w:r>
        <w:rPr>
          <w:noProof/>
        </w:rPr>
        <w:t>17</w:t>
      </w:r>
      <w:r>
        <w:rPr>
          <w:noProof/>
        </w:rPr>
        <w:fldChar w:fldCharType="end"/>
      </w:r>
    </w:p>
    <w:p w:rsidR="0037179A" w:rsidRDefault="0037179A">
      <w:pPr>
        <w:pStyle w:val="TOC2"/>
        <w:rPr>
          <w:rFonts w:asciiTheme="minorHAnsi" w:eastAsiaTheme="minorEastAsia" w:hAnsiTheme="minorHAnsi" w:cstheme="minorBidi"/>
          <w:noProof/>
          <w:color w:val="auto"/>
          <w:sz w:val="22"/>
          <w:szCs w:val="22"/>
          <w:lang w:val="en-US" w:eastAsia="en-US"/>
        </w:rPr>
      </w:pPr>
      <w:r>
        <w:rPr>
          <w:noProof/>
        </w:rPr>
        <w:t>Objective 5: Stronger partnerships between non-state actors and government in service delivery in rural communities and informal settlements in urban areas</w:t>
      </w:r>
      <w:r>
        <w:rPr>
          <w:noProof/>
        </w:rPr>
        <w:tab/>
      </w:r>
      <w:r>
        <w:rPr>
          <w:noProof/>
        </w:rPr>
        <w:fldChar w:fldCharType="begin"/>
      </w:r>
      <w:r>
        <w:rPr>
          <w:noProof/>
        </w:rPr>
        <w:instrText xml:space="preserve"> PAGEREF _Toc360984091 \h </w:instrText>
      </w:r>
      <w:r>
        <w:rPr>
          <w:noProof/>
        </w:rPr>
      </w:r>
      <w:r>
        <w:rPr>
          <w:noProof/>
        </w:rPr>
        <w:fldChar w:fldCharType="separate"/>
      </w:r>
      <w:r>
        <w:rPr>
          <w:noProof/>
        </w:rPr>
        <w:t>22</w:t>
      </w:r>
      <w:r>
        <w:rPr>
          <w:noProof/>
        </w:rPr>
        <w:fldChar w:fldCharType="end"/>
      </w:r>
    </w:p>
    <w:p w:rsidR="0037179A" w:rsidRDefault="0037179A">
      <w:pPr>
        <w:pStyle w:val="TOC2"/>
        <w:rPr>
          <w:rFonts w:asciiTheme="minorHAnsi" w:eastAsiaTheme="minorEastAsia" w:hAnsiTheme="minorHAnsi" w:cstheme="minorBidi"/>
          <w:noProof/>
          <w:color w:val="auto"/>
          <w:sz w:val="22"/>
          <w:szCs w:val="22"/>
          <w:lang w:val="en-US" w:eastAsia="en-US"/>
        </w:rPr>
      </w:pPr>
      <w:r>
        <w:rPr>
          <w:noProof/>
        </w:rPr>
        <w:t>Objective 6: Economic growth—raised productive capacity of ni</w:t>
      </w:r>
      <w:r>
        <w:rPr>
          <w:noProof/>
        </w:rPr>
        <w:noBreakHyphen/>
        <w:t>Vanuatu, particularly women and young people</w:t>
      </w:r>
      <w:r>
        <w:rPr>
          <w:noProof/>
        </w:rPr>
        <w:tab/>
      </w:r>
      <w:r>
        <w:rPr>
          <w:noProof/>
        </w:rPr>
        <w:fldChar w:fldCharType="begin"/>
      </w:r>
      <w:r>
        <w:rPr>
          <w:noProof/>
        </w:rPr>
        <w:instrText xml:space="preserve"> PAGEREF _Toc360984092 \h </w:instrText>
      </w:r>
      <w:r>
        <w:rPr>
          <w:noProof/>
        </w:rPr>
      </w:r>
      <w:r>
        <w:rPr>
          <w:noProof/>
        </w:rPr>
        <w:fldChar w:fldCharType="separate"/>
      </w:r>
      <w:r>
        <w:rPr>
          <w:noProof/>
        </w:rPr>
        <w:t>24</w:t>
      </w:r>
      <w:r>
        <w:rPr>
          <w:noProof/>
        </w:rPr>
        <w:fldChar w:fldCharType="end"/>
      </w:r>
    </w:p>
    <w:p w:rsidR="0037179A" w:rsidRDefault="0037179A">
      <w:pPr>
        <w:pStyle w:val="TOC2"/>
        <w:rPr>
          <w:rFonts w:asciiTheme="minorHAnsi" w:eastAsiaTheme="minorEastAsia" w:hAnsiTheme="minorHAnsi" w:cstheme="minorBidi"/>
          <w:noProof/>
          <w:color w:val="auto"/>
          <w:sz w:val="22"/>
          <w:szCs w:val="22"/>
          <w:lang w:val="en-US" w:eastAsia="en-US"/>
        </w:rPr>
      </w:pPr>
      <w:r>
        <w:rPr>
          <w:noProof/>
        </w:rPr>
        <w:t>Objective 7: Greater demand for better governance</w:t>
      </w:r>
      <w:r>
        <w:rPr>
          <w:noProof/>
        </w:rPr>
        <w:tab/>
      </w:r>
      <w:r>
        <w:rPr>
          <w:noProof/>
        </w:rPr>
        <w:fldChar w:fldCharType="begin"/>
      </w:r>
      <w:r>
        <w:rPr>
          <w:noProof/>
        </w:rPr>
        <w:instrText xml:space="preserve"> PAGEREF _Toc360984093 \h </w:instrText>
      </w:r>
      <w:r>
        <w:rPr>
          <w:noProof/>
        </w:rPr>
      </w:r>
      <w:r>
        <w:rPr>
          <w:noProof/>
        </w:rPr>
        <w:fldChar w:fldCharType="separate"/>
      </w:r>
      <w:r>
        <w:rPr>
          <w:noProof/>
        </w:rPr>
        <w:t>26</w:t>
      </w:r>
      <w:r>
        <w:rPr>
          <w:noProof/>
        </w:rPr>
        <w:fldChar w:fldCharType="end"/>
      </w:r>
    </w:p>
    <w:p w:rsidR="0037179A" w:rsidRDefault="0037179A">
      <w:pPr>
        <w:pStyle w:val="TOC1"/>
        <w:rPr>
          <w:rFonts w:asciiTheme="minorHAnsi" w:eastAsiaTheme="minorEastAsia" w:hAnsiTheme="minorHAnsi" w:cstheme="minorBidi"/>
          <w:noProof/>
          <w:color w:val="auto"/>
          <w:sz w:val="22"/>
          <w:szCs w:val="22"/>
          <w:lang w:val="en-US" w:eastAsia="en-US"/>
        </w:rPr>
      </w:pPr>
      <w:r>
        <w:rPr>
          <w:noProof/>
        </w:rPr>
        <w:t>What is the quality of AusAID activities in Vanuatu?</w:t>
      </w:r>
      <w:r>
        <w:rPr>
          <w:noProof/>
        </w:rPr>
        <w:tab/>
      </w:r>
      <w:r>
        <w:rPr>
          <w:noProof/>
        </w:rPr>
        <w:fldChar w:fldCharType="begin"/>
      </w:r>
      <w:r>
        <w:rPr>
          <w:noProof/>
        </w:rPr>
        <w:instrText xml:space="preserve"> PAGEREF _Toc360984094 \h </w:instrText>
      </w:r>
      <w:r>
        <w:rPr>
          <w:noProof/>
        </w:rPr>
      </w:r>
      <w:r>
        <w:rPr>
          <w:noProof/>
        </w:rPr>
        <w:fldChar w:fldCharType="separate"/>
      </w:r>
      <w:r>
        <w:rPr>
          <w:noProof/>
        </w:rPr>
        <w:t>29</w:t>
      </w:r>
      <w:r>
        <w:rPr>
          <w:noProof/>
        </w:rPr>
        <w:fldChar w:fldCharType="end"/>
      </w:r>
    </w:p>
    <w:p w:rsidR="0037179A" w:rsidRDefault="0037179A">
      <w:pPr>
        <w:pStyle w:val="TOC2"/>
        <w:rPr>
          <w:rFonts w:asciiTheme="minorHAnsi" w:eastAsiaTheme="minorEastAsia" w:hAnsiTheme="minorHAnsi" w:cstheme="minorBidi"/>
          <w:noProof/>
          <w:color w:val="auto"/>
          <w:sz w:val="22"/>
          <w:szCs w:val="22"/>
          <w:lang w:val="en-US" w:eastAsia="en-US"/>
        </w:rPr>
      </w:pPr>
      <w:r>
        <w:rPr>
          <w:noProof/>
        </w:rPr>
        <w:t>Australian scholarships</w:t>
      </w:r>
      <w:r>
        <w:rPr>
          <w:noProof/>
        </w:rPr>
        <w:tab/>
      </w:r>
      <w:r>
        <w:rPr>
          <w:noProof/>
        </w:rPr>
        <w:fldChar w:fldCharType="begin"/>
      </w:r>
      <w:r>
        <w:rPr>
          <w:noProof/>
        </w:rPr>
        <w:instrText xml:space="preserve"> PAGEREF _Toc360984095 \h </w:instrText>
      </w:r>
      <w:r>
        <w:rPr>
          <w:noProof/>
        </w:rPr>
      </w:r>
      <w:r>
        <w:rPr>
          <w:noProof/>
        </w:rPr>
        <w:fldChar w:fldCharType="separate"/>
      </w:r>
      <w:r>
        <w:rPr>
          <w:noProof/>
        </w:rPr>
        <w:t>30</w:t>
      </w:r>
      <w:r>
        <w:rPr>
          <w:noProof/>
        </w:rPr>
        <w:fldChar w:fldCharType="end"/>
      </w:r>
    </w:p>
    <w:p w:rsidR="0037179A" w:rsidRDefault="0037179A">
      <w:pPr>
        <w:pStyle w:val="TOC2"/>
        <w:rPr>
          <w:rFonts w:asciiTheme="minorHAnsi" w:eastAsiaTheme="minorEastAsia" w:hAnsiTheme="minorHAnsi" w:cstheme="minorBidi"/>
          <w:noProof/>
          <w:color w:val="auto"/>
          <w:sz w:val="22"/>
          <w:szCs w:val="22"/>
          <w:lang w:val="en-US" w:eastAsia="en-US"/>
        </w:rPr>
      </w:pPr>
      <w:r>
        <w:rPr>
          <w:noProof/>
        </w:rPr>
        <w:t>Land reform</w:t>
      </w:r>
      <w:r>
        <w:rPr>
          <w:noProof/>
        </w:rPr>
        <w:tab/>
      </w:r>
      <w:r>
        <w:rPr>
          <w:noProof/>
        </w:rPr>
        <w:fldChar w:fldCharType="begin"/>
      </w:r>
      <w:r>
        <w:rPr>
          <w:noProof/>
        </w:rPr>
        <w:instrText xml:space="preserve"> PAGEREF _Toc360984096 \h </w:instrText>
      </w:r>
      <w:r>
        <w:rPr>
          <w:noProof/>
        </w:rPr>
      </w:r>
      <w:r>
        <w:rPr>
          <w:noProof/>
        </w:rPr>
        <w:fldChar w:fldCharType="separate"/>
      </w:r>
      <w:r>
        <w:rPr>
          <w:noProof/>
        </w:rPr>
        <w:t>31</w:t>
      </w:r>
      <w:r>
        <w:rPr>
          <w:noProof/>
        </w:rPr>
        <w:fldChar w:fldCharType="end"/>
      </w:r>
    </w:p>
    <w:p w:rsidR="0037179A" w:rsidRDefault="0037179A">
      <w:pPr>
        <w:pStyle w:val="TOC2"/>
        <w:rPr>
          <w:rFonts w:asciiTheme="minorHAnsi" w:eastAsiaTheme="minorEastAsia" w:hAnsiTheme="minorHAnsi" w:cstheme="minorBidi"/>
          <w:noProof/>
          <w:color w:val="auto"/>
          <w:sz w:val="22"/>
          <w:szCs w:val="22"/>
          <w:lang w:val="en-US" w:eastAsia="en-US"/>
        </w:rPr>
      </w:pPr>
      <w:r>
        <w:rPr>
          <w:noProof/>
        </w:rPr>
        <w:t>Forms of aid</w:t>
      </w:r>
      <w:r>
        <w:rPr>
          <w:noProof/>
        </w:rPr>
        <w:tab/>
      </w:r>
      <w:r>
        <w:rPr>
          <w:noProof/>
        </w:rPr>
        <w:fldChar w:fldCharType="begin"/>
      </w:r>
      <w:r>
        <w:rPr>
          <w:noProof/>
        </w:rPr>
        <w:instrText xml:space="preserve"> PAGEREF _Toc360984097 \h </w:instrText>
      </w:r>
      <w:r>
        <w:rPr>
          <w:noProof/>
        </w:rPr>
      </w:r>
      <w:r>
        <w:rPr>
          <w:noProof/>
        </w:rPr>
        <w:fldChar w:fldCharType="separate"/>
      </w:r>
      <w:r>
        <w:rPr>
          <w:noProof/>
        </w:rPr>
        <w:t>32</w:t>
      </w:r>
      <w:r>
        <w:rPr>
          <w:noProof/>
        </w:rPr>
        <w:fldChar w:fldCharType="end"/>
      </w:r>
    </w:p>
    <w:p w:rsidR="000134D1" w:rsidRDefault="007C066E" w:rsidP="007F3C6B">
      <w:pPr>
        <w:pStyle w:val="TOC1"/>
      </w:pPr>
      <w:r>
        <w:fldChar w:fldCharType="end"/>
      </w:r>
    </w:p>
    <w:p w:rsidR="000134D1" w:rsidRDefault="00C14A1A">
      <w:pPr>
        <w:pStyle w:val="Heading1unnumbered"/>
        <w:rPr>
          <w:noProof/>
        </w:rPr>
      </w:pPr>
      <w:bookmarkStart w:id="6" w:name="_Toc360984079"/>
      <w:r>
        <w:rPr>
          <w:noProof/>
          <w:lang w:val="en-US" w:eastAsia="en-US"/>
        </w:rPr>
        <w:lastRenderedPageBreak/>
        <w:drawing>
          <wp:anchor distT="0" distB="0" distL="114300" distR="114300" simplePos="0" relativeHeight="251656704" behindDoc="1" locked="0" layoutInCell="1" allowOverlap="1">
            <wp:simplePos x="0" y="0"/>
            <wp:positionH relativeFrom="page">
              <wp:posOffset>0</wp:posOffset>
            </wp:positionH>
            <wp:positionV relativeFrom="page">
              <wp:posOffset>1386205</wp:posOffset>
            </wp:positionV>
            <wp:extent cx="7560310" cy="1585595"/>
            <wp:effectExtent l="0" t="0" r="2540" b="0"/>
            <wp:wrapNone/>
            <wp:docPr id="1189" name="Picture 1189" descr="AusAID graphics pacific internal chap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9" descr="AusAID graphics pacific internal chapte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560310" cy="1585595"/>
                    </a:xfrm>
                    <a:prstGeom prst="rect">
                      <a:avLst/>
                    </a:prstGeom>
                    <a:noFill/>
                    <a:ln>
                      <a:noFill/>
                    </a:ln>
                  </pic:spPr>
                </pic:pic>
              </a:graphicData>
            </a:graphic>
            <wp14:sizeRelH relativeFrom="page">
              <wp14:pctWidth>0</wp14:pctWidth>
            </wp14:sizeRelH>
            <wp14:sizeRelV relativeFrom="page">
              <wp14:pctHeight>0</wp14:pctHeight>
            </wp14:sizeRelV>
          </wp:anchor>
        </w:drawing>
      </w:r>
      <w:r w:rsidR="000D4DE4">
        <w:t>Abbreviations</w:t>
      </w:r>
      <w:bookmarkEnd w:id="6"/>
      <w:r w:rsidR="000134D1">
        <w:br/>
      </w:r>
    </w:p>
    <w:p w:rsidR="009D69A7" w:rsidRDefault="009D69A7" w:rsidP="000134D1">
      <w:pPr>
        <w:pStyle w:val="BodyText"/>
      </w:pPr>
      <w:r>
        <w:t>AFP</w:t>
      </w:r>
      <w:r>
        <w:tab/>
      </w:r>
      <w:r>
        <w:tab/>
        <w:t>Australian Federal Police</w:t>
      </w:r>
    </w:p>
    <w:p w:rsidR="00392BFC" w:rsidRPr="00392BFC" w:rsidRDefault="00392BFC" w:rsidP="000134D1">
      <w:pPr>
        <w:pStyle w:val="BodyText"/>
      </w:pPr>
      <w:r>
        <w:t>AIDS</w:t>
      </w:r>
      <w:r>
        <w:tab/>
      </w:r>
      <w:r>
        <w:tab/>
      </w:r>
      <w:r w:rsidRPr="00392BFC">
        <w:t>acquired immune deficiency syndrome</w:t>
      </w:r>
    </w:p>
    <w:p w:rsidR="001D6D93" w:rsidRDefault="001D6D93" w:rsidP="000134D1">
      <w:pPr>
        <w:pStyle w:val="BodyText"/>
      </w:pPr>
      <w:proofErr w:type="spellStart"/>
      <w:r>
        <w:t>AusAID</w:t>
      </w:r>
      <w:proofErr w:type="spellEnd"/>
      <w:r w:rsidR="000954C1">
        <w:tab/>
      </w:r>
      <w:r w:rsidR="000954C1" w:rsidRPr="00CF0CE7">
        <w:t>Australian Agency for International Development</w:t>
      </w:r>
    </w:p>
    <w:p w:rsidR="001E628D" w:rsidRDefault="001E628D" w:rsidP="000134D1">
      <w:pPr>
        <w:pStyle w:val="BodyText"/>
      </w:pPr>
      <w:r>
        <w:t>DAC</w:t>
      </w:r>
      <w:r>
        <w:tab/>
      </w:r>
      <w:r>
        <w:tab/>
        <w:t>Development Assistance Committee</w:t>
      </w:r>
    </w:p>
    <w:p w:rsidR="000134D1" w:rsidRDefault="00C20D65" w:rsidP="000134D1">
      <w:pPr>
        <w:pStyle w:val="BodyText"/>
      </w:pPr>
      <w:r>
        <w:t>GDP</w:t>
      </w:r>
      <w:r>
        <w:tab/>
      </w:r>
      <w:r>
        <w:tab/>
        <w:t>gross domestic product</w:t>
      </w:r>
    </w:p>
    <w:p w:rsidR="001D6D93" w:rsidRDefault="001D6D93" w:rsidP="000134D1">
      <w:pPr>
        <w:pStyle w:val="BodyText"/>
      </w:pPr>
      <w:proofErr w:type="spellStart"/>
      <w:r>
        <w:t>GfG</w:t>
      </w:r>
      <w:proofErr w:type="spellEnd"/>
      <w:r>
        <w:tab/>
      </w:r>
      <w:r>
        <w:tab/>
        <w:t>Governance for Growth</w:t>
      </w:r>
    </w:p>
    <w:p w:rsidR="00B761E5" w:rsidRDefault="00392BFC" w:rsidP="000134D1">
      <w:pPr>
        <w:pStyle w:val="BodyText"/>
      </w:pPr>
      <w:r>
        <w:t>HIV</w:t>
      </w:r>
      <w:r>
        <w:tab/>
      </w:r>
      <w:r>
        <w:tab/>
        <w:t>human immuno</w:t>
      </w:r>
      <w:r w:rsidR="00B761E5">
        <w:t>deficiency v</w:t>
      </w:r>
      <w:r w:rsidR="00B761E5" w:rsidRPr="004A4C27">
        <w:t>irus</w:t>
      </w:r>
    </w:p>
    <w:p w:rsidR="00FE3752" w:rsidRDefault="00FE3752" w:rsidP="000134D1">
      <w:pPr>
        <w:pStyle w:val="BodyText"/>
      </w:pPr>
      <w:r>
        <w:t>M&amp;E</w:t>
      </w:r>
      <w:r>
        <w:tab/>
      </w:r>
      <w:r>
        <w:tab/>
        <w:t>monitoring and evaluation</w:t>
      </w:r>
    </w:p>
    <w:p w:rsidR="00C20D65" w:rsidRDefault="00C20D65" w:rsidP="000134D1">
      <w:pPr>
        <w:pStyle w:val="BodyText"/>
      </w:pPr>
      <w:r>
        <w:t>MDG</w:t>
      </w:r>
      <w:r>
        <w:tab/>
      </w:r>
      <w:r>
        <w:tab/>
        <w:t>Millennium Development Goal</w:t>
      </w:r>
    </w:p>
    <w:p w:rsidR="00787FCC" w:rsidRDefault="00787FCC" w:rsidP="000134D1">
      <w:pPr>
        <w:pStyle w:val="BodyText"/>
      </w:pPr>
      <w:r>
        <w:t>MFEM</w:t>
      </w:r>
      <w:r>
        <w:tab/>
        <w:t>Ministry of Finance and Economic Management</w:t>
      </w:r>
    </w:p>
    <w:p w:rsidR="001D6D93" w:rsidRDefault="001D6D93" w:rsidP="000134D1">
      <w:pPr>
        <w:pStyle w:val="BodyText"/>
      </w:pPr>
      <w:r>
        <w:t>NZAID</w:t>
      </w:r>
      <w:r w:rsidR="000954C1">
        <w:tab/>
        <w:t xml:space="preserve">New Zealand </w:t>
      </w:r>
      <w:r w:rsidR="000954C1" w:rsidRPr="00CF0CE7">
        <w:t>Agency for International Development</w:t>
      </w:r>
    </w:p>
    <w:p w:rsidR="00B3402A" w:rsidRDefault="00B3402A" w:rsidP="000134D1">
      <w:pPr>
        <w:pStyle w:val="BodyText"/>
      </w:pPr>
      <w:r>
        <w:t>OECD</w:t>
      </w:r>
      <w:r>
        <w:tab/>
      </w:r>
      <w:r>
        <w:tab/>
        <w:t>Organisation for Economic Co-operation and Development</w:t>
      </w:r>
    </w:p>
    <w:p w:rsidR="00453F69" w:rsidRDefault="00453F69" w:rsidP="000134D1">
      <w:pPr>
        <w:pStyle w:val="BodyText"/>
      </w:pPr>
      <w:r>
        <w:t>TVET</w:t>
      </w:r>
      <w:r>
        <w:tab/>
      </w:r>
      <w:r>
        <w:tab/>
      </w:r>
      <w:r w:rsidR="00BD4A8B">
        <w:t>technical and vocational education and training</w:t>
      </w:r>
    </w:p>
    <w:p w:rsidR="00B761E5" w:rsidRDefault="00B761E5" w:rsidP="000134D1">
      <w:pPr>
        <w:pStyle w:val="BodyText"/>
      </w:pPr>
      <w:r>
        <w:t>UNICEF</w:t>
      </w:r>
      <w:r>
        <w:tab/>
      </w:r>
      <w:r w:rsidRPr="004A4C27">
        <w:t>United Nations Children’s Fund</w:t>
      </w:r>
    </w:p>
    <w:p w:rsidR="000954C1" w:rsidRDefault="000954C1" w:rsidP="000134D1">
      <w:pPr>
        <w:pStyle w:val="BodyText"/>
      </w:pPr>
      <w:r>
        <w:t>VBTC</w:t>
      </w:r>
      <w:r>
        <w:tab/>
      </w:r>
      <w:r>
        <w:tab/>
      </w:r>
      <w:smartTag w:uri="urn:schemas-microsoft-com:office:smarttags" w:element="place">
        <w:smartTag w:uri="urn:schemas-microsoft-com:office:smarttags" w:element="country-region">
          <w:r>
            <w:t>Vanuatu</w:t>
          </w:r>
        </w:smartTag>
      </w:smartTag>
      <w:r>
        <w:t xml:space="preserve"> Broadcasting and Television Corporation</w:t>
      </w:r>
    </w:p>
    <w:p w:rsidR="00B07EDA" w:rsidRDefault="00B07EDA" w:rsidP="000134D1">
      <w:pPr>
        <w:pStyle w:val="BodyText"/>
      </w:pPr>
      <w:r>
        <w:t>VESAP</w:t>
      </w:r>
      <w:r>
        <w:tab/>
      </w:r>
      <w:smartTag w:uri="urn:schemas-microsoft-com:office:smarttags" w:element="place">
        <w:smartTag w:uri="urn:schemas-microsoft-com:office:smarttags" w:element="country-region">
          <w:r>
            <w:t>Vanuatu</w:t>
          </w:r>
        </w:smartTag>
      </w:smartTag>
      <w:r>
        <w:t xml:space="preserve"> Education Support Action Plan</w:t>
      </w:r>
    </w:p>
    <w:p w:rsidR="00B07EDA" w:rsidRDefault="00B07EDA" w:rsidP="000134D1">
      <w:pPr>
        <w:pStyle w:val="BodyText"/>
      </w:pPr>
      <w:r>
        <w:t>VPF</w:t>
      </w:r>
      <w:r>
        <w:tab/>
      </w:r>
      <w:r>
        <w:tab/>
      </w:r>
      <w:smartTag w:uri="urn:schemas-microsoft-com:office:smarttags" w:element="place">
        <w:smartTag w:uri="urn:schemas-microsoft-com:office:smarttags" w:element="country-region">
          <w:r>
            <w:t>Vanuatu</w:t>
          </w:r>
        </w:smartTag>
      </w:smartTag>
      <w:r>
        <w:t xml:space="preserve"> Police Force</w:t>
      </w:r>
    </w:p>
    <w:p w:rsidR="00453F69" w:rsidRDefault="00453F69" w:rsidP="000134D1">
      <w:pPr>
        <w:pStyle w:val="BodyText"/>
      </w:pPr>
      <w:r>
        <w:t>VTSSP</w:t>
      </w:r>
      <w:r>
        <w:tab/>
      </w:r>
      <w:smartTag w:uri="urn:schemas-microsoft-com:office:smarttags" w:element="place">
        <w:smartTag w:uri="urn:schemas-microsoft-com:office:smarttags" w:element="country-region">
          <w:r>
            <w:t>Vanuatu</w:t>
          </w:r>
        </w:smartTag>
      </w:smartTag>
      <w:r>
        <w:t xml:space="preserve"> Transport Sector Support Program</w:t>
      </w:r>
    </w:p>
    <w:p w:rsidR="000D4DE4" w:rsidRDefault="00C14A1A" w:rsidP="0037179A">
      <w:pPr>
        <w:pStyle w:val="Heading1unnumbered"/>
        <w:spacing w:after="2640"/>
        <w:rPr>
          <w:noProof/>
        </w:rPr>
      </w:pPr>
      <w:bookmarkStart w:id="7" w:name="_Toc360984080"/>
      <w:r>
        <w:rPr>
          <w:noProof/>
          <w:lang w:val="en-US" w:eastAsia="en-US"/>
        </w:rPr>
        <w:lastRenderedPageBreak/>
        <w:drawing>
          <wp:anchor distT="0" distB="0" distL="114300" distR="114300" simplePos="0" relativeHeight="251658752" behindDoc="1" locked="0" layoutInCell="1" allowOverlap="1">
            <wp:simplePos x="0" y="0"/>
            <wp:positionH relativeFrom="page">
              <wp:posOffset>0</wp:posOffset>
            </wp:positionH>
            <wp:positionV relativeFrom="page">
              <wp:posOffset>1386205</wp:posOffset>
            </wp:positionV>
            <wp:extent cx="7560310" cy="1585595"/>
            <wp:effectExtent l="0" t="0" r="2540" b="0"/>
            <wp:wrapNone/>
            <wp:docPr id="1191" name="Picture 1191" descr="AusAID graphics pacific internal chap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1" descr="AusAID graphics pacific internal chapte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560310" cy="1585595"/>
                    </a:xfrm>
                    <a:prstGeom prst="rect">
                      <a:avLst/>
                    </a:prstGeom>
                    <a:noFill/>
                    <a:ln>
                      <a:noFill/>
                    </a:ln>
                  </pic:spPr>
                </pic:pic>
              </a:graphicData>
            </a:graphic>
            <wp14:sizeRelH relativeFrom="page">
              <wp14:pctWidth>0</wp14:pctWidth>
            </wp14:sizeRelH>
            <wp14:sizeRelV relativeFrom="page">
              <wp14:pctHeight>0</wp14:pctHeight>
            </wp14:sizeRelV>
          </wp:anchor>
        </w:drawing>
      </w:r>
      <w:r w:rsidR="000D4DE4">
        <w:t>Summary</w:t>
      </w:r>
      <w:bookmarkEnd w:id="7"/>
    </w:p>
    <w:p w:rsidR="000134D1" w:rsidRDefault="000134D1" w:rsidP="000D4DE4">
      <w:pPr>
        <w:pStyle w:val="Heading2unnumbered"/>
      </w:pPr>
      <w:bookmarkStart w:id="8" w:name="_Toc244318523"/>
      <w:bookmarkStart w:id="9" w:name="_Toc360984081"/>
      <w:r>
        <w:t>Overview</w:t>
      </w:r>
      <w:bookmarkEnd w:id="8"/>
      <w:bookmarkEnd w:id="9"/>
    </w:p>
    <w:p w:rsidR="000134D1" w:rsidRDefault="000134D1" w:rsidP="000134D1">
      <w:pPr>
        <w:pStyle w:val="BodyText"/>
      </w:pPr>
      <w:smartTag w:uri="urn:schemas-microsoft-com:office:smarttags" w:element="place">
        <w:smartTag w:uri="urn:schemas-microsoft-com:office:smarttags" w:element="country-region">
          <w:r>
            <w:t>Vanuatu</w:t>
          </w:r>
        </w:smartTag>
      </w:smartTag>
      <w:r>
        <w:t>’s economy continued to perform strongly in 2008</w:t>
      </w:r>
      <w:r w:rsidR="002D7DFA">
        <w:t>,</w:t>
      </w:r>
      <w:r>
        <w:t xml:space="preserve"> with </w:t>
      </w:r>
      <w:r w:rsidR="00C20D65">
        <w:t xml:space="preserve">an </w:t>
      </w:r>
      <w:r>
        <w:t>estimated 6.6 per cent growth</w:t>
      </w:r>
      <w:r w:rsidR="00C20D65">
        <w:t xml:space="preserve"> in GDP</w:t>
      </w:r>
      <w:r w:rsidR="002D7DFA">
        <w:t>. However,</w:t>
      </w:r>
      <w:r>
        <w:t xml:space="preserve"> only moderate growth is expected in 2009 as the global recession impacts on tourism and foreign investment inflows.</w:t>
      </w:r>
      <w:r w:rsidR="00C20D65">
        <w:t xml:space="preserve"> </w:t>
      </w:r>
      <w:smartTag w:uri="urn:schemas-microsoft-com:office:smarttags" w:element="country-region">
        <w:r>
          <w:t>Australia</w:t>
        </w:r>
      </w:smartTag>
      <w:r>
        <w:t xml:space="preserve"> is a large and well-regarded donor partner in </w:t>
      </w:r>
      <w:smartTag w:uri="urn:schemas-microsoft-com:office:smarttags" w:element="country-region">
        <w:smartTag w:uri="urn:schemas-microsoft-com:office:smarttags" w:element="place">
          <w:r>
            <w:t>Vanuatu</w:t>
          </w:r>
        </w:smartTag>
      </w:smartTag>
      <w:r>
        <w:t xml:space="preserve">, </w:t>
      </w:r>
      <w:r w:rsidR="00C20D65">
        <w:t xml:space="preserve">and </w:t>
      </w:r>
      <w:r>
        <w:t xml:space="preserve">Australian support </w:t>
      </w:r>
      <w:r w:rsidR="00C20D65">
        <w:t xml:space="preserve">contributed </w:t>
      </w:r>
      <w:r>
        <w:t xml:space="preserve">to progress towards a number of </w:t>
      </w:r>
      <w:r w:rsidR="00C20D65">
        <w:t>Millennium Development Goal (</w:t>
      </w:r>
      <w:r>
        <w:t>MDG</w:t>
      </w:r>
      <w:r w:rsidR="00C20D65">
        <w:t>)</w:t>
      </w:r>
      <w:r>
        <w:t xml:space="preserve"> objectives in 2008.</w:t>
      </w:r>
      <w:r w:rsidR="00C20D65">
        <w:t xml:space="preserve"> </w:t>
      </w:r>
      <w:r>
        <w:t xml:space="preserve">Total Australian aid to </w:t>
      </w:r>
      <w:smartTag w:uri="urn:schemas-microsoft-com:office:smarttags" w:element="place">
        <w:smartTag w:uri="urn:schemas-microsoft-com:office:smarttags" w:element="country-region">
          <w:r>
            <w:t>Vanuatu</w:t>
          </w:r>
        </w:smartTag>
      </w:smartTag>
      <w:r>
        <w:t xml:space="preserve"> in 2008</w:t>
      </w:r>
      <w:r w:rsidR="00A06166">
        <w:t>-</w:t>
      </w:r>
      <w:r>
        <w:t xml:space="preserve">09 </w:t>
      </w:r>
      <w:r w:rsidR="002D7DFA">
        <w:t>was</w:t>
      </w:r>
      <w:r>
        <w:t xml:space="preserve"> $5</w:t>
      </w:r>
      <w:r w:rsidR="00365C6B">
        <w:t>3.6</w:t>
      </w:r>
      <w:r>
        <w:t xml:space="preserve"> million,</w:t>
      </w:r>
      <w:r w:rsidR="002D7DFA">
        <w:t xml:space="preserve"> an increase of </w:t>
      </w:r>
      <w:r w:rsidR="00365C6B">
        <w:t>35</w:t>
      </w:r>
      <w:r w:rsidR="002D7DFA">
        <w:t xml:space="preserve"> per cent on the previous year.</w:t>
      </w:r>
      <w:r>
        <w:t xml:space="preserve"> </w:t>
      </w:r>
      <w:r w:rsidR="00A06166">
        <w:t>B</w:t>
      </w:r>
      <w:r>
        <w:t xml:space="preserve">ilateral assistance </w:t>
      </w:r>
      <w:r w:rsidR="00A06166">
        <w:t>accounted for</w:t>
      </w:r>
      <w:r w:rsidR="002D7DFA">
        <w:t xml:space="preserve"> </w:t>
      </w:r>
      <w:r>
        <w:t>an estimated $</w:t>
      </w:r>
      <w:r w:rsidR="00365C6B">
        <w:t>42.5</w:t>
      </w:r>
      <w:r>
        <w:t xml:space="preserve"> million</w:t>
      </w:r>
      <w:r w:rsidR="00A06166">
        <w:t xml:space="preserve"> of this total</w:t>
      </w:r>
      <w:r>
        <w:t xml:space="preserve">, an increase of </w:t>
      </w:r>
      <w:r w:rsidR="00365C6B">
        <w:t>38</w:t>
      </w:r>
      <w:r>
        <w:t xml:space="preserve"> per cent </w:t>
      </w:r>
      <w:r w:rsidR="00C20D65">
        <w:t xml:space="preserve">on </w:t>
      </w:r>
      <w:r>
        <w:t>2007</w:t>
      </w:r>
      <w:r w:rsidR="00CE7C6C">
        <w:t>-</w:t>
      </w:r>
      <w:r>
        <w:t>08</w:t>
      </w:r>
      <w:r w:rsidR="007C53BD">
        <w:t xml:space="preserve"> levels</w:t>
      </w:r>
      <w:r>
        <w:t>.</w:t>
      </w:r>
    </w:p>
    <w:p w:rsidR="007C066E" w:rsidRDefault="007C066E" w:rsidP="007C066E">
      <w:pPr>
        <w:pStyle w:val="Heading2unnumbered"/>
      </w:pPr>
      <w:bookmarkStart w:id="10" w:name="_Toc244318524"/>
      <w:bookmarkStart w:id="11" w:name="_Toc360984082"/>
      <w:r>
        <w:t>Ratings</w:t>
      </w:r>
      <w:bookmarkEnd w:id="10"/>
      <w:bookmarkEnd w:id="11"/>
    </w:p>
    <w:p w:rsidR="007C066E" w:rsidRPr="00846905" w:rsidRDefault="007C066E" w:rsidP="007C066E">
      <w:pPr>
        <w:pStyle w:val="Caption"/>
      </w:pPr>
      <w:r>
        <w:t xml:space="preserve">Table </w:t>
      </w:r>
      <w:r w:rsidR="00A17A04">
        <w:fldChar w:fldCharType="begin"/>
      </w:r>
      <w:r w:rsidR="00A17A04">
        <w:instrText xml:space="preserve"> SEQ Table \* MERGEFORMAT </w:instrText>
      </w:r>
      <w:r w:rsidR="00A17A04">
        <w:fldChar w:fldCharType="separate"/>
      </w:r>
      <w:r w:rsidR="00133CDC">
        <w:rPr>
          <w:noProof/>
        </w:rPr>
        <w:t>1</w:t>
      </w:r>
      <w:r w:rsidR="00A17A04">
        <w:rPr>
          <w:noProof/>
        </w:rPr>
        <w:fldChar w:fldCharType="end"/>
      </w:r>
      <w:r>
        <w:t>:</w:t>
      </w:r>
      <w:r w:rsidR="00846905" w:rsidRPr="00846905">
        <w:t xml:space="preserve"> Ratings of the </w:t>
      </w:r>
      <w:smartTag w:uri="urn:schemas-microsoft-com:office:smarttags" w:element="place">
        <w:smartTag w:uri="urn:schemas-microsoft-com:office:smarttags" w:element="country-region">
          <w:r w:rsidR="00846905" w:rsidRPr="00846905">
            <w:t>Vanuatu</w:t>
          </w:r>
        </w:smartTag>
      </w:smartTag>
      <w:r w:rsidR="00846905" w:rsidRPr="00846905">
        <w:t xml:space="preserve"> program in achievi</w:t>
      </w:r>
      <w:r w:rsidR="00846905" w:rsidRPr="009D69A7">
        <w:t xml:space="preserve">ng the </w:t>
      </w:r>
      <w:r w:rsidR="006347E0">
        <w:t>Australia</w:t>
      </w:r>
      <w:r w:rsidR="00CE7C6C">
        <w:t>–</w:t>
      </w:r>
      <w:r w:rsidR="006347E0">
        <w:t>Vanuatu Joint Development Cooperation S</w:t>
      </w:r>
      <w:r w:rsidR="00846905" w:rsidRPr="009D69A7">
        <w:t>trategy’s ob</w:t>
      </w:r>
      <w:r w:rsidR="00846905" w:rsidRPr="00846905">
        <w:t>jectives</w:t>
      </w:r>
    </w:p>
    <w:tbl>
      <w:tblPr>
        <w:tblW w:w="7938" w:type="dxa"/>
        <w:tblInd w:w="57" w:type="dxa"/>
        <w:tblLayout w:type="fixed"/>
        <w:tblLook w:val="01E0" w:firstRow="1" w:lastRow="1" w:firstColumn="1" w:lastColumn="1" w:noHBand="0" w:noVBand="0"/>
      </w:tblPr>
      <w:tblGrid>
        <w:gridCol w:w="5837"/>
        <w:gridCol w:w="1050"/>
        <w:gridCol w:w="1051"/>
      </w:tblGrid>
      <w:tr w:rsidR="0032240D" w:rsidRPr="00F05B06" w:rsidTr="000C5224">
        <w:trPr>
          <w:cantSplit/>
          <w:tblHeader/>
        </w:trPr>
        <w:tc>
          <w:tcPr>
            <w:tcW w:w="5837" w:type="dxa"/>
            <w:tcBorders>
              <w:top w:val="single" w:sz="2" w:space="0" w:color="808080"/>
              <w:left w:val="single" w:sz="2" w:space="0" w:color="808080"/>
              <w:bottom w:val="single" w:sz="12" w:space="0" w:color="auto"/>
              <w:right w:val="single" w:sz="2" w:space="0" w:color="808080"/>
            </w:tcBorders>
            <w:shd w:val="clear" w:color="auto" w:fill="DDCF56"/>
            <w:tcMar>
              <w:left w:w="57" w:type="dxa"/>
              <w:right w:w="57" w:type="dxa"/>
            </w:tcMar>
          </w:tcPr>
          <w:p w:rsidR="0032240D" w:rsidRPr="00F05B06" w:rsidRDefault="007C066E" w:rsidP="00C20D65">
            <w:pPr>
              <w:pStyle w:val="TableTextColumnHeading"/>
            </w:pPr>
            <w:r>
              <w:t>O</w:t>
            </w:r>
            <w:r w:rsidR="0032240D" w:rsidRPr="00F05B06">
              <w:t>bjective</w:t>
            </w:r>
          </w:p>
        </w:tc>
        <w:tc>
          <w:tcPr>
            <w:tcW w:w="1050" w:type="dxa"/>
            <w:tcBorders>
              <w:top w:val="single" w:sz="2" w:space="0" w:color="808080"/>
              <w:left w:val="single" w:sz="2" w:space="0" w:color="808080"/>
              <w:bottom w:val="single" w:sz="12" w:space="0" w:color="auto"/>
              <w:right w:val="single" w:sz="2" w:space="0" w:color="808080"/>
            </w:tcBorders>
            <w:shd w:val="clear" w:color="auto" w:fill="DDCF56"/>
            <w:tcMar>
              <w:left w:w="57" w:type="dxa"/>
              <w:right w:w="57" w:type="dxa"/>
            </w:tcMar>
          </w:tcPr>
          <w:p w:rsidR="0032240D" w:rsidRPr="00F05B06" w:rsidRDefault="00822F48" w:rsidP="00C20D65">
            <w:pPr>
              <w:pStyle w:val="TableTextColumnHeading"/>
            </w:pPr>
            <w:r>
              <w:t>2008</w:t>
            </w:r>
            <w:r w:rsidR="00C20D65">
              <w:t xml:space="preserve"> r</w:t>
            </w:r>
            <w:r w:rsidR="007C066E">
              <w:t>ating</w:t>
            </w:r>
          </w:p>
        </w:tc>
        <w:tc>
          <w:tcPr>
            <w:tcW w:w="1051" w:type="dxa"/>
            <w:tcBorders>
              <w:top w:val="single" w:sz="2" w:space="0" w:color="808080"/>
              <w:left w:val="single" w:sz="2" w:space="0" w:color="808080"/>
              <w:bottom w:val="single" w:sz="12" w:space="0" w:color="auto"/>
              <w:right w:val="single" w:sz="2" w:space="0" w:color="808080"/>
            </w:tcBorders>
            <w:shd w:val="clear" w:color="auto" w:fill="DDCF56"/>
            <w:tcMar>
              <w:left w:w="57" w:type="dxa"/>
              <w:right w:w="57" w:type="dxa"/>
            </w:tcMar>
          </w:tcPr>
          <w:p w:rsidR="0032240D" w:rsidRPr="00F05B06" w:rsidRDefault="00C20D65" w:rsidP="00C20D65">
            <w:pPr>
              <w:pStyle w:val="TableTextColumnHeading"/>
            </w:pPr>
            <w:r>
              <w:t>2007</w:t>
            </w:r>
            <w:r w:rsidR="0032240D" w:rsidRPr="00F05B06">
              <w:t xml:space="preserve"> rating</w:t>
            </w:r>
          </w:p>
        </w:tc>
      </w:tr>
      <w:tr w:rsidR="000C5224" w:rsidRPr="00F05B06" w:rsidTr="007C066E">
        <w:trPr>
          <w:cantSplit/>
        </w:trPr>
        <w:tc>
          <w:tcPr>
            <w:tcW w:w="5837" w:type="dxa"/>
            <w:tcBorders>
              <w:top w:val="single" w:sz="2" w:space="0" w:color="808080"/>
              <w:left w:val="single" w:sz="2" w:space="0" w:color="808080"/>
              <w:bottom w:val="single" w:sz="2" w:space="0" w:color="808080"/>
              <w:right w:val="single" w:sz="2" w:space="0" w:color="808080"/>
            </w:tcBorders>
            <w:shd w:val="clear" w:color="auto" w:fill="auto"/>
            <w:tcMar>
              <w:left w:w="57" w:type="dxa"/>
              <w:right w:w="57" w:type="dxa"/>
            </w:tcMar>
          </w:tcPr>
          <w:p w:rsidR="000C5224" w:rsidRPr="00F05B06" w:rsidRDefault="000C5224" w:rsidP="00C20D65">
            <w:pPr>
              <w:pStyle w:val="TableTextEntries"/>
            </w:pPr>
            <w:r w:rsidRPr="000D4DE4">
              <w:t>1. Improved financial management and accountability through continued public sector reform</w:t>
            </w:r>
          </w:p>
        </w:tc>
        <w:tc>
          <w:tcPr>
            <w:tcW w:w="1050" w:type="dxa"/>
            <w:tcBorders>
              <w:top w:val="single" w:sz="12" w:space="0" w:color="auto"/>
              <w:left w:val="single" w:sz="2" w:space="0" w:color="808080"/>
              <w:bottom w:val="single" w:sz="2" w:space="0" w:color="808080"/>
              <w:right w:val="single" w:sz="2" w:space="0" w:color="808080"/>
            </w:tcBorders>
            <w:shd w:val="clear" w:color="auto" w:fill="99CC00"/>
            <w:tcMar>
              <w:left w:w="57" w:type="dxa"/>
              <w:right w:w="57" w:type="dxa"/>
            </w:tcMar>
          </w:tcPr>
          <w:p w:rsidR="000C5224" w:rsidRPr="00F05B06" w:rsidRDefault="000C5224" w:rsidP="00C20D65">
            <w:pPr>
              <w:pStyle w:val="TableTextEntries"/>
              <w:spacing w:before="20"/>
            </w:pPr>
            <w:r>
              <w:t>(Green)</w:t>
            </w:r>
          </w:p>
        </w:tc>
        <w:tc>
          <w:tcPr>
            <w:tcW w:w="1051" w:type="dxa"/>
            <w:tcBorders>
              <w:top w:val="single" w:sz="12" w:space="0" w:color="auto"/>
              <w:left w:val="single" w:sz="2" w:space="0" w:color="808080"/>
              <w:bottom w:val="single" w:sz="2" w:space="0" w:color="808080"/>
              <w:right w:val="single" w:sz="2" w:space="0" w:color="808080"/>
            </w:tcBorders>
            <w:shd w:val="clear" w:color="auto" w:fill="99CC00"/>
            <w:tcMar>
              <w:left w:w="57" w:type="dxa"/>
              <w:right w:w="57" w:type="dxa"/>
            </w:tcMar>
          </w:tcPr>
          <w:p w:rsidR="000C5224" w:rsidRPr="00F05B06" w:rsidRDefault="000C5224" w:rsidP="00105BB7">
            <w:pPr>
              <w:pStyle w:val="TableTextEntries"/>
              <w:spacing w:before="20"/>
            </w:pPr>
            <w:r>
              <w:t>(Green)</w:t>
            </w:r>
          </w:p>
        </w:tc>
      </w:tr>
      <w:tr w:rsidR="000C5224" w:rsidRPr="00F05B06" w:rsidTr="007C066E">
        <w:trPr>
          <w:cantSplit/>
        </w:trPr>
        <w:tc>
          <w:tcPr>
            <w:tcW w:w="5837" w:type="dxa"/>
            <w:tcBorders>
              <w:top w:val="single" w:sz="2" w:space="0" w:color="808080"/>
              <w:left w:val="single" w:sz="2" w:space="0" w:color="808080"/>
              <w:bottom w:val="single" w:sz="2" w:space="0" w:color="808080"/>
              <w:right w:val="single" w:sz="2" w:space="0" w:color="808080"/>
            </w:tcBorders>
            <w:tcMar>
              <w:left w:w="57" w:type="dxa"/>
              <w:right w:w="57" w:type="dxa"/>
            </w:tcMar>
          </w:tcPr>
          <w:p w:rsidR="000C5224" w:rsidRPr="00F05B06" w:rsidRDefault="000C5224" w:rsidP="00C20D65">
            <w:pPr>
              <w:pStyle w:val="TableTextEntries"/>
            </w:pPr>
            <w:r w:rsidRPr="000D4DE4">
              <w:t>2(a). More effective legal institutions</w:t>
            </w:r>
          </w:p>
        </w:tc>
        <w:tc>
          <w:tcPr>
            <w:tcW w:w="1050" w:type="dxa"/>
            <w:tcBorders>
              <w:top w:val="single" w:sz="2" w:space="0" w:color="808080"/>
              <w:left w:val="single" w:sz="2" w:space="0" w:color="808080"/>
              <w:bottom w:val="single" w:sz="2" w:space="0" w:color="808080"/>
              <w:right w:val="single" w:sz="2" w:space="0" w:color="808080"/>
            </w:tcBorders>
            <w:shd w:val="clear" w:color="auto" w:fill="FF9900"/>
            <w:tcMar>
              <w:left w:w="57" w:type="dxa"/>
              <w:right w:w="57" w:type="dxa"/>
            </w:tcMar>
          </w:tcPr>
          <w:p w:rsidR="000C5224" w:rsidRPr="00F05B06" w:rsidRDefault="000C5224" w:rsidP="00C20D65">
            <w:pPr>
              <w:pStyle w:val="TableTextEntries"/>
              <w:rPr>
                <w:i/>
              </w:rPr>
            </w:pPr>
            <w:r>
              <w:rPr>
                <w:i/>
              </w:rPr>
              <w:t>(Amber)</w:t>
            </w:r>
          </w:p>
        </w:tc>
        <w:tc>
          <w:tcPr>
            <w:tcW w:w="1051" w:type="dxa"/>
            <w:tcBorders>
              <w:top w:val="single" w:sz="2" w:space="0" w:color="808080"/>
              <w:left w:val="single" w:sz="2" w:space="0" w:color="808080"/>
              <w:bottom w:val="single" w:sz="2" w:space="0" w:color="808080"/>
              <w:right w:val="single" w:sz="2" w:space="0" w:color="808080"/>
            </w:tcBorders>
            <w:shd w:val="clear" w:color="auto" w:fill="FF9900"/>
            <w:tcMar>
              <w:left w:w="57" w:type="dxa"/>
              <w:right w:w="57" w:type="dxa"/>
            </w:tcMar>
          </w:tcPr>
          <w:p w:rsidR="000C5224" w:rsidRPr="00F05B06" w:rsidRDefault="000C5224" w:rsidP="00C20D65">
            <w:pPr>
              <w:pStyle w:val="TableTextEntries"/>
              <w:rPr>
                <w:i/>
              </w:rPr>
            </w:pPr>
            <w:r>
              <w:rPr>
                <w:i/>
              </w:rPr>
              <w:t>(Amber)</w:t>
            </w:r>
          </w:p>
        </w:tc>
      </w:tr>
      <w:tr w:rsidR="000C5224" w:rsidRPr="00F05B06" w:rsidTr="007C066E">
        <w:trPr>
          <w:cantSplit/>
        </w:trPr>
        <w:tc>
          <w:tcPr>
            <w:tcW w:w="5837" w:type="dxa"/>
            <w:tcBorders>
              <w:top w:val="single" w:sz="2" w:space="0" w:color="808080"/>
              <w:left w:val="single" w:sz="2" w:space="0" w:color="808080"/>
              <w:bottom w:val="single" w:sz="2" w:space="0" w:color="808080"/>
              <w:right w:val="single" w:sz="2" w:space="0" w:color="808080"/>
            </w:tcBorders>
            <w:tcMar>
              <w:left w:w="57" w:type="dxa"/>
              <w:right w:w="57" w:type="dxa"/>
            </w:tcMar>
          </w:tcPr>
          <w:p w:rsidR="000C5224" w:rsidRPr="00F05B06" w:rsidRDefault="000C5224" w:rsidP="00C20D65">
            <w:pPr>
              <w:pStyle w:val="TableTextEntries"/>
            </w:pPr>
            <w:r w:rsidRPr="000D4DE4">
              <w:t>2(b). Improved police services</w:t>
            </w:r>
          </w:p>
        </w:tc>
        <w:tc>
          <w:tcPr>
            <w:tcW w:w="1050" w:type="dxa"/>
            <w:tcBorders>
              <w:top w:val="single" w:sz="2" w:space="0" w:color="808080"/>
              <w:left w:val="single" w:sz="2" w:space="0" w:color="808080"/>
              <w:bottom w:val="single" w:sz="2" w:space="0" w:color="808080"/>
              <w:right w:val="single" w:sz="2" w:space="0" w:color="808080"/>
            </w:tcBorders>
            <w:shd w:val="clear" w:color="auto" w:fill="99CC00"/>
            <w:tcMar>
              <w:left w:w="57" w:type="dxa"/>
              <w:right w:w="57" w:type="dxa"/>
            </w:tcMar>
          </w:tcPr>
          <w:p w:rsidR="000C5224" w:rsidRPr="00F05B06" w:rsidRDefault="000C5224" w:rsidP="00105BB7">
            <w:pPr>
              <w:pStyle w:val="TableTextEntries"/>
              <w:spacing w:before="20"/>
            </w:pPr>
            <w:r>
              <w:t>(Green)</w:t>
            </w:r>
          </w:p>
        </w:tc>
        <w:tc>
          <w:tcPr>
            <w:tcW w:w="1051" w:type="dxa"/>
            <w:tcBorders>
              <w:top w:val="single" w:sz="2" w:space="0" w:color="808080"/>
              <w:left w:val="single" w:sz="2" w:space="0" w:color="808080"/>
              <w:bottom w:val="single" w:sz="2" w:space="0" w:color="808080"/>
              <w:right w:val="single" w:sz="2" w:space="0" w:color="808080"/>
            </w:tcBorders>
            <w:shd w:val="clear" w:color="auto" w:fill="99CC00"/>
            <w:tcMar>
              <w:left w:w="57" w:type="dxa"/>
              <w:right w:w="57" w:type="dxa"/>
            </w:tcMar>
          </w:tcPr>
          <w:p w:rsidR="000C5224" w:rsidRPr="00F05B06" w:rsidRDefault="000C5224" w:rsidP="00105BB7">
            <w:pPr>
              <w:pStyle w:val="TableTextEntries"/>
              <w:spacing w:before="20"/>
            </w:pPr>
            <w:r>
              <w:t>(Green)</w:t>
            </w:r>
          </w:p>
        </w:tc>
      </w:tr>
      <w:tr w:rsidR="000C5224" w:rsidRPr="00F05B06" w:rsidTr="007C066E">
        <w:trPr>
          <w:cantSplit/>
        </w:trPr>
        <w:tc>
          <w:tcPr>
            <w:tcW w:w="5837" w:type="dxa"/>
            <w:tcBorders>
              <w:top w:val="single" w:sz="2" w:space="0" w:color="808080"/>
              <w:left w:val="single" w:sz="2" w:space="0" w:color="808080"/>
              <w:bottom w:val="single" w:sz="2" w:space="0" w:color="808080"/>
              <w:right w:val="single" w:sz="2" w:space="0" w:color="808080"/>
            </w:tcBorders>
            <w:tcMar>
              <w:left w:w="57" w:type="dxa"/>
              <w:right w:w="57" w:type="dxa"/>
            </w:tcMar>
          </w:tcPr>
          <w:p w:rsidR="000C5224" w:rsidRPr="00F05B06" w:rsidRDefault="000C5224" w:rsidP="00C20D65">
            <w:pPr>
              <w:pStyle w:val="TableTextEntries"/>
            </w:pPr>
            <w:r w:rsidRPr="000D4DE4">
              <w:t>3. Stronger links between central, line and provincial systems</w:t>
            </w:r>
          </w:p>
        </w:tc>
        <w:tc>
          <w:tcPr>
            <w:tcW w:w="1050" w:type="dxa"/>
            <w:tcBorders>
              <w:top w:val="single" w:sz="2" w:space="0" w:color="808080"/>
              <w:left w:val="single" w:sz="2" w:space="0" w:color="808080"/>
              <w:bottom w:val="single" w:sz="2" w:space="0" w:color="808080"/>
              <w:right w:val="single" w:sz="2" w:space="0" w:color="808080"/>
            </w:tcBorders>
            <w:shd w:val="clear" w:color="auto" w:fill="99CC00"/>
            <w:tcMar>
              <w:left w:w="57" w:type="dxa"/>
              <w:right w:w="57" w:type="dxa"/>
            </w:tcMar>
          </w:tcPr>
          <w:p w:rsidR="000C5224" w:rsidRPr="00F05B06" w:rsidRDefault="000C5224" w:rsidP="00105BB7">
            <w:pPr>
              <w:pStyle w:val="TableTextEntries"/>
              <w:spacing w:before="20"/>
            </w:pPr>
            <w:r>
              <w:t>(Green)</w:t>
            </w:r>
          </w:p>
        </w:tc>
        <w:tc>
          <w:tcPr>
            <w:tcW w:w="1051" w:type="dxa"/>
            <w:tcBorders>
              <w:top w:val="single" w:sz="2" w:space="0" w:color="808080"/>
              <w:left w:val="single" w:sz="2" w:space="0" w:color="808080"/>
              <w:bottom w:val="single" w:sz="2" w:space="0" w:color="808080"/>
              <w:right w:val="single" w:sz="2" w:space="0" w:color="808080"/>
            </w:tcBorders>
            <w:shd w:val="clear" w:color="auto" w:fill="99CC00"/>
            <w:tcMar>
              <w:left w:w="57" w:type="dxa"/>
              <w:right w:w="57" w:type="dxa"/>
            </w:tcMar>
          </w:tcPr>
          <w:p w:rsidR="000C5224" w:rsidRPr="00F05B06" w:rsidRDefault="000C5224" w:rsidP="00105BB7">
            <w:pPr>
              <w:pStyle w:val="TableTextEntries"/>
              <w:spacing w:before="20"/>
            </w:pPr>
            <w:r>
              <w:t>(Green)</w:t>
            </w:r>
          </w:p>
        </w:tc>
      </w:tr>
      <w:tr w:rsidR="000C5224" w:rsidRPr="00F05B06" w:rsidTr="00C20D65">
        <w:trPr>
          <w:cantSplit/>
        </w:trPr>
        <w:tc>
          <w:tcPr>
            <w:tcW w:w="5837" w:type="dxa"/>
            <w:tcBorders>
              <w:top w:val="single" w:sz="2" w:space="0" w:color="808080"/>
              <w:left w:val="single" w:sz="2" w:space="0" w:color="808080"/>
              <w:bottom w:val="single" w:sz="2" w:space="0" w:color="808080"/>
              <w:right w:val="single" w:sz="2" w:space="0" w:color="808080"/>
            </w:tcBorders>
            <w:tcMar>
              <w:left w:w="57" w:type="dxa"/>
              <w:right w:w="57" w:type="dxa"/>
            </w:tcMar>
          </w:tcPr>
          <w:p w:rsidR="000C5224" w:rsidRPr="00F05B06" w:rsidRDefault="000C5224" w:rsidP="00C20D65">
            <w:pPr>
              <w:pStyle w:val="TableTextEntries"/>
            </w:pPr>
            <w:r w:rsidRPr="000D4DE4">
              <w:t xml:space="preserve">4(a). Improved </w:t>
            </w:r>
            <w:r>
              <w:t>e</w:t>
            </w:r>
            <w:r w:rsidRPr="000D4DE4">
              <w:t>ducation service delivery to populations in greatest hardship, including rural communities and informal settlements in urban areas</w:t>
            </w:r>
          </w:p>
        </w:tc>
        <w:tc>
          <w:tcPr>
            <w:tcW w:w="1050" w:type="dxa"/>
            <w:tcBorders>
              <w:top w:val="single" w:sz="2" w:space="0" w:color="808080"/>
              <w:left w:val="single" w:sz="2" w:space="0" w:color="808080"/>
              <w:bottom w:val="single" w:sz="2" w:space="0" w:color="808080"/>
              <w:right w:val="single" w:sz="2" w:space="0" w:color="808080"/>
            </w:tcBorders>
            <w:shd w:val="clear" w:color="auto" w:fill="99CC00"/>
            <w:tcMar>
              <w:left w:w="57" w:type="dxa"/>
              <w:right w:w="57" w:type="dxa"/>
            </w:tcMar>
          </w:tcPr>
          <w:p w:rsidR="000C5224" w:rsidRPr="00F05B06" w:rsidRDefault="000C5224" w:rsidP="00105BB7">
            <w:pPr>
              <w:pStyle w:val="TableTextEntries"/>
              <w:spacing w:before="20"/>
            </w:pPr>
            <w:r>
              <w:t>(Green)</w:t>
            </w:r>
          </w:p>
        </w:tc>
        <w:tc>
          <w:tcPr>
            <w:tcW w:w="1051" w:type="dxa"/>
            <w:tcBorders>
              <w:top w:val="single" w:sz="2" w:space="0" w:color="808080"/>
              <w:left w:val="single" w:sz="2" w:space="0" w:color="808080"/>
              <w:bottom w:val="single" w:sz="2" w:space="0" w:color="808080"/>
              <w:right w:val="single" w:sz="2" w:space="0" w:color="808080"/>
            </w:tcBorders>
            <w:shd w:val="clear" w:color="auto" w:fill="99CC00"/>
            <w:tcMar>
              <w:left w:w="57" w:type="dxa"/>
              <w:right w:w="57" w:type="dxa"/>
            </w:tcMar>
          </w:tcPr>
          <w:p w:rsidR="000C5224" w:rsidRPr="00F05B06" w:rsidRDefault="000C5224" w:rsidP="00105BB7">
            <w:pPr>
              <w:pStyle w:val="TableTextEntries"/>
              <w:spacing w:before="20"/>
            </w:pPr>
            <w:r>
              <w:t>(Green)</w:t>
            </w:r>
          </w:p>
        </w:tc>
      </w:tr>
      <w:tr w:rsidR="000C5224" w:rsidRPr="00F05B06" w:rsidTr="00C20D65">
        <w:trPr>
          <w:cantSplit/>
        </w:trPr>
        <w:tc>
          <w:tcPr>
            <w:tcW w:w="5837" w:type="dxa"/>
            <w:tcBorders>
              <w:top w:val="single" w:sz="2" w:space="0" w:color="808080"/>
              <w:left w:val="single" w:sz="2" w:space="0" w:color="808080"/>
              <w:bottom w:val="single" w:sz="2" w:space="0" w:color="808080"/>
              <w:right w:val="single" w:sz="2" w:space="0" w:color="808080"/>
            </w:tcBorders>
            <w:tcMar>
              <w:left w:w="57" w:type="dxa"/>
              <w:right w:w="57" w:type="dxa"/>
            </w:tcMar>
          </w:tcPr>
          <w:p w:rsidR="000C5224" w:rsidRPr="00F05B06" w:rsidRDefault="000C5224" w:rsidP="00C20D65">
            <w:pPr>
              <w:pStyle w:val="TableTextEntries"/>
            </w:pPr>
            <w:r w:rsidRPr="000D4DE4">
              <w:t xml:space="preserve">4(b). Improved </w:t>
            </w:r>
            <w:r>
              <w:t>h</w:t>
            </w:r>
            <w:r w:rsidRPr="000D4DE4">
              <w:t>ealth service delivery to populations in greatest hardship, including rural communities and informal settlements in urban areas</w:t>
            </w:r>
          </w:p>
        </w:tc>
        <w:tc>
          <w:tcPr>
            <w:tcW w:w="1050" w:type="dxa"/>
            <w:tcBorders>
              <w:top w:val="single" w:sz="2" w:space="0" w:color="808080"/>
              <w:left w:val="single" w:sz="2" w:space="0" w:color="808080"/>
              <w:bottom w:val="single" w:sz="2" w:space="0" w:color="808080"/>
              <w:right w:val="single" w:sz="2" w:space="0" w:color="808080"/>
            </w:tcBorders>
            <w:shd w:val="clear" w:color="auto" w:fill="FF9900"/>
            <w:tcMar>
              <w:left w:w="57" w:type="dxa"/>
              <w:right w:w="57" w:type="dxa"/>
            </w:tcMar>
          </w:tcPr>
          <w:p w:rsidR="000C5224" w:rsidRPr="00F05B06" w:rsidRDefault="000C5224" w:rsidP="00C20D65">
            <w:pPr>
              <w:pStyle w:val="TableTextEntries"/>
              <w:rPr>
                <w:i/>
              </w:rPr>
            </w:pPr>
            <w:r>
              <w:rPr>
                <w:i/>
              </w:rPr>
              <w:t>(Amber)</w:t>
            </w:r>
          </w:p>
        </w:tc>
        <w:tc>
          <w:tcPr>
            <w:tcW w:w="1051" w:type="dxa"/>
            <w:tcBorders>
              <w:top w:val="single" w:sz="2" w:space="0" w:color="808080"/>
              <w:left w:val="single" w:sz="2" w:space="0" w:color="808080"/>
              <w:bottom w:val="single" w:sz="2" w:space="0" w:color="808080"/>
              <w:right w:val="single" w:sz="2" w:space="0" w:color="808080"/>
            </w:tcBorders>
            <w:shd w:val="clear" w:color="auto" w:fill="FF9900"/>
            <w:tcMar>
              <w:left w:w="57" w:type="dxa"/>
              <w:right w:w="57" w:type="dxa"/>
            </w:tcMar>
          </w:tcPr>
          <w:p w:rsidR="000C5224" w:rsidRPr="00F05B06" w:rsidRDefault="000C5224" w:rsidP="00C20D65">
            <w:pPr>
              <w:pStyle w:val="TableTextEntries"/>
              <w:rPr>
                <w:i/>
              </w:rPr>
            </w:pPr>
            <w:r>
              <w:rPr>
                <w:i/>
              </w:rPr>
              <w:t>(Amber)</w:t>
            </w:r>
          </w:p>
        </w:tc>
      </w:tr>
      <w:tr w:rsidR="000C5224" w:rsidRPr="00F05B06" w:rsidTr="007C066E">
        <w:trPr>
          <w:cantSplit/>
        </w:trPr>
        <w:tc>
          <w:tcPr>
            <w:tcW w:w="5837" w:type="dxa"/>
            <w:tcBorders>
              <w:top w:val="single" w:sz="2" w:space="0" w:color="808080"/>
              <w:left w:val="single" w:sz="2" w:space="0" w:color="808080"/>
              <w:bottom w:val="single" w:sz="2" w:space="0" w:color="808080"/>
              <w:right w:val="single" w:sz="2" w:space="0" w:color="808080"/>
            </w:tcBorders>
            <w:tcMar>
              <w:left w:w="57" w:type="dxa"/>
              <w:right w:w="57" w:type="dxa"/>
            </w:tcMar>
          </w:tcPr>
          <w:p w:rsidR="000C5224" w:rsidRPr="00F05B06" w:rsidRDefault="000C5224" w:rsidP="00C20D65">
            <w:pPr>
              <w:pStyle w:val="TableTextEntries"/>
            </w:pPr>
            <w:r w:rsidRPr="000D4DE4">
              <w:t>5. Stronger partnerships between non-state actors and government in service delivery in rural communities and informal settlements in urban areas</w:t>
            </w:r>
          </w:p>
        </w:tc>
        <w:tc>
          <w:tcPr>
            <w:tcW w:w="1050" w:type="dxa"/>
            <w:tcBorders>
              <w:top w:val="single" w:sz="2" w:space="0" w:color="808080"/>
              <w:left w:val="single" w:sz="2" w:space="0" w:color="808080"/>
              <w:bottom w:val="single" w:sz="2" w:space="0" w:color="808080"/>
              <w:right w:val="single" w:sz="2" w:space="0" w:color="808080"/>
            </w:tcBorders>
            <w:shd w:val="clear" w:color="auto" w:fill="99CC00"/>
            <w:tcMar>
              <w:left w:w="57" w:type="dxa"/>
              <w:right w:w="57" w:type="dxa"/>
            </w:tcMar>
          </w:tcPr>
          <w:p w:rsidR="000C5224" w:rsidRPr="00F05B06" w:rsidRDefault="000C5224" w:rsidP="00105BB7">
            <w:pPr>
              <w:pStyle w:val="TableTextEntries"/>
              <w:spacing w:before="20"/>
            </w:pPr>
            <w:r>
              <w:t>(Green)</w:t>
            </w:r>
          </w:p>
        </w:tc>
        <w:tc>
          <w:tcPr>
            <w:tcW w:w="1051" w:type="dxa"/>
            <w:tcBorders>
              <w:top w:val="single" w:sz="2" w:space="0" w:color="808080"/>
              <w:left w:val="single" w:sz="2" w:space="0" w:color="808080"/>
              <w:bottom w:val="single" w:sz="2" w:space="0" w:color="808080"/>
              <w:right w:val="single" w:sz="2" w:space="0" w:color="808080"/>
            </w:tcBorders>
            <w:shd w:val="clear" w:color="auto" w:fill="99CC00"/>
            <w:tcMar>
              <w:left w:w="57" w:type="dxa"/>
              <w:right w:w="57" w:type="dxa"/>
            </w:tcMar>
          </w:tcPr>
          <w:p w:rsidR="000C5224" w:rsidRPr="00F05B06" w:rsidRDefault="000C5224" w:rsidP="00105BB7">
            <w:pPr>
              <w:pStyle w:val="TableTextEntries"/>
              <w:spacing w:before="20"/>
            </w:pPr>
            <w:r>
              <w:t>(Green)</w:t>
            </w:r>
          </w:p>
        </w:tc>
      </w:tr>
      <w:tr w:rsidR="000C5224" w:rsidRPr="00F05B06" w:rsidTr="007C066E">
        <w:trPr>
          <w:cantSplit/>
        </w:trPr>
        <w:tc>
          <w:tcPr>
            <w:tcW w:w="5837" w:type="dxa"/>
            <w:tcBorders>
              <w:top w:val="single" w:sz="2" w:space="0" w:color="808080"/>
              <w:left w:val="single" w:sz="2" w:space="0" w:color="808080"/>
              <w:bottom w:val="single" w:sz="2" w:space="0" w:color="808080"/>
              <w:right w:val="single" w:sz="2" w:space="0" w:color="808080"/>
            </w:tcBorders>
            <w:tcMar>
              <w:left w:w="57" w:type="dxa"/>
              <w:right w:w="57" w:type="dxa"/>
            </w:tcMar>
          </w:tcPr>
          <w:p w:rsidR="000C5224" w:rsidRPr="00F05B06" w:rsidRDefault="000C5224" w:rsidP="00C20D65">
            <w:pPr>
              <w:pStyle w:val="TableTextEntries"/>
            </w:pPr>
            <w:r w:rsidRPr="000D4DE4">
              <w:t>6. Economic growth</w:t>
            </w:r>
            <w:r>
              <w:t>—</w:t>
            </w:r>
            <w:r w:rsidRPr="000D4DE4">
              <w:t xml:space="preserve">raised productive capacity of </w:t>
            </w:r>
            <w:proofErr w:type="spellStart"/>
            <w:r w:rsidRPr="000D4DE4">
              <w:t>ni</w:t>
            </w:r>
            <w:proofErr w:type="spellEnd"/>
            <w:r w:rsidRPr="000D4DE4">
              <w:t>-Vanuatu, particularly women and young people</w:t>
            </w:r>
          </w:p>
        </w:tc>
        <w:tc>
          <w:tcPr>
            <w:tcW w:w="1050" w:type="dxa"/>
            <w:tcBorders>
              <w:top w:val="single" w:sz="2" w:space="0" w:color="808080"/>
              <w:left w:val="single" w:sz="2" w:space="0" w:color="808080"/>
              <w:bottom w:val="single" w:sz="2" w:space="0" w:color="808080"/>
              <w:right w:val="single" w:sz="2" w:space="0" w:color="808080"/>
            </w:tcBorders>
            <w:shd w:val="clear" w:color="auto" w:fill="99CC00"/>
            <w:tcMar>
              <w:left w:w="57" w:type="dxa"/>
              <w:right w:w="57" w:type="dxa"/>
            </w:tcMar>
          </w:tcPr>
          <w:p w:rsidR="000C5224" w:rsidRPr="00F05B06" w:rsidRDefault="000C5224" w:rsidP="00105BB7">
            <w:pPr>
              <w:pStyle w:val="TableTextEntries"/>
              <w:spacing w:before="20"/>
            </w:pPr>
            <w:r>
              <w:t>(Green)</w:t>
            </w:r>
          </w:p>
        </w:tc>
        <w:tc>
          <w:tcPr>
            <w:tcW w:w="1051" w:type="dxa"/>
            <w:tcBorders>
              <w:top w:val="single" w:sz="2" w:space="0" w:color="808080"/>
              <w:left w:val="single" w:sz="2" w:space="0" w:color="808080"/>
              <w:bottom w:val="single" w:sz="2" w:space="0" w:color="808080"/>
              <w:right w:val="single" w:sz="2" w:space="0" w:color="808080"/>
            </w:tcBorders>
            <w:shd w:val="clear" w:color="auto" w:fill="99CC00"/>
            <w:tcMar>
              <w:left w:w="57" w:type="dxa"/>
              <w:right w:w="57" w:type="dxa"/>
            </w:tcMar>
          </w:tcPr>
          <w:p w:rsidR="000C5224" w:rsidRPr="00F05B06" w:rsidRDefault="000C5224" w:rsidP="00105BB7">
            <w:pPr>
              <w:pStyle w:val="TableTextEntries"/>
              <w:spacing w:before="20"/>
            </w:pPr>
            <w:r>
              <w:t>(Green)</w:t>
            </w:r>
          </w:p>
        </w:tc>
      </w:tr>
      <w:tr w:rsidR="000C5224" w:rsidRPr="00F05B06" w:rsidTr="007C066E">
        <w:trPr>
          <w:cantSplit/>
          <w:trHeight w:val="293"/>
        </w:trPr>
        <w:tc>
          <w:tcPr>
            <w:tcW w:w="5837" w:type="dxa"/>
            <w:tcBorders>
              <w:top w:val="single" w:sz="2" w:space="0" w:color="808080"/>
              <w:left w:val="single" w:sz="2" w:space="0" w:color="808080"/>
              <w:bottom w:val="single" w:sz="2" w:space="0" w:color="808080"/>
              <w:right w:val="single" w:sz="2" w:space="0" w:color="808080"/>
            </w:tcBorders>
            <w:shd w:val="clear" w:color="auto" w:fill="auto"/>
            <w:tcMar>
              <w:left w:w="57" w:type="dxa"/>
              <w:right w:w="57" w:type="dxa"/>
            </w:tcMar>
          </w:tcPr>
          <w:p w:rsidR="000C5224" w:rsidRPr="00F05B06" w:rsidRDefault="000C5224" w:rsidP="00C20D65">
            <w:pPr>
              <w:pStyle w:val="TableTextEntries"/>
            </w:pPr>
            <w:r w:rsidRPr="000D4DE4">
              <w:t>7. Greater demand for better governance</w:t>
            </w:r>
            <w:r>
              <w:t>*</w:t>
            </w:r>
          </w:p>
        </w:tc>
        <w:tc>
          <w:tcPr>
            <w:tcW w:w="1050" w:type="dxa"/>
            <w:tcBorders>
              <w:top w:val="single" w:sz="2" w:space="0" w:color="808080"/>
              <w:left w:val="single" w:sz="2" w:space="0" w:color="808080"/>
              <w:right w:val="single" w:sz="2" w:space="0" w:color="808080"/>
            </w:tcBorders>
            <w:shd w:val="clear" w:color="auto" w:fill="99CC00"/>
            <w:tcMar>
              <w:left w:w="57" w:type="dxa"/>
              <w:right w:w="57" w:type="dxa"/>
            </w:tcMar>
          </w:tcPr>
          <w:p w:rsidR="000C5224" w:rsidRPr="00F05B06" w:rsidRDefault="000C5224" w:rsidP="00105BB7">
            <w:pPr>
              <w:pStyle w:val="TableTextEntries"/>
              <w:spacing w:before="20"/>
            </w:pPr>
            <w:r>
              <w:t>(Green)</w:t>
            </w:r>
          </w:p>
        </w:tc>
        <w:tc>
          <w:tcPr>
            <w:tcW w:w="1051" w:type="dxa"/>
            <w:tcBorders>
              <w:top w:val="single" w:sz="2" w:space="0" w:color="808080"/>
              <w:left w:val="single" w:sz="2" w:space="0" w:color="808080"/>
              <w:right w:val="single" w:sz="2" w:space="0" w:color="808080"/>
            </w:tcBorders>
            <w:shd w:val="clear" w:color="auto" w:fill="auto"/>
            <w:tcMar>
              <w:left w:w="57" w:type="dxa"/>
              <w:right w:w="57" w:type="dxa"/>
            </w:tcMar>
          </w:tcPr>
          <w:p w:rsidR="000C5224" w:rsidRPr="00453F69" w:rsidRDefault="000C5224" w:rsidP="00C20D65">
            <w:pPr>
              <w:pStyle w:val="TableTextEntries"/>
            </w:pPr>
          </w:p>
        </w:tc>
      </w:tr>
    </w:tbl>
    <w:p w:rsidR="00CE7C6C" w:rsidRDefault="00CE7C6C" w:rsidP="0032240D">
      <w:pPr>
        <w:pStyle w:val="Note"/>
      </w:pPr>
      <w:r>
        <w:t>* Objective 7, ‘Greater demand for better governance’, has been included as an additional objective to reflect its growing importance in the program.</w:t>
      </w:r>
    </w:p>
    <w:p w:rsidR="0032240D" w:rsidRDefault="0032240D" w:rsidP="0032240D">
      <w:pPr>
        <w:pStyle w:val="Note"/>
      </w:pPr>
      <w:r>
        <w:t>Note:</w:t>
      </w:r>
    </w:p>
    <w:tbl>
      <w:tblPr>
        <w:tblStyle w:val="TableGrid"/>
        <w:tblW w:w="7937" w:type="dxa"/>
        <w:tblInd w:w="57" w:type="dxa"/>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ook w:val="01E0" w:firstRow="1" w:lastRow="1" w:firstColumn="1" w:lastColumn="1" w:noHBand="0" w:noVBand="0"/>
        <w:tblCaption w:val="Notes"/>
      </w:tblPr>
      <w:tblGrid>
        <w:gridCol w:w="1045"/>
        <w:gridCol w:w="6892"/>
      </w:tblGrid>
      <w:tr w:rsidR="000C5224" w:rsidRPr="00011299" w:rsidTr="000F0A60">
        <w:trPr>
          <w:cantSplit/>
          <w:trHeight w:val="20"/>
          <w:tblHeader/>
        </w:trPr>
        <w:tc>
          <w:tcPr>
            <w:tcW w:w="1045" w:type="dxa"/>
            <w:tcBorders>
              <w:top w:val="single" w:sz="2" w:space="0" w:color="808080"/>
              <w:left w:val="single" w:sz="2" w:space="0" w:color="808080"/>
              <w:bottom w:val="single" w:sz="2" w:space="0" w:color="808080"/>
              <w:right w:val="single" w:sz="2" w:space="0" w:color="808080"/>
            </w:tcBorders>
            <w:shd w:val="clear" w:color="auto" w:fill="99CC00"/>
            <w:tcMar>
              <w:left w:w="57" w:type="dxa"/>
              <w:right w:w="57" w:type="dxa"/>
            </w:tcMar>
          </w:tcPr>
          <w:p w:rsidR="000C5224" w:rsidRPr="00F05B06" w:rsidRDefault="000C5224" w:rsidP="00105BB7">
            <w:pPr>
              <w:pStyle w:val="TableTextEntries"/>
              <w:spacing w:before="20"/>
            </w:pPr>
            <w:bookmarkStart w:id="12" w:name="_GoBack" w:colFirst="0" w:colLast="2"/>
            <w:r w:rsidRPr="000C5224">
              <w:rPr>
                <w:i/>
                <w:sz w:val="14"/>
                <w:szCs w:val="14"/>
              </w:rPr>
              <w:t>(Green)</w:t>
            </w:r>
          </w:p>
        </w:tc>
        <w:tc>
          <w:tcPr>
            <w:tcW w:w="6892" w:type="dxa"/>
            <w:tcBorders>
              <w:top w:val="nil"/>
              <w:left w:val="single" w:sz="2" w:space="0" w:color="808080"/>
              <w:bottom w:val="nil"/>
              <w:right w:val="nil"/>
            </w:tcBorders>
            <w:shd w:val="clear" w:color="auto" w:fill="auto"/>
            <w:vAlign w:val="center"/>
          </w:tcPr>
          <w:p w:rsidR="000C5224" w:rsidRPr="006D2818" w:rsidRDefault="000C5224" w:rsidP="00C20D65">
            <w:pPr>
              <w:pStyle w:val="Note"/>
              <w:spacing w:before="0"/>
            </w:pPr>
            <w:r w:rsidRPr="006D2818">
              <w:t>The objective will be fully achieved within the timeframe of the strategy.</w:t>
            </w:r>
          </w:p>
        </w:tc>
      </w:tr>
      <w:bookmarkEnd w:id="12"/>
      <w:tr w:rsidR="000C5224" w:rsidRPr="00011299" w:rsidTr="000C5224">
        <w:trPr>
          <w:cantSplit/>
          <w:trHeight w:val="20"/>
        </w:trPr>
        <w:tc>
          <w:tcPr>
            <w:tcW w:w="1045" w:type="dxa"/>
            <w:tcBorders>
              <w:top w:val="single" w:sz="2" w:space="0" w:color="808080"/>
              <w:left w:val="single" w:sz="2" w:space="0" w:color="808080"/>
              <w:bottom w:val="single" w:sz="2" w:space="0" w:color="808080"/>
              <w:right w:val="single" w:sz="2" w:space="0" w:color="808080"/>
            </w:tcBorders>
            <w:shd w:val="clear" w:color="auto" w:fill="FF9900"/>
            <w:tcMar>
              <w:left w:w="57" w:type="dxa"/>
              <w:right w:w="57" w:type="dxa"/>
            </w:tcMar>
          </w:tcPr>
          <w:p w:rsidR="000C5224" w:rsidRPr="00011299" w:rsidRDefault="000C5224" w:rsidP="00C20D65">
            <w:pPr>
              <w:pStyle w:val="Note"/>
            </w:pPr>
            <w:r>
              <w:rPr>
                <w:i/>
              </w:rPr>
              <w:t>(Amber)</w:t>
            </w:r>
          </w:p>
        </w:tc>
        <w:tc>
          <w:tcPr>
            <w:tcW w:w="6892" w:type="dxa"/>
            <w:tcBorders>
              <w:top w:val="nil"/>
              <w:left w:val="single" w:sz="2" w:space="0" w:color="808080"/>
              <w:bottom w:val="nil"/>
              <w:right w:val="nil"/>
            </w:tcBorders>
            <w:shd w:val="clear" w:color="auto" w:fill="auto"/>
            <w:vAlign w:val="center"/>
          </w:tcPr>
          <w:p w:rsidR="000C5224" w:rsidRPr="006D2818" w:rsidRDefault="000C5224" w:rsidP="00C20D65">
            <w:pPr>
              <w:pStyle w:val="Note"/>
              <w:spacing w:before="0"/>
            </w:pPr>
            <w:r w:rsidRPr="006D2818">
              <w:t>The objective will be partly achieved within the timeframe of the strategy.</w:t>
            </w:r>
          </w:p>
        </w:tc>
      </w:tr>
      <w:tr w:rsidR="000C5224" w:rsidRPr="00011299" w:rsidTr="000C5224">
        <w:trPr>
          <w:cantSplit/>
          <w:trHeight w:val="20"/>
        </w:trPr>
        <w:tc>
          <w:tcPr>
            <w:tcW w:w="1045" w:type="dxa"/>
            <w:tcBorders>
              <w:top w:val="single" w:sz="2" w:space="0" w:color="808080"/>
              <w:left w:val="single" w:sz="2" w:space="0" w:color="808080"/>
              <w:bottom w:val="single" w:sz="2" w:space="0" w:color="808080"/>
              <w:right w:val="single" w:sz="2" w:space="0" w:color="808080"/>
            </w:tcBorders>
            <w:shd w:val="clear" w:color="auto" w:fill="FF0000"/>
            <w:tcMar>
              <w:left w:w="57" w:type="dxa"/>
              <w:right w:w="57" w:type="dxa"/>
            </w:tcMar>
          </w:tcPr>
          <w:p w:rsidR="000C5224" w:rsidRPr="00011299" w:rsidRDefault="000C5224" w:rsidP="00C20D65">
            <w:pPr>
              <w:pStyle w:val="Note"/>
            </w:pPr>
            <w:r>
              <w:t>(Red)</w:t>
            </w:r>
          </w:p>
        </w:tc>
        <w:tc>
          <w:tcPr>
            <w:tcW w:w="6892" w:type="dxa"/>
            <w:tcBorders>
              <w:top w:val="nil"/>
              <w:left w:val="single" w:sz="2" w:space="0" w:color="808080"/>
              <w:bottom w:val="nil"/>
              <w:right w:val="nil"/>
            </w:tcBorders>
            <w:shd w:val="clear" w:color="auto" w:fill="auto"/>
            <w:vAlign w:val="center"/>
          </w:tcPr>
          <w:p w:rsidR="000C5224" w:rsidRPr="006D2818" w:rsidRDefault="000C5224" w:rsidP="00C20D65">
            <w:pPr>
              <w:pStyle w:val="Note"/>
              <w:spacing w:before="0"/>
            </w:pPr>
            <w:r w:rsidRPr="006D2818">
              <w:t>The objective is unlikely to be achieved within the timeframe of the strategy.</w:t>
            </w:r>
          </w:p>
        </w:tc>
      </w:tr>
    </w:tbl>
    <w:p w:rsidR="000134D1" w:rsidRDefault="000134D1" w:rsidP="000D4DE4">
      <w:pPr>
        <w:pStyle w:val="Heading2unnumbered"/>
      </w:pPr>
      <w:bookmarkStart w:id="13" w:name="_Toc244318525"/>
      <w:bookmarkStart w:id="14" w:name="_Toc360984083"/>
      <w:r>
        <w:lastRenderedPageBreak/>
        <w:t>Major results</w:t>
      </w:r>
      <w:bookmarkEnd w:id="13"/>
      <w:bookmarkEnd w:id="14"/>
      <w:r>
        <w:t xml:space="preserve"> </w:t>
      </w:r>
    </w:p>
    <w:p w:rsidR="000134D1" w:rsidRDefault="000134D1" w:rsidP="000134D1">
      <w:pPr>
        <w:pStyle w:val="BodyText"/>
      </w:pPr>
      <w:r>
        <w:t xml:space="preserve">The aid program achieved a number of significant results in </w:t>
      </w:r>
      <w:r w:rsidR="00822F48">
        <w:t>2008</w:t>
      </w:r>
      <w:r>
        <w:t xml:space="preserve"> in both the implementation of existing programs and the development of new initiatives. Agreement was reached with </w:t>
      </w:r>
      <w:r w:rsidR="001D6D93">
        <w:t xml:space="preserve">the </w:t>
      </w:r>
      <w:r>
        <w:t>Government of Vanuatu on the Australia</w:t>
      </w:r>
      <w:r w:rsidR="005359B3">
        <w:t>–</w:t>
      </w:r>
      <w:r w:rsidR="00024116">
        <w:t>Vanuatu</w:t>
      </w:r>
      <w:r>
        <w:t xml:space="preserve"> Partnership for Development. Through the </w:t>
      </w:r>
      <w:r w:rsidR="00864C36">
        <w:t>Partnership</w:t>
      </w:r>
      <w:r>
        <w:t xml:space="preserve">, </w:t>
      </w:r>
      <w:smartTag w:uri="urn:schemas-microsoft-com:office:smarttags" w:element="country-region">
        <w:r>
          <w:t>Australia</w:t>
        </w:r>
      </w:smartTag>
      <w:r>
        <w:t xml:space="preserve"> will provide significant new resources to promote economic growth and accelerate </w:t>
      </w:r>
      <w:smartTag w:uri="urn:schemas-microsoft-com:office:smarttags" w:element="country-region">
        <w:r>
          <w:t>Vanuatu</w:t>
        </w:r>
      </w:smartTag>
      <w:r>
        <w:t>’s progress towards achieving the MDGs.</w:t>
      </w:r>
      <w:r w:rsidR="00C20D65">
        <w:t xml:space="preserve"> </w:t>
      </w:r>
      <w:smartTag w:uri="urn:schemas-microsoft-com:office:smarttags" w:element="country-region">
        <w:r>
          <w:t>Australia</w:t>
        </w:r>
      </w:smartTag>
      <w:r>
        <w:t xml:space="preserve"> and </w:t>
      </w:r>
      <w:smartTag w:uri="urn:schemas-microsoft-com:office:smarttags" w:element="place">
        <w:smartTag w:uri="urn:schemas-microsoft-com:office:smarttags" w:element="country-region">
          <w:r>
            <w:t>Vanuatu</w:t>
          </w:r>
        </w:smartTag>
      </w:smartTag>
      <w:r>
        <w:t xml:space="preserve"> will work towards mutually agreed objectives in the areas of education, health, infrastructure and economic governance. Prime Minister Rudd and Prime Minister </w:t>
      </w:r>
      <w:proofErr w:type="spellStart"/>
      <w:r>
        <w:t>Natapei</w:t>
      </w:r>
      <w:proofErr w:type="spellEnd"/>
      <w:r>
        <w:t xml:space="preserve"> signed a header agreement for the </w:t>
      </w:r>
      <w:r w:rsidR="00024116">
        <w:t>Partnership</w:t>
      </w:r>
      <w:r>
        <w:t xml:space="preserve"> in May 2009.</w:t>
      </w:r>
    </w:p>
    <w:p w:rsidR="000134D1" w:rsidRDefault="000134D1" w:rsidP="000134D1">
      <w:pPr>
        <w:pStyle w:val="BodyText"/>
      </w:pPr>
      <w:smartTag w:uri="urn:schemas-microsoft-com:office:smarttags" w:element="place">
        <w:smartTag w:uri="urn:schemas-microsoft-com:office:smarttags" w:element="country-region">
          <w:r>
            <w:t>Australia</w:t>
          </w:r>
        </w:smartTag>
      </w:smartTag>
      <w:r>
        <w:t xml:space="preserve"> worked as a responsive and credible donor partner in </w:t>
      </w:r>
      <w:r w:rsidR="00822F48">
        <w:t>2008</w:t>
      </w:r>
      <w:r>
        <w:t>. The Governance for Growth program supported reforms to introduce competition in telecommunications</w:t>
      </w:r>
      <w:r w:rsidR="001D6D93">
        <w:t>. Th</w:t>
      </w:r>
      <w:r w:rsidR="00D72DD0">
        <w:t>ese reforms</w:t>
      </w:r>
      <w:r>
        <w:t xml:space="preserve"> resulted in </w:t>
      </w:r>
      <w:r w:rsidR="001D6D93">
        <w:t xml:space="preserve">an increase from 20 per cent to 75 per cent in </w:t>
      </w:r>
      <w:r>
        <w:t>the proportion of the population with access to mobile telephony.</w:t>
      </w:r>
      <w:r w:rsidR="00C20D65">
        <w:t xml:space="preserve"> </w:t>
      </w:r>
      <w:r w:rsidR="001D6D93">
        <w:t xml:space="preserve">In addition, the program </w:t>
      </w:r>
      <w:r>
        <w:t xml:space="preserve">supported reforms that will promote more transparent and accountable public financial management. </w:t>
      </w:r>
    </w:p>
    <w:p w:rsidR="000134D1" w:rsidRDefault="000134D1" w:rsidP="000134D1">
      <w:pPr>
        <w:pStyle w:val="BodyText"/>
      </w:pPr>
      <w:r>
        <w:t xml:space="preserve">The aid program also supported improvements in service delivery. </w:t>
      </w:r>
      <w:proofErr w:type="spellStart"/>
      <w:r>
        <w:t>AusAID</w:t>
      </w:r>
      <w:proofErr w:type="spellEnd"/>
      <w:r>
        <w:t xml:space="preserve"> and NZAID</w:t>
      </w:r>
      <w:r w:rsidR="001D6D93">
        <w:t>,</w:t>
      </w:r>
      <w:r>
        <w:t xml:space="preserve"> </w:t>
      </w:r>
      <w:r w:rsidR="002D7DFA">
        <w:t xml:space="preserve">under </w:t>
      </w:r>
      <w:r>
        <w:t>the Vanuatu Education Support Action Plan</w:t>
      </w:r>
      <w:r w:rsidR="001D6D93">
        <w:t>,</w:t>
      </w:r>
      <w:r>
        <w:t xml:space="preserve"> </w:t>
      </w:r>
      <w:r w:rsidR="000954C1">
        <w:t xml:space="preserve">are </w:t>
      </w:r>
      <w:r>
        <w:t xml:space="preserve">working through </w:t>
      </w:r>
      <w:r w:rsidR="001D6D93">
        <w:t>g</w:t>
      </w:r>
      <w:r>
        <w:t>overnment systems to improve education facilities and materials and support curriculum reform.</w:t>
      </w:r>
      <w:r w:rsidR="00C20D65">
        <w:t xml:space="preserve"> </w:t>
      </w:r>
      <w:r>
        <w:t xml:space="preserve">In the health sector, </w:t>
      </w:r>
      <w:r w:rsidR="000954C1">
        <w:t xml:space="preserve">the </w:t>
      </w:r>
      <w:r>
        <w:t xml:space="preserve">maternal mortality </w:t>
      </w:r>
      <w:r w:rsidR="000954C1">
        <w:t xml:space="preserve">rate </w:t>
      </w:r>
      <w:r>
        <w:t xml:space="preserve">at </w:t>
      </w:r>
      <w:smartTag w:uri="urn:schemas-microsoft-com:office:smarttags" w:element="place">
        <w:smartTag w:uri="urn:schemas-microsoft-com:office:smarttags" w:element="PlaceName">
          <w:r>
            <w:t>Vila</w:t>
          </w:r>
        </w:smartTag>
        <w:r>
          <w:t xml:space="preserve"> </w:t>
        </w:r>
        <w:smartTag w:uri="urn:schemas-microsoft-com:office:smarttags" w:element="PlaceName">
          <w:r>
            <w:t>Central</w:t>
          </w:r>
        </w:smartTag>
        <w:r>
          <w:t xml:space="preserve"> </w:t>
        </w:r>
        <w:smartTag w:uri="urn:schemas-microsoft-com:office:smarttags" w:element="PlaceType">
          <w:r>
            <w:t>Hospital</w:t>
          </w:r>
        </w:smartTag>
      </w:smartTag>
      <w:r>
        <w:t xml:space="preserve"> has continued to fall, and pharmaceutical supply has been strengthened.</w:t>
      </w:r>
      <w:r w:rsidR="00C20D65">
        <w:t xml:space="preserve"> </w:t>
      </w:r>
      <w:r>
        <w:t>The Pacific Malaria Program has made strong early progress in contributing to reduced malaria in</w:t>
      </w:r>
      <w:r w:rsidRPr="002D7DFA">
        <w:t>cidence, with a 38</w:t>
      </w:r>
      <w:r>
        <w:t xml:space="preserve"> per cent decline in malaria parasite incidence in 20</w:t>
      </w:r>
      <w:r w:rsidRPr="002D7DFA">
        <w:t xml:space="preserve">08. </w:t>
      </w:r>
      <w:proofErr w:type="spellStart"/>
      <w:r w:rsidR="002D7DFA">
        <w:t>AusAID</w:t>
      </w:r>
      <w:proofErr w:type="spellEnd"/>
      <w:r w:rsidRPr="002D7DFA">
        <w:t xml:space="preserve"> a</w:t>
      </w:r>
      <w:r>
        <w:t xml:space="preserve">lso helped to restore medium-wave radio services across most of rural </w:t>
      </w:r>
      <w:smartTag w:uri="urn:schemas-microsoft-com:office:smarttags" w:element="place">
        <w:smartTag w:uri="urn:schemas-microsoft-com:office:smarttags" w:element="country-region">
          <w:r>
            <w:t>Vanuatu</w:t>
          </w:r>
        </w:smartTag>
      </w:smartTag>
      <w:r w:rsidR="000954C1">
        <w:t>,</w:t>
      </w:r>
      <w:r>
        <w:t xml:space="preserve"> as well as </w:t>
      </w:r>
      <w:r w:rsidR="002D7DFA">
        <w:t xml:space="preserve">improve </w:t>
      </w:r>
      <w:r>
        <w:t>the quality of Vanuatu Broadcasting and Television Corporation programming.</w:t>
      </w:r>
    </w:p>
    <w:p w:rsidR="000134D1" w:rsidRDefault="000134D1" w:rsidP="000134D1">
      <w:pPr>
        <w:pStyle w:val="BodyText"/>
      </w:pPr>
      <w:r>
        <w:t>In the law and justice sector</w:t>
      </w:r>
      <w:r w:rsidR="000954C1">
        <w:t>,</w:t>
      </w:r>
      <w:r>
        <w:t xml:space="preserve"> th</w:t>
      </w:r>
      <w:r w:rsidRPr="00D72DD0">
        <w:t>e</w:t>
      </w:r>
      <w:r w:rsidR="00F25C20">
        <w:t>re were improvements in the capacity</w:t>
      </w:r>
      <w:r w:rsidRPr="00D72DD0">
        <w:t xml:space="preserve"> of </w:t>
      </w:r>
      <w:r w:rsidR="000954C1" w:rsidRPr="00D72DD0">
        <w:t>g</w:t>
      </w:r>
      <w:r w:rsidRPr="00D72DD0">
        <w:t>o</w:t>
      </w:r>
      <w:r>
        <w:t xml:space="preserve">vernment legal offices </w:t>
      </w:r>
      <w:r w:rsidR="00F25C20">
        <w:t>to manage</w:t>
      </w:r>
      <w:r>
        <w:t xml:space="preserve"> </w:t>
      </w:r>
      <w:r w:rsidR="00F25C20">
        <w:t xml:space="preserve">their </w:t>
      </w:r>
      <w:r>
        <w:t xml:space="preserve">increasing caseload. The Vanuatu Police Force Capacity Building Project made strong progress in supporting workplace renewal and infrastructure improvements in </w:t>
      </w:r>
      <w:r w:rsidR="00822F48">
        <w:t>2008</w:t>
      </w:r>
      <w:r>
        <w:t xml:space="preserve">. </w:t>
      </w:r>
    </w:p>
    <w:p w:rsidR="000134D1" w:rsidRDefault="000134D1" w:rsidP="000134D1">
      <w:pPr>
        <w:pStyle w:val="BodyText"/>
      </w:pPr>
      <w:r>
        <w:t>A significant milestone was the passing by the Vanuatu Parliament of the Family Protection Act</w:t>
      </w:r>
      <w:r w:rsidR="00F25C20">
        <w:t xml:space="preserve"> in </w:t>
      </w:r>
      <w:r w:rsidR="00BA063A">
        <w:t>2008</w:t>
      </w:r>
      <w:r w:rsidR="00F25C20">
        <w:t>. The new legislation</w:t>
      </w:r>
      <w:r>
        <w:t xml:space="preserve"> will provide women and children with significantly </w:t>
      </w:r>
      <w:r w:rsidR="000954C1">
        <w:t xml:space="preserve">stronger </w:t>
      </w:r>
      <w:r>
        <w:t>protection from domestic violence.</w:t>
      </w:r>
      <w:r w:rsidR="00C20D65">
        <w:t xml:space="preserve"> </w:t>
      </w:r>
      <w:smartTag w:uri="urn:schemas-microsoft-com:office:smarttags" w:element="country-region">
        <w:r>
          <w:t>Australia</w:t>
        </w:r>
      </w:smartTag>
      <w:r>
        <w:t xml:space="preserve"> has also supported comprehensive research into the incidence of domestic violence in </w:t>
      </w:r>
      <w:smartTag w:uri="urn:schemas-microsoft-com:office:smarttags" w:element="place">
        <w:smartTag w:uri="urn:schemas-microsoft-com:office:smarttags" w:element="country-region">
          <w:r>
            <w:t>Vanuatu</w:t>
          </w:r>
        </w:smartTag>
      </w:smartTag>
      <w:r>
        <w:t>.</w:t>
      </w:r>
    </w:p>
    <w:p w:rsidR="000134D1" w:rsidRDefault="000134D1" w:rsidP="000134D1">
      <w:pPr>
        <w:pStyle w:val="BodyText"/>
      </w:pPr>
      <w:r>
        <w:t>The aid program continued to scale</w:t>
      </w:r>
      <w:r w:rsidR="000954C1">
        <w:t xml:space="preserve"> </w:t>
      </w:r>
      <w:r>
        <w:t xml:space="preserve">up in </w:t>
      </w:r>
      <w:r w:rsidR="00822F48">
        <w:t>2008</w:t>
      </w:r>
      <w:r w:rsidRPr="00F25C20">
        <w:t xml:space="preserve"> with the</w:t>
      </w:r>
      <w:r>
        <w:t xml:space="preserve"> design and approval of significant new programs in transport infrastructure, land, technical vocation education and community partnerships. The Vanuatu Transport Sector Support Program will </w:t>
      </w:r>
      <w:r w:rsidR="00F25C20">
        <w:t xml:space="preserve">work to </w:t>
      </w:r>
      <w:r>
        <w:t xml:space="preserve">improve maintenance of transport infrastructure and enhance job opportunities on the islands of </w:t>
      </w:r>
      <w:proofErr w:type="spellStart"/>
      <w:r>
        <w:t>Tanna</w:t>
      </w:r>
      <w:proofErr w:type="spellEnd"/>
      <w:r>
        <w:t xml:space="preserve">, </w:t>
      </w:r>
      <w:proofErr w:type="spellStart"/>
      <w:r>
        <w:t>Ambae</w:t>
      </w:r>
      <w:proofErr w:type="spellEnd"/>
      <w:r>
        <w:t xml:space="preserve"> and </w:t>
      </w:r>
      <w:proofErr w:type="spellStart"/>
      <w:r>
        <w:t>Malekula</w:t>
      </w:r>
      <w:proofErr w:type="spellEnd"/>
      <w:r>
        <w:t xml:space="preserve">. Phase 2 of the Technical and Vocational Education and Training program will support employment-orientated training in rural areas. </w:t>
      </w:r>
      <w:smartTag w:uri="urn:schemas-microsoft-com:office:smarttags" w:element="country-region">
        <w:r>
          <w:t>Australia</w:t>
        </w:r>
      </w:smartTag>
      <w:r>
        <w:t xml:space="preserve"> and </w:t>
      </w:r>
      <w:smartTag w:uri="urn:schemas-microsoft-com:office:smarttags" w:element="country-region">
        <w:r>
          <w:t>New Zealand</w:t>
        </w:r>
      </w:smartTag>
      <w:r>
        <w:t xml:space="preserve"> have agreed on a joint program of support to </w:t>
      </w:r>
      <w:smartTag w:uri="urn:schemas-microsoft-com:office:smarttags" w:element="place">
        <w:smartTag w:uri="urn:schemas-microsoft-com:office:smarttags" w:element="country-region">
          <w:r>
            <w:t>Vanuatu</w:t>
          </w:r>
        </w:smartTag>
      </w:smartTag>
      <w:r>
        <w:t xml:space="preserve"> on land issues. New community partnerships with churches and chiefs are expected to build the capacity of civil society to advocate for good governance and accountability.</w:t>
      </w:r>
    </w:p>
    <w:p w:rsidR="00261F3A" w:rsidRDefault="00261F3A">
      <w:pPr>
        <w:rPr>
          <w:rFonts w:ascii="Franklin Gothic Demi" w:hAnsi="Franklin Gothic Demi"/>
          <w:color w:val="AD495D"/>
          <w:kern w:val="28"/>
          <w:sz w:val="28"/>
          <w:szCs w:val="28"/>
        </w:rPr>
      </w:pPr>
      <w:bookmarkStart w:id="15" w:name="_Toc244318526"/>
      <w:r>
        <w:br w:type="page"/>
      </w:r>
    </w:p>
    <w:p w:rsidR="000134D1" w:rsidRDefault="000134D1" w:rsidP="000D4DE4">
      <w:pPr>
        <w:pStyle w:val="Heading2unnumbered"/>
      </w:pPr>
      <w:bookmarkStart w:id="16" w:name="_Toc360984084"/>
      <w:r>
        <w:lastRenderedPageBreak/>
        <w:t>Major challenges</w:t>
      </w:r>
      <w:bookmarkEnd w:id="15"/>
      <w:bookmarkEnd w:id="16"/>
    </w:p>
    <w:p w:rsidR="000134D1" w:rsidRDefault="000134D1" w:rsidP="000134D1">
      <w:pPr>
        <w:pStyle w:val="BodyText"/>
      </w:pPr>
      <w:r>
        <w:t>As the aid program has transitioned to working more through Government of Vanuatu systems, it has become more dependent on the implementation capacity of those systems.</w:t>
      </w:r>
      <w:r w:rsidR="00C20D65">
        <w:t xml:space="preserve"> </w:t>
      </w:r>
      <w:r>
        <w:t xml:space="preserve">It is notable that where </w:t>
      </w:r>
      <w:r w:rsidR="00453F69">
        <w:t>the g</w:t>
      </w:r>
      <w:r>
        <w:t xml:space="preserve">overnment has shown leadership, such as </w:t>
      </w:r>
      <w:r w:rsidR="00453F69">
        <w:t xml:space="preserve">in </w:t>
      </w:r>
      <w:r>
        <w:t>telecommunications reform, significant achievements have been possible.</w:t>
      </w:r>
      <w:r w:rsidR="00C20D65">
        <w:t xml:space="preserve"> </w:t>
      </w:r>
      <w:r>
        <w:t>In contrast</w:t>
      </w:r>
      <w:r w:rsidR="00453F69">
        <w:t>,</w:t>
      </w:r>
      <w:r>
        <w:t xml:space="preserve"> where there is weak leadership or capacity, for instance in addressing financial management within t</w:t>
      </w:r>
      <w:r w:rsidRPr="00F25C20">
        <w:t>he Vanuatu Police Force, l</w:t>
      </w:r>
      <w:r>
        <w:t>ess progress has been possible.</w:t>
      </w:r>
      <w:r w:rsidR="00C20D65">
        <w:t xml:space="preserve"> </w:t>
      </w:r>
    </w:p>
    <w:p w:rsidR="000134D1" w:rsidRDefault="000134D1" w:rsidP="000134D1">
      <w:pPr>
        <w:pStyle w:val="BodyText"/>
      </w:pPr>
      <w:r>
        <w:t>While the global recession ha</w:t>
      </w:r>
      <w:r w:rsidR="00453F69">
        <w:t>s</w:t>
      </w:r>
      <w:r>
        <w:t xml:space="preserve"> not had a significant impact on </w:t>
      </w:r>
      <w:smartTag w:uri="urn:schemas-microsoft-com:office:smarttags" w:element="place">
        <w:smartTag w:uri="urn:schemas-microsoft-com:office:smarttags" w:element="country-region">
          <w:r>
            <w:t>Vanuatu</w:t>
          </w:r>
        </w:smartTag>
      </w:smartTag>
      <w:r>
        <w:t xml:space="preserve"> to date, the Government of Vanuatu has limited capacity to respond in the event of a prolonged economic downturn. Most </w:t>
      </w:r>
      <w:r w:rsidR="00F25C20">
        <w:t>g</w:t>
      </w:r>
      <w:r>
        <w:t xml:space="preserve">overnment expenditure </w:t>
      </w:r>
      <w:r w:rsidR="00F25C20">
        <w:t>goes towards</w:t>
      </w:r>
      <w:r>
        <w:t xml:space="preserve"> public sector salaries, and there is little scope to increase spending despite the strength of the fiscal position (a balanced budget </w:t>
      </w:r>
      <w:r w:rsidR="00453F69">
        <w:t xml:space="preserve">and low levels of debt are </w:t>
      </w:r>
      <w:r>
        <w:t xml:space="preserve">expected for 2009). It is likely that any rapid response to an economic shock would have to be funded by donors working with </w:t>
      </w:r>
      <w:r w:rsidR="00F25C20">
        <w:t xml:space="preserve">the </w:t>
      </w:r>
      <w:r w:rsidR="00453F69">
        <w:t>g</w:t>
      </w:r>
      <w:r>
        <w:t>overnment.</w:t>
      </w:r>
    </w:p>
    <w:p w:rsidR="000134D1" w:rsidRDefault="000134D1" w:rsidP="000134D1">
      <w:pPr>
        <w:pStyle w:val="BodyText"/>
      </w:pPr>
      <w:r>
        <w:t xml:space="preserve">Securing appropriate technical assistance resources has been a challenge for the </w:t>
      </w:r>
      <w:smartTag w:uri="urn:schemas-microsoft-com:office:smarttags" w:element="place">
        <w:smartTag w:uri="urn:schemas-microsoft-com:office:smarttags" w:element="country-region">
          <w:r>
            <w:t>Vanuatu</w:t>
          </w:r>
        </w:smartTag>
      </w:smartTag>
      <w:r>
        <w:t xml:space="preserve"> aid program in 2008. Some advisers were recruited at considerable expense who were not able to deliver outputs to the desired level. As successful program implementation relies heavily on the available human resources, this will be an ongoing challenge in 2009.</w:t>
      </w:r>
    </w:p>
    <w:p w:rsidR="007E31D9" w:rsidRDefault="000134D1" w:rsidP="000134D1">
      <w:pPr>
        <w:pStyle w:val="BodyText"/>
      </w:pPr>
      <w:r>
        <w:t xml:space="preserve">There is also a challenge in addressing initiative proliferation across the aid program. While there is a clear </w:t>
      </w:r>
      <w:r w:rsidR="002307AD">
        <w:t>trend of</w:t>
      </w:r>
      <w:r w:rsidRPr="002307AD">
        <w:t xml:space="preserve"> moving to fewer </w:t>
      </w:r>
      <w:r w:rsidR="00453F69" w:rsidRPr="002307AD">
        <w:t xml:space="preserve">but </w:t>
      </w:r>
      <w:r w:rsidRPr="002307AD">
        <w:t>larger programs del</w:t>
      </w:r>
      <w:r>
        <w:t xml:space="preserve">ivered through </w:t>
      </w:r>
      <w:smartTag w:uri="urn:schemas-microsoft-com:office:smarttags" w:element="place">
        <w:smartTag w:uri="urn:schemas-microsoft-com:office:smarttags" w:element="country-region">
          <w:r>
            <w:t>Vanuatu</w:t>
          </w:r>
        </w:smartTag>
      </w:smartTag>
      <w:r>
        <w:t xml:space="preserve"> systems, transitioning existing stand</w:t>
      </w:r>
      <w:r w:rsidR="00453F69">
        <w:t>-</w:t>
      </w:r>
      <w:r>
        <w:t>alone programs to more programmatic approaches</w:t>
      </w:r>
      <w:r w:rsidR="00453F69">
        <w:t xml:space="preserve"> can </w:t>
      </w:r>
      <w:r w:rsidR="002307AD">
        <w:t>place heavy demands on</w:t>
      </w:r>
      <w:r w:rsidR="00453F69">
        <w:t xml:space="preserve"> staff</w:t>
      </w:r>
      <w:r>
        <w:t>. In the health sector</w:t>
      </w:r>
      <w:r w:rsidR="00453F69">
        <w:t>,</w:t>
      </w:r>
      <w:r>
        <w:t xml:space="preserve"> moving from seven mostly small initiatives to a more strategic program approach is expected to take several years. </w:t>
      </w:r>
    </w:p>
    <w:p w:rsidR="000134D1" w:rsidRPr="007E31D9" w:rsidRDefault="007E31D9" w:rsidP="007E31D9">
      <w:pPr>
        <w:pStyle w:val="Subtitle"/>
        <w:rPr>
          <w:rFonts w:ascii="Georgia" w:hAnsi="Georgia"/>
          <w:sz w:val="19"/>
          <w:szCs w:val="19"/>
        </w:rPr>
      </w:pPr>
      <w:r>
        <w:br w:type="page"/>
      </w:r>
    </w:p>
    <w:p w:rsidR="000D4DE4" w:rsidRDefault="001D6D93">
      <w:pPr>
        <w:pStyle w:val="Heading1unnumbered"/>
        <w:rPr>
          <w:noProof/>
        </w:rPr>
      </w:pPr>
      <w:bookmarkStart w:id="17" w:name="_Toc360984085"/>
      <w:r>
        <w:lastRenderedPageBreak/>
        <w:t xml:space="preserve">Country </w:t>
      </w:r>
      <w:r w:rsidR="007057C4">
        <w:t>p</w:t>
      </w:r>
      <w:r>
        <w:t>erformance</w:t>
      </w:r>
      <w:r w:rsidR="00C14A1A">
        <w:rPr>
          <w:noProof/>
          <w:lang w:val="en-US" w:eastAsia="en-US"/>
        </w:rPr>
        <w:drawing>
          <wp:anchor distT="0" distB="0" distL="114300" distR="114300" simplePos="0" relativeHeight="251659776" behindDoc="1" locked="0" layoutInCell="1" allowOverlap="1" wp14:anchorId="28AB68AE" wp14:editId="52DB9F18">
            <wp:simplePos x="0" y="0"/>
            <wp:positionH relativeFrom="page">
              <wp:posOffset>0</wp:posOffset>
            </wp:positionH>
            <wp:positionV relativeFrom="page">
              <wp:posOffset>1386205</wp:posOffset>
            </wp:positionV>
            <wp:extent cx="7560310" cy="1585595"/>
            <wp:effectExtent l="0" t="0" r="2540" b="0"/>
            <wp:wrapNone/>
            <wp:docPr id="1192" name="Picture 1192" descr="AusAID graphics pacific internal chap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2" descr="AusAID graphics pacific internal chapte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560310" cy="158559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17"/>
      <w:r w:rsidR="000D4DE4">
        <w:br/>
      </w:r>
    </w:p>
    <w:p w:rsidR="000134D1" w:rsidRDefault="000134D1" w:rsidP="000134D1">
      <w:pPr>
        <w:pStyle w:val="BodyText"/>
      </w:pPr>
      <w:smartTag w:uri="urn:schemas-microsoft-com:office:smarttags" w:element="place">
        <w:smartTag w:uri="urn:schemas-microsoft-com:office:smarttags" w:element="country-region">
          <w:r>
            <w:t>Vanuatu</w:t>
          </w:r>
        </w:smartTag>
      </w:smartTag>
      <w:r>
        <w:t xml:space="preserve">’s strong economic growth continued in 2008. </w:t>
      </w:r>
      <w:r w:rsidR="002307AD">
        <w:t>Its</w:t>
      </w:r>
      <w:r w:rsidR="00B761E5">
        <w:t xml:space="preserve"> e</w:t>
      </w:r>
      <w:r>
        <w:t>stimated GDP growth was 6.6</w:t>
      </w:r>
      <w:r w:rsidR="00CA40DD">
        <w:t> </w:t>
      </w:r>
      <w:r>
        <w:t>per</w:t>
      </w:r>
      <w:r w:rsidR="00CA40DD">
        <w:t> </w:t>
      </w:r>
      <w:r>
        <w:t>cent</w:t>
      </w:r>
      <w:r w:rsidR="007057C4">
        <w:t>—</w:t>
      </w:r>
      <w:r w:rsidR="00365C6B">
        <w:t xml:space="preserve">one of </w:t>
      </w:r>
      <w:r>
        <w:t>the highest economic growth rate</w:t>
      </w:r>
      <w:r w:rsidR="00365C6B">
        <w:t>s</w:t>
      </w:r>
      <w:r>
        <w:t xml:space="preserve"> in the Pacific. The </w:t>
      </w:r>
      <w:r w:rsidR="00B761E5">
        <w:t xml:space="preserve">International Monetary Fund </w:t>
      </w:r>
      <w:r>
        <w:t>attributes this growth to continued increases in tourism and construction activity, as well as higher</w:t>
      </w:r>
      <w:r w:rsidR="00B761E5">
        <w:t xml:space="preserve"> </w:t>
      </w:r>
      <w:r>
        <w:t>than</w:t>
      </w:r>
      <w:r w:rsidR="00B761E5">
        <w:t xml:space="preserve"> </w:t>
      </w:r>
      <w:r>
        <w:t xml:space="preserve">expected donor inflows. The global recession has not yet had a </w:t>
      </w:r>
      <w:r w:rsidR="00FD1294">
        <w:t>significant</w:t>
      </w:r>
      <w:r w:rsidR="00B761E5">
        <w:t xml:space="preserve"> </w:t>
      </w:r>
      <w:r>
        <w:t xml:space="preserve">impact on </w:t>
      </w:r>
      <w:smartTag w:uri="urn:schemas-microsoft-com:office:smarttags" w:element="place">
        <w:smartTag w:uri="urn:schemas-microsoft-com:office:smarttags" w:element="country-region">
          <w:r>
            <w:t>Vanuatu</w:t>
          </w:r>
        </w:smartTag>
      </w:smartTag>
      <w:r>
        <w:t>’s economy.</w:t>
      </w:r>
      <w:r w:rsidR="00C20D65">
        <w:t xml:space="preserve"> </w:t>
      </w:r>
      <w:r>
        <w:t>While construction is slowing, tourist arrivals continue to be strong (up 24 per cent to the end of April</w:t>
      </w:r>
      <w:r w:rsidR="00B761E5">
        <w:t xml:space="preserve"> 2009</w:t>
      </w:r>
      <w:r>
        <w:t xml:space="preserve">). The Reserve Bank of </w:t>
      </w:r>
      <w:smartTag w:uri="urn:schemas-microsoft-com:office:smarttags" w:element="place">
        <w:smartTag w:uri="urn:schemas-microsoft-com:office:smarttags" w:element="country-region">
          <w:r>
            <w:t>Vanuatu</w:t>
          </w:r>
        </w:smartTag>
      </w:smartTag>
      <w:r>
        <w:t xml:space="preserve"> predicts economic growth of 3</w:t>
      </w:r>
      <w:r w:rsidR="00B761E5">
        <w:t xml:space="preserve"> to </w:t>
      </w:r>
      <w:r>
        <w:t>4 per cent in 2009, assisted by strong donor inflows, an easing in monetary policy and a more flexible approach to fiscal policy.</w:t>
      </w:r>
      <w:r w:rsidR="003A39F2">
        <w:rPr>
          <w:rStyle w:val="FootnoteReference"/>
        </w:rPr>
        <w:footnoteReference w:id="2"/>
      </w:r>
      <w:r>
        <w:t xml:space="preserve"> However, </w:t>
      </w:r>
      <w:smartTag w:uri="urn:schemas-microsoft-com:office:smarttags" w:element="place">
        <w:smartTag w:uri="urn:schemas-microsoft-com:office:smarttags" w:element="country-region">
          <w:r>
            <w:t>Vanuatu</w:t>
          </w:r>
        </w:smartTag>
      </w:smartTag>
      <w:r>
        <w:t xml:space="preserve">’s economy is small and open and therefore vulnerable to the impact of the crisis. </w:t>
      </w:r>
    </w:p>
    <w:p w:rsidR="000134D1" w:rsidRDefault="00B761E5" w:rsidP="000134D1">
      <w:pPr>
        <w:pStyle w:val="BodyText"/>
      </w:pPr>
      <w:smartTag w:uri="urn:schemas-microsoft-com:office:smarttags" w:element="place">
        <w:smartTag w:uri="urn:schemas-microsoft-com:office:smarttags" w:element="country-region">
          <w:r>
            <w:t>Vanuatu</w:t>
          </w:r>
        </w:smartTag>
      </w:smartTag>
      <w:r>
        <w:t xml:space="preserve"> held elections in September </w:t>
      </w:r>
      <w:r w:rsidR="000134D1">
        <w:t xml:space="preserve">2008, and ahead of the vote there were pressures on fiscal discipline and a widespread hiatus in government decision-making and </w:t>
      </w:r>
      <w:r w:rsidR="00365C6B">
        <w:t xml:space="preserve">policy </w:t>
      </w:r>
      <w:r w:rsidR="000134D1">
        <w:t xml:space="preserve">implementation. Following a period of negotiation immediately after the poll, a coalition government was established, led by Prime Minister </w:t>
      </w:r>
      <w:proofErr w:type="spellStart"/>
      <w:r w:rsidR="000134D1">
        <w:t>Natapei</w:t>
      </w:r>
      <w:proofErr w:type="spellEnd"/>
      <w:r w:rsidR="000134D1">
        <w:t xml:space="preserve">. It remains relatively stable despite four no-confidence motions. However, the political system is fragmented. Substantial numbers of </w:t>
      </w:r>
      <w:r>
        <w:t>p</w:t>
      </w:r>
      <w:r w:rsidR="000134D1">
        <w:t>arliament</w:t>
      </w:r>
      <w:r>
        <w:t>arians</w:t>
      </w:r>
      <w:r w:rsidR="000134D1">
        <w:t xml:space="preserve"> are independents or from single-member parties. This fragmentation exacerbates the challenge of maintaining </w:t>
      </w:r>
      <w:r>
        <w:t xml:space="preserve">a </w:t>
      </w:r>
      <w:r w:rsidR="000134D1">
        <w:t xml:space="preserve">stable coalition government and can work against potential reforms where they threaten the fragile balance of power. The pursuit of individual members’ interests is a major driver of policy and decisions. </w:t>
      </w:r>
    </w:p>
    <w:p w:rsidR="000134D1" w:rsidRDefault="000134D1" w:rsidP="000134D1">
      <w:pPr>
        <w:pStyle w:val="BodyText"/>
      </w:pPr>
      <w:r>
        <w:t xml:space="preserve">Higher revenues in recent years have meant greater expenditure on health and education, but the effectiveness of this expenditure is limited by the high proportion devoted to salaries rather than operational expenses. </w:t>
      </w:r>
      <w:smartTag w:uri="urn:schemas-microsoft-com:office:smarttags" w:element="place">
        <w:smartTag w:uri="urn:schemas-microsoft-com:office:smarttags" w:element="country-region">
          <w:r>
            <w:t>Vanuatu</w:t>
          </w:r>
        </w:smartTag>
      </w:smartTag>
      <w:r>
        <w:t xml:space="preserve"> faces real challenges in meeting the MDGs. </w:t>
      </w:r>
      <w:r w:rsidR="00B761E5">
        <w:t xml:space="preserve">While </w:t>
      </w:r>
      <w:r>
        <w:t xml:space="preserve">MDG progress since 2007 is difficult to assess due to patchy data, there is little doubt that progress is mixed. There are no trend data on poverty, but the 2007 </w:t>
      </w:r>
      <w:proofErr w:type="spellStart"/>
      <w:r>
        <w:t>AusAID</w:t>
      </w:r>
      <w:proofErr w:type="spellEnd"/>
      <w:r>
        <w:t xml:space="preserve">-supported </w:t>
      </w:r>
      <w:r w:rsidR="00B761E5">
        <w:t>h</w:t>
      </w:r>
      <w:r>
        <w:t xml:space="preserve">ousehold </w:t>
      </w:r>
      <w:r w:rsidR="00B761E5">
        <w:t>i</w:t>
      </w:r>
      <w:r>
        <w:t xml:space="preserve">ncome and </w:t>
      </w:r>
      <w:r w:rsidR="00B761E5">
        <w:t>e</w:t>
      </w:r>
      <w:r>
        <w:t xml:space="preserve">xpenditure </w:t>
      </w:r>
      <w:r w:rsidR="00B761E5">
        <w:t>s</w:t>
      </w:r>
      <w:r>
        <w:t xml:space="preserve">urvey showed higher than expected family incomes across much of </w:t>
      </w:r>
      <w:smartTag w:uri="urn:schemas-microsoft-com:office:smarttags" w:element="country-region">
        <w:smartTag w:uri="urn:schemas-microsoft-com:office:smarttags" w:element="place">
          <w:r>
            <w:t>Vanuatu</w:t>
          </w:r>
        </w:smartTag>
      </w:smartTag>
      <w:r>
        <w:t xml:space="preserve"> as a result of sustained economic growth.</w:t>
      </w:r>
      <w:r w:rsidR="00C20D65">
        <w:t xml:space="preserve"> </w:t>
      </w:r>
      <w:r>
        <w:t xml:space="preserve">There are lingering concerns </w:t>
      </w:r>
      <w:r w:rsidR="00B761E5">
        <w:t xml:space="preserve">about </w:t>
      </w:r>
      <w:r>
        <w:t>povert</w:t>
      </w:r>
      <w:r w:rsidRPr="00FD1294">
        <w:t xml:space="preserve">y with </w:t>
      </w:r>
      <w:r w:rsidR="00B761E5" w:rsidRPr="00FD1294">
        <w:t>6</w:t>
      </w:r>
      <w:r w:rsidR="00B761E5">
        <w:t xml:space="preserve"> </w:t>
      </w:r>
      <w:r>
        <w:t>per cent of households below the national food poverty line (</w:t>
      </w:r>
      <w:r w:rsidR="00B761E5">
        <w:t>that is,</w:t>
      </w:r>
      <w:r>
        <w:t xml:space="preserve"> they are regularly unable to buy or produce the minimum food requirements) and 13 per cent below the higher basic needs line (</w:t>
      </w:r>
      <w:r w:rsidR="00B761E5">
        <w:t>that is, they</w:t>
      </w:r>
      <w:r>
        <w:t xml:space="preserve"> are often unable to pay for essentials such as school fees). Proportionally, more urban </w:t>
      </w:r>
      <w:r w:rsidR="00B761E5">
        <w:t xml:space="preserve">than rural </w:t>
      </w:r>
      <w:r>
        <w:t xml:space="preserve">households face poverty and are dependent on increasingly costly purchased foodstuffs, such as rice, to meet </w:t>
      </w:r>
      <w:r w:rsidR="00B761E5">
        <w:t xml:space="preserve">their </w:t>
      </w:r>
      <w:r>
        <w:t xml:space="preserve">requirements. </w:t>
      </w:r>
    </w:p>
    <w:p w:rsidR="000134D1" w:rsidRDefault="000134D1" w:rsidP="000134D1">
      <w:pPr>
        <w:pStyle w:val="BodyText"/>
      </w:pPr>
      <w:r>
        <w:t xml:space="preserve">Weaknesses in data quality also make it difficult to track MDG progress in health. On MDG 4, the </w:t>
      </w:r>
      <w:r w:rsidR="00FD1294">
        <w:t xml:space="preserve">United Nations </w:t>
      </w:r>
      <w:r>
        <w:t>has reported a declining trend since 1990 in Vanuatu’s under-five mortality rate, and, at 36 deaths per 1000 live births in 2006, UNICEF has assessed Vanuatu as ‘on track’ for MDG</w:t>
      </w:r>
      <w:r w:rsidR="00B761E5">
        <w:t> </w:t>
      </w:r>
      <w:r>
        <w:t xml:space="preserve">4. Progress towards MDG 5 is unclear: while there has been improvement in recent years, the small sample size makes it difficult to draw definitive </w:t>
      </w:r>
      <w:r>
        <w:lastRenderedPageBreak/>
        <w:t xml:space="preserve">conclusions. Strong achievements against MDG 6 are possible: </w:t>
      </w:r>
      <w:r w:rsidR="00FD1294">
        <w:t xml:space="preserve">the number of </w:t>
      </w:r>
      <w:r>
        <w:t>HIV cases remain</w:t>
      </w:r>
      <w:r w:rsidR="00FD1294">
        <w:t>s</w:t>
      </w:r>
      <w:r>
        <w:t xml:space="preserve"> </w:t>
      </w:r>
      <w:r w:rsidR="00FD1294">
        <w:t xml:space="preserve">low </w:t>
      </w:r>
      <w:r>
        <w:t xml:space="preserve">(a cumulative total of </w:t>
      </w:r>
      <w:r w:rsidR="00B761E5">
        <w:t>five</w:t>
      </w:r>
      <w:r>
        <w:t>) despite substantial evidence of high levels of other sexually transmissible infections. Malaria parasite incidence declined by 38 per cent in 2008</w:t>
      </w:r>
      <w:r w:rsidR="00FD1294">
        <w:t>, a reflection of the</w:t>
      </w:r>
      <w:r>
        <w:t xml:space="preserve"> </w:t>
      </w:r>
      <w:r w:rsidR="00FD1294">
        <w:t>success of</w:t>
      </w:r>
      <w:r>
        <w:t xml:space="preserve"> the Pacific Malaria Initiative. There is mixed progress in education</w:t>
      </w:r>
      <w:r w:rsidR="007C53BD">
        <w:t>. M</w:t>
      </w:r>
      <w:r>
        <w:t xml:space="preserve">ost recent data </w:t>
      </w:r>
      <w:r w:rsidR="007C53BD">
        <w:t xml:space="preserve">show </w:t>
      </w:r>
      <w:r>
        <w:t xml:space="preserve">that </w:t>
      </w:r>
      <w:smartTag w:uri="urn:schemas-microsoft-com:office:smarttags" w:element="place">
        <w:smartTag w:uri="urn:schemas-microsoft-com:office:smarttags" w:element="country-region">
          <w:r>
            <w:t>Vanuatu</w:t>
          </w:r>
        </w:smartTag>
      </w:smartTag>
      <w:r>
        <w:t xml:space="preserve"> is not making progress towards MDG 2 (universal primary education), although gender equality in education has recently improved (</w:t>
      </w:r>
      <w:r w:rsidR="00FD1294">
        <w:t xml:space="preserve">the ratio of girls to boys is </w:t>
      </w:r>
      <w:r w:rsidRPr="00FD1294">
        <w:t>0.97</w:t>
      </w:r>
      <w:r>
        <w:t xml:space="preserve"> in primary education an</w:t>
      </w:r>
      <w:r w:rsidRPr="00FD1294">
        <w:t>d 1.07 i</w:t>
      </w:r>
      <w:r>
        <w:t xml:space="preserve">n secondary). </w:t>
      </w:r>
    </w:p>
    <w:p w:rsidR="000134D1" w:rsidRDefault="000134D1" w:rsidP="000134D1">
      <w:pPr>
        <w:pStyle w:val="BodyText"/>
      </w:pPr>
      <w:r>
        <w:t>The Government of Vanuatu</w:t>
      </w:r>
      <w:r w:rsidR="007C53BD">
        <w:t>’s</w:t>
      </w:r>
      <w:r>
        <w:t xml:space="preserve"> fiscal position is solid</w:t>
      </w:r>
      <w:r w:rsidR="007C53BD">
        <w:t>.</w:t>
      </w:r>
      <w:r>
        <w:t xml:space="preserve"> </w:t>
      </w:r>
      <w:r w:rsidR="007C53BD">
        <w:t>T</w:t>
      </w:r>
      <w:r>
        <w:t xml:space="preserve">he budget </w:t>
      </w:r>
      <w:r w:rsidR="007C53BD">
        <w:t xml:space="preserve">is </w:t>
      </w:r>
      <w:r>
        <w:t xml:space="preserve">expected </w:t>
      </w:r>
      <w:r w:rsidR="00FD1294">
        <w:t xml:space="preserve">to </w:t>
      </w:r>
      <w:r w:rsidR="007A3F9F">
        <w:t xml:space="preserve">either </w:t>
      </w:r>
      <w:r w:rsidR="00FD1294">
        <w:t xml:space="preserve">be </w:t>
      </w:r>
      <w:r>
        <w:t>in balance or show a small surplus in 2008</w:t>
      </w:r>
      <w:r w:rsidR="007C53BD">
        <w:t>—</w:t>
      </w:r>
      <w:r>
        <w:t xml:space="preserve">a considerable achievement in an election year. There is, however, limited scope for the </w:t>
      </w:r>
      <w:r w:rsidR="007C53BD">
        <w:t>g</w:t>
      </w:r>
      <w:r>
        <w:t>overnment to provide a fiscal stimulus to the economy in the event of a</w:t>
      </w:r>
      <w:r w:rsidR="007C53BD">
        <w:t>n economic</w:t>
      </w:r>
      <w:r>
        <w:t xml:space="preserve"> slowdown.</w:t>
      </w:r>
      <w:r w:rsidR="00C20D65">
        <w:t xml:space="preserve"> </w:t>
      </w:r>
      <w:r>
        <w:t xml:space="preserve">Foreign debt levels are stable </w:t>
      </w:r>
      <w:r w:rsidR="007C53BD">
        <w:t xml:space="preserve">and there are </w:t>
      </w:r>
      <w:r>
        <w:t xml:space="preserve">relatively low levels of external debt (approximately 90 per cent of this debt is held with the Asian Development Bank and the World Bank). </w:t>
      </w:r>
      <w:smartTag w:uri="urn:schemas-microsoft-com:office:smarttags" w:element="country-region">
        <w:r>
          <w:t>Vanuatu</w:t>
        </w:r>
      </w:smartTag>
      <w:r>
        <w:t xml:space="preserve"> does not have access to international capital markets</w:t>
      </w:r>
      <w:r w:rsidR="007C53BD">
        <w:t>,</w:t>
      </w:r>
      <w:r>
        <w:t xml:space="preserve"> although the </w:t>
      </w:r>
      <w:r w:rsidR="007C53BD">
        <w:t>g</w:t>
      </w:r>
      <w:r>
        <w:t xml:space="preserve">overnment recently took out a US$30 million soft loan from </w:t>
      </w:r>
      <w:smartTag w:uri="urn:schemas-microsoft-com:office:smarttags" w:element="place">
        <w:smartTag w:uri="urn:schemas-microsoft-com:office:smarttags" w:element="country-region">
          <w:r>
            <w:t>China</w:t>
          </w:r>
        </w:smartTag>
      </w:smartTag>
      <w:r>
        <w:t xml:space="preserve"> for an ‘e-government’ project, the terms of which are uncertain. </w:t>
      </w:r>
    </w:p>
    <w:p w:rsidR="000134D1" w:rsidRDefault="000134D1" w:rsidP="000134D1">
      <w:pPr>
        <w:pStyle w:val="BodyText"/>
      </w:pPr>
      <w:r>
        <w:t>There are risks to s</w:t>
      </w:r>
      <w:r w:rsidRPr="007A3F9F">
        <w:t xml:space="preserve">tability from </w:t>
      </w:r>
      <w:r w:rsidR="00AC0C59">
        <w:t xml:space="preserve">the fact that </w:t>
      </w:r>
      <w:smartTag w:uri="urn:schemas-microsoft-com:office:smarttags" w:element="place">
        <w:smartTag w:uri="urn:schemas-microsoft-com:office:smarttags" w:element="country-region">
          <w:r w:rsidRPr="007A3F9F">
            <w:t>Vanuatu</w:t>
          </w:r>
        </w:smartTag>
      </w:smartTag>
      <w:r w:rsidRPr="007A3F9F">
        <w:t>’s</w:t>
      </w:r>
      <w:r>
        <w:t xml:space="preserve"> </w:t>
      </w:r>
      <w:r w:rsidR="00AC0C59">
        <w:t xml:space="preserve">population is </w:t>
      </w:r>
      <w:r>
        <w:t>young and increasingly urban. Sustained economic growth since 2004 has attracted young people to urban centres in search of opportunities.</w:t>
      </w:r>
      <w:r w:rsidR="00C20D65">
        <w:t xml:space="preserve"> </w:t>
      </w:r>
      <w:r w:rsidR="00257012">
        <w:t>For example, l</w:t>
      </w:r>
      <w:r w:rsidR="00F45FA2">
        <w:t xml:space="preserve">arge numbers of people are employed as casual labourers in the construction industry. </w:t>
      </w:r>
      <w:r>
        <w:t>These people are likely to bear the brunt of a potential slowdown in the economy</w:t>
      </w:r>
      <w:r w:rsidR="00A06166">
        <w:t xml:space="preserve">. </w:t>
      </w:r>
      <w:r>
        <w:t xml:space="preserve">There have been serious management issues in the two </w:t>
      </w:r>
      <w:r w:rsidR="007C53BD">
        <w:t>c</w:t>
      </w:r>
      <w:r>
        <w:t xml:space="preserve">orrectional </w:t>
      </w:r>
      <w:r w:rsidR="007C53BD">
        <w:t>c</w:t>
      </w:r>
      <w:r>
        <w:t xml:space="preserve">entres in Port Vila and </w:t>
      </w:r>
      <w:proofErr w:type="spellStart"/>
      <w:r>
        <w:t>Luganville</w:t>
      </w:r>
      <w:proofErr w:type="spellEnd"/>
      <w:r w:rsidR="007C53BD">
        <w:t>,</w:t>
      </w:r>
      <w:r>
        <w:t xml:space="preserve"> which culminated in the premeditated destruction of the Port Vila high</w:t>
      </w:r>
      <w:r w:rsidR="007C53BD">
        <w:t>-</w:t>
      </w:r>
      <w:r>
        <w:t xml:space="preserve">security prison in December 2008. While </w:t>
      </w:r>
      <w:r w:rsidR="00AC0C59">
        <w:t xml:space="preserve">the Department of </w:t>
      </w:r>
      <w:r w:rsidRPr="00AC0C59">
        <w:t>Corrections</w:t>
      </w:r>
      <w:r>
        <w:t xml:space="preserve"> </w:t>
      </w:r>
      <w:r w:rsidR="007C53BD">
        <w:t xml:space="preserve">has </w:t>
      </w:r>
      <w:r>
        <w:t xml:space="preserve">been supported by </w:t>
      </w:r>
      <w:smartTag w:uri="urn:schemas-microsoft-com:office:smarttags" w:element="place">
        <w:smartTag w:uri="urn:schemas-microsoft-com:office:smarttags" w:element="country-region">
          <w:r>
            <w:t>New Zealand</w:t>
          </w:r>
        </w:smartTag>
      </w:smartTag>
      <w:r>
        <w:t>, this incident combined with previous high</w:t>
      </w:r>
      <w:r w:rsidR="007C53BD">
        <w:t>-</w:t>
      </w:r>
      <w:r>
        <w:t xml:space="preserve">profile escapes has significantly undermined public confidence and placed considerable strain on </w:t>
      </w:r>
      <w:r w:rsidRPr="00A06166">
        <w:t>the Vanuatu Police Force.</w:t>
      </w:r>
    </w:p>
    <w:p w:rsidR="007E31D9" w:rsidRDefault="000134D1" w:rsidP="000134D1">
      <w:pPr>
        <w:pStyle w:val="BodyText"/>
      </w:pPr>
      <w:r>
        <w:t xml:space="preserve">Australian official development assistance to </w:t>
      </w:r>
      <w:smartTag w:uri="urn:schemas-microsoft-com:office:smarttags" w:element="place">
        <w:smartTag w:uri="urn:schemas-microsoft-com:office:smarttags" w:element="country-region">
          <w:r>
            <w:t>Vanuatu</w:t>
          </w:r>
        </w:smartTag>
      </w:smartTag>
      <w:r>
        <w:t xml:space="preserve"> </w:t>
      </w:r>
      <w:r w:rsidR="002D7DFA">
        <w:t>totalled</w:t>
      </w:r>
      <w:r>
        <w:t xml:space="preserve"> $5</w:t>
      </w:r>
      <w:r w:rsidR="00A245AB">
        <w:t>3.6</w:t>
      </w:r>
      <w:r>
        <w:t xml:space="preserve"> million in 2008</w:t>
      </w:r>
      <w:r w:rsidR="007C53BD">
        <w:noBreakHyphen/>
      </w:r>
      <w:r>
        <w:t xml:space="preserve">09, a </w:t>
      </w:r>
      <w:r w:rsidR="00EB021A">
        <w:t>35</w:t>
      </w:r>
      <w:r w:rsidR="009F7240">
        <w:t> </w:t>
      </w:r>
      <w:r>
        <w:t xml:space="preserve">per cent increase on 2007-08. </w:t>
      </w:r>
      <w:smartTag w:uri="urn:schemas-microsoft-com:office:smarttags" w:element="country-region">
        <w:r>
          <w:t>Australia</w:t>
        </w:r>
      </w:smartTag>
      <w:r>
        <w:t>’s aid program</w:t>
      </w:r>
      <w:r w:rsidR="009F7240">
        <w:t xml:space="preserve"> for </w:t>
      </w:r>
      <w:smartTag w:uri="urn:schemas-microsoft-com:office:smarttags" w:element="country-region">
        <w:r w:rsidR="009F7240">
          <w:t>Vanuatu</w:t>
        </w:r>
      </w:smartTag>
      <w:r>
        <w:t xml:space="preserve"> is equivalent to 30 per cent of </w:t>
      </w:r>
      <w:smartTag w:uri="urn:schemas-microsoft-com:office:smarttags" w:element="place">
        <w:smartTag w:uri="urn:schemas-microsoft-com:office:smarttags" w:element="country-region">
          <w:r>
            <w:t>Vanuatu</w:t>
          </w:r>
        </w:smartTag>
      </w:smartTag>
      <w:r>
        <w:t xml:space="preserve">’s national recurrent budget. Of this, the bilateral program </w:t>
      </w:r>
      <w:r w:rsidR="00A245AB">
        <w:t>was</w:t>
      </w:r>
      <w:r>
        <w:t xml:space="preserve"> $</w:t>
      </w:r>
      <w:r w:rsidR="00C1700A">
        <w:t>42.5</w:t>
      </w:r>
      <w:r>
        <w:t xml:space="preserve"> million</w:t>
      </w:r>
      <w:r w:rsidR="00787FCC">
        <w:t xml:space="preserve"> in 2008-09</w:t>
      </w:r>
      <w:r>
        <w:t xml:space="preserve">, </w:t>
      </w:r>
      <w:r w:rsidR="00C1700A">
        <w:t>38</w:t>
      </w:r>
      <w:r>
        <w:t xml:space="preserve"> per cent </w:t>
      </w:r>
      <w:r w:rsidR="00787FCC">
        <w:t xml:space="preserve">higher </w:t>
      </w:r>
      <w:r>
        <w:t xml:space="preserve">than the previous year. </w:t>
      </w:r>
      <w:smartTag w:uri="urn:schemas-microsoft-com:office:smarttags" w:element="country-region">
        <w:r>
          <w:t>Australia</w:t>
        </w:r>
      </w:smartTag>
      <w:r>
        <w:t xml:space="preserve"> continues to </w:t>
      </w:r>
      <w:r w:rsidR="00C1700A">
        <w:t xml:space="preserve">be the largest </w:t>
      </w:r>
      <w:r>
        <w:t xml:space="preserve">donor </w:t>
      </w:r>
      <w:r w:rsidR="00C1700A">
        <w:t>by far</w:t>
      </w:r>
      <w:r>
        <w:t xml:space="preserve"> in </w:t>
      </w:r>
      <w:smartTag w:uri="urn:schemas-microsoft-com:office:smarttags" w:element="place">
        <w:smartTag w:uri="urn:schemas-microsoft-com:office:smarttags" w:element="country-region">
          <w:r>
            <w:t>Vanuatu</w:t>
          </w:r>
        </w:smartTag>
      </w:smartTag>
      <w:r w:rsidR="00C1700A">
        <w:t>. Other donors</w:t>
      </w:r>
      <w:r>
        <w:t xml:space="preserve"> include </w:t>
      </w:r>
      <w:smartTag w:uri="urn:schemas-microsoft-com:office:smarttags" w:element="country-region">
        <w:r>
          <w:t>New Zealand</w:t>
        </w:r>
      </w:smartTag>
      <w:r>
        <w:t xml:space="preserve">, </w:t>
      </w:r>
      <w:smartTag w:uri="urn:schemas-microsoft-com:office:smarttags" w:element="country-region">
        <w:r>
          <w:t>France</w:t>
        </w:r>
      </w:smartTag>
      <w:r>
        <w:t xml:space="preserve">, the European Union, </w:t>
      </w:r>
      <w:smartTag w:uri="urn:schemas-microsoft-com:office:smarttags" w:element="country-region">
        <w:r>
          <w:t>China</w:t>
        </w:r>
      </w:smartTag>
      <w:r>
        <w:t xml:space="preserve">, </w:t>
      </w:r>
      <w:smartTag w:uri="urn:schemas-microsoft-com:office:smarttags" w:element="place">
        <w:smartTag w:uri="urn:schemas-microsoft-com:office:smarttags" w:element="country-region">
          <w:r>
            <w:t>Japan</w:t>
          </w:r>
        </w:smartTag>
      </w:smartTag>
      <w:r>
        <w:t xml:space="preserve"> and a small number of other bilateral and multilateral development partners.</w:t>
      </w:r>
      <w:r w:rsidR="00C20D65">
        <w:t xml:space="preserve"> </w:t>
      </w:r>
      <w:r w:rsidR="009F7240">
        <w:t xml:space="preserve">In </w:t>
      </w:r>
      <w:r w:rsidR="00822F48">
        <w:t>2008</w:t>
      </w:r>
      <w:r w:rsidR="009F7240">
        <w:t>, r</w:t>
      </w:r>
      <w:r>
        <w:t xml:space="preserve">eal progress </w:t>
      </w:r>
      <w:r w:rsidR="009F7240">
        <w:t>was</w:t>
      </w:r>
      <w:r>
        <w:t xml:space="preserve"> made </w:t>
      </w:r>
      <w:r w:rsidRPr="009F7240">
        <w:t xml:space="preserve">in </w:t>
      </w:r>
      <w:r w:rsidR="009F7240">
        <w:t xml:space="preserve">harmonising </w:t>
      </w:r>
      <w:r>
        <w:t xml:space="preserve">approaches, but more </w:t>
      </w:r>
      <w:r w:rsidRPr="009F7240">
        <w:t>work is</w:t>
      </w:r>
      <w:r>
        <w:t xml:space="preserve"> necessary. </w:t>
      </w:r>
    </w:p>
    <w:p w:rsidR="000134D1" w:rsidRPr="007E31D9" w:rsidRDefault="007E31D9" w:rsidP="007E31D9">
      <w:pPr>
        <w:pStyle w:val="Subtitle"/>
        <w:rPr>
          <w:rFonts w:ascii="Georgia" w:hAnsi="Georgia"/>
          <w:sz w:val="19"/>
          <w:szCs w:val="19"/>
        </w:rPr>
      </w:pPr>
      <w:r>
        <w:br w:type="page"/>
      </w:r>
    </w:p>
    <w:p w:rsidR="000D4DE4" w:rsidRDefault="004A1146">
      <w:pPr>
        <w:pStyle w:val="Heading1unnumbered"/>
        <w:rPr>
          <w:noProof/>
        </w:rPr>
      </w:pPr>
      <w:bookmarkStart w:id="18" w:name="_Toc360984086"/>
      <w:r>
        <w:lastRenderedPageBreak/>
        <w:t>What are the results of our aid program?</w:t>
      </w:r>
      <w:r w:rsidR="00C14A1A">
        <w:rPr>
          <w:noProof/>
          <w:lang w:val="en-US" w:eastAsia="en-US"/>
        </w:rPr>
        <w:drawing>
          <wp:anchor distT="0" distB="0" distL="114300" distR="114300" simplePos="0" relativeHeight="251660800" behindDoc="1" locked="0" layoutInCell="1" allowOverlap="1" wp14:anchorId="6A838A73" wp14:editId="53635955">
            <wp:simplePos x="0" y="0"/>
            <wp:positionH relativeFrom="page">
              <wp:posOffset>0</wp:posOffset>
            </wp:positionH>
            <wp:positionV relativeFrom="page">
              <wp:posOffset>1386205</wp:posOffset>
            </wp:positionV>
            <wp:extent cx="7560310" cy="1585595"/>
            <wp:effectExtent l="0" t="0" r="2540" b="0"/>
            <wp:wrapNone/>
            <wp:docPr id="1193" name="Picture 1193" descr="AusAID graphics pacific internal chap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3" descr="AusAID graphics pacific internal chapte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560310" cy="158559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18"/>
      <w:r w:rsidR="000D4DE4">
        <w:br/>
      </w:r>
    </w:p>
    <w:p w:rsidR="000134D1" w:rsidRDefault="000134D1" w:rsidP="009D69A7">
      <w:pPr>
        <w:pStyle w:val="Heading2unnumbered"/>
        <w:spacing w:before="80"/>
      </w:pPr>
      <w:bookmarkStart w:id="19" w:name="_Toc360984087"/>
      <w:r>
        <w:t>Objective 1:</w:t>
      </w:r>
      <w:r w:rsidR="00C20D65">
        <w:t xml:space="preserve"> </w:t>
      </w:r>
      <w:r>
        <w:t xml:space="preserve">Improved </w:t>
      </w:r>
      <w:r w:rsidR="00787FCC">
        <w:t>f</w:t>
      </w:r>
      <w:r>
        <w:t xml:space="preserve">inancial </w:t>
      </w:r>
      <w:r w:rsidR="00787FCC">
        <w:t>m</w:t>
      </w:r>
      <w:r>
        <w:t xml:space="preserve">anagement and </w:t>
      </w:r>
      <w:r w:rsidR="00787FCC">
        <w:t>a</w:t>
      </w:r>
      <w:r>
        <w:t>ccountability</w:t>
      </w:r>
      <w:bookmarkEnd w:id="19"/>
      <w:r>
        <w:t xml:space="preserve"> </w:t>
      </w:r>
    </w:p>
    <w:p w:rsidR="004A1146" w:rsidRPr="00810C27" w:rsidRDefault="004A1146" w:rsidP="00810C27">
      <w:pPr>
        <w:pStyle w:val="Heading3"/>
      </w:pPr>
      <w:r w:rsidRPr="00810C27">
        <w:t>Rating</w:t>
      </w:r>
    </w:p>
    <w:p w:rsidR="004A1146" w:rsidRPr="00001C8E" w:rsidRDefault="000C5224" w:rsidP="00904E49">
      <w:pPr>
        <w:pStyle w:val="Ratinggreen"/>
        <w:numPr>
          <w:ilvl w:val="0"/>
          <w:numId w:val="0"/>
        </w:numPr>
      </w:pPr>
      <w:r>
        <w:rPr>
          <w:noProof/>
          <w:lang w:val="en-US" w:eastAsia="en-US"/>
        </w:rPr>
        <mc:AlternateContent>
          <mc:Choice Requires="wps">
            <w:drawing>
              <wp:inline distT="0" distB="0" distL="0" distR="0" wp14:anchorId="200AB207" wp14:editId="555C74A8">
                <wp:extent cx="154305" cy="154305"/>
                <wp:effectExtent l="0" t="0" r="0" b="0"/>
                <wp:docPr id="8" name="Rectangle 4" descr="Gree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305" cy="154305"/>
                        </a:xfrm>
                        <a:prstGeom prst="rect">
                          <a:avLst/>
                        </a:prstGeom>
                        <a:solidFill>
                          <a:srgbClr val="7DBE28"/>
                        </a:solidFill>
                        <a:ln>
                          <a:noFill/>
                        </a:ln>
                        <a:effectLst/>
                        <a:extLst/>
                      </wps:spPr>
                      <wps:bodyPr rot="0" vert="horz" wrap="square" lIns="91440" tIns="45720" rIns="91440" bIns="45720" anchor="t" anchorCtr="0" upright="1">
                        <a:noAutofit/>
                      </wps:bodyPr>
                    </wps:wsp>
                  </a:graphicData>
                </a:graphic>
              </wp:inline>
            </w:drawing>
          </mc:Choice>
          <mc:Fallback>
            <w:pict>
              <v:rect w14:anchorId="64F9FEA1" id="Rectangle 4" o:spid="_x0000_s1026" alt="Green" style="width:12.1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" fillcolor="#7dbe28" stroked="f">
                <w10:wrap anchorx="page"/>
                <w10:anchorlock/>
              </v:rect>
            </w:pict>
          </mc:Fallback>
        </mc:AlternateContent>
      </w:r>
      <w:r w:rsidR="00904E49">
        <w:t xml:space="preserve"> </w:t>
      </w:r>
      <w:r w:rsidR="004A1146" w:rsidRPr="00011299">
        <w:t>The objective is on track to be fully achieved within the timeframe</w:t>
      </w:r>
      <w:r w:rsidR="004A1146">
        <w:t>.</w:t>
      </w:r>
    </w:p>
    <w:p w:rsidR="000134D1" w:rsidRDefault="000134D1" w:rsidP="004A1146">
      <w:pPr>
        <w:pStyle w:val="Heading3"/>
      </w:pPr>
      <w:r>
        <w:t>Assessment of results and performance</w:t>
      </w:r>
    </w:p>
    <w:p w:rsidR="000134D1" w:rsidRDefault="000134D1" w:rsidP="000134D1">
      <w:pPr>
        <w:pStyle w:val="BodyText"/>
      </w:pPr>
      <w:r>
        <w:t xml:space="preserve">Public financial management in </w:t>
      </w:r>
      <w:smartTag w:uri="urn:schemas-microsoft-com:office:smarttags" w:element="place">
        <w:smartTag w:uri="urn:schemas-microsoft-com:office:smarttags" w:element="country-region">
          <w:r>
            <w:t>Vanuatu</w:t>
          </w:r>
        </w:smartTag>
      </w:smartTag>
      <w:r>
        <w:t xml:space="preserve"> faced real challenges in </w:t>
      </w:r>
      <w:r w:rsidR="00822F48">
        <w:t>2008</w:t>
      </w:r>
      <w:r>
        <w:t>. The national elections in September put intense pressure on fiscal discipline while also distracting the Government of Van</w:t>
      </w:r>
      <w:r w:rsidRPr="009F7240">
        <w:t>uatu away from</w:t>
      </w:r>
      <w:r>
        <w:t xml:space="preserve"> reform efforts. A combination </w:t>
      </w:r>
      <w:r w:rsidRPr="009F7240">
        <w:t>of strengths in</w:t>
      </w:r>
      <w:r>
        <w:t xml:space="preserve"> the Ministry of Finance and Economic Management (MFEM), strong </w:t>
      </w:r>
      <w:r w:rsidR="009F7240">
        <w:t xml:space="preserve">economic </w:t>
      </w:r>
      <w:r>
        <w:t xml:space="preserve">growth (which delivered higher than expected revenue), and sustained and consistent policy dialogue </w:t>
      </w:r>
      <w:r w:rsidR="009F7240">
        <w:t xml:space="preserve">with </w:t>
      </w:r>
      <w:r>
        <w:t>donor partners (</w:t>
      </w:r>
      <w:proofErr w:type="spellStart"/>
      <w:r>
        <w:t>AusAID</w:t>
      </w:r>
      <w:proofErr w:type="spellEnd"/>
      <w:r>
        <w:t xml:space="preserve">, NZAID and the European Union), helped keep the budget in surplus. </w:t>
      </w:r>
    </w:p>
    <w:p w:rsidR="000134D1" w:rsidRDefault="000134D1" w:rsidP="000134D1">
      <w:pPr>
        <w:pStyle w:val="BodyText"/>
      </w:pPr>
      <w:r>
        <w:t xml:space="preserve">Some significant results were achieved in </w:t>
      </w:r>
      <w:r w:rsidR="00822F48">
        <w:t>2008</w:t>
      </w:r>
      <w:r>
        <w:t xml:space="preserve">: </w:t>
      </w:r>
    </w:p>
    <w:p w:rsidR="000134D1" w:rsidRDefault="000134D1" w:rsidP="004A1146">
      <w:pPr>
        <w:pStyle w:val="ListBullet"/>
      </w:pPr>
      <w:r>
        <w:t xml:space="preserve">The presence of </w:t>
      </w:r>
      <w:proofErr w:type="spellStart"/>
      <w:r>
        <w:t>AusAID</w:t>
      </w:r>
      <w:proofErr w:type="spellEnd"/>
      <w:r>
        <w:t xml:space="preserve">-funded advisers in MFEM helped ensure budget development and execution remained largely on track in an election year, delivering a surplus budget. </w:t>
      </w:r>
    </w:p>
    <w:p w:rsidR="000134D1" w:rsidRDefault="000134D1" w:rsidP="004A1146">
      <w:pPr>
        <w:pStyle w:val="ListBullet"/>
      </w:pPr>
      <w:r>
        <w:t>The Government of Vanuatu is implementing a new budge</w:t>
      </w:r>
      <w:r w:rsidRPr="00701E8F">
        <w:t xml:space="preserve">t process, </w:t>
      </w:r>
      <w:r w:rsidR="00701E8F" w:rsidRPr="00701E8F">
        <w:t xml:space="preserve">which includes </w:t>
      </w:r>
      <w:r w:rsidRPr="00701E8F">
        <w:t xml:space="preserve">introducing a </w:t>
      </w:r>
      <w:r w:rsidR="00787FCC" w:rsidRPr="00701E8F">
        <w:t>d</w:t>
      </w:r>
      <w:r w:rsidRPr="00701E8F">
        <w:t xml:space="preserve">evelopment </w:t>
      </w:r>
      <w:r w:rsidR="00787FCC" w:rsidRPr="00701E8F">
        <w:t>b</w:t>
      </w:r>
      <w:r w:rsidRPr="00701E8F">
        <w:t>udget to ensure the national bu</w:t>
      </w:r>
      <w:r>
        <w:t xml:space="preserve">dget better reflects </w:t>
      </w:r>
      <w:r w:rsidR="00787FCC">
        <w:t>g</w:t>
      </w:r>
      <w:r>
        <w:t xml:space="preserve">overnment policy priorities. The new processes and systems will integrate and align donor funds in a way that substantially meets Paris Declaration/Accra Action Agenda aims. The new budget system represents a </w:t>
      </w:r>
      <w:r w:rsidR="00787FCC">
        <w:t xml:space="preserve">significant </w:t>
      </w:r>
      <w:r>
        <w:t xml:space="preserve">change in the way </w:t>
      </w:r>
      <w:smartTag w:uri="urn:schemas-microsoft-com:office:smarttags" w:element="place">
        <w:smartTag w:uri="urn:schemas-microsoft-com:office:smarttags" w:element="country-region">
          <w:r>
            <w:t>Vanuatu</w:t>
          </w:r>
        </w:smartTag>
      </w:smartTag>
      <w:r>
        <w:t xml:space="preserve"> conducts its budget business, and adds a public </w:t>
      </w:r>
      <w:r w:rsidR="00787FCC">
        <w:t>b</w:t>
      </w:r>
      <w:r>
        <w:t xml:space="preserve">udget </w:t>
      </w:r>
      <w:r w:rsidR="00787FCC">
        <w:t>p</w:t>
      </w:r>
      <w:r>
        <w:t xml:space="preserve">olicy </w:t>
      </w:r>
      <w:r w:rsidR="00787FCC">
        <w:t>s</w:t>
      </w:r>
      <w:r>
        <w:t xml:space="preserve">tatement early in the process and a mid-year </w:t>
      </w:r>
      <w:r w:rsidR="00701E8F">
        <w:t>e</w:t>
      </w:r>
      <w:r>
        <w:t xml:space="preserve">stimates function. Through </w:t>
      </w:r>
      <w:r w:rsidR="00701E8F">
        <w:t xml:space="preserve">the </w:t>
      </w:r>
      <w:r w:rsidR="00D72DD0">
        <w:t>Governance for Growth (</w:t>
      </w:r>
      <w:proofErr w:type="spellStart"/>
      <w:r>
        <w:t>GfG</w:t>
      </w:r>
      <w:proofErr w:type="spellEnd"/>
      <w:r w:rsidR="00D72DD0">
        <w:t>)</w:t>
      </w:r>
      <w:r w:rsidR="00701E8F">
        <w:t xml:space="preserve"> program</w:t>
      </w:r>
      <w:r>
        <w:t xml:space="preserve">, </w:t>
      </w:r>
      <w:proofErr w:type="spellStart"/>
      <w:r>
        <w:t>AusAID</w:t>
      </w:r>
      <w:proofErr w:type="spellEnd"/>
      <w:r>
        <w:t xml:space="preserve"> will continue to support the rollout of the new budget system </w:t>
      </w:r>
      <w:r w:rsidR="008B092E">
        <w:t xml:space="preserve">during </w:t>
      </w:r>
      <w:r>
        <w:t>2009 and 2010.</w:t>
      </w:r>
    </w:p>
    <w:p w:rsidR="000134D1" w:rsidRDefault="000134D1" w:rsidP="004A1146">
      <w:pPr>
        <w:pStyle w:val="ListBullet"/>
      </w:pPr>
      <w:proofErr w:type="spellStart"/>
      <w:r>
        <w:t>AusAID</w:t>
      </w:r>
      <w:proofErr w:type="spellEnd"/>
      <w:r>
        <w:t xml:space="preserve"> advisers assisted with the preparation of revisions to the Public Finance and Economic Management Act (passed in late March 2009)</w:t>
      </w:r>
      <w:r w:rsidR="000A5DDA">
        <w:t>. These amendments</w:t>
      </w:r>
      <w:r>
        <w:t xml:space="preserve"> will enhance accountability in the use of public funds. </w:t>
      </w:r>
    </w:p>
    <w:p w:rsidR="000134D1" w:rsidRDefault="000134D1" w:rsidP="004A1146">
      <w:pPr>
        <w:pStyle w:val="ListBullet"/>
      </w:pPr>
      <w:r>
        <w:t xml:space="preserve">The reliability of economic data was improved: the National Statistics Office re-based the Consumer Price Index and the National Accounts with </w:t>
      </w:r>
      <w:r w:rsidR="008B092E">
        <w:t xml:space="preserve">the </w:t>
      </w:r>
      <w:r>
        <w:t xml:space="preserve">support </w:t>
      </w:r>
      <w:r w:rsidR="008B092E">
        <w:t xml:space="preserve">of </w:t>
      </w:r>
      <w:r>
        <w:t xml:space="preserve">the </w:t>
      </w:r>
      <w:proofErr w:type="spellStart"/>
      <w:r>
        <w:t>AusAID</w:t>
      </w:r>
      <w:proofErr w:type="spellEnd"/>
      <w:r>
        <w:t xml:space="preserve">-funded partnership with the Australian Bureau of Statistics. </w:t>
      </w:r>
    </w:p>
    <w:p w:rsidR="000134D1" w:rsidRDefault="008B092E" w:rsidP="00261F3A">
      <w:pPr>
        <w:pStyle w:val="ListBullet"/>
      </w:pPr>
      <w:r>
        <w:t xml:space="preserve">The </w:t>
      </w:r>
      <w:proofErr w:type="spellStart"/>
      <w:r w:rsidR="000134D1">
        <w:t>GfG</w:t>
      </w:r>
      <w:proofErr w:type="spellEnd"/>
      <w:r w:rsidR="000134D1">
        <w:t xml:space="preserve"> </w:t>
      </w:r>
      <w:r>
        <w:t xml:space="preserve">program </w:t>
      </w:r>
      <w:r w:rsidR="000134D1">
        <w:t xml:space="preserve">assisted with the restructuring of the Prime Minister’s Office and MFEM, which </w:t>
      </w:r>
      <w:r>
        <w:t xml:space="preserve">is </w:t>
      </w:r>
      <w:r w:rsidR="000134D1">
        <w:t>expect</w:t>
      </w:r>
      <w:r>
        <w:t>ed</w:t>
      </w:r>
      <w:r w:rsidR="000134D1">
        <w:t xml:space="preserve"> </w:t>
      </w:r>
      <w:r>
        <w:t xml:space="preserve">to </w:t>
      </w:r>
      <w:r w:rsidR="000134D1">
        <w:t>improve the alignment between government policy and resource allocati</w:t>
      </w:r>
      <w:r w:rsidR="000134D1" w:rsidRPr="000A5DDA">
        <w:t>on</w:t>
      </w:r>
      <w:r w:rsidR="000A5DDA">
        <w:t>. This initiative is</w:t>
      </w:r>
      <w:r w:rsidR="000A5DDA" w:rsidRPr="000A5DDA">
        <w:t xml:space="preserve"> </w:t>
      </w:r>
      <w:r w:rsidR="000134D1" w:rsidRPr="000A5DDA">
        <w:t>complemented by</w:t>
      </w:r>
      <w:r w:rsidR="000134D1">
        <w:t xml:space="preserve"> the new ‘Thinking Long, Acting </w:t>
      </w:r>
      <w:proofErr w:type="gramStart"/>
      <w:r w:rsidR="000134D1">
        <w:t>Short</w:t>
      </w:r>
      <w:proofErr w:type="gramEnd"/>
      <w:r w:rsidR="000134D1">
        <w:t xml:space="preserve">’ policy </w:t>
      </w:r>
      <w:r w:rsidR="00261F3A">
        <w:br/>
      </w:r>
      <w:r w:rsidR="00261F3A">
        <w:br/>
      </w:r>
      <w:r w:rsidR="000134D1">
        <w:lastRenderedPageBreak/>
        <w:t xml:space="preserve">matrix </w:t>
      </w:r>
      <w:r>
        <w:t xml:space="preserve">that </w:t>
      </w:r>
      <w:r w:rsidR="000134D1">
        <w:t xml:space="preserve">was initiated by </w:t>
      </w:r>
      <w:r>
        <w:t>the g</w:t>
      </w:r>
      <w:r w:rsidR="000134D1">
        <w:t xml:space="preserve">overnment to focus resource allocation towards core priorities. </w:t>
      </w:r>
    </w:p>
    <w:p w:rsidR="000134D1" w:rsidRDefault="000134D1" w:rsidP="004A1146">
      <w:pPr>
        <w:pStyle w:val="ListBullet"/>
      </w:pPr>
      <w:r>
        <w:t>The introduction of provincial Financial Services Bureau</w:t>
      </w:r>
      <w:r w:rsidR="008B092E">
        <w:t>s</w:t>
      </w:r>
      <w:r>
        <w:t xml:space="preserve"> commenced. These </w:t>
      </w:r>
      <w:r w:rsidR="008B092E">
        <w:t>b</w:t>
      </w:r>
      <w:r>
        <w:t>ureau</w:t>
      </w:r>
      <w:r w:rsidR="008B092E">
        <w:t xml:space="preserve">s </w:t>
      </w:r>
      <w:r>
        <w:t xml:space="preserve">place Department of Finance personnel and functions at </w:t>
      </w:r>
      <w:r w:rsidR="008B092E">
        <w:t xml:space="preserve">the </w:t>
      </w:r>
      <w:r>
        <w:t xml:space="preserve">province level, to support and streamline provincial service delivery operations. The first </w:t>
      </w:r>
      <w:r w:rsidR="008B092E">
        <w:t>b</w:t>
      </w:r>
      <w:r>
        <w:t xml:space="preserve">ureau was </w:t>
      </w:r>
      <w:r w:rsidR="008B092E">
        <w:t xml:space="preserve">opened </w:t>
      </w:r>
      <w:r>
        <w:t xml:space="preserve">in </w:t>
      </w:r>
      <w:proofErr w:type="spellStart"/>
      <w:r>
        <w:t>Sanma</w:t>
      </w:r>
      <w:proofErr w:type="spellEnd"/>
      <w:r>
        <w:t xml:space="preserve"> province in March 2009. </w:t>
      </w:r>
    </w:p>
    <w:p w:rsidR="000134D1" w:rsidRDefault="000134D1" w:rsidP="000134D1">
      <w:pPr>
        <w:pStyle w:val="BodyText"/>
      </w:pPr>
      <w:r>
        <w:t xml:space="preserve">Weaknesses </w:t>
      </w:r>
      <w:r w:rsidR="00332D7F">
        <w:t xml:space="preserve">in accountability </w:t>
      </w:r>
      <w:r>
        <w:t>reported last year (</w:t>
      </w:r>
      <w:r w:rsidR="008B092E">
        <w:t>g</w:t>
      </w:r>
      <w:r>
        <w:t xml:space="preserve">overnment not providing audited financial statements, </w:t>
      </w:r>
      <w:r w:rsidR="008B092E">
        <w:t xml:space="preserve">and </w:t>
      </w:r>
      <w:r>
        <w:t xml:space="preserve">negligible internal or external audit effort) continue, </w:t>
      </w:r>
      <w:r w:rsidR="008B092E">
        <w:t xml:space="preserve">and </w:t>
      </w:r>
      <w:r>
        <w:t xml:space="preserve">other donors (particularly the European Union) </w:t>
      </w:r>
      <w:r w:rsidR="008B092E">
        <w:t xml:space="preserve">are </w:t>
      </w:r>
      <w:r>
        <w:t xml:space="preserve">taking the lead in these areas. </w:t>
      </w:r>
      <w:proofErr w:type="spellStart"/>
      <w:r w:rsidR="00332D7F" w:rsidRPr="000A5DDA">
        <w:t>AusAID</w:t>
      </w:r>
      <w:proofErr w:type="spellEnd"/>
      <w:r w:rsidR="00332D7F" w:rsidRPr="000A5DDA">
        <w:t xml:space="preserve"> has </w:t>
      </w:r>
      <w:r w:rsidR="00332D7F">
        <w:t xml:space="preserve">therefore </w:t>
      </w:r>
      <w:r w:rsidR="00332D7F" w:rsidRPr="000A5DDA">
        <w:t>placed less emphasis on advanc</w:t>
      </w:r>
      <w:r w:rsidR="00332D7F">
        <w:t xml:space="preserve">ing accountability to the people and to parliament, although the Public Finance and Economic Management Act amendments will be important in future. </w:t>
      </w:r>
      <w:r>
        <w:t xml:space="preserve">The planned </w:t>
      </w:r>
      <w:r w:rsidR="008B092E">
        <w:t>a</w:t>
      </w:r>
      <w:r>
        <w:t xml:space="preserve">nnual </w:t>
      </w:r>
      <w:r w:rsidR="008B092E">
        <w:t>d</w:t>
      </w:r>
      <w:r>
        <w:t xml:space="preserve">evelopment </w:t>
      </w:r>
      <w:r w:rsidR="008B092E">
        <w:t>r</w:t>
      </w:r>
      <w:r>
        <w:t>eport, intended to support public accountability for the results of government and donor spending, is now likely to proceed in 2009.</w:t>
      </w:r>
    </w:p>
    <w:p w:rsidR="000134D1" w:rsidRDefault="000134D1" w:rsidP="000134D1">
      <w:pPr>
        <w:pStyle w:val="BodyText"/>
      </w:pPr>
      <w:r>
        <w:t xml:space="preserve">Making progress </w:t>
      </w:r>
      <w:r w:rsidR="008B092E">
        <w:t xml:space="preserve">on </w:t>
      </w:r>
      <w:r>
        <w:t xml:space="preserve">addressing </w:t>
      </w:r>
      <w:r w:rsidR="00787FCC">
        <w:t>public financial management</w:t>
      </w:r>
      <w:r>
        <w:t xml:space="preserve"> issues in important public agencies (such as th</w:t>
      </w:r>
      <w:r w:rsidRPr="000A5DDA">
        <w:t>e Vanuatu Police Force) and government business enterprises (such as the Vanuatu Broadcasting and Television Corporation)</w:t>
      </w:r>
      <w:r>
        <w:t xml:space="preserve"> continues to be challenging. While </w:t>
      </w:r>
      <w:r w:rsidR="008B092E">
        <w:t xml:space="preserve">the </w:t>
      </w:r>
      <w:proofErr w:type="spellStart"/>
      <w:r>
        <w:t>GfG</w:t>
      </w:r>
      <w:proofErr w:type="spellEnd"/>
      <w:r>
        <w:t xml:space="preserve"> </w:t>
      </w:r>
      <w:r w:rsidR="008B092E">
        <w:t xml:space="preserve">program </w:t>
      </w:r>
      <w:r>
        <w:t>continues to work through and with MFE</w:t>
      </w:r>
      <w:r w:rsidRPr="000A5DDA">
        <w:t xml:space="preserve">M, </w:t>
      </w:r>
      <w:proofErr w:type="spellStart"/>
      <w:r w:rsidRPr="000A5DDA">
        <w:t>AusAID</w:t>
      </w:r>
      <w:proofErr w:type="spellEnd"/>
      <w:r w:rsidRPr="000A5DDA">
        <w:t xml:space="preserve"> is also e</w:t>
      </w:r>
      <w:r>
        <w:t xml:space="preserve">ncouraging these agencies to consider outsourcing financial management and administration to private accounting firms, of which there are many in </w:t>
      </w:r>
      <w:smartTag w:uri="urn:schemas-microsoft-com:office:smarttags" w:element="place">
        <w:smartTag w:uri="urn:schemas-microsoft-com:office:smarttags" w:element="country-region">
          <w:r>
            <w:t>Vanuatu</w:t>
          </w:r>
        </w:smartTag>
      </w:smartTag>
      <w:r>
        <w:t xml:space="preserve">. </w:t>
      </w:r>
    </w:p>
    <w:p w:rsidR="000134D1" w:rsidRDefault="000134D1" w:rsidP="000134D1">
      <w:pPr>
        <w:pStyle w:val="BodyText"/>
      </w:pPr>
      <w:r>
        <w:t xml:space="preserve">Transparency International’s Perceptions of Corruption Index for 2008 shows </w:t>
      </w:r>
      <w:smartTag w:uri="urn:schemas-microsoft-com:office:smarttags" w:element="place">
        <w:smartTag w:uri="urn:schemas-microsoft-com:office:smarttags" w:element="country-region">
          <w:r>
            <w:t>Vanuatu</w:t>
          </w:r>
        </w:smartTag>
      </w:smartTag>
      <w:r w:rsidR="00EA0F60">
        <w:t>’s ranking</w:t>
      </w:r>
      <w:r>
        <w:t xml:space="preserve"> </w:t>
      </w:r>
      <w:r w:rsidR="00EA0F60">
        <w:t>slipping</w:t>
      </w:r>
      <w:r>
        <w:t xml:space="preserve"> from 98th of 179 countries in 2007 to 109th of 180. </w:t>
      </w:r>
      <w:smartTag w:uri="urn:schemas-microsoft-com:office:smarttags" w:element="country-region">
        <w:r>
          <w:t>Vanuatu</w:t>
        </w:r>
      </w:smartTag>
      <w:r>
        <w:t xml:space="preserve">’s ranking is equal to </w:t>
      </w:r>
      <w:r w:rsidR="008B092E">
        <w:t xml:space="preserve">that of </w:t>
      </w:r>
      <w:smartTag w:uri="urn:schemas-microsoft-com:office:smarttags" w:element="country-region">
        <w:r>
          <w:t>Argentina</w:t>
        </w:r>
      </w:smartTag>
      <w:r>
        <w:t xml:space="preserve">, </w:t>
      </w:r>
      <w:smartTag w:uri="urn:schemas-microsoft-com:office:smarttags" w:element="country-region">
        <w:r>
          <w:t>Armenia</w:t>
        </w:r>
      </w:smartTag>
      <w:r>
        <w:t xml:space="preserve">, </w:t>
      </w:r>
      <w:smartTag w:uri="urn:schemas-microsoft-com:office:smarttags" w:element="country-region">
        <w:r>
          <w:t>Belize</w:t>
        </w:r>
      </w:smartTag>
      <w:r w:rsidR="008B092E">
        <w:t>,</w:t>
      </w:r>
      <w:r>
        <w:t xml:space="preserve"> </w:t>
      </w:r>
      <w:smartTag w:uri="urn:schemas-microsoft-com:office:smarttags" w:element="country-region">
        <w:r>
          <w:t>Moldova</w:t>
        </w:r>
      </w:smartTag>
      <w:r w:rsidR="008B092E">
        <w:t xml:space="preserve"> and</w:t>
      </w:r>
      <w:r w:rsidR="008B092E" w:rsidRPr="008B092E">
        <w:t xml:space="preserve"> </w:t>
      </w:r>
      <w:smartTag w:uri="urn:schemas-microsoft-com:office:smarttags" w:element="place">
        <w:smartTag w:uri="urn:schemas-microsoft-com:office:smarttags" w:element="country-region">
          <w:r w:rsidR="008B092E">
            <w:t>Solomon Islands</w:t>
          </w:r>
        </w:smartTag>
      </w:smartTag>
      <w:r>
        <w:t>. Other important monitoring data</w:t>
      </w:r>
      <w:r w:rsidR="008B092E">
        <w:t>,</w:t>
      </w:r>
      <w:r>
        <w:t xml:space="preserve"> such as the World Bank Institute Governance Matters ratings and the Country Policies and Institutional Assessment</w:t>
      </w:r>
      <w:r w:rsidR="008B092E">
        <w:t>,</w:t>
      </w:r>
      <w:r>
        <w:t xml:space="preserve"> have not yet been released for 2008. </w:t>
      </w:r>
      <w:smartTag w:uri="urn:schemas-microsoft-com:office:smarttags" w:element="country-region">
        <w:smartTag w:uri="urn:schemas-microsoft-com:office:smarttags" w:element="place">
          <w:r>
            <w:t>Vanuatu</w:t>
          </w:r>
        </w:smartTag>
      </w:smartTag>
      <w:r>
        <w:t xml:space="preserve"> will have an important update on its progress in public financial management and accountability during </w:t>
      </w:r>
      <w:r w:rsidRPr="000A5DDA">
        <w:t xml:space="preserve">2009, </w:t>
      </w:r>
      <w:r w:rsidR="000A5DDA">
        <w:t>when</w:t>
      </w:r>
      <w:r w:rsidR="000A5DDA" w:rsidRPr="000A5DDA">
        <w:t xml:space="preserve"> </w:t>
      </w:r>
      <w:r w:rsidRPr="000A5DDA">
        <w:t>the n</w:t>
      </w:r>
      <w:r>
        <w:t xml:space="preserve">ext multi-donor </w:t>
      </w:r>
      <w:r w:rsidR="00864C36">
        <w:t>P</w:t>
      </w:r>
      <w:r>
        <w:t xml:space="preserve">ublic </w:t>
      </w:r>
      <w:r w:rsidR="00864C36">
        <w:t>E</w:t>
      </w:r>
      <w:r>
        <w:t xml:space="preserve">xpenditure and </w:t>
      </w:r>
      <w:r w:rsidR="00864C36">
        <w:t>F</w:t>
      </w:r>
      <w:r>
        <w:t xml:space="preserve">inancial </w:t>
      </w:r>
      <w:r w:rsidR="00864C36">
        <w:t>A</w:t>
      </w:r>
      <w:r>
        <w:t>ccountability assessment</w:t>
      </w:r>
      <w:r w:rsidR="000A5DDA">
        <w:t xml:space="preserve"> occurs</w:t>
      </w:r>
      <w:r>
        <w:t xml:space="preserve">. </w:t>
      </w:r>
    </w:p>
    <w:p w:rsidR="000134D1" w:rsidRDefault="000134D1" w:rsidP="000134D1">
      <w:pPr>
        <w:pStyle w:val="BodyText"/>
      </w:pPr>
      <w:proofErr w:type="spellStart"/>
      <w:r>
        <w:t>AusAID</w:t>
      </w:r>
      <w:proofErr w:type="spellEnd"/>
      <w:r>
        <w:t xml:space="preserve"> is providing more technical advisers in </w:t>
      </w:r>
      <w:r w:rsidR="00787FCC">
        <w:t>public financial management</w:t>
      </w:r>
      <w:r>
        <w:t xml:space="preserve"> compared to 2007 (up from </w:t>
      </w:r>
      <w:r w:rsidR="002263B6">
        <w:t xml:space="preserve">four </w:t>
      </w:r>
      <w:r>
        <w:t xml:space="preserve">to </w:t>
      </w:r>
      <w:r w:rsidR="002263B6">
        <w:t>six</w:t>
      </w:r>
      <w:r>
        <w:t xml:space="preserve">), but the majority are engaged by and report to </w:t>
      </w:r>
      <w:r w:rsidR="000A5DDA">
        <w:t xml:space="preserve">the Vanuatu </w:t>
      </w:r>
      <w:r>
        <w:t xml:space="preserve">Government. There is also greater use of national advisers, reflecting a concerted effort to shift away from international </w:t>
      </w:r>
      <w:r w:rsidR="001E0C82">
        <w:t>technical assistance</w:t>
      </w:r>
      <w:r>
        <w:t xml:space="preserve">. </w:t>
      </w:r>
    </w:p>
    <w:p w:rsidR="000134D1" w:rsidRDefault="000134D1" w:rsidP="000134D1">
      <w:pPr>
        <w:pStyle w:val="BodyText"/>
      </w:pPr>
      <w:proofErr w:type="spellStart"/>
      <w:r>
        <w:t>AusAID</w:t>
      </w:r>
      <w:r w:rsidR="002263B6">
        <w:t>’s</w:t>
      </w:r>
      <w:proofErr w:type="spellEnd"/>
      <w:r>
        <w:t xml:space="preserve"> work in </w:t>
      </w:r>
      <w:r w:rsidR="00787FCC">
        <w:t>public financial management</w:t>
      </w:r>
      <w:r>
        <w:t xml:space="preserve"> continues to have an impact across the </w:t>
      </w:r>
      <w:smartTag w:uri="urn:schemas-microsoft-com:office:smarttags" w:element="place">
        <w:smartTag w:uri="urn:schemas-microsoft-com:office:smarttags" w:element="country-region">
          <w:r w:rsidR="002263B6">
            <w:t>Vanuatu</w:t>
          </w:r>
        </w:smartTag>
      </w:smartTag>
      <w:r w:rsidR="002263B6">
        <w:t xml:space="preserve"> </w:t>
      </w:r>
      <w:r>
        <w:t>aid program, demonstrating the value of increasing aid effectiveness and greater integration within the program. For example</w:t>
      </w:r>
      <w:r w:rsidR="002263B6">
        <w:t>,</w:t>
      </w:r>
      <w:r>
        <w:t xml:space="preserve"> </w:t>
      </w:r>
      <w:r w:rsidR="00743173">
        <w:t xml:space="preserve">under the </w:t>
      </w:r>
      <w:proofErr w:type="spellStart"/>
      <w:r>
        <w:t>GfG</w:t>
      </w:r>
      <w:proofErr w:type="spellEnd"/>
      <w:r>
        <w:t xml:space="preserve"> </w:t>
      </w:r>
      <w:r w:rsidR="002263B6">
        <w:t>program</w:t>
      </w:r>
      <w:r w:rsidR="00743173">
        <w:t>,</w:t>
      </w:r>
      <w:r w:rsidR="002263B6">
        <w:t xml:space="preserve"> </w:t>
      </w:r>
      <w:r>
        <w:t xml:space="preserve">advisers conducted a health expenditure audit as part of an </w:t>
      </w:r>
      <w:proofErr w:type="spellStart"/>
      <w:r>
        <w:t>AusAID</w:t>
      </w:r>
      <w:proofErr w:type="spellEnd"/>
      <w:r>
        <w:t xml:space="preserve"> examination of constraints to health service delivery; continued to contribute to the development of the sector</w:t>
      </w:r>
      <w:r w:rsidR="002263B6">
        <w:t>-</w:t>
      </w:r>
      <w:r>
        <w:t>wide approach</w:t>
      </w:r>
      <w:r w:rsidR="00743173">
        <w:t xml:space="preserve"> to education</w:t>
      </w:r>
      <w:r>
        <w:t xml:space="preserve">; and provided advice within </w:t>
      </w:r>
      <w:proofErr w:type="spellStart"/>
      <w:r>
        <w:t>AusAID</w:t>
      </w:r>
      <w:proofErr w:type="spellEnd"/>
      <w:r>
        <w:t xml:space="preserve"> </w:t>
      </w:r>
      <w:r w:rsidR="002263B6">
        <w:t xml:space="preserve">on </w:t>
      </w:r>
      <w:r>
        <w:t>the strengths and weakness</w:t>
      </w:r>
      <w:r w:rsidR="00EA0F60">
        <w:t>es</w:t>
      </w:r>
      <w:r>
        <w:t xml:space="preserve"> of the </w:t>
      </w:r>
      <w:r w:rsidR="002263B6">
        <w:t>g</w:t>
      </w:r>
      <w:r>
        <w:t>overnment finance system</w:t>
      </w:r>
      <w:r w:rsidR="002263B6">
        <w:t>—</w:t>
      </w:r>
      <w:r>
        <w:t>essential in considering opportunities to direct increased funding through the system.</w:t>
      </w:r>
      <w:r w:rsidR="00C20D65">
        <w:t xml:space="preserve"> </w:t>
      </w:r>
    </w:p>
    <w:p w:rsidR="000134D1" w:rsidRDefault="000134D1" w:rsidP="000134D1">
      <w:pPr>
        <w:pStyle w:val="BodyText"/>
      </w:pPr>
      <w:r>
        <w:t xml:space="preserve">Progress towards this objective sustained a </w:t>
      </w:r>
      <w:r w:rsidR="002263B6">
        <w:t>g</w:t>
      </w:r>
      <w:r>
        <w:t xml:space="preserve">reen rating, as valuable achievements continued to be made despite the challenges of an election year. </w:t>
      </w:r>
    </w:p>
    <w:p w:rsidR="00261F3A" w:rsidRDefault="00261F3A">
      <w:pPr>
        <w:rPr>
          <w:rFonts w:ascii="Franklin Gothic Medium" w:hAnsi="Franklin Gothic Medium"/>
          <w:color w:val="54534A"/>
          <w:kern w:val="28"/>
          <w:sz w:val="24"/>
        </w:rPr>
      </w:pPr>
      <w:r>
        <w:br w:type="page"/>
      </w:r>
    </w:p>
    <w:p w:rsidR="000134D1" w:rsidRDefault="000134D1" w:rsidP="004A1146">
      <w:pPr>
        <w:pStyle w:val="Heading3"/>
      </w:pPr>
      <w:r>
        <w:lastRenderedPageBreak/>
        <w:t>Estimated expenditure</w:t>
      </w:r>
    </w:p>
    <w:p w:rsidR="000134D1" w:rsidRDefault="000134D1" w:rsidP="000134D1">
      <w:pPr>
        <w:pStyle w:val="BodyText"/>
      </w:pPr>
      <w:r>
        <w:t xml:space="preserve">Approximately 3.9 per cent ($1.6 million) </w:t>
      </w:r>
      <w:r w:rsidR="002263B6">
        <w:t xml:space="preserve">of the </w:t>
      </w:r>
      <w:smartTag w:uri="urn:schemas-microsoft-com:office:smarttags" w:element="place">
        <w:smartTag w:uri="urn:schemas-microsoft-com:office:smarttags" w:element="country-region">
          <w:r w:rsidR="002263B6">
            <w:t>Vanuatu</w:t>
          </w:r>
        </w:smartTag>
      </w:smartTag>
      <w:r w:rsidR="002263B6">
        <w:t xml:space="preserve"> aid </w:t>
      </w:r>
      <w:r w:rsidR="00FA517F">
        <w:t xml:space="preserve">program </w:t>
      </w:r>
      <w:r w:rsidR="002263B6">
        <w:t xml:space="preserve">budget </w:t>
      </w:r>
      <w:r>
        <w:t xml:space="preserve">was spent on this objective in </w:t>
      </w:r>
      <w:r w:rsidR="00822F48">
        <w:t>2008</w:t>
      </w:r>
      <w:r>
        <w:t>.</w:t>
      </w:r>
    </w:p>
    <w:p w:rsidR="000134D1" w:rsidRDefault="000134D1" w:rsidP="004A1146">
      <w:pPr>
        <w:pStyle w:val="Heading2unnumbered"/>
      </w:pPr>
      <w:bookmarkStart w:id="20" w:name="_Toc360984088"/>
      <w:r>
        <w:t xml:space="preserve">Objective 2: More </w:t>
      </w:r>
      <w:r w:rsidR="002263B6">
        <w:t>e</w:t>
      </w:r>
      <w:r>
        <w:t xml:space="preserve">ffective </w:t>
      </w:r>
      <w:r w:rsidR="002263B6">
        <w:t>l</w:t>
      </w:r>
      <w:r>
        <w:t xml:space="preserve">egal </w:t>
      </w:r>
      <w:r w:rsidR="002263B6">
        <w:t>i</w:t>
      </w:r>
      <w:r>
        <w:t xml:space="preserve">nstitutions </w:t>
      </w:r>
      <w:r w:rsidR="002263B6">
        <w:t>and i</w:t>
      </w:r>
      <w:r>
        <w:t xml:space="preserve">mproved </w:t>
      </w:r>
      <w:r w:rsidR="002263B6">
        <w:t>p</w:t>
      </w:r>
      <w:r>
        <w:t xml:space="preserve">olice </w:t>
      </w:r>
      <w:r w:rsidR="002263B6">
        <w:t>s</w:t>
      </w:r>
      <w:r>
        <w:t>ervices</w:t>
      </w:r>
      <w:bookmarkEnd w:id="20"/>
      <w:r>
        <w:t xml:space="preserve"> </w:t>
      </w:r>
    </w:p>
    <w:p w:rsidR="000134D1" w:rsidRDefault="000134D1" w:rsidP="000134D1">
      <w:pPr>
        <w:pStyle w:val="BodyText"/>
      </w:pPr>
      <w:r>
        <w:t>Australian assistance to the law and justice sector</w:t>
      </w:r>
      <w:r w:rsidR="00743173">
        <w:t xml:space="preserve"> is delivered </w:t>
      </w:r>
      <w:r w:rsidR="006C6244">
        <w:t>primarily</w:t>
      </w:r>
      <w:r w:rsidR="00743173">
        <w:t xml:space="preserve"> through</w:t>
      </w:r>
      <w:r>
        <w:t xml:space="preserve"> two </w:t>
      </w:r>
      <w:r w:rsidR="00A95B57">
        <w:t>initiatives</w:t>
      </w:r>
      <w:r>
        <w:t>: the Legal Sector Strengthening Program ($10 million over 2006</w:t>
      </w:r>
      <w:r w:rsidR="002263B6">
        <w:t>–</w:t>
      </w:r>
      <w:r>
        <w:t>1</w:t>
      </w:r>
      <w:r w:rsidR="00E82746">
        <w:t>1</w:t>
      </w:r>
      <w:r>
        <w:t>) and the Vanuatu Police Force Capacity Building Project ($28 million over 2006</w:t>
      </w:r>
      <w:r w:rsidR="002263B6">
        <w:t>–</w:t>
      </w:r>
      <w:r>
        <w:t xml:space="preserve">11). The law and justice sector in </w:t>
      </w:r>
      <w:smartTag w:uri="urn:schemas-microsoft-com:office:smarttags" w:element="country-region">
        <w:r>
          <w:t>Vanuatu</w:t>
        </w:r>
      </w:smartTag>
      <w:r>
        <w:t xml:space="preserve"> faces a range of constraints, and the need to </w:t>
      </w:r>
      <w:r w:rsidR="002263B6">
        <w:t xml:space="preserve">make </w:t>
      </w:r>
      <w:r>
        <w:t xml:space="preserve">progress in addressing these issues is a significant challenge for </w:t>
      </w:r>
      <w:smartTag w:uri="urn:schemas-microsoft-com:office:smarttags" w:element="place">
        <w:smartTag w:uri="urn:schemas-microsoft-com:office:smarttags" w:element="country-region">
          <w:r>
            <w:t>Vanuatu</w:t>
          </w:r>
        </w:smartTag>
      </w:smartTag>
      <w:r>
        <w:t xml:space="preserve">’s long-term development. Leadership in the sector has been limited, although the newly appointed Director General for the Ministry of Justice and Social Welfare is keen to lead positive developments. He has prepared a draft </w:t>
      </w:r>
      <w:r w:rsidR="002263B6">
        <w:t>l</w:t>
      </w:r>
      <w:r>
        <w:t xml:space="preserve">aw and </w:t>
      </w:r>
      <w:r w:rsidR="002263B6">
        <w:t>j</w:t>
      </w:r>
      <w:r>
        <w:t xml:space="preserve">ustice sector strategy, which </w:t>
      </w:r>
      <w:proofErr w:type="spellStart"/>
      <w:r>
        <w:t>AusAID</w:t>
      </w:r>
      <w:proofErr w:type="spellEnd"/>
      <w:r>
        <w:t xml:space="preserve"> sees as central to sector development, and supporting this leadership will be a priority for 2009. The emergence of a more coordinated and clear whole</w:t>
      </w:r>
      <w:r w:rsidR="002263B6">
        <w:t>-</w:t>
      </w:r>
      <w:r>
        <w:t>of</w:t>
      </w:r>
      <w:r w:rsidR="002263B6">
        <w:t>-</w:t>
      </w:r>
      <w:r>
        <w:t>government policy position will provide the opportunity to re-orient Australian (and other donor) assistance in the sector</w:t>
      </w:r>
      <w:r w:rsidR="002263B6">
        <w:t>—</w:t>
      </w:r>
      <w:r>
        <w:t xml:space="preserve">a timely development given that the two current </w:t>
      </w:r>
      <w:r w:rsidR="00A95B57">
        <w:t>initiatives</w:t>
      </w:r>
      <w:r>
        <w:t xml:space="preserve"> </w:t>
      </w:r>
      <w:r w:rsidR="002263B6">
        <w:t xml:space="preserve">will </w:t>
      </w:r>
      <w:r>
        <w:t xml:space="preserve">conclude within two years. Cooperation with </w:t>
      </w:r>
      <w:smartTag w:uri="urn:schemas-microsoft-com:office:smarttags" w:element="place">
        <w:smartTag w:uri="urn:schemas-microsoft-com:office:smarttags" w:element="country-region">
          <w:r>
            <w:t>New Zealand</w:t>
          </w:r>
        </w:smartTag>
      </w:smartTag>
      <w:r>
        <w:t xml:space="preserve"> in the law and justice sector is especially important </w:t>
      </w:r>
      <w:r w:rsidR="006C6244">
        <w:t xml:space="preserve">in light of </w:t>
      </w:r>
      <w:r>
        <w:t xml:space="preserve">its support to corrections and the judiciary. </w:t>
      </w:r>
      <w:proofErr w:type="spellStart"/>
      <w:r>
        <w:t>AusAID</w:t>
      </w:r>
      <w:proofErr w:type="spellEnd"/>
      <w:r>
        <w:t xml:space="preserve"> is looking to improve coordination in </w:t>
      </w:r>
      <w:r w:rsidR="002263B6">
        <w:t xml:space="preserve">the </w:t>
      </w:r>
      <w:r>
        <w:t xml:space="preserve">sector in 2009. </w:t>
      </w:r>
    </w:p>
    <w:p w:rsidR="000134D1" w:rsidRDefault="002263B6" w:rsidP="004A1146">
      <w:pPr>
        <w:pStyle w:val="Heading3"/>
      </w:pPr>
      <w:r>
        <w:t xml:space="preserve">Objective </w:t>
      </w:r>
      <w:r w:rsidR="000134D1">
        <w:t xml:space="preserve">2(a): </w:t>
      </w:r>
      <w:r w:rsidR="00743173">
        <w:t>More effective l</w:t>
      </w:r>
      <w:r w:rsidR="000134D1">
        <w:t xml:space="preserve">egal </w:t>
      </w:r>
      <w:r>
        <w:t>i</w:t>
      </w:r>
      <w:r w:rsidR="000134D1">
        <w:t xml:space="preserve">nstitutions </w:t>
      </w:r>
    </w:p>
    <w:p w:rsidR="004A1146" w:rsidRPr="00F83BBF" w:rsidRDefault="004A1146" w:rsidP="004A1146">
      <w:pPr>
        <w:pStyle w:val="Heading4"/>
      </w:pPr>
      <w:r>
        <w:t>Rating</w:t>
      </w:r>
    </w:p>
    <w:p w:rsidR="004A1146" w:rsidRPr="002A7D93" w:rsidRDefault="000C5224" w:rsidP="00904E49">
      <w:pPr>
        <w:pStyle w:val="Ratingamber"/>
        <w:keepNext/>
        <w:numPr>
          <w:ilvl w:val="0"/>
          <w:numId w:val="0"/>
        </w:numPr>
        <w:ind w:left="567" w:hanging="477"/>
      </w:pPr>
      <w:r>
        <w:rPr>
          <w:noProof/>
          <w:lang w:val="en-US" w:eastAsia="en-US"/>
        </w:rPr>
        <mc:AlternateContent>
          <mc:Choice Requires="wps">
            <w:drawing>
              <wp:inline distT="0" distB="0" distL="0" distR="0" wp14:anchorId="67B4DC89" wp14:editId="207D6B6F">
                <wp:extent cx="153670" cy="153670"/>
                <wp:effectExtent l="0" t="0" r="0" b="0"/>
                <wp:docPr id="7" name="Rectangle 15" descr="Ambe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670" cy="153670"/>
                        </a:xfrm>
                        <a:prstGeom prst="rect">
                          <a:avLst/>
                        </a:prstGeom>
                        <a:solidFill>
                          <a:srgbClr val="F57E1B"/>
                        </a:solidFill>
                        <a:ln>
                          <a:noFill/>
                        </a:ln>
                        <a:extLst/>
                      </wps:spPr>
                      <wps:bodyPr rot="0" vert="horz" wrap="square" lIns="91440" tIns="45720" rIns="91440" bIns="45720" anchor="t" anchorCtr="0" upright="1">
                        <a:noAutofit/>
                      </wps:bodyPr>
                    </wps:wsp>
                  </a:graphicData>
                </a:graphic>
              </wp:inline>
            </w:drawing>
          </mc:Choice>
          <mc:Fallback>
            <w:pict>
              <v:rect w14:anchorId="47455493" id="Rectangle 15" o:spid="_x0000_s1026" alt="Amber" style="width:12.1pt;height:1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" fillcolor="#f57e1b" stroked="f">
                <w10:wrap anchorx="page"/>
                <w10:anchorlock/>
              </v:rect>
            </w:pict>
          </mc:Fallback>
        </mc:AlternateContent>
      </w:r>
      <w:r w:rsidR="00904E49">
        <w:t xml:space="preserve">  </w:t>
      </w:r>
      <w:r w:rsidR="004A1146" w:rsidRPr="00011299">
        <w:t>The objective will be partly achieved with</w:t>
      </w:r>
      <w:r w:rsidR="004A1146">
        <w:t>in the timeframe.</w:t>
      </w:r>
    </w:p>
    <w:p w:rsidR="004A1146" w:rsidRPr="00541E6E" w:rsidRDefault="004A1146" w:rsidP="004A1146">
      <w:pPr>
        <w:pStyle w:val="Heading4"/>
      </w:pPr>
      <w:r w:rsidRPr="00541E6E">
        <w:t>Assessment of results and performance</w:t>
      </w:r>
    </w:p>
    <w:p w:rsidR="000134D1" w:rsidRDefault="002263B6" w:rsidP="004A1146">
      <w:pPr>
        <w:pStyle w:val="BodyText"/>
      </w:pPr>
      <w:r>
        <w:t>Phase 3 of t</w:t>
      </w:r>
      <w:r w:rsidR="000134D1">
        <w:t xml:space="preserve">he </w:t>
      </w:r>
      <w:r>
        <w:t>Legal Sector Strengthening Program</w:t>
      </w:r>
      <w:r w:rsidR="000134D1">
        <w:t xml:space="preserve"> provides support to the three public legal offices in </w:t>
      </w:r>
      <w:smartTag w:uri="urn:schemas-microsoft-com:office:smarttags" w:element="place">
        <w:smartTag w:uri="urn:schemas-microsoft-com:office:smarttags" w:element="country-region">
          <w:r w:rsidR="000134D1">
            <w:t>Vanuatu</w:t>
          </w:r>
        </w:smartTag>
      </w:smartTag>
      <w:r w:rsidR="000134D1">
        <w:t>: the Public Prosecutor, the State Law Office and the Public Solicitor. It provides long</w:t>
      </w:r>
      <w:r>
        <w:t>-</w:t>
      </w:r>
      <w:r w:rsidR="000134D1">
        <w:t xml:space="preserve">term technical assistance in these offices plus a new adviser to the Police Prosecutor and a </w:t>
      </w:r>
      <w:r>
        <w:t>t</w:t>
      </w:r>
      <w:r w:rsidR="000134D1">
        <w:t xml:space="preserve">eam </w:t>
      </w:r>
      <w:r>
        <w:t>l</w:t>
      </w:r>
      <w:r w:rsidR="000134D1">
        <w:t xml:space="preserve">eader. </w:t>
      </w:r>
      <w:proofErr w:type="spellStart"/>
      <w:r w:rsidR="000134D1">
        <w:t>AusAID</w:t>
      </w:r>
      <w:proofErr w:type="spellEnd"/>
      <w:r w:rsidR="000134D1">
        <w:t xml:space="preserve"> and t</w:t>
      </w:r>
      <w:r w:rsidR="000134D1" w:rsidRPr="00D20E3D">
        <w:t xml:space="preserve">he Government </w:t>
      </w:r>
      <w:r w:rsidR="00D20E3D">
        <w:t xml:space="preserve">of Vanuatu </w:t>
      </w:r>
      <w:r w:rsidR="000134D1" w:rsidRPr="00D20E3D">
        <w:t>cond</w:t>
      </w:r>
      <w:r w:rsidR="000134D1">
        <w:t>ucted a mid-term review of the pro</w:t>
      </w:r>
      <w:r w:rsidR="00A95B57">
        <w:t>gram</w:t>
      </w:r>
      <w:r w:rsidR="000134D1">
        <w:t xml:space="preserve"> in 2008. The review found that, despite the lack of </w:t>
      </w:r>
      <w:r w:rsidR="000134D1" w:rsidRPr="00D20E3D">
        <w:t>a baseline or</w:t>
      </w:r>
      <w:r w:rsidR="000134D1">
        <w:t xml:space="preserve"> ongoing monitoring data as a stro</w:t>
      </w:r>
      <w:r w:rsidR="000134D1" w:rsidRPr="00D20E3D">
        <w:t xml:space="preserve">ng </w:t>
      </w:r>
      <w:r w:rsidR="00D20E3D">
        <w:t>foundation</w:t>
      </w:r>
      <w:r w:rsidR="00D20E3D" w:rsidRPr="00D20E3D">
        <w:t xml:space="preserve"> </w:t>
      </w:r>
      <w:r w:rsidR="000134D1" w:rsidRPr="00D20E3D">
        <w:t>for establ</w:t>
      </w:r>
      <w:r w:rsidR="000134D1">
        <w:t>ishing impact, it was clear that there has been significant improvement in the capacity of the three legal offices to handle their routine workload</w:t>
      </w:r>
      <w:r>
        <w:t>s</w:t>
      </w:r>
      <w:r w:rsidR="000134D1">
        <w:t>. In other words, one of the core pro</w:t>
      </w:r>
      <w:r w:rsidR="00A95B57">
        <w:t>gram</w:t>
      </w:r>
      <w:r w:rsidR="000134D1">
        <w:t xml:space="preserve"> objectives</w:t>
      </w:r>
      <w:r>
        <w:t>—</w:t>
      </w:r>
      <w:r w:rsidR="000134D1">
        <w:t xml:space="preserve">contributing to the stability of </w:t>
      </w:r>
      <w:smartTag w:uri="urn:schemas-microsoft-com:office:smarttags" w:element="place">
        <w:smartTag w:uri="urn:schemas-microsoft-com:office:smarttags" w:element="country-region">
          <w:r w:rsidR="000134D1">
            <w:t>Vanuatu</w:t>
          </w:r>
        </w:smartTag>
      </w:smartTag>
      <w:r w:rsidR="000134D1">
        <w:t xml:space="preserve"> by ensuring functioning legal offices</w:t>
      </w:r>
      <w:r>
        <w:t>—</w:t>
      </w:r>
      <w:r w:rsidR="000134D1">
        <w:t xml:space="preserve">has been achieved. However, achievements have been in </w:t>
      </w:r>
      <w:r w:rsidR="000134D1" w:rsidRPr="00D20E3D">
        <w:t>pockets rath</w:t>
      </w:r>
      <w:r w:rsidR="000134D1">
        <w:t xml:space="preserve">er than widespread and higher-order objectives have not been realised. </w:t>
      </w:r>
    </w:p>
    <w:p w:rsidR="000134D1" w:rsidRDefault="000134D1" w:rsidP="000134D1">
      <w:pPr>
        <w:pStyle w:val="BodyText"/>
      </w:pPr>
      <w:r w:rsidRPr="00332D7F">
        <w:t>The pro</w:t>
      </w:r>
      <w:r w:rsidR="00A95B57" w:rsidRPr="00332D7F">
        <w:t>gram</w:t>
      </w:r>
      <w:r w:rsidRPr="00332D7F">
        <w:t xml:space="preserve"> has continued to provide</w:t>
      </w:r>
      <w:r w:rsidRPr="001F6A09">
        <w:t xml:space="preserve"> </w:t>
      </w:r>
      <w:r w:rsidR="00A97542" w:rsidRPr="001F6A09">
        <w:t>skilled staff to manage</w:t>
      </w:r>
      <w:r w:rsidRPr="001F6A09">
        <w:t xml:space="preserve"> complex matters such as drug-related prosecut</w:t>
      </w:r>
      <w:r>
        <w:t xml:space="preserve">ions and sentencing appeals, and </w:t>
      </w:r>
      <w:r w:rsidR="00332D7F">
        <w:t xml:space="preserve">to advise </w:t>
      </w:r>
      <w:r>
        <w:t xml:space="preserve">on </w:t>
      </w:r>
      <w:r w:rsidR="00A97542">
        <w:t xml:space="preserve">other </w:t>
      </w:r>
      <w:r>
        <w:t xml:space="preserve">complex matters such as the telecommunications reforms. </w:t>
      </w:r>
    </w:p>
    <w:p w:rsidR="000134D1" w:rsidRPr="00261F3A" w:rsidRDefault="00393384" w:rsidP="00261F3A">
      <w:pPr>
        <w:pStyle w:val="BodyText"/>
      </w:pPr>
      <w:r>
        <w:t>T</w:t>
      </w:r>
      <w:r w:rsidR="000134D1">
        <w:t xml:space="preserve">he </w:t>
      </w:r>
      <w:r w:rsidR="005742BE">
        <w:t xml:space="preserve">2008 </w:t>
      </w:r>
      <w:r w:rsidR="000134D1">
        <w:t xml:space="preserve">mid-term review </w:t>
      </w:r>
      <w:r w:rsidR="005742BE">
        <w:t>of the pro</w:t>
      </w:r>
      <w:r w:rsidR="00BD2ADF">
        <w:t>gram</w:t>
      </w:r>
      <w:r w:rsidR="005742BE">
        <w:t xml:space="preserve"> </w:t>
      </w:r>
      <w:r>
        <w:t>identified several significant achievements</w:t>
      </w:r>
      <w:r w:rsidR="000134D1">
        <w:t xml:space="preserve">: </w:t>
      </w:r>
      <w:r w:rsidR="00261F3A">
        <w:br w:type="page"/>
      </w:r>
    </w:p>
    <w:p w:rsidR="000134D1" w:rsidRDefault="00D20E3D" w:rsidP="004A1146">
      <w:pPr>
        <w:pStyle w:val="ListBullet"/>
      </w:pPr>
      <w:r>
        <w:lastRenderedPageBreak/>
        <w:t>H</w:t>
      </w:r>
      <w:r w:rsidR="000134D1">
        <w:t>igher staff numbers ha</w:t>
      </w:r>
      <w:r>
        <w:t>ve led to improvements in the capacity of the Public Solicitor’s Office and</w:t>
      </w:r>
      <w:r w:rsidR="000134D1">
        <w:t xml:space="preserve"> increased access to legal services for the general public on Efate Island (mainly in Port Vila). </w:t>
      </w:r>
      <w:r>
        <w:t>T</w:t>
      </w:r>
      <w:r w:rsidR="000134D1">
        <w:t xml:space="preserve">he </w:t>
      </w:r>
      <w:r w:rsidR="00393384">
        <w:t xml:space="preserve">office </w:t>
      </w:r>
      <w:r w:rsidR="000134D1">
        <w:t>completed 30 per cent more cases in 2008 than it did in 2007.</w:t>
      </w:r>
    </w:p>
    <w:p w:rsidR="000134D1" w:rsidRDefault="00D20E3D" w:rsidP="004A1146">
      <w:pPr>
        <w:pStyle w:val="ListBullet"/>
      </w:pPr>
      <w:r>
        <w:t>N</w:t>
      </w:r>
      <w:r w:rsidRPr="00D20E3D">
        <w:t>ew fi</w:t>
      </w:r>
      <w:r>
        <w:t>nancial policies and procedures manuals have helped to improve t</w:t>
      </w:r>
      <w:r w:rsidR="000134D1">
        <w:t>he capacity of the three public legal offices to manage their finances and prepare their budget submission. As a result of more effective participation in the budget process</w:t>
      </w:r>
      <w:r w:rsidR="00393384">
        <w:t>,</w:t>
      </w:r>
      <w:r w:rsidR="000134D1">
        <w:t xml:space="preserve"> the offices secured increased allocations in the 2009 budget. </w:t>
      </w:r>
    </w:p>
    <w:p w:rsidR="000134D1" w:rsidRDefault="000134D1" w:rsidP="004A1146">
      <w:pPr>
        <w:pStyle w:val="ListBullet"/>
      </w:pPr>
      <w:r>
        <w:t>T</w:t>
      </w:r>
      <w:r w:rsidRPr="00D20E3D">
        <w:t>he pro</w:t>
      </w:r>
      <w:r w:rsidR="00BD2ADF">
        <w:t>gram</w:t>
      </w:r>
      <w:r w:rsidRPr="00D20E3D">
        <w:t xml:space="preserve"> has h</w:t>
      </w:r>
      <w:r>
        <w:t>ad success with individual staff developm</w:t>
      </w:r>
      <w:r w:rsidRPr="00D20E3D">
        <w:t>ent. Previous high st</w:t>
      </w:r>
      <w:r>
        <w:t>aff turnover and the predominance of very junior staff have been moderated. Individual mentoring by pro</w:t>
      </w:r>
      <w:r w:rsidR="00BD2ADF">
        <w:t>gram</w:t>
      </w:r>
      <w:r>
        <w:t xml:space="preserve"> advisers has proven </w:t>
      </w:r>
      <w:r w:rsidRPr="00D20E3D">
        <w:t xml:space="preserve">most </w:t>
      </w:r>
      <w:r>
        <w:t xml:space="preserve">effective in building skills, confidence and professional attitudes among the young lawyers and other staff. Training methodologies are being reconsidered as the Government of Vanuatu has not yet been able to introduce a self-sustaining cycle of continuing legal education. </w:t>
      </w:r>
    </w:p>
    <w:p w:rsidR="000134D1" w:rsidRDefault="00D20E3D" w:rsidP="004A1146">
      <w:pPr>
        <w:pStyle w:val="ListBullet"/>
      </w:pPr>
      <w:r>
        <w:t xml:space="preserve">In </w:t>
      </w:r>
      <w:r w:rsidR="00822F48">
        <w:t>2008</w:t>
      </w:r>
      <w:r>
        <w:t>, t</w:t>
      </w:r>
      <w:r w:rsidR="000134D1" w:rsidRPr="00D20E3D">
        <w:t>he pro</w:t>
      </w:r>
      <w:r w:rsidR="00BD2ADF">
        <w:t>gram</w:t>
      </w:r>
      <w:r w:rsidR="000134D1" w:rsidRPr="00D20E3D">
        <w:t xml:space="preserve"> provide</w:t>
      </w:r>
      <w:r w:rsidR="000134D1">
        <w:t xml:space="preserve">d advisory assistance to the Police Prosecutor for the first time, </w:t>
      </w:r>
      <w:r w:rsidR="000134D1" w:rsidRPr="00D20E3D">
        <w:t>achieving some i</w:t>
      </w:r>
      <w:r w:rsidR="000134D1">
        <w:t>mportant outcomes</w:t>
      </w:r>
      <w:r>
        <w:t>,</w:t>
      </w:r>
      <w:r w:rsidR="000134D1">
        <w:t xml:space="preserve"> including cooperation with the </w:t>
      </w:r>
      <w:r>
        <w:t xml:space="preserve">Vanuatu Police Force </w:t>
      </w:r>
      <w:r w:rsidR="000134D1">
        <w:t>to revise bail procedures (resulting in a substantial decrease in bail periods) and a notable improvement in business planning and reporting.</w:t>
      </w:r>
    </w:p>
    <w:p w:rsidR="000134D1" w:rsidRDefault="000134D1" w:rsidP="000134D1">
      <w:pPr>
        <w:pStyle w:val="BodyText"/>
      </w:pPr>
      <w:r>
        <w:t>The mid-term r</w:t>
      </w:r>
      <w:r w:rsidRPr="00D20E3D">
        <w:t xml:space="preserve">eview </w:t>
      </w:r>
      <w:r w:rsidR="00BD2ADF">
        <w:t>identified</w:t>
      </w:r>
      <w:r w:rsidRPr="00D20E3D">
        <w:t xml:space="preserve"> differen</w:t>
      </w:r>
      <w:r>
        <w:t>ces in views between the heads of offices</w:t>
      </w:r>
      <w:r w:rsidR="00393384">
        <w:t>—</w:t>
      </w:r>
      <w:r>
        <w:t>who see the advisers as a valuable resource for complex work</w:t>
      </w:r>
      <w:r w:rsidR="00393384">
        <w:t>—</w:t>
      </w:r>
      <w:r>
        <w:t>and the staff</w:t>
      </w:r>
      <w:r w:rsidR="005417A1">
        <w:t xml:space="preserve"> </w:t>
      </w:r>
      <w:r>
        <w:t xml:space="preserve">who are often unclear and concerned about the role of foreign advisers in sensitive government work. Certainly the presence of advisers in the State Law Office has been central to the positive outcomes for </w:t>
      </w:r>
      <w:smartTag w:uri="urn:schemas-microsoft-com:office:smarttags" w:element="place">
        <w:smartTag w:uri="urn:schemas-microsoft-com:office:smarttags" w:element="country-region">
          <w:r>
            <w:t>Vanuatu</w:t>
          </w:r>
        </w:smartTag>
      </w:smartTag>
      <w:r>
        <w:t xml:space="preserve"> in several high-profile and potentially high-cost matters, most notably the telecommunications reforms. </w:t>
      </w:r>
    </w:p>
    <w:p w:rsidR="000134D1" w:rsidRDefault="000134D1" w:rsidP="000134D1">
      <w:pPr>
        <w:pStyle w:val="BodyText"/>
      </w:pPr>
      <w:r>
        <w:t xml:space="preserve">The mid-term review highlights that the main constraint on the </w:t>
      </w:r>
      <w:r w:rsidR="00A50FA1">
        <w:t>pro</w:t>
      </w:r>
      <w:r w:rsidR="005417A1">
        <w:t>gram</w:t>
      </w:r>
      <w:r w:rsidR="00A50FA1">
        <w:t xml:space="preserve">’s </w:t>
      </w:r>
      <w:r>
        <w:t>effectivenes</w:t>
      </w:r>
      <w:r w:rsidRPr="00A50FA1">
        <w:t>s h</w:t>
      </w:r>
      <w:r>
        <w:t>as been the lack of ownership and leaders</w:t>
      </w:r>
      <w:r w:rsidRPr="00A50FA1">
        <w:t>hip by the counterpart institutions of the pro</w:t>
      </w:r>
      <w:r w:rsidR="005417A1">
        <w:t>gram</w:t>
      </w:r>
      <w:r w:rsidRPr="00A50FA1">
        <w:t>’s</w:t>
      </w:r>
      <w:r>
        <w:t xml:space="preserve"> capacity development aims and efforts. The three heads are the senior lawyers for their respective offices</w:t>
      </w:r>
      <w:r w:rsidR="00FA517F">
        <w:t>,</w:t>
      </w:r>
      <w:r>
        <w:t xml:space="preserve"> and heavy practice commitments leave them little time for management. Howev</w:t>
      </w:r>
      <w:r w:rsidRPr="005742BE">
        <w:t>er, att</w:t>
      </w:r>
      <w:r>
        <w:t xml:space="preserve">empts </w:t>
      </w:r>
      <w:r w:rsidR="005742BE">
        <w:t>by the pro</w:t>
      </w:r>
      <w:r w:rsidR="005417A1">
        <w:t>gram</w:t>
      </w:r>
      <w:r w:rsidR="005742BE">
        <w:t xml:space="preserve"> </w:t>
      </w:r>
      <w:r>
        <w:t xml:space="preserve">to support additional management and administrative capacity in the offices have been resisted and decision-making remains highly centralised, exacerbated by poor attendance and lack of attention to performance management. Until there is substantial change in the governance and management of the three offices, and in the legal sector more generally, there is little prospect of the gains being sustained. </w:t>
      </w:r>
    </w:p>
    <w:p w:rsidR="000134D1" w:rsidRDefault="005742BE" w:rsidP="000134D1">
      <w:pPr>
        <w:pStyle w:val="BodyText"/>
      </w:pPr>
      <w:r>
        <w:t>In</w:t>
      </w:r>
      <w:r w:rsidR="000134D1">
        <w:t xml:space="preserve"> the remaining 1</w:t>
      </w:r>
      <w:r w:rsidR="005417A1">
        <w:t>2</w:t>
      </w:r>
      <w:r w:rsidR="000134D1">
        <w:t xml:space="preserve"> mon</w:t>
      </w:r>
      <w:r w:rsidR="000134D1" w:rsidRPr="005742BE">
        <w:t>ths of pro</w:t>
      </w:r>
      <w:r w:rsidR="005417A1">
        <w:t>gram</w:t>
      </w:r>
      <w:r w:rsidR="000134D1" w:rsidRPr="005742BE">
        <w:t xml:space="preserve"> im</w:t>
      </w:r>
      <w:r w:rsidR="000134D1">
        <w:t xml:space="preserve">plementation, </w:t>
      </w:r>
      <w:proofErr w:type="spellStart"/>
      <w:r w:rsidR="000134D1">
        <w:t>AusAID</w:t>
      </w:r>
      <w:proofErr w:type="spellEnd"/>
      <w:r w:rsidR="000134D1">
        <w:t xml:space="preserve"> will focus on sustaining advis</w:t>
      </w:r>
      <w:r w:rsidR="000134D1" w:rsidRPr="005742BE">
        <w:t>er inputs</w:t>
      </w:r>
      <w:r w:rsidR="00FA517F">
        <w:t>;</w:t>
      </w:r>
      <w:r w:rsidR="000134D1">
        <w:t xml:space="preserve"> providing intensive support to the Director General </w:t>
      </w:r>
      <w:r>
        <w:t>for the Ministry of Justice and Social Welfare</w:t>
      </w:r>
      <w:r w:rsidR="000134D1">
        <w:t xml:space="preserve"> in sector leadership and the development of the sector strategy</w:t>
      </w:r>
      <w:r w:rsidR="00FA517F">
        <w:t>;</w:t>
      </w:r>
      <w:r w:rsidR="000134D1">
        <w:t xml:space="preserve"> and implementing long-planned infrastructure works. A</w:t>
      </w:r>
      <w:r w:rsidR="000134D1" w:rsidRPr="005742BE">
        <w:t>s the pro</w:t>
      </w:r>
      <w:r w:rsidR="005417A1">
        <w:t>gram</w:t>
      </w:r>
      <w:r w:rsidR="000134D1" w:rsidRPr="005742BE">
        <w:t xml:space="preserve"> </w:t>
      </w:r>
      <w:r w:rsidR="000134D1">
        <w:t xml:space="preserve">draws </w:t>
      </w:r>
      <w:r>
        <w:t>to a close</w:t>
      </w:r>
      <w:r w:rsidR="000134D1">
        <w:t xml:space="preserve">, and as </w:t>
      </w:r>
      <w:r>
        <w:t xml:space="preserve">progress is made </w:t>
      </w:r>
      <w:r w:rsidR="000134D1">
        <w:t xml:space="preserve">in the Ministry of Justice and with the sector strategy, </w:t>
      </w:r>
      <w:proofErr w:type="spellStart"/>
      <w:r w:rsidR="000134D1">
        <w:t>AusAID</w:t>
      </w:r>
      <w:proofErr w:type="spellEnd"/>
      <w:r w:rsidR="000134D1">
        <w:t xml:space="preserve"> will continue to work with government agencies across the law and justice sector</w:t>
      </w:r>
      <w:r>
        <w:t>, with a</w:t>
      </w:r>
      <w:r w:rsidR="000134D1">
        <w:t xml:space="preserve"> particular</w:t>
      </w:r>
      <w:r>
        <w:t xml:space="preserve"> focus on</w:t>
      </w:r>
      <w:r w:rsidR="000134D1">
        <w:t xml:space="preserve"> implementing the recommendations of t</w:t>
      </w:r>
      <w:r w:rsidR="000134D1" w:rsidRPr="005742BE">
        <w:t xml:space="preserve">he </w:t>
      </w:r>
      <w:r>
        <w:t xml:space="preserve">mid-term </w:t>
      </w:r>
      <w:r w:rsidR="000134D1" w:rsidRPr="005742BE">
        <w:t>review.</w:t>
      </w:r>
    </w:p>
    <w:p w:rsidR="00261F3A" w:rsidRPr="00261F3A" w:rsidRDefault="000134D1" w:rsidP="00261F3A">
      <w:pPr>
        <w:pStyle w:val="BodyText"/>
      </w:pPr>
      <w:r>
        <w:t>Progress towards this objective is rated amber, as it was last year, in light of the considerable challenges across the legal sector.</w:t>
      </w:r>
    </w:p>
    <w:p w:rsidR="00261F3A" w:rsidRDefault="00261F3A">
      <w:pPr>
        <w:rPr>
          <w:rFonts w:ascii="Franklin Gothic Medium" w:hAnsi="Franklin Gothic Medium"/>
          <w:color w:val="5A9A98"/>
          <w:kern w:val="28"/>
          <w:sz w:val="22"/>
          <w:szCs w:val="22"/>
        </w:rPr>
      </w:pPr>
      <w:r>
        <w:br w:type="page"/>
      </w:r>
    </w:p>
    <w:p w:rsidR="000134D1" w:rsidRDefault="000134D1" w:rsidP="004A1146">
      <w:pPr>
        <w:pStyle w:val="Heading4"/>
      </w:pPr>
      <w:r>
        <w:lastRenderedPageBreak/>
        <w:t>Estimated expenditure</w:t>
      </w:r>
    </w:p>
    <w:p w:rsidR="000134D1" w:rsidRDefault="000134D1" w:rsidP="000134D1">
      <w:pPr>
        <w:pStyle w:val="BodyText"/>
      </w:pPr>
      <w:r>
        <w:t xml:space="preserve">Approximately 6.2 per cent ($2.6 million) </w:t>
      </w:r>
      <w:r w:rsidR="00FA517F">
        <w:t xml:space="preserve">of the </w:t>
      </w:r>
      <w:smartTag w:uri="urn:schemas-microsoft-com:office:smarttags" w:element="place">
        <w:smartTag w:uri="urn:schemas-microsoft-com:office:smarttags" w:element="country-region">
          <w:r w:rsidR="00FA517F">
            <w:t>Vanuatu</w:t>
          </w:r>
        </w:smartTag>
      </w:smartTag>
      <w:r w:rsidR="00FA517F">
        <w:t xml:space="preserve"> aid program budget </w:t>
      </w:r>
      <w:r>
        <w:t xml:space="preserve">was spent on this objective in </w:t>
      </w:r>
      <w:r w:rsidR="00822F48">
        <w:t>2008</w:t>
      </w:r>
      <w:r>
        <w:t>.</w:t>
      </w:r>
    </w:p>
    <w:p w:rsidR="000134D1" w:rsidRDefault="00FA517F" w:rsidP="004A1146">
      <w:pPr>
        <w:pStyle w:val="Heading3"/>
      </w:pPr>
      <w:r>
        <w:t xml:space="preserve">Objective </w:t>
      </w:r>
      <w:r w:rsidR="000134D1">
        <w:t xml:space="preserve">2(b): </w:t>
      </w:r>
      <w:r w:rsidR="005742BE">
        <w:t>Improved p</w:t>
      </w:r>
      <w:r w:rsidR="000134D1">
        <w:t xml:space="preserve">olice </w:t>
      </w:r>
      <w:r>
        <w:t>s</w:t>
      </w:r>
      <w:r w:rsidR="000134D1">
        <w:t xml:space="preserve">ervices </w:t>
      </w:r>
    </w:p>
    <w:p w:rsidR="000134D1" w:rsidRDefault="004A1146" w:rsidP="004A1146">
      <w:pPr>
        <w:pStyle w:val="Heading4"/>
      </w:pPr>
      <w:r>
        <w:t>Rating</w:t>
      </w:r>
    </w:p>
    <w:p w:rsidR="000134D1" w:rsidRDefault="000C5224" w:rsidP="00904E49">
      <w:pPr>
        <w:pStyle w:val="Ratinggreen"/>
        <w:numPr>
          <w:ilvl w:val="0"/>
          <w:numId w:val="0"/>
        </w:numPr>
      </w:pPr>
      <w:r>
        <w:rPr>
          <w:noProof/>
          <w:lang w:val="en-US" w:eastAsia="en-US"/>
        </w:rPr>
        <mc:AlternateContent>
          <mc:Choice Requires="wps">
            <w:drawing>
              <wp:inline distT="0" distB="0" distL="0" distR="0" wp14:anchorId="28C49B30" wp14:editId="19823856">
                <wp:extent cx="154305" cy="154305"/>
                <wp:effectExtent l="0" t="0" r="0" b="0"/>
                <wp:docPr id="2" name="Rectangle 4" descr="Gree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305" cy="154305"/>
                        </a:xfrm>
                        <a:prstGeom prst="rect">
                          <a:avLst/>
                        </a:prstGeom>
                        <a:solidFill>
                          <a:srgbClr val="7DBE28"/>
                        </a:solidFill>
                        <a:ln>
                          <a:noFill/>
                        </a:ln>
                        <a:effectLst/>
                        <a:extLst/>
                      </wps:spPr>
                      <wps:bodyPr rot="0" vert="horz" wrap="square" lIns="91440" tIns="45720" rIns="91440" bIns="45720" anchor="t" anchorCtr="0" upright="1">
                        <a:noAutofit/>
                      </wps:bodyPr>
                    </wps:wsp>
                  </a:graphicData>
                </a:graphic>
              </wp:inline>
            </w:drawing>
          </mc:Choice>
          <mc:Fallback>
            <w:pict>
              <v:rect w14:anchorId="331DE38D" id="Rectangle 4" o:spid="_x0000_s1026" alt="Green" style="width:12.1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" fillcolor="#7dbe28" stroked="f">
                <w10:wrap anchorx="page"/>
                <w10:anchorlock/>
              </v:rect>
            </w:pict>
          </mc:Fallback>
        </mc:AlternateContent>
      </w:r>
      <w:r w:rsidR="00904E49">
        <w:rPr>
          <w:rFonts w:cs="Georgia"/>
        </w:rPr>
        <w:t xml:space="preserve">  </w:t>
      </w:r>
      <w:r w:rsidR="000134D1">
        <w:rPr>
          <w:rFonts w:cs="Georgia"/>
        </w:rPr>
        <w:t>The objective is on track to be fully achieved within the timeframe</w:t>
      </w:r>
      <w:r w:rsidR="00FA517F">
        <w:rPr>
          <w:rFonts w:cs="Georgia"/>
        </w:rPr>
        <w:t>.</w:t>
      </w:r>
    </w:p>
    <w:p w:rsidR="000134D1" w:rsidRDefault="000134D1" w:rsidP="004A1146">
      <w:pPr>
        <w:pStyle w:val="Heading4"/>
      </w:pPr>
      <w:r>
        <w:t>Assessment of results and performance</w:t>
      </w:r>
    </w:p>
    <w:p w:rsidR="000134D1" w:rsidRDefault="000134D1" w:rsidP="000134D1">
      <w:pPr>
        <w:pStyle w:val="BodyText"/>
      </w:pPr>
      <w:r>
        <w:t xml:space="preserve">The </w:t>
      </w:r>
      <w:r w:rsidR="000954C1">
        <w:t>Vanuatu Police Force Capacity Building Project</w:t>
      </w:r>
      <w:r>
        <w:t xml:space="preserve"> has completed three of its five years. Funded by </w:t>
      </w:r>
      <w:proofErr w:type="spellStart"/>
      <w:r>
        <w:t>AusAID</w:t>
      </w:r>
      <w:proofErr w:type="spellEnd"/>
      <w:r>
        <w:t xml:space="preserve">, the project is managed and implemented by the Australian Federal Police (AFP), through joint planning and reporting with the </w:t>
      </w:r>
      <w:r w:rsidR="008C6CE3">
        <w:t>V</w:t>
      </w:r>
      <w:r w:rsidR="005742BE">
        <w:t>a</w:t>
      </w:r>
      <w:r w:rsidR="008C6CE3">
        <w:t>n</w:t>
      </w:r>
      <w:r w:rsidR="005742BE">
        <w:t>uatu Police Forc</w:t>
      </w:r>
      <w:r w:rsidR="005742BE" w:rsidRPr="005742BE">
        <w:t>e (</w:t>
      </w:r>
      <w:r w:rsidRPr="005742BE">
        <w:t>VPF</w:t>
      </w:r>
      <w:r w:rsidR="005742BE">
        <w:t>)</w:t>
      </w:r>
      <w:r>
        <w:t xml:space="preserve">. The project shares its goal with </w:t>
      </w:r>
      <w:r w:rsidR="005742BE">
        <w:t xml:space="preserve">that of </w:t>
      </w:r>
      <w:r>
        <w:t xml:space="preserve">the VPF, namely </w:t>
      </w:r>
      <w:r w:rsidR="00C6521D">
        <w:t>‘</w:t>
      </w:r>
      <w:r>
        <w:t>providing a safer and more secure environment for the community by the prevention and detection of crime through strong (close) police/community relations</w:t>
      </w:r>
      <w:r w:rsidR="00C6521D">
        <w:t>’</w:t>
      </w:r>
      <w:r>
        <w:t xml:space="preserve">. </w:t>
      </w:r>
    </w:p>
    <w:p w:rsidR="004C6119" w:rsidRDefault="000134D1" w:rsidP="000134D1">
      <w:pPr>
        <w:pStyle w:val="BodyText"/>
      </w:pPr>
      <w:proofErr w:type="spellStart"/>
      <w:r>
        <w:t>AusAID</w:t>
      </w:r>
      <w:proofErr w:type="spellEnd"/>
      <w:r>
        <w:t xml:space="preserve">, the AFP and the Government of Vanuatu conducted a mid-term review of the project in December 2008. </w:t>
      </w:r>
      <w:r w:rsidR="004C6119">
        <w:t xml:space="preserve">The review </w:t>
      </w:r>
      <w:r>
        <w:t xml:space="preserve">found that </w:t>
      </w:r>
      <w:r w:rsidR="00C6521D">
        <w:t xml:space="preserve">the </w:t>
      </w:r>
      <w:r>
        <w:t xml:space="preserve">project is operating satisfactorily in formal training, systems and procedures development, joint planning and reporting, community safety, infrastructure improvements, and the execution of the Workforce Renewal Program. </w:t>
      </w:r>
    </w:p>
    <w:p w:rsidR="000134D1" w:rsidRDefault="004C6119" w:rsidP="000134D1">
      <w:pPr>
        <w:pStyle w:val="BodyText"/>
      </w:pPr>
      <w:r>
        <w:t xml:space="preserve">In </w:t>
      </w:r>
      <w:r w:rsidR="00822F48">
        <w:t>2008</w:t>
      </w:r>
      <w:r>
        <w:t>,</w:t>
      </w:r>
      <w:r w:rsidR="000134D1" w:rsidRPr="004C6119">
        <w:t xml:space="preserve"> the project worked with the VPF to achi</w:t>
      </w:r>
      <w:r w:rsidR="000134D1">
        <w:t xml:space="preserve">eve a number of significant results: </w:t>
      </w:r>
    </w:p>
    <w:p w:rsidR="000134D1" w:rsidRDefault="000134D1" w:rsidP="004A1146">
      <w:pPr>
        <w:pStyle w:val="ListBullet"/>
      </w:pPr>
      <w:r>
        <w:t xml:space="preserve">There has been substantial progress in workforce renewal with increasing ownership by </w:t>
      </w:r>
      <w:r w:rsidR="004C6119">
        <w:t xml:space="preserve">the </w:t>
      </w:r>
      <w:r>
        <w:t>VPF and a transition to a younger</w:t>
      </w:r>
      <w:r w:rsidR="004C6119">
        <w:t xml:space="preserve"> and</w:t>
      </w:r>
      <w:r>
        <w:t xml:space="preserve"> more skilled workforce. A third </w:t>
      </w:r>
      <w:r w:rsidR="004C6119">
        <w:t xml:space="preserve">group </w:t>
      </w:r>
      <w:r>
        <w:t xml:space="preserve">of new recruits has just commenced basic training, which will bring the total number of new police officers since 2006 to 62, including 24 women (39 per cent). Complementing this renewal, 27 long-serving officers have already left the force through two rounds of managed retirements. </w:t>
      </w:r>
    </w:p>
    <w:p w:rsidR="000134D1" w:rsidRDefault="000134D1" w:rsidP="004A1146">
      <w:pPr>
        <w:pStyle w:val="ListBullet"/>
      </w:pPr>
      <w:r>
        <w:t xml:space="preserve">The </w:t>
      </w:r>
      <w:smartTag w:uri="urn:schemas-microsoft-com:office:smarttags" w:element="place">
        <w:smartTag w:uri="urn:schemas-microsoft-com:office:smarttags" w:element="PlaceName">
          <w:r>
            <w:t>Vanuatu</w:t>
          </w:r>
        </w:smartTag>
        <w:r>
          <w:t xml:space="preserve"> </w:t>
        </w:r>
        <w:smartTag w:uri="urn:schemas-microsoft-com:office:smarttags" w:element="PlaceName">
          <w:r>
            <w:t>Police</w:t>
          </w:r>
        </w:smartTag>
        <w:r>
          <w:t xml:space="preserve"> </w:t>
        </w:r>
        <w:smartTag w:uri="urn:schemas-microsoft-com:office:smarttags" w:element="PlaceName">
          <w:r>
            <w:t>Training</w:t>
          </w:r>
        </w:smartTag>
        <w:r>
          <w:t xml:space="preserve"> </w:t>
        </w:r>
        <w:smartTag w:uri="urn:schemas-microsoft-com:office:smarttags" w:element="PlaceType">
          <w:r>
            <w:t>College</w:t>
          </w:r>
        </w:smartTag>
      </w:smartTag>
      <w:r>
        <w:t xml:space="preserve"> was accredited as a registered training provider and the Recruit Course was recognised as part of the Diploma of Policing. </w:t>
      </w:r>
    </w:p>
    <w:p w:rsidR="000134D1" w:rsidRDefault="000134D1" w:rsidP="004A1146">
      <w:pPr>
        <w:pStyle w:val="ListBullet"/>
      </w:pPr>
      <w:r>
        <w:t xml:space="preserve">With project support, the VPF revised bail procedures. This dramatically reduced bail periods from an average of four months to two weeks. Partly as a result of these reforms, there has been an increase in the number of completed cases, particularly in Southern Command. </w:t>
      </w:r>
    </w:p>
    <w:p w:rsidR="000134D1" w:rsidRDefault="00ED0A46" w:rsidP="004A1146">
      <w:pPr>
        <w:pStyle w:val="ListBullet"/>
      </w:pPr>
      <w:r>
        <w:t>Several</w:t>
      </w:r>
      <w:r w:rsidR="000134D1">
        <w:t xml:space="preserve"> major infrastructure </w:t>
      </w:r>
      <w:r>
        <w:t>projects</w:t>
      </w:r>
      <w:r w:rsidR="000134D1">
        <w:t xml:space="preserve"> </w:t>
      </w:r>
      <w:r>
        <w:t>were</w:t>
      </w:r>
      <w:r w:rsidR="000134D1">
        <w:t xml:space="preserve"> completed</w:t>
      </w:r>
      <w:r>
        <w:t>,</w:t>
      </w:r>
      <w:r w:rsidR="000134D1">
        <w:t xml:space="preserve"> including refurbishment of </w:t>
      </w:r>
      <w:r>
        <w:t xml:space="preserve">the </w:t>
      </w:r>
      <w:r w:rsidR="000134D1">
        <w:t xml:space="preserve">Port Vila Police Station, construction of the Santo Police Station, support for the construction of </w:t>
      </w:r>
      <w:r>
        <w:t>p</w:t>
      </w:r>
      <w:r w:rsidR="000134D1">
        <w:t xml:space="preserve">olice </w:t>
      </w:r>
      <w:r>
        <w:t>p</w:t>
      </w:r>
      <w:r w:rsidR="000134D1">
        <w:t xml:space="preserve">osts at </w:t>
      </w:r>
      <w:proofErr w:type="spellStart"/>
      <w:r w:rsidR="000134D1">
        <w:t>Saratamata</w:t>
      </w:r>
      <w:proofErr w:type="spellEnd"/>
      <w:r w:rsidR="000134D1">
        <w:t xml:space="preserve"> and </w:t>
      </w:r>
      <w:proofErr w:type="spellStart"/>
      <w:r w:rsidR="000134D1">
        <w:t>Maewo</w:t>
      </w:r>
      <w:proofErr w:type="spellEnd"/>
      <w:r>
        <w:t>,</w:t>
      </w:r>
      <w:r w:rsidR="000134D1">
        <w:t xml:space="preserve"> and refurbishment of </w:t>
      </w:r>
      <w:proofErr w:type="spellStart"/>
      <w:r w:rsidR="000134D1">
        <w:t>Tanna</w:t>
      </w:r>
      <w:proofErr w:type="spellEnd"/>
      <w:r w:rsidR="000134D1">
        <w:t xml:space="preserve"> Police Station. Further small</w:t>
      </w:r>
      <w:r>
        <w:t>-</w:t>
      </w:r>
      <w:r w:rsidR="000134D1">
        <w:t xml:space="preserve">scale but important infrastructure works continue to be delayed by land issues and debate about locations for new police posts. </w:t>
      </w:r>
    </w:p>
    <w:p w:rsidR="00261F3A" w:rsidRDefault="000134D1" w:rsidP="000134D1">
      <w:pPr>
        <w:pStyle w:val="BodyText"/>
      </w:pPr>
      <w:r>
        <w:t xml:space="preserve">The mid-term review observed that the sustainability of achievements depends on the VPF addressing critical constraints </w:t>
      </w:r>
      <w:r w:rsidR="00ED0A46">
        <w:t xml:space="preserve">in </w:t>
      </w:r>
      <w:r>
        <w:t>workplace skills, budget, and financial management capacity. It also found that several significant elements of the project are continuing to be delayed by contextual and political constraints. The most significant is the continuing uncertainty around Government</w:t>
      </w:r>
      <w:r w:rsidR="00ED0A46">
        <w:t xml:space="preserve"> of Vanuatu</w:t>
      </w:r>
      <w:r>
        <w:t xml:space="preserve">/VPF policy and organisational frameworks. </w:t>
      </w:r>
      <w:r w:rsidR="00ED0A46">
        <w:t>The g</w:t>
      </w:r>
      <w:r>
        <w:t>overnment, with</w:t>
      </w:r>
    </w:p>
    <w:p w:rsidR="00261F3A" w:rsidRDefault="00261F3A" w:rsidP="00261F3A">
      <w:pPr>
        <w:pStyle w:val="Subtitle"/>
        <w:rPr>
          <w:rFonts w:ascii="Georgia" w:hAnsi="Georgia"/>
          <w:sz w:val="19"/>
          <w:szCs w:val="19"/>
        </w:rPr>
      </w:pPr>
      <w:r>
        <w:br w:type="page"/>
      </w:r>
    </w:p>
    <w:p w:rsidR="000134D1" w:rsidRDefault="000134D1" w:rsidP="000134D1">
      <w:pPr>
        <w:pStyle w:val="BodyText"/>
      </w:pPr>
      <w:r>
        <w:lastRenderedPageBreak/>
        <w:t xml:space="preserve"> </w:t>
      </w:r>
      <w:proofErr w:type="gramStart"/>
      <w:r>
        <w:t>project</w:t>
      </w:r>
      <w:proofErr w:type="gramEnd"/>
      <w:r>
        <w:t xml:space="preserve"> assistance, has undertaken repeated reviews of the police legislation (CAP 105), a core part of policing reform. However, these reviews have yet to translate into a coherent legislative reform agenda for </w:t>
      </w:r>
      <w:r w:rsidR="00ED0A46">
        <w:t>g</w:t>
      </w:r>
      <w:r>
        <w:t xml:space="preserve">overnment. </w:t>
      </w:r>
      <w:proofErr w:type="spellStart"/>
      <w:r>
        <w:t>AusAID</w:t>
      </w:r>
      <w:proofErr w:type="spellEnd"/>
      <w:r>
        <w:t xml:space="preserve"> will encourage the VPF to consider engaging with the Legal Sector Strengthening Program in any further reviews, as </w:t>
      </w:r>
      <w:r w:rsidR="00ED0A46">
        <w:t>it</w:t>
      </w:r>
      <w:r>
        <w:t xml:space="preserve"> has had valuable experience with other similar legislative review processes. The project will also consider refocusing its efforts in this area to </w:t>
      </w:r>
      <w:r w:rsidR="00ED0A46">
        <w:t xml:space="preserve">encompass </w:t>
      </w:r>
      <w:r>
        <w:t>restructuring and human resources issues that do not rely on legislative change.</w:t>
      </w:r>
    </w:p>
    <w:p w:rsidR="000134D1" w:rsidRDefault="00ED0A46" w:rsidP="000134D1">
      <w:pPr>
        <w:pStyle w:val="BodyText"/>
      </w:pPr>
      <w:r>
        <w:t xml:space="preserve">The </w:t>
      </w:r>
      <w:r w:rsidR="000134D1">
        <w:t xml:space="preserve">VPF is operating in an environment of serious budget constraints and limited financial management capacity. </w:t>
      </w:r>
      <w:r>
        <w:t>It has not had an</w:t>
      </w:r>
      <w:r w:rsidR="000134D1">
        <w:t xml:space="preserve"> increase in budget allocation since 2006, and the project has, on occasion, </w:t>
      </w:r>
      <w:r>
        <w:t>provided</w:t>
      </w:r>
      <w:r w:rsidR="000134D1">
        <w:t xml:space="preserve"> budget supplementation to meet critical operational needs. The VPF continues to experience problems providing funds to operational areas.</w:t>
      </w:r>
      <w:r w:rsidR="00C20D65">
        <w:t xml:space="preserve"> </w:t>
      </w:r>
      <w:r w:rsidR="000134D1">
        <w:t xml:space="preserve">Northern Command, the second principal </w:t>
      </w:r>
      <w:r>
        <w:t>p</w:t>
      </w:r>
      <w:r w:rsidR="000134D1">
        <w:t xml:space="preserve">olice </w:t>
      </w:r>
      <w:r>
        <w:t>c</w:t>
      </w:r>
      <w:r w:rsidR="000134D1">
        <w:t>ommand, does not have a formal system for transfer</w:t>
      </w:r>
      <w:r>
        <w:t>ring</w:t>
      </w:r>
      <w:r w:rsidR="000134D1">
        <w:t xml:space="preserve"> funds from Port Vila to </w:t>
      </w:r>
      <w:proofErr w:type="spellStart"/>
      <w:r w:rsidR="000134D1">
        <w:t>Luganville</w:t>
      </w:r>
      <w:proofErr w:type="spellEnd"/>
      <w:r w:rsidR="000134D1">
        <w:t xml:space="preserve"> (at present</w:t>
      </w:r>
      <w:r>
        <w:t>,</w:t>
      </w:r>
      <w:r w:rsidR="000134D1">
        <w:t xml:space="preserve"> funds are provided through personal bank accounts).</w:t>
      </w:r>
      <w:r w:rsidR="00C20D65">
        <w:t xml:space="preserve"> </w:t>
      </w:r>
      <w:r w:rsidR="000134D1">
        <w:t xml:space="preserve">Provincial police posts are in a similar circumstance and funds usually take weeks, if not months, to arrive. The project has endeavoured to support improved financial management capacity with little success. However, there may be new opportunities in the coming year with the new Minister for Internal Affairs and the continuing work of the </w:t>
      </w:r>
      <w:proofErr w:type="spellStart"/>
      <w:r w:rsidR="000134D1">
        <w:t>GfG</w:t>
      </w:r>
      <w:proofErr w:type="spellEnd"/>
      <w:r w:rsidR="000134D1">
        <w:t xml:space="preserve"> </w:t>
      </w:r>
      <w:r w:rsidR="00D72DD0">
        <w:t>p</w:t>
      </w:r>
      <w:r w:rsidR="000134D1">
        <w:t xml:space="preserve">rogram with the Ministry of Finance and Economic Management, including the introduction of the development budget. </w:t>
      </w:r>
    </w:p>
    <w:p w:rsidR="000134D1" w:rsidRDefault="000134D1" w:rsidP="000134D1">
      <w:pPr>
        <w:pStyle w:val="BodyText"/>
      </w:pPr>
      <w:r>
        <w:t xml:space="preserve">There are pressures on the remaining phase of workforce renewal, due for completion by May 2009. Uncertainties </w:t>
      </w:r>
      <w:r w:rsidR="008C6CE3">
        <w:t xml:space="preserve">about </w:t>
      </w:r>
      <w:r>
        <w:t xml:space="preserve">the legal entitlements of retiring officers run the risk of significantly increasing the cost of redundancies well beyond what is justified, particularly in light of the serious shortfalls in </w:t>
      </w:r>
      <w:r w:rsidR="008C6CE3">
        <w:t xml:space="preserve">the VPF’s </w:t>
      </w:r>
      <w:r>
        <w:t xml:space="preserve">operational funding. Other potential problems regarding leadership and redundancies relate to the apparent lack of succession planning for the Police and Mobile Force Commissioners (both of whom are on the current retirement redundancy list). There are also problems in senior leadership in the VPF more broadly that have </w:t>
      </w:r>
      <w:r w:rsidR="008C6CE3">
        <w:t>affected</w:t>
      </w:r>
      <w:r>
        <w:t xml:space="preserve"> sustainability of some achievements to date and may continue to impact on the project in the future.</w:t>
      </w:r>
    </w:p>
    <w:p w:rsidR="000134D1" w:rsidRDefault="000134D1" w:rsidP="000134D1">
      <w:pPr>
        <w:pStyle w:val="BodyText"/>
      </w:pPr>
      <w:r>
        <w:t xml:space="preserve">There is considerable strain on the correctional services </w:t>
      </w:r>
      <w:r w:rsidR="008C6CE3">
        <w:t xml:space="preserve">sector </w:t>
      </w:r>
      <w:r>
        <w:t xml:space="preserve">in </w:t>
      </w:r>
      <w:smartTag w:uri="urn:schemas-microsoft-com:office:smarttags" w:element="place">
        <w:smartTag w:uri="urn:schemas-microsoft-com:office:smarttags" w:element="country-region">
          <w:r>
            <w:t>Vanuatu</w:t>
          </w:r>
        </w:smartTag>
      </w:smartTag>
      <w:r>
        <w:t xml:space="preserve">, which is having a negative </w:t>
      </w:r>
      <w:r w:rsidR="008C6CE3">
        <w:t xml:space="preserve">effect </w:t>
      </w:r>
      <w:r>
        <w:t xml:space="preserve">on the VPF. There have been </w:t>
      </w:r>
      <w:r w:rsidR="008C6CE3">
        <w:t xml:space="preserve">several </w:t>
      </w:r>
      <w:r>
        <w:t>high</w:t>
      </w:r>
      <w:r w:rsidR="008C6CE3">
        <w:t>-</w:t>
      </w:r>
      <w:r>
        <w:t xml:space="preserve">profile prison escapes over the last year, and ongoing management issues </w:t>
      </w:r>
      <w:r w:rsidR="008C6CE3">
        <w:t xml:space="preserve">culminated </w:t>
      </w:r>
      <w:r>
        <w:t>in the destruction of the high</w:t>
      </w:r>
      <w:r w:rsidR="008C6CE3">
        <w:t>-</w:t>
      </w:r>
      <w:r>
        <w:t xml:space="preserve">security prison in Port Vila by inmates in December 2008. Continuing escapes and the subsequent escalation in crime </w:t>
      </w:r>
      <w:r w:rsidR="00B4128A">
        <w:t xml:space="preserve">are </w:t>
      </w:r>
      <w:r>
        <w:t xml:space="preserve">causing concern in the community </w:t>
      </w:r>
      <w:r w:rsidR="00B4128A">
        <w:t xml:space="preserve">and </w:t>
      </w:r>
      <w:r>
        <w:t>debate</w:t>
      </w:r>
      <w:r w:rsidR="00B4128A">
        <w:t xml:space="preserve"> is</w:t>
      </w:r>
      <w:r>
        <w:t xml:space="preserve"> growing about whether prison services should be returned to VPF management. The project has been disrupted </w:t>
      </w:r>
      <w:r w:rsidR="00B4128A">
        <w:t xml:space="preserve">by </w:t>
      </w:r>
      <w:r>
        <w:t xml:space="preserve">repeated shifts in focus to providing operational support to recover escapees (especially by the Mobile Force), and the gains made in the </w:t>
      </w:r>
      <w:smartTag w:uri="urn:schemas-microsoft-com:office:smarttags" w:element="place">
        <w:smartTag w:uri="urn:schemas-microsoft-com:office:smarttags" w:element="PlaceName">
          <w:r>
            <w:t>Vanuatu</w:t>
          </w:r>
        </w:smartTag>
        <w:r>
          <w:t xml:space="preserve"> </w:t>
        </w:r>
        <w:smartTag w:uri="urn:schemas-microsoft-com:office:smarttags" w:element="PlaceName">
          <w:r>
            <w:t>Police</w:t>
          </w:r>
        </w:smartTag>
        <w:r>
          <w:t xml:space="preserve"> </w:t>
        </w:r>
        <w:smartTag w:uri="urn:schemas-microsoft-com:office:smarttags" w:element="PlaceName">
          <w:r>
            <w:t>Training</w:t>
          </w:r>
        </w:smartTag>
        <w:r>
          <w:t xml:space="preserve"> </w:t>
        </w:r>
        <w:smartTag w:uri="urn:schemas-microsoft-com:office:smarttags" w:element="PlaceType">
          <w:r>
            <w:t>College</w:t>
          </w:r>
        </w:smartTag>
      </w:smartTag>
      <w:r>
        <w:t xml:space="preserve"> have been seriously undermined by the transfer of three trained instructors into correctional services. </w:t>
      </w:r>
    </w:p>
    <w:p w:rsidR="000134D1" w:rsidRDefault="000134D1" w:rsidP="000134D1">
      <w:pPr>
        <w:pStyle w:val="BodyText"/>
      </w:pPr>
      <w:r>
        <w:t xml:space="preserve">The representation of women in the VPF remains low. Of the VPF’s 548 sworn officers, only 48 are women (9 per cent). While the recent increased proportion of women in recruit intakes is a positive development, it will be many years before the gender balance in the force changes significantly and longer before women reach senior positions in significant numbers. The project is, however, supporting the Women’s Advisory Network within the VPF, which discusses issues and priorities for women police officers. Importantly, the Vanuatu Women’s Centre reports that the VPF is increasingly referring women who report sexual assault and domestic violence to the </w:t>
      </w:r>
      <w:r w:rsidR="00B4128A">
        <w:t>c</w:t>
      </w:r>
      <w:r>
        <w:t xml:space="preserve">entre, reflecting a growing awareness of the needs of victims. </w:t>
      </w:r>
    </w:p>
    <w:p w:rsidR="000134D1" w:rsidRDefault="00B4128A" w:rsidP="000134D1">
      <w:pPr>
        <w:pStyle w:val="BodyText"/>
      </w:pPr>
      <w:r>
        <w:lastRenderedPageBreak/>
        <w:t>In anticipation of the project’s expiration</w:t>
      </w:r>
      <w:r w:rsidR="000134D1">
        <w:t xml:space="preserve"> in February 2011, work will commence on defining ongoing support requirements for Vanuatu Policing as part of a wider dialogue about future Australian assistance in the law and justice sector from 2011 onwards.</w:t>
      </w:r>
      <w:r w:rsidR="00C20D65">
        <w:t xml:space="preserve"> </w:t>
      </w:r>
      <w:r w:rsidR="000134D1">
        <w:t>Future support to the law and justice sector has been identified as a priority for the Australia</w:t>
      </w:r>
      <w:r w:rsidR="005359B3">
        <w:t>–</w:t>
      </w:r>
      <w:r w:rsidR="00864C36">
        <w:t>Vanuatu</w:t>
      </w:r>
      <w:r w:rsidR="000134D1">
        <w:t xml:space="preserve"> Partnership for Development.</w:t>
      </w:r>
      <w:r w:rsidR="00C20D65">
        <w:t xml:space="preserve"> </w:t>
      </w:r>
    </w:p>
    <w:p w:rsidR="000134D1" w:rsidRDefault="000134D1" w:rsidP="000134D1">
      <w:pPr>
        <w:pStyle w:val="BodyText"/>
      </w:pPr>
      <w:r>
        <w:t>Overall, while the project is working in a number of areas and is facing considerable challenges, real progress has been made in addressing the crucial long-term issue of changing the culture of the VPF to meet the needs of a modern police force. Through project support</w:t>
      </w:r>
      <w:r w:rsidR="00B4128A">
        <w:t>,</w:t>
      </w:r>
      <w:r>
        <w:t xml:space="preserve"> the VPF is making the transition to a more skilled workforce with clear structures in place for career development that did not exist previously. In view of these achievements, progress towards this objective is rated green, commensurate with the 2007 rating. </w:t>
      </w:r>
    </w:p>
    <w:p w:rsidR="000134D1" w:rsidRDefault="000134D1" w:rsidP="00810C27">
      <w:pPr>
        <w:pStyle w:val="Heading4"/>
      </w:pPr>
      <w:r>
        <w:t>Estimated expenditure</w:t>
      </w:r>
    </w:p>
    <w:p w:rsidR="000134D1" w:rsidRDefault="000134D1" w:rsidP="000134D1">
      <w:pPr>
        <w:pStyle w:val="BodyText"/>
      </w:pPr>
      <w:r>
        <w:t xml:space="preserve">Approximately 13 per cent ($5.3 million) </w:t>
      </w:r>
      <w:r w:rsidR="00B4128A">
        <w:t xml:space="preserve">of the </w:t>
      </w:r>
      <w:smartTag w:uri="urn:schemas-microsoft-com:office:smarttags" w:element="place">
        <w:smartTag w:uri="urn:schemas-microsoft-com:office:smarttags" w:element="country-region">
          <w:r w:rsidR="00B4128A">
            <w:t>Vanuatu</w:t>
          </w:r>
        </w:smartTag>
      </w:smartTag>
      <w:r w:rsidR="00B4128A">
        <w:t xml:space="preserve"> aid program budget </w:t>
      </w:r>
      <w:r>
        <w:t xml:space="preserve">was spent on this objective in </w:t>
      </w:r>
      <w:r w:rsidR="00822F48">
        <w:t>2008</w:t>
      </w:r>
      <w:r>
        <w:t>.</w:t>
      </w:r>
    </w:p>
    <w:p w:rsidR="000134D1" w:rsidRDefault="000134D1" w:rsidP="00810C27">
      <w:pPr>
        <w:pStyle w:val="Heading2unnumbered"/>
      </w:pPr>
      <w:bookmarkStart w:id="21" w:name="_Toc360984089"/>
      <w:r>
        <w:t xml:space="preserve">Objective 3: Stronger </w:t>
      </w:r>
      <w:r w:rsidR="00B4128A">
        <w:t>l</w:t>
      </w:r>
      <w:r>
        <w:t xml:space="preserve">inks between </w:t>
      </w:r>
      <w:r w:rsidR="00B4128A">
        <w:t>c</w:t>
      </w:r>
      <w:r>
        <w:t xml:space="preserve">entral, </w:t>
      </w:r>
      <w:r w:rsidR="00B4128A">
        <w:t>l</w:t>
      </w:r>
      <w:r>
        <w:t xml:space="preserve">ine and </w:t>
      </w:r>
      <w:r w:rsidR="00B4128A">
        <w:t>p</w:t>
      </w:r>
      <w:r>
        <w:t xml:space="preserve">rovincial </w:t>
      </w:r>
      <w:r w:rsidR="00B4128A">
        <w:t>s</w:t>
      </w:r>
      <w:r>
        <w:t>ystems</w:t>
      </w:r>
      <w:bookmarkEnd w:id="21"/>
      <w:r>
        <w:t xml:space="preserve"> </w:t>
      </w:r>
    </w:p>
    <w:p w:rsidR="000134D1" w:rsidRDefault="00810C27" w:rsidP="00810C27">
      <w:pPr>
        <w:pStyle w:val="Heading3"/>
      </w:pPr>
      <w:r>
        <w:t>Rating</w:t>
      </w:r>
    </w:p>
    <w:p w:rsidR="000134D1" w:rsidRDefault="000C5224" w:rsidP="00904E49">
      <w:pPr>
        <w:pStyle w:val="Ratinggreen"/>
        <w:numPr>
          <w:ilvl w:val="0"/>
          <w:numId w:val="0"/>
        </w:numPr>
      </w:pPr>
      <w:r>
        <w:rPr>
          <w:noProof/>
          <w:lang w:val="en-US" w:eastAsia="en-US"/>
        </w:rPr>
        <mc:AlternateContent>
          <mc:Choice Requires="wps">
            <w:drawing>
              <wp:inline distT="0" distB="0" distL="0" distR="0" wp14:anchorId="1F43F890" wp14:editId="0DA36124">
                <wp:extent cx="154305" cy="154305"/>
                <wp:effectExtent l="0" t="0" r="0" b="0"/>
                <wp:docPr id="3" name="Rectangle 4" descr="Gree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305" cy="154305"/>
                        </a:xfrm>
                        <a:prstGeom prst="rect">
                          <a:avLst/>
                        </a:prstGeom>
                        <a:solidFill>
                          <a:srgbClr val="7DBE28"/>
                        </a:solidFill>
                        <a:ln>
                          <a:noFill/>
                        </a:ln>
                        <a:effectLst/>
                        <a:extLst/>
                      </wps:spPr>
                      <wps:bodyPr rot="0" vert="horz" wrap="square" lIns="91440" tIns="45720" rIns="91440" bIns="45720" anchor="t" anchorCtr="0" upright="1">
                        <a:noAutofit/>
                      </wps:bodyPr>
                    </wps:wsp>
                  </a:graphicData>
                </a:graphic>
              </wp:inline>
            </w:drawing>
          </mc:Choice>
          <mc:Fallback>
            <w:pict>
              <v:rect w14:anchorId="6BAB5705" id="Rectangle 4" o:spid="_x0000_s1026" alt="Green" style="width:12.1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" fillcolor="#7dbe28" stroked="f">
                <w10:wrap anchorx="page"/>
                <w10:anchorlock/>
              </v:rect>
            </w:pict>
          </mc:Fallback>
        </mc:AlternateContent>
      </w:r>
      <w:r w:rsidR="00904E49">
        <w:rPr>
          <w:rFonts w:cs="Georgia"/>
        </w:rPr>
        <w:t xml:space="preserve">  </w:t>
      </w:r>
      <w:r w:rsidR="000134D1">
        <w:rPr>
          <w:rFonts w:cs="Georgia"/>
        </w:rPr>
        <w:t>The obje</w:t>
      </w:r>
      <w:r w:rsidR="000134D1">
        <w:t>ctive is on track to be fully achieved within the timeframe</w:t>
      </w:r>
      <w:r w:rsidR="00810C27">
        <w:t>.</w:t>
      </w:r>
    </w:p>
    <w:p w:rsidR="000134D1" w:rsidRDefault="000134D1" w:rsidP="00810C27">
      <w:pPr>
        <w:pStyle w:val="Heading3"/>
      </w:pPr>
      <w:r>
        <w:t>Assessment of results and performance</w:t>
      </w:r>
    </w:p>
    <w:p w:rsidR="000134D1" w:rsidRDefault="000134D1" w:rsidP="000134D1">
      <w:pPr>
        <w:pStyle w:val="BodyText"/>
      </w:pPr>
      <w:proofErr w:type="spellStart"/>
      <w:r>
        <w:t>AusAID</w:t>
      </w:r>
      <w:r w:rsidR="00B4128A">
        <w:t>’s</w:t>
      </w:r>
      <w:proofErr w:type="spellEnd"/>
      <w:r>
        <w:t xml:space="preserve"> efforts towards this objective have focused on the links between central, line and provincial systems in finance and budgeting. </w:t>
      </w:r>
      <w:r w:rsidR="00B4128A">
        <w:t>The f</w:t>
      </w:r>
      <w:r>
        <w:t xml:space="preserve">inancial management capacity </w:t>
      </w:r>
      <w:r w:rsidR="00B4128A">
        <w:t xml:space="preserve">of government </w:t>
      </w:r>
      <w:r>
        <w:t>service delivery agencies remains a major constraint. A centr</w:t>
      </w:r>
      <w:r w:rsidR="00B4128A">
        <w:t>al focus</w:t>
      </w:r>
      <w:r>
        <w:t xml:space="preserve"> of efforts is support</w:t>
      </w:r>
      <w:r w:rsidR="00B4128A">
        <w:t>ing</w:t>
      </w:r>
      <w:r>
        <w:t xml:space="preserve"> the Ministry of Finance and Economic Management to establish Finance Service Bureau</w:t>
      </w:r>
      <w:r w:rsidR="00B4128A">
        <w:t xml:space="preserve">s </w:t>
      </w:r>
      <w:r>
        <w:t xml:space="preserve">in each province. </w:t>
      </w:r>
      <w:r w:rsidR="00B4128A">
        <w:t xml:space="preserve">These bureaus </w:t>
      </w:r>
      <w:r>
        <w:t>will improve the flow of money to essential services (overcoming blockages in the systems) and improve accountability. They will also serve as a ‘one</w:t>
      </w:r>
      <w:r w:rsidR="00B4128A">
        <w:t>-</w:t>
      </w:r>
      <w:r>
        <w:t>stop shop’ for some central government functions, including access to the government IT network</w:t>
      </w:r>
      <w:r w:rsidR="00B4128A">
        <w:t>,</w:t>
      </w:r>
      <w:r>
        <w:t xml:space="preserve"> which currently has limited presence in the provinces. </w:t>
      </w:r>
    </w:p>
    <w:p w:rsidR="000134D1" w:rsidRDefault="000134D1" w:rsidP="000134D1">
      <w:pPr>
        <w:pStyle w:val="BodyText"/>
      </w:pPr>
      <w:r>
        <w:t xml:space="preserve">Two </w:t>
      </w:r>
      <w:r w:rsidR="00B4128A">
        <w:t>Finance Service Bureaus</w:t>
      </w:r>
      <w:r>
        <w:t xml:space="preserve"> were intended to be established by the end of 2008, but the initiative has experienced a number of delays. Initially</w:t>
      </w:r>
      <w:r w:rsidR="00B4128A">
        <w:t>, the delays were</w:t>
      </w:r>
      <w:r>
        <w:t xml:space="preserve"> due to the pressures and distractions of the election period and the need to redirect advisory and government resources to maintaining the budget position</w:t>
      </w:r>
      <w:r w:rsidR="00B07EDA">
        <w:t>.</w:t>
      </w:r>
      <w:r>
        <w:t xml:space="preserve"> </w:t>
      </w:r>
      <w:r w:rsidR="00B07EDA">
        <w:t>R</w:t>
      </w:r>
      <w:r>
        <w:t xml:space="preserve">ecent delays are associated with difficulties </w:t>
      </w:r>
      <w:r w:rsidR="00B07EDA">
        <w:t xml:space="preserve">in </w:t>
      </w:r>
      <w:r>
        <w:t xml:space="preserve">formally establishing the staff positions. </w:t>
      </w:r>
      <w:r w:rsidR="00B07EDA">
        <w:t>Despite these delays,</w:t>
      </w:r>
      <w:r>
        <w:t xml:space="preserve"> the first </w:t>
      </w:r>
      <w:r w:rsidR="00B4128A">
        <w:t xml:space="preserve">bureau </w:t>
      </w:r>
      <w:r>
        <w:t xml:space="preserve">was established in early 2009 on Santo. The locations of further </w:t>
      </w:r>
      <w:r w:rsidR="00B07EDA">
        <w:t>b</w:t>
      </w:r>
      <w:r>
        <w:t>ureau</w:t>
      </w:r>
      <w:r w:rsidR="00B07EDA">
        <w:t>s</w:t>
      </w:r>
      <w:r>
        <w:t xml:space="preserve"> are still being debated within </w:t>
      </w:r>
      <w:r w:rsidR="00B07EDA">
        <w:t>g</w:t>
      </w:r>
      <w:r>
        <w:t xml:space="preserve">overnment. </w:t>
      </w:r>
      <w:proofErr w:type="spellStart"/>
      <w:r w:rsidR="00B07EDA">
        <w:t>AusAID</w:t>
      </w:r>
      <w:proofErr w:type="spellEnd"/>
      <w:r w:rsidR="00B07EDA">
        <w:t xml:space="preserve"> </w:t>
      </w:r>
      <w:r>
        <w:t>anticipate</w:t>
      </w:r>
      <w:r w:rsidR="00B07EDA">
        <w:t>s that</w:t>
      </w:r>
      <w:r>
        <w:t xml:space="preserve"> up to two more will be established by the end of 2009.</w:t>
      </w:r>
    </w:p>
    <w:p w:rsidR="000134D1" w:rsidRDefault="000134D1" w:rsidP="000134D1">
      <w:pPr>
        <w:pStyle w:val="BodyText"/>
      </w:pPr>
      <w:r>
        <w:t xml:space="preserve">Technical assistance </w:t>
      </w:r>
      <w:r w:rsidR="00B07EDA">
        <w:t xml:space="preserve">provided </w:t>
      </w:r>
      <w:r>
        <w:t xml:space="preserve">through </w:t>
      </w:r>
      <w:r w:rsidR="00D72DD0">
        <w:t xml:space="preserve">the </w:t>
      </w:r>
      <w:proofErr w:type="spellStart"/>
      <w:r>
        <w:t>GfG</w:t>
      </w:r>
      <w:proofErr w:type="spellEnd"/>
      <w:r>
        <w:t xml:space="preserve"> </w:t>
      </w:r>
      <w:r w:rsidR="00D72DD0">
        <w:t xml:space="preserve">program </w:t>
      </w:r>
      <w:r>
        <w:t>is making a significant contribution to improving the links between line agencies and central agencies in finance and budget matters. This is evidenced by the increased role</w:t>
      </w:r>
      <w:r w:rsidR="00B07EDA">
        <w:t>s</w:t>
      </w:r>
      <w:r>
        <w:t xml:space="preserve"> MFEM is playing in </w:t>
      </w:r>
      <w:r w:rsidR="00B07EDA">
        <w:t>managing</w:t>
      </w:r>
      <w:r>
        <w:t xml:space="preserve"> the Vanuatu Education Support Action Plan (VESAP)</w:t>
      </w:r>
      <w:r w:rsidR="0017207C">
        <w:t>,</w:t>
      </w:r>
      <w:r w:rsidR="00B07EDA">
        <w:t xml:space="preserve"> </w:t>
      </w:r>
      <w:r>
        <w:t xml:space="preserve">overseeing the rationalisation of school bank accounts and its support of the malaria initiative. </w:t>
      </w:r>
    </w:p>
    <w:p w:rsidR="000134D1" w:rsidRDefault="000134D1" w:rsidP="000134D1">
      <w:pPr>
        <w:pStyle w:val="BodyText"/>
      </w:pPr>
      <w:proofErr w:type="spellStart"/>
      <w:r>
        <w:lastRenderedPageBreak/>
        <w:t>AusAID</w:t>
      </w:r>
      <w:r w:rsidR="0017207C">
        <w:t>’s</w:t>
      </w:r>
      <w:proofErr w:type="spellEnd"/>
      <w:r>
        <w:t xml:space="preserve"> support has resulted in notable improvements in links between the provinces and the centre in technical and vocational education and training</w:t>
      </w:r>
      <w:r w:rsidR="00BD4A8B">
        <w:t xml:space="preserve"> (TVET)</w:t>
      </w:r>
      <w:r>
        <w:t xml:space="preserve">. The TVET </w:t>
      </w:r>
      <w:r w:rsidR="00D72DD0">
        <w:t xml:space="preserve">program </w:t>
      </w:r>
      <w:r>
        <w:t xml:space="preserve">(discussed in detail </w:t>
      </w:r>
      <w:r w:rsidR="00B07EDA">
        <w:t>below under objective</w:t>
      </w:r>
      <w:r>
        <w:t xml:space="preserve"> 4</w:t>
      </w:r>
      <w:r w:rsidR="00B07EDA">
        <w:t>(a)</w:t>
      </w:r>
      <w:r>
        <w:t xml:space="preserve">) is centred on </w:t>
      </w:r>
      <w:r w:rsidR="00B07EDA">
        <w:t>p</w:t>
      </w:r>
      <w:r>
        <w:t xml:space="preserve">rovincial </w:t>
      </w:r>
      <w:r w:rsidR="00B07EDA">
        <w:t>g</w:t>
      </w:r>
      <w:r>
        <w:t xml:space="preserve">overnments and </w:t>
      </w:r>
      <w:r w:rsidR="00B07EDA">
        <w:t>p</w:t>
      </w:r>
      <w:r>
        <w:t xml:space="preserve">rovincial </w:t>
      </w:r>
      <w:r w:rsidR="00B07EDA">
        <w:t>t</w:t>
      </w:r>
      <w:r>
        <w:t xml:space="preserve">raining </w:t>
      </w:r>
      <w:r w:rsidR="00B07EDA">
        <w:t>b</w:t>
      </w:r>
      <w:r>
        <w:t xml:space="preserve">oards, which are beginning to build more effective links with the Ministry of Education, the Ministry of Youth Development and Training, and the Vanuatu National Training Council. The expansion of mobile telephone coverage that is resulting from telecommunications reform (supported by </w:t>
      </w:r>
      <w:proofErr w:type="spellStart"/>
      <w:r>
        <w:t>AusAID</w:t>
      </w:r>
      <w:proofErr w:type="spellEnd"/>
      <w:r>
        <w:t xml:space="preserve">) is also playing a role in enabling increased contact between Port Vila and </w:t>
      </w:r>
      <w:r w:rsidR="00B07EDA">
        <w:t xml:space="preserve">the </w:t>
      </w:r>
      <w:r>
        <w:t xml:space="preserve">provinces. </w:t>
      </w:r>
    </w:p>
    <w:p w:rsidR="000134D1" w:rsidRDefault="000134D1" w:rsidP="000134D1">
      <w:pPr>
        <w:pStyle w:val="BodyText"/>
      </w:pPr>
      <w:r>
        <w:t xml:space="preserve">Progress towards this objective is a necessary element for all aspects of the aid program in </w:t>
      </w:r>
      <w:smartTag w:uri="urn:schemas-microsoft-com:office:smarttags" w:element="country-region">
        <w:smartTag w:uri="urn:schemas-microsoft-com:office:smarttags" w:element="place">
          <w:r>
            <w:t>Vanuatu</w:t>
          </w:r>
        </w:smartTag>
      </w:smartTag>
      <w:r>
        <w:t xml:space="preserve">, especially in light of the </w:t>
      </w:r>
      <w:r w:rsidR="00846905">
        <w:t>Australia</w:t>
      </w:r>
      <w:r w:rsidR="005359B3">
        <w:t>–</w:t>
      </w:r>
      <w:r w:rsidR="00864C36">
        <w:t>Vanuatu</w:t>
      </w:r>
      <w:r w:rsidR="00846905">
        <w:t xml:space="preserve"> </w:t>
      </w:r>
      <w:r>
        <w:t xml:space="preserve">Partnership for Development. Because </w:t>
      </w:r>
      <w:r w:rsidR="00846905">
        <w:t xml:space="preserve">there </w:t>
      </w:r>
      <w:r>
        <w:t xml:space="preserve">continue to </w:t>
      </w:r>
      <w:r w:rsidR="00846905">
        <w:t xml:space="preserve">be </w:t>
      </w:r>
      <w:r>
        <w:t xml:space="preserve">good advances in this area, progress is rated </w:t>
      </w:r>
      <w:r w:rsidR="00846905">
        <w:t>g</w:t>
      </w:r>
      <w:r>
        <w:t xml:space="preserve">reen. </w:t>
      </w:r>
    </w:p>
    <w:p w:rsidR="000134D1" w:rsidRDefault="000134D1" w:rsidP="00810C27">
      <w:pPr>
        <w:pStyle w:val="Heading3"/>
      </w:pPr>
      <w:r>
        <w:t>Estimated expenditure</w:t>
      </w:r>
    </w:p>
    <w:p w:rsidR="000134D1" w:rsidRDefault="000134D1" w:rsidP="000134D1">
      <w:pPr>
        <w:pStyle w:val="BodyText"/>
      </w:pPr>
      <w:r>
        <w:t xml:space="preserve">Approximately 4.0 per cent ($1.6 million) </w:t>
      </w:r>
      <w:r w:rsidR="00846905">
        <w:t xml:space="preserve">of the </w:t>
      </w:r>
      <w:smartTag w:uri="urn:schemas-microsoft-com:office:smarttags" w:element="place">
        <w:smartTag w:uri="urn:schemas-microsoft-com:office:smarttags" w:element="country-region">
          <w:r w:rsidR="00846905">
            <w:t>Vanuatu</w:t>
          </w:r>
        </w:smartTag>
      </w:smartTag>
      <w:r w:rsidR="00846905">
        <w:t xml:space="preserve"> aid program budget </w:t>
      </w:r>
      <w:r>
        <w:t xml:space="preserve">was spent on this objective in </w:t>
      </w:r>
      <w:r w:rsidR="00822F48">
        <w:t>2008</w:t>
      </w:r>
      <w:r>
        <w:t>.</w:t>
      </w:r>
    </w:p>
    <w:p w:rsidR="00F06A48" w:rsidRDefault="00F06A48" w:rsidP="00810C27">
      <w:pPr>
        <w:pStyle w:val="Heading2unnumbered"/>
      </w:pPr>
      <w:bookmarkStart w:id="22" w:name="_Toc360984090"/>
      <w:r>
        <w:t>Objective 4: Improved service delivery to populations in greatest hardship, including rural communities and informal settlements in urban areas</w:t>
      </w:r>
      <w:bookmarkEnd w:id="22"/>
    </w:p>
    <w:p w:rsidR="00F06A48" w:rsidRPr="00F06A48" w:rsidRDefault="00F06A48" w:rsidP="00F06A48">
      <w:pPr>
        <w:pStyle w:val="BodyText"/>
      </w:pPr>
      <w:proofErr w:type="spellStart"/>
      <w:r>
        <w:t>AusAID</w:t>
      </w:r>
      <w:proofErr w:type="spellEnd"/>
      <w:r>
        <w:t xml:space="preserve"> has a strong emphasis on improving access to basic service delivery, primarily health and education, across </w:t>
      </w:r>
      <w:smartTag w:uri="urn:schemas-microsoft-com:office:smarttags" w:element="place">
        <w:smartTag w:uri="urn:schemas-microsoft-com:office:smarttags" w:element="country-region">
          <w:r>
            <w:t>Vanuatu</w:t>
          </w:r>
        </w:smartTag>
      </w:smartTag>
      <w:r>
        <w:t>. In both health and education</w:t>
      </w:r>
      <w:r w:rsidR="00DB5913">
        <w:t>,</w:t>
      </w:r>
      <w:r>
        <w:t xml:space="preserve"> </w:t>
      </w:r>
      <w:proofErr w:type="spellStart"/>
      <w:r>
        <w:t>AusAID</w:t>
      </w:r>
      <w:proofErr w:type="spellEnd"/>
      <w:r>
        <w:t xml:space="preserve"> is working to move towards more program-based support, based on agreed priorities developed with the Government of Vanuatu and other donor partners. This support is focused on improving the access to and quality of service delivery across </w:t>
      </w:r>
      <w:smartTag w:uri="urn:schemas-microsoft-com:office:smarttags" w:element="place">
        <w:smartTag w:uri="urn:schemas-microsoft-com:office:smarttags" w:element="country-region">
          <w:r>
            <w:t>Vanuatu</w:t>
          </w:r>
        </w:smartTag>
      </w:smartTag>
      <w:r>
        <w:t xml:space="preserve"> to achieve the MDGs. Progress towards achieving the MDGs in health and education is positive overall, although more needs to be done to improve the quality of data and accelerate improvement in certain key areas (including primary school enrolment). Overall</w:t>
      </w:r>
      <w:r w:rsidR="00DB5913">
        <w:t>,</w:t>
      </w:r>
      <w:r>
        <w:t xml:space="preserve"> more progress has been made in improving donor coordination in education than in health.</w:t>
      </w:r>
    </w:p>
    <w:p w:rsidR="000134D1" w:rsidRDefault="000134D1" w:rsidP="007F3C6B">
      <w:pPr>
        <w:pStyle w:val="Heading3"/>
      </w:pPr>
      <w:r>
        <w:t xml:space="preserve">Objective 4(a): Improved </w:t>
      </w:r>
      <w:r w:rsidR="00846905">
        <w:t>education</w:t>
      </w:r>
    </w:p>
    <w:p w:rsidR="000134D1" w:rsidRDefault="00810C27" w:rsidP="007F3C6B">
      <w:pPr>
        <w:pStyle w:val="Heading4"/>
      </w:pPr>
      <w:r>
        <w:t>Rating</w:t>
      </w:r>
    </w:p>
    <w:p w:rsidR="000134D1" w:rsidRDefault="000C5224" w:rsidP="00904E49">
      <w:pPr>
        <w:pStyle w:val="Ratinggreen"/>
        <w:numPr>
          <w:ilvl w:val="0"/>
          <w:numId w:val="0"/>
        </w:numPr>
      </w:pPr>
      <w:r>
        <w:rPr>
          <w:noProof/>
          <w:lang w:val="en-US" w:eastAsia="en-US"/>
        </w:rPr>
        <mc:AlternateContent>
          <mc:Choice Requires="wps">
            <w:drawing>
              <wp:inline distT="0" distB="0" distL="0" distR="0" wp14:anchorId="1F43F890" wp14:editId="0DA36124">
                <wp:extent cx="154305" cy="154305"/>
                <wp:effectExtent l="0" t="0" r="0" b="0"/>
                <wp:docPr id="4" name="Rectangle 4" descr="Gree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305" cy="154305"/>
                        </a:xfrm>
                        <a:prstGeom prst="rect">
                          <a:avLst/>
                        </a:prstGeom>
                        <a:solidFill>
                          <a:srgbClr val="7DBE28"/>
                        </a:solidFill>
                        <a:ln>
                          <a:noFill/>
                        </a:ln>
                        <a:effectLst/>
                        <a:extLst/>
                      </wps:spPr>
                      <wps:bodyPr rot="0" vert="horz" wrap="square" lIns="91440" tIns="45720" rIns="91440" bIns="45720" anchor="t" anchorCtr="0" upright="1">
                        <a:noAutofit/>
                      </wps:bodyPr>
                    </wps:wsp>
                  </a:graphicData>
                </a:graphic>
              </wp:inline>
            </w:drawing>
          </mc:Choice>
          <mc:Fallback>
            <w:pict>
              <v:rect w14:anchorId="7D9161C4" id="Rectangle 4" o:spid="_x0000_s1026" alt="Green" style="width:12.1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" fillcolor="#7dbe28" stroked="f">
                <w10:wrap anchorx="page"/>
                <w10:anchorlock/>
              </v:rect>
            </w:pict>
          </mc:Fallback>
        </mc:AlternateContent>
      </w:r>
      <w:r w:rsidR="00904E49">
        <w:rPr>
          <w:rFonts w:cs="Georgia"/>
        </w:rPr>
        <w:t xml:space="preserve">  </w:t>
      </w:r>
      <w:r w:rsidR="000134D1">
        <w:rPr>
          <w:rFonts w:cs="Georgia"/>
        </w:rPr>
        <w:t>The objective is on track to be fully achieved within the timeframe</w:t>
      </w:r>
      <w:r w:rsidR="00810C27">
        <w:rPr>
          <w:rFonts w:cs="Georgia"/>
        </w:rPr>
        <w:t>.</w:t>
      </w:r>
    </w:p>
    <w:p w:rsidR="000134D1" w:rsidRDefault="000134D1" w:rsidP="007F3C6B">
      <w:pPr>
        <w:pStyle w:val="Heading4"/>
      </w:pPr>
      <w:r>
        <w:t>Assessment of results and performance</w:t>
      </w:r>
    </w:p>
    <w:p w:rsidR="00261F3A" w:rsidRDefault="000134D1" w:rsidP="000134D1">
      <w:pPr>
        <w:pStyle w:val="BodyText"/>
      </w:pPr>
      <w:proofErr w:type="spellStart"/>
      <w:r>
        <w:t>AusAID’s</w:t>
      </w:r>
      <w:proofErr w:type="spellEnd"/>
      <w:r>
        <w:t xml:space="preserve"> goal in the education sector is to improve the functioning of the </w:t>
      </w:r>
      <w:smartTag w:uri="urn:schemas-microsoft-com:office:smarttags" w:element="place">
        <w:smartTag w:uri="urn:schemas-microsoft-com:office:smarttags" w:element="country-region">
          <w:r>
            <w:t>Vanuatu</w:t>
          </w:r>
        </w:smartTag>
      </w:smartTag>
      <w:r>
        <w:t xml:space="preserve"> education system so it can make more rapid and sustainable progress towards its own goals</w:t>
      </w:r>
      <w:r w:rsidR="00652754">
        <w:t>—</w:t>
      </w:r>
      <w:r>
        <w:t xml:space="preserve">including </w:t>
      </w:r>
      <w:r w:rsidR="00652754">
        <w:t xml:space="preserve">the </w:t>
      </w:r>
      <w:r>
        <w:t>MDG</w:t>
      </w:r>
      <w:r w:rsidR="00652754">
        <w:t>s</w:t>
      </w:r>
      <w:r>
        <w:t xml:space="preserve"> and Education for All goals, and especially </w:t>
      </w:r>
      <w:r w:rsidR="00BD4A8B">
        <w:t xml:space="preserve">the goal </w:t>
      </w:r>
      <w:r>
        <w:t>that by 2015 all children complete a full course of good</w:t>
      </w:r>
      <w:r w:rsidR="00652754">
        <w:t>-</w:t>
      </w:r>
      <w:r>
        <w:t xml:space="preserve">quality primary education. Data </w:t>
      </w:r>
      <w:r w:rsidR="00652754">
        <w:t xml:space="preserve">are </w:t>
      </w:r>
      <w:r>
        <w:t>improving with the institutionalisation of the Vanuatu Education Management Information System, although there are still some weaknesses (</w:t>
      </w:r>
      <w:r w:rsidR="00652754">
        <w:t>such as</w:t>
      </w:r>
      <w:r>
        <w:t xml:space="preserve"> tracking student achievement). </w:t>
      </w:r>
      <w:r w:rsidR="00BD4A8B">
        <w:t>D</w:t>
      </w:r>
      <w:r>
        <w:t xml:space="preserve">ata show a decline in primary net enrolment rate from 2007 to 2008. </w:t>
      </w:r>
      <w:r w:rsidR="00BD4A8B">
        <w:t xml:space="preserve">Notwithstanding the </w:t>
      </w:r>
      <w:r>
        <w:t>uncertainties in the data, it is clear that</w:t>
      </w:r>
      <w:r w:rsidR="00BD4A8B">
        <w:t>,</w:t>
      </w:r>
      <w:r>
        <w:t xml:space="preserve"> despite a third of total government recurrent spending </w:t>
      </w:r>
      <w:r w:rsidR="00BD4A8B">
        <w:t xml:space="preserve">going towards education </w:t>
      </w:r>
    </w:p>
    <w:p w:rsidR="00261F3A" w:rsidRDefault="00261F3A" w:rsidP="00261F3A">
      <w:pPr>
        <w:pStyle w:val="Subtitle"/>
        <w:rPr>
          <w:rFonts w:ascii="Georgia" w:hAnsi="Georgia"/>
          <w:sz w:val="19"/>
          <w:szCs w:val="19"/>
        </w:rPr>
      </w:pPr>
      <w:r>
        <w:br w:type="page"/>
      </w:r>
    </w:p>
    <w:p w:rsidR="000134D1" w:rsidRDefault="000134D1" w:rsidP="000134D1">
      <w:pPr>
        <w:pStyle w:val="BodyText"/>
      </w:pPr>
      <w:r>
        <w:lastRenderedPageBreak/>
        <w:t>(</w:t>
      </w:r>
      <w:proofErr w:type="gramStart"/>
      <w:r>
        <w:t>among</w:t>
      </w:r>
      <w:proofErr w:type="gramEnd"/>
      <w:r>
        <w:t xml:space="preserve"> the highest ratios in the world), Vanuatu’s education outcomes are poor. Data suggest that between one in three and one in four students who start primary school do not reach year</w:t>
      </w:r>
      <w:r w:rsidR="00190C5C">
        <w:t xml:space="preserve"> 6 </w:t>
      </w:r>
      <w:r>
        <w:t xml:space="preserve">(this is </w:t>
      </w:r>
      <w:r w:rsidR="00BD4A8B">
        <w:t xml:space="preserve">referred to as the </w:t>
      </w:r>
      <w:r>
        <w:t>‘survival rate’, the second MDG</w:t>
      </w:r>
      <w:r w:rsidR="00BD4A8B">
        <w:t xml:space="preserve"> </w:t>
      </w:r>
      <w:r>
        <w:t xml:space="preserve">2 indicator). One in </w:t>
      </w:r>
      <w:r w:rsidR="00475AD8">
        <w:t xml:space="preserve">10 </w:t>
      </w:r>
      <w:r>
        <w:t xml:space="preserve">children who start </w:t>
      </w:r>
      <w:r w:rsidR="00BD4A8B">
        <w:t xml:space="preserve">school </w:t>
      </w:r>
      <w:r>
        <w:t xml:space="preserve">do not progress to year </w:t>
      </w:r>
      <w:r w:rsidR="00190C5C">
        <w:t>2</w:t>
      </w:r>
      <w:r>
        <w:t xml:space="preserve">, and dropout rates beyond year </w:t>
      </w:r>
      <w:r w:rsidR="00190C5C">
        <w:t xml:space="preserve">6 </w:t>
      </w:r>
      <w:r>
        <w:t>are high. Indicators of gender equity have shown some improvement in recent years, but again more needs to be done to improve the quality of data collection and analysis within the Ministry of Education.</w:t>
      </w:r>
    </w:p>
    <w:p w:rsidR="000134D1" w:rsidRDefault="000134D1" w:rsidP="000134D1">
      <w:pPr>
        <w:pStyle w:val="BodyText"/>
      </w:pPr>
      <w:proofErr w:type="spellStart"/>
      <w:r>
        <w:t>AusAID</w:t>
      </w:r>
      <w:proofErr w:type="spellEnd"/>
      <w:r>
        <w:t xml:space="preserve"> assistance in education takes two forms: VESAP and </w:t>
      </w:r>
      <w:r w:rsidR="00BD4A8B">
        <w:t>p</w:t>
      </w:r>
      <w:r w:rsidR="00D72DD0">
        <w:t xml:space="preserve">hase 2 of </w:t>
      </w:r>
      <w:r>
        <w:t xml:space="preserve">the TVET </w:t>
      </w:r>
      <w:r w:rsidR="00D72DD0">
        <w:t>program</w:t>
      </w:r>
      <w:r>
        <w:t xml:space="preserve">. </w:t>
      </w:r>
    </w:p>
    <w:p w:rsidR="000134D1" w:rsidRDefault="000134D1" w:rsidP="000134D1">
      <w:pPr>
        <w:pStyle w:val="BodyText"/>
      </w:pPr>
      <w:r>
        <w:t xml:space="preserve">VESAP ($4 million from </w:t>
      </w:r>
      <w:proofErr w:type="spellStart"/>
      <w:r>
        <w:t>AusAID</w:t>
      </w:r>
      <w:proofErr w:type="spellEnd"/>
      <w:r>
        <w:t xml:space="preserve"> over two years to mid-2010) is a tripartite funding agreement between </w:t>
      </w:r>
      <w:smartTag w:uri="urn:schemas-microsoft-com:office:smarttags" w:element="place">
        <w:smartTag w:uri="urn:schemas-microsoft-com:office:smarttags" w:element="country-region">
          <w:r>
            <w:t>Vanuatu</w:t>
          </w:r>
        </w:smartTag>
      </w:smartTag>
      <w:r>
        <w:t xml:space="preserve">, </w:t>
      </w:r>
      <w:proofErr w:type="spellStart"/>
      <w:r>
        <w:t>AusAID</w:t>
      </w:r>
      <w:proofErr w:type="spellEnd"/>
      <w:r>
        <w:t xml:space="preserve"> and NZAID</w:t>
      </w:r>
      <w:r w:rsidR="00BD4A8B">
        <w:t>. It</w:t>
      </w:r>
      <w:r>
        <w:t xml:space="preserve"> focuses on four areas: improving access, improving quality, improving </w:t>
      </w:r>
      <w:r w:rsidR="00BD4A8B">
        <w:t xml:space="preserve">Ministry of Education </w:t>
      </w:r>
      <w:r>
        <w:t>capacity</w:t>
      </w:r>
      <w:r w:rsidR="00BD4A8B">
        <w:t>,</w:t>
      </w:r>
      <w:r>
        <w:t xml:space="preserve"> and </w:t>
      </w:r>
      <w:r w:rsidR="00BD4A8B">
        <w:t xml:space="preserve">instituting </w:t>
      </w:r>
      <w:r>
        <w:t xml:space="preserve">a national </w:t>
      </w:r>
      <w:r w:rsidR="00BD4A8B">
        <w:t>h</w:t>
      </w:r>
      <w:r>
        <w:t xml:space="preserve">uman </w:t>
      </w:r>
      <w:r w:rsidR="00BD4A8B">
        <w:t>r</w:t>
      </w:r>
      <w:r>
        <w:t xml:space="preserve">esources </w:t>
      </w:r>
      <w:r w:rsidR="00BD4A8B">
        <w:t>d</w:t>
      </w:r>
      <w:r>
        <w:t xml:space="preserve">evelopment plan. </w:t>
      </w:r>
      <w:r w:rsidR="00BD4A8B">
        <w:t xml:space="preserve">VESAP </w:t>
      </w:r>
      <w:r>
        <w:t>is the platform for a genuine shift to a more Vanuatu-led process, and development of a more comprehensive program-based approach in the sector. This is a major achievement in prov</w:t>
      </w:r>
      <w:r w:rsidR="00A00CE0">
        <w:t>id</w:t>
      </w:r>
      <w:r>
        <w:t>ing more coordinated donor assista</w:t>
      </w:r>
      <w:r w:rsidR="00810C27">
        <w:t>nce for basic service delivery.</w:t>
      </w:r>
    </w:p>
    <w:p w:rsidR="000134D1" w:rsidRDefault="000134D1" w:rsidP="000134D1">
      <w:pPr>
        <w:pStyle w:val="BodyText"/>
      </w:pPr>
      <w:r>
        <w:t xml:space="preserve">Despite some challenges, </w:t>
      </w:r>
      <w:r w:rsidR="00BD4A8B">
        <w:t xml:space="preserve">VESAP has delivered </w:t>
      </w:r>
      <w:r>
        <w:t xml:space="preserve">important results, reported through Ministry of Education data and VESAP joint management mechanisms: </w:t>
      </w:r>
    </w:p>
    <w:p w:rsidR="000134D1" w:rsidRDefault="000134D1" w:rsidP="00810C27">
      <w:pPr>
        <w:pStyle w:val="ListBullet"/>
      </w:pPr>
      <w:r>
        <w:t xml:space="preserve">VESAP is supporting work to improve the quality of education through curriculum reform, including capacity building of curriculum writers. </w:t>
      </w:r>
      <w:r w:rsidR="00BD4A8B">
        <w:t xml:space="preserve">The Ministry of Education </w:t>
      </w:r>
      <w:r>
        <w:t xml:space="preserve">has appointed 36 teachers as writers and the new materials they are developing are already being tested in schools. </w:t>
      </w:r>
    </w:p>
    <w:p w:rsidR="000134D1" w:rsidRDefault="000134D1" w:rsidP="00810C27">
      <w:pPr>
        <w:pStyle w:val="ListBullet"/>
      </w:pPr>
      <w:r>
        <w:t>There has also been progress with improving teacher training. Trainers are ensuring consistency between the French and English language courses at the Vanuatu Institute of Teachers' Education</w:t>
      </w:r>
      <w:r w:rsidR="00190C5C">
        <w:t xml:space="preserve">, including </w:t>
      </w:r>
      <w:r>
        <w:t>harmonising entry criteria, structure, content and assessment, with the support of an international specialist in teacher education.</w:t>
      </w:r>
    </w:p>
    <w:p w:rsidR="000134D1" w:rsidRDefault="00567BF6" w:rsidP="00810C27">
      <w:pPr>
        <w:pStyle w:val="ListBullet"/>
      </w:pPr>
      <w:r>
        <w:t xml:space="preserve">Beginning in early 2009, </w:t>
      </w:r>
      <w:r w:rsidR="000134D1">
        <w:t>VESAP is financing large-scale procurement and distribution of books and stationery.</w:t>
      </w:r>
      <w:r w:rsidR="00C20D65">
        <w:t xml:space="preserve"> </w:t>
      </w:r>
      <w:r w:rsidR="000134D1">
        <w:t xml:space="preserve">This will result in 100 books per class for years 3 to 6 for 139 </w:t>
      </w:r>
      <w:proofErr w:type="spellStart"/>
      <w:r w:rsidR="000134D1">
        <w:t>anglophone</w:t>
      </w:r>
      <w:proofErr w:type="spellEnd"/>
      <w:r w:rsidR="000134D1">
        <w:t xml:space="preserve"> schools and 150 francophone schools. This ‘book flood’ is combined with training for the teachers in using these texts to promote literacy. Sufficient stationery for all primary </w:t>
      </w:r>
      <w:r w:rsidR="00190C5C">
        <w:t xml:space="preserve">school </w:t>
      </w:r>
      <w:r w:rsidR="000134D1">
        <w:t>students</w:t>
      </w:r>
      <w:r w:rsidR="00190C5C">
        <w:t>’</w:t>
      </w:r>
      <w:r w:rsidR="000134D1">
        <w:t xml:space="preserve"> learning needs has also been distributed to the 435 primary schools of the archipelago.</w:t>
      </w:r>
    </w:p>
    <w:p w:rsidR="000134D1" w:rsidRDefault="00190C5C" w:rsidP="00810C27">
      <w:pPr>
        <w:pStyle w:val="ListBullet"/>
      </w:pPr>
      <w:r>
        <w:t>O</w:t>
      </w:r>
      <w:r w:rsidR="000134D1">
        <w:t>ver the next year</w:t>
      </w:r>
      <w:r>
        <w:t>,</w:t>
      </w:r>
      <w:r w:rsidR="000134D1">
        <w:t xml:space="preserve"> 25 major existing primary schools </w:t>
      </w:r>
      <w:r>
        <w:t xml:space="preserve">will be upgraded or refurbished, </w:t>
      </w:r>
      <w:r w:rsidR="000134D1">
        <w:t>resulting in improved learning environments for students</w:t>
      </w:r>
      <w:r>
        <w:t xml:space="preserve"> and improved access to primary education</w:t>
      </w:r>
      <w:r w:rsidR="000134D1">
        <w:t xml:space="preserve">. </w:t>
      </w:r>
      <w:r>
        <w:t xml:space="preserve">The Ministry of Education has completed </w:t>
      </w:r>
      <w:r w:rsidR="000134D1">
        <w:t xml:space="preserve">planning and site surveys, </w:t>
      </w:r>
      <w:r>
        <w:t xml:space="preserve">and </w:t>
      </w:r>
      <w:r w:rsidR="000134D1">
        <w:t xml:space="preserve">a phased program of renovations and construction </w:t>
      </w:r>
      <w:r>
        <w:t xml:space="preserve">is </w:t>
      </w:r>
      <w:r w:rsidR="000134D1">
        <w:t>now under</w:t>
      </w:r>
      <w:r>
        <w:t xml:space="preserve"> </w:t>
      </w:r>
      <w:r w:rsidR="000134D1">
        <w:t xml:space="preserve">way. </w:t>
      </w:r>
    </w:p>
    <w:p w:rsidR="00261F3A" w:rsidRDefault="000134D1" w:rsidP="00261F3A">
      <w:pPr>
        <w:pStyle w:val="BodyText"/>
      </w:pPr>
      <w:r>
        <w:t xml:space="preserve">Initial progress on implementation of VESAP has been slower than expected. Implementation capacity in the Ministry of Education is limited, and it is a major shift for </w:t>
      </w:r>
      <w:r w:rsidR="00190C5C">
        <w:t>m</w:t>
      </w:r>
      <w:r>
        <w:t xml:space="preserve">inistry staff to be involved in managing donor resources rather than </w:t>
      </w:r>
      <w:r w:rsidR="00190C5C">
        <w:t xml:space="preserve">working </w:t>
      </w:r>
      <w:r>
        <w:t xml:space="preserve">with stand-alone projects. Despite these initial challenges, this use of government systems has already contributed to closer and more influential policy dialogue between donor partners and the </w:t>
      </w:r>
      <w:r w:rsidR="00190C5C">
        <w:t>g</w:t>
      </w:r>
      <w:r>
        <w:t xml:space="preserve">overnment. </w:t>
      </w:r>
      <w:proofErr w:type="spellStart"/>
      <w:r>
        <w:t>AusAID</w:t>
      </w:r>
      <w:proofErr w:type="spellEnd"/>
      <w:r>
        <w:t xml:space="preserve"> and NZAID are working with </w:t>
      </w:r>
      <w:r w:rsidR="00BD4A8B">
        <w:t xml:space="preserve">staff from the </w:t>
      </w:r>
      <w:r>
        <w:t xml:space="preserve">Ministry of Education and </w:t>
      </w:r>
      <w:r w:rsidR="00BD4A8B">
        <w:t xml:space="preserve">the </w:t>
      </w:r>
      <w:r>
        <w:t xml:space="preserve">Ministry of Finance and Economic Management to develop proposals </w:t>
      </w:r>
      <w:r w:rsidR="00190C5C">
        <w:t xml:space="preserve">for </w:t>
      </w:r>
      <w:smartTag w:uri="urn:schemas-microsoft-com:office:smarttags" w:element="place">
        <w:smartTag w:uri="urn:schemas-microsoft-com:office:smarttags" w:element="country-region">
          <w:r w:rsidR="00190C5C">
            <w:t>Vanuatu</w:t>
          </w:r>
        </w:smartTag>
      </w:smartTag>
      <w:r w:rsidR="00190C5C">
        <w:t xml:space="preserve">’s 2010 budget </w:t>
      </w:r>
      <w:r>
        <w:t>to improve access to and quality of basic education</w:t>
      </w:r>
      <w:r w:rsidR="00190C5C">
        <w:t>. This work is</w:t>
      </w:r>
      <w:r>
        <w:t xml:space="preserve"> a key component of the Australia</w:t>
      </w:r>
      <w:r w:rsidR="005359B3">
        <w:t>–</w:t>
      </w:r>
      <w:r w:rsidR="00864C36">
        <w:t>Vanuatu</w:t>
      </w:r>
      <w:r>
        <w:t xml:space="preserve"> Partnership for Development. The reforms will look to </w:t>
      </w:r>
      <w:r w:rsidR="00190C5C">
        <w:t xml:space="preserve">make </w:t>
      </w:r>
      <w:r>
        <w:t xml:space="preserve">better </w:t>
      </w:r>
      <w:r w:rsidR="00190C5C">
        <w:t xml:space="preserve">use of </w:t>
      </w:r>
      <w:r>
        <w:t>donor and government resources to accelerate progress towards universal primary education. Donor</w:t>
      </w:r>
    </w:p>
    <w:p w:rsidR="00261F3A" w:rsidRDefault="00261F3A" w:rsidP="00261F3A">
      <w:pPr>
        <w:pStyle w:val="Subtitle"/>
        <w:rPr>
          <w:rFonts w:ascii="Georgia" w:hAnsi="Georgia"/>
          <w:sz w:val="19"/>
          <w:szCs w:val="19"/>
        </w:rPr>
      </w:pPr>
      <w:r>
        <w:br w:type="page"/>
      </w:r>
    </w:p>
    <w:p w:rsidR="000134D1" w:rsidRDefault="000134D1" w:rsidP="00261F3A">
      <w:pPr>
        <w:pStyle w:val="BodyText"/>
      </w:pPr>
      <w:proofErr w:type="gramStart"/>
      <w:r>
        <w:lastRenderedPageBreak/>
        <w:t>support</w:t>
      </w:r>
      <w:proofErr w:type="gramEnd"/>
      <w:r>
        <w:t xml:space="preserve"> for increased school grants could potentially ease the impact of the global recession on families’ ability to pay school fees.</w:t>
      </w:r>
    </w:p>
    <w:p w:rsidR="000134D1" w:rsidRDefault="000134D1" w:rsidP="000134D1">
      <w:pPr>
        <w:pStyle w:val="BodyText"/>
      </w:pPr>
      <w:r>
        <w:t>Public interest in this issue highlights the demand for tangible improvements. While education reform is a long-term endeavour</w:t>
      </w:r>
      <w:r w:rsidR="00190C5C">
        <w:t>,</w:t>
      </w:r>
      <w:r>
        <w:t xml:space="preserve"> </w:t>
      </w:r>
      <w:proofErr w:type="spellStart"/>
      <w:r>
        <w:t>AusAID</w:t>
      </w:r>
      <w:proofErr w:type="spellEnd"/>
      <w:r>
        <w:t xml:space="preserve"> will continue to support early visible change as well</w:t>
      </w:r>
      <w:r w:rsidR="00190C5C">
        <w:t>—</w:t>
      </w:r>
      <w:r>
        <w:t xml:space="preserve">such as the primary school refurbishments commencing </w:t>
      </w:r>
      <w:r w:rsidR="00567BF6">
        <w:t>in 2009</w:t>
      </w:r>
      <w:r>
        <w:t>.</w:t>
      </w:r>
    </w:p>
    <w:p w:rsidR="000134D1" w:rsidRDefault="000134D1" w:rsidP="000134D1">
      <w:pPr>
        <w:pStyle w:val="BodyText"/>
      </w:pPr>
      <w:r w:rsidRPr="00475AD8">
        <w:t>Important</w:t>
      </w:r>
      <w:r>
        <w:t xml:space="preserve"> elements of an effective </w:t>
      </w:r>
      <w:r w:rsidR="00190C5C">
        <w:t xml:space="preserve">TVET </w:t>
      </w:r>
      <w:r>
        <w:t xml:space="preserve">system are being put in place in </w:t>
      </w:r>
      <w:smartTag w:uri="urn:schemas-microsoft-com:office:smarttags" w:element="place">
        <w:smartTag w:uri="urn:schemas-microsoft-com:office:smarttags" w:element="country-region">
          <w:r>
            <w:t>Vanuatu</w:t>
          </w:r>
        </w:smartTag>
      </w:smartTag>
      <w:r>
        <w:t xml:space="preserve">. In 2008, </w:t>
      </w:r>
      <w:proofErr w:type="spellStart"/>
      <w:r>
        <w:t>AusAID</w:t>
      </w:r>
      <w:proofErr w:type="spellEnd"/>
      <w:r>
        <w:t xml:space="preserve"> commenced phase </w:t>
      </w:r>
      <w:r w:rsidR="0066555C">
        <w:t xml:space="preserve">2 </w:t>
      </w:r>
      <w:r>
        <w:t xml:space="preserve">of the TVET program (following two years of support in phase </w:t>
      </w:r>
      <w:r w:rsidR="0066555C">
        <w:t>1</w:t>
      </w:r>
      <w:r>
        <w:t>), marking a</w:t>
      </w:r>
      <w:r w:rsidR="00567BF6">
        <w:t xml:space="preserve"> significant</w:t>
      </w:r>
      <w:r>
        <w:t xml:space="preserve"> shift in emphasis. </w:t>
      </w:r>
      <w:r w:rsidR="0066555C">
        <w:t xml:space="preserve">Phase 2 </w:t>
      </w:r>
      <w:r>
        <w:t xml:space="preserve">focuses on employment-oriented TVET services in the provinces, based on the assumption that this is a crucial factor in increasing employment outcomes for men and women, </w:t>
      </w:r>
      <w:r w:rsidR="0066555C">
        <w:t xml:space="preserve">and </w:t>
      </w:r>
      <w:r>
        <w:t>ultimately</w:t>
      </w:r>
      <w:r w:rsidR="0066555C">
        <w:t xml:space="preserve"> in</w:t>
      </w:r>
      <w:r>
        <w:t xml:space="preserve"> improving standards of living in the provinces. </w:t>
      </w:r>
    </w:p>
    <w:p w:rsidR="000134D1" w:rsidRDefault="000134D1" w:rsidP="000134D1">
      <w:pPr>
        <w:pStyle w:val="BodyText"/>
      </w:pPr>
      <w:r>
        <w:t xml:space="preserve">A centrepiece of the program is the establishment of TVET Service Centres. These will be </w:t>
      </w:r>
      <w:r w:rsidR="0066555C">
        <w:t xml:space="preserve">rolled out </w:t>
      </w:r>
      <w:r>
        <w:t xml:space="preserve">in </w:t>
      </w:r>
      <w:r w:rsidR="0066555C">
        <w:t xml:space="preserve">two </w:t>
      </w:r>
      <w:r>
        <w:t xml:space="preserve">pilot provinces </w:t>
      </w:r>
      <w:r w:rsidR="0066555C">
        <w:t>(</w:t>
      </w:r>
      <w:proofErr w:type="spellStart"/>
      <w:r>
        <w:t>Malampa</w:t>
      </w:r>
      <w:proofErr w:type="spellEnd"/>
      <w:r>
        <w:t xml:space="preserve"> and </w:t>
      </w:r>
      <w:proofErr w:type="spellStart"/>
      <w:r>
        <w:t>Sanma</w:t>
      </w:r>
      <w:proofErr w:type="spellEnd"/>
      <w:r w:rsidR="0066555C">
        <w:t>)</w:t>
      </w:r>
      <w:r>
        <w:t xml:space="preserve"> during 2009, providing business services as well as education and training. A significant achievement </w:t>
      </w:r>
      <w:r w:rsidR="0066555C">
        <w:t xml:space="preserve">during </w:t>
      </w:r>
      <w:r>
        <w:t xml:space="preserve">2008 was the selection </w:t>
      </w:r>
      <w:r w:rsidR="0066555C">
        <w:t xml:space="preserve">of </w:t>
      </w:r>
      <w:r>
        <w:t xml:space="preserve">the pilot provinces: a cross-sectoral panel of senior </w:t>
      </w:r>
      <w:proofErr w:type="spellStart"/>
      <w:r>
        <w:t>ni</w:t>
      </w:r>
      <w:proofErr w:type="spellEnd"/>
      <w:r>
        <w:t xml:space="preserve">-Vanuatu representatives ran a competitive process, assessing formal proposals from provinces to establish TVET </w:t>
      </w:r>
      <w:r w:rsidR="009D69A7">
        <w:t>Service</w:t>
      </w:r>
      <w:r w:rsidR="0066555C">
        <w:t xml:space="preserve"> </w:t>
      </w:r>
      <w:r>
        <w:t>Centres. All six provinces submitted quality applications. The process, and the level of provincial interest, demonstrates a high degree of ownership and commitment</w:t>
      </w:r>
      <w:r w:rsidR="0066555C">
        <w:t>—</w:t>
      </w:r>
      <w:r>
        <w:t xml:space="preserve">an important marker of </w:t>
      </w:r>
      <w:proofErr w:type="spellStart"/>
      <w:r>
        <w:t>AusAID’s</w:t>
      </w:r>
      <w:proofErr w:type="spellEnd"/>
      <w:r>
        <w:t xml:space="preserve"> shift towards more widely applying Accra </w:t>
      </w:r>
      <w:r w:rsidR="0066555C">
        <w:t xml:space="preserve">Action Agenda </w:t>
      </w:r>
      <w:r>
        <w:t xml:space="preserve">principles and the Port Moresby Declaration. </w:t>
      </w:r>
    </w:p>
    <w:p w:rsidR="000134D1" w:rsidRDefault="000134D1" w:rsidP="000134D1">
      <w:pPr>
        <w:pStyle w:val="BodyText"/>
      </w:pPr>
      <w:r>
        <w:t xml:space="preserve">Complementing the TVET program is the Port Vila campus of the </w:t>
      </w:r>
      <w:smartTag w:uri="urn:schemas-microsoft-com:office:smarttags" w:element="place">
        <w:smartTag w:uri="urn:schemas-microsoft-com:office:smarttags" w:element="PlaceName">
          <w:r>
            <w:t>Australia-Pacific</w:t>
          </w:r>
        </w:smartTag>
        <w:r>
          <w:t xml:space="preserve"> </w:t>
        </w:r>
        <w:smartTag w:uri="urn:schemas-microsoft-com:office:smarttags" w:element="PlaceName">
          <w:r>
            <w:t>Technical</w:t>
          </w:r>
        </w:smartTag>
        <w:r>
          <w:t xml:space="preserve"> </w:t>
        </w:r>
        <w:smartTag w:uri="urn:schemas-microsoft-com:office:smarttags" w:element="PlaceType">
          <w:r>
            <w:t>College</w:t>
          </w:r>
        </w:smartTag>
      </w:smartTag>
      <w:r>
        <w:t xml:space="preserve">. A major regional initiative, the hospitality and tourism campus is hosted at the Vanuatu Institute of Technology through a cooperative arrangement </w:t>
      </w:r>
      <w:r w:rsidR="0066555C">
        <w:t xml:space="preserve">between the institute </w:t>
      </w:r>
      <w:r>
        <w:t xml:space="preserve">and its European Union key donor partner. </w:t>
      </w:r>
      <w:smartTag w:uri="urn:schemas-microsoft-com:office:smarttags" w:element="place">
        <w:smartTag w:uri="urn:schemas-microsoft-com:office:smarttags" w:element="country-region">
          <w:r>
            <w:t>Vanuatu</w:t>
          </w:r>
        </w:smartTag>
      </w:smartTag>
      <w:r>
        <w:t xml:space="preserve"> has more than 150 students enrolled at </w:t>
      </w:r>
      <w:r w:rsidR="0066555C">
        <w:t>the college</w:t>
      </w:r>
      <w:r>
        <w:t xml:space="preserve">, </w:t>
      </w:r>
      <w:r w:rsidR="0066555C">
        <w:t xml:space="preserve">with </w:t>
      </w:r>
      <w:r>
        <w:t>most in hospitality and 56 studying trades in other campuses.</w:t>
      </w:r>
      <w:r w:rsidR="00C20D65">
        <w:t xml:space="preserve"> </w:t>
      </w:r>
      <w:r>
        <w:t>Twenty</w:t>
      </w:r>
      <w:r w:rsidR="0066555C">
        <w:t>-</w:t>
      </w:r>
      <w:r>
        <w:t>three students (all female) have enrolled in the new Children’s Services program. This is an important complement to the work being undertaken through VESAP</w:t>
      </w:r>
      <w:r w:rsidR="0066555C">
        <w:t>,</w:t>
      </w:r>
      <w:r>
        <w:t xml:space="preserve"> as it supports a key policy priority of </w:t>
      </w:r>
      <w:r w:rsidR="0066555C">
        <w:t xml:space="preserve">the </w:t>
      </w:r>
      <w:r>
        <w:t>Government of Vanuatu to improve the quality of pre-school education.</w:t>
      </w:r>
    </w:p>
    <w:p w:rsidR="000134D1" w:rsidRDefault="000134D1" w:rsidP="000134D1">
      <w:pPr>
        <w:pStyle w:val="BodyText"/>
      </w:pPr>
      <w:r>
        <w:t xml:space="preserve">Progress towards this objective continues to be rated </w:t>
      </w:r>
      <w:r w:rsidR="0066555C">
        <w:t>g</w:t>
      </w:r>
      <w:r>
        <w:t>reen, reflecting ongoing positive advances.</w:t>
      </w:r>
      <w:r w:rsidR="00C20D65">
        <w:t xml:space="preserve"> </w:t>
      </w:r>
    </w:p>
    <w:p w:rsidR="000134D1" w:rsidRDefault="000134D1" w:rsidP="007F3C6B">
      <w:pPr>
        <w:pStyle w:val="Heading4"/>
      </w:pPr>
      <w:r>
        <w:t>Estimated expenditure</w:t>
      </w:r>
    </w:p>
    <w:p w:rsidR="000134D1" w:rsidRDefault="000134D1" w:rsidP="000134D1">
      <w:pPr>
        <w:pStyle w:val="BodyText"/>
      </w:pPr>
      <w:r>
        <w:t xml:space="preserve">Approximately 13.0 per cent ($5.3 million) </w:t>
      </w:r>
      <w:r w:rsidR="0066555C">
        <w:t xml:space="preserve">of the </w:t>
      </w:r>
      <w:smartTag w:uri="urn:schemas-microsoft-com:office:smarttags" w:element="place">
        <w:smartTag w:uri="urn:schemas-microsoft-com:office:smarttags" w:element="country-region">
          <w:r w:rsidR="0066555C">
            <w:t>Vanuatu</w:t>
          </w:r>
        </w:smartTag>
      </w:smartTag>
      <w:r w:rsidR="0066555C">
        <w:t xml:space="preserve"> aid program budget </w:t>
      </w:r>
      <w:r>
        <w:t xml:space="preserve">was spent on this objective in </w:t>
      </w:r>
      <w:r w:rsidR="00822F48">
        <w:t>2008</w:t>
      </w:r>
      <w:r>
        <w:t>.</w:t>
      </w:r>
    </w:p>
    <w:p w:rsidR="000134D1" w:rsidRDefault="000134D1" w:rsidP="007F3C6B">
      <w:pPr>
        <w:pStyle w:val="Heading3"/>
      </w:pPr>
      <w:r>
        <w:t xml:space="preserve">Objective 4(b): Improved </w:t>
      </w:r>
      <w:r w:rsidR="0066555C">
        <w:t>health</w:t>
      </w:r>
      <w:r w:rsidR="00C20D65">
        <w:t xml:space="preserve"> </w:t>
      </w:r>
    </w:p>
    <w:p w:rsidR="000134D1" w:rsidRDefault="00C20D65" w:rsidP="007F3C6B">
      <w:pPr>
        <w:pStyle w:val="Heading4"/>
      </w:pPr>
      <w:r>
        <w:t>Rating</w:t>
      </w:r>
    </w:p>
    <w:p w:rsidR="000134D1" w:rsidRDefault="000C5224" w:rsidP="00904E49">
      <w:pPr>
        <w:pStyle w:val="Ratingamber"/>
        <w:numPr>
          <w:ilvl w:val="0"/>
          <w:numId w:val="0"/>
        </w:numPr>
      </w:pPr>
      <w:r>
        <w:rPr>
          <w:noProof/>
          <w:lang w:val="en-US" w:eastAsia="en-US"/>
        </w:rPr>
        <mc:AlternateContent>
          <mc:Choice Requires="wps">
            <w:drawing>
              <wp:inline distT="0" distB="0" distL="0" distR="0" wp14:anchorId="5B6DB3E4" wp14:editId="1A9B2871">
                <wp:extent cx="153670" cy="153670"/>
                <wp:effectExtent l="0" t="0" r="0" b="0"/>
                <wp:docPr id="5" name="Rectangle 15" descr="Ambe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670" cy="153670"/>
                        </a:xfrm>
                        <a:prstGeom prst="rect">
                          <a:avLst/>
                        </a:prstGeom>
                        <a:solidFill>
                          <a:srgbClr val="F57E1B"/>
                        </a:solidFill>
                        <a:ln>
                          <a:noFill/>
                        </a:ln>
                        <a:extLst/>
                      </wps:spPr>
                      <wps:bodyPr rot="0" vert="horz" wrap="square" lIns="91440" tIns="45720" rIns="91440" bIns="45720" anchor="t" anchorCtr="0" upright="1">
                        <a:noAutofit/>
                      </wps:bodyPr>
                    </wps:wsp>
                  </a:graphicData>
                </a:graphic>
              </wp:inline>
            </w:drawing>
          </mc:Choice>
          <mc:Fallback>
            <w:pict>
              <v:rect w14:anchorId="73AEAE9B" id="Rectangle 15" o:spid="_x0000_s1026" alt="Amber" style="width:12.1pt;height:1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" fillcolor="#f57e1b" stroked="f">
                <w10:wrap anchorx="page"/>
                <w10:anchorlock/>
              </v:rect>
            </w:pict>
          </mc:Fallback>
        </mc:AlternateContent>
      </w:r>
      <w:r w:rsidR="00904E49">
        <w:rPr>
          <w:rFonts w:cs="Georgia"/>
        </w:rPr>
        <w:t xml:space="preserve">  </w:t>
      </w:r>
      <w:r w:rsidR="000134D1">
        <w:rPr>
          <w:rFonts w:cs="Georgia"/>
        </w:rPr>
        <w:t>The objective will be partly achieved within the timeframe</w:t>
      </w:r>
      <w:r w:rsidR="00810C27">
        <w:rPr>
          <w:rFonts w:cs="Georgia"/>
        </w:rPr>
        <w:t>.</w:t>
      </w:r>
    </w:p>
    <w:p w:rsidR="000134D1" w:rsidRDefault="000134D1" w:rsidP="007F3C6B">
      <w:pPr>
        <w:pStyle w:val="Heading4"/>
      </w:pPr>
      <w:r>
        <w:t>Assessment of results and performance</w:t>
      </w:r>
    </w:p>
    <w:p w:rsidR="00261F3A" w:rsidRDefault="000134D1" w:rsidP="000134D1">
      <w:pPr>
        <w:pStyle w:val="BodyText"/>
      </w:pPr>
      <w:proofErr w:type="spellStart"/>
      <w:r>
        <w:t>AusAID’s</w:t>
      </w:r>
      <w:proofErr w:type="spellEnd"/>
      <w:r>
        <w:t xml:space="preserve"> assistance to the health sector in </w:t>
      </w:r>
      <w:r w:rsidR="00822F48">
        <w:t>2008</w:t>
      </w:r>
      <w:r>
        <w:t xml:space="preserve"> comprised seven separate initiatives </w:t>
      </w:r>
      <w:r w:rsidR="0066555C">
        <w:t>totalling</w:t>
      </w:r>
      <w:r>
        <w:t xml:space="preserve"> $4.0 million</w:t>
      </w:r>
      <w:r w:rsidR="0066555C">
        <w:t>—</w:t>
      </w:r>
      <w:r>
        <w:t>equivalent to around 24 per cent of the Government</w:t>
      </w:r>
      <w:r w:rsidR="0066555C">
        <w:t xml:space="preserve"> of Vanuatu</w:t>
      </w:r>
      <w:r>
        <w:t xml:space="preserve">’s health budget </w:t>
      </w:r>
    </w:p>
    <w:p w:rsidR="00261F3A" w:rsidRDefault="00261F3A" w:rsidP="00261F3A">
      <w:pPr>
        <w:pStyle w:val="Subtitle"/>
        <w:rPr>
          <w:rFonts w:ascii="Georgia" w:hAnsi="Georgia"/>
          <w:sz w:val="19"/>
          <w:szCs w:val="19"/>
        </w:rPr>
      </w:pPr>
      <w:r>
        <w:br w:type="page"/>
      </w:r>
    </w:p>
    <w:p w:rsidR="000134D1" w:rsidRDefault="000134D1" w:rsidP="000134D1">
      <w:pPr>
        <w:pStyle w:val="BodyText"/>
      </w:pPr>
      <w:proofErr w:type="gramStart"/>
      <w:r>
        <w:lastRenderedPageBreak/>
        <w:t>and</w:t>
      </w:r>
      <w:proofErr w:type="gramEnd"/>
      <w:r>
        <w:t xml:space="preserve"> 14 per cent of total </w:t>
      </w:r>
      <w:r w:rsidR="0066555C">
        <w:t>g</w:t>
      </w:r>
      <w:r>
        <w:t xml:space="preserve">overnment and donor spending on health. Over the last year, </w:t>
      </w:r>
      <w:proofErr w:type="spellStart"/>
      <w:r>
        <w:t>AusAID</w:t>
      </w:r>
      <w:proofErr w:type="spellEnd"/>
      <w:r>
        <w:t xml:space="preserve"> assistance has led to a number of important achievements: </w:t>
      </w:r>
    </w:p>
    <w:p w:rsidR="000134D1" w:rsidRDefault="000134D1" w:rsidP="00810C27">
      <w:pPr>
        <w:pStyle w:val="ListBullet"/>
      </w:pPr>
      <w:r>
        <w:t xml:space="preserve">The Chair of the Malaria Reference Group reported in a February 2009 monitoring visit that excellent progress has been made in Vanuatu in reducing malaria incidence and preparing for the major scale-up in control and elimination interventions. Specific achievements include: </w:t>
      </w:r>
    </w:p>
    <w:p w:rsidR="000134D1" w:rsidRDefault="000134D1" w:rsidP="00810C27">
      <w:pPr>
        <w:pStyle w:val="ListBullet2"/>
      </w:pPr>
      <w:smartTag w:uri="urn:schemas-microsoft-com:office:smarttags" w:element="place">
        <w:smartTag w:uri="urn:schemas-microsoft-com:office:smarttags" w:element="country-region">
          <w:r>
            <w:t>Vanuatu</w:t>
          </w:r>
        </w:smartTag>
      </w:smartTag>
      <w:r>
        <w:t xml:space="preserve">’s </w:t>
      </w:r>
      <w:r w:rsidR="0066555C">
        <w:t>a</w:t>
      </w:r>
      <w:r>
        <w:t xml:space="preserve">nnual </w:t>
      </w:r>
      <w:r w:rsidR="0066555C">
        <w:t>p</w:t>
      </w:r>
      <w:r>
        <w:t>arasite incidence has fallen by 38 per cent</w:t>
      </w:r>
      <w:r w:rsidR="00C20D65">
        <w:t xml:space="preserve"> </w:t>
      </w:r>
      <w:r>
        <w:t xml:space="preserve">since 2007, with the estimated result that some 2000 </w:t>
      </w:r>
      <w:r w:rsidR="0066555C">
        <w:t xml:space="preserve">fewer </w:t>
      </w:r>
      <w:proofErr w:type="spellStart"/>
      <w:r>
        <w:t>ni</w:t>
      </w:r>
      <w:proofErr w:type="spellEnd"/>
      <w:r>
        <w:t xml:space="preserve">-Vanuatu suffered from malaria in 2008. </w:t>
      </w:r>
    </w:p>
    <w:p w:rsidR="000134D1" w:rsidRDefault="000134D1" w:rsidP="00810C27">
      <w:pPr>
        <w:pStyle w:val="ListBullet2"/>
      </w:pPr>
      <w:r>
        <w:t xml:space="preserve">There is now a platform for eliminating malaria from </w:t>
      </w:r>
      <w:proofErr w:type="spellStart"/>
      <w:smartTag w:uri="urn:schemas-microsoft-com:office:smarttags" w:element="PlaceName">
        <w:r>
          <w:t>Tafea</w:t>
        </w:r>
      </w:smartTag>
      <w:proofErr w:type="spellEnd"/>
      <w:r>
        <w:t xml:space="preserve"> </w:t>
      </w:r>
      <w:smartTag w:uri="urn:schemas-microsoft-com:office:smarttags" w:element="PlaceType">
        <w:r>
          <w:t>Province</w:t>
        </w:r>
      </w:smartTag>
      <w:r>
        <w:t xml:space="preserve"> (in southern </w:t>
      </w:r>
      <w:smartTag w:uri="urn:schemas-microsoft-com:office:smarttags" w:element="place">
        <w:smartTag w:uri="urn:schemas-microsoft-com:office:smarttags" w:element="country-region">
          <w:r>
            <w:t>Vanuatu</w:t>
          </w:r>
        </w:smartTag>
      </w:smartTag>
      <w:r>
        <w:t>). A major baseline survey</w:t>
      </w:r>
      <w:r w:rsidR="00392BFC">
        <w:t>,</w:t>
      </w:r>
      <w:r>
        <w:t xml:space="preserve"> conducted among 5300 schoolchildren, </w:t>
      </w:r>
      <w:r w:rsidR="00392BFC">
        <w:t xml:space="preserve">found </w:t>
      </w:r>
      <w:r>
        <w:t xml:space="preserve">a prevalence of around 3 per cent and </w:t>
      </w:r>
      <w:r w:rsidR="00392BFC">
        <w:t xml:space="preserve">identified </w:t>
      </w:r>
      <w:r>
        <w:t xml:space="preserve">likely transmission hot-spots. Key assets to support the elimination effort are in place and procurement of consumables </w:t>
      </w:r>
      <w:r w:rsidR="0066555C">
        <w:t xml:space="preserve">is </w:t>
      </w:r>
      <w:r>
        <w:t>under</w:t>
      </w:r>
      <w:r w:rsidR="0066555C">
        <w:t xml:space="preserve"> </w:t>
      </w:r>
      <w:r>
        <w:t xml:space="preserve">way, although human resources remain a challenge. </w:t>
      </w:r>
    </w:p>
    <w:p w:rsidR="000134D1" w:rsidRDefault="000134D1" w:rsidP="00810C27">
      <w:pPr>
        <w:pStyle w:val="ListBullet2"/>
      </w:pPr>
      <w:proofErr w:type="spellStart"/>
      <w:r>
        <w:t>AusAID’s</w:t>
      </w:r>
      <w:proofErr w:type="spellEnd"/>
      <w:r>
        <w:t xml:space="preserve"> flexibility and continuity of support was central to sustaining crucial malaria control activities despite a long (12</w:t>
      </w:r>
      <w:r w:rsidR="00392BFC">
        <w:t>-</w:t>
      </w:r>
      <w:r>
        <w:t xml:space="preserve">month) delay in grant signing for the new Global Fund Rolling Continuation Channel funding. </w:t>
      </w:r>
    </w:p>
    <w:p w:rsidR="000134D1" w:rsidRDefault="000134D1" w:rsidP="00810C27">
      <w:pPr>
        <w:pStyle w:val="ListBullet"/>
      </w:pPr>
      <w:r>
        <w:t xml:space="preserve">Continued provision of four specialist medical personnel at </w:t>
      </w:r>
      <w:smartTag w:uri="urn:schemas-microsoft-com:office:smarttags" w:element="place">
        <w:smartTag w:uri="urn:schemas-microsoft-com:office:smarttags" w:element="PlaceName">
          <w:r>
            <w:t>Vila</w:t>
          </w:r>
        </w:smartTag>
        <w:r>
          <w:t xml:space="preserve"> </w:t>
        </w:r>
        <w:smartTag w:uri="urn:schemas-microsoft-com:office:smarttags" w:element="PlaceName">
          <w:r>
            <w:t>Central</w:t>
          </w:r>
        </w:smartTag>
        <w:r>
          <w:t xml:space="preserve"> </w:t>
        </w:r>
        <w:smartTag w:uri="urn:schemas-microsoft-com:office:smarttags" w:element="PlaceType">
          <w:r>
            <w:t>Hospital</w:t>
          </w:r>
        </w:smartTag>
      </w:smartTag>
      <w:r>
        <w:t xml:space="preserve"> led to some </w:t>
      </w:r>
      <w:r w:rsidR="00392BFC">
        <w:t xml:space="preserve">encouraging </w:t>
      </w:r>
      <w:r>
        <w:t xml:space="preserve">results: </w:t>
      </w:r>
    </w:p>
    <w:p w:rsidR="000134D1" w:rsidRDefault="000134D1" w:rsidP="00810C27">
      <w:pPr>
        <w:pStyle w:val="ListBullet2"/>
      </w:pPr>
      <w:r>
        <w:t xml:space="preserve">Prenatal mortality fell from 40 per 1000 in November 2008 to 14 per 1000 in February 2009. If this trend is sustained it represents </w:t>
      </w:r>
      <w:r w:rsidR="00392BFC">
        <w:t>a significant</w:t>
      </w:r>
      <w:r>
        <w:t xml:space="preserve"> improvement in women’s health. </w:t>
      </w:r>
    </w:p>
    <w:p w:rsidR="000134D1" w:rsidRDefault="000134D1" w:rsidP="00810C27">
      <w:pPr>
        <w:pStyle w:val="ListBullet2"/>
      </w:pPr>
      <w:r>
        <w:t xml:space="preserve">A transition of responsibility from the expatriate to </w:t>
      </w:r>
      <w:proofErr w:type="spellStart"/>
      <w:r>
        <w:t>ni</w:t>
      </w:r>
      <w:proofErr w:type="spellEnd"/>
      <w:r>
        <w:t xml:space="preserve">-Vanuatu </w:t>
      </w:r>
      <w:r w:rsidR="00392BFC">
        <w:t>s</w:t>
      </w:r>
      <w:r>
        <w:t xml:space="preserve">enior </w:t>
      </w:r>
      <w:r w:rsidR="00392BFC">
        <w:t>p</w:t>
      </w:r>
      <w:r>
        <w:t>hysician is now under</w:t>
      </w:r>
      <w:r w:rsidR="00392BFC">
        <w:t xml:space="preserve"> </w:t>
      </w:r>
      <w:r>
        <w:t xml:space="preserve">way, working towards a clear exit strategy for expatriate support to this position over the next </w:t>
      </w:r>
      <w:r w:rsidR="00392BFC">
        <w:t>two to three</w:t>
      </w:r>
      <w:r>
        <w:t xml:space="preserve"> years. Success of the strategy depends on retaining the </w:t>
      </w:r>
      <w:proofErr w:type="spellStart"/>
      <w:r>
        <w:t>ni</w:t>
      </w:r>
      <w:proofErr w:type="spellEnd"/>
      <w:r w:rsidR="00392BFC">
        <w:noBreakHyphen/>
      </w:r>
      <w:smartTag w:uri="urn:schemas-microsoft-com:office:smarttags" w:element="country-region">
        <w:smartTag w:uri="urn:schemas-microsoft-com:office:smarttags" w:element="place">
          <w:r>
            <w:t>Vanuatu</w:t>
          </w:r>
        </w:smartTag>
      </w:smartTag>
      <w:r>
        <w:t xml:space="preserve"> </w:t>
      </w:r>
      <w:r w:rsidR="00392BFC">
        <w:t>p</w:t>
      </w:r>
      <w:r>
        <w:t>hysician.</w:t>
      </w:r>
    </w:p>
    <w:p w:rsidR="000134D1" w:rsidRDefault="000134D1" w:rsidP="00810C27">
      <w:pPr>
        <w:pStyle w:val="ListBullet2"/>
      </w:pPr>
      <w:r>
        <w:t>There have been increased visits from specialised surgical staff through the regional Pacific Islands Project.</w:t>
      </w:r>
    </w:p>
    <w:p w:rsidR="000134D1" w:rsidRDefault="000134D1" w:rsidP="00810C27">
      <w:pPr>
        <w:pStyle w:val="ListBullet"/>
      </w:pPr>
      <w:r>
        <w:t xml:space="preserve">The Ministry of Health is now managing </w:t>
      </w:r>
      <w:r w:rsidR="00314BC9">
        <w:t xml:space="preserve">the </w:t>
      </w:r>
      <w:r>
        <w:t xml:space="preserve">contract with Save the Children </w:t>
      </w:r>
      <w:r w:rsidR="00314BC9">
        <w:t xml:space="preserve">Australia </w:t>
      </w:r>
      <w:r>
        <w:t xml:space="preserve">to support </w:t>
      </w:r>
      <w:r w:rsidR="006545BF">
        <w:t xml:space="preserve">the </w:t>
      </w:r>
      <w:r>
        <w:t>Village Health Workers</w:t>
      </w:r>
      <w:r w:rsidR="00314BC9">
        <w:t xml:space="preserve"> </w:t>
      </w:r>
      <w:r w:rsidR="006545BF">
        <w:t>Project</w:t>
      </w:r>
      <w:r w:rsidR="00392BFC">
        <w:t>—</w:t>
      </w:r>
      <w:r>
        <w:t>a successful transition</w:t>
      </w:r>
      <w:r w:rsidR="00C84DA7">
        <w:t xml:space="preserve"> from </w:t>
      </w:r>
      <w:proofErr w:type="spellStart"/>
      <w:r w:rsidR="00C84DA7">
        <w:t>AusAID</w:t>
      </w:r>
      <w:proofErr w:type="spellEnd"/>
      <w:r>
        <w:t xml:space="preserve"> to Ministry of Health management. As a result of the advocacy by the </w:t>
      </w:r>
      <w:r w:rsidR="00C84DA7">
        <w:t>project</w:t>
      </w:r>
      <w:r>
        <w:t xml:space="preserve">, provincial governments are now directing increased resources to support </w:t>
      </w:r>
      <w:r w:rsidR="00314BC9">
        <w:t>it</w:t>
      </w:r>
      <w:r>
        <w:t xml:space="preserve">: </w:t>
      </w:r>
      <w:proofErr w:type="spellStart"/>
      <w:r>
        <w:t>Malampa</w:t>
      </w:r>
      <w:proofErr w:type="spellEnd"/>
      <w:r>
        <w:t xml:space="preserve"> has doubled its allocation for equipment for village health workers</w:t>
      </w:r>
      <w:r w:rsidR="00392BFC">
        <w:t>,</w:t>
      </w:r>
      <w:r>
        <w:t xml:space="preserve"> and </w:t>
      </w:r>
      <w:proofErr w:type="spellStart"/>
      <w:r>
        <w:t>Sanma</w:t>
      </w:r>
      <w:proofErr w:type="spellEnd"/>
      <w:r>
        <w:t xml:space="preserve"> and </w:t>
      </w:r>
      <w:proofErr w:type="spellStart"/>
      <w:r>
        <w:t>Shefa</w:t>
      </w:r>
      <w:proofErr w:type="spellEnd"/>
      <w:r>
        <w:t xml:space="preserve"> provide allowances to certain village health workers in remote areas. </w:t>
      </w:r>
    </w:p>
    <w:p w:rsidR="000134D1" w:rsidRDefault="000134D1" w:rsidP="000134D1">
      <w:pPr>
        <w:pStyle w:val="BodyText"/>
      </w:pPr>
      <w:proofErr w:type="spellStart"/>
      <w:r>
        <w:t>AusAID</w:t>
      </w:r>
      <w:proofErr w:type="spellEnd"/>
      <w:r>
        <w:t xml:space="preserve"> conducted an evaluation of service delivery in fragile states in 200</w:t>
      </w:r>
      <w:r w:rsidR="00DB75D3">
        <w:t>9</w:t>
      </w:r>
      <w:r>
        <w:t>,</w:t>
      </w:r>
      <w:r w:rsidR="003A39F2">
        <w:rPr>
          <w:rStyle w:val="FootnoteReference"/>
        </w:rPr>
        <w:footnoteReference w:id="3"/>
      </w:r>
      <w:r>
        <w:t xml:space="preserve"> which included </w:t>
      </w:r>
      <w:r w:rsidR="00622F4A">
        <w:t>an extensive</w:t>
      </w:r>
      <w:r>
        <w:t xml:space="preserve"> field visit to </w:t>
      </w:r>
      <w:smartTag w:uri="urn:schemas-microsoft-com:office:smarttags" w:element="country-region">
        <w:smartTag w:uri="urn:schemas-microsoft-com:office:smarttags" w:element="place">
          <w:r>
            <w:t>Vanuatu</w:t>
          </w:r>
        </w:smartTag>
      </w:smartTag>
      <w:r>
        <w:t>. The evaluation found that</w:t>
      </w:r>
      <w:r w:rsidR="00622F4A">
        <w:t>,</w:t>
      </w:r>
      <w:r>
        <w:t xml:space="preserve"> individually, </w:t>
      </w:r>
      <w:proofErr w:type="spellStart"/>
      <w:r>
        <w:t>AusAID</w:t>
      </w:r>
      <w:proofErr w:type="spellEnd"/>
      <w:r>
        <w:t xml:space="preserve"> activities in health in </w:t>
      </w:r>
      <w:smartTag w:uri="urn:schemas-microsoft-com:office:smarttags" w:element="place">
        <w:smartTag w:uri="urn:schemas-microsoft-com:office:smarttags" w:element="country-region">
          <w:r>
            <w:t>Vanuatu</w:t>
          </w:r>
        </w:smartTag>
      </w:smartTag>
      <w:r>
        <w:t xml:space="preserve"> are making positive contributions (such as those reported above). In aggregate, however, this fragmented support is not achieving its full potential impact in improving the overall performance of the health system. Individual project</w:t>
      </w:r>
      <w:r w:rsidR="00622F4A">
        <w:t>-</w:t>
      </w:r>
      <w:r>
        <w:t xml:space="preserve">based support is more complex for both the Ministry </w:t>
      </w:r>
      <w:r w:rsidR="00622F4A">
        <w:t xml:space="preserve">of Health </w:t>
      </w:r>
      <w:r>
        <w:t xml:space="preserve">and </w:t>
      </w:r>
      <w:proofErr w:type="spellStart"/>
      <w:r>
        <w:t>AusAID</w:t>
      </w:r>
      <w:proofErr w:type="spellEnd"/>
      <w:r>
        <w:t xml:space="preserve"> to administer</w:t>
      </w:r>
      <w:r w:rsidR="00622F4A">
        <w:t>,</w:t>
      </w:r>
      <w:r>
        <w:t xml:space="preserve"> and in some cases sits outside government planning and budgeting processes. This coordination challenge is compounded with inputs from a significant number of </w:t>
      </w:r>
      <w:proofErr w:type="spellStart"/>
      <w:r>
        <w:t>AusAID</w:t>
      </w:r>
      <w:proofErr w:type="spellEnd"/>
      <w:r>
        <w:t xml:space="preserve"> regional activities (including for non-communicable diseases, HIV and AIDS, pandemic influenza, and medical specialist </w:t>
      </w:r>
      <w:r>
        <w:lastRenderedPageBreak/>
        <w:t>visits). The 200</w:t>
      </w:r>
      <w:r w:rsidR="00DB75D3">
        <w:t>9</w:t>
      </w:r>
      <w:r>
        <w:t xml:space="preserve"> OECD </w:t>
      </w:r>
      <w:r w:rsidR="001E628D">
        <w:t xml:space="preserve">Development Assistance Committee (DAC) </w:t>
      </w:r>
      <w:r>
        <w:t>Peer Review of Australia</w:t>
      </w:r>
      <w:r w:rsidR="001E628D">
        <w:rPr>
          <w:rStyle w:val="FootnoteReference"/>
        </w:rPr>
        <w:footnoteReference w:id="4"/>
      </w:r>
      <w:r w:rsidR="00C20D65">
        <w:t xml:space="preserve"> </w:t>
      </w:r>
      <w:r>
        <w:t xml:space="preserve">also noted that regional projects, particularly in health, are generally perceived by Vanuatu authorities as being imposed without connection to other national programs. </w:t>
      </w:r>
    </w:p>
    <w:p w:rsidR="00A5482F" w:rsidRDefault="000134D1" w:rsidP="000134D1">
      <w:pPr>
        <w:pStyle w:val="BodyText"/>
      </w:pPr>
      <w:r>
        <w:t xml:space="preserve">In response, </w:t>
      </w:r>
      <w:proofErr w:type="spellStart"/>
      <w:r>
        <w:t>AusAID</w:t>
      </w:r>
      <w:proofErr w:type="spellEnd"/>
      <w:r>
        <w:t xml:space="preserve"> intends to move to a more coordinated and coherent program for support to the health sector. This is </w:t>
      </w:r>
      <w:r w:rsidR="00622F4A">
        <w:t>expected to</w:t>
      </w:r>
      <w:r>
        <w:t xml:space="preserve"> </w:t>
      </w:r>
      <w:r w:rsidR="00622F4A">
        <w:t>involve</w:t>
      </w:r>
      <w:r>
        <w:t xml:space="preserve"> joint allocation of existing resources, with the Ministry </w:t>
      </w:r>
      <w:r w:rsidR="00622F4A">
        <w:t xml:space="preserve">of Health </w:t>
      </w:r>
      <w:r>
        <w:t xml:space="preserve">able to recognise the opportunity cost of </w:t>
      </w:r>
      <w:proofErr w:type="spellStart"/>
      <w:r>
        <w:t>AusAID</w:t>
      </w:r>
      <w:proofErr w:type="spellEnd"/>
      <w:r>
        <w:t xml:space="preserve"> assistance, as well as </w:t>
      </w:r>
      <w:r w:rsidR="00622F4A">
        <w:t xml:space="preserve">achieve a </w:t>
      </w:r>
      <w:r>
        <w:t xml:space="preserve">better balance between support for the hospital sector and </w:t>
      </w:r>
      <w:r w:rsidR="00622F4A">
        <w:t xml:space="preserve">support </w:t>
      </w:r>
      <w:r>
        <w:t>for primary care</w:t>
      </w:r>
      <w:r w:rsidR="00622F4A">
        <w:t>,</w:t>
      </w:r>
      <w:r>
        <w:t xml:space="preserve"> particularly in rural areas. </w:t>
      </w:r>
    </w:p>
    <w:p w:rsidR="000134D1" w:rsidRDefault="00CF1945" w:rsidP="000134D1">
      <w:pPr>
        <w:pStyle w:val="BodyText"/>
      </w:pPr>
      <w:r>
        <w:t>An</w:t>
      </w:r>
      <w:r w:rsidR="000134D1">
        <w:t xml:space="preserve"> </w:t>
      </w:r>
      <w:r w:rsidR="00622F4A">
        <w:t xml:space="preserve">Office of Development Effectiveness </w:t>
      </w:r>
      <w:r w:rsidR="000134D1">
        <w:t>evaluation</w:t>
      </w:r>
      <w:r>
        <w:t xml:space="preserve">, covering the health sector in </w:t>
      </w:r>
      <w:smartTag w:uri="urn:schemas-microsoft-com:office:smarttags" w:element="country-region">
        <w:r w:rsidR="00ED5AF3">
          <w:t>Papua New Guinea</w:t>
        </w:r>
      </w:smartTag>
      <w:r>
        <w:t xml:space="preserve">, </w:t>
      </w:r>
      <w:smartTag w:uri="urn:schemas-microsoft-com:office:smarttags" w:element="country-region">
        <w:r>
          <w:t>Solomon Islands</w:t>
        </w:r>
      </w:smartTag>
      <w:r>
        <w:t xml:space="preserve"> and </w:t>
      </w:r>
      <w:smartTag w:uri="urn:schemas-microsoft-com:office:smarttags" w:element="country-region">
        <w:smartTag w:uri="urn:schemas-microsoft-com:office:smarttags" w:element="place">
          <w:r>
            <w:t>Vanuatu</w:t>
          </w:r>
        </w:smartTag>
      </w:smartTag>
      <w:r>
        <w:t>,</w:t>
      </w:r>
      <w:r w:rsidR="000134D1">
        <w:t xml:space="preserve"> identified </w:t>
      </w:r>
      <w:r w:rsidR="00A5482F">
        <w:t xml:space="preserve">a number of urgent </w:t>
      </w:r>
      <w:r w:rsidR="000134D1">
        <w:t xml:space="preserve">priorities for the health objective of the </w:t>
      </w:r>
      <w:r w:rsidR="00A5482F">
        <w:t>Australia</w:t>
      </w:r>
      <w:r w:rsidR="005359B3">
        <w:t>–</w:t>
      </w:r>
      <w:r w:rsidR="00864C36">
        <w:t>Vanuatu</w:t>
      </w:r>
      <w:r w:rsidR="00A5482F">
        <w:t xml:space="preserve"> Partnership for Development</w:t>
      </w:r>
      <w:r w:rsidR="000134D1">
        <w:t>:</w:t>
      </w:r>
    </w:p>
    <w:p w:rsidR="000134D1" w:rsidRDefault="000134D1" w:rsidP="00443A52">
      <w:pPr>
        <w:pStyle w:val="ListBullet"/>
      </w:pPr>
      <w:r>
        <w:t xml:space="preserve">A nurse shortage is now inevitable. How deep and how prolonged </w:t>
      </w:r>
      <w:r w:rsidR="00A5482F">
        <w:t xml:space="preserve">it is </w:t>
      </w:r>
      <w:r>
        <w:t>depends on how quickly training can be scaled up. Many nurses are reaching retirement age</w:t>
      </w:r>
      <w:r w:rsidR="00A5482F">
        <w:t>,</w:t>
      </w:r>
      <w:r>
        <w:t xml:space="preserve"> but the </w:t>
      </w:r>
      <w:r w:rsidR="00A5482F">
        <w:t xml:space="preserve">graduation </w:t>
      </w:r>
      <w:r>
        <w:t xml:space="preserve">rate of trained nurses is below replacement level. Nurses are the backbone of the system, particularly in providing primary care in rural areas. The main hospitals in Port Vila and </w:t>
      </w:r>
      <w:proofErr w:type="spellStart"/>
      <w:r>
        <w:t>Luganville</w:t>
      </w:r>
      <w:proofErr w:type="spellEnd"/>
      <w:r>
        <w:t xml:space="preserve"> take up 42 per cent of the workforce. At 0.14 doctors and 1.45 nurses per 1000 </w:t>
      </w:r>
      <w:r w:rsidR="00A5482F">
        <w:t>people</w:t>
      </w:r>
      <w:r>
        <w:t xml:space="preserve">, </w:t>
      </w:r>
      <w:smartTag w:uri="urn:schemas-microsoft-com:office:smarttags" w:element="place">
        <w:smartTag w:uri="urn:schemas-microsoft-com:office:smarttags" w:element="country-region">
          <w:r>
            <w:t>Vanuatu</w:t>
          </w:r>
        </w:smartTag>
      </w:smartTag>
      <w:r>
        <w:t xml:space="preserve"> has the third lowest health workforce density in the Pacific.</w:t>
      </w:r>
    </w:p>
    <w:p w:rsidR="000134D1" w:rsidRDefault="000134D1" w:rsidP="00443A52">
      <w:pPr>
        <w:pStyle w:val="ListBullet"/>
      </w:pPr>
      <w:r>
        <w:t>The health information system has significant weaknesses. While the evaluation found that rural facilities are recording useful health information, it is not being effectively collected, analysed and used by the Ministry</w:t>
      </w:r>
      <w:r w:rsidR="00A5482F">
        <w:t xml:space="preserve"> of Health</w:t>
      </w:r>
      <w:r>
        <w:t>. Although facilities collect gender</w:t>
      </w:r>
      <w:r w:rsidR="00A5482F">
        <w:t>-</w:t>
      </w:r>
      <w:r>
        <w:t>disaggregated data, th</w:t>
      </w:r>
      <w:r w:rsidR="00ED5AF3">
        <w:t>e gender disaggregation</w:t>
      </w:r>
      <w:r>
        <w:t xml:space="preserve"> is lost once </w:t>
      </w:r>
      <w:r w:rsidR="00ED5AF3">
        <w:t xml:space="preserve">the information </w:t>
      </w:r>
      <w:r>
        <w:t xml:space="preserve">reaches </w:t>
      </w:r>
      <w:r w:rsidR="00ED5AF3">
        <w:t xml:space="preserve">the </w:t>
      </w:r>
      <w:r>
        <w:t xml:space="preserve">national level. Despite earlier </w:t>
      </w:r>
      <w:proofErr w:type="spellStart"/>
      <w:r>
        <w:t>AusAID</w:t>
      </w:r>
      <w:proofErr w:type="spellEnd"/>
      <w:r>
        <w:t xml:space="preserve"> support and recent </w:t>
      </w:r>
      <w:r w:rsidR="00A5482F">
        <w:t xml:space="preserve">World Health Organization </w:t>
      </w:r>
      <w:r>
        <w:t xml:space="preserve">efforts, the system has low coverage, is overly complex, and does not report to management on key performance indicators. These failings are hampering </w:t>
      </w:r>
      <w:smartTag w:uri="urn:schemas-microsoft-com:office:smarttags" w:element="place">
        <w:smartTag w:uri="urn:schemas-microsoft-com:office:smarttags" w:element="country-region">
          <w:r>
            <w:t>Vanuatu</w:t>
          </w:r>
        </w:smartTag>
      </w:smartTag>
      <w:r>
        <w:t>’s ability to track progress towards the health MDGs.</w:t>
      </w:r>
    </w:p>
    <w:p w:rsidR="000134D1" w:rsidRDefault="000134D1" w:rsidP="00443A52">
      <w:pPr>
        <w:pStyle w:val="ListBullet"/>
      </w:pPr>
      <w:r>
        <w:t xml:space="preserve">Immunisation levels are worryingly low. Only 40 per cent of children between one </w:t>
      </w:r>
      <w:r w:rsidR="00A5482F">
        <w:t xml:space="preserve">and </w:t>
      </w:r>
      <w:r>
        <w:t>two years old are fully vaccinated, according to provisional results from a 2007 nationwide cluster survey conducted by UNICEF. Measles vaccine coverage fell below 50 per cent in 2006. Though partly addressed by a subsequent campaign, immunisation levels are still too low in some areas to prevent epidemic measles transmission. The mission found th</w:t>
      </w:r>
      <w:r w:rsidR="0097035C">
        <w:t>at vaccines are not always kept in good conditions</w:t>
      </w:r>
      <w:r w:rsidR="00ED5AF3">
        <w:t>—</w:t>
      </w:r>
      <w:r w:rsidR="0097035C">
        <w:t xml:space="preserve">the </w:t>
      </w:r>
      <w:r>
        <w:t xml:space="preserve">cold chain </w:t>
      </w:r>
      <w:r w:rsidR="00A5482F">
        <w:t xml:space="preserve">is </w:t>
      </w:r>
      <w:r>
        <w:t>inconsistently monitored, with failing logistics and hardware.</w:t>
      </w:r>
    </w:p>
    <w:p w:rsidR="000134D1" w:rsidRDefault="000134D1" w:rsidP="000134D1">
      <w:pPr>
        <w:pStyle w:val="BodyText"/>
      </w:pPr>
      <w:r>
        <w:t xml:space="preserve">However, transitioning to a more coherent sector program through the </w:t>
      </w:r>
      <w:r w:rsidR="00864C36">
        <w:t>Partnership</w:t>
      </w:r>
      <w:r>
        <w:t xml:space="preserve"> will take time, </w:t>
      </w:r>
      <w:r w:rsidR="00A5482F">
        <w:t xml:space="preserve">will require </w:t>
      </w:r>
      <w:r>
        <w:t xml:space="preserve">considerable effort and expertise from </w:t>
      </w:r>
      <w:proofErr w:type="spellStart"/>
      <w:r>
        <w:t>AusAID</w:t>
      </w:r>
      <w:proofErr w:type="spellEnd"/>
      <w:r>
        <w:t xml:space="preserve">, and will rely on the </w:t>
      </w:r>
      <w:r w:rsidR="00A5482F">
        <w:t xml:space="preserve">Ministry of Health </w:t>
      </w:r>
      <w:r>
        <w:t>taking an effective lead. So too will tackling the specific health system challenges that need to be addressed</w:t>
      </w:r>
      <w:r w:rsidR="00ED5AF3">
        <w:t>,</w:t>
      </w:r>
      <w:r w:rsidR="00F06A48">
        <w:t xml:space="preserve"> including improving the reliability of funding for rural health facilities, human resource management and management of key health indicators</w:t>
      </w:r>
      <w:r>
        <w:t xml:space="preserve">. </w:t>
      </w:r>
    </w:p>
    <w:p w:rsidR="00261F3A" w:rsidRDefault="000134D1" w:rsidP="000134D1">
      <w:pPr>
        <w:pStyle w:val="BodyText"/>
      </w:pPr>
      <w:r>
        <w:t xml:space="preserve">Although a number of donors are active in </w:t>
      </w:r>
      <w:r w:rsidR="00A5482F">
        <w:t xml:space="preserve">the </w:t>
      </w:r>
      <w:r>
        <w:t xml:space="preserve">health </w:t>
      </w:r>
      <w:r w:rsidR="00A5482F">
        <w:t xml:space="preserve">sector </w:t>
      </w:r>
      <w:r>
        <w:t xml:space="preserve">in </w:t>
      </w:r>
      <w:smartTag w:uri="urn:schemas-microsoft-com:office:smarttags" w:element="place">
        <w:smartTag w:uri="urn:schemas-microsoft-com:office:smarttags" w:element="country-region">
          <w:r>
            <w:t>Vanuatu</w:t>
          </w:r>
        </w:smartTag>
      </w:smartTag>
      <w:r>
        <w:t xml:space="preserve">, </w:t>
      </w:r>
      <w:proofErr w:type="spellStart"/>
      <w:r>
        <w:t>AusAID</w:t>
      </w:r>
      <w:proofErr w:type="spellEnd"/>
      <w:r>
        <w:t xml:space="preserve"> is the only donor aiming to address system-level issues. Service delivery in the health sector requires the </w:t>
      </w:r>
      <w:r w:rsidR="007B713F">
        <w:t>g</w:t>
      </w:r>
      <w:r>
        <w:t>overnment to effectively manage a high degree of complexity relative to other sectors</w:t>
      </w:r>
      <w:r w:rsidR="007B713F">
        <w:t>—</w:t>
      </w:r>
      <w:r>
        <w:t>in the range of services and interventions, workforce scale and structure, and coverage. A more</w:t>
      </w:r>
    </w:p>
    <w:p w:rsidR="00261F3A" w:rsidRDefault="00261F3A" w:rsidP="00261F3A">
      <w:pPr>
        <w:pStyle w:val="Subtitle"/>
        <w:rPr>
          <w:rFonts w:ascii="Georgia" w:hAnsi="Georgia"/>
          <w:sz w:val="19"/>
          <w:szCs w:val="19"/>
        </w:rPr>
      </w:pPr>
      <w:r>
        <w:br w:type="page"/>
      </w:r>
    </w:p>
    <w:p w:rsidR="000134D1" w:rsidRDefault="000134D1" w:rsidP="000134D1">
      <w:pPr>
        <w:pStyle w:val="BodyText"/>
      </w:pPr>
      <w:r>
        <w:lastRenderedPageBreak/>
        <w:t xml:space="preserve"> </w:t>
      </w:r>
      <w:proofErr w:type="gramStart"/>
      <w:r>
        <w:t>comprehensive</w:t>
      </w:r>
      <w:proofErr w:type="gramEnd"/>
      <w:r>
        <w:t xml:space="preserve"> system-level focus will be essential to </w:t>
      </w:r>
      <w:r w:rsidR="007B713F">
        <w:t xml:space="preserve">achieving </w:t>
      </w:r>
      <w:r>
        <w:t xml:space="preserve">lasting improvements </w:t>
      </w:r>
      <w:r w:rsidR="007B713F">
        <w:t xml:space="preserve">in </w:t>
      </w:r>
      <w:r>
        <w:t>service delivery</w:t>
      </w:r>
      <w:r w:rsidR="007B713F">
        <w:t xml:space="preserve"> and health outcomes</w:t>
      </w:r>
      <w:r>
        <w:t xml:space="preserve">. </w:t>
      </w:r>
    </w:p>
    <w:p w:rsidR="000134D1" w:rsidRDefault="000134D1" w:rsidP="000134D1">
      <w:pPr>
        <w:pStyle w:val="BodyText"/>
      </w:pPr>
      <w:r>
        <w:t xml:space="preserve">Stakeholders in the malaria initiative, including the </w:t>
      </w:r>
      <w:proofErr w:type="spellStart"/>
      <w:r>
        <w:t>AusAID</w:t>
      </w:r>
      <w:proofErr w:type="spellEnd"/>
      <w:r w:rsidR="007B713F">
        <w:t>-</w:t>
      </w:r>
      <w:r>
        <w:t xml:space="preserve">supported Malaria Reference Group, are also recognising that health systems weaknesses may impede the </w:t>
      </w:r>
      <w:r w:rsidR="007B713F">
        <w:t xml:space="preserve">initiative's </w:t>
      </w:r>
      <w:r>
        <w:t xml:space="preserve">ambitious </w:t>
      </w:r>
      <w:r w:rsidR="007B713F">
        <w:t>agenda</w:t>
      </w:r>
      <w:r>
        <w:t xml:space="preserve">, as noted in the outcomes of the fourth Malaria Reference Group meeting. These system weaknesses are also critical bottlenecks to </w:t>
      </w:r>
      <w:r w:rsidR="007B713F">
        <w:t xml:space="preserve">progress </w:t>
      </w:r>
      <w:r w:rsidR="00443A52">
        <w:t xml:space="preserve">in </w:t>
      </w:r>
      <w:r w:rsidR="007B713F">
        <w:t xml:space="preserve">other areas of </w:t>
      </w:r>
      <w:r w:rsidR="00443A52">
        <w:t xml:space="preserve">the health sector. </w:t>
      </w:r>
    </w:p>
    <w:p w:rsidR="000134D1" w:rsidRDefault="000134D1" w:rsidP="000134D1">
      <w:pPr>
        <w:pStyle w:val="BodyText"/>
      </w:pPr>
      <w:proofErr w:type="spellStart"/>
      <w:r>
        <w:t>AusAID</w:t>
      </w:r>
      <w:proofErr w:type="spellEnd"/>
      <w:r>
        <w:t xml:space="preserve"> will need to move to a systems-focused program in concert with other partners, particularly UNICEF and </w:t>
      </w:r>
      <w:r w:rsidR="007B713F">
        <w:t>the World Health Organization</w:t>
      </w:r>
      <w:r>
        <w:t xml:space="preserve">. </w:t>
      </w:r>
      <w:r w:rsidR="004739CA">
        <w:t xml:space="preserve">Given </w:t>
      </w:r>
      <w:proofErr w:type="spellStart"/>
      <w:r w:rsidR="004739CA">
        <w:t>AusAID’s</w:t>
      </w:r>
      <w:proofErr w:type="spellEnd"/>
      <w:r w:rsidR="004739CA">
        <w:t xml:space="preserve"> five-year program with UNICEF to support Pacific immunisation coverage, </w:t>
      </w:r>
      <w:proofErr w:type="spellStart"/>
      <w:r>
        <w:t>AusAID</w:t>
      </w:r>
      <w:proofErr w:type="spellEnd"/>
      <w:r>
        <w:t xml:space="preserve"> </w:t>
      </w:r>
      <w:r w:rsidR="007B713F">
        <w:t xml:space="preserve">offices in </w:t>
      </w:r>
      <w:r>
        <w:t xml:space="preserve">Port Vila and </w:t>
      </w:r>
      <w:smartTag w:uri="urn:schemas-microsoft-com:office:smarttags" w:element="place">
        <w:smartTag w:uri="urn:schemas-microsoft-com:office:smarttags" w:element="City">
          <w:r>
            <w:t>Suva</w:t>
          </w:r>
        </w:smartTag>
      </w:smartTag>
      <w:r>
        <w:t xml:space="preserve"> are working closely with UNICEF </w:t>
      </w:r>
      <w:r w:rsidR="007B713F">
        <w:t xml:space="preserve">to </w:t>
      </w:r>
      <w:r>
        <w:t xml:space="preserve">address systems issues underpinning weak immunisation performance. </w:t>
      </w:r>
      <w:r w:rsidR="004739CA">
        <w:t>In 2009</w:t>
      </w:r>
      <w:r>
        <w:t xml:space="preserve"> </w:t>
      </w:r>
      <w:proofErr w:type="spellStart"/>
      <w:r>
        <w:t>AusAID</w:t>
      </w:r>
      <w:proofErr w:type="spellEnd"/>
      <w:r>
        <w:t xml:space="preserve"> will invest greater effort </w:t>
      </w:r>
      <w:r w:rsidR="007B713F">
        <w:t xml:space="preserve">in </w:t>
      </w:r>
      <w:r>
        <w:t>transforming its assistance in health in light of the opportunities available, but notes that this will place additional demands on already thinly</w:t>
      </w:r>
      <w:r w:rsidR="007B713F">
        <w:t xml:space="preserve"> </w:t>
      </w:r>
      <w:r>
        <w:t>spread resources in Port Vila.</w:t>
      </w:r>
    </w:p>
    <w:p w:rsidR="00F06A48" w:rsidRDefault="00F06A48" w:rsidP="000134D1">
      <w:pPr>
        <w:pStyle w:val="BodyText"/>
      </w:pPr>
      <w:r>
        <w:t>While there have been improvements, particularly in reducing the prevalence of malaria, there remain weaknesses in key service delivery such as immunisation. This objective continues to be rated amber.</w:t>
      </w:r>
    </w:p>
    <w:p w:rsidR="000134D1" w:rsidRDefault="000134D1" w:rsidP="007F3C6B">
      <w:pPr>
        <w:pStyle w:val="Heading4"/>
      </w:pPr>
      <w:r>
        <w:t>Estimated expenditure</w:t>
      </w:r>
    </w:p>
    <w:p w:rsidR="000134D1" w:rsidRDefault="000134D1" w:rsidP="000134D1">
      <w:pPr>
        <w:pStyle w:val="BodyText"/>
      </w:pPr>
      <w:r>
        <w:t xml:space="preserve">Approximately 10.0 per cent ($4.0 million) </w:t>
      </w:r>
      <w:r w:rsidR="007B713F">
        <w:t xml:space="preserve">of the </w:t>
      </w:r>
      <w:smartTag w:uri="urn:schemas-microsoft-com:office:smarttags" w:element="place">
        <w:smartTag w:uri="urn:schemas-microsoft-com:office:smarttags" w:element="country-region">
          <w:r w:rsidR="007B713F">
            <w:t>Vanuatu</w:t>
          </w:r>
        </w:smartTag>
      </w:smartTag>
      <w:r w:rsidR="007B713F">
        <w:t xml:space="preserve"> aid program budget </w:t>
      </w:r>
      <w:r>
        <w:t xml:space="preserve">was spent on this objective in </w:t>
      </w:r>
      <w:r w:rsidR="00822F48">
        <w:t>2008</w:t>
      </w:r>
      <w:r>
        <w:t>.</w:t>
      </w:r>
    </w:p>
    <w:p w:rsidR="000134D1" w:rsidRDefault="000134D1" w:rsidP="00443A52">
      <w:pPr>
        <w:pStyle w:val="Heading2unnumbered"/>
      </w:pPr>
      <w:bookmarkStart w:id="23" w:name="_Toc360984091"/>
      <w:r>
        <w:t xml:space="preserve">Objective 5: Stronger </w:t>
      </w:r>
      <w:r w:rsidR="007B713F">
        <w:t>p</w:t>
      </w:r>
      <w:r>
        <w:t xml:space="preserve">artnerships between </w:t>
      </w:r>
      <w:r w:rsidR="007B713F">
        <w:t>n</w:t>
      </w:r>
      <w:r>
        <w:t>on-</w:t>
      </w:r>
      <w:r w:rsidR="007B713F">
        <w:t>s</w:t>
      </w:r>
      <w:r>
        <w:t xml:space="preserve">tate </w:t>
      </w:r>
      <w:r w:rsidR="007B713F">
        <w:t>a</w:t>
      </w:r>
      <w:r>
        <w:t xml:space="preserve">ctors and </w:t>
      </w:r>
      <w:r w:rsidR="007B713F">
        <w:t>g</w:t>
      </w:r>
      <w:r>
        <w:t xml:space="preserve">overnment in </w:t>
      </w:r>
      <w:r w:rsidR="006545BF">
        <w:t>s</w:t>
      </w:r>
      <w:r>
        <w:t xml:space="preserve">ervice </w:t>
      </w:r>
      <w:r w:rsidR="006545BF">
        <w:t>d</w:t>
      </w:r>
      <w:r>
        <w:t xml:space="preserve">elivery </w:t>
      </w:r>
      <w:r w:rsidR="006545BF">
        <w:t>in rural communities and informal settlements in urban areas</w:t>
      </w:r>
      <w:bookmarkEnd w:id="23"/>
    </w:p>
    <w:p w:rsidR="000134D1" w:rsidRDefault="00443A52" w:rsidP="00443A52">
      <w:pPr>
        <w:pStyle w:val="Heading3"/>
      </w:pPr>
      <w:r>
        <w:t>Rating</w:t>
      </w:r>
    </w:p>
    <w:p w:rsidR="000134D1" w:rsidRDefault="000C5224" w:rsidP="00904E49">
      <w:pPr>
        <w:pStyle w:val="Ratinggreen"/>
        <w:numPr>
          <w:ilvl w:val="0"/>
          <w:numId w:val="0"/>
        </w:numPr>
      </w:pPr>
      <w:r>
        <w:rPr>
          <w:noProof/>
          <w:lang w:val="en-US" w:eastAsia="en-US"/>
        </w:rPr>
        <mc:AlternateContent>
          <mc:Choice Requires="wps">
            <w:drawing>
              <wp:inline distT="0" distB="0" distL="0" distR="0" wp14:anchorId="0F90EB57" wp14:editId="45A1266C">
                <wp:extent cx="154305" cy="154305"/>
                <wp:effectExtent l="0" t="0" r="0" b="0"/>
                <wp:docPr id="6" name="Rectangle 4" descr="Gree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305" cy="154305"/>
                        </a:xfrm>
                        <a:prstGeom prst="rect">
                          <a:avLst/>
                        </a:prstGeom>
                        <a:solidFill>
                          <a:srgbClr val="7DBE28"/>
                        </a:solidFill>
                        <a:ln>
                          <a:noFill/>
                        </a:ln>
                        <a:effectLst/>
                        <a:extLst/>
                      </wps:spPr>
                      <wps:bodyPr rot="0" vert="horz" wrap="square" lIns="91440" tIns="45720" rIns="91440" bIns="45720" anchor="t" anchorCtr="0" upright="1">
                        <a:noAutofit/>
                      </wps:bodyPr>
                    </wps:wsp>
                  </a:graphicData>
                </a:graphic>
              </wp:inline>
            </w:drawing>
          </mc:Choice>
          <mc:Fallback>
            <w:pict>
              <v:rect w14:anchorId="4566F37F" id="Rectangle 4" o:spid="_x0000_s1026" alt="Green" style="width:12.1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" fillcolor="#7dbe28" stroked="f">
                <w10:wrap anchorx="page"/>
                <w10:anchorlock/>
              </v:rect>
            </w:pict>
          </mc:Fallback>
        </mc:AlternateContent>
      </w:r>
      <w:r w:rsidR="00904E49">
        <w:rPr>
          <w:rFonts w:cs="Georgia"/>
        </w:rPr>
        <w:t xml:space="preserve">  </w:t>
      </w:r>
      <w:r w:rsidR="000134D1">
        <w:rPr>
          <w:rFonts w:cs="Georgia"/>
        </w:rPr>
        <w:t>The objective is on track to be fully achieved within the timeframe</w:t>
      </w:r>
      <w:r w:rsidR="00443A52">
        <w:rPr>
          <w:rFonts w:cs="Georgia"/>
        </w:rPr>
        <w:t>.</w:t>
      </w:r>
    </w:p>
    <w:p w:rsidR="000134D1" w:rsidRDefault="000134D1" w:rsidP="00443A52">
      <w:pPr>
        <w:pStyle w:val="Heading3"/>
      </w:pPr>
      <w:r>
        <w:t>Assessment of results and performance</w:t>
      </w:r>
    </w:p>
    <w:p w:rsidR="000134D1" w:rsidRDefault="000134D1" w:rsidP="000134D1">
      <w:pPr>
        <w:pStyle w:val="BodyText"/>
      </w:pPr>
      <w:r>
        <w:t>Organisations outside government</w:t>
      </w:r>
      <w:r w:rsidR="006545BF">
        <w:t>—</w:t>
      </w:r>
      <w:r>
        <w:t>non-state actors</w:t>
      </w:r>
      <w:r w:rsidR="006545BF">
        <w:t>—</w:t>
      </w:r>
      <w:r>
        <w:t xml:space="preserve">play an important role in providing many services in </w:t>
      </w:r>
      <w:smartTag w:uri="urn:schemas-microsoft-com:office:smarttags" w:element="place">
        <w:smartTag w:uri="urn:schemas-microsoft-com:office:smarttags" w:element="country-region">
          <w:r>
            <w:t>Vanuatu</w:t>
          </w:r>
        </w:smartTag>
      </w:smartTag>
      <w:r>
        <w:t xml:space="preserve">, including health, education, counselling, training and community education. In many cases there are few, if any, links between these services and the government system. This creates inefficiencies and reduces effectiveness. Building bridges between government and non-government service providers is an important option in expanding services throughout </w:t>
      </w:r>
      <w:smartTag w:uri="urn:schemas-microsoft-com:office:smarttags" w:element="place">
        <w:smartTag w:uri="urn:schemas-microsoft-com:office:smarttags" w:element="country-region">
          <w:r>
            <w:t>Vanuatu</w:t>
          </w:r>
        </w:smartTag>
      </w:smartTag>
      <w:r>
        <w:t xml:space="preserve">, and </w:t>
      </w:r>
      <w:proofErr w:type="spellStart"/>
      <w:r>
        <w:t>AusAID</w:t>
      </w:r>
      <w:proofErr w:type="spellEnd"/>
      <w:r>
        <w:t xml:space="preserve"> </w:t>
      </w:r>
      <w:r w:rsidR="006545BF">
        <w:t xml:space="preserve">has </w:t>
      </w:r>
      <w:r>
        <w:t xml:space="preserve">continued to provide support towards </w:t>
      </w:r>
      <w:r w:rsidR="006545BF">
        <w:t xml:space="preserve">meeting </w:t>
      </w:r>
      <w:r>
        <w:t xml:space="preserve">this objective. </w:t>
      </w:r>
    </w:p>
    <w:p w:rsidR="00261F3A" w:rsidRDefault="000134D1" w:rsidP="000134D1">
      <w:pPr>
        <w:pStyle w:val="BodyText"/>
      </w:pPr>
      <w:r>
        <w:t xml:space="preserve">The transition of management responsibility for the Village Health Workers Project from </w:t>
      </w:r>
      <w:proofErr w:type="spellStart"/>
      <w:r>
        <w:t>AusAID</w:t>
      </w:r>
      <w:proofErr w:type="spellEnd"/>
      <w:r>
        <w:t xml:space="preserve"> to the Ministry of Health in </w:t>
      </w:r>
      <w:r w:rsidR="00822F48">
        <w:t>2008</w:t>
      </w:r>
      <w:r>
        <w:t xml:space="preserve"> is a concrete realisation of the possibilities arising from formal links in service delivery. </w:t>
      </w:r>
      <w:proofErr w:type="spellStart"/>
      <w:r>
        <w:t>AusAID</w:t>
      </w:r>
      <w:proofErr w:type="spellEnd"/>
      <w:r>
        <w:t xml:space="preserve"> had contracted Save the Children Australia to support village health workers</w:t>
      </w:r>
      <w:r w:rsidR="00314BC9">
        <w:t>—</w:t>
      </w:r>
      <w:r>
        <w:t>a critical element in rural health care</w:t>
      </w:r>
      <w:r w:rsidR="00314BC9">
        <w:t>—</w:t>
      </w:r>
      <w:r>
        <w:t xml:space="preserve">since 1994. </w:t>
      </w:r>
      <w:r w:rsidR="001265E5">
        <w:t>T</w:t>
      </w:r>
      <w:r w:rsidR="00314BC9">
        <w:t xml:space="preserve">he </w:t>
      </w:r>
      <w:r>
        <w:t xml:space="preserve">contract </w:t>
      </w:r>
      <w:r w:rsidR="00314BC9">
        <w:t xml:space="preserve">has </w:t>
      </w:r>
      <w:r w:rsidR="001265E5">
        <w:t xml:space="preserve">now </w:t>
      </w:r>
      <w:r w:rsidR="00314BC9">
        <w:t>been assumed by the Ministry of Health</w:t>
      </w:r>
      <w:r>
        <w:t xml:space="preserve">, with </w:t>
      </w:r>
      <w:proofErr w:type="spellStart"/>
      <w:r>
        <w:t>AusAID</w:t>
      </w:r>
      <w:proofErr w:type="spellEnd"/>
      <w:r>
        <w:t xml:space="preserve"> providing the funding </w:t>
      </w:r>
    </w:p>
    <w:p w:rsidR="00261F3A" w:rsidRDefault="00261F3A" w:rsidP="00261F3A">
      <w:pPr>
        <w:pStyle w:val="Subtitle"/>
        <w:rPr>
          <w:rFonts w:ascii="Georgia" w:hAnsi="Georgia"/>
          <w:sz w:val="19"/>
          <w:szCs w:val="19"/>
        </w:rPr>
      </w:pPr>
      <w:r>
        <w:br w:type="page"/>
      </w:r>
    </w:p>
    <w:p w:rsidR="000134D1" w:rsidRDefault="000134D1" w:rsidP="000134D1">
      <w:pPr>
        <w:pStyle w:val="BodyText"/>
      </w:pPr>
      <w:proofErr w:type="gramStart"/>
      <w:r>
        <w:lastRenderedPageBreak/>
        <w:t>through</w:t>
      </w:r>
      <w:proofErr w:type="gramEnd"/>
      <w:r>
        <w:t xml:space="preserve"> </w:t>
      </w:r>
      <w:r w:rsidR="00314BC9">
        <w:t>g</w:t>
      </w:r>
      <w:r>
        <w:t xml:space="preserve">overnment. The management change was effected successfully and the project continues to perform well, providing training and support to volunteer health workers at village aid posts throughout </w:t>
      </w:r>
      <w:smartTag w:uri="urn:schemas-microsoft-com:office:smarttags" w:element="place">
        <w:smartTag w:uri="urn:schemas-microsoft-com:office:smarttags" w:element="country-region">
          <w:r>
            <w:t>Vanuatu</w:t>
          </w:r>
        </w:smartTag>
      </w:smartTag>
      <w:r>
        <w:t xml:space="preserve">. </w:t>
      </w:r>
    </w:p>
    <w:p w:rsidR="000134D1" w:rsidRDefault="000134D1" w:rsidP="000134D1">
      <w:pPr>
        <w:pStyle w:val="BodyText"/>
      </w:pPr>
      <w:smartTag w:uri="urn:schemas-microsoft-com:office:smarttags" w:element="place">
        <w:smartTag w:uri="urn:schemas-microsoft-com:office:smarttags" w:element="country-region">
          <w:r>
            <w:t>Australia</w:t>
          </w:r>
        </w:smartTag>
      </w:smartTag>
      <w:r>
        <w:t xml:space="preserve"> </w:t>
      </w:r>
      <w:r w:rsidR="00314BC9">
        <w:t xml:space="preserve">has </w:t>
      </w:r>
      <w:r>
        <w:t xml:space="preserve">continued its long-standing funding for the Vanuatu Women’s Centre (since 1994), which provides counselling, community education and legal advocacy services for survivors of domestic violence. The </w:t>
      </w:r>
      <w:r w:rsidR="00314BC9">
        <w:t>c</w:t>
      </w:r>
      <w:r>
        <w:t xml:space="preserve">entre increased its service delivery substantially in 2008 with 269 women </w:t>
      </w:r>
      <w:r w:rsidR="00314BC9">
        <w:t xml:space="preserve">using </w:t>
      </w:r>
      <w:r>
        <w:t xml:space="preserve">counselling </w:t>
      </w:r>
      <w:r w:rsidR="00314BC9">
        <w:t xml:space="preserve">services </w:t>
      </w:r>
      <w:r>
        <w:t xml:space="preserve">(up from 114 </w:t>
      </w:r>
      <w:r w:rsidR="00314BC9">
        <w:t xml:space="preserve">in </w:t>
      </w:r>
      <w:r>
        <w:t>the previous year)</w:t>
      </w:r>
      <w:r w:rsidR="00314BC9">
        <w:t>. It has</w:t>
      </w:r>
      <w:r>
        <w:t xml:space="preserve"> establish</w:t>
      </w:r>
      <w:r w:rsidR="00314BC9">
        <w:t xml:space="preserve">ed </w:t>
      </w:r>
      <w:r>
        <w:t xml:space="preserve">more Committees </w:t>
      </w:r>
      <w:proofErr w:type="gramStart"/>
      <w:r>
        <w:t>Against Violence Against</w:t>
      </w:r>
      <w:proofErr w:type="gramEnd"/>
      <w:r>
        <w:t xml:space="preserve"> Women, bringing the total number to 35, including in </w:t>
      </w:r>
      <w:smartTag w:uri="urn:schemas-microsoft-com:office:smarttags" w:element="place">
        <w:smartTag w:uri="urn:schemas-microsoft-com:office:smarttags" w:element="country-region">
          <w:r>
            <w:t>Vanuatu</w:t>
          </w:r>
        </w:smartTag>
      </w:smartTag>
      <w:r>
        <w:t xml:space="preserve">’s most remote islands (Torres) for the first time. </w:t>
      </w:r>
      <w:proofErr w:type="spellStart"/>
      <w:r>
        <w:t>AusAID’s</w:t>
      </w:r>
      <w:proofErr w:type="spellEnd"/>
      <w:r>
        <w:t xml:space="preserve"> 2008 evaluation</w:t>
      </w:r>
      <w:r w:rsidR="003371FC">
        <w:t xml:space="preserve"> report,</w:t>
      </w:r>
      <w:r>
        <w:t xml:space="preserve"> </w:t>
      </w:r>
      <w:r w:rsidR="00A2712F" w:rsidRPr="003371FC">
        <w:rPr>
          <w:i/>
        </w:rPr>
        <w:t>V</w:t>
      </w:r>
      <w:r w:rsidRPr="003371FC">
        <w:rPr>
          <w:i/>
        </w:rPr>
        <w:t xml:space="preserve">iolence </w:t>
      </w:r>
      <w:r w:rsidR="003371FC" w:rsidRPr="003371FC">
        <w:rPr>
          <w:i/>
        </w:rPr>
        <w:t>a</w:t>
      </w:r>
      <w:r w:rsidRPr="003371FC">
        <w:rPr>
          <w:i/>
        </w:rPr>
        <w:t xml:space="preserve">gainst </w:t>
      </w:r>
      <w:r w:rsidR="00944CD3">
        <w:rPr>
          <w:i/>
        </w:rPr>
        <w:t>w</w:t>
      </w:r>
      <w:r w:rsidRPr="003371FC">
        <w:rPr>
          <w:i/>
        </w:rPr>
        <w:t xml:space="preserve">omen in Melanesia and </w:t>
      </w:r>
      <w:smartTag w:uri="urn:schemas-microsoft-com:office:smarttags" w:element="place">
        <w:r w:rsidRPr="003371FC">
          <w:rPr>
            <w:i/>
          </w:rPr>
          <w:t>East Timor</w:t>
        </w:r>
      </w:smartTag>
      <w:r w:rsidR="003371FC">
        <w:rPr>
          <w:i/>
        </w:rPr>
        <w:t xml:space="preserve">: </w:t>
      </w:r>
      <w:r w:rsidR="00944CD3">
        <w:rPr>
          <w:i/>
        </w:rPr>
        <w:t>building on g</w:t>
      </w:r>
      <w:r w:rsidR="003371FC">
        <w:rPr>
          <w:i/>
        </w:rPr>
        <w:t xml:space="preserve">lobal and </w:t>
      </w:r>
      <w:r w:rsidR="00944CD3">
        <w:rPr>
          <w:i/>
        </w:rPr>
        <w:t>regional promising a</w:t>
      </w:r>
      <w:r w:rsidR="003371FC">
        <w:rPr>
          <w:i/>
        </w:rPr>
        <w:t>pproaches</w:t>
      </w:r>
      <w:r w:rsidR="003371FC">
        <w:t>,</w:t>
      </w:r>
      <w:r>
        <w:t xml:space="preserve"> found that the </w:t>
      </w:r>
      <w:r w:rsidR="00314BC9">
        <w:t>committees</w:t>
      </w:r>
      <w:r>
        <w:t xml:space="preserve"> were a strong model for community education and outreach. It also praised the </w:t>
      </w:r>
      <w:r w:rsidR="00314BC9">
        <w:t xml:space="preserve">Vanuatu Women’s </w:t>
      </w:r>
      <w:r>
        <w:t>Centre’s training of male advocates against violence</w:t>
      </w:r>
      <w:r w:rsidR="00314BC9">
        <w:t>—</w:t>
      </w:r>
      <w:r>
        <w:t xml:space="preserve">now numbering more than 300 and including men </w:t>
      </w:r>
      <w:r w:rsidR="00BA063A">
        <w:t xml:space="preserve">from </w:t>
      </w:r>
      <w:r>
        <w:t xml:space="preserve">the </w:t>
      </w:r>
      <w:r w:rsidR="00314BC9">
        <w:t xml:space="preserve">Vanuatu Police Force </w:t>
      </w:r>
      <w:r>
        <w:t xml:space="preserve">and the public sector. </w:t>
      </w:r>
      <w:r w:rsidR="00314BC9">
        <w:t>The</w:t>
      </w:r>
      <w:r>
        <w:t xml:space="preserve"> </w:t>
      </w:r>
      <w:r w:rsidR="00314BC9">
        <w:t>c</w:t>
      </w:r>
      <w:r>
        <w:t>entre</w:t>
      </w:r>
      <w:r w:rsidR="00314BC9">
        <w:t>’s</w:t>
      </w:r>
      <w:r>
        <w:t xml:space="preserve"> advocacy </w:t>
      </w:r>
      <w:r w:rsidR="00A2712F">
        <w:t>contributed to</w:t>
      </w:r>
      <w:r>
        <w:t xml:space="preserve"> the long-sought passage of the Family Protection Bill in 2008. </w:t>
      </w:r>
    </w:p>
    <w:p w:rsidR="000134D1" w:rsidRDefault="000134D1" w:rsidP="000134D1">
      <w:pPr>
        <w:pStyle w:val="BodyText"/>
      </w:pPr>
      <w:r>
        <w:t xml:space="preserve">With </w:t>
      </w:r>
      <w:proofErr w:type="spellStart"/>
      <w:r>
        <w:t>AusAID</w:t>
      </w:r>
      <w:proofErr w:type="spellEnd"/>
      <w:r>
        <w:t xml:space="preserve"> (and other donor) funding, Wan </w:t>
      </w:r>
      <w:proofErr w:type="spellStart"/>
      <w:r>
        <w:t>Smolbag</w:t>
      </w:r>
      <w:proofErr w:type="spellEnd"/>
      <w:r>
        <w:t xml:space="preserve"> Theatre continued to provide services to young people in 2008. It </w:t>
      </w:r>
      <w:r w:rsidR="00BA063A">
        <w:t xml:space="preserve">offers </w:t>
      </w:r>
      <w:r>
        <w:t xml:space="preserve">a youth drop-in centre, sports facilities and clubs, </w:t>
      </w:r>
      <w:r w:rsidR="00BA063A">
        <w:t xml:space="preserve">and </w:t>
      </w:r>
      <w:r>
        <w:t xml:space="preserve">community education through theatre in health and governance, nutrition and reproductive health services. Youth participation increased dramatically in 2008, with more than 2000 young men and women joining, compared to 880 in 2007. The regional HIV-AIDS program has </w:t>
      </w:r>
      <w:r w:rsidR="00BA063A">
        <w:t xml:space="preserve">given </w:t>
      </w:r>
      <w:r>
        <w:t xml:space="preserve">important support to the health clinic services provided by Wan </w:t>
      </w:r>
      <w:proofErr w:type="spellStart"/>
      <w:r>
        <w:t>Smolbag</w:t>
      </w:r>
      <w:proofErr w:type="spellEnd"/>
      <w:r>
        <w:t xml:space="preserve"> targeting urban youth.</w:t>
      </w:r>
    </w:p>
    <w:p w:rsidR="000134D1" w:rsidRDefault="000134D1" w:rsidP="000134D1">
      <w:pPr>
        <w:pStyle w:val="BodyText"/>
      </w:pPr>
      <w:r>
        <w:t xml:space="preserve">While Wan </w:t>
      </w:r>
      <w:proofErr w:type="spellStart"/>
      <w:r>
        <w:t>Smolbag</w:t>
      </w:r>
      <w:proofErr w:type="spellEnd"/>
      <w:r>
        <w:t xml:space="preserve"> </w:t>
      </w:r>
      <w:r w:rsidR="00BA063A">
        <w:t xml:space="preserve">offers </w:t>
      </w:r>
      <w:r>
        <w:t xml:space="preserve">vital youth services not </w:t>
      </w:r>
      <w:r w:rsidR="00BA063A">
        <w:t>found elsewhere</w:t>
      </w:r>
      <w:r>
        <w:t xml:space="preserve">, its links with </w:t>
      </w:r>
      <w:r w:rsidR="00BA063A">
        <w:t>g</w:t>
      </w:r>
      <w:r>
        <w:t xml:space="preserve">overnment are sometimes </w:t>
      </w:r>
      <w:r w:rsidR="00A31436">
        <w:t>tenuous</w:t>
      </w:r>
      <w:r>
        <w:t xml:space="preserve">. </w:t>
      </w:r>
      <w:proofErr w:type="spellStart"/>
      <w:r>
        <w:t>AusAID</w:t>
      </w:r>
      <w:proofErr w:type="spellEnd"/>
      <w:r>
        <w:t xml:space="preserve"> is encouraging </w:t>
      </w:r>
      <w:r w:rsidR="00A31436">
        <w:t xml:space="preserve">the organisation </w:t>
      </w:r>
      <w:r>
        <w:t xml:space="preserve">to seek formal training registration through the Vanuatu National Training Council, although the strong support for Wan </w:t>
      </w:r>
      <w:proofErr w:type="spellStart"/>
      <w:r>
        <w:t>Smolbag</w:t>
      </w:r>
      <w:proofErr w:type="spellEnd"/>
      <w:r>
        <w:t xml:space="preserve"> in some areas in </w:t>
      </w:r>
      <w:r w:rsidR="00A31436">
        <w:t>g</w:t>
      </w:r>
      <w:r>
        <w:t xml:space="preserve">overnment and </w:t>
      </w:r>
      <w:r w:rsidR="00A31436">
        <w:t xml:space="preserve">the </w:t>
      </w:r>
      <w:r>
        <w:t xml:space="preserve">widespread </w:t>
      </w:r>
      <w:r w:rsidR="00A31436">
        <w:t xml:space="preserve">support </w:t>
      </w:r>
      <w:r>
        <w:t xml:space="preserve">in the community </w:t>
      </w:r>
      <w:r w:rsidR="00A31436">
        <w:t xml:space="preserve">are </w:t>
      </w:r>
      <w:r>
        <w:t xml:space="preserve">independent of any formal links to </w:t>
      </w:r>
      <w:r w:rsidR="00A31436">
        <w:t>g</w:t>
      </w:r>
      <w:r>
        <w:t xml:space="preserve">overnment. </w:t>
      </w:r>
    </w:p>
    <w:p w:rsidR="000134D1" w:rsidRDefault="000134D1" w:rsidP="000134D1">
      <w:pPr>
        <w:pStyle w:val="BodyText"/>
      </w:pPr>
      <w:proofErr w:type="spellStart"/>
      <w:r>
        <w:t>AusAID</w:t>
      </w:r>
      <w:proofErr w:type="spellEnd"/>
      <w:r>
        <w:t xml:space="preserve"> </w:t>
      </w:r>
      <w:r w:rsidR="00F81526">
        <w:t xml:space="preserve">jointly funds </w:t>
      </w:r>
      <w:r>
        <w:t xml:space="preserve">Wan </w:t>
      </w:r>
      <w:proofErr w:type="spellStart"/>
      <w:r>
        <w:t>Smolbag</w:t>
      </w:r>
      <w:proofErr w:type="spellEnd"/>
      <w:r w:rsidR="00F81526">
        <w:t xml:space="preserve"> with NZAID</w:t>
      </w:r>
      <w:r w:rsidR="00A31436">
        <w:t xml:space="preserve"> </w:t>
      </w:r>
      <w:r>
        <w:t xml:space="preserve">through a single work plan and a joint </w:t>
      </w:r>
      <w:r w:rsidR="00A31436">
        <w:t>p</w:t>
      </w:r>
      <w:r>
        <w:t xml:space="preserve">roject </w:t>
      </w:r>
      <w:r w:rsidR="00A31436">
        <w:t>c</w:t>
      </w:r>
      <w:r>
        <w:t xml:space="preserve">oordinating </w:t>
      </w:r>
      <w:r w:rsidR="00A31436">
        <w:t>c</w:t>
      </w:r>
      <w:r>
        <w:t xml:space="preserve">ommittee. </w:t>
      </w:r>
      <w:proofErr w:type="spellStart"/>
      <w:r w:rsidR="00A31436">
        <w:t>AusAID</w:t>
      </w:r>
      <w:proofErr w:type="spellEnd"/>
      <w:r w:rsidR="00A31436">
        <w:t xml:space="preserve"> and NZAID </w:t>
      </w:r>
      <w:r>
        <w:t xml:space="preserve">will conduct a review in 2009 that will give a deeper understanding of Wan </w:t>
      </w:r>
      <w:proofErr w:type="spellStart"/>
      <w:r>
        <w:t>Smolbag’s</w:t>
      </w:r>
      <w:proofErr w:type="spellEnd"/>
      <w:r>
        <w:t xml:space="preserve"> results</w:t>
      </w:r>
      <w:r w:rsidR="00A31436">
        <w:t>. The review will also</w:t>
      </w:r>
      <w:r>
        <w:t xml:space="preserve"> provide </w:t>
      </w:r>
      <w:r w:rsidR="00A31436">
        <w:t xml:space="preserve">an </w:t>
      </w:r>
      <w:r>
        <w:t xml:space="preserve">opportunity to examine emerging issues such as indications that more women than men move into employment and business after their involvement with Wan </w:t>
      </w:r>
      <w:proofErr w:type="spellStart"/>
      <w:r>
        <w:t>Smolbag</w:t>
      </w:r>
      <w:proofErr w:type="spellEnd"/>
      <w:r>
        <w:t xml:space="preserve">. During the review </w:t>
      </w:r>
      <w:proofErr w:type="spellStart"/>
      <w:r>
        <w:t>AusAID</w:t>
      </w:r>
      <w:proofErr w:type="spellEnd"/>
      <w:r>
        <w:t xml:space="preserve"> and NZAID will also design a further joint program of support for 2009 </w:t>
      </w:r>
      <w:r w:rsidR="00A31436">
        <w:t>and beyond</w:t>
      </w:r>
      <w:r>
        <w:t xml:space="preserve">. </w:t>
      </w:r>
    </w:p>
    <w:p w:rsidR="00F06A48" w:rsidRDefault="00F06A48" w:rsidP="000134D1">
      <w:pPr>
        <w:pStyle w:val="BodyText"/>
      </w:pPr>
      <w:r>
        <w:t xml:space="preserve">In view of the successful achievements, including the transition of management of village health worker training, the passage of the Family Protection Act and the continued good work of Wan </w:t>
      </w:r>
      <w:proofErr w:type="spellStart"/>
      <w:r>
        <w:t>Smolbag</w:t>
      </w:r>
      <w:proofErr w:type="spellEnd"/>
      <w:r>
        <w:t>, this objective continues to be rated green.</w:t>
      </w:r>
    </w:p>
    <w:p w:rsidR="000134D1" w:rsidRDefault="000134D1" w:rsidP="00443A52">
      <w:pPr>
        <w:pStyle w:val="Heading3"/>
      </w:pPr>
      <w:r>
        <w:t>Estimated expenditure</w:t>
      </w:r>
    </w:p>
    <w:p w:rsidR="000134D1" w:rsidRDefault="000134D1" w:rsidP="000134D1">
      <w:pPr>
        <w:pStyle w:val="BodyText"/>
      </w:pPr>
      <w:r>
        <w:t xml:space="preserve">Approximately 1.9 per cent ($0.77 million) </w:t>
      </w:r>
      <w:r w:rsidR="006545BF">
        <w:t xml:space="preserve">of the </w:t>
      </w:r>
      <w:smartTag w:uri="urn:schemas-microsoft-com:office:smarttags" w:element="place">
        <w:smartTag w:uri="urn:schemas-microsoft-com:office:smarttags" w:element="country-region">
          <w:r w:rsidR="006545BF">
            <w:t>Vanuatu</w:t>
          </w:r>
        </w:smartTag>
      </w:smartTag>
      <w:r w:rsidR="006545BF">
        <w:t xml:space="preserve"> aid program budget </w:t>
      </w:r>
      <w:r>
        <w:t xml:space="preserve">was spent on this objective in </w:t>
      </w:r>
      <w:r w:rsidR="00822F48">
        <w:t>2008</w:t>
      </w:r>
      <w:r>
        <w:t>.</w:t>
      </w:r>
    </w:p>
    <w:p w:rsidR="000134D1" w:rsidRDefault="000134D1" w:rsidP="00443A52">
      <w:pPr>
        <w:pStyle w:val="Heading2unnumbered"/>
      </w:pPr>
      <w:bookmarkStart w:id="24" w:name="_Toc360984092"/>
      <w:r>
        <w:lastRenderedPageBreak/>
        <w:t xml:space="preserve">Objective 6: Economic </w:t>
      </w:r>
      <w:r w:rsidR="006545BF">
        <w:t>g</w:t>
      </w:r>
      <w:r>
        <w:t>rowth</w:t>
      </w:r>
      <w:r w:rsidR="006545BF">
        <w:t>—r</w:t>
      </w:r>
      <w:r>
        <w:t xml:space="preserve">aised </w:t>
      </w:r>
      <w:r w:rsidR="006545BF">
        <w:t>p</w:t>
      </w:r>
      <w:r>
        <w:t xml:space="preserve">roductive </w:t>
      </w:r>
      <w:r w:rsidR="006545BF">
        <w:t>c</w:t>
      </w:r>
      <w:r>
        <w:t xml:space="preserve">apacity of </w:t>
      </w:r>
      <w:proofErr w:type="spellStart"/>
      <w:r>
        <w:t>ni</w:t>
      </w:r>
      <w:proofErr w:type="spellEnd"/>
      <w:r w:rsidR="00A31436">
        <w:noBreakHyphen/>
      </w:r>
      <w:smartTag w:uri="urn:schemas-microsoft-com:office:smarttags" w:element="country-region">
        <w:smartTag w:uri="urn:schemas-microsoft-com:office:smarttags" w:element="place">
          <w:r>
            <w:t>Vanuatu</w:t>
          </w:r>
        </w:smartTag>
      </w:smartTag>
      <w:r>
        <w:t xml:space="preserve">, particularly </w:t>
      </w:r>
      <w:r w:rsidR="006545BF">
        <w:t>w</w:t>
      </w:r>
      <w:r>
        <w:t xml:space="preserve">omen and </w:t>
      </w:r>
      <w:r w:rsidR="006545BF">
        <w:t>y</w:t>
      </w:r>
      <w:r>
        <w:t xml:space="preserve">oung </w:t>
      </w:r>
      <w:r w:rsidR="006545BF">
        <w:t>p</w:t>
      </w:r>
      <w:r>
        <w:t>eople</w:t>
      </w:r>
      <w:bookmarkEnd w:id="24"/>
      <w:r>
        <w:t xml:space="preserve"> </w:t>
      </w:r>
    </w:p>
    <w:p w:rsidR="000134D1" w:rsidRDefault="00443A52" w:rsidP="00443A52">
      <w:pPr>
        <w:pStyle w:val="Heading3"/>
      </w:pPr>
      <w:r>
        <w:t>Rating</w:t>
      </w:r>
    </w:p>
    <w:p w:rsidR="000134D1" w:rsidRDefault="000C5224" w:rsidP="00904E49">
      <w:pPr>
        <w:pStyle w:val="Ratinggreen"/>
        <w:numPr>
          <w:ilvl w:val="0"/>
          <w:numId w:val="0"/>
        </w:numPr>
      </w:pPr>
      <w:r>
        <w:rPr>
          <w:noProof/>
          <w:lang w:val="en-US" w:eastAsia="en-US"/>
        </w:rPr>
        <mc:AlternateContent>
          <mc:Choice Requires="wps">
            <w:drawing>
              <wp:inline distT="0" distB="0" distL="0" distR="0" wp14:anchorId="0F90EB57" wp14:editId="45A1266C">
                <wp:extent cx="154305" cy="154305"/>
                <wp:effectExtent l="0" t="0" r="0" b="0"/>
                <wp:docPr id="9" name="Rectangle 4" descr="Gree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305" cy="154305"/>
                        </a:xfrm>
                        <a:prstGeom prst="rect">
                          <a:avLst/>
                        </a:prstGeom>
                        <a:solidFill>
                          <a:srgbClr val="7DBE28"/>
                        </a:solidFill>
                        <a:ln>
                          <a:noFill/>
                        </a:ln>
                        <a:effectLst/>
                        <a:extLst/>
                      </wps:spPr>
                      <wps:bodyPr rot="0" vert="horz" wrap="square" lIns="91440" tIns="45720" rIns="91440" bIns="45720" anchor="t" anchorCtr="0" upright="1">
                        <a:noAutofit/>
                      </wps:bodyPr>
                    </wps:wsp>
                  </a:graphicData>
                </a:graphic>
              </wp:inline>
            </w:drawing>
          </mc:Choice>
          <mc:Fallback>
            <w:pict>
              <v:rect w14:anchorId="481940A2" id="Rectangle 4" o:spid="_x0000_s1026" alt="Green" style="width:12.1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" fillcolor="#7dbe28" stroked="f">
                <w10:wrap anchorx="page"/>
                <w10:anchorlock/>
              </v:rect>
            </w:pict>
          </mc:Fallback>
        </mc:AlternateContent>
      </w:r>
      <w:r w:rsidR="00904E49">
        <w:rPr>
          <w:rFonts w:cs="Georgia"/>
        </w:rPr>
        <w:t xml:space="preserve">  </w:t>
      </w:r>
      <w:r w:rsidR="000134D1">
        <w:rPr>
          <w:rFonts w:cs="Georgia"/>
        </w:rPr>
        <w:t>The objective is on track to be fully achieved within the timeframe</w:t>
      </w:r>
      <w:r w:rsidR="00443A52">
        <w:rPr>
          <w:rFonts w:cs="Georgia"/>
        </w:rPr>
        <w:t>.</w:t>
      </w:r>
    </w:p>
    <w:p w:rsidR="000134D1" w:rsidRDefault="000134D1" w:rsidP="00443A52">
      <w:pPr>
        <w:pStyle w:val="Heading3"/>
      </w:pPr>
      <w:r>
        <w:t>Assessment of results and performance</w:t>
      </w:r>
    </w:p>
    <w:p w:rsidR="000134D1" w:rsidRDefault="00152786" w:rsidP="000134D1">
      <w:pPr>
        <w:pStyle w:val="BodyText"/>
      </w:pPr>
      <w:r>
        <w:t xml:space="preserve">In </w:t>
      </w:r>
      <w:r w:rsidR="00822F48">
        <w:t>2008</w:t>
      </w:r>
      <w:r w:rsidR="000134D1">
        <w:t xml:space="preserve"> </w:t>
      </w:r>
      <w:proofErr w:type="spellStart"/>
      <w:r w:rsidR="000134D1">
        <w:t>AusAID</w:t>
      </w:r>
      <w:proofErr w:type="spellEnd"/>
      <w:r w:rsidR="000134D1">
        <w:t xml:space="preserve"> continued to help </w:t>
      </w:r>
      <w:smartTag w:uri="urn:schemas-microsoft-com:office:smarttags" w:element="place">
        <w:smartTag w:uri="urn:schemas-microsoft-com:office:smarttags" w:element="country-region">
          <w:r w:rsidR="000134D1">
            <w:t>Vanuatu</w:t>
          </w:r>
        </w:smartTag>
      </w:smartTag>
      <w:r w:rsidR="00A31436">
        <w:t xml:space="preserve"> strengthen its</w:t>
      </w:r>
      <w:r w:rsidR="000134D1">
        <w:t xml:space="preserve"> economic policy environment</w:t>
      </w:r>
      <w:r w:rsidR="00A31436">
        <w:t>, which</w:t>
      </w:r>
      <w:r w:rsidR="000134D1">
        <w:t xml:space="preserve"> has made a direct contribution to economic growth. </w:t>
      </w:r>
      <w:proofErr w:type="spellStart"/>
      <w:r w:rsidR="000134D1">
        <w:t>AusAID</w:t>
      </w:r>
      <w:proofErr w:type="spellEnd"/>
      <w:r w:rsidR="000134D1">
        <w:t xml:space="preserve"> assistance has been </w:t>
      </w:r>
      <w:r w:rsidR="004A40BD">
        <w:t xml:space="preserve">primarily </w:t>
      </w:r>
      <w:r w:rsidR="000134D1">
        <w:t xml:space="preserve">through </w:t>
      </w:r>
      <w:r w:rsidR="00D72DD0">
        <w:t xml:space="preserve">the </w:t>
      </w:r>
      <w:proofErr w:type="spellStart"/>
      <w:r w:rsidR="000134D1">
        <w:t>GfG</w:t>
      </w:r>
      <w:proofErr w:type="spellEnd"/>
      <w:r w:rsidR="000134D1">
        <w:t xml:space="preserve"> </w:t>
      </w:r>
      <w:r w:rsidR="00D72DD0">
        <w:t xml:space="preserve">program </w:t>
      </w:r>
      <w:r w:rsidR="000134D1">
        <w:t>($34 million over 2006</w:t>
      </w:r>
      <w:r w:rsidR="00A31436">
        <w:t>–</w:t>
      </w:r>
      <w:r w:rsidR="000134D1">
        <w:t xml:space="preserve">11). One of the </w:t>
      </w:r>
      <w:r w:rsidR="004A40BD">
        <w:t xml:space="preserve">main </w:t>
      </w:r>
      <w:r w:rsidR="000134D1">
        <w:t xml:space="preserve">objectives of </w:t>
      </w:r>
      <w:r w:rsidR="00D72DD0">
        <w:t xml:space="preserve">the program </w:t>
      </w:r>
      <w:r w:rsidR="000134D1">
        <w:t xml:space="preserve">is to promote economic growth </w:t>
      </w:r>
      <w:r w:rsidR="004A40BD">
        <w:t xml:space="preserve">by </w:t>
      </w:r>
      <w:r w:rsidR="000134D1">
        <w:t>supporting high</w:t>
      </w:r>
      <w:r w:rsidR="004A40BD">
        <w:t>-</w:t>
      </w:r>
      <w:r w:rsidR="000134D1">
        <w:t xml:space="preserve">impact economic reforms that have a material impact on people in rural areas in </w:t>
      </w:r>
      <w:r w:rsidR="00CE5E6F">
        <w:t xml:space="preserve">services </w:t>
      </w:r>
      <w:r w:rsidR="000134D1">
        <w:t>such as telecommunications, infrastructure, energy and tourism.</w:t>
      </w:r>
    </w:p>
    <w:p w:rsidR="000134D1" w:rsidRDefault="000134D1" w:rsidP="000134D1">
      <w:pPr>
        <w:pStyle w:val="BodyText"/>
      </w:pPr>
      <w:r>
        <w:t xml:space="preserve">The most substantial achievement towards this objective has been the introduction of competition in telecommunications in </w:t>
      </w:r>
      <w:smartTag w:uri="urn:schemas-microsoft-com:office:smarttags" w:element="place">
        <w:smartTag w:uri="urn:schemas-microsoft-com:office:smarttags" w:element="country-region">
          <w:r>
            <w:t>Vanuatu</w:t>
          </w:r>
        </w:smartTag>
      </w:smartTag>
      <w:r>
        <w:t xml:space="preserve"> with the </w:t>
      </w:r>
      <w:r w:rsidR="00CE5E6F">
        <w:t xml:space="preserve">entry of the </w:t>
      </w:r>
      <w:proofErr w:type="spellStart"/>
      <w:r>
        <w:t>Digicel</w:t>
      </w:r>
      <w:proofErr w:type="spellEnd"/>
      <w:r>
        <w:t xml:space="preserve"> network in June 2008. </w:t>
      </w:r>
      <w:proofErr w:type="spellStart"/>
      <w:r>
        <w:t>AusAID</w:t>
      </w:r>
      <w:proofErr w:type="spellEnd"/>
      <w:r w:rsidR="00CE5E6F">
        <w:t xml:space="preserve"> provided</w:t>
      </w:r>
      <w:r>
        <w:t xml:space="preserve"> support, through </w:t>
      </w:r>
      <w:r w:rsidR="00D72DD0">
        <w:t xml:space="preserve">the </w:t>
      </w:r>
      <w:proofErr w:type="spellStart"/>
      <w:r>
        <w:t>GfG</w:t>
      </w:r>
      <w:proofErr w:type="spellEnd"/>
      <w:r w:rsidR="00D72DD0">
        <w:t xml:space="preserve"> program</w:t>
      </w:r>
      <w:r>
        <w:t>, for the negotiated end to the Telecom Vanuatu monopoly</w:t>
      </w:r>
      <w:r w:rsidR="00CE5E6F">
        <w:t>, which</w:t>
      </w:r>
      <w:r>
        <w:t xml:space="preserve"> has resulted in massive gains in many sectors. As evidenced by sector data and an </w:t>
      </w:r>
      <w:proofErr w:type="spellStart"/>
      <w:r>
        <w:t>AusAID</w:t>
      </w:r>
      <w:proofErr w:type="spellEnd"/>
      <w:r>
        <w:t xml:space="preserve">-funded </w:t>
      </w:r>
      <w:r w:rsidR="00CE5E6F">
        <w:t>s</w:t>
      </w:r>
      <w:r>
        <w:t xml:space="preserve">ocial and </w:t>
      </w:r>
      <w:r w:rsidR="00CE5E6F">
        <w:t>e</w:t>
      </w:r>
      <w:r>
        <w:t xml:space="preserve">conomic </w:t>
      </w:r>
      <w:r w:rsidR="00CE5E6F">
        <w:t>i</w:t>
      </w:r>
      <w:r>
        <w:t xml:space="preserve">mpact </w:t>
      </w:r>
      <w:r w:rsidR="00CE5E6F">
        <w:t>s</w:t>
      </w:r>
      <w:r>
        <w:t>tudy,</w:t>
      </w:r>
      <w:r w:rsidR="00B3402A">
        <w:rPr>
          <w:rStyle w:val="FootnoteReference"/>
        </w:rPr>
        <w:footnoteReference w:id="5"/>
      </w:r>
      <w:r>
        <w:t xml:space="preserve"> competition has led to some impressive results: </w:t>
      </w:r>
    </w:p>
    <w:p w:rsidR="000134D1" w:rsidRDefault="000134D1" w:rsidP="00443A52">
      <w:pPr>
        <w:pStyle w:val="ListBullet"/>
      </w:pPr>
      <w:r>
        <w:t xml:space="preserve">More than 75 per cent of </w:t>
      </w:r>
      <w:smartTag w:uri="urn:schemas-microsoft-com:office:smarttags" w:element="place">
        <w:smartTag w:uri="urn:schemas-microsoft-com:office:smarttags" w:element="country-region">
          <w:r>
            <w:t>Vanuatu</w:t>
          </w:r>
        </w:smartTag>
      </w:smartTag>
      <w:r>
        <w:t>’s population now has access to mobile telephone coverage, representing approximately 88</w:t>
      </w:r>
      <w:r w:rsidR="004A40BD">
        <w:t> </w:t>
      </w:r>
      <w:r>
        <w:t>000 mobile subscribers, compared to 23</w:t>
      </w:r>
      <w:r w:rsidR="004A40BD">
        <w:t> </w:t>
      </w:r>
      <w:r>
        <w:t>000 in 2007. The</w:t>
      </w:r>
      <w:r w:rsidR="00CE5E6F">
        <w:t>re are</w:t>
      </w:r>
      <w:r>
        <w:t xml:space="preserve"> now 43 mobiles per 100 people, up from 30 per 100 less than a year ago. </w:t>
      </w:r>
      <w:proofErr w:type="spellStart"/>
      <w:r>
        <w:t>Digicel</w:t>
      </w:r>
      <w:proofErr w:type="spellEnd"/>
      <w:r>
        <w:t xml:space="preserve"> is expected to reach its licence-mandated coverage of 85 per cent of the population by the end of 2009. </w:t>
      </w:r>
    </w:p>
    <w:p w:rsidR="000134D1" w:rsidRDefault="000134D1" w:rsidP="00443A52">
      <w:pPr>
        <w:pStyle w:val="ListBullet"/>
      </w:pPr>
      <w:r>
        <w:t xml:space="preserve">SIM card prices have fallen from </w:t>
      </w:r>
      <w:r w:rsidR="006F698C">
        <w:t xml:space="preserve">an additional </w:t>
      </w:r>
      <w:r>
        <w:t>$60 to zero</w:t>
      </w:r>
      <w:r w:rsidR="006347E0">
        <w:t xml:space="preserve"> when buying a phone</w:t>
      </w:r>
      <w:r>
        <w:t>. Entry</w:t>
      </w:r>
      <w:r w:rsidR="005F5300">
        <w:t>-</w:t>
      </w:r>
      <w:r>
        <w:t xml:space="preserve">level handsets have fallen from $100 to $25, international call rates have been cut by half and mobile rates have shifted to per-second billing, leading to lower average call costs. </w:t>
      </w:r>
    </w:p>
    <w:p w:rsidR="000134D1" w:rsidRDefault="000134D1" w:rsidP="00443A52">
      <w:pPr>
        <w:pStyle w:val="ListBullet"/>
      </w:pPr>
      <w:r>
        <w:t xml:space="preserve">Broadband internet prices have also </w:t>
      </w:r>
      <w:r w:rsidR="005F5300">
        <w:t xml:space="preserve">reduced </w:t>
      </w:r>
      <w:r>
        <w:t xml:space="preserve">substantially, from $200 to $60 per month, in anticipation of competition in this market segment in 2009. </w:t>
      </w:r>
    </w:p>
    <w:p w:rsidR="000134D1" w:rsidRDefault="000134D1" w:rsidP="00443A52">
      <w:pPr>
        <w:pStyle w:val="ListBullet"/>
      </w:pPr>
      <w:r>
        <w:t xml:space="preserve">The digital divide between rural and urban communities is </w:t>
      </w:r>
      <w:r w:rsidR="006D7765">
        <w:t xml:space="preserve">lessening </w:t>
      </w:r>
      <w:r>
        <w:t>as mobile phones fast become the preferred mode of communication. They are allowing people easier access to personal and business information, enabling growing social and economic networks</w:t>
      </w:r>
      <w:r w:rsidR="006D7765">
        <w:t xml:space="preserve"> and</w:t>
      </w:r>
      <w:r>
        <w:t xml:space="preserve"> making some aspects of life simpler and some tasks easier. </w:t>
      </w:r>
    </w:p>
    <w:p w:rsidR="000134D1" w:rsidRDefault="000134D1" w:rsidP="00443A52">
      <w:pPr>
        <w:pStyle w:val="ListBullet"/>
      </w:pPr>
      <w:r>
        <w:t xml:space="preserve">There have been reductions in the cost of doing business (incremental benefits) as well as </w:t>
      </w:r>
      <w:r w:rsidR="006D7765">
        <w:t xml:space="preserve">expansion of </w:t>
      </w:r>
      <w:r>
        <w:t>business opportunities (transformational benefits).</w:t>
      </w:r>
    </w:p>
    <w:p w:rsidR="000134D1" w:rsidRDefault="000134D1" w:rsidP="000134D1">
      <w:pPr>
        <w:pStyle w:val="BodyText"/>
      </w:pPr>
      <w:r>
        <w:t xml:space="preserve">More broadly, preliminary estimates by MFEM suggest that telecommunications reform has contributed approximately </w:t>
      </w:r>
      <w:r w:rsidR="006D7765">
        <w:t xml:space="preserve">1 </w:t>
      </w:r>
      <w:r>
        <w:t xml:space="preserve">per cent to GDP growth, equating to around 200 million vatu. </w:t>
      </w:r>
    </w:p>
    <w:p w:rsidR="00261F3A" w:rsidRDefault="000134D1" w:rsidP="000134D1">
      <w:pPr>
        <w:pStyle w:val="BodyText"/>
      </w:pPr>
      <w:r>
        <w:t xml:space="preserve">The impact study also identified some areas of concern that </w:t>
      </w:r>
      <w:proofErr w:type="spellStart"/>
      <w:r>
        <w:t>AusAID</w:t>
      </w:r>
      <w:proofErr w:type="spellEnd"/>
      <w:r>
        <w:t xml:space="preserve"> will encourage </w:t>
      </w:r>
      <w:smartTag w:uri="urn:schemas-microsoft-com:office:smarttags" w:element="place">
        <w:smartTag w:uri="urn:schemas-microsoft-com:office:smarttags" w:element="country-region">
          <w:r>
            <w:t>Vanuatu</w:t>
          </w:r>
        </w:smartTag>
      </w:smartTag>
      <w:r>
        <w:t xml:space="preserve"> to watch closely. Gender inequity is evident in the sector</w:t>
      </w:r>
      <w:r w:rsidR="006D7765">
        <w:t>,</w:t>
      </w:r>
      <w:r>
        <w:t xml:space="preserve"> with men more likely than women to own mobile phones in both rural and urban areas. Both men and women also express</w:t>
      </w:r>
      <w:r w:rsidR="006D7765">
        <w:t>ed</w:t>
      </w:r>
      <w:r>
        <w:t xml:space="preserve"> </w:t>
      </w:r>
    </w:p>
    <w:p w:rsidR="000134D1" w:rsidRDefault="000134D1" w:rsidP="000134D1">
      <w:pPr>
        <w:pStyle w:val="BodyText"/>
      </w:pPr>
      <w:proofErr w:type="gramStart"/>
      <w:r>
        <w:lastRenderedPageBreak/>
        <w:t>anxiety</w:t>
      </w:r>
      <w:proofErr w:type="gramEnd"/>
      <w:r>
        <w:t xml:space="preserve"> about the added financial burden of having a phone. </w:t>
      </w:r>
      <w:proofErr w:type="spellStart"/>
      <w:r>
        <w:t>AusAID</w:t>
      </w:r>
      <w:proofErr w:type="spellEnd"/>
      <w:r>
        <w:t xml:space="preserve"> will support a follow-up social and economic impact study in June 2009, </w:t>
      </w:r>
      <w:r w:rsidR="006D7765">
        <w:t xml:space="preserve">which will enable </w:t>
      </w:r>
      <w:r>
        <w:t xml:space="preserve">a closer examination of the impact of a full year of competition. </w:t>
      </w:r>
      <w:r w:rsidR="006D7765">
        <w:t xml:space="preserve">The study </w:t>
      </w:r>
      <w:r>
        <w:t xml:space="preserve">will also investigate emerging anecdotal information that mobile phone use may be contributing to increased family tension as women gain a new measure of independence in communication. </w:t>
      </w:r>
    </w:p>
    <w:p w:rsidR="000134D1" w:rsidRDefault="000134D1" w:rsidP="000134D1">
      <w:pPr>
        <w:pStyle w:val="BodyText"/>
      </w:pPr>
      <w:r>
        <w:t xml:space="preserve">The Utilities Regulatory Authority, established in early 2008, is now operational and </w:t>
      </w:r>
      <w:r w:rsidR="006D7765">
        <w:t xml:space="preserve">is </w:t>
      </w:r>
      <w:r>
        <w:t xml:space="preserve">commencing a tariff review in the power sector. </w:t>
      </w:r>
      <w:r w:rsidR="006D7765">
        <w:t xml:space="preserve">It </w:t>
      </w:r>
      <w:r>
        <w:t>is also reviewing concession contracts for electricity and will re</w:t>
      </w:r>
      <w:r w:rsidR="006D7765">
        <w:t>-</w:t>
      </w:r>
      <w:r>
        <w:t xml:space="preserve">tender the concession contract for </w:t>
      </w:r>
      <w:proofErr w:type="spellStart"/>
      <w:r>
        <w:t>Luganville</w:t>
      </w:r>
      <w:proofErr w:type="spellEnd"/>
      <w:r>
        <w:t xml:space="preserve"> (</w:t>
      </w:r>
      <w:smartTag w:uri="urn:schemas-microsoft-com:office:smarttags" w:element="place">
        <w:smartTag w:uri="urn:schemas-microsoft-com:office:smarttags" w:element="country-region">
          <w:r>
            <w:t>Vanuatu</w:t>
          </w:r>
        </w:smartTag>
      </w:smartTag>
      <w:r>
        <w:t xml:space="preserve">’s second-largest concession) in 2009. While there is not yet any impact in terms of changed power tariffs, the foundations are being laid and the results will begin to emerge in late 2010. </w:t>
      </w:r>
    </w:p>
    <w:p w:rsidR="000134D1" w:rsidRDefault="000134D1" w:rsidP="000134D1">
      <w:pPr>
        <w:pStyle w:val="BodyText"/>
      </w:pPr>
      <w:r>
        <w:t xml:space="preserve">The commencement of the second phase of the TVET </w:t>
      </w:r>
      <w:r w:rsidR="00D72DD0">
        <w:t xml:space="preserve">program </w:t>
      </w:r>
      <w:r>
        <w:t xml:space="preserve">in </w:t>
      </w:r>
      <w:r w:rsidR="00822F48">
        <w:t>2008</w:t>
      </w:r>
      <w:r>
        <w:t xml:space="preserve">, with its focus on rural productivity, is expected to create valuable business and employment growth in the two project provinces, </w:t>
      </w:r>
      <w:proofErr w:type="spellStart"/>
      <w:r>
        <w:t>Sanma</w:t>
      </w:r>
      <w:proofErr w:type="spellEnd"/>
      <w:r>
        <w:t xml:space="preserve"> and </w:t>
      </w:r>
      <w:proofErr w:type="spellStart"/>
      <w:r>
        <w:t>Malampa</w:t>
      </w:r>
      <w:proofErr w:type="spellEnd"/>
      <w:r w:rsidR="006D7765">
        <w:t>,</w:t>
      </w:r>
      <w:r>
        <w:t xml:space="preserve"> in 2009 and beyond. With a strong monitoring and evaluation system, </w:t>
      </w:r>
      <w:proofErr w:type="spellStart"/>
      <w:r>
        <w:t>AusAID</w:t>
      </w:r>
      <w:proofErr w:type="spellEnd"/>
      <w:r>
        <w:t xml:space="preserve"> expects a good flow of data </w:t>
      </w:r>
      <w:r w:rsidR="006D7765">
        <w:t>for</w:t>
      </w:r>
      <w:r>
        <w:t xml:space="preserve"> monitor</w:t>
      </w:r>
      <w:r w:rsidR="006D7765">
        <w:t>ing</w:t>
      </w:r>
      <w:r>
        <w:t xml:space="preserve"> the impact. </w:t>
      </w:r>
    </w:p>
    <w:p w:rsidR="000134D1" w:rsidRDefault="000134D1" w:rsidP="000134D1">
      <w:pPr>
        <w:pStyle w:val="BodyText"/>
      </w:pPr>
      <w:smartTag w:uri="urn:schemas-microsoft-com:office:smarttags" w:element="country-region">
        <w:r>
          <w:t>Vanuatu</w:t>
        </w:r>
      </w:smartTag>
      <w:r>
        <w:t xml:space="preserve"> applicants did well in accessing the </w:t>
      </w:r>
      <w:smartTag w:uri="urn:schemas-microsoft-com:office:smarttags" w:element="place">
        <w:r>
          <w:t>Asia</w:t>
        </w:r>
      </w:smartTag>
      <w:r>
        <w:t xml:space="preserve"> Pacific-wide Enterprise Challenge Fund. Three out of </w:t>
      </w:r>
      <w:r w:rsidR="006D7765">
        <w:t xml:space="preserve">13 </w:t>
      </w:r>
      <w:r>
        <w:t xml:space="preserve">awards from the </w:t>
      </w:r>
      <w:r w:rsidR="006D7765">
        <w:t>f</w:t>
      </w:r>
      <w:r>
        <w:t xml:space="preserve">und were to Vanuatu-based project proposals, supporting inter-island shipping, wharf development to enable new cruise ship visits to outer islands and a women-owned cosmetics business in </w:t>
      </w:r>
      <w:proofErr w:type="spellStart"/>
      <w:r>
        <w:t>Malekula</w:t>
      </w:r>
      <w:proofErr w:type="spellEnd"/>
      <w:r>
        <w:t xml:space="preserve">. </w:t>
      </w:r>
      <w:proofErr w:type="spellStart"/>
      <w:r>
        <w:t>AusAID</w:t>
      </w:r>
      <w:proofErr w:type="spellEnd"/>
      <w:r>
        <w:t xml:space="preserve"> will monitor the impact of these awards over the coming year. </w:t>
      </w:r>
    </w:p>
    <w:p w:rsidR="000134D1" w:rsidRDefault="000134D1" w:rsidP="000134D1">
      <w:pPr>
        <w:pStyle w:val="BodyText"/>
      </w:pPr>
      <w:r>
        <w:t>Some planned activities towards this objective have not proceeded or have met with little success. The planned study into the gender aspects of growth, focusing on the role of women in the formal and informal economies</w:t>
      </w:r>
      <w:r w:rsidR="006D7765">
        <w:t>,</w:t>
      </w:r>
      <w:r>
        <w:t xml:space="preserve"> has been delayed, and may need to be amended to reflect the impact of the global recession. Instead, the program’s focus on gender analysis has been taken forward through sector-specific research such as the telecom</w:t>
      </w:r>
      <w:r w:rsidR="006D7765">
        <w:t>munication</w:t>
      </w:r>
      <w:r>
        <w:t>s impact study.</w:t>
      </w:r>
      <w:r w:rsidR="00C20D65">
        <w:t xml:space="preserve"> </w:t>
      </w:r>
      <w:r w:rsidR="006D7765">
        <w:t>R</w:t>
      </w:r>
      <w:r>
        <w:t xml:space="preserve">eforms to commodities marketing following a </w:t>
      </w:r>
      <w:proofErr w:type="spellStart"/>
      <w:r>
        <w:t>GfG</w:t>
      </w:r>
      <w:proofErr w:type="spellEnd"/>
      <w:r>
        <w:t xml:space="preserve">-supported review of the Vanuatu Commodities Marketing Board remain stalled and dependent on political negotiations, and the part-sale of Air </w:t>
      </w:r>
      <w:smartTag w:uri="urn:schemas-microsoft-com:office:smarttags" w:element="place">
        <w:smartTag w:uri="urn:schemas-microsoft-com:office:smarttags" w:element="country-region">
          <w:r>
            <w:t>Vanuatu</w:t>
          </w:r>
        </w:smartTag>
      </w:smartTag>
      <w:r>
        <w:t xml:space="preserve"> did not proceed when mutually agreeable terms could not be negotiated with Pacific Blue. However, the attempted sale did demonstrate the benefits of </w:t>
      </w:r>
      <w:r w:rsidR="006D7765">
        <w:t>g</w:t>
      </w:r>
      <w:r>
        <w:t xml:space="preserve">overnment making an informed policy choice and avoiding entering into an unfavourable deal. </w:t>
      </w:r>
    </w:p>
    <w:p w:rsidR="000134D1" w:rsidRDefault="00D72DD0" w:rsidP="000134D1">
      <w:pPr>
        <w:pStyle w:val="BodyText"/>
      </w:pPr>
      <w:r>
        <w:t xml:space="preserve">The </w:t>
      </w:r>
      <w:proofErr w:type="spellStart"/>
      <w:r w:rsidR="000134D1">
        <w:t>GfG</w:t>
      </w:r>
      <w:proofErr w:type="spellEnd"/>
      <w:r w:rsidR="000134D1">
        <w:t xml:space="preserve"> </w:t>
      </w:r>
      <w:r>
        <w:t xml:space="preserve">program </w:t>
      </w:r>
      <w:r w:rsidR="000134D1">
        <w:t xml:space="preserve">has made </w:t>
      </w:r>
      <w:r w:rsidR="00FB183B">
        <w:t>limited</w:t>
      </w:r>
      <w:r w:rsidR="000134D1">
        <w:t xml:space="preserve"> headway with its support for rural electrification. A feasibility study to identify pilot activities for renewable energy investments in rural areas was completed with </w:t>
      </w:r>
      <w:proofErr w:type="spellStart"/>
      <w:r w:rsidR="000134D1">
        <w:t>AusAID</w:t>
      </w:r>
      <w:proofErr w:type="spellEnd"/>
      <w:r w:rsidR="000134D1">
        <w:t xml:space="preserve"> funding, but potential projects require additional development before investments can be made. The market for energy products and services in </w:t>
      </w:r>
      <w:smartTag w:uri="urn:schemas-microsoft-com:office:smarttags" w:element="place">
        <w:smartTag w:uri="urn:schemas-microsoft-com:office:smarttags" w:element="country-region">
          <w:r w:rsidR="000134D1">
            <w:t>Vanuatu</w:t>
          </w:r>
        </w:smartTag>
      </w:smartTag>
      <w:r w:rsidR="000134D1">
        <w:t xml:space="preserve"> is in its infancy</w:t>
      </w:r>
      <w:r w:rsidR="006D7765">
        <w:t>,</w:t>
      </w:r>
      <w:r w:rsidR="000134D1">
        <w:t xml:space="preserve"> and this continues to pose a challenge for expanding access to power. </w:t>
      </w:r>
      <w:proofErr w:type="spellStart"/>
      <w:r w:rsidR="000134D1">
        <w:t>AusAID</w:t>
      </w:r>
      <w:proofErr w:type="spellEnd"/>
      <w:r w:rsidR="000134D1">
        <w:t xml:space="preserve"> will turn additional attention to this sector in 2009, </w:t>
      </w:r>
      <w:r w:rsidR="006D7765">
        <w:t>through</w:t>
      </w:r>
      <w:r w:rsidR="000134D1">
        <w:t xml:space="preserve"> its </w:t>
      </w:r>
      <w:r w:rsidR="006D7765">
        <w:t>p</w:t>
      </w:r>
      <w:r w:rsidR="000134D1">
        <w:t xml:space="preserve">ower </w:t>
      </w:r>
      <w:r w:rsidR="006D7765">
        <w:t>s</w:t>
      </w:r>
      <w:r w:rsidR="000134D1">
        <w:t xml:space="preserve">ector </w:t>
      </w:r>
      <w:r w:rsidR="006D7765">
        <w:t>a</w:t>
      </w:r>
      <w:r w:rsidR="000134D1">
        <w:t xml:space="preserve">dviser in the Energy Unit in the Ministry of Lands, </w:t>
      </w:r>
      <w:r w:rsidR="006D7765">
        <w:t xml:space="preserve">who was </w:t>
      </w:r>
      <w:r w:rsidR="000134D1">
        <w:t xml:space="preserve">appointed in late 2008. However, it may be that, in light of the difficult context and the weaknesses in the Energy Unit, </w:t>
      </w:r>
      <w:proofErr w:type="spellStart"/>
      <w:r w:rsidR="000134D1">
        <w:t>AusAID</w:t>
      </w:r>
      <w:proofErr w:type="spellEnd"/>
      <w:r w:rsidR="000134D1">
        <w:t xml:space="preserve"> should </w:t>
      </w:r>
      <w:r w:rsidR="00CC5C82">
        <w:t xml:space="preserve">consider </w:t>
      </w:r>
      <w:r w:rsidR="000134D1">
        <w:t>redirect</w:t>
      </w:r>
      <w:r w:rsidR="00CC5C82">
        <w:t>ing</w:t>
      </w:r>
      <w:r w:rsidR="000134D1">
        <w:t xml:space="preserve"> its efforts to areas that are more likely to be successful. </w:t>
      </w:r>
    </w:p>
    <w:p w:rsidR="00794B4D" w:rsidRDefault="000134D1" w:rsidP="000134D1">
      <w:pPr>
        <w:pStyle w:val="BodyText"/>
      </w:pPr>
      <w:r>
        <w:t xml:space="preserve">Recent estimates by the Australian Treasury adviser in MFEM suggest that a </w:t>
      </w:r>
      <w:r w:rsidR="00CC5C82">
        <w:t xml:space="preserve">1 </w:t>
      </w:r>
      <w:r>
        <w:t xml:space="preserve">per cent increase in cruise ship and air arrivals in </w:t>
      </w:r>
      <w:smartTag w:uri="urn:schemas-microsoft-com:office:smarttags" w:element="place">
        <w:smartTag w:uri="urn:schemas-microsoft-com:office:smarttags" w:element="country-region">
          <w:r>
            <w:t>Vanuatu</w:t>
          </w:r>
        </w:smartTag>
      </w:smartTag>
      <w:r>
        <w:t xml:space="preserve"> contributes 0.5 per cent to GDP. Complementing the efforts of the </w:t>
      </w:r>
      <w:smartTag w:uri="urn:schemas-microsoft-com:office:smarttags" w:element="place">
        <w:smartTag w:uri="urn:schemas-microsoft-com:office:smarttags" w:element="PlaceName">
          <w:r>
            <w:t>Australia</w:t>
          </w:r>
        </w:smartTag>
        <w:r>
          <w:t xml:space="preserve"> </w:t>
        </w:r>
        <w:smartTag w:uri="urn:schemas-microsoft-com:office:smarttags" w:element="PlaceName">
          <w:r>
            <w:t>Pacific</w:t>
          </w:r>
        </w:smartTag>
        <w:r>
          <w:t xml:space="preserve"> </w:t>
        </w:r>
        <w:smartTag w:uri="urn:schemas-microsoft-com:office:smarttags" w:element="PlaceName">
          <w:r>
            <w:t>Technical</w:t>
          </w:r>
        </w:smartTag>
        <w:r>
          <w:t xml:space="preserve"> </w:t>
        </w:r>
        <w:smartTag w:uri="urn:schemas-microsoft-com:office:smarttags" w:element="PlaceType">
          <w:r>
            <w:t>College</w:t>
          </w:r>
        </w:smartTag>
      </w:smartTag>
      <w:r>
        <w:t xml:space="preserve"> in training hospitality workers to Australian Certificate III and IV standards, </w:t>
      </w:r>
      <w:proofErr w:type="spellStart"/>
      <w:r>
        <w:t>AusAID</w:t>
      </w:r>
      <w:proofErr w:type="spellEnd"/>
      <w:r>
        <w:t xml:space="preserve"> is therefore considering reinvigorating its support in the tourism sector in 2009. This support will likely focus on</w:t>
      </w:r>
    </w:p>
    <w:p w:rsidR="00794B4D" w:rsidRDefault="00794B4D" w:rsidP="00794B4D">
      <w:pPr>
        <w:pStyle w:val="Subtitle"/>
        <w:rPr>
          <w:rFonts w:ascii="Georgia" w:hAnsi="Georgia"/>
          <w:sz w:val="19"/>
          <w:szCs w:val="19"/>
        </w:rPr>
      </w:pPr>
      <w:r>
        <w:br w:type="page"/>
      </w:r>
    </w:p>
    <w:p w:rsidR="000134D1" w:rsidRDefault="000134D1" w:rsidP="000134D1">
      <w:pPr>
        <w:pStyle w:val="BodyText"/>
      </w:pPr>
      <w:r>
        <w:lastRenderedPageBreak/>
        <w:t xml:space="preserve"> </w:t>
      </w:r>
      <w:proofErr w:type="gramStart"/>
      <w:r>
        <w:t>destination</w:t>
      </w:r>
      <w:proofErr w:type="gramEnd"/>
      <w:r>
        <w:t xml:space="preserve"> marketing, particularly in </w:t>
      </w:r>
      <w:smartTag w:uri="urn:schemas-microsoft-com:office:smarttags" w:element="place">
        <w:smartTag w:uri="urn:schemas-microsoft-com:office:smarttags" w:element="country-region">
          <w:r>
            <w:t>Australia</w:t>
          </w:r>
        </w:smartTag>
      </w:smartTag>
      <w:r>
        <w:t>. The expected impact of the global recession makes this support all the more necessary.</w:t>
      </w:r>
    </w:p>
    <w:p w:rsidR="000134D1" w:rsidRDefault="000134D1" w:rsidP="000134D1">
      <w:pPr>
        <w:pStyle w:val="BodyText"/>
      </w:pPr>
      <w:r>
        <w:t xml:space="preserve">Infrastructure constraints in </w:t>
      </w:r>
      <w:smartTag w:uri="urn:schemas-microsoft-com:office:smarttags" w:element="place">
        <w:smartTag w:uri="urn:schemas-microsoft-com:office:smarttags" w:element="country-region">
          <w:r>
            <w:t>Vanuatu</w:t>
          </w:r>
        </w:smartTag>
      </w:smartTag>
      <w:r>
        <w:t xml:space="preserve"> limit opportunities for economic growth and the expansion of major industries, including tourism, outside Port Vila. Poor roads and unreliable shipping services increase unit transport costs and times, and inefficiency at the wharves increase</w:t>
      </w:r>
      <w:r w:rsidR="00CC5C82">
        <w:t>s</w:t>
      </w:r>
      <w:r>
        <w:t xml:space="preserve"> the cost</w:t>
      </w:r>
      <w:r w:rsidR="00CC5C82">
        <w:t>s</w:t>
      </w:r>
      <w:r>
        <w:t xml:space="preserve"> of importing and exporting. Rural roads are inadequately maintained and in need of rehabilitation. Current budget provision for maintenance is about a quarter of what is required. Therefore, a major focus for the coming year is the tendering and commencement of the Vanuatu Transport Sector Support Program (VTSSP). </w:t>
      </w:r>
      <w:r w:rsidR="00CC5C82">
        <w:t xml:space="preserve">The program will </w:t>
      </w:r>
      <w:r>
        <w:t xml:space="preserve">be managed by </w:t>
      </w:r>
      <w:r w:rsidR="00D72DD0">
        <w:t xml:space="preserve">the </w:t>
      </w:r>
      <w:proofErr w:type="spellStart"/>
      <w:r>
        <w:t>GfG</w:t>
      </w:r>
      <w:proofErr w:type="spellEnd"/>
      <w:r w:rsidR="00D72DD0">
        <w:t xml:space="preserve"> program</w:t>
      </w:r>
      <w:r>
        <w:t xml:space="preserve"> </w:t>
      </w:r>
      <w:r w:rsidR="00CC5C82">
        <w:t xml:space="preserve">and </w:t>
      </w:r>
      <w:r>
        <w:t>supported by a contracted service provider</w:t>
      </w:r>
      <w:r w:rsidR="00CC5C82">
        <w:t>.</w:t>
      </w:r>
      <w:r>
        <w:t xml:space="preserve"> VTSSP will commence up to 15 years of support with a three</w:t>
      </w:r>
      <w:r w:rsidR="00CC5C82">
        <w:t>-</w:t>
      </w:r>
      <w:r>
        <w:t xml:space="preserve">year first phase, starting in late 2009. </w:t>
      </w:r>
    </w:p>
    <w:p w:rsidR="000134D1" w:rsidRDefault="000134D1" w:rsidP="000134D1">
      <w:pPr>
        <w:pStyle w:val="BodyText"/>
      </w:pPr>
      <w:r>
        <w:t xml:space="preserve">Initially complementing the Millennium Challenge Account infrastructure projects, VTSSP will complete selected roads projects (mainly on </w:t>
      </w:r>
      <w:proofErr w:type="spellStart"/>
      <w:r>
        <w:t>Tanna</w:t>
      </w:r>
      <w:proofErr w:type="spellEnd"/>
      <w:r>
        <w:t xml:space="preserve">, </w:t>
      </w:r>
      <w:proofErr w:type="spellStart"/>
      <w:r>
        <w:t>Ambae</w:t>
      </w:r>
      <w:proofErr w:type="spellEnd"/>
      <w:r>
        <w:t xml:space="preserve"> and </w:t>
      </w:r>
      <w:proofErr w:type="spellStart"/>
      <w:r>
        <w:t>Malekula</w:t>
      </w:r>
      <w:proofErr w:type="spellEnd"/>
      <w:r>
        <w:t xml:space="preserve">) and begin working with the Public Works Department on </w:t>
      </w:r>
      <w:r w:rsidR="00CC5C82">
        <w:t xml:space="preserve">building </w:t>
      </w:r>
      <w:r>
        <w:t>maintenance and management capacity. The first phase is intended to lay the foundation</w:t>
      </w:r>
      <w:r w:rsidR="00CC5C82">
        <w:t>s</w:t>
      </w:r>
      <w:r>
        <w:t xml:space="preserve"> for an eventual move to a sector approach in subsequent phases. The development of the VTSSP has reflected Accra </w:t>
      </w:r>
      <w:r w:rsidR="0066555C">
        <w:t xml:space="preserve">Action Agenda </w:t>
      </w:r>
      <w:r>
        <w:t xml:space="preserve">principles and expectations of sustainability are high, with generally strong </w:t>
      </w:r>
      <w:r w:rsidR="00CC5C82">
        <w:t>g</w:t>
      </w:r>
      <w:r>
        <w:t xml:space="preserve">overnment support. Representing a 50 per cent increase in the budget managed through </w:t>
      </w:r>
      <w:r w:rsidR="00D72DD0">
        <w:t xml:space="preserve">the </w:t>
      </w:r>
      <w:proofErr w:type="spellStart"/>
      <w:r>
        <w:t>GfG</w:t>
      </w:r>
      <w:proofErr w:type="spellEnd"/>
      <w:r w:rsidR="00D72DD0">
        <w:t xml:space="preserve"> program</w:t>
      </w:r>
      <w:r>
        <w:t xml:space="preserve">, </w:t>
      </w:r>
      <w:r w:rsidR="00CC5C82">
        <w:t>VTSSP</w:t>
      </w:r>
      <w:r>
        <w:t xml:space="preserve"> will also create approximately 160</w:t>
      </w:r>
      <w:r w:rsidR="00CC5C82">
        <w:t> </w:t>
      </w:r>
      <w:r>
        <w:t xml:space="preserve">000 additional workdays in selected provinces, and will provide a major spur for private sector development outside the main centres. </w:t>
      </w:r>
    </w:p>
    <w:p w:rsidR="000134D1" w:rsidRDefault="000134D1" w:rsidP="000134D1">
      <w:pPr>
        <w:pStyle w:val="BodyText"/>
      </w:pPr>
      <w:r>
        <w:t xml:space="preserve">In light of the substantial achievements in </w:t>
      </w:r>
      <w:r w:rsidR="00822F48">
        <w:t>2008</w:t>
      </w:r>
      <w:r>
        <w:t xml:space="preserve">, progress towards this objective continues to be rated </w:t>
      </w:r>
      <w:r w:rsidR="00CC5C82">
        <w:t>g</w:t>
      </w:r>
      <w:r>
        <w:t xml:space="preserve">reen. </w:t>
      </w:r>
    </w:p>
    <w:p w:rsidR="000134D1" w:rsidRDefault="000134D1" w:rsidP="00443A52">
      <w:pPr>
        <w:pStyle w:val="Heading3"/>
      </w:pPr>
      <w:r>
        <w:t>Estimated expenditure</w:t>
      </w:r>
    </w:p>
    <w:p w:rsidR="000134D1" w:rsidRDefault="000134D1" w:rsidP="000134D1">
      <w:pPr>
        <w:pStyle w:val="BodyText"/>
      </w:pPr>
      <w:r>
        <w:t xml:space="preserve">Approximately 36.4 per cent ($15 million) </w:t>
      </w:r>
      <w:r w:rsidR="00CC5C82">
        <w:t xml:space="preserve">of the </w:t>
      </w:r>
      <w:smartTag w:uri="urn:schemas-microsoft-com:office:smarttags" w:element="place">
        <w:smartTag w:uri="urn:schemas-microsoft-com:office:smarttags" w:element="country-region">
          <w:r w:rsidR="00CC5C82">
            <w:t>Vanuatu</w:t>
          </w:r>
        </w:smartTag>
      </w:smartTag>
      <w:r w:rsidR="00CC5C82">
        <w:t xml:space="preserve"> aid program budget </w:t>
      </w:r>
      <w:r>
        <w:t xml:space="preserve">was spent on this objective in </w:t>
      </w:r>
      <w:r w:rsidR="00822F48">
        <w:t>2008</w:t>
      </w:r>
      <w:r>
        <w:t>.</w:t>
      </w:r>
    </w:p>
    <w:p w:rsidR="000134D1" w:rsidRDefault="000134D1" w:rsidP="00443A52">
      <w:pPr>
        <w:pStyle w:val="Heading2unnumbered"/>
      </w:pPr>
      <w:bookmarkStart w:id="27" w:name="_Toc360984093"/>
      <w:r>
        <w:t xml:space="preserve">Objective 7: Greater </w:t>
      </w:r>
      <w:r w:rsidR="006545BF">
        <w:t>d</w:t>
      </w:r>
      <w:r>
        <w:t xml:space="preserve">emand for </w:t>
      </w:r>
      <w:r w:rsidR="006545BF">
        <w:t>b</w:t>
      </w:r>
      <w:r>
        <w:t xml:space="preserve">etter </w:t>
      </w:r>
      <w:r w:rsidR="006545BF">
        <w:t>g</w:t>
      </w:r>
      <w:r>
        <w:t>overnance</w:t>
      </w:r>
      <w:bookmarkEnd w:id="27"/>
      <w:r>
        <w:t xml:space="preserve"> </w:t>
      </w:r>
    </w:p>
    <w:p w:rsidR="000134D1" w:rsidRDefault="00443A52" w:rsidP="00443A52">
      <w:pPr>
        <w:pStyle w:val="Heading3"/>
      </w:pPr>
      <w:r>
        <w:t>Rating</w:t>
      </w:r>
    </w:p>
    <w:p w:rsidR="000134D1" w:rsidRDefault="00382599" w:rsidP="00904E49">
      <w:pPr>
        <w:pStyle w:val="Ratinggreen"/>
        <w:numPr>
          <w:ilvl w:val="0"/>
          <w:numId w:val="0"/>
        </w:numPr>
      </w:pPr>
      <w:r>
        <w:rPr>
          <w:noProof/>
          <w:lang w:val="en-US" w:eastAsia="en-US"/>
        </w:rPr>
        <mc:AlternateContent>
          <mc:Choice Requires="wps">
            <w:drawing>
              <wp:inline distT="0" distB="0" distL="0" distR="0" wp14:anchorId="496E274A" wp14:editId="21E625EA">
                <wp:extent cx="154305" cy="154305"/>
                <wp:effectExtent l="0" t="0" r="0" b="0"/>
                <wp:docPr id="11" name="Rectangle 4" descr="Gree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305" cy="154305"/>
                        </a:xfrm>
                        <a:prstGeom prst="rect">
                          <a:avLst/>
                        </a:prstGeom>
                        <a:solidFill>
                          <a:srgbClr val="7DBE28"/>
                        </a:solidFill>
                        <a:ln>
                          <a:noFill/>
                        </a:ln>
                        <a:effectLst/>
                        <a:extLst/>
                      </wps:spPr>
                      <wps:bodyPr rot="0" vert="horz" wrap="square" lIns="91440" tIns="45720" rIns="91440" bIns="45720" anchor="t" anchorCtr="0" upright="1">
                        <a:noAutofit/>
                      </wps:bodyPr>
                    </wps:wsp>
                  </a:graphicData>
                </a:graphic>
              </wp:inline>
            </w:drawing>
          </mc:Choice>
          <mc:Fallback>
            <w:pict>
              <v:rect w14:anchorId="0427CF57" id="Rectangle 4" o:spid="_x0000_s1026" alt="Green" style="width:12.1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" fillcolor="#7dbe28" stroked="f">
                <w10:wrap anchorx="page"/>
                <w10:anchorlock/>
              </v:rect>
            </w:pict>
          </mc:Fallback>
        </mc:AlternateContent>
      </w:r>
      <w:r w:rsidR="00904E49">
        <w:rPr>
          <w:rFonts w:cs="Georgia"/>
        </w:rPr>
        <w:t xml:space="preserve">  </w:t>
      </w:r>
      <w:r w:rsidR="000134D1">
        <w:rPr>
          <w:rFonts w:cs="Georgia"/>
        </w:rPr>
        <w:t>The objective is on track to be fully achieved within the timeframe</w:t>
      </w:r>
      <w:r w:rsidR="00443A52">
        <w:rPr>
          <w:rFonts w:cs="Georgia"/>
        </w:rPr>
        <w:t>.</w:t>
      </w:r>
    </w:p>
    <w:p w:rsidR="000134D1" w:rsidRDefault="000134D1" w:rsidP="00443A52">
      <w:pPr>
        <w:pStyle w:val="Heading3"/>
      </w:pPr>
      <w:r>
        <w:t>Assessment of results and performance</w:t>
      </w:r>
    </w:p>
    <w:p w:rsidR="000134D1" w:rsidRDefault="000134D1" w:rsidP="000134D1">
      <w:pPr>
        <w:pStyle w:val="BodyText"/>
      </w:pPr>
      <w:r>
        <w:t xml:space="preserve">Since the preparation of the </w:t>
      </w:r>
      <w:smartTag w:uri="urn:schemas-microsoft-com:office:smarttags" w:element="country-region">
        <w:r w:rsidR="00CC5C82">
          <w:t>Vanuatu</w:t>
        </w:r>
      </w:smartTag>
      <w:r w:rsidR="00CC5C82">
        <w:t xml:space="preserve"> c</w:t>
      </w:r>
      <w:r>
        <w:t xml:space="preserve">ountry </w:t>
      </w:r>
      <w:r w:rsidR="00CC5C82">
        <w:t>s</w:t>
      </w:r>
      <w:r>
        <w:t xml:space="preserve">trategy, </w:t>
      </w:r>
      <w:proofErr w:type="spellStart"/>
      <w:r>
        <w:t>AusAID</w:t>
      </w:r>
      <w:proofErr w:type="spellEnd"/>
      <w:r>
        <w:t xml:space="preserve"> has </w:t>
      </w:r>
      <w:r w:rsidR="00944CD3">
        <w:t xml:space="preserve">developed </w:t>
      </w:r>
      <w:r>
        <w:t xml:space="preserve">a growing program of work that aims to </w:t>
      </w:r>
      <w:r w:rsidR="008A1261">
        <w:t>build</w:t>
      </w:r>
      <w:r w:rsidR="00CC5C82">
        <w:t xml:space="preserve"> </w:t>
      </w:r>
      <w:r>
        <w:t xml:space="preserve">demand for improved governance in </w:t>
      </w:r>
      <w:smartTag w:uri="urn:schemas-microsoft-com:office:smarttags" w:element="place">
        <w:smartTag w:uri="urn:schemas-microsoft-com:office:smarttags" w:element="country-region">
          <w:r>
            <w:t>Vanuatu</w:t>
          </w:r>
        </w:smartTag>
      </w:smartTag>
      <w:r>
        <w:t xml:space="preserve">. It responds to the reality that community demand plays a crucial role in strengthening governance and addressing corruption. Work towards this objective directly complements the efforts made through </w:t>
      </w:r>
      <w:proofErr w:type="spellStart"/>
      <w:r>
        <w:t>GfG</w:t>
      </w:r>
      <w:proofErr w:type="spellEnd"/>
      <w:r>
        <w:t xml:space="preserve"> and other programs in governance.</w:t>
      </w:r>
      <w:r w:rsidR="00C20D65">
        <w:t xml:space="preserve"> </w:t>
      </w:r>
    </w:p>
    <w:p w:rsidR="00794B4D" w:rsidRDefault="000134D1" w:rsidP="000134D1">
      <w:pPr>
        <w:pStyle w:val="BodyText"/>
      </w:pPr>
      <w:proofErr w:type="spellStart"/>
      <w:r>
        <w:t>AusAID</w:t>
      </w:r>
      <w:proofErr w:type="spellEnd"/>
      <w:r>
        <w:t xml:space="preserve"> support to radio in </w:t>
      </w:r>
      <w:smartTag w:uri="urn:schemas-microsoft-com:office:smarttags" w:element="place">
        <w:smartTag w:uri="urn:schemas-microsoft-com:office:smarttags" w:element="country-region">
          <w:r>
            <w:t>Vanuatu</w:t>
          </w:r>
        </w:smartTag>
      </w:smartTag>
      <w:r>
        <w:t xml:space="preserve"> is intended to increase access to independent quality information and thereby raise the level of awareness of issues of importance.</w:t>
      </w:r>
      <w:r w:rsidR="00C20D65">
        <w:t xml:space="preserve"> </w:t>
      </w:r>
      <w:r>
        <w:t xml:space="preserve">There have been some important successes </w:t>
      </w:r>
      <w:r w:rsidR="008A1261">
        <w:t xml:space="preserve">in </w:t>
      </w:r>
      <w:r w:rsidR="00822F48">
        <w:t>2008</w:t>
      </w:r>
      <w:r>
        <w:t xml:space="preserve">, as evidenced by the early 2009 review of the </w:t>
      </w:r>
      <w:proofErr w:type="spellStart"/>
      <w:r>
        <w:t>Vois</w:t>
      </w:r>
      <w:proofErr w:type="spellEnd"/>
      <w:r>
        <w:t xml:space="preserve"> </w:t>
      </w:r>
      <w:proofErr w:type="spellStart"/>
      <w:r>
        <w:t>Blong</w:t>
      </w:r>
      <w:proofErr w:type="spellEnd"/>
      <w:r>
        <w:t xml:space="preserve"> </w:t>
      </w:r>
    </w:p>
    <w:p w:rsidR="00794B4D" w:rsidRDefault="00794B4D" w:rsidP="00794B4D">
      <w:pPr>
        <w:pStyle w:val="Subtitle"/>
        <w:rPr>
          <w:rFonts w:ascii="Georgia" w:hAnsi="Georgia"/>
          <w:sz w:val="19"/>
          <w:szCs w:val="19"/>
        </w:rPr>
      </w:pPr>
      <w:r>
        <w:br w:type="page"/>
      </w:r>
    </w:p>
    <w:p w:rsidR="000134D1" w:rsidRDefault="000134D1" w:rsidP="000134D1">
      <w:pPr>
        <w:pStyle w:val="BodyText"/>
      </w:pPr>
      <w:proofErr w:type="spellStart"/>
      <w:r>
        <w:lastRenderedPageBreak/>
        <w:t>Yumi</w:t>
      </w:r>
      <w:proofErr w:type="spellEnd"/>
      <w:r>
        <w:t xml:space="preserve"> partnership between Radio Vanuatu and the Australian Broadcasting Corporation ($2.6</w:t>
      </w:r>
      <w:r w:rsidR="00CC5C82">
        <w:t> </w:t>
      </w:r>
      <w:r>
        <w:t>m</w:t>
      </w:r>
      <w:r w:rsidR="00CC5C82">
        <w:t>illion</w:t>
      </w:r>
      <w:r>
        <w:t xml:space="preserve"> over two years). As a result of this partnership, plus additional donor funding, 70</w:t>
      </w:r>
      <w:r w:rsidR="00CC5C82">
        <w:t> </w:t>
      </w:r>
      <w:r>
        <w:t xml:space="preserve">per cent of </w:t>
      </w:r>
      <w:r w:rsidR="00864C36">
        <w:t xml:space="preserve">the </w:t>
      </w:r>
      <w:smartTag w:uri="urn:schemas-microsoft-com:office:smarttags" w:element="country-region">
        <w:smartTag w:uri="urn:schemas-microsoft-com:office:smarttags" w:element="place">
          <w:r>
            <w:t>Vanuatu</w:t>
          </w:r>
        </w:smartTag>
      </w:smartTag>
      <w:r>
        <w:t xml:space="preserve"> </w:t>
      </w:r>
      <w:r w:rsidR="00864C36">
        <w:t xml:space="preserve">population </w:t>
      </w:r>
      <w:r>
        <w:t xml:space="preserve">now receives a radio signal, up from 15 per cent early in 2008. Importantly, this expansion was achieved before the national elections. Radio </w:t>
      </w:r>
      <w:smartTag w:uri="urn:schemas-microsoft-com:office:smarttags" w:element="place">
        <w:smartTag w:uri="urn:schemas-microsoft-com:office:smarttags" w:element="country-region">
          <w:r>
            <w:t>Vanuatu</w:t>
          </w:r>
        </w:smartTag>
      </w:smartTag>
      <w:r>
        <w:t xml:space="preserve"> made substantial improvements in its programming and content, informed by a national </w:t>
      </w:r>
      <w:r w:rsidR="00CC5C82">
        <w:t>a</w:t>
      </w:r>
      <w:r>
        <w:t xml:space="preserve">udience </w:t>
      </w:r>
      <w:r w:rsidR="00CC5C82">
        <w:t>s</w:t>
      </w:r>
      <w:r>
        <w:t xml:space="preserve">urvey. Programming changes were supported by a new </w:t>
      </w:r>
      <w:r w:rsidR="00CC5C82">
        <w:t>e</w:t>
      </w:r>
      <w:r>
        <w:t xml:space="preserve">ditorial </w:t>
      </w:r>
      <w:r w:rsidR="00CC5C82">
        <w:t>p</w:t>
      </w:r>
      <w:r>
        <w:t>olicy that provide</w:t>
      </w:r>
      <w:r w:rsidR="00CC5C82">
        <w:t>s</w:t>
      </w:r>
      <w:r>
        <w:t xml:space="preserve"> a foundation for improved accuracy, impartiality and objectivity and which has proven a valuable tool for staff to manage political influence. </w:t>
      </w:r>
      <w:proofErr w:type="spellStart"/>
      <w:r>
        <w:t>AusAID</w:t>
      </w:r>
      <w:proofErr w:type="spellEnd"/>
      <w:r>
        <w:t xml:space="preserve"> also financed studio refurbishments, equipment upgrades and electronic programming equipment, which have improved the technical quality and reliability of broadcasts. </w:t>
      </w:r>
    </w:p>
    <w:p w:rsidR="000134D1" w:rsidRDefault="000134D1" w:rsidP="000134D1">
      <w:pPr>
        <w:pStyle w:val="BodyText"/>
      </w:pPr>
      <w:r>
        <w:t xml:space="preserve">Success has been more elusive in other aspects of support for Radio </w:t>
      </w:r>
      <w:smartTag w:uri="urn:schemas-microsoft-com:office:smarttags" w:element="place">
        <w:smartTag w:uri="urn:schemas-microsoft-com:office:smarttags" w:element="country-region">
          <w:r>
            <w:t>Vanuatu</w:t>
          </w:r>
        </w:smartTag>
      </w:smartTag>
      <w:r>
        <w:t xml:space="preserve">. The review of the </w:t>
      </w:r>
      <w:proofErr w:type="spellStart"/>
      <w:r>
        <w:t>Vois</w:t>
      </w:r>
      <w:proofErr w:type="spellEnd"/>
      <w:r>
        <w:t xml:space="preserve"> </w:t>
      </w:r>
      <w:proofErr w:type="spellStart"/>
      <w:r>
        <w:t>Blong</w:t>
      </w:r>
      <w:proofErr w:type="spellEnd"/>
      <w:r>
        <w:t xml:space="preserve"> </w:t>
      </w:r>
      <w:proofErr w:type="spellStart"/>
      <w:r>
        <w:t>Yumi</w:t>
      </w:r>
      <w:proofErr w:type="spellEnd"/>
      <w:r>
        <w:t xml:space="preserve"> partnership found that the main barrier to addressing the considerable governance and management challenges is limited engagement or support from current </w:t>
      </w:r>
      <w:r w:rsidR="002D7DFA">
        <w:t>Vanuatu Broadcasting and Television Corporation (</w:t>
      </w:r>
      <w:r>
        <w:t>VBTC</w:t>
      </w:r>
      <w:r w:rsidR="002D7DFA">
        <w:t>)</w:t>
      </w:r>
      <w:r>
        <w:t xml:space="preserve"> management. Further, the financial insolvency of VBTC threatens all the gains made so far. There is an urgent need for a </w:t>
      </w:r>
      <w:r w:rsidR="00CC5C82">
        <w:t>f</w:t>
      </w:r>
      <w:r>
        <w:t xml:space="preserve">inancial </w:t>
      </w:r>
      <w:r w:rsidR="00CC5C82">
        <w:t>c</w:t>
      </w:r>
      <w:r>
        <w:t>ontroller</w:t>
      </w:r>
      <w:r w:rsidR="00CC5C82">
        <w:t>; however,</w:t>
      </w:r>
      <w:r>
        <w:t xml:space="preserve"> recruitment attempts have failed </w:t>
      </w:r>
      <w:r w:rsidR="00B417C6">
        <w:t>because of</w:t>
      </w:r>
      <w:r>
        <w:t xml:space="preserve"> the low salary offered and the perceived political challenges of the role. </w:t>
      </w:r>
      <w:proofErr w:type="spellStart"/>
      <w:r>
        <w:t>AusAID</w:t>
      </w:r>
      <w:proofErr w:type="spellEnd"/>
      <w:r>
        <w:t xml:space="preserve"> is encouraging VBTC to consider outsourcing the role to a private accounting firm. </w:t>
      </w:r>
    </w:p>
    <w:p w:rsidR="000134D1" w:rsidRDefault="000134D1" w:rsidP="000134D1">
      <w:pPr>
        <w:pStyle w:val="BodyText"/>
      </w:pPr>
      <w:proofErr w:type="spellStart"/>
      <w:r>
        <w:t>AusAID</w:t>
      </w:r>
      <w:proofErr w:type="spellEnd"/>
      <w:r>
        <w:t xml:space="preserve"> will decide in mid-2009 whether to implement the review</w:t>
      </w:r>
      <w:r w:rsidR="00B417C6">
        <w:t>’s</w:t>
      </w:r>
      <w:r>
        <w:t xml:space="preserve"> recommendation of </w:t>
      </w:r>
      <w:proofErr w:type="gramStart"/>
      <w:r>
        <w:t>a</w:t>
      </w:r>
      <w:proofErr w:type="gramEnd"/>
      <w:r>
        <w:t xml:space="preserve"> one</w:t>
      </w:r>
      <w:r w:rsidR="00B417C6">
        <w:noBreakHyphen/>
      </w:r>
      <w:r>
        <w:t xml:space="preserve">year extension to </w:t>
      </w:r>
      <w:proofErr w:type="spellStart"/>
      <w:r>
        <w:t>Vois</w:t>
      </w:r>
      <w:proofErr w:type="spellEnd"/>
      <w:r>
        <w:t xml:space="preserve"> </w:t>
      </w:r>
      <w:proofErr w:type="spellStart"/>
      <w:r>
        <w:t>Blong</w:t>
      </w:r>
      <w:proofErr w:type="spellEnd"/>
      <w:r>
        <w:t xml:space="preserve"> </w:t>
      </w:r>
      <w:proofErr w:type="spellStart"/>
      <w:r>
        <w:t>Yumi</w:t>
      </w:r>
      <w:proofErr w:type="spellEnd"/>
      <w:r>
        <w:t xml:space="preserve">, to allow continuing program improvements and new work on commercial development. </w:t>
      </w:r>
      <w:r w:rsidR="00B417C6">
        <w:t>An extension would</w:t>
      </w:r>
      <w:r>
        <w:t xml:space="preserve"> also provide the new government time to demonstrate </w:t>
      </w:r>
      <w:r w:rsidR="00B417C6">
        <w:t xml:space="preserve">its </w:t>
      </w:r>
      <w:r>
        <w:t xml:space="preserve">commitment to governance and management reform in VBTC. Early signs are that the new </w:t>
      </w:r>
      <w:r w:rsidR="00B417C6">
        <w:t>c</w:t>
      </w:r>
      <w:r>
        <w:t xml:space="preserve">hair of the </w:t>
      </w:r>
      <w:r w:rsidR="00B417C6">
        <w:t>b</w:t>
      </w:r>
      <w:r>
        <w:t xml:space="preserve">oard is committed to positive change, and </w:t>
      </w:r>
      <w:r w:rsidR="00D72DD0">
        <w:t xml:space="preserve">the </w:t>
      </w:r>
      <w:proofErr w:type="spellStart"/>
      <w:r>
        <w:t>GfG</w:t>
      </w:r>
      <w:proofErr w:type="spellEnd"/>
      <w:r>
        <w:t xml:space="preserve"> </w:t>
      </w:r>
      <w:r w:rsidR="00D72DD0">
        <w:t xml:space="preserve">program </w:t>
      </w:r>
      <w:r>
        <w:t xml:space="preserve">may increasingly work </w:t>
      </w:r>
      <w:r w:rsidR="00B417C6">
        <w:t xml:space="preserve">during the year </w:t>
      </w:r>
      <w:r>
        <w:t>with the Government Business Enterprises Unit</w:t>
      </w:r>
      <w:r w:rsidR="00B417C6">
        <w:t>—</w:t>
      </w:r>
      <w:r>
        <w:t>which has oversight responsibility for VBTC</w:t>
      </w:r>
      <w:r w:rsidR="00B417C6">
        <w:t>—</w:t>
      </w:r>
      <w:r>
        <w:t xml:space="preserve">providing a further opportunity to advance governance reform. </w:t>
      </w:r>
    </w:p>
    <w:p w:rsidR="000134D1" w:rsidRDefault="000134D1" w:rsidP="000134D1">
      <w:pPr>
        <w:pStyle w:val="BodyText"/>
      </w:pPr>
      <w:r>
        <w:t xml:space="preserve">Press monitoring by </w:t>
      </w:r>
      <w:r w:rsidR="00D72DD0">
        <w:t xml:space="preserve">the </w:t>
      </w:r>
      <w:proofErr w:type="spellStart"/>
      <w:r>
        <w:t>GfG</w:t>
      </w:r>
      <w:proofErr w:type="spellEnd"/>
      <w:r>
        <w:t xml:space="preserve"> </w:t>
      </w:r>
      <w:r w:rsidR="00D72DD0">
        <w:t>program</w:t>
      </w:r>
      <w:r w:rsidR="00B417C6">
        <w:t>,</w:t>
      </w:r>
      <w:r w:rsidR="00D72DD0">
        <w:t xml:space="preserve"> </w:t>
      </w:r>
      <w:r>
        <w:t>and anecdotal evidence about media coverage more broadly</w:t>
      </w:r>
      <w:r w:rsidR="00B417C6">
        <w:t>,</w:t>
      </w:r>
      <w:r>
        <w:t xml:space="preserve"> suggest that public debate about policy and government issues is </w:t>
      </w:r>
      <w:r w:rsidR="00B417C6">
        <w:t>increasing</w:t>
      </w:r>
      <w:r>
        <w:t>. The combination of expanded radio coverage and expanded mobile phone coverage has led to the re-introduction of a vigorous and growing talkback radio culture that, for the first time, includes voices from the provinces and rural areas outside the main centres. Th</w:t>
      </w:r>
      <w:r w:rsidR="00B417C6">
        <w:t>e</w:t>
      </w:r>
      <w:r>
        <w:t xml:space="preserve"> </w:t>
      </w:r>
      <w:r w:rsidR="00B417C6">
        <w:t xml:space="preserve">increased </w:t>
      </w:r>
      <w:r>
        <w:t>public debate was especially important in the lead</w:t>
      </w:r>
      <w:r w:rsidR="00B417C6">
        <w:t>-</w:t>
      </w:r>
      <w:r>
        <w:t>up to the September 2008 national elections</w:t>
      </w:r>
      <w:r w:rsidR="00B417C6">
        <w:t>. A</w:t>
      </w:r>
      <w:r>
        <w:t xml:space="preserve"> wide range of topics</w:t>
      </w:r>
      <w:r w:rsidR="00B417C6">
        <w:t xml:space="preserve"> were covered,</w:t>
      </w:r>
      <w:r>
        <w:t xml:space="preserve"> including the importance of voting, aid dependence, the policies of political parties, and corruption and governance. </w:t>
      </w:r>
    </w:p>
    <w:p w:rsidR="000134D1" w:rsidRDefault="00D72DD0" w:rsidP="000134D1">
      <w:pPr>
        <w:pStyle w:val="BodyText"/>
      </w:pPr>
      <w:r>
        <w:t xml:space="preserve">The </w:t>
      </w:r>
      <w:proofErr w:type="spellStart"/>
      <w:r w:rsidR="000134D1">
        <w:t>GfG</w:t>
      </w:r>
      <w:proofErr w:type="spellEnd"/>
      <w:r w:rsidR="000134D1">
        <w:t xml:space="preserve"> </w:t>
      </w:r>
      <w:r>
        <w:t xml:space="preserve">program </w:t>
      </w:r>
      <w:r w:rsidR="000134D1">
        <w:t xml:space="preserve">has </w:t>
      </w:r>
      <w:r w:rsidR="00CC69A1">
        <w:t xml:space="preserve">thus far </w:t>
      </w:r>
      <w:r w:rsidR="000134D1">
        <w:t xml:space="preserve">directed limited effort towards its objective of </w:t>
      </w:r>
      <w:r w:rsidR="00CC69A1">
        <w:t xml:space="preserve">promoting greater accountability to </w:t>
      </w:r>
      <w:r w:rsidR="00944CD3">
        <w:t>p</w:t>
      </w:r>
      <w:r w:rsidR="00CC69A1">
        <w:t>arliament and the people for the results of</w:t>
      </w:r>
      <w:r w:rsidR="000134D1">
        <w:t xml:space="preserve"> public </w:t>
      </w:r>
      <w:r w:rsidR="00CC69A1">
        <w:t>expenditure, although preparatory work has commenced and will be implemented in 2009</w:t>
      </w:r>
      <w:r w:rsidR="000134D1">
        <w:t xml:space="preserve">. However, </w:t>
      </w:r>
      <w:proofErr w:type="spellStart"/>
      <w:r w:rsidR="000134D1">
        <w:t>AusAID’s</w:t>
      </w:r>
      <w:proofErr w:type="spellEnd"/>
      <w:r w:rsidR="000134D1">
        <w:t xml:space="preserve"> dissemination of the 2007 </w:t>
      </w:r>
      <w:r w:rsidR="000134D1" w:rsidRPr="00864C36">
        <w:rPr>
          <w:i/>
        </w:rPr>
        <w:t xml:space="preserve">Drivers of Change </w:t>
      </w:r>
      <w:r w:rsidR="000134D1">
        <w:t xml:space="preserve">analysis continued, including with community forums throughout the islands and the production of short issues papers. </w:t>
      </w:r>
    </w:p>
    <w:p w:rsidR="00794B4D" w:rsidRDefault="000134D1" w:rsidP="000134D1">
      <w:pPr>
        <w:pStyle w:val="BodyText"/>
      </w:pPr>
      <w:r>
        <w:t xml:space="preserve">There has been good progress with the </w:t>
      </w:r>
      <w:smartTag w:uri="urn:schemas-microsoft-com:office:smarttags" w:element="place">
        <w:smartTag w:uri="urn:schemas-microsoft-com:office:smarttags" w:element="country-region">
          <w:r>
            <w:t>Vanuatu</w:t>
          </w:r>
        </w:smartTag>
      </w:smartTag>
      <w:r>
        <w:t xml:space="preserve"> component of the Pacific Leadership Program. The </w:t>
      </w:r>
      <w:r w:rsidR="00B417C6">
        <w:t>program is working with the</w:t>
      </w:r>
      <w:r>
        <w:t xml:space="preserve"> Pacific Youth Council to support the development of a national youth council in </w:t>
      </w:r>
      <w:smartTag w:uri="urn:schemas-microsoft-com:office:smarttags" w:element="place">
        <w:smartTag w:uri="urn:schemas-microsoft-com:office:smarttags" w:element="country-region">
          <w:r>
            <w:t>Vanuatu</w:t>
          </w:r>
        </w:smartTag>
      </w:smartTag>
      <w:r>
        <w:t xml:space="preserve"> in partnership with the Vanuatu Department of Youth and Sports. </w:t>
      </w:r>
      <w:r w:rsidR="00B417C6">
        <w:t>The</w:t>
      </w:r>
      <w:r w:rsidR="00B417C6" w:rsidRPr="00B417C6">
        <w:t xml:space="preserve"> </w:t>
      </w:r>
      <w:r>
        <w:t xml:space="preserve">partnership with the </w:t>
      </w:r>
      <w:r w:rsidR="00B417C6">
        <w:t>d</w:t>
      </w:r>
      <w:r>
        <w:t>epartment will bring financial and technical support to the process</w:t>
      </w:r>
      <w:r w:rsidR="00BD3795">
        <w:t>, and</w:t>
      </w:r>
      <w:r>
        <w:t xml:space="preserve"> will also link the </w:t>
      </w:r>
      <w:r w:rsidR="00BD3795">
        <w:t>d</w:t>
      </w:r>
      <w:r>
        <w:t xml:space="preserve">epartment with work being done in Samoa, and with other national youth councils across the region. This work complements other youth programming </w:t>
      </w:r>
    </w:p>
    <w:p w:rsidR="00794B4D" w:rsidRDefault="00794B4D" w:rsidP="00794B4D">
      <w:pPr>
        <w:pStyle w:val="Subtitle"/>
        <w:rPr>
          <w:rFonts w:ascii="Georgia" w:hAnsi="Georgia"/>
          <w:sz w:val="19"/>
          <w:szCs w:val="19"/>
        </w:rPr>
      </w:pPr>
      <w:r>
        <w:br w:type="page"/>
      </w:r>
    </w:p>
    <w:p w:rsidR="000134D1" w:rsidRDefault="000134D1" w:rsidP="000134D1">
      <w:pPr>
        <w:pStyle w:val="BodyText"/>
      </w:pPr>
      <w:proofErr w:type="gramStart"/>
      <w:r>
        <w:lastRenderedPageBreak/>
        <w:t>being</w:t>
      </w:r>
      <w:proofErr w:type="gramEnd"/>
      <w:r>
        <w:t xml:space="preserve"> undertaken by </w:t>
      </w:r>
      <w:proofErr w:type="spellStart"/>
      <w:r w:rsidR="00BD3795">
        <w:t>AusAID’s</w:t>
      </w:r>
      <w:proofErr w:type="spellEnd"/>
      <w:r w:rsidR="00BD3795">
        <w:t xml:space="preserve"> </w:t>
      </w:r>
      <w:r>
        <w:t>Vanuatu post, and the Government of Vanuatu has made strengthening the Department of Youth and Sports a priority in its latest strategic plan.</w:t>
      </w:r>
    </w:p>
    <w:p w:rsidR="000134D1" w:rsidRDefault="00BD3795" w:rsidP="000134D1">
      <w:pPr>
        <w:pStyle w:val="BodyText"/>
      </w:pPr>
      <w:r>
        <w:t xml:space="preserve">In </w:t>
      </w:r>
      <w:r w:rsidR="000134D1">
        <w:t>2009 new phases of two innovative partnerships</w:t>
      </w:r>
      <w:r>
        <w:t xml:space="preserve"> will commence</w:t>
      </w:r>
      <w:r w:rsidR="000134D1">
        <w:t xml:space="preserve">, after </w:t>
      </w:r>
      <w:r w:rsidR="00286623">
        <w:t xml:space="preserve">a process </w:t>
      </w:r>
      <w:r w:rsidR="000134D1">
        <w:t xml:space="preserve">of reflection and review in </w:t>
      </w:r>
      <w:r w:rsidR="00822F48">
        <w:t>2008</w:t>
      </w:r>
      <w:r w:rsidR="000134D1">
        <w:t>. The Vanuatu Churches Partnership ($4 million over</w:t>
      </w:r>
      <w:r w:rsidR="003B3F9B">
        <w:t xml:space="preserve"> 2009</w:t>
      </w:r>
      <w:r w:rsidR="00644843">
        <w:noBreakHyphen/>
      </w:r>
      <w:r w:rsidR="003B3F9B">
        <w:t>12</w:t>
      </w:r>
      <w:r w:rsidR="000134D1">
        <w:t xml:space="preserve">) will strengthen the capacity of churches and the Vanuatu Christian Council to engage with government on service delivery and governance matters, through partnerships with Australian church organisations. The </w:t>
      </w:r>
      <w:proofErr w:type="spellStart"/>
      <w:r w:rsidR="000134D1">
        <w:t>Kastom</w:t>
      </w:r>
      <w:proofErr w:type="spellEnd"/>
      <w:r w:rsidR="000134D1">
        <w:t xml:space="preserve"> Governance Partnership ($2.7 million over </w:t>
      </w:r>
      <w:r w:rsidR="003B3F9B">
        <w:t>2009-12</w:t>
      </w:r>
      <w:r w:rsidR="000134D1">
        <w:t xml:space="preserve">) will support the </w:t>
      </w:r>
      <w:proofErr w:type="spellStart"/>
      <w:r w:rsidR="000134D1">
        <w:t>Malvatumauri</w:t>
      </w:r>
      <w:proofErr w:type="spellEnd"/>
      <w:r w:rsidR="000134D1">
        <w:t xml:space="preserve"> National Council of Chiefs and </w:t>
      </w:r>
      <w:proofErr w:type="spellStart"/>
      <w:r w:rsidR="000134D1">
        <w:t>kastom</w:t>
      </w:r>
      <w:proofErr w:type="spellEnd"/>
      <w:r w:rsidR="000134D1">
        <w:t xml:space="preserve"> leaders to manage change and participate in conflict resolution and prevention. Both the churches and chiefs </w:t>
      </w:r>
      <w:r w:rsidR="00286623">
        <w:t>were</w:t>
      </w:r>
      <w:r w:rsidR="000134D1">
        <w:t xml:space="preserve"> identified in the Drivers of Change study as being key institutions in the lives of communities in rural areas (where the presence of government is often limited). </w:t>
      </w:r>
      <w:proofErr w:type="spellStart"/>
      <w:r w:rsidR="000134D1">
        <w:t>AusAID’s</w:t>
      </w:r>
      <w:proofErr w:type="spellEnd"/>
      <w:r w:rsidR="000134D1">
        <w:t xml:space="preserve"> support is expected to strengthen the ability of communities to interact with formal institutions such as </w:t>
      </w:r>
      <w:r>
        <w:t>p</w:t>
      </w:r>
      <w:r w:rsidR="000134D1">
        <w:t xml:space="preserve">arliament and </w:t>
      </w:r>
      <w:r>
        <w:t>g</w:t>
      </w:r>
      <w:r w:rsidR="000134D1">
        <w:t>overnment.</w:t>
      </w:r>
    </w:p>
    <w:p w:rsidR="000134D1" w:rsidRDefault="000134D1" w:rsidP="000134D1">
      <w:pPr>
        <w:pStyle w:val="BodyText"/>
      </w:pPr>
      <w:r>
        <w:t xml:space="preserve">The growing program </w:t>
      </w:r>
      <w:r w:rsidR="003B3F9B">
        <w:t xml:space="preserve">of initiatives </w:t>
      </w:r>
      <w:r>
        <w:t xml:space="preserve">towards </w:t>
      </w:r>
      <w:r w:rsidR="003B3F9B">
        <w:t xml:space="preserve">achieving </w:t>
      </w:r>
      <w:r>
        <w:t>this objective is complex and highly dependent on maintaining positive relationships with a diverse group of partners and stakeholders. Therefore</w:t>
      </w:r>
      <w:r w:rsidR="00286623">
        <w:t>,</w:t>
      </w:r>
      <w:r>
        <w:t xml:space="preserve"> it is essential that </w:t>
      </w:r>
      <w:proofErr w:type="spellStart"/>
      <w:r>
        <w:t>AusAID</w:t>
      </w:r>
      <w:proofErr w:type="spellEnd"/>
      <w:r>
        <w:t xml:space="preserve"> commit sufficient and appropriate attention to these relationships over the coming year. </w:t>
      </w:r>
    </w:p>
    <w:p w:rsidR="000134D1" w:rsidRDefault="000134D1" w:rsidP="000134D1">
      <w:pPr>
        <w:pStyle w:val="BodyText"/>
      </w:pPr>
      <w:r>
        <w:t xml:space="preserve">Because of the substantial achievements in media and the promising signs in other areas, progress towards this objective is rated </w:t>
      </w:r>
      <w:r w:rsidR="00BD3795">
        <w:t>g</w:t>
      </w:r>
      <w:r>
        <w:t xml:space="preserve">reen. </w:t>
      </w:r>
    </w:p>
    <w:p w:rsidR="000134D1" w:rsidRDefault="000134D1" w:rsidP="00443A52">
      <w:pPr>
        <w:pStyle w:val="Heading3"/>
      </w:pPr>
      <w:r>
        <w:t>Estimated expenditure</w:t>
      </w:r>
    </w:p>
    <w:p w:rsidR="007E31D9" w:rsidRDefault="000134D1" w:rsidP="000134D1">
      <w:pPr>
        <w:pStyle w:val="BodyText"/>
      </w:pPr>
      <w:r>
        <w:t xml:space="preserve">Approximately 3.8 per cent ($1.6 million) </w:t>
      </w:r>
      <w:r w:rsidR="00286623">
        <w:t xml:space="preserve">of the </w:t>
      </w:r>
      <w:smartTag w:uri="urn:schemas-microsoft-com:office:smarttags" w:element="place">
        <w:smartTag w:uri="urn:schemas-microsoft-com:office:smarttags" w:element="country-region">
          <w:r w:rsidR="00286623">
            <w:t>Vanuatu</w:t>
          </w:r>
        </w:smartTag>
      </w:smartTag>
      <w:r w:rsidR="00286623">
        <w:t xml:space="preserve"> aid program budget </w:t>
      </w:r>
      <w:r>
        <w:t>was spen</w:t>
      </w:r>
      <w:r w:rsidR="00443A52">
        <w:t xml:space="preserve">t on this objective in </w:t>
      </w:r>
      <w:r w:rsidR="00822F48">
        <w:t>2008</w:t>
      </w:r>
      <w:r w:rsidR="00443A52">
        <w:t>.</w:t>
      </w:r>
    </w:p>
    <w:p w:rsidR="000134D1" w:rsidRPr="007E31D9" w:rsidRDefault="007E31D9" w:rsidP="007E31D9">
      <w:pPr>
        <w:pStyle w:val="Subtitle"/>
        <w:rPr>
          <w:rFonts w:ascii="Georgia" w:hAnsi="Georgia"/>
          <w:sz w:val="19"/>
          <w:szCs w:val="19"/>
        </w:rPr>
      </w:pPr>
      <w:r>
        <w:br w:type="page"/>
      </w:r>
    </w:p>
    <w:p w:rsidR="00443A52" w:rsidRDefault="00443A52">
      <w:pPr>
        <w:pStyle w:val="Heading1unnumbered"/>
        <w:rPr>
          <w:noProof/>
        </w:rPr>
      </w:pPr>
      <w:bookmarkStart w:id="28" w:name="_Toc360984094"/>
      <w:r>
        <w:lastRenderedPageBreak/>
        <w:t xml:space="preserve">What is the quality of </w:t>
      </w:r>
      <w:proofErr w:type="spellStart"/>
      <w:r>
        <w:t>AusAID</w:t>
      </w:r>
      <w:proofErr w:type="spellEnd"/>
      <w:r>
        <w:t xml:space="preserve"> activities in </w:t>
      </w:r>
      <w:smartTag w:uri="urn:schemas-microsoft-com:office:smarttags" w:element="place">
        <w:smartTag w:uri="urn:schemas-microsoft-com:office:smarttags" w:element="country-region">
          <w:r>
            <w:t>Vanuatu</w:t>
          </w:r>
        </w:smartTag>
      </w:smartTag>
      <w:r>
        <w:t>?</w:t>
      </w:r>
      <w:r w:rsidR="00C14A1A">
        <w:rPr>
          <w:noProof/>
          <w:lang w:val="en-US" w:eastAsia="en-US"/>
        </w:rPr>
        <w:drawing>
          <wp:anchor distT="0" distB="0" distL="114300" distR="114300" simplePos="0" relativeHeight="251661824" behindDoc="1" locked="0" layoutInCell="1" allowOverlap="1" wp14:anchorId="1C34162E" wp14:editId="15439C2F">
            <wp:simplePos x="0" y="0"/>
            <wp:positionH relativeFrom="page">
              <wp:posOffset>0</wp:posOffset>
            </wp:positionH>
            <wp:positionV relativeFrom="page">
              <wp:posOffset>1386205</wp:posOffset>
            </wp:positionV>
            <wp:extent cx="7560310" cy="1585595"/>
            <wp:effectExtent l="0" t="0" r="2540" b="0"/>
            <wp:wrapNone/>
            <wp:docPr id="1194" name="Picture 1194" descr="AusAID graphics pacific internal chap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4" descr="AusAID graphics pacific internal chapte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560310" cy="158559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28"/>
      <w:r>
        <w:br/>
      </w:r>
    </w:p>
    <w:p w:rsidR="000134D1" w:rsidRDefault="000134D1" w:rsidP="000134D1">
      <w:pPr>
        <w:pStyle w:val="BodyText"/>
      </w:pPr>
      <w:r>
        <w:t xml:space="preserve">The </w:t>
      </w:r>
      <w:smartTag w:uri="urn:schemas-microsoft-com:office:smarttags" w:element="country-region">
        <w:smartTag w:uri="urn:schemas-microsoft-com:office:smarttags" w:element="place">
          <w:r>
            <w:t>Vanuatu</w:t>
          </w:r>
        </w:smartTag>
      </w:smartTag>
      <w:r>
        <w:t xml:space="preserve"> </w:t>
      </w:r>
      <w:r w:rsidR="00FE3752">
        <w:t xml:space="preserve">aid </w:t>
      </w:r>
      <w:r>
        <w:t xml:space="preserve">program monitored 89 per cent of the bilateral portfolio for quality in 2009, an increase in coverage from </w:t>
      </w:r>
      <w:r w:rsidR="00822F48">
        <w:t>2008</w:t>
      </w:r>
      <w:r>
        <w:t>. The quality at implementation results are shown in Table</w:t>
      </w:r>
      <w:r w:rsidR="00983CBF">
        <w:t> </w:t>
      </w:r>
      <w:r w:rsidR="00644843">
        <w:t>2</w:t>
      </w:r>
      <w:r>
        <w:t xml:space="preserve">. As 2009 is the third year of </w:t>
      </w:r>
      <w:proofErr w:type="spellStart"/>
      <w:r>
        <w:t>AusAID’s</w:t>
      </w:r>
      <w:proofErr w:type="spellEnd"/>
      <w:r>
        <w:t xml:space="preserve"> enhanced quality reporting system, the ratings of initiatives are considered sufficiently robust to enable meaningful comparisons with the previous year.</w:t>
      </w:r>
    </w:p>
    <w:p w:rsidR="000134D1" w:rsidRDefault="000134D1" w:rsidP="000134D1">
      <w:pPr>
        <w:pStyle w:val="BodyText"/>
      </w:pPr>
      <w:r>
        <w:t xml:space="preserve">Of the 13 initiatives rated for quality at implementation, all were satisfactory in their implementation progress and 92 per cent were satisfactory in their progress towards achieving objectives. </w:t>
      </w:r>
    </w:p>
    <w:p w:rsidR="000134D1" w:rsidRDefault="00983CBF" w:rsidP="000134D1">
      <w:pPr>
        <w:pStyle w:val="BodyText"/>
      </w:pPr>
      <w:r>
        <w:t>The program built on i</w:t>
      </w:r>
      <w:r w:rsidR="000134D1">
        <w:t xml:space="preserve">mprovements in monitoring and evaluation (M&amp;E) made in 2007, </w:t>
      </w:r>
      <w:r w:rsidR="00FE3752">
        <w:t xml:space="preserve">and </w:t>
      </w:r>
      <w:r w:rsidR="000134D1">
        <w:t xml:space="preserve">the proportion of initiatives judged to be ‘satisfactory’ in M&amp;E </w:t>
      </w:r>
      <w:r w:rsidR="00FE3752">
        <w:t xml:space="preserve">increased </w:t>
      </w:r>
      <w:r w:rsidR="000134D1">
        <w:t xml:space="preserve">to 92 per cent in 2009. Intensive effort </w:t>
      </w:r>
      <w:r w:rsidR="00FE3752">
        <w:t xml:space="preserve">by the </w:t>
      </w:r>
      <w:proofErr w:type="spellStart"/>
      <w:r w:rsidR="00014C09">
        <w:t>AusAID</w:t>
      </w:r>
      <w:proofErr w:type="spellEnd"/>
      <w:r w:rsidR="00014C09">
        <w:t xml:space="preserve"> </w:t>
      </w:r>
      <w:r w:rsidR="00FE3752">
        <w:t>Vanuatu p</w:t>
      </w:r>
      <w:r w:rsidR="000134D1">
        <w:t xml:space="preserve">ost has led to improved monitoring of scholarships, enabled by strengthened coordination mechanisms with NZAID and </w:t>
      </w:r>
      <w:r w:rsidR="00FE3752">
        <w:t xml:space="preserve">the </w:t>
      </w:r>
      <w:r w:rsidR="000134D1">
        <w:t>Government</w:t>
      </w:r>
      <w:r w:rsidR="00FE3752">
        <w:t xml:space="preserve"> of Vanuatu</w:t>
      </w:r>
      <w:r w:rsidR="000134D1">
        <w:t xml:space="preserve">. </w:t>
      </w:r>
    </w:p>
    <w:p w:rsidR="000134D1" w:rsidRDefault="000134D1" w:rsidP="000134D1">
      <w:pPr>
        <w:pStyle w:val="BodyText"/>
      </w:pPr>
      <w:r>
        <w:t>Nevertheless, there continues to be room for improvement.</w:t>
      </w:r>
      <w:r w:rsidR="00C20D65">
        <w:t xml:space="preserve"> </w:t>
      </w:r>
      <w:r>
        <w:t>M&amp;E in many initiatives could be stronger:</w:t>
      </w:r>
      <w:r w:rsidR="00C20D65">
        <w:t xml:space="preserve"> </w:t>
      </w:r>
      <w:r>
        <w:t xml:space="preserve">69 per cent of initiatives continue to require some work to improve M&amp;E. Planned improvements in 2009 for evaluations of scholarships are a key opportunity to further improve M&amp;E. An M&amp;E framework for Australian Regional Development Scholarships has been drafted and is expected to be operational in 2009. VESAP is supporting a tracer study of scholarship awardees, to be undertaken towards the end of 2009 and coordinated by the </w:t>
      </w:r>
      <w:r w:rsidR="00FE3752">
        <w:t>g</w:t>
      </w:r>
      <w:r>
        <w:t>overnment’s scholarship unit. This will provide significantly improved data for evaluation.</w:t>
      </w:r>
    </w:p>
    <w:p w:rsidR="000134D1" w:rsidRDefault="00FE3752" w:rsidP="000134D1">
      <w:pPr>
        <w:pStyle w:val="BodyText"/>
      </w:pPr>
      <w:r>
        <w:t xml:space="preserve">Limited </w:t>
      </w:r>
      <w:r w:rsidR="000134D1">
        <w:t>data are available on the legal sector to inform M&amp;E in the Legal Sector Strengthening Program</w:t>
      </w:r>
      <w:r>
        <w:t>;</w:t>
      </w:r>
      <w:r w:rsidR="000134D1">
        <w:t xml:space="preserve"> however, an M&amp;E </w:t>
      </w:r>
      <w:r>
        <w:t>s</w:t>
      </w:r>
      <w:r w:rsidR="000134D1">
        <w:t xml:space="preserve">pecialist will be engaged to assist stakeholders </w:t>
      </w:r>
      <w:r>
        <w:t xml:space="preserve">in </w:t>
      </w:r>
      <w:r w:rsidR="000134D1">
        <w:t>review</w:t>
      </w:r>
      <w:r>
        <w:t>ing</w:t>
      </w:r>
      <w:r w:rsidR="000134D1">
        <w:t xml:space="preserve"> the M&amp;E approach in 2009. The </w:t>
      </w:r>
      <w:r>
        <w:t>Australia</w:t>
      </w:r>
      <w:r w:rsidR="005359B3">
        <w:t>–</w:t>
      </w:r>
      <w:r w:rsidR="00864C36">
        <w:t>Vanuatu</w:t>
      </w:r>
      <w:r>
        <w:t xml:space="preserve"> Partnership for Development </w:t>
      </w:r>
      <w:r w:rsidR="000134D1">
        <w:t>include</w:t>
      </w:r>
      <w:r w:rsidR="00014C09">
        <w:t>s</w:t>
      </w:r>
      <w:r w:rsidR="000134D1">
        <w:t xml:space="preserve"> a substantial focus on improving MDG data, </w:t>
      </w:r>
      <w:r>
        <w:t xml:space="preserve">which will </w:t>
      </w:r>
      <w:r w:rsidR="000134D1">
        <w:t xml:space="preserve">further strengthen M&amp;E. The </w:t>
      </w:r>
      <w:r w:rsidR="00864C36">
        <w:t>Partnership</w:t>
      </w:r>
      <w:r>
        <w:t>’s</w:t>
      </w:r>
      <w:r w:rsidR="000134D1">
        <w:t xml:space="preserve"> priority outcome for health includes a focus on improving the health information system, which over the medium term should also improve the ability to generate reliable findings on results. </w:t>
      </w:r>
    </w:p>
    <w:p w:rsidR="00794B4D" w:rsidRDefault="000134D1" w:rsidP="000134D1">
      <w:pPr>
        <w:pStyle w:val="BodyText"/>
      </w:pPr>
      <w:r>
        <w:t xml:space="preserve">The proportion of activities rated as satisfactory with respect to sustainability was 77 per cent, a small decrease from the 80 per cent rated satisfactory in </w:t>
      </w:r>
      <w:r w:rsidR="00822F48">
        <w:t>2008</w:t>
      </w:r>
      <w:r>
        <w:t xml:space="preserve">. This reflects the changing, and at times challenging, environment in which the aid program is being delivered, such as engaging with the current Vanuatu Broadcasting and Television Corporation management to deliver the elements of the </w:t>
      </w:r>
      <w:r w:rsidR="00014C09">
        <w:t>D</w:t>
      </w:r>
      <w:r>
        <w:t xml:space="preserve">emand for </w:t>
      </w:r>
      <w:r w:rsidR="00014C09">
        <w:t>B</w:t>
      </w:r>
      <w:r>
        <w:t xml:space="preserve">etter </w:t>
      </w:r>
      <w:r w:rsidR="00014C09">
        <w:t>G</w:t>
      </w:r>
      <w:r>
        <w:t xml:space="preserve">overnance </w:t>
      </w:r>
      <w:r w:rsidR="00014C09">
        <w:t>Initiative</w:t>
      </w:r>
      <w:r>
        <w:t xml:space="preserve">. In other situations, assessments of sustainability are improving, reflecting the government-led nature of a lot of </w:t>
      </w:r>
    </w:p>
    <w:p w:rsidR="00794B4D" w:rsidRDefault="00794B4D" w:rsidP="00794B4D">
      <w:pPr>
        <w:pStyle w:val="Subtitle"/>
        <w:rPr>
          <w:rFonts w:ascii="Georgia" w:hAnsi="Georgia"/>
          <w:sz w:val="19"/>
          <w:szCs w:val="19"/>
        </w:rPr>
      </w:pPr>
      <w:r>
        <w:br w:type="page"/>
      </w:r>
    </w:p>
    <w:p w:rsidR="000134D1" w:rsidRDefault="000134D1" w:rsidP="000134D1">
      <w:pPr>
        <w:pStyle w:val="BodyText"/>
      </w:pPr>
      <w:proofErr w:type="gramStart"/>
      <w:r>
        <w:lastRenderedPageBreak/>
        <w:t>the</w:t>
      </w:r>
      <w:proofErr w:type="gramEnd"/>
      <w:r>
        <w:t xml:space="preserve"> work, such as in the education sector with Ministry of Education leadership of VESAP and strong ownership of the provincial-focus to the TVET strengthening initiative.</w:t>
      </w:r>
    </w:p>
    <w:p w:rsidR="0021201E" w:rsidRDefault="000134D1" w:rsidP="00443A52">
      <w:pPr>
        <w:pStyle w:val="BodyText"/>
      </w:pPr>
      <w:r>
        <w:t xml:space="preserve">Quality at </w:t>
      </w:r>
      <w:r w:rsidR="00014C09">
        <w:t>E</w:t>
      </w:r>
      <w:r>
        <w:t xml:space="preserve">ntry reports were also completed for a number of new initiatives, including the VTSSP and the new </w:t>
      </w:r>
      <w:r w:rsidR="00FE3752">
        <w:t>l</w:t>
      </w:r>
      <w:r>
        <w:t xml:space="preserve">and program. These </w:t>
      </w:r>
      <w:r w:rsidR="00923EEE">
        <w:t xml:space="preserve">initiatives received </w:t>
      </w:r>
      <w:r>
        <w:t xml:space="preserve">relatively high ratings, reflecting the intensive design processes of both programs over the past 18 months. Also, the findings of the Independent Completion Report for Phase 2 of the Vanuatu Secondary Schools program will be used to inform the development of new infrastructure works in both health and education through the </w:t>
      </w:r>
      <w:r w:rsidR="00864C36">
        <w:t>Partnership</w:t>
      </w:r>
      <w:r w:rsidR="00443A52" w:rsidRPr="00A7497A">
        <w:t>.</w:t>
      </w:r>
    </w:p>
    <w:p w:rsidR="001F3FCB" w:rsidRDefault="001F3FCB" w:rsidP="00443A52">
      <w:pPr>
        <w:pStyle w:val="BodyText"/>
      </w:pPr>
    </w:p>
    <w:p w:rsidR="0021201E" w:rsidRDefault="0021201E" w:rsidP="0021201E">
      <w:pPr>
        <w:pStyle w:val="Caption"/>
        <w:spacing w:before="0"/>
      </w:pPr>
      <w:r>
        <w:t xml:space="preserve">Table </w:t>
      </w:r>
      <w:r w:rsidR="00A17A04">
        <w:fldChar w:fldCharType="begin"/>
      </w:r>
      <w:r w:rsidR="00A17A04">
        <w:instrText xml:space="preserve"> SEQ Table \* MERG</w:instrText>
      </w:r>
      <w:r w:rsidR="00A17A04">
        <w:instrText xml:space="preserve">EFORMAT </w:instrText>
      </w:r>
      <w:r w:rsidR="00A17A04">
        <w:fldChar w:fldCharType="separate"/>
      </w:r>
      <w:r w:rsidR="00133CDC">
        <w:rPr>
          <w:noProof/>
        </w:rPr>
        <w:t>2</w:t>
      </w:r>
      <w:r w:rsidR="00A17A04">
        <w:rPr>
          <w:noProof/>
        </w:rPr>
        <w:fldChar w:fldCharType="end"/>
      </w:r>
      <w:r>
        <w:t>: Ratings of quality at i</w:t>
      </w:r>
      <w:r w:rsidRPr="00431A12">
        <w:t>mplementation</w:t>
      </w:r>
      <w:r>
        <w:t xml:space="preserve"> for initiatives in the </w:t>
      </w:r>
      <w:smartTag w:uri="urn:schemas-microsoft-com:office:smarttags" w:element="place">
        <w:smartTag w:uri="urn:schemas-microsoft-com:office:smarttags" w:element="country-region">
          <w:r>
            <w:t>Vanuatu</w:t>
          </w:r>
        </w:smartTag>
      </w:smartTag>
      <w:r>
        <w:t xml:space="preserve"> aid program</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Caption w:val="Table 2: Ratings of quality at implementation for initiatives in the Vanuatu aid program"/>
      </w:tblPr>
      <w:tblGrid>
        <w:gridCol w:w="4833"/>
        <w:gridCol w:w="402"/>
        <w:gridCol w:w="402"/>
        <w:gridCol w:w="403"/>
        <w:gridCol w:w="403"/>
        <w:gridCol w:w="403"/>
        <w:gridCol w:w="403"/>
        <w:gridCol w:w="403"/>
        <w:gridCol w:w="399"/>
      </w:tblGrid>
      <w:tr w:rsidR="0021201E" w:rsidRPr="001069AF" w:rsidTr="00261F3A">
        <w:trPr>
          <w:cantSplit/>
          <w:tblHeader/>
        </w:trPr>
        <w:tc>
          <w:tcPr>
            <w:tcW w:w="3002" w:type="pct"/>
            <w:tcBorders>
              <w:top w:val="single" w:sz="2" w:space="0" w:color="auto"/>
              <w:left w:val="single" w:sz="2" w:space="0" w:color="auto"/>
              <w:bottom w:val="single" w:sz="2" w:space="0" w:color="auto"/>
              <w:right w:val="single" w:sz="2" w:space="0" w:color="auto"/>
            </w:tcBorders>
            <w:shd w:val="clear" w:color="auto" w:fill="DDCF56"/>
            <w:noWrap/>
            <w:tcMar>
              <w:left w:w="57" w:type="dxa"/>
              <w:right w:w="28" w:type="dxa"/>
            </w:tcMar>
            <w:vAlign w:val="center"/>
          </w:tcPr>
          <w:p w:rsidR="0021201E" w:rsidRPr="007472BA" w:rsidRDefault="0021201E" w:rsidP="00C20D65">
            <w:pPr>
              <w:pStyle w:val="TableDataColumnHeading"/>
              <w:spacing w:after="0"/>
              <w:jc w:val="left"/>
              <w:rPr>
                <w:sz w:val="16"/>
                <w:szCs w:val="16"/>
                <w:lang w:val="en-US"/>
              </w:rPr>
            </w:pPr>
          </w:p>
        </w:tc>
        <w:tc>
          <w:tcPr>
            <w:tcW w:w="999" w:type="pct"/>
            <w:gridSpan w:val="4"/>
            <w:tcBorders>
              <w:top w:val="single" w:sz="2" w:space="0" w:color="auto"/>
              <w:left w:val="single" w:sz="2" w:space="0" w:color="auto"/>
              <w:bottom w:val="single" w:sz="2" w:space="0" w:color="auto"/>
              <w:right w:val="single" w:sz="2" w:space="0" w:color="auto"/>
            </w:tcBorders>
            <w:shd w:val="clear" w:color="auto" w:fill="DDCF56"/>
            <w:tcMar>
              <w:left w:w="57" w:type="dxa"/>
              <w:right w:w="57" w:type="dxa"/>
            </w:tcMar>
            <w:vAlign w:val="center"/>
          </w:tcPr>
          <w:p w:rsidR="0021201E" w:rsidRPr="007472BA" w:rsidRDefault="0021201E" w:rsidP="00C20D65">
            <w:pPr>
              <w:pStyle w:val="TableDataColumnHeading"/>
              <w:spacing w:before="0" w:after="0"/>
              <w:jc w:val="center"/>
              <w:rPr>
                <w:sz w:val="16"/>
                <w:szCs w:val="16"/>
              </w:rPr>
            </w:pPr>
            <w:r>
              <w:rPr>
                <w:sz w:val="16"/>
                <w:szCs w:val="16"/>
              </w:rPr>
              <w:t>2007</w:t>
            </w:r>
          </w:p>
        </w:tc>
        <w:tc>
          <w:tcPr>
            <w:tcW w:w="999" w:type="pct"/>
            <w:gridSpan w:val="4"/>
            <w:tcBorders>
              <w:top w:val="single" w:sz="2" w:space="0" w:color="auto"/>
              <w:left w:val="single" w:sz="2" w:space="0" w:color="auto"/>
              <w:bottom w:val="single" w:sz="2" w:space="0" w:color="auto"/>
              <w:right w:val="single" w:sz="2" w:space="0" w:color="auto"/>
            </w:tcBorders>
            <w:shd w:val="clear" w:color="auto" w:fill="DDCF56"/>
            <w:tcMar>
              <w:left w:w="57" w:type="dxa"/>
              <w:right w:w="57" w:type="dxa"/>
            </w:tcMar>
            <w:vAlign w:val="center"/>
          </w:tcPr>
          <w:p w:rsidR="0021201E" w:rsidRPr="007472BA" w:rsidRDefault="00822F48" w:rsidP="00C20D65">
            <w:pPr>
              <w:pStyle w:val="TableDataColumnHeading"/>
              <w:spacing w:before="0" w:after="0"/>
              <w:jc w:val="center"/>
              <w:rPr>
                <w:sz w:val="16"/>
                <w:szCs w:val="16"/>
              </w:rPr>
            </w:pPr>
            <w:r>
              <w:rPr>
                <w:sz w:val="16"/>
                <w:szCs w:val="16"/>
              </w:rPr>
              <w:t>2008</w:t>
            </w:r>
          </w:p>
        </w:tc>
      </w:tr>
      <w:tr w:rsidR="0021201E" w:rsidRPr="00455771" w:rsidTr="00261F3A">
        <w:trPr>
          <w:cantSplit/>
          <w:trHeight w:val="1191"/>
          <w:tblHeader/>
        </w:trPr>
        <w:tc>
          <w:tcPr>
            <w:tcW w:w="3002" w:type="pct"/>
            <w:tcBorders>
              <w:top w:val="single" w:sz="2" w:space="0" w:color="auto"/>
              <w:left w:val="single" w:sz="2" w:space="0" w:color="auto"/>
              <w:bottom w:val="single" w:sz="12" w:space="0" w:color="auto"/>
              <w:right w:val="single" w:sz="2" w:space="0" w:color="auto"/>
            </w:tcBorders>
            <w:shd w:val="clear" w:color="auto" w:fill="DDCF56"/>
            <w:noWrap/>
            <w:tcMar>
              <w:left w:w="57" w:type="dxa"/>
              <w:right w:w="28" w:type="dxa"/>
            </w:tcMar>
            <w:vAlign w:val="center"/>
          </w:tcPr>
          <w:p w:rsidR="0021201E" w:rsidRPr="007472BA" w:rsidRDefault="0021201E" w:rsidP="00C20D65">
            <w:pPr>
              <w:pStyle w:val="TableDataColumnHeading"/>
              <w:jc w:val="left"/>
              <w:rPr>
                <w:spacing w:val="-2"/>
                <w:sz w:val="16"/>
                <w:szCs w:val="16"/>
                <w:lang w:val="en-US"/>
              </w:rPr>
            </w:pPr>
            <w:r w:rsidRPr="007472BA">
              <w:rPr>
                <w:spacing w:val="-2"/>
                <w:sz w:val="16"/>
                <w:szCs w:val="16"/>
                <w:lang w:val="en-US"/>
              </w:rPr>
              <w:t>Initiative</w:t>
            </w:r>
          </w:p>
        </w:tc>
        <w:tc>
          <w:tcPr>
            <w:tcW w:w="250" w:type="pct"/>
            <w:tcBorders>
              <w:top w:val="single" w:sz="2" w:space="0" w:color="auto"/>
              <w:left w:val="single" w:sz="2" w:space="0" w:color="auto"/>
              <w:bottom w:val="single" w:sz="12" w:space="0" w:color="auto"/>
              <w:right w:val="single" w:sz="2" w:space="0" w:color="auto"/>
            </w:tcBorders>
            <w:shd w:val="clear" w:color="auto" w:fill="DDCF56"/>
            <w:tcMar>
              <w:left w:w="57" w:type="dxa"/>
              <w:right w:w="57" w:type="dxa"/>
            </w:tcMar>
            <w:textDirection w:val="btLr"/>
          </w:tcPr>
          <w:p w:rsidR="0021201E" w:rsidRPr="007472BA" w:rsidRDefault="0021201E" w:rsidP="00FE3752">
            <w:pPr>
              <w:pStyle w:val="TableDataColumnHeading"/>
              <w:spacing w:before="0" w:after="0" w:line="240" w:lineRule="auto"/>
              <w:jc w:val="center"/>
              <w:rPr>
                <w:spacing w:val="-2"/>
                <w:sz w:val="16"/>
                <w:szCs w:val="16"/>
                <w:lang w:val="en-US"/>
              </w:rPr>
            </w:pPr>
            <w:r w:rsidRPr="007472BA">
              <w:rPr>
                <w:spacing w:val="-2"/>
                <w:sz w:val="16"/>
                <w:szCs w:val="16"/>
                <w:lang w:val="en-US"/>
              </w:rPr>
              <w:t>Implementation progress</w:t>
            </w:r>
          </w:p>
        </w:tc>
        <w:tc>
          <w:tcPr>
            <w:tcW w:w="250" w:type="pct"/>
            <w:tcBorders>
              <w:top w:val="single" w:sz="2" w:space="0" w:color="auto"/>
              <w:left w:val="single" w:sz="2" w:space="0" w:color="auto"/>
              <w:bottom w:val="single" w:sz="12" w:space="0" w:color="auto"/>
              <w:right w:val="single" w:sz="2" w:space="0" w:color="auto"/>
            </w:tcBorders>
            <w:shd w:val="clear" w:color="auto" w:fill="DDCF56"/>
            <w:tcMar>
              <w:left w:w="57" w:type="dxa"/>
              <w:right w:w="57" w:type="dxa"/>
            </w:tcMar>
            <w:textDirection w:val="btLr"/>
          </w:tcPr>
          <w:p w:rsidR="0021201E" w:rsidRPr="007472BA" w:rsidRDefault="0021201E" w:rsidP="00FE3752">
            <w:pPr>
              <w:pStyle w:val="TableDataColumnHeading"/>
              <w:spacing w:before="0" w:after="0" w:line="240" w:lineRule="auto"/>
              <w:jc w:val="center"/>
              <w:rPr>
                <w:spacing w:val="-2"/>
                <w:sz w:val="16"/>
                <w:szCs w:val="16"/>
                <w:lang w:val="en-US"/>
              </w:rPr>
            </w:pPr>
            <w:r w:rsidRPr="007472BA">
              <w:rPr>
                <w:spacing w:val="-2"/>
                <w:sz w:val="16"/>
                <w:szCs w:val="16"/>
                <w:lang w:val="en-US"/>
              </w:rPr>
              <w:t>Achieving objectives</w:t>
            </w:r>
          </w:p>
        </w:tc>
        <w:tc>
          <w:tcPr>
            <w:tcW w:w="250" w:type="pct"/>
            <w:tcBorders>
              <w:top w:val="single" w:sz="2" w:space="0" w:color="auto"/>
              <w:left w:val="single" w:sz="2" w:space="0" w:color="auto"/>
              <w:bottom w:val="single" w:sz="12" w:space="0" w:color="auto"/>
              <w:right w:val="single" w:sz="2" w:space="0" w:color="auto"/>
            </w:tcBorders>
            <w:shd w:val="clear" w:color="auto" w:fill="DDCF56"/>
            <w:tcMar>
              <w:left w:w="57" w:type="dxa"/>
              <w:right w:w="57" w:type="dxa"/>
            </w:tcMar>
            <w:textDirection w:val="btLr"/>
          </w:tcPr>
          <w:p w:rsidR="0021201E" w:rsidRPr="007472BA" w:rsidRDefault="0021201E" w:rsidP="00FE3752">
            <w:pPr>
              <w:pStyle w:val="TableDataColumnHeading"/>
              <w:spacing w:before="0" w:after="0" w:line="240" w:lineRule="auto"/>
              <w:jc w:val="center"/>
              <w:rPr>
                <w:spacing w:val="-2"/>
                <w:sz w:val="16"/>
                <w:szCs w:val="16"/>
                <w:lang w:val="en-US"/>
              </w:rPr>
            </w:pPr>
            <w:r w:rsidRPr="007472BA">
              <w:rPr>
                <w:spacing w:val="-2"/>
                <w:sz w:val="16"/>
                <w:szCs w:val="16"/>
                <w:lang w:val="en-US"/>
              </w:rPr>
              <w:t>Monitoring &amp; evaluation</w:t>
            </w:r>
          </w:p>
        </w:tc>
        <w:tc>
          <w:tcPr>
            <w:tcW w:w="250" w:type="pct"/>
            <w:tcBorders>
              <w:top w:val="single" w:sz="2" w:space="0" w:color="auto"/>
              <w:left w:val="single" w:sz="2" w:space="0" w:color="auto"/>
              <w:bottom w:val="single" w:sz="12" w:space="0" w:color="auto"/>
              <w:right w:val="single" w:sz="2" w:space="0" w:color="auto"/>
            </w:tcBorders>
            <w:shd w:val="clear" w:color="auto" w:fill="DDCF56"/>
            <w:tcMar>
              <w:left w:w="57" w:type="dxa"/>
              <w:right w:w="57" w:type="dxa"/>
            </w:tcMar>
            <w:textDirection w:val="btLr"/>
            <w:vAlign w:val="center"/>
          </w:tcPr>
          <w:p w:rsidR="0021201E" w:rsidRPr="007472BA" w:rsidRDefault="0021201E" w:rsidP="00FE3752">
            <w:pPr>
              <w:pStyle w:val="TableDataColumnHeading"/>
              <w:spacing w:before="0" w:after="0" w:line="240" w:lineRule="auto"/>
              <w:jc w:val="center"/>
              <w:rPr>
                <w:spacing w:val="-2"/>
                <w:sz w:val="16"/>
                <w:szCs w:val="16"/>
                <w:lang w:val="en-US"/>
              </w:rPr>
            </w:pPr>
            <w:r w:rsidRPr="007472BA">
              <w:rPr>
                <w:spacing w:val="-2"/>
                <w:sz w:val="16"/>
                <w:szCs w:val="16"/>
                <w:lang w:val="en-US"/>
              </w:rPr>
              <w:t>Sustainability</w:t>
            </w:r>
          </w:p>
        </w:tc>
        <w:tc>
          <w:tcPr>
            <w:tcW w:w="250" w:type="pct"/>
            <w:tcBorders>
              <w:top w:val="single" w:sz="2" w:space="0" w:color="auto"/>
              <w:left w:val="single" w:sz="2" w:space="0" w:color="auto"/>
              <w:bottom w:val="single" w:sz="12" w:space="0" w:color="auto"/>
              <w:right w:val="single" w:sz="2" w:space="0" w:color="auto"/>
            </w:tcBorders>
            <w:shd w:val="clear" w:color="auto" w:fill="DDCF56"/>
            <w:tcMar>
              <w:left w:w="57" w:type="dxa"/>
              <w:right w:w="57" w:type="dxa"/>
            </w:tcMar>
            <w:textDirection w:val="btLr"/>
          </w:tcPr>
          <w:p w:rsidR="0021201E" w:rsidRPr="007472BA" w:rsidRDefault="0021201E" w:rsidP="00FE3752">
            <w:pPr>
              <w:pStyle w:val="TableDataColumnHeading"/>
              <w:spacing w:before="0" w:after="0" w:line="240" w:lineRule="auto"/>
              <w:jc w:val="center"/>
              <w:rPr>
                <w:spacing w:val="-2"/>
                <w:sz w:val="16"/>
                <w:szCs w:val="16"/>
                <w:lang w:val="en-US"/>
              </w:rPr>
            </w:pPr>
            <w:r w:rsidRPr="007472BA">
              <w:rPr>
                <w:spacing w:val="-2"/>
                <w:sz w:val="16"/>
                <w:szCs w:val="16"/>
                <w:lang w:val="en-US"/>
              </w:rPr>
              <w:t>Implementation progress</w:t>
            </w:r>
          </w:p>
        </w:tc>
        <w:tc>
          <w:tcPr>
            <w:tcW w:w="250" w:type="pct"/>
            <w:tcBorders>
              <w:top w:val="single" w:sz="2" w:space="0" w:color="auto"/>
              <w:left w:val="single" w:sz="2" w:space="0" w:color="auto"/>
              <w:bottom w:val="single" w:sz="12" w:space="0" w:color="auto"/>
              <w:right w:val="single" w:sz="2" w:space="0" w:color="auto"/>
            </w:tcBorders>
            <w:shd w:val="clear" w:color="auto" w:fill="DDCF56"/>
            <w:tcMar>
              <w:left w:w="57" w:type="dxa"/>
              <w:right w:w="57" w:type="dxa"/>
            </w:tcMar>
            <w:textDirection w:val="btLr"/>
          </w:tcPr>
          <w:p w:rsidR="0021201E" w:rsidRPr="007472BA" w:rsidRDefault="0021201E" w:rsidP="00FE3752">
            <w:pPr>
              <w:pStyle w:val="TableDataColumnHeading"/>
              <w:spacing w:before="0" w:after="0" w:line="240" w:lineRule="auto"/>
              <w:jc w:val="center"/>
              <w:rPr>
                <w:spacing w:val="-2"/>
                <w:sz w:val="16"/>
                <w:szCs w:val="16"/>
                <w:lang w:val="en-US"/>
              </w:rPr>
            </w:pPr>
            <w:r w:rsidRPr="007472BA">
              <w:rPr>
                <w:spacing w:val="-2"/>
                <w:sz w:val="16"/>
                <w:szCs w:val="16"/>
                <w:lang w:val="en-US"/>
              </w:rPr>
              <w:t>Achieving objectives</w:t>
            </w:r>
          </w:p>
        </w:tc>
        <w:tc>
          <w:tcPr>
            <w:tcW w:w="250" w:type="pct"/>
            <w:tcBorders>
              <w:top w:val="single" w:sz="2" w:space="0" w:color="auto"/>
              <w:left w:val="single" w:sz="2" w:space="0" w:color="auto"/>
              <w:bottom w:val="single" w:sz="12" w:space="0" w:color="auto"/>
              <w:right w:val="single" w:sz="2" w:space="0" w:color="auto"/>
            </w:tcBorders>
            <w:shd w:val="clear" w:color="auto" w:fill="DDCF56"/>
            <w:tcMar>
              <w:left w:w="57" w:type="dxa"/>
              <w:right w:w="57" w:type="dxa"/>
            </w:tcMar>
            <w:textDirection w:val="btLr"/>
          </w:tcPr>
          <w:p w:rsidR="0021201E" w:rsidRPr="007472BA" w:rsidRDefault="0021201E" w:rsidP="00FE3752">
            <w:pPr>
              <w:pStyle w:val="TableDataColumnHeading"/>
              <w:spacing w:before="0" w:after="0" w:line="240" w:lineRule="auto"/>
              <w:jc w:val="center"/>
              <w:rPr>
                <w:spacing w:val="-2"/>
                <w:sz w:val="16"/>
                <w:szCs w:val="16"/>
                <w:lang w:val="en-US"/>
              </w:rPr>
            </w:pPr>
            <w:r w:rsidRPr="007472BA">
              <w:rPr>
                <w:spacing w:val="-2"/>
                <w:sz w:val="16"/>
                <w:szCs w:val="16"/>
                <w:lang w:val="en-US"/>
              </w:rPr>
              <w:t>Monitoring &amp; evaluation</w:t>
            </w:r>
          </w:p>
        </w:tc>
        <w:tc>
          <w:tcPr>
            <w:tcW w:w="250" w:type="pct"/>
            <w:tcBorders>
              <w:top w:val="single" w:sz="2" w:space="0" w:color="auto"/>
              <w:left w:val="single" w:sz="2" w:space="0" w:color="auto"/>
              <w:bottom w:val="single" w:sz="12" w:space="0" w:color="auto"/>
              <w:right w:val="single" w:sz="2" w:space="0" w:color="auto"/>
            </w:tcBorders>
            <w:shd w:val="clear" w:color="auto" w:fill="DDCF56"/>
            <w:tcMar>
              <w:left w:w="57" w:type="dxa"/>
              <w:right w:w="57" w:type="dxa"/>
            </w:tcMar>
            <w:textDirection w:val="btLr"/>
            <w:vAlign w:val="center"/>
          </w:tcPr>
          <w:p w:rsidR="0021201E" w:rsidRPr="007472BA" w:rsidRDefault="0021201E" w:rsidP="00FE3752">
            <w:pPr>
              <w:pStyle w:val="TableDataColumnHeading"/>
              <w:spacing w:before="0" w:after="0" w:line="240" w:lineRule="auto"/>
              <w:jc w:val="center"/>
              <w:rPr>
                <w:spacing w:val="-2"/>
                <w:sz w:val="16"/>
                <w:szCs w:val="16"/>
                <w:lang w:val="en-US"/>
              </w:rPr>
            </w:pPr>
            <w:r w:rsidRPr="007472BA">
              <w:rPr>
                <w:spacing w:val="-2"/>
                <w:sz w:val="16"/>
                <w:szCs w:val="16"/>
                <w:lang w:val="en-US"/>
              </w:rPr>
              <w:t>Sustainability</w:t>
            </w:r>
          </w:p>
        </w:tc>
      </w:tr>
      <w:tr w:rsidR="0021201E" w:rsidRPr="00FE3752" w:rsidTr="00C6521D">
        <w:trPr>
          <w:cantSplit/>
        </w:trPr>
        <w:tc>
          <w:tcPr>
            <w:tcW w:w="3002" w:type="pct"/>
            <w:tcBorders>
              <w:top w:val="single" w:sz="12" w:space="0" w:color="auto"/>
              <w:left w:val="single" w:sz="2" w:space="0" w:color="auto"/>
              <w:bottom w:val="single" w:sz="2" w:space="0" w:color="auto"/>
              <w:right w:val="single" w:sz="2" w:space="0" w:color="auto"/>
            </w:tcBorders>
            <w:shd w:val="clear" w:color="auto" w:fill="auto"/>
            <w:noWrap/>
            <w:tcMar>
              <w:left w:w="57" w:type="dxa"/>
              <w:right w:w="28" w:type="dxa"/>
            </w:tcMar>
          </w:tcPr>
          <w:p w:rsidR="0021201E" w:rsidRPr="00FE3752" w:rsidRDefault="0021201E" w:rsidP="00C20D65">
            <w:pPr>
              <w:pStyle w:val="TableDataEntries"/>
              <w:spacing w:before="4" w:after="4"/>
              <w:jc w:val="left"/>
              <w:rPr>
                <w:sz w:val="16"/>
                <w:szCs w:val="16"/>
                <w:lang w:val="en-US"/>
              </w:rPr>
            </w:pPr>
            <w:r w:rsidRPr="00FE3752">
              <w:rPr>
                <w:sz w:val="16"/>
                <w:szCs w:val="16"/>
                <w:lang w:val="en-US"/>
              </w:rPr>
              <w:t>INH523: Governance for Growth Program 2008–11</w:t>
            </w:r>
          </w:p>
        </w:tc>
        <w:tc>
          <w:tcPr>
            <w:tcW w:w="250" w:type="pct"/>
            <w:tcBorders>
              <w:top w:val="single" w:sz="12" w:space="0" w:color="auto"/>
              <w:left w:val="single" w:sz="2" w:space="0" w:color="auto"/>
              <w:bottom w:val="single" w:sz="2" w:space="0" w:color="808080"/>
              <w:right w:val="single" w:sz="2" w:space="0" w:color="808080"/>
            </w:tcBorders>
            <w:shd w:val="clear" w:color="auto" w:fill="99CC00"/>
            <w:noWrap/>
            <w:tcMar>
              <w:left w:w="57" w:type="dxa"/>
              <w:right w:w="57" w:type="dxa"/>
            </w:tcMar>
          </w:tcPr>
          <w:p w:rsidR="0021201E" w:rsidRPr="00FE3752" w:rsidRDefault="00382599" w:rsidP="00C20D65">
            <w:pPr>
              <w:pStyle w:val="TableDataEntries"/>
              <w:spacing w:before="4" w:after="4"/>
              <w:jc w:val="center"/>
              <w:rPr>
                <w:sz w:val="16"/>
                <w:szCs w:val="16"/>
                <w:lang w:val="en-US"/>
              </w:rPr>
            </w:pPr>
            <w:r>
              <w:rPr>
                <w:sz w:val="16"/>
                <w:szCs w:val="16"/>
                <w:lang w:val="en-US"/>
              </w:rPr>
              <w:t>5</w:t>
            </w:r>
          </w:p>
        </w:tc>
        <w:tc>
          <w:tcPr>
            <w:tcW w:w="250" w:type="pct"/>
            <w:tcBorders>
              <w:top w:val="single" w:sz="12" w:space="0" w:color="auto"/>
              <w:left w:val="single" w:sz="2" w:space="0" w:color="808080"/>
              <w:bottom w:val="single" w:sz="2" w:space="0" w:color="808080"/>
              <w:right w:val="single" w:sz="2" w:space="0" w:color="808080"/>
            </w:tcBorders>
            <w:shd w:val="clear" w:color="auto" w:fill="99CC00"/>
            <w:noWrap/>
            <w:tcMar>
              <w:left w:w="57" w:type="dxa"/>
              <w:right w:w="57" w:type="dxa"/>
            </w:tcMar>
          </w:tcPr>
          <w:p w:rsidR="0021201E" w:rsidRPr="00FE3752" w:rsidRDefault="00382599" w:rsidP="00C20D65">
            <w:pPr>
              <w:pStyle w:val="TableDataEntries"/>
              <w:spacing w:before="4" w:after="4"/>
              <w:jc w:val="center"/>
              <w:rPr>
                <w:sz w:val="16"/>
                <w:szCs w:val="16"/>
                <w:lang w:val="en-US"/>
              </w:rPr>
            </w:pPr>
            <w:r>
              <w:rPr>
                <w:sz w:val="16"/>
                <w:szCs w:val="16"/>
                <w:lang w:val="en-US"/>
              </w:rPr>
              <w:t>5</w:t>
            </w:r>
          </w:p>
        </w:tc>
        <w:tc>
          <w:tcPr>
            <w:tcW w:w="250" w:type="pct"/>
            <w:tcBorders>
              <w:top w:val="single" w:sz="12" w:space="0" w:color="auto"/>
              <w:left w:val="single" w:sz="2" w:space="0" w:color="808080"/>
              <w:bottom w:val="single" w:sz="2" w:space="0" w:color="808080"/>
              <w:right w:val="single" w:sz="2" w:space="0" w:color="808080"/>
            </w:tcBorders>
            <w:shd w:val="clear" w:color="auto" w:fill="FFCC00"/>
            <w:noWrap/>
            <w:tcMar>
              <w:left w:w="57" w:type="dxa"/>
              <w:right w:w="57" w:type="dxa"/>
            </w:tcMar>
          </w:tcPr>
          <w:p w:rsidR="0021201E" w:rsidRPr="00FE3752" w:rsidRDefault="00382599" w:rsidP="00C20D65">
            <w:pPr>
              <w:pStyle w:val="TableDataEntries"/>
              <w:spacing w:before="4" w:after="4"/>
              <w:jc w:val="center"/>
              <w:rPr>
                <w:sz w:val="16"/>
                <w:szCs w:val="16"/>
                <w:lang w:val="en-US"/>
              </w:rPr>
            </w:pPr>
            <w:r>
              <w:rPr>
                <w:sz w:val="16"/>
                <w:szCs w:val="16"/>
                <w:lang w:val="en-US"/>
              </w:rPr>
              <w:t>4</w:t>
            </w:r>
          </w:p>
        </w:tc>
        <w:tc>
          <w:tcPr>
            <w:tcW w:w="250" w:type="pct"/>
            <w:tcBorders>
              <w:top w:val="single" w:sz="12" w:space="0" w:color="auto"/>
              <w:left w:val="single" w:sz="2" w:space="0" w:color="808080"/>
              <w:bottom w:val="single" w:sz="2" w:space="0" w:color="808080"/>
              <w:right w:val="single" w:sz="2" w:space="0" w:color="808080"/>
            </w:tcBorders>
            <w:shd w:val="clear" w:color="auto" w:fill="99CC00"/>
            <w:noWrap/>
            <w:tcMar>
              <w:left w:w="57" w:type="dxa"/>
              <w:right w:w="57" w:type="dxa"/>
            </w:tcMar>
          </w:tcPr>
          <w:p w:rsidR="0021201E" w:rsidRPr="00FE3752" w:rsidRDefault="00382599" w:rsidP="00C20D65">
            <w:pPr>
              <w:pStyle w:val="TableDataEntries"/>
              <w:spacing w:before="4" w:after="4"/>
              <w:jc w:val="center"/>
              <w:rPr>
                <w:sz w:val="16"/>
                <w:szCs w:val="16"/>
                <w:lang w:val="en-US"/>
              </w:rPr>
            </w:pPr>
            <w:r>
              <w:rPr>
                <w:sz w:val="16"/>
                <w:szCs w:val="16"/>
                <w:lang w:val="en-US"/>
              </w:rPr>
              <w:t>5</w:t>
            </w:r>
          </w:p>
        </w:tc>
        <w:tc>
          <w:tcPr>
            <w:tcW w:w="250" w:type="pct"/>
            <w:tcBorders>
              <w:top w:val="single" w:sz="12" w:space="0" w:color="auto"/>
              <w:left w:val="single" w:sz="2" w:space="0" w:color="808080"/>
              <w:bottom w:val="single" w:sz="2" w:space="0" w:color="808080"/>
            </w:tcBorders>
            <w:shd w:val="clear" w:color="auto" w:fill="99CC00"/>
            <w:noWrap/>
            <w:tcMar>
              <w:left w:w="57" w:type="dxa"/>
              <w:right w:w="57" w:type="dxa"/>
            </w:tcMar>
          </w:tcPr>
          <w:p w:rsidR="0021201E" w:rsidRPr="00FE3752" w:rsidRDefault="00382599" w:rsidP="00C20D65">
            <w:pPr>
              <w:pStyle w:val="TableDataEntries"/>
              <w:spacing w:before="4" w:after="4"/>
              <w:jc w:val="center"/>
              <w:rPr>
                <w:sz w:val="16"/>
                <w:szCs w:val="16"/>
                <w:lang w:val="en-US"/>
              </w:rPr>
            </w:pPr>
            <w:r>
              <w:rPr>
                <w:sz w:val="16"/>
                <w:szCs w:val="16"/>
                <w:lang w:val="en-US"/>
              </w:rPr>
              <w:t>5</w:t>
            </w:r>
          </w:p>
        </w:tc>
        <w:tc>
          <w:tcPr>
            <w:tcW w:w="250" w:type="pct"/>
            <w:tcBorders>
              <w:top w:val="single" w:sz="12" w:space="0" w:color="auto"/>
              <w:bottom w:val="single" w:sz="2" w:space="0" w:color="808080"/>
            </w:tcBorders>
            <w:shd w:val="clear" w:color="auto" w:fill="99CC00"/>
            <w:noWrap/>
            <w:tcMar>
              <w:left w:w="57" w:type="dxa"/>
              <w:right w:w="57" w:type="dxa"/>
            </w:tcMar>
          </w:tcPr>
          <w:p w:rsidR="0021201E" w:rsidRPr="00FE3752" w:rsidRDefault="00382599" w:rsidP="00C20D65">
            <w:pPr>
              <w:pStyle w:val="TableDataEntries"/>
              <w:spacing w:before="4" w:after="4"/>
              <w:jc w:val="center"/>
              <w:rPr>
                <w:sz w:val="16"/>
                <w:szCs w:val="16"/>
                <w:lang w:val="en-US"/>
              </w:rPr>
            </w:pPr>
            <w:r>
              <w:rPr>
                <w:sz w:val="16"/>
                <w:szCs w:val="16"/>
                <w:lang w:val="en-US"/>
              </w:rPr>
              <w:t>5</w:t>
            </w:r>
          </w:p>
        </w:tc>
        <w:tc>
          <w:tcPr>
            <w:tcW w:w="250" w:type="pct"/>
            <w:tcBorders>
              <w:top w:val="single" w:sz="12" w:space="0" w:color="auto"/>
              <w:bottom w:val="single" w:sz="2" w:space="0" w:color="808080"/>
            </w:tcBorders>
            <w:shd w:val="clear" w:color="auto" w:fill="99CC00"/>
            <w:noWrap/>
            <w:tcMar>
              <w:left w:w="57" w:type="dxa"/>
              <w:right w:w="57" w:type="dxa"/>
            </w:tcMar>
          </w:tcPr>
          <w:p w:rsidR="0021201E" w:rsidRPr="00FE3752" w:rsidRDefault="00382599" w:rsidP="00C20D65">
            <w:pPr>
              <w:pStyle w:val="TableDataEntries"/>
              <w:spacing w:before="4" w:after="4"/>
              <w:jc w:val="center"/>
              <w:rPr>
                <w:sz w:val="16"/>
                <w:szCs w:val="16"/>
                <w:lang w:val="en-US"/>
              </w:rPr>
            </w:pPr>
            <w:r>
              <w:rPr>
                <w:sz w:val="16"/>
                <w:szCs w:val="16"/>
                <w:lang w:val="en-US"/>
              </w:rPr>
              <w:t>5</w:t>
            </w:r>
          </w:p>
        </w:tc>
        <w:tc>
          <w:tcPr>
            <w:tcW w:w="250" w:type="pct"/>
            <w:tcBorders>
              <w:top w:val="single" w:sz="12" w:space="0" w:color="auto"/>
              <w:bottom w:val="single" w:sz="2" w:space="0" w:color="808080"/>
              <w:right w:val="single" w:sz="2" w:space="0" w:color="auto"/>
            </w:tcBorders>
            <w:shd w:val="clear" w:color="auto" w:fill="99CC00"/>
            <w:noWrap/>
            <w:tcMar>
              <w:left w:w="57" w:type="dxa"/>
              <w:right w:w="57" w:type="dxa"/>
            </w:tcMar>
          </w:tcPr>
          <w:p w:rsidR="0021201E" w:rsidRPr="00FE3752" w:rsidRDefault="00382599" w:rsidP="00C20D65">
            <w:pPr>
              <w:pStyle w:val="TableDataEntries"/>
              <w:spacing w:before="4" w:after="4"/>
              <w:jc w:val="center"/>
              <w:rPr>
                <w:sz w:val="16"/>
                <w:szCs w:val="16"/>
                <w:lang w:val="en-US"/>
              </w:rPr>
            </w:pPr>
            <w:r>
              <w:rPr>
                <w:sz w:val="16"/>
                <w:szCs w:val="16"/>
                <w:lang w:val="en-US"/>
              </w:rPr>
              <w:t>5</w:t>
            </w:r>
          </w:p>
        </w:tc>
      </w:tr>
      <w:tr w:rsidR="0021201E" w:rsidRPr="00FE3752" w:rsidTr="00C6521D">
        <w:trPr>
          <w:cantSplit/>
        </w:trPr>
        <w:tc>
          <w:tcPr>
            <w:tcW w:w="3002" w:type="pct"/>
            <w:tcBorders>
              <w:top w:val="single" w:sz="2" w:space="0" w:color="auto"/>
              <w:left w:val="single" w:sz="2" w:space="0" w:color="auto"/>
              <w:bottom w:val="single" w:sz="2" w:space="0" w:color="auto"/>
              <w:right w:val="single" w:sz="2" w:space="0" w:color="auto"/>
            </w:tcBorders>
            <w:shd w:val="clear" w:color="auto" w:fill="auto"/>
            <w:noWrap/>
            <w:tcMar>
              <w:left w:w="57" w:type="dxa"/>
              <w:right w:w="28" w:type="dxa"/>
            </w:tcMar>
          </w:tcPr>
          <w:p w:rsidR="0021201E" w:rsidRPr="00FE3752" w:rsidRDefault="0021201E" w:rsidP="00C20D65">
            <w:pPr>
              <w:pStyle w:val="TableDataEntries"/>
              <w:spacing w:before="4" w:after="4"/>
              <w:jc w:val="left"/>
              <w:rPr>
                <w:sz w:val="16"/>
                <w:szCs w:val="16"/>
                <w:lang w:val="en-US"/>
              </w:rPr>
            </w:pPr>
            <w:r w:rsidRPr="00FE3752">
              <w:rPr>
                <w:sz w:val="16"/>
                <w:szCs w:val="16"/>
                <w:lang w:val="en-US"/>
              </w:rPr>
              <w:t>IND294: Legal Sector Strengthening Pro</w:t>
            </w:r>
            <w:r w:rsidR="00485509">
              <w:rPr>
                <w:sz w:val="16"/>
                <w:szCs w:val="16"/>
                <w:lang w:val="en-US"/>
              </w:rPr>
              <w:t>gram</w:t>
            </w:r>
          </w:p>
        </w:tc>
        <w:tc>
          <w:tcPr>
            <w:tcW w:w="250" w:type="pct"/>
            <w:tcBorders>
              <w:top w:val="single" w:sz="2" w:space="0" w:color="808080"/>
              <w:left w:val="single" w:sz="2" w:space="0" w:color="auto"/>
              <w:bottom w:val="single" w:sz="2" w:space="0" w:color="808080"/>
              <w:right w:val="single" w:sz="2" w:space="0" w:color="808080"/>
            </w:tcBorders>
            <w:shd w:val="clear" w:color="auto" w:fill="FFCC00"/>
            <w:noWrap/>
            <w:tcMar>
              <w:left w:w="57" w:type="dxa"/>
              <w:right w:w="57" w:type="dxa"/>
            </w:tcMar>
          </w:tcPr>
          <w:p w:rsidR="0021201E" w:rsidRPr="00FE3752" w:rsidRDefault="00382599" w:rsidP="00C20D65">
            <w:pPr>
              <w:pStyle w:val="TableDataEntries"/>
              <w:spacing w:before="4" w:after="4"/>
              <w:jc w:val="center"/>
              <w:rPr>
                <w:sz w:val="16"/>
                <w:szCs w:val="16"/>
                <w:lang w:val="en-US"/>
              </w:rPr>
            </w:pPr>
            <w:r>
              <w:rPr>
                <w:sz w:val="16"/>
                <w:szCs w:val="16"/>
                <w:lang w:val="en-US"/>
              </w:rPr>
              <w:t>4</w:t>
            </w:r>
          </w:p>
        </w:tc>
        <w:tc>
          <w:tcPr>
            <w:tcW w:w="250" w:type="pct"/>
            <w:tcBorders>
              <w:top w:val="single" w:sz="2" w:space="0" w:color="808080"/>
              <w:left w:val="single" w:sz="2" w:space="0" w:color="808080"/>
              <w:bottom w:val="single" w:sz="2" w:space="0" w:color="808080"/>
              <w:right w:val="single" w:sz="2" w:space="0" w:color="808080"/>
            </w:tcBorders>
            <w:shd w:val="clear" w:color="auto" w:fill="FFCC00"/>
            <w:noWrap/>
            <w:tcMar>
              <w:left w:w="57" w:type="dxa"/>
              <w:right w:w="57" w:type="dxa"/>
            </w:tcMar>
          </w:tcPr>
          <w:p w:rsidR="0021201E" w:rsidRPr="00FE3752" w:rsidRDefault="00382599" w:rsidP="00C20D65">
            <w:pPr>
              <w:pStyle w:val="TableDataEntries"/>
              <w:spacing w:before="4" w:after="4"/>
              <w:jc w:val="center"/>
              <w:rPr>
                <w:sz w:val="16"/>
                <w:szCs w:val="16"/>
                <w:lang w:val="en-US"/>
              </w:rPr>
            </w:pPr>
            <w:r>
              <w:rPr>
                <w:sz w:val="16"/>
                <w:szCs w:val="16"/>
                <w:lang w:val="en-US"/>
              </w:rPr>
              <w:t>4</w:t>
            </w:r>
          </w:p>
        </w:tc>
        <w:tc>
          <w:tcPr>
            <w:tcW w:w="250" w:type="pct"/>
            <w:tcBorders>
              <w:top w:val="single" w:sz="2" w:space="0" w:color="808080"/>
              <w:left w:val="single" w:sz="2" w:space="0" w:color="808080"/>
              <w:bottom w:val="single" w:sz="2" w:space="0" w:color="808080"/>
              <w:right w:val="single" w:sz="2" w:space="0" w:color="808080"/>
            </w:tcBorders>
            <w:shd w:val="clear" w:color="auto" w:fill="FFCC00"/>
            <w:noWrap/>
            <w:tcMar>
              <w:left w:w="57" w:type="dxa"/>
              <w:right w:w="57" w:type="dxa"/>
            </w:tcMar>
          </w:tcPr>
          <w:p w:rsidR="0021201E" w:rsidRPr="00FE3752" w:rsidRDefault="00382599" w:rsidP="00C20D65">
            <w:pPr>
              <w:pStyle w:val="TableDataEntries"/>
              <w:spacing w:before="4" w:after="4"/>
              <w:jc w:val="center"/>
              <w:rPr>
                <w:sz w:val="16"/>
                <w:szCs w:val="16"/>
                <w:lang w:val="en-US"/>
              </w:rPr>
            </w:pPr>
            <w:r>
              <w:rPr>
                <w:sz w:val="16"/>
                <w:szCs w:val="16"/>
                <w:lang w:val="en-US"/>
              </w:rPr>
              <w:t>4</w:t>
            </w:r>
          </w:p>
        </w:tc>
        <w:tc>
          <w:tcPr>
            <w:tcW w:w="250" w:type="pct"/>
            <w:tcBorders>
              <w:top w:val="single" w:sz="2" w:space="0" w:color="808080"/>
              <w:left w:val="single" w:sz="2" w:space="0" w:color="808080"/>
              <w:bottom w:val="single" w:sz="2" w:space="0" w:color="808080"/>
              <w:right w:val="single" w:sz="2" w:space="0" w:color="auto"/>
            </w:tcBorders>
            <w:shd w:val="clear" w:color="auto" w:fill="FF9900"/>
            <w:noWrap/>
            <w:tcMar>
              <w:left w:w="57" w:type="dxa"/>
              <w:right w:w="57" w:type="dxa"/>
            </w:tcMar>
          </w:tcPr>
          <w:p w:rsidR="0021201E" w:rsidRPr="00FE3752" w:rsidRDefault="00382599" w:rsidP="00C20D65">
            <w:pPr>
              <w:pStyle w:val="TableDataEntries"/>
              <w:spacing w:before="4" w:after="4"/>
              <w:jc w:val="center"/>
              <w:rPr>
                <w:sz w:val="16"/>
                <w:szCs w:val="16"/>
                <w:lang w:val="en-US"/>
              </w:rPr>
            </w:pPr>
            <w:r>
              <w:rPr>
                <w:sz w:val="16"/>
                <w:szCs w:val="16"/>
                <w:lang w:val="en-US"/>
              </w:rPr>
              <w:t>3</w:t>
            </w:r>
          </w:p>
        </w:tc>
        <w:tc>
          <w:tcPr>
            <w:tcW w:w="250" w:type="pct"/>
            <w:tcBorders>
              <w:top w:val="single" w:sz="2" w:space="0" w:color="808080"/>
              <w:left w:val="single" w:sz="2" w:space="0" w:color="auto"/>
              <w:bottom w:val="single" w:sz="2" w:space="0" w:color="808080"/>
              <w:right w:val="single" w:sz="2" w:space="0" w:color="808080"/>
            </w:tcBorders>
            <w:shd w:val="clear" w:color="auto" w:fill="FFCC00"/>
            <w:noWrap/>
            <w:tcMar>
              <w:left w:w="57" w:type="dxa"/>
              <w:right w:w="57" w:type="dxa"/>
            </w:tcMar>
          </w:tcPr>
          <w:p w:rsidR="0021201E" w:rsidRPr="00FE3752" w:rsidRDefault="00382599" w:rsidP="00C20D65">
            <w:pPr>
              <w:pStyle w:val="TableDataEntries"/>
              <w:spacing w:before="4" w:after="4"/>
              <w:jc w:val="center"/>
              <w:rPr>
                <w:sz w:val="16"/>
                <w:szCs w:val="16"/>
                <w:lang w:val="en-US"/>
              </w:rPr>
            </w:pPr>
            <w:r>
              <w:rPr>
                <w:sz w:val="16"/>
                <w:szCs w:val="16"/>
                <w:lang w:val="en-US"/>
              </w:rPr>
              <w:t>4</w:t>
            </w:r>
          </w:p>
        </w:tc>
        <w:tc>
          <w:tcPr>
            <w:tcW w:w="250" w:type="pct"/>
            <w:tcBorders>
              <w:top w:val="single" w:sz="2" w:space="0" w:color="808080"/>
              <w:left w:val="single" w:sz="2" w:space="0" w:color="808080"/>
              <w:bottom w:val="single" w:sz="2" w:space="0" w:color="808080"/>
              <w:right w:val="single" w:sz="2" w:space="0" w:color="808080"/>
            </w:tcBorders>
            <w:shd w:val="clear" w:color="auto" w:fill="FFCC00"/>
            <w:noWrap/>
            <w:tcMar>
              <w:left w:w="57" w:type="dxa"/>
              <w:right w:w="57" w:type="dxa"/>
            </w:tcMar>
          </w:tcPr>
          <w:p w:rsidR="0021201E" w:rsidRPr="00FE3752" w:rsidRDefault="00382599" w:rsidP="00C20D65">
            <w:pPr>
              <w:pStyle w:val="TableDataEntries"/>
              <w:spacing w:before="4" w:after="4"/>
              <w:jc w:val="center"/>
              <w:rPr>
                <w:sz w:val="16"/>
                <w:szCs w:val="16"/>
                <w:lang w:val="en-US"/>
              </w:rPr>
            </w:pPr>
            <w:r>
              <w:rPr>
                <w:sz w:val="16"/>
                <w:szCs w:val="16"/>
                <w:lang w:val="en-US"/>
              </w:rPr>
              <w:t>4</w:t>
            </w:r>
          </w:p>
        </w:tc>
        <w:tc>
          <w:tcPr>
            <w:tcW w:w="250" w:type="pct"/>
            <w:tcBorders>
              <w:top w:val="single" w:sz="2" w:space="0" w:color="808080"/>
              <w:left w:val="single" w:sz="2" w:space="0" w:color="808080"/>
              <w:bottom w:val="single" w:sz="2" w:space="0" w:color="808080"/>
              <w:right w:val="single" w:sz="2" w:space="0" w:color="808080"/>
            </w:tcBorders>
            <w:shd w:val="clear" w:color="auto" w:fill="FFCC00"/>
            <w:noWrap/>
            <w:tcMar>
              <w:left w:w="57" w:type="dxa"/>
              <w:right w:w="57" w:type="dxa"/>
            </w:tcMar>
          </w:tcPr>
          <w:p w:rsidR="0021201E" w:rsidRPr="00FE3752" w:rsidRDefault="00382599" w:rsidP="00C20D65">
            <w:pPr>
              <w:pStyle w:val="TableDataEntries"/>
              <w:spacing w:before="4" w:after="4"/>
              <w:jc w:val="center"/>
              <w:rPr>
                <w:sz w:val="16"/>
                <w:szCs w:val="16"/>
                <w:lang w:val="en-US"/>
              </w:rPr>
            </w:pPr>
            <w:r>
              <w:rPr>
                <w:sz w:val="16"/>
                <w:szCs w:val="16"/>
                <w:lang w:val="en-US"/>
              </w:rPr>
              <w:t>4</w:t>
            </w:r>
          </w:p>
        </w:tc>
        <w:tc>
          <w:tcPr>
            <w:tcW w:w="250" w:type="pct"/>
            <w:tcBorders>
              <w:top w:val="single" w:sz="2" w:space="0" w:color="808080"/>
              <w:left w:val="single" w:sz="2" w:space="0" w:color="808080"/>
              <w:bottom w:val="single" w:sz="2" w:space="0" w:color="808080"/>
              <w:right w:val="single" w:sz="2" w:space="0" w:color="auto"/>
            </w:tcBorders>
            <w:shd w:val="clear" w:color="auto" w:fill="FF9900"/>
            <w:noWrap/>
            <w:tcMar>
              <w:left w:w="57" w:type="dxa"/>
              <w:right w:w="57" w:type="dxa"/>
            </w:tcMar>
          </w:tcPr>
          <w:p w:rsidR="0021201E" w:rsidRPr="00FE3752" w:rsidRDefault="00382599" w:rsidP="00C20D65">
            <w:pPr>
              <w:pStyle w:val="TableDataEntries"/>
              <w:spacing w:before="4" w:after="4"/>
              <w:jc w:val="center"/>
              <w:rPr>
                <w:sz w:val="16"/>
                <w:szCs w:val="16"/>
                <w:lang w:val="en-US"/>
              </w:rPr>
            </w:pPr>
            <w:r>
              <w:rPr>
                <w:sz w:val="16"/>
                <w:szCs w:val="16"/>
                <w:lang w:val="en-US"/>
              </w:rPr>
              <w:t>3</w:t>
            </w:r>
          </w:p>
        </w:tc>
      </w:tr>
      <w:tr w:rsidR="0021201E" w:rsidRPr="00FE3752" w:rsidTr="00C6521D">
        <w:trPr>
          <w:cantSplit/>
        </w:trPr>
        <w:tc>
          <w:tcPr>
            <w:tcW w:w="3002" w:type="pct"/>
            <w:tcBorders>
              <w:top w:val="single" w:sz="2" w:space="0" w:color="auto"/>
              <w:left w:val="single" w:sz="2" w:space="0" w:color="auto"/>
              <w:bottom w:val="single" w:sz="2" w:space="0" w:color="auto"/>
              <w:right w:val="single" w:sz="2" w:space="0" w:color="auto"/>
            </w:tcBorders>
            <w:shd w:val="clear" w:color="auto" w:fill="auto"/>
            <w:noWrap/>
            <w:tcMar>
              <w:left w:w="57" w:type="dxa"/>
              <w:right w:w="28" w:type="dxa"/>
            </w:tcMar>
          </w:tcPr>
          <w:p w:rsidR="0021201E" w:rsidRPr="00FE3752" w:rsidRDefault="0021201E" w:rsidP="00C20D65">
            <w:pPr>
              <w:pStyle w:val="TableDataEntries"/>
              <w:spacing w:before="4" w:after="4"/>
              <w:jc w:val="left"/>
              <w:rPr>
                <w:sz w:val="16"/>
                <w:szCs w:val="16"/>
                <w:lang w:val="en-US"/>
              </w:rPr>
            </w:pPr>
            <w:r w:rsidRPr="00FE3752">
              <w:rPr>
                <w:sz w:val="16"/>
                <w:szCs w:val="16"/>
                <w:lang w:val="en-US"/>
              </w:rPr>
              <w:t xml:space="preserve">INF359: </w:t>
            </w:r>
            <w:smartTag w:uri="urn:schemas-microsoft-com:office:smarttags" w:element="place">
              <w:smartTag w:uri="urn:schemas-microsoft-com:office:smarttags" w:element="PlaceName">
                <w:r w:rsidRPr="00FE3752">
                  <w:rPr>
                    <w:sz w:val="16"/>
                    <w:szCs w:val="16"/>
                    <w:lang w:val="en-US"/>
                  </w:rPr>
                  <w:t>Vanuatu</w:t>
                </w:r>
              </w:smartTag>
              <w:r w:rsidRPr="00FE3752">
                <w:rPr>
                  <w:sz w:val="16"/>
                  <w:szCs w:val="16"/>
                  <w:lang w:val="en-US"/>
                </w:rPr>
                <w:t xml:space="preserve"> </w:t>
              </w:r>
              <w:smartTag w:uri="urn:schemas-microsoft-com:office:smarttags" w:element="PlaceName">
                <w:r w:rsidRPr="00FE3752">
                  <w:rPr>
                    <w:sz w:val="16"/>
                    <w:szCs w:val="16"/>
                    <w:lang w:val="en-US"/>
                  </w:rPr>
                  <w:t>Police</w:t>
                </w:r>
              </w:smartTag>
              <w:r w:rsidRPr="00FE3752">
                <w:rPr>
                  <w:sz w:val="16"/>
                  <w:szCs w:val="16"/>
                  <w:lang w:val="en-US"/>
                </w:rPr>
                <w:t xml:space="preserve"> </w:t>
              </w:r>
              <w:smartTag w:uri="urn:schemas-microsoft-com:office:smarttags" w:element="PlaceName">
                <w:r w:rsidRPr="00FE3752">
                  <w:rPr>
                    <w:sz w:val="16"/>
                    <w:szCs w:val="16"/>
                    <w:lang w:val="en-US"/>
                  </w:rPr>
                  <w:t>Force</w:t>
                </w:r>
              </w:smartTag>
              <w:r w:rsidRPr="00FE3752">
                <w:rPr>
                  <w:sz w:val="16"/>
                  <w:szCs w:val="16"/>
                  <w:lang w:val="en-US"/>
                </w:rPr>
                <w:t xml:space="preserve"> </w:t>
              </w:r>
              <w:smartTag w:uri="urn:schemas-microsoft-com:office:smarttags" w:element="PlaceName">
                <w:r w:rsidRPr="00FE3752">
                  <w:rPr>
                    <w:sz w:val="16"/>
                    <w:szCs w:val="16"/>
                    <w:lang w:val="en-US"/>
                  </w:rPr>
                  <w:t>Capacity</w:t>
                </w:r>
              </w:smartTag>
              <w:r w:rsidRPr="00FE3752">
                <w:rPr>
                  <w:sz w:val="16"/>
                  <w:szCs w:val="16"/>
                  <w:lang w:val="en-US"/>
                </w:rPr>
                <w:t xml:space="preserve"> </w:t>
              </w:r>
              <w:smartTag w:uri="urn:schemas-microsoft-com:office:smarttags" w:element="PlaceType">
                <w:r w:rsidRPr="00FE3752">
                  <w:rPr>
                    <w:sz w:val="16"/>
                    <w:szCs w:val="16"/>
                    <w:lang w:val="en-US"/>
                  </w:rPr>
                  <w:t>Building</w:t>
                </w:r>
              </w:smartTag>
            </w:smartTag>
            <w:r w:rsidRPr="00FE3752">
              <w:rPr>
                <w:sz w:val="16"/>
                <w:szCs w:val="16"/>
                <w:lang w:val="en-US"/>
              </w:rPr>
              <w:t xml:space="preserve"> Project</w:t>
            </w:r>
          </w:p>
        </w:tc>
        <w:tc>
          <w:tcPr>
            <w:tcW w:w="250" w:type="pct"/>
            <w:tcBorders>
              <w:top w:val="single" w:sz="2" w:space="0" w:color="808080"/>
              <w:left w:val="single" w:sz="2" w:space="0" w:color="auto"/>
              <w:bottom w:val="single" w:sz="2" w:space="0" w:color="808080"/>
              <w:right w:val="single" w:sz="2" w:space="0" w:color="808080"/>
            </w:tcBorders>
            <w:shd w:val="clear" w:color="auto" w:fill="auto"/>
            <w:noWrap/>
            <w:tcMar>
              <w:left w:w="57" w:type="dxa"/>
              <w:right w:w="57" w:type="dxa"/>
            </w:tcMar>
          </w:tcPr>
          <w:p w:rsidR="0021201E" w:rsidRPr="00FE3752" w:rsidRDefault="00382599" w:rsidP="00C20D65">
            <w:pPr>
              <w:pStyle w:val="TableDataEntries"/>
              <w:spacing w:before="4" w:after="4"/>
              <w:jc w:val="center"/>
              <w:rPr>
                <w:sz w:val="16"/>
                <w:szCs w:val="16"/>
                <w:lang w:val="en-US"/>
              </w:rPr>
            </w:pPr>
            <w:r>
              <w:rPr>
                <w:sz w:val="16"/>
                <w:szCs w:val="16"/>
                <w:lang w:val="en-US"/>
              </w:rPr>
              <w:t>N/A</w:t>
            </w:r>
          </w:p>
        </w:tc>
        <w:tc>
          <w:tcPr>
            <w:tcW w:w="250" w:type="pct"/>
            <w:tcBorders>
              <w:top w:val="single" w:sz="2" w:space="0" w:color="808080"/>
              <w:left w:val="single" w:sz="2" w:space="0" w:color="808080"/>
              <w:bottom w:val="single" w:sz="2" w:space="0" w:color="808080"/>
              <w:right w:val="single" w:sz="2" w:space="0" w:color="808080"/>
            </w:tcBorders>
            <w:shd w:val="clear" w:color="auto" w:fill="auto"/>
            <w:noWrap/>
            <w:tcMar>
              <w:left w:w="57" w:type="dxa"/>
              <w:right w:w="57" w:type="dxa"/>
            </w:tcMar>
          </w:tcPr>
          <w:p w:rsidR="0021201E" w:rsidRPr="00FE3752" w:rsidRDefault="00382599" w:rsidP="00C20D65">
            <w:pPr>
              <w:pStyle w:val="TableDataEntries"/>
              <w:spacing w:before="4" w:after="4"/>
              <w:jc w:val="center"/>
              <w:rPr>
                <w:sz w:val="16"/>
                <w:szCs w:val="16"/>
                <w:lang w:val="en-US"/>
              </w:rPr>
            </w:pPr>
            <w:r>
              <w:rPr>
                <w:sz w:val="16"/>
                <w:szCs w:val="16"/>
                <w:lang w:val="en-US"/>
              </w:rPr>
              <w:t>N/A</w:t>
            </w:r>
          </w:p>
        </w:tc>
        <w:tc>
          <w:tcPr>
            <w:tcW w:w="250" w:type="pct"/>
            <w:tcBorders>
              <w:top w:val="single" w:sz="2" w:space="0" w:color="808080"/>
              <w:left w:val="single" w:sz="2" w:space="0" w:color="808080"/>
              <w:bottom w:val="single" w:sz="2" w:space="0" w:color="808080"/>
              <w:right w:val="single" w:sz="2" w:space="0" w:color="808080"/>
            </w:tcBorders>
            <w:shd w:val="clear" w:color="auto" w:fill="auto"/>
            <w:noWrap/>
            <w:tcMar>
              <w:left w:w="57" w:type="dxa"/>
              <w:right w:w="57" w:type="dxa"/>
            </w:tcMar>
          </w:tcPr>
          <w:p w:rsidR="0021201E" w:rsidRPr="00FE3752" w:rsidRDefault="00382599" w:rsidP="00C20D65">
            <w:pPr>
              <w:pStyle w:val="TableDataEntries"/>
              <w:spacing w:before="4" w:after="4"/>
              <w:jc w:val="center"/>
              <w:rPr>
                <w:sz w:val="16"/>
                <w:szCs w:val="16"/>
                <w:lang w:val="en-US"/>
              </w:rPr>
            </w:pPr>
            <w:r>
              <w:rPr>
                <w:sz w:val="16"/>
                <w:szCs w:val="16"/>
                <w:lang w:val="en-US"/>
              </w:rPr>
              <w:t>N/A</w:t>
            </w:r>
          </w:p>
        </w:tc>
        <w:tc>
          <w:tcPr>
            <w:tcW w:w="250" w:type="pct"/>
            <w:tcBorders>
              <w:top w:val="single" w:sz="2" w:space="0" w:color="808080"/>
              <w:left w:val="single" w:sz="2" w:space="0" w:color="808080"/>
              <w:bottom w:val="single" w:sz="2" w:space="0" w:color="808080"/>
              <w:right w:val="single" w:sz="2" w:space="0" w:color="auto"/>
            </w:tcBorders>
            <w:shd w:val="clear" w:color="auto" w:fill="auto"/>
            <w:noWrap/>
            <w:tcMar>
              <w:left w:w="57" w:type="dxa"/>
              <w:right w:w="57" w:type="dxa"/>
            </w:tcMar>
          </w:tcPr>
          <w:p w:rsidR="0021201E" w:rsidRPr="00FE3752" w:rsidRDefault="00382599" w:rsidP="00C20D65">
            <w:pPr>
              <w:pStyle w:val="TableDataEntries"/>
              <w:spacing w:before="4" w:after="4"/>
              <w:jc w:val="center"/>
              <w:rPr>
                <w:sz w:val="16"/>
                <w:szCs w:val="16"/>
                <w:lang w:val="en-US"/>
              </w:rPr>
            </w:pPr>
            <w:r>
              <w:rPr>
                <w:sz w:val="16"/>
                <w:szCs w:val="16"/>
                <w:lang w:val="en-US"/>
              </w:rPr>
              <w:t>N/A</w:t>
            </w:r>
          </w:p>
        </w:tc>
        <w:tc>
          <w:tcPr>
            <w:tcW w:w="250" w:type="pct"/>
            <w:tcBorders>
              <w:top w:val="single" w:sz="2" w:space="0" w:color="808080"/>
              <w:left w:val="single" w:sz="2" w:space="0" w:color="auto"/>
              <w:bottom w:val="single" w:sz="2" w:space="0" w:color="808080"/>
              <w:right w:val="single" w:sz="2" w:space="0" w:color="808080"/>
            </w:tcBorders>
            <w:shd w:val="clear" w:color="auto" w:fill="FFCC00"/>
            <w:noWrap/>
            <w:tcMar>
              <w:left w:w="57" w:type="dxa"/>
              <w:right w:w="57" w:type="dxa"/>
            </w:tcMar>
          </w:tcPr>
          <w:p w:rsidR="0021201E" w:rsidRPr="00FE3752" w:rsidRDefault="00382599" w:rsidP="00C20D65">
            <w:pPr>
              <w:pStyle w:val="TableDataEntries"/>
              <w:spacing w:before="4" w:after="4"/>
              <w:jc w:val="center"/>
              <w:rPr>
                <w:sz w:val="16"/>
                <w:szCs w:val="16"/>
                <w:lang w:val="en-US"/>
              </w:rPr>
            </w:pPr>
            <w:r>
              <w:rPr>
                <w:sz w:val="16"/>
                <w:szCs w:val="16"/>
                <w:lang w:val="en-US"/>
              </w:rPr>
              <w:t>4</w:t>
            </w:r>
          </w:p>
        </w:tc>
        <w:tc>
          <w:tcPr>
            <w:tcW w:w="250" w:type="pct"/>
            <w:tcBorders>
              <w:top w:val="single" w:sz="2" w:space="0" w:color="808080"/>
              <w:left w:val="single" w:sz="2" w:space="0" w:color="808080"/>
              <w:bottom w:val="single" w:sz="2" w:space="0" w:color="808080"/>
              <w:right w:val="single" w:sz="2" w:space="0" w:color="808080"/>
            </w:tcBorders>
            <w:shd w:val="clear" w:color="auto" w:fill="FFCC00"/>
            <w:noWrap/>
            <w:tcMar>
              <w:left w:w="57" w:type="dxa"/>
              <w:right w:w="57" w:type="dxa"/>
            </w:tcMar>
          </w:tcPr>
          <w:p w:rsidR="0021201E" w:rsidRPr="00FE3752" w:rsidRDefault="00382599" w:rsidP="00C20D65">
            <w:pPr>
              <w:pStyle w:val="TableDataEntries"/>
              <w:spacing w:before="4" w:after="4"/>
              <w:jc w:val="center"/>
              <w:rPr>
                <w:sz w:val="16"/>
                <w:szCs w:val="16"/>
                <w:lang w:val="en-US"/>
              </w:rPr>
            </w:pPr>
            <w:r>
              <w:rPr>
                <w:sz w:val="16"/>
                <w:szCs w:val="16"/>
                <w:lang w:val="en-US"/>
              </w:rPr>
              <w:t>4</w:t>
            </w:r>
          </w:p>
        </w:tc>
        <w:tc>
          <w:tcPr>
            <w:tcW w:w="250" w:type="pct"/>
            <w:tcBorders>
              <w:top w:val="single" w:sz="2" w:space="0" w:color="808080"/>
              <w:left w:val="single" w:sz="2" w:space="0" w:color="808080"/>
              <w:bottom w:val="single" w:sz="2" w:space="0" w:color="808080"/>
              <w:right w:val="single" w:sz="2" w:space="0" w:color="808080"/>
            </w:tcBorders>
            <w:shd w:val="clear" w:color="auto" w:fill="FF9900"/>
            <w:noWrap/>
            <w:tcMar>
              <w:left w:w="57" w:type="dxa"/>
              <w:right w:w="57" w:type="dxa"/>
            </w:tcMar>
          </w:tcPr>
          <w:p w:rsidR="0021201E" w:rsidRPr="00FE3752" w:rsidRDefault="00382599" w:rsidP="00C20D65">
            <w:pPr>
              <w:pStyle w:val="TableDataEntries"/>
              <w:spacing w:before="4" w:after="4"/>
              <w:jc w:val="center"/>
              <w:rPr>
                <w:sz w:val="16"/>
                <w:szCs w:val="16"/>
                <w:lang w:val="en-US"/>
              </w:rPr>
            </w:pPr>
            <w:r>
              <w:rPr>
                <w:sz w:val="16"/>
                <w:szCs w:val="16"/>
                <w:lang w:val="en-US"/>
              </w:rPr>
              <w:t>3</w:t>
            </w:r>
          </w:p>
        </w:tc>
        <w:tc>
          <w:tcPr>
            <w:tcW w:w="250" w:type="pct"/>
            <w:tcBorders>
              <w:top w:val="single" w:sz="2" w:space="0" w:color="808080"/>
              <w:left w:val="single" w:sz="2" w:space="0" w:color="808080"/>
              <w:bottom w:val="single" w:sz="2" w:space="0" w:color="808080"/>
              <w:right w:val="single" w:sz="2" w:space="0" w:color="auto"/>
            </w:tcBorders>
            <w:shd w:val="clear" w:color="auto" w:fill="FFCC00"/>
            <w:noWrap/>
            <w:tcMar>
              <w:left w:w="57" w:type="dxa"/>
              <w:right w:w="57" w:type="dxa"/>
            </w:tcMar>
          </w:tcPr>
          <w:p w:rsidR="0021201E" w:rsidRPr="00FE3752" w:rsidRDefault="00382599" w:rsidP="00C20D65">
            <w:pPr>
              <w:pStyle w:val="TableDataEntries"/>
              <w:spacing w:before="4" w:after="4"/>
              <w:jc w:val="center"/>
              <w:rPr>
                <w:sz w:val="16"/>
                <w:szCs w:val="16"/>
                <w:lang w:val="en-US"/>
              </w:rPr>
            </w:pPr>
            <w:r>
              <w:rPr>
                <w:sz w:val="16"/>
                <w:szCs w:val="16"/>
                <w:lang w:val="en-US"/>
              </w:rPr>
              <w:t>4</w:t>
            </w:r>
          </w:p>
        </w:tc>
      </w:tr>
      <w:tr w:rsidR="0021201E" w:rsidRPr="00FE3752" w:rsidTr="00C6521D">
        <w:trPr>
          <w:cantSplit/>
        </w:trPr>
        <w:tc>
          <w:tcPr>
            <w:tcW w:w="3002" w:type="pct"/>
            <w:tcBorders>
              <w:top w:val="single" w:sz="2" w:space="0" w:color="auto"/>
              <w:left w:val="single" w:sz="2" w:space="0" w:color="auto"/>
              <w:bottom w:val="single" w:sz="2" w:space="0" w:color="auto"/>
              <w:right w:val="single" w:sz="2" w:space="0" w:color="auto"/>
            </w:tcBorders>
            <w:shd w:val="clear" w:color="auto" w:fill="auto"/>
            <w:noWrap/>
            <w:tcMar>
              <w:left w:w="57" w:type="dxa"/>
              <w:right w:w="28" w:type="dxa"/>
            </w:tcMar>
          </w:tcPr>
          <w:p w:rsidR="0021201E" w:rsidRPr="00FE3752" w:rsidRDefault="0021201E" w:rsidP="00C20D65">
            <w:pPr>
              <w:pStyle w:val="TableDataEntries"/>
              <w:spacing w:before="4" w:after="4"/>
              <w:jc w:val="left"/>
              <w:rPr>
                <w:sz w:val="16"/>
                <w:szCs w:val="16"/>
                <w:lang w:val="en-US"/>
              </w:rPr>
            </w:pPr>
            <w:r w:rsidRPr="00FE3752">
              <w:rPr>
                <w:sz w:val="16"/>
                <w:szCs w:val="16"/>
                <w:lang w:val="en-US"/>
              </w:rPr>
              <w:t>INH937: Education Sector Engagement Strategy 2008-11</w:t>
            </w:r>
          </w:p>
        </w:tc>
        <w:tc>
          <w:tcPr>
            <w:tcW w:w="250" w:type="pct"/>
            <w:tcBorders>
              <w:top w:val="single" w:sz="2" w:space="0" w:color="808080"/>
              <w:left w:val="single" w:sz="2" w:space="0" w:color="auto"/>
              <w:bottom w:val="single" w:sz="2" w:space="0" w:color="808080"/>
              <w:right w:val="single" w:sz="2" w:space="0" w:color="808080"/>
            </w:tcBorders>
            <w:shd w:val="clear" w:color="auto" w:fill="auto"/>
            <w:noWrap/>
            <w:tcMar>
              <w:left w:w="57" w:type="dxa"/>
              <w:right w:w="57" w:type="dxa"/>
            </w:tcMar>
          </w:tcPr>
          <w:p w:rsidR="0021201E" w:rsidRPr="00FE3752" w:rsidRDefault="00382599" w:rsidP="00C20D65">
            <w:pPr>
              <w:pStyle w:val="TableDataEntries"/>
              <w:spacing w:before="4" w:after="4"/>
              <w:jc w:val="center"/>
              <w:rPr>
                <w:sz w:val="16"/>
                <w:szCs w:val="16"/>
                <w:lang w:val="en-US"/>
              </w:rPr>
            </w:pPr>
            <w:r>
              <w:rPr>
                <w:sz w:val="16"/>
                <w:szCs w:val="16"/>
                <w:lang w:val="en-US"/>
              </w:rPr>
              <w:t>N/A</w:t>
            </w:r>
          </w:p>
        </w:tc>
        <w:tc>
          <w:tcPr>
            <w:tcW w:w="250" w:type="pct"/>
            <w:tcBorders>
              <w:top w:val="single" w:sz="2" w:space="0" w:color="808080"/>
              <w:left w:val="single" w:sz="2" w:space="0" w:color="808080"/>
              <w:bottom w:val="single" w:sz="2" w:space="0" w:color="808080"/>
              <w:right w:val="single" w:sz="2" w:space="0" w:color="808080"/>
            </w:tcBorders>
            <w:shd w:val="clear" w:color="auto" w:fill="auto"/>
            <w:noWrap/>
            <w:tcMar>
              <w:left w:w="57" w:type="dxa"/>
              <w:right w:w="57" w:type="dxa"/>
            </w:tcMar>
          </w:tcPr>
          <w:p w:rsidR="0021201E" w:rsidRPr="00FE3752" w:rsidRDefault="00382599" w:rsidP="00C20D65">
            <w:pPr>
              <w:pStyle w:val="TableDataEntries"/>
              <w:spacing w:before="4" w:after="4"/>
              <w:jc w:val="center"/>
              <w:rPr>
                <w:sz w:val="16"/>
                <w:szCs w:val="16"/>
                <w:lang w:val="en-US"/>
              </w:rPr>
            </w:pPr>
            <w:r>
              <w:rPr>
                <w:sz w:val="16"/>
                <w:szCs w:val="16"/>
                <w:lang w:val="en-US"/>
              </w:rPr>
              <w:t>N/A</w:t>
            </w:r>
          </w:p>
        </w:tc>
        <w:tc>
          <w:tcPr>
            <w:tcW w:w="250" w:type="pct"/>
            <w:tcBorders>
              <w:top w:val="single" w:sz="2" w:space="0" w:color="808080"/>
              <w:left w:val="single" w:sz="2" w:space="0" w:color="808080"/>
              <w:bottom w:val="single" w:sz="2" w:space="0" w:color="808080"/>
              <w:right w:val="single" w:sz="2" w:space="0" w:color="808080"/>
            </w:tcBorders>
            <w:shd w:val="clear" w:color="auto" w:fill="auto"/>
            <w:noWrap/>
            <w:tcMar>
              <w:left w:w="57" w:type="dxa"/>
              <w:right w:w="57" w:type="dxa"/>
            </w:tcMar>
          </w:tcPr>
          <w:p w:rsidR="0021201E" w:rsidRPr="00FE3752" w:rsidRDefault="00382599" w:rsidP="00C20D65">
            <w:pPr>
              <w:pStyle w:val="TableDataEntries"/>
              <w:spacing w:before="4" w:after="4"/>
              <w:jc w:val="center"/>
              <w:rPr>
                <w:sz w:val="16"/>
                <w:szCs w:val="16"/>
                <w:lang w:val="en-US"/>
              </w:rPr>
            </w:pPr>
            <w:r>
              <w:rPr>
                <w:sz w:val="16"/>
                <w:szCs w:val="16"/>
                <w:lang w:val="en-US"/>
              </w:rPr>
              <w:t>N/A</w:t>
            </w:r>
          </w:p>
        </w:tc>
        <w:tc>
          <w:tcPr>
            <w:tcW w:w="250" w:type="pct"/>
            <w:tcBorders>
              <w:top w:val="single" w:sz="2" w:space="0" w:color="808080"/>
              <w:left w:val="single" w:sz="2" w:space="0" w:color="808080"/>
              <w:bottom w:val="single" w:sz="2" w:space="0" w:color="808080"/>
              <w:right w:val="single" w:sz="2" w:space="0" w:color="auto"/>
            </w:tcBorders>
            <w:shd w:val="clear" w:color="auto" w:fill="auto"/>
            <w:noWrap/>
            <w:tcMar>
              <w:left w:w="57" w:type="dxa"/>
              <w:right w:w="57" w:type="dxa"/>
            </w:tcMar>
          </w:tcPr>
          <w:p w:rsidR="0021201E" w:rsidRPr="00FE3752" w:rsidRDefault="00382599" w:rsidP="00C20D65">
            <w:pPr>
              <w:pStyle w:val="TableDataEntries"/>
              <w:spacing w:before="4" w:after="4"/>
              <w:jc w:val="center"/>
              <w:rPr>
                <w:sz w:val="16"/>
                <w:szCs w:val="16"/>
                <w:lang w:val="en-US"/>
              </w:rPr>
            </w:pPr>
            <w:r>
              <w:rPr>
                <w:sz w:val="16"/>
                <w:szCs w:val="16"/>
                <w:lang w:val="en-US"/>
              </w:rPr>
              <w:t>N/A</w:t>
            </w:r>
          </w:p>
        </w:tc>
        <w:tc>
          <w:tcPr>
            <w:tcW w:w="250" w:type="pct"/>
            <w:tcBorders>
              <w:top w:val="single" w:sz="2" w:space="0" w:color="808080"/>
              <w:left w:val="single" w:sz="2" w:space="0" w:color="auto"/>
              <w:bottom w:val="single" w:sz="2" w:space="0" w:color="808080"/>
              <w:right w:val="single" w:sz="2" w:space="0" w:color="808080"/>
            </w:tcBorders>
            <w:shd w:val="clear" w:color="auto" w:fill="FFCC00"/>
            <w:noWrap/>
            <w:tcMar>
              <w:left w:w="57" w:type="dxa"/>
              <w:right w:w="57" w:type="dxa"/>
            </w:tcMar>
          </w:tcPr>
          <w:p w:rsidR="0021201E" w:rsidRPr="00FE3752" w:rsidRDefault="00382599" w:rsidP="00C20D65">
            <w:pPr>
              <w:pStyle w:val="TableDataEntries"/>
              <w:spacing w:before="4" w:after="4"/>
              <w:jc w:val="center"/>
              <w:rPr>
                <w:sz w:val="16"/>
                <w:szCs w:val="16"/>
                <w:lang w:val="en-US"/>
              </w:rPr>
            </w:pPr>
            <w:r>
              <w:rPr>
                <w:sz w:val="16"/>
                <w:szCs w:val="16"/>
                <w:lang w:val="en-US"/>
              </w:rPr>
              <w:t>4</w:t>
            </w:r>
          </w:p>
        </w:tc>
        <w:tc>
          <w:tcPr>
            <w:tcW w:w="250" w:type="pct"/>
            <w:tcBorders>
              <w:top w:val="single" w:sz="2" w:space="0" w:color="808080"/>
              <w:left w:val="single" w:sz="2" w:space="0" w:color="808080"/>
              <w:bottom w:val="single" w:sz="2" w:space="0" w:color="808080"/>
              <w:right w:val="single" w:sz="2" w:space="0" w:color="808080"/>
            </w:tcBorders>
            <w:shd w:val="clear" w:color="auto" w:fill="99CC00"/>
            <w:noWrap/>
            <w:tcMar>
              <w:left w:w="57" w:type="dxa"/>
              <w:right w:w="57" w:type="dxa"/>
            </w:tcMar>
          </w:tcPr>
          <w:p w:rsidR="0021201E" w:rsidRPr="00FE3752" w:rsidRDefault="00382599" w:rsidP="00C20D65">
            <w:pPr>
              <w:pStyle w:val="TableDataEntries"/>
              <w:spacing w:before="4" w:after="4"/>
              <w:jc w:val="center"/>
              <w:rPr>
                <w:sz w:val="16"/>
                <w:szCs w:val="16"/>
                <w:lang w:val="en-US"/>
              </w:rPr>
            </w:pPr>
            <w:r>
              <w:rPr>
                <w:sz w:val="16"/>
                <w:szCs w:val="16"/>
                <w:lang w:val="en-US"/>
              </w:rPr>
              <w:t>5</w:t>
            </w:r>
          </w:p>
        </w:tc>
        <w:tc>
          <w:tcPr>
            <w:tcW w:w="250" w:type="pct"/>
            <w:tcBorders>
              <w:top w:val="single" w:sz="2" w:space="0" w:color="808080"/>
              <w:left w:val="single" w:sz="2" w:space="0" w:color="808080"/>
              <w:bottom w:val="single" w:sz="2" w:space="0" w:color="808080"/>
              <w:right w:val="single" w:sz="2" w:space="0" w:color="808080"/>
            </w:tcBorders>
            <w:shd w:val="clear" w:color="auto" w:fill="FFCC00"/>
            <w:noWrap/>
            <w:tcMar>
              <w:left w:w="57" w:type="dxa"/>
              <w:right w:w="57" w:type="dxa"/>
            </w:tcMar>
          </w:tcPr>
          <w:p w:rsidR="0021201E" w:rsidRPr="00FE3752" w:rsidRDefault="00382599" w:rsidP="00C20D65">
            <w:pPr>
              <w:pStyle w:val="TableDataEntries"/>
              <w:spacing w:before="4" w:after="4"/>
              <w:jc w:val="center"/>
              <w:rPr>
                <w:sz w:val="16"/>
                <w:szCs w:val="16"/>
                <w:lang w:val="en-US"/>
              </w:rPr>
            </w:pPr>
            <w:r>
              <w:rPr>
                <w:sz w:val="16"/>
                <w:szCs w:val="16"/>
                <w:lang w:val="en-US"/>
              </w:rPr>
              <w:t>4</w:t>
            </w:r>
          </w:p>
        </w:tc>
        <w:tc>
          <w:tcPr>
            <w:tcW w:w="250" w:type="pct"/>
            <w:tcBorders>
              <w:top w:val="single" w:sz="2" w:space="0" w:color="808080"/>
              <w:left w:val="single" w:sz="2" w:space="0" w:color="808080"/>
              <w:bottom w:val="single" w:sz="2" w:space="0" w:color="808080"/>
              <w:right w:val="single" w:sz="2" w:space="0" w:color="auto"/>
            </w:tcBorders>
            <w:shd w:val="clear" w:color="auto" w:fill="99CC00"/>
            <w:noWrap/>
            <w:tcMar>
              <w:left w:w="57" w:type="dxa"/>
              <w:right w:w="57" w:type="dxa"/>
            </w:tcMar>
          </w:tcPr>
          <w:p w:rsidR="0021201E" w:rsidRPr="00FE3752" w:rsidRDefault="00382599" w:rsidP="00C20D65">
            <w:pPr>
              <w:pStyle w:val="TableDataEntries"/>
              <w:spacing w:before="4" w:after="4"/>
              <w:jc w:val="center"/>
              <w:rPr>
                <w:sz w:val="16"/>
                <w:szCs w:val="16"/>
                <w:lang w:val="en-US"/>
              </w:rPr>
            </w:pPr>
            <w:r>
              <w:rPr>
                <w:sz w:val="16"/>
                <w:szCs w:val="16"/>
                <w:lang w:val="en-US"/>
              </w:rPr>
              <w:t>5</w:t>
            </w:r>
          </w:p>
        </w:tc>
      </w:tr>
      <w:tr w:rsidR="0021201E" w:rsidRPr="00FE3752" w:rsidTr="00923EEE">
        <w:trPr>
          <w:cantSplit/>
        </w:trPr>
        <w:tc>
          <w:tcPr>
            <w:tcW w:w="3002" w:type="pct"/>
            <w:tcBorders>
              <w:top w:val="single" w:sz="2" w:space="0" w:color="auto"/>
              <w:left w:val="single" w:sz="2" w:space="0" w:color="auto"/>
              <w:bottom w:val="single" w:sz="2" w:space="0" w:color="auto"/>
              <w:right w:val="single" w:sz="2" w:space="0" w:color="auto"/>
            </w:tcBorders>
            <w:shd w:val="clear" w:color="auto" w:fill="auto"/>
            <w:noWrap/>
            <w:tcMar>
              <w:left w:w="57" w:type="dxa"/>
              <w:right w:w="28" w:type="dxa"/>
            </w:tcMar>
          </w:tcPr>
          <w:p w:rsidR="0021201E" w:rsidRPr="00FE3752" w:rsidRDefault="0021201E" w:rsidP="00C20D65">
            <w:pPr>
              <w:pStyle w:val="TableDataEntries"/>
              <w:spacing w:before="4" w:after="4"/>
              <w:jc w:val="left"/>
              <w:rPr>
                <w:sz w:val="16"/>
                <w:szCs w:val="16"/>
                <w:lang w:val="en-US"/>
              </w:rPr>
            </w:pPr>
            <w:r w:rsidRPr="00FE3752">
              <w:rPr>
                <w:sz w:val="16"/>
                <w:szCs w:val="16"/>
                <w:lang w:val="en-US"/>
              </w:rPr>
              <w:t>ING012: Technical and Vocational Education and Training Program</w:t>
            </w:r>
          </w:p>
        </w:tc>
        <w:tc>
          <w:tcPr>
            <w:tcW w:w="250" w:type="pct"/>
            <w:tcBorders>
              <w:top w:val="single" w:sz="2" w:space="0" w:color="808080"/>
              <w:left w:val="single" w:sz="2" w:space="0" w:color="auto"/>
              <w:bottom w:val="single" w:sz="2" w:space="0" w:color="808080"/>
              <w:right w:val="single" w:sz="2" w:space="0" w:color="808080"/>
            </w:tcBorders>
            <w:shd w:val="clear" w:color="auto" w:fill="99CC00"/>
            <w:noWrap/>
            <w:tcMar>
              <w:left w:w="57" w:type="dxa"/>
              <w:right w:w="57" w:type="dxa"/>
            </w:tcMar>
          </w:tcPr>
          <w:p w:rsidR="0021201E" w:rsidRPr="00FE3752" w:rsidRDefault="00382599" w:rsidP="00C20D65">
            <w:pPr>
              <w:pStyle w:val="TableDataEntries"/>
              <w:spacing w:before="4" w:after="4"/>
              <w:jc w:val="center"/>
              <w:rPr>
                <w:sz w:val="16"/>
                <w:szCs w:val="16"/>
                <w:lang w:val="en-US"/>
              </w:rPr>
            </w:pPr>
            <w:r>
              <w:rPr>
                <w:sz w:val="16"/>
                <w:szCs w:val="16"/>
                <w:lang w:val="en-US"/>
              </w:rPr>
              <w:t>5</w:t>
            </w:r>
          </w:p>
        </w:tc>
        <w:tc>
          <w:tcPr>
            <w:tcW w:w="250" w:type="pct"/>
            <w:tcBorders>
              <w:top w:val="single" w:sz="2" w:space="0" w:color="808080"/>
              <w:left w:val="single" w:sz="2" w:space="0" w:color="808080"/>
              <w:bottom w:val="single" w:sz="2" w:space="0" w:color="808080"/>
              <w:right w:val="single" w:sz="2" w:space="0" w:color="808080"/>
            </w:tcBorders>
            <w:shd w:val="clear" w:color="auto" w:fill="FFCC00"/>
            <w:noWrap/>
            <w:tcMar>
              <w:left w:w="57" w:type="dxa"/>
              <w:right w:w="57" w:type="dxa"/>
            </w:tcMar>
          </w:tcPr>
          <w:p w:rsidR="0021201E" w:rsidRPr="00FE3752" w:rsidRDefault="00382599" w:rsidP="00C20D65">
            <w:pPr>
              <w:pStyle w:val="TableDataEntries"/>
              <w:spacing w:before="4" w:after="4"/>
              <w:jc w:val="center"/>
              <w:rPr>
                <w:sz w:val="16"/>
                <w:szCs w:val="16"/>
                <w:lang w:val="en-US"/>
              </w:rPr>
            </w:pPr>
            <w:r>
              <w:rPr>
                <w:sz w:val="16"/>
                <w:szCs w:val="16"/>
                <w:lang w:val="en-US"/>
              </w:rPr>
              <w:t>4</w:t>
            </w:r>
          </w:p>
        </w:tc>
        <w:tc>
          <w:tcPr>
            <w:tcW w:w="250" w:type="pct"/>
            <w:tcBorders>
              <w:top w:val="single" w:sz="2" w:space="0" w:color="808080"/>
              <w:left w:val="single" w:sz="2" w:space="0" w:color="808080"/>
              <w:bottom w:val="single" w:sz="2" w:space="0" w:color="808080"/>
              <w:right w:val="single" w:sz="2" w:space="0" w:color="808080"/>
            </w:tcBorders>
            <w:shd w:val="clear" w:color="auto" w:fill="FFCC00"/>
            <w:noWrap/>
            <w:tcMar>
              <w:left w:w="57" w:type="dxa"/>
              <w:right w:w="57" w:type="dxa"/>
            </w:tcMar>
          </w:tcPr>
          <w:p w:rsidR="0021201E" w:rsidRPr="00FE3752" w:rsidRDefault="00382599" w:rsidP="00C20D65">
            <w:pPr>
              <w:pStyle w:val="TableDataEntries"/>
              <w:spacing w:before="4" w:after="4"/>
              <w:jc w:val="center"/>
              <w:rPr>
                <w:sz w:val="16"/>
                <w:szCs w:val="16"/>
                <w:lang w:val="en-US"/>
              </w:rPr>
            </w:pPr>
            <w:r>
              <w:rPr>
                <w:sz w:val="16"/>
                <w:szCs w:val="16"/>
                <w:lang w:val="en-US"/>
              </w:rPr>
              <w:t>4</w:t>
            </w:r>
          </w:p>
        </w:tc>
        <w:tc>
          <w:tcPr>
            <w:tcW w:w="250" w:type="pct"/>
            <w:tcBorders>
              <w:top w:val="single" w:sz="2" w:space="0" w:color="808080"/>
              <w:left w:val="single" w:sz="2" w:space="0" w:color="808080"/>
              <w:bottom w:val="single" w:sz="2" w:space="0" w:color="808080"/>
              <w:right w:val="single" w:sz="2" w:space="0" w:color="auto"/>
            </w:tcBorders>
            <w:shd w:val="clear" w:color="auto" w:fill="FFCC00"/>
            <w:noWrap/>
            <w:tcMar>
              <w:left w:w="57" w:type="dxa"/>
              <w:right w:w="57" w:type="dxa"/>
            </w:tcMar>
          </w:tcPr>
          <w:p w:rsidR="0021201E" w:rsidRPr="00FE3752" w:rsidRDefault="00382599" w:rsidP="00C20D65">
            <w:pPr>
              <w:pStyle w:val="TableDataEntries"/>
              <w:spacing w:before="4" w:after="4"/>
              <w:jc w:val="center"/>
              <w:rPr>
                <w:sz w:val="16"/>
                <w:szCs w:val="16"/>
                <w:lang w:val="en-US"/>
              </w:rPr>
            </w:pPr>
            <w:r>
              <w:rPr>
                <w:sz w:val="16"/>
                <w:szCs w:val="16"/>
                <w:lang w:val="en-US"/>
              </w:rPr>
              <w:t>4</w:t>
            </w:r>
          </w:p>
        </w:tc>
        <w:tc>
          <w:tcPr>
            <w:tcW w:w="250" w:type="pct"/>
            <w:tcBorders>
              <w:top w:val="single" w:sz="2" w:space="0" w:color="808080"/>
              <w:left w:val="single" w:sz="2" w:space="0" w:color="auto"/>
              <w:bottom w:val="single" w:sz="2" w:space="0" w:color="808080"/>
              <w:right w:val="single" w:sz="2" w:space="0" w:color="808080"/>
            </w:tcBorders>
            <w:shd w:val="clear" w:color="auto" w:fill="99CC00"/>
            <w:tcMar>
              <w:left w:w="57" w:type="dxa"/>
              <w:right w:w="57" w:type="dxa"/>
            </w:tcMar>
          </w:tcPr>
          <w:p w:rsidR="0021201E" w:rsidRPr="00FE3752" w:rsidRDefault="00382599" w:rsidP="00C20D65">
            <w:pPr>
              <w:pStyle w:val="TableDataEntries"/>
              <w:spacing w:before="4" w:after="4"/>
              <w:jc w:val="center"/>
              <w:rPr>
                <w:sz w:val="16"/>
                <w:szCs w:val="16"/>
                <w:lang w:val="en-US"/>
              </w:rPr>
            </w:pPr>
            <w:r>
              <w:rPr>
                <w:sz w:val="16"/>
                <w:szCs w:val="16"/>
                <w:lang w:val="en-US"/>
              </w:rPr>
              <w:t>5</w:t>
            </w:r>
          </w:p>
        </w:tc>
        <w:tc>
          <w:tcPr>
            <w:tcW w:w="250" w:type="pct"/>
            <w:tcBorders>
              <w:top w:val="single" w:sz="2" w:space="0" w:color="808080"/>
              <w:left w:val="single" w:sz="2" w:space="0" w:color="808080"/>
              <w:bottom w:val="single" w:sz="2" w:space="0" w:color="808080"/>
              <w:right w:val="single" w:sz="2" w:space="0" w:color="808080"/>
            </w:tcBorders>
            <w:shd w:val="clear" w:color="auto" w:fill="99CC00"/>
            <w:tcMar>
              <w:left w:w="57" w:type="dxa"/>
              <w:right w:w="57" w:type="dxa"/>
            </w:tcMar>
          </w:tcPr>
          <w:p w:rsidR="0021201E" w:rsidRPr="00FE3752" w:rsidRDefault="00382599" w:rsidP="00C20D65">
            <w:pPr>
              <w:pStyle w:val="TableDataEntries"/>
              <w:spacing w:before="4" w:after="4"/>
              <w:jc w:val="center"/>
              <w:rPr>
                <w:sz w:val="16"/>
                <w:szCs w:val="16"/>
                <w:lang w:val="en-US"/>
              </w:rPr>
            </w:pPr>
            <w:r>
              <w:rPr>
                <w:sz w:val="16"/>
                <w:szCs w:val="16"/>
                <w:lang w:val="en-US"/>
              </w:rPr>
              <w:t>5</w:t>
            </w:r>
          </w:p>
        </w:tc>
        <w:tc>
          <w:tcPr>
            <w:tcW w:w="250" w:type="pct"/>
            <w:tcBorders>
              <w:top w:val="single" w:sz="2" w:space="0" w:color="808080"/>
              <w:left w:val="single" w:sz="2" w:space="0" w:color="808080"/>
              <w:bottom w:val="single" w:sz="2" w:space="0" w:color="808080"/>
              <w:right w:val="single" w:sz="2" w:space="0" w:color="808080"/>
            </w:tcBorders>
            <w:shd w:val="clear" w:color="auto" w:fill="99CC00"/>
            <w:noWrap/>
            <w:tcMar>
              <w:left w:w="57" w:type="dxa"/>
              <w:right w:w="57" w:type="dxa"/>
            </w:tcMar>
          </w:tcPr>
          <w:p w:rsidR="0021201E" w:rsidRPr="00FE3752" w:rsidRDefault="00382599" w:rsidP="00C20D65">
            <w:pPr>
              <w:pStyle w:val="TableDataEntries"/>
              <w:spacing w:before="4" w:after="4"/>
              <w:jc w:val="center"/>
              <w:rPr>
                <w:sz w:val="16"/>
                <w:szCs w:val="16"/>
                <w:lang w:val="en-US"/>
              </w:rPr>
            </w:pPr>
            <w:r>
              <w:rPr>
                <w:sz w:val="16"/>
                <w:szCs w:val="16"/>
                <w:lang w:val="en-US"/>
              </w:rPr>
              <w:t>5</w:t>
            </w:r>
          </w:p>
        </w:tc>
        <w:tc>
          <w:tcPr>
            <w:tcW w:w="250" w:type="pct"/>
            <w:tcBorders>
              <w:top w:val="single" w:sz="2" w:space="0" w:color="808080"/>
              <w:left w:val="single" w:sz="2" w:space="0" w:color="808080"/>
              <w:bottom w:val="single" w:sz="2" w:space="0" w:color="808080"/>
              <w:right w:val="single" w:sz="2" w:space="0" w:color="auto"/>
            </w:tcBorders>
            <w:shd w:val="clear" w:color="auto" w:fill="99CC00"/>
            <w:tcMar>
              <w:left w:w="57" w:type="dxa"/>
              <w:right w:w="57" w:type="dxa"/>
            </w:tcMar>
          </w:tcPr>
          <w:p w:rsidR="0021201E" w:rsidRPr="00FE3752" w:rsidRDefault="00382599" w:rsidP="00C20D65">
            <w:pPr>
              <w:pStyle w:val="TableDataEntries"/>
              <w:spacing w:before="4" w:after="4"/>
              <w:jc w:val="center"/>
              <w:rPr>
                <w:sz w:val="16"/>
                <w:szCs w:val="16"/>
                <w:lang w:val="en-US"/>
              </w:rPr>
            </w:pPr>
            <w:r>
              <w:rPr>
                <w:sz w:val="16"/>
                <w:szCs w:val="16"/>
                <w:lang w:val="en-US"/>
              </w:rPr>
              <w:t>5</w:t>
            </w:r>
          </w:p>
        </w:tc>
      </w:tr>
      <w:tr w:rsidR="0021201E" w:rsidRPr="00FE3752" w:rsidTr="00923EEE">
        <w:trPr>
          <w:cantSplit/>
        </w:trPr>
        <w:tc>
          <w:tcPr>
            <w:tcW w:w="3002" w:type="pct"/>
            <w:tcBorders>
              <w:top w:val="single" w:sz="2" w:space="0" w:color="auto"/>
              <w:left w:val="single" w:sz="2" w:space="0" w:color="auto"/>
              <w:bottom w:val="single" w:sz="2" w:space="0" w:color="auto"/>
              <w:right w:val="single" w:sz="2" w:space="0" w:color="auto"/>
            </w:tcBorders>
            <w:shd w:val="clear" w:color="auto" w:fill="auto"/>
            <w:noWrap/>
            <w:tcMar>
              <w:left w:w="57" w:type="dxa"/>
              <w:right w:w="28" w:type="dxa"/>
            </w:tcMar>
          </w:tcPr>
          <w:p w:rsidR="0021201E" w:rsidRPr="00FE3752" w:rsidRDefault="0021201E" w:rsidP="00C20D65">
            <w:pPr>
              <w:pStyle w:val="TableDataEntries"/>
              <w:spacing w:before="4" w:after="4"/>
              <w:jc w:val="left"/>
              <w:rPr>
                <w:sz w:val="16"/>
                <w:szCs w:val="16"/>
                <w:lang w:val="en-US"/>
              </w:rPr>
            </w:pPr>
            <w:r w:rsidRPr="00FE3752">
              <w:rPr>
                <w:sz w:val="16"/>
                <w:szCs w:val="16"/>
                <w:lang w:val="en-US"/>
              </w:rPr>
              <w:t xml:space="preserve">NH499: </w:t>
            </w:r>
            <w:smartTag w:uri="urn:schemas-microsoft-com:office:smarttags" w:element="place">
              <w:smartTag w:uri="urn:schemas-microsoft-com:office:smarttags" w:element="country-region">
                <w:r w:rsidRPr="00FE3752">
                  <w:rPr>
                    <w:sz w:val="16"/>
                    <w:szCs w:val="16"/>
                    <w:lang w:val="en-US"/>
                  </w:rPr>
                  <w:t>Vanuatu</w:t>
                </w:r>
              </w:smartTag>
            </w:smartTag>
            <w:r w:rsidRPr="00FE3752">
              <w:rPr>
                <w:sz w:val="16"/>
                <w:szCs w:val="16"/>
                <w:lang w:val="en-US"/>
              </w:rPr>
              <w:t xml:space="preserve"> Malaria Program</w:t>
            </w:r>
          </w:p>
        </w:tc>
        <w:tc>
          <w:tcPr>
            <w:tcW w:w="250" w:type="pct"/>
            <w:tcBorders>
              <w:top w:val="single" w:sz="2" w:space="0" w:color="808080"/>
              <w:left w:val="single" w:sz="2" w:space="0" w:color="auto"/>
              <w:bottom w:val="single" w:sz="2" w:space="0" w:color="808080"/>
              <w:right w:val="single" w:sz="2" w:space="0" w:color="808080"/>
            </w:tcBorders>
            <w:shd w:val="clear" w:color="auto" w:fill="FFCC00"/>
            <w:noWrap/>
            <w:tcMar>
              <w:left w:w="57" w:type="dxa"/>
              <w:right w:w="57" w:type="dxa"/>
            </w:tcMar>
          </w:tcPr>
          <w:p w:rsidR="0021201E" w:rsidRPr="00FE3752" w:rsidRDefault="00382599" w:rsidP="00C20D65">
            <w:pPr>
              <w:pStyle w:val="TableDataEntries"/>
              <w:spacing w:before="4" w:after="4"/>
              <w:jc w:val="center"/>
              <w:rPr>
                <w:sz w:val="16"/>
                <w:szCs w:val="16"/>
                <w:lang w:val="en-US"/>
              </w:rPr>
            </w:pPr>
            <w:r>
              <w:rPr>
                <w:sz w:val="16"/>
                <w:szCs w:val="16"/>
                <w:lang w:val="en-US"/>
              </w:rPr>
              <w:t>4</w:t>
            </w:r>
          </w:p>
        </w:tc>
        <w:tc>
          <w:tcPr>
            <w:tcW w:w="250" w:type="pct"/>
            <w:tcBorders>
              <w:top w:val="single" w:sz="2" w:space="0" w:color="808080"/>
              <w:left w:val="single" w:sz="2" w:space="0" w:color="808080"/>
              <w:bottom w:val="single" w:sz="2" w:space="0" w:color="808080"/>
              <w:right w:val="single" w:sz="2" w:space="0" w:color="808080"/>
            </w:tcBorders>
            <w:shd w:val="clear" w:color="auto" w:fill="99CC00"/>
            <w:noWrap/>
            <w:tcMar>
              <w:left w:w="57" w:type="dxa"/>
              <w:right w:w="57" w:type="dxa"/>
            </w:tcMar>
          </w:tcPr>
          <w:p w:rsidR="0021201E" w:rsidRPr="00FE3752" w:rsidRDefault="00382599" w:rsidP="00C20D65">
            <w:pPr>
              <w:pStyle w:val="TableDataEntries"/>
              <w:spacing w:before="4" w:after="4"/>
              <w:jc w:val="center"/>
              <w:rPr>
                <w:sz w:val="16"/>
                <w:szCs w:val="16"/>
                <w:lang w:val="en-US"/>
              </w:rPr>
            </w:pPr>
            <w:r>
              <w:rPr>
                <w:sz w:val="16"/>
                <w:szCs w:val="16"/>
                <w:lang w:val="en-US"/>
              </w:rPr>
              <w:t>5</w:t>
            </w:r>
          </w:p>
        </w:tc>
        <w:tc>
          <w:tcPr>
            <w:tcW w:w="250" w:type="pct"/>
            <w:tcBorders>
              <w:top w:val="single" w:sz="2" w:space="0" w:color="808080"/>
              <w:left w:val="single" w:sz="2" w:space="0" w:color="808080"/>
              <w:bottom w:val="single" w:sz="2" w:space="0" w:color="808080"/>
              <w:right w:val="single" w:sz="2" w:space="0" w:color="808080"/>
            </w:tcBorders>
            <w:shd w:val="clear" w:color="auto" w:fill="99CC00"/>
            <w:noWrap/>
            <w:tcMar>
              <w:left w:w="57" w:type="dxa"/>
              <w:right w:w="57" w:type="dxa"/>
            </w:tcMar>
          </w:tcPr>
          <w:p w:rsidR="0021201E" w:rsidRPr="00FE3752" w:rsidRDefault="00382599" w:rsidP="00C20D65">
            <w:pPr>
              <w:pStyle w:val="TableDataEntries"/>
              <w:spacing w:before="4" w:after="4"/>
              <w:jc w:val="center"/>
              <w:rPr>
                <w:sz w:val="16"/>
                <w:szCs w:val="16"/>
                <w:lang w:val="en-US"/>
              </w:rPr>
            </w:pPr>
            <w:r>
              <w:rPr>
                <w:sz w:val="16"/>
                <w:szCs w:val="16"/>
                <w:lang w:val="en-US"/>
              </w:rPr>
              <w:t>5</w:t>
            </w:r>
          </w:p>
        </w:tc>
        <w:tc>
          <w:tcPr>
            <w:tcW w:w="250" w:type="pct"/>
            <w:tcBorders>
              <w:top w:val="single" w:sz="2" w:space="0" w:color="808080"/>
              <w:left w:val="single" w:sz="2" w:space="0" w:color="808080"/>
              <w:bottom w:val="single" w:sz="2" w:space="0" w:color="808080"/>
              <w:right w:val="single" w:sz="2" w:space="0" w:color="auto"/>
            </w:tcBorders>
            <w:shd w:val="clear" w:color="auto" w:fill="FFCC00"/>
            <w:noWrap/>
            <w:tcMar>
              <w:left w:w="57" w:type="dxa"/>
              <w:right w:w="57" w:type="dxa"/>
            </w:tcMar>
          </w:tcPr>
          <w:p w:rsidR="0021201E" w:rsidRPr="00FE3752" w:rsidRDefault="00382599" w:rsidP="00C20D65">
            <w:pPr>
              <w:pStyle w:val="TableDataEntries"/>
              <w:spacing w:before="4" w:after="4"/>
              <w:jc w:val="center"/>
              <w:rPr>
                <w:sz w:val="16"/>
                <w:szCs w:val="16"/>
                <w:lang w:val="en-US"/>
              </w:rPr>
            </w:pPr>
            <w:r>
              <w:rPr>
                <w:sz w:val="16"/>
                <w:szCs w:val="16"/>
                <w:lang w:val="en-US"/>
              </w:rPr>
              <w:t>4</w:t>
            </w:r>
          </w:p>
        </w:tc>
        <w:tc>
          <w:tcPr>
            <w:tcW w:w="250" w:type="pct"/>
            <w:tcBorders>
              <w:top w:val="single" w:sz="2" w:space="0" w:color="808080"/>
              <w:left w:val="single" w:sz="2" w:space="0" w:color="auto"/>
              <w:bottom w:val="single" w:sz="2" w:space="0" w:color="808080"/>
              <w:right w:val="single" w:sz="2" w:space="0" w:color="808080"/>
            </w:tcBorders>
            <w:shd w:val="clear" w:color="auto" w:fill="99CC00"/>
            <w:noWrap/>
            <w:tcMar>
              <w:left w:w="57" w:type="dxa"/>
              <w:right w:w="57" w:type="dxa"/>
            </w:tcMar>
          </w:tcPr>
          <w:p w:rsidR="0021201E" w:rsidRPr="00FE3752" w:rsidRDefault="00382599" w:rsidP="00C20D65">
            <w:pPr>
              <w:pStyle w:val="TableDataEntries"/>
              <w:spacing w:before="4" w:after="4"/>
              <w:jc w:val="center"/>
              <w:rPr>
                <w:sz w:val="16"/>
                <w:szCs w:val="16"/>
                <w:lang w:val="en-US"/>
              </w:rPr>
            </w:pPr>
            <w:r>
              <w:rPr>
                <w:sz w:val="16"/>
                <w:szCs w:val="16"/>
                <w:lang w:val="en-US"/>
              </w:rPr>
              <w:t>5</w:t>
            </w:r>
          </w:p>
        </w:tc>
        <w:tc>
          <w:tcPr>
            <w:tcW w:w="250" w:type="pct"/>
            <w:tcBorders>
              <w:top w:val="single" w:sz="2" w:space="0" w:color="808080"/>
              <w:left w:val="single" w:sz="2" w:space="0" w:color="808080"/>
              <w:bottom w:val="single" w:sz="2" w:space="0" w:color="808080"/>
              <w:right w:val="single" w:sz="2" w:space="0" w:color="808080"/>
            </w:tcBorders>
            <w:shd w:val="clear" w:color="auto" w:fill="99CC00"/>
            <w:noWrap/>
            <w:tcMar>
              <w:left w:w="57" w:type="dxa"/>
              <w:right w:w="57" w:type="dxa"/>
            </w:tcMar>
          </w:tcPr>
          <w:p w:rsidR="0021201E" w:rsidRPr="00FE3752" w:rsidRDefault="00382599" w:rsidP="00C20D65">
            <w:pPr>
              <w:pStyle w:val="TableDataEntries"/>
              <w:spacing w:before="4" w:after="4"/>
              <w:jc w:val="center"/>
              <w:rPr>
                <w:sz w:val="16"/>
                <w:szCs w:val="16"/>
                <w:lang w:val="en-US"/>
              </w:rPr>
            </w:pPr>
            <w:r>
              <w:rPr>
                <w:sz w:val="16"/>
                <w:szCs w:val="16"/>
                <w:lang w:val="en-US"/>
              </w:rPr>
              <w:t>5</w:t>
            </w:r>
          </w:p>
        </w:tc>
        <w:tc>
          <w:tcPr>
            <w:tcW w:w="250" w:type="pct"/>
            <w:tcBorders>
              <w:top w:val="single" w:sz="2" w:space="0" w:color="808080"/>
              <w:left w:val="single" w:sz="2" w:space="0" w:color="808080"/>
              <w:bottom w:val="single" w:sz="2" w:space="0" w:color="808080"/>
              <w:right w:val="single" w:sz="2" w:space="0" w:color="808080"/>
            </w:tcBorders>
            <w:shd w:val="clear" w:color="auto" w:fill="99CC00"/>
            <w:noWrap/>
            <w:tcMar>
              <w:left w:w="57" w:type="dxa"/>
              <w:right w:w="57" w:type="dxa"/>
            </w:tcMar>
          </w:tcPr>
          <w:p w:rsidR="0021201E" w:rsidRPr="00FE3752" w:rsidRDefault="00382599" w:rsidP="00C20D65">
            <w:pPr>
              <w:pStyle w:val="TableDataEntries"/>
              <w:spacing w:before="4" w:after="4"/>
              <w:jc w:val="center"/>
              <w:rPr>
                <w:sz w:val="16"/>
                <w:szCs w:val="16"/>
                <w:lang w:val="en-US"/>
              </w:rPr>
            </w:pPr>
            <w:r>
              <w:rPr>
                <w:sz w:val="16"/>
                <w:szCs w:val="16"/>
                <w:lang w:val="en-US"/>
              </w:rPr>
              <w:t>5</w:t>
            </w:r>
          </w:p>
        </w:tc>
        <w:tc>
          <w:tcPr>
            <w:tcW w:w="250" w:type="pct"/>
            <w:tcBorders>
              <w:top w:val="single" w:sz="2" w:space="0" w:color="808080"/>
              <w:left w:val="single" w:sz="2" w:space="0" w:color="808080"/>
              <w:bottom w:val="single" w:sz="2" w:space="0" w:color="808080"/>
              <w:right w:val="single" w:sz="2" w:space="0" w:color="auto"/>
            </w:tcBorders>
            <w:shd w:val="clear" w:color="auto" w:fill="FFCC00"/>
            <w:noWrap/>
            <w:tcMar>
              <w:left w:w="57" w:type="dxa"/>
              <w:right w:w="57" w:type="dxa"/>
            </w:tcMar>
          </w:tcPr>
          <w:p w:rsidR="0021201E" w:rsidRPr="00FE3752" w:rsidRDefault="00382599" w:rsidP="00C20D65">
            <w:pPr>
              <w:pStyle w:val="TableDataEntries"/>
              <w:spacing w:before="4" w:after="4"/>
              <w:jc w:val="center"/>
              <w:rPr>
                <w:sz w:val="16"/>
                <w:szCs w:val="16"/>
                <w:lang w:val="en-US"/>
              </w:rPr>
            </w:pPr>
            <w:r>
              <w:rPr>
                <w:sz w:val="16"/>
                <w:szCs w:val="16"/>
                <w:lang w:val="en-US"/>
              </w:rPr>
              <w:t>4</w:t>
            </w:r>
          </w:p>
        </w:tc>
      </w:tr>
      <w:tr w:rsidR="0021201E" w:rsidRPr="00FE3752" w:rsidTr="00923EEE">
        <w:trPr>
          <w:cantSplit/>
        </w:trPr>
        <w:tc>
          <w:tcPr>
            <w:tcW w:w="3002" w:type="pct"/>
            <w:tcBorders>
              <w:top w:val="single" w:sz="2" w:space="0" w:color="auto"/>
              <w:left w:val="single" w:sz="2" w:space="0" w:color="auto"/>
              <w:bottom w:val="single" w:sz="2" w:space="0" w:color="auto"/>
              <w:right w:val="single" w:sz="2" w:space="0" w:color="auto"/>
            </w:tcBorders>
            <w:shd w:val="clear" w:color="auto" w:fill="auto"/>
            <w:noWrap/>
            <w:tcMar>
              <w:left w:w="57" w:type="dxa"/>
              <w:right w:w="28" w:type="dxa"/>
            </w:tcMar>
          </w:tcPr>
          <w:p w:rsidR="0021201E" w:rsidRPr="00FE3752" w:rsidRDefault="0021201E" w:rsidP="00C20D65">
            <w:pPr>
              <w:pStyle w:val="TableDataEntries"/>
              <w:spacing w:before="4" w:after="4"/>
              <w:jc w:val="left"/>
              <w:rPr>
                <w:sz w:val="16"/>
                <w:szCs w:val="16"/>
                <w:lang w:val="en-US"/>
              </w:rPr>
            </w:pPr>
            <w:r w:rsidRPr="00FE3752">
              <w:rPr>
                <w:sz w:val="16"/>
                <w:szCs w:val="16"/>
                <w:lang w:val="en-US"/>
              </w:rPr>
              <w:t>ING742: Health Sector Support—Workforce Capacity</w:t>
            </w:r>
          </w:p>
        </w:tc>
        <w:tc>
          <w:tcPr>
            <w:tcW w:w="250" w:type="pct"/>
            <w:tcBorders>
              <w:top w:val="single" w:sz="2" w:space="0" w:color="808080"/>
              <w:left w:val="single" w:sz="2" w:space="0" w:color="auto"/>
              <w:bottom w:val="single" w:sz="2" w:space="0" w:color="808080"/>
              <w:right w:val="single" w:sz="2" w:space="0" w:color="808080"/>
            </w:tcBorders>
            <w:shd w:val="clear" w:color="auto" w:fill="99CC00"/>
            <w:noWrap/>
            <w:tcMar>
              <w:left w:w="57" w:type="dxa"/>
              <w:right w:w="57" w:type="dxa"/>
            </w:tcMar>
          </w:tcPr>
          <w:p w:rsidR="0021201E" w:rsidRPr="00FE3752" w:rsidRDefault="00382599" w:rsidP="00C20D65">
            <w:pPr>
              <w:pStyle w:val="TableDataEntries"/>
              <w:spacing w:before="4" w:after="4"/>
              <w:jc w:val="center"/>
              <w:rPr>
                <w:sz w:val="16"/>
                <w:szCs w:val="16"/>
                <w:lang w:val="en-US"/>
              </w:rPr>
            </w:pPr>
            <w:r>
              <w:rPr>
                <w:sz w:val="16"/>
                <w:szCs w:val="16"/>
                <w:lang w:val="en-US"/>
              </w:rPr>
              <w:t>5</w:t>
            </w:r>
          </w:p>
        </w:tc>
        <w:tc>
          <w:tcPr>
            <w:tcW w:w="250" w:type="pct"/>
            <w:tcBorders>
              <w:top w:val="single" w:sz="2" w:space="0" w:color="808080"/>
              <w:left w:val="single" w:sz="2" w:space="0" w:color="808080"/>
              <w:bottom w:val="single" w:sz="2" w:space="0" w:color="808080"/>
              <w:right w:val="single" w:sz="2" w:space="0" w:color="808080"/>
            </w:tcBorders>
            <w:shd w:val="clear" w:color="auto" w:fill="99CC00"/>
            <w:noWrap/>
            <w:tcMar>
              <w:left w:w="57" w:type="dxa"/>
              <w:right w:w="57" w:type="dxa"/>
            </w:tcMar>
          </w:tcPr>
          <w:p w:rsidR="0021201E" w:rsidRPr="00FE3752" w:rsidRDefault="00382599" w:rsidP="00C20D65">
            <w:pPr>
              <w:pStyle w:val="TableDataEntries"/>
              <w:spacing w:before="4" w:after="4"/>
              <w:jc w:val="center"/>
              <w:rPr>
                <w:sz w:val="16"/>
                <w:szCs w:val="16"/>
                <w:lang w:val="en-US"/>
              </w:rPr>
            </w:pPr>
            <w:r>
              <w:rPr>
                <w:sz w:val="16"/>
                <w:szCs w:val="16"/>
                <w:lang w:val="en-US"/>
              </w:rPr>
              <w:t>5</w:t>
            </w:r>
          </w:p>
        </w:tc>
        <w:tc>
          <w:tcPr>
            <w:tcW w:w="250" w:type="pct"/>
            <w:tcBorders>
              <w:top w:val="single" w:sz="2" w:space="0" w:color="808080"/>
              <w:left w:val="single" w:sz="2" w:space="0" w:color="808080"/>
              <w:bottom w:val="single" w:sz="2" w:space="0" w:color="808080"/>
              <w:right w:val="single" w:sz="2" w:space="0" w:color="808080"/>
            </w:tcBorders>
            <w:shd w:val="clear" w:color="auto" w:fill="FF9900"/>
            <w:noWrap/>
            <w:tcMar>
              <w:left w:w="57" w:type="dxa"/>
              <w:right w:w="57" w:type="dxa"/>
            </w:tcMar>
          </w:tcPr>
          <w:p w:rsidR="0021201E" w:rsidRPr="00FE3752" w:rsidRDefault="00382599" w:rsidP="00C20D65">
            <w:pPr>
              <w:pStyle w:val="TableDataEntries"/>
              <w:spacing w:before="4" w:after="4"/>
              <w:jc w:val="center"/>
              <w:rPr>
                <w:sz w:val="16"/>
                <w:szCs w:val="16"/>
                <w:lang w:val="en-US"/>
              </w:rPr>
            </w:pPr>
            <w:r>
              <w:rPr>
                <w:sz w:val="16"/>
                <w:szCs w:val="16"/>
                <w:lang w:val="en-US"/>
              </w:rPr>
              <w:t>3</w:t>
            </w:r>
          </w:p>
        </w:tc>
        <w:tc>
          <w:tcPr>
            <w:tcW w:w="250" w:type="pct"/>
            <w:tcBorders>
              <w:top w:val="single" w:sz="2" w:space="0" w:color="808080"/>
              <w:left w:val="single" w:sz="2" w:space="0" w:color="808080"/>
              <w:bottom w:val="single" w:sz="2" w:space="0" w:color="808080"/>
              <w:right w:val="single" w:sz="2" w:space="0" w:color="auto"/>
            </w:tcBorders>
            <w:shd w:val="clear" w:color="auto" w:fill="FF9900"/>
            <w:noWrap/>
            <w:tcMar>
              <w:left w:w="57" w:type="dxa"/>
              <w:right w:w="57" w:type="dxa"/>
            </w:tcMar>
          </w:tcPr>
          <w:p w:rsidR="0021201E" w:rsidRPr="00FE3752" w:rsidRDefault="00382599" w:rsidP="00C20D65">
            <w:pPr>
              <w:pStyle w:val="TableDataEntries"/>
              <w:spacing w:before="4" w:after="4"/>
              <w:jc w:val="center"/>
              <w:rPr>
                <w:sz w:val="16"/>
                <w:szCs w:val="16"/>
                <w:lang w:val="en-US"/>
              </w:rPr>
            </w:pPr>
            <w:r>
              <w:rPr>
                <w:sz w:val="16"/>
                <w:szCs w:val="16"/>
                <w:lang w:val="en-US"/>
              </w:rPr>
              <w:t>3</w:t>
            </w:r>
          </w:p>
        </w:tc>
        <w:tc>
          <w:tcPr>
            <w:tcW w:w="250" w:type="pct"/>
            <w:tcBorders>
              <w:top w:val="single" w:sz="2" w:space="0" w:color="808080"/>
              <w:left w:val="single" w:sz="2" w:space="0" w:color="auto"/>
              <w:bottom w:val="single" w:sz="2" w:space="0" w:color="808080"/>
              <w:right w:val="single" w:sz="2" w:space="0" w:color="808080"/>
            </w:tcBorders>
            <w:shd w:val="clear" w:color="auto" w:fill="FFCC00"/>
            <w:noWrap/>
            <w:tcMar>
              <w:left w:w="57" w:type="dxa"/>
              <w:right w:w="57" w:type="dxa"/>
            </w:tcMar>
          </w:tcPr>
          <w:p w:rsidR="0021201E" w:rsidRPr="00FE3752" w:rsidRDefault="00382599" w:rsidP="00C20D65">
            <w:pPr>
              <w:pStyle w:val="TableDataEntries"/>
              <w:spacing w:before="4" w:after="4"/>
              <w:jc w:val="center"/>
              <w:rPr>
                <w:sz w:val="16"/>
                <w:szCs w:val="16"/>
                <w:lang w:val="en-US"/>
              </w:rPr>
            </w:pPr>
            <w:r>
              <w:rPr>
                <w:sz w:val="16"/>
                <w:szCs w:val="16"/>
                <w:lang w:val="en-US"/>
              </w:rPr>
              <w:t>4</w:t>
            </w:r>
          </w:p>
        </w:tc>
        <w:tc>
          <w:tcPr>
            <w:tcW w:w="250" w:type="pct"/>
            <w:tcBorders>
              <w:top w:val="single" w:sz="2" w:space="0" w:color="808080"/>
              <w:left w:val="single" w:sz="2" w:space="0" w:color="808080"/>
              <w:bottom w:val="single" w:sz="2" w:space="0" w:color="808080"/>
              <w:right w:val="single" w:sz="2" w:space="0" w:color="808080"/>
            </w:tcBorders>
            <w:shd w:val="clear" w:color="auto" w:fill="FFCC00"/>
            <w:noWrap/>
            <w:tcMar>
              <w:left w:w="57" w:type="dxa"/>
              <w:right w:w="57" w:type="dxa"/>
            </w:tcMar>
          </w:tcPr>
          <w:p w:rsidR="0021201E" w:rsidRPr="00FE3752" w:rsidRDefault="00382599" w:rsidP="00C20D65">
            <w:pPr>
              <w:pStyle w:val="TableDataEntries"/>
              <w:spacing w:before="4" w:after="4"/>
              <w:jc w:val="center"/>
              <w:rPr>
                <w:sz w:val="16"/>
                <w:szCs w:val="16"/>
                <w:lang w:val="en-US"/>
              </w:rPr>
            </w:pPr>
            <w:r>
              <w:rPr>
                <w:sz w:val="16"/>
                <w:szCs w:val="16"/>
                <w:lang w:val="en-US"/>
              </w:rPr>
              <w:t>4</w:t>
            </w:r>
          </w:p>
        </w:tc>
        <w:tc>
          <w:tcPr>
            <w:tcW w:w="250" w:type="pct"/>
            <w:tcBorders>
              <w:top w:val="single" w:sz="2" w:space="0" w:color="808080"/>
              <w:left w:val="single" w:sz="2" w:space="0" w:color="808080"/>
              <w:bottom w:val="single" w:sz="2" w:space="0" w:color="808080"/>
              <w:right w:val="single" w:sz="2" w:space="0" w:color="808080"/>
            </w:tcBorders>
            <w:shd w:val="clear" w:color="auto" w:fill="FFCC00"/>
            <w:noWrap/>
            <w:tcMar>
              <w:left w:w="57" w:type="dxa"/>
              <w:right w:w="57" w:type="dxa"/>
            </w:tcMar>
          </w:tcPr>
          <w:p w:rsidR="0021201E" w:rsidRPr="00FE3752" w:rsidRDefault="00382599" w:rsidP="00C20D65">
            <w:pPr>
              <w:pStyle w:val="TableDataEntries"/>
              <w:spacing w:before="4" w:after="4"/>
              <w:jc w:val="center"/>
              <w:rPr>
                <w:sz w:val="16"/>
                <w:szCs w:val="16"/>
                <w:lang w:val="en-US"/>
              </w:rPr>
            </w:pPr>
            <w:r>
              <w:rPr>
                <w:sz w:val="16"/>
                <w:szCs w:val="16"/>
                <w:lang w:val="en-US"/>
              </w:rPr>
              <w:t>4</w:t>
            </w:r>
          </w:p>
        </w:tc>
        <w:tc>
          <w:tcPr>
            <w:tcW w:w="250" w:type="pct"/>
            <w:tcBorders>
              <w:top w:val="single" w:sz="2" w:space="0" w:color="808080"/>
              <w:left w:val="single" w:sz="2" w:space="0" w:color="808080"/>
              <w:bottom w:val="single" w:sz="2" w:space="0" w:color="808080"/>
              <w:right w:val="single" w:sz="2" w:space="0" w:color="auto"/>
            </w:tcBorders>
            <w:shd w:val="clear" w:color="auto" w:fill="FF9900"/>
            <w:noWrap/>
            <w:tcMar>
              <w:left w:w="57" w:type="dxa"/>
              <w:right w:w="57" w:type="dxa"/>
            </w:tcMar>
          </w:tcPr>
          <w:p w:rsidR="0021201E" w:rsidRPr="00FE3752" w:rsidRDefault="00382599" w:rsidP="00C20D65">
            <w:pPr>
              <w:pStyle w:val="TableDataEntries"/>
              <w:spacing w:before="4" w:after="4"/>
              <w:jc w:val="center"/>
              <w:rPr>
                <w:sz w:val="16"/>
                <w:szCs w:val="16"/>
                <w:lang w:val="en-US"/>
              </w:rPr>
            </w:pPr>
            <w:r>
              <w:rPr>
                <w:sz w:val="16"/>
                <w:szCs w:val="16"/>
                <w:lang w:val="en-US"/>
              </w:rPr>
              <w:t>3</w:t>
            </w:r>
          </w:p>
        </w:tc>
      </w:tr>
      <w:tr w:rsidR="0021201E" w:rsidRPr="00FE3752" w:rsidTr="00923EEE">
        <w:trPr>
          <w:cantSplit/>
        </w:trPr>
        <w:tc>
          <w:tcPr>
            <w:tcW w:w="3002" w:type="pct"/>
            <w:tcBorders>
              <w:top w:val="single" w:sz="2" w:space="0" w:color="auto"/>
              <w:left w:val="single" w:sz="2" w:space="0" w:color="auto"/>
              <w:bottom w:val="single" w:sz="2" w:space="0" w:color="auto"/>
              <w:right w:val="single" w:sz="2" w:space="0" w:color="auto"/>
            </w:tcBorders>
            <w:shd w:val="clear" w:color="auto" w:fill="auto"/>
            <w:noWrap/>
            <w:tcMar>
              <w:left w:w="57" w:type="dxa"/>
              <w:right w:w="28" w:type="dxa"/>
            </w:tcMar>
          </w:tcPr>
          <w:p w:rsidR="0021201E" w:rsidRPr="00FE3752" w:rsidRDefault="00A17A04" w:rsidP="00C20D65">
            <w:pPr>
              <w:pStyle w:val="TableDataEntries"/>
              <w:spacing w:before="4" w:after="4"/>
              <w:jc w:val="left"/>
              <w:rPr>
                <w:sz w:val="16"/>
                <w:szCs w:val="16"/>
                <w:lang w:val="en-US"/>
              </w:rPr>
            </w:pPr>
            <w:hyperlink r:id="rId16" w:history="1">
              <w:r w:rsidR="0021201E" w:rsidRPr="00FE3752">
                <w:rPr>
                  <w:sz w:val="16"/>
                  <w:szCs w:val="16"/>
                </w:rPr>
                <w:t>ING836: Health Sector Planning Support</w:t>
              </w:r>
            </w:hyperlink>
          </w:p>
        </w:tc>
        <w:tc>
          <w:tcPr>
            <w:tcW w:w="250" w:type="pct"/>
            <w:tcBorders>
              <w:top w:val="single" w:sz="2" w:space="0" w:color="808080"/>
              <w:left w:val="single" w:sz="2" w:space="0" w:color="auto"/>
              <w:bottom w:val="single" w:sz="2" w:space="0" w:color="808080"/>
              <w:right w:val="single" w:sz="2" w:space="0" w:color="808080"/>
            </w:tcBorders>
            <w:shd w:val="clear" w:color="auto" w:fill="FFCC00"/>
            <w:noWrap/>
            <w:tcMar>
              <w:left w:w="57" w:type="dxa"/>
              <w:right w:w="57" w:type="dxa"/>
            </w:tcMar>
          </w:tcPr>
          <w:p w:rsidR="0021201E" w:rsidRPr="00FE3752" w:rsidRDefault="00382599" w:rsidP="00C20D65">
            <w:pPr>
              <w:pStyle w:val="TableDataEntries"/>
              <w:spacing w:before="4" w:after="4"/>
              <w:jc w:val="center"/>
              <w:rPr>
                <w:sz w:val="16"/>
                <w:szCs w:val="16"/>
                <w:lang w:val="en-US"/>
              </w:rPr>
            </w:pPr>
            <w:r>
              <w:rPr>
                <w:sz w:val="16"/>
                <w:szCs w:val="16"/>
                <w:lang w:val="en-US"/>
              </w:rPr>
              <w:t>4</w:t>
            </w:r>
          </w:p>
        </w:tc>
        <w:tc>
          <w:tcPr>
            <w:tcW w:w="250" w:type="pct"/>
            <w:tcBorders>
              <w:top w:val="single" w:sz="2" w:space="0" w:color="808080"/>
              <w:left w:val="single" w:sz="2" w:space="0" w:color="808080"/>
              <w:bottom w:val="single" w:sz="2" w:space="0" w:color="808080"/>
              <w:right w:val="single" w:sz="2" w:space="0" w:color="808080"/>
            </w:tcBorders>
            <w:shd w:val="clear" w:color="auto" w:fill="FF9900"/>
            <w:noWrap/>
            <w:tcMar>
              <w:left w:w="57" w:type="dxa"/>
              <w:right w:w="57" w:type="dxa"/>
            </w:tcMar>
          </w:tcPr>
          <w:p w:rsidR="0021201E" w:rsidRPr="00FE3752" w:rsidRDefault="00382599" w:rsidP="00C20D65">
            <w:pPr>
              <w:pStyle w:val="TableDataEntries"/>
              <w:spacing w:before="4" w:after="4"/>
              <w:jc w:val="center"/>
              <w:rPr>
                <w:sz w:val="16"/>
                <w:szCs w:val="16"/>
                <w:lang w:val="en-US"/>
              </w:rPr>
            </w:pPr>
            <w:r>
              <w:rPr>
                <w:sz w:val="16"/>
                <w:szCs w:val="16"/>
                <w:lang w:val="en-US"/>
              </w:rPr>
              <w:t>3</w:t>
            </w:r>
          </w:p>
        </w:tc>
        <w:tc>
          <w:tcPr>
            <w:tcW w:w="250" w:type="pct"/>
            <w:tcBorders>
              <w:top w:val="single" w:sz="2" w:space="0" w:color="808080"/>
              <w:left w:val="single" w:sz="2" w:space="0" w:color="808080"/>
              <w:bottom w:val="single" w:sz="2" w:space="0" w:color="808080"/>
              <w:right w:val="single" w:sz="2" w:space="0" w:color="808080"/>
            </w:tcBorders>
            <w:shd w:val="clear" w:color="auto" w:fill="FFCC00"/>
            <w:noWrap/>
            <w:tcMar>
              <w:left w:w="57" w:type="dxa"/>
              <w:right w:w="57" w:type="dxa"/>
            </w:tcMar>
          </w:tcPr>
          <w:p w:rsidR="0021201E" w:rsidRPr="00FE3752" w:rsidRDefault="00382599" w:rsidP="00C20D65">
            <w:pPr>
              <w:pStyle w:val="TableDataEntries"/>
              <w:spacing w:before="4" w:after="4"/>
              <w:jc w:val="center"/>
              <w:rPr>
                <w:sz w:val="16"/>
                <w:szCs w:val="16"/>
                <w:lang w:val="en-US"/>
              </w:rPr>
            </w:pPr>
            <w:r>
              <w:rPr>
                <w:sz w:val="16"/>
                <w:szCs w:val="16"/>
                <w:lang w:val="en-US"/>
              </w:rPr>
              <w:t>4</w:t>
            </w:r>
          </w:p>
        </w:tc>
        <w:tc>
          <w:tcPr>
            <w:tcW w:w="250" w:type="pct"/>
            <w:tcBorders>
              <w:top w:val="single" w:sz="2" w:space="0" w:color="808080"/>
              <w:left w:val="single" w:sz="2" w:space="0" w:color="808080"/>
              <w:bottom w:val="single" w:sz="2" w:space="0" w:color="808080"/>
              <w:right w:val="single" w:sz="2" w:space="0" w:color="auto"/>
            </w:tcBorders>
            <w:shd w:val="clear" w:color="auto" w:fill="FFCC00"/>
            <w:noWrap/>
            <w:tcMar>
              <w:left w:w="57" w:type="dxa"/>
              <w:right w:w="57" w:type="dxa"/>
            </w:tcMar>
          </w:tcPr>
          <w:p w:rsidR="0021201E" w:rsidRPr="00FE3752" w:rsidRDefault="00382599" w:rsidP="00C20D65">
            <w:pPr>
              <w:pStyle w:val="TableDataEntries"/>
              <w:spacing w:before="4" w:after="4"/>
              <w:jc w:val="center"/>
              <w:rPr>
                <w:sz w:val="16"/>
                <w:szCs w:val="16"/>
                <w:lang w:val="en-US"/>
              </w:rPr>
            </w:pPr>
            <w:r>
              <w:rPr>
                <w:sz w:val="16"/>
                <w:szCs w:val="16"/>
                <w:lang w:val="en-US"/>
              </w:rPr>
              <w:t>4</w:t>
            </w:r>
          </w:p>
        </w:tc>
        <w:tc>
          <w:tcPr>
            <w:tcW w:w="250" w:type="pct"/>
            <w:tcBorders>
              <w:top w:val="single" w:sz="2" w:space="0" w:color="808080"/>
              <w:left w:val="single" w:sz="2" w:space="0" w:color="auto"/>
              <w:bottom w:val="single" w:sz="2" w:space="0" w:color="808080"/>
              <w:right w:val="single" w:sz="2" w:space="0" w:color="808080"/>
            </w:tcBorders>
            <w:shd w:val="clear" w:color="auto" w:fill="FFCC00"/>
            <w:noWrap/>
            <w:tcMar>
              <w:left w:w="57" w:type="dxa"/>
              <w:right w:w="57" w:type="dxa"/>
            </w:tcMar>
          </w:tcPr>
          <w:p w:rsidR="0021201E" w:rsidRPr="00FE3752" w:rsidRDefault="00382599" w:rsidP="00C20D65">
            <w:pPr>
              <w:pStyle w:val="TableDataEntries"/>
              <w:spacing w:before="4" w:after="4"/>
              <w:jc w:val="center"/>
              <w:rPr>
                <w:sz w:val="16"/>
                <w:szCs w:val="16"/>
                <w:lang w:val="en-US"/>
              </w:rPr>
            </w:pPr>
            <w:r>
              <w:rPr>
                <w:sz w:val="16"/>
                <w:szCs w:val="16"/>
                <w:lang w:val="en-US"/>
              </w:rPr>
              <w:t>4</w:t>
            </w:r>
          </w:p>
        </w:tc>
        <w:tc>
          <w:tcPr>
            <w:tcW w:w="250" w:type="pct"/>
            <w:tcBorders>
              <w:top w:val="single" w:sz="2" w:space="0" w:color="808080"/>
              <w:left w:val="single" w:sz="2" w:space="0" w:color="808080"/>
              <w:bottom w:val="single" w:sz="2" w:space="0" w:color="808080"/>
              <w:right w:val="single" w:sz="2" w:space="0" w:color="808080"/>
            </w:tcBorders>
            <w:shd w:val="clear" w:color="auto" w:fill="FF9900"/>
            <w:noWrap/>
            <w:tcMar>
              <w:left w:w="57" w:type="dxa"/>
              <w:right w:w="57" w:type="dxa"/>
            </w:tcMar>
          </w:tcPr>
          <w:p w:rsidR="0021201E" w:rsidRPr="00FE3752" w:rsidRDefault="00382599" w:rsidP="00C20D65">
            <w:pPr>
              <w:pStyle w:val="TableDataEntries"/>
              <w:spacing w:before="4" w:after="4"/>
              <w:jc w:val="center"/>
              <w:rPr>
                <w:sz w:val="16"/>
                <w:szCs w:val="16"/>
                <w:lang w:val="en-US"/>
              </w:rPr>
            </w:pPr>
            <w:r>
              <w:rPr>
                <w:sz w:val="16"/>
                <w:szCs w:val="16"/>
                <w:lang w:val="en-US"/>
              </w:rPr>
              <w:t>3</w:t>
            </w:r>
          </w:p>
        </w:tc>
        <w:tc>
          <w:tcPr>
            <w:tcW w:w="250" w:type="pct"/>
            <w:tcBorders>
              <w:top w:val="single" w:sz="2" w:space="0" w:color="808080"/>
              <w:left w:val="single" w:sz="2" w:space="0" w:color="808080"/>
              <w:bottom w:val="single" w:sz="2" w:space="0" w:color="808080"/>
              <w:right w:val="single" w:sz="2" w:space="0" w:color="808080"/>
            </w:tcBorders>
            <w:shd w:val="clear" w:color="auto" w:fill="FFCC00"/>
            <w:noWrap/>
            <w:tcMar>
              <w:left w:w="57" w:type="dxa"/>
              <w:right w:w="57" w:type="dxa"/>
            </w:tcMar>
          </w:tcPr>
          <w:p w:rsidR="0021201E" w:rsidRPr="00FE3752" w:rsidRDefault="00382599" w:rsidP="00C20D65">
            <w:pPr>
              <w:pStyle w:val="TableDataEntries"/>
              <w:spacing w:before="4" w:after="4"/>
              <w:jc w:val="center"/>
              <w:rPr>
                <w:sz w:val="16"/>
                <w:szCs w:val="16"/>
                <w:lang w:val="en-US"/>
              </w:rPr>
            </w:pPr>
            <w:r>
              <w:rPr>
                <w:sz w:val="16"/>
                <w:szCs w:val="16"/>
                <w:lang w:val="en-US"/>
              </w:rPr>
              <w:t>4</w:t>
            </w:r>
          </w:p>
        </w:tc>
        <w:tc>
          <w:tcPr>
            <w:tcW w:w="250" w:type="pct"/>
            <w:tcBorders>
              <w:top w:val="single" w:sz="2" w:space="0" w:color="808080"/>
              <w:left w:val="single" w:sz="2" w:space="0" w:color="808080"/>
              <w:bottom w:val="single" w:sz="2" w:space="0" w:color="808080"/>
              <w:right w:val="single" w:sz="2" w:space="0" w:color="auto"/>
            </w:tcBorders>
            <w:shd w:val="clear" w:color="auto" w:fill="99CC00"/>
            <w:noWrap/>
            <w:tcMar>
              <w:left w:w="57" w:type="dxa"/>
              <w:right w:w="57" w:type="dxa"/>
            </w:tcMar>
          </w:tcPr>
          <w:p w:rsidR="0021201E" w:rsidRPr="00FE3752" w:rsidRDefault="00382599" w:rsidP="00C20D65">
            <w:pPr>
              <w:pStyle w:val="TableDataEntries"/>
              <w:spacing w:before="4" w:after="4"/>
              <w:jc w:val="center"/>
              <w:rPr>
                <w:sz w:val="16"/>
                <w:szCs w:val="16"/>
                <w:lang w:val="en-US"/>
              </w:rPr>
            </w:pPr>
            <w:r>
              <w:rPr>
                <w:sz w:val="16"/>
                <w:szCs w:val="16"/>
                <w:lang w:val="en-US"/>
              </w:rPr>
              <w:t>5</w:t>
            </w:r>
          </w:p>
        </w:tc>
      </w:tr>
      <w:tr w:rsidR="0021201E" w:rsidRPr="00FE3752" w:rsidTr="00923EEE">
        <w:trPr>
          <w:cantSplit/>
        </w:trPr>
        <w:tc>
          <w:tcPr>
            <w:tcW w:w="3002" w:type="pct"/>
            <w:tcBorders>
              <w:top w:val="single" w:sz="2" w:space="0" w:color="auto"/>
              <w:left w:val="single" w:sz="2" w:space="0" w:color="auto"/>
              <w:bottom w:val="single" w:sz="2" w:space="0" w:color="auto"/>
              <w:right w:val="single" w:sz="2" w:space="0" w:color="auto"/>
            </w:tcBorders>
            <w:shd w:val="clear" w:color="auto" w:fill="auto"/>
            <w:noWrap/>
            <w:tcMar>
              <w:left w:w="57" w:type="dxa"/>
              <w:right w:w="28" w:type="dxa"/>
            </w:tcMar>
          </w:tcPr>
          <w:p w:rsidR="0021201E" w:rsidRPr="00FE3752" w:rsidRDefault="00A17A04" w:rsidP="00C20D65">
            <w:pPr>
              <w:pStyle w:val="TableDataEntries"/>
              <w:spacing w:before="4" w:after="4"/>
              <w:jc w:val="left"/>
              <w:rPr>
                <w:sz w:val="16"/>
                <w:szCs w:val="16"/>
                <w:lang w:val="en-US"/>
              </w:rPr>
            </w:pPr>
            <w:hyperlink r:id="rId17" w:history="1">
              <w:r w:rsidR="0021201E" w:rsidRPr="00FE3752">
                <w:rPr>
                  <w:sz w:val="16"/>
                  <w:szCs w:val="16"/>
                </w:rPr>
                <w:t>INB420: Australian Development S</w:t>
              </w:r>
            </w:hyperlink>
            <w:r w:rsidR="0021201E" w:rsidRPr="00FE3752">
              <w:rPr>
                <w:sz w:val="16"/>
                <w:szCs w:val="16"/>
              </w:rPr>
              <w:t>cholarships</w:t>
            </w:r>
          </w:p>
        </w:tc>
        <w:tc>
          <w:tcPr>
            <w:tcW w:w="250" w:type="pct"/>
            <w:tcBorders>
              <w:top w:val="single" w:sz="2" w:space="0" w:color="808080"/>
              <w:left w:val="single" w:sz="2" w:space="0" w:color="auto"/>
              <w:bottom w:val="single" w:sz="2" w:space="0" w:color="808080"/>
              <w:right w:val="single" w:sz="2" w:space="0" w:color="808080"/>
            </w:tcBorders>
            <w:shd w:val="clear" w:color="auto" w:fill="99CC00"/>
            <w:noWrap/>
            <w:tcMar>
              <w:left w:w="57" w:type="dxa"/>
              <w:right w:w="57" w:type="dxa"/>
            </w:tcMar>
          </w:tcPr>
          <w:p w:rsidR="0021201E" w:rsidRPr="00FE3752" w:rsidRDefault="00382599" w:rsidP="00C20D65">
            <w:pPr>
              <w:pStyle w:val="TableDataEntries"/>
              <w:spacing w:before="4" w:after="4"/>
              <w:jc w:val="center"/>
              <w:rPr>
                <w:sz w:val="16"/>
                <w:szCs w:val="16"/>
                <w:lang w:val="en-US"/>
              </w:rPr>
            </w:pPr>
            <w:r>
              <w:rPr>
                <w:sz w:val="16"/>
                <w:szCs w:val="16"/>
                <w:lang w:val="en-US"/>
              </w:rPr>
              <w:t>5</w:t>
            </w:r>
          </w:p>
        </w:tc>
        <w:tc>
          <w:tcPr>
            <w:tcW w:w="250" w:type="pct"/>
            <w:tcBorders>
              <w:top w:val="single" w:sz="2" w:space="0" w:color="808080"/>
              <w:left w:val="single" w:sz="2" w:space="0" w:color="808080"/>
              <w:bottom w:val="single" w:sz="2" w:space="0" w:color="808080"/>
              <w:right w:val="single" w:sz="2" w:space="0" w:color="808080"/>
            </w:tcBorders>
            <w:shd w:val="clear" w:color="auto" w:fill="99CC00"/>
            <w:noWrap/>
            <w:tcMar>
              <w:left w:w="57" w:type="dxa"/>
              <w:right w:w="57" w:type="dxa"/>
            </w:tcMar>
          </w:tcPr>
          <w:p w:rsidR="0021201E" w:rsidRPr="00FE3752" w:rsidRDefault="00382599" w:rsidP="00C20D65">
            <w:pPr>
              <w:pStyle w:val="TableDataEntries"/>
              <w:spacing w:before="4" w:after="4"/>
              <w:jc w:val="center"/>
              <w:rPr>
                <w:sz w:val="16"/>
                <w:szCs w:val="16"/>
                <w:lang w:val="en-US"/>
              </w:rPr>
            </w:pPr>
            <w:r>
              <w:rPr>
                <w:sz w:val="16"/>
                <w:szCs w:val="16"/>
                <w:lang w:val="en-US"/>
              </w:rPr>
              <w:t>5</w:t>
            </w:r>
          </w:p>
        </w:tc>
        <w:tc>
          <w:tcPr>
            <w:tcW w:w="250" w:type="pct"/>
            <w:tcBorders>
              <w:top w:val="single" w:sz="2" w:space="0" w:color="808080"/>
              <w:left w:val="single" w:sz="2" w:space="0" w:color="808080"/>
              <w:bottom w:val="single" w:sz="2" w:space="0" w:color="808080"/>
              <w:right w:val="single" w:sz="2" w:space="0" w:color="808080"/>
            </w:tcBorders>
            <w:shd w:val="clear" w:color="auto" w:fill="FF9900"/>
            <w:noWrap/>
            <w:tcMar>
              <w:left w:w="57" w:type="dxa"/>
              <w:right w:w="57" w:type="dxa"/>
            </w:tcMar>
          </w:tcPr>
          <w:p w:rsidR="0021201E" w:rsidRPr="00FE3752" w:rsidRDefault="00382599" w:rsidP="00C20D65">
            <w:pPr>
              <w:pStyle w:val="TableDataEntries"/>
              <w:spacing w:before="4" w:after="4"/>
              <w:jc w:val="center"/>
              <w:rPr>
                <w:sz w:val="16"/>
                <w:szCs w:val="16"/>
                <w:lang w:val="en-US"/>
              </w:rPr>
            </w:pPr>
            <w:r>
              <w:rPr>
                <w:sz w:val="16"/>
                <w:szCs w:val="16"/>
                <w:lang w:val="en-US"/>
              </w:rPr>
              <w:t>3</w:t>
            </w:r>
          </w:p>
        </w:tc>
        <w:tc>
          <w:tcPr>
            <w:tcW w:w="250" w:type="pct"/>
            <w:tcBorders>
              <w:top w:val="single" w:sz="2" w:space="0" w:color="808080"/>
              <w:left w:val="single" w:sz="2" w:space="0" w:color="808080"/>
              <w:bottom w:val="single" w:sz="2" w:space="0" w:color="808080"/>
              <w:right w:val="single" w:sz="2" w:space="0" w:color="auto"/>
            </w:tcBorders>
            <w:shd w:val="clear" w:color="auto" w:fill="99CC00"/>
            <w:noWrap/>
            <w:tcMar>
              <w:left w:w="57" w:type="dxa"/>
              <w:right w:w="57" w:type="dxa"/>
            </w:tcMar>
          </w:tcPr>
          <w:p w:rsidR="0021201E" w:rsidRPr="00FE3752" w:rsidRDefault="00382599" w:rsidP="00C20D65">
            <w:pPr>
              <w:pStyle w:val="TableDataEntries"/>
              <w:spacing w:before="4" w:after="4"/>
              <w:jc w:val="center"/>
              <w:rPr>
                <w:sz w:val="16"/>
                <w:szCs w:val="16"/>
                <w:lang w:val="en-US"/>
              </w:rPr>
            </w:pPr>
            <w:r>
              <w:rPr>
                <w:sz w:val="16"/>
                <w:szCs w:val="16"/>
                <w:lang w:val="en-US"/>
              </w:rPr>
              <w:t>5</w:t>
            </w:r>
          </w:p>
        </w:tc>
        <w:tc>
          <w:tcPr>
            <w:tcW w:w="250" w:type="pct"/>
            <w:tcBorders>
              <w:top w:val="single" w:sz="2" w:space="0" w:color="808080"/>
              <w:left w:val="single" w:sz="2" w:space="0" w:color="auto"/>
              <w:bottom w:val="single" w:sz="2" w:space="0" w:color="808080"/>
              <w:right w:val="single" w:sz="2" w:space="0" w:color="808080"/>
            </w:tcBorders>
            <w:shd w:val="clear" w:color="auto" w:fill="99CC00"/>
            <w:noWrap/>
            <w:tcMar>
              <w:left w:w="57" w:type="dxa"/>
              <w:right w:w="57" w:type="dxa"/>
            </w:tcMar>
          </w:tcPr>
          <w:p w:rsidR="0021201E" w:rsidRPr="00FE3752" w:rsidRDefault="00382599" w:rsidP="00C20D65">
            <w:pPr>
              <w:pStyle w:val="TableDataEntries"/>
              <w:spacing w:before="4" w:after="4"/>
              <w:jc w:val="center"/>
              <w:rPr>
                <w:sz w:val="16"/>
                <w:szCs w:val="16"/>
                <w:lang w:val="en-US"/>
              </w:rPr>
            </w:pPr>
            <w:r>
              <w:rPr>
                <w:sz w:val="16"/>
                <w:szCs w:val="16"/>
                <w:lang w:val="en-US"/>
              </w:rPr>
              <w:t>5</w:t>
            </w:r>
          </w:p>
        </w:tc>
        <w:tc>
          <w:tcPr>
            <w:tcW w:w="250" w:type="pct"/>
            <w:tcBorders>
              <w:top w:val="single" w:sz="2" w:space="0" w:color="808080"/>
              <w:left w:val="single" w:sz="2" w:space="0" w:color="808080"/>
              <w:bottom w:val="single" w:sz="2" w:space="0" w:color="808080"/>
              <w:right w:val="single" w:sz="2" w:space="0" w:color="808080"/>
            </w:tcBorders>
            <w:shd w:val="clear" w:color="auto" w:fill="99CC00"/>
            <w:noWrap/>
            <w:tcMar>
              <w:left w:w="57" w:type="dxa"/>
              <w:right w:w="57" w:type="dxa"/>
            </w:tcMar>
          </w:tcPr>
          <w:p w:rsidR="0021201E" w:rsidRPr="00FE3752" w:rsidRDefault="00382599" w:rsidP="00C20D65">
            <w:pPr>
              <w:pStyle w:val="TableDataEntries"/>
              <w:spacing w:before="4" w:after="4"/>
              <w:jc w:val="center"/>
              <w:rPr>
                <w:sz w:val="16"/>
                <w:szCs w:val="16"/>
                <w:lang w:val="en-US"/>
              </w:rPr>
            </w:pPr>
            <w:r>
              <w:rPr>
                <w:sz w:val="16"/>
                <w:szCs w:val="16"/>
                <w:lang w:val="en-US"/>
              </w:rPr>
              <w:t>5</w:t>
            </w:r>
          </w:p>
        </w:tc>
        <w:tc>
          <w:tcPr>
            <w:tcW w:w="250" w:type="pct"/>
            <w:tcBorders>
              <w:top w:val="single" w:sz="2" w:space="0" w:color="808080"/>
              <w:left w:val="single" w:sz="2" w:space="0" w:color="808080"/>
              <w:bottom w:val="single" w:sz="2" w:space="0" w:color="808080"/>
              <w:right w:val="single" w:sz="2" w:space="0" w:color="808080"/>
            </w:tcBorders>
            <w:shd w:val="clear" w:color="auto" w:fill="FFCC00"/>
            <w:noWrap/>
            <w:tcMar>
              <w:left w:w="57" w:type="dxa"/>
              <w:right w:w="57" w:type="dxa"/>
            </w:tcMar>
          </w:tcPr>
          <w:p w:rsidR="0021201E" w:rsidRPr="00FE3752" w:rsidRDefault="00382599" w:rsidP="00C20D65">
            <w:pPr>
              <w:pStyle w:val="TableDataEntries"/>
              <w:spacing w:before="4" w:after="4"/>
              <w:jc w:val="center"/>
              <w:rPr>
                <w:sz w:val="16"/>
                <w:szCs w:val="16"/>
                <w:lang w:val="en-US"/>
              </w:rPr>
            </w:pPr>
            <w:r>
              <w:rPr>
                <w:sz w:val="16"/>
                <w:szCs w:val="16"/>
                <w:lang w:val="en-US"/>
              </w:rPr>
              <w:t>4</w:t>
            </w:r>
          </w:p>
        </w:tc>
        <w:tc>
          <w:tcPr>
            <w:tcW w:w="250" w:type="pct"/>
            <w:tcBorders>
              <w:top w:val="single" w:sz="2" w:space="0" w:color="808080"/>
              <w:left w:val="single" w:sz="2" w:space="0" w:color="808080"/>
              <w:bottom w:val="single" w:sz="2" w:space="0" w:color="808080"/>
              <w:right w:val="single" w:sz="2" w:space="0" w:color="auto"/>
            </w:tcBorders>
            <w:shd w:val="clear" w:color="auto" w:fill="99CC00"/>
            <w:noWrap/>
            <w:tcMar>
              <w:left w:w="57" w:type="dxa"/>
              <w:right w:w="57" w:type="dxa"/>
            </w:tcMar>
          </w:tcPr>
          <w:p w:rsidR="0021201E" w:rsidRPr="00FE3752" w:rsidRDefault="00382599" w:rsidP="00C20D65">
            <w:pPr>
              <w:pStyle w:val="TableDataEntries"/>
              <w:spacing w:before="4" w:after="4"/>
              <w:jc w:val="center"/>
              <w:rPr>
                <w:sz w:val="16"/>
                <w:szCs w:val="16"/>
                <w:lang w:val="en-US"/>
              </w:rPr>
            </w:pPr>
            <w:r>
              <w:rPr>
                <w:sz w:val="16"/>
                <w:szCs w:val="16"/>
                <w:lang w:val="en-US"/>
              </w:rPr>
              <w:t>5</w:t>
            </w:r>
          </w:p>
        </w:tc>
      </w:tr>
      <w:tr w:rsidR="0021201E" w:rsidRPr="00FE3752" w:rsidTr="00923EEE">
        <w:trPr>
          <w:cantSplit/>
        </w:trPr>
        <w:tc>
          <w:tcPr>
            <w:tcW w:w="3002" w:type="pct"/>
            <w:tcBorders>
              <w:top w:val="single" w:sz="2" w:space="0" w:color="auto"/>
              <w:left w:val="single" w:sz="2" w:space="0" w:color="auto"/>
              <w:bottom w:val="single" w:sz="2" w:space="0" w:color="auto"/>
              <w:right w:val="single" w:sz="2" w:space="0" w:color="auto"/>
            </w:tcBorders>
            <w:shd w:val="clear" w:color="auto" w:fill="auto"/>
            <w:noWrap/>
            <w:tcMar>
              <w:left w:w="57" w:type="dxa"/>
              <w:right w:w="28" w:type="dxa"/>
            </w:tcMar>
          </w:tcPr>
          <w:p w:rsidR="0021201E" w:rsidRPr="00FE3752" w:rsidRDefault="0021201E" w:rsidP="00C20D65">
            <w:pPr>
              <w:pStyle w:val="TableDataEntries"/>
              <w:spacing w:before="4" w:after="4"/>
              <w:jc w:val="left"/>
              <w:rPr>
                <w:sz w:val="16"/>
                <w:szCs w:val="16"/>
                <w:lang w:val="en-US"/>
              </w:rPr>
            </w:pPr>
            <w:r w:rsidRPr="00FE3752">
              <w:rPr>
                <w:sz w:val="16"/>
                <w:szCs w:val="16"/>
              </w:rPr>
              <w:t>INH654: Australian Regional Development Scholarships</w:t>
            </w:r>
          </w:p>
        </w:tc>
        <w:tc>
          <w:tcPr>
            <w:tcW w:w="250" w:type="pct"/>
            <w:tcBorders>
              <w:top w:val="single" w:sz="2" w:space="0" w:color="808080"/>
              <w:left w:val="single" w:sz="2" w:space="0" w:color="auto"/>
              <w:bottom w:val="single" w:sz="2" w:space="0" w:color="808080"/>
              <w:right w:val="single" w:sz="2" w:space="0" w:color="808080"/>
            </w:tcBorders>
            <w:shd w:val="clear" w:color="auto" w:fill="99CC00"/>
            <w:noWrap/>
            <w:tcMar>
              <w:left w:w="57" w:type="dxa"/>
              <w:right w:w="57" w:type="dxa"/>
            </w:tcMar>
          </w:tcPr>
          <w:p w:rsidR="0021201E" w:rsidRPr="00FE3752" w:rsidRDefault="00382599" w:rsidP="00C20D65">
            <w:pPr>
              <w:pStyle w:val="TableDataEntries"/>
              <w:spacing w:before="4" w:after="4"/>
              <w:jc w:val="center"/>
              <w:rPr>
                <w:sz w:val="16"/>
                <w:szCs w:val="16"/>
                <w:lang w:val="en-US"/>
              </w:rPr>
            </w:pPr>
            <w:r>
              <w:rPr>
                <w:sz w:val="16"/>
                <w:szCs w:val="16"/>
                <w:lang w:val="en-US"/>
              </w:rPr>
              <w:t>5</w:t>
            </w:r>
          </w:p>
        </w:tc>
        <w:tc>
          <w:tcPr>
            <w:tcW w:w="250" w:type="pct"/>
            <w:tcBorders>
              <w:top w:val="single" w:sz="2" w:space="0" w:color="808080"/>
              <w:left w:val="single" w:sz="2" w:space="0" w:color="808080"/>
              <w:bottom w:val="single" w:sz="2" w:space="0" w:color="808080"/>
              <w:right w:val="single" w:sz="2" w:space="0" w:color="808080"/>
            </w:tcBorders>
            <w:shd w:val="clear" w:color="auto" w:fill="99CC00"/>
            <w:noWrap/>
            <w:tcMar>
              <w:left w:w="57" w:type="dxa"/>
              <w:right w:w="57" w:type="dxa"/>
            </w:tcMar>
          </w:tcPr>
          <w:p w:rsidR="0021201E" w:rsidRPr="00FE3752" w:rsidRDefault="00382599" w:rsidP="00C20D65">
            <w:pPr>
              <w:pStyle w:val="TableDataEntries"/>
              <w:spacing w:before="4" w:after="4"/>
              <w:jc w:val="center"/>
              <w:rPr>
                <w:sz w:val="16"/>
                <w:szCs w:val="16"/>
                <w:lang w:val="en-US"/>
              </w:rPr>
            </w:pPr>
            <w:r>
              <w:rPr>
                <w:sz w:val="16"/>
                <w:szCs w:val="16"/>
                <w:lang w:val="en-US"/>
              </w:rPr>
              <w:t>5</w:t>
            </w:r>
          </w:p>
        </w:tc>
        <w:tc>
          <w:tcPr>
            <w:tcW w:w="250" w:type="pct"/>
            <w:tcBorders>
              <w:top w:val="single" w:sz="2" w:space="0" w:color="808080"/>
              <w:left w:val="single" w:sz="2" w:space="0" w:color="808080"/>
              <w:bottom w:val="single" w:sz="2" w:space="0" w:color="808080"/>
              <w:right w:val="single" w:sz="2" w:space="0" w:color="808080"/>
            </w:tcBorders>
            <w:shd w:val="clear" w:color="auto" w:fill="FF9900"/>
            <w:noWrap/>
            <w:tcMar>
              <w:left w:w="57" w:type="dxa"/>
              <w:right w:w="57" w:type="dxa"/>
            </w:tcMar>
          </w:tcPr>
          <w:p w:rsidR="0021201E" w:rsidRPr="00FE3752" w:rsidRDefault="00382599" w:rsidP="00C20D65">
            <w:pPr>
              <w:pStyle w:val="TableDataEntries"/>
              <w:spacing w:before="4" w:after="4"/>
              <w:jc w:val="center"/>
              <w:rPr>
                <w:sz w:val="16"/>
                <w:szCs w:val="16"/>
                <w:lang w:val="en-US"/>
              </w:rPr>
            </w:pPr>
            <w:r>
              <w:rPr>
                <w:sz w:val="16"/>
                <w:szCs w:val="16"/>
                <w:lang w:val="en-US"/>
              </w:rPr>
              <w:t>3</w:t>
            </w:r>
          </w:p>
        </w:tc>
        <w:tc>
          <w:tcPr>
            <w:tcW w:w="250" w:type="pct"/>
            <w:tcBorders>
              <w:top w:val="single" w:sz="2" w:space="0" w:color="808080"/>
              <w:left w:val="single" w:sz="2" w:space="0" w:color="808080"/>
              <w:bottom w:val="single" w:sz="2" w:space="0" w:color="808080"/>
              <w:right w:val="single" w:sz="2" w:space="0" w:color="auto"/>
            </w:tcBorders>
            <w:shd w:val="clear" w:color="auto" w:fill="FFCC00"/>
            <w:noWrap/>
            <w:tcMar>
              <w:left w:w="57" w:type="dxa"/>
              <w:right w:w="57" w:type="dxa"/>
            </w:tcMar>
          </w:tcPr>
          <w:p w:rsidR="0021201E" w:rsidRPr="00FE3752" w:rsidRDefault="00382599" w:rsidP="00C20D65">
            <w:pPr>
              <w:pStyle w:val="TableDataEntries"/>
              <w:spacing w:before="4" w:after="4"/>
              <w:jc w:val="center"/>
              <w:rPr>
                <w:sz w:val="16"/>
                <w:szCs w:val="16"/>
                <w:lang w:val="en-US"/>
              </w:rPr>
            </w:pPr>
            <w:r>
              <w:rPr>
                <w:sz w:val="16"/>
                <w:szCs w:val="16"/>
                <w:lang w:val="en-US"/>
              </w:rPr>
              <w:t>4</w:t>
            </w:r>
          </w:p>
        </w:tc>
        <w:tc>
          <w:tcPr>
            <w:tcW w:w="250" w:type="pct"/>
            <w:tcBorders>
              <w:top w:val="single" w:sz="2" w:space="0" w:color="808080"/>
              <w:left w:val="single" w:sz="2" w:space="0" w:color="auto"/>
              <w:bottom w:val="single" w:sz="2" w:space="0" w:color="808080"/>
              <w:right w:val="single" w:sz="2" w:space="0" w:color="808080"/>
            </w:tcBorders>
            <w:shd w:val="clear" w:color="auto" w:fill="99CC00"/>
            <w:noWrap/>
            <w:tcMar>
              <w:left w:w="57" w:type="dxa"/>
              <w:right w:w="57" w:type="dxa"/>
            </w:tcMar>
          </w:tcPr>
          <w:p w:rsidR="0021201E" w:rsidRPr="00FE3752" w:rsidRDefault="00382599" w:rsidP="00C20D65">
            <w:pPr>
              <w:pStyle w:val="TableDataEntries"/>
              <w:spacing w:before="4" w:after="4"/>
              <w:jc w:val="center"/>
              <w:rPr>
                <w:sz w:val="16"/>
                <w:szCs w:val="16"/>
                <w:lang w:val="en-US"/>
              </w:rPr>
            </w:pPr>
            <w:r>
              <w:rPr>
                <w:sz w:val="16"/>
                <w:szCs w:val="16"/>
                <w:lang w:val="en-US"/>
              </w:rPr>
              <w:t>5</w:t>
            </w:r>
          </w:p>
        </w:tc>
        <w:tc>
          <w:tcPr>
            <w:tcW w:w="250" w:type="pct"/>
            <w:tcBorders>
              <w:top w:val="single" w:sz="2" w:space="0" w:color="808080"/>
              <w:left w:val="single" w:sz="2" w:space="0" w:color="808080"/>
              <w:bottom w:val="single" w:sz="2" w:space="0" w:color="808080"/>
              <w:right w:val="single" w:sz="2" w:space="0" w:color="808080"/>
            </w:tcBorders>
            <w:shd w:val="clear" w:color="auto" w:fill="99CC00"/>
            <w:noWrap/>
            <w:tcMar>
              <w:left w:w="57" w:type="dxa"/>
              <w:right w:w="57" w:type="dxa"/>
            </w:tcMar>
          </w:tcPr>
          <w:p w:rsidR="0021201E" w:rsidRPr="00FE3752" w:rsidRDefault="00382599" w:rsidP="00C20D65">
            <w:pPr>
              <w:pStyle w:val="TableDataEntries"/>
              <w:spacing w:before="4" w:after="4"/>
              <w:jc w:val="center"/>
              <w:rPr>
                <w:sz w:val="16"/>
                <w:szCs w:val="16"/>
                <w:lang w:val="en-US"/>
              </w:rPr>
            </w:pPr>
            <w:r>
              <w:rPr>
                <w:sz w:val="16"/>
                <w:szCs w:val="16"/>
                <w:lang w:val="en-US"/>
              </w:rPr>
              <w:t>5</w:t>
            </w:r>
          </w:p>
        </w:tc>
        <w:tc>
          <w:tcPr>
            <w:tcW w:w="250" w:type="pct"/>
            <w:tcBorders>
              <w:top w:val="single" w:sz="2" w:space="0" w:color="808080"/>
              <w:left w:val="single" w:sz="2" w:space="0" w:color="808080"/>
              <w:bottom w:val="single" w:sz="2" w:space="0" w:color="808080"/>
              <w:right w:val="single" w:sz="2" w:space="0" w:color="808080"/>
            </w:tcBorders>
            <w:shd w:val="clear" w:color="auto" w:fill="FFCC00"/>
            <w:noWrap/>
            <w:tcMar>
              <w:left w:w="57" w:type="dxa"/>
              <w:right w:w="57" w:type="dxa"/>
            </w:tcMar>
          </w:tcPr>
          <w:p w:rsidR="0021201E" w:rsidRPr="00FE3752" w:rsidRDefault="00382599" w:rsidP="00C20D65">
            <w:pPr>
              <w:pStyle w:val="TableDataEntries"/>
              <w:spacing w:before="4" w:after="4"/>
              <w:jc w:val="center"/>
              <w:rPr>
                <w:sz w:val="16"/>
                <w:szCs w:val="16"/>
                <w:lang w:val="en-US"/>
              </w:rPr>
            </w:pPr>
            <w:r>
              <w:rPr>
                <w:sz w:val="16"/>
                <w:szCs w:val="16"/>
                <w:lang w:val="en-US"/>
              </w:rPr>
              <w:t>4</w:t>
            </w:r>
          </w:p>
        </w:tc>
        <w:tc>
          <w:tcPr>
            <w:tcW w:w="250" w:type="pct"/>
            <w:tcBorders>
              <w:top w:val="single" w:sz="2" w:space="0" w:color="808080"/>
              <w:left w:val="single" w:sz="2" w:space="0" w:color="808080"/>
              <w:bottom w:val="single" w:sz="2" w:space="0" w:color="808080"/>
              <w:right w:val="single" w:sz="2" w:space="0" w:color="auto"/>
            </w:tcBorders>
            <w:shd w:val="clear" w:color="auto" w:fill="FFCC00"/>
            <w:noWrap/>
            <w:tcMar>
              <w:left w:w="57" w:type="dxa"/>
              <w:right w:w="57" w:type="dxa"/>
            </w:tcMar>
          </w:tcPr>
          <w:p w:rsidR="0021201E" w:rsidRPr="00FE3752" w:rsidRDefault="00382599" w:rsidP="00C20D65">
            <w:pPr>
              <w:pStyle w:val="TableDataEntries"/>
              <w:spacing w:before="4" w:after="4"/>
              <w:jc w:val="center"/>
              <w:rPr>
                <w:sz w:val="16"/>
                <w:szCs w:val="16"/>
                <w:lang w:val="en-US"/>
              </w:rPr>
            </w:pPr>
            <w:r>
              <w:rPr>
                <w:sz w:val="16"/>
                <w:szCs w:val="16"/>
                <w:lang w:val="en-US"/>
              </w:rPr>
              <w:t>4</w:t>
            </w:r>
          </w:p>
        </w:tc>
      </w:tr>
      <w:tr w:rsidR="0021201E" w:rsidRPr="00FE3752" w:rsidTr="00923EEE">
        <w:trPr>
          <w:cantSplit/>
        </w:trPr>
        <w:tc>
          <w:tcPr>
            <w:tcW w:w="3002" w:type="pct"/>
            <w:tcBorders>
              <w:top w:val="single" w:sz="2" w:space="0" w:color="auto"/>
              <w:left w:val="single" w:sz="2" w:space="0" w:color="auto"/>
              <w:bottom w:val="single" w:sz="2" w:space="0" w:color="auto"/>
              <w:right w:val="single" w:sz="2" w:space="0" w:color="auto"/>
            </w:tcBorders>
            <w:shd w:val="clear" w:color="auto" w:fill="auto"/>
            <w:noWrap/>
            <w:tcMar>
              <w:left w:w="57" w:type="dxa"/>
              <w:right w:w="28" w:type="dxa"/>
            </w:tcMar>
          </w:tcPr>
          <w:p w:rsidR="0021201E" w:rsidRPr="00FE3752" w:rsidRDefault="0021201E" w:rsidP="00C20D65">
            <w:pPr>
              <w:pStyle w:val="TableDataEntries"/>
              <w:spacing w:before="4" w:after="4"/>
              <w:jc w:val="left"/>
              <w:rPr>
                <w:sz w:val="16"/>
                <w:szCs w:val="16"/>
                <w:lang w:val="en-US"/>
              </w:rPr>
            </w:pPr>
            <w:r w:rsidRPr="00FE3752">
              <w:rPr>
                <w:sz w:val="16"/>
                <w:szCs w:val="16"/>
              </w:rPr>
              <w:t xml:space="preserve">INH074: Demand for Better Governance (VBTC and Wan </w:t>
            </w:r>
            <w:proofErr w:type="spellStart"/>
            <w:r w:rsidRPr="00FE3752">
              <w:rPr>
                <w:sz w:val="16"/>
                <w:szCs w:val="16"/>
              </w:rPr>
              <w:t>Smolbag</w:t>
            </w:r>
            <w:proofErr w:type="spellEnd"/>
            <w:r w:rsidRPr="00FE3752">
              <w:rPr>
                <w:sz w:val="16"/>
                <w:szCs w:val="16"/>
              </w:rPr>
              <w:t>)</w:t>
            </w:r>
          </w:p>
        </w:tc>
        <w:tc>
          <w:tcPr>
            <w:tcW w:w="250" w:type="pct"/>
            <w:tcBorders>
              <w:top w:val="single" w:sz="2" w:space="0" w:color="808080"/>
              <w:left w:val="single" w:sz="2" w:space="0" w:color="auto"/>
              <w:bottom w:val="single" w:sz="2" w:space="0" w:color="808080"/>
              <w:right w:val="single" w:sz="2" w:space="0" w:color="808080"/>
            </w:tcBorders>
            <w:shd w:val="clear" w:color="auto" w:fill="99CC00"/>
            <w:noWrap/>
            <w:tcMar>
              <w:left w:w="57" w:type="dxa"/>
              <w:right w:w="57" w:type="dxa"/>
            </w:tcMar>
          </w:tcPr>
          <w:p w:rsidR="0021201E" w:rsidRPr="00FE3752" w:rsidRDefault="00382599" w:rsidP="00C20D65">
            <w:pPr>
              <w:pStyle w:val="TableDataEntries"/>
              <w:spacing w:before="4" w:after="4"/>
              <w:jc w:val="center"/>
              <w:rPr>
                <w:sz w:val="16"/>
                <w:szCs w:val="16"/>
                <w:lang w:val="en-US"/>
              </w:rPr>
            </w:pPr>
            <w:r>
              <w:rPr>
                <w:sz w:val="16"/>
                <w:szCs w:val="16"/>
                <w:lang w:val="en-US"/>
              </w:rPr>
              <w:t>5</w:t>
            </w:r>
          </w:p>
        </w:tc>
        <w:tc>
          <w:tcPr>
            <w:tcW w:w="250" w:type="pct"/>
            <w:tcBorders>
              <w:top w:val="single" w:sz="2" w:space="0" w:color="808080"/>
              <w:left w:val="single" w:sz="2" w:space="0" w:color="808080"/>
              <w:bottom w:val="single" w:sz="2" w:space="0" w:color="808080"/>
              <w:right w:val="single" w:sz="2" w:space="0" w:color="808080"/>
            </w:tcBorders>
            <w:shd w:val="clear" w:color="auto" w:fill="99CC00"/>
            <w:noWrap/>
            <w:tcMar>
              <w:left w:w="57" w:type="dxa"/>
              <w:right w:w="57" w:type="dxa"/>
            </w:tcMar>
          </w:tcPr>
          <w:p w:rsidR="0021201E" w:rsidRPr="00FE3752" w:rsidRDefault="00382599" w:rsidP="00C20D65">
            <w:pPr>
              <w:pStyle w:val="TableDataEntries"/>
              <w:spacing w:before="4" w:after="4"/>
              <w:jc w:val="center"/>
              <w:rPr>
                <w:sz w:val="16"/>
                <w:szCs w:val="16"/>
                <w:lang w:val="en-US"/>
              </w:rPr>
            </w:pPr>
            <w:r>
              <w:rPr>
                <w:sz w:val="16"/>
                <w:szCs w:val="16"/>
                <w:lang w:val="en-US"/>
              </w:rPr>
              <w:t>5</w:t>
            </w:r>
          </w:p>
        </w:tc>
        <w:tc>
          <w:tcPr>
            <w:tcW w:w="250" w:type="pct"/>
            <w:tcBorders>
              <w:top w:val="single" w:sz="2" w:space="0" w:color="808080"/>
              <w:left w:val="single" w:sz="2" w:space="0" w:color="808080"/>
              <w:bottom w:val="single" w:sz="2" w:space="0" w:color="808080"/>
              <w:right w:val="single" w:sz="2" w:space="0" w:color="808080"/>
            </w:tcBorders>
            <w:shd w:val="clear" w:color="auto" w:fill="99CC00"/>
            <w:noWrap/>
            <w:tcMar>
              <w:left w:w="57" w:type="dxa"/>
              <w:right w:w="57" w:type="dxa"/>
            </w:tcMar>
          </w:tcPr>
          <w:p w:rsidR="0021201E" w:rsidRPr="00FE3752" w:rsidRDefault="00382599" w:rsidP="00C20D65">
            <w:pPr>
              <w:pStyle w:val="TableDataEntries"/>
              <w:spacing w:before="4" w:after="4"/>
              <w:jc w:val="center"/>
              <w:rPr>
                <w:sz w:val="16"/>
                <w:szCs w:val="16"/>
                <w:lang w:val="en-US"/>
              </w:rPr>
            </w:pPr>
            <w:r>
              <w:rPr>
                <w:sz w:val="16"/>
                <w:szCs w:val="16"/>
                <w:lang w:val="en-US"/>
              </w:rPr>
              <w:t>5</w:t>
            </w:r>
          </w:p>
        </w:tc>
        <w:tc>
          <w:tcPr>
            <w:tcW w:w="250" w:type="pct"/>
            <w:tcBorders>
              <w:top w:val="single" w:sz="2" w:space="0" w:color="808080"/>
              <w:left w:val="single" w:sz="2" w:space="0" w:color="808080"/>
              <w:bottom w:val="single" w:sz="2" w:space="0" w:color="808080"/>
              <w:right w:val="single" w:sz="2" w:space="0" w:color="auto"/>
            </w:tcBorders>
            <w:shd w:val="clear" w:color="auto" w:fill="FFCC00"/>
            <w:noWrap/>
            <w:tcMar>
              <w:left w:w="57" w:type="dxa"/>
              <w:right w:w="57" w:type="dxa"/>
            </w:tcMar>
          </w:tcPr>
          <w:p w:rsidR="0021201E" w:rsidRPr="00FE3752" w:rsidRDefault="00382599" w:rsidP="00C20D65">
            <w:pPr>
              <w:pStyle w:val="TableDataEntries"/>
              <w:spacing w:before="4" w:after="4"/>
              <w:jc w:val="center"/>
              <w:rPr>
                <w:sz w:val="16"/>
                <w:szCs w:val="16"/>
                <w:lang w:val="en-US"/>
              </w:rPr>
            </w:pPr>
            <w:r>
              <w:rPr>
                <w:sz w:val="16"/>
                <w:szCs w:val="16"/>
                <w:lang w:val="en-US"/>
              </w:rPr>
              <w:t>4</w:t>
            </w:r>
          </w:p>
        </w:tc>
        <w:tc>
          <w:tcPr>
            <w:tcW w:w="250" w:type="pct"/>
            <w:tcBorders>
              <w:top w:val="single" w:sz="2" w:space="0" w:color="808080"/>
              <w:left w:val="single" w:sz="2" w:space="0" w:color="auto"/>
              <w:bottom w:val="single" w:sz="2" w:space="0" w:color="808080"/>
              <w:right w:val="single" w:sz="2" w:space="0" w:color="808080"/>
            </w:tcBorders>
            <w:shd w:val="clear" w:color="auto" w:fill="99CC00"/>
            <w:noWrap/>
            <w:tcMar>
              <w:left w:w="57" w:type="dxa"/>
              <w:right w:w="57" w:type="dxa"/>
            </w:tcMar>
          </w:tcPr>
          <w:p w:rsidR="0021201E" w:rsidRPr="00FE3752" w:rsidRDefault="00382599" w:rsidP="00C20D65">
            <w:pPr>
              <w:pStyle w:val="TableDataEntries"/>
              <w:spacing w:before="4" w:after="4"/>
              <w:jc w:val="center"/>
              <w:rPr>
                <w:sz w:val="16"/>
                <w:szCs w:val="16"/>
                <w:lang w:val="en-US"/>
              </w:rPr>
            </w:pPr>
            <w:r>
              <w:rPr>
                <w:sz w:val="16"/>
                <w:szCs w:val="16"/>
                <w:lang w:val="en-US"/>
              </w:rPr>
              <w:t>5</w:t>
            </w:r>
          </w:p>
        </w:tc>
        <w:tc>
          <w:tcPr>
            <w:tcW w:w="250" w:type="pct"/>
            <w:tcBorders>
              <w:top w:val="single" w:sz="2" w:space="0" w:color="808080"/>
              <w:left w:val="single" w:sz="2" w:space="0" w:color="808080"/>
              <w:bottom w:val="single" w:sz="2" w:space="0" w:color="808080"/>
              <w:right w:val="single" w:sz="2" w:space="0" w:color="808080"/>
            </w:tcBorders>
            <w:shd w:val="clear" w:color="auto" w:fill="99CC00"/>
            <w:noWrap/>
            <w:tcMar>
              <w:left w:w="57" w:type="dxa"/>
              <w:right w:w="57" w:type="dxa"/>
            </w:tcMar>
          </w:tcPr>
          <w:p w:rsidR="0021201E" w:rsidRPr="00FE3752" w:rsidRDefault="00382599" w:rsidP="00C20D65">
            <w:pPr>
              <w:pStyle w:val="TableDataEntries"/>
              <w:spacing w:before="4" w:after="4"/>
              <w:jc w:val="center"/>
              <w:rPr>
                <w:sz w:val="16"/>
                <w:szCs w:val="16"/>
                <w:lang w:val="en-US"/>
              </w:rPr>
            </w:pPr>
            <w:r>
              <w:rPr>
                <w:sz w:val="16"/>
                <w:szCs w:val="16"/>
                <w:lang w:val="en-US"/>
              </w:rPr>
              <w:t>5</w:t>
            </w:r>
          </w:p>
        </w:tc>
        <w:tc>
          <w:tcPr>
            <w:tcW w:w="250" w:type="pct"/>
            <w:tcBorders>
              <w:top w:val="single" w:sz="2" w:space="0" w:color="808080"/>
              <w:left w:val="single" w:sz="2" w:space="0" w:color="808080"/>
              <w:bottom w:val="single" w:sz="2" w:space="0" w:color="808080"/>
              <w:right w:val="single" w:sz="2" w:space="0" w:color="808080"/>
            </w:tcBorders>
            <w:shd w:val="clear" w:color="auto" w:fill="FFCC00"/>
            <w:noWrap/>
            <w:tcMar>
              <w:left w:w="57" w:type="dxa"/>
              <w:right w:w="57" w:type="dxa"/>
            </w:tcMar>
          </w:tcPr>
          <w:p w:rsidR="0021201E" w:rsidRPr="00FE3752" w:rsidRDefault="00382599" w:rsidP="00C20D65">
            <w:pPr>
              <w:pStyle w:val="TableDataEntries"/>
              <w:spacing w:before="4" w:after="4"/>
              <w:jc w:val="center"/>
              <w:rPr>
                <w:sz w:val="16"/>
                <w:szCs w:val="16"/>
                <w:lang w:val="en-US"/>
              </w:rPr>
            </w:pPr>
            <w:r>
              <w:rPr>
                <w:sz w:val="16"/>
                <w:szCs w:val="16"/>
                <w:lang w:val="en-US"/>
              </w:rPr>
              <w:t>4</w:t>
            </w:r>
          </w:p>
        </w:tc>
        <w:tc>
          <w:tcPr>
            <w:tcW w:w="250" w:type="pct"/>
            <w:tcBorders>
              <w:top w:val="single" w:sz="2" w:space="0" w:color="808080"/>
              <w:left w:val="single" w:sz="2" w:space="0" w:color="808080"/>
              <w:bottom w:val="single" w:sz="2" w:space="0" w:color="808080"/>
              <w:right w:val="single" w:sz="2" w:space="0" w:color="auto"/>
            </w:tcBorders>
            <w:shd w:val="clear" w:color="auto" w:fill="FF9900"/>
            <w:noWrap/>
            <w:tcMar>
              <w:left w:w="57" w:type="dxa"/>
              <w:right w:w="57" w:type="dxa"/>
            </w:tcMar>
          </w:tcPr>
          <w:p w:rsidR="0021201E" w:rsidRPr="00FE3752" w:rsidRDefault="00382599" w:rsidP="00C20D65">
            <w:pPr>
              <w:pStyle w:val="TableDataEntries"/>
              <w:spacing w:before="4" w:after="4"/>
              <w:jc w:val="center"/>
              <w:rPr>
                <w:sz w:val="16"/>
                <w:szCs w:val="16"/>
                <w:lang w:val="en-US"/>
              </w:rPr>
            </w:pPr>
            <w:r>
              <w:rPr>
                <w:sz w:val="16"/>
                <w:szCs w:val="16"/>
                <w:lang w:val="en-US"/>
              </w:rPr>
              <w:t>3</w:t>
            </w:r>
          </w:p>
        </w:tc>
      </w:tr>
      <w:tr w:rsidR="0021201E" w:rsidRPr="00FE3752" w:rsidTr="00923EEE">
        <w:trPr>
          <w:cantSplit/>
        </w:trPr>
        <w:tc>
          <w:tcPr>
            <w:tcW w:w="3002" w:type="pct"/>
            <w:tcBorders>
              <w:top w:val="single" w:sz="2" w:space="0" w:color="auto"/>
              <w:left w:val="single" w:sz="2" w:space="0" w:color="auto"/>
              <w:bottom w:val="single" w:sz="2" w:space="0" w:color="auto"/>
              <w:right w:val="single" w:sz="2" w:space="0" w:color="auto"/>
            </w:tcBorders>
            <w:shd w:val="clear" w:color="auto" w:fill="auto"/>
            <w:noWrap/>
            <w:tcMar>
              <w:left w:w="57" w:type="dxa"/>
              <w:right w:w="28" w:type="dxa"/>
            </w:tcMar>
          </w:tcPr>
          <w:p w:rsidR="0021201E" w:rsidRPr="00FE3752" w:rsidRDefault="0021201E" w:rsidP="00C20D65">
            <w:pPr>
              <w:pStyle w:val="TableDataEntries"/>
              <w:spacing w:before="4" w:after="4"/>
              <w:jc w:val="left"/>
              <w:rPr>
                <w:sz w:val="16"/>
                <w:szCs w:val="16"/>
                <w:lang w:val="en-US"/>
              </w:rPr>
            </w:pPr>
            <w:r w:rsidRPr="00FE3752">
              <w:rPr>
                <w:sz w:val="16"/>
                <w:szCs w:val="16"/>
              </w:rPr>
              <w:t xml:space="preserve">INH199: </w:t>
            </w:r>
            <w:smartTag w:uri="urn:schemas-microsoft-com:office:smarttags" w:element="place">
              <w:smartTag w:uri="urn:schemas-microsoft-com:office:smarttags" w:element="country-region">
                <w:r w:rsidRPr="00FE3752">
                  <w:rPr>
                    <w:sz w:val="16"/>
                    <w:szCs w:val="16"/>
                  </w:rPr>
                  <w:t>Vanuatu</w:t>
                </w:r>
              </w:smartTag>
            </w:smartTag>
            <w:r w:rsidRPr="00FE3752">
              <w:rPr>
                <w:sz w:val="16"/>
                <w:szCs w:val="16"/>
              </w:rPr>
              <w:t xml:space="preserve"> Women's Centre—Phase 5</w:t>
            </w:r>
          </w:p>
        </w:tc>
        <w:tc>
          <w:tcPr>
            <w:tcW w:w="250" w:type="pct"/>
            <w:tcBorders>
              <w:top w:val="single" w:sz="2" w:space="0" w:color="808080"/>
              <w:left w:val="single" w:sz="2" w:space="0" w:color="auto"/>
              <w:bottom w:val="single" w:sz="2" w:space="0" w:color="808080"/>
              <w:right w:val="single" w:sz="2" w:space="0" w:color="808080"/>
            </w:tcBorders>
            <w:shd w:val="clear" w:color="auto" w:fill="99CC00"/>
            <w:noWrap/>
            <w:tcMar>
              <w:left w:w="57" w:type="dxa"/>
              <w:right w:w="57" w:type="dxa"/>
            </w:tcMar>
          </w:tcPr>
          <w:p w:rsidR="0021201E" w:rsidRPr="00FE3752" w:rsidRDefault="00382599" w:rsidP="00C20D65">
            <w:pPr>
              <w:pStyle w:val="TableDataEntries"/>
              <w:spacing w:before="4" w:after="4"/>
              <w:jc w:val="center"/>
              <w:rPr>
                <w:sz w:val="16"/>
                <w:szCs w:val="16"/>
                <w:lang w:val="en-US"/>
              </w:rPr>
            </w:pPr>
            <w:r>
              <w:rPr>
                <w:sz w:val="16"/>
                <w:szCs w:val="16"/>
                <w:lang w:val="en-US"/>
              </w:rPr>
              <w:t>5</w:t>
            </w:r>
          </w:p>
        </w:tc>
        <w:tc>
          <w:tcPr>
            <w:tcW w:w="250" w:type="pct"/>
            <w:tcBorders>
              <w:top w:val="single" w:sz="2" w:space="0" w:color="808080"/>
              <w:left w:val="single" w:sz="2" w:space="0" w:color="808080"/>
              <w:bottom w:val="single" w:sz="2" w:space="0" w:color="808080"/>
              <w:right w:val="single" w:sz="2" w:space="0" w:color="808080"/>
            </w:tcBorders>
            <w:shd w:val="clear" w:color="auto" w:fill="99CC00"/>
            <w:noWrap/>
            <w:tcMar>
              <w:left w:w="57" w:type="dxa"/>
              <w:right w:w="57" w:type="dxa"/>
            </w:tcMar>
          </w:tcPr>
          <w:p w:rsidR="0021201E" w:rsidRPr="00FE3752" w:rsidRDefault="00382599" w:rsidP="00C20D65">
            <w:pPr>
              <w:pStyle w:val="TableDataEntries"/>
              <w:spacing w:before="4" w:after="4"/>
              <w:jc w:val="center"/>
              <w:rPr>
                <w:sz w:val="16"/>
                <w:szCs w:val="16"/>
                <w:lang w:val="en-US"/>
              </w:rPr>
            </w:pPr>
            <w:r>
              <w:rPr>
                <w:sz w:val="16"/>
                <w:szCs w:val="16"/>
                <w:lang w:val="en-US"/>
              </w:rPr>
              <w:t>5</w:t>
            </w:r>
          </w:p>
        </w:tc>
        <w:tc>
          <w:tcPr>
            <w:tcW w:w="250" w:type="pct"/>
            <w:tcBorders>
              <w:top w:val="single" w:sz="2" w:space="0" w:color="808080"/>
              <w:left w:val="single" w:sz="2" w:space="0" w:color="808080"/>
              <w:bottom w:val="single" w:sz="2" w:space="0" w:color="808080"/>
              <w:right w:val="single" w:sz="2" w:space="0" w:color="808080"/>
            </w:tcBorders>
            <w:shd w:val="clear" w:color="auto" w:fill="99CC00"/>
            <w:noWrap/>
            <w:tcMar>
              <w:left w:w="57" w:type="dxa"/>
              <w:right w:w="57" w:type="dxa"/>
            </w:tcMar>
          </w:tcPr>
          <w:p w:rsidR="0021201E" w:rsidRPr="00FE3752" w:rsidRDefault="00382599" w:rsidP="00C20D65">
            <w:pPr>
              <w:pStyle w:val="TableDataEntries"/>
              <w:spacing w:before="4" w:after="4"/>
              <w:jc w:val="center"/>
              <w:rPr>
                <w:sz w:val="16"/>
                <w:szCs w:val="16"/>
                <w:lang w:val="en-US"/>
              </w:rPr>
            </w:pPr>
            <w:r>
              <w:rPr>
                <w:sz w:val="16"/>
                <w:szCs w:val="16"/>
                <w:lang w:val="en-US"/>
              </w:rPr>
              <w:t>5</w:t>
            </w:r>
          </w:p>
        </w:tc>
        <w:tc>
          <w:tcPr>
            <w:tcW w:w="250" w:type="pct"/>
            <w:tcBorders>
              <w:top w:val="single" w:sz="2" w:space="0" w:color="808080"/>
              <w:left w:val="single" w:sz="2" w:space="0" w:color="808080"/>
              <w:bottom w:val="single" w:sz="2" w:space="0" w:color="808080"/>
              <w:right w:val="single" w:sz="2" w:space="0" w:color="auto"/>
            </w:tcBorders>
            <w:shd w:val="clear" w:color="auto" w:fill="FFCC00"/>
            <w:noWrap/>
            <w:tcMar>
              <w:left w:w="57" w:type="dxa"/>
              <w:right w:w="57" w:type="dxa"/>
            </w:tcMar>
          </w:tcPr>
          <w:p w:rsidR="0021201E" w:rsidRPr="00FE3752" w:rsidRDefault="00382599" w:rsidP="00C20D65">
            <w:pPr>
              <w:pStyle w:val="TableDataEntries"/>
              <w:spacing w:before="4" w:after="4"/>
              <w:jc w:val="center"/>
              <w:rPr>
                <w:sz w:val="16"/>
                <w:szCs w:val="16"/>
                <w:lang w:val="en-US"/>
              </w:rPr>
            </w:pPr>
            <w:r>
              <w:rPr>
                <w:sz w:val="16"/>
                <w:szCs w:val="16"/>
                <w:lang w:val="en-US"/>
              </w:rPr>
              <w:t>4</w:t>
            </w:r>
          </w:p>
        </w:tc>
        <w:tc>
          <w:tcPr>
            <w:tcW w:w="250" w:type="pct"/>
            <w:tcBorders>
              <w:top w:val="single" w:sz="2" w:space="0" w:color="808080"/>
              <w:left w:val="single" w:sz="2" w:space="0" w:color="auto"/>
              <w:bottom w:val="single" w:sz="2" w:space="0" w:color="808080"/>
              <w:right w:val="single" w:sz="2" w:space="0" w:color="808080"/>
            </w:tcBorders>
            <w:shd w:val="clear" w:color="auto" w:fill="99CC00"/>
            <w:noWrap/>
            <w:tcMar>
              <w:left w:w="57" w:type="dxa"/>
              <w:right w:w="57" w:type="dxa"/>
            </w:tcMar>
          </w:tcPr>
          <w:p w:rsidR="0021201E" w:rsidRPr="00FE3752" w:rsidRDefault="00382599" w:rsidP="00C20D65">
            <w:pPr>
              <w:pStyle w:val="TableDataEntries"/>
              <w:spacing w:before="4" w:after="4"/>
              <w:jc w:val="center"/>
              <w:rPr>
                <w:sz w:val="16"/>
                <w:szCs w:val="16"/>
                <w:lang w:val="en-US"/>
              </w:rPr>
            </w:pPr>
            <w:r>
              <w:rPr>
                <w:sz w:val="16"/>
                <w:szCs w:val="16"/>
                <w:lang w:val="en-US"/>
              </w:rPr>
              <w:t>5</w:t>
            </w:r>
          </w:p>
        </w:tc>
        <w:tc>
          <w:tcPr>
            <w:tcW w:w="250" w:type="pct"/>
            <w:tcBorders>
              <w:top w:val="single" w:sz="2" w:space="0" w:color="808080"/>
              <w:left w:val="single" w:sz="2" w:space="0" w:color="808080"/>
              <w:bottom w:val="single" w:sz="2" w:space="0" w:color="808080"/>
              <w:right w:val="single" w:sz="2" w:space="0" w:color="808080"/>
            </w:tcBorders>
            <w:shd w:val="clear" w:color="auto" w:fill="99CC00"/>
            <w:noWrap/>
            <w:tcMar>
              <w:left w:w="57" w:type="dxa"/>
              <w:right w:w="57" w:type="dxa"/>
            </w:tcMar>
          </w:tcPr>
          <w:p w:rsidR="0021201E" w:rsidRPr="00FE3752" w:rsidRDefault="00382599" w:rsidP="00C20D65">
            <w:pPr>
              <w:pStyle w:val="TableDataEntries"/>
              <w:spacing w:before="4" w:after="4"/>
              <w:jc w:val="center"/>
              <w:rPr>
                <w:sz w:val="16"/>
                <w:szCs w:val="16"/>
                <w:lang w:val="en-US"/>
              </w:rPr>
            </w:pPr>
            <w:r>
              <w:rPr>
                <w:sz w:val="16"/>
                <w:szCs w:val="16"/>
                <w:lang w:val="en-US"/>
              </w:rPr>
              <w:t>5</w:t>
            </w:r>
          </w:p>
        </w:tc>
        <w:tc>
          <w:tcPr>
            <w:tcW w:w="250" w:type="pct"/>
            <w:tcBorders>
              <w:top w:val="single" w:sz="2" w:space="0" w:color="808080"/>
              <w:left w:val="single" w:sz="2" w:space="0" w:color="808080"/>
              <w:bottom w:val="single" w:sz="2" w:space="0" w:color="808080"/>
              <w:right w:val="single" w:sz="2" w:space="0" w:color="808080"/>
            </w:tcBorders>
            <w:shd w:val="clear" w:color="auto" w:fill="99CC00"/>
            <w:noWrap/>
            <w:tcMar>
              <w:left w:w="57" w:type="dxa"/>
              <w:right w:w="57" w:type="dxa"/>
            </w:tcMar>
          </w:tcPr>
          <w:p w:rsidR="0021201E" w:rsidRPr="00FE3752" w:rsidRDefault="00382599" w:rsidP="00C20D65">
            <w:pPr>
              <w:pStyle w:val="TableDataEntries"/>
              <w:spacing w:before="4" w:after="4"/>
              <w:jc w:val="center"/>
              <w:rPr>
                <w:sz w:val="16"/>
                <w:szCs w:val="16"/>
                <w:lang w:val="en-US"/>
              </w:rPr>
            </w:pPr>
            <w:r>
              <w:rPr>
                <w:sz w:val="16"/>
                <w:szCs w:val="16"/>
                <w:lang w:val="en-US"/>
              </w:rPr>
              <w:t>5</w:t>
            </w:r>
          </w:p>
        </w:tc>
        <w:tc>
          <w:tcPr>
            <w:tcW w:w="250" w:type="pct"/>
            <w:tcBorders>
              <w:top w:val="single" w:sz="2" w:space="0" w:color="808080"/>
              <w:left w:val="single" w:sz="2" w:space="0" w:color="808080"/>
              <w:bottom w:val="single" w:sz="2" w:space="0" w:color="808080"/>
              <w:right w:val="single" w:sz="2" w:space="0" w:color="auto"/>
            </w:tcBorders>
            <w:shd w:val="clear" w:color="auto" w:fill="FFCC00"/>
            <w:noWrap/>
            <w:tcMar>
              <w:left w:w="57" w:type="dxa"/>
              <w:right w:w="57" w:type="dxa"/>
            </w:tcMar>
          </w:tcPr>
          <w:p w:rsidR="0021201E" w:rsidRPr="00FE3752" w:rsidRDefault="00382599" w:rsidP="00C20D65">
            <w:pPr>
              <w:pStyle w:val="TableDataEntries"/>
              <w:spacing w:before="4" w:after="4"/>
              <w:jc w:val="center"/>
              <w:rPr>
                <w:sz w:val="16"/>
                <w:szCs w:val="16"/>
                <w:lang w:val="en-US"/>
              </w:rPr>
            </w:pPr>
            <w:r>
              <w:rPr>
                <w:sz w:val="16"/>
                <w:szCs w:val="16"/>
                <w:lang w:val="en-US"/>
              </w:rPr>
              <w:t>4</w:t>
            </w:r>
          </w:p>
        </w:tc>
      </w:tr>
      <w:tr w:rsidR="0021201E" w:rsidRPr="00FE3752" w:rsidTr="00923EEE">
        <w:trPr>
          <w:cantSplit/>
        </w:trPr>
        <w:tc>
          <w:tcPr>
            <w:tcW w:w="3002" w:type="pct"/>
            <w:tcBorders>
              <w:top w:val="single" w:sz="2" w:space="0" w:color="auto"/>
              <w:left w:val="single" w:sz="2" w:space="0" w:color="auto"/>
              <w:bottom w:val="single" w:sz="12" w:space="0" w:color="auto"/>
              <w:right w:val="single" w:sz="2" w:space="0" w:color="auto"/>
            </w:tcBorders>
            <w:shd w:val="clear" w:color="auto" w:fill="auto"/>
            <w:noWrap/>
            <w:tcMar>
              <w:left w:w="57" w:type="dxa"/>
              <w:right w:w="28" w:type="dxa"/>
            </w:tcMar>
          </w:tcPr>
          <w:p w:rsidR="0021201E" w:rsidRPr="00FE3752" w:rsidRDefault="0021201E" w:rsidP="00C20D65">
            <w:pPr>
              <w:pStyle w:val="TableDataEntries"/>
              <w:spacing w:before="4" w:after="4"/>
              <w:jc w:val="left"/>
              <w:rPr>
                <w:sz w:val="16"/>
                <w:szCs w:val="16"/>
                <w:lang w:val="en-US"/>
              </w:rPr>
            </w:pPr>
            <w:r w:rsidRPr="00FE3752">
              <w:rPr>
                <w:sz w:val="16"/>
                <w:szCs w:val="16"/>
              </w:rPr>
              <w:t>INH253: Pacific Technical Assistance Mechanism</w:t>
            </w:r>
          </w:p>
        </w:tc>
        <w:tc>
          <w:tcPr>
            <w:tcW w:w="250" w:type="pct"/>
            <w:tcBorders>
              <w:top w:val="single" w:sz="2" w:space="0" w:color="808080"/>
              <w:left w:val="single" w:sz="2" w:space="0" w:color="auto"/>
              <w:bottom w:val="single" w:sz="12" w:space="0" w:color="auto"/>
              <w:right w:val="single" w:sz="2" w:space="0" w:color="808080"/>
            </w:tcBorders>
            <w:shd w:val="clear" w:color="auto" w:fill="99CC00"/>
            <w:noWrap/>
            <w:tcMar>
              <w:left w:w="57" w:type="dxa"/>
              <w:right w:w="57" w:type="dxa"/>
            </w:tcMar>
          </w:tcPr>
          <w:p w:rsidR="0021201E" w:rsidRPr="00FE3752" w:rsidRDefault="00382599" w:rsidP="00C20D65">
            <w:pPr>
              <w:pStyle w:val="TableDataEntries"/>
              <w:spacing w:before="4" w:after="4"/>
              <w:jc w:val="center"/>
              <w:rPr>
                <w:sz w:val="16"/>
                <w:szCs w:val="16"/>
                <w:lang w:val="en-US"/>
              </w:rPr>
            </w:pPr>
            <w:r>
              <w:rPr>
                <w:sz w:val="16"/>
                <w:szCs w:val="16"/>
                <w:lang w:val="en-US"/>
              </w:rPr>
              <w:t>5</w:t>
            </w:r>
          </w:p>
        </w:tc>
        <w:tc>
          <w:tcPr>
            <w:tcW w:w="250" w:type="pct"/>
            <w:tcBorders>
              <w:top w:val="single" w:sz="2" w:space="0" w:color="808080"/>
              <w:left w:val="single" w:sz="2" w:space="0" w:color="808080"/>
              <w:bottom w:val="single" w:sz="12" w:space="0" w:color="auto"/>
              <w:right w:val="single" w:sz="2" w:space="0" w:color="808080"/>
            </w:tcBorders>
            <w:shd w:val="clear" w:color="auto" w:fill="FFCC00"/>
            <w:noWrap/>
            <w:tcMar>
              <w:left w:w="57" w:type="dxa"/>
              <w:right w:w="57" w:type="dxa"/>
            </w:tcMar>
          </w:tcPr>
          <w:p w:rsidR="0021201E" w:rsidRPr="00FE3752" w:rsidRDefault="00382599" w:rsidP="00C20D65">
            <w:pPr>
              <w:pStyle w:val="TableDataEntries"/>
              <w:spacing w:before="4" w:after="4"/>
              <w:jc w:val="center"/>
              <w:rPr>
                <w:sz w:val="16"/>
                <w:szCs w:val="16"/>
                <w:lang w:val="en-US"/>
              </w:rPr>
            </w:pPr>
            <w:r>
              <w:rPr>
                <w:sz w:val="16"/>
                <w:szCs w:val="16"/>
                <w:lang w:val="en-US"/>
              </w:rPr>
              <w:t>4</w:t>
            </w:r>
          </w:p>
        </w:tc>
        <w:tc>
          <w:tcPr>
            <w:tcW w:w="250" w:type="pct"/>
            <w:tcBorders>
              <w:top w:val="single" w:sz="2" w:space="0" w:color="808080"/>
              <w:left w:val="single" w:sz="2" w:space="0" w:color="808080"/>
              <w:bottom w:val="single" w:sz="12" w:space="0" w:color="auto"/>
              <w:right w:val="single" w:sz="2" w:space="0" w:color="808080"/>
            </w:tcBorders>
            <w:shd w:val="clear" w:color="auto" w:fill="99CC00"/>
            <w:noWrap/>
            <w:tcMar>
              <w:left w:w="57" w:type="dxa"/>
              <w:right w:w="57" w:type="dxa"/>
            </w:tcMar>
          </w:tcPr>
          <w:p w:rsidR="0021201E" w:rsidRPr="00FE3752" w:rsidRDefault="00382599" w:rsidP="00C20D65">
            <w:pPr>
              <w:pStyle w:val="TableDataEntries"/>
              <w:spacing w:before="4" w:after="4"/>
              <w:jc w:val="center"/>
              <w:rPr>
                <w:sz w:val="16"/>
                <w:szCs w:val="16"/>
                <w:lang w:val="en-US"/>
              </w:rPr>
            </w:pPr>
            <w:r>
              <w:rPr>
                <w:sz w:val="16"/>
                <w:szCs w:val="16"/>
                <w:lang w:val="en-US"/>
              </w:rPr>
              <w:t>5</w:t>
            </w:r>
          </w:p>
        </w:tc>
        <w:tc>
          <w:tcPr>
            <w:tcW w:w="250" w:type="pct"/>
            <w:tcBorders>
              <w:top w:val="single" w:sz="2" w:space="0" w:color="808080"/>
              <w:left w:val="single" w:sz="2" w:space="0" w:color="808080"/>
              <w:bottom w:val="single" w:sz="12" w:space="0" w:color="auto"/>
              <w:right w:val="single" w:sz="2" w:space="0" w:color="auto"/>
            </w:tcBorders>
            <w:shd w:val="clear" w:color="auto" w:fill="FFCC00"/>
            <w:noWrap/>
            <w:tcMar>
              <w:left w:w="57" w:type="dxa"/>
              <w:right w:w="57" w:type="dxa"/>
            </w:tcMar>
          </w:tcPr>
          <w:p w:rsidR="0021201E" w:rsidRPr="00FE3752" w:rsidRDefault="00382599" w:rsidP="00C20D65">
            <w:pPr>
              <w:pStyle w:val="TableDataEntries"/>
              <w:spacing w:before="4" w:after="4"/>
              <w:jc w:val="center"/>
              <w:rPr>
                <w:sz w:val="16"/>
                <w:szCs w:val="16"/>
                <w:lang w:val="en-US"/>
              </w:rPr>
            </w:pPr>
            <w:r>
              <w:rPr>
                <w:sz w:val="16"/>
                <w:szCs w:val="16"/>
                <w:lang w:val="en-US"/>
              </w:rPr>
              <w:t>4</w:t>
            </w:r>
          </w:p>
        </w:tc>
        <w:tc>
          <w:tcPr>
            <w:tcW w:w="250" w:type="pct"/>
            <w:tcBorders>
              <w:top w:val="single" w:sz="2" w:space="0" w:color="808080"/>
              <w:left w:val="single" w:sz="2" w:space="0" w:color="auto"/>
              <w:bottom w:val="single" w:sz="12" w:space="0" w:color="auto"/>
              <w:right w:val="single" w:sz="2" w:space="0" w:color="808080"/>
            </w:tcBorders>
            <w:shd w:val="clear" w:color="auto" w:fill="99CC00"/>
            <w:noWrap/>
            <w:tcMar>
              <w:left w:w="57" w:type="dxa"/>
              <w:right w:w="57" w:type="dxa"/>
            </w:tcMar>
          </w:tcPr>
          <w:p w:rsidR="0021201E" w:rsidRPr="00FE3752" w:rsidRDefault="00382599" w:rsidP="00C20D65">
            <w:pPr>
              <w:pStyle w:val="TableDataEntries"/>
              <w:spacing w:before="4" w:after="4"/>
              <w:jc w:val="center"/>
              <w:rPr>
                <w:sz w:val="16"/>
                <w:szCs w:val="16"/>
                <w:lang w:val="en-US"/>
              </w:rPr>
            </w:pPr>
            <w:r>
              <w:rPr>
                <w:sz w:val="16"/>
                <w:szCs w:val="16"/>
                <w:lang w:val="en-US"/>
              </w:rPr>
              <w:t>5</w:t>
            </w:r>
          </w:p>
        </w:tc>
        <w:tc>
          <w:tcPr>
            <w:tcW w:w="250" w:type="pct"/>
            <w:tcBorders>
              <w:top w:val="single" w:sz="2" w:space="0" w:color="808080"/>
              <w:left w:val="single" w:sz="2" w:space="0" w:color="808080"/>
              <w:bottom w:val="single" w:sz="12" w:space="0" w:color="auto"/>
              <w:right w:val="single" w:sz="2" w:space="0" w:color="808080"/>
            </w:tcBorders>
            <w:shd w:val="clear" w:color="auto" w:fill="FFCC00"/>
            <w:noWrap/>
            <w:tcMar>
              <w:left w:w="57" w:type="dxa"/>
              <w:right w:w="57" w:type="dxa"/>
            </w:tcMar>
          </w:tcPr>
          <w:p w:rsidR="0021201E" w:rsidRPr="00FE3752" w:rsidRDefault="00382599" w:rsidP="00C20D65">
            <w:pPr>
              <w:pStyle w:val="TableDataEntries"/>
              <w:spacing w:before="4" w:after="4"/>
              <w:jc w:val="center"/>
              <w:rPr>
                <w:sz w:val="16"/>
                <w:szCs w:val="16"/>
                <w:lang w:val="en-US"/>
              </w:rPr>
            </w:pPr>
            <w:r>
              <w:rPr>
                <w:sz w:val="16"/>
                <w:szCs w:val="16"/>
                <w:lang w:val="en-US"/>
              </w:rPr>
              <w:t>4</w:t>
            </w:r>
          </w:p>
        </w:tc>
        <w:tc>
          <w:tcPr>
            <w:tcW w:w="250" w:type="pct"/>
            <w:tcBorders>
              <w:top w:val="single" w:sz="2" w:space="0" w:color="808080"/>
              <w:left w:val="single" w:sz="2" w:space="0" w:color="808080"/>
              <w:bottom w:val="single" w:sz="12" w:space="0" w:color="auto"/>
              <w:right w:val="single" w:sz="2" w:space="0" w:color="808080"/>
            </w:tcBorders>
            <w:shd w:val="clear" w:color="auto" w:fill="FFCC00"/>
            <w:noWrap/>
            <w:tcMar>
              <w:left w:w="57" w:type="dxa"/>
              <w:right w:w="57" w:type="dxa"/>
            </w:tcMar>
          </w:tcPr>
          <w:p w:rsidR="0021201E" w:rsidRPr="00FE3752" w:rsidRDefault="00382599" w:rsidP="00C20D65">
            <w:pPr>
              <w:pStyle w:val="TableDataEntries"/>
              <w:spacing w:before="4" w:after="4"/>
              <w:jc w:val="center"/>
              <w:rPr>
                <w:sz w:val="16"/>
                <w:szCs w:val="16"/>
                <w:lang w:val="en-US"/>
              </w:rPr>
            </w:pPr>
            <w:r>
              <w:rPr>
                <w:sz w:val="16"/>
                <w:szCs w:val="16"/>
                <w:lang w:val="en-US"/>
              </w:rPr>
              <w:t>4</w:t>
            </w:r>
          </w:p>
        </w:tc>
        <w:tc>
          <w:tcPr>
            <w:tcW w:w="250" w:type="pct"/>
            <w:tcBorders>
              <w:top w:val="single" w:sz="2" w:space="0" w:color="808080"/>
              <w:left w:val="single" w:sz="2" w:space="0" w:color="808080"/>
              <w:bottom w:val="single" w:sz="12" w:space="0" w:color="auto"/>
              <w:right w:val="single" w:sz="2" w:space="0" w:color="auto"/>
            </w:tcBorders>
            <w:shd w:val="clear" w:color="auto" w:fill="FFCC00"/>
            <w:noWrap/>
            <w:tcMar>
              <w:left w:w="57" w:type="dxa"/>
              <w:right w:w="57" w:type="dxa"/>
            </w:tcMar>
          </w:tcPr>
          <w:p w:rsidR="0021201E" w:rsidRPr="00FE3752" w:rsidRDefault="00382599" w:rsidP="00C20D65">
            <w:pPr>
              <w:pStyle w:val="TableDataEntries"/>
              <w:spacing w:before="4" w:after="4"/>
              <w:jc w:val="center"/>
              <w:rPr>
                <w:sz w:val="16"/>
                <w:szCs w:val="16"/>
                <w:lang w:val="en-US"/>
              </w:rPr>
            </w:pPr>
            <w:r>
              <w:rPr>
                <w:sz w:val="16"/>
                <w:szCs w:val="16"/>
                <w:lang w:val="en-US"/>
              </w:rPr>
              <w:t>4</w:t>
            </w:r>
          </w:p>
        </w:tc>
      </w:tr>
    </w:tbl>
    <w:p w:rsidR="0021201E" w:rsidRPr="00AF63F8" w:rsidRDefault="0021201E" w:rsidP="0021201E">
      <w:pPr>
        <w:pStyle w:val="Note"/>
        <w:rPr>
          <w:rFonts w:ascii="Franklin Gothic Medium" w:hAnsi="Franklin Gothic Medium"/>
        </w:rPr>
      </w:pPr>
      <w:r w:rsidRPr="00AF63F8">
        <w:rPr>
          <w:rFonts w:ascii="Franklin Gothic Medium" w:hAnsi="Franklin Gothic Medium"/>
        </w:rPr>
        <w:t>Definitions of rating scale</w:t>
      </w:r>
    </w:p>
    <w:tbl>
      <w:tblPr>
        <w:tblW w:w="7938" w:type="dxa"/>
        <w:tblInd w:w="5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57" w:type="dxa"/>
          <w:right w:w="57" w:type="dxa"/>
        </w:tblCellMar>
        <w:tblLook w:val="0000" w:firstRow="0" w:lastRow="0" w:firstColumn="0" w:lastColumn="0" w:noHBand="0" w:noVBand="0"/>
      </w:tblPr>
      <w:tblGrid>
        <w:gridCol w:w="467"/>
        <w:gridCol w:w="3479"/>
        <w:gridCol w:w="455"/>
        <w:gridCol w:w="3537"/>
      </w:tblGrid>
      <w:tr w:rsidR="0021201E" w:rsidRPr="00AF63F8" w:rsidTr="00C20D65">
        <w:trPr>
          <w:cantSplit/>
        </w:trPr>
        <w:tc>
          <w:tcPr>
            <w:tcW w:w="3946" w:type="dxa"/>
            <w:gridSpan w:val="2"/>
            <w:tcBorders>
              <w:top w:val="nil"/>
              <w:left w:val="nil"/>
              <w:bottom w:val="nil"/>
              <w:right w:val="nil"/>
            </w:tcBorders>
            <w:noWrap/>
            <w:vAlign w:val="bottom"/>
          </w:tcPr>
          <w:p w:rsidR="0021201E" w:rsidRPr="00AF63F8" w:rsidRDefault="0021201E" w:rsidP="00C20D65">
            <w:pPr>
              <w:pStyle w:val="Note"/>
              <w:spacing w:before="20" w:after="20"/>
              <w:ind w:left="-57"/>
              <w:rPr>
                <w:rFonts w:ascii="Franklin Gothic Medium" w:hAnsi="Franklin Gothic Medium"/>
              </w:rPr>
            </w:pPr>
            <w:r w:rsidRPr="00AF63F8">
              <w:rPr>
                <w:rFonts w:ascii="Franklin Gothic Medium" w:hAnsi="Franklin Gothic Medium"/>
              </w:rPr>
              <w:t>Satisfactory (4, 5 and 6)</w:t>
            </w:r>
          </w:p>
        </w:tc>
        <w:tc>
          <w:tcPr>
            <w:tcW w:w="3992" w:type="dxa"/>
            <w:gridSpan w:val="2"/>
            <w:tcBorders>
              <w:top w:val="nil"/>
              <w:left w:val="nil"/>
              <w:bottom w:val="nil"/>
              <w:right w:val="nil"/>
            </w:tcBorders>
            <w:noWrap/>
            <w:vAlign w:val="bottom"/>
          </w:tcPr>
          <w:p w:rsidR="0021201E" w:rsidRPr="00AF63F8" w:rsidRDefault="0021201E" w:rsidP="00C20D65">
            <w:pPr>
              <w:pStyle w:val="Note"/>
              <w:spacing w:before="20" w:after="20"/>
              <w:ind w:left="-57"/>
              <w:rPr>
                <w:rFonts w:ascii="Franklin Gothic Medium" w:hAnsi="Franklin Gothic Medium"/>
              </w:rPr>
            </w:pPr>
            <w:r w:rsidRPr="00AF63F8">
              <w:rPr>
                <w:rFonts w:ascii="Franklin Gothic Medium" w:hAnsi="Franklin Gothic Medium"/>
              </w:rPr>
              <w:t>Less than satisfactory (1, 2 and 3)</w:t>
            </w:r>
          </w:p>
        </w:tc>
      </w:tr>
      <w:tr w:rsidR="0021201E" w:rsidRPr="00D7139C" w:rsidTr="00C20D65">
        <w:trPr>
          <w:cantSplit/>
        </w:trPr>
        <w:tc>
          <w:tcPr>
            <w:tcW w:w="467" w:type="dxa"/>
            <w:tcBorders>
              <w:top w:val="single" w:sz="2" w:space="0" w:color="808080"/>
              <w:left w:val="single" w:sz="2" w:space="0" w:color="808080"/>
              <w:bottom w:val="single" w:sz="2" w:space="0" w:color="808080"/>
              <w:right w:val="single" w:sz="2" w:space="0" w:color="808080"/>
            </w:tcBorders>
            <w:shd w:val="clear" w:color="auto" w:fill="99CC00"/>
            <w:vAlign w:val="bottom"/>
          </w:tcPr>
          <w:p w:rsidR="0021201E" w:rsidRPr="00D7139C" w:rsidRDefault="0021201E" w:rsidP="00C20D65">
            <w:pPr>
              <w:pStyle w:val="Note"/>
              <w:spacing w:before="4" w:after="4"/>
              <w:jc w:val="center"/>
            </w:pPr>
            <w:r w:rsidRPr="00D7139C">
              <w:t>6</w:t>
            </w:r>
          </w:p>
        </w:tc>
        <w:tc>
          <w:tcPr>
            <w:tcW w:w="3479" w:type="dxa"/>
            <w:tcBorders>
              <w:top w:val="nil"/>
              <w:left w:val="single" w:sz="2" w:space="0" w:color="808080"/>
              <w:bottom w:val="nil"/>
              <w:right w:val="single" w:sz="2" w:space="0" w:color="808080"/>
            </w:tcBorders>
            <w:noWrap/>
            <w:vAlign w:val="bottom"/>
          </w:tcPr>
          <w:p w:rsidR="0021201E" w:rsidRPr="00D7139C" w:rsidRDefault="0021201E" w:rsidP="00C20D65">
            <w:pPr>
              <w:pStyle w:val="Note"/>
              <w:spacing w:before="4" w:after="4"/>
            </w:pPr>
            <w:r w:rsidRPr="00D7139C">
              <w:t>Very high quality</w:t>
            </w:r>
            <w:r>
              <w:t>; needs ongoing management and monitoring only</w:t>
            </w:r>
          </w:p>
        </w:tc>
        <w:tc>
          <w:tcPr>
            <w:tcW w:w="455" w:type="dxa"/>
            <w:tcBorders>
              <w:top w:val="single" w:sz="2" w:space="0" w:color="808080"/>
              <w:left w:val="single" w:sz="2" w:space="0" w:color="808080"/>
              <w:bottom w:val="single" w:sz="2" w:space="0" w:color="808080"/>
              <w:right w:val="single" w:sz="2" w:space="0" w:color="808080"/>
            </w:tcBorders>
            <w:shd w:val="clear" w:color="auto" w:fill="FF9900"/>
            <w:noWrap/>
            <w:vAlign w:val="bottom"/>
          </w:tcPr>
          <w:p w:rsidR="0021201E" w:rsidRPr="00D7139C" w:rsidRDefault="0021201E" w:rsidP="00C20D65">
            <w:pPr>
              <w:pStyle w:val="Note"/>
              <w:spacing w:before="4" w:after="4"/>
              <w:jc w:val="center"/>
            </w:pPr>
            <w:r w:rsidRPr="00D7139C">
              <w:t>3</w:t>
            </w:r>
          </w:p>
        </w:tc>
        <w:tc>
          <w:tcPr>
            <w:tcW w:w="3537" w:type="dxa"/>
            <w:tcBorders>
              <w:top w:val="nil"/>
              <w:left w:val="single" w:sz="2" w:space="0" w:color="808080"/>
              <w:bottom w:val="nil"/>
              <w:right w:val="nil"/>
            </w:tcBorders>
            <w:noWrap/>
            <w:vAlign w:val="bottom"/>
          </w:tcPr>
          <w:p w:rsidR="0021201E" w:rsidRPr="00D7139C" w:rsidRDefault="0021201E" w:rsidP="00C20D65">
            <w:pPr>
              <w:pStyle w:val="Note"/>
              <w:spacing w:before="4" w:after="4"/>
            </w:pPr>
            <w:r w:rsidRPr="00D7139C">
              <w:t>Less than adequate quality; needs work</w:t>
            </w:r>
            <w:r>
              <w:t xml:space="preserve"> to improve in core areas</w:t>
            </w:r>
          </w:p>
        </w:tc>
      </w:tr>
      <w:tr w:rsidR="0021201E" w:rsidRPr="00D7139C" w:rsidTr="00C20D65">
        <w:trPr>
          <w:cantSplit/>
        </w:trPr>
        <w:tc>
          <w:tcPr>
            <w:tcW w:w="467" w:type="dxa"/>
            <w:tcBorders>
              <w:top w:val="single" w:sz="2" w:space="0" w:color="808080"/>
              <w:left w:val="single" w:sz="2" w:space="0" w:color="808080"/>
              <w:bottom w:val="single" w:sz="2" w:space="0" w:color="808080"/>
              <w:right w:val="single" w:sz="2" w:space="0" w:color="808080"/>
            </w:tcBorders>
            <w:shd w:val="clear" w:color="auto" w:fill="99CC00"/>
            <w:vAlign w:val="bottom"/>
          </w:tcPr>
          <w:p w:rsidR="0021201E" w:rsidRPr="00D7139C" w:rsidRDefault="0021201E" w:rsidP="00C20D65">
            <w:pPr>
              <w:pStyle w:val="Note"/>
              <w:spacing w:before="4" w:after="4"/>
              <w:jc w:val="center"/>
            </w:pPr>
            <w:r w:rsidRPr="00D7139C">
              <w:t>5</w:t>
            </w:r>
          </w:p>
        </w:tc>
        <w:tc>
          <w:tcPr>
            <w:tcW w:w="3479" w:type="dxa"/>
            <w:tcBorders>
              <w:top w:val="nil"/>
              <w:left w:val="single" w:sz="2" w:space="0" w:color="808080"/>
              <w:bottom w:val="nil"/>
              <w:right w:val="single" w:sz="2" w:space="0" w:color="808080"/>
            </w:tcBorders>
            <w:noWrap/>
            <w:vAlign w:val="bottom"/>
          </w:tcPr>
          <w:p w:rsidR="0021201E" w:rsidRPr="00D7139C" w:rsidRDefault="0021201E" w:rsidP="00C20D65">
            <w:pPr>
              <w:pStyle w:val="Note"/>
              <w:spacing w:before="4" w:after="4"/>
            </w:pPr>
            <w:r w:rsidRPr="00D7139C">
              <w:t>Good quality</w:t>
            </w:r>
            <w:r>
              <w:t>; needs minor work to improve in some areas</w:t>
            </w:r>
          </w:p>
        </w:tc>
        <w:tc>
          <w:tcPr>
            <w:tcW w:w="455" w:type="dxa"/>
            <w:tcBorders>
              <w:top w:val="single" w:sz="2" w:space="0" w:color="808080"/>
              <w:left w:val="single" w:sz="2" w:space="0" w:color="808080"/>
              <w:bottom w:val="single" w:sz="2" w:space="0" w:color="808080"/>
              <w:right w:val="single" w:sz="2" w:space="0" w:color="808080"/>
            </w:tcBorders>
            <w:shd w:val="clear" w:color="auto" w:fill="FF0000"/>
            <w:noWrap/>
            <w:vAlign w:val="bottom"/>
          </w:tcPr>
          <w:p w:rsidR="0021201E" w:rsidRPr="00D7139C" w:rsidRDefault="0021201E" w:rsidP="00C20D65">
            <w:pPr>
              <w:pStyle w:val="Note"/>
              <w:spacing w:before="4" w:after="4"/>
              <w:jc w:val="center"/>
            </w:pPr>
            <w:r w:rsidRPr="00D7139C">
              <w:t>2</w:t>
            </w:r>
          </w:p>
        </w:tc>
        <w:tc>
          <w:tcPr>
            <w:tcW w:w="3537" w:type="dxa"/>
            <w:tcBorders>
              <w:top w:val="nil"/>
              <w:left w:val="single" w:sz="2" w:space="0" w:color="808080"/>
              <w:bottom w:val="nil"/>
              <w:right w:val="nil"/>
            </w:tcBorders>
            <w:noWrap/>
            <w:vAlign w:val="bottom"/>
          </w:tcPr>
          <w:p w:rsidR="0021201E" w:rsidRPr="00D7139C" w:rsidRDefault="0021201E" w:rsidP="00C20D65">
            <w:pPr>
              <w:pStyle w:val="Note"/>
              <w:spacing w:before="4" w:after="4"/>
            </w:pPr>
            <w:r w:rsidRPr="00D7139C">
              <w:t>Poor quality; needs major work to improve</w:t>
            </w:r>
          </w:p>
        </w:tc>
      </w:tr>
      <w:tr w:rsidR="0021201E" w:rsidRPr="00D7139C" w:rsidTr="00C20D65">
        <w:trPr>
          <w:cantSplit/>
        </w:trPr>
        <w:tc>
          <w:tcPr>
            <w:tcW w:w="467" w:type="dxa"/>
            <w:tcBorders>
              <w:top w:val="single" w:sz="2" w:space="0" w:color="808080"/>
              <w:left w:val="single" w:sz="2" w:space="0" w:color="808080"/>
              <w:bottom w:val="single" w:sz="2" w:space="0" w:color="808080"/>
              <w:right w:val="single" w:sz="2" w:space="0" w:color="808080"/>
            </w:tcBorders>
            <w:shd w:val="clear" w:color="auto" w:fill="FFCC00"/>
            <w:vAlign w:val="bottom"/>
          </w:tcPr>
          <w:p w:rsidR="0021201E" w:rsidRPr="00D7139C" w:rsidRDefault="0021201E" w:rsidP="00C20D65">
            <w:pPr>
              <w:pStyle w:val="Note"/>
              <w:spacing w:before="4" w:after="4"/>
              <w:jc w:val="center"/>
            </w:pPr>
            <w:r w:rsidRPr="00D7139C">
              <w:t>4</w:t>
            </w:r>
          </w:p>
        </w:tc>
        <w:tc>
          <w:tcPr>
            <w:tcW w:w="3479" w:type="dxa"/>
            <w:tcBorders>
              <w:top w:val="nil"/>
              <w:left w:val="single" w:sz="2" w:space="0" w:color="808080"/>
              <w:bottom w:val="nil"/>
              <w:right w:val="single" w:sz="2" w:space="0" w:color="808080"/>
            </w:tcBorders>
            <w:noWrap/>
            <w:vAlign w:val="bottom"/>
          </w:tcPr>
          <w:p w:rsidR="0021201E" w:rsidRPr="00D7139C" w:rsidRDefault="0021201E" w:rsidP="00C20D65">
            <w:pPr>
              <w:pStyle w:val="Note"/>
              <w:spacing w:before="4" w:after="4"/>
            </w:pPr>
            <w:r w:rsidRPr="00D7139C">
              <w:t xml:space="preserve">Adequate quality; </w:t>
            </w:r>
            <w:r>
              <w:t xml:space="preserve">needs </w:t>
            </w:r>
            <w:r w:rsidRPr="00D7139C">
              <w:t>some work to improve</w:t>
            </w:r>
          </w:p>
        </w:tc>
        <w:tc>
          <w:tcPr>
            <w:tcW w:w="455" w:type="dxa"/>
            <w:tcBorders>
              <w:top w:val="single" w:sz="2" w:space="0" w:color="808080"/>
              <w:left w:val="single" w:sz="2" w:space="0" w:color="808080"/>
              <w:bottom w:val="single" w:sz="2" w:space="0" w:color="808080"/>
              <w:right w:val="single" w:sz="2" w:space="0" w:color="808080"/>
            </w:tcBorders>
            <w:shd w:val="clear" w:color="auto" w:fill="FF0000"/>
            <w:noWrap/>
            <w:vAlign w:val="bottom"/>
          </w:tcPr>
          <w:p w:rsidR="0021201E" w:rsidRPr="00D7139C" w:rsidRDefault="0021201E" w:rsidP="00C20D65">
            <w:pPr>
              <w:pStyle w:val="Note"/>
              <w:spacing w:before="4" w:after="4"/>
              <w:jc w:val="center"/>
            </w:pPr>
            <w:r w:rsidRPr="00D7139C">
              <w:t>1</w:t>
            </w:r>
          </w:p>
        </w:tc>
        <w:tc>
          <w:tcPr>
            <w:tcW w:w="3537" w:type="dxa"/>
            <w:tcBorders>
              <w:top w:val="nil"/>
              <w:left w:val="single" w:sz="2" w:space="0" w:color="808080"/>
              <w:bottom w:val="nil"/>
              <w:right w:val="nil"/>
            </w:tcBorders>
            <w:noWrap/>
            <w:vAlign w:val="bottom"/>
          </w:tcPr>
          <w:p w:rsidR="0021201E" w:rsidRPr="00D7139C" w:rsidRDefault="0021201E" w:rsidP="00C20D65">
            <w:pPr>
              <w:pStyle w:val="Note"/>
              <w:spacing w:before="4" w:after="4"/>
            </w:pPr>
            <w:r w:rsidRPr="00D7139C">
              <w:t>Very poor quality; needs major overhaul</w:t>
            </w:r>
          </w:p>
        </w:tc>
      </w:tr>
    </w:tbl>
    <w:p w:rsidR="000134D1" w:rsidRDefault="00923EEE" w:rsidP="00443A52">
      <w:pPr>
        <w:pStyle w:val="Heading2unnumbered"/>
      </w:pPr>
      <w:bookmarkStart w:id="29" w:name="_Toc360984095"/>
      <w:r>
        <w:t xml:space="preserve">Australian </w:t>
      </w:r>
      <w:r w:rsidR="006F4D16">
        <w:t>s</w:t>
      </w:r>
      <w:r w:rsidR="00443A52">
        <w:t>cholarships</w:t>
      </w:r>
      <w:bookmarkEnd w:id="29"/>
    </w:p>
    <w:p w:rsidR="000134D1" w:rsidRDefault="000134D1" w:rsidP="000134D1">
      <w:pPr>
        <w:pStyle w:val="BodyText"/>
      </w:pPr>
      <w:smartTag w:uri="urn:schemas-microsoft-com:office:smarttags" w:element="country-region">
        <w:r>
          <w:t>Australia</w:t>
        </w:r>
      </w:smartTag>
      <w:r>
        <w:t xml:space="preserve"> spent $3.3 million (8.1 per cent of the bilateral program) on scholarships in </w:t>
      </w:r>
      <w:smartTag w:uri="urn:schemas-microsoft-com:office:smarttags" w:element="place">
        <w:smartTag w:uri="urn:schemas-microsoft-com:office:smarttags" w:element="country-region">
          <w:r>
            <w:t>Vanuatu</w:t>
          </w:r>
        </w:smartTag>
      </w:smartTag>
      <w:r>
        <w:t xml:space="preserve"> in </w:t>
      </w:r>
      <w:r w:rsidR="00822F48">
        <w:t>2008</w:t>
      </w:r>
      <w:r>
        <w:t xml:space="preserve">, including the Australian Development Scholarships and the Regional Development Scholarships. The advances in harmonisation and cooperation with </w:t>
      </w:r>
      <w:smartTag w:uri="urn:schemas-microsoft-com:office:smarttags" w:element="place">
        <w:smartTag w:uri="urn:schemas-microsoft-com:office:smarttags" w:element="country-region">
          <w:r>
            <w:t>New Zealand</w:t>
          </w:r>
        </w:smartTag>
      </w:smartTag>
      <w:r>
        <w:t xml:space="preserve"> were sustained in </w:t>
      </w:r>
      <w:r w:rsidR="00822F48">
        <w:t>2008</w:t>
      </w:r>
      <w:r>
        <w:t xml:space="preserve">. The 2009 selection process was carried out jointly with </w:t>
      </w:r>
      <w:r w:rsidR="001F3FCB">
        <w:t>g</w:t>
      </w:r>
      <w:r>
        <w:t xml:space="preserve">overnment and awarded 43 </w:t>
      </w:r>
      <w:r w:rsidR="001F3FCB">
        <w:t>Regional Development Scholarships</w:t>
      </w:r>
      <w:r>
        <w:t xml:space="preserve"> and 15 </w:t>
      </w:r>
      <w:r w:rsidR="001F3FCB">
        <w:t>Australian Development Scholarships</w:t>
      </w:r>
      <w:r>
        <w:t xml:space="preserve"> in disciplines </w:t>
      </w:r>
      <w:r w:rsidR="001F3FCB">
        <w:t>such as</w:t>
      </w:r>
      <w:r>
        <w:t xml:space="preserve"> health </w:t>
      </w:r>
      <w:r w:rsidR="001F3FCB">
        <w:t>and</w:t>
      </w:r>
      <w:r>
        <w:t xml:space="preserve"> public health management, public sector/finance management, tourism</w:t>
      </w:r>
      <w:r w:rsidR="00FB12B6">
        <w:t>,</w:t>
      </w:r>
      <w:r>
        <w:t xml:space="preserve"> rural development</w:t>
      </w:r>
      <w:r w:rsidR="00FB12B6">
        <w:t>,</w:t>
      </w:r>
      <w:r>
        <w:t xml:space="preserve"> town planning, land and resource use management, agriculture, utilities</w:t>
      </w:r>
      <w:r w:rsidR="00FB12B6">
        <w:t>,</w:t>
      </w:r>
      <w:r>
        <w:t xml:space="preserve"> ports/marine</w:t>
      </w:r>
      <w:r w:rsidR="00FB12B6">
        <w:t>,</w:t>
      </w:r>
      <w:r>
        <w:t xml:space="preserve"> aviation and </w:t>
      </w:r>
      <w:r w:rsidR="009E7811">
        <w:t>law</w:t>
      </w:r>
      <w:r>
        <w:t xml:space="preserve">. The joint selection process contributed to improved transparency in the selection of eligible candidates </w:t>
      </w:r>
      <w:r w:rsidR="009E7811">
        <w:t xml:space="preserve">from </w:t>
      </w:r>
      <w:r>
        <w:t>both the private and public sector.</w:t>
      </w:r>
    </w:p>
    <w:p w:rsidR="00794B4D" w:rsidRDefault="000134D1" w:rsidP="000134D1">
      <w:pPr>
        <w:pStyle w:val="BodyText"/>
      </w:pPr>
      <w:r>
        <w:t xml:space="preserve">Success rates </w:t>
      </w:r>
      <w:r w:rsidR="001F3FCB">
        <w:t xml:space="preserve">in 2008 improved </w:t>
      </w:r>
      <w:r>
        <w:t xml:space="preserve">for </w:t>
      </w:r>
      <w:r w:rsidR="001F3FCB">
        <w:t>both scholarships</w:t>
      </w:r>
      <w:r>
        <w:t xml:space="preserve">. </w:t>
      </w:r>
      <w:r w:rsidR="001F3FCB">
        <w:t xml:space="preserve">In 2008, </w:t>
      </w:r>
      <w:r>
        <w:t xml:space="preserve">100 per cent of </w:t>
      </w:r>
      <w:r w:rsidR="009E7811">
        <w:t>Australian Development Scholarships</w:t>
      </w:r>
      <w:r>
        <w:t xml:space="preserve"> </w:t>
      </w:r>
      <w:r w:rsidR="009E7811">
        <w:t xml:space="preserve">recipients </w:t>
      </w:r>
      <w:r>
        <w:t xml:space="preserve">scheduled to graduate were successful, and all have </w:t>
      </w:r>
    </w:p>
    <w:p w:rsidR="000134D1" w:rsidRDefault="000134D1" w:rsidP="000134D1">
      <w:pPr>
        <w:pStyle w:val="BodyText"/>
      </w:pPr>
      <w:proofErr w:type="gramStart"/>
      <w:r>
        <w:lastRenderedPageBreak/>
        <w:t>returned</w:t>
      </w:r>
      <w:proofErr w:type="gramEnd"/>
      <w:r>
        <w:t xml:space="preserve"> to employment in Vanuatu. </w:t>
      </w:r>
      <w:r w:rsidR="009E7811">
        <w:t>T</w:t>
      </w:r>
      <w:r w:rsidR="001F3FCB">
        <w:t>he s</w:t>
      </w:r>
      <w:r>
        <w:t xml:space="preserve">uccess rate for </w:t>
      </w:r>
      <w:r w:rsidR="001F3FCB">
        <w:t>Regional Development Scholarships</w:t>
      </w:r>
      <w:r>
        <w:t xml:space="preserve"> increased to 78 per cent in 2008 (from 63</w:t>
      </w:r>
      <w:r w:rsidR="001F3FCB">
        <w:t> </w:t>
      </w:r>
      <w:r>
        <w:t xml:space="preserve">per cent in 2007). This reflects strengthened arrangements for monitoring students at the University of the South Pacific and improvements in the quality of scholar selection through the new joint processes. Concerns remain about the quality of </w:t>
      </w:r>
      <w:r w:rsidR="009E7811">
        <w:t>the University of the South Pacific’s</w:t>
      </w:r>
      <w:r w:rsidR="001F3FCB">
        <w:t xml:space="preserve"> </w:t>
      </w:r>
      <w:r>
        <w:t xml:space="preserve">graduates. Further, </w:t>
      </w:r>
      <w:proofErr w:type="spellStart"/>
      <w:r>
        <w:t>AusAID</w:t>
      </w:r>
      <w:proofErr w:type="spellEnd"/>
      <w:r>
        <w:t xml:space="preserve"> is concerned that </w:t>
      </w:r>
      <w:r w:rsidR="00FB12B6">
        <w:t xml:space="preserve">student learning </w:t>
      </w:r>
      <w:r>
        <w:t xml:space="preserve">difficulties </w:t>
      </w:r>
      <w:r w:rsidR="00FB12B6">
        <w:t>in</w:t>
      </w:r>
      <w:r>
        <w:t xml:space="preserve"> medicine and other science-based disciplines reflect the weakness of mathematics and science education in </w:t>
      </w:r>
      <w:smartTag w:uri="urn:schemas-microsoft-com:office:smarttags" w:element="country-region">
        <w:r>
          <w:t>Vanuatu</w:t>
        </w:r>
      </w:smartTag>
      <w:r>
        <w:t>’s education system</w:t>
      </w:r>
      <w:r w:rsidR="009E7811">
        <w:t xml:space="preserve">—a problem that has been </w:t>
      </w:r>
      <w:r>
        <w:t>acknowledged in broader analys</w:t>
      </w:r>
      <w:r w:rsidR="009E7811">
        <w:t>e</w:t>
      </w:r>
      <w:r>
        <w:t xml:space="preserve">s of </w:t>
      </w:r>
      <w:smartTag w:uri="urn:schemas-microsoft-com:office:smarttags" w:element="country-region">
        <w:smartTag w:uri="urn:schemas-microsoft-com:office:smarttags" w:element="place">
          <w:r>
            <w:t>Vanuatu</w:t>
          </w:r>
        </w:smartTag>
      </w:smartTag>
      <w:r>
        <w:t xml:space="preserve">’s education sector. While improvements </w:t>
      </w:r>
      <w:r w:rsidR="009E7811">
        <w:t xml:space="preserve">in these areas </w:t>
      </w:r>
      <w:r>
        <w:t xml:space="preserve">will take some time, in the interim </w:t>
      </w:r>
      <w:proofErr w:type="spellStart"/>
      <w:r>
        <w:t>AusAID</w:t>
      </w:r>
      <w:proofErr w:type="spellEnd"/>
      <w:r>
        <w:t xml:space="preserve"> will explore options to provide greater support or additional bridging courses to scholars enrolling in critical science-based studies. </w:t>
      </w:r>
    </w:p>
    <w:p w:rsidR="000134D1" w:rsidRDefault="000134D1" w:rsidP="000134D1">
      <w:pPr>
        <w:pStyle w:val="BodyText"/>
      </w:pPr>
      <w:r>
        <w:t xml:space="preserve">Plans to substantially upgrade monitoring and evaluation of scholarships in 2008 were not fully implemented. With the development of the Vanuatu Education Sector Annual Plan, </w:t>
      </w:r>
      <w:proofErr w:type="spellStart"/>
      <w:r>
        <w:t>AusAID</w:t>
      </w:r>
      <w:proofErr w:type="spellEnd"/>
      <w:r>
        <w:t xml:space="preserve"> agreed with </w:t>
      </w:r>
      <w:r w:rsidR="009E7811">
        <w:t>g</w:t>
      </w:r>
      <w:r>
        <w:t xml:space="preserve">overnment that the long-overdue Tracer Study would be more effectively implemented by the </w:t>
      </w:r>
      <w:r w:rsidR="009E7811">
        <w:t>g</w:t>
      </w:r>
      <w:r>
        <w:t>overnment</w:t>
      </w:r>
      <w:r w:rsidR="009E7811">
        <w:t>’s</w:t>
      </w:r>
      <w:r>
        <w:t xml:space="preserve"> Training and Scholarships Coordination Unit. As a result, the Tracer Study will include multiple donor scholarship programs, and will be carried out later in 2009. </w:t>
      </w:r>
      <w:proofErr w:type="spellStart"/>
      <w:r>
        <w:t>AusAID</w:t>
      </w:r>
      <w:r w:rsidR="009E7811">
        <w:t>’s</w:t>
      </w:r>
      <w:proofErr w:type="spellEnd"/>
      <w:r>
        <w:t xml:space="preserve"> monitoring of </w:t>
      </w:r>
      <w:r w:rsidR="001F3FCB">
        <w:t xml:space="preserve">the </w:t>
      </w:r>
      <w:r>
        <w:t>scholarship</w:t>
      </w:r>
      <w:r w:rsidR="001F3FCB">
        <w:t xml:space="preserve"> program</w:t>
      </w:r>
      <w:r>
        <w:t xml:space="preserve">s continues to be challenged </w:t>
      </w:r>
      <w:r w:rsidR="009E7811">
        <w:t xml:space="preserve">by </w:t>
      </w:r>
      <w:r>
        <w:t xml:space="preserve">the complexities of four separate </w:t>
      </w:r>
      <w:proofErr w:type="spellStart"/>
      <w:r>
        <w:t>AusAID</w:t>
      </w:r>
      <w:proofErr w:type="spellEnd"/>
      <w:r>
        <w:t xml:space="preserve"> databases, incomplete data from Australian institutions and ongoing delays in finalising and resourcing new M&amp;E systems. Resolving these issues depends on </w:t>
      </w:r>
      <w:proofErr w:type="spellStart"/>
      <w:r>
        <w:t>AusAID</w:t>
      </w:r>
      <w:proofErr w:type="spellEnd"/>
      <w:r>
        <w:t xml:space="preserve">-wide action. </w:t>
      </w:r>
    </w:p>
    <w:p w:rsidR="009E7811" w:rsidRDefault="000134D1" w:rsidP="000134D1">
      <w:pPr>
        <w:pStyle w:val="BodyText"/>
      </w:pPr>
      <w:r>
        <w:t xml:space="preserve">Until the Tracer Study is completed it will be impossible to make categorical statements about the impact of scholarships for </w:t>
      </w:r>
      <w:smartTag w:uri="urn:schemas-microsoft-com:office:smarttags" w:element="place">
        <w:smartTag w:uri="urn:schemas-microsoft-com:office:smarttags" w:element="country-region">
          <w:r>
            <w:t>Vanuatu</w:t>
          </w:r>
        </w:smartTag>
      </w:smartTag>
      <w:r>
        <w:t xml:space="preserve">. However, monitoring </w:t>
      </w:r>
      <w:r w:rsidR="009E7811">
        <w:t xml:space="preserve">by the </w:t>
      </w:r>
      <w:proofErr w:type="spellStart"/>
      <w:r w:rsidR="00FB12B6">
        <w:t>AusAID</w:t>
      </w:r>
      <w:proofErr w:type="spellEnd"/>
      <w:r w:rsidR="00FB12B6">
        <w:t xml:space="preserve"> Vanuatu </w:t>
      </w:r>
      <w:r w:rsidR="009E7811">
        <w:t xml:space="preserve">post </w:t>
      </w:r>
      <w:r>
        <w:t xml:space="preserve">indicates </w:t>
      </w:r>
      <w:r w:rsidR="009E7811">
        <w:t xml:space="preserve">that </w:t>
      </w:r>
      <w:r>
        <w:t xml:space="preserve">completion and return rates continue to be high for </w:t>
      </w:r>
      <w:smartTag w:uri="urn:schemas-microsoft-com:office:smarttags" w:element="place">
        <w:smartTag w:uri="urn:schemas-microsoft-com:office:smarttags" w:element="country-region">
          <w:r>
            <w:t>Vanuatu</w:t>
          </w:r>
        </w:smartTag>
      </w:smartTag>
      <w:r>
        <w:t xml:space="preserve"> scholars, and </w:t>
      </w:r>
      <w:r w:rsidR="009E7811">
        <w:t>Training and Scholarships Coordination Unit</w:t>
      </w:r>
      <w:r>
        <w:t xml:space="preserve"> data show consistently strong employment outcomes. </w:t>
      </w:r>
    </w:p>
    <w:p w:rsidR="000134D1" w:rsidRDefault="009E7811" w:rsidP="000134D1">
      <w:pPr>
        <w:pStyle w:val="BodyText"/>
      </w:pPr>
      <w:r>
        <w:t>In 2008,</w:t>
      </w:r>
      <w:r w:rsidR="000134D1">
        <w:t xml:space="preserve"> </w:t>
      </w:r>
      <w:smartTag w:uri="urn:schemas-microsoft-com:office:smarttags" w:element="place">
        <w:smartTag w:uri="urn:schemas-microsoft-com:office:smarttags" w:element="country-region">
          <w:r w:rsidR="000134D1">
            <w:t>Vanuatu</w:t>
          </w:r>
        </w:smartTag>
      </w:smartTag>
      <w:r w:rsidR="000134D1">
        <w:t>’s first Australian Leadership Award PhD scholar</w:t>
      </w:r>
      <w:r>
        <w:t xml:space="preserve"> was</w:t>
      </w:r>
      <w:r w:rsidR="000134D1">
        <w:t xml:space="preserve"> selected, and</w:t>
      </w:r>
      <w:r>
        <w:t xml:space="preserve"> for the </w:t>
      </w:r>
      <w:r w:rsidR="000134D1">
        <w:t xml:space="preserve">first </w:t>
      </w:r>
      <w:r>
        <w:t>time a m</w:t>
      </w:r>
      <w:r w:rsidR="000134D1">
        <w:t xml:space="preserve">ember of </w:t>
      </w:r>
      <w:r>
        <w:t>p</w:t>
      </w:r>
      <w:r w:rsidR="000134D1">
        <w:t xml:space="preserve">arliament </w:t>
      </w:r>
      <w:r>
        <w:t xml:space="preserve">was </w:t>
      </w:r>
      <w:r w:rsidR="000134D1">
        <w:t xml:space="preserve">on </w:t>
      </w:r>
      <w:r>
        <w:t xml:space="preserve">a </w:t>
      </w:r>
      <w:r w:rsidR="000134D1">
        <w:t xml:space="preserve">(part-time) </w:t>
      </w:r>
      <w:r w:rsidR="001F3FCB">
        <w:t>Regional Development Scholarship</w:t>
      </w:r>
      <w:r w:rsidR="000134D1">
        <w:t xml:space="preserve">. </w:t>
      </w:r>
    </w:p>
    <w:p w:rsidR="000134D1" w:rsidRDefault="000134D1" w:rsidP="00076F26">
      <w:pPr>
        <w:pStyle w:val="Heading2unnumbered"/>
      </w:pPr>
      <w:bookmarkStart w:id="30" w:name="_Toc360984096"/>
      <w:r w:rsidRPr="00983CBF">
        <w:t xml:space="preserve">Land </w:t>
      </w:r>
      <w:r w:rsidR="001F3FCB" w:rsidRPr="00983CBF">
        <w:t>r</w:t>
      </w:r>
      <w:r w:rsidRPr="00983CBF">
        <w:t>eform</w:t>
      </w:r>
      <w:bookmarkEnd w:id="30"/>
      <w:r>
        <w:t xml:space="preserve"> </w:t>
      </w:r>
    </w:p>
    <w:p w:rsidR="000A5851" w:rsidRDefault="000134D1" w:rsidP="000134D1">
      <w:pPr>
        <w:pStyle w:val="BodyText"/>
      </w:pPr>
      <w:proofErr w:type="spellStart"/>
      <w:r>
        <w:t>AusAID</w:t>
      </w:r>
      <w:proofErr w:type="spellEnd"/>
      <w:r>
        <w:t xml:space="preserve"> began providing support in </w:t>
      </w:r>
      <w:smartTag w:uri="urn:schemas-microsoft-com:office:smarttags" w:element="place">
        <w:smartTag w:uri="urn:schemas-microsoft-com:office:smarttags" w:element="country-region">
          <w:r w:rsidR="000A5851">
            <w:t>Vanuatu</w:t>
          </w:r>
        </w:smartTag>
      </w:smartTag>
      <w:r w:rsidR="000A5851">
        <w:t xml:space="preserve">’s </w:t>
      </w:r>
      <w:r>
        <w:t xml:space="preserve">land sector in 2006. Land issues are central to almost every aspect of life in </w:t>
      </w:r>
      <w:smartTag w:uri="urn:schemas-microsoft-com:office:smarttags" w:element="place">
        <w:smartTag w:uri="urn:schemas-microsoft-com:office:smarttags" w:element="country-region">
          <w:r>
            <w:t>Vanuatu</w:t>
          </w:r>
        </w:smartTag>
      </w:smartTag>
      <w:r>
        <w:t xml:space="preserve">, including government and private sector operations. Rapid leasing and development of coastal land on the main islands of Efate and Santo (90 per cent of coastal land on Efate is leased, up from 20 per cent in 2002) </w:t>
      </w:r>
      <w:r w:rsidR="000A5851">
        <w:t xml:space="preserve">have </w:t>
      </w:r>
      <w:r>
        <w:t>been key driver</w:t>
      </w:r>
      <w:r w:rsidR="000A5851">
        <w:t>s</w:t>
      </w:r>
      <w:r>
        <w:t xml:space="preserve"> of </w:t>
      </w:r>
      <w:smartTag w:uri="urn:schemas-microsoft-com:office:smarttags" w:element="place">
        <w:smartTag w:uri="urn:schemas-microsoft-com:office:smarttags" w:element="country-region">
          <w:r>
            <w:t>Vanuatu</w:t>
          </w:r>
        </w:smartTag>
      </w:smartTag>
      <w:r>
        <w:t xml:space="preserve">’s recent economic growth. But </w:t>
      </w:r>
      <w:r w:rsidR="00983CBF">
        <w:t xml:space="preserve">because of </w:t>
      </w:r>
      <w:r>
        <w:t xml:space="preserve">weaknesses in </w:t>
      </w:r>
      <w:smartTag w:uri="urn:schemas-microsoft-com:office:smarttags" w:element="place">
        <w:smartTag w:uri="urn:schemas-microsoft-com:office:smarttags" w:element="country-region">
          <w:r>
            <w:t>Vanuatu</w:t>
          </w:r>
        </w:smartTag>
      </w:smartTag>
      <w:r>
        <w:t>’s land administration</w:t>
      </w:r>
      <w:r w:rsidR="00983CBF">
        <w:t>,</w:t>
      </w:r>
      <w:r>
        <w:t xml:space="preserve"> land dealings have often been inequitable, creating and exacerbating conflict and depriving </w:t>
      </w:r>
      <w:proofErr w:type="spellStart"/>
      <w:r>
        <w:t>kastom</w:t>
      </w:r>
      <w:proofErr w:type="spellEnd"/>
      <w:r>
        <w:t xml:space="preserve"> owners. </w:t>
      </w:r>
      <w:smartTag w:uri="urn:schemas-microsoft-com:office:smarttags" w:element="place">
        <w:smartTag w:uri="urn:schemas-microsoft-com:office:smarttags" w:element="country-region">
          <w:r>
            <w:t>Vanuatu</w:t>
          </w:r>
        </w:smartTag>
      </w:smartTag>
      <w:r>
        <w:t xml:space="preserve">’s future development is dependent on successfully reforming the sector for the benefit of </w:t>
      </w:r>
      <w:proofErr w:type="spellStart"/>
      <w:r>
        <w:t>ni</w:t>
      </w:r>
      <w:proofErr w:type="spellEnd"/>
      <w:r>
        <w:t xml:space="preserve">-Vanuatu. </w:t>
      </w:r>
    </w:p>
    <w:p w:rsidR="000134D1" w:rsidRDefault="000134D1" w:rsidP="000134D1">
      <w:pPr>
        <w:pStyle w:val="BodyText"/>
      </w:pPr>
      <w:r>
        <w:t xml:space="preserve">Working in close partnership with the National Land Steering Committee, </w:t>
      </w:r>
      <w:proofErr w:type="spellStart"/>
      <w:r>
        <w:t>AusAID</w:t>
      </w:r>
      <w:proofErr w:type="spellEnd"/>
      <w:r>
        <w:t xml:space="preserve"> funded a series of short-term reform initiatives in 2008 that achieved some important results: </w:t>
      </w:r>
    </w:p>
    <w:p w:rsidR="000134D1" w:rsidRDefault="000134D1" w:rsidP="000A5851">
      <w:pPr>
        <w:pStyle w:val="ListBullet"/>
      </w:pPr>
      <w:r>
        <w:t xml:space="preserve">The Government of Vanuatu has taken concrete steps to address its main weakness in land management: enforcement. Demonstrating its commitment to reform, the Department of Land has made temporary, project-employed Land Lease Compliance Officers into permanent </w:t>
      </w:r>
      <w:r w:rsidR="000A5851">
        <w:t>g</w:t>
      </w:r>
      <w:r>
        <w:t>overnment staff, resulting in a 200 per cent increase in enforcement capacity. Improved enforcement has the potential to increase revenue significantly.</w:t>
      </w:r>
    </w:p>
    <w:p w:rsidR="000134D1" w:rsidRDefault="000134D1" w:rsidP="000A5851">
      <w:pPr>
        <w:pStyle w:val="ListBullet"/>
      </w:pPr>
      <w:r>
        <w:lastRenderedPageBreak/>
        <w:t xml:space="preserve">For the first time there is better understanding </w:t>
      </w:r>
      <w:r w:rsidR="00CC69A1">
        <w:t xml:space="preserve">in the Department of Lands </w:t>
      </w:r>
      <w:r>
        <w:t xml:space="preserve">of land lease compliance. </w:t>
      </w:r>
      <w:proofErr w:type="spellStart"/>
      <w:r>
        <w:t>AusAID</w:t>
      </w:r>
      <w:proofErr w:type="spellEnd"/>
      <w:r>
        <w:t>-funded investigations show that compliance is approximately 70 per cent</w:t>
      </w:r>
      <w:r w:rsidR="001E0C82">
        <w:t>;</w:t>
      </w:r>
      <w:r w:rsidR="000A5851">
        <w:t xml:space="preserve"> </w:t>
      </w:r>
      <w:r>
        <w:t xml:space="preserve">non-payment of rent </w:t>
      </w:r>
      <w:r w:rsidR="000A5851">
        <w:t xml:space="preserve">is </w:t>
      </w:r>
      <w:r>
        <w:t xml:space="preserve">the main reason leaseholders are in breach of their leases. </w:t>
      </w:r>
    </w:p>
    <w:p w:rsidR="000134D1" w:rsidRDefault="000134D1" w:rsidP="000A5851">
      <w:pPr>
        <w:pStyle w:val="ListBullet"/>
      </w:pPr>
      <w:proofErr w:type="spellStart"/>
      <w:r>
        <w:t>Luganville</w:t>
      </w:r>
      <w:proofErr w:type="spellEnd"/>
      <w:r>
        <w:t xml:space="preserve"> (</w:t>
      </w:r>
      <w:smartTag w:uri="urn:schemas-microsoft-com:office:smarttags" w:element="place">
        <w:smartTag w:uri="urn:schemas-microsoft-com:office:smarttags" w:element="country-region">
          <w:r>
            <w:t>Vanuatu</w:t>
          </w:r>
        </w:smartTag>
      </w:smartTag>
      <w:r>
        <w:t xml:space="preserve">’s second city) now has a </w:t>
      </w:r>
      <w:r w:rsidR="000A5851">
        <w:t>z</w:t>
      </w:r>
      <w:r>
        <w:t xml:space="preserve">oning </w:t>
      </w:r>
      <w:r w:rsidR="000A5851">
        <w:t>p</w:t>
      </w:r>
      <w:r>
        <w:t xml:space="preserve">lan. </w:t>
      </w:r>
    </w:p>
    <w:p w:rsidR="000134D1" w:rsidRDefault="000134D1" w:rsidP="000A5851">
      <w:pPr>
        <w:pStyle w:val="ListBullet"/>
      </w:pPr>
      <w:smartTag w:uri="urn:schemas-microsoft-com:office:smarttags" w:element="place">
        <w:smartTag w:uri="urn:schemas-microsoft-com:office:smarttags" w:element="country-region">
          <w:r>
            <w:t>Vanuatu</w:t>
          </w:r>
        </w:smartTag>
      </w:smartTag>
      <w:r>
        <w:t xml:space="preserve"> now has a draft National Land Sector Framework which will guide sector reform. </w:t>
      </w:r>
    </w:p>
    <w:p w:rsidR="000134D1" w:rsidRDefault="000134D1" w:rsidP="000134D1">
      <w:pPr>
        <w:pStyle w:val="BodyText"/>
      </w:pPr>
      <w:r>
        <w:t xml:space="preserve">A long-term Vanuatu Land Program will start in 2009. </w:t>
      </w:r>
      <w:r w:rsidR="001E0C82">
        <w:t xml:space="preserve">In </w:t>
      </w:r>
      <w:r>
        <w:t xml:space="preserve">a major advance in donor cooperation in </w:t>
      </w:r>
      <w:smartTag w:uri="urn:schemas-microsoft-com:office:smarttags" w:element="place">
        <w:smartTag w:uri="urn:schemas-microsoft-com:office:smarttags" w:element="country-region">
          <w:r>
            <w:t>Vanuatu</w:t>
          </w:r>
        </w:smartTag>
      </w:smartTag>
      <w:r>
        <w:t xml:space="preserve">, </w:t>
      </w:r>
      <w:proofErr w:type="spellStart"/>
      <w:r>
        <w:t>AusAID</w:t>
      </w:r>
      <w:proofErr w:type="spellEnd"/>
      <w:r>
        <w:t xml:space="preserve"> and NZAID will jointly engage a single managing contractor to implement their respective program designs under the leadership of the National Land Steering Committee. There are sensitivities associated with donor involvement in the land sector in </w:t>
      </w:r>
      <w:smartTag w:uri="urn:schemas-microsoft-com:office:smarttags" w:element="place">
        <w:smartTag w:uri="urn:schemas-microsoft-com:office:smarttags" w:element="country-region">
          <w:r>
            <w:t>Vanuatu</w:t>
          </w:r>
        </w:smartTag>
      </w:smartTag>
      <w:r>
        <w:t xml:space="preserve">. </w:t>
      </w:r>
      <w:proofErr w:type="spellStart"/>
      <w:r>
        <w:t>AusAID</w:t>
      </w:r>
      <w:proofErr w:type="spellEnd"/>
      <w:r>
        <w:t xml:space="preserve"> will </w:t>
      </w:r>
      <w:r w:rsidR="001E0C82">
        <w:t xml:space="preserve">therefore </w:t>
      </w:r>
      <w:r>
        <w:t xml:space="preserve">need to undertake ongoing public communication activities, maintain a close dialogue with </w:t>
      </w:r>
      <w:r w:rsidR="000A5851">
        <w:t>g</w:t>
      </w:r>
      <w:r>
        <w:t xml:space="preserve">overnment, and carefully manage the operations of the contractor and </w:t>
      </w:r>
      <w:r w:rsidR="000A5851">
        <w:t xml:space="preserve">the contractor’s </w:t>
      </w:r>
      <w:r>
        <w:t xml:space="preserve">advisers. This will require appropriate resources. </w:t>
      </w:r>
    </w:p>
    <w:p w:rsidR="000134D1" w:rsidRDefault="000134D1" w:rsidP="00076F26">
      <w:pPr>
        <w:pStyle w:val="Heading2unnumbered"/>
      </w:pPr>
      <w:bookmarkStart w:id="31" w:name="_Toc360984097"/>
      <w:r>
        <w:t xml:space="preserve">Forms of </w:t>
      </w:r>
      <w:r w:rsidR="000A5851">
        <w:t>a</w:t>
      </w:r>
      <w:r>
        <w:t>id</w:t>
      </w:r>
      <w:bookmarkEnd w:id="31"/>
      <w:r>
        <w:t xml:space="preserve"> </w:t>
      </w:r>
    </w:p>
    <w:p w:rsidR="000134D1" w:rsidRDefault="000A5851" w:rsidP="000134D1">
      <w:pPr>
        <w:pStyle w:val="BodyText"/>
      </w:pPr>
      <w:r>
        <w:t>The aid program’s e</w:t>
      </w:r>
      <w:r w:rsidR="000134D1">
        <w:t xml:space="preserve">xperience </w:t>
      </w:r>
      <w:r w:rsidR="000134D1" w:rsidRPr="001E0C82">
        <w:t xml:space="preserve">over the </w:t>
      </w:r>
      <w:r w:rsidR="001E0C82">
        <w:t>p</w:t>
      </w:r>
      <w:r w:rsidR="000134D1" w:rsidRPr="001E0C82">
        <w:t>ast year</w:t>
      </w:r>
      <w:r w:rsidR="000134D1">
        <w:t xml:space="preserve"> continued to highlight the connection between the quality of </w:t>
      </w:r>
      <w:smartTag w:uri="urn:schemas-microsoft-com:office:smarttags" w:element="country-region">
        <w:smartTag w:uri="urn:schemas-microsoft-com:office:smarttags" w:element="place">
          <w:r w:rsidR="000134D1">
            <w:t>Vanuatu</w:t>
          </w:r>
        </w:smartTag>
      </w:smartTag>
      <w:r w:rsidR="000134D1">
        <w:t xml:space="preserve">’s leadership in a sector and the depth and sophistication of the dialogue </w:t>
      </w:r>
      <w:proofErr w:type="spellStart"/>
      <w:r w:rsidR="000134D1">
        <w:t>AusAID</w:t>
      </w:r>
      <w:proofErr w:type="spellEnd"/>
      <w:r w:rsidR="000134D1">
        <w:t xml:space="preserve"> can have in that sector. By extension, this also fundamentally influences the effectiveness of </w:t>
      </w:r>
      <w:smartTag w:uri="urn:schemas-microsoft-com:office:smarttags" w:element="place">
        <w:smartTag w:uri="urn:schemas-microsoft-com:office:smarttags" w:element="country-region">
          <w:r w:rsidR="000134D1">
            <w:t>Australia</w:t>
          </w:r>
        </w:smartTag>
      </w:smartTag>
      <w:r w:rsidR="000134D1">
        <w:t xml:space="preserve">’s assistance in </w:t>
      </w:r>
      <w:r>
        <w:t xml:space="preserve">a </w:t>
      </w:r>
      <w:r w:rsidR="000134D1">
        <w:t xml:space="preserve">sector. Where leadership is strong, </w:t>
      </w:r>
      <w:r w:rsidR="001E0C82">
        <w:t xml:space="preserve">Australian </w:t>
      </w:r>
      <w:r w:rsidR="000134D1">
        <w:t xml:space="preserve">assistance is proving far more </w:t>
      </w:r>
      <w:r w:rsidR="001E0C82">
        <w:t>effective—</w:t>
      </w:r>
      <w:r w:rsidR="000134D1">
        <w:t xml:space="preserve">such as in telecommunications, education and public financial management. In response to the differences </w:t>
      </w:r>
      <w:r w:rsidR="001E0C82">
        <w:t>between</w:t>
      </w:r>
      <w:r w:rsidR="000134D1">
        <w:t xml:space="preserve"> sectors, the </w:t>
      </w:r>
      <w:smartTag w:uri="urn:schemas-microsoft-com:office:smarttags" w:element="place">
        <w:smartTag w:uri="urn:schemas-microsoft-com:office:smarttags" w:element="country-region">
          <w:r w:rsidR="000134D1">
            <w:t>Vanuatu</w:t>
          </w:r>
        </w:smartTag>
      </w:smartTag>
      <w:r w:rsidR="000134D1">
        <w:t xml:space="preserve"> program continued to use a wide range of delivery mechanisms for implementation. The DAC Peer Review commented: </w:t>
      </w:r>
      <w:r>
        <w:t>‘</w:t>
      </w:r>
      <w:proofErr w:type="spellStart"/>
      <w:r w:rsidR="000134D1">
        <w:t>AusAID</w:t>
      </w:r>
      <w:proofErr w:type="spellEnd"/>
      <w:r w:rsidR="000134D1">
        <w:t xml:space="preserve"> </w:t>
      </w:r>
      <w:smartTag w:uri="urn:schemas-microsoft-com:office:smarttags" w:element="place">
        <w:smartTag w:uri="urn:schemas-microsoft-com:office:smarttags" w:element="country-region">
          <w:r w:rsidR="000134D1">
            <w:t>Vanuatu</w:t>
          </w:r>
        </w:smartTag>
      </w:smartTag>
      <w:r w:rsidR="000134D1">
        <w:t xml:space="preserve"> also selects the best way to implement the programme from a wide range of approaches, taking account of the needs and capacity of its partners. This pragmatic approach is highly appreciated by all government and donor partners and is appropriate in Vanuatu‘s evolving situation</w:t>
      </w:r>
      <w:r>
        <w:t>’</w:t>
      </w:r>
      <w:r w:rsidR="000134D1">
        <w:t xml:space="preserve">. </w:t>
      </w:r>
    </w:p>
    <w:p w:rsidR="000134D1" w:rsidRDefault="000134D1" w:rsidP="000134D1">
      <w:pPr>
        <w:pStyle w:val="BodyText"/>
      </w:pPr>
      <w:r>
        <w:t xml:space="preserve">The aid program in </w:t>
      </w:r>
      <w:smartTag w:uri="urn:schemas-microsoft-com:office:smarttags" w:element="place">
        <w:smartTag w:uri="urn:schemas-microsoft-com:office:smarttags" w:element="country-region">
          <w:r>
            <w:t>Vanuatu</w:t>
          </w:r>
        </w:smartTag>
      </w:smartTag>
      <w:r>
        <w:t xml:space="preserve"> strives to minimise the use of intern</w:t>
      </w:r>
      <w:r w:rsidRPr="001E0C82">
        <w:t>ational technical assistance. How</w:t>
      </w:r>
      <w:r>
        <w:t xml:space="preserve">ever, with many elements of the program in the development, pilot and establishment stages, there is a continuing place for </w:t>
      </w:r>
      <w:r w:rsidR="000A5851">
        <w:t xml:space="preserve">such assistance </w:t>
      </w:r>
      <w:r>
        <w:t xml:space="preserve">in the mix. This also means there is a sizeable </w:t>
      </w:r>
      <w:r w:rsidR="001E0C82">
        <w:t>technical assistance</w:t>
      </w:r>
      <w:r>
        <w:t xml:space="preserve"> procurement and contracting load. </w:t>
      </w:r>
      <w:proofErr w:type="spellStart"/>
      <w:r w:rsidR="001E0C82">
        <w:t>AusAID</w:t>
      </w:r>
      <w:proofErr w:type="spellEnd"/>
      <w:r w:rsidR="001E0C82">
        <w:t xml:space="preserve"> </w:t>
      </w:r>
      <w:r>
        <w:t>anticipate</w:t>
      </w:r>
      <w:r w:rsidR="001E0C82">
        <w:t>s</w:t>
      </w:r>
      <w:r>
        <w:t xml:space="preserve"> that for the </w:t>
      </w:r>
      <w:r w:rsidR="0068073C">
        <w:t xml:space="preserve">next </w:t>
      </w:r>
      <w:r>
        <w:t xml:space="preserve">two years this will continue to be the case, as education and health sector programs develop, and as </w:t>
      </w:r>
      <w:r w:rsidR="00D72DD0">
        <w:t xml:space="preserve">the </w:t>
      </w:r>
      <w:proofErr w:type="spellStart"/>
      <w:r>
        <w:t>GfG</w:t>
      </w:r>
      <w:proofErr w:type="spellEnd"/>
      <w:r>
        <w:t xml:space="preserve"> </w:t>
      </w:r>
      <w:r w:rsidR="00D72DD0">
        <w:t xml:space="preserve">program </w:t>
      </w:r>
      <w:r>
        <w:t>continues to support new and continuing reform efforts and new initiatives in infrastructure.</w:t>
      </w:r>
      <w:r w:rsidR="00C20D65">
        <w:t xml:space="preserve"> </w:t>
      </w:r>
    </w:p>
    <w:p w:rsidR="000134D1" w:rsidRDefault="000134D1" w:rsidP="000134D1">
      <w:pPr>
        <w:pStyle w:val="BodyText"/>
      </w:pPr>
      <w:r>
        <w:t xml:space="preserve">The move away from using contractors to procure and manage </w:t>
      </w:r>
      <w:r w:rsidR="001E0C82">
        <w:t>technical assistance</w:t>
      </w:r>
      <w:r>
        <w:t xml:space="preserve"> has given </w:t>
      </w:r>
      <w:proofErr w:type="spellStart"/>
      <w:r>
        <w:t>AusAID</w:t>
      </w:r>
      <w:proofErr w:type="spellEnd"/>
      <w:r>
        <w:t xml:space="preserve"> valuable increased engagement in the application of </w:t>
      </w:r>
      <w:r w:rsidR="001E0C82">
        <w:t>these</w:t>
      </w:r>
      <w:r>
        <w:t xml:space="preserve"> resources. However, </w:t>
      </w:r>
      <w:r w:rsidR="000A5851">
        <w:t xml:space="preserve">the </w:t>
      </w:r>
      <w:proofErr w:type="spellStart"/>
      <w:r>
        <w:t>GfG</w:t>
      </w:r>
      <w:proofErr w:type="spellEnd"/>
      <w:r>
        <w:t xml:space="preserve"> </w:t>
      </w:r>
      <w:r w:rsidR="000A5851">
        <w:t xml:space="preserve">program’s </w:t>
      </w:r>
      <w:r>
        <w:t>experie</w:t>
      </w:r>
      <w:r w:rsidRPr="001E0C82">
        <w:t xml:space="preserve">nce over the </w:t>
      </w:r>
      <w:r w:rsidR="001E0C82">
        <w:t>p</w:t>
      </w:r>
      <w:r w:rsidRPr="001E0C82">
        <w:t>ast year has high</w:t>
      </w:r>
      <w:r>
        <w:t xml:space="preserve">lighted the importance of ensuring that advisers engaged through diverse mechanisms still form a coherent team. This lesson is valuable for other sectors of the program as they </w:t>
      </w:r>
      <w:r w:rsidR="009F04E9">
        <w:t xml:space="preserve">also </w:t>
      </w:r>
      <w:r w:rsidRPr="007F3C6B">
        <w:t>increasingly</w:t>
      </w:r>
      <w:r>
        <w:t xml:space="preserve"> select advisers individually. </w:t>
      </w:r>
      <w:proofErr w:type="spellStart"/>
      <w:r>
        <w:t>AusAID</w:t>
      </w:r>
      <w:proofErr w:type="spellEnd"/>
      <w:r>
        <w:t xml:space="preserve"> is also </w:t>
      </w:r>
      <w:r w:rsidR="009F04E9">
        <w:t>enlarging</w:t>
      </w:r>
      <w:r>
        <w:t xml:space="preserve"> the proportion of </w:t>
      </w:r>
      <w:r w:rsidR="001E0C82">
        <w:t>technical assistance</w:t>
      </w:r>
      <w:r>
        <w:t xml:space="preserve"> that is contracted and managed directly by </w:t>
      </w:r>
      <w:r w:rsidR="000A5851">
        <w:t>g</w:t>
      </w:r>
      <w:r>
        <w:t xml:space="preserve">overnment, furthering the realisation of Paris Declaration goals. In </w:t>
      </w:r>
      <w:r w:rsidR="00822F48">
        <w:t>2008</w:t>
      </w:r>
      <w:r>
        <w:t xml:space="preserve">, 21 per cent of the </w:t>
      </w:r>
      <w:r w:rsidR="001E0C82">
        <w:t>technical assistance</w:t>
      </w:r>
      <w:r>
        <w:t xml:space="preserve"> in the GfG program was managed in this way. </w:t>
      </w:r>
    </w:p>
    <w:p w:rsidR="00794B4D" w:rsidRDefault="000134D1" w:rsidP="000134D1">
      <w:pPr>
        <w:pStyle w:val="BodyText"/>
      </w:pPr>
      <w:r>
        <w:t xml:space="preserve">Donor coordination in </w:t>
      </w:r>
      <w:smartTag w:uri="urn:schemas-microsoft-com:office:smarttags" w:element="place">
        <w:smartTag w:uri="urn:schemas-microsoft-com:office:smarttags" w:element="country-region">
          <w:r>
            <w:t>Vanuatu</w:t>
          </w:r>
        </w:smartTag>
      </w:smartTag>
      <w:r>
        <w:t xml:space="preserve"> continues to be largely dependent on donors taking the initiative to change, although this varies considerably between sectors. AusAID dialogue with its partners was noted by the DAC Peer Review as </w:t>
      </w:r>
      <w:r w:rsidR="000A5851">
        <w:t>‘</w:t>
      </w:r>
      <w:r>
        <w:t>open and direct</w:t>
      </w:r>
      <w:r w:rsidR="000A5851">
        <w:t>’</w:t>
      </w:r>
      <w:r>
        <w:t xml:space="preserve">, making AusAID </w:t>
      </w:r>
      <w:r w:rsidR="000A5851">
        <w:t>‘</w:t>
      </w:r>
      <w:r>
        <w:t>an active and constructive partner in the donor community</w:t>
      </w:r>
      <w:r w:rsidR="000A5851">
        <w:t>’</w:t>
      </w:r>
      <w:r>
        <w:t>. This i</w:t>
      </w:r>
      <w:r w:rsidRPr="0068073C">
        <w:t>s paying dividends in</w:t>
      </w:r>
      <w:r>
        <w:t xml:space="preserve"> terms of </w:t>
      </w:r>
    </w:p>
    <w:p w:rsidR="00754F6D" w:rsidRDefault="000134D1" w:rsidP="007E31D9">
      <w:pPr>
        <w:pStyle w:val="BodyText"/>
      </w:pPr>
      <w:proofErr w:type="gramStart"/>
      <w:r>
        <w:lastRenderedPageBreak/>
        <w:t>increased</w:t>
      </w:r>
      <w:proofErr w:type="gramEnd"/>
      <w:r>
        <w:t xml:space="preserve"> cooperation in </w:t>
      </w:r>
      <w:r w:rsidR="0068073C">
        <w:t xml:space="preserve">the </w:t>
      </w:r>
      <w:r>
        <w:t xml:space="preserve">land </w:t>
      </w:r>
      <w:r w:rsidR="0068073C">
        <w:t xml:space="preserve">sector </w:t>
      </w:r>
      <w:r>
        <w:t xml:space="preserve">(with NZAID) and </w:t>
      </w:r>
      <w:r w:rsidR="0068073C">
        <w:t xml:space="preserve">in </w:t>
      </w:r>
      <w:r>
        <w:t xml:space="preserve">the productive sectors (with NZAID and the </w:t>
      </w:r>
      <w:r w:rsidR="000A5851">
        <w:t>European Union</w:t>
      </w:r>
      <w:r>
        <w:t xml:space="preserve">). In education the government is increasingly taking a lead, assisted by the Education Partners Group and the focus of major partners on the move towards a program-based approach. However, there are no formal mechanisms in other sectors, and government-wide coordination mechanisms remain nascent. The recent restructuring of aid coordination mechanisms in </w:t>
      </w:r>
      <w:r w:rsidR="00A958AE">
        <w:t>g</w:t>
      </w:r>
      <w:r>
        <w:t xml:space="preserve">overnment, assisted by AusAID, may enable more coordinated government leadership of its development partners, but this is likely to take some time to substantially change the operating environment for donors. </w:t>
      </w:r>
    </w:p>
    <w:sectPr w:rsidR="00754F6D" w:rsidSect="006762E5">
      <w:headerReference w:type="even" r:id="rId18"/>
      <w:footerReference w:type="even" r:id="rId19"/>
      <w:footerReference w:type="default" r:id="rId20"/>
      <w:pgSz w:w="11907" w:h="16840" w:code="9"/>
      <w:pgMar w:top="2381" w:right="1985" w:bottom="851" w:left="1985" w:header="851" w:footer="34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7A04" w:rsidRDefault="00A17A04">
      <w:r>
        <w:separator/>
      </w:r>
    </w:p>
  </w:endnote>
  <w:endnote w:type="continuationSeparator" w:id="0">
    <w:p w:rsidR="00A17A04" w:rsidRDefault="00A17A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Franklin Gothic Medium">
    <w:panose1 w:val="020B06030201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Bold">
    <w:altName w:val="Arial"/>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3C6B" w:rsidRPr="00AD612A" w:rsidRDefault="007F3C6B">
    <w:pPr>
      <w:pStyle w:val="Footer"/>
    </w:pPr>
    <w:r>
      <w:rPr>
        <w:rStyle w:val="PageNumber"/>
      </w:rPr>
      <w:fldChar w:fldCharType="begin"/>
    </w:r>
    <w:r>
      <w:rPr>
        <w:rStyle w:val="PageNumber"/>
      </w:rPr>
      <w:instrText xml:space="preserve"> PAGE </w:instrText>
    </w:r>
    <w:r>
      <w:rPr>
        <w:rStyle w:val="PageNumber"/>
      </w:rPr>
      <w:fldChar w:fldCharType="separate"/>
    </w:r>
    <w:r w:rsidR="000F0A60">
      <w:rPr>
        <w:rStyle w:val="PageNumber"/>
        <w:noProof/>
      </w:rPr>
      <w:t>6</w:t>
    </w:r>
    <w:r>
      <w:rPr>
        <w:rStyle w:val="PageNumber"/>
      </w:rPr>
      <w:fldChar w:fldCharType="end"/>
    </w:r>
    <w:r w:rsidRPr="007C1ECE">
      <w:tab/>
    </w:r>
    <w:r w:rsidRPr="00592A83">
      <w:rPr>
        <w:rFonts w:cs="Arial"/>
      </w:rPr>
      <w:fldChar w:fldCharType="begin"/>
    </w:r>
    <w:r w:rsidRPr="00592A83">
      <w:rPr>
        <w:rFonts w:cs="Arial"/>
      </w:rPr>
      <w:instrText xml:space="preserve"> STYLEREF Title \* MERGEFORMAT </w:instrText>
    </w:r>
    <w:r w:rsidRPr="00592A83">
      <w:rPr>
        <w:rFonts w:cs="Arial"/>
      </w:rPr>
      <w:fldChar w:fldCharType="separate"/>
    </w:r>
    <w:r w:rsidR="000F0A60">
      <w:rPr>
        <w:rFonts w:cs="Arial"/>
        <w:noProof/>
      </w:rPr>
      <w:t>Annual program performance report: Vanuatu 2008</w:t>
    </w:r>
    <w:r w:rsidRPr="00592A83">
      <w:rPr>
        <w:rFonts w:cs="Arial"/>
      </w:rPr>
      <w:fldChar w:fldCharType="end"/>
    </w:r>
    <w:r>
      <w:tab/>
    </w:r>
    <w:r w:rsidRPr="007A2D4A">
      <w:rPr>
        <w:color w:val="99988B"/>
      </w:rPr>
      <w:t>www.ausaid.gov.au</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3C6B" w:rsidRPr="001260C2" w:rsidRDefault="007F3C6B" w:rsidP="001260C2">
    <w:pPr>
      <w:pStyle w:val="Footer"/>
    </w:pPr>
    <w:r>
      <w:tab/>
    </w:r>
    <w:r w:rsidRPr="007A2D4A">
      <w:rPr>
        <w:color w:val="99988B"/>
      </w:rPr>
      <w:t>www.ausaid.gov.au</w:t>
    </w:r>
    <w:r>
      <w:tab/>
    </w:r>
    <w:r w:rsidRPr="00592A83">
      <w:rPr>
        <w:rFonts w:cs="Arial"/>
      </w:rPr>
      <w:fldChar w:fldCharType="begin"/>
    </w:r>
    <w:r w:rsidRPr="00592A83">
      <w:rPr>
        <w:rFonts w:cs="Arial"/>
      </w:rPr>
      <w:instrText xml:space="preserve"> STYLEREF Title \* MERGEFORMAT </w:instrText>
    </w:r>
    <w:r w:rsidRPr="00592A83">
      <w:rPr>
        <w:rFonts w:cs="Arial"/>
      </w:rPr>
      <w:fldChar w:fldCharType="separate"/>
    </w:r>
    <w:r w:rsidR="000F0A60">
      <w:rPr>
        <w:rFonts w:cs="Arial"/>
        <w:noProof/>
      </w:rPr>
      <w:t>Annual program performance report: Vanuatu 2008</w:t>
    </w:r>
    <w:r w:rsidRPr="00592A83">
      <w:rPr>
        <w:rFonts w:cs="Arial"/>
      </w:rPr>
      <w:fldChar w:fldCharType="end"/>
    </w:r>
    <w:r>
      <w:rPr>
        <w:rStyle w:val="PageNumber"/>
      </w:rPr>
      <w:tab/>
    </w:r>
    <w:r>
      <w:rPr>
        <w:rStyle w:val="PageNumber"/>
      </w:rPr>
      <w:fldChar w:fldCharType="begin"/>
    </w:r>
    <w:r>
      <w:rPr>
        <w:rStyle w:val="PageNumber"/>
      </w:rPr>
      <w:instrText xml:space="preserve"> PAGE </w:instrText>
    </w:r>
    <w:r>
      <w:rPr>
        <w:rStyle w:val="PageNumber"/>
      </w:rPr>
      <w:fldChar w:fldCharType="separate"/>
    </w:r>
    <w:r w:rsidR="000F0A60">
      <w:rPr>
        <w:rStyle w:val="PageNumber"/>
        <w:noProof/>
      </w:rPr>
      <w:t>5</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7A04" w:rsidRDefault="00A17A04" w:rsidP="00D62AA4">
      <w:pPr>
        <w:spacing w:before="60" w:after="40" w:line="180" w:lineRule="exact"/>
      </w:pPr>
      <w:r>
        <w:continuationSeparator/>
      </w:r>
    </w:p>
  </w:footnote>
  <w:footnote w:type="continuationSeparator" w:id="0">
    <w:p w:rsidR="00A17A04" w:rsidRDefault="00A17A04">
      <w:r>
        <w:continuationSeparator/>
      </w:r>
    </w:p>
  </w:footnote>
  <w:footnote w:type="continuationNotice" w:id="1">
    <w:p w:rsidR="00A17A04" w:rsidRDefault="00A17A04"/>
  </w:footnote>
  <w:footnote w:id="2">
    <w:p w:rsidR="007F3C6B" w:rsidRPr="003A39F2" w:rsidRDefault="007F3C6B">
      <w:pPr>
        <w:pStyle w:val="FootnoteText"/>
      </w:pPr>
      <w:r>
        <w:rPr>
          <w:rStyle w:val="FootnoteReference"/>
        </w:rPr>
        <w:footnoteRef/>
      </w:r>
      <w:r>
        <w:t xml:space="preserve"> </w:t>
      </w:r>
      <w:r>
        <w:tab/>
      </w:r>
      <w:r w:rsidRPr="001F7FF4">
        <w:rPr>
          <w:i/>
        </w:rPr>
        <w:t xml:space="preserve">Statement of an IMF </w:t>
      </w:r>
      <w:r>
        <w:rPr>
          <w:i/>
        </w:rPr>
        <w:t>s</w:t>
      </w:r>
      <w:r w:rsidRPr="001F7FF4">
        <w:rPr>
          <w:i/>
        </w:rPr>
        <w:t xml:space="preserve">taff </w:t>
      </w:r>
      <w:r>
        <w:rPr>
          <w:i/>
        </w:rPr>
        <w:t>m</w:t>
      </w:r>
      <w:r w:rsidRPr="001F7FF4">
        <w:rPr>
          <w:i/>
        </w:rPr>
        <w:t xml:space="preserve">ission at the </w:t>
      </w:r>
      <w:r>
        <w:rPr>
          <w:i/>
        </w:rPr>
        <w:t>c</w:t>
      </w:r>
      <w:r w:rsidRPr="001F7FF4">
        <w:rPr>
          <w:i/>
        </w:rPr>
        <w:t xml:space="preserve">onclusion of the 2009 Article IV </w:t>
      </w:r>
      <w:r>
        <w:rPr>
          <w:i/>
        </w:rPr>
        <w:t>d</w:t>
      </w:r>
      <w:r w:rsidRPr="001F7FF4">
        <w:rPr>
          <w:i/>
        </w:rPr>
        <w:t>iscussions with Vanuatu</w:t>
      </w:r>
      <w:r>
        <w:t>, Press Release 09/56, International Monetary Fund, 4 March 2009.</w:t>
      </w:r>
    </w:p>
  </w:footnote>
  <w:footnote w:id="3">
    <w:p w:rsidR="007F3C6B" w:rsidRPr="003A39F2" w:rsidRDefault="007F3C6B">
      <w:pPr>
        <w:pStyle w:val="FootnoteText"/>
      </w:pPr>
      <w:r>
        <w:rPr>
          <w:rStyle w:val="FootnoteReference"/>
        </w:rPr>
        <w:footnoteRef/>
      </w:r>
      <w:r>
        <w:t xml:space="preserve"> </w:t>
      </w:r>
      <w:r>
        <w:tab/>
        <w:t>M Foster</w:t>
      </w:r>
      <w:r w:rsidRPr="003A39F2">
        <w:t xml:space="preserve">, </w:t>
      </w:r>
      <w:r>
        <w:t>R Condon</w:t>
      </w:r>
      <w:r w:rsidRPr="003A39F2">
        <w:t xml:space="preserve">, </w:t>
      </w:r>
      <w:r>
        <w:t xml:space="preserve">K </w:t>
      </w:r>
      <w:proofErr w:type="spellStart"/>
      <w:r>
        <w:t>Janovsky</w:t>
      </w:r>
      <w:proofErr w:type="spellEnd"/>
      <w:r w:rsidRPr="003A39F2">
        <w:t xml:space="preserve">, </w:t>
      </w:r>
      <w:r>
        <w:t xml:space="preserve">B </w:t>
      </w:r>
      <w:proofErr w:type="spellStart"/>
      <w:r w:rsidRPr="003A39F2">
        <w:t>Slat</w:t>
      </w:r>
      <w:r>
        <w:t>yer</w:t>
      </w:r>
      <w:proofErr w:type="spellEnd"/>
      <w:r>
        <w:t xml:space="preserve"> &amp; A </w:t>
      </w:r>
      <w:proofErr w:type="spellStart"/>
      <w:r>
        <w:t>Whyatt</w:t>
      </w:r>
      <w:proofErr w:type="spellEnd"/>
      <w:r>
        <w:t>,</w:t>
      </w:r>
      <w:r w:rsidRPr="003A39F2">
        <w:rPr>
          <w:i/>
        </w:rPr>
        <w:t xml:space="preserve"> Vanuatu Country Report</w:t>
      </w:r>
      <w:r>
        <w:rPr>
          <w:i/>
        </w:rPr>
        <w:t>:</w:t>
      </w:r>
      <w:r w:rsidRPr="003A39F2">
        <w:rPr>
          <w:i/>
        </w:rPr>
        <w:t xml:space="preserve"> Evaluation of Australian </w:t>
      </w:r>
      <w:r>
        <w:rPr>
          <w:i/>
        </w:rPr>
        <w:t>a</w:t>
      </w:r>
      <w:r w:rsidRPr="003A39F2">
        <w:rPr>
          <w:i/>
        </w:rPr>
        <w:t xml:space="preserve">id to </w:t>
      </w:r>
      <w:r w:rsidR="00DB75D3">
        <w:rPr>
          <w:i/>
        </w:rPr>
        <w:t xml:space="preserve">the </w:t>
      </w:r>
      <w:r>
        <w:rPr>
          <w:i/>
        </w:rPr>
        <w:t>h</w:t>
      </w:r>
      <w:r w:rsidRPr="003A39F2">
        <w:rPr>
          <w:i/>
        </w:rPr>
        <w:t xml:space="preserve">ealth </w:t>
      </w:r>
      <w:r>
        <w:rPr>
          <w:i/>
        </w:rPr>
        <w:t>s</w:t>
      </w:r>
      <w:r w:rsidRPr="003A39F2">
        <w:rPr>
          <w:i/>
        </w:rPr>
        <w:t xml:space="preserve">ervice </w:t>
      </w:r>
      <w:r>
        <w:rPr>
          <w:i/>
        </w:rPr>
        <w:t>d</w:t>
      </w:r>
      <w:r w:rsidRPr="003A39F2">
        <w:rPr>
          <w:i/>
        </w:rPr>
        <w:t xml:space="preserve">elivery in </w:t>
      </w:r>
      <w:r>
        <w:rPr>
          <w:i/>
        </w:rPr>
        <w:t>Papua New Guinea</w:t>
      </w:r>
      <w:r w:rsidRPr="003A39F2">
        <w:rPr>
          <w:i/>
        </w:rPr>
        <w:t>, Solomon Islands and Vanuatu:</w:t>
      </w:r>
      <w:r>
        <w:t>,</w:t>
      </w:r>
      <w:r w:rsidRPr="003A39F2">
        <w:t xml:space="preserve"> AusAID</w:t>
      </w:r>
      <w:r>
        <w:t>,</w:t>
      </w:r>
      <w:r w:rsidRPr="003A39F2">
        <w:t xml:space="preserve"> </w:t>
      </w:r>
      <w:r w:rsidR="00A82C16">
        <w:t>June 2009</w:t>
      </w:r>
      <w:r>
        <w:t>.</w:t>
      </w:r>
    </w:p>
  </w:footnote>
  <w:footnote w:id="4">
    <w:p w:rsidR="007F3C6B" w:rsidRPr="001E628D" w:rsidRDefault="007F3C6B">
      <w:pPr>
        <w:pStyle w:val="FootnoteText"/>
      </w:pPr>
      <w:r>
        <w:rPr>
          <w:rStyle w:val="FootnoteReference"/>
        </w:rPr>
        <w:footnoteRef/>
      </w:r>
      <w:r>
        <w:t xml:space="preserve"> </w:t>
      </w:r>
      <w:r>
        <w:tab/>
      </w:r>
      <w:r w:rsidRPr="001E628D">
        <w:rPr>
          <w:i/>
        </w:rPr>
        <w:t xml:space="preserve">OECD Development Assistance Committee Peer Review: </w:t>
      </w:r>
      <w:smartTag w:uri="urn:schemas-microsoft-com:office:smarttags" w:element="place">
        <w:smartTag w:uri="urn:schemas-microsoft-com:office:smarttags" w:element="country-region">
          <w:r w:rsidRPr="001E628D">
            <w:rPr>
              <w:i/>
            </w:rPr>
            <w:t>Australia</w:t>
          </w:r>
        </w:smartTag>
      </w:smartTag>
      <w:r w:rsidRPr="001E628D">
        <w:t>, Organisation for Economic Co</w:t>
      </w:r>
      <w:r>
        <w:t>-</w:t>
      </w:r>
      <w:r w:rsidRPr="001E628D">
        <w:t>operation and Development, 2009</w:t>
      </w:r>
      <w:r>
        <w:t>.</w:t>
      </w:r>
    </w:p>
  </w:footnote>
  <w:footnote w:id="5">
    <w:p w:rsidR="007F3C6B" w:rsidRPr="00B3402A" w:rsidRDefault="007F3C6B">
      <w:pPr>
        <w:pStyle w:val="FootnoteText"/>
        <w:rPr>
          <w:lang w:val="en-US"/>
        </w:rPr>
      </w:pPr>
      <w:r w:rsidRPr="00944CD3">
        <w:rPr>
          <w:rStyle w:val="FootnoteReference"/>
        </w:rPr>
        <w:footnoteRef/>
      </w:r>
      <w:r w:rsidRPr="00944CD3">
        <w:t xml:space="preserve"> </w:t>
      </w:r>
      <w:r w:rsidRPr="00944CD3">
        <w:tab/>
        <w:t xml:space="preserve">B </w:t>
      </w:r>
      <w:proofErr w:type="spellStart"/>
      <w:r w:rsidRPr="00944CD3">
        <w:t>Sijapati-Basnett</w:t>
      </w:r>
      <w:proofErr w:type="spellEnd"/>
      <w:r w:rsidRPr="00944CD3">
        <w:t xml:space="preserve">, </w:t>
      </w:r>
      <w:bookmarkStart w:id="25" w:name="OLE_LINK1"/>
      <w:bookmarkStart w:id="26" w:name="OLE_LINK2"/>
      <w:r w:rsidRPr="00944CD3">
        <w:rPr>
          <w:i/>
        </w:rPr>
        <w:t xml:space="preserve">Social and economic impact of introducing telecommunications throughout </w:t>
      </w:r>
      <w:smartTag w:uri="urn:schemas-microsoft-com:office:smarttags" w:element="place">
        <w:smartTag w:uri="urn:schemas-microsoft-com:office:smarttags" w:element="country-region">
          <w:r w:rsidRPr="00944CD3">
            <w:rPr>
              <w:i/>
            </w:rPr>
            <w:t>Vanuat</w:t>
          </w:r>
          <w:bookmarkEnd w:id="25"/>
          <w:bookmarkEnd w:id="26"/>
          <w:r w:rsidRPr="00944CD3">
            <w:rPr>
              <w:i/>
            </w:rPr>
            <w:t>u</w:t>
          </w:r>
        </w:smartTag>
      </w:smartTag>
      <w:r w:rsidRPr="00944CD3">
        <w:rPr>
          <w:i/>
        </w:rPr>
        <w:t>: research findings report</w:t>
      </w:r>
      <w:r w:rsidRPr="00944CD3">
        <w:t>,</w:t>
      </w:r>
      <w:r>
        <w:t xml:space="preserve"> Pacific Institute of Public Policy, November 2008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3C6B" w:rsidRDefault="007F3C6B" w:rsidP="00B7603F">
    <w:pPr>
      <w:pStyle w:val="Heade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41113D"/>
    <w:multiLevelType w:val="multilevel"/>
    <w:tmpl w:val="C4EE510A"/>
    <w:lvl w:ilvl="0">
      <w:start w:val="1"/>
      <w:numFmt w:val="lowerLetter"/>
      <w:lvlRestart w:val="0"/>
      <w:lvlText w:val="%1"/>
      <w:lvlJc w:val="left"/>
      <w:pPr>
        <w:tabs>
          <w:tab w:val="num" w:pos="170"/>
        </w:tabs>
        <w:ind w:left="0" w:firstLine="0"/>
      </w:pPr>
      <w:rPr>
        <w:rFonts w:ascii="Franklin Gothic Medium" w:hAnsi="Franklin Gothic Medium" w:hint="default"/>
        <w:b/>
        <w:i w:val="0"/>
        <w:color w:val="auto"/>
        <w:position w:val="4"/>
      </w:rPr>
    </w:lvl>
    <w:lvl w:ilvl="1">
      <w:start w:val="1"/>
      <w:numFmt w:val="lowerLetter"/>
      <w:lvlText w:val="%2."/>
      <w:lvlJc w:val="left"/>
      <w:pPr>
        <w:tabs>
          <w:tab w:val="num" w:pos="1440"/>
        </w:tabs>
        <w:ind w:left="1440" w:hanging="363"/>
      </w:pPr>
      <w:rPr>
        <w:rFonts w:hint="default"/>
      </w:rPr>
    </w:lvl>
    <w:lvl w:ilvl="2">
      <w:start w:val="1"/>
      <w:numFmt w:val="lowerRoman"/>
      <w:lvlText w:val="%3."/>
      <w:lvlJc w:val="right"/>
      <w:pPr>
        <w:tabs>
          <w:tab w:val="num" w:pos="2160"/>
        </w:tabs>
        <w:ind w:left="2160" w:hanging="181"/>
      </w:pPr>
      <w:rPr>
        <w:rFonts w:hint="default"/>
      </w:rPr>
    </w:lvl>
    <w:lvl w:ilvl="3">
      <w:start w:val="1"/>
      <w:numFmt w:val="decimal"/>
      <w:lvlText w:val="%4."/>
      <w:lvlJc w:val="left"/>
      <w:pPr>
        <w:tabs>
          <w:tab w:val="num" w:pos="2880"/>
        </w:tabs>
        <w:ind w:left="2880" w:hanging="363"/>
      </w:pPr>
      <w:rPr>
        <w:rFonts w:hint="default"/>
      </w:rPr>
    </w:lvl>
    <w:lvl w:ilvl="4">
      <w:start w:val="1"/>
      <w:numFmt w:val="lowerLetter"/>
      <w:lvlText w:val="%5."/>
      <w:lvlJc w:val="left"/>
      <w:pPr>
        <w:tabs>
          <w:tab w:val="num" w:pos="3600"/>
        </w:tabs>
        <w:ind w:left="3600" w:hanging="363"/>
      </w:pPr>
      <w:rPr>
        <w:rFonts w:hint="default"/>
      </w:rPr>
    </w:lvl>
    <w:lvl w:ilvl="5">
      <w:start w:val="1"/>
      <w:numFmt w:val="lowerRoman"/>
      <w:lvlText w:val="%6."/>
      <w:lvlJc w:val="right"/>
      <w:pPr>
        <w:tabs>
          <w:tab w:val="num" w:pos="4320"/>
        </w:tabs>
        <w:ind w:left="4320" w:hanging="181"/>
      </w:pPr>
      <w:rPr>
        <w:rFonts w:hint="default"/>
      </w:rPr>
    </w:lvl>
    <w:lvl w:ilvl="6">
      <w:start w:val="1"/>
      <w:numFmt w:val="decimal"/>
      <w:lvlText w:val="%7."/>
      <w:lvlJc w:val="left"/>
      <w:pPr>
        <w:tabs>
          <w:tab w:val="num" w:pos="5040"/>
        </w:tabs>
        <w:ind w:left="5040" w:hanging="363"/>
      </w:pPr>
      <w:rPr>
        <w:rFonts w:hint="default"/>
      </w:rPr>
    </w:lvl>
    <w:lvl w:ilvl="7">
      <w:start w:val="1"/>
      <w:numFmt w:val="lowerLetter"/>
      <w:lvlText w:val="%8."/>
      <w:lvlJc w:val="left"/>
      <w:pPr>
        <w:tabs>
          <w:tab w:val="num" w:pos="5760"/>
        </w:tabs>
        <w:ind w:left="5760" w:hanging="363"/>
      </w:pPr>
      <w:rPr>
        <w:rFonts w:hint="default"/>
      </w:rPr>
    </w:lvl>
    <w:lvl w:ilvl="8">
      <w:start w:val="1"/>
      <w:numFmt w:val="lowerRoman"/>
      <w:lvlText w:val="%9."/>
      <w:lvlJc w:val="right"/>
      <w:pPr>
        <w:tabs>
          <w:tab w:val="num" w:pos="6480"/>
        </w:tabs>
        <w:ind w:left="6480" w:hanging="181"/>
      </w:pPr>
      <w:rPr>
        <w:rFonts w:hint="default"/>
      </w:rPr>
    </w:lvl>
  </w:abstractNum>
  <w:abstractNum w:abstractNumId="1">
    <w:nsid w:val="14621CE7"/>
    <w:multiLevelType w:val="hybridMultilevel"/>
    <w:tmpl w:val="0D18B67E"/>
    <w:lvl w:ilvl="0" w:tplc="ACFA6F56">
      <w:start w:val="1"/>
      <w:numFmt w:val="bullet"/>
      <w:pStyle w:val="TableListBullet2"/>
      <w:lvlText w:val="–"/>
      <w:lvlJc w:val="left"/>
      <w:pPr>
        <w:tabs>
          <w:tab w:val="num" w:pos="454"/>
        </w:tabs>
        <w:ind w:left="454" w:hanging="227"/>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77B7DD8"/>
    <w:multiLevelType w:val="hybridMultilevel"/>
    <w:tmpl w:val="3EA6F6DE"/>
    <w:lvl w:ilvl="0" w:tplc="39A6F1A0">
      <w:start w:val="1"/>
      <w:numFmt w:val="lowerLetter"/>
      <w:pStyle w:val="TableListNumber2"/>
      <w:lvlText w:val="%1."/>
      <w:lvlJc w:val="left"/>
      <w:pPr>
        <w:tabs>
          <w:tab w:val="num" w:pos="454"/>
        </w:tabs>
        <w:ind w:left="454" w:hanging="227"/>
      </w:pPr>
      <w:rPr>
        <w:rFonts w:hint="default"/>
      </w:rPr>
    </w:lvl>
    <w:lvl w:ilvl="1" w:tplc="21BC8844" w:tentative="1">
      <w:start w:val="1"/>
      <w:numFmt w:val="lowerLetter"/>
      <w:lvlText w:val="%2."/>
      <w:lvlJc w:val="left"/>
      <w:pPr>
        <w:tabs>
          <w:tab w:val="num" w:pos="1440"/>
        </w:tabs>
        <w:ind w:left="1440" w:hanging="360"/>
      </w:pPr>
    </w:lvl>
    <w:lvl w:ilvl="2" w:tplc="262A731E" w:tentative="1">
      <w:start w:val="1"/>
      <w:numFmt w:val="lowerRoman"/>
      <w:lvlText w:val="%3."/>
      <w:lvlJc w:val="right"/>
      <w:pPr>
        <w:tabs>
          <w:tab w:val="num" w:pos="2160"/>
        </w:tabs>
        <w:ind w:left="2160" w:hanging="180"/>
      </w:pPr>
    </w:lvl>
    <w:lvl w:ilvl="3" w:tplc="BD7E34A2" w:tentative="1">
      <w:start w:val="1"/>
      <w:numFmt w:val="decimal"/>
      <w:lvlText w:val="%4."/>
      <w:lvlJc w:val="left"/>
      <w:pPr>
        <w:tabs>
          <w:tab w:val="num" w:pos="2880"/>
        </w:tabs>
        <w:ind w:left="2880" w:hanging="360"/>
      </w:pPr>
    </w:lvl>
    <w:lvl w:ilvl="4" w:tplc="A350BA84" w:tentative="1">
      <w:start w:val="1"/>
      <w:numFmt w:val="lowerLetter"/>
      <w:lvlText w:val="%5."/>
      <w:lvlJc w:val="left"/>
      <w:pPr>
        <w:tabs>
          <w:tab w:val="num" w:pos="3600"/>
        </w:tabs>
        <w:ind w:left="3600" w:hanging="360"/>
      </w:pPr>
    </w:lvl>
    <w:lvl w:ilvl="5" w:tplc="CF6CEAD6" w:tentative="1">
      <w:start w:val="1"/>
      <w:numFmt w:val="lowerRoman"/>
      <w:lvlText w:val="%6."/>
      <w:lvlJc w:val="right"/>
      <w:pPr>
        <w:tabs>
          <w:tab w:val="num" w:pos="4320"/>
        </w:tabs>
        <w:ind w:left="4320" w:hanging="180"/>
      </w:pPr>
    </w:lvl>
    <w:lvl w:ilvl="6" w:tplc="C35ACC74" w:tentative="1">
      <w:start w:val="1"/>
      <w:numFmt w:val="decimal"/>
      <w:lvlText w:val="%7."/>
      <w:lvlJc w:val="left"/>
      <w:pPr>
        <w:tabs>
          <w:tab w:val="num" w:pos="5040"/>
        </w:tabs>
        <w:ind w:left="5040" w:hanging="360"/>
      </w:pPr>
    </w:lvl>
    <w:lvl w:ilvl="7" w:tplc="F434F050" w:tentative="1">
      <w:start w:val="1"/>
      <w:numFmt w:val="lowerLetter"/>
      <w:lvlText w:val="%8."/>
      <w:lvlJc w:val="left"/>
      <w:pPr>
        <w:tabs>
          <w:tab w:val="num" w:pos="5760"/>
        </w:tabs>
        <w:ind w:left="5760" w:hanging="360"/>
      </w:pPr>
    </w:lvl>
    <w:lvl w:ilvl="8" w:tplc="EEC2507E" w:tentative="1">
      <w:start w:val="1"/>
      <w:numFmt w:val="lowerRoman"/>
      <w:lvlText w:val="%9."/>
      <w:lvlJc w:val="right"/>
      <w:pPr>
        <w:tabs>
          <w:tab w:val="num" w:pos="6480"/>
        </w:tabs>
        <w:ind w:left="6480" w:hanging="180"/>
      </w:pPr>
    </w:lvl>
  </w:abstractNum>
  <w:abstractNum w:abstractNumId="3">
    <w:nsid w:val="17BE0C71"/>
    <w:multiLevelType w:val="hybridMultilevel"/>
    <w:tmpl w:val="914ED0E6"/>
    <w:lvl w:ilvl="0" w:tplc="1E620FC4">
      <w:start w:val="1"/>
      <w:numFmt w:val="lowerLetter"/>
      <w:lvlRestart w:val="0"/>
      <w:lvlText w:val="%1"/>
      <w:lvlJc w:val="left"/>
      <w:pPr>
        <w:tabs>
          <w:tab w:val="num" w:pos="170"/>
        </w:tabs>
        <w:ind w:left="0" w:firstLine="0"/>
      </w:pPr>
      <w:rPr>
        <w:rFonts w:hint="default"/>
        <w:b w:val="0"/>
        <w:i w:val="0"/>
        <w:color w:val="auto"/>
        <w:position w:val="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80665BC"/>
    <w:multiLevelType w:val="hybridMultilevel"/>
    <w:tmpl w:val="4DC601BA"/>
    <w:lvl w:ilvl="0" w:tplc="5D98112C">
      <w:start w:val="1"/>
      <w:numFmt w:val="decimal"/>
      <w:pStyle w:val="ListNumber"/>
      <w:lvlText w:val="%1."/>
      <w:lvlJc w:val="left"/>
      <w:pPr>
        <w:tabs>
          <w:tab w:val="num" w:pos="284"/>
        </w:tabs>
        <w:ind w:left="284" w:hanging="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09B02A7"/>
    <w:multiLevelType w:val="singleLevel"/>
    <w:tmpl w:val="38C655C0"/>
    <w:lvl w:ilvl="0">
      <w:start w:val="1"/>
      <w:numFmt w:val="bullet"/>
      <w:pStyle w:val="ListBullet2"/>
      <w:lvlText w:val="–"/>
      <w:lvlJc w:val="left"/>
      <w:pPr>
        <w:tabs>
          <w:tab w:val="num" w:pos="567"/>
        </w:tabs>
        <w:ind w:left="567" w:hanging="283"/>
      </w:pPr>
      <w:rPr>
        <w:rFonts w:cs="Times New Roman" w:hint="default"/>
        <w:color w:val="auto"/>
        <w:sz w:val="21"/>
        <w:szCs w:val="21"/>
      </w:rPr>
    </w:lvl>
  </w:abstractNum>
  <w:abstractNum w:abstractNumId="6">
    <w:nsid w:val="229565C4"/>
    <w:multiLevelType w:val="multilevel"/>
    <w:tmpl w:val="1220BD78"/>
    <w:lvl w:ilvl="0">
      <w:start w:val="1"/>
      <w:numFmt w:val="decimal"/>
      <w:lvlText w:val="%1"/>
      <w:lvlJc w:val="right"/>
      <w:pPr>
        <w:tabs>
          <w:tab w:val="num" w:pos="0"/>
        </w:tabs>
        <w:ind w:left="0" w:hanging="454"/>
      </w:pPr>
      <w:rPr>
        <w:rFonts w:hint="default"/>
        <w:b w:val="0"/>
        <w:i w:val="0"/>
        <w:color w:val="54534A"/>
      </w:rPr>
    </w:lvl>
    <w:lvl w:ilvl="1">
      <w:start w:val="1"/>
      <w:numFmt w:val="decimal"/>
      <w:lvlText w:val="%1.%2"/>
      <w:lvlJc w:val="left"/>
      <w:pPr>
        <w:tabs>
          <w:tab w:val="num" w:pos="709"/>
        </w:tabs>
        <w:ind w:left="709" w:hanging="709"/>
      </w:pPr>
      <w:rPr>
        <w:rFonts w:hint="default"/>
      </w:rPr>
    </w:lvl>
    <w:lvl w:ilvl="2">
      <w:start w:val="1"/>
      <w:numFmt w:val="none"/>
      <w:lvlRestart w:val="0"/>
      <w:suff w:val="nothing"/>
      <w:lvlText w:val=""/>
      <w:lvlJc w:val="left"/>
      <w:pPr>
        <w:ind w:left="0" w:firstLine="0"/>
      </w:pPr>
      <w:rPr>
        <w:rFonts w:hint="default"/>
      </w:rPr>
    </w:lvl>
    <w:lvl w:ilvl="3">
      <w:start w:val="1"/>
      <w:numFmt w:val="none"/>
      <w:lvlRestart w:val="0"/>
      <w:suff w:val="nothing"/>
      <w:lvlText w:val=""/>
      <w:lvlJc w:val="left"/>
      <w:pPr>
        <w:ind w:left="0" w:firstLine="0"/>
      </w:pPr>
      <w:rPr>
        <w:rFonts w:hint="default"/>
      </w:rPr>
    </w:lvl>
    <w:lvl w:ilvl="4">
      <w:start w:val="1"/>
      <w:numFmt w:val="none"/>
      <w:lvlRestart w:val="0"/>
      <w:suff w:val="nothing"/>
      <w:lvlText w:val=""/>
      <w:lvlJc w:val="left"/>
      <w:pPr>
        <w:ind w:left="0" w:firstLine="0"/>
      </w:pPr>
      <w:rPr>
        <w:rFonts w:hint="default"/>
      </w:rPr>
    </w:lvl>
    <w:lvl w:ilvl="5">
      <w:start w:val="1"/>
      <w:numFmt w:val="upperLetter"/>
      <w:lvlRestart w:val="0"/>
      <w:lvlText w:val="%6"/>
      <w:lvlJc w:val="left"/>
      <w:pPr>
        <w:tabs>
          <w:tab w:val="num" w:pos="709"/>
        </w:tabs>
        <w:ind w:left="709" w:hanging="709"/>
      </w:pPr>
      <w:rPr>
        <w:rFonts w:ascii="Franklin Gothic Book" w:hAnsi="Franklin Gothic Book" w:hint="default"/>
        <w:b w:val="0"/>
        <w:i w:val="0"/>
        <w:caps w:val="0"/>
        <w:color w:val="54534A"/>
        <w:position w:val="0"/>
        <w:sz w:val="50"/>
        <w:szCs w:val="50"/>
      </w:rPr>
    </w:lvl>
    <w:lvl w:ilvl="6">
      <w:start w:val="1"/>
      <w:numFmt w:val="none"/>
      <w:lvlRestart w:val="0"/>
      <w:lvlText w:val=""/>
      <w:lvlJc w:val="left"/>
      <w:pPr>
        <w:tabs>
          <w:tab w:val="num" w:pos="454"/>
        </w:tabs>
        <w:ind w:left="454" w:firstLine="0"/>
      </w:pPr>
      <w:rPr>
        <w:rFonts w:hint="default"/>
        <w:caps/>
        <w:sz w:val="22"/>
        <w:szCs w:val="22"/>
      </w:rPr>
    </w:lvl>
    <w:lvl w:ilvl="7">
      <w:start w:val="1"/>
      <w:numFmt w:val="none"/>
      <w:lvlRestart w:val="0"/>
      <w:suff w:val="nothing"/>
      <w:lvlText w:val=""/>
      <w:lvlJc w:val="left"/>
      <w:pPr>
        <w:ind w:left="454" w:firstLine="0"/>
      </w:pPr>
      <w:rPr>
        <w:rFonts w:hint="default"/>
      </w:rPr>
    </w:lvl>
    <w:lvl w:ilvl="8">
      <w:start w:val="1"/>
      <w:numFmt w:val="none"/>
      <w:lvlRestart w:val="0"/>
      <w:lvlText w:val=""/>
      <w:lvlJc w:val="left"/>
      <w:pPr>
        <w:tabs>
          <w:tab w:val="num" w:pos="454"/>
        </w:tabs>
        <w:ind w:left="454" w:firstLine="0"/>
      </w:pPr>
      <w:rPr>
        <w:rFonts w:hint="default"/>
      </w:rPr>
    </w:lvl>
  </w:abstractNum>
  <w:abstractNum w:abstractNumId="7">
    <w:nsid w:val="382D65A6"/>
    <w:multiLevelType w:val="hybridMultilevel"/>
    <w:tmpl w:val="A7446C82"/>
    <w:lvl w:ilvl="0" w:tplc="B70A9096">
      <w:start w:val="1"/>
      <w:numFmt w:val="decimal"/>
      <w:pStyle w:val="BoxListNumber"/>
      <w:lvlText w:val="%1."/>
      <w:lvlJc w:val="left"/>
      <w:pPr>
        <w:tabs>
          <w:tab w:val="num" w:pos="284"/>
        </w:tabs>
        <w:ind w:left="284" w:hanging="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9233F6B"/>
    <w:multiLevelType w:val="hybridMultilevel"/>
    <w:tmpl w:val="53929CB2"/>
    <w:lvl w:ilvl="0" w:tplc="B5DAD948">
      <w:start w:val="1"/>
      <w:numFmt w:val="lowerLetter"/>
      <w:pStyle w:val="BoxListNumber2"/>
      <w:lvlText w:val="%1."/>
      <w:lvlJc w:val="left"/>
      <w:pPr>
        <w:tabs>
          <w:tab w:val="num" w:pos="567"/>
        </w:tabs>
        <w:ind w:left="567" w:hanging="283"/>
      </w:pPr>
      <w:rPr>
        <w:rFonts w:hint="default"/>
      </w:rPr>
    </w:lvl>
    <w:lvl w:ilvl="1" w:tplc="5DFACADC" w:tentative="1">
      <w:start w:val="1"/>
      <w:numFmt w:val="lowerLetter"/>
      <w:lvlText w:val="%2."/>
      <w:lvlJc w:val="left"/>
      <w:pPr>
        <w:tabs>
          <w:tab w:val="num" w:pos="1440"/>
        </w:tabs>
        <w:ind w:left="1440" w:hanging="360"/>
      </w:pPr>
    </w:lvl>
    <w:lvl w:ilvl="2" w:tplc="DF5EC6AE" w:tentative="1">
      <w:start w:val="1"/>
      <w:numFmt w:val="lowerRoman"/>
      <w:lvlText w:val="%3."/>
      <w:lvlJc w:val="right"/>
      <w:pPr>
        <w:tabs>
          <w:tab w:val="num" w:pos="2160"/>
        </w:tabs>
        <w:ind w:left="2160" w:hanging="180"/>
      </w:pPr>
    </w:lvl>
    <w:lvl w:ilvl="3" w:tplc="8B24620E" w:tentative="1">
      <w:start w:val="1"/>
      <w:numFmt w:val="decimal"/>
      <w:lvlText w:val="%4."/>
      <w:lvlJc w:val="left"/>
      <w:pPr>
        <w:tabs>
          <w:tab w:val="num" w:pos="2880"/>
        </w:tabs>
        <w:ind w:left="2880" w:hanging="360"/>
      </w:pPr>
    </w:lvl>
    <w:lvl w:ilvl="4" w:tplc="3AFC1E20" w:tentative="1">
      <w:start w:val="1"/>
      <w:numFmt w:val="lowerLetter"/>
      <w:lvlText w:val="%5."/>
      <w:lvlJc w:val="left"/>
      <w:pPr>
        <w:tabs>
          <w:tab w:val="num" w:pos="3600"/>
        </w:tabs>
        <w:ind w:left="3600" w:hanging="360"/>
      </w:pPr>
    </w:lvl>
    <w:lvl w:ilvl="5" w:tplc="23469DE0" w:tentative="1">
      <w:start w:val="1"/>
      <w:numFmt w:val="lowerRoman"/>
      <w:lvlText w:val="%6."/>
      <w:lvlJc w:val="right"/>
      <w:pPr>
        <w:tabs>
          <w:tab w:val="num" w:pos="4320"/>
        </w:tabs>
        <w:ind w:left="4320" w:hanging="180"/>
      </w:pPr>
    </w:lvl>
    <w:lvl w:ilvl="6" w:tplc="3D86C3D4" w:tentative="1">
      <w:start w:val="1"/>
      <w:numFmt w:val="decimal"/>
      <w:lvlText w:val="%7."/>
      <w:lvlJc w:val="left"/>
      <w:pPr>
        <w:tabs>
          <w:tab w:val="num" w:pos="5040"/>
        </w:tabs>
        <w:ind w:left="5040" w:hanging="360"/>
      </w:pPr>
    </w:lvl>
    <w:lvl w:ilvl="7" w:tplc="4E5A60A4" w:tentative="1">
      <w:start w:val="1"/>
      <w:numFmt w:val="lowerLetter"/>
      <w:lvlText w:val="%8."/>
      <w:lvlJc w:val="left"/>
      <w:pPr>
        <w:tabs>
          <w:tab w:val="num" w:pos="5760"/>
        </w:tabs>
        <w:ind w:left="5760" w:hanging="360"/>
      </w:pPr>
    </w:lvl>
    <w:lvl w:ilvl="8" w:tplc="EB968F3C" w:tentative="1">
      <w:start w:val="1"/>
      <w:numFmt w:val="lowerRoman"/>
      <w:lvlText w:val="%9."/>
      <w:lvlJc w:val="right"/>
      <w:pPr>
        <w:tabs>
          <w:tab w:val="num" w:pos="6480"/>
        </w:tabs>
        <w:ind w:left="6480" w:hanging="180"/>
      </w:pPr>
    </w:lvl>
  </w:abstractNum>
  <w:abstractNum w:abstractNumId="9">
    <w:nsid w:val="3B5576AF"/>
    <w:multiLevelType w:val="hybridMultilevel"/>
    <w:tmpl w:val="C51EB26E"/>
    <w:lvl w:ilvl="0" w:tplc="1E620FC4">
      <w:start w:val="1"/>
      <w:numFmt w:val="lowerLetter"/>
      <w:lvlRestart w:val="0"/>
      <w:lvlText w:val="%1"/>
      <w:lvlJc w:val="left"/>
      <w:pPr>
        <w:tabs>
          <w:tab w:val="num" w:pos="170"/>
        </w:tabs>
        <w:ind w:left="0" w:firstLine="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6CD579B"/>
    <w:multiLevelType w:val="hybridMultilevel"/>
    <w:tmpl w:val="36F2514A"/>
    <w:lvl w:ilvl="0" w:tplc="A9EA1304">
      <w:start w:val="1"/>
      <w:numFmt w:val="bullet"/>
      <w:pStyle w:val="BoxListBullet"/>
      <w:lvlText w:val="&gt;"/>
      <w:lvlJc w:val="left"/>
      <w:pPr>
        <w:tabs>
          <w:tab w:val="num" w:pos="284"/>
        </w:tabs>
        <w:ind w:left="284" w:hanging="284"/>
      </w:pPr>
      <w:rPr>
        <w:rFonts w:hint="default"/>
        <w:color w:val="auto"/>
      </w:rPr>
    </w:lvl>
    <w:lvl w:ilvl="1" w:tplc="E6DE82C6" w:tentative="1">
      <w:start w:val="1"/>
      <w:numFmt w:val="bullet"/>
      <w:lvlText w:val="o"/>
      <w:lvlJc w:val="left"/>
      <w:pPr>
        <w:tabs>
          <w:tab w:val="num" w:pos="1440"/>
        </w:tabs>
        <w:ind w:left="1440" w:hanging="360"/>
      </w:pPr>
      <w:rPr>
        <w:rFonts w:ascii="Courier New" w:hAnsi="Courier New" w:cs="Courier New" w:hint="default"/>
      </w:rPr>
    </w:lvl>
    <w:lvl w:ilvl="2" w:tplc="80BE6124" w:tentative="1">
      <w:start w:val="1"/>
      <w:numFmt w:val="bullet"/>
      <w:lvlText w:val=""/>
      <w:lvlJc w:val="left"/>
      <w:pPr>
        <w:tabs>
          <w:tab w:val="num" w:pos="2160"/>
        </w:tabs>
        <w:ind w:left="2160" w:hanging="360"/>
      </w:pPr>
      <w:rPr>
        <w:rFonts w:ascii="Wingdings" w:hAnsi="Wingdings" w:hint="default"/>
      </w:rPr>
    </w:lvl>
    <w:lvl w:ilvl="3" w:tplc="32DC9B38" w:tentative="1">
      <w:start w:val="1"/>
      <w:numFmt w:val="bullet"/>
      <w:lvlText w:val=""/>
      <w:lvlJc w:val="left"/>
      <w:pPr>
        <w:tabs>
          <w:tab w:val="num" w:pos="2880"/>
        </w:tabs>
        <w:ind w:left="2880" w:hanging="360"/>
      </w:pPr>
      <w:rPr>
        <w:rFonts w:ascii="Symbol" w:hAnsi="Symbol" w:hint="default"/>
      </w:rPr>
    </w:lvl>
    <w:lvl w:ilvl="4" w:tplc="20F4AFE2" w:tentative="1">
      <w:start w:val="1"/>
      <w:numFmt w:val="bullet"/>
      <w:lvlText w:val="o"/>
      <w:lvlJc w:val="left"/>
      <w:pPr>
        <w:tabs>
          <w:tab w:val="num" w:pos="3600"/>
        </w:tabs>
        <w:ind w:left="3600" w:hanging="360"/>
      </w:pPr>
      <w:rPr>
        <w:rFonts w:ascii="Courier New" w:hAnsi="Courier New" w:cs="Courier New" w:hint="default"/>
      </w:rPr>
    </w:lvl>
    <w:lvl w:ilvl="5" w:tplc="E2543E0A" w:tentative="1">
      <w:start w:val="1"/>
      <w:numFmt w:val="bullet"/>
      <w:lvlText w:val=""/>
      <w:lvlJc w:val="left"/>
      <w:pPr>
        <w:tabs>
          <w:tab w:val="num" w:pos="4320"/>
        </w:tabs>
        <w:ind w:left="4320" w:hanging="360"/>
      </w:pPr>
      <w:rPr>
        <w:rFonts w:ascii="Wingdings" w:hAnsi="Wingdings" w:hint="default"/>
      </w:rPr>
    </w:lvl>
    <w:lvl w:ilvl="6" w:tplc="8D5466A4" w:tentative="1">
      <w:start w:val="1"/>
      <w:numFmt w:val="bullet"/>
      <w:lvlText w:val=""/>
      <w:lvlJc w:val="left"/>
      <w:pPr>
        <w:tabs>
          <w:tab w:val="num" w:pos="5040"/>
        </w:tabs>
        <w:ind w:left="5040" w:hanging="360"/>
      </w:pPr>
      <w:rPr>
        <w:rFonts w:ascii="Symbol" w:hAnsi="Symbol" w:hint="default"/>
      </w:rPr>
    </w:lvl>
    <w:lvl w:ilvl="7" w:tplc="0868DAB0" w:tentative="1">
      <w:start w:val="1"/>
      <w:numFmt w:val="bullet"/>
      <w:lvlText w:val="o"/>
      <w:lvlJc w:val="left"/>
      <w:pPr>
        <w:tabs>
          <w:tab w:val="num" w:pos="5760"/>
        </w:tabs>
        <w:ind w:left="5760" w:hanging="360"/>
      </w:pPr>
      <w:rPr>
        <w:rFonts w:ascii="Courier New" w:hAnsi="Courier New" w:cs="Courier New" w:hint="default"/>
      </w:rPr>
    </w:lvl>
    <w:lvl w:ilvl="8" w:tplc="117650AC" w:tentative="1">
      <w:start w:val="1"/>
      <w:numFmt w:val="bullet"/>
      <w:lvlText w:val=""/>
      <w:lvlJc w:val="left"/>
      <w:pPr>
        <w:tabs>
          <w:tab w:val="num" w:pos="6480"/>
        </w:tabs>
        <w:ind w:left="6480" w:hanging="360"/>
      </w:pPr>
      <w:rPr>
        <w:rFonts w:ascii="Wingdings" w:hAnsi="Wingdings" w:hint="default"/>
      </w:rPr>
    </w:lvl>
  </w:abstractNum>
  <w:abstractNum w:abstractNumId="11">
    <w:nsid w:val="4A37775D"/>
    <w:multiLevelType w:val="multilevel"/>
    <w:tmpl w:val="C4660D6E"/>
    <w:lvl w:ilvl="0">
      <w:start w:val="1"/>
      <w:numFmt w:val="lowerLetter"/>
      <w:lvlRestart w:val="0"/>
      <w:pStyle w:val="NoteNumber"/>
      <w:lvlText w:val="%1"/>
      <w:lvlJc w:val="left"/>
      <w:pPr>
        <w:tabs>
          <w:tab w:val="num" w:pos="170"/>
        </w:tabs>
        <w:ind w:left="0" w:firstLine="0"/>
      </w:pPr>
      <w:rPr>
        <w:rFonts w:hint="default"/>
        <w:b w:val="0"/>
        <w:i w:val="0"/>
        <w:color w:val="auto"/>
        <w:position w:val="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nsid w:val="52B943C2"/>
    <w:multiLevelType w:val="hybridMultilevel"/>
    <w:tmpl w:val="43102CAC"/>
    <w:lvl w:ilvl="0" w:tplc="82A8EE62">
      <w:start w:val="1"/>
      <w:numFmt w:val="bullet"/>
      <w:pStyle w:val="Ratingamber"/>
      <w:lvlText w:val=""/>
      <w:lvlJc w:val="left"/>
      <w:pPr>
        <w:tabs>
          <w:tab w:val="num" w:pos="567"/>
        </w:tabs>
        <w:ind w:left="567" w:hanging="567"/>
      </w:pPr>
      <w:rPr>
        <w:rFonts w:ascii="Wingdings" w:hAnsi="Wingdings" w:hint="default"/>
        <w:color w:val="FF9900"/>
        <w:spacing w:val="0"/>
        <w:position w:val="-2"/>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53692D64"/>
    <w:multiLevelType w:val="hybridMultilevel"/>
    <w:tmpl w:val="3544D402"/>
    <w:lvl w:ilvl="0" w:tplc="49BABBDA">
      <w:start w:val="1"/>
      <w:numFmt w:val="bullet"/>
      <w:pStyle w:val="BoxListBullet2"/>
      <w:lvlText w:val="–"/>
      <w:lvlJc w:val="left"/>
      <w:pPr>
        <w:tabs>
          <w:tab w:val="num" w:pos="567"/>
        </w:tabs>
        <w:ind w:left="567" w:hanging="283"/>
      </w:pPr>
      <w:rPr>
        <w:rFont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nsid w:val="598A5214"/>
    <w:multiLevelType w:val="hybridMultilevel"/>
    <w:tmpl w:val="0B5AC610"/>
    <w:lvl w:ilvl="0" w:tplc="CAB4DE70">
      <w:start w:val="1"/>
      <w:numFmt w:val="decimal"/>
      <w:pStyle w:val="TableListNumber"/>
      <w:lvlText w:val="%1."/>
      <w:lvlJc w:val="left"/>
      <w:pPr>
        <w:tabs>
          <w:tab w:val="num" w:pos="227"/>
        </w:tabs>
        <w:ind w:left="227" w:hanging="227"/>
      </w:pPr>
      <w:rPr>
        <w:rFonts w:hint="default"/>
      </w:rPr>
    </w:lvl>
    <w:lvl w:ilvl="1" w:tplc="1AD0172C" w:tentative="1">
      <w:start w:val="1"/>
      <w:numFmt w:val="lowerLetter"/>
      <w:lvlText w:val="%2."/>
      <w:lvlJc w:val="left"/>
      <w:pPr>
        <w:tabs>
          <w:tab w:val="num" w:pos="1440"/>
        </w:tabs>
        <w:ind w:left="1440" w:hanging="360"/>
      </w:pPr>
    </w:lvl>
    <w:lvl w:ilvl="2" w:tplc="448C1854" w:tentative="1">
      <w:start w:val="1"/>
      <w:numFmt w:val="lowerRoman"/>
      <w:lvlText w:val="%3."/>
      <w:lvlJc w:val="right"/>
      <w:pPr>
        <w:tabs>
          <w:tab w:val="num" w:pos="2160"/>
        </w:tabs>
        <w:ind w:left="2160" w:hanging="180"/>
      </w:pPr>
    </w:lvl>
    <w:lvl w:ilvl="3" w:tplc="94A26DB4" w:tentative="1">
      <w:start w:val="1"/>
      <w:numFmt w:val="decimal"/>
      <w:lvlText w:val="%4."/>
      <w:lvlJc w:val="left"/>
      <w:pPr>
        <w:tabs>
          <w:tab w:val="num" w:pos="2880"/>
        </w:tabs>
        <w:ind w:left="2880" w:hanging="360"/>
      </w:pPr>
    </w:lvl>
    <w:lvl w:ilvl="4" w:tplc="FD7AD454" w:tentative="1">
      <w:start w:val="1"/>
      <w:numFmt w:val="lowerLetter"/>
      <w:lvlText w:val="%5."/>
      <w:lvlJc w:val="left"/>
      <w:pPr>
        <w:tabs>
          <w:tab w:val="num" w:pos="3600"/>
        </w:tabs>
        <w:ind w:left="3600" w:hanging="360"/>
      </w:pPr>
    </w:lvl>
    <w:lvl w:ilvl="5" w:tplc="4A6A3408" w:tentative="1">
      <w:start w:val="1"/>
      <w:numFmt w:val="lowerRoman"/>
      <w:lvlText w:val="%6."/>
      <w:lvlJc w:val="right"/>
      <w:pPr>
        <w:tabs>
          <w:tab w:val="num" w:pos="4320"/>
        </w:tabs>
        <w:ind w:left="4320" w:hanging="180"/>
      </w:pPr>
    </w:lvl>
    <w:lvl w:ilvl="6" w:tplc="8AB02DC6" w:tentative="1">
      <w:start w:val="1"/>
      <w:numFmt w:val="decimal"/>
      <w:lvlText w:val="%7."/>
      <w:lvlJc w:val="left"/>
      <w:pPr>
        <w:tabs>
          <w:tab w:val="num" w:pos="5040"/>
        </w:tabs>
        <w:ind w:left="5040" w:hanging="360"/>
      </w:pPr>
    </w:lvl>
    <w:lvl w:ilvl="7" w:tplc="73224D2C" w:tentative="1">
      <w:start w:val="1"/>
      <w:numFmt w:val="lowerLetter"/>
      <w:lvlText w:val="%8."/>
      <w:lvlJc w:val="left"/>
      <w:pPr>
        <w:tabs>
          <w:tab w:val="num" w:pos="5760"/>
        </w:tabs>
        <w:ind w:left="5760" w:hanging="360"/>
      </w:pPr>
    </w:lvl>
    <w:lvl w:ilvl="8" w:tplc="25FC952E" w:tentative="1">
      <w:start w:val="1"/>
      <w:numFmt w:val="lowerRoman"/>
      <w:lvlText w:val="%9."/>
      <w:lvlJc w:val="right"/>
      <w:pPr>
        <w:tabs>
          <w:tab w:val="num" w:pos="6480"/>
        </w:tabs>
        <w:ind w:left="6480" w:hanging="180"/>
      </w:pPr>
    </w:lvl>
  </w:abstractNum>
  <w:abstractNum w:abstractNumId="15">
    <w:nsid w:val="60A8553B"/>
    <w:multiLevelType w:val="multilevel"/>
    <w:tmpl w:val="28627A8E"/>
    <w:lvl w:ilvl="0">
      <w:start w:val="1"/>
      <w:numFmt w:val="decimal"/>
      <w:lvlText w:val="%1"/>
      <w:lvlJc w:val="right"/>
      <w:pPr>
        <w:tabs>
          <w:tab w:val="num" w:pos="0"/>
        </w:tabs>
        <w:ind w:left="0" w:hanging="454"/>
      </w:pPr>
      <w:rPr>
        <w:rFonts w:hint="default"/>
        <w:b w:val="0"/>
        <w:i w:val="0"/>
        <w:color w:val="54534A"/>
      </w:rPr>
    </w:lvl>
    <w:lvl w:ilvl="1">
      <w:start w:val="1"/>
      <w:numFmt w:val="decimal"/>
      <w:lvlText w:val="%1.%2"/>
      <w:lvlJc w:val="left"/>
      <w:pPr>
        <w:tabs>
          <w:tab w:val="num" w:pos="709"/>
        </w:tabs>
        <w:ind w:left="709" w:hanging="709"/>
      </w:pPr>
      <w:rPr>
        <w:rFonts w:hint="default"/>
      </w:rPr>
    </w:lvl>
    <w:lvl w:ilvl="2">
      <w:start w:val="1"/>
      <w:numFmt w:val="none"/>
      <w:lvlRestart w:val="0"/>
      <w:suff w:val="nothing"/>
      <w:lvlText w:val=""/>
      <w:lvlJc w:val="left"/>
      <w:pPr>
        <w:ind w:left="0" w:firstLine="0"/>
      </w:pPr>
      <w:rPr>
        <w:rFonts w:hint="default"/>
      </w:rPr>
    </w:lvl>
    <w:lvl w:ilvl="3">
      <w:start w:val="1"/>
      <w:numFmt w:val="none"/>
      <w:lvlRestart w:val="0"/>
      <w:suff w:val="nothing"/>
      <w:lvlText w:val=""/>
      <w:lvlJc w:val="left"/>
      <w:pPr>
        <w:ind w:left="0" w:firstLine="0"/>
      </w:pPr>
      <w:rPr>
        <w:rFonts w:hint="default"/>
      </w:rPr>
    </w:lvl>
    <w:lvl w:ilvl="4">
      <w:start w:val="1"/>
      <w:numFmt w:val="none"/>
      <w:suff w:val="nothing"/>
      <w:lvlText w:val=""/>
      <w:lvlJc w:val="left"/>
      <w:pPr>
        <w:ind w:left="454" w:firstLine="0"/>
      </w:pPr>
      <w:rPr>
        <w:rFonts w:hint="default"/>
      </w:rPr>
    </w:lvl>
    <w:lvl w:ilvl="5">
      <w:start w:val="1"/>
      <w:numFmt w:val="upperLetter"/>
      <w:lvlRestart w:val="0"/>
      <w:lvlText w:val="%6"/>
      <w:lvlJc w:val="left"/>
      <w:pPr>
        <w:tabs>
          <w:tab w:val="num" w:pos="709"/>
        </w:tabs>
        <w:ind w:left="709" w:hanging="709"/>
      </w:pPr>
      <w:rPr>
        <w:rFonts w:ascii="Franklin Gothic Book" w:hAnsi="Franklin Gothic Book" w:hint="default"/>
        <w:b w:val="0"/>
        <w:i w:val="0"/>
        <w:caps w:val="0"/>
        <w:color w:val="54534A"/>
        <w:position w:val="0"/>
        <w:sz w:val="50"/>
        <w:szCs w:val="50"/>
      </w:rPr>
    </w:lvl>
    <w:lvl w:ilvl="6">
      <w:start w:val="1"/>
      <w:numFmt w:val="none"/>
      <w:lvlRestart w:val="0"/>
      <w:lvlText w:val=""/>
      <w:lvlJc w:val="left"/>
      <w:pPr>
        <w:tabs>
          <w:tab w:val="num" w:pos="454"/>
        </w:tabs>
        <w:ind w:left="454" w:firstLine="0"/>
      </w:pPr>
      <w:rPr>
        <w:rFonts w:hint="default"/>
        <w:caps/>
        <w:sz w:val="22"/>
        <w:szCs w:val="22"/>
      </w:rPr>
    </w:lvl>
    <w:lvl w:ilvl="7">
      <w:start w:val="1"/>
      <w:numFmt w:val="none"/>
      <w:lvlRestart w:val="0"/>
      <w:suff w:val="nothing"/>
      <w:lvlText w:val=""/>
      <w:lvlJc w:val="left"/>
      <w:pPr>
        <w:ind w:left="454" w:firstLine="0"/>
      </w:pPr>
      <w:rPr>
        <w:rFonts w:hint="default"/>
      </w:rPr>
    </w:lvl>
    <w:lvl w:ilvl="8">
      <w:start w:val="1"/>
      <w:numFmt w:val="none"/>
      <w:lvlRestart w:val="0"/>
      <w:lvlText w:val=""/>
      <w:lvlJc w:val="left"/>
      <w:pPr>
        <w:tabs>
          <w:tab w:val="num" w:pos="454"/>
        </w:tabs>
        <w:ind w:left="454" w:firstLine="0"/>
      </w:pPr>
      <w:rPr>
        <w:rFonts w:hint="default"/>
      </w:rPr>
    </w:lvl>
  </w:abstractNum>
  <w:abstractNum w:abstractNumId="16">
    <w:nsid w:val="64F264CF"/>
    <w:multiLevelType w:val="multilevel"/>
    <w:tmpl w:val="8DF2FEE8"/>
    <w:lvl w:ilvl="0">
      <w:start w:val="1"/>
      <w:numFmt w:val="decimal"/>
      <w:pStyle w:val="Heading1"/>
      <w:lvlText w:val="%1"/>
      <w:lvlJc w:val="right"/>
      <w:pPr>
        <w:tabs>
          <w:tab w:val="num" w:pos="0"/>
        </w:tabs>
        <w:ind w:left="0" w:hanging="454"/>
      </w:pPr>
      <w:rPr>
        <w:rFonts w:hint="default"/>
        <w:b w:val="0"/>
        <w:i w:val="0"/>
        <w:color w:val="AD495D"/>
      </w:rPr>
    </w:lvl>
    <w:lvl w:ilvl="1">
      <w:start w:val="1"/>
      <w:numFmt w:val="decimal"/>
      <w:pStyle w:val="Heading2"/>
      <w:lvlText w:val="%1.%2"/>
      <w:lvlJc w:val="left"/>
      <w:pPr>
        <w:tabs>
          <w:tab w:val="num" w:pos="709"/>
        </w:tabs>
        <w:ind w:left="709" w:hanging="709"/>
      </w:pPr>
      <w:rPr>
        <w:rFonts w:hint="default"/>
      </w:rPr>
    </w:lvl>
    <w:lvl w:ilvl="2">
      <w:start w:val="1"/>
      <w:numFmt w:val="none"/>
      <w:lvlRestart w:val="0"/>
      <w:pStyle w:val="Heading3"/>
      <w:lvlText w:val=""/>
      <w:lvlJc w:val="left"/>
      <w:pPr>
        <w:tabs>
          <w:tab w:val="num" w:pos="0"/>
        </w:tabs>
        <w:ind w:left="0" w:firstLine="0"/>
      </w:pPr>
      <w:rPr>
        <w:rFonts w:hint="default"/>
      </w:rPr>
    </w:lvl>
    <w:lvl w:ilvl="3">
      <w:start w:val="1"/>
      <w:numFmt w:val="none"/>
      <w:lvlRestart w:val="0"/>
      <w:pStyle w:val="Heading4"/>
      <w:lvlText w:val=""/>
      <w:lvlJc w:val="left"/>
      <w:pPr>
        <w:tabs>
          <w:tab w:val="num" w:pos="0"/>
        </w:tabs>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upperLetter"/>
      <w:lvlRestart w:val="0"/>
      <w:pStyle w:val="Heading6"/>
      <w:lvlText w:val="%6"/>
      <w:lvlJc w:val="left"/>
      <w:pPr>
        <w:tabs>
          <w:tab w:val="num" w:pos="709"/>
        </w:tabs>
        <w:ind w:left="0" w:firstLine="0"/>
      </w:pPr>
      <w:rPr>
        <w:rFonts w:ascii="Franklin Gothic Book" w:hAnsi="Franklin Gothic Book" w:hint="default"/>
        <w:b w:val="0"/>
        <w:i w:val="0"/>
        <w:caps w:val="0"/>
        <w:color w:val="AD495D"/>
        <w:position w:val="0"/>
        <w:sz w:val="50"/>
        <w:szCs w:val="50"/>
      </w:rPr>
    </w:lvl>
    <w:lvl w:ilvl="6">
      <w:start w:val="1"/>
      <w:numFmt w:val="none"/>
      <w:lvlRestart w:val="0"/>
      <w:pStyle w:val="Heading7"/>
      <w:lvlText w:val=""/>
      <w:lvlJc w:val="left"/>
      <w:pPr>
        <w:tabs>
          <w:tab w:val="num" w:pos="0"/>
        </w:tabs>
        <w:ind w:left="0" w:firstLine="0"/>
      </w:pPr>
      <w:rPr>
        <w:rFonts w:hint="default"/>
        <w:caps/>
        <w:sz w:val="22"/>
        <w:szCs w:val="22"/>
      </w:rPr>
    </w:lvl>
    <w:lvl w:ilvl="7">
      <w:start w:val="1"/>
      <w:numFmt w:val="none"/>
      <w:lvlRestart w:val="0"/>
      <w:pStyle w:val="Heading8"/>
      <w:suff w:val="nothing"/>
      <w:lvlText w:val=""/>
      <w:lvlJc w:val="left"/>
      <w:pPr>
        <w:ind w:left="0" w:firstLine="0"/>
      </w:pPr>
      <w:rPr>
        <w:rFonts w:hint="default"/>
      </w:rPr>
    </w:lvl>
    <w:lvl w:ilvl="8">
      <w:start w:val="1"/>
      <w:numFmt w:val="none"/>
      <w:lvlRestart w:val="0"/>
      <w:pStyle w:val="Heading9"/>
      <w:lvlText w:val=""/>
      <w:lvlJc w:val="left"/>
      <w:pPr>
        <w:tabs>
          <w:tab w:val="num" w:pos="0"/>
        </w:tabs>
        <w:ind w:left="0" w:firstLine="0"/>
      </w:pPr>
      <w:rPr>
        <w:rFonts w:hint="default"/>
      </w:rPr>
    </w:lvl>
  </w:abstractNum>
  <w:abstractNum w:abstractNumId="17">
    <w:nsid w:val="66C55035"/>
    <w:multiLevelType w:val="hybridMultilevel"/>
    <w:tmpl w:val="A0C89EE8"/>
    <w:lvl w:ilvl="0" w:tplc="D3782208">
      <w:start w:val="1"/>
      <w:numFmt w:val="bullet"/>
      <w:pStyle w:val="TableListBullet"/>
      <w:lvlText w:val="&gt;"/>
      <w:lvlJc w:val="left"/>
      <w:pPr>
        <w:tabs>
          <w:tab w:val="num" w:pos="227"/>
        </w:tabs>
        <w:ind w:left="227" w:hanging="227"/>
      </w:pPr>
      <w:rPr>
        <w:rFonts w:hint="default"/>
        <w:color w:val="auto"/>
        <w:spacing w:val="0"/>
        <w:w w:val="100"/>
        <w:position w:val="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nsid w:val="6CA95AF5"/>
    <w:multiLevelType w:val="multilevel"/>
    <w:tmpl w:val="BC6CEFBA"/>
    <w:lvl w:ilvl="0">
      <w:start w:val="1"/>
      <w:numFmt w:val="lowerLetter"/>
      <w:lvlRestart w:val="0"/>
      <w:lvlText w:val="%1"/>
      <w:lvlJc w:val="left"/>
      <w:pPr>
        <w:tabs>
          <w:tab w:val="num" w:pos="170"/>
        </w:tabs>
        <w:ind w:left="0" w:firstLine="0"/>
      </w:pPr>
      <w:rPr>
        <w:rFonts w:hint="default"/>
        <w:b w:val="0"/>
        <w:i w:val="0"/>
        <w:color w:val="auto"/>
        <w:position w:val="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nsid w:val="6CF363E8"/>
    <w:multiLevelType w:val="hybridMultilevel"/>
    <w:tmpl w:val="3586B58E"/>
    <w:lvl w:ilvl="0" w:tplc="1A5E0752">
      <w:start w:val="1"/>
      <w:numFmt w:val="bullet"/>
      <w:pStyle w:val="Ratinggreen"/>
      <w:lvlText w:val=""/>
      <w:lvlJc w:val="left"/>
      <w:pPr>
        <w:tabs>
          <w:tab w:val="num" w:pos="567"/>
        </w:tabs>
        <w:ind w:left="567" w:hanging="567"/>
      </w:pPr>
      <w:rPr>
        <w:rFonts w:ascii="Wingdings" w:hAnsi="Wingdings" w:hint="default"/>
        <w:color w:val="99CC00"/>
        <w:spacing w:val="0"/>
        <w:position w:val="-2"/>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71A10E69"/>
    <w:multiLevelType w:val="singleLevel"/>
    <w:tmpl w:val="5B3C8342"/>
    <w:lvl w:ilvl="0">
      <w:start w:val="1"/>
      <w:numFmt w:val="lowerLetter"/>
      <w:lvlRestart w:val="0"/>
      <w:lvlText w:val="%1"/>
      <w:lvlJc w:val="left"/>
      <w:pPr>
        <w:tabs>
          <w:tab w:val="num" w:pos="170"/>
        </w:tabs>
        <w:ind w:left="0" w:firstLine="0"/>
      </w:pPr>
      <w:rPr>
        <w:rFonts w:ascii="Franklin Gothic Medium" w:hAnsi="Franklin Gothic Medium" w:hint="default"/>
        <w:b/>
        <w:i w:val="0"/>
        <w:color w:val="auto"/>
        <w:position w:val="4"/>
      </w:rPr>
    </w:lvl>
  </w:abstractNum>
  <w:abstractNum w:abstractNumId="21">
    <w:nsid w:val="723D6EBA"/>
    <w:multiLevelType w:val="multilevel"/>
    <w:tmpl w:val="C3345078"/>
    <w:lvl w:ilvl="0">
      <w:start w:val="1"/>
      <w:numFmt w:val="decimal"/>
      <w:lvlText w:val="%1"/>
      <w:lvlJc w:val="right"/>
      <w:pPr>
        <w:tabs>
          <w:tab w:val="num" w:pos="0"/>
        </w:tabs>
        <w:ind w:left="0" w:hanging="454"/>
      </w:pPr>
      <w:rPr>
        <w:rFonts w:hint="default"/>
        <w:b w:val="0"/>
        <w:i w:val="0"/>
        <w:color w:val="54534A"/>
      </w:rPr>
    </w:lvl>
    <w:lvl w:ilvl="1">
      <w:start w:val="1"/>
      <w:numFmt w:val="decimal"/>
      <w:lvlText w:val="%1.%2"/>
      <w:lvlJc w:val="left"/>
      <w:pPr>
        <w:tabs>
          <w:tab w:val="num" w:pos="709"/>
        </w:tabs>
        <w:ind w:left="709" w:hanging="709"/>
      </w:pPr>
      <w:rPr>
        <w:rFonts w:hint="default"/>
      </w:rPr>
    </w:lvl>
    <w:lvl w:ilvl="2">
      <w:start w:val="1"/>
      <w:numFmt w:val="none"/>
      <w:lvlRestart w:val="0"/>
      <w:suff w:val="nothing"/>
      <w:lvlText w:val=""/>
      <w:lvlJc w:val="left"/>
      <w:pPr>
        <w:ind w:left="0" w:firstLine="0"/>
      </w:pPr>
      <w:rPr>
        <w:rFonts w:hint="default"/>
      </w:rPr>
    </w:lvl>
    <w:lvl w:ilvl="3">
      <w:start w:val="1"/>
      <w:numFmt w:val="none"/>
      <w:lvlRestart w:val="0"/>
      <w:suff w:val="nothing"/>
      <w:lvlText w:val=""/>
      <w:lvlJc w:val="left"/>
      <w:pPr>
        <w:ind w:left="0" w:firstLine="0"/>
      </w:pPr>
      <w:rPr>
        <w:rFonts w:hint="default"/>
      </w:rPr>
    </w:lvl>
    <w:lvl w:ilvl="4">
      <w:start w:val="1"/>
      <w:numFmt w:val="none"/>
      <w:lvlRestart w:val="0"/>
      <w:suff w:val="nothing"/>
      <w:lvlText w:val=""/>
      <w:lvlJc w:val="left"/>
      <w:pPr>
        <w:ind w:left="0" w:firstLine="0"/>
      </w:pPr>
      <w:rPr>
        <w:rFonts w:hint="default"/>
      </w:rPr>
    </w:lvl>
    <w:lvl w:ilvl="5">
      <w:start w:val="1"/>
      <w:numFmt w:val="upperLetter"/>
      <w:lvlRestart w:val="0"/>
      <w:lvlText w:val="%6"/>
      <w:lvlJc w:val="left"/>
      <w:pPr>
        <w:tabs>
          <w:tab w:val="num" w:pos="709"/>
        </w:tabs>
        <w:ind w:left="709" w:hanging="709"/>
      </w:pPr>
      <w:rPr>
        <w:rFonts w:ascii="Franklin Gothic Book" w:hAnsi="Franklin Gothic Book" w:hint="default"/>
        <w:b w:val="0"/>
        <w:i w:val="0"/>
        <w:caps w:val="0"/>
        <w:color w:val="54534A"/>
        <w:position w:val="0"/>
        <w:sz w:val="50"/>
        <w:szCs w:val="50"/>
      </w:rPr>
    </w:lvl>
    <w:lvl w:ilvl="6">
      <w:start w:val="1"/>
      <w:numFmt w:val="none"/>
      <w:lvlRestart w:val="0"/>
      <w:suff w:val="nothing"/>
      <w:lvlText w:val=""/>
      <w:lvlJc w:val="left"/>
      <w:pPr>
        <w:ind w:left="0" w:firstLine="0"/>
      </w:pPr>
      <w:rPr>
        <w:rFonts w:hint="default"/>
        <w:caps/>
        <w:sz w:val="22"/>
        <w:szCs w:val="22"/>
      </w:rPr>
    </w:lvl>
    <w:lvl w:ilvl="7">
      <w:start w:val="1"/>
      <w:numFmt w:val="none"/>
      <w:lvlRestart w:val="0"/>
      <w:suff w:val="nothing"/>
      <w:lvlText w:val=""/>
      <w:lvlJc w:val="left"/>
      <w:pPr>
        <w:ind w:left="454" w:firstLine="0"/>
      </w:pPr>
      <w:rPr>
        <w:rFonts w:hint="default"/>
      </w:rPr>
    </w:lvl>
    <w:lvl w:ilvl="8">
      <w:start w:val="1"/>
      <w:numFmt w:val="none"/>
      <w:lvlRestart w:val="0"/>
      <w:lvlText w:val=""/>
      <w:lvlJc w:val="left"/>
      <w:pPr>
        <w:tabs>
          <w:tab w:val="num" w:pos="454"/>
        </w:tabs>
        <w:ind w:left="454" w:firstLine="0"/>
      </w:pPr>
      <w:rPr>
        <w:rFonts w:hint="default"/>
      </w:rPr>
    </w:lvl>
  </w:abstractNum>
  <w:abstractNum w:abstractNumId="22">
    <w:nsid w:val="72BB502B"/>
    <w:multiLevelType w:val="multilevel"/>
    <w:tmpl w:val="6FD4AAEC"/>
    <w:lvl w:ilvl="0">
      <w:start w:val="1"/>
      <w:numFmt w:val="lowerLetter"/>
      <w:lvlRestart w:val="0"/>
      <w:lvlText w:val="%1"/>
      <w:lvlJc w:val="left"/>
      <w:pPr>
        <w:tabs>
          <w:tab w:val="num" w:pos="170"/>
        </w:tabs>
        <w:ind w:left="0" w:firstLine="0"/>
      </w:pPr>
      <w:rPr>
        <w:rFonts w:hint="default"/>
        <w:b w:val="0"/>
        <w:i w:val="0"/>
        <w:color w:val="auto"/>
        <w:position w:val="4"/>
      </w:rPr>
    </w:lvl>
    <w:lvl w:ilvl="1">
      <w:start w:val="1"/>
      <w:numFmt w:val="lowerLetter"/>
      <w:lvlText w:val="%2."/>
      <w:lvlJc w:val="left"/>
      <w:pPr>
        <w:tabs>
          <w:tab w:val="num" w:pos="1440"/>
        </w:tabs>
        <w:ind w:left="1440" w:hanging="363"/>
      </w:pPr>
      <w:rPr>
        <w:rFonts w:hint="default"/>
      </w:rPr>
    </w:lvl>
    <w:lvl w:ilvl="2">
      <w:start w:val="1"/>
      <w:numFmt w:val="lowerRoman"/>
      <w:lvlText w:val="%3."/>
      <w:lvlJc w:val="right"/>
      <w:pPr>
        <w:tabs>
          <w:tab w:val="num" w:pos="2160"/>
        </w:tabs>
        <w:ind w:left="2160" w:hanging="181"/>
      </w:pPr>
      <w:rPr>
        <w:rFonts w:hint="default"/>
      </w:rPr>
    </w:lvl>
    <w:lvl w:ilvl="3">
      <w:start w:val="1"/>
      <w:numFmt w:val="decimal"/>
      <w:lvlText w:val="%4."/>
      <w:lvlJc w:val="left"/>
      <w:pPr>
        <w:tabs>
          <w:tab w:val="num" w:pos="2880"/>
        </w:tabs>
        <w:ind w:left="2880" w:hanging="363"/>
      </w:pPr>
      <w:rPr>
        <w:rFonts w:hint="default"/>
      </w:rPr>
    </w:lvl>
    <w:lvl w:ilvl="4">
      <w:start w:val="1"/>
      <w:numFmt w:val="lowerLetter"/>
      <w:lvlText w:val="%5."/>
      <w:lvlJc w:val="left"/>
      <w:pPr>
        <w:tabs>
          <w:tab w:val="num" w:pos="3600"/>
        </w:tabs>
        <w:ind w:left="3600" w:hanging="363"/>
      </w:pPr>
      <w:rPr>
        <w:rFonts w:hint="default"/>
      </w:rPr>
    </w:lvl>
    <w:lvl w:ilvl="5">
      <w:start w:val="1"/>
      <w:numFmt w:val="lowerRoman"/>
      <w:lvlText w:val="%6."/>
      <w:lvlJc w:val="right"/>
      <w:pPr>
        <w:tabs>
          <w:tab w:val="num" w:pos="4320"/>
        </w:tabs>
        <w:ind w:left="4320" w:hanging="181"/>
      </w:pPr>
      <w:rPr>
        <w:rFonts w:hint="default"/>
      </w:rPr>
    </w:lvl>
    <w:lvl w:ilvl="6">
      <w:start w:val="1"/>
      <w:numFmt w:val="decimal"/>
      <w:lvlText w:val="%7."/>
      <w:lvlJc w:val="left"/>
      <w:pPr>
        <w:tabs>
          <w:tab w:val="num" w:pos="5040"/>
        </w:tabs>
        <w:ind w:left="5040" w:hanging="363"/>
      </w:pPr>
      <w:rPr>
        <w:rFonts w:hint="default"/>
      </w:rPr>
    </w:lvl>
    <w:lvl w:ilvl="7">
      <w:start w:val="1"/>
      <w:numFmt w:val="lowerLetter"/>
      <w:lvlText w:val="%8."/>
      <w:lvlJc w:val="left"/>
      <w:pPr>
        <w:tabs>
          <w:tab w:val="num" w:pos="5760"/>
        </w:tabs>
        <w:ind w:left="5760" w:hanging="363"/>
      </w:pPr>
      <w:rPr>
        <w:rFonts w:hint="default"/>
      </w:rPr>
    </w:lvl>
    <w:lvl w:ilvl="8">
      <w:start w:val="1"/>
      <w:numFmt w:val="lowerRoman"/>
      <w:lvlText w:val="%9."/>
      <w:lvlJc w:val="right"/>
      <w:pPr>
        <w:tabs>
          <w:tab w:val="num" w:pos="6480"/>
        </w:tabs>
        <w:ind w:left="6480" w:hanging="181"/>
      </w:pPr>
      <w:rPr>
        <w:rFonts w:hint="default"/>
      </w:rPr>
    </w:lvl>
  </w:abstractNum>
  <w:abstractNum w:abstractNumId="23">
    <w:nsid w:val="78BD30A1"/>
    <w:multiLevelType w:val="multilevel"/>
    <w:tmpl w:val="2E386D60"/>
    <w:lvl w:ilvl="0">
      <w:start w:val="1"/>
      <w:numFmt w:val="lowerLetter"/>
      <w:lvlRestart w:val="0"/>
      <w:lvlText w:val="%1"/>
      <w:lvlJc w:val="left"/>
      <w:pPr>
        <w:tabs>
          <w:tab w:val="num" w:pos="170"/>
        </w:tabs>
        <w:ind w:left="0" w:firstLine="0"/>
      </w:pPr>
      <w:rPr>
        <w:rFonts w:hint="default"/>
        <w:b/>
        <w:i w:val="0"/>
        <w:color w:val="00497E"/>
        <w:position w:val="0"/>
      </w:rPr>
    </w:lvl>
    <w:lvl w:ilvl="1">
      <w:start w:val="1"/>
      <w:numFmt w:val="lowerLetter"/>
      <w:lvlText w:val="%2."/>
      <w:lvlJc w:val="left"/>
      <w:pPr>
        <w:tabs>
          <w:tab w:val="num" w:pos="1440"/>
        </w:tabs>
        <w:ind w:left="1440" w:hanging="363"/>
      </w:pPr>
      <w:rPr>
        <w:rFonts w:hint="default"/>
      </w:rPr>
    </w:lvl>
    <w:lvl w:ilvl="2">
      <w:start w:val="1"/>
      <w:numFmt w:val="lowerRoman"/>
      <w:lvlText w:val="%3."/>
      <w:lvlJc w:val="right"/>
      <w:pPr>
        <w:tabs>
          <w:tab w:val="num" w:pos="2160"/>
        </w:tabs>
        <w:ind w:left="2160" w:hanging="181"/>
      </w:pPr>
      <w:rPr>
        <w:rFonts w:hint="default"/>
      </w:rPr>
    </w:lvl>
    <w:lvl w:ilvl="3">
      <w:start w:val="1"/>
      <w:numFmt w:val="decimal"/>
      <w:lvlText w:val="%4."/>
      <w:lvlJc w:val="left"/>
      <w:pPr>
        <w:tabs>
          <w:tab w:val="num" w:pos="2880"/>
        </w:tabs>
        <w:ind w:left="2880" w:hanging="363"/>
      </w:pPr>
      <w:rPr>
        <w:rFonts w:hint="default"/>
      </w:rPr>
    </w:lvl>
    <w:lvl w:ilvl="4">
      <w:start w:val="1"/>
      <w:numFmt w:val="lowerLetter"/>
      <w:lvlText w:val="%5."/>
      <w:lvlJc w:val="left"/>
      <w:pPr>
        <w:tabs>
          <w:tab w:val="num" w:pos="3600"/>
        </w:tabs>
        <w:ind w:left="3600" w:hanging="363"/>
      </w:pPr>
      <w:rPr>
        <w:rFonts w:hint="default"/>
      </w:rPr>
    </w:lvl>
    <w:lvl w:ilvl="5">
      <w:start w:val="1"/>
      <w:numFmt w:val="lowerRoman"/>
      <w:lvlText w:val="%6."/>
      <w:lvlJc w:val="right"/>
      <w:pPr>
        <w:tabs>
          <w:tab w:val="num" w:pos="4320"/>
        </w:tabs>
        <w:ind w:left="4320" w:hanging="181"/>
      </w:pPr>
      <w:rPr>
        <w:rFonts w:hint="default"/>
      </w:rPr>
    </w:lvl>
    <w:lvl w:ilvl="6">
      <w:start w:val="1"/>
      <w:numFmt w:val="decimal"/>
      <w:lvlText w:val="%7."/>
      <w:lvlJc w:val="left"/>
      <w:pPr>
        <w:tabs>
          <w:tab w:val="num" w:pos="5040"/>
        </w:tabs>
        <w:ind w:left="5040" w:hanging="363"/>
      </w:pPr>
      <w:rPr>
        <w:rFonts w:hint="default"/>
        <w:caps w:val="0"/>
        <w:sz w:val="24"/>
        <w:szCs w:val="24"/>
      </w:rPr>
    </w:lvl>
    <w:lvl w:ilvl="7">
      <w:start w:val="1"/>
      <w:numFmt w:val="lowerLetter"/>
      <w:lvlText w:val="%8."/>
      <w:lvlJc w:val="left"/>
      <w:pPr>
        <w:tabs>
          <w:tab w:val="num" w:pos="5760"/>
        </w:tabs>
        <w:ind w:left="5760" w:hanging="363"/>
      </w:pPr>
      <w:rPr>
        <w:rFonts w:hint="default"/>
      </w:rPr>
    </w:lvl>
    <w:lvl w:ilvl="8">
      <w:start w:val="1"/>
      <w:numFmt w:val="lowerRoman"/>
      <w:lvlText w:val="%9."/>
      <w:lvlJc w:val="right"/>
      <w:pPr>
        <w:tabs>
          <w:tab w:val="num" w:pos="6480"/>
        </w:tabs>
        <w:ind w:left="6480" w:hanging="181"/>
      </w:pPr>
      <w:rPr>
        <w:rFonts w:hint="default"/>
      </w:rPr>
    </w:lvl>
  </w:abstractNum>
  <w:abstractNum w:abstractNumId="24">
    <w:nsid w:val="79E1124E"/>
    <w:multiLevelType w:val="hybridMultilevel"/>
    <w:tmpl w:val="6D42E656"/>
    <w:lvl w:ilvl="0" w:tplc="514C5648">
      <w:start w:val="1"/>
      <w:numFmt w:val="lowerLetter"/>
      <w:pStyle w:val="ListNumber2"/>
      <w:lvlText w:val="%1."/>
      <w:lvlJc w:val="left"/>
      <w:pPr>
        <w:tabs>
          <w:tab w:val="num" w:pos="567"/>
        </w:tabs>
        <w:ind w:left="567" w:hanging="283"/>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nsid w:val="7F7A528B"/>
    <w:multiLevelType w:val="hybridMultilevel"/>
    <w:tmpl w:val="4ADC517C"/>
    <w:lvl w:ilvl="0" w:tplc="43A45700">
      <w:start w:val="1"/>
      <w:numFmt w:val="bullet"/>
      <w:pStyle w:val="ListBullet"/>
      <w:lvlText w:val="&gt;"/>
      <w:lvlJc w:val="left"/>
      <w:pPr>
        <w:tabs>
          <w:tab w:val="num" w:pos="284"/>
        </w:tabs>
        <w:ind w:left="284" w:hanging="284"/>
      </w:pPr>
      <w:rPr>
        <w:rFonts w:hint="default"/>
        <w:color w:val="auto"/>
        <w:position w:val="3"/>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24"/>
  </w:num>
  <w:num w:numId="3">
    <w:abstractNumId w:val="2"/>
  </w:num>
  <w:num w:numId="4">
    <w:abstractNumId w:val="5"/>
  </w:num>
  <w:num w:numId="5">
    <w:abstractNumId w:val="8"/>
  </w:num>
  <w:num w:numId="6">
    <w:abstractNumId w:val="13"/>
  </w:num>
  <w:num w:numId="7">
    <w:abstractNumId w:val="10"/>
  </w:num>
  <w:num w:numId="8">
    <w:abstractNumId w:val="7"/>
  </w:num>
  <w:num w:numId="9">
    <w:abstractNumId w:val="4"/>
  </w:num>
  <w:num w:numId="10">
    <w:abstractNumId w:val="11"/>
    <w:lvlOverride w:ilvl="0">
      <w:startOverride w:val="1"/>
    </w:lvlOverride>
  </w:num>
  <w:num w:numId="11">
    <w:abstractNumId w:val="25"/>
  </w:num>
  <w:num w:numId="12">
    <w:abstractNumId w:val="15"/>
  </w:num>
  <w:num w:numId="13">
    <w:abstractNumId w:val="6"/>
  </w:num>
  <w:num w:numId="14">
    <w:abstractNumId w:val="21"/>
  </w:num>
  <w:num w:numId="15">
    <w:abstractNumId w:val="16"/>
  </w:num>
  <w:num w:numId="16">
    <w:abstractNumId w:val="17"/>
  </w:num>
  <w:num w:numId="17">
    <w:abstractNumId w:val="1"/>
  </w:num>
  <w:num w:numId="18">
    <w:abstractNumId w:val="3"/>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num>
  <w:num w:numId="22">
    <w:abstractNumId w:val="11"/>
  </w:num>
  <w:num w:numId="23">
    <w:abstractNumId w:val="22"/>
  </w:num>
  <w:num w:numId="24">
    <w:abstractNumId w:val="22"/>
    <w:lvlOverride w:ilvl="0">
      <w:startOverride w:val="1"/>
    </w:lvlOverride>
  </w:num>
  <w:num w:numId="25">
    <w:abstractNumId w:val="18"/>
  </w:num>
  <w:num w:numId="26">
    <w:abstractNumId w:val="9"/>
  </w:num>
  <w:num w:numId="27">
    <w:abstractNumId w:val="9"/>
    <w:lvlOverride w:ilvl="0">
      <w:startOverride w:val="1"/>
    </w:lvlOverride>
  </w:num>
  <w:num w:numId="28">
    <w:abstractNumId w:val="11"/>
    <w:lvlOverride w:ilvl="0">
      <w:startOverride w:val="1"/>
    </w:lvlOverride>
  </w:num>
  <w:num w:numId="29">
    <w:abstractNumId w:val="0"/>
  </w:num>
  <w:num w:numId="30">
    <w:abstractNumId w:val="19"/>
  </w:num>
  <w:num w:numId="31">
    <w:abstractNumId w:val="1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clickAndTypeStyle w:val="BodyText"/>
  <w:evenAndOddHeaders/>
  <w:drawingGridHorizontalSpacing w:val="120"/>
  <w:displayHorizontalDrawingGridEvery w:val="2"/>
  <w:displayVerticalDrawingGridEvery w:val="2"/>
  <w:noPunctuationKerning/>
  <w:characterSpacingControl w:val="doNotCompress"/>
  <w:hdrShapeDefaults>
    <o:shapedefaults v:ext="edit" spidmax="2049">
      <o:colormru v:ext="edit" colors="#5a9a98,#ddcf56,#ad495d,#ab9c8f,#b5d3d2,#7e6d5f,#f26631,#54534a"/>
    </o:shapedefaults>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34D1"/>
    <w:rsid w:val="00002939"/>
    <w:rsid w:val="00004368"/>
    <w:rsid w:val="000058D6"/>
    <w:rsid w:val="00011550"/>
    <w:rsid w:val="0001170C"/>
    <w:rsid w:val="00012169"/>
    <w:rsid w:val="000129D7"/>
    <w:rsid w:val="000134D1"/>
    <w:rsid w:val="0001356A"/>
    <w:rsid w:val="00014C09"/>
    <w:rsid w:val="00015DBC"/>
    <w:rsid w:val="00016771"/>
    <w:rsid w:val="00016CBA"/>
    <w:rsid w:val="00017D33"/>
    <w:rsid w:val="0002235F"/>
    <w:rsid w:val="00022D41"/>
    <w:rsid w:val="00024116"/>
    <w:rsid w:val="00025376"/>
    <w:rsid w:val="000257E7"/>
    <w:rsid w:val="00030588"/>
    <w:rsid w:val="00032910"/>
    <w:rsid w:val="0003425B"/>
    <w:rsid w:val="00034B41"/>
    <w:rsid w:val="00034E45"/>
    <w:rsid w:val="00035E2A"/>
    <w:rsid w:val="00037673"/>
    <w:rsid w:val="000433AB"/>
    <w:rsid w:val="00044EDD"/>
    <w:rsid w:val="000452A6"/>
    <w:rsid w:val="00045CD6"/>
    <w:rsid w:val="0004636D"/>
    <w:rsid w:val="00046974"/>
    <w:rsid w:val="000513B2"/>
    <w:rsid w:val="00051EE8"/>
    <w:rsid w:val="00053D8A"/>
    <w:rsid w:val="00060A32"/>
    <w:rsid w:val="00061389"/>
    <w:rsid w:val="00063C90"/>
    <w:rsid w:val="000655EB"/>
    <w:rsid w:val="00065C12"/>
    <w:rsid w:val="00067BEE"/>
    <w:rsid w:val="00067F6E"/>
    <w:rsid w:val="00070BAE"/>
    <w:rsid w:val="00070F05"/>
    <w:rsid w:val="000722A1"/>
    <w:rsid w:val="00074C9B"/>
    <w:rsid w:val="00075C1B"/>
    <w:rsid w:val="00075E37"/>
    <w:rsid w:val="000766F0"/>
    <w:rsid w:val="00076F26"/>
    <w:rsid w:val="000805B2"/>
    <w:rsid w:val="00082E97"/>
    <w:rsid w:val="000852E8"/>
    <w:rsid w:val="00085585"/>
    <w:rsid w:val="00085E50"/>
    <w:rsid w:val="00086164"/>
    <w:rsid w:val="000863C3"/>
    <w:rsid w:val="00090C8C"/>
    <w:rsid w:val="00092F37"/>
    <w:rsid w:val="000954C1"/>
    <w:rsid w:val="00097A76"/>
    <w:rsid w:val="000A0794"/>
    <w:rsid w:val="000A25CB"/>
    <w:rsid w:val="000A3437"/>
    <w:rsid w:val="000A4433"/>
    <w:rsid w:val="000A5851"/>
    <w:rsid w:val="000A5BCC"/>
    <w:rsid w:val="000A5DDA"/>
    <w:rsid w:val="000A7400"/>
    <w:rsid w:val="000A7708"/>
    <w:rsid w:val="000B0232"/>
    <w:rsid w:val="000B13AB"/>
    <w:rsid w:val="000B146D"/>
    <w:rsid w:val="000B4054"/>
    <w:rsid w:val="000B56CF"/>
    <w:rsid w:val="000B5B55"/>
    <w:rsid w:val="000B6330"/>
    <w:rsid w:val="000B67EA"/>
    <w:rsid w:val="000B7FF7"/>
    <w:rsid w:val="000C0125"/>
    <w:rsid w:val="000C0807"/>
    <w:rsid w:val="000C0D83"/>
    <w:rsid w:val="000C5224"/>
    <w:rsid w:val="000D074E"/>
    <w:rsid w:val="000D32D5"/>
    <w:rsid w:val="000D444F"/>
    <w:rsid w:val="000D4DE4"/>
    <w:rsid w:val="000E0333"/>
    <w:rsid w:val="000E2E8A"/>
    <w:rsid w:val="000E595E"/>
    <w:rsid w:val="000E5C21"/>
    <w:rsid w:val="000F0A60"/>
    <w:rsid w:val="000F6947"/>
    <w:rsid w:val="000F7DB9"/>
    <w:rsid w:val="000F7EBB"/>
    <w:rsid w:val="001020A5"/>
    <w:rsid w:val="00104CCC"/>
    <w:rsid w:val="00115A8C"/>
    <w:rsid w:val="00115D91"/>
    <w:rsid w:val="001204E2"/>
    <w:rsid w:val="001250BF"/>
    <w:rsid w:val="001260C2"/>
    <w:rsid w:val="001265E5"/>
    <w:rsid w:val="00127B7F"/>
    <w:rsid w:val="00130995"/>
    <w:rsid w:val="00132E41"/>
    <w:rsid w:val="001334FC"/>
    <w:rsid w:val="00133CDC"/>
    <w:rsid w:val="001360A4"/>
    <w:rsid w:val="00136E47"/>
    <w:rsid w:val="00136FF9"/>
    <w:rsid w:val="00137BA1"/>
    <w:rsid w:val="0014049B"/>
    <w:rsid w:val="00141818"/>
    <w:rsid w:val="00143525"/>
    <w:rsid w:val="001436A7"/>
    <w:rsid w:val="00144611"/>
    <w:rsid w:val="0014787F"/>
    <w:rsid w:val="00152786"/>
    <w:rsid w:val="00152D98"/>
    <w:rsid w:val="001564B4"/>
    <w:rsid w:val="00156521"/>
    <w:rsid w:val="001644AA"/>
    <w:rsid w:val="00165C4D"/>
    <w:rsid w:val="00166BE1"/>
    <w:rsid w:val="00167F93"/>
    <w:rsid w:val="001702D7"/>
    <w:rsid w:val="001707ED"/>
    <w:rsid w:val="00170B04"/>
    <w:rsid w:val="0017207C"/>
    <w:rsid w:val="00172093"/>
    <w:rsid w:val="0017313D"/>
    <w:rsid w:val="001756DD"/>
    <w:rsid w:val="00175CFE"/>
    <w:rsid w:val="00176846"/>
    <w:rsid w:val="001772C7"/>
    <w:rsid w:val="00177AE1"/>
    <w:rsid w:val="00180E63"/>
    <w:rsid w:val="00180EC6"/>
    <w:rsid w:val="00182E7D"/>
    <w:rsid w:val="001840DC"/>
    <w:rsid w:val="00184C6E"/>
    <w:rsid w:val="00187D56"/>
    <w:rsid w:val="00190C5C"/>
    <w:rsid w:val="00193384"/>
    <w:rsid w:val="001957F2"/>
    <w:rsid w:val="0019627A"/>
    <w:rsid w:val="00197485"/>
    <w:rsid w:val="001A157D"/>
    <w:rsid w:val="001A4314"/>
    <w:rsid w:val="001A4CB0"/>
    <w:rsid w:val="001A4F3D"/>
    <w:rsid w:val="001A5622"/>
    <w:rsid w:val="001A64D6"/>
    <w:rsid w:val="001A676A"/>
    <w:rsid w:val="001A7274"/>
    <w:rsid w:val="001A76CD"/>
    <w:rsid w:val="001A7A00"/>
    <w:rsid w:val="001B0BC3"/>
    <w:rsid w:val="001B1559"/>
    <w:rsid w:val="001B3A25"/>
    <w:rsid w:val="001B40B6"/>
    <w:rsid w:val="001B4115"/>
    <w:rsid w:val="001B7441"/>
    <w:rsid w:val="001B7D36"/>
    <w:rsid w:val="001C1650"/>
    <w:rsid w:val="001C18A5"/>
    <w:rsid w:val="001C54D5"/>
    <w:rsid w:val="001C557B"/>
    <w:rsid w:val="001C68A6"/>
    <w:rsid w:val="001C6E25"/>
    <w:rsid w:val="001D0D54"/>
    <w:rsid w:val="001D0D75"/>
    <w:rsid w:val="001D24B1"/>
    <w:rsid w:val="001D2D04"/>
    <w:rsid w:val="001D5233"/>
    <w:rsid w:val="001D65A4"/>
    <w:rsid w:val="001D6D93"/>
    <w:rsid w:val="001E0C82"/>
    <w:rsid w:val="001E521E"/>
    <w:rsid w:val="001E5458"/>
    <w:rsid w:val="001E61C0"/>
    <w:rsid w:val="001E628D"/>
    <w:rsid w:val="001E77A7"/>
    <w:rsid w:val="001F0E53"/>
    <w:rsid w:val="001F0E62"/>
    <w:rsid w:val="001F1365"/>
    <w:rsid w:val="001F353B"/>
    <w:rsid w:val="001F39C9"/>
    <w:rsid w:val="001F3FCB"/>
    <w:rsid w:val="001F4CD3"/>
    <w:rsid w:val="001F4E51"/>
    <w:rsid w:val="001F5AA9"/>
    <w:rsid w:val="001F6A09"/>
    <w:rsid w:val="00203160"/>
    <w:rsid w:val="00205AA6"/>
    <w:rsid w:val="0021017E"/>
    <w:rsid w:val="0021201E"/>
    <w:rsid w:val="00212975"/>
    <w:rsid w:val="00213176"/>
    <w:rsid w:val="00214C9D"/>
    <w:rsid w:val="002178C9"/>
    <w:rsid w:val="00226029"/>
    <w:rsid w:val="002263B6"/>
    <w:rsid w:val="00226880"/>
    <w:rsid w:val="0022688E"/>
    <w:rsid w:val="00226984"/>
    <w:rsid w:val="002274D0"/>
    <w:rsid w:val="00227D6B"/>
    <w:rsid w:val="002307AD"/>
    <w:rsid w:val="00230F10"/>
    <w:rsid w:val="00231CB6"/>
    <w:rsid w:val="00232097"/>
    <w:rsid w:val="00232C7A"/>
    <w:rsid w:val="00233570"/>
    <w:rsid w:val="00233D7A"/>
    <w:rsid w:val="00234583"/>
    <w:rsid w:val="00234D37"/>
    <w:rsid w:val="00236C53"/>
    <w:rsid w:val="00237451"/>
    <w:rsid w:val="00243468"/>
    <w:rsid w:val="0024348E"/>
    <w:rsid w:val="00244F96"/>
    <w:rsid w:val="0024542D"/>
    <w:rsid w:val="0024630C"/>
    <w:rsid w:val="002505BE"/>
    <w:rsid w:val="00250D70"/>
    <w:rsid w:val="002515F6"/>
    <w:rsid w:val="00254E51"/>
    <w:rsid w:val="00257012"/>
    <w:rsid w:val="00257199"/>
    <w:rsid w:val="002600C7"/>
    <w:rsid w:val="00260CE2"/>
    <w:rsid w:val="00261F3A"/>
    <w:rsid w:val="0026347A"/>
    <w:rsid w:val="00263B78"/>
    <w:rsid w:val="00266A89"/>
    <w:rsid w:val="00266B56"/>
    <w:rsid w:val="00266C05"/>
    <w:rsid w:val="002702DD"/>
    <w:rsid w:val="00272699"/>
    <w:rsid w:val="0027441E"/>
    <w:rsid w:val="0027483C"/>
    <w:rsid w:val="00281D52"/>
    <w:rsid w:val="002820D7"/>
    <w:rsid w:val="00286623"/>
    <w:rsid w:val="00286E03"/>
    <w:rsid w:val="00287F57"/>
    <w:rsid w:val="00291B3A"/>
    <w:rsid w:val="00292656"/>
    <w:rsid w:val="00292C3C"/>
    <w:rsid w:val="00294AA6"/>
    <w:rsid w:val="00294D4C"/>
    <w:rsid w:val="00296270"/>
    <w:rsid w:val="00297DF9"/>
    <w:rsid w:val="002A1D2F"/>
    <w:rsid w:val="002A2305"/>
    <w:rsid w:val="002A477C"/>
    <w:rsid w:val="002A4BB1"/>
    <w:rsid w:val="002A561C"/>
    <w:rsid w:val="002A6CE4"/>
    <w:rsid w:val="002B02EA"/>
    <w:rsid w:val="002B3053"/>
    <w:rsid w:val="002B33AD"/>
    <w:rsid w:val="002B3E15"/>
    <w:rsid w:val="002B70FE"/>
    <w:rsid w:val="002C018F"/>
    <w:rsid w:val="002C0F44"/>
    <w:rsid w:val="002C159E"/>
    <w:rsid w:val="002C23D1"/>
    <w:rsid w:val="002C257C"/>
    <w:rsid w:val="002C7822"/>
    <w:rsid w:val="002C79E4"/>
    <w:rsid w:val="002D2AD0"/>
    <w:rsid w:val="002D468F"/>
    <w:rsid w:val="002D4B8E"/>
    <w:rsid w:val="002D5DED"/>
    <w:rsid w:val="002D657C"/>
    <w:rsid w:val="002D6E19"/>
    <w:rsid w:val="002D7A0A"/>
    <w:rsid w:val="002D7DFA"/>
    <w:rsid w:val="002E000E"/>
    <w:rsid w:val="002E1AC2"/>
    <w:rsid w:val="002E2CDD"/>
    <w:rsid w:val="002E499B"/>
    <w:rsid w:val="002E7F6A"/>
    <w:rsid w:val="002F056E"/>
    <w:rsid w:val="002F36D2"/>
    <w:rsid w:val="002F3C1A"/>
    <w:rsid w:val="002F3E97"/>
    <w:rsid w:val="002F489A"/>
    <w:rsid w:val="003023FD"/>
    <w:rsid w:val="0030414F"/>
    <w:rsid w:val="00305213"/>
    <w:rsid w:val="0031131B"/>
    <w:rsid w:val="00312B95"/>
    <w:rsid w:val="00312E50"/>
    <w:rsid w:val="003147DD"/>
    <w:rsid w:val="00314BC9"/>
    <w:rsid w:val="00315D84"/>
    <w:rsid w:val="00321C81"/>
    <w:rsid w:val="0032240D"/>
    <w:rsid w:val="003225AB"/>
    <w:rsid w:val="00323965"/>
    <w:rsid w:val="00330A76"/>
    <w:rsid w:val="00330D74"/>
    <w:rsid w:val="00332945"/>
    <w:rsid w:val="00332D7F"/>
    <w:rsid w:val="00333127"/>
    <w:rsid w:val="003360B5"/>
    <w:rsid w:val="003368B5"/>
    <w:rsid w:val="003369D5"/>
    <w:rsid w:val="00336FAC"/>
    <w:rsid w:val="003371FC"/>
    <w:rsid w:val="00337AAE"/>
    <w:rsid w:val="003405D1"/>
    <w:rsid w:val="00345C2F"/>
    <w:rsid w:val="00347D10"/>
    <w:rsid w:val="00347E04"/>
    <w:rsid w:val="003522B0"/>
    <w:rsid w:val="00352A66"/>
    <w:rsid w:val="00352BDF"/>
    <w:rsid w:val="003557A9"/>
    <w:rsid w:val="0035655A"/>
    <w:rsid w:val="00357879"/>
    <w:rsid w:val="0036152B"/>
    <w:rsid w:val="00362300"/>
    <w:rsid w:val="00362945"/>
    <w:rsid w:val="00363DA6"/>
    <w:rsid w:val="003643A3"/>
    <w:rsid w:val="00364555"/>
    <w:rsid w:val="0036493C"/>
    <w:rsid w:val="00365725"/>
    <w:rsid w:val="00365BED"/>
    <w:rsid w:val="00365C6B"/>
    <w:rsid w:val="00365ECE"/>
    <w:rsid w:val="00366135"/>
    <w:rsid w:val="0037000D"/>
    <w:rsid w:val="0037179A"/>
    <w:rsid w:val="00372C90"/>
    <w:rsid w:val="00373509"/>
    <w:rsid w:val="003813B0"/>
    <w:rsid w:val="00381894"/>
    <w:rsid w:val="00382599"/>
    <w:rsid w:val="003852FD"/>
    <w:rsid w:val="003864C0"/>
    <w:rsid w:val="00386714"/>
    <w:rsid w:val="00386D59"/>
    <w:rsid w:val="003870E2"/>
    <w:rsid w:val="003908F2"/>
    <w:rsid w:val="00392BFC"/>
    <w:rsid w:val="00393384"/>
    <w:rsid w:val="00393C49"/>
    <w:rsid w:val="00395037"/>
    <w:rsid w:val="003950F3"/>
    <w:rsid w:val="00396AAB"/>
    <w:rsid w:val="00396E51"/>
    <w:rsid w:val="00396FEE"/>
    <w:rsid w:val="00397842"/>
    <w:rsid w:val="003A12E4"/>
    <w:rsid w:val="003A1A4E"/>
    <w:rsid w:val="003A2AFB"/>
    <w:rsid w:val="003A39F2"/>
    <w:rsid w:val="003A3E3B"/>
    <w:rsid w:val="003A437D"/>
    <w:rsid w:val="003A5F6E"/>
    <w:rsid w:val="003B0602"/>
    <w:rsid w:val="003B32D0"/>
    <w:rsid w:val="003B3833"/>
    <w:rsid w:val="003B3F9B"/>
    <w:rsid w:val="003B5B3A"/>
    <w:rsid w:val="003B669E"/>
    <w:rsid w:val="003C6716"/>
    <w:rsid w:val="003D277A"/>
    <w:rsid w:val="003D3401"/>
    <w:rsid w:val="003D41D9"/>
    <w:rsid w:val="003D7C66"/>
    <w:rsid w:val="003E15BE"/>
    <w:rsid w:val="003E4703"/>
    <w:rsid w:val="003E4E42"/>
    <w:rsid w:val="003E6A24"/>
    <w:rsid w:val="003E74A4"/>
    <w:rsid w:val="003F03CD"/>
    <w:rsid w:val="003F0648"/>
    <w:rsid w:val="003F159A"/>
    <w:rsid w:val="003F23B0"/>
    <w:rsid w:val="003F291D"/>
    <w:rsid w:val="003F4406"/>
    <w:rsid w:val="003F6535"/>
    <w:rsid w:val="003F7DFD"/>
    <w:rsid w:val="00403EC1"/>
    <w:rsid w:val="00404981"/>
    <w:rsid w:val="00404EA8"/>
    <w:rsid w:val="004069E3"/>
    <w:rsid w:val="00407CFC"/>
    <w:rsid w:val="00410D4E"/>
    <w:rsid w:val="00411191"/>
    <w:rsid w:val="00412989"/>
    <w:rsid w:val="004131F2"/>
    <w:rsid w:val="00414418"/>
    <w:rsid w:val="004146C9"/>
    <w:rsid w:val="00416765"/>
    <w:rsid w:val="00420072"/>
    <w:rsid w:val="00422524"/>
    <w:rsid w:val="00422662"/>
    <w:rsid w:val="004229B0"/>
    <w:rsid w:val="00425388"/>
    <w:rsid w:val="00427DB3"/>
    <w:rsid w:val="0043018B"/>
    <w:rsid w:val="00433FEB"/>
    <w:rsid w:val="0043622D"/>
    <w:rsid w:val="00442BE6"/>
    <w:rsid w:val="00443A52"/>
    <w:rsid w:val="0044452B"/>
    <w:rsid w:val="00445908"/>
    <w:rsid w:val="00446BFE"/>
    <w:rsid w:val="00447F42"/>
    <w:rsid w:val="0045116A"/>
    <w:rsid w:val="00451E60"/>
    <w:rsid w:val="00452E9D"/>
    <w:rsid w:val="004530AC"/>
    <w:rsid w:val="00453EB3"/>
    <w:rsid w:val="00453F69"/>
    <w:rsid w:val="00454368"/>
    <w:rsid w:val="004547C0"/>
    <w:rsid w:val="00454AE8"/>
    <w:rsid w:val="00456D32"/>
    <w:rsid w:val="0045720E"/>
    <w:rsid w:val="00457853"/>
    <w:rsid w:val="00457902"/>
    <w:rsid w:val="00460B25"/>
    <w:rsid w:val="00461AD2"/>
    <w:rsid w:val="00462797"/>
    <w:rsid w:val="00464228"/>
    <w:rsid w:val="00467537"/>
    <w:rsid w:val="00471026"/>
    <w:rsid w:val="004732C0"/>
    <w:rsid w:val="004739CA"/>
    <w:rsid w:val="00474394"/>
    <w:rsid w:val="004744D3"/>
    <w:rsid w:val="00475AD8"/>
    <w:rsid w:val="00475EFF"/>
    <w:rsid w:val="0047786B"/>
    <w:rsid w:val="004822A1"/>
    <w:rsid w:val="00482EF4"/>
    <w:rsid w:val="00483DD5"/>
    <w:rsid w:val="004845F1"/>
    <w:rsid w:val="00484BC2"/>
    <w:rsid w:val="00485509"/>
    <w:rsid w:val="00486E8C"/>
    <w:rsid w:val="004872E3"/>
    <w:rsid w:val="00487630"/>
    <w:rsid w:val="004900C1"/>
    <w:rsid w:val="00490743"/>
    <w:rsid w:val="00491178"/>
    <w:rsid w:val="00492FC4"/>
    <w:rsid w:val="00494CD3"/>
    <w:rsid w:val="00494FB3"/>
    <w:rsid w:val="00495EF4"/>
    <w:rsid w:val="00496DF9"/>
    <w:rsid w:val="00497240"/>
    <w:rsid w:val="004A1146"/>
    <w:rsid w:val="004A154E"/>
    <w:rsid w:val="004A2EFC"/>
    <w:rsid w:val="004A40BD"/>
    <w:rsid w:val="004A472E"/>
    <w:rsid w:val="004B0361"/>
    <w:rsid w:val="004B3904"/>
    <w:rsid w:val="004B7492"/>
    <w:rsid w:val="004B7C61"/>
    <w:rsid w:val="004C0E63"/>
    <w:rsid w:val="004C3546"/>
    <w:rsid w:val="004C3568"/>
    <w:rsid w:val="004C4638"/>
    <w:rsid w:val="004C5F8C"/>
    <w:rsid w:val="004C60B8"/>
    <w:rsid w:val="004C6119"/>
    <w:rsid w:val="004D18D0"/>
    <w:rsid w:val="004D5771"/>
    <w:rsid w:val="004D79AD"/>
    <w:rsid w:val="004E0E9B"/>
    <w:rsid w:val="004E493E"/>
    <w:rsid w:val="004E63CC"/>
    <w:rsid w:val="004F096E"/>
    <w:rsid w:val="004F0BE2"/>
    <w:rsid w:val="004F20E9"/>
    <w:rsid w:val="004F256B"/>
    <w:rsid w:val="004F75A1"/>
    <w:rsid w:val="004F79BD"/>
    <w:rsid w:val="00502E98"/>
    <w:rsid w:val="005031B6"/>
    <w:rsid w:val="00505594"/>
    <w:rsid w:val="00506BC4"/>
    <w:rsid w:val="00507A63"/>
    <w:rsid w:val="00507D05"/>
    <w:rsid w:val="00513602"/>
    <w:rsid w:val="005157A6"/>
    <w:rsid w:val="00531479"/>
    <w:rsid w:val="005343DE"/>
    <w:rsid w:val="005348EF"/>
    <w:rsid w:val="005351E9"/>
    <w:rsid w:val="005353FE"/>
    <w:rsid w:val="005359B3"/>
    <w:rsid w:val="005363D4"/>
    <w:rsid w:val="005374AC"/>
    <w:rsid w:val="005417A1"/>
    <w:rsid w:val="00545090"/>
    <w:rsid w:val="005510FE"/>
    <w:rsid w:val="00556B35"/>
    <w:rsid w:val="00561EE2"/>
    <w:rsid w:val="005631AD"/>
    <w:rsid w:val="005639EA"/>
    <w:rsid w:val="005667D5"/>
    <w:rsid w:val="00567BF6"/>
    <w:rsid w:val="005722A1"/>
    <w:rsid w:val="00572319"/>
    <w:rsid w:val="00572841"/>
    <w:rsid w:val="005742BE"/>
    <w:rsid w:val="00575350"/>
    <w:rsid w:val="00580DC4"/>
    <w:rsid w:val="00585433"/>
    <w:rsid w:val="005879C7"/>
    <w:rsid w:val="005900F7"/>
    <w:rsid w:val="005910A3"/>
    <w:rsid w:val="00591DD6"/>
    <w:rsid w:val="005925E4"/>
    <w:rsid w:val="00592A83"/>
    <w:rsid w:val="00593B07"/>
    <w:rsid w:val="00593E3E"/>
    <w:rsid w:val="005942EA"/>
    <w:rsid w:val="005943A7"/>
    <w:rsid w:val="00596832"/>
    <w:rsid w:val="005A1052"/>
    <w:rsid w:val="005A24F6"/>
    <w:rsid w:val="005A341D"/>
    <w:rsid w:val="005A3FE0"/>
    <w:rsid w:val="005B1DF4"/>
    <w:rsid w:val="005B2981"/>
    <w:rsid w:val="005B7710"/>
    <w:rsid w:val="005C206D"/>
    <w:rsid w:val="005C2C17"/>
    <w:rsid w:val="005C349D"/>
    <w:rsid w:val="005C4005"/>
    <w:rsid w:val="005C4BD3"/>
    <w:rsid w:val="005C6FD6"/>
    <w:rsid w:val="005D0AF9"/>
    <w:rsid w:val="005D1E18"/>
    <w:rsid w:val="005D244B"/>
    <w:rsid w:val="005D2B37"/>
    <w:rsid w:val="005D4715"/>
    <w:rsid w:val="005E0A0B"/>
    <w:rsid w:val="005E1812"/>
    <w:rsid w:val="005E1AF2"/>
    <w:rsid w:val="005E1D7A"/>
    <w:rsid w:val="005E2411"/>
    <w:rsid w:val="005E344F"/>
    <w:rsid w:val="005E3CEF"/>
    <w:rsid w:val="005E51D2"/>
    <w:rsid w:val="005E725C"/>
    <w:rsid w:val="005F168A"/>
    <w:rsid w:val="005F177B"/>
    <w:rsid w:val="005F1840"/>
    <w:rsid w:val="005F218A"/>
    <w:rsid w:val="005F2F06"/>
    <w:rsid w:val="005F5193"/>
    <w:rsid w:val="005F5300"/>
    <w:rsid w:val="005F551B"/>
    <w:rsid w:val="005F5C10"/>
    <w:rsid w:val="005F710E"/>
    <w:rsid w:val="005F7879"/>
    <w:rsid w:val="006007F6"/>
    <w:rsid w:val="00600811"/>
    <w:rsid w:val="00600A18"/>
    <w:rsid w:val="00601D94"/>
    <w:rsid w:val="00602D21"/>
    <w:rsid w:val="00604147"/>
    <w:rsid w:val="00605815"/>
    <w:rsid w:val="00605C82"/>
    <w:rsid w:val="0060617B"/>
    <w:rsid w:val="00614A27"/>
    <w:rsid w:val="00615247"/>
    <w:rsid w:val="006155FC"/>
    <w:rsid w:val="00615695"/>
    <w:rsid w:val="0061668C"/>
    <w:rsid w:val="006203BD"/>
    <w:rsid w:val="0062059B"/>
    <w:rsid w:val="00622F4A"/>
    <w:rsid w:val="00624C5C"/>
    <w:rsid w:val="00627E76"/>
    <w:rsid w:val="006323A6"/>
    <w:rsid w:val="00632B1F"/>
    <w:rsid w:val="006347E0"/>
    <w:rsid w:val="00635A99"/>
    <w:rsid w:val="00636A86"/>
    <w:rsid w:val="00644843"/>
    <w:rsid w:val="00645987"/>
    <w:rsid w:val="0065046E"/>
    <w:rsid w:val="006504EE"/>
    <w:rsid w:val="00650B00"/>
    <w:rsid w:val="0065259E"/>
    <w:rsid w:val="00652754"/>
    <w:rsid w:val="0065282A"/>
    <w:rsid w:val="006536A9"/>
    <w:rsid w:val="006545BF"/>
    <w:rsid w:val="00657C61"/>
    <w:rsid w:val="00657CB6"/>
    <w:rsid w:val="00657E00"/>
    <w:rsid w:val="006625B4"/>
    <w:rsid w:val="006640FE"/>
    <w:rsid w:val="0066555C"/>
    <w:rsid w:val="00665A97"/>
    <w:rsid w:val="00671255"/>
    <w:rsid w:val="00671A3F"/>
    <w:rsid w:val="00672BEE"/>
    <w:rsid w:val="0067448D"/>
    <w:rsid w:val="006762E5"/>
    <w:rsid w:val="006764C8"/>
    <w:rsid w:val="006777A0"/>
    <w:rsid w:val="0068073C"/>
    <w:rsid w:val="006813C8"/>
    <w:rsid w:val="00681A3E"/>
    <w:rsid w:val="00682A07"/>
    <w:rsid w:val="00683B97"/>
    <w:rsid w:val="00683CCF"/>
    <w:rsid w:val="00683DC7"/>
    <w:rsid w:val="00683E06"/>
    <w:rsid w:val="0068568E"/>
    <w:rsid w:val="00685B51"/>
    <w:rsid w:val="0069068B"/>
    <w:rsid w:val="006931D5"/>
    <w:rsid w:val="00694103"/>
    <w:rsid w:val="00694A06"/>
    <w:rsid w:val="006974FC"/>
    <w:rsid w:val="006A0482"/>
    <w:rsid w:val="006A13BF"/>
    <w:rsid w:val="006A53F6"/>
    <w:rsid w:val="006A73BD"/>
    <w:rsid w:val="006B7405"/>
    <w:rsid w:val="006B7C24"/>
    <w:rsid w:val="006B7CF9"/>
    <w:rsid w:val="006C0139"/>
    <w:rsid w:val="006C111C"/>
    <w:rsid w:val="006C1AEE"/>
    <w:rsid w:val="006C27E2"/>
    <w:rsid w:val="006C3927"/>
    <w:rsid w:val="006C51F7"/>
    <w:rsid w:val="006C6244"/>
    <w:rsid w:val="006C6761"/>
    <w:rsid w:val="006D0368"/>
    <w:rsid w:val="006D2333"/>
    <w:rsid w:val="006D3DBE"/>
    <w:rsid w:val="006D571E"/>
    <w:rsid w:val="006D6CC7"/>
    <w:rsid w:val="006D7765"/>
    <w:rsid w:val="006D7C85"/>
    <w:rsid w:val="006E1CA2"/>
    <w:rsid w:val="006E2C81"/>
    <w:rsid w:val="006E343F"/>
    <w:rsid w:val="006E42F5"/>
    <w:rsid w:val="006E4AA9"/>
    <w:rsid w:val="006E6DB3"/>
    <w:rsid w:val="006E7145"/>
    <w:rsid w:val="006E7CC1"/>
    <w:rsid w:val="006F0B6B"/>
    <w:rsid w:val="006F47C8"/>
    <w:rsid w:val="006F4BD3"/>
    <w:rsid w:val="006F4D16"/>
    <w:rsid w:val="006F51B5"/>
    <w:rsid w:val="006F51F9"/>
    <w:rsid w:val="006F698C"/>
    <w:rsid w:val="006F715C"/>
    <w:rsid w:val="006F7A23"/>
    <w:rsid w:val="0070010D"/>
    <w:rsid w:val="007004DA"/>
    <w:rsid w:val="00701726"/>
    <w:rsid w:val="00701E8F"/>
    <w:rsid w:val="007031E2"/>
    <w:rsid w:val="007057C4"/>
    <w:rsid w:val="00711B43"/>
    <w:rsid w:val="007122CC"/>
    <w:rsid w:val="00716799"/>
    <w:rsid w:val="007203FD"/>
    <w:rsid w:val="007339FC"/>
    <w:rsid w:val="0073548A"/>
    <w:rsid w:val="00735789"/>
    <w:rsid w:val="007375CF"/>
    <w:rsid w:val="00737F14"/>
    <w:rsid w:val="00740BD4"/>
    <w:rsid w:val="00742F5B"/>
    <w:rsid w:val="00743173"/>
    <w:rsid w:val="0074328B"/>
    <w:rsid w:val="007500A2"/>
    <w:rsid w:val="00751A18"/>
    <w:rsid w:val="0075426C"/>
    <w:rsid w:val="00754B6C"/>
    <w:rsid w:val="00754F6D"/>
    <w:rsid w:val="007609DE"/>
    <w:rsid w:val="00760D7B"/>
    <w:rsid w:val="00762176"/>
    <w:rsid w:val="00764B16"/>
    <w:rsid w:val="0076664B"/>
    <w:rsid w:val="00771A8A"/>
    <w:rsid w:val="00773ADD"/>
    <w:rsid w:val="00774D4F"/>
    <w:rsid w:val="00774FA0"/>
    <w:rsid w:val="00777A11"/>
    <w:rsid w:val="0078013B"/>
    <w:rsid w:val="00780E9B"/>
    <w:rsid w:val="00784027"/>
    <w:rsid w:val="007848F3"/>
    <w:rsid w:val="00784C7B"/>
    <w:rsid w:val="007864C1"/>
    <w:rsid w:val="00786718"/>
    <w:rsid w:val="00787FCC"/>
    <w:rsid w:val="00794312"/>
    <w:rsid w:val="00794B4D"/>
    <w:rsid w:val="0079518B"/>
    <w:rsid w:val="0079601B"/>
    <w:rsid w:val="00797D46"/>
    <w:rsid w:val="007A01CC"/>
    <w:rsid w:val="007A0524"/>
    <w:rsid w:val="007A2597"/>
    <w:rsid w:val="007A2D4A"/>
    <w:rsid w:val="007A32BB"/>
    <w:rsid w:val="007A3F9F"/>
    <w:rsid w:val="007A4C9D"/>
    <w:rsid w:val="007A5DFF"/>
    <w:rsid w:val="007B149E"/>
    <w:rsid w:val="007B1D16"/>
    <w:rsid w:val="007B2DB4"/>
    <w:rsid w:val="007B4677"/>
    <w:rsid w:val="007B497F"/>
    <w:rsid w:val="007B4ED1"/>
    <w:rsid w:val="007B713F"/>
    <w:rsid w:val="007B794B"/>
    <w:rsid w:val="007C066E"/>
    <w:rsid w:val="007C0DEC"/>
    <w:rsid w:val="007C1ECE"/>
    <w:rsid w:val="007C3820"/>
    <w:rsid w:val="007C4F33"/>
    <w:rsid w:val="007C53BD"/>
    <w:rsid w:val="007D1A32"/>
    <w:rsid w:val="007D3FA4"/>
    <w:rsid w:val="007D620F"/>
    <w:rsid w:val="007E14BD"/>
    <w:rsid w:val="007E31D9"/>
    <w:rsid w:val="007E31EA"/>
    <w:rsid w:val="007E3B25"/>
    <w:rsid w:val="007E3B7D"/>
    <w:rsid w:val="007E5A22"/>
    <w:rsid w:val="007E7710"/>
    <w:rsid w:val="007F2008"/>
    <w:rsid w:val="007F22AC"/>
    <w:rsid w:val="007F3C6B"/>
    <w:rsid w:val="007F42E3"/>
    <w:rsid w:val="007F4388"/>
    <w:rsid w:val="007F4788"/>
    <w:rsid w:val="007F618A"/>
    <w:rsid w:val="00801432"/>
    <w:rsid w:val="00802290"/>
    <w:rsid w:val="00803305"/>
    <w:rsid w:val="0080375B"/>
    <w:rsid w:val="00804F53"/>
    <w:rsid w:val="0081042F"/>
    <w:rsid w:val="00810C27"/>
    <w:rsid w:val="008120AF"/>
    <w:rsid w:val="008125B6"/>
    <w:rsid w:val="00812625"/>
    <w:rsid w:val="00817C8F"/>
    <w:rsid w:val="00820982"/>
    <w:rsid w:val="0082170D"/>
    <w:rsid w:val="0082187A"/>
    <w:rsid w:val="00822223"/>
    <w:rsid w:val="00822802"/>
    <w:rsid w:val="00822F48"/>
    <w:rsid w:val="00825521"/>
    <w:rsid w:val="00831989"/>
    <w:rsid w:val="00831EBD"/>
    <w:rsid w:val="00836BE4"/>
    <w:rsid w:val="008378B4"/>
    <w:rsid w:val="00840A1A"/>
    <w:rsid w:val="00840D02"/>
    <w:rsid w:val="008431E0"/>
    <w:rsid w:val="00844665"/>
    <w:rsid w:val="00844C68"/>
    <w:rsid w:val="00845E4B"/>
    <w:rsid w:val="00846735"/>
    <w:rsid w:val="00846905"/>
    <w:rsid w:val="00846E42"/>
    <w:rsid w:val="00850601"/>
    <w:rsid w:val="00852698"/>
    <w:rsid w:val="00852948"/>
    <w:rsid w:val="00853065"/>
    <w:rsid w:val="00854598"/>
    <w:rsid w:val="00856BDC"/>
    <w:rsid w:val="00861C4F"/>
    <w:rsid w:val="008642DF"/>
    <w:rsid w:val="0086434F"/>
    <w:rsid w:val="00864C36"/>
    <w:rsid w:val="00865AD8"/>
    <w:rsid w:val="00866CE0"/>
    <w:rsid w:val="008721CC"/>
    <w:rsid w:val="00872226"/>
    <w:rsid w:val="0087239F"/>
    <w:rsid w:val="00872B47"/>
    <w:rsid w:val="00875F84"/>
    <w:rsid w:val="008773C3"/>
    <w:rsid w:val="00877623"/>
    <w:rsid w:val="008824EE"/>
    <w:rsid w:val="00882B7E"/>
    <w:rsid w:val="00882D96"/>
    <w:rsid w:val="00883EFA"/>
    <w:rsid w:val="00885A80"/>
    <w:rsid w:val="00887818"/>
    <w:rsid w:val="00893260"/>
    <w:rsid w:val="008952E6"/>
    <w:rsid w:val="0089533A"/>
    <w:rsid w:val="008A063A"/>
    <w:rsid w:val="008A1261"/>
    <w:rsid w:val="008A146D"/>
    <w:rsid w:val="008A37E3"/>
    <w:rsid w:val="008A5294"/>
    <w:rsid w:val="008A6398"/>
    <w:rsid w:val="008A73CB"/>
    <w:rsid w:val="008A7FE6"/>
    <w:rsid w:val="008B02D1"/>
    <w:rsid w:val="008B092E"/>
    <w:rsid w:val="008B1816"/>
    <w:rsid w:val="008B1A8D"/>
    <w:rsid w:val="008B1C28"/>
    <w:rsid w:val="008B31F8"/>
    <w:rsid w:val="008B7A52"/>
    <w:rsid w:val="008B7F12"/>
    <w:rsid w:val="008C00EC"/>
    <w:rsid w:val="008C0773"/>
    <w:rsid w:val="008C0CE5"/>
    <w:rsid w:val="008C1F78"/>
    <w:rsid w:val="008C3DBB"/>
    <w:rsid w:val="008C5ABC"/>
    <w:rsid w:val="008C5C88"/>
    <w:rsid w:val="008C643A"/>
    <w:rsid w:val="008C6CE3"/>
    <w:rsid w:val="008D095A"/>
    <w:rsid w:val="008D75EB"/>
    <w:rsid w:val="008E0A3D"/>
    <w:rsid w:val="008E0A75"/>
    <w:rsid w:val="008E0EAF"/>
    <w:rsid w:val="008E1805"/>
    <w:rsid w:val="008E6453"/>
    <w:rsid w:val="009027ED"/>
    <w:rsid w:val="00904E49"/>
    <w:rsid w:val="0090525F"/>
    <w:rsid w:val="00917927"/>
    <w:rsid w:val="00920B05"/>
    <w:rsid w:val="009211C6"/>
    <w:rsid w:val="00923EEE"/>
    <w:rsid w:val="00924453"/>
    <w:rsid w:val="009254FA"/>
    <w:rsid w:val="009273A1"/>
    <w:rsid w:val="00932EB4"/>
    <w:rsid w:val="009340B2"/>
    <w:rsid w:val="00936BC3"/>
    <w:rsid w:val="009374CE"/>
    <w:rsid w:val="00940671"/>
    <w:rsid w:val="00940ECD"/>
    <w:rsid w:val="00941A6A"/>
    <w:rsid w:val="00941C25"/>
    <w:rsid w:val="0094415E"/>
    <w:rsid w:val="0094416B"/>
    <w:rsid w:val="00944CD3"/>
    <w:rsid w:val="00946625"/>
    <w:rsid w:val="00951733"/>
    <w:rsid w:val="009519FC"/>
    <w:rsid w:val="00952317"/>
    <w:rsid w:val="00953A8D"/>
    <w:rsid w:val="0095692A"/>
    <w:rsid w:val="00957D8E"/>
    <w:rsid w:val="0096040D"/>
    <w:rsid w:val="009606C6"/>
    <w:rsid w:val="00960AA9"/>
    <w:rsid w:val="00960D9D"/>
    <w:rsid w:val="009622C7"/>
    <w:rsid w:val="009663D4"/>
    <w:rsid w:val="0097035C"/>
    <w:rsid w:val="0097190C"/>
    <w:rsid w:val="009765DD"/>
    <w:rsid w:val="009775E7"/>
    <w:rsid w:val="0098097B"/>
    <w:rsid w:val="00981906"/>
    <w:rsid w:val="00982E10"/>
    <w:rsid w:val="00983CBF"/>
    <w:rsid w:val="00983D3D"/>
    <w:rsid w:val="00985129"/>
    <w:rsid w:val="00985BC6"/>
    <w:rsid w:val="00990CCF"/>
    <w:rsid w:val="0099128C"/>
    <w:rsid w:val="009918D7"/>
    <w:rsid w:val="009919C7"/>
    <w:rsid w:val="009932CC"/>
    <w:rsid w:val="0099432E"/>
    <w:rsid w:val="0099453D"/>
    <w:rsid w:val="009951C5"/>
    <w:rsid w:val="00996D23"/>
    <w:rsid w:val="00997A92"/>
    <w:rsid w:val="009A0A11"/>
    <w:rsid w:val="009A1504"/>
    <w:rsid w:val="009A1864"/>
    <w:rsid w:val="009A1C69"/>
    <w:rsid w:val="009A28D5"/>
    <w:rsid w:val="009A3393"/>
    <w:rsid w:val="009A43A3"/>
    <w:rsid w:val="009A7A34"/>
    <w:rsid w:val="009B0288"/>
    <w:rsid w:val="009B077D"/>
    <w:rsid w:val="009B5599"/>
    <w:rsid w:val="009C0FD7"/>
    <w:rsid w:val="009C3C8C"/>
    <w:rsid w:val="009C4C54"/>
    <w:rsid w:val="009C4FD2"/>
    <w:rsid w:val="009C7161"/>
    <w:rsid w:val="009C76C1"/>
    <w:rsid w:val="009D05EC"/>
    <w:rsid w:val="009D3AF6"/>
    <w:rsid w:val="009D4019"/>
    <w:rsid w:val="009D69A7"/>
    <w:rsid w:val="009E11BA"/>
    <w:rsid w:val="009E141B"/>
    <w:rsid w:val="009E2D6C"/>
    <w:rsid w:val="009E660D"/>
    <w:rsid w:val="009E7811"/>
    <w:rsid w:val="009F04E9"/>
    <w:rsid w:val="009F50D8"/>
    <w:rsid w:val="009F53F8"/>
    <w:rsid w:val="009F7240"/>
    <w:rsid w:val="009F7E80"/>
    <w:rsid w:val="00A00CE0"/>
    <w:rsid w:val="00A03535"/>
    <w:rsid w:val="00A045A2"/>
    <w:rsid w:val="00A04B6D"/>
    <w:rsid w:val="00A06166"/>
    <w:rsid w:val="00A06DD7"/>
    <w:rsid w:val="00A12BCC"/>
    <w:rsid w:val="00A14318"/>
    <w:rsid w:val="00A14F4E"/>
    <w:rsid w:val="00A167FB"/>
    <w:rsid w:val="00A17A04"/>
    <w:rsid w:val="00A20E1D"/>
    <w:rsid w:val="00A241E3"/>
    <w:rsid w:val="00A245AB"/>
    <w:rsid w:val="00A2712F"/>
    <w:rsid w:val="00A31436"/>
    <w:rsid w:val="00A32095"/>
    <w:rsid w:val="00A32E70"/>
    <w:rsid w:val="00A33E33"/>
    <w:rsid w:val="00A34D08"/>
    <w:rsid w:val="00A34D7D"/>
    <w:rsid w:val="00A361C3"/>
    <w:rsid w:val="00A36232"/>
    <w:rsid w:val="00A36E23"/>
    <w:rsid w:val="00A43557"/>
    <w:rsid w:val="00A44D85"/>
    <w:rsid w:val="00A45025"/>
    <w:rsid w:val="00A45844"/>
    <w:rsid w:val="00A50FA1"/>
    <w:rsid w:val="00A51077"/>
    <w:rsid w:val="00A5433B"/>
    <w:rsid w:val="00A5482F"/>
    <w:rsid w:val="00A54C60"/>
    <w:rsid w:val="00A54E1A"/>
    <w:rsid w:val="00A56A48"/>
    <w:rsid w:val="00A60B48"/>
    <w:rsid w:val="00A614D0"/>
    <w:rsid w:val="00A61A23"/>
    <w:rsid w:val="00A62BFB"/>
    <w:rsid w:val="00A640B5"/>
    <w:rsid w:val="00A65FDE"/>
    <w:rsid w:val="00A6602B"/>
    <w:rsid w:val="00A71943"/>
    <w:rsid w:val="00A730EF"/>
    <w:rsid w:val="00A7361D"/>
    <w:rsid w:val="00A7456C"/>
    <w:rsid w:val="00A75588"/>
    <w:rsid w:val="00A772B5"/>
    <w:rsid w:val="00A778FF"/>
    <w:rsid w:val="00A77D5D"/>
    <w:rsid w:val="00A82118"/>
    <w:rsid w:val="00A82C16"/>
    <w:rsid w:val="00A82EA9"/>
    <w:rsid w:val="00A87BD4"/>
    <w:rsid w:val="00A91E7F"/>
    <w:rsid w:val="00A958AE"/>
    <w:rsid w:val="00A95B57"/>
    <w:rsid w:val="00A95C14"/>
    <w:rsid w:val="00A95FAA"/>
    <w:rsid w:val="00A97542"/>
    <w:rsid w:val="00A97BA6"/>
    <w:rsid w:val="00AA0797"/>
    <w:rsid w:val="00AA4BFF"/>
    <w:rsid w:val="00AA6677"/>
    <w:rsid w:val="00AB0069"/>
    <w:rsid w:val="00AB18A3"/>
    <w:rsid w:val="00AB24E1"/>
    <w:rsid w:val="00AB2AB3"/>
    <w:rsid w:val="00AB3D71"/>
    <w:rsid w:val="00AB6EAC"/>
    <w:rsid w:val="00AC0C59"/>
    <w:rsid w:val="00AC67A5"/>
    <w:rsid w:val="00AD0EF9"/>
    <w:rsid w:val="00AD1F3F"/>
    <w:rsid w:val="00AD2944"/>
    <w:rsid w:val="00AD35EF"/>
    <w:rsid w:val="00AD4A4D"/>
    <w:rsid w:val="00AD57B1"/>
    <w:rsid w:val="00AD612A"/>
    <w:rsid w:val="00AD7A2D"/>
    <w:rsid w:val="00AE2F42"/>
    <w:rsid w:val="00AE33A9"/>
    <w:rsid w:val="00AE4666"/>
    <w:rsid w:val="00AE5255"/>
    <w:rsid w:val="00AF10AF"/>
    <w:rsid w:val="00AF140A"/>
    <w:rsid w:val="00AF1F7E"/>
    <w:rsid w:val="00AF2CDB"/>
    <w:rsid w:val="00AF4251"/>
    <w:rsid w:val="00AF4AEB"/>
    <w:rsid w:val="00AF5A5E"/>
    <w:rsid w:val="00AF7241"/>
    <w:rsid w:val="00B0153A"/>
    <w:rsid w:val="00B03CE1"/>
    <w:rsid w:val="00B03E45"/>
    <w:rsid w:val="00B045F0"/>
    <w:rsid w:val="00B04889"/>
    <w:rsid w:val="00B04DC4"/>
    <w:rsid w:val="00B06013"/>
    <w:rsid w:val="00B06CAC"/>
    <w:rsid w:val="00B07049"/>
    <w:rsid w:val="00B07EDA"/>
    <w:rsid w:val="00B1380A"/>
    <w:rsid w:val="00B13902"/>
    <w:rsid w:val="00B13FA7"/>
    <w:rsid w:val="00B14244"/>
    <w:rsid w:val="00B1506B"/>
    <w:rsid w:val="00B238AA"/>
    <w:rsid w:val="00B24B2E"/>
    <w:rsid w:val="00B24DB2"/>
    <w:rsid w:val="00B251E2"/>
    <w:rsid w:val="00B25570"/>
    <w:rsid w:val="00B2579E"/>
    <w:rsid w:val="00B25DA5"/>
    <w:rsid w:val="00B260DF"/>
    <w:rsid w:val="00B31660"/>
    <w:rsid w:val="00B32F91"/>
    <w:rsid w:val="00B3394C"/>
    <w:rsid w:val="00B33AC0"/>
    <w:rsid w:val="00B3402A"/>
    <w:rsid w:val="00B34081"/>
    <w:rsid w:val="00B35386"/>
    <w:rsid w:val="00B356C3"/>
    <w:rsid w:val="00B35BF4"/>
    <w:rsid w:val="00B362C6"/>
    <w:rsid w:val="00B37E3B"/>
    <w:rsid w:val="00B40BE8"/>
    <w:rsid w:val="00B4128A"/>
    <w:rsid w:val="00B417C6"/>
    <w:rsid w:val="00B41994"/>
    <w:rsid w:val="00B42655"/>
    <w:rsid w:val="00B43AB4"/>
    <w:rsid w:val="00B44BDA"/>
    <w:rsid w:val="00B453F2"/>
    <w:rsid w:val="00B462E6"/>
    <w:rsid w:val="00B46EBD"/>
    <w:rsid w:val="00B51489"/>
    <w:rsid w:val="00B5163B"/>
    <w:rsid w:val="00B51651"/>
    <w:rsid w:val="00B5188A"/>
    <w:rsid w:val="00B546BF"/>
    <w:rsid w:val="00B562C4"/>
    <w:rsid w:val="00B571D5"/>
    <w:rsid w:val="00B57273"/>
    <w:rsid w:val="00B6012E"/>
    <w:rsid w:val="00B61C6C"/>
    <w:rsid w:val="00B622E7"/>
    <w:rsid w:val="00B62C96"/>
    <w:rsid w:val="00B6380C"/>
    <w:rsid w:val="00B641A3"/>
    <w:rsid w:val="00B64223"/>
    <w:rsid w:val="00B6545B"/>
    <w:rsid w:val="00B6556C"/>
    <w:rsid w:val="00B6734D"/>
    <w:rsid w:val="00B72189"/>
    <w:rsid w:val="00B72B76"/>
    <w:rsid w:val="00B72F4B"/>
    <w:rsid w:val="00B73DAC"/>
    <w:rsid w:val="00B7597A"/>
    <w:rsid w:val="00B75E8C"/>
    <w:rsid w:val="00B7603F"/>
    <w:rsid w:val="00B761E5"/>
    <w:rsid w:val="00B77EF4"/>
    <w:rsid w:val="00B815E2"/>
    <w:rsid w:val="00B84A71"/>
    <w:rsid w:val="00B871A9"/>
    <w:rsid w:val="00B87B22"/>
    <w:rsid w:val="00B906FF"/>
    <w:rsid w:val="00B9211C"/>
    <w:rsid w:val="00B92EEC"/>
    <w:rsid w:val="00B950A5"/>
    <w:rsid w:val="00B97541"/>
    <w:rsid w:val="00BA063A"/>
    <w:rsid w:val="00BA1CA0"/>
    <w:rsid w:val="00BA455A"/>
    <w:rsid w:val="00BA5528"/>
    <w:rsid w:val="00BA688E"/>
    <w:rsid w:val="00BB0742"/>
    <w:rsid w:val="00BB2C55"/>
    <w:rsid w:val="00BB6818"/>
    <w:rsid w:val="00BC013C"/>
    <w:rsid w:val="00BC0541"/>
    <w:rsid w:val="00BC0C96"/>
    <w:rsid w:val="00BC328D"/>
    <w:rsid w:val="00BC45BA"/>
    <w:rsid w:val="00BC5F4E"/>
    <w:rsid w:val="00BC5FDE"/>
    <w:rsid w:val="00BC7297"/>
    <w:rsid w:val="00BD0240"/>
    <w:rsid w:val="00BD0822"/>
    <w:rsid w:val="00BD2ADF"/>
    <w:rsid w:val="00BD2C19"/>
    <w:rsid w:val="00BD3795"/>
    <w:rsid w:val="00BD4A8B"/>
    <w:rsid w:val="00BD5E01"/>
    <w:rsid w:val="00BD799F"/>
    <w:rsid w:val="00BE0125"/>
    <w:rsid w:val="00BE5FB6"/>
    <w:rsid w:val="00BE79DB"/>
    <w:rsid w:val="00BF11D7"/>
    <w:rsid w:val="00BF467C"/>
    <w:rsid w:val="00BF7D62"/>
    <w:rsid w:val="00C0130E"/>
    <w:rsid w:val="00C04D36"/>
    <w:rsid w:val="00C05EB3"/>
    <w:rsid w:val="00C06FCE"/>
    <w:rsid w:val="00C07C03"/>
    <w:rsid w:val="00C10747"/>
    <w:rsid w:val="00C10EB5"/>
    <w:rsid w:val="00C12025"/>
    <w:rsid w:val="00C133C8"/>
    <w:rsid w:val="00C1447E"/>
    <w:rsid w:val="00C14A1A"/>
    <w:rsid w:val="00C15F7E"/>
    <w:rsid w:val="00C1700A"/>
    <w:rsid w:val="00C20D65"/>
    <w:rsid w:val="00C21159"/>
    <w:rsid w:val="00C21650"/>
    <w:rsid w:val="00C265C0"/>
    <w:rsid w:val="00C27482"/>
    <w:rsid w:val="00C30595"/>
    <w:rsid w:val="00C30AAD"/>
    <w:rsid w:val="00C311B3"/>
    <w:rsid w:val="00C33D9D"/>
    <w:rsid w:val="00C35637"/>
    <w:rsid w:val="00C36AC4"/>
    <w:rsid w:val="00C371F2"/>
    <w:rsid w:val="00C418FA"/>
    <w:rsid w:val="00C44FA7"/>
    <w:rsid w:val="00C472A4"/>
    <w:rsid w:val="00C47529"/>
    <w:rsid w:val="00C62EDF"/>
    <w:rsid w:val="00C630B4"/>
    <w:rsid w:val="00C6521D"/>
    <w:rsid w:val="00C654F4"/>
    <w:rsid w:val="00C66654"/>
    <w:rsid w:val="00C71F95"/>
    <w:rsid w:val="00C72C64"/>
    <w:rsid w:val="00C73585"/>
    <w:rsid w:val="00C73C0D"/>
    <w:rsid w:val="00C7586A"/>
    <w:rsid w:val="00C76480"/>
    <w:rsid w:val="00C77547"/>
    <w:rsid w:val="00C778E6"/>
    <w:rsid w:val="00C81E07"/>
    <w:rsid w:val="00C8388D"/>
    <w:rsid w:val="00C84DA7"/>
    <w:rsid w:val="00C85D6A"/>
    <w:rsid w:val="00C874E9"/>
    <w:rsid w:val="00C9040A"/>
    <w:rsid w:val="00C90AFC"/>
    <w:rsid w:val="00C93167"/>
    <w:rsid w:val="00C94693"/>
    <w:rsid w:val="00C94898"/>
    <w:rsid w:val="00CA2D32"/>
    <w:rsid w:val="00CA2F49"/>
    <w:rsid w:val="00CA3FE6"/>
    <w:rsid w:val="00CA40DD"/>
    <w:rsid w:val="00CC0083"/>
    <w:rsid w:val="00CC27F3"/>
    <w:rsid w:val="00CC3562"/>
    <w:rsid w:val="00CC5C82"/>
    <w:rsid w:val="00CC5E5B"/>
    <w:rsid w:val="00CC69A1"/>
    <w:rsid w:val="00CC772A"/>
    <w:rsid w:val="00CD14DB"/>
    <w:rsid w:val="00CE2E0F"/>
    <w:rsid w:val="00CE5E6F"/>
    <w:rsid w:val="00CE6283"/>
    <w:rsid w:val="00CE67AA"/>
    <w:rsid w:val="00CE6F33"/>
    <w:rsid w:val="00CE73B5"/>
    <w:rsid w:val="00CE791D"/>
    <w:rsid w:val="00CE79D7"/>
    <w:rsid w:val="00CE7C6C"/>
    <w:rsid w:val="00CE7CE3"/>
    <w:rsid w:val="00CF1945"/>
    <w:rsid w:val="00CF2071"/>
    <w:rsid w:val="00CF244E"/>
    <w:rsid w:val="00CF278D"/>
    <w:rsid w:val="00CF37C7"/>
    <w:rsid w:val="00CF3C4E"/>
    <w:rsid w:val="00CF3CF8"/>
    <w:rsid w:val="00CF474D"/>
    <w:rsid w:val="00CF5A64"/>
    <w:rsid w:val="00CF6622"/>
    <w:rsid w:val="00CF749A"/>
    <w:rsid w:val="00D0089A"/>
    <w:rsid w:val="00D014C7"/>
    <w:rsid w:val="00D01548"/>
    <w:rsid w:val="00D02456"/>
    <w:rsid w:val="00D04D5F"/>
    <w:rsid w:val="00D04DFA"/>
    <w:rsid w:val="00D05F35"/>
    <w:rsid w:val="00D06393"/>
    <w:rsid w:val="00D06E5E"/>
    <w:rsid w:val="00D06F79"/>
    <w:rsid w:val="00D10597"/>
    <w:rsid w:val="00D120A3"/>
    <w:rsid w:val="00D1584B"/>
    <w:rsid w:val="00D20E3D"/>
    <w:rsid w:val="00D219E9"/>
    <w:rsid w:val="00D2205B"/>
    <w:rsid w:val="00D2282B"/>
    <w:rsid w:val="00D23418"/>
    <w:rsid w:val="00D24606"/>
    <w:rsid w:val="00D2620A"/>
    <w:rsid w:val="00D3056A"/>
    <w:rsid w:val="00D30AED"/>
    <w:rsid w:val="00D30F84"/>
    <w:rsid w:val="00D31091"/>
    <w:rsid w:val="00D33CFE"/>
    <w:rsid w:val="00D33DDE"/>
    <w:rsid w:val="00D34DA4"/>
    <w:rsid w:val="00D3752F"/>
    <w:rsid w:val="00D40DDE"/>
    <w:rsid w:val="00D43970"/>
    <w:rsid w:val="00D43CA5"/>
    <w:rsid w:val="00D44CA5"/>
    <w:rsid w:val="00D46E12"/>
    <w:rsid w:val="00D50495"/>
    <w:rsid w:val="00D50734"/>
    <w:rsid w:val="00D507C0"/>
    <w:rsid w:val="00D513CC"/>
    <w:rsid w:val="00D62AA4"/>
    <w:rsid w:val="00D6318F"/>
    <w:rsid w:val="00D650BB"/>
    <w:rsid w:val="00D6540A"/>
    <w:rsid w:val="00D70438"/>
    <w:rsid w:val="00D717AD"/>
    <w:rsid w:val="00D720AD"/>
    <w:rsid w:val="00D72DD0"/>
    <w:rsid w:val="00D74A18"/>
    <w:rsid w:val="00D74D3E"/>
    <w:rsid w:val="00D757C6"/>
    <w:rsid w:val="00D75C41"/>
    <w:rsid w:val="00D80529"/>
    <w:rsid w:val="00D80F78"/>
    <w:rsid w:val="00D81AC3"/>
    <w:rsid w:val="00D81C59"/>
    <w:rsid w:val="00D82A5B"/>
    <w:rsid w:val="00D84637"/>
    <w:rsid w:val="00D8473B"/>
    <w:rsid w:val="00D85780"/>
    <w:rsid w:val="00D925AA"/>
    <w:rsid w:val="00D9283D"/>
    <w:rsid w:val="00D930DD"/>
    <w:rsid w:val="00D9341C"/>
    <w:rsid w:val="00D94B7D"/>
    <w:rsid w:val="00DA1560"/>
    <w:rsid w:val="00DA4C44"/>
    <w:rsid w:val="00DA4C48"/>
    <w:rsid w:val="00DA4E21"/>
    <w:rsid w:val="00DA71EF"/>
    <w:rsid w:val="00DA7A18"/>
    <w:rsid w:val="00DB1347"/>
    <w:rsid w:val="00DB28CE"/>
    <w:rsid w:val="00DB29BC"/>
    <w:rsid w:val="00DB2A2A"/>
    <w:rsid w:val="00DB479F"/>
    <w:rsid w:val="00DB55B6"/>
    <w:rsid w:val="00DB5913"/>
    <w:rsid w:val="00DB5F21"/>
    <w:rsid w:val="00DB6D7C"/>
    <w:rsid w:val="00DB75D3"/>
    <w:rsid w:val="00DC090A"/>
    <w:rsid w:val="00DC0E7E"/>
    <w:rsid w:val="00DC30EA"/>
    <w:rsid w:val="00DC4FE9"/>
    <w:rsid w:val="00DC5918"/>
    <w:rsid w:val="00DC6C8D"/>
    <w:rsid w:val="00DC73A5"/>
    <w:rsid w:val="00DC76E3"/>
    <w:rsid w:val="00DD0236"/>
    <w:rsid w:val="00DD76A4"/>
    <w:rsid w:val="00DD7C65"/>
    <w:rsid w:val="00DE03E4"/>
    <w:rsid w:val="00DE1134"/>
    <w:rsid w:val="00DE1AEB"/>
    <w:rsid w:val="00DE4732"/>
    <w:rsid w:val="00DE6668"/>
    <w:rsid w:val="00DE6987"/>
    <w:rsid w:val="00E0080A"/>
    <w:rsid w:val="00E00F31"/>
    <w:rsid w:val="00E02242"/>
    <w:rsid w:val="00E0300E"/>
    <w:rsid w:val="00E04AE0"/>
    <w:rsid w:val="00E070D0"/>
    <w:rsid w:val="00E11517"/>
    <w:rsid w:val="00E13727"/>
    <w:rsid w:val="00E20254"/>
    <w:rsid w:val="00E219EB"/>
    <w:rsid w:val="00E22C13"/>
    <w:rsid w:val="00E25045"/>
    <w:rsid w:val="00E25CA3"/>
    <w:rsid w:val="00E2677C"/>
    <w:rsid w:val="00E26D83"/>
    <w:rsid w:val="00E27A1E"/>
    <w:rsid w:val="00E306E9"/>
    <w:rsid w:val="00E307DC"/>
    <w:rsid w:val="00E334B9"/>
    <w:rsid w:val="00E33905"/>
    <w:rsid w:val="00E342D1"/>
    <w:rsid w:val="00E34B96"/>
    <w:rsid w:val="00E37502"/>
    <w:rsid w:val="00E40127"/>
    <w:rsid w:val="00E43074"/>
    <w:rsid w:val="00E431C8"/>
    <w:rsid w:val="00E44926"/>
    <w:rsid w:val="00E44E09"/>
    <w:rsid w:val="00E45D53"/>
    <w:rsid w:val="00E46DBD"/>
    <w:rsid w:val="00E46F2A"/>
    <w:rsid w:val="00E51708"/>
    <w:rsid w:val="00E51729"/>
    <w:rsid w:val="00E53139"/>
    <w:rsid w:val="00E53A8F"/>
    <w:rsid w:val="00E5435E"/>
    <w:rsid w:val="00E55A81"/>
    <w:rsid w:val="00E56450"/>
    <w:rsid w:val="00E56DA8"/>
    <w:rsid w:val="00E60ACC"/>
    <w:rsid w:val="00E60C4B"/>
    <w:rsid w:val="00E60E21"/>
    <w:rsid w:val="00E66638"/>
    <w:rsid w:val="00E6706E"/>
    <w:rsid w:val="00E7211D"/>
    <w:rsid w:val="00E73CFE"/>
    <w:rsid w:val="00E757CA"/>
    <w:rsid w:val="00E75D48"/>
    <w:rsid w:val="00E773CD"/>
    <w:rsid w:val="00E774C9"/>
    <w:rsid w:val="00E80964"/>
    <w:rsid w:val="00E82746"/>
    <w:rsid w:val="00E841A6"/>
    <w:rsid w:val="00E84BCB"/>
    <w:rsid w:val="00E85905"/>
    <w:rsid w:val="00E90DC4"/>
    <w:rsid w:val="00E9163F"/>
    <w:rsid w:val="00E91CB7"/>
    <w:rsid w:val="00E956E8"/>
    <w:rsid w:val="00EA022D"/>
    <w:rsid w:val="00EA0D10"/>
    <w:rsid w:val="00EA0F2C"/>
    <w:rsid w:val="00EA0F60"/>
    <w:rsid w:val="00EA19CB"/>
    <w:rsid w:val="00EA2734"/>
    <w:rsid w:val="00EA2C8F"/>
    <w:rsid w:val="00EA5D64"/>
    <w:rsid w:val="00EA613A"/>
    <w:rsid w:val="00EA6A8C"/>
    <w:rsid w:val="00EB021A"/>
    <w:rsid w:val="00EB2AD1"/>
    <w:rsid w:val="00EB3067"/>
    <w:rsid w:val="00EB353E"/>
    <w:rsid w:val="00EB56E0"/>
    <w:rsid w:val="00EB5DDF"/>
    <w:rsid w:val="00EB6E66"/>
    <w:rsid w:val="00EC0140"/>
    <w:rsid w:val="00EC3CEC"/>
    <w:rsid w:val="00EC4625"/>
    <w:rsid w:val="00ED0A46"/>
    <w:rsid w:val="00ED139E"/>
    <w:rsid w:val="00ED1759"/>
    <w:rsid w:val="00ED27A5"/>
    <w:rsid w:val="00ED445D"/>
    <w:rsid w:val="00ED461C"/>
    <w:rsid w:val="00ED5AF3"/>
    <w:rsid w:val="00ED5E2B"/>
    <w:rsid w:val="00EE01C2"/>
    <w:rsid w:val="00EE37A2"/>
    <w:rsid w:val="00EE3B12"/>
    <w:rsid w:val="00EE5AF3"/>
    <w:rsid w:val="00EE5E91"/>
    <w:rsid w:val="00EE5F8C"/>
    <w:rsid w:val="00EE73BC"/>
    <w:rsid w:val="00EF00AA"/>
    <w:rsid w:val="00EF5C49"/>
    <w:rsid w:val="00F0026A"/>
    <w:rsid w:val="00F021E7"/>
    <w:rsid w:val="00F026C1"/>
    <w:rsid w:val="00F039D1"/>
    <w:rsid w:val="00F05BEC"/>
    <w:rsid w:val="00F05D0F"/>
    <w:rsid w:val="00F05DB4"/>
    <w:rsid w:val="00F06A48"/>
    <w:rsid w:val="00F12533"/>
    <w:rsid w:val="00F13358"/>
    <w:rsid w:val="00F1456D"/>
    <w:rsid w:val="00F15387"/>
    <w:rsid w:val="00F15D8B"/>
    <w:rsid w:val="00F17D58"/>
    <w:rsid w:val="00F228F5"/>
    <w:rsid w:val="00F22DCF"/>
    <w:rsid w:val="00F23FD4"/>
    <w:rsid w:val="00F24143"/>
    <w:rsid w:val="00F241BE"/>
    <w:rsid w:val="00F24962"/>
    <w:rsid w:val="00F25038"/>
    <w:rsid w:val="00F25C20"/>
    <w:rsid w:val="00F3124A"/>
    <w:rsid w:val="00F31D41"/>
    <w:rsid w:val="00F34539"/>
    <w:rsid w:val="00F35005"/>
    <w:rsid w:val="00F364CB"/>
    <w:rsid w:val="00F37601"/>
    <w:rsid w:val="00F4058E"/>
    <w:rsid w:val="00F4220F"/>
    <w:rsid w:val="00F423B8"/>
    <w:rsid w:val="00F43F58"/>
    <w:rsid w:val="00F45507"/>
    <w:rsid w:val="00F45FA2"/>
    <w:rsid w:val="00F46014"/>
    <w:rsid w:val="00F47670"/>
    <w:rsid w:val="00F509C8"/>
    <w:rsid w:val="00F51371"/>
    <w:rsid w:val="00F51AF6"/>
    <w:rsid w:val="00F56113"/>
    <w:rsid w:val="00F5640F"/>
    <w:rsid w:val="00F56735"/>
    <w:rsid w:val="00F60F94"/>
    <w:rsid w:val="00F615F9"/>
    <w:rsid w:val="00F62055"/>
    <w:rsid w:val="00F620BE"/>
    <w:rsid w:val="00F64DC5"/>
    <w:rsid w:val="00F73938"/>
    <w:rsid w:val="00F73E87"/>
    <w:rsid w:val="00F74224"/>
    <w:rsid w:val="00F747A9"/>
    <w:rsid w:val="00F76696"/>
    <w:rsid w:val="00F77A84"/>
    <w:rsid w:val="00F81526"/>
    <w:rsid w:val="00F850CC"/>
    <w:rsid w:val="00F86EDF"/>
    <w:rsid w:val="00F87905"/>
    <w:rsid w:val="00F9229E"/>
    <w:rsid w:val="00F92724"/>
    <w:rsid w:val="00F92A12"/>
    <w:rsid w:val="00F92A6E"/>
    <w:rsid w:val="00F9363E"/>
    <w:rsid w:val="00F942E2"/>
    <w:rsid w:val="00F9523B"/>
    <w:rsid w:val="00F9560B"/>
    <w:rsid w:val="00F95755"/>
    <w:rsid w:val="00F96E67"/>
    <w:rsid w:val="00F96E92"/>
    <w:rsid w:val="00FA13CB"/>
    <w:rsid w:val="00FA2BE9"/>
    <w:rsid w:val="00FA31AE"/>
    <w:rsid w:val="00FA4FCD"/>
    <w:rsid w:val="00FA517F"/>
    <w:rsid w:val="00FA5A24"/>
    <w:rsid w:val="00FB12B6"/>
    <w:rsid w:val="00FB183B"/>
    <w:rsid w:val="00FB1DA4"/>
    <w:rsid w:val="00FB2973"/>
    <w:rsid w:val="00FB2E0A"/>
    <w:rsid w:val="00FB42CF"/>
    <w:rsid w:val="00FB511E"/>
    <w:rsid w:val="00FB7B5E"/>
    <w:rsid w:val="00FC07DD"/>
    <w:rsid w:val="00FC2B86"/>
    <w:rsid w:val="00FC48B5"/>
    <w:rsid w:val="00FC4CA2"/>
    <w:rsid w:val="00FC7629"/>
    <w:rsid w:val="00FC7B2A"/>
    <w:rsid w:val="00FD1294"/>
    <w:rsid w:val="00FD3D67"/>
    <w:rsid w:val="00FD536A"/>
    <w:rsid w:val="00FE3752"/>
    <w:rsid w:val="00FE3CEC"/>
    <w:rsid w:val="00FE4145"/>
    <w:rsid w:val="00FE5F2D"/>
    <w:rsid w:val="00FE743E"/>
    <w:rsid w:val="00FF0810"/>
    <w:rsid w:val="00FF11E6"/>
    <w:rsid w:val="00FF32F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City"/>
  <w:shapeDefaults>
    <o:shapedefaults v:ext="edit" spidmax="2049">
      <o:colormru v:ext="edit" colors="#5a9a98,#ddcf56,#ad495d,#ab9c8f,#b5d3d2,#7e6d5f,#f26631,#54534a"/>
    </o:shapedefaults>
    <o:shapelayout v:ext="edit">
      <o:idmap v:ext="edit" data="1"/>
    </o:shapelayout>
  </w:shapeDefaults>
  <w:decimalSymbol w:val="."/>
  <w:listSeparator w:val=","/>
  <w15:docId w15:val="{F36E7F43-4F17-4157-891A-A5FA73E35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6BFE"/>
    <w:rPr>
      <w:szCs w:val="24"/>
      <w:lang w:val="en-AU" w:eastAsia="en-AU"/>
    </w:rPr>
  </w:style>
  <w:style w:type="paragraph" w:styleId="Heading1">
    <w:name w:val="heading 1"/>
    <w:basedOn w:val="Normal"/>
    <w:next w:val="BodyText"/>
    <w:qFormat/>
    <w:rsid w:val="00C371F2"/>
    <w:pPr>
      <w:keepNext/>
      <w:pageBreakBefore/>
      <w:numPr>
        <w:numId w:val="15"/>
      </w:numPr>
      <w:spacing w:after="1460" w:line="540" w:lineRule="atLeast"/>
      <w:outlineLvl w:val="0"/>
    </w:pPr>
    <w:rPr>
      <w:rFonts w:ascii="Franklin Gothic Book" w:hAnsi="Franklin Gothic Book"/>
      <w:color w:val="AD495D"/>
      <w:spacing w:val="-10"/>
      <w:kern w:val="28"/>
      <w:sz w:val="50"/>
      <w:szCs w:val="50"/>
    </w:rPr>
  </w:style>
  <w:style w:type="paragraph" w:styleId="Heading2">
    <w:name w:val="heading 2"/>
    <w:basedOn w:val="Heading1"/>
    <w:next w:val="BodyText"/>
    <w:qFormat/>
    <w:rsid w:val="00C371F2"/>
    <w:pPr>
      <w:pageBreakBefore w:val="0"/>
      <w:numPr>
        <w:ilvl w:val="1"/>
      </w:numPr>
      <w:spacing w:before="460" w:after="100" w:line="320" w:lineRule="atLeast"/>
      <w:outlineLvl w:val="1"/>
    </w:pPr>
    <w:rPr>
      <w:rFonts w:ascii="Franklin Gothic Demi" w:hAnsi="Franklin Gothic Demi"/>
      <w:spacing w:val="0"/>
      <w:sz w:val="28"/>
      <w:szCs w:val="28"/>
    </w:rPr>
  </w:style>
  <w:style w:type="paragraph" w:styleId="Heading3">
    <w:name w:val="heading 3"/>
    <w:basedOn w:val="Heading2"/>
    <w:next w:val="BodyText"/>
    <w:link w:val="Heading3Char"/>
    <w:qFormat/>
    <w:rsid w:val="00C371F2"/>
    <w:pPr>
      <w:numPr>
        <w:ilvl w:val="2"/>
      </w:numPr>
      <w:spacing w:before="380" w:after="0" w:line="280" w:lineRule="atLeast"/>
      <w:outlineLvl w:val="2"/>
    </w:pPr>
    <w:rPr>
      <w:rFonts w:ascii="Franklin Gothic Medium" w:hAnsi="Franklin Gothic Medium"/>
      <w:color w:val="54534A"/>
      <w:sz w:val="24"/>
      <w:szCs w:val="24"/>
    </w:rPr>
  </w:style>
  <w:style w:type="paragraph" w:styleId="Heading4">
    <w:name w:val="heading 4"/>
    <w:basedOn w:val="Heading3"/>
    <w:next w:val="BodyText"/>
    <w:qFormat/>
    <w:rsid w:val="0017313D"/>
    <w:pPr>
      <w:numPr>
        <w:ilvl w:val="3"/>
      </w:numPr>
      <w:spacing w:before="300" w:line="260" w:lineRule="atLeast"/>
      <w:outlineLvl w:val="3"/>
    </w:pPr>
    <w:rPr>
      <w:color w:val="5A9A98"/>
      <w:sz w:val="22"/>
      <w:szCs w:val="22"/>
    </w:rPr>
  </w:style>
  <w:style w:type="paragraph" w:styleId="Heading5">
    <w:name w:val="heading 5"/>
    <w:basedOn w:val="BodyText"/>
    <w:next w:val="BodyText"/>
    <w:qFormat/>
    <w:rsid w:val="0017313D"/>
    <w:pPr>
      <w:keepNext/>
      <w:numPr>
        <w:ilvl w:val="4"/>
        <w:numId w:val="15"/>
      </w:numPr>
      <w:spacing w:before="320" w:after="0"/>
      <w:outlineLvl w:val="4"/>
    </w:pPr>
    <w:rPr>
      <w:b/>
      <w:color w:val="54534A"/>
    </w:rPr>
  </w:style>
  <w:style w:type="paragraph" w:styleId="Heading6">
    <w:name w:val="heading 6"/>
    <w:basedOn w:val="Heading1"/>
    <w:next w:val="BodyText"/>
    <w:qFormat/>
    <w:rsid w:val="00C371F2"/>
    <w:pPr>
      <w:numPr>
        <w:ilvl w:val="5"/>
      </w:numPr>
      <w:outlineLvl w:val="5"/>
    </w:pPr>
    <w:rPr>
      <w:bCs/>
    </w:rPr>
  </w:style>
  <w:style w:type="paragraph" w:styleId="Heading7">
    <w:name w:val="heading 7"/>
    <w:basedOn w:val="Heading2"/>
    <w:next w:val="BodyText"/>
    <w:qFormat/>
    <w:rsid w:val="00C371F2"/>
    <w:pPr>
      <w:numPr>
        <w:ilvl w:val="6"/>
      </w:numPr>
      <w:outlineLvl w:val="6"/>
    </w:pPr>
  </w:style>
  <w:style w:type="paragraph" w:styleId="Heading8">
    <w:name w:val="heading 8"/>
    <w:basedOn w:val="Heading3"/>
    <w:next w:val="BodyText"/>
    <w:qFormat/>
    <w:rsid w:val="0017313D"/>
    <w:pPr>
      <w:numPr>
        <w:ilvl w:val="7"/>
      </w:numPr>
      <w:outlineLvl w:val="7"/>
    </w:pPr>
  </w:style>
  <w:style w:type="paragraph" w:styleId="Heading9">
    <w:name w:val="heading 9"/>
    <w:basedOn w:val="Heading4"/>
    <w:next w:val="BodyText"/>
    <w:qFormat/>
    <w:rsid w:val="0017313D"/>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1356A"/>
    <w:pPr>
      <w:spacing w:before="80" w:after="80" w:line="280" w:lineRule="atLeast"/>
    </w:pPr>
    <w:rPr>
      <w:rFonts w:ascii="Georgia" w:hAnsi="Georgia"/>
      <w:sz w:val="19"/>
      <w:szCs w:val="19"/>
    </w:rPr>
  </w:style>
  <w:style w:type="character" w:customStyle="1" w:styleId="BodyTextChar">
    <w:name w:val="Body Text Char"/>
    <w:basedOn w:val="DefaultParagraphFont"/>
    <w:link w:val="BodyText"/>
    <w:rsid w:val="0001356A"/>
    <w:rPr>
      <w:rFonts w:ascii="Georgia" w:hAnsi="Georgia"/>
      <w:sz w:val="19"/>
      <w:szCs w:val="19"/>
      <w:lang w:val="en-AU" w:eastAsia="en-AU" w:bidi="ar-SA"/>
    </w:rPr>
  </w:style>
  <w:style w:type="character" w:customStyle="1" w:styleId="DraftingNote">
    <w:name w:val="Drafting Note"/>
    <w:basedOn w:val="DefaultParagraphFont"/>
    <w:rsid w:val="00F0026A"/>
    <w:rPr>
      <w:rFonts w:ascii="Georgia" w:hAnsi="Georgia"/>
      <w:b/>
      <w:color w:val="FF0000"/>
      <w:sz w:val="19"/>
      <w:szCs w:val="19"/>
      <w:u w:val="dotted"/>
    </w:rPr>
  </w:style>
  <w:style w:type="paragraph" w:customStyle="1" w:styleId="Heading1unnumbered">
    <w:name w:val="Heading 1 unnumbered"/>
    <w:basedOn w:val="Heading1"/>
    <w:next w:val="BodyText"/>
    <w:rsid w:val="00C371F2"/>
    <w:pPr>
      <w:numPr>
        <w:numId w:val="0"/>
      </w:numPr>
    </w:pPr>
  </w:style>
  <w:style w:type="paragraph" w:customStyle="1" w:styleId="Heading2unnumbered">
    <w:name w:val="Heading 2 unnumbered"/>
    <w:basedOn w:val="Heading2"/>
    <w:next w:val="BodyText"/>
    <w:rsid w:val="00C371F2"/>
    <w:pPr>
      <w:numPr>
        <w:ilvl w:val="0"/>
        <w:numId w:val="0"/>
      </w:numPr>
    </w:pPr>
  </w:style>
  <w:style w:type="paragraph" w:customStyle="1" w:styleId="Heading7unnumbered">
    <w:name w:val="Heading 7 unnumbered"/>
    <w:basedOn w:val="Heading7"/>
    <w:next w:val="BodyText"/>
    <w:semiHidden/>
    <w:rsid w:val="00C371F2"/>
    <w:pPr>
      <w:numPr>
        <w:ilvl w:val="0"/>
        <w:numId w:val="0"/>
      </w:numPr>
    </w:pPr>
  </w:style>
  <w:style w:type="paragraph" w:styleId="ListBullet">
    <w:name w:val="List Bullet"/>
    <w:basedOn w:val="BodyText"/>
    <w:rsid w:val="00960AA9"/>
    <w:pPr>
      <w:numPr>
        <w:numId w:val="11"/>
      </w:numPr>
      <w:spacing w:before="0"/>
    </w:pPr>
  </w:style>
  <w:style w:type="paragraph" w:styleId="ListBullet2">
    <w:name w:val="List Bullet 2"/>
    <w:basedOn w:val="ListBullet"/>
    <w:rsid w:val="002E7F6A"/>
    <w:pPr>
      <w:numPr>
        <w:numId w:val="4"/>
      </w:numPr>
    </w:pPr>
  </w:style>
  <w:style w:type="paragraph" w:styleId="ListNumber">
    <w:name w:val="List Number"/>
    <w:basedOn w:val="ListBullet"/>
    <w:rsid w:val="000B146D"/>
    <w:pPr>
      <w:numPr>
        <w:numId w:val="9"/>
      </w:numPr>
    </w:pPr>
  </w:style>
  <w:style w:type="paragraph" w:styleId="ListNumber2">
    <w:name w:val="List Number 2"/>
    <w:basedOn w:val="ListNumber"/>
    <w:rsid w:val="00B84A71"/>
    <w:pPr>
      <w:numPr>
        <w:numId w:val="2"/>
      </w:numPr>
    </w:pPr>
  </w:style>
  <w:style w:type="paragraph" w:styleId="Quote">
    <w:name w:val="Quote"/>
    <w:basedOn w:val="BodyText"/>
    <w:next w:val="BodyText"/>
    <w:qFormat/>
    <w:rsid w:val="00B84A71"/>
    <w:pPr>
      <w:spacing w:before="0" w:line="260" w:lineRule="atLeast"/>
      <w:ind w:left="284"/>
    </w:pPr>
    <w:rPr>
      <w:sz w:val="17"/>
      <w:szCs w:val="17"/>
    </w:rPr>
  </w:style>
  <w:style w:type="character" w:customStyle="1" w:styleId="Heading3Char">
    <w:name w:val="Heading 3 Char"/>
    <w:basedOn w:val="DefaultParagraphFont"/>
    <w:link w:val="Heading3"/>
    <w:semiHidden/>
    <w:locked/>
    <w:rsid w:val="004A1146"/>
    <w:rPr>
      <w:rFonts w:ascii="Franklin Gothic Medium" w:hAnsi="Franklin Gothic Medium"/>
      <w:color w:val="54534A"/>
      <w:kern w:val="28"/>
      <w:sz w:val="24"/>
      <w:szCs w:val="24"/>
      <w:lang w:val="en-AU" w:eastAsia="en-AU" w:bidi="ar-SA"/>
    </w:rPr>
  </w:style>
  <w:style w:type="paragraph" w:customStyle="1" w:styleId="Reference">
    <w:name w:val="Reference"/>
    <w:basedOn w:val="BodyText"/>
    <w:rsid w:val="00F0026A"/>
    <w:pPr>
      <w:keepLines/>
      <w:spacing w:before="60" w:after="60" w:line="260" w:lineRule="atLeast"/>
      <w:ind w:left="284" w:hanging="284"/>
    </w:pPr>
    <w:rPr>
      <w:sz w:val="17"/>
      <w:szCs w:val="17"/>
    </w:rPr>
  </w:style>
  <w:style w:type="paragraph" w:styleId="Title">
    <w:name w:val="Title"/>
    <w:basedOn w:val="Normal"/>
    <w:next w:val="Subtitle"/>
    <w:link w:val="TitleChar"/>
    <w:qFormat/>
    <w:rsid w:val="00B546BF"/>
    <w:pPr>
      <w:pageBreakBefore/>
      <w:spacing w:before="1800" w:line="640" w:lineRule="atLeast"/>
      <w:ind w:left="2381" w:right="-1418"/>
    </w:pPr>
    <w:rPr>
      <w:rFonts w:ascii="Franklin Gothic Book" w:hAnsi="Franklin Gothic Book"/>
      <w:color w:val="5A9A98"/>
      <w:kern w:val="28"/>
      <w:sz w:val="50"/>
      <w:szCs w:val="50"/>
    </w:rPr>
  </w:style>
  <w:style w:type="paragraph" w:styleId="Subtitle">
    <w:name w:val="Subtitle"/>
    <w:basedOn w:val="Title"/>
    <w:next w:val="Date"/>
    <w:link w:val="SubtitleChar"/>
    <w:qFormat/>
    <w:rsid w:val="00257199"/>
    <w:pPr>
      <w:pageBreakBefore w:val="0"/>
      <w:spacing w:before="200" w:line="380" w:lineRule="atLeast"/>
    </w:pPr>
    <w:rPr>
      <w:sz w:val="32"/>
      <w:szCs w:val="32"/>
    </w:rPr>
  </w:style>
  <w:style w:type="paragraph" w:customStyle="1" w:styleId="Contents">
    <w:name w:val="Contents"/>
    <w:basedOn w:val="Normal"/>
    <w:next w:val="BodyText"/>
    <w:semiHidden/>
    <w:rsid w:val="00B546BF"/>
    <w:pPr>
      <w:pageBreakBefore/>
      <w:spacing w:after="1860" w:line="540" w:lineRule="exact"/>
    </w:pPr>
    <w:rPr>
      <w:rFonts w:ascii="Franklin Gothic Book" w:hAnsi="Franklin Gothic Book"/>
      <w:color w:val="AD495D"/>
      <w:kern w:val="28"/>
      <w:sz w:val="50"/>
      <w:szCs w:val="50"/>
    </w:rPr>
  </w:style>
  <w:style w:type="paragraph" w:styleId="Date">
    <w:name w:val="Date"/>
    <w:basedOn w:val="Subtitle"/>
    <w:next w:val="Author"/>
    <w:link w:val="DateChar"/>
    <w:rsid w:val="00381894"/>
    <w:pPr>
      <w:spacing w:after="600"/>
    </w:pPr>
    <w:rPr>
      <w:sz w:val="24"/>
      <w:szCs w:val="24"/>
    </w:rPr>
  </w:style>
  <w:style w:type="paragraph" w:styleId="Footer">
    <w:name w:val="footer"/>
    <w:basedOn w:val="Normal"/>
    <w:semiHidden/>
    <w:rsid w:val="00F23FD4"/>
    <w:pPr>
      <w:tabs>
        <w:tab w:val="left" w:pos="0"/>
        <w:tab w:val="right" w:pos="7938"/>
        <w:tab w:val="right" w:pos="8505"/>
      </w:tabs>
      <w:spacing w:line="180" w:lineRule="exact"/>
      <w:ind w:left="-567" w:right="-567"/>
    </w:pPr>
    <w:rPr>
      <w:rFonts w:ascii="Franklin Gothic Medium" w:hAnsi="Franklin Gothic Medium"/>
      <w:color w:val="5A9A98"/>
      <w:sz w:val="14"/>
      <w:szCs w:val="14"/>
    </w:rPr>
  </w:style>
  <w:style w:type="paragraph" w:styleId="Header">
    <w:name w:val="header"/>
    <w:basedOn w:val="Normal"/>
    <w:semiHidden/>
    <w:rsid w:val="0073548A"/>
    <w:pPr>
      <w:spacing w:line="180" w:lineRule="exact"/>
      <w:jc w:val="right"/>
    </w:pPr>
    <w:rPr>
      <w:rFonts w:ascii="Franklin Gothic Medium" w:hAnsi="Franklin Gothic Medium"/>
      <w:sz w:val="14"/>
      <w:szCs w:val="14"/>
    </w:rPr>
  </w:style>
  <w:style w:type="character" w:styleId="PageNumber">
    <w:name w:val="page number"/>
    <w:basedOn w:val="DefaultParagraphFont"/>
    <w:semiHidden/>
    <w:rsid w:val="007A2D4A"/>
    <w:rPr>
      <w:rFonts w:ascii="Franklin Gothic Medium" w:hAnsi="Franklin Gothic Medium"/>
      <w:color w:val="54534A"/>
      <w:sz w:val="14"/>
      <w:szCs w:val="14"/>
    </w:rPr>
  </w:style>
  <w:style w:type="paragraph" w:styleId="TOC1">
    <w:name w:val="toc 1"/>
    <w:basedOn w:val="BodyText"/>
    <w:next w:val="BodyText"/>
    <w:uiPriority w:val="39"/>
    <w:rsid w:val="00B546BF"/>
    <w:pPr>
      <w:tabs>
        <w:tab w:val="left" w:pos="397"/>
        <w:tab w:val="right" w:pos="7938"/>
      </w:tabs>
      <w:spacing w:before="280" w:after="60"/>
      <w:ind w:left="397" w:right="567" w:hanging="397"/>
    </w:pPr>
    <w:rPr>
      <w:rFonts w:ascii="Franklin Gothic Demi" w:hAnsi="Franklin Gothic Demi"/>
      <w:color w:val="AD495D"/>
      <w:sz w:val="24"/>
      <w:szCs w:val="24"/>
    </w:rPr>
  </w:style>
  <w:style w:type="paragraph" w:styleId="TOC2">
    <w:name w:val="toc 2"/>
    <w:basedOn w:val="TOC1"/>
    <w:next w:val="TOC1"/>
    <w:uiPriority w:val="39"/>
    <w:rsid w:val="00B546BF"/>
    <w:pPr>
      <w:spacing w:before="120" w:line="200" w:lineRule="atLeast"/>
      <w:ind w:left="0" w:firstLine="0"/>
    </w:pPr>
    <w:rPr>
      <w:rFonts w:ascii="Franklin Gothic Medium" w:hAnsi="Franklin Gothic Medium"/>
      <w:color w:val="5A9A98"/>
      <w:sz w:val="21"/>
      <w:szCs w:val="21"/>
    </w:rPr>
  </w:style>
  <w:style w:type="paragraph" w:customStyle="1" w:styleId="Reporttype">
    <w:name w:val="Report type"/>
    <w:basedOn w:val="BodyText"/>
    <w:semiHidden/>
    <w:rsid w:val="00F15D8B"/>
    <w:pPr>
      <w:spacing w:before="0" w:line="400" w:lineRule="atLeast"/>
    </w:pPr>
    <w:rPr>
      <w:rFonts w:ascii="Arial" w:hAnsi="Arial"/>
      <w:color w:val="00467F"/>
      <w:spacing w:val="-2"/>
      <w:sz w:val="36"/>
      <w:szCs w:val="36"/>
    </w:rPr>
  </w:style>
  <w:style w:type="character" w:customStyle="1" w:styleId="Subtitlebox">
    <w:name w:val="Subtitle box"/>
    <w:aliases w:val="figure &amp; table,chart &amp; table"/>
    <w:basedOn w:val="DefaultParagraphFont"/>
    <w:semiHidden/>
    <w:rsid w:val="008E6453"/>
    <w:rPr>
      <w:rFonts w:ascii="Franklin Gothic Book" w:hAnsi="Franklin Gothic Book"/>
      <w:color w:val="auto"/>
      <w:sz w:val="17"/>
      <w:szCs w:val="17"/>
    </w:rPr>
  </w:style>
  <w:style w:type="paragraph" w:customStyle="1" w:styleId="Invisiblepara">
    <w:name w:val="Invisible para"/>
    <w:basedOn w:val="Normal"/>
    <w:semiHidden/>
    <w:rsid w:val="00F747A9"/>
    <w:pPr>
      <w:keepNext/>
      <w:spacing w:before="320" w:line="80" w:lineRule="exact"/>
    </w:pPr>
    <w:rPr>
      <w:sz w:val="21"/>
      <w:szCs w:val="20"/>
    </w:rPr>
  </w:style>
  <w:style w:type="paragraph" w:styleId="Caption">
    <w:name w:val="caption"/>
    <w:basedOn w:val="Normal"/>
    <w:next w:val="BodyText"/>
    <w:qFormat/>
    <w:rsid w:val="00ED5E2B"/>
    <w:pPr>
      <w:keepNext/>
      <w:spacing w:before="320" w:after="80" w:line="230" w:lineRule="exact"/>
    </w:pPr>
    <w:rPr>
      <w:rFonts w:ascii="Franklin Gothic Demi" w:hAnsi="Franklin Gothic Demi"/>
      <w:color w:val="7E6D5F"/>
      <w:sz w:val="19"/>
      <w:szCs w:val="19"/>
    </w:rPr>
  </w:style>
  <w:style w:type="paragraph" w:customStyle="1" w:styleId="BoxListBullet">
    <w:name w:val="Box List Bullet"/>
    <w:basedOn w:val="BoxText"/>
    <w:rsid w:val="006C6761"/>
    <w:pPr>
      <w:keepLines/>
      <w:numPr>
        <w:numId w:val="7"/>
      </w:numPr>
      <w:spacing w:before="0"/>
    </w:pPr>
    <w:rPr>
      <w:szCs w:val="20"/>
    </w:rPr>
  </w:style>
  <w:style w:type="character" w:customStyle="1" w:styleId="NoteLabel">
    <w:name w:val="Note Label"/>
    <w:basedOn w:val="DefaultParagraphFont"/>
    <w:rsid w:val="0073548A"/>
    <w:rPr>
      <w:rFonts w:ascii="Franklin Gothic Medium" w:hAnsi="Franklin Gothic Medium"/>
      <w:color w:val="auto"/>
      <w:position w:val="4"/>
      <w:sz w:val="14"/>
      <w:szCs w:val="14"/>
    </w:rPr>
  </w:style>
  <w:style w:type="paragraph" w:customStyle="1" w:styleId="Note">
    <w:name w:val="Note"/>
    <w:basedOn w:val="TableTextEntries"/>
    <w:next w:val="Source"/>
    <w:link w:val="NoteCharChar"/>
    <w:rsid w:val="005900F7"/>
    <w:pPr>
      <w:spacing w:after="0" w:line="180" w:lineRule="atLeast"/>
    </w:pPr>
    <w:rPr>
      <w:sz w:val="14"/>
      <w:szCs w:val="14"/>
    </w:rPr>
  </w:style>
  <w:style w:type="paragraph" w:customStyle="1" w:styleId="TableTextEntries">
    <w:name w:val="Table Text Entries"/>
    <w:basedOn w:val="Normal"/>
    <w:rsid w:val="00F021E7"/>
    <w:pPr>
      <w:keepLines/>
      <w:spacing w:before="40" w:after="40" w:line="200" w:lineRule="atLeast"/>
    </w:pPr>
    <w:rPr>
      <w:rFonts w:ascii="Franklin Gothic Book" w:hAnsi="Franklin Gothic Book"/>
      <w:sz w:val="17"/>
      <w:szCs w:val="17"/>
      <w:lang w:eastAsia="en-US"/>
    </w:rPr>
  </w:style>
  <w:style w:type="paragraph" w:customStyle="1" w:styleId="Source">
    <w:name w:val="Source"/>
    <w:basedOn w:val="Note"/>
    <w:next w:val="BodyText"/>
    <w:rsid w:val="005900F7"/>
    <w:pPr>
      <w:spacing w:after="240"/>
    </w:pPr>
  </w:style>
  <w:style w:type="paragraph" w:customStyle="1" w:styleId="BoxHeading1">
    <w:name w:val="Box Heading 1"/>
    <w:basedOn w:val="BoxText"/>
    <w:next w:val="BoxText"/>
    <w:rsid w:val="00FC7629"/>
    <w:pPr>
      <w:spacing w:before="180" w:after="0" w:line="220" w:lineRule="atLeast"/>
    </w:pPr>
    <w:rPr>
      <w:rFonts w:ascii="Franklin Gothic Demi" w:hAnsi="Franklin Gothic Demi"/>
      <w:color w:val="000000"/>
    </w:rPr>
  </w:style>
  <w:style w:type="paragraph" w:customStyle="1" w:styleId="BoxHeading2">
    <w:name w:val="Box Heading 2"/>
    <w:basedOn w:val="BoxHeading1"/>
    <w:next w:val="BoxText"/>
    <w:rsid w:val="002C23D1"/>
    <w:pPr>
      <w:spacing w:before="140"/>
    </w:pPr>
    <w:rPr>
      <w:rFonts w:ascii="Franklin Gothic Book" w:hAnsi="Franklin Gothic Book"/>
      <w:i/>
      <w:color w:val="auto"/>
    </w:rPr>
  </w:style>
  <w:style w:type="paragraph" w:customStyle="1" w:styleId="TableListBullet">
    <w:name w:val="Table List Bullet"/>
    <w:basedOn w:val="TableTextEntries"/>
    <w:rsid w:val="00B546BF"/>
    <w:pPr>
      <w:numPr>
        <w:numId w:val="16"/>
      </w:numPr>
    </w:pPr>
  </w:style>
  <w:style w:type="paragraph" w:styleId="TableofFigures">
    <w:name w:val="table of figures"/>
    <w:basedOn w:val="BodyText"/>
    <w:next w:val="BodyText"/>
    <w:semiHidden/>
    <w:rsid w:val="00751A18"/>
    <w:pPr>
      <w:tabs>
        <w:tab w:val="left" w:pos="1077"/>
        <w:tab w:val="right" w:pos="8505"/>
      </w:tabs>
      <w:spacing w:before="60" w:line="260" w:lineRule="atLeast"/>
      <w:ind w:left="1077" w:right="567" w:hanging="1077"/>
    </w:pPr>
  </w:style>
  <w:style w:type="paragraph" w:styleId="TOC3">
    <w:name w:val="toc 3"/>
    <w:basedOn w:val="TOC2"/>
    <w:next w:val="BodyText"/>
    <w:semiHidden/>
    <w:rsid w:val="00B546BF"/>
    <w:pPr>
      <w:tabs>
        <w:tab w:val="clear" w:pos="397"/>
      </w:tabs>
      <w:spacing w:before="40" w:line="230" w:lineRule="atLeast"/>
      <w:ind w:left="567" w:hanging="567"/>
    </w:pPr>
    <w:rPr>
      <w:rFonts w:ascii="Georgia" w:hAnsi="Georgia"/>
      <w:color w:val="auto"/>
      <w:sz w:val="19"/>
      <w:szCs w:val="19"/>
    </w:rPr>
  </w:style>
  <w:style w:type="paragraph" w:customStyle="1" w:styleId="Continued">
    <w:name w:val="Continued"/>
    <w:basedOn w:val="Source"/>
    <w:next w:val="BodyText"/>
    <w:rsid w:val="00B622E7"/>
    <w:pPr>
      <w:jc w:val="right"/>
    </w:pPr>
  </w:style>
  <w:style w:type="paragraph" w:customStyle="1" w:styleId="Recommendation">
    <w:name w:val="Recommendation"/>
    <w:basedOn w:val="BodyText"/>
    <w:next w:val="BodyText"/>
    <w:semiHidden/>
    <w:rsid w:val="00671255"/>
    <w:pPr>
      <w:tabs>
        <w:tab w:val="left" w:pos="284"/>
      </w:tabs>
      <w:ind w:left="284" w:hanging="284"/>
    </w:pPr>
    <w:rPr>
      <w:rFonts w:eastAsia="MS Mincho" w:cs="MS Mincho"/>
      <w:b/>
    </w:rPr>
  </w:style>
  <w:style w:type="paragraph" w:styleId="TOC6">
    <w:name w:val="toc 6"/>
    <w:basedOn w:val="BodyText"/>
    <w:next w:val="BodyText"/>
    <w:semiHidden/>
    <w:rsid w:val="00B546BF"/>
    <w:pPr>
      <w:tabs>
        <w:tab w:val="left" w:pos="284"/>
        <w:tab w:val="right" w:pos="8222"/>
      </w:tabs>
      <w:ind w:left="284" w:right="567" w:hanging="284"/>
    </w:pPr>
  </w:style>
  <w:style w:type="character" w:styleId="CommentReference">
    <w:name w:val="annotation reference"/>
    <w:basedOn w:val="DefaultParagraphFont"/>
    <w:rsid w:val="007A2D4A"/>
    <w:rPr>
      <w:rFonts w:ascii="Franklin Gothic Medium" w:hAnsi="Franklin Gothic Medium"/>
      <w:vanish/>
      <w:color w:val="FF00FF"/>
      <w:sz w:val="16"/>
      <w:szCs w:val="16"/>
    </w:rPr>
  </w:style>
  <w:style w:type="paragraph" w:styleId="CommentText">
    <w:name w:val="annotation text"/>
    <w:basedOn w:val="BodyText"/>
    <w:rsid w:val="007A2D4A"/>
    <w:pPr>
      <w:spacing w:line="240" w:lineRule="atLeast"/>
    </w:pPr>
  </w:style>
  <w:style w:type="character" w:styleId="FootnoteReference">
    <w:name w:val="footnote reference"/>
    <w:basedOn w:val="DefaultParagraphFont"/>
    <w:rsid w:val="00FB1DA4"/>
    <w:rPr>
      <w:rFonts w:ascii="Franklin Gothic Book" w:hAnsi="Franklin Gothic Book"/>
      <w:w w:val="100"/>
      <w:position w:val="6"/>
      <w:sz w:val="12"/>
      <w:szCs w:val="12"/>
      <w:vertAlign w:val="baseline"/>
    </w:rPr>
  </w:style>
  <w:style w:type="paragraph" w:styleId="FootnoteText">
    <w:name w:val="footnote text"/>
    <w:basedOn w:val="BodyText"/>
    <w:rsid w:val="00281D52"/>
    <w:pPr>
      <w:spacing w:before="0" w:after="0" w:line="180" w:lineRule="atLeast"/>
      <w:ind w:left="284" w:hanging="284"/>
    </w:pPr>
    <w:rPr>
      <w:rFonts w:ascii="Franklin Gothic Book" w:hAnsi="Franklin Gothic Book"/>
      <w:sz w:val="14"/>
      <w:szCs w:val="14"/>
    </w:rPr>
  </w:style>
  <w:style w:type="character" w:styleId="Hyperlink">
    <w:name w:val="Hyperlink"/>
    <w:basedOn w:val="DefaultParagraphFont"/>
    <w:semiHidden/>
    <w:rsid w:val="00B97541"/>
    <w:rPr>
      <w:color w:val="00467F"/>
      <w:u w:val="none"/>
    </w:rPr>
  </w:style>
  <w:style w:type="paragraph" w:customStyle="1" w:styleId="ChartText">
    <w:name w:val="Chart Text"/>
    <w:basedOn w:val="BodyText"/>
    <w:semiHidden/>
    <w:rsid w:val="00CF2071"/>
    <w:pPr>
      <w:spacing w:before="100" w:line="190" w:lineRule="exact"/>
    </w:pPr>
    <w:rPr>
      <w:rFonts w:ascii="Arial" w:hAnsi="Arial"/>
      <w:sz w:val="17"/>
    </w:rPr>
  </w:style>
  <w:style w:type="paragraph" w:customStyle="1" w:styleId="ChartBoldText">
    <w:name w:val="Chart Bold Text"/>
    <w:basedOn w:val="ChartText"/>
    <w:next w:val="ChartText"/>
    <w:semiHidden/>
    <w:rsid w:val="00997A92"/>
    <w:pPr>
      <w:spacing w:before="0"/>
      <w:jc w:val="center"/>
    </w:pPr>
    <w:rPr>
      <w:rFonts w:ascii="Arial Bold" w:hAnsi="Arial Bold"/>
      <w:b/>
      <w:color w:val="073771"/>
      <w:szCs w:val="17"/>
    </w:rPr>
  </w:style>
  <w:style w:type="paragraph" w:customStyle="1" w:styleId="ChartHighlight">
    <w:name w:val="Chart Highlight"/>
    <w:basedOn w:val="ChartBoldText"/>
    <w:semiHidden/>
    <w:rsid w:val="00CF2071"/>
    <w:pPr>
      <w:spacing w:line="210" w:lineRule="exact"/>
    </w:pPr>
    <w:rPr>
      <w:caps/>
      <w:sz w:val="19"/>
    </w:rPr>
  </w:style>
  <w:style w:type="paragraph" w:customStyle="1" w:styleId="ChartListBullet">
    <w:name w:val="Chart List Bullet"/>
    <w:basedOn w:val="TableListBullet"/>
    <w:semiHidden/>
    <w:rsid w:val="00321C81"/>
    <w:pPr>
      <w:numPr>
        <w:numId w:val="0"/>
      </w:numPr>
      <w:tabs>
        <w:tab w:val="num" w:pos="227"/>
      </w:tabs>
      <w:spacing w:before="50" w:after="0" w:line="190" w:lineRule="exact"/>
      <w:ind w:left="227" w:hanging="227"/>
    </w:pPr>
  </w:style>
  <w:style w:type="paragraph" w:customStyle="1" w:styleId="ChartListBullet2">
    <w:name w:val="Chart List Bullet 2"/>
    <w:basedOn w:val="ListBullet2"/>
    <w:semiHidden/>
    <w:rsid w:val="00321C81"/>
    <w:pPr>
      <w:numPr>
        <w:numId w:val="0"/>
      </w:numPr>
      <w:tabs>
        <w:tab w:val="num" w:pos="454"/>
      </w:tabs>
      <w:spacing w:before="30" w:line="190" w:lineRule="exact"/>
      <w:ind w:left="454" w:hanging="227"/>
    </w:pPr>
    <w:rPr>
      <w:rFonts w:ascii="Arial" w:hAnsi="Arial"/>
      <w:sz w:val="17"/>
    </w:rPr>
  </w:style>
  <w:style w:type="paragraph" w:customStyle="1" w:styleId="ChartListNumber">
    <w:name w:val="Chart List Number"/>
    <w:basedOn w:val="ChartText"/>
    <w:semiHidden/>
    <w:rsid w:val="00321C81"/>
    <w:pPr>
      <w:tabs>
        <w:tab w:val="num" w:pos="227"/>
      </w:tabs>
      <w:spacing w:before="60"/>
      <w:ind w:left="227" w:hanging="227"/>
    </w:pPr>
  </w:style>
  <w:style w:type="paragraph" w:styleId="TOC7">
    <w:name w:val="toc 7"/>
    <w:basedOn w:val="TOC1"/>
    <w:next w:val="TOC1"/>
    <w:semiHidden/>
    <w:rsid w:val="00B546BF"/>
    <w:pPr>
      <w:tabs>
        <w:tab w:val="left" w:pos="1418"/>
      </w:tabs>
      <w:ind w:left="1418" w:hanging="1418"/>
    </w:pPr>
  </w:style>
  <w:style w:type="paragraph" w:customStyle="1" w:styleId="Author">
    <w:name w:val="Author"/>
    <w:basedOn w:val="Date"/>
    <w:next w:val="Position"/>
    <w:link w:val="AuthorCharChar"/>
    <w:rsid w:val="0075426C"/>
    <w:pPr>
      <w:spacing w:before="180" w:after="0" w:line="260" w:lineRule="atLeast"/>
    </w:pPr>
    <w:rPr>
      <w:rFonts w:ascii="Franklin Gothic Medium" w:hAnsi="Franklin Gothic Medium"/>
      <w:color w:val="auto"/>
      <w:spacing w:val="-2"/>
      <w:sz w:val="20"/>
      <w:szCs w:val="20"/>
    </w:rPr>
  </w:style>
  <w:style w:type="paragraph" w:customStyle="1" w:styleId="Position">
    <w:name w:val="Position"/>
    <w:basedOn w:val="Author"/>
    <w:next w:val="Author"/>
    <w:link w:val="PositionCharChar"/>
    <w:rsid w:val="0075426C"/>
    <w:pPr>
      <w:spacing w:before="0"/>
    </w:pPr>
    <w:rPr>
      <w:rFonts w:ascii="Franklin Gothic Book" w:hAnsi="Franklin Gothic Book"/>
    </w:rPr>
  </w:style>
  <w:style w:type="paragraph" w:customStyle="1" w:styleId="CharChar">
    <w:name w:val="Char Char"/>
    <w:basedOn w:val="BoxText"/>
    <w:semiHidden/>
    <w:rsid w:val="001E5458"/>
  </w:style>
  <w:style w:type="paragraph" w:customStyle="1" w:styleId="Client">
    <w:name w:val="Client"/>
    <w:basedOn w:val="Author"/>
    <w:semiHidden/>
    <w:rsid w:val="00AD1F3F"/>
  </w:style>
  <w:style w:type="paragraph" w:customStyle="1" w:styleId="TableDataEntries">
    <w:name w:val="Table Data Entries"/>
    <w:basedOn w:val="TableTextEntries"/>
    <w:rsid w:val="009B0288"/>
    <w:pPr>
      <w:jc w:val="right"/>
    </w:pPr>
  </w:style>
  <w:style w:type="paragraph" w:customStyle="1" w:styleId="TableDataColumnHeading">
    <w:name w:val="Table Data Column Heading"/>
    <w:basedOn w:val="TableDataEntries"/>
    <w:rsid w:val="008E6453"/>
    <w:pPr>
      <w:spacing w:before="80" w:after="80"/>
    </w:pPr>
    <w:rPr>
      <w:rFonts w:ascii="Franklin Gothic Medium" w:hAnsi="Franklin Gothic Medium"/>
    </w:rPr>
  </w:style>
  <w:style w:type="paragraph" w:customStyle="1" w:styleId="TableHeading1">
    <w:name w:val="Table Heading 1"/>
    <w:basedOn w:val="TableTextEntries"/>
    <w:next w:val="TableTextEntries"/>
    <w:rsid w:val="008E6453"/>
    <w:pPr>
      <w:spacing w:before="80" w:after="80"/>
    </w:pPr>
    <w:rPr>
      <w:rFonts w:ascii="Franklin Gothic Medium" w:hAnsi="Franklin Gothic Medium"/>
    </w:rPr>
  </w:style>
  <w:style w:type="paragraph" w:customStyle="1" w:styleId="TableHeading2">
    <w:name w:val="Table Heading 2"/>
    <w:basedOn w:val="TableHeading1"/>
    <w:next w:val="TableTextEntries"/>
    <w:rsid w:val="008E6453"/>
    <w:pPr>
      <w:spacing w:before="40" w:after="40"/>
    </w:pPr>
    <w:rPr>
      <w:rFonts w:ascii="Franklin Gothic Book" w:hAnsi="Franklin Gothic Book"/>
      <w:i/>
    </w:rPr>
  </w:style>
  <w:style w:type="paragraph" w:customStyle="1" w:styleId="TableListBullet2">
    <w:name w:val="Table List Bullet 2"/>
    <w:basedOn w:val="TableListBullet"/>
    <w:link w:val="TableListBullet2CharChar"/>
    <w:rsid w:val="00B546BF"/>
    <w:pPr>
      <w:numPr>
        <w:numId w:val="17"/>
      </w:numPr>
    </w:pPr>
  </w:style>
  <w:style w:type="paragraph" w:customStyle="1" w:styleId="TableListNumber">
    <w:name w:val="Table List Number"/>
    <w:basedOn w:val="TableTextEntries"/>
    <w:rsid w:val="008C0773"/>
    <w:pPr>
      <w:numPr>
        <w:numId w:val="1"/>
      </w:numPr>
    </w:pPr>
  </w:style>
  <w:style w:type="paragraph" w:customStyle="1" w:styleId="TableListNumber2">
    <w:name w:val="Table List Number 2"/>
    <w:basedOn w:val="TableListNumber"/>
    <w:rsid w:val="00396E51"/>
    <w:pPr>
      <w:numPr>
        <w:numId w:val="3"/>
      </w:numPr>
    </w:pPr>
  </w:style>
  <w:style w:type="paragraph" w:customStyle="1" w:styleId="TableTextColumnHeading">
    <w:name w:val="Table Text Column Heading"/>
    <w:basedOn w:val="TableDataColumnHeading"/>
    <w:rsid w:val="008E6453"/>
    <w:pPr>
      <w:jc w:val="left"/>
    </w:pPr>
  </w:style>
  <w:style w:type="paragraph" w:customStyle="1" w:styleId="TableUnit">
    <w:name w:val="Table Unit"/>
    <w:basedOn w:val="TableDataColumnHeading"/>
    <w:next w:val="TableDataEntries"/>
    <w:rsid w:val="008E6453"/>
    <w:pPr>
      <w:keepNext/>
    </w:pPr>
    <w:rPr>
      <w:rFonts w:ascii="Franklin Gothic Book" w:hAnsi="Franklin Gothic Book"/>
    </w:rPr>
  </w:style>
  <w:style w:type="paragraph" w:customStyle="1" w:styleId="NoteNumber">
    <w:name w:val="Note Number"/>
    <w:basedOn w:val="TableTextEntries"/>
    <w:link w:val="NoteNumberCharChar"/>
    <w:rsid w:val="005900F7"/>
    <w:pPr>
      <w:numPr>
        <w:numId w:val="22"/>
      </w:numPr>
      <w:spacing w:after="0" w:line="180" w:lineRule="atLeast"/>
    </w:pPr>
    <w:rPr>
      <w:sz w:val="14"/>
      <w:szCs w:val="14"/>
    </w:rPr>
  </w:style>
  <w:style w:type="character" w:styleId="FollowedHyperlink">
    <w:name w:val="FollowedHyperlink"/>
    <w:basedOn w:val="DefaultParagraphFont"/>
    <w:semiHidden/>
    <w:rsid w:val="00085585"/>
    <w:rPr>
      <w:color w:val="333399"/>
      <w:u w:val="none"/>
    </w:rPr>
  </w:style>
  <w:style w:type="paragraph" w:customStyle="1" w:styleId="Blurb">
    <w:name w:val="Blurb"/>
    <w:basedOn w:val="Caption"/>
    <w:semiHidden/>
    <w:rsid w:val="0075426C"/>
    <w:pPr>
      <w:spacing w:before="180" w:after="0" w:line="280" w:lineRule="atLeast"/>
    </w:pPr>
    <w:rPr>
      <w:color w:val="FFFFFF"/>
    </w:rPr>
  </w:style>
  <w:style w:type="paragraph" w:customStyle="1" w:styleId="Figure">
    <w:name w:val="Figure"/>
    <w:basedOn w:val="BodyText"/>
    <w:next w:val="BodyText"/>
    <w:semiHidden/>
    <w:rsid w:val="00EA0F2C"/>
    <w:pPr>
      <w:spacing w:before="0" w:line="200" w:lineRule="atLeast"/>
    </w:pPr>
    <w:rPr>
      <w:sz w:val="18"/>
      <w:szCs w:val="18"/>
    </w:rPr>
  </w:style>
  <w:style w:type="paragraph" w:customStyle="1" w:styleId="BoxListBullet2">
    <w:name w:val="Box List Bullet 2"/>
    <w:basedOn w:val="BoxListBullet"/>
    <w:rsid w:val="006C6761"/>
    <w:pPr>
      <w:numPr>
        <w:numId w:val="6"/>
      </w:numPr>
    </w:pPr>
    <w:rPr>
      <w:szCs w:val="18"/>
    </w:rPr>
  </w:style>
  <w:style w:type="paragraph" w:customStyle="1" w:styleId="BoxText">
    <w:name w:val="Box Text"/>
    <w:basedOn w:val="Normal"/>
    <w:rsid w:val="009A28D5"/>
    <w:pPr>
      <w:spacing w:before="60" w:after="60" w:line="260" w:lineRule="atLeast"/>
    </w:pPr>
    <w:rPr>
      <w:rFonts w:ascii="Franklin Gothic Book" w:hAnsi="Franklin Gothic Book"/>
      <w:sz w:val="18"/>
      <w:szCs w:val="18"/>
    </w:rPr>
  </w:style>
  <w:style w:type="paragraph" w:customStyle="1" w:styleId="BoxListNumber">
    <w:name w:val="Box List Number"/>
    <w:basedOn w:val="BoxText"/>
    <w:rsid w:val="00165C4D"/>
    <w:pPr>
      <w:numPr>
        <w:numId w:val="8"/>
      </w:numPr>
      <w:spacing w:before="0"/>
    </w:pPr>
  </w:style>
  <w:style w:type="paragraph" w:customStyle="1" w:styleId="BoxListNumber2">
    <w:name w:val="Box List Number 2"/>
    <w:basedOn w:val="BoxListNumber"/>
    <w:rsid w:val="006C6761"/>
    <w:pPr>
      <w:numPr>
        <w:numId w:val="5"/>
      </w:numPr>
    </w:pPr>
  </w:style>
  <w:style w:type="paragraph" w:customStyle="1" w:styleId="BoxNoteSource">
    <w:name w:val="Box Note/Source"/>
    <w:basedOn w:val="BoxText"/>
    <w:rsid w:val="006C6761"/>
    <w:pPr>
      <w:spacing w:before="100" w:after="100" w:line="180" w:lineRule="atLeast"/>
    </w:pPr>
    <w:rPr>
      <w:sz w:val="14"/>
      <w:szCs w:val="14"/>
    </w:rPr>
  </w:style>
  <w:style w:type="paragraph" w:customStyle="1" w:styleId="BoxQuote">
    <w:name w:val="Box Quote"/>
    <w:basedOn w:val="BoxText"/>
    <w:next w:val="BoxText"/>
    <w:rsid w:val="00A60B48"/>
    <w:pPr>
      <w:spacing w:before="0" w:line="240" w:lineRule="atLeast"/>
      <w:ind w:left="284"/>
    </w:pPr>
    <w:rPr>
      <w:sz w:val="16"/>
      <w:szCs w:val="16"/>
    </w:rPr>
  </w:style>
  <w:style w:type="character" w:customStyle="1" w:styleId="TableListBullet2CharChar">
    <w:name w:val="Table List Bullet 2 Char Char"/>
    <w:basedOn w:val="DefaultParagraphFont"/>
    <w:link w:val="TableListBullet2"/>
    <w:rsid w:val="00C05EB3"/>
    <w:rPr>
      <w:rFonts w:ascii="Franklin Gothic Book" w:hAnsi="Franklin Gothic Book"/>
      <w:sz w:val="17"/>
      <w:szCs w:val="17"/>
      <w:lang w:val="en-AU" w:eastAsia="en-US" w:bidi="ar-SA"/>
    </w:rPr>
  </w:style>
  <w:style w:type="character" w:customStyle="1" w:styleId="NoteCharChar">
    <w:name w:val="Note Char Char"/>
    <w:basedOn w:val="DefaultParagraphFont"/>
    <w:link w:val="Note"/>
    <w:rsid w:val="008D75EB"/>
    <w:rPr>
      <w:rFonts w:ascii="Franklin Gothic Book" w:hAnsi="Franklin Gothic Book"/>
      <w:sz w:val="14"/>
      <w:szCs w:val="14"/>
      <w:lang w:val="en-AU" w:eastAsia="en-US" w:bidi="ar-SA"/>
    </w:rPr>
  </w:style>
  <w:style w:type="character" w:customStyle="1" w:styleId="NoteNumberCharChar">
    <w:name w:val="Note Number Char Char"/>
    <w:basedOn w:val="DefaultParagraphFont"/>
    <w:link w:val="NoteNumber"/>
    <w:rsid w:val="000805B2"/>
    <w:rPr>
      <w:rFonts w:ascii="Franklin Gothic Book" w:hAnsi="Franklin Gothic Book"/>
      <w:sz w:val="14"/>
      <w:szCs w:val="14"/>
      <w:lang w:val="en-AU" w:eastAsia="en-US" w:bidi="ar-SA"/>
    </w:rPr>
  </w:style>
  <w:style w:type="character" w:customStyle="1" w:styleId="TitleChar">
    <w:name w:val="Title Char"/>
    <w:basedOn w:val="DefaultParagraphFont"/>
    <w:link w:val="Title"/>
    <w:rsid w:val="00B546BF"/>
    <w:rPr>
      <w:rFonts w:ascii="Franklin Gothic Book" w:hAnsi="Franklin Gothic Book"/>
      <w:color w:val="5A9A98"/>
      <w:kern w:val="28"/>
      <w:sz w:val="50"/>
      <w:szCs w:val="50"/>
      <w:lang w:val="en-AU" w:eastAsia="en-AU" w:bidi="ar-SA"/>
    </w:rPr>
  </w:style>
  <w:style w:type="character" w:customStyle="1" w:styleId="SubtitleChar">
    <w:name w:val="Subtitle Char"/>
    <w:basedOn w:val="TitleChar"/>
    <w:link w:val="Subtitle"/>
    <w:rsid w:val="00E27A1E"/>
    <w:rPr>
      <w:rFonts w:ascii="Franklin Gothic Book" w:hAnsi="Franklin Gothic Book"/>
      <w:color w:val="5A9A98"/>
      <w:kern w:val="28"/>
      <w:sz w:val="32"/>
      <w:szCs w:val="32"/>
      <w:lang w:val="en-AU" w:eastAsia="en-AU" w:bidi="ar-SA"/>
    </w:rPr>
  </w:style>
  <w:style w:type="character" w:customStyle="1" w:styleId="DateChar">
    <w:name w:val="Date Char"/>
    <w:basedOn w:val="SubtitleChar"/>
    <w:link w:val="Date"/>
    <w:rsid w:val="00381894"/>
    <w:rPr>
      <w:rFonts w:ascii="Franklin Gothic Book" w:hAnsi="Franklin Gothic Book"/>
      <w:color w:val="5A9A98"/>
      <w:kern w:val="28"/>
      <w:sz w:val="24"/>
      <w:szCs w:val="24"/>
      <w:lang w:val="en-AU" w:eastAsia="en-AU" w:bidi="ar-SA"/>
    </w:rPr>
  </w:style>
  <w:style w:type="character" w:customStyle="1" w:styleId="AuthorCharChar">
    <w:name w:val="Author Char Char"/>
    <w:basedOn w:val="DateChar"/>
    <w:link w:val="Author"/>
    <w:rsid w:val="0075426C"/>
    <w:rPr>
      <w:rFonts w:ascii="Franklin Gothic Medium" w:hAnsi="Franklin Gothic Medium"/>
      <w:color w:val="5A9A98"/>
      <w:spacing w:val="-2"/>
      <w:kern w:val="28"/>
      <w:sz w:val="24"/>
      <w:szCs w:val="24"/>
      <w:lang w:val="en-AU" w:eastAsia="en-AU" w:bidi="ar-SA"/>
    </w:rPr>
  </w:style>
  <w:style w:type="character" w:customStyle="1" w:styleId="PositionCharChar">
    <w:name w:val="Position Char Char"/>
    <w:basedOn w:val="AuthorCharChar"/>
    <w:link w:val="Position"/>
    <w:rsid w:val="0075426C"/>
    <w:rPr>
      <w:rFonts w:ascii="Franklin Gothic Book" w:hAnsi="Franklin Gothic Book"/>
      <w:color w:val="5A9A98"/>
      <w:spacing w:val="-2"/>
      <w:kern w:val="28"/>
      <w:sz w:val="24"/>
      <w:szCs w:val="24"/>
      <w:lang w:val="en-AU" w:eastAsia="en-AU" w:bidi="ar-SA"/>
    </w:rPr>
  </w:style>
  <w:style w:type="paragraph" w:customStyle="1" w:styleId="Appendix">
    <w:name w:val="Appendix"/>
    <w:basedOn w:val="Normal"/>
    <w:semiHidden/>
    <w:rsid w:val="00205AA6"/>
    <w:pPr>
      <w:framePr w:wrap="around" w:vAnchor="text" w:hAnchor="text" w:y="1"/>
    </w:pPr>
    <w:rPr>
      <w:rFonts w:ascii="Franklin Gothic Medium" w:hAnsi="Franklin Gothic Medium"/>
      <w:color w:val="7E6D5F"/>
      <w:sz w:val="32"/>
      <w:szCs w:val="32"/>
    </w:rPr>
  </w:style>
  <w:style w:type="paragraph" w:customStyle="1" w:styleId="Photocaption">
    <w:name w:val="Photo caption"/>
    <w:basedOn w:val="Normal"/>
    <w:next w:val="BodyText"/>
    <w:rsid w:val="00187D56"/>
    <w:pPr>
      <w:spacing w:before="140" w:after="240" w:line="180" w:lineRule="exact"/>
    </w:pPr>
    <w:rPr>
      <w:rFonts w:ascii="Franklin Gothic Medium" w:hAnsi="Franklin Gothic Medium"/>
      <w:color w:val="54534A"/>
      <w:sz w:val="14"/>
      <w:szCs w:val="14"/>
    </w:rPr>
  </w:style>
  <w:style w:type="paragraph" w:customStyle="1" w:styleId="CharChar0">
    <w:name w:val="Char Char"/>
    <w:basedOn w:val="Normal"/>
    <w:semiHidden/>
    <w:rsid w:val="00953A8D"/>
    <w:pPr>
      <w:spacing w:before="180" w:line="280" w:lineRule="atLeast"/>
    </w:pPr>
    <w:rPr>
      <w:rFonts w:ascii="Arial" w:hAnsi="Arial"/>
      <w:sz w:val="22"/>
      <w:szCs w:val="20"/>
      <w:lang w:eastAsia="en-US"/>
    </w:rPr>
  </w:style>
  <w:style w:type="table" w:styleId="TableGrid">
    <w:name w:val="Table Grid"/>
    <w:basedOn w:val="TableNormal"/>
    <w:semiHidden/>
    <w:rsid w:val="005C400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atinggreen">
    <w:name w:val="Rating green"/>
    <w:basedOn w:val="Normal"/>
    <w:rsid w:val="004A1146"/>
    <w:pPr>
      <w:numPr>
        <w:numId w:val="30"/>
      </w:numPr>
      <w:spacing w:before="80" w:after="80" w:line="280" w:lineRule="atLeast"/>
    </w:pPr>
    <w:rPr>
      <w:rFonts w:ascii="Georgia" w:hAnsi="Georgia"/>
      <w:sz w:val="19"/>
      <w:szCs w:val="19"/>
    </w:rPr>
  </w:style>
  <w:style w:type="paragraph" w:customStyle="1" w:styleId="Ratingamber">
    <w:name w:val="Rating amber"/>
    <w:basedOn w:val="Normal"/>
    <w:rsid w:val="004A1146"/>
    <w:pPr>
      <w:numPr>
        <w:numId w:val="31"/>
      </w:numPr>
      <w:spacing w:before="80" w:after="80" w:line="280" w:lineRule="atLeast"/>
    </w:pPr>
    <w:rPr>
      <w:rFonts w:ascii="Georgia" w:hAnsi="Georgia"/>
      <w:sz w:val="19"/>
      <w:szCs w:val="19"/>
    </w:rPr>
  </w:style>
  <w:style w:type="paragraph" w:styleId="BalloonText">
    <w:name w:val="Balloon Text"/>
    <w:basedOn w:val="Normal"/>
    <w:semiHidden/>
    <w:rsid w:val="007C066E"/>
    <w:rPr>
      <w:rFonts w:ascii="Tahoma" w:hAnsi="Tahoma" w:cs="Tahoma"/>
      <w:sz w:val="16"/>
      <w:szCs w:val="16"/>
    </w:rPr>
  </w:style>
  <w:style w:type="paragraph" w:styleId="CommentSubject">
    <w:name w:val="annotation subject"/>
    <w:basedOn w:val="CommentText"/>
    <w:next w:val="CommentText"/>
    <w:semiHidden/>
    <w:rsid w:val="00C20D65"/>
    <w:pPr>
      <w:spacing w:before="0" w:after="0" w:line="240" w:lineRule="auto"/>
    </w:pPr>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3583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g.gov.au/cca"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aidworks.ausaid.gov.au/Function/QualityReview/QualityReviewExtract.aspx?QualityReviewID=232" TargetMode="External"/><Relationship Id="rId2" Type="http://schemas.openxmlformats.org/officeDocument/2006/relationships/customXml" Target="../customXml/item2.xml"/><Relationship Id="rId16" Type="http://schemas.openxmlformats.org/officeDocument/2006/relationships/hyperlink" Target="https://aidworks.ausaid.gov.au/Function/QualityReview/QualityReviewExtract.aspx?QualityReviewID=104"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ausaid.gov.au/"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usaid.gov.au/Publications/"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O:\AusAID\AusAID%20Word%20template\Pacific%20repor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FA991E-60C4-4B60-8C17-2C23574E09C6}"/>
</file>

<file path=customXml/itemProps2.xml><?xml version="1.0" encoding="utf-8"?>
<ds:datastoreItem xmlns:ds="http://schemas.openxmlformats.org/officeDocument/2006/customXml" ds:itemID="{EFD40E9A-567B-48EF-9191-05AE816C11AB}"/>
</file>

<file path=customXml/itemProps3.xml><?xml version="1.0" encoding="utf-8"?>
<ds:datastoreItem xmlns:ds="http://schemas.openxmlformats.org/officeDocument/2006/customXml" ds:itemID="{131EB18B-65C0-4F81-8D67-3F297F6C1717}"/>
</file>

<file path=customXml/itemProps4.xml><?xml version="1.0" encoding="utf-8"?>
<ds:datastoreItem xmlns:ds="http://schemas.openxmlformats.org/officeDocument/2006/customXml" ds:itemID="{CEB379BB-90EE-4C27-BC37-86FBFB9F8B28}"/>
</file>

<file path=docProps/app.xml><?xml version="1.0" encoding="utf-8"?>
<Properties xmlns="http://schemas.openxmlformats.org/officeDocument/2006/extended-properties" xmlns:vt="http://schemas.openxmlformats.org/officeDocument/2006/docPropsVTypes">
  <Template>Pacific report</Template>
  <TotalTime>103</TotalTime>
  <Pages>33</Pages>
  <Words>13350</Words>
  <Characters>76096</Characters>
  <Application>Microsoft Office Word</Application>
  <DocSecurity>0</DocSecurity>
  <Lines>634</Lines>
  <Paragraphs>178</Paragraphs>
  <ScaleCrop>false</ScaleCrop>
  <HeadingPairs>
    <vt:vector size="2" baseType="variant">
      <vt:variant>
        <vt:lpstr>Title</vt:lpstr>
      </vt:variant>
      <vt:variant>
        <vt:i4>1</vt:i4>
      </vt:variant>
    </vt:vector>
  </HeadingPairs>
  <TitlesOfParts>
    <vt:vector size="1" baseType="lpstr">
      <vt:lpstr>Report</vt:lpstr>
    </vt:vector>
  </TitlesOfParts>
  <Company>ByWord Services</Company>
  <LinksUpToDate>false</LinksUpToDate>
  <CharactersWithSpaces>89268</CharactersWithSpaces>
  <SharedDoc>false</SharedDoc>
  <HLinks>
    <vt:vector size="30" baseType="variant">
      <vt:variant>
        <vt:i4>3997744</vt:i4>
      </vt:variant>
      <vt:variant>
        <vt:i4>78</vt:i4>
      </vt:variant>
      <vt:variant>
        <vt:i4>0</vt:i4>
      </vt:variant>
      <vt:variant>
        <vt:i4>5</vt:i4>
      </vt:variant>
      <vt:variant>
        <vt:lpwstr>https://aidworks.ausaid.gov.au/Function/QualityReview/QualityReviewExtract.aspx?QualityReviewID=232</vt:lpwstr>
      </vt:variant>
      <vt:variant>
        <vt:lpwstr/>
      </vt:variant>
      <vt:variant>
        <vt:i4>4063283</vt:i4>
      </vt:variant>
      <vt:variant>
        <vt:i4>75</vt:i4>
      </vt:variant>
      <vt:variant>
        <vt:i4>0</vt:i4>
      </vt:variant>
      <vt:variant>
        <vt:i4>5</vt:i4>
      </vt:variant>
      <vt:variant>
        <vt:lpwstr>https://aidworks.ausaid.gov.au/Function/QualityReview/QualityReviewExtract.aspx?QualityReviewID=104</vt:lpwstr>
      </vt:variant>
      <vt:variant>
        <vt:lpwstr/>
      </vt:variant>
      <vt:variant>
        <vt:i4>4849744</vt:i4>
      </vt:variant>
      <vt:variant>
        <vt:i4>6</vt:i4>
      </vt:variant>
      <vt:variant>
        <vt:i4>0</vt:i4>
      </vt:variant>
      <vt:variant>
        <vt:i4>5</vt:i4>
      </vt:variant>
      <vt:variant>
        <vt:lpwstr>http://www.ausaid.gov.au/</vt:lpwstr>
      </vt:variant>
      <vt:variant>
        <vt:lpwstr/>
      </vt:variant>
      <vt:variant>
        <vt:i4>5701662</vt:i4>
      </vt:variant>
      <vt:variant>
        <vt:i4>3</vt:i4>
      </vt:variant>
      <vt:variant>
        <vt:i4>0</vt:i4>
      </vt:variant>
      <vt:variant>
        <vt:i4>65541</vt:i4>
      </vt:variant>
      <vt:variant>
        <vt:lpwstr>http://www.ausaid.gov.au/Publications/</vt:lpwstr>
      </vt:variant>
      <vt:variant>
        <vt:lpwstr/>
      </vt:variant>
      <vt:variant>
        <vt:i4>5373963</vt:i4>
      </vt:variant>
      <vt:variant>
        <vt:i4>0</vt:i4>
      </vt:variant>
      <vt:variant>
        <vt:i4>0</vt:i4>
      </vt:variant>
      <vt:variant>
        <vt:i4>5</vt:i4>
      </vt:variant>
      <vt:variant>
        <vt:lpwstr>http://www.ag.gov.au/cca</vt:lpwstr>
      </vt:variant>
      <vt:variant>
        <vt:lpwstr/>
      </vt:variant>
    </vt:vector>
  </HLinks>
  <HyperlinksChanged>true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dc:title>
  <dc:creator>Larissa Joseph</dc:creator>
  <cp:lastModifiedBy>Guest</cp:lastModifiedBy>
  <cp:revision>10</cp:revision>
  <cp:lastPrinted>2010-01-22T13:20:00Z</cp:lastPrinted>
  <dcterms:created xsi:type="dcterms:W3CDTF">2013-07-07T15:01:00Z</dcterms:created>
  <dcterms:modified xsi:type="dcterms:W3CDTF">2013-07-09T19:42:00Z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System Account</vt:lpwstr>
  </property>
  <property fmtid="{D5CDD505-2E9C-101B-9397-08002B2CF9AE}" pid="3" name="xd_Signature">
    <vt:lpwstr/>
  </property>
  <property fmtid="{D5CDD505-2E9C-101B-9397-08002B2CF9AE}" pid="4" name="Order">
    <vt:r8>119600</vt:r8>
  </property>
  <property fmtid="{D5CDD505-2E9C-101B-9397-08002B2CF9AE}" pid="5" name="TemplateUrl">
    <vt:lpwstr/>
  </property>
  <property fmtid="{D5CDD505-2E9C-101B-9397-08002B2CF9AE}" pid="6" name="xd_ProgID">
    <vt:lpwstr/>
  </property>
  <property fmtid="{D5CDD505-2E9C-101B-9397-08002B2CF9AE}" pid="7" name="display_urn:schemas-microsoft-com:office:office#Author">
    <vt:lpwstr>System Account</vt:lpwstr>
  </property>
  <property fmtid="{D5CDD505-2E9C-101B-9397-08002B2CF9AE}" pid="8" name="_SourceUrl">
    <vt:lpwstr/>
  </property>
  <property fmtid="{D5CDD505-2E9C-101B-9397-08002B2CF9AE}" pid="9" name="_SharedFileIndex">
    <vt:lpwstr/>
  </property>
  <property fmtid="{D5CDD505-2E9C-101B-9397-08002B2CF9AE}" pid="10" name="ContentTypeId">
    <vt:lpwstr>0x01010050F19AC2165D2E47A5E6B7F563E4CF00</vt:lpwstr>
  </property>
  <property fmtid="{D5CDD505-2E9C-101B-9397-08002B2CF9AE}" pid="11" name="PublishingContact">
    <vt:lpwstr/>
  </property>
  <property fmtid="{D5CDD505-2E9C-101B-9397-08002B2CF9AE}" pid="12" name="WCMSPublicationSubCategory">
    <vt:lpwstr/>
  </property>
  <property fmtid="{D5CDD505-2E9C-101B-9397-08002B2CF9AE}" pid="13" name="WCMSIPSSubCategory">
    <vt:lpwstr/>
  </property>
  <property fmtid="{D5CDD505-2E9C-101B-9397-08002B2CF9AE}" pid="14" name="PublishingRollupImage">
    <vt:lpwstr/>
  </property>
  <property fmtid="{D5CDD505-2E9C-101B-9397-08002B2CF9AE}" pid="15" name="AusAIDAggregationLevel">
    <vt:lpwstr/>
  </property>
  <property fmtid="{D5CDD505-2E9C-101B-9397-08002B2CF9AE}" pid="16" name="WCMSStatus">
    <vt:lpwstr/>
  </property>
  <property fmtid="{D5CDD505-2E9C-101B-9397-08002B2CF9AE}" pid="17" name="PublishingContactEmail">
    <vt:lpwstr/>
  </property>
  <property fmtid="{D5CDD505-2E9C-101B-9397-08002B2CF9AE}" pid="18" name="WCMSPrintedMedia">
    <vt:bool>false</vt:bool>
  </property>
  <property fmtid="{D5CDD505-2E9C-101B-9397-08002B2CF9AE}" pid="19" name="WCMSIPSCategory">
    <vt:lpwstr/>
  </property>
  <property fmtid="{D5CDD505-2E9C-101B-9397-08002B2CF9AE}" pid="20" name="RSS Feed Link">
    <vt:lpwstr/>
  </property>
  <property fmtid="{D5CDD505-2E9C-101B-9397-08002B2CF9AE}" pid="21" name="WCMSDocumentLink">
    <vt:lpwstr/>
  </property>
  <property fmtid="{D5CDD505-2E9C-101B-9397-08002B2CF9AE}" pid="22" name="WCMSReportDisclaimer">
    <vt:bool>false</vt:bool>
  </property>
  <property fmtid="{D5CDD505-2E9C-101B-9397-08002B2CF9AE}" pid="23" name="PublishingVariationRelationshipLinkFieldID">
    <vt:lpwstr/>
  </property>
  <property fmtid="{D5CDD505-2E9C-101B-9397-08002B2CF9AE}" pid="24" name="WCMSPublicationCategory">
    <vt:lpwstr/>
  </property>
  <property fmtid="{D5CDD505-2E9C-101B-9397-08002B2CF9AE}" pid="25" name="WCMSElectronicMedia">
    <vt:bool>false</vt:bool>
  </property>
  <property fmtid="{D5CDD505-2E9C-101B-9397-08002B2CF9AE}" pid="26" name="Comments">
    <vt:lpwstr/>
  </property>
  <property fmtid="{D5CDD505-2E9C-101B-9397-08002B2CF9AE}" pid="27" name="PublishingPageLayout">
    <vt:lpwstr/>
  </property>
  <property fmtid="{D5CDD505-2E9C-101B-9397-08002B2CF9AE}" pid="28" name="WCMSCountry">
    <vt:lpwstr/>
  </property>
  <property fmtid="{D5CDD505-2E9C-101B-9397-08002B2CF9AE}" pid="29" name="WCMSSourceId">
    <vt:lpwstr/>
  </property>
  <property fmtid="{D5CDD505-2E9C-101B-9397-08002B2CF9AE}" pid="30" name="WCMSLatest">
    <vt:bool>false</vt:bool>
  </property>
  <property fmtid="{D5CDD505-2E9C-101B-9397-08002B2CF9AE}" pid="31" name="WCMSPublicationFormat">
    <vt:lpwstr/>
  </property>
  <property fmtid="{D5CDD505-2E9C-101B-9397-08002B2CF9AE}" pid="32" name="AusAIDPageSubjectMetadata">
    <vt:lpwstr/>
  </property>
  <property fmtid="{D5CDD505-2E9C-101B-9397-08002B2CF9AE}" pid="33" name="AusAIDCategoryMetadata">
    <vt:lpwstr/>
  </property>
  <property fmtid="{D5CDD505-2E9C-101B-9397-08002B2CF9AE}" pid="34" name="AusAIDDocumentTypeMetaData">
    <vt:lpwstr/>
  </property>
  <property fmtid="{D5CDD505-2E9C-101B-9397-08002B2CF9AE}" pid="35" name="WCMSLanguage">
    <vt:lpwstr/>
  </property>
  <property fmtid="{D5CDD505-2E9C-101B-9397-08002B2CF9AE}" pid="36" name="Audience">
    <vt:lpwstr/>
  </property>
  <property fmtid="{D5CDD505-2E9C-101B-9397-08002B2CF9AE}" pid="37" name="WCMSDescription">
    <vt:lpwstr/>
  </property>
  <property fmtid="{D5CDD505-2E9C-101B-9397-08002B2CF9AE}" pid="39" name="WCMSOtherCategory">
    <vt:lpwstr/>
  </property>
  <property fmtid="{D5CDD505-2E9C-101B-9397-08002B2CF9AE}" pid="40" name="AusAIDPageDescriptionMetadata">
    <vt:lpwstr/>
  </property>
  <property fmtid="{D5CDD505-2E9C-101B-9397-08002B2CF9AE}" pid="41" name="WCMSTheme">
    <vt:lpwstr/>
  </property>
  <property fmtid="{D5CDD505-2E9C-101B-9397-08002B2CF9AE}" pid="42" name="WCMSISBNISSN">
    <vt:lpwstr/>
  </property>
  <property fmtid="{D5CDD505-2E9C-101B-9397-08002B2CF9AE}" pid="43" name="PublishingContactPicture">
    <vt:lpwstr/>
  </property>
  <property fmtid="{D5CDD505-2E9C-101B-9397-08002B2CF9AE}" pid="44" name="PublishingVariationGroupID">
    <vt:lpwstr/>
  </property>
  <property fmtid="{D5CDD505-2E9C-101B-9397-08002B2CF9AE}" pid="45" name="AusAIDIdentifierMetadata">
    <vt:lpwstr/>
  </property>
  <property fmtid="{D5CDD505-2E9C-101B-9397-08002B2CF9AE}" pid="46" name="PublishingContactName">
    <vt:lpwstr/>
  </property>
  <property fmtid="{D5CDD505-2E9C-101B-9397-08002B2CF9AE}" pid="47" name="WCMSRegion">
    <vt:lpwstr/>
  </property>
  <property fmtid="{D5CDD505-2E9C-101B-9397-08002B2CF9AE}" pid="48" name="WCMSPublicationAuthor">
    <vt:lpwstr/>
  </property>
  <property fmtid="{D5CDD505-2E9C-101B-9397-08002B2CF9AE}" pid="49" name="display_urn">
    <vt:lpwstr>System Account</vt:lpwstr>
  </property>
</Properties>
</file>