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9C" w:rsidRPr="009A70C3" w:rsidRDefault="00377049">
      <w:pPr>
        <w:pStyle w:val="Title"/>
        <w:rPr>
          <w:noProof/>
          <w:color w:val="FFFFFF"/>
        </w:rPr>
      </w:pPr>
      <w:r>
        <w:rPr>
          <w:noProof/>
          <w:color w:val="FFFFFF"/>
          <w:lang w:val="en-US" w:eastAsia="en-US"/>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0310" cy="10694035"/>
            <wp:effectExtent l="0" t="0" r="2540" b="0"/>
            <wp:wrapNone/>
            <wp:docPr id="3" name="Picture 3"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report_pacific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F9C" w:rsidRPr="009A70C3">
        <w:rPr>
          <w:color w:val="FFFFFF"/>
        </w:rPr>
        <w:t>Annual program performance report: Republic of Kiribati</w:t>
      </w:r>
    </w:p>
    <w:p w:rsidR="00A60F9C" w:rsidRPr="009A70C3" w:rsidRDefault="00A60F9C">
      <w:pPr>
        <w:pStyle w:val="Subtitle"/>
        <w:rPr>
          <w:color w:val="FFFFFF"/>
        </w:rPr>
      </w:pPr>
    </w:p>
    <w:p w:rsidR="00A60F9C" w:rsidRPr="009A70C3" w:rsidRDefault="00AA2431">
      <w:pPr>
        <w:pStyle w:val="Date"/>
        <w:rPr>
          <w:rFonts w:ascii="Franklin Gothic Medium" w:hAnsi="Franklin Gothic Medium"/>
          <w:color w:val="FFFFFF"/>
        </w:rPr>
      </w:pPr>
      <w:r>
        <w:rPr>
          <w:rFonts w:ascii="Franklin Gothic Medium" w:hAnsi="Franklin Gothic Medium"/>
          <w:color w:val="FFFFFF"/>
        </w:rPr>
        <w:t>2008</w:t>
      </w:r>
    </w:p>
    <w:p w:rsidR="00A60F9C" w:rsidRPr="009A70C3" w:rsidRDefault="00377049">
      <w:pPr>
        <w:pStyle w:val="BoxText"/>
        <w:pageBreakBefore/>
        <w:spacing w:before="300"/>
        <w:ind w:right="1134"/>
      </w:pPr>
      <w:r>
        <w:rPr>
          <w:noProof/>
          <w:lang w:val="en-US" w:eastAsia="en-US"/>
        </w:rPr>
        <w:lastRenderedPageBreak/>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Square wrapText="bothSides"/>
            <wp:docPr id="5" name="Picture 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F9C" w:rsidRPr="009A70C3">
        <w:t>© Commonwealth of Australia 2009</w:t>
      </w:r>
    </w:p>
    <w:p w:rsidR="00A60F9C" w:rsidRPr="009A70C3" w:rsidRDefault="00A60F9C">
      <w:pPr>
        <w:pStyle w:val="BoxText"/>
        <w:ind w:right="1134"/>
      </w:pPr>
      <w:r w:rsidRPr="009A70C3">
        <w:t xml:space="preserve">This work is copyright. You may download, display, print and reproduce this material in unaltered form only (retaining this notice) for your personal, non-commercial use or use within your organisation. Apart from any use as permitted under the </w:t>
      </w:r>
      <w:r w:rsidRPr="009A70C3">
        <w:rPr>
          <w:i/>
        </w:rPr>
        <w:t>Copyright Act 1968</w:t>
      </w:r>
      <w:r w:rsidRPr="009A70C3">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4" w:history="1">
        <w:r w:rsidRPr="009A70C3">
          <w:t>http://www.ag.gov.au/cca</w:t>
        </w:r>
      </w:hyperlink>
    </w:p>
    <w:p w:rsidR="00D02050" w:rsidRPr="009A70C3" w:rsidRDefault="00D02050" w:rsidP="002D56BC">
      <w:pPr>
        <w:pStyle w:val="BoxText"/>
        <w:spacing w:before="240"/>
        <w:ind w:right="1134"/>
      </w:pPr>
    </w:p>
    <w:p w:rsidR="00D02050" w:rsidRPr="009A70C3" w:rsidRDefault="00D02050" w:rsidP="002D56BC">
      <w:pPr>
        <w:pStyle w:val="BoxText"/>
        <w:spacing w:before="240"/>
        <w:ind w:right="1134"/>
      </w:pPr>
    </w:p>
    <w:p w:rsidR="00A60F9C" w:rsidRPr="009A70C3" w:rsidRDefault="00A60F9C" w:rsidP="002D56BC">
      <w:pPr>
        <w:pStyle w:val="BoxText"/>
        <w:spacing w:before="240"/>
        <w:ind w:right="1134"/>
      </w:pPr>
      <w:r w:rsidRPr="009A70C3">
        <w:t>Published by the Australian Agency for International Development (</w:t>
      </w:r>
      <w:proofErr w:type="spellStart"/>
      <w:r w:rsidRPr="009A70C3">
        <w:t>AusAID</w:t>
      </w:r>
      <w:proofErr w:type="spellEnd"/>
      <w:r w:rsidRPr="009A70C3">
        <w:t>), Canberra, November 2009.</w:t>
      </w:r>
    </w:p>
    <w:p w:rsidR="00A60F9C" w:rsidRPr="009A70C3" w:rsidRDefault="00A60F9C">
      <w:pPr>
        <w:pStyle w:val="BoxText"/>
        <w:ind w:right="1134"/>
      </w:pPr>
      <w:r w:rsidRPr="009A70C3">
        <w:t xml:space="preserve">This document is online at </w:t>
      </w:r>
      <w:hyperlink r:id="rId15" w:history="1">
        <w:r w:rsidRPr="009A70C3">
          <w:t>www.ausaid.gov.au/publications</w:t>
        </w:r>
      </w:hyperlink>
    </w:p>
    <w:p w:rsidR="00A60F9C" w:rsidRPr="009A70C3" w:rsidRDefault="00A60F9C">
      <w:pPr>
        <w:pStyle w:val="BoxText"/>
        <w:ind w:right="2418"/>
      </w:pPr>
      <w:r w:rsidRPr="009A70C3">
        <w:t>For further information about the Australian Government’s international development program, contact:</w:t>
      </w:r>
    </w:p>
    <w:p w:rsidR="00A60F9C" w:rsidRPr="009A70C3" w:rsidRDefault="00A60F9C">
      <w:pPr>
        <w:pStyle w:val="BoxText"/>
        <w:spacing w:after="0"/>
        <w:ind w:right="1134"/>
      </w:pPr>
      <w:r w:rsidRPr="009A70C3">
        <w:t>Communications Section</w:t>
      </w:r>
    </w:p>
    <w:p w:rsidR="00A60F9C" w:rsidRPr="009A70C3" w:rsidRDefault="00A60F9C">
      <w:pPr>
        <w:pStyle w:val="BoxText"/>
        <w:spacing w:before="0" w:after="0"/>
        <w:ind w:right="1134"/>
      </w:pPr>
      <w:proofErr w:type="spellStart"/>
      <w:r w:rsidRPr="009A70C3">
        <w:t>AusAID</w:t>
      </w:r>
      <w:proofErr w:type="spellEnd"/>
    </w:p>
    <w:p w:rsidR="00A60F9C" w:rsidRPr="009A70C3" w:rsidRDefault="00A60F9C">
      <w:pPr>
        <w:pStyle w:val="BoxText"/>
        <w:spacing w:before="0" w:after="0"/>
        <w:ind w:right="1134"/>
      </w:pPr>
      <w:r w:rsidRPr="009A70C3">
        <w:t>GPO Box 887</w:t>
      </w:r>
    </w:p>
    <w:p w:rsidR="00A60F9C" w:rsidRPr="009A70C3" w:rsidRDefault="00A60F9C">
      <w:pPr>
        <w:pStyle w:val="BoxText"/>
        <w:spacing w:before="0"/>
        <w:ind w:right="1134"/>
      </w:pPr>
      <w:r w:rsidRPr="009A70C3">
        <w:t>Canberra ACT 2601</w:t>
      </w:r>
    </w:p>
    <w:p w:rsidR="00A60F9C" w:rsidRPr="009A70C3" w:rsidRDefault="00A60F9C">
      <w:pPr>
        <w:pStyle w:val="BoxText"/>
        <w:spacing w:after="0"/>
        <w:ind w:right="1134"/>
      </w:pPr>
      <w:r w:rsidRPr="009A70C3">
        <w:t>Phone</w:t>
      </w:r>
      <w:r w:rsidRPr="009A70C3">
        <w:rPr>
          <w:rFonts w:ascii="Arial Unicode MS" w:eastAsia="Arial Unicode MS" w:hAnsi="Arial Unicode MS" w:cs="Arial Unicode MS"/>
        </w:rPr>
        <w:t> </w:t>
      </w:r>
      <w:r w:rsidRPr="009A70C3">
        <w:t>(02) 6206 4000</w:t>
      </w:r>
    </w:p>
    <w:p w:rsidR="00A60F9C" w:rsidRPr="009A70C3" w:rsidRDefault="00A60F9C">
      <w:pPr>
        <w:pStyle w:val="BoxText"/>
        <w:spacing w:before="0" w:after="0"/>
        <w:ind w:right="1134"/>
      </w:pPr>
      <w:r w:rsidRPr="009A70C3">
        <w:t>Facsimile</w:t>
      </w:r>
      <w:r w:rsidRPr="009A70C3">
        <w:rPr>
          <w:rFonts w:ascii="Arial Unicode MS" w:eastAsia="Arial Unicode MS" w:hAnsi="Arial Unicode MS" w:cs="Arial Unicode MS"/>
        </w:rPr>
        <w:t> </w:t>
      </w:r>
      <w:r w:rsidRPr="009A70C3">
        <w:t>(02) 6206 4880</w:t>
      </w:r>
    </w:p>
    <w:p w:rsidR="00A60F9C" w:rsidRPr="009A70C3" w:rsidRDefault="00A60F9C">
      <w:pPr>
        <w:pStyle w:val="BoxText"/>
        <w:spacing w:before="0"/>
        <w:ind w:right="1134"/>
      </w:pPr>
      <w:r w:rsidRPr="009A70C3">
        <w:t>Internet</w:t>
      </w:r>
      <w:r w:rsidRPr="009A70C3">
        <w:rPr>
          <w:rFonts w:ascii="Arial Unicode MS" w:eastAsia="Arial Unicode MS" w:hAnsi="Arial Unicode MS" w:cs="Arial Unicode MS"/>
        </w:rPr>
        <w:t> </w:t>
      </w:r>
      <w:hyperlink r:id="rId16" w:history="1">
        <w:r w:rsidRPr="009A70C3">
          <w:t>www.</w:t>
        </w:r>
        <w:bookmarkStart w:id="0" w:name="_Hlt536343294"/>
        <w:r w:rsidRPr="009A70C3">
          <w:t>a</w:t>
        </w:r>
        <w:bookmarkEnd w:id="0"/>
        <w:r w:rsidRPr="009A70C3">
          <w:t>u</w:t>
        </w:r>
        <w:bookmarkStart w:id="1" w:name="_Hlt536343388"/>
        <w:r w:rsidRPr="009A70C3">
          <w:t>s</w:t>
        </w:r>
        <w:bookmarkStart w:id="2" w:name="_Hlt536343250"/>
        <w:bookmarkEnd w:id="1"/>
        <w:r w:rsidRPr="009A70C3">
          <w:t>a</w:t>
        </w:r>
        <w:bookmarkStart w:id="3" w:name="_Hlt536343212"/>
        <w:bookmarkEnd w:id="2"/>
        <w:r w:rsidRPr="009A70C3">
          <w:t>i</w:t>
        </w:r>
        <w:bookmarkStart w:id="4" w:name="_Hlt536343325"/>
        <w:bookmarkEnd w:id="3"/>
        <w:r w:rsidRPr="009A70C3">
          <w:t>d</w:t>
        </w:r>
        <w:bookmarkEnd w:id="4"/>
        <w:r w:rsidRPr="009A70C3">
          <w:t>.go</w:t>
        </w:r>
        <w:bookmarkStart w:id="5" w:name="_Hlt86200017"/>
        <w:r w:rsidRPr="009A70C3">
          <w:t>v</w:t>
        </w:r>
        <w:bookmarkEnd w:id="5"/>
        <w:r w:rsidRPr="009A70C3">
          <w:t>.au</w:t>
        </w:r>
      </w:hyperlink>
    </w:p>
    <w:p w:rsidR="00A60F9C" w:rsidRPr="00491B81" w:rsidRDefault="00377049" w:rsidP="00491B81">
      <w:pPr>
        <w:pStyle w:val="H1"/>
      </w:pPr>
      <w:r w:rsidRPr="00491B81">
        <w:lastRenderedPageBreak/>
        <w:drawing>
          <wp:anchor distT="0" distB="0" distL="114300" distR="114300" simplePos="0" relativeHeight="251653120" behindDoc="1" locked="0" layoutInCell="1" allowOverlap="1" wp14:anchorId="7F9C6B9C" wp14:editId="2ED94E1D">
            <wp:simplePos x="0" y="0"/>
            <wp:positionH relativeFrom="page">
              <wp:posOffset>0</wp:posOffset>
            </wp:positionH>
            <wp:positionV relativeFrom="page">
              <wp:posOffset>1386205</wp:posOffset>
            </wp:positionV>
            <wp:extent cx="7560310" cy="1585595"/>
            <wp:effectExtent l="0" t="0" r="2540" b="0"/>
            <wp:wrapNone/>
            <wp:docPr id="2" name="Picture 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F9C" w:rsidRPr="00491B81">
        <w:t>Contents</w:t>
      </w:r>
    </w:p>
    <w:p w:rsidR="00491B81" w:rsidRDefault="00491B81">
      <w:pPr>
        <w:pStyle w:val="TOC1"/>
      </w:pPr>
    </w:p>
    <w:p w:rsidR="001D75FA" w:rsidRDefault="00A60F9C">
      <w:pPr>
        <w:pStyle w:val="TOC1"/>
        <w:rPr>
          <w:rFonts w:ascii="Calibri" w:hAnsi="Calibri"/>
          <w:noProof/>
          <w:color w:val="auto"/>
          <w:sz w:val="22"/>
          <w:szCs w:val="22"/>
        </w:rPr>
      </w:pPr>
      <w:r w:rsidRPr="009A70C3">
        <w:fldChar w:fldCharType="begin"/>
      </w:r>
      <w:r w:rsidRPr="009A70C3">
        <w:instrText xml:space="preserve"> TOC \o "1-3" \t </w:instrText>
      </w:r>
      <w:r w:rsidRPr="009A70C3">
        <w:fldChar w:fldCharType="separate"/>
      </w:r>
      <w:r w:rsidR="001D75FA">
        <w:rPr>
          <w:noProof/>
        </w:rPr>
        <w:t>Abbreviations</w:t>
      </w:r>
      <w:r w:rsidR="001D75FA">
        <w:rPr>
          <w:noProof/>
        </w:rPr>
        <w:tab/>
      </w:r>
      <w:r w:rsidR="001D75FA">
        <w:rPr>
          <w:noProof/>
        </w:rPr>
        <w:fldChar w:fldCharType="begin"/>
      </w:r>
      <w:r w:rsidR="001D75FA">
        <w:rPr>
          <w:noProof/>
        </w:rPr>
        <w:instrText xml:space="preserve"> PAGEREF _Toc246227756 \h </w:instrText>
      </w:r>
      <w:r w:rsidR="001D75FA">
        <w:rPr>
          <w:noProof/>
        </w:rPr>
      </w:r>
      <w:r w:rsidR="001D75FA">
        <w:rPr>
          <w:noProof/>
        </w:rPr>
        <w:fldChar w:fldCharType="separate"/>
      </w:r>
      <w:r w:rsidR="001D75FA">
        <w:rPr>
          <w:noProof/>
        </w:rPr>
        <w:t>5</w:t>
      </w:r>
      <w:r w:rsidR="001D75FA">
        <w:rPr>
          <w:noProof/>
        </w:rPr>
        <w:fldChar w:fldCharType="end"/>
      </w:r>
    </w:p>
    <w:p w:rsidR="001D75FA" w:rsidRDefault="001D75FA">
      <w:pPr>
        <w:pStyle w:val="TOC1"/>
        <w:rPr>
          <w:rFonts w:ascii="Calibri" w:hAnsi="Calibri"/>
          <w:noProof/>
          <w:color w:val="auto"/>
          <w:sz w:val="22"/>
          <w:szCs w:val="22"/>
        </w:rPr>
      </w:pPr>
      <w:r>
        <w:rPr>
          <w:noProof/>
        </w:rPr>
        <w:t>Executive summary</w:t>
      </w:r>
      <w:r>
        <w:rPr>
          <w:noProof/>
        </w:rPr>
        <w:tab/>
      </w:r>
      <w:r>
        <w:rPr>
          <w:noProof/>
        </w:rPr>
        <w:fldChar w:fldCharType="begin"/>
      </w:r>
      <w:r>
        <w:rPr>
          <w:noProof/>
        </w:rPr>
        <w:instrText xml:space="preserve"> PAGEREF _Toc246227757 \h </w:instrText>
      </w:r>
      <w:r>
        <w:rPr>
          <w:noProof/>
        </w:rPr>
      </w:r>
      <w:r>
        <w:rPr>
          <w:noProof/>
        </w:rPr>
        <w:fldChar w:fldCharType="separate"/>
      </w:r>
      <w:r>
        <w:rPr>
          <w:noProof/>
        </w:rPr>
        <w:t>6</w:t>
      </w:r>
      <w:r>
        <w:rPr>
          <w:noProof/>
        </w:rPr>
        <w:fldChar w:fldCharType="end"/>
      </w:r>
    </w:p>
    <w:p w:rsidR="001D75FA" w:rsidRDefault="001D75FA">
      <w:pPr>
        <w:pStyle w:val="TOC2"/>
        <w:rPr>
          <w:rFonts w:ascii="Calibri" w:hAnsi="Calibri"/>
          <w:noProof/>
          <w:color w:val="auto"/>
          <w:sz w:val="22"/>
          <w:szCs w:val="22"/>
        </w:rPr>
      </w:pPr>
      <w:r>
        <w:rPr>
          <w:noProof/>
        </w:rPr>
        <w:t>Overview</w:t>
      </w:r>
      <w:r>
        <w:rPr>
          <w:noProof/>
        </w:rPr>
        <w:tab/>
      </w:r>
      <w:r>
        <w:rPr>
          <w:noProof/>
        </w:rPr>
        <w:fldChar w:fldCharType="begin"/>
      </w:r>
      <w:r>
        <w:rPr>
          <w:noProof/>
        </w:rPr>
        <w:instrText xml:space="preserve"> PAGEREF _Toc246227758 \h </w:instrText>
      </w:r>
      <w:r>
        <w:rPr>
          <w:noProof/>
        </w:rPr>
      </w:r>
      <w:r>
        <w:rPr>
          <w:noProof/>
        </w:rPr>
        <w:fldChar w:fldCharType="separate"/>
      </w:r>
      <w:r>
        <w:rPr>
          <w:noProof/>
        </w:rPr>
        <w:t>6</w:t>
      </w:r>
      <w:r>
        <w:rPr>
          <w:noProof/>
        </w:rPr>
        <w:fldChar w:fldCharType="end"/>
      </w:r>
    </w:p>
    <w:p w:rsidR="001D75FA" w:rsidRDefault="001D75FA">
      <w:pPr>
        <w:pStyle w:val="TOC2"/>
        <w:rPr>
          <w:rFonts w:ascii="Calibri" w:hAnsi="Calibri"/>
          <w:noProof/>
          <w:color w:val="auto"/>
          <w:sz w:val="22"/>
          <w:szCs w:val="22"/>
        </w:rPr>
      </w:pPr>
      <w:r>
        <w:rPr>
          <w:noProof/>
        </w:rPr>
        <w:t>Ratings</w:t>
      </w:r>
      <w:r>
        <w:rPr>
          <w:noProof/>
        </w:rPr>
        <w:tab/>
      </w:r>
      <w:r>
        <w:rPr>
          <w:noProof/>
        </w:rPr>
        <w:fldChar w:fldCharType="begin"/>
      </w:r>
      <w:r>
        <w:rPr>
          <w:noProof/>
        </w:rPr>
        <w:instrText xml:space="preserve"> PAGEREF _Toc246227759 \h </w:instrText>
      </w:r>
      <w:r>
        <w:rPr>
          <w:noProof/>
        </w:rPr>
      </w:r>
      <w:r>
        <w:rPr>
          <w:noProof/>
        </w:rPr>
        <w:fldChar w:fldCharType="separate"/>
      </w:r>
      <w:r>
        <w:rPr>
          <w:noProof/>
        </w:rPr>
        <w:t>7</w:t>
      </w:r>
      <w:r>
        <w:rPr>
          <w:noProof/>
        </w:rPr>
        <w:fldChar w:fldCharType="end"/>
      </w:r>
    </w:p>
    <w:p w:rsidR="001D75FA" w:rsidRDefault="001D75FA">
      <w:pPr>
        <w:pStyle w:val="TOC2"/>
        <w:rPr>
          <w:rFonts w:ascii="Calibri" w:hAnsi="Calibri"/>
          <w:noProof/>
          <w:color w:val="auto"/>
          <w:sz w:val="22"/>
          <w:szCs w:val="22"/>
        </w:rPr>
      </w:pPr>
      <w:r>
        <w:rPr>
          <w:noProof/>
        </w:rPr>
        <w:t>Major results</w:t>
      </w:r>
      <w:r>
        <w:rPr>
          <w:noProof/>
        </w:rPr>
        <w:tab/>
      </w:r>
      <w:r>
        <w:rPr>
          <w:noProof/>
        </w:rPr>
        <w:fldChar w:fldCharType="begin"/>
      </w:r>
      <w:r>
        <w:rPr>
          <w:noProof/>
        </w:rPr>
        <w:instrText xml:space="preserve"> PAGEREF _Toc246227760 \h </w:instrText>
      </w:r>
      <w:r>
        <w:rPr>
          <w:noProof/>
        </w:rPr>
      </w:r>
      <w:r>
        <w:rPr>
          <w:noProof/>
        </w:rPr>
        <w:fldChar w:fldCharType="separate"/>
      </w:r>
      <w:r>
        <w:rPr>
          <w:noProof/>
        </w:rPr>
        <w:t>7</w:t>
      </w:r>
      <w:r>
        <w:rPr>
          <w:noProof/>
        </w:rPr>
        <w:fldChar w:fldCharType="end"/>
      </w:r>
    </w:p>
    <w:p w:rsidR="001D75FA" w:rsidRDefault="001D75FA">
      <w:pPr>
        <w:pStyle w:val="TOC3"/>
        <w:rPr>
          <w:rFonts w:ascii="Calibri" w:hAnsi="Calibri"/>
          <w:noProof/>
          <w:sz w:val="22"/>
          <w:szCs w:val="22"/>
        </w:rPr>
      </w:pPr>
      <w:r>
        <w:rPr>
          <w:noProof/>
        </w:rPr>
        <w:t>Education</w:t>
      </w:r>
      <w:r>
        <w:rPr>
          <w:noProof/>
        </w:rPr>
        <w:tab/>
      </w:r>
      <w:r>
        <w:rPr>
          <w:noProof/>
        </w:rPr>
        <w:fldChar w:fldCharType="begin"/>
      </w:r>
      <w:r>
        <w:rPr>
          <w:noProof/>
        </w:rPr>
        <w:instrText xml:space="preserve"> PAGEREF _Toc246227761 \h </w:instrText>
      </w:r>
      <w:r>
        <w:rPr>
          <w:noProof/>
        </w:rPr>
      </w:r>
      <w:r>
        <w:rPr>
          <w:noProof/>
        </w:rPr>
        <w:fldChar w:fldCharType="separate"/>
      </w:r>
      <w:r>
        <w:rPr>
          <w:noProof/>
        </w:rPr>
        <w:t>7</w:t>
      </w:r>
      <w:r>
        <w:rPr>
          <w:noProof/>
        </w:rPr>
        <w:fldChar w:fldCharType="end"/>
      </w:r>
    </w:p>
    <w:p w:rsidR="001D75FA" w:rsidRDefault="001D75FA">
      <w:pPr>
        <w:pStyle w:val="TOC3"/>
        <w:rPr>
          <w:rFonts w:ascii="Calibri" w:hAnsi="Calibri"/>
          <w:noProof/>
          <w:sz w:val="22"/>
          <w:szCs w:val="22"/>
        </w:rPr>
      </w:pPr>
      <w:r>
        <w:rPr>
          <w:noProof/>
        </w:rPr>
        <w:t>Public sector performance</w:t>
      </w:r>
      <w:r>
        <w:rPr>
          <w:noProof/>
        </w:rPr>
        <w:tab/>
      </w:r>
      <w:r>
        <w:rPr>
          <w:noProof/>
        </w:rPr>
        <w:fldChar w:fldCharType="begin"/>
      </w:r>
      <w:r>
        <w:rPr>
          <w:noProof/>
        </w:rPr>
        <w:instrText xml:space="preserve"> PAGEREF _Toc246227762 \h </w:instrText>
      </w:r>
      <w:r>
        <w:rPr>
          <w:noProof/>
        </w:rPr>
      </w:r>
      <w:r>
        <w:rPr>
          <w:noProof/>
        </w:rPr>
        <w:fldChar w:fldCharType="separate"/>
      </w:r>
      <w:r>
        <w:rPr>
          <w:noProof/>
        </w:rPr>
        <w:t>8</w:t>
      </w:r>
      <w:r>
        <w:rPr>
          <w:noProof/>
        </w:rPr>
        <w:fldChar w:fldCharType="end"/>
      </w:r>
    </w:p>
    <w:p w:rsidR="001D75FA" w:rsidRDefault="001D75FA">
      <w:pPr>
        <w:pStyle w:val="TOC3"/>
        <w:rPr>
          <w:rFonts w:ascii="Calibri" w:hAnsi="Calibri"/>
          <w:noProof/>
          <w:sz w:val="22"/>
          <w:szCs w:val="22"/>
        </w:rPr>
      </w:pPr>
      <w:r>
        <w:rPr>
          <w:noProof/>
        </w:rPr>
        <w:t>Human resource development</w:t>
      </w:r>
      <w:r>
        <w:rPr>
          <w:noProof/>
        </w:rPr>
        <w:tab/>
      </w:r>
      <w:r>
        <w:rPr>
          <w:noProof/>
        </w:rPr>
        <w:fldChar w:fldCharType="begin"/>
      </w:r>
      <w:r>
        <w:rPr>
          <w:noProof/>
        </w:rPr>
        <w:instrText xml:space="preserve"> PAGEREF _Toc246227763 \h </w:instrText>
      </w:r>
      <w:r>
        <w:rPr>
          <w:noProof/>
        </w:rPr>
      </w:r>
      <w:r>
        <w:rPr>
          <w:noProof/>
        </w:rPr>
        <w:fldChar w:fldCharType="separate"/>
      </w:r>
      <w:r>
        <w:rPr>
          <w:noProof/>
        </w:rPr>
        <w:t>8</w:t>
      </w:r>
      <w:r>
        <w:rPr>
          <w:noProof/>
        </w:rPr>
        <w:fldChar w:fldCharType="end"/>
      </w:r>
    </w:p>
    <w:p w:rsidR="001D75FA" w:rsidRDefault="001D75FA">
      <w:pPr>
        <w:pStyle w:val="TOC3"/>
        <w:rPr>
          <w:rFonts w:ascii="Calibri" w:hAnsi="Calibri"/>
          <w:noProof/>
          <w:sz w:val="22"/>
          <w:szCs w:val="22"/>
        </w:rPr>
      </w:pPr>
      <w:r>
        <w:rPr>
          <w:noProof/>
        </w:rPr>
        <w:t>Partnerships in vulnerability reduction</w:t>
      </w:r>
      <w:r>
        <w:rPr>
          <w:noProof/>
        </w:rPr>
        <w:tab/>
      </w:r>
      <w:r>
        <w:rPr>
          <w:noProof/>
        </w:rPr>
        <w:fldChar w:fldCharType="begin"/>
      </w:r>
      <w:r>
        <w:rPr>
          <w:noProof/>
        </w:rPr>
        <w:instrText xml:space="preserve"> PAGEREF _Toc246227764 \h </w:instrText>
      </w:r>
      <w:r>
        <w:rPr>
          <w:noProof/>
        </w:rPr>
      </w:r>
      <w:r>
        <w:rPr>
          <w:noProof/>
        </w:rPr>
        <w:fldChar w:fldCharType="separate"/>
      </w:r>
      <w:r>
        <w:rPr>
          <w:noProof/>
        </w:rPr>
        <w:t>8</w:t>
      </w:r>
      <w:r>
        <w:rPr>
          <w:noProof/>
        </w:rPr>
        <w:fldChar w:fldCharType="end"/>
      </w:r>
    </w:p>
    <w:p w:rsidR="001D75FA" w:rsidRDefault="001D75FA">
      <w:pPr>
        <w:pStyle w:val="TOC2"/>
        <w:rPr>
          <w:rFonts w:ascii="Calibri" w:hAnsi="Calibri"/>
          <w:noProof/>
          <w:color w:val="auto"/>
          <w:sz w:val="22"/>
          <w:szCs w:val="22"/>
        </w:rPr>
      </w:pPr>
      <w:r>
        <w:rPr>
          <w:noProof/>
        </w:rPr>
        <w:t>Major challenges</w:t>
      </w:r>
      <w:r>
        <w:rPr>
          <w:noProof/>
        </w:rPr>
        <w:tab/>
      </w:r>
      <w:r>
        <w:rPr>
          <w:noProof/>
        </w:rPr>
        <w:fldChar w:fldCharType="begin"/>
      </w:r>
      <w:r>
        <w:rPr>
          <w:noProof/>
        </w:rPr>
        <w:instrText xml:space="preserve"> PAGEREF _Toc246227765 \h </w:instrText>
      </w:r>
      <w:r>
        <w:rPr>
          <w:noProof/>
        </w:rPr>
      </w:r>
      <w:r>
        <w:rPr>
          <w:noProof/>
        </w:rPr>
        <w:fldChar w:fldCharType="separate"/>
      </w:r>
      <w:r>
        <w:rPr>
          <w:noProof/>
        </w:rPr>
        <w:t>9</w:t>
      </w:r>
      <w:r>
        <w:rPr>
          <w:noProof/>
        </w:rPr>
        <w:fldChar w:fldCharType="end"/>
      </w:r>
    </w:p>
    <w:p w:rsidR="001D75FA" w:rsidRDefault="001D75FA">
      <w:pPr>
        <w:pStyle w:val="TOC3"/>
        <w:rPr>
          <w:rFonts w:ascii="Calibri" w:hAnsi="Calibri"/>
          <w:noProof/>
          <w:sz w:val="22"/>
          <w:szCs w:val="22"/>
        </w:rPr>
      </w:pPr>
      <w:r>
        <w:rPr>
          <w:noProof/>
        </w:rPr>
        <w:t>Kiribati</w:t>
      </w:r>
      <w:r>
        <w:rPr>
          <w:noProof/>
        </w:rPr>
        <w:tab/>
      </w:r>
      <w:r>
        <w:rPr>
          <w:noProof/>
        </w:rPr>
        <w:fldChar w:fldCharType="begin"/>
      </w:r>
      <w:r>
        <w:rPr>
          <w:noProof/>
        </w:rPr>
        <w:instrText xml:space="preserve"> PAGEREF _Toc246227766 \h </w:instrText>
      </w:r>
      <w:r>
        <w:rPr>
          <w:noProof/>
        </w:rPr>
      </w:r>
      <w:r>
        <w:rPr>
          <w:noProof/>
        </w:rPr>
        <w:fldChar w:fldCharType="separate"/>
      </w:r>
      <w:r>
        <w:rPr>
          <w:noProof/>
        </w:rPr>
        <w:t>9</w:t>
      </w:r>
      <w:r>
        <w:rPr>
          <w:noProof/>
        </w:rPr>
        <w:fldChar w:fldCharType="end"/>
      </w:r>
    </w:p>
    <w:p w:rsidR="001D75FA" w:rsidRDefault="001D75FA">
      <w:pPr>
        <w:pStyle w:val="TOC3"/>
        <w:rPr>
          <w:rFonts w:ascii="Calibri" w:hAnsi="Calibri"/>
          <w:noProof/>
          <w:sz w:val="22"/>
          <w:szCs w:val="22"/>
        </w:rPr>
      </w:pPr>
      <w:r>
        <w:rPr>
          <w:noProof/>
        </w:rPr>
        <w:t>AusAID</w:t>
      </w:r>
      <w:r>
        <w:rPr>
          <w:noProof/>
        </w:rPr>
        <w:tab/>
      </w:r>
      <w:r>
        <w:rPr>
          <w:noProof/>
        </w:rPr>
        <w:fldChar w:fldCharType="begin"/>
      </w:r>
      <w:r>
        <w:rPr>
          <w:noProof/>
        </w:rPr>
        <w:instrText xml:space="preserve"> PAGEREF _Toc246227767 \h </w:instrText>
      </w:r>
      <w:r>
        <w:rPr>
          <w:noProof/>
        </w:rPr>
      </w:r>
      <w:r>
        <w:rPr>
          <w:noProof/>
        </w:rPr>
        <w:fldChar w:fldCharType="separate"/>
      </w:r>
      <w:r>
        <w:rPr>
          <w:noProof/>
        </w:rPr>
        <w:t>9</w:t>
      </w:r>
      <w:r>
        <w:rPr>
          <w:noProof/>
        </w:rPr>
        <w:fldChar w:fldCharType="end"/>
      </w:r>
    </w:p>
    <w:p w:rsidR="001D75FA" w:rsidRDefault="001D75FA">
      <w:pPr>
        <w:pStyle w:val="TOC2"/>
        <w:rPr>
          <w:rFonts w:ascii="Calibri" w:hAnsi="Calibri"/>
          <w:noProof/>
          <w:color w:val="auto"/>
          <w:sz w:val="22"/>
          <w:szCs w:val="22"/>
        </w:rPr>
      </w:pPr>
      <w:r>
        <w:rPr>
          <w:noProof/>
        </w:rPr>
        <w:t>Main management consequences</w:t>
      </w:r>
      <w:r>
        <w:rPr>
          <w:noProof/>
        </w:rPr>
        <w:tab/>
      </w:r>
      <w:r>
        <w:rPr>
          <w:noProof/>
        </w:rPr>
        <w:fldChar w:fldCharType="begin"/>
      </w:r>
      <w:r>
        <w:rPr>
          <w:noProof/>
        </w:rPr>
        <w:instrText xml:space="preserve"> PAGEREF _Toc246227768 \h </w:instrText>
      </w:r>
      <w:r>
        <w:rPr>
          <w:noProof/>
        </w:rPr>
      </w:r>
      <w:r>
        <w:rPr>
          <w:noProof/>
        </w:rPr>
        <w:fldChar w:fldCharType="separate"/>
      </w:r>
      <w:r>
        <w:rPr>
          <w:noProof/>
        </w:rPr>
        <w:t>9</w:t>
      </w:r>
      <w:r>
        <w:rPr>
          <w:noProof/>
        </w:rPr>
        <w:fldChar w:fldCharType="end"/>
      </w:r>
    </w:p>
    <w:p w:rsidR="001D75FA" w:rsidRDefault="001D75FA">
      <w:pPr>
        <w:pStyle w:val="TOC1"/>
        <w:rPr>
          <w:rFonts w:ascii="Calibri" w:hAnsi="Calibri"/>
          <w:noProof/>
          <w:color w:val="auto"/>
          <w:sz w:val="22"/>
          <w:szCs w:val="22"/>
        </w:rPr>
      </w:pPr>
      <w:r>
        <w:rPr>
          <w:noProof/>
        </w:rPr>
        <w:t>Country performance</w:t>
      </w:r>
      <w:r>
        <w:rPr>
          <w:noProof/>
        </w:rPr>
        <w:tab/>
      </w:r>
      <w:r>
        <w:rPr>
          <w:noProof/>
        </w:rPr>
        <w:fldChar w:fldCharType="begin"/>
      </w:r>
      <w:r>
        <w:rPr>
          <w:noProof/>
        </w:rPr>
        <w:instrText xml:space="preserve"> PAGEREF _Toc246227769 \h </w:instrText>
      </w:r>
      <w:r>
        <w:rPr>
          <w:noProof/>
        </w:rPr>
      </w:r>
      <w:r>
        <w:rPr>
          <w:noProof/>
        </w:rPr>
        <w:fldChar w:fldCharType="separate"/>
      </w:r>
      <w:r>
        <w:rPr>
          <w:noProof/>
        </w:rPr>
        <w:t>10</w:t>
      </w:r>
      <w:r>
        <w:rPr>
          <w:noProof/>
        </w:rPr>
        <w:fldChar w:fldCharType="end"/>
      </w:r>
    </w:p>
    <w:p w:rsidR="001D75FA" w:rsidRDefault="001D75FA">
      <w:pPr>
        <w:pStyle w:val="TOC2"/>
        <w:rPr>
          <w:rFonts w:ascii="Calibri" w:hAnsi="Calibri"/>
          <w:noProof/>
          <w:color w:val="auto"/>
          <w:sz w:val="22"/>
          <w:szCs w:val="22"/>
        </w:rPr>
      </w:pPr>
      <w:r>
        <w:rPr>
          <w:noProof/>
        </w:rPr>
        <w:t>Economic performance</w:t>
      </w:r>
      <w:r>
        <w:rPr>
          <w:noProof/>
        </w:rPr>
        <w:tab/>
      </w:r>
      <w:r>
        <w:rPr>
          <w:noProof/>
        </w:rPr>
        <w:fldChar w:fldCharType="begin"/>
      </w:r>
      <w:r>
        <w:rPr>
          <w:noProof/>
        </w:rPr>
        <w:instrText xml:space="preserve"> PAGEREF _Toc246227770 \h </w:instrText>
      </w:r>
      <w:r>
        <w:rPr>
          <w:noProof/>
        </w:rPr>
      </w:r>
      <w:r>
        <w:rPr>
          <w:noProof/>
        </w:rPr>
        <w:fldChar w:fldCharType="separate"/>
      </w:r>
      <w:r>
        <w:rPr>
          <w:noProof/>
        </w:rPr>
        <w:t>10</w:t>
      </w:r>
      <w:r>
        <w:rPr>
          <w:noProof/>
        </w:rPr>
        <w:fldChar w:fldCharType="end"/>
      </w:r>
    </w:p>
    <w:p w:rsidR="001D75FA" w:rsidRDefault="001D75FA">
      <w:pPr>
        <w:pStyle w:val="TOC2"/>
        <w:rPr>
          <w:rFonts w:ascii="Calibri" w:hAnsi="Calibri"/>
          <w:noProof/>
          <w:color w:val="auto"/>
          <w:sz w:val="22"/>
          <w:szCs w:val="22"/>
        </w:rPr>
      </w:pPr>
      <w:r>
        <w:rPr>
          <w:noProof/>
        </w:rPr>
        <w:t>Impact of the global recession</w:t>
      </w:r>
      <w:r>
        <w:rPr>
          <w:noProof/>
        </w:rPr>
        <w:tab/>
      </w:r>
      <w:r>
        <w:rPr>
          <w:noProof/>
        </w:rPr>
        <w:fldChar w:fldCharType="begin"/>
      </w:r>
      <w:r>
        <w:rPr>
          <w:noProof/>
        </w:rPr>
        <w:instrText xml:space="preserve"> PAGEREF _Toc246227771 \h </w:instrText>
      </w:r>
      <w:r>
        <w:rPr>
          <w:noProof/>
        </w:rPr>
      </w:r>
      <w:r>
        <w:rPr>
          <w:noProof/>
        </w:rPr>
        <w:fldChar w:fldCharType="separate"/>
      </w:r>
      <w:r>
        <w:rPr>
          <w:noProof/>
        </w:rPr>
        <w:t>11</w:t>
      </w:r>
      <w:r>
        <w:rPr>
          <w:noProof/>
        </w:rPr>
        <w:fldChar w:fldCharType="end"/>
      </w:r>
    </w:p>
    <w:p w:rsidR="001D75FA" w:rsidRDefault="001D75FA">
      <w:pPr>
        <w:pStyle w:val="TOC2"/>
        <w:rPr>
          <w:rFonts w:ascii="Calibri" w:hAnsi="Calibri"/>
          <w:noProof/>
          <w:color w:val="auto"/>
          <w:sz w:val="22"/>
          <w:szCs w:val="22"/>
        </w:rPr>
      </w:pPr>
      <w:r>
        <w:rPr>
          <w:noProof/>
        </w:rPr>
        <w:t>Progress towards Millennium Development Goals</w:t>
      </w:r>
      <w:r>
        <w:rPr>
          <w:noProof/>
        </w:rPr>
        <w:tab/>
      </w:r>
      <w:r>
        <w:rPr>
          <w:noProof/>
        </w:rPr>
        <w:fldChar w:fldCharType="begin"/>
      </w:r>
      <w:r>
        <w:rPr>
          <w:noProof/>
        </w:rPr>
        <w:instrText xml:space="preserve"> PAGEREF _Toc246227772 \h </w:instrText>
      </w:r>
      <w:r>
        <w:rPr>
          <w:noProof/>
        </w:rPr>
      </w:r>
      <w:r>
        <w:rPr>
          <w:noProof/>
        </w:rPr>
        <w:fldChar w:fldCharType="separate"/>
      </w:r>
      <w:r>
        <w:rPr>
          <w:noProof/>
        </w:rPr>
        <w:t>11</w:t>
      </w:r>
      <w:r>
        <w:rPr>
          <w:noProof/>
        </w:rPr>
        <w:fldChar w:fldCharType="end"/>
      </w:r>
    </w:p>
    <w:p w:rsidR="001D75FA" w:rsidRDefault="001D75FA">
      <w:pPr>
        <w:pStyle w:val="TOC3"/>
        <w:rPr>
          <w:rFonts w:ascii="Calibri" w:hAnsi="Calibri"/>
          <w:noProof/>
          <w:sz w:val="22"/>
          <w:szCs w:val="22"/>
        </w:rPr>
      </w:pPr>
      <w:r>
        <w:rPr>
          <w:noProof/>
        </w:rPr>
        <w:t>Poverty</w:t>
      </w:r>
      <w:r>
        <w:rPr>
          <w:noProof/>
        </w:rPr>
        <w:tab/>
      </w:r>
      <w:r>
        <w:rPr>
          <w:noProof/>
        </w:rPr>
        <w:fldChar w:fldCharType="begin"/>
      </w:r>
      <w:r>
        <w:rPr>
          <w:noProof/>
        </w:rPr>
        <w:instrText xml:space="preserve"> PAGEREF _Toc246227773 \h </w:instrText>
      </w:r>
      <w:r>
        <w:rPr>
          <w:noProof/>
        </w:rPr>
      </w:r>
      <w:r>
        <w:rPr>
          <w:noProof/>
        </w:rPr>
        <w:fldChar w:fldCharType="separate"/>
      </w:r>
      <w:r>
        <w:rPr>
          <w:noProof/>
        </w:rPr>
        <w:t>11</w:t>
      </w:r>
      <w:r>
        <w:rPr>
          <w:noProof/>
        </w:rPr>
        <w:fldChar w:fldCharType="end"/>
      </w:r>
    </w:p>
    <w:p w:rsidR="001D75FA" w:rsidRDefault="001D75FA">
      <w:pPr>
        <w:pStyle w:val="TOC3"/>
        <w:rPr>
          <w:rFonts w:ascii="Calibri" w:hAnsi="Calibri"/>
          <w:noProof/>
          <w:sz w:val="22"/>
          <w:szCs w:val="22"/>
        </w:rPr>
      </w:pPr>
      <w:r>
        <w:rPr>
          <w:noProof/>
        </w:rPr>
        <w:t>Primary education</w:t>
      </w:r>
      <w:r>
        <w:rPr>
          <w:noProof/>
        </w:rPr>
        <w:tab/>
      </w:r>
      <w:r>
        <w:rPr>
          <w:noProof/>
        </w:rPr>
        <w:fldChar w:fldCharType="begin"/>
      </w:r>
      <w:r>
        <w:rPr>
          <w:noProof/>
        </w:rPr>
        <w:instrText xml:space="preserve"> PAGEREF _Toc246227774 \h </w:instrText>
      </w:r>
      <w:r>
        <w:rPr>
          <w:noProof/>
        </w:rPr>
      </w:r>
      <w:r>
        <w:rPr>
          <w:noProof/>
        </w:rPr>
        <w:fldChar w:fldCharType="separate"/>
      </w:r>
      <w:r>
        <w:rPr>
          <w:noProof/>
        </w:rPr>
        <w:t>12</w:t>
      </w:r>
      <w:r>
        <w:rPr>
          <w:noProof/>
        </w:rPr>
        <w:fldChar w:fldCharType="end"/>
      </w:r>
    </w:p>
    <w:p w:rsidR="001D75FA" w:rsidRDefault="001D75FA">
      <w:pPr>
        <w:pStyle w:val="TOC3"/>
        <w:rPr>
          <w:rFonts w:ascii="Calibri" w:hAnsi="Calibri"/>
          <w:noProof/>
          <w:sz w:val="22"/>
          <w:szCs w:val="22"/>
        </w:rPr>
      </w:pPr>
      <w:r>
        <w:rPr>
          <w:noProof/>
        </w:rPr>
        <w:t>Gender equality</w:t>
      </w:r>
      <w:r>
        <w:rPr>
          <w:noProof/>
        </w:rPr>
        <w:tab/>
      </w:r>
      <w:r>
        <w:rPr>
          <w:noProof/>
        </w:rPr>
        <w:fldChar w:fldCharType="begin"/>
      </w:r>
      <w:r>
        <w:rPr>
          <w:noProof/>
        </w:rPr>
        <w:instrText xml:space="preserve"> PAGEREF _Toc246227775 \h </w:instrText>
      </w:r>
      <w:r>
        <w:rPr>
          <w:noProof/>
        </w:rPr>
      </w:r>
      <w:r>
        <w:rPr>
          <w:noProof/>
        </w:rPr>
        <w:fldChar w:fldCharType="separate"/>
      </w:r>
      <w:r>
        <w:rPr>
          <w:noProof/>
        </w:rPr>
        <w:t>12</w:t>
      </w:r>
      <w:r>
        <w:rPr>
          <w:noProof/>
        </w:rPr>
        <w:fldChar w:fldCharType="end"/>
      </w:r>
    </w:p>
    <w:p w:rsidR="001D75FA" w:rsidRDefault="001D75FA">
      <w:pPr>
        <w:pStyle w:val="TOC3"/>
        <w:rPr>
          <w:rFonts w:ascii="Calibri" w:hAnsi="Calibri"/>
          <w:noProof/>
          <w:sz w:val="22"/>
          <w:szCs w:val="22"/>
        </w:rPr>
      </w:pPr>
      <w:r>
        <w:rPr>
          <w:noProof/>
        </w:rPr>
        <w:t>Child survival</w:t>
      </w:r>
      <w:r>
        <w:rPr>
          <w:noProof/>
        </w:rPr>
        <w:tab/>
      </w:r>
      <w:r>
        <w:rPr>
          <w:noProof/>
        </w:rPr>
        <w:fldChar w:fldCharType="begin"/>
      </w:r>
      <w:r>
        <w:rPr>
          <w:noProof/>
        </w:rPr>
        <w:instrText xml:space="preserve"> PAGEREF _Toc246227776 \h </w:instrText>
      </w:r>
      <w:r>
        <w:rPr>
          <w:noProof/>
        </w:rPr>
      </w:r>
      <w:r>
        <w:rPr>
          <w:noProof/>
        </w:rPr>
        <w:fldChar w:fldCharType="separate"/>
      </w:r>
      <w:r>
        <w:rPr>
          <w:noProof/>
        </w:rPr>
        <w:t>12</w:t>
      </w:r>
      <w:r>
        <w:rPr>
          <w:noProof/>
        </w:rPr>
        <w:fldChar w:fldCharType="end"/>
      </w:r>
    </w:p>
    <w:p w:rsidR="001D75FA" w:rsidRDefault="001D75FA">
      <w:pPr>
        <w:pStyle w:val="TOC3"/>
        <w:rPr>
          <w:rFonts w:ascii="Calibri" w:hAnsi="Calibri"/>
          <w:noProof/>
          <w:sz w:val="22"/>
          <w:szCs w:val="22"/>
        </w:rPr>
      </w:pPr>
      <w:r>
        <w:rPr>
          <w:noProof/>
        </w:rPr>
        <w:t>Maternal mortality</w:t>
      </w:r>
      <w:r>
        <w:rPr>
          <w:noProof/>
        </w:rPr>
        <w:tab/>
      </w:r>
      <w:r>
        <w:rPr>
          <w:noProof/>
        </w:rPr>
        <w:fldChar w:fldCharType="begin"/>
      </w:r>
      <w:r>
        <w:rPr>
          <w:noProof/>
        </w:rPr>
        <w:instrText xml:space="preserve"> PAGEREF _Toc246227777 \h </w:instrText>
      </w:r>
      <w:r>
        <w:rPr>
          <w:noProof/>
        </w:rPr>
      </w:r>
      <w:r>
        <w:rPr>
          <w:noProof/>
        </w:rPr>
        <w:fldChar w:fldCharType="separate"/>
      </w:r>
      <w:r>
        <w:rPr>
          <w:noProof/>
        </w:rPr>
        <w:t>13</w:t>
      </w:r>
      <w:r>
        <w:rPr>
          <w:noProof/>
        </w:rPr>
        <w:fldChar w:fldCharType="end"/>
      </w:r>
    </w:p>
    <w:p w:rsidR="001D75FA" w:rsidRDefault="001D75FA">
      <w:pPr>
        <w:pStyle w:val="TOC3"/>
        <w:rPr>
          <w:rFonts w:ascii="Calibri" w:hAnsi="Calibri"/>
          <w:noProof/>
          <w:sz w:val="22"/>
          <w:szCs w:val="22"/>
        </w:rPr>
      </w:pPr>
      <w:r>
        <w:rPr>
          <w:noProof/>
        </w:rPr>
        <w:t>AIDS and tuberculosis</w:t>
      </w:r>
      <w:r>
        <w:rPr>
          <w:noProof/>
        </w:rPr>
        <w:tab/>
      </w:r>
      <w:r>
        <w:rPr>
          <w:noProof/>
        </w:rPr>
        <w:fldChar w:fldCharType="begin"/>
      </w:r>
      <w:r>
        <w:rPr>
          <w:noProof/>
        </w:rPr>
        <w:instrText xml:space="preserve"> PAGEREF _Toc246227778 \h </w:instrText>
      </w:r>
      <w:r>
        <w:rPr>
          <w:noProof/>
        </w:rPr>
      </w:r>
      <w:r>
        <w:rPr>
          <w:noProof/>
        </w:rPr>
        <w:fldChar w:fldCharType="separate"/>
      </w:r>
      <w:r>
        <w:rPr>
          <w:noProof/>
        </w:rPr>
        <w:t>13</w:t>
      </w:r>
      <w:r>
        <w:rPr>
          <w:noProof/>
        </w:rPr>
        <w:fldChar w:fldCharType="end"/>
      </w:r>
    </w:p>
    <w:p w:rsidR="001D75FA" w:rsidRDefault="001D75FA">
      <w:pPr>
        <w:pStyle w:val="TOC3"/>
        <w:rPr>
          <w:rFonts w:ascii="Calibri" w:hAnsi="Calibri"/>
          <w:noProof/>
          <w:sz w:val="22"/>
          <w:szCs w:val="22"/>
        </w:rPr>
      </w:pPr>
      <w:r>
        <w:rPr>
          <w:noProof/>
        </w:rPr>
        <w:t>Environmental sustainability</w:t>
      </w:r>
      <w:r>
        <w:rPr>
          <w:noProof/>
        </w:rPr>
        <w:tab/>
      </w:r>
      <w:r>
        <w:rPr>
          <w:noProof/>
        </w:rPr>
        <w:fldChar w:fldCharType="begin"/>
      </w:r>
      <w:r>
        <w:rPr>
          <w:noProof/>
        </w:rPr>
        <w:instrText xml:space="preserve"> PAGEREF _Toc246227779 \h </w:instrText>
      </w:r>
      <w:r>
        <w:rPr>
          <w:noProof/>
        </w:rPr>
      </w:r>
      <w:r>
        <w:rPr>
          <w:noProof/>
        </w:rPr>
        <w:fldChar w:fldCharType="separate"/>
      </w:r>
      <w:r>
        <w:rPr>
          <w:noProof/>
        </w:rPr>
        <w:t>13</w:t>
      </w:r>
      <w:r>
        <w:rPr>
          <w:noProof/>
        </w:rPr>
        <w:fldChar w:fldCharType="end"/>
      </w:r>
    </w:p>
    <w:p w:rsidR="001D75FA" w:rsidRDefault="001D75FA">
      <w:pPr>
        <w:pStyle w:val="TOC1"/>
        <w:rPr>
          <w:rFonts w:ascii="Calibri" w:hAnsi="Calibri"/>
          <w:noProof/>
          <w:color w:val="auto"/>
          <w:sz w:val="22"/>
          <w:szCs w:val="22"/>
        </w:rPr>
      </w:pPr>
      <w:r>
        <w:rPr>
          <w:noProof/>
        </w:rPr>
        <w:t>What are the results of our aid program?</w:t>
      </w:r>
      <w:r>
        <w:rPr>
          <w:noProof/>
        </w:rPr>
        <w:tab/>
      </w:r>
      <w:r>
        <w:rPr>
          <w:noProof/>
        </w:rPr>
        <w:fldChar w:fldCharType="begin"/>
      </w:r>
      <w:r>
        <w:rPr>
          <w:noProof/>
        </w:rPr>
        <w:instrText xml:space="preserve"> PAGEREF _Toc246227780 \h </w:instrText>
      </w:r>
      <w:r>
        <w:rPr>
          <w:noProof/>
        </w:rPr>
      </w:r>
      <w:r>
        <w:rPr>
          <w:noProof/>
        </w:rPr>
        <w:fldChar w:fldCharType="separate"/>
      </w:r>
      <w:r>
        <w:rPr>
          <w:noProof/>
        </w:rPr>
        <w:t>14</w:t>
      </w:r>
      <w:r>
        <w:rPr>
          <w:noProof/>
        </w:rPr>
        <w:fldChar w:fldCharType="end"/>
      </w:r>
    </w:p>
    <w:p w:rsidR="001D75FA" w:rsidRDefault="001D75FA">
      <w:pPr>
        <w:pStyle w:val="TOC2"/>
        <w:rPr>
          <w:rFonts w:ascii="Calibri" w:hAnsi="Calibri"/>
          <w:noProof/>
          <w:color w:val="auto"/>
          <w:sz w:val="22"/>
          <w:szCs w:val="22"/>
        </w:rPr>
      </w:pPr>
      <w:r>
        <w:rPr>
          <w:noProof/>
        </w:rPr>
        <w:t>Objective 1: Education</w:t>
      </w:r>
      <w:r>
        <w:rPr>
          <w:noProof/>
        </w:rPr>
        <w:tab/>
      </w:r>
      <w:r>
        <w:rPr>
          <w:noProof/>
        </w:rPr>
        <w:fldChar w:fldCharType="begin"/>
      </w:r>
      <w:r>
        <w:rPr>
          <w:noProof/>
        </w:rPr>
        <w:instrText xml:space="preserve"> PAGEREF _Toc246227781 \h </w:instrText>
      </w:r>
      <w:r>
        <w:rPr>
          <w:noProof/>
        </w:rPr>
      </w:r>
      <w:r>
        <w:rPr>
          <w:noProof/>
        </w:rPr>
        <w:fldChar w:fldCharType="separate"/>
      </w:r>
      <w:r>
        <w:rPr>
          <w:noProof/>
        </w:rPr>
        <w:t>14</w:t>
      </w:r>
      <w:r>
        <w:rPr>
          <w:noProof/>
        </w:rPr>
        <w:fldChar w:fldCharType="end"/>
      </w:r>
    </w:p>
    <w:p w:rsidR="001D75FA" w:rsidRDefault="001D75FA">
      <w:pPr>
        <w:pStyle w:val="TOC3"/>
        <w:rPr>
          <w:rFonts w:ascii="Calibri" w:hAnsi="Calibri"/>
          <w:noProof/>
          <w:sz w:val="22"/>
          <w:szCs w:val="22"/>
        </w:rPr>
      </w:pPr>
      <w:r>
        <w:rPr>
          <w:noProof/>
        </w:rPr>
        <w:t>Rating</w:t>
      </w:r>
      <w:r>
        <w:rPr>
          <w:noProof/>
        </w:rPr>
        <w:tab/>
      </w:r>
      <w:r>
        <w:rPr>
          <w:noProof/>
        </w:rPr>
        <w:fldChar w:fldCharType="begin"/>
      </w:r>
      <w:r>
        <w:rPr>
          <w:noProof/>
        </w:rPr>
        <w:instrText xml:space="preserve"> PAGEREF _Toc246227782 \h </w:instrText>
      </w:r>
      <w:r>
        <w:rPr>
          <w:noProof/>
        </w:rPr>
      </w:r>
      <w:r>
        <w:rPr>
          <w:noProof/>
        </w:rPr>
        <w:fldChar w:fldCharType="separate"/>
      </w:r>
      <w:r>
        <w:rPr>
          <w:noProof/>
        </w:rPr>
        <w:t>14</w:t>
      </w:r>
      <w:r>
        <w:rPr>
          <w:noProof/>
        </w:rPr>
        <w:fldChar w:fldCharType="end"/>
      </w:r>
    </w:p>
    <w:p w:rsidR="001D75FA" w:rsidRDefault="001D75FA">
      <w:pPr>
        <w:pStyle w:val="TOC3"/>
        <w:rPr>
          <w:rFonts w:ascii="Calibri" w:hAnsi="Calibri"/>
          <w:noProof/>
          <w:sz w:val="22"/>
          <w:szCs w:val="22"/>
        </w:rPr>
      </w:pPr>
      <w:r>
        <w:rPr>
          <w:noProof/>
        </w:rPr>
        <w:t>Estimated expenditure</w:t>
      </w:r>
      <w:r>
        <w:rPr>
          <w:noProof/>
        </w:rPr>
        <w:tab/>
      </w:r>
      <w:r>
        <w:rPr>
          <w:noProof/>
        </w:rPr>
        <w:fldChar w:fldCharType="begin"/>
      </w:r>
      <w:r>
        <w:rPr>
          <w:noProof/>
        </w:rPr>
        <w:instrText xml:space="preserve"> PAGEREF _Toc246227783 \h </w:instrText>
      </w:r>
      <w:r>
        <w:rPr>
          <w:noProof/>
        </w:rPr>
      </w:r>
      <w:r>
        <w:rPr>
          <w:noProof/>
        </w:rPr>
        <w:fldChar w:fldCharType="separate"/>
      </w:r>
      <w:r>
        <w:rPr>
          <w:noProof/>
        </w:rPr>
        <w:t>14</w:t>
      </w:r>
      <w:r>
        <w:rPr>
          <w:noProof/>
        </w:rPr>
        <w:fldChar w:fldCharType="end"/>
      </w:r>
    </w:p>
    <w:p w:rsidR="001D75FA" w:rsidRDefault="001D75FA">
      <w:pPr>
        <w:pStyle w:val="TOC3"/>
        <w:rPr>
          <w:rFonts w:ascii="Calibri" w:hAnsi="Calibri"/>
          <w:noProof/>
          <w:sz w:val="22"/>
          <w:szCs w:val="22"/>
        </w:rPr>
      </w:pPr>
      <w:r>
        <w:rPr>
          <w:noProof/>
        </w:rPr>
        <w:t>Assessment of results and performance</w:t>
      </w:r>
      <w:r>
        <w:rPr>
          <w:noProof/>
        </w:rPr>
        <w:tab/>
      </w:r>
      <w:r>
        <w:rPr>
          <w:noProof/>
        </w:rPr>
        <w:fldChar w:fldCharType="begin"/>
      </w:r>
      <w:r>
        <w:rPr>
          <w:noProof/>
        </w:rPr>
        <w:instrText xml:space="preserve"> PAGEREF _Toc246227784 \h </w:instrText>
      </w:r>
      <w:r>
        <w:rPr>
          <w:noProof/>
        </w:rPr>
      </w:r>
      <w:r>
        <w:rPr>
          <w:noProof/>
        </w:rPr>
        <w:fldChar w:fldCharType="separate"/>
      </w:r>
      <w:r>
        <w:rPr>
          <w:noProof/>
        </w:rPr>
        <w:t>14</w:t>
      </w:r>
      <w:r>
        <w:rPr>
          <w:noProof/>
        </w:rPr>
        <w:fldChar w:fldCharType="end"/>
      </w:r>
    </w:p>
    <w:p w:rsidR="001D75FA" w:rsidRDefault="001D75FA">
      <w:pPr>
        <w:pStyle w:val="TOC2"/>
        <w:rPr>
          <w:rFonts w:ascii="Calibri" w:hAnsi="Calibri"/>
          <w:noProof/>
          <w:color w:val="auto"/>
          <w:sz w:val="22"/>
          <w:szCs w:val="22"/>
        </w:rPr>
      </w:pPr>
      <w:r>
        <w:rPr>
          <w:noProof/>
        </w:rPr>
        <w:t>Objective 2: Public sector performance</w:t>
      </w:r>
      <w:r>
        <w:rPr>
          <w:noProof/>
        </w:rPr>
        <w:tab/>
      </w:r>
      <w:r>
        <w:rPr>
          <w:noProof/>
        </w:rPr>
        <w:fldChar w:fldCharType="begin"/>
      </w:r>
      <w:r>
        <w:rPr>
          <w:noProof/>
        </w:rPr>
        <w:instrText xml:space="preserve"> PAGEREF _Toc246227785 \h </w:instrText>
      </w:r>
      <w:r>
        <w:rPr>
          <w:noProof/>
        </w:rPr>
      </w:r>
      <w:r>
        <w:rPr>
          <w:noProof/>
        </w:rPr>
        <w:fldChar w:fldCharType="separate"/>
      </w:r>
      <w:r>
        <w:rPr>
          <w:noProof/>
        </w:rPr>
        <w:t>16</w:t>
      </w:r>
      <w:r>
        <w:rPr>
          <w:noProof/>
        </w:rPr>
        <w:fldChar w:fldCharType="end"/>
      </w:r>
    </w:p>
    <w:p w:rsidR="001D75FA" w:rsidRDefault="001D75FA">
      <w:pPr>
        <w:pStyle w:val="TOC3"/>
        <w:rPr>
          <w:rFonts w:ascii="Calibri" w:hAnsi="Calibri"/>
          <w:noProof/>
          <w:sz w:val="22"/>
          <w:szCs w:val="22"/>
        </w:rPr>
      </w:pPr>
      <w:r>
        <w:rPr>
          <w:noProof/>
        </w:rPr>
        <w:t>Rating</w:t>
      </w:r>
      <w:r>
        <w:rPr>
          <w:noProof/>
        </w:rPr>
        <w:tab/>
      </w:r>
      <w:r>
        <w:rPr>
          <w:noProof/>
        </w:rPr>
        <w:fldChar w:fldCharType="begin"/>
      </w:r>
      <w:r>
        <w:rPr>
          <w:noProof/>
        </w:rPr>
        <w:instrText xml:space="preserve"> PAGEREF _Toc246227786 \h </w:instrText>
      </w:r>
      <w:r>
        <w:rPr>
          <w:noProof/>
        </w:rPr>
      </w:r>
      <w:r>
        <w:rPr>
          <w:noProof/>
        </w:rPr>
        <w:fldChar w:fldCharType="separate"/>
      </w:r>
      <w:r>
        <w:rPr>
          <w:noProof/>
        </w:rPr>
        <w:t>16</w:t>
      </w:r>
      <w:r>
        <w:rPr>
          <w:noProof/>
        </w:rPr>
        <w:fldChar w:fldCharType="end"/>
      </w:r>
    </w:p>
    <w:p w:rsidR="001D75FA" w:rsidRDefault="001D75FA">
      <w:pPr>
        <w:pStyle w:val="TOC3"/>
        <w:rPr>
          <w:rFonts w:ascii="Calibri" w:hAnsi="Calibri"/>
          <w:noProof/>
          <w:sz w:val="22"/>
          <w:szCs w:val="22"/>
        </w:rPr>
      </w:pPr>
      <w:r>
        <w:rPr>
          <w:noProof/>
        </w:rPr>
        <w:lastRenderedPageBreak/>
        <w:t>Estimated expenditure</w:t>
      </w:r>
      <w:r>
        <w:rPr>
          <w:noProof/>
        </w:rPr>
        <w:tab/>
      </w:r>
      <w:r>
        <w:rPr>
          <w:noProof/>
        </w:rPr>
        <w:fldChar w:fldCharType="begin"/>
      </w:r>
      <w:r>
        <w:rPr>
          <w:noProof/>
        </w:rPr>
        <w:instrText xml:space="preserve"> PAGEREF _Toc246227787 \h </w:instrText>
      </w:r>
      <w:r>
        <w:rPr>
          <w:noProof/>
        </w:rPr>
      </w:r>
      <w:r>
        <w:rPr>
          <w:noProof/>
        </w:rPr>
        <w:fldChar w:fldCharType="separate"/>
      </w:r>
      <w:r>
        <w:rPr>
          <w:noProof/>
        </w:rPr>
        <w:t>17</w:t>
      </w:r>
      <w:r>
        <w:rPr>
          <w:noProof/>
        </w:rPr>
        <w:fldChar w:fldCharType="end"/>
      </w:r>
    </w:p>
    <w:p w:rsidR="001D75FA" w:rsidRDefault="001D75FA">
      <w:pPr>
        <w:pStyle w:val="TOC3"/>
        <w:rPr>
          <w:rFonts w:ascii="Calibri" w:hAnsi="Calibri"/>
          <w:noProof/>
          <w:sz w:val="22"/>
          <w:szCs w:val="22"/>
        </w:rPr>
      </w:pPr>
      <w:r>
        <w:rPr>
          <w:noProof/>
        </w:rPr>
        <w:t>Assessment of results and performance</w:t>
      </w:r>
      <w:r>
        <w:rPr>
          <w:noProof/>
        </w:rPr>
        <w:tab/>
      </w:r>
      <w:r>
        <w:rPr>
          <w:noProof/>
        </w:rPr>
        <w:fldChar w:fldCharType="begin"/>
      </w:r>
      <w:r>
        <w:rPr>
          <w:noProof/>
        </w:rPr>
        <w:instrText xml:space="preserve"> PAGEREF _Toc246227788 \h </w:instrText>
      </w:r>
      <w:r>
        <w:rPr>
          <w:noProof/>
        </w:rPr>
      </w:r>
      <w:r>
        <w:rPr>
          <w:noProof/>
        </w:rPr>
        <w:fldChar w:fldCharType="separate"/>
      </w:r>
      <w:r>
        <w:rPr>
          <w:noProof/>
        </w:rPr>
        <w:t>17</w:t>
      </w:r>
      <w:r>
        <w:rPr>
          <w:noProof/>
        </w:rPr>
        <w:fldChar w:fldCharType="end"/>
      </w:r>
    </w:p>
    <w:p w:rsidR="001D75FA" w:rsidRDefault="001D75FA">
      <w:pPr>
        <w:pStyle w:val="TOC2"/>
        <w:rPr>
          <w:rFonts w:ascii="Calibri" w:hAnsi="Calibri"/>
          <w:noProof/>
          <w:color w:val="auto"/>
          <w:sz w:val="22"/>
          <w:szCs w:val="22"/>
        </w:rPr>
      </w:pPr>
      <w:r>
        <w:rPr>
          <w:noProof/>
        </w:rPr>
        <w:t>Objective 3: Human resource development</w:t>
      </w:r>
      <w:r>
        <w:rPr>
          <w:noProof/>
        </w:rPr>
        <w:tab/>
      </w:r>
      <w:r>
        <w:rPr>
          <w:noProof/>
        </w:rPr>
        <w:fldChar w:fldCharType="begin"/>
      </w:r>
      <w:r>
        <w:rPr>
          <w:noProof/>
        </w:rPr>
        <w:instrText xml:space="preserve"> PAGEREF _Toc246227789 \h </w:instrText>
      </w:r>
      <w:r>
        <w:rPr>
          <w:noProof/>
        </w:rPr>
      </w:r>
      <w:r>
        <w:rPr>
          <w:noProof/>
        </w:rPr>
        <w:fldChar w:fldCharType="separate"/>
      </w:r>
      <w:r>
        <w:rPr>
          <w:noProof/>
        </w:rPr>
        <w:t>18</w:t>
      </w:r>
      <w:r>
        <w:rPr>
          <w:noProof/>
        </w:rPr>
        <w:fldChar w:fldCharType="end"/>
      </w:r>
    </w:p>
    <w:p w:rsidR="001D75FA" w:rsidRDefault="001D75FA">
      <w:pPr>
        <w:pStyle w:val="TOC3"/>
        <w:rPr>
          <w:rFonts w:ascii="Calibri" w:hAnsi="Calibri"/>
          <w:noProof/>
          <w:sz w:val="22"/>
          <w:szCs w:val="22"/>
        </w:rPr>
      </w:pPr>
      <w:r>
        <w:rPr>
          <w:noProof/>
        </w:rPr>
        <w:t>Rating</w:t>
      </w:r>
      <w:r>
        <w:rPr>
          <w:noProof/>
        </w:rPr>
        <w:tab/>
      </w:r>
      <w:r>
        <w:rPr>
          <w:noProof/>
        </w:rPr>
        <w:fldChar w:fldCharType="begin"/>
      </w:r>
      <w:r>
        <w:rPr>
          <w:noProof/>
        </w:rPr>
        <w:instrText xml:space="preserve"> PAGEREF _Toc246227790 \h </w:instrText>
      </w:r>
      <w:r>
        <w:rPr>
          <w:noProof/>
        </w:rPr>
      </w:r>
      <w:r>
        <w:rPr>
          <w:noProof/>
        </w:rPr>
        <w:fldChar w:fldCharType="separate"/>
      </w:r>
      <w:r>
        <w:rPr>
          <w:noProof/>
        </w:rPr>
        <w:t>19</w:t>
      </w:r>
      <w:r>
        <w:rPr>
          <w:noProof/>
        </w:rPr>
        <w:fldChar w:fldCharType="end"/>
      </w:r>
    </w:p>
    <w:p w:rsidR="001D75FA" w:rsidRDefault="001D75FA">
      <w:pPr>
        <w:pStyle w:val="TOC3"/>
        <w:rPr>
          <w:rFonts w:ascii="Calibri" w:hAnsi="Calibri"/>
          <w:noProof/>
          <w:sz w:val="22"/>
          <w:szCs w:val="22"/>
        </w:rPr>
      </w:pPr>
      <w:r>
        <w:rPr>
          <w:noProof/>
        </w:rPr>
        <w:t>Estimated expenditure</w:t>
      </w:r>
      <w:r>
        <w:rPr>
          <w:noProof/>
        </w:rPr>
        <w:tab/>
      </w:r>
      <w:r>
        <w:rPr>
          <w:noProof/>
        </w:rPr>
        <w:fldChar w:fldCharType="begin"/>
      </w:r>
      <w:r>
        <w:rPr>
          <w:noProof/>
        </w:rPr>
        <w:instrText xml:space="preserve"> PAGEREF _Toc246227791 \h </w:instrText>
      </w:r>
      <w:r>
        <w:rPr>
          <w:noProof/>
        </w:rPr>
      </w:r>
      <w:r>
        <w:rPr>
          <w:noProof/>
        </w:rPr>
        <w:fldChar w:fldCharType="separate"/>
      </w:r>
      <w:r>
        <w:rPr>
          <w:noProof/>
        </w:rPr>
        <w:t>19</w:t>
      </w:r>
      <w:r>
        <w:rPr>
          <w:noProof/>
        </w:rPr>
        <w:fldChar w:fldCharType="end"/>
      </w:r>
    </w:p>
    <w:p w:rsidR="001D75FA" w:rsidRDefault="001D75FA">
      <w:pPr>
        <w:pStyle w:val="TOC3"/>
        <w:rPr>
          <w:rFonts w:ascii="Calibri" w:hAnsi="Calibri"/>
          <w:noProof/>
          <w:sz w:val="22"/>
          <w:szCs w:val="22"/>
        </w:rPr>
      </w:pPr>
      <w:r>
        <w:rPr>
          <w:noProof/>
        </w:rPr>
        <w:t>Assessment of results and performance</w:t>
      </w:r>
      <w:r>
        <w:rPr>
          <w:noProof/>
        </w:rPr>
        <w:tab/>
      </w:r>
      <w:r>
        <w:rPr>
          <w:noProof/>
        </w:rPr>
        <w:fldChar w:fldCharType="begin"/>
      </w:r>
      <w:r>
        <w:rPr>
          <w:noProof/>
        </w:rPr>
        <w:instrText xml:space="preserve"> PAGEREF _Toc246227792 \h </w:instrText>
      </w:r>
      <w:r>
        <w:rPr>
          <w:noProof/>
        </w:rPr>
      </w:r>
      <w:r>
        <w:rPr>
          <w:noProof/>
        </w:rPr>
        <w:fldChar w:fldCharType="separate"/>
      </w:r>
      <w:r>
        <w:rPr>
          <w:noProof/>
        </w:rPr>
        <w:t>19</w:t>
      </w:r>
      <w:r>
        <w:rPr>
          <w:noProof/>
        </w:rPr>
        <w:fldChar w:fldCharType="end"/>
      </w:r>
    </w:p>
    <w:p w:rsidR="001D75FA" w:rsidRDefault="001D75FA">
      <w:pPr>
        <w:pStyle w:val="TOC2"/>
        <w:rPr>
          <w:rFonts w:ascii="Calibri" w:hAnsi="Calibri"/>
          <w:noProof/>
          <w:color w:val="auto"/>
          <w:sz w:val="22"/>
          <w:szCs w:val="22"/>
        </w:rPr>
      </w:pPr>
      <w:r>
        <w:rPr>
          <w:noProof/>
        </w:rPr>
        <w:t>Objective 4: Partnerships in vulnerability reduction</w:t>
      </w:r>
      <w:r>
        <w:rPr>
          <w:noProof/>
        </w:rPr>
        <w:tab/>
      </w:r>
      <w:r>
        <w:rPr>
          <w:noProof/>
        </w:rPr>
        <w:fldChar w:fldCharType="begin"/>
      </w:r>
      <w:r>
        <w:rPr>
          <w:noProof/>
        </w:rPr>
        <w:instrText xml:space="preserve"> PAGEREF _Toc246227793 \h </w:instrText>
      </w:r>
      <w:r>
        <w:rPr>
          <w:noProof/>
        </w:rPr>
      </w:r>
      <w:r>
        <w:rPr>
          <w:noProof/>
        </w:rPr>
        <w:fldChar w:fldCharType="separate"/>
      </w:r>
      <w:r>
        <w:rPr>
          <w:noProof/>
        </w:rPr>
        <w:t>21</w:t>
      </w:r>
      <w:r>
        <w:rPr>
          <w:noProof/>
        </w:rPr>
        <w:fldChar w:fldCharType="end"/>
      </w:r>
    </w:p>
    <w:p w:rsidR="001D75FA" w:rsidRDefault="001D75FA">
      <w:pPr>
        <w:pStyle w:val="TOC3"/>
        <w:rPr>
          <w:rFonts w:ascii="Calibri" w:hAnsi="Calibri"/>
          <w:noProof/>
          <w:sz w:val="22"/>
          <w:szCs w:val="22"/>
        </w:rPr>
      </w:pPr>
      <w:r>
        <w:rPr>
          <w:noProof/>
        </w:rPr>
        <w:t>Rating</w:t>
      </w:r>
      <w:r>
        <w:rPr>
          <w:noProof/>
        </w:rPr>
        <w:tab/>
      </w:r>
      <w:r>
        <w:rPr>
          <w:noProof/>
        </w:rPr>
        <w:fldChar w:fldCharType="begin"/>
      </w:r>
      <w:r>
        <w:rPr>
          <w:noProof/>
        </w:rPr>
        <w:instrText xml:space="preserve"> PAGEREF _Toc246227794 \h </w:instrText>
      </w:r>
      <w:r>
        <w:rPr>
          <w:noProof/>
        </w:rPr>
      </w:r>
      <w:r>
        <w:rPr>
          <w:noProof/>
        </w:rPr>
        <w:fldChar w:fldCharType="separate"/>
      </w:r>
      <w:r>
        <w:rPr>
          <w:noProof/>
        </w:rPr>
        <w:t>22</w:t>
      </w:r>
      <w:r>
        <w:rPr>
          <w:noProof/>
        </w:rPr>
        <w:fldChar w:fldCharType="end"/>
      </w:r>
    </w:p>
    <w:p w:rsidR="001D75FA" w:rsidRDefault="001D75FA">
      <w:pPr>
        <w:pStyle w:val="TOC3"/>
        <w:rPr>
          <w:rFonts w:ascii="Calibri" w:hAnsi="Calibri"/>
          <w:noProof/>
          <w:sz w:val="22"/>
          <w:szCs w:val="22"/>
        </w:rPr>
      </w:pPr>
      <w:r>
        <w:rPr>
          <w:noProof/>
        </w:rPr>
        <w:t>Estimated expenditure</w:t>
      </w:r>
      <w:r>
        <w:rPr>
          <w:noProof/>
        </w:rPr>
        <w:tab/>
      </w:r>
      <w:r>
        <w:rPr>
          <w:noProof/>
        </w:rPr>
        <w:fldChar w:fldCharType="begin"/>
      </w:r>
      <w:r>
        <w:rPr>
          <w:noProof/>
        </w:rPr>
        <w:instrText xml:space="preserve"> PAGEREF _Toc246227795 \h </w:instrText>
      </w:r>
      <w:r>
        <w:rPr>
          <w:noProof/>
        </w:rPr>
      </w:r>
      <w:r>
        <w:rPr>
          <w:noProof/>
        </w:rPr>
        <w:fldChar w:fldCharType="separate"/>
      </w:r>
      <w:r>
        <w:rPr>
          <w:noProof/>
        </w:rPr>
        <w:t>22</w:t>
      </w:r>
      <w:r>
        <w:rPr>
          <w:noProof/>
        </w:rPr>
        <w:fldChar w:fldCharType="end"/>
      </w:r>
    </w:p>
    <w:p w:rsidR="001D75FA" w:rsidRDefault="001D75FA">
      <w:pPr>
        <w:pStyle w:val="TOC3"/>
        <w:rPr>
          <w:rFonts w:ascii="Calibri" w:hAnsi="Calibri"/>
          <w:noProof/>
          <w:sz w:val="22"/>
          <w:szCs w:val="22"/>
        </w:rPr>
      </w:pPr>
      <w:r>
        <w:rPr>
          <w:noProof/>
        </w:rPr>
        <w:t>Assessment of results and performance</w:t>
      </w:r>
      <w:r>
        <w:rPr>
          <w:noProof/>
        </w:rPr>
        <w:tab/>
      </w:r>
      <w:r>
        <w:rPr>
          <w:noProof/>
        </w:rPr>
        <w:fldChar w:fldCharType="begin"/>
      </w:r>
      <w:r>
        <w:rPr>
          <w:noProof/>
        </w:rPr>
        <w:instrText xml:space="preserve"> PAGEREF _Toc246227796 \h </w:instrText>
      </w:r>
      <w:r>
        <w:rPr>
          <w:noProof/>
        </w:rPr>
      </w:r>
      <w:r>
        <w:rPr>
          <w:noProof/>
        </w:rPr>
        <w:fldChar w:fldCharType="separate"/>
      </w:r>
      <w:r>
        <w:rPr>
          <w:noProof/>
        </w:rPr>
        <w:t>22</w:t>
      </w:r>
      <w:r>
        <w:rPr>
          <w:noProof/>
        </w:rPr>
        <w:fldChar w:fldCharType="end"/>
      </w:r>
    </w:p>
    <w:p w:rsidR="001D75FA" w:rsidRDefault="001D75FA">
      <w:pPr>
        <w:pStyle w:val="TOC1"/>
        <w:rPr>
          <w:rFonts w:ascii="Calibri" w:hAnsi="Calibri"/>
          <w:noProof/>
          <w:color w:val="auto"/>
          <w:sz w:val="22"/>
          <w:szCs w:val="22"/>
        </w:rPr>
      </w:pPr>
      <w:r>
        <w:rPr>
          <w:noProof/>
        </w:rPr>
        <w:t>What is the quality of our aid activities?</w:t>
      </w:r>
      <w:r>
        <w:rPr>
          <w:noProof/>
        </w:rPr>
        <w:tab/>
      </w:r>
      <w:r>
        <w:rPr>
          <w:noProof/>
        </w:rPr>
        <w:fldChar w:fldCharType="begin"/>
      </w:r>
      <w:r>
        <w:rPr>
          <w:noProof/>
        </w:rPr>
        <w:instrText xml:space="preserve"> PAGEREF _Toc246227797 \h </w:instrText>
      </w:r>
      <w:r>
        <w:rPr>
          <w:noProof/>
        </w:rPr>
      </w:r>
      <w:r>
        <w:rPr>
          <w:noProof/>
        </w:rPr>
        <w:fldChar w:fldCharType="separate"/>
      </w:r>
      <w:r>
        <w:rPr>
          <w:noProof/>
        </w:rPr>
        <w:t>26</w:t>
      </w:r>
      <w:r>
        <w:rPr>
          <w:noProof/>
        </w:rPr>
        <w:fldChar w:fldCharType="end"/>
      </w:r>
    </w:p>
    <w:p w:rsidR="001D75FA" w:rsidRDefault="001D75FA">
      <w:pPr>
        <w:pStyle w:val="TOC2"/>
        <w:rPr>
          <w:rFonts w:ascii="Calibri" w:hAnsi="Calibri"/>
          <w:noProof/>
          <w:color w:val="auto"/>
          <w:sz w:val="22"/>
          <w:szCs w:val="22"/>
        </w:rPr>
      </w:pPr>
      <w:r>
        <w:rPr>
          <w:noProof/>
        </w:rPr>
        <w:t>Monitoring and evaluation</w:t>
      </w:r>
      <w:r>
        <w:rPr>
          <w:noProof/>
        </w:rPr>
        <w:tab/>
      </w:r>
      <w:r>
        <w:rPr>
          <w:noProof/>
        </w:rPr>
        <w:fldChar w:fldCharType="begin"/>
      </w:r>
      <w:r>
        <w:rPr>
          <w:noProof/>
        </w:rPr>
        <w:instrText xml:space="preserve"> PAGEREF _Toc246227798 \h </w:instrText>
      </w:r>
      <w:r>
        <w:rPr>
          <w:noProof/>
        </w:rPr>
      </w:r>
      <w:r>
        <w:rPr>
          <w:noProof/>
        </w:rPr>
        <w:fldChar w:fldCharType="separate"/>
      </w:r>
      <w:r>
        <w:rPr>
          <w:noProof/>
        </w:rPr>
        <w:t>27</w:t>
      </w:r>
      <w:r>
        <w:rPr>
          <w:noProof/>
        </w:rPr>
        <w:fldChar w:fldCharType="end"/>
      </w:r>
    </w:p>
    <w:p w:rsidR="001D75FA" w:rsidRDefault="001D75FA">
      <w:pPr>
        <w:pStyle w:val="TOC2"/>
        <w:rPr>
          <w:rFonts w:ascii="Calibri" w:hAnsi="Calibri"/>
          <w:noProof/>
          <w:color w:val="auto"/>
          <w:sz w:val="22"/>
          <w:szCs w:val="22"/>
        </w:rPr>
      </w:pPr>
      <w:r>
        <w:rPr>
          <w:noProof/>
        </w:rPr>
        <w:t>Sustainability</w:t>
      </w:r>
      <w:r>
        <w:rPr>
          <w:noProof/>
        </w:rPr>
        <w:tab/>
      </w:r>
      <w:r>
        <w:rPr>
          <w:noProof/>
        </w:rPr>
        <w:fldChar w:fldCharType="begin"/>
      </w:r>
      <w:r>
        <w:rPr>
          <w:noProof/>
        </w:rPr>
        <w:instrText xml:space="preserve"> PAGEREF _Toc246227799 \h </w:instrText>
      </w:r>
      <w:r>
        <w:rPr>
          <w:noProof/>
        </w:rPr>
      </w:r>
      <w:r>
        <w:rPr>
          <w:noProof/>
        </w:rPr>
        <w:fldChar w:fldCharType="separate"/>
      </w:r>
      <w:r>
        <w:rPr>
          <w:noProof/>
        </w:rPr>
        <w:t>27</w:t>
      </w:r>
      <w:r>
        <w:rPr>
          <w:noProof/>
        </w:rPr>
        <w:fldChar w:fldCharType="end"/>
      </w:r>
    </w:p>
    <w:p w:rsidR="001D75FA" w:rsidRDefault="001D75FA">
      <w:pPr>
        <w:pStyle w:val="TOC2"/>
        <w:rPr>
          <w:rFonts w:ascii="Calibri" w:hAnsi="Calibri"/>
          <w:noProof/>
          <w:color w:val="auto"/>
          <w:sz w:val="22"/>
          <w:szCs w:val="22"/>
        </w:rPr>
      </w:pPr>
      <w:r>
        <w:rPr>
          <w:noProof/>
        </w:rPr>
        <w:t>Progress against Paris Declaration and Accra principles</w:t>
      </w:r>
      <w:r>
        <w:rPr>
          <w:noProof/>
        </w:rPr>
        <w:tab/>
      </w:r>
      <w:r>
        <w:rPr>
          <w:noProof/>
        </w:rPr>
        <w:fldChar w:fldCharType="begin"/>
      </w:r>
      <w:r>
        <w:rPr>
          <w:noProof/>
        </w:rPr>
        <w:instrText xml:space="preserve"> PAGEREF _Toc246227800 \h </w:instrText>
      </w:r>
      <w:r>
        <w:rPr>
          <w:noProof/>
        </w:rPr>
      </w:r>
      <w:r>
        <w:rPr>
          <w:noProof/>
        </w:rPr>
        <w:fldChar w:fldCharType="separate"/>
      </w:r>
      <w:r>
        <w:rPr>
          <w:noProof/>
        </w:rPr>
        <w:t>28</w:t>
      </w:r>
      <w:r>
        <w:rPr>
          <w:noProof/>
        </w:rPr>
        <w:fldChar w:fldCharType="end"/>
      </w:r>
    </w:p>
    <w:p w:rsidR="001D75FA" w:rsidRDefault="001D75FA">
      <w:pPr>
        <w:pStyle w:val="TOC1"/>
        <w:rPr>
          <w:rFonts w:ascii="Calibri" w:hAnsi="Calibri"/>
          <w:noProof/>
          <w:color w:val="auto"/>
          <w:sz w:val="22"/>
          <w:szCs w:val="22"/>
        </w:rPr>
      </w:pPr>
      <w:r>
        <w:rPr>
          <w:noProof/>
        </w:rPr>
        <w:t>What are the management consequences of this assessment?</w:t>
      </w:r>
      <w:r>
        <w:rPr>
          <w:noProof/>
        </w:rPr>
        <w:tab/>
      </w:r>
      <w:r>
        <w:rPr>
          <w:noProof/>
        </w:rPr>
        <w:fldChar w:fldCharType="begin"/>
      </w:r>
      <w:r>
        <w:rPr>
          <w:noProof/>
        </w:rPr>
        <w:instrText xml:space="preserve"> PAGEREF _Toc246227801 \h </w:instrText>
      </w:r>
      <w:r>
        <w:rPr>
          <w:noProof/>
        </w:rPr>
      </w:r>
      <w:r>
        <w:rPr>
          <w:noProof/>
        </w:rPr>
        <w:fldChar w:fldCharType="separate"/>
      </w:r>
      <w:r>
        <w:rPr>
          <w:noProof/>
        </w:rPr>
        <w:t>30</w:t>
      </w:r>
      <w:r>
        <w:rPr>
          <w:noProof/>
        </w:rPr>
        <w:fldChar w:fldCharType="end"/>
      </w:r>
    </w:p>
    <w:p w:rsidR="001D75FA" w:rsidRDefault="001D75FA">
      <w:pPr>
        <w:pStyle w:val="TOC2"/>
        <w:rPr>
          <w:rFonts w:ascii="Calibri" w:hAnsi="Calibri"/>
          <w:noProof/>
          <w:color w:val="auto"/>
          <w:sz w:val="22"/>
          <w:szCs w:val="22"/>
        </w:rPr>
      </w:pPr>
      <w:r>
        <w:rPr>
          <w:noProof/>
        </w:rPr>
        <w:t>Transitioning of Australia’s aid program</w:t>
      </w:r>
      <w:r>
        <w:rPr>
          <w:noProof/>
        </w:rPr>
        <w:tab/>
      </w:r>
      <w:r>
        <w:rPr>
          <w:noProof/>
        </w:rPr>
        <w:fldChar w:fldCharType="begin"/>
      </w:r>
      <w:r>
        <w:rPr>
          <w:noProof/>
        </w:rPr>
        <w:instrText xml:space="preserve"> PAGEREF _Toc246227802 \h </w:instrText>
      </w:r>
      <w:r>
        <w:rPr>
          <w:noProof/>
        </w:rPr>
      </w:r>
      <w:r>
        <w:rPr>
          <w:noProof/>
        </w:rPr>
        <w:fldChar w:fldCharType="separate"/>
      </w:r>
      <w:r>
        <w:rPr>
          <w:noProof/>
        </w:rPr>
        <w:t>30</w:t>
      </w:r>
      <w:r>
        <w:rPr>
          <w:noProof/>
        </w:rPr>
        <w:fldChar w:fldCharType="end"/>
      </w:r>
    </w:p>
    <w:p w:rsidR="001D75FA" w:rsidRDefault="001D75FA">
      <w:pPr>
        <w:pStyle w:val="TOC2"/>
        <w:rPr>
          <w:rFonts w:ascii="Calibri" w:hAnsi="Calibri"/>
          <w:noProof/>
          <w:color w:val="auto"/>
          <w:sz w:val="22"/>
          <w:szCs w:val="22"/>
        </w:rPr>
      </w:pPr>
      <w:r>
        <w:rPr>
          <w:noProof/>
        </w:rPr>
        <w:t>Scaling up</w:t>
      </w:r>
      <w:r>
        <w:rPr>
          <w:noProof/>
        </w:rPr>
        <w:tab/>
      </w:r>
      <w:r>
        <w:rPr>
          <w:noProof/>
        </w:rPr>
        <w:fldChar w:fldCharType="begin"/>
      </w:r>
      <w:r>
        <w:rPr>
          <w:noProof/>
        </w:rPr>
        <w:instrText xml:space="preserve"> PAGEREF _Toc246227803 \h </w:instrText>
      </w:r>
      <w:r>
        <w:rPr>
          <w:noProof/>
        </w:rPr>
      </w:r>
      <w:r>
        <w:rPr>
          <w:noProof/>
        </w:rPr>
        <w:fldChar w:fldCharType="separate"/>
      </w:r>
      <w:r>
        <w:rPr>
          <w:noProof/>
        </w:rPr>
        <w:t>31</w:t>
      </w:r>
      <w:r>
        <w:rPr>
          <w:noProof/>
        </w:rPr>
        <w:fldChar w:fldCharType="end"/>
      </w:r>
    </w:p>
    <w:p w:rsidR="001D75FA" w:rsidRDefault="001D75FA">
      <w:pPr>
        <w:pStyle w:val="TOC2"/>
        <w:rPr>
          <w:rFonts w:ascii="Calibri" w:hAnsi="Calibri"/>
          <w:noProof/>
          <w:color w:val="auto"/>
          <w:sz w:val="22"/>
          <w:szCs w:val="22"/>
        </w:rPr>
      </w:pPr>
      <w:r>
        <w:rPr>
          <w:noProof/>
        </w:rPr>
        <w:t>Management challenges</w:t>
      </w:r>
      <w:r>
        <w:rPr>
          <w:noProof/>
        </w:rPr>
        <w:tab/>
      </w:r>
      <w:r>
        <w:rPr>
          <w:noProof/>
        </w:rPr>
        <w:fldChar w:fldCharType="begin"/>
      </w:r>
      <w:r>
        <w:rPr>
          <w:noProof/>
        </w:rPr>
        <w:instrText xml:space="preserve"> PAGEREF _Toc246227804 \h </w:instrText>
      </w:r>
      <w:r>
        <w:rPr>
          <w:noProof/>
        </w:rPr>
      </w:r>
      <w:r>
        <w:rPr>
          <w:noProof/>
        </w:rPr>
        <w:fldChar w:fldCharType="separate"/>
      </w:r>
      <w:r>
        <w:rPr>
          <w:noProof/>
        </w:rPr>
        <w:t>31</w:t>
      </w:r>
      <w:r>
        <w:rPr>
          <w:noProof/>
        </w:rPr>
        <w:fldChar w:fldCharType="end"/>
      </w:r>
    </w:p>
    <w:p w:rsidR="001D75FA" w:rsidRDefault="001D75FA">
      <w:pPr>
        <w:pStyle w:val="TOC2"/>
        <w:rPr>
          <w:rFonts w:ascii="Calibri" w:hAnsi="Calibri"/>
          <w:noProof/>
          <w:color w:val="auto"/>
          <w:sz w:val="22"/>
          <w:szCs w:val="22"/>
        </w:rPr>
      </w:pPr>
      <w:r>
        <w:rPr>
          <w:noProof/>
        </w:rPr>
        <w:t>Response to the global recession</w:t>
      </w:r>
      <w:r>
        <w:rPr>
          <w:noProof/>
        </w:rPr>
        <w:tab/>
      </w:r>
      <w:r>
        <w:rPr>
          <w:noProof/>
        </w:rPr>
        <w:fldChar w:fldCharType="begin"/>
      </w:r>
      <w:r>
        <w:rPr>
          <w:noProof/>
        </w:rPr>
        <w:instrText xml:space="preserve"> PAGEREF _Toc246227805 \h </w:instrText>
      </w:r>
      <w:r>
        <w:rPr>
          <w:noProof/>
        </w:rPr>
      </w:r>
      <w:r>
        <w:rPr>
          <w:noProof/>
        </w:rPr>
        <w:fldChar w:fldCharType="separate"/>
      </w:r>
      <w:r>
        <w:rPr>
          <w:noProof/>
        </w:rPr>
        <w:t>32</w:t>
      </w:r>
      <w:r>
        <w:rPr>
          <w:noProof/>
        </w:rPr>
        <w:fldChar w:fldCharType="end"/>
      </w:r>
    </w:p>
    <w:p w:rsidR="00A60F9C" w:rsidRPr="009A70C3" w:rsidRDefault="00A60F9C" w:rsidP="00413604">
      <w:pPr>
        <w:pStyle w:val="TOC1"/>
      </w:pPr>
      <w:r w:rsidRPr="009A70C3">
        <w:fldChar w:fldCharType="end"/>
      </w:r>
    </w:p>
    <w:p w:rsidR="00A60F9C" w:rsidRPr="009A70C3" w:rsidRDefault="00377049">
      <w:pPr>
        <w:pStyle w:val="Heading1unnumbered"/>
        <w:rPr>
          <w:noProof/>
        </w:rPr>
      </w:pPr>
      <w:r>
        <w:rPr>
          <w:noProof/>
          <w:lang w:val="en-US" w:eastAsia="en-US"/>
        </w:rPr>
        <w:lastRenderedPageBreak/>
        <w:drawing>
          <wp:anchor distT="0" distB="0" distL="114300" distR="114300" simplePos="0" relativeHeight="251657216" behindDoc="1" locked="0" layoutInCell="1" allowOverlap="1" wp14:anchorId="450D9389" wp14:editId="34E1BF52">
            <wp:simplePos x="0" y="0"/>
            <wp:positionH relativeFrom="page">
              <wp:posOffset>0</wp:posOffset>
            </wp:positionH>
            <wp:positionV relativeFrom="page">
              <wp:posOffset>1386205</wp:posOffset>
            </wp:positionV>
            <wp:extent cx="7560310" cy="1585595"/>
            <wp:effectExtent l="0" t="0" r="2540" b="0"/>
            <wp:wrapNone/>
            <wp:docPr id="6" name="Picture 6"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Toc246227756"/>
      <w:r w:rsidR="00A60F9C" w:rsidRPr="009A70C3">
        <w:t>Abbreviations</w:t>
      </w:r>
      <w:bookmarkEnd w:id="6"/>
      <w:r w:rsidR="00A60F9C" w:rsidRPr="009A70C3">
        <w:br/>
      </w:r>
    </w:p>
    <w:p w:rsidR="004C3315" w:rsidRPr="009A70C3" w:rsidRDefault="004C3315" w:rsidP="004C3315">
      <w:pPr>
        <w:pStyle w:val="BodyText"/>
        <w:tabs>
          <w:tab w:val="left" w:pos="851"/>
        </w:tabs>
      </w:pPr>
      <w:r w:rsidRPr="009A70C3">
        <w:t>ADB</w:t>
      </w:r>
      <w:r w:rsidRPr="009A70C3">
        <w:tab/>
      </w:r>
      <w:r w:rsidR="002D6D60">
        <w:tab/>
      </w:r>
      <w:r w:rsidR="002D6D60">
        <w:tab/>
      </w:r>
      <w:r w:rsidRPr="009A70C3">
        <w:t>Asian Development Bank</w:t>
      </w:r>
    </w:p>
    <w:p w:rsidR="004C3315" w:rsidRPr="009A70C3" w:rsidRDefault="004C3315" w:rsidP="004C3315">
      <w:pPr>
        <w:pStyle w:val="BodyText"/>
        <w:tabs>
          <w:tab w:val="left" w:pos="851"/>
        </w:tabs>
      </w:pPr>
      <w:r w:rsidRPr="009A70C3">
        <w:t>APPR</w:t>
      </w:r>
      <w:r w:rsidRPr="009A70C3">
        <w:tab/>
      </w:r>
      <w:r w:rsidR="002D6D60">
        <w:tab/>
      </w:r>
      <w:r w:rsidR="002D6D60">
        <w:tab/>
      </w:r>
      <w:r w:rsidR="00E13B0F">
        <w:t>a</w:t>
      </w:r>
      <w:r w:rsidRPr="009A70C3">
        <w:t xml:space="preserve">nnual </w:t>
      </w:r>
      <w:r w:rsidR="00E13B0F">
        <w:t>p</w:t>
      </w:r>
      <w:r w:rsidRPr="009A70C3">
        <w:t xml:space="preserve">rogram </w:t>
      </w:r>
      <w:r w:rsidR="00E13B0F">
        <w:t>p</w:t>
      </w:r>
      <w:r w:rsidRPr="009A70C3">
        <w:t xml:space="preserve">erformance </w:t>
      </w:r>
      <w:r w:rsidR="00E13B0F">
        <w:t>r</w:t>
      </w:r>
      <w:r w:rsidRPr="009A70C3">
        <w:t>eport</w:t>
      </w:r>
    </w:p>
    <w:p w:rsidR="004C3315" w:rsidRPr="009A70C3" w:rsidRDefault="004C3315" w:rsidP="004C3315">
      <w:pPr>
        <w:pStyle w:val="BodyText"/>
        <w:tabs>
          <w:tab w:val="left" w:pos="851"/>
        </w:tabs>
      </w:pPr>
      <w:r w:rsidRPr="009A70C3">
        <w:t>APTC</w:t>
      </w:r>
      <w:r w:rsidRPr="009A70C3">
        <w:tab/>
      </w:r>
      <w:r w:rsidR="002D6D60">
        <w:tab/>
      </w:r>
      <w:r w:rsidR="002D6D60">
        <w:tab/>
      </w:r>
      <w:r w:rsidRPr="009A70C3">
        <w:t>Australia–Pacific Technical College</w:t>
      </w:r>
    </w:p>
    <w:p w:rsidR="004C3315" w:rsidRPr="009A70C3" w:rsidRDefault="004C3315" w:rsidP="004C3315">
      <w:pPr>
        <w:pStyle w:val="BodyText"/>
        <w:tabs>
          <w:tab w:val="left" w:pos="851"/>
        </w:tabs>
      </w:pPr>
      <w:r w:rsidRPr="009A70C3">
        <w:t>ESSP</w:t>
      </w:r>
      <w:r w:rsidRPr="009A70C3">
        <w:tab/>
      </w:r>
      <w:r w:rsidR="002D6D60">
        <w:tab/>
      </w:r>
      <w:r w:rsidR="002D6D60">
        <w:tab/>
      </w:r>
      <w:r w:rsidRPr="009A70C3">
        <w:t>Education Sector Strategic Plan</w:t>
      </w:r>
    </w:p>
    <w:p w:rsidR="004C3315" w:rsidRPr="009A70C3" w:rsidRDefault="004C3315" w:rsidP="004C3315">
      <w:pPr>
        <w:pStyle w:val="BodyText"/>
        <w:tabs>
          <w:tab w:val="left" w:pos="851"/>
        </w:tabs>
      </w:pPr>
      <w:r w:rsidRPr="009A70C3">
        <w:t>FMU</w:t>
      </w:r>
      <w:r w:rsidRPr="009A70C3">
        <w:tab/>
      </w:r>
      <w:r w:rsidR="002D6D60">
        <w:tab/>
      </w:r>
      <w:r w:rsidR="002D6D60">
        <w:tab/>
      </w:r>
      <w:r w:rsidRPr="009A70C3">
        <w:t>Facilities Management Unit</w:t>
      </w:r>
    </w:p>
    <w:p w:rsidR="004C3315" w:rsidRPr="009A70C3" w:rsidRDefault="004C3315" w:rsidP="004C3315">
      <w:pPr>
        <w:pStyle w:val="BodyText"/>
        <w:tabs>
          <w:tab w:val="left" w:pos="851"/>
        </w:tabs>
      </w:pPr>
      <w:r w:rsidRPr="009A70C3">
        <w:t>GBV</w:t>
      </w:r>
      <w:r w:rsidRPr="009A70C3">
        <w:tab/>
      </w:r>
      <w:r w:rsidR="002D6D60">
        <w:tab/>
      </w:r>
      <w:r w:rsidR="002D6D60">
        <w:tab/>
      </w:r>
      <w:r w:rsidRPr="009A70C3">
        <w:t>gender-based violence</w:t>
      </w:r>
    </w:p>
    <w:p w:rsidR="004C3315" w:rsidRPr="009A70C3" w:rsidRDefault="004C3315" w:rsidP="004C3315">
      <w:pPr>
        <w:pStyle w:val="BodyText"/>
        <w:tabs>
          <w:tab w:val="left" w:pos="851"/>
        </w:tabs>
      </w:pPr>
      <w:r w:rsidRPr="009A70C3">
        <w:t>GDP</w:t>
      </w:r>
      <w:r w:rsidRPr="009A70C3">
        <w:tab/>
      </w:r>
      <w:r w:rsidR="002D6D60">
        <w:tab/>
      </w:r>
      <w:r w:rsidR="002D6D60">
        <w:tab/>
      </w:r>
      <w:r w:rsidRPr="009A70C3">
        <w:t>gross domestic product</w:t>
      </w:r>
    </w:p>
    <w:p w:rsidR="004C3315" w:rsidRPr="009A70C3" w:rsidRDefault="004C3315" w:rsidP="004C3315">
      <w:pPr>
        <w:pStyle w:val="BodyText"/>
        <w:tabs>
          <w:tab w:val="left" w:pos="851"/>
        </w:tabs>
      </w:pPr>
      <w:proofErr w:type="spellStart"/>
      <w:r w:rsidRPr="009A70C3">
        <w:t>GoK</w:t>
      </w:r>
      <w:proofErr w:type="spellEnd"/>
      <w:r w:rsidRPr="009A70C3">
        <w:tab/>
      </w:r>
      <w:r w:rsidR="002D6D60">
        <w:tab/>
      </w:r>
      <w:r w:rsidR="002D6D60">
        <w:tab/>
      </w:r>
      <w:r w:rsidRPr="009A70C3">
        <w:t>Government of Kiribati</w:t>
      </w:r>
    </w:p>
    <w:p w:rsidR="004C3315" w:rsidRPr="009A70C3" w:rsidRDefault="004C3315" w:rsidP="004C3315">
      <w:pPr>
        <w:pStyle w:val="BodyText"/>
        <w:tabs>
          <w:tab w:val="left" w:pos="851"/>
        </w:tabs>
      </w:pPr>
      <w:r w:rsidRPr="009A70C3">
        <w:t>HIV/AIDS</w:t>
      </w:r>
      <w:r w:rsidRPr="009A70C3">
        <w:tab/>
        <w:t>human immunodeficiency virus</w:t>
      </w:r>
      <w:r w:rsidR="00CA1DA0" w:rsidRPr="009A70C3">
        <w:t xml:space="preserve"> </w:t>
      </w:r>
      <w:r w:rsidRPr="009A70C3">
        <w:t>/</w:t>
      </w:r>
      <w:r w:rsidR="00CA1DA0" w:rsidRPr="009A70C3">
        <w:t xml:space="preserve"> </w:t>
      </w:r>
      <w:r w:rsidRPr="009A70C3">
        <w:t>acquired immune deficiency syndrome</w:t>
      </w:r>
    </w:p>
    <w:p w:rsidR="004C3315" w:rsidRPr="009A70C3" w:rsidRDefault="004C3315" w:rsidP="004C3315">
      <w:pPr>
        <w:pStyle w:val="BodyText"/>
        <w:tabs>
          <w:tab w:val="left" w:pos="851"/>
        </w:tabs>
      </w:pPr>
      <w:r w:rsidRPr="009A70C3">
        <w:t>HRD</w:t>
      </w:r>
      <w:r w:rsidRPr="009A70C3">
        <w:tab/>
      </w:r>
      <w:r w:rsidR="002D6D60">
        <w:tab/>
      </w:r>
      <w:r w:rsidR="002D6D60">
        <w:tab/>
      </w:r>
      <w:r w:rsidRPr="009A70C3">
        <w:t xml:space="preserve">Human </w:t>
      </w:r>
      <w:r w:rsidR="005D17A1" w:rsidRPr="009A70C3">
        <w:t>r</w:t>
      </w:r>
      <w:r w:rsidRPr="009A70C3">
        <w:t xml:space="preserve">esource </w:t>
      </w:r>
      <w:r w:rsidR="005D17A1" w:rsidRPr="009A70C3">
        <w:t>d</w:t>
      </w:r>
      <w:r w:rsidRPr="009A70C3">
        <w:t>evelopment</w:t>
      </w:r>
    </w:p>
    <w:p w:rsidR="004C3315" w:rsidRPr="009A70C3" w:rsidRDefault="004C3315" w:rsidP="004C3315">
      <w:pPr>
        <w:pStyle w:val="BodyText"/>
        <w:tabs>
          <w:tab w:val="left" w:pos="851"/>
        </w:tabs>
      </w:pPr>
      <w:r w:rsidRPr="009A70C3">
        <w:t>KANI</w:t>
      </w:r>
      <w:r w:rsidRPr="009A70C3">
        <w:tab/>
      </w:r>
      <w:r w:rsidR="002D6D60">
        <w:tab/>
      </w:r>
      <w:r w:rsidR="002D6D60">
        <w:tab/>
      </w:r>
      <w:r w:rsidRPr="009A70C3">
        <w:t>Kiribati–Australia Nursing Initiative</w:t>
      </w:r>
    </w:p>
    <w:p w:rsidR="004C3315" w:rsidRPr="009A70C3" w:rsidRDefault="004C3315" w:rsidP="004C3315">
      <w:pPr>
        <w:pStyle w:val="BodyText"/>
        <w:tabs>
          <w:tab w:val="left" w:pos="851"/>
        </w:tabs>
      </w:pPr>
      <w:r w:rsidRPr="009A70C3">
        <w:t>KAP II</w:t>
      </w:r>
      <w:r w:rsidRPr="009A70C3">
        <w:tab/>
      </w:r>
      <w:r w:rsidR="002D6D60">
        <w:tab/>
      </w:r>
      <w:r w:rsidR="002D6D60">
        <w:tab/>
      </w:r>
      <w:r w:rsidRPr="009A70C3">
        <w:t>Kiribati Adaptation Program II (World Bank)</w:t>
      </w:r>
    </w:p>
    <w:p w:rsidR="004C3315" w:rsidRPr="009A70C3" w:rsidRDefault="004C3315" w:rsidP="004C3315">
      <w:pPr>
        <w:pStyle w:val="BodyText"/>
        <w:tabs>
          <w:tab w:val="left" w:pos="851"/>
        </w:tabs>
      </w:pPr>
      <w:r w:rsidRPr="009A70C3">
        <w:t>KDP</w:t>
      </w:r>
      <w:r w:rsidRPr="009A70C3">
        <w:tab/>
      </w:r>
      <w:r w:rsidR="002D6D60">
        <w:tab/>
      </w:r>
      <w:r w:rsidR="002D6D60">
        <w:tab/>
      </w:r>
      <w:r w:rsidRPr="009A70C3">
        <w:t>Kiribati Development Plan</w:t>
      </w:r>
    </w:p>
    <w:p w:rsidR="004C3315" w:rsidRPr="009A70C3" w:rsidRDefault="004C3315" w:rsidP="004C3315">
      <w:pPr>
        <w:pStyle w:val="BodyText"/>
        <w:tabs>
          <w:tab w:val="left" w:pos="851"/>
        </w:tabs>
      </w:pPr>
      <w:r w:rsidRPr="009A70C3">
        <w:t>KEMIS</w:t>
      </w:r>
      <w:r w:rsidRPr="009A70C3">
        <w:tab/>
      </w:r>
      <w:r w:rsidR="002D6D60">
        <w:tab/>
      </w:r>
      <w:r w:rsidR="002D6D60">
        <w:tab/>
      </w:r>
      <w:r w:rsidRPr="009A70C3">
        <w:t>Kiribati Education Management Information System</w:t>
      </w:r>
    </w:p>
    <w:p w:rsidR="004C3315" w:rsidRPr="009A70C3" w:rsidRDefault="004C3315" w:rsidP="004C3315">
      <w:pPr>
        <w:pStyle w:val="BodyText"/>
        <w:tabs>
          <w:tab w:val="left" w:pos="851"/>
        </w:tabs>
      </w:pPr>
      <w:r w:rsidRPr="009A70C3">
        <w:t>KIT</w:t>
      </w:r>
      <w:r w:rsidRPr="009A70C3">
        <w:tab/>
      </w:r>
      <w:r w:rsidR="002D6D60">
        <w:tab/>
      </w:r>
      <w:r w:rsidR="002D6D60">
        <w:tab/>
      </w:r>
      <w:r w:rsidRPr="009A70C3">
        <w:t>Kiribati Institute of Technology</w:t>
      </w:r>
    </w:p>
    <w:p w:rsidR="004C3315" w:rsidRPr="009A70C3" w:rsidRDefault="004C3315" w:rsidP="004C3315">
      <w:pPr>
        <w:pStyle w:val="BodyText"/>
        <w:tabs>
          <w:tab w:val="left" w:pos="851"/>
        </w:tabs>
      </w:pPr>
      <w:r w:rsidRPr="009A70C3">
        <w:t>MDGs</w:t>
      </w:r>
      <w:r w:rsidRPr="009A70C3">
        <w:tab/>
      </w:r>
      <w:r w:rsidR="002D6D60">
        <w:tab/>
      </w:r>
      <w:r w:rsidR="002D6D60">
        <w:tab/>
      </w:r>
      <w:r w:rsidR="0012796E" w:rsidRPr="009A70C3">
        <w:t>M</w:t>
      </w:r>
      <w:r w:rsidRPr="009A70C3">
        <w:t xml:space="preserve">illennium </w:t>
      </w:r>
      <w:r w:rsidR="0012796E" w:rsidRPr="009A70C3">
        <w:t>D</w:t>
      </w:r>
      <w:r w:rsidRPr="009A70C3">
        <w:t xml:space="preserve">evelopment </w:t>
      </w:r>
      <w:r w:rsidR="0012796E" w:rsidRPr="009A70C3">
        <w:t>G</w:t>
      </w:r>
      <w:r w:rsidRPr="009A70C3">
        <w:t>oals</w:t>
      </w:r>
    </w:p>
    <w:p w:rsidR="004C3315" w:rsidRPr="009A70C3" w:rsidRDefault="004C3315" w:rsidP="004C3315">
      <w:pPr>
        <w:pStyle w:val="BodyText"/>
        <w:tabs>
          <w:tab w:val="left" w:pos="851"/>
        </w:tabs>
      </w:pPr>
      <w:r w:rsidRPr="009A70C3">
        <w:t>MOE</w:t>
      </w:r>
      <w:r w:rsidRPr="009A70C3">
        <w:tab/>
      </w:r>
      <w:r w:rsidR="002D6D60">
        <w:tab/>
      </w:r>
      <w:r w:rsidR="002D6D60">
        <w:tab/>
      </w:r>
      <w:r w:rsidRPr="009A70C3">
        <w:t>Ministry of Education</w:t>
      </w:r>
    </w:p>
    <w:p w:rsidR="004C3315" w:rsidRPr="009A70C3" w:rsidRDefault="004C3315" w:rsidP="004C3315">
      <w:pPr>
        <w:pStyle w:val="BodyText"/>
        <w:tabs>
          <w:tab w:val="left" w:pos="851"/>
        </w:tabs>
      </w:pPr>
      <w:r w:rsidRPr="009A70C3">
        <w:t>ODA</w:t>
      </w:r>
      <w:r w:rsidRPr="009A70C3">
        <w:tab/>
      </w:r>
      <w:r w:rsidR="002D6D60">
        <w:tab/>
      </w:r>
      <w:r w:rsidR="002D6D60">
        <w:tab/>
      </w:r>
      <w:r w:rsidR="00E707D9" w:rsidRPr="009A70C3">
        <w:t>Official Development Assistance</w:t>
      </w:r>
    </w:p>
    <w:p w:rsidR="004C3315" w:rsidRPr="009A70C3" w:rsidRDefault="004C3315" w:rsidP="004C3315">
      <w:pPr>
        <w:pStyle w:val="BodyText"/>
        <w:tabs>
          <w:tab w:val="left" w:pos="851"/>
        </w:tabs>
      </w:pPr>
      <w:r w:rsidRPr="009A70C3">
        <w:t>PNG</w:t>
      </w:r>
      <w:r w:rsidRPr="009A70C3">
        <w:tab/>
      </w:r>
      <w:r w:rsidR="002D6D60">
        <w:tab/>
      </w:r>
      <w:r w:rsidR="002D6D60">
        <w:tab/>
      </w:r>
      <w:r w:rsidRPr="009A70C3">
        <w:t>Papua New Guinea</w:t>
      </w:r>
    </w:p>
    <w:p w:rsidR="004C3315" w:rsidRPr="009A70C3" w:rsidRDefault="004C3315" w:rsidP="004C3315">
      <w:pPr>
        <w:pStyle w:val="BodyText"/>
        <w:tabs>
          <w:tab w:val="left" w:pos="851"/>
        </w:tabs>
      </w:pPr>
      <w:r w:rsidRPr="009A70C3">
        <w:t>PRPI</w:t>
      </w:r>
      <w:r w:rsidRPr="009A70C3">
        <w:tab/>
      </w:r>
      <w:r w:rsidR="002D6D60">
        <w:tab/>
      </w:r>
      <w:r w:rsidR="002D6D60">
        <w:tab/>
      </w:r>
      <w:r w:rsidRPr="009A70C3">
        <w:t>Pacific Regional Policing Initiative</w:t>
      </w:r>
    </w:p>
    <w:p w:rsidR="004C3315" w:rsidRPr="009A70C3" w:rsidRDefault="004C3315" w:rsidP="004C3315">
      <w:pPr>
        <w:pStyle w:val="BodyText"/>
        <w:tabs>
          <w:tab w:val="left" w:pos="851"/>
        </w:tabs>
      </w:pPr>
      <w:r w:rsidRPr="009A70C3">
        <w:t>RERF</w:t>
      </w:r>
      <w:r w:rsidRPr="009A70C3">
        <w:tab/>
      </w:r>
      <w:r w:rsidR="002D6D60">
        <w:tab/>
      </w:r>
      <w:r w:rsidR="002D6D60">
        <w:tab/>
      </w:r>
      <w:r w:rsidRPr="009A70C3">
        <w:t>Revenue Equalisation Reserve Fund</w:t>
      </w:r>
    </w:p>
    <w:p w:rsidR="004C3315" w:rsidRPr="009A70C3" w:rsidRDefault="004C3315" w:rsidP="004C3315">
      <w:pPr>
        <w:pStyle w:val="BodyText"/>
        <w:tabs>
          <w:tab w:val="left" w:pos="851"/>
        </w:tabs>
      </w:pPr>
      <w:r w:rsidRPr="009A70C3">
        <w:t>SPC</w:t>
      </w:r>
      <w:r w:rsidRPr="009A70C3">
        <w:tab/>
      </w:r>
      <w:r w:rsidR="002D6D60">
        <w:tab/>
      </w:r>
      <w:r w:rsidR="002D6D60">
        <w:tab/>
      </w:r>
      <w:r w:rsidRPr="009A70C3">
        <w:t>Secretariat of the Pacific Community</w:t>
      </w:r>
    </w:p>
    <w:p w:rsidR="004C3315" w:rsidRPr="009A70C3" w:rsidRDefault="004C3315" w:rsidP="004C3315">
      <w:pPr>
        <w:pStyle w:val="BodyText"/>
        <w:tabs>
          <w:tab w:val="left" w:pos="851"/>
        </w:tabs>
      </w:pPr>
      <w:r w:rsidRPr="009A70C3">
        <w:t>TB</w:t>
      </w:r>
      <w:r w:rsidRPr="009A70C3">
        <w:tab/>
      </w:r>
      <w:r w:rsidR="002D6D60">
        <w:tab/>
      </w:r>
      <w:r w:rsidR="002D6D60">
        <w:tab/>
      </w:r>
      <w:r w:rsidRPr="009A70C3">
        <w:t>tuberculosis</w:t>
      </w:r>
    </w:p>
    <w:p w:rsidR="004C3315" w:rsidRPr="009A70C3" w:rsidRDefault="004C3315" w:rsidP="004C3315">
      <w:pPr>
        <w:pStyle w:val="BodyText"/>
        <w:tabs>
          <w:tab w:val="left" w:pos="851"/>
        </w:tabs>
      </w:pPr>
      <w:r w:rsidRPr="009A70C3">
        <w:t>TVET</w:t>
      </w:r>
      <w:r w:rsidRPr="009A70C3">
        <w:tab/>
      </w:r>
      <w:r w:rsidR="002D6D60">
        <w:tab/>
      </w:r>
      <w:r w:rsidR="002D6D60">
        <w:tab/>
      </w:r>
      <w:r w:rsidRPr="009A70C3">
        <w:t>Technical and Vocational Education and Training</w:t>
      </w:r>
    </w:p>
    <w:p w:rsidR="004C3315" w:rsidRPr="009A70C3" w:rsidRDefault="004C3315" w:rsidP="004C3315">
      <w:pPr>
        <w:pStyle w:val="BodyText"/>
        <w:tabs>
          <w:tab w:val="left" w:pos="851"/>
        </w:tabs>
      </w:pPr>
      <w:r w:rsidRPr="009A70C3">
        <w:t>UNICEF</w:t>
      </w:r>
      <w:r w:rsidRPr="009A70C3">
        <w:tab/>
      </w:r>
      <w:r w:rsidR="002D6D60">
        <w:tab/>
      </w:r>
      <w:r w:rsidR="002D6D60">
        <w:tab/>
      </w:r>
      <w:r w:rsidRPr="009A70C3">
        <w:t>United Nations Children’s Fund</w:t>
      </w:r>
    </w:p>
    <w:p w:rsidR="00A60F9C" w:rsidRPr="009A70C3" w:rsidRDefault="00377049">
      <w:pPr>
        <w:pStyle w:val="Heading1unnumbered"/>
        <w:rPr>
          <w:noProof/>
        </w:rPr>
      </w:pPr>
      <w:r>
        <w:rPr>
          <w:noProof/>
          <w:lang w:val="en-US" w:eastAsia="en-US"/>
        </w:rPr>
        <w:lastRenderedPageBreak/>
        <w:drawing>
          <wp:anchor distT="0" distB="0" distL="114300" distR="114300" simplePos="0" relativeHeight="251658240" behindDoc="1" locked="0" layoutInCell="1" allowOverlap="1" wp14:anchorId="53756A61" wp14:editId="5A7EF0EA">
            <wp:simplePos x="0" y="0"/>
            <wp:positionH relativeFrom="page">
              <wp:posOffset>0</wp:posOffset>
            </wp:positionH>
            <wp:positionV relativeFrom="page">
              <wp:posOffset>1386205</wp:posOffset>
            </wp:positionV>
            <wp:extent cx="7560310" cy="1585595"/>
            <wp:effectExtent l="0" t="0" r="2540" b="0"/>
            <wp:wrapNone/>
            <wp:docPr id="7" name="Picture 7"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6227757"/>
      <w:r w:rsidR="00A60F9C" w:rsidRPr="009A70C3">
        <w:t>Executive summary</w:t>
      </w:r>
      <w:bookmarkEnd w:id="7"/>
      <w:r w:rsidR="00A60F9C" w:rsidRPr="009A70C3">
        <w:br/>
      </w:r>
    </w:p>
    <w:p w:rsidR="00774DC8" w:rsidRPr="009A70C3" w:rsidRDefault="00774DC8" w:rsidP="00774DC8">
      <w:pPr>
        <w:pStyle w:val="Heading2unnumbered"/>
      </w:pPr>
      <w:bookmarkStart w:id="8" w:name="_Toc246227758"/>
      <w:r w:rsidRPr="009A70C3">
        <w:t>Overview</w:t>
      </w:r>
      <w:bookmarkEnd w:id="8"/>
    </w:p>
    <w:p w:rsidR="000A5A3A" w:rsidRPr="009A70C3" w:rsidRDefault="000A5A3A" w:rsidP="000A5A3A">
      <w:pPr>
        <w:pStyle w:val="BodyText"/>
      </w:pPr>
      <w:r w:rsidRPr="009A70C3">
        <w:t xml:space="preserve">This report outlines the achievements of the Australian aid program to Kiribati </w:t>
      </w:r>
      <w:r w:rsidR="002D56BC" w:rsidRPr="009A70C3">
        <w:t xml:space="preserve">in </w:t>
      </w:r>
      <w:r w:rsidRPr="009A70C3">
        <w:t>2008, including progress since the 2007 report, and the challenges that l</w:t>
      </w:r>
      <w:r w:rsidR="002D56BC" w:rsidRPr="009A70C3">
        <w:t>ie</w:t>
      </w:r>
      <w:r w:rsidRPr="009A70C3">
        <w:t xml:space="preserve"> ahead</w:t>
      </w:r>
      <w:r w:rsidR="004C3315" w:rsidRPr="009A70C3">
        <w:t xml:space="preserve">. </w:t>
      </w:r>
      <w:r w:rsidRPr="009A70C3">
        <w:t>Performance is assessed against the key objectives, which align with the Kiribati</w:t>
      </w:r>
      <w:r w:rsidR="0012796E" w:rsidRPr="009A70C3">
        <w:t xml:space="preserve"> Development Plan 2008–</w:t>
      </w:r>
      <w:r w:rsidRPr="009A70C3">
        <w:t>2011 (KDP).</w:t>
      </w:r>
    </w:p>
    <w:p w:rsidR="000A5A3A" w:rsidRPr="009A70C3" w:rsidRDefault="000A5A3A" w:rsidP="000A5A3A">
      <w:pPr>
        <w:pStyle w:val="BodyText"/>
      </w:pPr>
      <w:r w:rsidRPr="009A70C3">
        <w:t>A</w:t>
      </w:r>
      <w:r w:rsidR="00E57958" w:rsidRPr="009A70C3">
        <w:t>n</w:t>
      </w:r>
      <w:r w:rsidRPr="009A70C3">
        <w:t xml:space="preserve"> </w:t>
      </w:r>
      <w:r w:rsidR="00E57958" w:rsidRPr="009A70C3">
        <w:t xml:space="preserve">Australia–Kiribati </w:t>
      </w:r>
      <w:r w:rsidRPr="009A70C3">
        <w:t>Partnership for Development</w:t>
      </w:r>
      <w:r w:rsidR="00245210" w:rsidRPr="009A70C3">
        <w:t>,</w:t>
      </w:r>
      <w:r w:rsidRPr="009A70C3">
        <w:t xml:space="preserve"> signed in January 2009, represent</w:t>
      </w:r>
      <w:r w:rsidR="00245210" w:rsidRPr="009A70C3">
        <w:t>s</w:t>
      </w:r>
      <w:r w:rsidRPr="009A70C3">
        <w:t xml:space="preserve"> a shared vision </w:t>
      </w:r>
      <w:r w:rsidR="00245210" w:rsidRPr="009A70C3">
        <w:t xml:space="preserve">for </w:t>
      </w:r>
      <w:r w:rsidRPr="009A70C3">
        <w:t>work</w:t>
      </w:r>
      <w:r w:rsidR="00245210" w:rsidRPr="009A70C3">
        <w:t>ing</w:t>
      </w:r>
      <w:r w:rsidRPr="009A70C3">
        <w:t xml:space="preserve"> together to meet common challenges, and </w:t>
      </w:r>
      <w:r w:rsidR="00245210" w:rsidRPr="009A70C3">
        <w:t xml:space="preserve">for advancing </w:t>
      </w:r>
      <w:r w:rsidRPr="009A70C3">
        <w:t>Kiribati’s development</w:t>
      </w:r>
      <w:r w:rsidR="005559CA" w:rsidRPr="009A70C3">
        <w:t xml:space="preserve"> goals</w:t>
      </w:r>
      <w:r w:rsidR="004C3315" w:rsidRPr="009A70C3">
        <w:t xml:space="preserve">. </w:t>
      </w:r>
      <w:r w:rsidRPr="009A70C3">
        <w:t xml:space="preserve">The </w:t>
      </w:r>
      <w:r w:rsidR="00B93515" w:rsidRPr="009A70C3">
        <w:t xml:space="preserve">partnership </w:t>
      </w:r>
      <w:r w:rsidRPr="009A70C3">
        <w:t>sets out the direction for Australia’s future development assistance to Kiribati</w:t>
      </w:r>
      <w:r w:rsidR="00B93515" w:rsidRPr="009A70C3">
        <w:t>.</w:t>
      </w:r>
      <w:r w:rsidRPr="009A70C3">
        <w:t xml:space="preserve"> </w:t>
      </w:r>
      <w:r w:rsidR="00B93515" w:rsidRPr="009A70C3">
        <w:t>N</w:t>
      </w:r>
      <w:r w:rsidRPr="009A70C3">
        <w:t xml:space="preserve">ext year’s </w:t>
      </w:r>
      <w:r w:rsidR="00B93515" w:rsidRPr="009A70C3">
        <w:t xml:space="preserve">annual program performance report </w:t>
      </w:r>
      <w:r w:rsidRPr="009A70C3">
        <w:t xml:space="preserve">(APPR) will assess performance against the priority outcome areas under the </w:t>
      </w:r>
      <w:r w:rsidR="00B93515" w:rsidRPr="009A70C3">
        <w:t>partnership</w:t>
      </w:r>
      <w:r w:rsidR="00245210" w:rsidRPr="009A70C3">
        <w:t>;</w:t>
      </w:r>
      <w:r w:rsidRPr="009A70C3">
        <w:t xml:space="preserve"> namely</w:t>
      </w:r>
      <w:r w:rsidR="00245210" w:rsidRPr="009A70C3">
        <w:t>,</w:t>
      </w:r>
      <w:r w:rsidRPr="009A70C3">
        <w:t xml:space="preserve"> </w:t>
      </w:r>
      <w:r w:rsidR="002D56BC" w:rsidRPr="009A70C3">
        <w:t>i</w:t>
      </w:r>
      <w:r w:rsidRPr="009A70C3">
        <w:t xml:space="preserve">mproved </w:t>
      </w:r>
      <w:r w:rsidR="002D56BC" w:rsidRPr="009A70C3">
        <w:t>b</w:t>
      </w:r>
      <w:r w:rsidRPr="009A70C3">
        <w:t xml:space="preserve">asic </w:t>
      </w:r>
      <w:r w:rsidR="002D56BC" w:rsidRPr="009A70C3">
        <w:t>e</w:t>
      </w:r>
      <w:r w:rsidRPr="009A70C3">
        <w:t xml:space="preserve">ducation, </w:t>
      </w:r>
      <w:r w:rsidR="002D56BC" w:rsidRPr="009A70C3">
        <w:t>w</w:t>
      </w:r>
      <w:r w:rsidRPr="009A70C3">
        <w:t xml:space="preserve">orkforce </w:t>
      </w:r>
      <w:r w:rsidR="002D56BC" w:rsidRPr="009A70C3">
        <w:t>s</w:t>
      </w:r>
      <w:r w:rsidRPr="009A70C3">
        <w:t xml:space="preserve">kills </w:t>
      </w:r>
      <w:r w:rsidR="002D56BC" w:rsidRPr="009A70C3">
        <w:t>d</w:t>
      </w:r>
      <w:r w:rsidRPr="009A70C3">
        <w:t xml:space="preserve">evelopment, and </w:t>
      </w:r>
      <w:r w:rsidR="002D56BC" w:rsidRPr="009A70C3">
        <w:t>i</w:t>
      </w:r>
      <w:r w:rsidRPr="009A70C3">
        <w:t xml:space="preserve">mproved </w:t>
      </w:r>
      <w:r w:rsidR="002D56BC" w:rsidRPr="009A70C3">
        <w:t>g</w:t>
      </w:r>
      <w:r w:rsidRPr="009A70C3">
        <w:t xml:space="preserve">rowth and </w:t>
      </w:r>
      <w:r w:rsidR="002D56BC" w:rsidRPr="009A70C3">
        <w:t>e</w:t>
      </w:r>
      <w:r w:rsidRPr="009A70C3">
        <w:t xml:space="preserve">conomic </w:t>
      </w:r>
      <w:r w:rsidR="002D56BC" w:rsidRPr="009A70C3">
        <w:t>m</w:t>
      </w:r>
      <w:r w:rsidRPr="009A70C3">
        <w:t>anagement.</w:t>
      </w:r>
    </w:p>
    <w:p w:rsidR="00A60F9C" w:rsidRPr="009A70C3" w:rsidRDefault="000A5A3A" w:rsidP="000A5A3A">
      <w:pPr>
        <w:pStyle w:val="BodyText"/>
      </w:pPr>
      <w:r w:rsidRPr="009A70C3">
        <w:t xml:space="preserve">Kiribati remains a safe, peaceful and politically stable nation, reliant </w:t>
      </w:r>
      <w:r w:rsidR="002D6D60">
        <w:t xml:space="preserve">for most of its income </w:t>
      </w:r>
      <w:r w:rsidRPr="009A70C3">
        <w:t>on fishing licen</w:t>
      </w:r>
      <w:r w:rsidR="00245210" w:rsidRPr="009A70C3">
        <w:t>c</w:t>
      </w:r>
      <w:r w:rsidRPr="009A70C3">
        <w:t>e revenue, remittances and the Revenue Equalisation Reserve Fund</w:t>
      </w:r>
      <w:r w:rsidR="008844E3">
        <w:t xml:space="preserve"> (RERF)</w:t>
      </w:r>
      <w:r w:rsidR="004C3315" w:rsidRPr="009A70C3">
        <w:t xml:space="preserve">. </w:t>
      </w:r>
      <w:r w:rsidRPr="009A70C3">
        <w:t>Kiribati is a strongly egalitarian society</w:t>
      </w:r>
      <w:r w:rsidR="0009065D" w:rsidRPr="009A70C3">
        <w:t>,</w:t>
      </w:r>
      <w:r w:rsidRPr="009A70C3">
        <w:t xml:space="preserve"> with most economic activity undertaken by </w:t>
      </w:r>
      <w:r w:rsidR="0009065D" w:rsidRPr="009A70C3">
        <w:t>g</w:t>
      </w:r>
      <w:r w:rsidRPr="009A70C3">
        <w:t xml:space="preserve">overnment, </w:t>
      </w:r>
      <w:r w:rsidR="002C16FF">
        <w:t xml:space="preserve">and </w:t>
      </w:r>
      <w:r w:rsidRPr="009A70C3">
        <w:t>a very small but growing private sector</w:t>
      </w:r>
      <w:r w:rsidR="004C3315" w:rsidRPr="009A70C3">
        <w:t xml:space="preserve">. </w:t>
      </w:r>
      <w:r w:rsidRPr="009A70C3">
        <w:rPr>
          <w:rFonts w:cs="Arial"/>
          <w:szCs w:val="20"/>
        </w:rPr>
        <w:t>However, Kiribati remains isolated and highly vulnerable to external economic and environmental factors</w:t>
      </w:r>
      <w:r w:rsidR="004C3315" w:rsidRPr="009A70C3">
        <w:rPr>
          <w:rFonts w:cs="Arial"/>
          <w:szCs w:val="20"/>
        </w:rPr>
        <w:t xml:space="preserve">. </w:t>
      </w:r>
      <w:r w:rsidRPr="009A70C3">
        <w:rPr>
          <w:rFonts w:cs="Arial"/>
          <w:szCs w:val="20"/>
        </w:rPr>
        <w:t xml:space="preserve">Kiribati is vulnerable to the immediate issues of fuel and food prices, fluctuations in fish stocks and appreciation of the Australian dollar. </w:t>
      </w:r>
      <w:r w:rsidR="0009065D" w:rsidRPr="009A70C3">
        <w:rPr>
          <w:rFonts w:cs="Arial"/>
          <w:szCs w:val="20"/>
        </w:rPr>
        <w:t>Major long-term concerns are e</w:t>
      </w:r>
      <w:r w:rsidRPr="009A70C3">
        <w:rPr>
          <w:rFonts w:cs="Arial"/>
          <w:szCs w:val="20"/>
        </w:rPr>
        <w:t xml:space="preserve">nvironmental degradation and </w:t>
      </w:r>
      <w:r w:rsidR="002C16FF">
        <w:rPr>
          <w:rFonts w:cs="Arial"/>
          <w:szCs w:val="20"/>
        </w:rPr>
        <w:t xml:space="preserve">the </w:t>
      </w:r>
      <w:r w:rsidRPr="009A70C3">
        <w:rPr>
          <w:rFonts w:cs="Arial"/>
          <w:szCs w:val="20"/>
        </w:rPr>
        <w:t xml:space="preserve">carrying capacity of the islands </w:t>
      </w:r>
      <w:r w:rsidR="0009065D" w:rsidRPr="009A70C3">
        <w:rPr>
          <w:rFonts w:cs="Arial"/>
          <w:szCs w:val="20"/>
        </w:rPr>
        <w:t xml:space="preserve">resulting </w:t>
      </w:r>
      <w:r w:rsidRPr="009A70C3">
        <w:rPr>
          <w:rFonts w:cs="Arial"/>
          <w:szCs w:val="20"/>
        </w:rPr>
        <w:t>from a growing population (particularly in Tarawa), and impending vulnerability to climate change</w:t>
      </w:r>
      <w:r w:rsidR="004C3315" w:rsidRPr="009A70C3">
        <w:rPr>
          <w:rFonts w:cs="Arial"/>
          <w:szCs w:val="20"/>
        </w:rPr>
        <w:t xml:space="preserve">. </w:t>
      </w:r>
      <w:r w:rsidRPr="009A70C3">
        <w:rPr>
          <w:rFonts w:cs="Arial"/>
          <w:szCs w:val="20"/>
        </w:rPr>
        <w:t>Where information exists</w:t>
      </w:r>
      <w:r w:rsidR="00B63ABF" w:rsidRPr="009A70C3">
        <w:rPr>
          <w:rFonts w:cs="Arial"/>
          <w:szCs w:val="20"/>
        </w:rPr>
        <w:t>, Kiribati’s performance</w:t>
      </w:r>
      <w:r w:rsidRPr="009A70C3">
        <w:rPr>
          <w:rFonts w:cs="Arial"/>
          <w:szCs w:val="20"/>
        </w:rPr>
        <w:t xml:space="preserve"> against the </w:t>
      </w:r>
      <w:r w:rsidR="00B63ABF" w:rsidRPr="009A70C3">
        <w:rPr>
          <w:rFonts w:cs="Arial"/>
          <w:szCs w:val="20"/>
        </w:rPr>
        <w:t xml:space="preserve">United Nations’ </w:t>
      </w:r>
      <w:r w:rsidRPr="009A70C3">
        <w:rPr>
          <w:rFonts w:cs="Arial"/>
          <w:szCs w:val="20"/>
        </w:rPr>
        <w:t xml:space="preserve">Millennium Development Goals (MDGs) is low compared to </w:t>
      </w:r>
      <w:r w:rsidR="00245210" w:rsidRPr="009A70C3">
        <w:rPr>
          <w:rFonts w:cs="Arial"/>
          <w:szCs w:val="20"/>
        </w:rPr>
        <w:t xml:space="preserve">that of </w:t>
      </w:r>
      <w:r w:rsidRPr="009A70C3">
        <w:rPr>
          <w:rFonts w:cs="Arial"/>
          <w:szCs w:val="20"/>
        </w:rPr>
        <w:t xml:space="preserve">other </w:t>
      </w:r>
      <w:r w:rsidR="0009065D" w:rsidRPr="009A70C3">
        <w:rPr>
          <w:rFonts w:cs="Arial"/>
          <w:szCs w:val="20"/>
        </w:rPr>
        <w:t xml:space="preserve">small </w:t>
      </w:r>
      <w:r w:rsidRPr="009A70C3">
        <w:rPr>
          <w:rFonts w:cs="Arial"/>
          <w:szCs w:val="20"/>
        </w:rPr>
        <w:t>Pacific island states</w:t>
      </w:r>
      <w:r w:rsidR="004C3315" w:rsidRPr="009A70C3">
        <w:rPr>
          <w:rFonts w:cs="Arial"/>
          <w:szCs w:val="20"/>
        </w:rPr>
        <w:t xml:space="preserve">. </w:t>
      </w:r>
      <w:r w:rsidRPr="009A70C3">
        <w:rPr>
          <w:rFonts w:cs="Arial"/>
          <w:szCs w:val="20"/>
        </w:rPr>
        <w:t>Kiribati faces many profound challenges and is increasingly engaging in open and frank dialogue about its long</w:t>
      </w:r>
      <w:r w:rsidR="00E57958" w:rsidRPr="009A70C3">
        <w:rPr>
          <w:rFonts w:cs="Arial"/>
          <w:szCs w:val="20"/>
        </w:rPr>
        <w:t>-</w:t>
      </w:r>
      <w:r w:rsidR="0009065D" w:rsidRPr="009A70C3">
        <w:rPr>
          <w:rFonts w:cs="Arial"/>
          <w:szCs w:val="20"/>
        </w:rPr>
        <w:t>term sustainability.</w:t>
      </w:r>
    </w:p>
    <w:p w:rsidR="00B546BF" w:rsidRPr="009A70C3" w:rsidRDefault="000A5A3A" w:rsidP="00774DC8">
      <w:pPr>
        <w:pStyle w:val="Heading2unnumbered"/>
      </w:pPr>
      <w:bookmarkStart w:id="9" w:name="_Toc246227759"/>
      <w:r w:rsidRPr="009A70C3">
        <w:lastRenderedPageBreak/>
        <w:t>Ratings</w:t>
      </w:r>
      <w:bookmarkEnd w:id="9"/>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5417"/>
        <w:gridCol w:w="1059"/>
        <w:gridCol w:w="1569"/>
      </w:tblGrid>
      <w:tr w:rsidR="000A5A3A" w:rsidRPr="009A70C3" w:rsidTr="000A5A3A">
        <w:trPr>
          <w:cantSplit/>
          <w:trHeight w:val="293"/>
          <w:tblHeader/>
        </w:trPr>
        <w:tc>
          <w:tcPr>
            <w:tcW w:w="5417" w:type="dxa"/>
            <w:shd w:val="clear" w:color="auto" w:fill="E0E0E0"/>
            <w:vAlign w:val="center"/>
          </w:tcPr>
          <w:p w:rsidR="000A5A3A" w:rsidRPr="009A70C3" w:rsidRDefault="000A5A3A" w:rsidP="00082434">
            <w:pPr>
              <w:pStyle w:val="TableTextColumnHeading"/>
              <w:keepNext/>
            </w:pPr>
            <w:proofErr w:type="spellStart"/>
            <w:r w:rsidRPr="009A70C3">
              <w:t>Objective</w:t>
            </w:r>
            <w:r w:rsidR="00774DC8" w:rsidRPr="009A70C3">
              <w:rPr>
                <w:vertAlign w:val="superscript"/>
              </w:rPr>
              <w:t>a</w:t>
            </w:r>
            <w:proofErr w:type="spellEnd"/>
          </w:p>
        </w:tc>
        <w:tc>
          <w:tcPr>
            <w:tcW w:w="1059" w:type="dxa"/>
            <w:shd w:val="clear" w:color="auto" w:fill="E0E0E0"/>
            <w:vAlign w:val="center"/>
          </w:tcPr>
          <w:p w:rsidR="000A5A3A" w:rsidRPr="009A70C3" w:rsidRDefault="000A5A3A" w:rsidP="00082434">
            <w:pPr>
              <w:pStyle w:val="TableTextColumnHeading"/>
              <w:keepNext/>
            </w:pPr>
            <w:r w:rsidRPr="009A70C3">
              <w:t>Rating</w:t>
            </w:r>
          </w:p>
        </w:tc>
        <w:tc>
          <w:tcPr>
            <w:tcW w:w="1569" w:type="dxa"/>
            <w:shd w:val="clear" w:color="auto" w:fill="E0E0E0"/>
            <w:vAlign w:val="center"/>
          </w:tcPr>
          <w:p w:rsidR="000A5A3A" w:rsidRPr="009A70C3" w:rsidRDefault="000A5A3A" w:rsidP="00082434">
            <w:pPr>
              <w:pStyle w:val="TableTextColumnHeading"/>
              <w:keepNext/>
            </w:pPr>
            <w:r w:rsidRPr="009A70C3">
              <w:t>Review against previous rating</w:t>
            </w:r>
          </w:p>
        </w:tc>
      </w:tr>
      <w:tr w:rsidR="000A5A3A" w:rsidRPr="009A70C3" w:rsidTr="000A5A3A">
        <w:trPr>
          <w:cantSplit/>
        </w:trPr>
        <w:tc>
          <w:tcPr>
            <w:tcW w:w="5417" w:type="dxa"/>
          </w:tcPr>
          <w:p w:rsidR="000A5A3A" w:rsidRPr="009A70C3" w:rsidRDefault="000A5A3A" w:rsidP="00082434">
            <w:pPr>
              <w:pStyle w:val="TableHeading1"/>
              <w:keepNext/>
            </w:pPr>
            <w:r w:rsidRPr="009A70C3">
              <w:t>Objective 1: Education</w:t>
            </w:r>
          </w:p>
          <w:p w:rsidR="000A5A3A" w:rsidRPr="009A70C3" w:rsidRDefault="000A5A3A" w:rsidP="00082434">
            <w:pPr>
              <w:pStyle w:val="TableListBullet"/>
              <w:keepNext/>
              <w:rPr>
                <w:i/>
              </w:rPr>
            </w:pPr>
            <w:r w:rsidRPr="009A70C3">
              <w:t>Improved quality, relevance and efficiency of basic education for girls and boys in Kiribati.</w:t>
            </w:r>
          </w:p>
        </w:tc>
        <w:tc>
          <w:tcPr>
            <w:tcW w:w="1059" w:type="dxa"/>
            <w:tcBorders>
              <w:bottom w:val="single" w:sz="4" w:space="0" w:color="808080"/>
            </w:tcBorders>
            <w:shd w:val="clear" w:color="auto" w:fill="FF9900"/>
          </w:tcPr>
          <w:p w:rsidR="000A5A3A" w:rsidRPr="009A70C3" w:rsidRDefault="000A5A3A" w:rsidP="00082434">
            <w:pPr>
              <w:pStyle w:val="TableTextEntries"/>
              <w:keepNext/>
            </w:pPr>
            <w:r w:rsidRPr="009A70C3">
              <w:t>Amber</w:t>
            </w:r>
          </w:p>
        </w:tc>
        <w:tc>
          <w:tcPr>
            <w:tcW w:w="1569" w:type="dxa"/>
            <w:shd w:val="clear" w:color="auto" w:fill="auto"/>
          </w:tcPr>
          <w:p w:rsidR="000A5A3A" w:rsidRPr="009A70C3" w:rsidRDefault="000A5A3A" w:rsidP="00082434">
            <w:pPr>
              <w:pStyle w:val="TableTextEntries"/>
              <w:keepNext/>
              <w:rPr>
                <w:i/>
              </w:rPr>
            </w:pPr>
            <w:r w:rsidRPr="009A70C3">
              <w:t>Unchanged</w:t>
            </w:r>
          </w:p>
        </w:tc>
      </w:tr>
      <w:tr w:rsidR="000A5A3A" w:rsidRPr="009A70C3" w:rsidTr="000A5A3A">
        <w:trPr>
          <w:cantSplit/>
        </w:trPr>
        <w:tc>
          <w:tcPr>
            <w:tcW w:w="5417" w:type="dxa"/>
          </w:tcPr>
          <w:p w:rsidR="000A5A3A" w:rsidRPr="009A70C3" w:rsidRDefault="000A5A3A" w:rsidP="00082434">
            <w:pPr>
              <w:pStyle w:val="TableHeading1"/>
              <w:keepNext/>
            </w:pPr>
            <w:r w:rsidRPr="009A70C3">
              <w:t xml:space="preserve">Objective 2: Public </w:t>
            </w:r>
            <w:r w:rsidR="004D7BEF" w:rsidRPr="009A70C3">
              <w:t>s</w:t>
            </w:r>
            <w:r w:rsidRPr="009A70C3">
              <w:t xml:space="preserve">ector </w:t>
            </w:r>
            <w:r w:rsidR="004D7BEF" w:rsidRPr="009A70C3">
              <w:t>p</w:t>
            </w:r>
            <w:r w:rsidRPr="009A70C3">
              <w:t>erformance</w:t>
            </w:r>
          </w:p>
          <w:p w:rsidR="000A5A3A" w:rsidRPr="009A70C3" w:rsidRDefault="000A5A3A" w:rsidP="00082434">
            <w:pPr>
              <w:pStyle w:val="TableListBullet"/>
              <w:keepNext/>
              <w:rPr>
                <w:i/>
              </w:rPr>
            </w:pPr>
            <w:r w:rsidRPr="009A70C3">
              <w:t>Improved public financial management, national planning and the performance of public enterprises.</w:t>
            </w:r>
          </w:p>
        </w:tc>
        <w:tc>
          <w:tcPr>
            <w:tcW w:w="1059" w:type="dxa"/>
            <w:tcBorders>
              <w:bottom w:val="single" w:sz="4" w:space="0" w:color="808080"/>
            </w:tcBorders>
            <w:shd w:val="clear" w:color="auto" w:fill="FF9900"/>
          </w:tcPr>
          <w:p w:rsidR="000A5A3A" w:rsidRPr="009A70C3" w:rsidRDefault="000A5A3A" w:rsidP="00082434">
            <w:pPr>
              <w:pStyle w:val="TableTextEntries"/>
              <w:keepNext/>
            </w:pPr>
            <w:r w:rsidRPr="009A70C3">
              <w:t>Amber</w:t>
            </w:r>
          </w:p>
        </w:tc>
        <w:tc>
          <w:tcPr>
            <w:tcW w:w="1569" w:type="dxa"/>
            <w:shd w:val="clear" w:color="auto" w:fill="auto"/>
          </w:tcPr>
          <w:p w:rsidR="000A5A3A" w:rsidRPr="009A70C3" w:rsidRDefault="000A5A3A" w:rsidP="00E90DC9">
            <w:pPr>
              <w:pStyle w:val="TableTextEntries"/>
            </w:pPr>
            <w:r w:rsidRPr="009A70C3">
              <w:t>Unchanged</w:t>
            </w:r>
          </w:p>
        </w:tc>
      </w:tr>
      <w:tr w:rsidR="000A5A3A" w:rsidRPr="009A70C3" w:rsidTr="000A5A3A">
        <w:trPr>
          <w:cantSplit/>
          <w:trHeight w:val="62"/>
        </w:trPr>
        <w:tc>
          <w:tcPr>
            <w:tcW w:w="5417" w:type="dxa"/>
          </w:tcPr>
          <w:p w:rsidR="000A5A3A" w:rsidRPr="009A70C3" w:rsidRDefault="000A5A3A" w:rsidP="00082434">
            <w:pPr>
              <w:pStyle w:val="TableHeading1"/>
              <w:keepNext/>
            </w:pPr>
            <w:r w:rsidRPr="009A70C3">
              <w:t xml:space="preserve">Objective 3: Human </w:t>
            </w:r>
            <w:r w:rsidR="004D7BEF" w:rsidRPr="009A70C3">
              <w:t>r</w:t>
            </w:r>
            <w:r w:rsidRPr="009A70C3">
              <w:t xml:space="preserve">esource </w:t>
            </w:r>
            <w:r w:rsidR="004D7BEF" w:rsidRPr="009A70C3">
              <w:t>d</w:t>
            </w:r>
            <w:r w:rsidRPr="009A70C3">
              <w:t>evelopment</w:t>
            </w:r>
          </w:p>
          <w:p w:rsidR="000A5A3A" w:rsidRPr="009A70C3" w:rsidRDefault="000A5A3A" w:rsidP="00082434">
            <w:pPr>
              <w:pStyle w:val="TableListBullet"/>
              <w:keepNext/>
            </w:pPr>
            <w:r w:rsidRPr="009A70C3">
              <w:t>Efficient and effective provision of academic programs, in-country programs and overseas programs for both new entrants to labour market and for those already in the labour market</w:t>
            </w:r>
            <w:r w:rsidR="00D000EE" w:rsidRPr="009A70C3">
              <w:t>.</w:t>
            </w:r>
            <w:r w:rsidRPr="009A70C3">
              <w:t xml:space="preserve"> </w:t>
            </w:r>
          </w:p>
          <w:p w:rsidR="000A5A3A" w:rsidRPr="009A70C3" w:rsidRDefault="000A5A3A" w:rsidP="00082434">
            <w:pPr>
              <w:pStyle w:val="TableListBullet"/>
              <w:keepNext/>
            </w:pPr>
            <w:r w:rsidRPr="009A70C3">
              <w:t>Development of an enabling environment for improved human resource development in Kiribati.</w:t>
            </w:r>
          </w:p>
        </w:tc>
        <w:tc>
          <w:tcPr>
            <w:tcW w:w="1059" w:type="dxa"/>
            <w:shd w:val="clear" w:color="auto" w:fill="00FF00"/>
          </w:tcPr>
          <w:p w:rsidR="000A5A3A" w:rsidRPr="009A70C3" w:rsidRDefault="000A5A3A" w:rsidP="00082434">
            <w:pPr>
              <w:pStyle w:val="TableTextEntries"/>
              <w:keepNext/>
            </w:pPr>
            <w:r w:rsidRPr="009A70C3">
              <w:t>Green</w:t>
            </w:r>
          </w:p>
        </w:tc>
        <w:tc>
          <w:tcPr>
            <w:tcW w:w="1569" w:type="dxa"/>
            <w:shd w:val="clear" w:color="auto" w:fill="auto"/>
          </w:tcPr>
          <w:p w:rsidR="000A5A3A" w:rsidRPr="009A70C3" w:rsidRDefault="000A5A3A" w:rsidP="00082434">
            <w:pPr>
              <w:pStyle w:val="TableTextEntries"/>
              <w:keepNext/>
            </w:pPr>
            <w:r w:rsidRPr="009A70C3">
              <w:t>Unchanged</w:t>
            </w:r>
          </w:p>
        </w:tc>
      </w:tr>
      <w:tr w:rsidR="000A5A3A" w:rsidRPr="009A70C3" w:rsidTr="000A5A3A">
        <w:trPr>
          <w:cantSplit/>
          <w:trHeight w:val="62"/>
        </w:trPr>
        <w:tc>
          <w:tcPr>
            <w:tcW w:w="5417" w:type="dxa"/>
          </w:tcPr>
          <w:p w:rsidR="000A5A3A" w:rsidRPr="009A70C3" w:rsidRDefault="000A5A3A" w:rsidP="00082434">
            <w:pPr>
              <w:pStyle w:val="TableHeading1"/>
              <w:keepNext/>
            </w:pPr>
            <w:r w:rsidRPr="009A70C3">
              <w:t xml:space="preserve">Objective 4: Partnerships in </w:t>
            </w:r>
            <w:r w:rsidR="004D7BEF" w:rsidRPr="009A70C3">
              <w:t>v</w:t>
            </w:r>
            <w:r w:rsidRPr="009A70C3">
              <w:t xml:space="preserve">ulnerability </w:t>
            </w:r>
            <w:r w:rsidR="004D7BEF" w:rsidRPr="009A70C3">
              <w:t>r</w:t>
            </w:r>
            <w:r w:rsidRPr="009A70C3">
              <w:t>eduction</w:t>
            </w:r>
          </w:p>
          <w:p w:rsidR="000A5A3A" w:rsidRPr="009A70C3" w:rsidRDefault="000A5A3A" w:rsidP="0035732F">
            <w:pPr>
              <w:pStyle w:val="TableListBullet"/>
              <w:keepNext/>
            </w:pPr>
            <w:r w:rsidRPr="009A70C3">
              <w:t xml:space="preserve">Strengthening of </w:t>
            </w:r>
            <w:r w:rsidR="00D000EE" w:rsidRPr="009A70C3">
              <w:t>p</w:t>
            </w:r>
            <w:r w:rsidRPr="009A70C3">
              <w:t xml:space="preserve">artnerships with regional and multilateral agencies to reduce vulnerability in key </w:t>
            </w:r>
            <w:r w:rsidR="0035732F">
              <w:t xml:space="preserve">sectors such as </w:t>
            </w:r>
            <w:r w:rsidRPr="009A70C3">
              <w:t>health, environmental and social</w:t>
            </w:r>
            <w:r w:rsidR="00782795">
              <w:t xml:space="preserve"> </w:t>
            </w:r>
            <w:r w:rsidR="0035732F">
              <w:t>services</w:t>
            </w:r>
            <w:r w:rsidRPr="009A70C3">
              <w:t>.</w:t>
            </w:r>
          </w:p>
        </w:tc>
        <w:tc>
          <w:tcPr>
            <w:tcW w:w="1059" w:type="dxa"/>
            <w:shd w:val="clear" w:color="auto" w:fill="FF9900"/>
          </w:tcPr>
          <w:p w:rsidR="000A5A3A" w:rsidRPr="009A70C3" w:rsidRDefault="000A5A3A" w:rsidP="00082434">
            <w:pPr>
              <w:pStyle w:val="TableTextEntries"/>
              <w:keepNext/>
            </w:pPr>
            <w:r w:rsidRPr="009A70C3">
              <w:t>Amber</w:t>
            </w:r>
          </w:p>
        </w:tc>
        <w:tc>
          <w:tcPr>
            <w:tcW w:w="1569" w:type="dxa"/>
            <w:shd w:val="clear" w:color="auto" w:fill="auto"/>
          </w:tcPr>
          <w:p w:rsidR="000A5A3A" w:rsidRPr="009A70C3" w:rsidRDefault="000A5A3A" w:rsidP="00082434">
            <w:pPr>
              <w:pStyle w:val="TableTextEntries"/>
              <w:keepNext/>
            </w:pPr>
            <w:proofErr w:type="spellStart"/>
            <w:r w:rsidRPr="009A70C3">
              <w:t>Unchanged</w:t>
            </w:r>
            <w:r w:rsidR="00774DC8" w:rsidRPr="009A70C3">
              <w:rPr>
                <w:vertAlign w:val="superscript"/>
              </w:rPr>
              <w:t>b</w:t>
            </w:r>
            <w:proofErr w:type="spellEnd"/>
          </w:p>
        </w:tc>
      </w:tr>
    </w:tbl>
    <w:p w:rsidR="000A5A3A" w:rsidRPr="009A70C3" w:rsidRDefault="000A5A3A" w:rsidP="000A5A3A">
      <w:pPr>
        <w:pStyle w:val="NoteNumber"/>
      </w:pPr>
      <w:r w:rsidRPr="009A70C3">
        <w:rPr>
          <w:rStyle w:val="NoteNumberCharChar"/>
        </w:rPr>
        <w:t>These</w:t>
      </w:r>
      <w:r w:rsidRPr="009A70C3">
        <w:t xml:space="preserve"> objectives reflect Australia’s aid program to Kiribati in 2008. Priority outcomes of the </w:t>
      </w:r>
      <w:r w:rsidR="001C4DB2" w:rsidRPr="009A70C3">
        <w:t>Australia</w:t>
      </w:r>
      <w:r w:rsidR="0012796E" w:rsidRPr="009A70C3">
        <w:t>–</w:t>
      </w:r>
      <w:r w:rsidR="001C4DB2" w:rsidRPr="009A70C3">
        <w:t>Kiribati</w:t>
      </w:r>
      <w:r w:rsidRPr="009A70C3">
        <w:t xml:space="preserve"> Partnership for Development, signed in January 2009, will form the basis for future performance reporting of Australia’s aid program to Kiribati.</w:t>
      </w:r>
    </w:p>
    <w:p w:rsidR="00774DC8" w:rsidRPr="009A70C3" w:rsidRDefault="000A5A3A" w:rsidP="000A5A3A">
      <w:pPr>
        <w:pStyle w:val="NoteNumber"/>
      </w:pPr>
      <w:r w:rsidRPr="009A70C3">
        <w:t xml:space="preserve">Objective 4 </w:t>
      </w:r>
      <w:r w:rsidR="001C4DB2" w:rsidRPr="009A70C3">
        <w:t xml:space="preserve">was broader </w:t>
      </w:r>
      <w:r w:rsidRPr="009A70C3">
        <w:t xml:space="preserve">in 2007 than </w:t>
      </w:r>
      <w:r w:rsidR="001C4DB2" w:rsidRPr="009A70C3">
        <w:t xml:space="preserve">in </w:t>
      </w:r>
      <w:r w:rsidRPr="009A70C3">
        <w:t xml:space="preserve">2008, </w:t>
      </w:r>
      <w:r w:rsidR="00245210" w:rsidRPr="009A70C3">
        <w:t xml:space="preserve">and included </w:t>
      </w:r>
      <w:r w:rsidRPr="009A70C3">
        <w:t xml:space="preserve">a number of other donor harmonisation activities </w:t>
      </w:r>
      <w:r w:rsidR="00245210" w:rsidRPr="009A70C3">
        <w:t xml:space="preserve">and </w:t>
      </w:r>
      <w:r w:rsidRPr="009A70C3">
        <w:t>partnerships to address vulnerability reduction</w:t>
      </w:r>
      <w:r w:rsidR="004C3315" w:rsidRPr="009A70C3">
        <w:t>.</w:t>
      </w:r>
    </w:p>
    <w:p w:rsidR="000A5A3A" w:rsidRPr="009A70C3" w:rsidRDefault="00774DC8" w:rsidP="00774DC8">
      <w:pPr>
        <w:pStyle w:val="Heading2unnumbered"/>
      </w:pPr>
      <w:bookmarkStart w:id="10" w:name="_Toc246227760"/>
      <w:r w:rsidRPr="009A70C3">
        <w:t>Major results</w:t>
      </w:r>
      <w:bookmarkEnd w:id="10"/>
    </w:p>
    <w:p w:rsidR="00D000EE" w:rsidRPr="009A70C3" w:rsidRDefault="00D000EE" w:rsidP="00D000EE">
      <w:pPr>
        <w:pStyle w:val="BodyText"/>
      </w:pPr>
      <w:r w:rsidRPr="009A70C3">
        <w:t>Australian assistance contributed to the following major results in 2008.</w:t>
      </w:r>
    </w:p>
    <w:p w:rsidR="00774DC8" w:rsidRPr="009A70C3" w:rsidRDefault="00774DC8" w:rsidP="00774DC8">
      <w:pPr>
        <w:pStyle w:val="Heading3"/>
      </w:pPr>
      <w:bookmarkStart w:id="11" w:name="_Toc246227761"/>
      <w:r w:rsidRPr="009A70C3">
        <w:t>Education</w:t>
      </w:r>
      <w:bookmarkEnd w:id="11"/>
    </w:p>
    <w:p w:rsidR="00774DC8" w:rsidRPr="009A70C3" w:rsidRDefault="00774DC8" w:rsidP="00774DC8">
      <w:pPr>
        <w:pStyle w:val="ListBullet"/>
      </w:pPr>
      <w:r w:rsidRPr="009A70C3">
        <w:t>Supported the Ministry of Education (MOE):</w:t>
      </w:r>
    </w:p>
    <w:p w:rsidR="00774DC8" w:rsidRPr="009A70C3" w:rsidRDefault="00B93515" w:rsidP="00774DC8">
      <w:pPr>
        <w:pStyle w:val="ListBullet2"/>
      </w:pPr>
      <w:r w:rsidRPr="009A70C3">
        <w:t>to establish</w:t>
      </w:r>
      <w:r w:rsidR="00774DC8" w:rsidRPr="009A70C3">
        <w:t xml:space="preserve"> a Facilities Management Unit (FMU) and appoint a Facilities Manager</w:t>
      </w:r>
    </w:p>
    <w:p w:rsidR="00774DC8" w:rsidRPr="009A70C3" w:rsidRDefault="00774DC8" w:rsidP="00774DC8">
      <w:pPr>
        <w:pStyle w:val="ListBullet2"/>
      </w:pPr>
      <w:r w:rsidRPr="009A70C3">
        <w:t xml:space="preserve">to develop the Language of Instruction Policy and </w:t>
      </w:r>
      <w:r w:rsidR="00F21CED" w:rsidRPr="009A70C3">
        <w:t>submit</w:t>
      </w:r>
      <w:r w:rsidR="00F21CED">
        <w:t xml:space="preserve"> </w:t>
      </w:r>
      <w:r w:rsidR="00F21CED" w:rsidRPr="009A70C3">
        <w:t>it</w:t>
      </w:r>
      <w:r w:rsidRPr="009A70C3">
        <w:t xml:space="preserve"> to their senior management for approval</w:t>
      </w:r>
    </w:p>
    <w:p w:rsidR="002A452A" w:rsidRPr="009A70C3" w:rsidRDefault="00774DC8" w:rsidP="00774DC8">
      <w:pPr>
        <w:pStyle w:val="ListBullet2"/>
      </w:pPr>
      <w:r w:rsidRPr="009A70C3">
        <w:t xml:space="preserve">to </w:t>
      </w:r>
      <w:r w:rsidR="00FB1F37">
        <w:t xml:space="preserve">build the capacity of its </w:t>
      </w:r>
      <w:r w:rsidR="006A7735" w:rsidRPr="009A70C3">
        <w:t>s</w:t>
      </w:r>
      <w:r w:rsidRPr="009A70C3">
        <w:t xml:space="preserve">enior </w:t>
      </w:r>
      <w:r w:rsidR="006A7735" w:rsidRPr="009A70C3">
        <w:t>m</w:t>
      </w:r>
      <w:r w:rsidRPr="009A70C3">
        <w:t xml:space="preserve">anagement </w:t>
      </w:r>
      <w:r w:rsidR="006A7735" w:rsidRPr="009A70C3">
        <w:t xml:space="preserve">by using </w:t>
      </w:r>
      <w:r w:rsidRPr="009A70C3">
        <w:t>technical advis</w:t>
      </w:r>
      <w:r w:rsidR="00D000EE" w:rsidRPr="009A70C3">
        <w:t>e</w:t>
      </w:r>
      <w:r w:rsidRPr="009A70C3">
        <w:t>rs</w:t>
      </w:r>
    </w:p>
    <w:p w:rsidR="00774DC8" w:rsidRPr="009A70C3" w:rsidRDefault="002A452A" w:rsidP="00774DC8">
      <w:pPr>
        <w:pStyle w:val="ListBullet2"/>
      </w:pPr>
      <w:r w:rsidRPr="009A70C3">
        <w:t xml:space="preserve">to </w:t>
      </w:r>
      <w:r w:rsidR="00774DC8" w:rsidRPr="009A70C3">
        <w:t xml:space="preserve">complete </w:t>
      </w:r>
      <w:proofErr w:type="spellStart"/>
      <w:r w:rsidR="00774DC8" w:rsidRPr="009A70C3">
        <w:t>costings</w:t>
      </w:r>
      <w:proofErr w:type="spellEnd"/>
      <w:r w:rsidR="00774DC8" w:rsidRPr="009A70C3">
        <w:t xml:space="preserve"> </w:t>
      </w:r>
      <w:r w:rsidR="006A7735" w:rsidRPr="009A70C3">
        <w:t xml:space="preserve">in its </w:t>
      </w:r>
      <w:r w:rsidR="00774DC8" w:rsidRPr="009A70C3">
        <w:t>key policy document</w:t>
      </w:r>
      <w:r w:rsidRPr="009A70C3">
        <w:t>,</w:t>
      </w:r>
      <w:r w:rsidR="00774DC8" w:rsidRPr="009A70C3">
        <w:t xml:space="preserve"> and </w:t>
      </w:r>
      <w:r w:rsidRPr="009A70C3">
        <w:t xml:space="preserve">to </w:t>
      </w:r>
      <w:r w:rsidR="00774DC8" w:rsidRPr="009A70C3">
        <w:t>complete the review of MOE’s use of technology</w:t>
      </w:r>
    </w:p>
    <w:p w:rsidR="00774DC8" w:rsidRPr="009A70C3" w:rsidRDefault="00774DC8" w:rsidP="00774DC8">
      <w:pPr>
        <w:pStyle w:val="ListBullet2"/>
      </w:pPr>
      <w:r w:rsidRPr="009A70C3">
        <w:t xml:space="preserve">to develop guidelines </w:t>
      </w:r>
      <w:r w:rsidR="006A7735" w:rsidRPr="009A70C3">
        <w:t xml:space="preserve">for reviewing </w:t>
      </w:r>
      <w:r w:rsidRPr="009A70C3">
        <w:t xml:space="preserve">the </w:t>
      </w:r>
      <w:r w:rsidR="00C13CD0" w:rsidRPr="009A70C3">
        <w:t>n</w:t>
      </w:r>
      <w:r w:rsidRPr="009A70C3">
        <w:t xml:space="preserve">ational </w:t>
      </w:r>
      <w:r w:rsidR="00C13CD0" w:rsidRPr="009A70C3">
        <w:t>c</w:t>
      </w:r>
      <w:r w:rsidRPr="009A70C3">
        <w:t>urriculum for basic education</w:t>
      </w:r>
    </w:p>
    <w:p w:rsidR="00774DC8" w:rsidRPr="009A70C3" w:rsidRDefault="002A452A" w:rsidP="00774DC8">
      <w:pPr>
        <w:pStyle w:val="ListBullet2"/>
      </w:pPr>
      <w:r w:rsidRPr="009A70C3">
        <w:t xml:space="preserve">to </w:t>
      </w:r>
      <w:r w:rsidR="00774DC8" w:rsidRPr="009A70C3">
        <w:t>further develop the Kiribati Education Management Information System (KEMIS) and train staff in using KEMIS for better decision making.</w:t>
      </w:r>
    </w:p>
    <w:p w:rsidR="00641FF2" w:rsidRDefault="00774DC8" w:rsidP="00641FF2">
      <w:pPr>
        <w:pStyle w:val="ListBullet"/>
      </w:pPr>
      <w:r w:rsidRPr="009A70C3">
        <w:t>Support</w:t>
      </w:r>
      <w:r w:rsidR="002A452A" w:rsidRPr="009A70C3">
        <w:t>ed</w:t>
      </w:r>
      <w:r w:rsidRPr="009A70C3">
        <w:t xml:space="preserve"> the Kiribati School for the Disabled, which now services 68 students who would </w:t>
      </w:r>
      <w:r w:rsidR="002A452A" w:rsidRPr="009A70C3">
        <w:t xml:space="preserve">otherwise </w:t>
      </w:r>
      <w:r w:rsidR="00C13CD0" w:rsidRPr="009A70C3">
        <w:t xml:space="preserve">not have </w:t>
      </w:r>
      <w:r w:rsidRPr="009A70C3">
        <w:t>access to education facilities.</w:t>
      </w:r>
      <w:bookmarkStart w:id="12" w:name="_Toc246227762"/>
    </w:p>
    <w:p w:rsidR="00641FF2" w:rsidRDefault="00641FF2" w:rsidP="00641FF2">
      <w:pPr>
        <w:pStyle w:val="ListBullet"/>
        <w:numPr>
          <w:ilvl w:val="0"/>
          <w:numId w:val="0"/>
        </w:numPr>
        <w:ind w:left="284" w:hanging="284"/>
      </w:pPr>
    </w:p>
    <w:p w:rsidR="00641FF2" w:rsidRDefault="00641FF2" w:rsidP="00641FF2">
      <w:pPr>
        <w:pStyle w:val="ListBullet"/>
        <w:numPr>
          <w:ilvl w:val="0"/>
          <w:numId w:val="0"/>
        </w:numPr>
        <w:ind w:left="284" w:hanging="284"/>
      </w:pPr>
    </w:p>
    <w:p w:rsidR="00774DC8" w:rsidRPr="009A70C3" w:rsidRDefault="00774DC8" w:rsidP="00491B81">
      <w:pPr>
        <w:pStyle w:val="Heading3"/>
        <w:numPr>
          <w:ilvl w:val="0"/>
          <w:numId w:val="0"/>
        </w:numPr>
      </w:pPr>
      <w:r w:rsidRPr="009A70C3">
        <w:lastRenderedPageBreak/>
        <w:t>Public sector performance</w:t>
      </w:r>
      <w:bookmarkEnd w:id="12"/>
    </w:p>
    <w:p w:rsidR="00774DC8" w:rsidRPr="009A70C3" w:rsidRDefault="00774DC8" w:rsidP="00774DC8">
      <w:pPr>
        <w:pStyle w:val="ListBullet"/>
      </w:pPr>
      <w:r w:rsidRPr="009A70C3">
        <w:t>Support</w:t>
      </w:r>
      <w:r w:rsidR="002A452A" w:rsidRPr="009A70C3">
        <w:t>ed</w:t>
      </w:r>
      <w:r w:rsidRPr="009A70C3">
        <w:t xml:space="preserve"> </w:t>
      </w:r>
      <w:r w:rsidR="002A452A" w:rsidRPr="009A70C3">
        <w:t xml:space="preserve">the </w:t>
      </w:r>
      <w:r w:rsidRPr="009A70C3">
        <w:t>Government of Kiribati (</w:t>
      </w:r>
      <w:proofErr w:type="spellStart"/>
      <w:r w:rsidRPr="009A70C3">
        <w:t>GoK</w:t>
      </w:r>
      <w:proofErr w:type="spellEnd"/>
      <w:r w:rsidRPr="009A70C3">
        <w:t>) to finalise the Kiribati Development Plan 2008</w:t>
      </w:r>
      <w:r w:rsidR="002A452A" w:rsidRPr="009A70C3">
        <w:t>–</w:t>
      </w:r>
      <w:r w:rsidRPr="009A70C3">
        <w:t>2011.</w:t>
      </w:r>
    </w:p>
    <w:p w:rsidR="00774DC8" w:rsidRPr="009A70C3" w:rsidRDefault="00774DC8" w:rsidP="00774DC8">
      <w:pPr>
        <w:pStyle w:val="ListBullet"/>
      </w:pPr>
      <w:r w:rsidRPr="009A70C3">
        <w:t xml:space="preserve">Increased the technical capacity of </w:t>
      </w:r>
      <w:r w:rsidR="003F348E" w:rsidRPr="009A70C3">
        <w:t>p</w:t>
      </w:r>
      <w:r w:rsidRPr="009A70C3">
        <w:t xml:space="preserve">ublic </w:t>
      </w:r>
      <w:r w:rsidR="003F348E" w:rsidRPr="009A70C3">
        <w:t>s</w:t>
      </w:r>
      <w:r w:rsidRPr="009A70C3">
        <w:t xml:space="preserve">ervice (PS) staff through engagement of </w:t>
      </w:r>
      <w:r w:rsidR="003F348E" w:rsidRPr="009A70C3">
        <w:t>c</w:t>
      </w:r>
      <w:r w:rsidRPr="009A70C3">
        <w:t xml:space="preserve">ustoms and </w:t>
      </w:r>
      <w:r w:rsidR="003F348E" w:rsidRPr="009A70C3">
        <w:t>i</w:t>
      </w:r>
      <w:r w:rsidRPr="009A70C3">
        <w:t xml:space="preserve">ncome </w:t>
      </w:r>
      <w:r w:rsidR="003F348E" w:rsidRPr="009A70C3">
        <w:t>t</w:t>
      </w:r>
      <w:r w:rsidRPr="009A70C3">
        <w:t>axation advis</w:t>
      </w:r>
      <w:r w:rsidR="003F348E" w:rsidRPr="009A70C3">
        <w:t>e</w:t>
      </w:r>
      <w:r w:rsidRPr="009A70C3">
        <w:t>rs, resulting in greater compliance enforcement and increased revenue collection (including a 10% increase in tax revenue in 2008)</w:t>
      </w:r>
      <w:r w:rsidR="003F348E" w:rsidRPr="009A70C3">
        <w:t>.</w:t>
      </w:r>
    </w:p>
    <w:p w:rsidR="00774DC8" w:rsidRPr="009A70C3" w:rsidRDefault="00774DC8" w:rsidP="00774DC8">
      <w:pPr>
        <w:pStyle w:val="ListBullet"/>
      </w:pPr>
      <w:r w:rsidRPr="009A70C3">
        <w:t>Increased the capacity of PS staff, and improved efficiency and governance through technical advis</w:t>
      </w:r>
      <w:r w:rsidR="003F348E" w:rsidRPr="009A70C3">
        <w:t>e</w:t>
      </w:r>
      <w:r w:rsidRPr="009A70C3">
        <w:t xml:space="preserve">rs in key roles in </w:t>
      </w:r>
      <w:r w:rsidR="003F348E" w:rsidRPr="009A70C3">
        <w:t>a</w:t>
      </w:r>
      <w:r w:rsidRPr="009A70C3">
        <w:t xml:space="preserve">udit, </w:t>
      </w:r>
      <w:r w:rsidR="003F348E" w:rsidRPr="009A70C3">
        <w:t>t</w:t>
      </w:r>
      <w:r w:rsidRPr="009A70C3">
        <w:t xml:space="preserve">ourism and </w:t>
      </w:r>
      <w:r w:rsidR="003F348E" w:rsidRPr="009A70C3">
        <w:t>p</w:t>
      </w:r>
      <w:r w:rsidRPr="009A70C3">
        <w:t xml:space="preserve">ublic </w:t>
      </w:r>
      <w:r w:rsidR="003F348E" w:rsidRPr="009A70C3">
        <w:t>w</w:t>
      </w:r>
      <w:r w:rsidRPr="009A70C3">
        <w:t>orks.</w:t>
      </w:r>
    </w:p>
    <w:p w:rsidR="00774DC8" w:rsidRPr="009A70C3" w:rsidRDefault="00774DC8" w:rsidP="00774DC8">
      <w:pPr>
        <w:pStyle w:val="ListBullet"/>
      </w:pPr>
      <w:r w:rsidRPr="009A70C3">
        <w:t>Provi</w:t>
      </w:r>
      <w:r w:rsidR="003F348E" w:rsidRPr="009A70C3">
        <w:t>ded</w:t>
      </w:r>
      <w:r w:rsidRPr="009A70C3">
        <w:t xml:space="preserve"> two Australian aviation engineers </w:t>
      </w:r>
      <w:r w:rsidR="003F348E" w:rsidRPr="009A70C3">
        <w:t>to</w:t>
      </w:r>
      <w:r w:rsidRPr="009A70C3">
        <w:t xml:space="preserve"> further buil</w:t>
      </w:r>
      <w:r w:rsidR="003F348E" w:rsidRPr="009A70C3">
        <w:t>d</w:t>
      </w:r>
      <w:r w:rsidRPr="009A70C3">
        <w:t xml:space="preserve"> local capacity and contribute to improved maintenance, resulting in more efficient, reliable and safe domestic air services, highlighted by a 50% reduction in non-conformation issues identified by the Quality Assurance Department.</w:t>
      </w:r>
    </w:p>
    <w:p w:rsidR="00774DC8" w:rsidRPr="009A70C3" w:rsidRDefault="00774DC8" w:rsidP="00774DC8">
      <w:pPr>
        <w:pStyle w:val="BodyText"/>
        <w:rPr>
          <w:bCs/>
          <w:lang w:bidi="x-none"/>
        </w:rPr>
      </w:pPr>
      <w:r w:rsidRPr="009A70C3">
        <w:rPr>
          <w:bCs/>
          <w:lang w:bidi="x-none"/>
        </w:rPr>
        <w:t xml:space="preserve">The Pacific Regional Policing Initiative (PRPI) provided support to the Kiribati Police Service by assisting with </w:t>
      </w:r>
      <w:r w:rsidR="00C13CD0" w:rsidRPr="009A70C3">
        <w:rPr>
          <w:bCs/>
          <w:lang w:bidi="x-none"/>
        </w:rPr>
        <w:t xml:space="preserve">the </w:t>
      </w:r>
      <w:r w:rsidRPr="009A70C3">
        <w:rPr>
          <w:bCs/>
          <w:lang w:bidi="x-none"/>
        </w:rPr>
        <w:t>implementation of the Safer Kiribati Program</w:t>
      </w:r>
      <w:r w:rsidR="002D6D60">
        <w:rPr>
          <w:bCs/>
          <w:lang w:bidi="x-none"/>
        </w:rPr>
        <w:t>,</w:t>
      </w:r>
      <w:r w:rsidRPr="009A70C3">
        <w:rPr>
          <w:bCs/>
          <w:lang w:bidi="x-none"/>
        </w:rPr>
        <w:t xml:space="preserve"> refurbishment of police barracks, headquarters, and training school</w:t>
      </w:r>
      <w:r w:rsidR="00C13CD0" w:rsidRPr="009A70C3">
        <w:rPr>
          <w:bCs/>
          <w:lang w:bidi="x-none"/>
        </w:rPr>
        <w:t>,</w:t>
      </w:r>
      <w:r w:rsidRPr="009A70C3">
        <w:rPr>
          <w:bCs/>
          <w:lang w:bidi="x-none"/>
        </w:rPr>
        <w:t xml:space="preserve"> and</w:t>
      </w:r>
      <w:r w:rsidR="002D6D60">
        <w:rPr>
          <w:bCs/>
          <w:lang w:bidi="x-none"/>
        </w:rPr>
        <w:t>, with senior management,</w:t>
      </w:r>
      <w:r w:rsidRPr="009A70C3">
        <w:rPr>
          <w:bCs/>
          <w:lang w:bidi="x-none"/>
        </w:rPr>
        <w:t xml:space="preserve"> implement</w:t>
      </w:r>
      <w:r w:rsidR="00146C7D" w:rsidRPr="009A70C3">
        <w:rPr>
          <w:bCs/>
          <w:lang w:bidi="x-none"/>
        </w:rPr>
        <w:t xml:space="preserve">ation of </w:t>
      </w:r>
      <w:r w:rsidRPr="009A70C3">
        <w:rPr>
          <w:bCs/>
          <w:lang w:bidi="x-none"/>
        </w:rPr>
        <w:t xml:space="preserve">a policing program </w:t>
      </w:r>
      <w:r w:rsidR="00146C7D" w:rsidRPr="009A70C3">
        <w:rPr>
          <w:bCs/>
          <w:lang w:bidi="x-none"/>
        </w:rPr>
        <w:t xml:space="preserve">that </w:t>
      </w:r>
      <w:r w:rsidRPr="009A70C3">
        <w:rPr>
          <w:bCs/>
          <w:lang w:bidi="x-none"/>
        </w:rPr>
        <w:t>includ</w:t>
      </w:r>
      <w:r w:rsidR="002D6D60">
        <w:rPr>
          <w:bCs/>
          <w:lang w:bidi="x-none"/>
        </w:rPr>
        <w:t>ed</w:t>
      </w:r>
      <w:r w:rsidRPr="009A70C3">
        <w:rPr>
          <w:bCs/>
          <w:lang w:bidi="x-none"/>
        </w:rPr>
        <w:t xml:space="preserve"> mentoring of the </w:t>
      </w:r>
      <w:r w:rsidR="00C13CD0" w:rsidRPr="009A70C3">
        <w:rPr>
          <w:bCs/>
          <w:lang w:bidi="x-none"/>
        </w:rPr>
        <w:t xml:space="preserve">Police </w:t>
      </w:r>
      <w:r w:rsidRPr="009A70C3">
        <w:rPr>
          <w:bCs/>
          <w:lang w:bidi="x-none"/>
        </w:rPr>
        <w:t>Commissioner and drafting of legislation.</w:t>
      </w:r>
    </w:p>
    <w:p w:rsidR="00774DC8" w:rsidRPr="009A70C3" w:rsidRDefault="00774DC8" w:rsidP="00774DC8">
      <w:pPr>
        <w:pStyle w:val="Heading3"/>
      </w:pPr>
      <w:bookmarkStart w:id="13" w:name="_Toc246227763"/>
      <w:r w:rsidRPr="009A70C3">
        <w:t>Human resource development</w:t>
      </w:r>
      <w:bookmarkEnd w:id="13"/>
    </w:p>
    <w:p w:rsidR="00774DC8" w:rsidRPr="009A70C3" w:rsidRDefault="00237453" w:rsidP="00774DC8">
      <w:pPr>
        <w:pStyle w:val="ListBullet"/>
      </w:pPr>
      <w:r w:rsidRPr="009A70C3">
        <w:t xml:space="preserve">Assisted </w:t>
      </w:r>
      <w:r w:rsidR="00774DC8" w:rsidRPr="009A70C3">
        <w:t xml:space="preserve">57 I-Kiribati youth </w:t>
      </w:r>
      <w:r w:rsidRPr="009A70C3">
        <w:t xml:space="preserve">to </w:t>
      </w:r>
      <w:r w:rsidR="00774DC8" w:rsidRPr="009A70C3">
        <w:t>undertak</w:t>
      </w:r>
      <w:r w:rsidRPr="009A70C3">
        <w:t>e</w:t>
      </w:r>
      <w:r w:rsidR="00774DC8" w:rsidRPr="009A70C3">
        <w:t xml:space="preserve"> nurse training through the Kiribati</w:t>
      </w:r>
      <w:r w:rsidRPr="009A70C3">
        <w:t>–</w:t>
      </w:r>
      <w:r w:rsidR="00774DC8" w:rsidRPr="009A70C3">
        <w:t xml:space="preserve">Australia </w:t>
      </w:r>
      <w:r w:rsidR="00413604" w:rsidRPr="009A70C3">
        <w:t xml:space="preserve">Nursing </w:t>
      </w:r>
      <w:r w:rsidR="00774DC8" w:rsidRPr="009A70C3">
        <w:t xml:space="preserve">Initiative (KANI), </w:t>
      </w:r>
      <w:r w:rsidRPr="009A70C3">
        <w:t>and identified</w:t>
      </w:r>
      <w:r w:rsidR="00774DC8" w:rsidRPr="009A70C3">
        <w:t xml:space="preserve"> a further cohort o</w:t>
      </w:r>
      <w:r w:rsidRPr="009A70C3">
        <w:t>f new KANI students.</w:t>
      </w:r>
    </w:p>
    <w:p w:rsidR="00774DC8" w:rsidRPr="009A70C3" w:rsidRDefault="00237453" w:rsidP="00774DC8">
      <w:pPr>
        <w:pStyle w:val="ListBullet"/>
      </w:pPr>
      <w:r w:rsidRPr="009A70C3">
        <w:t xml:space="preserve">Assisted </w:t>
      </w:r>
      <w:r w:rsidR="00774DC8" w:rsidRPr="009A70C3">
        <w:t xml:space="preserve">64 Australian Scholarship students currently studying in Australia and the region in courses aligned </w:t>
      </w:r>
      <w:r w:rsidR="00104FE3" w:rsidRPr="009A70C3">
        <w:t xml:space="preserve">with </w:t>
      </w:r>
      <w:r w:rsidR="00774DC8" w:rsidRPr="009A70C3">
        <w:t xml:space="preserve">Kiribati </w:t>
      </w:r>
      <w:r w:rsidRPr="009A70C3">
        <w:t>h</w:t>
      </w:r>
      <w:r w:rsidR="00774DC8" w:rsidRPr="009A70C3">
        <w:t xml:space="preserve">uman </w:t>
      </w:r>
      <w:r w:rsidRPr="009A70C3">
        <w:t>r</w:t>
      </w:r>
      <w:r w:rsidR="00774DC8" w:rsidRPr="009A70C3">
        <w:t xml:space="preserve">esource </w:t>
      </w:r>
      <w:r w:rsidRPr="009A70C3">
        <w:t>d</w:t>
      </w:r>
      <w:r w:rsidR="00774DC8" w:rsidRPr="009A70C3">
        <w:t xml:space="preserve">evelopment (HRD) priorities </w:t>
      </w:r>
      <w:r w:rsidRPr="009A70C3">
        <w:t>(a</w:t>
      </w:r>
      <w:r w:rsidR="00774DC8" w:rsidRPr="009A70C3">
        <w:t>necdotal evidence suggests that many graduates have returned to Kiribati and hold senior and influential positions in the public sector, private sector and civil society</w:t>
      </w:r>
      <w:r w:rsidR="002D6D60">
        <w:t xml:space="preserve"> – </w:t>
      </w:r>
      <w:r w:rsidRPr="009A70C3">
        <w:t>a</w:t>
      </w:r>
      <w:r w:rsidR="00774DC8" w:rsidRPr="009A70C3">
        <w:t xml:space="preserve"> planned tracer study will bet</w:t>
      </w:r>
      <w:r w:rsidRPr="009A70C3">
        <w:t>ter measure development impacts).</w:t>
      </w:r>
    </w:p>
    <w:p w:rsidR="00774DC8" w:rsidRPr="009A70C3" w:rsidRDefault="00834949" w:rsidP="00774DC8">
      <w:pPr>
        <w:pStyle w:val="ListBullet"/>
      </w:pPr>
      <w:r w:rsidRPr="009A70C3">
        <w:t>Assisted with the implementation of t</w:t>
      </w:r>
      <w:r w:rsidR="00774DC8" w:rsidRPr="009A70C3">
        <w:t xml:space="preserve">he National HRD Plan, prioritising national training needs, </w:t>
      </w:r>
      <w:r w:rsidR="00E12FB2" w:rsidRPr="009A70C3">
        <w:t xml:space="preserve">which has resulted in </w:t>
      </w:r>
      <w:r w:rsidR="00774DC8" w:rsidRPr="009A70C3">
        <w:t>ongoing improvements to HRD and workforce planning processes.</w:t>
      </w:r>
    </w:p>
    <w:p w:rsidR="00774DC8" w:rsidRPr="009A70C3" w:rsidRDefault="00E12FB2" w:rsidP="00774DC8">
      <w:pPr>
        <w:pStyle w:val="ListBullet"/>
      </w:pPr>
      <w:r w:rsidRPr="009A70C3">
        <w:t xml:space="preserve">Assisted </w:t>
      </w:r>
      <w:r w:rsidR="00774DC8" w:rsidRPr="009A70C3">
        <w:t xml:space="preserve">2 graduates and 35 students </w:t>
      </w:r>
      <w:r w:rsidRPr="009A70C3">
        <w:t xml:space="preserve">to </w:t>
      </w:r>
      <w:r w:rsidR="00F21CED" w:rsidRPr="009A70C3">
        <w:t>enrol</w:t>
      </w:r>
      <w:r w:rsidRPr="009A70C3">
        <w:t xml:space="preserve"> </w:t>
      </w:r>
      <w:r w:rsidR="00774DC8" w:rsidRPr="009A70C3">
        <w:t>at various Australia</w:t>
      </w:r>
      <w:r w:rsidR="009306F2" w:rsidRPr="009A70C3">
        <w:t>–</w:t>
      </w:r>
      <w:r w:rsidR="00774DC8" w:rsidRPr="009A70C3">
        <w:t xml:space="preserve">Pacific Technical College (APTC) campuses in </w:t>
      </w:r>
      <w:r w:rsidRPr="009A70C3">
        <w:t xml:space="preserve">a range of </w:t>
      </w:r>
      <w:r w:rsidR="00774DC8" w:rsidRPr="009A70C3">
        <w:t>courses</w:t>
      </w:r>
      <w:r w:rsidR="00073A6F" w:rsidRPr="009A70C3">
        <w:t>,</w:t>
      </w:r>
      <w:r w:rsidR="00774DC8" w:rsidRPr="009A70C3">
        <w:t xml:space="preserve"> including carpentry, mechanics, electrical, cookery and hospitality operations.</w:t>
      </w:r>
    </w:p>
    <w:p w:rsidR="00774DC8" w:rsidRPr="009A70C3" w:rsidRDefault="00574F61" w:rsidP="00834949">
      <w:pPr>
        <w:pStyle w:val="ListBullet"/>
      </w:pPr>
      <w:r>
        <w:t>C</w:t>
      </w:r>
      <w:r w:rsidR="00774DC8" w:rsidRPr="009A70C3">
        <w:t xml:space="preserve">ommenced preliminary support to strengthen </w:t>
      </w:r>
      <w:r w:rsidR="00237453" w:rsidRPr="009A70C3">
        <w:t>t</w:t>
      </w:r>
      <w:r w:rsidR="00774DC8" w:rsidRPr="009A70C3">
        <w:t xml:space="preserve">echnical and </w:t>
      </w:r>
      <w:r w:rsidR="00237453" w:rsidRPr="009A70C3">
        <w:t>v</w:t>
      </w:r>
      <w:r w:rsidR="00774DC8" w:rsidRPr="009A70C3">
        <w:t xml:space="preserve">ocational </w:t>
      </w:r>
      <w:r w:rsidR="00237453" w:rsidRPr="009A70C3">
        <w:t>e</w:t>
      </w:r>
      <w:r w:rsidR="00774DC8" w:rsidRPr="009A70C3">
        <w:t xml:space="preserve">ducation and </w:t>
      </w:r>
      <w:r w:rsidR="00237453" w:rsidRPr="009A70C3">
        <w:t>t</w:t>
      </w:r>
      <w:r w:rsidR="00774DC8" w:rsidRPr="009A70C3">
        <w:t xml:space="preserve">raining (TVET) </w:t>
      </w:r>
      <w:r w:rsidR="00073A6F" w:rsidRPr="009A70C3">
        <w:t xml:space="preserve">in areas </w:t>
      </w:r>
      <w:r w:rsidR="00774DC8" w:rsidRPr="009A70C3">
        <w:t>such as competency</w:t>
      </w:r>
      <w:r w:rsidR="00237453" w:rsidRPr="009A70C3">
        <w:t>-</w:t>
      </w:r>
      <w:r w:rsidR="00774DC8" w:rsidRPr="009A70C3">
        <w:t>based t</w:t>
      </w:r>
      <w:r w:rsidR="00237453" w:rsidRPr="009A70C3">
        <w:t>eacher training and assessment.</w:t>
      </w:r>
    </w:p>
    <w:p w:rsidR="00774DC8" w:rsidRPr="009A70C3" w:rsidRDefault="00774DC8" w:rsidP="00774DC8">
      <w:pPr>
        <w:pStyle w:val="Heading3"/>
      </w:pPr>
      <w:bookmarkStart w:id="14" w:name="_Toc246227764"/>
      <w:r w:rsidRPr="009A70C3">
        <w:t>Partnerships in vulnerability reduction</w:t>
      </w:r>
      <w:bookmarkEnd w:id="14"/>
    </w:p>
    <w:p w:rsidR="00774DC8" w:rsidRPr="009A70C3" w:rsidRDefault="00DC6F49" w:rsidP="00774DC8">
      <w:pPr>
        <w:pStyle w:val="ListBullet"/>
      </w:pPr>
      <w:r w:rsidRPr="009A70C3">
        <w:t>I</w:t>
      </w:r>
      <w:r w:rsidR="00774DC8" w:rsidRPr="009A70C3">
        <w:t xml:space="preserve">n partnership with the Secretariat of the Pacific Community (SPC), </w:t>
      </w:r>
      <w:r w:rsidR="00073A6F" w:rsidRPr="009A70C3">
        <w:t xml:space="preserve">the </w:t>
      </w:r>
      <w:r w:rsidR="00774DC8" w:rsidRPr="009A70C3">
        <w:t>U</w:t>
      </w:r>
      <w:r w:rsidRPr="009A70C3">
        <w:t xml:space="preserve">nited </w:t>
      </w:r>
      <w:r w:rsidR="00774DC8" w:rsidRPr="009A70C3">
        <w:t>N</w:t>
      </w:r>
      <w:r w:rsidRPr="009A70C3">
        <w:t>ations</w:t>
      </w:r>
      <w:r w:rsidR="00774DC8" w:rsidRPr="009A70C3">
        <w:t xml:space="preserve"> Population Fund and </w:t>
      </w:r>
      <w:r w:rsidR="00025509" w:rsidRPr="009A70C3">
        <w:t>the United Nations Children</w:t>
      </w:r>
      <w:r w:rsidR="00E12FB2" w:rsidRPr="009A70C3">
        <w:t>’s</w:t>
      </w:r>
      <w:r w:rsidR="00025509" w:rsidRPr="009A70C3">
        <w:t xml:space="preserve"> Fund (</w:t>
      </w:r>
      <w:r w:rsidR="00774DC8" w:rsidRPr="009A70C3">
        <w:t>UNICEF</w:t>
      </w:r>
      <w:r w:rsidR="00025509" w:rsidRPr="009A70C3">
        <w:t>)</w:t>
      </w:r>
      <w:r w:rsidRPr="009A70C3">
        <w:t>, delivered health programs that</w:t>
      </w:r>
      <w:r w:rsidR="00774DC8" w:rsidRPr="009A70C3">
        <w:t xml:space="preserve"> have resulted in improved detection and treatment of </w:t>
      </w:r>
      <w:r w:rsidRPr="009A70C3">
        <w:t>t</w:t>
      </w:r>
      <w:r w:rsidR="00774DC8" w:rsidRPr="009A70C3">
        <w:t>uberculosis</w:t>
      </w:r>
      <w:r w:rsidR="00493041" w:rsidRPr="009A70C3">
        <w:t xml:space="preserve"> (TB)</w:t>
      </w:r>
      <w:r w:rsidR="00574F61">
        <w:t>,</w:t>
      </w:r>
      <w:r w:rsidR="00774DC8" w:rsidRPr="009A70C3">
        <w:t xml:space="preserve"> provi</w:t>
      </w:r>
      <w:r w:rsidRPr="009A70C3">
        <w:t>ded</w:t>
      </w:r>
      <w:r w:rsidR="00774DC8" w:rsidRPr="009A70C3">
        <w:t xml:space="preserve"> necessary equipment and supplies to improve obstetric care</w:t>
      </w:r>
      <w:r w:rsidR="00574F61">
        <w:t>,</w:t>
      </w:r>
      <w:r w:rsidR="00774DC8" w:rsidRPr="009A70C3">
        <w:t xml:space="preserve"> and </w:t>
      </w:r>
      <w:r w:rsidRPr="009A70C3">
        <w:t xml:space="preserve">established </w:t>
      </w:r>
      <w:r w:rsidR="00774DC8" w:rsidRPr="009A70C3">
        <w:t>a new strategy to improve immunisation and tr</w:t>
      </w:r>
      <w:r w:rsidRPr="009A70C3">
        <w:t>eatment of childhood illnesses.</w:t>
      </w:r>
    </w:p>
    <w:p w:rsidR="00774DC8" w:rsidRPr="009A70C3" w:rsidRDefault="00774DC8" w:rsidP="00774DC8">
      <w:pPr>
        <w:pStyle w:val="ListBullet"/>
      </w:pPr>
      <w:r w:rsidRPr="009A70C3">
        <w:t xml:space="preserve">In partnership with SPC, completed the </w:t>
      </w:r>
      <w:r w:rsidR="00A67397" w:rsidRPr="009A70C3">
        <w:t>g</w:t>
      </w:r>
      <w:r w:rsidRPr="009A70C3">
        <w:t>ender</w:t>
      </w:r>
      <w:r w:rsidR="00A67397" w:rsidRPr="009A70C3">
        <w:t>-b</w:t>
      </w:r>
      <w:r w:rsidRPr="009A70C3">
        <w:t xml:space="preserve">ased </w:t>
      </w:r>
      <w:r w:rsidR="00A67397" w:rsidRPr="009A70C3">
        <w:t>v</w:t>
      </w:r>
      <w:r w:rsidRPr="009A70C3">
        <w:t>iolence study, and</w:t>
      </w:r>
      <w:r w:rsidR="00A67397" w:rsidRPr="009A70C3">
        <w:t>,</w:t>
      </w:r>
      <w:r w:rsidRPr="009A70C3">
        <w:t xml:space="preserve"> with </w:t>
      </w:r>
      <w:proofErr w:type="spellStart"/>
      <w:r w:rsidRPr="009A70C3">
        <w:t>GoK</w:t>
      </w:r>
      <w:proofErr w:type="spellEnd"/>
      <w:r w:rsidR="00A67397" w:rsidRPr="009A70C3">
        <w:t>, began planning</w:t>
      </w:r>
      <w:r w:rsidRPr="009A70C3">
        <w:t xml:space="preserve"> appropriate measures to </w:t>
      </w:r>
      <w:r w:rsidR="00F21CED" w:rsidRPr="009A70C3">
        <w:t>address</w:t>
      </w:r>
      <w:r w:rsidR="00F21CED">
        <w:t xml:space="preserve"> </w:t>
      </w:r>
      <w:r w:rsidR="00F21CED" w:rsidRPr="009A70C3">
        <w:t>gender</w:t>
      </w:r>
      <w:r w:rsidR="00073A6F" w:rsidRPr="009A70C3">
        <w:t>-based violence</w:t>
      </w:r>
      <w:r w:rsidRPr="009A70C3">
        <w:t>.</w:t>
      </w:r>
    </w:p>
    <w:p w:rsidR="00774DC8" w:rsidRPr="009A70C3" w:rsidRDefault="00774DC8" w:rsidP="00774DC8">
      <w:pPr>
        <w:pStyle w:val="ListBullet"/>
      </w:pPr>
      <w:r w:rsidRPr="009A70C3">
        <w:lastRenderedPageBreak/>
        <w:t xml:space="preserve">In partnership with </w:t>
      </w:r>
      <w:r w:rsidR="00A67397" w:rsidRPr="009A70C3">
        <w:t xml:space="preserve">the </w:t>
      </w:r>
      <w:r w:rsidRPr="009A70C3">
        <w:t xml:space="preserve">World Bank, </w:t>
      </w:r>
      <w:r w:rsidR="00A67397" w:rsidRPr="009A70C3">
        <w:t xml:space="preserve">conducted </w:t>
      </w:r>
      <w:r w:rsidRPr="009A70C3">
        <w:t>preliminary analysis and planning to address retention and management of freshwater resources as a component of the Kiribati Adaptation Project Phase II.</w:t>
      </w:r>
    </w:p>
    <w:p w:rsidR="00774DC8" w:rsidRPr="009A70C3" w:rsidRDefault="00774DC8" w:rsidP="00774DC8">
      <w:pPr>
        <w:pStyle w:val="Heading2unnumbered"/>
      </w:pPr>
      <w:bookmarkStart w:id="15" w:name="_Toc246227765"/>
      <w:r w:rsidRPr="009A70C3">
        <w:t>Major challenges</w:t>
      </w:r>
      <w:bookmarkEnd w:id="15"/>
    </w:p>
    <w:p w:rsidR="00774DC8" w:rsidRPr="009A70C3" w:rsidRDefault="00774DC8" w:rsidP="00CD35ED">
      <w:pPr>
        <w:pStyle w:val="BodyText"/>
      </w:pPr>
      <w:r w:rsidRPr="009A70C3">
        <w:t xml:space="preserve">Most of the challenges </w:t>
      </w:r>
      <w:r w:rsidR="007547BA" w:rsidRPr="009A70C3">
        <w:t xml:space="preserve">associated with </w:t>
      </w:r>
      <w:r w:rsidRPr="009A70C3">
        <w:t>achieving sustainable development outcomes in Kiribati remain unchanged from those outlined in last year’s report</w:t>
      </w:r>
      <w:r w:rsidR="004C3315" w:rsidRPr="009A70C3">
        <w:t xml:space="preserve">. </w:t>
      </w:r>
      <w:r w:rsidR="00A67397" w:rsidRPr="009A70C3">
        <w:t>T</w:t>
      </w:r>
      <w:r w:rsidRPr="009A70C3">
        <w:t xml:space="preserve">he challenges </w:t>
      </w:r>
      <w:r w:rsidR="007547BA" w:rsidRPr="009A70C3">
        <w:t xml:space="preserve">in </w:t>
      </w:r>
      <w:r w:rsidRPr="009A70C3">
        <w:t xml:space="preserve">the </w:t>
      </w:r>
      <w:r w:rsidR="00A67397" w:rsidRPr="009A70C3">
        <w:t xml:space="preserve">next </w:t>
      </w:r>
      <w:r w:rsidRPr="009A70C3">
        <w:t>12 to 18 months</w:t>
      </w:r>
      <w:r w:rsidR="00A67397" w:rsidRPr="009A70C3">
        <w:t xml:space="preserve"> are listed below</w:t>
      </w:r>
      <w:r w:rsidRPr="009A70C3">
        <w:t>.</w:t>
      </w:r>
    </w:p>
    <w:p w:rsidR="00774DC8" w:rsidRPr="009A70C3" w:rsidRDefault="00774DC8" w:rsidP="00774DC8">
      <w:pPr>
        <w:pStyle w:val="Heading3"/>
      </w:pPr>
      <w:bookmarkStart w:id="16" w:name="_Toc246227766"/>
      <w:r w:rsidRPr="009A70C3">
        <w:t>Kiribati</w:t>
      </w:r>
      <w:bookmarkEnd w:id="16"/>
    </w:p>
    <w:p w:rsidR="00DA1313" w:rsidRPr="009A70C3" w:rsidRDefault="0073163E" w:rsidP="00DA1313">
      <w:pPr>
        <w:pStyle w:val="BodyText"/>
      </w:pPr>
      <w:r w:rsidRPr="009A70C3">
        <w:t>For Kiribati, the challenges include t</w:t>
      </w:r>
      <w:r w:rsidR="00DA1313" w:rsidRPr="009A70C3">
        <w:t xml:space="preserve">he immediate financial impact of a large current account deficit, public sector fiscal budget deficit and sharp decline in the value of the RERF. The </w:t>
      </w:r>
      <w:r w:rsidRPr="009A70C3">
        <w:t>g</w:t>
      </w:r>
      <w:r w:rsidR="00DA1313" w:rsidRPr="009A70C3">
        <w:t xml:space="preserve">lobal </w:t>
      </w:r>
      <w:r w:rsidRPr="009A70C3">
        <w:t>r</w:t>
      </w:r>
      <w:r w:rsidR="00DA1313" w:rsidRPr="009A70C3">
        <w:t>ecession is further highlight</w:t>
      </w:r>
      <w:r w:rsidRPr="009A70C3">
        <w:t>ing the</w:t>
      </w:r>
      <w:r w:rsidR="00DA1313" w:rsidRPr="009A70C3">
        <w:t xml:space="preserve"> underlying weakness in public finance management capacity.</w:t>
      </w:r>
    </w:p>
    <w:p w:rsidR="0073163E" w:rsidRPr="009A70C3" w:rsidRDefault="00774DC8" w:rsidP="0073163E">
      <w:pPr>
        <w:pStyle w:val="Heading3"/>
      </w:pPr>
      <w:bookmarkStart w:id="17" w:name="_Toc246227767"/>
      <w:proofErr w:type="spellStart"/>
      <w:r w:rsidRPr="009A70C3">
        <w:t>AusAID</w:t>
      </w:r>
      <w:bookmarkEnd w:id="17"/>
      <w:proofErr w:type="spellEnd"/>
    </w:p>
    <w:p w:rsidR="0073163E" w:rsidRPr="009A70C3" w:rsidRDefault="0073163E" w:rsidP="0073163E">
      <w:pPr>
        <w:pStyle w:val="BodyText"/>
      </w:pPr>
      <w:r w:rsidRPr="009A70C3">
        <w:t xml:space="preserve">For </w:t>
      </w:r>
      <w:proofErr w:type="spellStart"/>
      <w:r w:rsidRPr="009A70C3">
        <w:t>AusAID</w:t>
      </w:r>
      <w:proofErr w:type="spellEnd"/>
      <w:r w:rsidRPr="009A70C3">
        <w:t>, the challenges include:</w:t>
      </w:r>
    </w:p>
    <w:p w:rsidR="00774DC8" w:rsidRPr="009A70C3" w:rsidRDefault="00574F61" w:rsidP="00774DC8">
      <w:pPr>
        <w:pStyle w:val="ListBullet"/>
      </w:pPr>
      <w:r>
        <w:t>p</w:t>
      </w:r>
      <w:r w:rsidR="00774DC8" w:rsidRPr="009A70C3">
        <w:t xml:space="preserve">rogressing the </w:t>
      </w:r>
      <w:r w:rsidR="0073163E" w:rsidRPr="009A70C3">
        <w:t>p</w:t>
      </w:r>
      <w:r w:rsidR="00774DC8" w:rsidRPr="009A70C3">
        <w:t>artnership</w:t>
      </w:r>
      <w:r w:rsidR="0073163E" w:rsidRPr="009A70C3">
        <w:t>, which</w:t>
      </w:r>
      <w:r w:rsidR="00774DC8" w:rsidRPr="009A70C3">
        <w:t xml:space="preserve"> will involve significant changes to the structure and approach of the program’s portfolio of activities, including finalising implementation strategies for </w:t>
      </w:r>
      <w:r w:rsidR="0073163E" w:rsidRPr="009A70C3">
        <w:t xml:space="preserve">the partnership’s </w:t>
      </w:r>
      <w:r w:rsidR="00774DC8" w:rsidRPr="009A70C3">
        <w:t xml:space="preserve">priority outcomes, better </w:t>
      </w:r>
      <w:r w:rsidR="007547BA" w:rsidRPr="009A70C3">
        <w:t xml:space="preserve">aligning </w:t>
      </w:r>
      <w:r w:rsidR="00774DC8" w:rsidRPr="009A70C3">
        <w:t xml:space="preserve">aid funding with </w:t>
      </w:r>
      <w:proofErr w:type="spellStart"/>
      <w:r w:rsidR="00774DC8" w:rsidRPr="009A70C3">
        <w:t>GoK’s</w:t>
      </w:r>
      <w:proofErr w:type="spellEnd"/>
      <w:r w:rsidR="00774DC8" w:rsidRPr="009A70C3">
        <w:t xml:space="preserve"> systems </w:t>
      </w:r>
      <w:r w:rsidR="007547BA" w:rsidRPr="009A70C3">
        <w:t>(</w:t>
      </w:r>
      <w:r w:rsidR="00774DC8" w:rsidRPr="009A70C3">
        <w:t xml:space="preserve">with improved monitoring, </w:t>
      </w:r>
      <w:r w:rsidR="007547BA" w:rsidRPr="009A70C3">
        <w:t xml:space="preserve">more </w:t>
      </w:r>
      <w:r w:rsidR="00774DC8" w:rsidRPr="009A70C3">
        <w:t>transparent reporting and strengthening of those systems</w:t>
      </w:r>
      <w:r w:rsidR="007547BA" w:rsidRPr="009A70C3">
        <w:t>),</w:t>
      </w:r>
      <w:r w:rsidR="00774DC8" w:rsidRPr="009A70C3">
        <w:t xml:space="preserve"> and </w:t>
      </w:r>
      <w:r w:rsidR="007547BA" w:rsidRPr="009A70C3">
        <w:t xml:space="preserve">reducing </w:t>
      </w:r>
      <w:r w:rsidR="00251DED" w:rsidRPr="009A70C3">
        <w:t xml:space="preserve">the number of new </w:t>
      </w:r>
      <w:r w:rsidR="00774DC8" w:rsidRPr="009A70C3">
        <w:t xml:space="preserve">aid activities </w:t>
      </w:r>
      <w:r w:rsidR="00251DED" w:rsidRPr="009A70C3">
        <w:t xml:space="preserve">in order </w:t>
      </w:r>
      <w:r w:rsidR="00774DC8" w:rsidRPr="009A70C3">
        <w:t>to achieve a more strategic (and manageable) aid program</w:t>
      </w:r>
    </w:p>
    <w:p w:rsidR="00774DC8" w:rsidRPr="009A70C3" w:rsidRDefault="00574F61" w:rsidP="004031A5">
      <w:pPr>
        <w:pStyle w:val="ListBullet"/>
      </w:pPr>
      <w:r>
        <w:t>d</w:t>
      </w:r>
      <w:r w:rsidR="00774DC8" w:rsidRPr="009A70C3">
        <w:t>eliver</w:t>
      </w:r>
      <w:r w:rsidR="00740EFF" w:rsidRPr="009A70C3">
        <w:t>ing</w:t>
      </w:r>
      <w:r w:rsidR="00774DC8" w:rsidRPr="009A70C3">
        <w:t xml:space="preserve"> scaled-up development assistance</w:t>
      </w:r>
      <w:r w:rsidR="00740EFF" w:rsidRPr="009A70C3">
        <w:t>, which</w:t>
      </w:r>
      <w:r w:rsidR="00774DC8" w:rsidRPr="009A70C3">
        <w:t xml:space="preserve"> will require increased policy dialogue, particularly in relation to the </w:t>
      </w:r>
      <w:r w:rsidR="00740EFF" w:rsidRPr="009A70C3">
        <w:t xml:space="preserve">partnership’s </w:t>
      </w:r>
      <w:r w:rsidR="0035732F">
        <w:t>‘improved growth and economic m</w:t>
      </w:r>
      <w:r w:rsidR="00774DC8" w:rsidRPr="009A70C3">
        <w:t>anagement</w:t>
      </w:r>
      <w:r w:rsidR="0035732F">
        <w:t>’</w:t>
      </w:r>
      <w:r w:rsidR="00774DC8" w:rsidRPr="009A70C3">
        <w:t xml:space="preserve"> priority outcome</w:t>
      </w:r>
      <w:r>
        <w:t>, and</w:t>
      </w:r>
    </w:p>
    <w:p w:rsidR="00774DC8" w:rsidRPr="009A70C3" w:rsidRDefault="00574F61" w:rsidP="004031A5">
      <w:pPr>
        <w:pStyle w:val="ListBullet"/>
      </w:pPr>
      <w:r>
        <w:t>b</w:t>
      </w:r>
      <w:r w:rsidR="007547BA" w:rsidRPr="009A70C3">
        <w:t xml:space="preserve">eing able </w:t>
      </w:r>
      <w:r w:rsidR="00774DC8" w:rsidRPr="009A70C3">
        <w:t>to access appropriate high</w:t>
      </w:r>
      <w:r w:rsidR="00740EFF" w:rsidRPr="009A70C3">
        <w:t>-</w:t>
      </w:r>
      <w:r w:rsidR="00774DC8" w:rsidRPr="009A70C3">
        <w:t>quality financial, technical and policy support.</w:t>
      </w:r>
    </w:p>
    <w:p w:rsidR="00774DC8" w:rsidRPr="009A70C3" w:rsidRDefault="004031A5" w:rsidP="004031A5">
      <w:pPr>
        <w:pStyle w:val="Heading2unnumbered"/>
      </w:pPr>
      <w:bookmarkStart w:id="18" w:name="_Toc246227768"/>
      <w:r w:rsidRPr="009A70C3">
        <w:t>Main management consequences</w:t>
      </w:r>
      <w:bookmarkEnd w:id="18"/>
    </w:p>
    <w:p w:rsidR="00FB1F37" w:rsidRDefault="00574F61" w:rsidP="00FB1F37">
      <w:pPr>
        <w:pStyle w:val="BodyText"/>
      </w:pPr>
      <w:r>
        <w:t xml:space="preserve">In order to meet the challenges ahead, </w:t>
      </w:r>
      <w:proofErr w:type="spellStart"/>
      <w:r>
        <w:t>AusAID</w:t>
      </w:r>
      <w:proofErr w:type="spellEnd"/>
      <w:r>
        <w:t xml:space="preserve"> will need to focus on:</w:t>
      </w:r>
    </w:p>
    <w:p w:rsidR="004031A5" w:rsidRPr="009A70C3" w:rsidRDefault="00251DED" w:rsidP="004031A5">
      <w:pPr>
        <w:pStyle w:val="ListBullet"/>
      </w:pPr>
      <w:r w:rsidRPr="009A70C3">
        <w:t xml:space="preserve">aligning </w:t>
      </w:r>
      <w:r w:rsidR="004031A5" w:rsidRPr="009A70C3">
        <w:t xml:space="preserve">current </w:t>
      </w:r>
      <w:r w:rsidRPr="009A70C3">
        <w:t xml:space="preserve">programs </w:t>
      </w:r>
      <w:r w:rsidR="004031A5" w:rsidRPr="009A70C3">
        <w:t xml:space="preserve">with </w:t>
      </w:r>
      <w:r w:rsidR="00B07020" w:rsidRPr="009A70C3">
        <w:t>p</w:t>
      </w:r>
      <w:r w:rsidR="004031A5" w:rsidRPr="009A70C3">
        <w:t>artnership outcomes</w:t>
      </w:r>
    </w:p>
    <w:p w:rsidR="004031A5" w:rsidRPr="009A70C3" w:rsidRDefault="00EC4545" w:rsidP="004031A5">
      <w:pPr>
        <w:pStyle w:val="ListBullet"/>
      </w:pPr>
      <w:r w:rsidRPr="009A70C3">
        <w:t>i</w:t>
      </w:r>
      <w:r w:rsidR="004031A5" w:rsidRPr="009A70C3">
        <w:t xml:space="preserve">mproving </w:t>
      </w:r>
      <w:r w:rsidR="00212197" w:rsidRPr="009A70C3">
        <w:t xml:space="preserve">the quality of </w:t>
      </w:r>
      <w:r w:rsidR="004031A5" w:rsidRPr="009A70C3">
        <w:t xml:space="preserve">baseline data and </w:t>
      </w:r>
      <w:r w:rsidR="00212197" w:rsidRPr="009A70C3">
        <w:t xml:space="preserve">of </w:t>
      </w:r>
      <w:r w:rsidR="004031A5" w:rsidRPr="009A70C3">
        <w:t xml:space="preserve">monitoring and evaluation processes </w:t>
      </w:r>
      <w:r w:rsidR="00E16F67">
        <w:t xml:space="preserve">so that progress </w:t>
      </w:r>
      <w:r w:rsidR="00330F04">
        <w:t xml:space="preserve">against the goals </w:t>
      </w:r>
      <w:r w:rsidR="00E16F67">
        <w:t xml:space="preserve">of the partnership and the KDP can be measured </w:t>
      </w:r>
    </w:p>
    <w:p w:rsidR="004031A5" w:rsidRPr="009A70C3" w:rsidRDefault="00330F04" w:rsidP="004031A5">
      <w:pPr>
        <w:pStyle w:val="ListBullet"/>
      </w:pPr>
      <w:r>
        <w:t xml:space="preserve">reducing the administrative burden for </w:t>
      </w:r>
      <w:proofErr w:type="spellStart"/>
      <w:r>
        <w:t>GoK</w:t>
      </w:r>
      <w:proofErr w:type="spellEnd"/>
      <w:r>
        <w:t xml:space="preserve"> by </w:t>
      </w:r>
      <w:r w:rsidR="00B07020" w:rsidRPr="009A70C3">
        <w:t>i</w:t>
      </w:r>
      <w:r w:rsidR="004031A5" w:rsidRPr="009A70C3">
        <w:t>ncreasing harmonisation with other donors</w:t>
      </w:r>
    </w:p>
    <w:p w:rsidR="004031A5" w:rsidRPr="00A25162" w:rsidRDefault="00451B00" w:rsidP="004031A5">
      <w:pPr>
        <w:pStyle w:val="ListBullet"/>
      </w:pPr>
      <w:r w:rsidRPr="00A25162">
        <w:t>maintaining ongoing program management requirements</w:t>
      </w:r>
      <w:r w:rsidR="00330F04" w:rsidRPr="00A25162">
        <w:t xml:space="preserve"> in an environment of constrained resources, which </w:t>
      </w:r>
      <w:r w:rsidR="00A25162" w:rsidRPr="00A25162">
        <w:t xml:space="preserve">reduce opportunities for policy dialogue with </w:t>
      </w:r>
      <w:proofErr w:type="spellStart"/>
      <w:r w:rsidR="00A25162" w:rsidRPr="00A25162">
        <w:t>GoK</w:t>
      </w:r>
      <w:proofErr w:type="spellEnd"/>
      <w:r w:rsidR="00574F61">
        <w:t xml:space="preserve"> </w:t>
      </w:r>
      <w:r w:rsidR="004031A5" w:rsidRPr="00A25162">
        <w:t xml:space="preserve">and strategic planning for implementation of the </w:t>
      </w:r>
      <w:r w:rsidR="00A25162" w:rsidRPr="00A25162">
        <w:t>p</w:t>
      </w:r>
      <w:r w:rsidR="004031A5" w:rsidRPr="00A25162">
        <w:t xml:space="preserve">artnership, </w:t>
      </w:r>
      <w:r w:rsidR="00574F61">
        <w:t xml:space="preserve">and </w:t>
      </w:r>
    </w:p>
    <w:p w:rsidR="00774DC8" w:rsidRPr="009A70C3" w:rsidRDefault="00B07020" w:rsidP="00774DC8">
      <w:pPr>
        <w:pStyle w:val="ListBullet"/>
      </w:pPr>
      <w:r w:rsidRPr="009A70C3">
        <w:t>e</w:t>
      </w:r>
      <w:r w:rsidR="004031A5" w:rsidRPr="009A70C3">
        <w:t xml:space="preserve">ngaging with </w:t>
      </w:r>
      <w:proofErr w:type="spellStart"/>
      <w:r w:rsidR="004031A5" w:rsidRPr="009A70C3">
        <w:t>GoK</w:t>
      </w:r>
      <w:proofErr w:type="spellEnd"/>
      <w:r w:rsidR="004031A5" w:rsidRPr="009A70C3">
        <w:t xml:space="preserve"> and other donors in response to the impacts of </w:t>
      </w:r>
      <w:r w:rsidR="0008023F" w:rsidRPr="009A70C3">
        <w:t>the g</w:t>
      </w:r>
      <w:r w:rsidR="004031A5" w:rsidRPr="009A70C3">
        <w:t xml:space="preserve">lobal </w:t>
      </w:r>
      <w:r w:rsidR="0008023F" w:rsidRPr="009A70C3">
        <w:t>r</w:t>
      </w:r>
      <w:r w:rsidR="004031A5" w:rsidRPr="009A70C3">
        <w:t>ecession on Kiribati.</w:t>
      </w:r>
    </w:p>
    <w:p w:rsidR="004031A5" w:rsidRPr="009A70C3" w:rsidRDefault="00377049">
      <w:pPr>
        <w:pStyle w:val="Heading1unnumbered"/>
        <w:rPr>
          <w:noProof/>
        </w:rPr>
      </w:pPr>
      <w:r>
        <w:rPr>
          <w:noProof/>
          <w:lang w:val="en-US" w:eastAsia="en-US"/>
        </w:rPr>
        <w:lastRenderedPageBreak/>
        <w:drawing>
          <wp:anchor distT="0" distB="0" distL="114300" distR="114300" simplePos="0" relativeHeight="251659264" behindDoc="1" locked="0" layoutInCell="1" allowOverlap="1" wp14:anchorId="52ED2D81" wp14:editId="6FF7884D">
            <wp:simplePos x="0" y="0"/>
            <wp:positionH relativeFrom="page">
              <wp:posOffset>0</wp:posOffset>
            </wp:positionH>
            <wp:positionV relativeFrom="page">
              <wp:posOffset>1386205</wp:posOffset>
            </wp:positionV>
            <wp:extent cx="7560310" cy="1585595"/>
            <wp:effectExtent l="0" t="0" r="2540" b="0"/>
            <wp:wrapNone/>
            <wp:docPr id="8" name="Picture 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 w:name="_Toc246227769"/>
      <w:r w:rsidR="004031A5" w:rsidRPr="009A70C3">
        <w:t>Country performance</w:t>
      </w:r>
      <w:bookmarkEnd w:id="19"/>
      <w:r w:rsidR="004031A5" w:rsidRPr="009A70C3">
        <w:br/>
      </w:r>
    </w:p>
    <w:p w:rsidR="004031A5" w:rsidRPr="009A70C3" w:rsidRDefault="004031A5" w:rsidP="004031A5">
      <w:pPr>
        <w:pStyle w:val="BodyText"/>
      </w:pPr>
      <w:r w:rsidRPr="009A70C3">
        <w:t>Australia’s Official Development Assistance (ODA) budget for Kiribati in 2008</w:t>
      </w:r>
      <w:r w:rsidR="00D81619" w:rsidRPr="009A70C3">
        <w:t>–</w:t>
      </w:r>
      <w:r w:rsidRPr="009A70C3">
        <w:t xml:space="preserve">09 </w:t>
      </w:r>
      <w:r w:rsidR="00A25162">
        <w:t xml:space="preserve">was </w:t>
      </w:r>
      <w:r w:rsidR="00B925F8">
        <w:t xml:space="preserve">approximately </w:t>
      </w:r>
      <w:r w:rsidR="00D81619" w:rsidRPr="009A70C3">
        <w:t>$</w:t>
      </w:r>
      <w:r w:rsidRPr="009A70C3">
        <w:t xml:space="preserve">18.4 million, which equates to </w:t>
      </w:r>
      <w:r w:rsidR="00AA2431" w:rsidRPr="009A70C3">
        <w:t>2</w:t>
      </w:r>
      <w:r w:rsidR="00AA2431">
        <w:t>2</w:t>
      </w:r>
      <w:r w:rsidR="001B53D0">
        <w:t xml:space="preserve">% of </w:t>
      </w:r>
      <w:proofErr w:type="spellStart"/>
      <w:r w:rsidRPr="009A70C3">
        <w:t>GoK’s</w:t>
      </w:r>
      <w:proofErr w:type="spellEnd"/>
      <w:r w:rsidRPr="009A70C3">
        <w:t xml:space="preserve"> </w:t>
      </w:r>
      <w:r w:rsidR="00AA2431" w:rsidRPr="009A70C3">
        <w:t>200</w:t>
      </w:r>
      <w:r w:rsidR="00AA2431">
        <w:t>8</w:t>
      </w:r>
      <w:r w:rsidR="00AA2431" w:rsidRPr="009A70C3">
        <w:t xml:space="preserve"> </w:t>
      </w:r>
      <w:r w:rsidR="00D81619" w:rsidRPr="009A70C3">
        <w:t>b</w:t>
      </w:r>
      <w:r w:rsidRPr="009A70C3">
        <w:t xml:space="preserve">udget expenditure of </w:t>
      </w:r>
      <w:r w:rsidR="00D81619" w:rsidRPr="009A70C3">
        <w:t>$</w:t>
      </w:r>
      <w:r w:rsidR="00AA2431" w:rsidRPr="009A70C3">
        <w:t>8</w:t>
      </w:r>
      <w:r w:rsidR="00AA2431">
        <w:t>2.6</w:t>
      </w:r>
      <w:r w:rsidR="00AA2431" w:rsidRPr="009A70C3">
        <w:t xml:space="preserve"> </w:t>
      </w:r>
      <w:r w:rsidRPr="009A70C3">
        <w:t xml:space="preserve">million. Australia is the second largest donor behind Taiwan (who provided an estimated </w:t>
      </w:r>
      <w:r w:rsidR="00D81619" w:rsidRPr="009A70C3">
        <w:t>$</w:t>
      </w:r>
      <w:r w:rsidRPr="009A70C3">
        <w:t>30 million in ODA</w:t>
      </w:r>
      <w:r w:rsidR="00D81619" w:rsidRPr="009A70C3">
        <w:t xml:space="preserve"> in 2008</w:t>
      </w:r>
      <w:r w:rsidRPr="009A70C3">
        <w:t>)</w:t>
      </w:r>
      <w:r w:rsidR="004C3315" w:rsidRPr="009A70C3">
        <w:t xml:space="preserve">. </w:t>
      </w:r>
      <w:r w:rsidRPr="009A70C3">
        <w:t xml:space="preserve">Other donors include Japan, </w:t>
      </w:r>
      <w:r w:rsidR="00D81619" w:rsidRPr="009A70C3">
        <w:t xml:space="preserve">the </w:t>
      </w:r>
      <w:r w:rsidRPr="009A70C3">
        <w:t>E</w:t>
      </w:r>
      <w:r w:rsidR="00D81619" w:rsidRPr="009A70C3">
        <w:t xml:space="preserve">uropean </w:t>
      </w:r>
      <w:r w:rsidRPr="009A70C3">
        <w:t>U</w:t>
      </w:r>
      <w:r w:rsidR="00D81619" w:rsidRPr="009A70C3">
        <w:t>nion</w:t>
      </w:r>
      <w:r w:rsidRPr="009A70C3">
        <w:t xml:space="preserve">, </w:t>
      </w:r>
      <w:r w:rsidR="00491C68">
        <w:t>New Zealand (</w:t>
      </w:r>
      <w:r w:rsidR="00D81619" w:rsidRPr="009A70C3">
        <w:t xml:space="preserve">the New Zealand Agency for International Development </w:t>
      </w:r>
      <w:r w:rsidR="00491C68">
        <w:t xml:space="preserve">– </w:t>
      </w:r>
      <w:r w:rsidRPr="009A70C3">
        <w:t>NZAID</w:t>
      </w:r>
      <w:r w:rsidR="00D81619" w:rsidRPr="009A70C3">
        <w:t>)</w:t>
      </w:r>
      <w:r w:rsidRPr="009A70C3">
        <w:t xml:space="preserve">, </w:t>
      </w:r>
      <w:r w:rsidR="00491C68">
        <w:t xml:space="preserve">Cuba, </w:t>
      </w:r>
      <w:r w:rsidRPr="009A70C3">
        <w:t xml:space="preserve">UN agencies, </w:t>
      </w:r>
      <w:r w:rsidR="00D81619" w:rsidRPr="009A70C3">
        <w:t>the Asian Development Bank (</w:t>
      </w:r>
      <w:r w:rsidRPr="009A70C3">
        <w:t>ADB</w:t>
      </w:r>
      <w:r w:rsidR="00D81619" w:rsidRPr="009A70C3">
        <w:t>)</w:t>
      </w:r>
      <w:r w:rsidRPr="009A70C3">
        <w:t xml:space="preserve">, </w:t>
      </w:r>
      <w:r w:rsidR="00491C68">
        <w:t xml:space="preserve">and </w:t>
      </w:r>
      <w:r w:rsidR="00D81619" w:rsidRPr="009A70C3">
        <w:t xml:space="preserve">the </w:t>
      </w:r>
      <w:r w:rsidRPr="009A70C3">
        <w:t>World Bank</w:t>
      </w:r>
      <w:r w:rsidR="004C3315" w:rsidRPr="009A70C3">
        <w:t xml:space="preserve">. </w:t>
      </w:r>
      <w:r w:rsidRPr="009A70C3">
        <w:t>It is estimated that grants and loans from donors comprised 60% of GDP in 2008.</w:t>
      </w:r>
    </w:p>
    <w:p w:rsidR="00D81619" w:rsidRPr="009A70C3" w:rsidRDefault="004031A5" w:rsidP="004031A5">
      <w:pPr>
        <w:pStyle w:val="BodyText"/>
      </w:pPr>
      <w:r w:rsidRPr="009A70C3">
        <w:t>Australia’s ODA to Kiribati in 2008 was aligned with the objectives of the KDP</w:t>
      </w:r>
      <w:r w:rsidR="00D81619" w:rsidRPr="009A70C3">
        <w:t>,</w:t>
      </w:r>
      <w:r w:rsidRPr="009A70C3">
        <w:t xml:space="preserve"> which identifies </w:t>
      </w:r>
      <w:r w:rsidR="00D81619" w:rsidRPr="009A70C3">
        <w:t xml:space="preserve">six </w:t>
      </w:r>
      <w:r w:rsidRPr="009A70C3">
        <w:t>key policy areas</w:t>
      </w:r>
      <w:r w:rsidR="00D81619" w:rsidRPr="009A70C3">
        <w:t>:</w:t>
      </w:r>
      <w:r w:rsidRPr="009A70C3">
        <w:t xml:space="preserve"> </w:t>
      </w:r>
    </w:p>
    <w:p w:rsidR="00D81619" w:rsidRPr="009A70C3" w:rsidRDefault="00506EC3" w:rsidP="00D81619">
      <w:pPr>
        <w:pStyle w:val="ListBullet"/>
      </w:pPr>
      <w:r w:rsidRPr="009A70C3">
        <w:t>h</w:t>
      </w:r>
      <w:r w:rsidR="004031A5" w:rsidRPr="009A70C3">
        <w:t xml:space="preserve">uman </w:t>
      </w:r>
      <w:r w:rsidRPr="009A70C3">
        <w:t>r</w:t>
      </w:r>
      <w:r w:rsidR="004031A5" w:rsidRPr="009A70C3">
        <w:t xml:space="preserve">esource </w:t>
      </w:r>
      <w:r w:rsidRPr="009A70C3">
        <w:t>d</w:t>
      </w:r>
      <w:r w:rsidR="004031A5" w:rsidRPr="009A70C3">
        <w:t xml:space="preserve">evelopment </w:t>
      </w:r>
    </w:p>
    <w:p w:rsidR="00D81619" w:rsidRPr="009A70C3" w:rsidRDefault="00506EC3" w:rsidP="00D81619">
      <w:pPr>
        <w:pStyle w:val="ListBullet"/>
      </w:pPr>
      <w:r w:rsidRPr="009A70C3">
        <w:t>e</w:t>
      </w:r>
      <w:r w:rsidR="004031A5" w:rsidRPr="009A70C3">
        <w:t xml:space="preserve">conomic </w:t>
      </w:r>
      <w:r w:rsidRPr="009A70C3">
        <w:t>g</w:t>
      </w:r>
      <w:r w:rsidR="004031A5" w:rsidRPr="009A70C3">
        <w:t xml:space="preserve">rowth and </w:t>
      </w:r>
      <w:r w:rsidRPr="009A70C3">
        <w:t>p</w:t>
      </w:r>
      <w:r w:rsidR="004031A5" w:rsidRPr="009A70C3">
        <w:t xml:space="preserve">overty </w:t>
      </w:r>
      <w:r w:rsidRPr="009A70C3">
        <w:t>r</w:t>
      </w:r>
      <w:r w:rsidR="004031A5" w:rsidRPr="009A70C3">
        <w:t>eduction</w:t>
      </w:r>
    </w:p>
    <w:p w:rsidR="00D81619" w:rsidRPr="009A70C3" w:rsidRDefault="00506EC3" w:rsidP="00D81619">
      <w:pPr>
        <w:pStyle w:val="ListBullet"/>
      </w:pPr>
      <w:r w:rsidRPr="009A70C3">
        <w:t>h</w:t>
      </w:r>
      <w:r w:rsidR="004031A5" w:rsidRPr="009A70C3">
        <w:t>ealth</w:t>
      </w:r>
    </w:p>
    <w:p w:rsidR="00506EC3" w:rsidRPr="009A70C3" w:rsidRDefault="00506EC3" w:rsidP="00D81619">
      <w:pPr>
        <w:pStyle w:val="ListBullet"/>
      </w:pPr>
      <w:r w:rsidRPr="009A70C3">
        <w:t>e</w:t>
      </w:r>
      <w:r w:rsidR="004031A5" w:rsidRPr="009A70C3">
        <w:t>nvironment</w:t>
      </w:r>
    </w:p>
    <w:p w:rsidR="00506EC3" w:rsidRPr="009A70C3" w:rsidRDefault="00506EC3" w:rsidP="00D81619">
      <w:pPr>
        <w:pStyle w:val="ListBullet"/>
      </w:pPr>
      <w:r w:rsidRPr="009A70C3">
        <w:t>g</w:t>
      </w:r>
      <w:r w:rsidR="004031A5" w:rsidRPr="009A70C3">
        <w:t>overnance</w:t>
      </w:r>
    </w:p>
    <w:p w:rsidR="00506EC3" w:rsidRPr="009A70C3" w:rsidRDefault="00506EC3" w:rsidP="00D81619">
      <w:pPr>
        <w:pStyle w:val="ListBullet"/>
      </w:pPr>
      <w:r w:rsidRPr="009A70C3">
        <w:t>i</w:t>
      </w:r>
      <w:r w:rsidR="004031A5" w:rsidRPr="009A70C3">
        <w:t>nfrastructure</w:t>
      </w:r>
      <w:r w:rsidRPr="009A70C3">
        <w:t>.</w:t>
      </w:r>
    </w:p>
    <w:p w:rsidR="004031A5" w:rsidRPr="009A70C3" w:rsidRDefault="004031A5" w:rsidP="00506EC3">
      <w:pPr>
        <w:pStyle w:val="BodyText"/>
      </w:pPr>
      <w:r w:rsidRPr="009A70C3">
        <w:t>Th</w:t>
      </w:r>
      <w:r w:rsidR="00B925F8">
        <w:t>o</w:t>
      </w:r>
      <w:r w:rsidRPr="009A70C3">
        <w:t xml:space="preserve">se </w:t>
      </w:r>
      <w:r w:rsidR="00B925F8">
        <w:t xml:space="preserve">policy areas </w:t>
      </w:r>
      <w:r w:rsidRPr="009A70C3">
        <w:t xml:space="preserve">are broadly consistent with the </w:t>
      </w:r>
      <w:r w:rsidR="008C02CF">
        <w:t>Millennium Development Goals (</w:t>
      </w:r>
      <w:r w:rsidRPr="009A70C3">
        <w:t>MDGs</w:t>
      </w:r>
      <w:r w:rsidR="008C02CF">
        <w:t>)</w:t>
      </w:r>
      <w:r w:rsidR="00B925F8">
        <w:t>.</w:t>
      </w:r>
      <w:r w:rsidRPr="009A70C3">
        <w:t xml:space="preserve"> </w:t>
      </w:r>
      <w:r w:rsidR="00B925F8" w:rsidRPr="009A70C3">
        <w:t xml:space="preserve">The </w:t>
      </w:r>
      <w:r w:rsidR="0035732F">
        <w:t xml:space="preserve">KDP </w:t>
      </w:r>
      <w:r w:rsidR="00B925F8">
        <w:t xml:space="preserve">is explicit </w:t>
      </w:r>
      <w:r w:rsidRPr="009A70C3">
        <w:t>about its contribution to achiev</w:t>
      </w:r>
      <w:r w:rsidR="00506EC3" w:rsidRPr="009A70C3">
        <w:t>ing</w:t>
      </w:r>
      <w:r w:rsidRPr="009A70C3">
        <w:t xml:space="preserve"> the MDGs</w:t>
      </w:r>
      <w:r w:rsidR="00506EC3" w:rsidRPr="009A70C3">
        <w:t>.</w:t>
      </w:r>
    </w:p>
    <w:p w:rsidR="004031A5" w:rsidRPr="009A70C3" w:rsidRDefault="004031A5" w:rsidP="004031A5">
      <w:pPr>
        <w:pStyle w:val="Heading2unnumbered"/>
      </w:pPr>
      <w:bookmarkStart w:id="20" w:name="_Toc246227770"/>
      <w:r w:rsidRPr="009A70C3">
        <w:t>Economic performance</w:t>
      </w:r>
      <w:bookmarkEnd w:id="20"/>
    </w:p>
    <w:p w:rsidR="004031A5" w:rsidRPr="009A70C3" w:rsidRDefault="004031A5" w:rsidP="004031A5">
      <w:pPr>
        <w:pStyle w:val="BodyText"/>
      </w:pPr>
      <w:r w:rsidRPr="009A70C3">
        <w:t>Kiribati consumes more goods than it produces and imports more than it exports, paying for the difference with foreign exchange income</w:t>
      </w:r>
      <w:r w:rsidR="004C3315" w:rsidRPr="009A70C3">
        <w:t xml:space="preserve">. </w:t>
      </w:r>
      <w:r w:rsidRPr="009A70C3">
        <w:t xml:space="preserve">Almost half of </w:t>
      </w:r>
      <w:r w:rsidR="00C612B5" w:rsidRPr="009A70C3">
        <w:t xml:space="preserve">Kiribati’s </w:t>
      </w:r>
      <w:r w:rsidRPr="009A70C3">
        <w:t xml:space="preserve">national income </w:t>
      </w:r>
      <w:r w:rsidR="00C612B5" w:rsidRPr="009A70C3">
        <w:t xml:space="preserve">comes </w:t>
      </w:r>
      <w:r w:rsidRPr="009A70C3">
        <w:t xml:space="preserve">from abroad, </w:t>
      </w:r>
      <w:r w:rsidR="00C612B5" w:rsidRPr="009A70C3">
        <w:t xml:space="preserve">mainly </w:t>
      </w:r>
      <w:r w:rsidRPr="009A70C3">
        <w:t>through fishing licen</w:t>
      </w:r>
      <w:r w:rsidR="008D6EAE" w:rsidRPr="009A70C3">
        <w:t>c</w:t>
      </w:r>
      <w:r w:rsidRPr="009A70C3">
        <w:t>e fees, remittances, foreign aid and revenue from the RERF</w:t>
      </w:r>
      <w:r w:rsidR="004C3315" w:rsidRPr="009A70C3">
        <w:t xml:space="preserve">. </w:t>
      </w:r>
      <w:r w:rsidRPr="009A70C3">
        <w:t>This makes Kiribati highly vulnerable to rising oil and food prices, loss of fisheries revenues, and appreciation of the Australian dollar</w:t>
      </w:r>
      <w:r w:rsidR="00DA3948" w:rsidRPr="009A70C3">
        <w:t>.</w:t>
      </w:r>
    </w:p>
    <w:p w:rsidR="00E52F2B" w:rsidRDefault="004031A5" w:rsidP="00E52F2B">
      <w:pPr>
        <w:pStyle w:val="BodyText"/>
      </w:pPr>
      <w:r w:rsidRPr="009A70C3">
        <w:t>Revenue from fishing licences (</w:t>
      </w:r>
      <w:r w:rsidR="00DA3948" w:rsidRPr="009A70C3">
        <w:t>$</w:t>
      </w:r>
      <w:r w:rsidRPr="009A70C3">
        <w:t>32</w:t>
      </w:r>
      <w:r w:rsidR="00DA3948" w:rsidRPr="009A70C3">
        <w:t> </w:t>
      </w:r>
      <w:r w:rsidRPr="009A70C3">
        <w:t>million in 2008) is expected to remain at a similar level in 2009. Remittances, estimated at USD</w:t>
      </w:r>
      <w:r w:rsidR="00DA3948" w:rsidRPr="009A70C3">
        <w:t>$8 </w:t>
      </w:r>
      <w:r w:rsidRPr="009A70C3">
        <w:t>million in 2008, are in decline (falling approximately 10% from the previous year)</w:t>
      </w:r>
      <w:r w:rsidR="004C3315" w:rsidRPr="009A70C3">
        <w:t xml:space="preserve">. </w:t>
      </w:r>
      <w:r w:rsidRPr="009A70C3">
        <w:t>Kiribati spends over 90% of national income on imports, with nearly 70% of that on food and fuel</w:t>
      </w:r>
      <w:r w:rsidR="004C3315" w:rsidRPr="009A70C3">
        <w:t xml:space="preserve">. </w:t>
      </w:r>
      <w:r w:rsidRPr="009A70C3">
        <w:t xml:space="preserve">The value of fuel imports in 2008, around </w:t>
      </w:r>
      <w:r w:rsidR="00DA3948" w:rsidRPr="009A70C3">
        <w:t>$27 </w:t>
      </w:r>
      <w:r w:rsidRPr="009A70C3">
        <w:t xml:space="preserve">million, was approximately double their 2004 </w:t>
      </w:r>
      <w:r w:rsidR="00DA3948" w:rsidRPr="009A70C3">
        <w:t>value</w:t>
      </w:r>
      <w:r w:rsidRPr="009A70C3">
        <w:t>, an increase of 15% of GDP</w:t>
      </w:r>
      <w:r w:rsidR="004C3315" w:rsidRPr="009A70C3">
        <w:t xml:space="preserve">. </w:t>
      </w:r>
      <w:r w:rsidRPr="009A70C3">
        <w:t>The rise in the price of imported food over the same period added a further 5% of GDP to costs</w:t>
      </w:r>
      <w:r w:rsidR="004C3315" w:rsidRPr="009A70C3">
        <w:t xml:space="preserve">. </w:t>
      </w:r>
      <w:r w:rsidR="00DA3948" w:rsidRPr="009A70C3">
        <w:t>In 2008, r</w:t>
      </w:r>
      <w:r w:rsidRPr="009A70C3">
        <w:t>ising fuel and food costs fed through into budgetary costs and consumer prices</w:t>
      </w:r>
      <w:r w:rsidR="004C3315" w:rsidRPr="009A70C3">
        <w:t xml:space="preserve">. </w:t>
      </w:r>
      <w:r w:rsidR="00F66CFA" w:rsidRPr="009A70C3">
        <w:t xml:space="preserve">Although </w:t>
      </w:r>
      <w:r w:rsidRPr="009A70C3">
        <w:t xml:space="preserve">fuel was subsidised (off budget) and a </w:t>
      </w:r>
      <w:r w:rsidR="00F66CFA" w:rsidRPr="009A70C3">
        <w:t>three-</w:t>
      </w:r>
      <w:r w:rsidRPr="009A70C3">
        <w:t xml:space="preserve">month rice subsidy was in place from October </w:t>
      </w:r>
      <w:r w:rsidR="00F66CFA" w:rsidRPr="009A70C3">
        <w:t xml:space="preserve">to </w:t>
      </w:r>
      <w:r w:rsidR="00E52F2B">
        <w:t xml:space="preserve">December </w:t>
      </w:r>
    </w:p>
    <w:p w:rsidR="004031A5" w:rsidRPr="009A70C3" w:rsidRDefault="004031A5" w:rsidP="004031A5">
      <w:pPr>
        <w:pStyle w:val="BodyText"/>
      </w:pPr>
      <w:r w:rsidRPr="009A70C3">
        <w:t>2008, consumers struggled with higher food prices</w:t>
      </w:r>
      <w:r w:rsidR="008C02CF">
        <w:t xml:space="preserve"> which, for imported staple foods,</w:t>
      </w:r>
      <w:r w:rsidRPr="009A70C3">
        <w:t xml:space="preserve"> </w:t>
      </w:r>
      <w:r w:rsidR="008C02CF">
        <w:t xml:space="preserve">rose </w:t>
      </w:r>
      <w:r w:rsidRPr="009A70C3">
        <w:t>between 40</w:t>
      </w:r>
      <w:r w:rsidR="00F66CFA" w:rsidRPr="009A70C3">
        <w:t>% and</w:t>
      </w:r>
      <w:r w:rsidRPr="009A70C3">
        <w:t xml:space="preserve"> 110%</w:t>
      </w:r>
      <w:r w:rsidR="008C02CF">
        <w:t>.</w:t>
      </w:r>
      <w:r w:rsidRPr="009A70C3">
        <w:t xml:space="preserve"> </w:t>
      </w:r>
    </w:p>
    <w:p w:rsidR="004031A5" w:rsidRPr="009A70C3" w:rsidRDefault="004031A5" w:rsidP="004031A5">
      <w:pPr>
        <w:pStyle w:val="BodyText"/>
      </w:pPr>
      <w:r w:rsidRPr="009A70C3">
        <w:lastRenderedPageBreak/>
        <w:t>The May 2009 I</w:t>
      </w:r>
      <w:r w:rsidR="00344C6C" w:rsidRPr="009A70C3">
        <w:t xml:space="preserve">nternational </w:t>
      </w:r>
      <w:r w:rsidRPr="009A70C3">
        <w:t>M</w:t>
      </w:r>
      <w:r w:rsidR="00344C6C" w:rsidRPr="009A70C3">
        <w:t xml:space="preserve">onetary </w:t>
      </w:r>
      <w:r w:rsidRPr="009A70C3">
        <w:t>F</w:t>
      </w:r>
      <w:r w:rsidR="00344C6C" w:rsidRPr="009A70C3">
        <w:t>und (IMF)</w:t>
      </w:r>
      <w:r w:rsidRPr="009A70C3">
        <w:t xml:space="preserve"> Article IV consultation reported a strong economic performance in Kiribati in 2008</w:t>
      </w:r>
      <w:r w:rsidR="00344C6C" w:rsidRPr="009A70C3">
        <w:t>,</w:t>
      </w:r>
      <w:r w:rsidRPr="009A70C3">
        <w:t xml:space="preserve"> with </w:t>
      </w:r>
      <w:r w:rsidR="00344C6C" w:rsidRPr="009A70C3">
        <w:t>‘</w:t>
      </w:r>
      <w:r w:rsidRPr="009A70C3">
        <w:t>real GDP expanding 3.5%, reversing the mild economic contraction in 2007, mainly due to strong agricultural activities, particularly copra production, and buoyant public sector activity</w:t>
      </w:r>
      <w:r w:rsidR="00344C6C" w:rsidRPr="009A70C3">
        <w:t>’</w:t>
      </w:r>
      <w:r w:rsidR="004C3315" w:rsidRPr="009A70C3">
        <w:t xml:space="preserve">. </w:t>
      </w:r>
      <w:r w:rsidRPr="009A70C3">
        <w:t>However, the increase in food and fuel prices sent domestic inflation surging to 19% at the end of 2008 (from 3% in 2007)</w:t>
      </w:r>
      <w:r w:rsidR="00344C6C" w:rsidRPr="009A70C3">
        <w:t>,</w:t>
      </w:r>
      <w:r w:rsidRPr="009A70C3">
        <w:t xml:space="preserve"> slowing consumer spending</w:t>
      </w:r>
      <w:r w:rsidR="00344C6C" w:rsidRPr="009A70C3">
        <w:t xml:space="preserve"> and</w:t>
      </w:r>
      <w:r w:rsidRPr="009A70C3">
        <w:t xml:space="preserve"> resulting in </w:t>
      </w:r>
      <w:r w:rsidR="00DC14FC">
        <w:t xml:space="preserve">a </w:t>
      </w:r>
      <w:r w:rsidRPr="009A70C3">
        <w:t>scaling back of business operations and reduced government revenue collections.</w:t>
      </w:r>
    </w:p>
    <w:p w:rsidR="004031A5" w:rsidRPr="009A70C3" w:rsidRDefault="004031A5" w:rsidP="004031A5">
      <w:pPr>
        <w:pStyle w:val="BodyText"/>
      </w:pPr>
      <w:r w:rsidRPr="009A70C3">
        <w:t xml:space="preserve">Kiribati consistently runs a large fiscal deficit (13.3% of GDP in 2008, an improvement on the 16% </w:t>
      </w:r>
      <w:r w:rsidR="008C02CF">
        <w:t xml:space="preserve">of GDP </w:t>
      </w:r>
      <w:r w:rsidRPr="009A70C3">
        <w:t>in 2007)</w:t>
      </w:r>
      <w:r w:rsidR="004C3315" w:rsidRPr="009A70C3">
        <w:t xml:space="preserve">. </w:t>
      </w:r>
      <w:r w:rsidRPr="009A70C3">
        <w:t xml:space="preserve">The principal means of financing the fiscal deficit is to draw down from the RERF. </w:t>
      </w:r>
      <w:r w:rsidR="00344C6C" w:rsidRPr="009A70C3">
        <w:t>In October 2008, t</w:t>
      </w:r>
      <w:r w:rsidRPr="009A70C3">
        <w:t xml:space="preserve">he RERF had a market value of </w:t>
      </w:r>
      <w:r w:rsidR="00344C6C" w:rsidRPr="009A70C3">
        <w:t>$</w:t>
      </w:r>
      <w:r w:rsidRPr="009A70C3">
        <w:t>563</w:t>
      </w:r>
      <w:r w:rsidR="00344C6C" w:rsidRPr="009A70C3">
        <w:t> </w:t>
      </w:r>
      <w:r w:rsidRPr="009A70C3">
        <w:t>million, 12% less than its 2007 value</w:t>
      </w:r>
      <w:r w:rsidR="004C3315" w:rsidRPr="009A70C3">
        <w:t xml:space="preserve">. </w:t>
      </w:r>
      <w:r w:rsidRPr="009A70C3">
        <w:t xml:space="preserve">Unsustainable </w:t>
      </w:r>
      <w:proofErr w:type="spellStart"/>
      <w:r w:rsidRPr="009A70C3">
        <w:t>draw downs</w:t>
      </w:r>
      <w:proofErr w:type="spellEnd"/>
      <w:r w:rsidRPr="009A70C3">
        <w:t xml:space="preserve"> of </w:t>
      </w:r>
      <w:r w:rsidR="00344C6C" w:rsidRPr="009A70C3">
        <w:t>$</w:t>
      </w:r>
      <w:r w:rsidRPr="009A70C3">
        <w:t>33</w:t>
      </w:r>
      <w:r w:rsidR="00344C6C" w:rsidRPr="009A70C3">
        <w:t> million</w:t>
      </w:r>
      <w:r w:rsidRPr="009A70C3">
        <w:t xml:space="preserve"> and </w:t>
      </w:r>
      <w:r w:rsidR="00344C6C" w:rsidRPr="009A70C3">
        <w:t>$</w:t>
      </w:r>
      <w:r w:rsidRPr="009A70C3">
        <w:t>45</w:t>
      </w:r>
      <w:r w:rsidR="00344C6C" w:rsidRPr="009A70C3">
        <w:t> </w:t>
      </w:r>
      <w:r w:rsidRPr="009A70C3">
        <w:t xml:space="preserve">million in 2006 and 2007 respectively were not repeated in 2008, with </w:t>
      </w:r>
      <w:proofErr w:type="spellStart"/>
      <w:r w:rsidRPr="009A70C3">
        <w:t>GoK</w:t>
      </w:r>
      <w:proofErr w:type="spellEnd"/>
      <w:r w:rsidRPr="009A70C3">
        <w:t xml:space="preserve"> drawing </w:t>
      </w:r>
      <w:r w:rsidR="00344C6C" w:rsidRPr="009A70C3">
        <w:t>only $</w:t>
      </w:r>
      <w:r w:rsidRPr="009A70C3">
        <w:t>25</w:t>
      </w:r>
      <w:r w:rsidR="00344C6C" w:rsidRPr="009A70C3">
        <w:t> </w:t>
      </w:r>
      <w:r w:rsidRPr="009A70C3">
        <w:t>million</w:t>
      </w:r>
      <w:r w:rsidR="00344C6C" w:rsidRPr="009A70C3">
        <w:t>,</w:t>
      </w:r>
      <w:r w:rsidRPr="009A70C3">
        <w:t xml:space="preserve"> which was less than the interest/dividends earned. The IMF reports that </w:t>
      </w:r>
      <w:r w:rsidR="00344C6C" w:rsidRPr="009A70C3">
        <w:t>‘</w:t>
      </w:r>
      <w:r w:rsidRPr="009A70C3">
        <w:t>with the large draw downs in recent years, and the global decline in asset values, the RERF has declined substantially in real per capita terms.</w:t>
      </w:r>
      <w:r w:rsidR="00DC14FC">
        <w:t>’</w:t>
      </w:r>
    </w:p>
    <w:p w:rsidR="004031A5" w:rsidRPr="009A70C3" w:rsidRDefault="004031A5" w:rsidP="004031A5">
      <w:pPr>
        <w:pStyle w:val="Heading2unnumbered"/>
      </w:pPr>
      <w:bookmarkStart w:id="21" w:name="_Toc246227771"/>
      <w:r w:rsidRPr="009A70C3">
        <w:t>Impact of the global recession</w:t>
      </w:r>
      <w:bookmarkEnd w:id="21"/>
    </w:p>
    <w:p w:rsidR="00774DC8" w:rsidRPr="009A70C3" w:rsidRDefault="004031A5" w:rsidP="004031A5">
      <w:pPr>
        <w:pStyle w:val="BodyText"/>
      </w:pPr>
      <w:proofErr w:type="spellStart"/>
      <w:r w:rsidRPr="009A70C3">
        <w:t>GoK</w:t>
      </w:r>
      <w:proofErr w:type="spellEnd"/>
      <w:r w:rsidRPr="009A70C3">
        <w:t xml:space="preserve"> </w:t>
      </w:r>
      <w:r w:rsidR="00DC14FC">
        <w:t xml:space="preserve">considers </w:t>
      </w:r>
      <w:r w:rsidR="00A576C1" w:rsidRPr="009A70C3">
        <w:t xml:space="preserve">that </w:t>
      </w:r>
      <w:r w:rsidRPr="009A70C3">
        <w:t xml:space="preserve">it is somewhat sheltered from the effects of the </w:t>
      </w:r>
      <w:r w:rsidR="00A576C1" w:rsidRPr="009A70C3">
        <w:t>g</w:t>
      </w:r>
      <w:r w:rsidRPr="009A70C3">
        <w:t xml:space="preserve">lobal </w:t>
      </w:r>
      <w:r w:rsidR="00A576C1" w:rsidRPr="009A70C3">
        <w:t>r</w:t>
      </w:r>
      <w:r w:rsidRPr="009A70C3">
        <w:t xml:space="preserve">ecession, apart from the declining value of its RERF and </w:t>
      </w:r>
      <w:r w:rsidR="00A576C1" w:rsidRPr="009A70C3">
        <w:t>s</w:t>
      </w:r>
      <w:r w:rsidRPr="009A70C3">
        <w:t xml:space="preserve">uperannuation </w:t>
      </w:r>
      <w:r w:rsidR="00A576C1" w:rsidRPr="009A70C3">
        <w:t>f</w:t>
      </w:r>
      <w:r w:rsidRPr="009A70C3">
        <w:t>und</w:t>
      </w:r>
      <w:r w:rsidR="00A576C1" w:rsidRPr="009A70C3">
        <w:t>,</w:t>
      </w:r>
      <w:r w:rsidRPr="009A70C3">
        <w:t xml:space="preserve"> over which it has little or no control at present. </w:t>
      </w:r>
      <w:proofErr w:type="spellStart"/>
      <w:r w:rsidRPr="009A70C3">
        <w:t>GoK</w:t>
      </w:r>
      <w:proofErr w:type="spellEnd"/>
      <w:r w:rsidRPr="009A70C3">
        <w:t xml:space="preserve"> implemented a number of measures in late 2008, both independently and with donor support, as part of its ongoing reform agenda and in response to the rise in food and fuel prices</w:t>
      </w:r>
      <w:r w:rsidR="004C3315" w:rsidRPr="009A70C3">
        <w:t xml:space="preserve">. </w:t>
      </w:r>
      <w:r w:rsidRPr="009A70C3">
        <w:t xml:space="preserve">While these measures were not in direct response to the </w:t>
      </w:r>
      <w:r w:rsidR="00A576C1" w:rsidRPr="009A70C3">
        <w:t>g</w:t>
      </w:r>
      <w:r w:rsidRPr="009A70C3">
        <w:t xml:space="preserve">lobal </w:t>
      </w:r>
      <w:r w:rsidR="00A576C1" w:rsidRPr="009A70C3">
        <w:t>r</w:t>
      </w:r>
      <w:r w:rsidRPr="009A70C3">
        <w:t xml:space="preserve">ecession, they were timely and enable </w:t>
      </w:r>
      <w:proofErr w:type="spellStart"/>
      <w:r w:rsidRPr="009A70C3">
        <w:t>GoK</w:t>
      </w:r>
      <w:proofErr w:type="spellEnd"/>
      <w:r w:rsidRPr="009A70C3">
        <w:t xml:space="preserve"> to be better placed to deal with </w:t>
      </w:r>
      <w:r w:rsidR="00A576C1" w:rsidRPr="009A70C3">
        <w:t xml:space="preserve">the recession’s </w:t>
      </w:r>
      <w:r w:rsidRPr="009A70C3">
        <w:t>effects and to capitalise on opportunities when the global economic situation improves. The</w:t>
      </w:r>
      <w:r w:rsidR="00A576C1" w:rsidRPr="009A70C3">
        <w:t xml:space="preserve"> measures</w:t>
      </w:r>
      <w:r w:rsidRPr="009A70C3">
        <w:t xml:space="preserve"> include setting up the food security taskforce (which is introducing initiatives such as sourcing cheaper rice imports and introducing a subsidy to further reduce cost</w:t>
      </w:r>
      <w:r w:rsidR="00DC14FC">
        <w:t>s</w:t>
      </w:r>
      <w:r w:rsidRPr="009A70C3">
        <w:t xml:space="preserve"> to consumers)</w:t>
      </w:r>
      <w:r w:rsidR="00B936FE">
        <w:t>,</w:t>
      </w:r>
      <w:r w:rsidR="0035732F">
        <w:t xml:space="preserve"> reforming </w:t>
      </w:r>
      <w:r w:rsidR="00A576C1" w:rsidRPr="009A70C3">
        <w:t>s</w:t>
      </w:r>
      <w:r w:rsidRPr="009A70C3">
        <w:t>tate</w:t>
      </w:r>
      <w:r w:rsidR="00A576C1" w:rsidRPr="009A70C3">
        <w:t>-o</w:t>
      </w:r>
      <w:r w:rsidRPr="009A70C3">
        <w:t xml:space="preserve">wned </w:t>
      </w:r>
      <w:r w:rsidR="00A576C1" w:rsidRPr="009A70C3">
        <w:t>e</w:t>
      </w:r>
      <w:r w:rsidRPr="009A70C3">
        <w:t>nterprise</w:t>
      </w:r>
      <w:r w:rsidR="00B936FE">
        <w:t>s</w:t>
      </w:r>
      <w:r w:rsidRPr="009A70C3">
        <w:t xml:space="preserve"> </w:t>
      </w:r>
      <w:r w:rsidR="00B936FE">
        <w:t>and taxation, and accelerating the local food production program</w:t>
      </w:r>
      <w:r w:rsidRPr="009A70C3">
        <w:t>.</w:t>
      </w:r>
    </w:p>
    <w:p w:rsidR="00FB1F37" w:rsidRDefault="004031A5" w:rsidP="00FB1F37">
      <w:pPr>
        <w:pStyle w:val="Heading2unnumbered"/>
      </w:pPr>
      <w:bookmarkStart w:id="22" w:name="_Toc246227772"/>
      <w:r w:rsidRPr="009A70C3">
        <w:t xml:space="preserve">Progress </w:t>
      </w:r>
      <w:r w:rsidR="00C93D90" w:rsidRPr="009A70C3">
        <w:t>toward</w:t>
      </w:r>
      <w:r w:rsidR="00DC14FC">
        <w:t>s</w:t>
      </w:r>
      <w:r w:rsidR="00C93D90" w:rsidRPr="009A70C3">
        <w:t xml:space="preserve"> </w:t>
      </w:r>
      <w:r w:rsidRPr="009A70C3">
        <w:t>Millennium Development Goals</w:t>
      </w:r>
      <w:bookmarkEnd w:id="22"/>
    </w:p>
    <w:p w:rsidR="00C93D90" w:rsidRPr="009A70C3" w:rsidRDefault="00C93D90" w:rsidP="00FB1F37">
      <w:pPr>
        <w:pStyle w:val="Heading3"/>
      </w:pPr>
      <w:bookmarkStart w:id="23" w:name="_Toc246227773"/>
      <w:r w:rsidRPr="009A70C3">
        <w:t>Poverty</w:t>
      </w:r>
      <w:bookmarkEnd w:id="23"/>
    </w:p>
    <w:p w:rsidR="00641FF2" w:rsidRDefault="00C11B1A" w:rsidP="00C93D90">
      <w:pPr>
        <w:pStyle w:val="BodyText"/>
      </w:pPr>
      <w:r w:rsidRPr="009A70C3">
        <w:t xml:space="preserve">Measures </w:t>
      </w:r>
      <w:r w:rsidR="004031A5" w:rsidRPr="009A70C3">
        <w:t xml:space="preserve">of poverty </w:t>
      </w:r>
      <w:r w:rsidR="00A576C1" w:rsidRPr="009A70C3">
        <w:t xml:space="preserve">in Kiribati </w:t>
      </w:r>
      <w:r w:rsidR="004031A5" w:rsidRPr="009A70C3">
        <w:t xml:space="preserve">are </w:t>
      </w:r>
      <w:r>
        <w:t>unreliable</w:t>
      </w:r>
      <w:r w:rsidR="004031A5" w:rsidRPr="009A70C3">
        <w:t xml:space="preserve">. Estimated per capita </w:t>
      </w:r>
      <w:r w:rsidR="00A576C1" w:rsidRPr="009A70C3">
        <w:t>gross national income</w:t>
      </w:r>
      <w:r w:rsidR="004031A5" w:rsidRPr="009A70C3">
        <w:t xml:space="preserve"> put</w:t>
      </w:r>
      <w:r w:rsidR="00A576C1" w:rsidRPr="009A70C3">
        <w:t>s</w:t>
      </w:r>
      <w:r w:rsidR="004031A5" w:rsidRPr="009A70C3">
        <w:t xml:space="preserve"> the country ahead of P</w:t>
      </w:r>
      <w:r w:rsidR="00A576C1" w:rsidRPr="009A70C3">
        <w:t xml:space="preserve">apua </w:t>
      </w:r>
      <w:r w:rsidR="004031A5" w:rsidRPr="009A70C3">
        <w:t>N</w:t>
      </w:r>
      <w:r w:rsidR="00A576C1" w:rsidRPr="009A70C3">
        <w:t xml:space="preserve">ew </w:t>
      </w:r>
      <w:r w:rsidR="004031A5" w:rsidRPr="009A70C3">
        <w:t>G</w:t>
      </w:r>
      <w:r w:rsidR="00A576C1" w:rsidRPr="009A70C3">
        <w:t>uinea (PNG)</w:t>
      </w:r>
      <w:r w:rsidR="004031A5" w:rsidRPr="009A70C3">
        <w:t xml:space="preserve"> and Solomon Islands but well behind Fiji, Samoa and Tonga. The last estimate for the proportion of the population living on under $1 a </w:t>
      </w:r>
    </w:p>
    <w:p w:rsidR="00641FF2" w:rsidRDefault="00641FF2" w:rsidP="00C93D90">
      <w:pPr>
        <w:pStyle w:val="BodyText"/>
      </w:pPr>
    </w:p>
    <w:p w:rsidR="004031A5" w:rsidRPr="009A70C3" w:rsidRDefault="004031A5" w:rsidP="00C93D90">
      <w:pPr>
        <w:pStyle w:val="BodyText"/>
      </w:pPr>
      <w:proofErr w:type="gramStart"/>
      <w:r w:rsidRPr="009A70C3">
        <w:t>day</w:t>
      </w:r>
      <w:proofErr w:type="gramEnd"/>
      <w:r w:rsidRPr="009A70C3">
        <w:t xml:space="preserve"> is 38% (a similar rate to PNG) but this is based on 1996 data and there is no recent information.</w:t>
      </w:r>
      <w:r w:rsidRPr="009A70C3">
        <w:rPr>
          <w:rStyle w:val="FootnoteReference"/>
        </w:rPr>
        <w:footnoteReference w:id="2"/>
      </w:r>
    </w:p>
    <w:p w:rsidR="00611D16" w:rsidRPr="009A70C3" w:rsidRDefault="00611D16" w:rsidP="00FB1F37">
      <w:pPr>
        <w:pStyle w:val="Heading3"/>
      </w:pPr>
      <w:bookmarkStart w:id="24" w:name="_Toc246227774"/>
      <w:r w:rsidRPr="009A70C3">
        <w:lastRenderedPageBreak/>
        <w:t>Primary education</w:t>
      </w:r>
      <w:bookmarkEnd w:id="24"/>
    </w:p>
    <w:p w:rsidR="004031A5" w:rsidRPr="009A70C3" w:rsidRDefault="00611D16" w:rsidP="00611D16">
      <w:pPr>
        <w:pStyle w:val="BodyText"/>
      </w:pPr>
      <w:r w:rsidRPr="009A70C3">
        <w:t>The l</w:t>
      </w:r>
      <w:r w:rsidR="0036478F" w:rsidRPr="009A70C3">
        <w:t>ack of p</w:t>
      </w:r>
      <w:r w:rsidR="004031A5" w:rsidRPr="009A70C3">
        <w:t xml:space="preserve">rogress </w:t>
      </w:r>
      <w:r w:rsidR="008C02CF">
        <w:t xml:space="preserve">in achieving universal primary education </w:t>
      </w:r>
      <w:r w:rsidR="004031A5" w:rsidRPr="009A70C3">
        <w:t>in Kiribati is of concern</w:t>
      </w:r>
      <w:r w:rsidR="0036478F" w:rsidRPr="009A70C3">
        <w:t>;</w:t>
      </w:r>
      <w:r w:rsidR="004031A5" w:rsidRPr="009A70C3">
        <w:t xml:space="preserve"> however</w:t>
      </w:r>
      <w:r w:rsidR="0036478F" w:rsidRPr="009A70C3">
        <w:t>,</w:t>
      </w:r>
      <w:r w:rsidR="004031A5" w:rsidRPr="009A70C3">
        <w:t xml:space="preserve"> a concerted effort is </w:t>
      </w:r>
      <w:r w:rsidR="0036478F" w:rsidRPr="009A70C3">
        <w:t xml:space="preserve">being made to </w:t>
      </w:r>
      <w:r w:rsidR="004031A5" w:rsidRPr="009A70C3">
        <w:t>target access and quality. Whil</w:t>
      </w:r>
      <w:r w:rsidR="0036478F" w:rsidRPr="009A70C3">
        <w:t>e</w:t>
      </w:r>
      <w:r w:rsidR="004031A5" w:rsidRPr="009A70C3">
        <w:t xml:space="preserve"> literacy rates remain stable at around 95%, year seven exam results indicate that students have poor functional English capacity </w:t>
      </w:r>
      <w:r w:rsidR="00B936FE">
        <w:t xml:space="preserve">and are lower than </w:t>
      </w:r>
      <w:r w:rsidR="004031A5" w:rsidRPr="009A70C3">
        <w:t>regional standards</w:t>
      </w:r>
      <w:r w:rsidR="0036478F" w:rsidRPr="009A70C3">
        <w:t>.</w:t>
      </w:r>
    </w:p>
    <w:p w:rsidR="00611D16" w:rsidRPr="009A70C3" w:rsidRDefault="00611D16" w:rsidP="00FB1F37">
      <w:pPr>
        <w:pStyle w:val="Heading3"/>
      </w:pPr>
      <w:bookmarkStart w:id="25" w:name="_Toc246227775"/>
      <w:r w:rsidRPr="009A70C3">
        <w:t>Gender equality</w:t>
      </w:r>
      <w:bookmarkEnd w:id="25"/>
    </w:p>
    <w:p w:rsidR="008C02CF" w:rsidRPr="008C02CF" w:rsidRDefault="008C02CF" w:rsidP="008C02CF">
      <w:pPr>
        <w:pStyle w:val="BodyText"/>
      </w:pPr>
      <w:r w:rsidRPr="008C02CF">
        <w:t>Gender parity in Kiribati is generally good in all sectors. The female to male ratio at primary school level was slightly below 1 from 2001 to 2006, after being above 1 in the previous eight years. However, the ratio at secondary school level has been above 1 since 1997, and the gap is widening (i.e. more females than males attend secondary school).</w:t>
      </w:r>
    </w:p>
    <w:p w:rsidR="008C02CF" w:rsidRPr="008C02CF" w:rsidRDefault="008C02CF" w:rsidP="008C02CF">
      <w:pPr>
        <w:pStyle w:val="BodyText"/>
      </w:pPr>
      <w:r w:rsidRPr="008C02CF">
        <w:t>Women make up a significant proportion of the Kiribati labour force, and employment equality is generally believed to exist. Six out of fifteen government ministries are headed by women.</w:t>
      </w:r>
    </w:p>
    <w:p w:rsidR="008C02CF" w:rsidRPr="008C02CF" w:rsidRDefault="008C02CF" w:rsidP="008C02CF">
      <w:pPr>
        <w:pStyle w:val="BodyText"/>
      </w:pPr>
      <w:r w:rsidRPr="008C02CF">
        <w:t xml:space="preserve">The results of </w:t>
      </w:r>
      <w:r w:rsidR="001B53D0">
        <w:t xml:space="preserve">the </w:t>
      </w:r>
      <w:r w:rsidRPr="008C02CF">
        <w:t xml:space="preserve">recent SPC socio-cultural research on gender-based violence and child abuse, released in October 2008, found that the rate of violence against women in Kiribati is much higher than in nine other countries surveyed. </w:t>
      </w:r>
      <w:proofErr w:type="spellStart"/>
      <w:r w:rsidRPr="008C02CF">
        <w:t>GoK</w:t>
      </w:r>
      <w:proofErr w:type="spellEnd"/>
      <w:r w:rsidRPr="008C02CF">
        <w:t xml:space="preserve"> has responded strongly to the results, by disseminating information to improve public education, establishing intervention strategies, strengthening services to address </w:t>
      </w:r>
      <w:r w:rsidR="00F97931">
        <w:t xml:space="preserve">gender-based violence </w:t>
      </w:r>
      <w:r w:rsidRPr="008C02CF">
        <w:t>(such as clinical protocols and training), and introducing new, appropriate and proactive legislation. The need for a strong response to the SPC findings is further evidenced by the impacts of the global recession in Kiribati, with research indicating that domestic violence will increase in situations of greater economic hardship (linked to rising prices).</w:t>
      </w:r>
    </w:p>
    <w:p w:rsidR="00611D16" w:rsidRPr="009A70C3" w:rsidRDefault="00611D16" w:rsidP="00FB1F37">
      <w:pPr>
        <w:pStyle w:val="Heading3"/>
      </w:pPr>
      <w:bookmarkStart w:id="26" w:name="_Toc246227776"/>
      <w:r w:rsidRPr="009A70C3">
        <w:t>Child survival</w:t>
      </w:r>
      <w:bookmarkEnd w:id="26"/>
    </w:p>
    <w:p w:rsidR="004031A5" w:rsidRPr="009A70C3" w:rsidRDefault="00B936FE" w:rsidP="00611D16">
      <w:pPr>
        <w:pStyle w:val="BodyText"/>
      </w:pPr>
      <w:r>
        <w:t>Although t</w:t>
      </w:r>
      <w:r w:rsidR="004031A5" w:rsidRPr="009A70C3">
        <w:t>he under</w:t>
      </w:r>
      <w:r w:rsidR="0036478F" w:rsidRPr="009A70C3">
        <w:t>-five</w:t>
      </w:r>
      <w:r w:rsidR="004031A5" w:rsidRPr="009A70C3">
        <w:t xml:space="preserve"> mortality rate was 66/1000 in 2004, down from 88</w:t>
      </w:r>
      <w:r w:rsidR="0036478F" w:rsidRPr="009A70C3">
        <w:t>/1000</w:t>
      </w:r>
      <w:r w:rsidR="004031A5" w:rsidRPr="009A70C3">
        <w:t xml:space="preserve"> in 1990, </w:t>
      </w:r>
      <w:r>
        <w:t xml:space="preserve">it was </w:t>
      </w:r>
      <w:r w:rsidR="004031A5" w:rsidRPr="009A70C3">
        <w:t>still the second highest in the Pacific after PNG</w:t>
      </w:r>
      <w:r w:rsidR="004C3315" w:rsidRPr="009A70C3">
        <w:t xml:space="preserve">. </w:t>
      </w:r>
      <w:r w:rsidR="0036478F" w:rsidRPr="009A70C3">
        <w:t>If</w:t>
      </w:r>
      <w:r w:rsidR="004031A5" w:rsidRPr="009A70C3">
        <w:t xml:space="preserve"> current </w:t>
      </w:r>
      <w:r w:rsidR="0036478F" w:rsidRPr="009A70C3">
        <w:t>trends continue</w:t>
      </w:r>
      <w:r w:rsidR="004031A5" w:rsidRPr="009A70C3">
        <w:t xml:space="preserve">, </w:t>
      </w:r>
      <w:r w:rsidR="0036478F" w:rsidRPr="009A70C3">
        <w:t xml:space="preserve">the mortality rate </w:t>
      </w:r>
      <w:r w:rsidR="004031A5" w:rsidRPr="009A70C3">
        <w:t>w</w:t>
      </w:r>
      <w:r w:rsidR="00975464">
        <w:t>ill</w:t>
      </w:r>
      <w:r w:rsidR="004031A5" w:rsidRPr="009A70C3">
        <w:t xml:space="preserve"> fall to 60</w:t>
      </w:r>
      <w:r w:rsidR="0036478F" w:rsidRPr="009A70C3">
        <w:t>/1000</w:t>
      </w:r>
      <w:r w:rsidR="004031A5" w:rsidRPr="009A70C3">
        <w:t xml:space="preserve"> by 2015, representing only a </w:t>
      </w:r>
      <w:r w:rsidR="0036478F" w:rsidRPr="009A70C3">
        <w:t>one-third</w:t>
      </w:r>
      <w:r w:rsidR="00B007E9">
        <w:t xml:space="preserve"> reduction (rather than the </w:t>
      </w:r>
      <w:r w:rsidR="004031A5" w:rsidRPr="009A70C3">
        <w:t>MDG target</w:t>
      </w:r>
      <w:r w:rsidR="0036478F" w:rsidRPr="009A70C3">
        <w:t xml:space="preserve"> of two-thirds</w:t>
      </w:r>
      <w:r w:rsidR="004031A5" w:rsidRPr="009A70C3">
        <w:t>)</w:t>
      </w:r>
      <w:r w:rsidR="004C3315" w:rsidRPr="009A70C3">
        <w:t xml:space="preserve">. </w:t>
      </w:r>
      <w:r w:rsidR="004031A5" w:rsidRPr="009A70C3">
        <w:t xml:space="preserve">On a positive note, 95% of children under age </w:t>
      </w:r>
      <w:r w:rsidR="0036478F" w:rsidRPr="009A70C3">
        <w:t xml:space="preserve">six </w:t>
      </w:r>
      <w:r w:rsidR="00F97931">
        <w:t>have</w:t>
      </w:r>
      <w:r w:rsidR="004031A5" w:rsidRPr="009A70C3">
        <w:t xml:space="preserve"> been immuni</w:t>
      </w:r>
      <w:r w:rsidR="0036478F" w:rsidRPr="009A70C3">
        <w:t>s</w:t>
      </w:r>
      <w:r w:rsidR="004031A5" w:rsidRPr="009A70C3">
        <w:t xml:space="preserve">ed against measles, </w:t>
      </w:r>
      <w:r w:rsidR="0036478F" w:rsidRPr="009A70C3">
        <w:t xml:space="preserve">which is </w:t>
      </w:r>
      <w:r w:rsidR="004031A5" w:rsidRPr="009A70C3">
        <w:t>a leading cause of child mortality</w:t>
      </w:r>
      <w:r w:rsidR="004C3315" w:rsidRPr="009A70C3">
        <w:t xml:space="preserve">. </w:t>
      </w:r>
      <w:r w:rsidR="004031A5" w:rsidRPr="009A70C3">
        <w:t xml:space="preserve">A new vaccine introduced in 2008 for children less than </w:t>
      </w:r>
      <w:r w:rsidR="0036478F" w:rsidRPr="009A70C3">
        <w:t xml:space="preserve">one </w:t>
      </w:r>
      <w:r w:rsidR="004031A5" w:rsidRPr="009A70C3">
        <w:t>year of age address</w:t>
      </w:r>
      <w:r w:rsidR="00975464">
        <w:t>es</w:t>
      </w:r>
      <w:r w:rsidR="004031A5" w:rsidRPr="009A70C3">
        <w:t xml:space="preserve"> several life</w:t>
      </w:r>
      <w:r w:rsidR="0036478F" w:rsidRPr="009A70C3">
        <w:t>-</w:t>
      </w:r>
      <w:r w:rsidR="004031A5" w:rsidRPr="009A70C3">
        <w:t xml:space="preserve">threatening illnesses such as </w:t>
      </w:r>
      <w:r w:rsidR="0036478F" w:rsidRPr="009A70C3">
        <w:t>h</w:t>
      </w:r>
      <w:r w:rsidR="004031A5" w:rsidRPr="009A70C3">
        <w:t xml:space="preserve">epatitis B and </w:t>
      </w:r>
      <w:proofErr w:type="spellStart"/>
      <w:r w:rsidR="0036478F" w:rsidRPr="009A70C3">
        <w:t>h</w:t>
      </w:r>
      <w:r w:rsidR="004031A5" w:rsidRPr="009A70C3">
        <w:t>aemophilus</w:t>
      </w:r>
      <w:proofErr w:type="spellEnd"/>
      <w:r w:rsidR="004031A5" w:rsidRPr="009A70C3">
        <w:t xml:space="preserve"> influenza.</w:t>
      </w:r>
    </w:p>
    <w:p w:rsidR="00641FF2" w:rsidRDefault="00641FF2" w:rsidP="00FB1F37">
      <w:pPr>
        <w:pStyle w:val="Heading3"/>
      </w:pPr>
      <w:bookmarkStart w:id="27" w:name="_Toc246227777"/>
    </w:p>
    <w:p w:rsidR="00611D16" w:rsidRPr="009A70C3" w:rsidRDefault="00611D16" w:rsidP="00FB1F37">
      <w:pPr>
        <w:pStyle w:val="Heading3"/>
      </w:pPr>
      <w:r w:rsidRPr="009A70C3">
        <w:t>Maternal mortality</w:t>
      </w:r>
      <w:bookmarkEnd w:id="27"/>
    </w:p>
    <w:p w:rsidR="004031A5" w:rsidRPr="009A70C3" w:rsidRDefault="004031A5" w:rsidP="00611D16">
      <w:pPr>
        <w:pStyle w:val="BodyText"/>
      </w:pPr>
      <w:proofErr w:type="spellStart"/>
      <w:r w:rsidRPr="009A70C3">
        <w:t>GoK’s</w:t>
      </w:r>
      <w:proofErr w:type="spellEnd"/>
      <w:r w:rsidRPr="009A70C3">
        <w:t xml:space="preserve"> own MDG report suggests that </w:t>
      </w:r>
      <w:r w:rsidR="0036478F" w:rsidRPr="009A70C3">
        <w:t xml:space="preserve">maternal mortality rates </w:t>
      </w:r>
      <w:r w:rsidRPr="009A70C3">
        <w:t xml:space="preserve">have been on a slightly upward trend since the early 1990s. However, </w:t>
      </w:r>
      <w:r w:rsidR="00B936FE">
        <w:t xml:space="preserve">the report </w:t>
      </w:r>
      <w:r w:rsidRPr="009A70C3">
        <w:t>also notes that during the same period there was a 20% increase (from 70% to 90%) in the number of births attended by skilled birth attendants</w:t>
      </w:r>
      <w:r w:rsidR="00C71D12" w:rsidRPr="009A70C3">
        <w:t>.</w:t>
      </w:r>
      <w:r w:rsidRPr="009A70C3">
        <w:t xml:space="preserve"> </w:t>
      </w:r>
      <w:r w:rsidR="00C71D12" w:rsidRPr="009A70C3">
        <w:t xml:space="preserve">Reproductive </w:t>
      </w:r>
      <w:r w:rsidRPr="009A70C3">
        <w:t>health services and personnel are often underutilised, which is attributable to cultural, religious or personal beliefs</w:t>
      </w:r>
      <w:r w:rsidR="004C3315" w:rsidRPr="009A70C3">
        <w:t xml:space="preserve">. </w:t>
      </w:r>
      <w:r w:rsidRPr="009A70C3">
        <w:t>Many women still prefer traditional birth attendants, often without the presence of a trained health worker, partly due to the perceived invasiveness of contemporary medical procedures.</w:t>
      </w:r>
    </w:p>
    <w:p w:rsidR="00611D16" w:rsidRPr="009A70C3" w:rsidRDefault="004031A5" w:rsidP="00FB1F37">
      <w:pPr>
        <w:pStyle w:val="Heading3"/>
      </w:pPr>
      <w:bookmarkStart w:id="28" w:name="_Toc246227778"/>
      <w:r w:rsidRPr="009A70C3">
        <w:lastRenderedPageBreak/>
        <w:t xml:space="preserve">AIDS and </w:t>
      </w:r>
      <w:r w:rsidR="0009147A" w:rsidRPr="009A70C3">
        <w:t>tuberculosis</w:t>
      </w:r>
      <w:bookmarkEnd w:id="28"/>
    </w:p>
    <w:p w:rsidR="00F75477" w:rsidRDefault="004031A5" w:rsidP="00611D16">
      <w:pPr>
        <w:pStyle w:val="BodyText"/>
      </w:pPr>
      <w:r w:rsidRPr="009A70C3">
        <w:t>Kiribati has one of the highest HIV/AIDS prevalence rates in the Pacific</w:t>
      </w:r>
      <w:r w:rsidR="004C3315" w:rsidRPr="009A70C3">
        <w:t xml:space="preserve">. </w:t>
      </w:r>
      <w:r w:rsidRPr="009A70C3">
        <w:t>As of February 2008</w:t>
      </w:r>
      <w:r w:rsidR="0009147A" w:rsidRPr="009A70C3">
        <w:t>,</w:t>
      </w:r>
      <w:r w:rsidRPr="009A70C3">
        <w:t xml:space="preserve"> there were 50 reported HIV cases, including </w:t>
      </w:r>
      <w:r w:rsidR="0009147A" w:rsidRPr="009A70C3">
        <w:t xml:space="preserve">six </w:t>
      </w:r>
      <w:r w:rsidRPr="009A70C3">
        <w:t>cases of mother</w:t>
      </w:r>
      <w:r w:rsidR="0009147A" w:rsidRPr="009A70C3">
        <w:t>-</w:t>
      </w:r>
      <w:r w:rsidRPr="009A70C3">
        <w:t>to</w:t>
      </w:r>
      <w:r w:rsidR="0009147A" w:rsidRPr="009A70C3">
        <w:t>-</w:t>
      </w:r>
      <w:r w:rsidRPr="009A70C3">
        <w:t>child HIV transmission</w:t>
      </w:r>
      <w:r w:rsidR="004C3315" w:rsidRPr="009A70C3">
        <w:t xml:space="preserve">. </w:t>
      </w:r>
      <w:r w:rsidRPr="009A70C3">
        <w:t xml:space="preserve">Of </w:t>
      </w:r>
      <w:r w:rsidR="0009147A" w:rsidRPr="009A70C3">
        <w:t xml:space="preserve">those </w:t>
      </w:r>
      <w:r w:rsidRPr="009A70C3">
        <w:t xml:space="preserve">50 cases, 24 </w:t>
      </w:r>
      <w:r w:rsidR="00F97931">
        <w:t xml:space="preserve">resulted in </w:t>
      </w:r>
      <w:r w:rsidRPr="009A70C3">
        <w:t>deaths due to AID</w:t>
      </w:r>
      <w:r w:rsidR="0009147A" w:rsidRPr="009A70C3">
        <w:t>S-</w:t>
      </w:r>
      <w:r w:rsidRPr="009A70C3">
        <w:t xml:space="preserve">related illnesses, </w:t>
      </w:r>
      <w:r w:rsidR="0009147A" w:rsidRPr="009A70C3">
        <w:t xml:space="preserve">five were </w:t>
      </w:r>
      <w:r w:rsidR="00F97931">
        <w:t xml:space="preserve">being treated with </w:t>
      </w:r>
      <w:r w:rsidRPr="009A70C3">
        <w:t xml:space="preserve">antiretroviral </w:t>
      </w:r>
      <w:r w:rsidR="00F97931">
        <w:t xml:space="preserve">medications, </w:t>
      </w:r>
      <w:r w:rsidRPr="009A70C3">
        <w:t xml:space="preserve">and the remaining 21 were not </w:t>
      </w:r>
      <w:r w:rsidR="00F97931">
        <w:t xml:space="preserve">able to be </w:t>
      </w:r>
      <w:r w:rsidRPr="009A70C3">
        <w:t>traced</w:t>
      </w:r>
      <w:r w:rsidR="004C3315" w:rsidRPr="009A70C3">
        <w:t xml:space="preserve">. </w:t>
      </w:r>
      <w:r w:rsidRPr="009A70C3">
        <w:t xml:space="preserve">Low rates of condom use and increasing prevalence of </w:t>
      </w:r>
      <w:r w:rsidR="0009147A" w:rsidRPr="009A70C3">
        <w:t xml:space="preserve">sexually transmitted infections </w:t>
      </w:r>
      <w:r w:rsidRPr="009A70C3">
        <w:t>suggest that the HIV rate is probably still increasing</w:t>
      </w:r>
      <w:r w:rsidR="004C3315" w:rsidRPr="009A70C3">
        <w:t xml:space="preserve">. </w:t>
      </w:r>
      <w:r w:rsidRPr="009A70C3">
        <w:t xml:space="preserve">Mandatory screening </w:t>
      </w:r>
      <w:r w:rsidR="00975464">
        <w:t xml:space="preserve">of </w:t>
      </w:r>
      <w:r w:rsidRPr="009A70C3">
        <w:t xml:space="preserve">merchant sailors on departure </w:t>
      </w:r>
      <w:r w:rsidR="00975464">
        <w:t xml:space="preserve">from </w:t>
      </w:r>
      <w:r w:rsidRPr="009A70C3">
        <w:t xml:space="preserve">and return to Kiribati appears to be </w:t>
      </w:r>
      <w:r w:rsidR="00493041" w:rsidRPr="009A70C3">
        <w:t xml:space="preserve">increasing </w:t>
      </w:r>
      <w:r w:rsidRPr="009A70C3">
        <w:t xml:space="preserve">the number of cases identified and reported </w:t>
      </w:r>
      <w:r w:rsidR="00F75477">
        <w:t xml:space="preserve">in </w:t>
      </w:r>
      <w:r w:rsidRPr="009A70C3">
        <w:t xml:space="preserve">this group. </w:t>
      </w:r>
    </w:p>
    <w:p w:rsidR="004031A5" w:rsidRPr="009A70C3" w:rsidRDefault="004031A5" w:rsidP="00611D16">
      <w:pPr>
        <w:pStyle w:val="BodyText"/>
      </w:pPr>
      <w:r w:rsidRPr="009A70C3">
        <w:t xml:space="preserve">Conversely, progress </w:t>
      </w:r>
      <w:r w:rsidR="001314F3" w:rsidRPr="009A70C3">
        <w:t xml:space="preserve">is being made </w:t>
      </w:r>
      <w:r w:rsidRPr="009A70C3">
        <w:t>against TB</w:t>
      </w:r>
      <w:r w:rsidR="001314F3" w:rsidRPr="009A70C3">
        <w:t>,</w:t>
      </w:r>
      <w:r w:rsidRPr="009A70C3">
        <w:t xml:space="preserve"> with only 337 cases reported in 2008 (down from 745 in 2007)</w:t>
      </w:r>
      <w:r w:rsidR="001314F3" w:rsidRPr="009A70C3">
        <w:t xml:space="preserve">. </w:t>
      </w:r>
      <w:r w:rsidRPr="009A70C3">
        <w:t xml:space="preserve">Contributing factors include the success of the joint </w:t>
      </w:r>
      <w:proofErr w:type="spellStart"/>
      <w:r w:rsidRPr="009A70C3">
        <w:t>GoK</w:t>
      </w:r>
      <w:proofErr w:type="spellEnd"/>
      <w:r w:rsidRPr="009A70C3">
        <w:t xml:space="preserve"> and donor TB program in South Tarawa, where 70% of TB cases are located, and improved detection and treatment processes through contact tracing</w:t>
      </w:r>
      <w:r w:rsidR="004C3315" w:rsidRPr="009A70C3">
        <w:t xml:space="preserve">. </w:t>
      </w:r>
      <w:r w:rsidRPr="009A70C3">
        <w:t>However, there are high</w:t>
      </w:r>
      <w:r w:rsidR="001314F3" w:rsidRPr="009A70C3">
        <w:t>-</w:t>
      </w:r>
      <w:r w:rsidRPr="009A70C3">
        <w:t>burden area</w:t>
      </w:r>
      <w:r w:rsidR="001314F3" w:rsidRPr="009A70C3">
        <w:t>s that are yet to be addressed.</w:t>
      </w:r>
    </w:p>
    <w:p w:rsidR="00611D16" w:rsidRPr="009A70C3" w:rsidRDefault="00611D16" w:rsidP="00FB1F37">
      <w:pPr>
        <w:pStyle w:val="Heading3"/>
      </w:pPr>
      <w:bookmarkStart w:id="29" w:name="_Toc246227779"/>
      <w:r w:rsidRPr="009A70C3">
        <w:t>Environmental sustainability</w:t>
      </w:r>
      <w:bookmarkEnd w:id="29"/>
    </w:p>
    <w:p w:rsidR="004031A5" w:rsidRPr="009A70C3" w:rsidRDefault="004031A5" w:rsidP="00611D16">
      <w:pPr>
        <w:pStyle w:val="BodyText"/>
      </w:pPr>
      <w:r w:rsidRPr="009A70C3">
        <w:t>Kiribati</w:t>
      </w:r>
      <w:r w:rsidR="00F75477">
        <w:t>’s</w:t>
      </w:r>
      <w:r w:rsidRPr="009A70C3">
        <w:t xml:space="preserve"> carbon emissions </w:t>
      </w:r>
      <w:r w:rsidR="00F75477">
        <w:t xml:space="preserve">decreased </w:t>
      </w:r>
      <w:r w:rsidRPr="009A70C3">
        <w:t xml:space="preserve">between 1990 and 2000, and </w:t>
      </w:r>
      <w:r w:rsidR="00F75477">
        <w:t xml:space="preserve">its </w:t>
      </w:r>
      <w:r w:rsidRPr="009A70C3">
        <w:t>c</w:t>
      </w:r>
      <w:r w:rsidRPr="009A70C3">
        <w:rPr>
          <w:szCs w:val="20"/>
        </w:rPr>
        <w:t>hlorofluorocarbons</w:t>
      </w:r>
      <w:r w:rsidR="001314F3" w:rsidRPr="009A70C3">
        <w:rPr>
          <w:szCs w:val="20"/>
        </w:rPr>
        <w:t xml:space="preserve"> (CFCs</w:t>
      </w:r>
      <w:r w:rsidRPr="009A70C3">
        <w:rPr>
          <w:szCs w:val="20"/>
        </w:rPr>
        <w:t>)</w:t>
      </w:r>
      <w:r w:rsidRPr="009A70C3">
        <w:t xml:space="preserve"> consumption </w:t>
      </w:r>
      <w:r w:rsidR="00F75477">
        <w:t xml:space="preserve">reduced </w:t>
      </w:r>
      <w:r w:rsidRPr="009A70C3">
        <w:t xml:space="preserve">to zero. </w:t>
      </w:r>
      <w:r w:rsidR="001314F3" w:rsidRPr="009A70C3">
        <w:t>However, p</w:t>
      </w:r>
      <w:r w:rsidRPr="009A70C3">
        <w:t>erformance against water and sanitation targets has been poor</w:t>
      </w:r>
      <w:r w:rsidR="004C3315" w:rsidRPr="009A70C3">
        <w:t xml:space="preserve">. </w:t>
      </w:r>
      <w:r w:rsidRPr="009A70C3">
        <w:t xml:space="preserve">According to the </w:t>
      </w:r>
      <w:proofErr w:type="spellStart"/>
      <w:r w:rsidRPr="009A70C3">
        <w:t>GoK</w:t>
      </w:r>
      <w:proofErr w:type="spellEnd"/>
      <w:r w:rsidRPr="009A70C3">
        <w:t xml:space="preserve"> MDG report, sustainable access to improved drinking water sources has increased from 35% in 1990 to 49% in 2000, </w:t>
      </w:r>
      <w:r w:rsidR="00382D95" w:rsidRPr="009A70C3">
        <w:t>but the level of access</w:t>
      </w:r>
      <w:r w:rsidRPr="009A70C3">
        <w:t xml:space="preserve"> remains one of the lowest in the Pacific region</w:t>
      </w:r>
      <w:r w:rsidR="004C3315" w:rsidRPr="009A70C3">
        <w:t xml:space="preserve">. </w:t>
      </w:r>
      <w:r w:rsidRPr="009A70C3">
        <w:t xml:space="preserve">Only 22% of the rural population and 59% of </w:t>
      </w:r>
      <w:r w:rsidR="00382D95" w:rsidRPr="009A70C3">
        <w:t xml:space="preserve">the </w:t>
      </w:r>
      <w:r w:rsidRPr="009A70C3">
        <w:t>urban population have access to improved sanitation facilities</w:t>
      </w:r>
      <w:r w:rsidR="00382D95" w:rsidRPr="009A70C3">
        <w:t>.</w:t>
      </w:r>
      <w:r w:rsidRPr="009A70C3">
        <w:t xml:space="preserve"> </w:t>
      </w:r>
      <w:r w:rsidR="00382D95" w:rsidRPr="009A70C3">
        <w:t xml:space="preserve">Because of the implications for community health, this is </w:t>
      </w:r>
      <w:r w:rsidRPr="009A70C3">
        <w:t>a major concern.</w:t>
      </w:r>
    </w:p>
    <w:p w:rsidR="004031A5" w:rsidRPr="009A70C3" w:rsidRDefault="00377049">
      <w:pPr>
        <w:pStyle w:val="Heading1unnumbered"/>
        <w:rPr>
          <w:noProof/>
        </w:rPr>
      </w:pPr>
      <w:r>
        <w:rPr>
          <w:noProof/>
          <w:lang w:val="en-US" w:eastAsia="en-US"/>
        </w:rPr>
        <w:lastRenderedPageBreak/>
        <w:drawing>
          <wp:anchor distT="0" distB="0" distL="114300" distR="114300" simplePos="0" relativeHeight="251660288" behindDoc="1" locked="0" layoutInCell="1" allowOverlap="1" wp14:anchorId="0634D508" wp14:editId="33DD4C7A">
            <wp:simplePos x="0" y="0"/>
            <wp:positionH relativeFrom="page">
              <wp:posOffset>0</wp:posOffset>
            </wp:positionH>
            <wp:positionV relativeFrom="page">
              <wp:posOffset>1386205</wp:posOffset>
            </wp:positionV>
            <wp:extent cx="7560310" cy="1585595"/>
            <wp:effectExtent l="0" t="0" r="2540" b="0"/>
            <wp:wrapNone/>
            <wp:docPr id="9" name="Picture 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 w:name="_Toc246227780"/>
      <w:r w:rsidR="004031A5" w:rsidRPr="009A70C3">
        <w:t>What are the results of our aid program?</w:t>
      </w:r>
      <w:bookmarkEnd w:id="30"/>
      <w:r w:rsidR="004031A5" w:rsidRPr="009A70C3">
        <w:br/>
      </w:r>
    </w:p>
    <w:p w:rsidR="00D12C59" w:rsidRPr="009A70C3" w:rsidRDefault="00082434" w:rsidP="00082434">
      <w:pPr>
        <w:pStyle w:val="Heading2unnumbered"/>
      </w:pPr>
      <w:bookmarkStart w:id="31" w:name="_Toc246227781"/>
      <w:r w:rsidRPr="009A70C3">
        <w:t xml:space="preserve">Objective 1: </w:t>
      </w:r>
      <w:r w:rsidR="00D12C59" w:rsidRPr="009A70C3">
        <w:t>Education</w:t>
      </w:r>
      <w:bookmarkEnd w:id="31"/>
    </w:p>
    <w:p w:rsidR="004031A5" w:rsidRPr="009A70C3" w:rsidRDefault="00082434" w:rsidP="00D12C59">
      <w:pPr>
        <w:pStyle w:val="ListBullet"/>
      </w:pPr>
      <w:r w:rsidRPr="009A70C3">
        <w:t>Improved quality, relevance and efficiency of basic education for girls and boys in Kiribati</w:t>
      </w:r>
      <w:r w:rsidR="00747FFD" w:rsidRPr="009A70C3">
        <w:t>.</w:t>
      </w:r>
    </w:p>
    <w:p w:rsidR="00AD18FE" w:rsidRPr="009A70C3" w:rsidRDefault="00AD18FE" w:rsidP="00AD18FE">
      <w:pPr>
        <w:pStyle w:val="Heading3"/>
      </w:pPr>
      <w:bookmarkStart w:id="32" w:name="_Toc246227782"/>
      <w:r w:rsidRPr="009A70C3">
        <w:t>Rating</w:t>
      </w:r>
      <w:bookmarkEnd w:id="32"/>
    </w:p>
    <w:p w:rsidR="004031A5" w:rsidRPr="009A70C3" w:rsidRDefault="00CF4554" w:rsidP="0021796E">
      <w:pPr>
        <w:pStyle w:val="BodyText"/>
        <w:tabs>
          <w:tab w:val="left" w:pos="567"/>
        </w:tabs>
        <w:rPr>
          <w:rFonts w:cs="Arial"/>
        </w:rPr>
      </w:pPr>
      <w:r>
        <w:rPr>
          <w:noProof/>
          <w:lang w:val="en-US" w:eastAsia="en-US"/>
        </w:rPr>
        <mc:AlternateContent>
          <mc:Choice Requires="wps">
            <w:drawing>
              <wp:inline distT="0" distB="0" distL="0" distR="0" wp14:anchorId="4BCBC37B" wp14:editId="63171362">
                <wp:extent cx="150125" cy="163774"/>
                <wp:effectExtent l="0" t="0" r="2540" b="8255"/>
                <wp:docPr id="1" name="Rectangle 1" descr="Amber"/>
                <wp:cNvGraphicFramePr/>
                <a:graphic xmlns:a="http://schemas.openxmlformats.org/drawingml/2006/main">
                  <a:graphicData uri="http://schemas.microsoft.com/office/word/2010/wordprocessingShape">
                    <wps:wsp>
                      <wps:cNvSpPr/>
                      <wps:spPr>
                        <a:xfrm>
                          <a:off x="0" y="0"/>
                          <a:ext cx="150125" cy="16377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8ABB0F6" id="Rectangle 1" o:spid="_x0000_s1026" alt="Amber" style="width:11.8pt;height: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" fillcolor="#f79646 [3209]" stroked="f" strokeweight="2pt">
                <w10:wrap anchorx="page"/>
                <w10:anchorlock/>
              </v:rect>
            </w:pict>
          </mc:Fallback>
        </mc:AlternateContent>
      </w:r>
      <w:r w:rsidR="00CD35ED" w:rsidRPr="009A70C3">
        <w:rPr>
          <w:rFonts w:ascii="Wingdings" w:hAnsi="Wingdings"/>
          <w:color w:val="FF8A3B"/>
          <w:sz w:val="32"/>
          <w:szCs w:val="32"/>
        </w:rPr>
        <w:tab/>
      </w:r>
      <w:r w:rsidR="00A84BBB" w:rsidRPr="009A70C3">
        <w:rPr>
          <w:rFonts w:cs="Arial"/>
        </w:rPr>
        <w:t>The objective will be partly achieved within the timeframe (to June 2009).</w:t>
      </w:r>
    </w:p>
    <w:p w:rsidR="00665711" w:rsidRPr="009A70C3" w:rsidRDefault="00665711" w:rsidP="00665711">
      <w:pPr>
        <w:pStyle w:val="Heading3"/>
      </w:pPr>
      <w:bookmarkStart w:id="33" w:name="_Toc246227783"/>
      <w:r w:rsidRPr="009A70C3">
        <w:t>Estimated expenditure</w:t>
      </w:r>
      <w:bookmarkEnd w:id="33"/>
    </w:p>
    <w:p w:rsidR="00665711" w:rsidRPr="009A70C3" w:rsidRDefault="00665711" w:rsidP="00665711">
      <w:pPr>
        <w:pStyle w:val="BodyText"/>
      </w:pPr>
      <w:r w:rsidRPr="009A70C3">
        <w:t xml:space="preserve">Approximately 12.7% of </w:t>
      </w:r>
      <w:r w:rsidR="00DA580F">
        <w:t xml:space="preserve">the </w:t>
      </w:r>
      <w:r w:rsidRPr="009A70C3">
        <w:t xml:space="preserve">2008–09 bilateral allocation was </w:t>
      </w:r>
      <w:r w:rsidR="00DA580F">
        <w:t>committed to initiatives related to this objective</w:t>
      </w:r>
      <w:r w:rsidRPr="009A70C3">
        <w:t>.</w:t>
      </w:r>
    </w:p>
    <w:p w:rsidR="00AD18FE" w:rsidRPr="009A70C3" w:rsidRDefault="00AD18FE" w:rsidP="00AD18FE">
      <w:pPr>
        <w:pStyle w:val="Heading3"/>
      </w:pPr>
      <w:bookmarkStart w:id="34" w:name="_Toc246227784"/>
      <w:r w:rsidRPr="009A70C3">
        <w:t>Assessment of results and performance</w:t>
      </w:r>
      <w:bookmarkEnd w:id="34"/>
    </w:p>
    <w:p w:rsidR="00AD18FE" w:rsidRPr="009A70C3" w:rsidRDefault="00AD18FE" w:rsidP="00AD18FE">
      <w:pPr>
        <w:pStyle w:val="BodyText"/>
      </w:pPr>
      <w:r w:rsidRPr="009A70C3">
        <w:t xml:space="preserve">Performance against this objective was mixed during the reporting period. While there has been good progress on </w:t>
      </w:r>
      <w:r w:rsidR="00DA580F">
        <w:t xml:space="preserve">some </w:t>
      </w:r>
      <w:r w:rsidRPr="009A70C3">
        <w:t xml:space="preserve">individual activities, progress </w:t>
      </w:r>
      <w:r w:rsidR="00DA580F">
        <w:t xml:space="preserve">in </w:t>
      </w:r>
      <w:r w:rsidRPr="009A70C3">
        <w:t>establishing program</w:t>
      </w:r>
      <w:r w:rsidR="00747FFD" w:rsidRPr="009A70C3">
        <w:t>-</w:t>
      </w:r>
      <w:r w:rsidRPr="009A70C3">
        <w:t>based assistance in the sector</w:t>
      </w:r>
      <w:r w:rsidR="00DA580F">
        <w:t xml:space="preserve"> has been slower than expected</w:t>
      </w:r>
      <w:r w:rsidRPr="009A70C3">
        <w:t xml:space="preserve">. </w:t>
      </w:r>
      <w:proofErr w:type="spellStart"/>
      <w:r w:rsidRPr="009A70C3">
        <w:t>GoK</w:t>
      </w:r>
      <w:proofErr w:type="spellEnd"/>
      <w:r w:rsidRPr="009A70C3">
        <w:t xml:space="preserve"> is still struggling with limited capacity and poorly coordinated donor assistance (including fragmentation within </w:t>
      </w:r>
      <w:proofErr w:type="spellStart"/>
      <w:r w:rsidR="00C71D79" w:rsidRPr="009A70C3">
        <w:t>AusAID’s</w:t>
      </w:r>
      <w:proofErr w:type="spellEnd"/>
      <w:r w:rsidR="00C71D79" w:rsidRPr="009A70C3">
        <w:t xml:space="preserve"> </w:t>
      </w:r>
      <w:r w:rsidRPr="009A70C3">
        <w:t xml:space="preserve">own program), which makes the move to directly supporting </w:t>
      </w:r>
      <w:proofErr w:type="spellStart"/>
      <w:r w:rsidRPr="009A70C3">
        <w:t>GoK’s</w:t>
      </w:r>
      <w:proofErr w:type="spellEnd"/>
      <w:r w:rsidRPr="009A70C3">
        <w:t xml:space="preserve"> own strategies, plans and programs critical</w:t>
      </w:r>
      <w:r w:rsidR="004C3315" w:rsidRPr="009A70C3">
        <w:t xml:space="preserve">. </w:t>
      </w:r>
      <w:r w:rsidRPr="009A70C3">
        <w:t>As the major donor to the sector, Australia accepts some of the responsibility for this slow progress, with delays caused by lengthy decision</w:t>
      </w:r>
      <w:r w:rsidR="00892A5D" w:rsidRPr="009A70C3">
        <w:t>-</w:t>
      </w:r>
      <w:r w:rsidRPr="009A70C3">
        <w:t xml:space="preserve">making processes identified as one area of weakness. On a positive note, joint donor efforts to support </w:t>
      </w:r>
      <w:proofErr w:type="spellStart"/>
      <w:r w:rsidRPr="009A70C3">
        <w:t>GoK</w:t>
      </w:r>
      <w:proofErr w:type="spellEnd"/>
      <w:r w:rsidRPr="009A70C3">
        <w:t xml:space="preserve"> sector leadership were show</w:t>
      </w:r>
      <w:r w:rsidR="00DA580F">
        <w:t>ing</w:t>
      </w:r>
      <w:r w:rsidRPr="009A70C3">
        <w:t xml:space="preserve"> good signs of progress towards the end of the reporting period and progress </w:t>
      </w:r>
      <w:r w:rsidR="00892A5D" w:rsidRPr="009A70C3">
        <w:t>over the next reporting period</w:t>
      </w:r>
      <w:r w:rsidR="00E26DD3">
        <w:t xml:space="preserve"> is expected to improve</w:t>
      </w:r>
      <w:r w:rsidR="00892A5D" w:rsidRPr="009A70C3">
        <w:t>.</w:t>
      </w:r>
    </w:p>
    <w:p w:rsidR="00AD18FE" w:rsidRPr="009A70C3" w:rsidRDefault="00AD18FE" w:rsidP="00AD18FE">
      <w:pPr>
        <w:pStyle w:val="BodyText"/>
        <w:rPr>
          <w:b/>
        </w:rPr>
      </w:pPr>
      <w:r w:rsidRPr="009A70C3">
        <w:t xml:space="preserve">Australia’s assistance to the </w:t>
      </w:r>
      <w:r w:rsidR="00892A5D" w:rsidRPr="009A70C3">
        <w:t>e</w:t>
      </w:r>
      <w:r w:rsidRPr="009A70C3">
        <w:t xml:space="preserve">ducation sector is aligned </w:t>
      </w:r>
      <w:r w:rsidR="00892A5D" w:rsidRPr="009A70C3">
        <w:t xml:space="preserve">with </w:t>
      </w:r>
      <w:r w:rsidR="001F2EF3">
        <w:t xml:space="preserve">the goals of </w:t>
      </w:r>
      <w:r w:rsidRPr="009A70C3">
        <w:t>MOE</w:t>
      </w:r>
      <w:r w:rsidR="00892A5D" w:rsidRPr="009A70C3">
        <w:t>’</w:t>
      </w:r>
      <w:r w:rsidRPr="009A70C3">
        <w:t>s Education Sector Strategic Plan</w:t>
      </w:r>
      <w:r w:rsidR="004C3315" w:rsidRPr="009A70C3">
        <w:t xml:space="preserve">. </w:t>
      </w:r>
      <w:r w:rsidRPr="009A70C3">
        <w:t>Assistance to this sector is in an interim phase pending implementation of a new long</w:t>
      </w:r>
      <w:r w:rsidR="00892A5D" w:rsidRPr="009A70C3">
        <w:t>-</w:t>
      </w:r>
      <w:r w:rsidRPr="009A70C3">
        <w:t xml:space="preserve">term, multi-donor strategic </w:t>
      </w:r>
      <w:r w:rsidR="00892A5D" w:rsidRPr="009A70C3">
        <w:t xml:space="preserve">support </w:t>
      </w:r>
      <w:r w:rsidRPr="009A70C3">
        <w:t>program in 2010.</w:t>
      </w:r>
      <w:r w:rsidR="00892A5D" w:rsidRPr="009A70C3">
        <w:t xml:space="preserve"> </w:t>
      </w:r>
      <w:r w:rsidRPr="009A70C3">
        <w:t xml:space="preserve">Future APPRs will report against Partnership </w:t>
      </w:r>
      <w:r w:rsidR="001B53D0">
        <w:t xml:space="preserve">for Development </w:t>
      </w:r>
      <w:r w:rsidRPr="009A70C3">
        <w:t xml:space="preserve">Priority Outcome 1 </w:t>
      </w:r>
      <w:r w:rsidR="00892A5D" w:rsidRPr="009A70C3">
        <w:t xml:space="preserve">– </w:t>
      </w:r>
      <w:r w:rsidRPr="009A70C3">
        <w:t>Improved Basic Education</w:t>
      </w:r>
      <w:r w:rsidR="00FD7DC1">
        <w:t xml:space="preserve"> (an agreed priority outcome of the partnership)</w:t>
      </w:r>
      <w:r w:rsidRPr="009A70C3">
        <w:rPr>
          <w:i/>
        </w:rPr>
        <w:t>.</w:t>
      </w:r>
      <w:r w:rsidRPr="009A70C3">
        <w:t xml:space="preserve"> </w:t>
      </w:r>
      <w:r w:rsidR="00892A5D" w:rsidRPr="009A70C3">
        <w:t>A</w:t>
      </w:r>
      <w:r w:rsidRPr="009A70C3">
        <w:t xml:space="preserve">chievements against the current objective </w:t>
      </w:r>
      <w:r w:rsidR="00892A5D" w:rsidRPr="009A70C3">
        <w:t>in 2008 are set out below.</w:t>
      </w:r>
    </w:p>
    <w:p w:rsidR="00673548" w:rsidRDefault="00673548" w:rsidP="00673548">
      <w:pPr>
        <w:pStyle w:val="Heading4"/>
      </w:pPr>
    </w:p>
    <w:p w:rsidR="00673548" w:rsidRPr="00673548" w:rsidRDefault="00673548" w:rsidP="00673548">
      <w:pPr>
        <w:pStyle w:val="BodyText"/>
      </w:pPr>
    </w:p>
    <w:p w:rsidR="00892A5D" w:rsidRPr="009A70C3" w:rsidRDefault="00AD18FE" w:rsidP="00673548">
      <w:pPr>
        <w:pStyle w:val="Heading4"/>
      </w:pPr>
      <w:r w:rsidRPr="009A70C3">
        <w:lastRenderedPageBreak/>
        <w:t>Supporting the establishment of the Facilities M</w:t>
      </w:r>
      <w:r w:rsidR="00892A5D" w:rsidRPr="009A70C3">
        <w:t xml:space="preserve">anagement Unit </w:t>
      </w:r>
    </w:p>
    <w:p w:rsidR="00AD18FE" w:rsidRPr="009A70C3" w:rsidRDefault="00FD7DC1" w:rsidP="00892A5D">
      <w:pPr>
        <w:pStyle w:val="BodyText"/>
      </w:pPr>
      <w:r w:rsidRPr="009A70C3">
        <w:t xml:space="preserve">A </w:t>
      </w:r>
      <w:r w:rsidR="00AD18FE" w:rsidRPr="009A70C3">
        <w:t xml:space="preserve">contracted facilities management specialist assisted </w:t>
      </w:r>
      <w:r w:rsidR="0038475E">
        <w:t xml:space="preserve">the </w:t>
      </w:r>
      <w:r w:rsidR="00C07B73">
        <w:t>Facilities Management Unit (</w:t>
      </w:r>
      <w:r w:rsidR="0038475E">
        <w:t>FMU</w:t>
      </w:r>
      <w:r w:rsidR="00C07B73">
        <w:t>)</w:t>
      </w:r>
      <w:r w:rsidR="0038475E">
        <w:t xml:space="preserve"> </w:t>
      </w:r>
      <w:r w:rsidR="00AD18FE" w:rsidRPr="009A70C3">
        <w:t xml:space="preserve">in </w:t>
      </w:r>
      <w:r w:rsidR="0038475E">
        <w:t xml:space="preserve">developing </w:t>
      </w:r>
      <w:r w:rsidR="00AD18FE" w:rsidRPr="009A70C3">
        <w:t xml:space="preserve">National Infrastructure Standards </w:t>
      </w:r>
      <w:r w:rsidR="0038475E">
        <w:t xml:space="preserve">for approval </w:t>
      </w:r>
      <w:r w:rsidR="00AD18FE" w:rsidRPr="009A70C3">
        <w:t>by Cabinet</w:t>
      </w:r>
      <w:r w:rsidR="00E85546" w:rsidRPr="009A70C3">
        <w:t>,</w:t>
      </w:r>
      <w:r w:rsidR="00AD18FE" w:rsidRPr="009A70C3">
        <w:t xml:space="preserve"> and ‘on the job’ training </w:t>
      </w:r>
      <w:r w:rsidR="0038475E">
        <w:t xml:space="preserve">was provided for staff of </w:t>
      </w:r>
      <w:r w:rsidR="00AD18FE" w:rsidRPr="009A70C3">
        <w:t xml:space="preserve">the newly established </w:t>
      </w:r>
      <w:r w:rsidR="00BA38F1" w:rsidRPr="009A70C3">
        <w:t>FMU</w:t>
      </w:r>
      <w:r w:rsidR="004C3315" w:rsidRPr="009A70C3">
        <w:t xml:space="preserve">. </w:t>
      </w:r>
      <w:r w:rsidR="00AD18FE" w:rsidRPr="009A70C3">
        <w:t>The Facilities Management Plan</w:t>
      </w:r>
      <w:r w:rsidR="00E26DD3">
        <w:t>,</w:t>
      </w:r>
      <w:r w:rsidR="00AD18FE" w:rsidRPr="009A70C3">
        <w:t xml:space="preserve"> now drafted and at costing stage, </w:t>
      </w:r>
      <w:r>
        <w:t xml:space="preserve">will </w:t>
      </w:r>
      <w:r w:rsidR="00CD13CE">
        <w:t xml:space="preserve">result in </w:t>
      </w:r>
      <w:r w:rsidR="0038475E">
        <w:t>improve</w:t>
      </w:r>
      <w:r w:rsidR="00CD13CE">
        <w:t xml:space="preserve">ments to </w:t>
      </w:r>
      <w:r>
        <w:t xml:space="preserve">infrastructure and equipment </w:t>
      </w:r>
      <w:r w:rsidR="0038475E">
        <w:t xml:space="preserve">and </w:t>
      </w:r>
      <w:r>
        <w:t>water and sanitation facilities</w:t>
      </w:r>
      <w:r w:rsidR="0038475E">
        <w:t>,</w:t>
      </w:r>
      <w:r>
        <w:t xml:space="preserve"> </w:t>
      </w:r>
      <w:r w:rsidR="00C07B73">
        <w:t>providing</w:t>
      </w:r>
      <w:r w:rsidR="00CD13CE">
        <w:t xml:space="preserve"> </w:t>
      </w:r>
      <w:r w:rsidR="00AD18FE" w:rsidRPr="009A70C3">
        <w:t xml:space="preserve">a </w:t>
      </w:r>
      <w:r>
        <w:t xml:space="preserve">better </w:t>
      </w:r>
      <w:r w:rsidR="00AD18FE" w:rsidRPr="009A70C3">
        <w:t>learning environment in Kiribati primary schools.</w:t>
      </w:r>
    </w:p>
    <w:p w:rsidR="00892A5D" w:rsidRPr="009A70C3" w:rsidRDefault="00AD18FE" w:rsidP="00892A5D">
      <w:pPr>
        <w:pStyle w:val="Heading4"/>
      </w:pPr>
      <w:r w:rsidRPr="009A70C3">
        <w:t xml:space="preserve">Progressing the Curriculum Assessment and Improvement </w:t>
      </w:r>
      <w:r w:rsidR="00E85546" w:rsidRPr="009A70C3">
        <w:t>Strategy</w:t>
      </w:r>
    </w:p>
    <w:p w:rsidR="00AD18FE" w:rsidRPr="009A70C3" w:rsidRDefault="00C07B73" w:rsidP="00892A5D">
      <w:pPr>
        <w:pStyle w:val="BodyText"/>
      </w:pPr>
      <w:r w:rsidRPr="009A70C3">
        <w:t xml:space="preserve">Language </w:t>
      </w:r>
      <w:r w:rsidR="00AD18FE" w:rsidRPr="009A70C3">
        <w:t>specialists ha</w:t>
      </w:r>
      <w:r>
        <w:t>ve</w:t>
      </w:r>
      <w:r w:rsidR="00AD18FE" w:rsidRPr="009A70C3">
        <w:t xml:space="preserve"> improved key policymakers</w:t>
      </w:r>
      <w:r w:rsidR="00E85546" w:rsidRPr="009A70C3">
        <w:t>’ understanding</w:t>
      </w:r>
      <w:r w:rsidR="00AD18FE" w:rsidRPr="009A70C3">
        <w:t xml:space="preserve"> of current research and developments in bilingual education. This increased recognition has led to the development of Kiribati’s first Language of Instruction Policy, currently awaiting approval by Cabinet. Th</w:t>
      </w:r>
      <w:r w:rsidR="00E85546" w:rsidRPr="009A70C3">
        <w:t>e</w:t>
      </w:r>
      <w:r w:rsidR="00AD18FE" w:rsidRPr="009A70C3">
        <w:t xml:space="preserve"> policy </w:t>
      </w:r>
      <w:r w:rsidR="0038475E">
        <w:t xml:space="preserve">is </w:t>
      </w:r>
      <w:r w:rsidR="00AD18FE" w:rsidRPr="009A70C3">
        <w:t>an important component of the C</w:t>
      </w:r>
      <w:r w:rsidR="00E85546" w:rsidRPr="009A70C3">
        <w:t xml:space="preserve">urriculum </w:t>
      </w:r>
      <w:r w:rsidR="00AD18FE" w:rsidRPr="009A70C3">
        <w:t>A</w:t>
      </w:r>
      <w:r w:rsidR="00E85546" w:rsidRPr="009A70C3">
        <w:t xml:space="preserve">ssessment and </w:t>
      </w:r>
      <w:r w:rsidR="00AD18FE" w:rsidRPr="009A70C3">
        <w:t>I</w:t>
      </w:r>
      <w:r w:rsidR="00E85546" w:rsidRPr="009A70C3">
        <w:t xml:space="preserve">mprovement </w:t>
      </w:r>
      <w:r w:rsidR="00AD18FE" w:rsidRPr="009A70C3">
        <w:t>S</w:t>
      </w:r>
      <w:r w:rsidR="00E85546" w:rsidRPr="009A70C3">
        <w:t>trategy</w:t>
      </w:r>
      <w:r w:rsidR="00AD18FE" w:rsidRPr="009A70C3">
        <w:t>, which is now driving reforms to deliver a better quality and more relevant school curriculum for Kiribati children.</w:t>
      </w:r>
    </w:p>
    <w:p w:rsidR="00892A5D" w:rsidRPr="009A70C3" w:rsidRDefault="00AD18FE" w:rsidP="00892A5D">
      <w:pPr>
        <w:pStyle w:val="Heading4"/>
      </w:pPr>
      <w:r w:rsidRPr="009A70C3">
        <w:t>Strengthening M</w:t>
      </w:r>
      <w:r w:rsidR="009B2DAD" w:rsidRPr="009A70C3">
        <w:t xml:space="preserve">inistry of </w:t>
      </w:r>
      <w:r w:rsidRPr="009A70C3">
        <w:t>E</w:t>
      </w:r>
      <w:r w:rsidR="009B2DAD" w:rsidRPr="009A70C3">
        <w:t>ducation</w:t>
      </w:r>
      <w:r w:rsidR="001B53D0">
        <w:t xml:space="preserve"> senior m</w:t>
      </w:r>
      <w:r w:rsidRPr="009A70C3">
        <w:t>anagement</w:t>
      </w:r>
    </w:p>
    <w:p w:rsidR="00AD18FE" w:rsidRPr="009A70C3" w:rsidRDefault="00AD18FE" w:rsidP="00B84294">
      <w:pPr>
        <w:pStyle w:val="BodyText"/>
      </w:pPr>
      <w:r w:rsidRPr="009A70C3">
        <w:t>Technical assistance in M</w:t>
      </w:r>
      <w:r w:rsidR="009B2DAD" w:rsidRPr="009A70C3">
        <w:t>O</w:t>
      </w:r>
      <w:r w:rsidRPr="009A70C3">
        <w:t xml:space="preserve">E’s finance, information </w:t>
      </w:r>
      <w:r w:rsidR="009B2DAD" w:rsidRPr="009A70C3">
        <w:t xml:space="preserve">and </w:t>
      </w:r>
      <w:r w:rsidRPr="009A70C3">
        <w:t>communication</w:t>
      </w:r>
      <w:r w:rsidR="009B2DAD" w:rsidRPr="009A70C3">
        <w:t>s</w:t>
      </w:r>
      <w:r w:rsidRPr="009A70C3">
        <w:t xml:space="preserve"> technology (ICT), and policy and planning areas has strengthened the capacity of senior management in th</w:t>
      </w:r>
      <w:r w:rsidR="009B2DAD" w:rsidRPr="009A70C3">
        <w:t>o</w:t>
      </w:r>
      <w:r w:rsidRPr="009A70C3">
        <w:t>se areas</w:t>
      </w:r>
      <w:r w:rsidR="004C3315" w:rsidRPr="009A70C3">
        <w:t xml:space="preserve">. </w:t>
      </w:r>
      <w:r w:rsidRPr="009A70C3">
        <w:t xml:space="preserve">Key results include completion of the costing of the </w:t>
      </w:r>
      <w:r w:rsidR="00C07B73">
        <w:t>Education Sector Strategic Plan (</w:t>
      </w:r>
      <w:r w:rsidRPr="009A70C3">
        <w:t>ESSP</w:t>
      </w:r>
      <w:r w:rsidR="00C07B73">
        <w:t>)</w:t>
      </w:r>
      <w:r w:rsidR="0038475E">
        <w:t>,</w:t>
      </w:r>
      <w:r w:rsidRPr="009A70C3">
        <w:t xml:space="preserve"> development of an ICT strategy</w:t>
      </w:r>
      <w:r w:rsidR="0038475E">
        <w:t>,</w:t>
      </w:r>
      <w:r w:rsidRPr="009A70C3">
        <w:t xml:space="preserve"> and improved capacity to draft policy proposals and devise operational plans </w:t>
      </w:r>
      <w:r w:rsidR="005B507A" w:rsidRPr="009A70C3">
        <w:t xml:space="preserve">to </w:t>
      </w:r>
      <w:r w:rsidRPr="009A70C3">
        <w:t>support ESSP implementation.</w:t>
      </w:r>
    </w:p>
    <w:p w:rsidR="00892A5D" w:rsidRPr="009A70C3" w:rsidRDefault="00AD18FE" w:rsidP="00892A5D">
      <w:pPr>
        <w:pStyle w:val="Heading4"/>
      </w:pPr>
      <w:r w:rsidRPr="009A70C3">
        <w:t>Kiribati Education Management Information System Project</w:t>
      </w:r>
    </w:p>
    <w:p w:rsidR="00AD18FE" w:rsidRPr="009A70C3" w:rsidRDefault="00AD18FE" w:rsidP="00B84294">
      <w:pPr>
        <w:pStyle w:val="BodyText"/>
      </w:pPr>
      <w:r w:rsidRPr="009A70C3">
        <w:t>A capacity</w:t>
      </w:r>
      <w:r w:rsidR="002857B8" w:rsidRPr="009A70C3">
        <w:t>-</w:t>
      </w:r>
      <w:r w:rsidRPr="009A70C3">
        <w:t xml:space="preserve">building adviser and </w:t>
      </w:r>
      <w:r w:rsidR="002857B8" w:rsidRPr="009A70C3">
        <w:t xml:space="preserve">an </w:t>
      </w:r>
      <w:r w:rsidRPr="009A70C3">
        <w:t xml:space="preserve">IT development and software specialist have assisted in improving </w:t>
      </w:r>
      <w:r w:rsidR="00CD13CE">
        <w:t xml:space="preserve">the </w:t>
      </w:r>
      <w:r w:rsidRPr="009A70C3">
        <w:t xml:space="preserve">functionality </w:t>
      </w:r>
      <w:r w:rsidR="00CD13CE">
        <w:t xml:space="preserve">of KEMIS </w:t>
      </w:r>
      <w:r w:rsidRPr="009A70C3">
        <w:t xml:space="preserve">and </w:t>
      </w:r>
      <w:r w:rsidR="00CD13CE">
        <w:t xml:space="preserve">the </w:t>
      </w:r>
      <w:r w:rsidRPr="009A70C3">
        <w:t xml:space="preserve">quality of </w:t>
      </w:r>
      <w:r w:rsidR="00CD13CE">
        <w:t xml:space="preserve">its </w:t>
      </w:r>
      <w:r w:rsidRPr="009A70C3">
        <w:t>data</w:t>
      </w:r>
      <w:r w:rsidR="00CD13CE">
        <w:t xml:space="preserve"> and in </w:t>
      </w:r>
      <w:r w:rsidR="00CF7733">
        <w:t xml:space="preserve">developing </w:t>
      </w:r>
      <w:r w:rsidRPr="009A70C3">
        <w:t>the skills of staff using KEMIS and analysing its outputs</w:t>
      </w:r>
      <w:r w:rsidR="004C3315" w:rsidRPr="009A70C3">
        <w:t xml:space="preserve">. </w:t>
      </w:r>
      <w:r w:rsidRPr="009A70C3">
        <w:t xml:space="preserve">As a result, the annual Statistics Digest was completed and distributed on time, and </w:t>
      </w:r>
      <w:r w:rsidR="00CF7733">
        <w:t xml:space="preserve">staff attended </w:t>
      </w:r>
      <w:r w:rsidRPr="009A70C3">
        <w:t>awareness</w:t>
      </w:r>
      <w:r w:rsidR="002857B8" w:rsidRPr="009A70C3">
        <w:t>-</w:t>
      </w:r>
      <w:r w:rsidRPr="009A70C3">
        <w:t xml:space="preserve">raising workshops and </w:t>
      </w:r>
      <w:r w:rsidR="00CF7733">
        <w:t xml:space="preserve">were trained in how to use </w:t>
      </w:r>
      <w:r w:rsidRPr="009A70C3">
        <w:t>education statistics</w:t>
      </w:r>
      <w:r w:rsidR="004C3315" w:rsidRPr="009A70C3">
        <w:t xml:space="preserve">. </w:t>
      </w:r>
      <w:r w:rsidRPr="009A70C3">
        <w:t xml:space="preserve">Inquiries from other </w:t>
      </w:r>
      <w:proofErr w:type="spellStart"/>
      <w:r w:rsidRPr="009A70C3">
        <w:t>GoK</w:t>
      </w:r>
      <w:proofErr w:type="spellEnd"/>
      <w:r w:rsidRPr="009A70C3">
        <w:t xml:space="preserve"> </w:t>
      </w:r>
      <w:r w:rsidR="002857B8" w:rsidRPr="009A70C3">
        <w:t>m</w:t>
      </w:r>
      <w:r w:rsidRPr="009A70C3">
        <w:t>inistries and donor agencies increased by 55% as they became aware of the availability and usefulness of such information to their operations.</w:t>
      </w:r>
    </w:p>
    <w:p w:rsidR="00B84294" w:rsidRPr="009A70C3" w:rsidRDefault="00BF40BD" w:rsidP="00B84294">
      <w:pPr>
        <w:pStyle w:val="Heading4"/>
      </w:pPr>
      <w:r w:rsidRPr="009A70C3">
        <w:t xml:space="preserve">Strategic </w:t>
      </w:r>
      <w:r w:rsidR="00AD18FE" w:rsidRPr="009A70C3">
        <w:t>program of support to the M</w:t>
      </w:r>
      <w:r w:rsidR="002857B8" w:rsidRPr="009A70C3">
        <w:t xml:space="preserve">inistry of </w:t>
      </w:r>
      <w:r w:rsidR="00AD18FE" w:rsidRPr="009A70C3">
        <w:t>E</w:t>
      </w:r>
      <w:r w:rsidR="002857B8" w:rsidRPr="009A70C3">
        <w:t>ducation</w:t>
      </w:r>
    </w:p>
    <w:p w:rsidR="00AD18FE" w:rsidRPr="009A70C3" w:rsidRDefault="001F2EF3" w:rsidP="00B84294">
      <w:pPr>
        <w:pStyle w:val="BodyText"/>
      </w:pPr>
      <w:r>
        <w:t xml:space="preserve">In early 2009, donors and </w:t>
      </w:r>
      <w:r w:rsidR="00AD18FE" w:rsidRPr="009A70C3">
        <w:t>MOE agreed to bring the design process in</w:t>
      </w:r>
      <w:r w:rsidR="00BF40BD">
        <w:t xml:space="preserve"> </w:t>
      </w:r>
      <w:r w:rsidR="00AD18FE" w:rsidRPr="009A70C3">
        <w:t xml:space="preserve">house, with the advisory support of </w:t>
      </w:r>
      <w:proofErr w:type="spellStart"/>
      <w:r w:rsidR="00AD18FE" w:rsidRPr="009A70C3">
        <w:t>AusAID’s</w:t>
      </w:r>
      <w:proofErr w:type="spellEnd"/>
      <w:r w:rsidR="00AD18FE" w:rsidRPr="009A70C3">
        <w:t xml:space="preserve"> Pacific Branch Education Adviser. The new program of support will be a </w:t>
      </w:r>
      <w:r w:rsidR="002857B8" w:rsidRPr="009A70C3">
        <w:t>three-</w:t>
      </w:r>
      <w:r w:rsidR="00AD18FE" w:rsidRPr="009A70C3">
        <w:t>phase, 10</w:t>
      </w:r>
      <w:r w:rsidR="002857B8" w:rsidRPr="009A70C3">
        <w:t>-</w:t>
      </w:r>
      <w:r w:rsidR="00AD18FE" w:rsidRPr="009A70C3">
        <w:t xml:space="preserve">year development program with planning cycles to </w:t>
      </w:r>
      <w:r w:rsidR="00CD13CE">
        <w:t xml:space="preserve">coincide </w:t>
      </w:r>
      <w:r w:rsidR="00AD18FE" w:rsidRPr="009A70C3">
        <w:t>with M</w:t>
      </w:r>
      <w:r w:rsidR="00373B43" w:rsidRPr="009A70C3">
        <w:t>O</w:t>
      </w:r>
      <w:r w:rsidR="00AD18FE" w:rsidRPr="009A70C3">
        <w:t>E planning cycles</w:t>
      </w:r>
      <w:r w:rsidR="004C3315" w:rsidRPr="009A70C3">
        <w:t xml:space="preserve">. </w:t>
      </w:r>
      <w:r w:rsidR="00AD18FE" w:rsidRPr="009A70C3">
        <w:t xml:space="preserve">Phase 1 involves agreeing on a joint donor program of support for the next </w:t>
      </w:r>
      <w:r w:rsidR="00373B43" w:rsidRPr="009A70C3">
        <w:t xml:space="preserve">two </w:t>
      </w:r>
      <w:r w:rsidR="00AD18FE" w:rsidRPr="009A70C3">
        <w:t>years</w:t>
      </w:r>
      <w:r w:rsidR="004C3315" w:rsidRPr="009A70C3">
        <w:t xml:space="preserve">. </w:t>
      </w:r>
      <w:r w:rsidR="00AD18FE" w:rsidRPr="009A70C3">
        <w:t xml:space="preserve">Phases 2 and 3 will both run for </w:t>
      </w:r>
      <w:r w:rsidR="00373B43" w:rsidRPr="009A70C3">
        <w:t xml:space="preserve">four </w:t>
      </w:r>
      <w:r w:rsidR="00AD18FE" w:rsidRPr="009A70C3">
        <w:t>years, and their design will begin in 2011</w:t>
      </w:r>
      <w:r w:rsidR="004C3315" w:rsidRPr="009A70C3">
        <w:t xml:space="preserve">. </w:t>
      </w:r>
      <w:r w:rsidR="00AD18FE" w:rsidRPr="009A70C3">
        <w:t xml:space="preserve">The design process highlighted the shortcomings of traditionally contracted design teams and </w:t>
      </w:r>
      <w:proofErr w:type="spellStart"/>
      <w:r w:rsidR="00BF40BD">
        <w:t>GoK’s</w:t>
      </w:r>
      <w:proofErr w:type="spellEnd"/>
      <w:r w:rsidR="00BF40BD">
        <w:t xml:space="preserve"> </w:t>
      </w:r>
      <w:r w:rsidR="00AD18FE" w:rsidRPr="009A70C3">
        <w:t>limited capacity to lead and guide the process.</w:t>
      </w:r>
    </w:p>
    <w:p w:rsidR="00B84294" w:rsidRPr="009A70C3" w:rsidRDefault="00AD18FE" w:rsidP="00B84294">
      <w:pPr>
        <w:pStyle w:val="Heading4"/>
      </w:pPr>
      <w:r w:rsidRPr="009A70C3">
        <w:t>The Language</w:t>
      </w:r>
      <w:r w:rsidR="00B84294" w:rsidRPr="009A70C3">
        <w:t xml:space="preserve"> Education Pilot Project</w:t>
      </w:r>
    </w:p>
    <w:p w:rsidR="00565247" w:rsidRDefault="00AD18FE" w:rsidP="00B84294">
      <w:pPr>
        <w:pStyle w:val="BodyText"/>
      </w:pPr>
      <w:r w:rsidRPr="009A70C3">
        <w:t xml:space="preserve">The </w:t>
      </w:r>
      <w:r w:rsidR="000C0A7E" w:rsidRPr="009A70C3">
        <w:t>Language Education</w:t>
      </w:r>
      <w:r w:rsidR="00CD13CE">
        <w:t xml:space="preserve"> Pilot</w:t>
      </w:r>
      <w:r w:rsidR="000C0A7E" w:rsidRPr="009A70C3">
        <w:t xml:space="preserve"> </w:t>
      </w:r>
      <w:r w:rsidRPr="009A70C3">
        <w:t xml:space="preserve">Project will improve the English language proficiency of teachers and Kiribati Teachers College lecturers (including </w:t>
      </w:r>
      <w:proofErr w:type="spellStart"/>
      <w:r w:rsidRPr="009A70C3">
        <w:t>Te</w:t>
      </w:r>
      <w:proofErr w:type="spellEnd"/>
      <w:r w:rsidRPr="009A70C3">
        <w:t>-Kiribati and English Language lecturers, and other content area lecturers)</w:t>
      </w:r>
      <w:r w:rsidR="004C3315" w:rsidRPr="009A70C3">
        <w:t xml:space="preserve">. </w:t>
      </w:r>
      <w:r w:rsidR="000C0A7E" w:rsidRPr="009A70C3">
        <w:t xml:space="preserve">The project </w:t>
      </w:r>
      <w:r w:rsidRPr="009A70C3">
        <w:t xml:space="preserve">will also map the English language </w:t>
      </w:r>
    </w:p>
    <w:p w:rsidR="00AD18FE" w:rsidRPr="009A70C3" w:rsidRDefault="00AD18FE" w:rsidP="00B84294">
      <w:pPr>
        <w:pStyle w:val="BodyText"/>
      </w:pPr>
      <w:proofErr w:type="gramStart"/>
      <w:r w:rsidRPr="009A70C3">
        <w:lastRenderedPageBreak/>
        <w:t>proficiency</w:t>
      </w:r>
      <w:proofErr w:type="gramEnd"/>
      <w:r w:rsidRPr="009A70C3">
        <w:t xml:space="preserve"> levels of MOE personnel across the system, and establish sex</w:t>
      </w:r>
      <w:r w:rsidR="000C0A7E" w:rsidRPr="009A70C3">
        <w:t>-</w:t>
      </w:r>
      <w:r w:rsidRPr="009A70C3">
        <w:t>disaggregated baseline data on student achievements in English</w:t>
      </w:r>
      <w:r w:rsidR="004C3315" w:rsidRPr="009A70C3">
        <w:t xml:space="preserve">. </w:t>
      </w:r>
      <w:r w:rsidRPr="009A70C3">
        <w:t>The program was originall</w:t>
      </w:r>
      <w:r w:rsidR="001F2EF3">
        <w:t xml:space="preserve">y designed and developed by </w:t>
      </w:r>
      <w:r w:rsidRPr="009A70C3">
        <w:t>MOE in 2007 but</w:t>
      </w:r>
      <w:r w:rsidR="00EF6472" w:rsidRPr="009A70C3">
        <w:t>,</w:t>
      </w:r>
      <w:r w:rsidRPr="009A70C3">
        <w:t xml:space="preserve"> due to changes in </w:t>
      </w:r>
      <w:r w:rsidR="00CD13CE">
        <w:t xml:space="preserve">the </w:t>
      </w:r>
      <w:r w:rsidRPr="009A70C3">
        <w:t>scope of the project, was delayed</w:t>
      </w:r>
      <w:r w:rsidR="004C3315" w:rsidRPr="009A70C3">
        <w:t xml:space="preserve">. </w:t>
      </w:r>
      <w:r w:rsidRPr="009A70C3">
        <w:t xml:space="preserve">The mobilisation date is now expected to be July </w:t>
      </w:r>
      <w:r w:rsidR="00BF40BD">
        <w:t>20</w:t>
      </w:r>
      <w:r w:rsidRPr="009A70C3">
        <w:t>09.</w:t>
      </w:r>
    </w:p>
    <w:p w:rsidR="00AD18FE" w:rsidRPr="009A70C3" w:rsidRDefault="00AD18FE" w:rsidP="00B84294">
      <w:pPr>
        <w:pStyle w:val="BodyText"/>
      </w:pPr>
      <w:proofErr w:type="spellStart"/>
      <w:r w:rsidRPr="009A70C3">
        <w:t>AusAID</w:t>
      </w:r>
      <w:proofErr w:type="spellEnd"/>
      <w:r w:rsidRPr="009A70C3">
        <w:t xml:space="preserve"> is providing a two</w:t>
      </w:r>
      <w:r w:rsidR="008D3D3E" w:rsidRPr="009A70C3">
        <w:t>-</w:t>
      </w:r>
      <w:r w:rsidRPr="009A70C3">
        <w:t xml:space="preserve">year grant to assist with </w:t>
      </w:r>
      <w:r w:rsidR="00CD13CE">
        <w:t xml:space="preserve">the </w:t>
      </w:r>
      <w:r w:rsidRPr="009A70C3">
        <w:t>operational costs of the Kiribati School for the Disabled, whil</w:t>
      </w:r>
      <w:r w:rsidR="008D3D3E" w:rsidRPr="009A70C3">
        <w:t>e</w:t>
      </w:r>
      <w:r w:rsidRPr="009A70C3">
        <w:t xml:space="preserve"> MOE prepares to take on responsibility for the </w:t>
      </w:r>
      <w:r w:rsidR="008D3D3E" w:rsidRPr="009A70C3">
        <w:t xml:space="preserve">school’s </w:t>
      </w:r>
      <w:r w:rsidRPr="009A70C3">
        <w:t>operation</w:t>
      </w:r>
      <w:r w:rsidR="004C3315" w:rsidRPr="009A70C3">
        <w:t xml:space="preserve">. </w:t>
      </w:r>
      <w:r w:rsidRPr="009A70C3">
        <w:t>Inclusive education r</w:t>
      </w:r>
      <w:r w:rsidR="001F2EF3">
        <w:t xml:space="preserve">equirements are integral to </w:t>
      </w:r>
      <w:r w:rsidRPr="009A70C3">
        <w:t>MOE’s specifications for school maintenance and refurbishment</w:t>
      </w:r>
      <w:r w:rsidR="00CD13CE">
        <w:t xml:space="preserve"> in its Facilities Management Plan</w:t>
      </w:r>
      <w:r w:rsidRPr="009A70C3">
        <w:rPr>
          <w:lang w:bidi="x-none"/>
        </w:rPr>
        <w:t>.</w:t>
      </w:r>
    </w:p>
    <w:p w:rsidR="00AD18FE" w:rsidRPr="009A70C3" w:rsidRDefault="00B84294" w:rsidP="00B84294">
      <w:pPr>
        <w:pStyle w:val="Heading4"/>
      </w:pPr>
      <w:r w:rsidRPr="009A70C3">
        <w:t>Overall assessment</w:t>
      </w:r>
    </w:p>
    <w:p w:rsidR="00AD18FE" w:rsidRPr="009A70C3" w:rsidRDefault="00AD18FE" w:rsidP="0072480C">
      <w:pPr>
        <w:pStyle w:val="BodyText"/>
      </w:pPr>
      <w:r w:rsidRPr="009A70C3">
        <w:t xml:space="preserve">Overall, </w:t>
      </w:r>
      <w:proofErr w:type="spellStart"/>
      <w:r w:rsidRPr="009A70C3">
        <w:t>GoK</w:t>
      </w:r>
      <w:proofErr w:type="spellEnd"/>
      <w:r w:rsidRPr="009A70C3">
        <w:t xml:space="preserve"> is positive in their assessment of </w:t>
      </w:r>
      <w:proofErr w:type="spellStart"/>
      <w:r w:rsidRPr="009A70C3">
        <w:t>AusAID</w:t>
      </w:r>
      <w:r w:rsidR="00234189">
        <w:t>’s</w:t>
      </w:r>
      <w:proofErr w:type="spellEnd"/>
      <w:r w:rsidRPr="009A70C3">
        <w:t xml:space="preserve"> efforts. However, </w:t>
      </w:r>
      <w:proofErr w:type="spellStart"/>
      <w:r w:rsidRPr="009A70C3">
        <w:t>GoK</w:t>
      </w:r>
      <w:proofErr w:type="spellEnd"/>
      <w:r w:rsidRPr="009A70C3">
        <w:t xml:space="preserve"> note</w:t>
      </w:r>
      <w:r w:rsidR="00A33624" w:rsidRPr="009A70C3">
        <w:t>s</w:t>
      </w:r>
      <w:r w:rsidRPr="009A70C3">
        <w:t xml:space="preserve"> that the objectives and timelines currently set for its education sector work are ambitious, </w:t>
      </w:r>
      <w:r w:rsidR="00BF40BD">
        <w:t xml:space="preserve">and that </w:t>
      </w:r>
      <w:r w:rsidRPr="009A70C3">
        <w:t xml:space="preserve">a number of factors threaten </w:t>
      </w:r>
      <w:r w:rsidR="00BF40BD">
        <w:t xml:space="preserve">MOE’s </w:t>
      </w:r>
      <w:r w:rsidRPr="009A70C3">
        <w:t>capacity to deliver on expected outcomes</w:t>
      </w:r>
      <w:r w:rsidR="004C3315" w:rsidRPr="009A70C3">
        <w:t xml:space="preserve">. </w:t>
      </w:r>
      <w:r w:rsidRPr="009A70C3">
        <w:t>Th</w:t>
      </w:r>
      <w:r w:rsidR="00234189">
        <w:t>o</w:t>
      </w:r>
      <w:r w:rsidRPr="009A70C3">
        <w:t>se factors include</w:t>
      </w:r>
      <w:r w:rsidR="00A33624" w:rsidRPr="009A70C3">
        <w:t xml:space="preserve"> the following.</w:t>
      </w:r>
    </w:p>
    <w:p w:rsidR="00AD18FE" w:rsidRPr="009A70C3" w:rsidRDefault="00AD18FE" w:rsidP="0072480C">
      <w:pPr>
        <w:pStyle w:val="ListBullet"/>
      </w:pPr>
      <w:r w:rsidRPr="009A70C3">
        <w:t xml:space="preserve">MOE </w:t>
      </w:r>
      <w:r w:rsidR="00A33624" w:rsidRPr="009A70C3">
        <w:t xml:space="preserve">senior management </w:t>
      </w:r>
      <w:r w:rsidRPr="009A70C3">
        <w:t>is forced to manage at an operational rather than a strategic level due to capac</w:t>
      </w:r>
      <w:r w:rsidR="001F2EF3">
        <w:t xml:space="preserve">ity gaps at lower levels in </w:t>
      </w:r>
      <w:r w:rsidRPr="009A70C3">
        <w:t xml:space="preserve">MOE. This puts strategic planning </w:t>
      </w:r>
      <w:r w:rsidR="00A33624" w:rsidRPr="009A70C3">
        <w:t xml:space="preserve">development </w:t>
      </w:r>
      <w:r w:rsidRPr="009A70C3">
        <w:t>at risk.</w:t>
      </w:r>
    </w:p>
    <w:p w:rsidR="00AD18FE" w:rsidRPr="009A70C3" w:rsidRDefault="00AD18FE" w:rsidP="0072480C">
      <w:pPr>
        <w:pStyle w:val="ListBullet"/>
      </w:pPr>
      <w:r w:rsidRPr="009A70C3">
        <w:t xml:space="preserve">The level of </w:t>
      </w:r>
      <w:proofErr w:type="spellStart"/>
      <w:r w:rsidRPr="009A70C3">
        <w:t>GoK</w:t>
      </w:r>
      <w:proofErr w:type="spellEnd"/>
      <w:r w:rsidRPr="009A70C3">
        <w:t xml:space="preserve"> funding and resources required to achieve all ESSP goals is unlikely to be available.</w:t>
      </w:r>
    </w:p>
    <w:p w:rsidR="00AD18FE" w:rsidRPr="009A70C3" w:rsidRDefault="00AD18FE" w:rsidP="0072480C">
      <w:pPr>
        <w:pStyle w:val="ListBullet"/>
      </w:pPr>
      <w:r w:rsidRPr="009A70C3">
        <w:t xml:space="preserve">High turnover of staff in MOE, compulsory retirement at 50 years of age and lack of established transition planning, impact negatively on </w:t>
      </w:r>
      <w:r w:rsidR="00A33624" w:rsidRPr="009A70C3">
        <w:t xml:space="preserve">the </w:t>
      </w:r>
      <w:r w:rsidRPr="009A70C3">
        <w:t>capacity and capability of middle and lower level staff.</w:t>
      </w:r>
    </w:p>
    <w:p w:rsidR="00AD18FE" w:rsidRPr="009A70C3" w:rsidRDefault="00AD18FE" w:rsidP="0072480C">
      <w:pPr>
        <w:pStyle w:val="ListBullet"/>
      </w:pPr>
      <w:r w:rsidRPr="009A70C3">
        <w:t xml:space="preserve">Capacity building cannot be done in the short term, so donors need to look at timeframes of three to four years before </w:t>
      </w:r>
      <w:r w:rsidR="00234189">
        <w:t xml:space="preserve">improvements in </w:t>
      </w:r>
      <w:r w:rsidR="00274E9C" w:rsidRPr="009A70C3">
        <w:t xml:space="preserve">staff </w:t>
      </w:r>
      <w:r w:rsidRPr="009A70C3">
        <w:t>capacity impac</w:t>
      </w:r>
      <w:r w:rsidR="00BF40BD">
        <w:t>t</w:t>
      </w:r>
      <w:r w:rsidRPr="009A70C3">
        <w:t xml:space="preserve"> on operational performance.</w:t>
      </w:r>
    </w:p>
    <w:p w:rsidR="00AD18FE" w:rsidRPr="009A70C3" w:rsidRDefault="00AD18FE" w:rsidP="0072480C">
      <w:pPr>
        <w:pStyle w:val="ListBullet"/>
      </w:pPr>
      <w:r w:rsidRPr="009A70C3">
        <w:t xml:space="preserve">Centralised budget and recruitment processes, along with misalignment of MOE’s organisational structure with ESSP objectives, restrict </w:t>
      </w:r>
      <w:r w:rsidR="00274E9C" w:rsidRPr="009A70C3">
        <w:t>MOE’s</w:t>
      </w:r>
      <w:r w:rsidRPr="009A70C3">
        <w:t xml:space="preserve"> ability to deliver the planned outcomes.</w:t>
      </w:r>
    </w:p>
    <w:p w:rsidR="00AD18FE" w:rsidRPr="009A70C3" w:rsidRDefault="00274E9C" w:rsidP="0072480C">
      <w:pPr>
        <w:pStyle w:val="ListBullet"/>
      </w:pPr>
      <w:r w:rsidRPr="009A70C3">
        <w:t>R</w:t>
      </w:r>
      <w:r w:rsidR="00AD18FE" w:rsidRPr="009A70C3">
        <w:t xml:space="preserve">eforming the education system </w:t>
      </w:r>
      <w:r w:rsidRPr="009A70C3">
        <w:t xml:space="preserve">is particularly challenging </w:t>
      </w:r>
      <w:r w:rsidR="00AD18FE" w:rsidRPr="009A70C3">
        <w:t>in a geographically complex country such as Kiribati</w:t>
      </w:r>
      <w:r w:rsidR="004C3315" w:rsidRPr="009A70C3">
        <w:t xml:space="preserve">. </w:t>
      </w:r>
      <w:r w:rsidR="00AD18FE" w:rsidRPr="009A70C3">
        <w:t xml:space="preserve">MOE </w:t>
      </w:r>
      <w:r w:rsidRPr="009A70C3">
        <w:t xml:space="preserve">is </w:t>
      </w:r>
      <w:r w:rsidR="00AD18FE" w:rsidRPr="009A70C3">
        <w:t>consulting and communicating with outer island communities in develop</w:t>
      </w:r>
      <w:r w:rsidRPr="009A70C3">
        <w:t>ing</w:t>
      </w:r>
      <w:r w:rsidR="00AD18FE" w:rsidRPr="009A70C3">
        <w:t xml:space="preserve"> and deliver</w:t>
      </w:r>
      <w:r w:rsidRPr="009A70C3">
        <w:t>ing</w:t>
      </w:r>
      <w:r w:rsidR="00AD18FE" w:rsidRPr="009A70C3">
        <w:t xml:space="preserve"> ESSP objectives to ensure </w:t>
      </w:r>
      <w:r w:rsidRPr="009A70C3">
        <w:t xml:space="preserve">that </w:t>
      </w:r>
      <w:r w:rsidR="00BF40BD">
        <w:t xml:space="preserve">they understand </w:t>
      </w:r>
      <w:r w:rsidR="00AD18FE" w:rsidRPr="009A70C3">
        <w:t>that the ESSP include</w:t>
      </w:r>
      <w:r w:rsidR="00234189">
        <w:t>s</w:t>
      </w:r>
      <w:r w:rsidR="00AD18FE" w:rsidRPr="009A70C3">
        <w:t xml:space="preserve"> all schools in Kiribati.</w:t>
      </w:r>
    </w:p>
    <w:p w:rsidR="00274E9C" w:rsidRPr="009A70C3" w:rsidRDefault="0072480C" w:rsidP="0072480C">
      <w:pPr>
        <w:pStyle w:val="Heading2unnumbered"/>
      </w:pPr>
      <w:bookmarkStart w:id="35" w:name="_Toc246227785"/>
      <w:r w:rsidRPr="009A70C3">
        <w:t xml:space="preserve">Objective 2: </w:t>
      </w:r>
      <w:r w:rsidR="00274E9C" w:rsidRPr="009A70C3">
        <w:t>Public sector performance</w:t>
      </w:r>
      <w:bookmarkEnd w:id="35"/>
    </w:p>
    <w:p w:rsidR="00AD18FE" w:rsidRPr="009A70C3" w:rsidRDefault="0072480C" w:rsidP="00274E9C">
      <w:pPr>
        <w:pStyle w:val="ListBullet"/>
      </w:pPr>
      <w:r w:rsidRPr="009A70C3">
        <w:t>Improved public financial management, national planning and the performance of public enterprises</w:t>
      </w:r>
    </w:p>
    <w:p w:rsidR="0072480C" w:rsidRPr="009A70C3" w:rsidRDefault="0072480C" w:rsidP="0072480C">
      <w:pPr>
        <w:pStyle w:val="Heading3"/>
      </w:pPr>
      <w:bookmarkStart w:id="36" w:name="_Toc246227786"/>
      <w:r w:rsidRPr="009A70C3">
        <w:t>Rating</w:t>
      </w:r>
      <w:bookmarkEnd w:id="36"/>
    </w:p>
    <w:p w:rsidR="00AD18FE" w:rsidRPr="009A70C3" w:rsidRDefault="009700BC" w:rsidP="0021796E">
      <w:pPr>
        <w:pStyle w:val="BodyText"/>
        <w:tabs>
          <w:tab w:val="left" w:pos="567"/>
        </w:tabs>
      </w:pPr>
      <w:r>
        <w:rPr>
          <w:rFonts w:ascii="Wingdings" w:hAnsi="Wingdings"/>
          <w:noProof/>
          <w:color w:val="FF8A3B"/>
          <w:sz w:val="32"/>
          <w:szCs w:val="32"/>
          <w:lang w:val="en-US" w:eastAsia="en-US"/>
        </w:rPr>
        <mc:AlternateContent>
          <mc:Choice Requires="wps">
            <w:drawing>
              <wp:inline distT="0" distB="0" distL="0" distR="0" wp14:anchorId="074F7E4E" wp14:editId="0FAD38CD">
                <wp:extent cx="122830" cy="136477"/>
                <wp:effectExtent l="0" t="0" r="0" b="0"/>
                <wp:docPr id="15" name="Rectangle 15" descr="Amber"/>
                <wp:cNvGraphicFramePr/>
                <a:graphic xmlns:a="http://schemas.openxmlformats.org/drawingml/2006/main">
                  <a:graphicData uri="http://schemas.microsoft.com/office/word/2010/wordprocessingShape">
                    <wps:wsp>
                      <wps:cNvSpPr/>
                      <wps:spPr>
                        <a:xfrm>
                          <a:off x="0" y="0"/>
                          <a:ext cx="122830" cy="136477"/>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3F34B07" id="Rectangle 15" o:spid="_x0000_s1026" alt="Amber" style="width:9.65pt;height:1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" fillcolor="#f79646 [3209]" stroked="f" strokeweight="2pt">
                <w10:wrap anchorx="page"/>
                <w10:anchorlock/>
              </v:rect>
            </w:pict>
          </mc:Fallback>
        </mc:AlternateContent>
      </w:r>
      <w:r w:rsidR="00CD35ED" w:rsidRPr="009A70C3">
        <w:rPr>
          <w:rFonts w:ascii="Wingdings" w:hAnsi="Wingdings"/>
          <w:color w:val="FF8A3B"/>
          <w:sz w:val="32"/>
          <w:szCs w:val="32"/>
        </w:rPr>
        <w:tab/>
      </w:r>
      <w:r w:rsidR="0072480C" w:rsidRPr="009A70C3">
        <w:t>The objective will be partly achieved within the timeframe.</w:t>
      </w:r>
    </w:p>
    <w:p w:rsidR="00565247" w:rsidRDefault="0072480C" w:rsidP="0072480C">
      <w:pPr>
        <w:pStyle w:val="BodyText"/>
      </w:pPr>
      <w:r w:rsidRPr="009A70C3">
        <w:t xml:space="preserve">The rationale behind the amber rating for this objective </w:t>
      </w:r>
      <w:r w:rsidR="00C91616" w:rsidRPr="009A70C3">
        <w:t xml:space="preserve">is </w:t>
      </w:r>
      <w:r w:rsidRPr="009A70C3">
        <w:t xml:space="preserve">much the same </w:t>
      </w:r>
      <w:r w:rsidR="00C91616" w:rsidRPr="009A70C3">
        <w:t xml:space="preserve">as </w:t>
      </w:r>
      <w:r w:rsidRPr="009A70C3">
        <w:t xml:space="preserve">that </w:t>
      </w:r>
      <w:r w:rsidR="00C91616" w:rsidRPr="009A70C3">
        <w:t xml:space="preserve">for </w:t>
      </w:r>
      <w:r w:rsidRPr="009A70C3">
        <w:t>Objective 1</w:t>
      </w:r>
      <w:r w:rsidR="00C91616" w:rsidRPr="009A70C3">
        <w:t>;</w:t>
      </w:r>
      <w:r w:rsidRPr="009A70C3">
        <w:t xml:space="preserve"> namely</w:t>
      </w:r>
      <w:r w:rsidR="00C91616" w:rsidRPr="009A70C3">
        <w:t>,</w:t>
      </w:r>
      <w:r w:rsidRPr="009A70C3">
        <w:t xml:space="preserve"> good to very good progress on some individual activities but slow progress towards building a coherent, focused portfolio driven by </w:t>
      </w:r>
      <w:proofErr w:type="spellStart"/>
      <w:r w:rsidRPr="009A70C3">
        <w:t>GoK</w:t>
      </w:r>
      <w:proofErr w:type="spellEnd"/>
      <w:r w:rsidRPr="009A70C3">
        <w:t xml:space="preserve"> policy and budget priorities. Slower than </w:t>
      </w:r>
    </w:p>
    <w:p w:rsidR="0072480C" w:rsidRPr="009A70C3" w:rsidRDefault="0072480C" w:rsidP="0072480C">
      <w:pPr>
        <w:pStyle w:val="BodyText"/>
      </w:pPr>
      <w:proofErr w:type="gramStart"/>
      <w:r w:rsidRPr="009A70C3">
        <w:lastRenderedPageBreak/>
        <w:t>expected</w:t>
      </w:r>
      <w:proofErr w:type="gramEnd"/>
      <w:r w:rsidRPr="009A70C3">
        <w:t xml:space="preserve"> progress on S</w:t>
      </w:r>
      <w:r w:rsidR="00C91616" w:rsidRPr="009A70C3">
        <w:t>O</w:t>
      </w:r>
      <w:r w:rsidRPr="009A70C3">
        <w:t>E reform and improv</w:t>
      </w:r>
      <w:r w:rsidR="00C91616" w:rsidRPr="009A70C3">
        <w:t>ing</w:t>
      </w:r>
      <w:r w:rsidRPr="009A70C3">
        <w:t xml:space="preserve"> </w:t>
      </w:r>
      <w:r w:rsidR="00234189">
        <w:t xml:space="preserve">the </w:t>
      </w:r>
      <w:r w:rsidRPr="009A70C3">
        <w:t>management of the RERF b</w:t>
      </w:r>
      <w:r w:rsidR="00C91616" w:rsidRPr="009A70C3">
        <w:t>r</w:t>
      </w:r>
      <w:r w:rsidRPr="009A70C3">
        <w:t>ought down the overall rating for this objective</w:t>
      </w:r>
      <w:r w:rsidR="00C91616" w:rsidRPr="009A70C3">
        <w:t>. However,</w:t>
      </w:r>
      <w:r w:rsidRPr="009A70C3">
        <w:t xml:space="preserve"> </w:t>
      </w:r>
      <w:proofErr w:type="spellStart"/>
      <w:r w:rsidRPr="009A70C3">
        <w:t>GoK</w:t>
      </w:r>
      <w:proofErr w:type="spellEnd"/>
      <w:r w:rsidRPr="009A70C3">
        <w:t xml:space="preserve"> </w:t>
      </w:r>
      <w:r w:rsidR="00C91616" w:rsidRPr="009A70C3">
        <w:t xml:space="preserve">is </w:t>
      </w:r>
      <w:r w:rsidRPr="009A70C3">
        <w:t xml:space="preserve">now seeing </w:t>
      </w:r>
      <w:r w:rsidR="00234189">
        <w:t xml:space="preserve">improvements in </w:t>
      </w:r>
      <w:r w:rsidRPr="009A70C3">
        <w:t>strategic planning and budgeting as a result of Australian assistance</w:t>
      </w:r>
      <w:r w:rsidR="00C91616" w:rsidRPr="009A70C3">
        <w:t>.</w:t>
      </w:r>
    </w:p>
    <w:p w:rsidR="0072480C" w:rsidRPr="009A70C3" w:rsidRDefault="0072480C" w:rsidP="0072480C">
      <w:pPr>
        <w:pStyle w:val="Heading3"/>
      </w:pPr>
      <w:bookmarkStart w:id="37" w:name="_Toc246227787"/>
      <w:r w:rsidRPr="009A70C3">
        <w:t>Estimated expenditure</w:t>
      </w:r>
      <w:bookmarkEnd w:id="37"/>
    </w:p>
    <w:p w:rsidR="0072480C" w:rsidRPr="009A70C3" w:rsidRDefault="0072480C" w:rsidP="0072480C">
      <w:pPr>
        <w:pStyle w:val="BodyText"/>
      </w:pPr>
      <w:r w:rsidRPr="009A70C3">
        <w:t>Approximately 7.</w:t>
      </w:r>
      <w:r w:rsidR="00D81195">
        <w:t>9</w:t>
      </w:r>
      <w:r w:rsidRPr="009A70C3">
        <w:t xml:space="preserve">% of total expenditure </w:t>
      </w:r>
      <w:r w:rsidR="004F004C">
        <w:t xml:space="preserve">in 2008–09 </w:t>
      </w:r>
      <w:r w:rsidRPr="009A70C3">
        <w:t xml:space="preserve">was </w:t>
      </w:r>
      <w:r w:rsidR="00BF40BD">
        <w:t xml:space="preserve">committed to initiatives related to </w:t>
      </w:r>
      <w:r w:rsidRPr="009A70C3">
        <w:t>this objective</w:t>
      </w:r>
      <w:r w:rsidR="004C3315" w:rsidRPr="009A70C3">
        <w:t xml:space="preserve">. </w:t>
      </w:r>
      <w:proofErr w:type="spellStart"/>
      <w:r w:rsidRPr="009A70C3">
        <w:t>AusAID</w:t>
      </w:r>
      <w:proofErr w:type="spellEnd"/>
      <w:r w:rsidRPr="009A70C3">
        <w:t xml:space="preserve"> provides significant support to </w:t>
      </w:r>
      <w:r w:rsidR="00F55D7B" w:rsidRPr="009A70C3">
        <w:t xml:space="preserve">the </w:t>
      </w:r>
      <w:r w:rsidRPr="009A70C3">
        <w:t xml:space="preserve">public </w:t>
      </w:r>
      <w:r w:rsidR="00F21CED" w:rsidRPr="009A70C3">
        <w:t>sector,</w:t>
      </w:r>
      <w:r w:rsidR="00F21CED">
        <w:t xml:space="preserve"> as</w:t>
      </w:r>
      <w:r w:rsidR="004F004C">
        <w:t xml:space="preserve"> do the </w:t>
      </w:r>
      <w:r w:rsidRPr="009A70C3">
        <w:t xml:space="preserve">ADB and </w:t>
      </w:r>
      <w:r w:rsidR="00F55D7B" w:rsidRPr="009A70C3">
        <w:t xml:space="preserve">the </w:t>
      </w:r>
      <w:r w:rsidRPr="009A70C3">
        <w:t>U</w:t>
      </w:r>
      <w:r w:rsidR="00F55D7B" w:rsidRPr="009A70C3">
        <w:t xml:space="preserve">nited </w:t>
      </w:r>
      <w:r w:rsidRPr="009A70C3">
        <w:t>N</w:t>
      </w:r>
      <w:r w:rsidR="00F55D7B" w:rsidRPr="009A70C3">
        <w:t xml:space="preserve">ations </w:t>
      </w:r>
      <w:r w:rsidRPr="009A70C3">
        <w:t>D</w:t>
      </w:r>
      <w:r w:rsidR="00F55D7B" w:rsidRPr="009A70C3">
        <w:t xml:space="preserve">evelopment </w:t>
      </w:r>
      <w:r w:rsidRPr="009A70C3">
        <w:t>P</w:t>
      </w:r>
      <w:r w:rsidR="00F55D7B" w:rsidRPr="009A70C3">
        <w:t>rogramme</w:t>
      </w:r>
      <w:r w:rsidRPr="009A70C3">
        <w:t>.</w:t>
      </w:r>
    </w:p>
    <w:p w:rsidR="007F204A" w:rsidRPr="009A70C3" w:rsidRDefault="007F204A" w:rsidP="007F204A">
      <w:pPr>
        <w:pStyle w:val="Heading3"/>
      </w:pPr>
      <w:bookmarkStart w:id="38" w:name="_Toc246227788"/>
      <w:r w:rsidRPr="009A70C3">
        <w:t>Assessment of results and performance</w:t>
      </w:r>
      <w:bookmarkEnd w:id="38"/>
    </w:p>
    <w:p w:rsidR="0072480C" w:rsidRPr="009A70C3" w:rsidRDefault="0072480C" w:rsidP="0072480C">
      <w:pPr>
        <w:pStyle w:val="BodyText"/>
      </w:pPr>
      <w:r w:rsidRPr="009A70C3">
        <w:t xml:space="preserve">Activities under this objective aim to improve public sector performance </w:t>
      </w:r>
      <w:r w:rsidR="004F004C">
        <w:t xml:space="preserve">by </w:t>
      </w:r>
      <w:r w:rsidRPr="009A70C3">
        <w:t>ensuring sustainability of the public sector planning system</w:t>
      </w:r>
      <w:r w:rsidR="004F004C">
        <w:t>,</w:t>
      </w:r>
      <w:r w:rsidRPr="009A70C3">
        <w:t xml:space="preserve"> strengthening public financial management</w:t>
      </w:r>
      <w:r w:rsidR="004F004C">
        <w:t>,</w:t>
      </w:r>
      <w:r w:rsidRPr="009A70C3">
        <w:t xml:space="preserve"> and building capacity in priority areas. </w:t>
      </w:r>
      <w:bookmarkStart w:id="39" w:name="OLE_LINK1"/>
      <w:bookmarkStart w:id="40" w:name="OLE_LINK2"/>
      <w:r w:rsidRPr="009A70C3">
        <w:t xml:space="preserve">Future APPRs will report against the broader Partnership for Development Priority Outcome 3 </w:t>
      </w:r>
      <w:r w:rsidR="002545A4" w:rsidRPr="009A70C3">
        <w:t xml:space="preserve">– </w:t>
      </w:r>
      <w:r w:rsidRPr="009A70C3">
        <w:t xml:space="preserve">Improved Growth and Economic Management. </w:t>
      </w:r>
      <w:r w:rsidR="002545A4" w:rsidRPr="009A70C3">
        <w:t>A</w:t>
      </w:r>
      <w:r w:rsidRPr="009A70C3">
        <w:t xml:space="preserve">chievements against the objective </w:t>
      </w:r>
      <w:r w:rsidR="002545A4" w:rsidRPr="009A70C3">
        <w:t xml:space="preserve">for 2008 </w:t>
      </w:r>
      <w:bookmarkEnd w:id="39"/>
      <w:bookmarkEnd w:id="40"/>
      <w:r w:rsidR="002545A4" w:rsidRPr="009A70C3">
        <w:t>are set out below.</w:t>
      </w:r>
    </w:p>
    <w:p w:rsidR="00616EA9" w:rsidRPr="009A70C3" w:rsidRDefault="0072480C" w:rsidP="00616EA9">
      <w:pPr>
        <w:pStyle w:val="Heading4"/>
      </w:pPr>
      <w:r w:rsidRPr="009A70C3">
        <w:t xml:space="preserve">Finalisation of the Kiribati Development </w:t>
      </w:r>
      <w:r w:rsidR="00616EA9" w:rsidRPr="009A70C3">
        <w:t>Plan 2008–2011</w:t>
      </w:r>
    </w:p>
    <w:p w:rsidR="0072480C" w:rsidRPr="009A70C3" w:rsidRDefault="0072480C" w:rsidP="00616EA9">
      <w:pPr>
        <w:pStyle w:val="BodyText"/>
      </w:pPr>
      <w:r w:rsidRPr="009A70C3">
        <w:t xml:space="preserve">The </w:t>
      </w:r>
      <w:r w:rsidR="00616EA9" w:rsidRPr="009A70C3">
        <w:t xml:space="preserve">Kiribati Development Plan 2008–2011 </w:t>
      </w:r>
      <w:r w:rsidR="00BF40BD">
        <w:t>(</w:t>
      </w:r>
      <w:r w:rsidRPr="009A70C3">
        <w:t>KDP</w:t>
      </w:r>
      <w:r w:rsidR="00BF40BD">
        <w:t>)</w:t>
      </w:r>
      <w:r w:rsidRPr="009A70C3">
        <w:t xml:space="preserve"> was endorsed by Cabinet and published in March 2008 with </w:t>
      </w:r>
      <w:proofErr w:type="spellStart"/>
      <w:r w:rsidRPr="009A70C3">
        <w:t>AusAID</w:t>
      </w:r>
      <w:proofErr w:type="spellEnd"/>
      <w:r w:rsidRPr="009A70C3">
        <w:t xml:space="preserve"> support. </w:t>
      </w:r>
      <w:r w:rsidR="00616EA9" w:rsidRPr="009A70C3">
        <w:t xml:space="preserve">However, </w:t>
      </w:r>
      <w:r w:rsidRPr="009A70C3">
        <w:t xml:space="preserve">it should be noted that the </w:t>
      </w:r>
      <w:proofErr w:type="spellStart"/>
      <w:r w:rsidRPr="009A70C3">
        <w:t>GoK</w:t>
      </w:r>
      <w:proofErr w:type="spellEnd"/>
      <w:r w:rsidRPr="009A70C3">
        <w:t xml:space="preserve"> 2009 Budget Statement does not refer</w:t>
      </w:r>
      <w:r w:rsidR="00616EA9" w:rsidRPr="009A70C3">
        <w:t xml:space="preserve"> to</w:t>
      </w:r>
      <w:r w:rsidRPr="009A70C3">
        <w:t xml:space="preserve"> the KDP.</w:t>
      </w:r>
    </w:p>
    <w:p w:rsidR="00616EA9" w:rsidRPr="009A70C3" w:rsidRDefault="0072480C" w:rsidP="00616EA9">
      <w:pPr>
        <w:pStyle w:val="Heading4"/>
      </w:pPr>
      <w:r w:rsidRPr="009A70C3">
        <w:t>Engagement of income taxation and customs technical advis</w:t>
      </w:r>
      <w:r w:rsidR="00C64F1E" w:rsidRPr="009A70C3">
        <w:t>e</w:t>
      </w:r>
      <w:r w:rsidRPr="009A70C3">
        <w:t>rs</w:t>
      </w:r>
    </w:p>
    <w:p w:rsidR="0072480C" w:rsidRPr="009A70C3" w:rsidRDefault="0072480C" w:rsidP="00616EA9">
      <w:pPr>
        <w:pStyle w:val="BodyText"/>
      </w:pPr>
      <w:r w:rsidRPr="009A70C3">
        <w:t>Th</w:t>
      </w:r>
      <w:r w:rsidR="00C64F1E" w:rsidRPr="009A70C3">
        <w:t>e</w:t>
      </w:r>
      <w:r w:rsidR="004336CF">
        <w:t xml:space="preserve"> training provided by </w:t>
      </w:r>
      <w:r w:rsidR="00C64F1E" w:rsidRPr="009A70C3">
        <w:t>income taxation and customs technical advisers</w:t>
      </w:r>
      <w:r w:rsidR="004F004C">
        <w:t xml:space="preserve"> </w:t>
      </w:r>
      <w:r w:rsidRPr="009A70C3">
        <w:t xml:space="preserve">has increased </w:t>
      </w:r>
      <w:r w:rsidR="00C64F1E" w:rsidRPr="009A70C3">
        <w:t xml:space="preserve">the </w:t>
      </w:r>
      <w:r w:rsidRPr="009A70C3">
        <w:t xml:space="preserve">capacity of staff in </w:t>
      </w:r>
      <w:r w:rsidR="004F004C">
        <w:t xml:space="preserve">relevant </w:t>
      </w:r>
      <w:r w:rsidRPr="009A70C3">
        <w:t>departments</w:t>
      </w:r>
      <w:r w:rsidR="00BC38D6">
        <w:t xml:space="preserve">. The better capacity of staff </w:t>
      </w:r>
      <w:r w:rsidRPr="009A70C3">
        <w:t xml:space="preserve">has led to greater public compliance with laws and significant increases in </w:t>
      </w:r>
      <w:r w:rsidR="00BC38D6">
        <w:t xml:space="preserve">taxes collected </w:t>
      </w:r>
      <w:r w:rsidRPr="009A70C3">
        <w:t xml:space="preserve">(a 10% increase in tax revenue in 2008) and customs duties. This improvement in revenue collection capacity </w:t>
      </w:r>
      <w:r w:rsidR="004F004C">
        <w:t xml:space="preserve">has benefited </w:t>
      </w:r>
      <w:proofErr w:type="spellStart"/>
      <w:r w:rsidR="00C64F1E" w:rsidRPr="004F004C">
        <w:t>GoK’s</w:t>
      </w:r>
      <w:proofErr w:type="spellEnd"/>
      <w:r w:rsidR="00C64F1E" w:rsidRPr="004F004C">
        <w:t xml:space="preserve"> fiscal position</w:t>
      </w:r>
      <w:r w:rsidR="00C64F1E" w:rsidRPr="009A70C3">
        <w:t>.</w:t>
      </w:r>
    </w:p>
    <w:p w:rsidR="00616EA9" w:rsidRPr="009A70C3" w:rsidRDefault="0072480C" w:rsidP="00616EA9">
      <w:pPr>
        <w:pStyle w:val="Heading4"/>
      </w:pPr>
      <w:r w:rsidRPr="009A70C3">
        <w:t>Engagement of technical advis</w:t>
      </w:r>
      <w:r w:rsidR="002A14E4" w:rsidRPr="009A70C3">
        <w:t>e</w:t>
      </w:r>
      <w:r w:rsidRPr="009A70C3">
        <w:t>rs in key public sector roles</w:t>
      </w:r>
    </w:p>
    <w:p w:rsidR="0072480C" w:rsidRPr="009A70C3" w:rsidRDefault="0072480C" w:rsidP="00616EA9">
      <w:pPr>
        <w:pStyle w:val="BodyText"/>
      </w:pPr>
      <w:r w:rsidRPr="009A70C3">
        <w:t xml:space="preserve">An </w:t>
      </w:r>
      <w:r w:rsidR="002A14E4" w:rsidRPr="009A70C3">
        <w:t>a</w:t>
      </w:r>
      <w:r w:rsidRPr="009A70C3">
        <w:t>udit advis</w:t>
      </w:r>
      <w:r w:rsidR="002A14E4" w:rsidRPr="009A70C3">
        <w:t>e</w:t>
      </w:r>
      <w:r w:rsidRPr="009A70C3">
        <w:t>r has helped to develop three</w:t>
      </w:r>
      <w:r w:rsidR="002A14E4" w:rsidRPr="009A70C3">
        <w:t>-</w:t>
      </w:r>
      <w:r w:rsidRPr="009A70C3">
        <w:t>year corporate and strategic audit plans and new audit methodologies, which have been endorsed by the Auditor</w:t>
      </w:r>
      <w:r w:rsidR="002A14E4" w:rsidRPr="009A70C3">
        <w:t>-</w:t>
      </w:r>
      <w:r w:rsidRPr="009A70C3">
        <w:t>General</w:t>
      </w:r>
      <w:r w:rsidR="004C3315" w:rsidRPr="009A70C3">
        <w:t xml:space="preserve">. </w:t>
      </w:r>
      <w:r w:rsidRPr="009A70C3">
        <w:t xml:space="preserve">A </w:t>
      </w:r>
      <w:r w:rsidR="002A14E4" w:rsidRPr="009A70C3">
        <w:t>t</w:t>
      </w:r>
      <w:r w:rsidRPr="009A70C3">
        <w:t xml:space="preserve">ourism </w:t>
      </w:r>
      <w:r w:rsidR="002A14E4" w:rsidRPr="009A70C3">
        <w:t>a</w:t>
      </w:r>
      <w:r w:rsidRPr="009A70C3">
        <w:t>dvis</w:t>
      </w:r>
      <w:r w:rsidR="002A14E4" w:rsidRPr="009A70C3">
        <w:t>e</w:t>
      </w:r>
      <w:r w:rsidRPr="009A70C3">
        <w:t xml:space="preserve">r has developed a </w:t>
      </w:r>
      <w:r w:rsidRPr="009A70C3">
        <w:rPr>
          <w:rFonts w:cs="Arial"/>
          <w:color w:val="000000"/>
          <w:szCs w:val="20"/>
        </w:rPr>
        <w:t xml:space="preserve">strategic plan now before </w:t>
      </w:r>
      <w:r w:rsidR="0095561A">
        <w:t xml:space="preserve">Cabinet. </w:t>
      </w:r>
      <w:r w:rsidRPr="009A70C3">
        <w:t xml:space="preserve">An architect adviser in </w:t>
      </w:r>
      <w:r w:rsidR="002A14E4" w:rsidRPr="009A70C3">
        <w:t>p</w:t>
      </w:r>
      <w:r w:rsidRPr="009A70C3">
        <w:t xml:space="preserve">ublic </w:t>
      </w:r>
      <w:r w:rsidR="002A14E4" w:rsidRPr="009A70C3">
        <w:t>w</w:t>
      </w:r>
      <w:r w:rsidRPr="009A70C3">
        <w:t xml:space="preserve">orks is overseeing </w:t>
      </w:r>
      <w:r w:rsidR="002A14E4" w:rsidRPr="009A70C3">
        <w:t xml:space="preserve">the </w:t>
      </w:r>
      <w:r w:rsidRPr="009A70C3">
        <w:t xml:space="preserve">technical aspects </w:t>
      </w:r>
      <w:r w:rsidR="00385E3C">
        <w:t xml:space="preserve">related to the </w:t>
      </w:r>
      <w:r w:rsidRPr="009A70C3">
        <w:t>construction of new tuberculosis laboratories.</w:t>
      </w:r>
    </w:p>
    <w:p w:rsidR="00616EA9" w:rsidRPr="009A70C3" w:rsidRDefault="0072480C" w:rsidP="00616EA9">
      <w:pPr>
        <w:pStyle w:val="Heading4"/>
      </w:pPr>
      <w:r w:rsidRPr="009A70C3">
        <w:t>Ongoing support to Air Kiribati Ltd through two Australian aviation engineers</w:t>
      </w:r>
    </w:p>
    <w:p w:rsidR="0072480C" w:rsidRPr="009A70C3" w:rsidRDefault="002A14E4" w:rsidP="00616EA9">
      <w:pPr>
        <w:pStyle w:val="BodyText"/>
      </w:pPr>
      <w:r w:rsidRPr="009A70C3">
        <w:t>Australia’s</w:t>
      </w:r>
      <w:r w:rsidR="0072480C" w:rsidRPr="009A70C3">
        <w:t xml:space="preserve"> support has built </w:t>
      </w:r>
      <w:r w:rsidRPr="009A70C3">
        <w:t xml:space="preserve">the </w:t>
      </w:r>
      <w:r w:rsidR="0072480C" w:rsidRPr="009A70C3">
        <w:t>capacity of local engineers (</w:t>
      </w:r>
      <w:bookmarkStart w:id="41" w:name="OLE_LINK7"/>
      <w:bookmarkStart w:id="42" w:name="OLE_LINK8"/>
      <w:r w:rsidR="0072480C" w:rsidRPr="009A70C3">
        <w:t>highlighted by a 50% reduction in ‘non-conformation’ issues identified by the Quality Assurance Department</w:t>
      </w:r>
      <w:bookmarkEnd w:id="41"/>
      <w:bookmarkEnd w:id="42"/>
      <w:r w:rsidR="0072480C" w:rsidRPr="009A70C3">
        <w:t xml:space="preserve">), contributing to better aircraft maintenance and resulting in </w:t>
      </w:r>
      <w:r w:rsidRPr="009A70C3">
        <w:t xml:space="preserve">safer, </w:t>
      </w:r>
      <w:r w:rsidR="0072480C" w:rsidRPr="009A70C3">
        <w:t>more efficient</w:t>
      </w:r>
      <w:r w:rsidRPr="009A70C3">
        <w:t xml:space="preserve"> and</w:t>
      </w:r>
      <w:r w:rsidR="0072480C" w:rsidRPr="009A70C3">
        <w:t xml:space="preserve"> reliable domestic air transport services.</w:t>
      </w:r>
    </w:p>
    <w:p w:rsidR="00616EA9" w:rsidRPr="009A70C3" w:rsidRDefault="0072480C" w:rsidP="00616EA9">
      <w:pPr>
        <w:pStyle w:val="Heading4"/>
      </w:pPr>
      <w:r w:rsidRPr="009A70C3">
        <w:t>Pacific Regional Policing Initiativ</w:t>
      </w:r>
      <w:r w:rsidR="00616EA9" w:rsidRPr="009A70C3">
        <w:t xml:space="preserve">e </w:t>
      </w:r>
      <w:r w:rsidR="000020C3" w:rsidRPr="009A70C3">
        <w:t>–</w:t>
      </w:r>
      <w:r w:rsidR="0042038A">
        <w:t xml:space="preserve"> b</w:t>
      </w:r>
      <w:r w:rsidR="00616EA9" w:rsidRPr="009A70C3">
        <w:t>ilateral component</w:t>
      </w:r>
    </w:p>
    <w:p w:rsidR="00565247" w:rsidRDefault="000020C3" w:rsidP="00616EA9">
      <w:pPr>
        <w:pStyle w:val="BodyText"/>
      </w:pPr>
      <w:r w:rsidRPr="009A70C3">
        <w:t>The Pacifi</w:t>
      </w:r>
      <w:r w:rsidR="0042038A">
        <w:t>c Regional Policing Initiative (PRPI</w:t>
      </w:r>
      <w:r w:rsidRPr="009A70C3">
        <w:t xml:space="preserve">) </w:t>
      </w:r>
      <w:r w:rsidR="004336CF">
        <w:t xml:space="preserve">has assisted </w:t>
      </w:r>
      <w:r w:rsidR="0072480C" w:rsidRPr="009A70C3">
        <w:t>the Kiribati Police Service</w:t>
      </w:r>
      <w:r w:rsidR="004336CF">
        <w:t xml:space="preserve"> </w:t>
      </w:r>
      <w:r w:rsidR="0072480C" w:rsidRPr="009A70C3">
        <w:t xml:space="preserve">with </w:t>
      </w:r>
      <w:r w:rsidR="00385E3C">
        <w:t xml:space="preserve">the </w:t>
      </w:r>
      <w:r w:rsidR="0072480C" w:rsidRPr="009A70C3">
        <w:t xml:space="preserve">implementation of the </w:t>
      </w:r>
      <w:r w:rsidR="00385E3C">
        <w:t>‘</w:t>
      </w:r>
      <w:r w:rsidR="0072480C" w:rsidRPr="009A70C3">
        <w:t>Safer Kiribati</w:t>
      </w:r>
      <w:r w:rsidR="00385E3C">
        <w:t>’</w:t>
      </w:r>
      <w:r w:rsidR="0072480C" w:rsidRPr="009A70C3">
        <w:t xml:space="preserve"> Program, refurbishment of police barracks, </w:t>
      </w:r>
    </w:p>
    <w:p w:rsidR="00565247" w:rsidRDefault="00565247" w:rsidP="00616EA9">
      <w:pPr>
        <w:pStyle w:val="BodyText"/>
      </w:pPr>
    </w:p>
    <w:p w:rsidR="0072480C" w:rsidRPr="009A70C3" w:rsidRDefault="0072480C" w:rsidP="00616EA9">
      <w:pPr>
        <w:pStyle w:val="BodyText"/>
      </w:pPr>
      <w:proofErr w:type="gramStart"/>
      <w:r w:rsidRPr="009A70C3">
        <w:lastRenderedPageBreak/>
        <w:t>headquarters</w:t>
      </w:r>
      <w:proofErr w:type="gramEnd"/>
      <w:r w:rsidRPr="009A70C3">
        <w:t xml:space="preserve">, and training school, </w:t>
      </w:r>
      <w:r w:rsidR="000020C3" w:rsidRPr="009A70C3">
        <w:t xml:space="preserve">and </w:t>
      </w:r>
      <w:r w:rsidRPr="009A70C3">
        <w:t xml:space="preserve">legislative redrafting and printing of Police Standing Orders and Procedures. </w:t>
      </w:r>
      <w:proofErr w:type="spellStart"/>
      <w:r w:rsidRPr="009A70C3">
        <w:t>GoK</w:t>
      </w:r>
      <w:proofErr w:type="spellEnd"/>
      <w:r w:rsidRPr="009A70C3">
        <w:t xml:space="preserve"> report</w:t>
      </w:r>
      <w:r w:rsidR="000020C3" w:rsidRPr="009A70C3">
        <w:t>s</w:t>
      </w:r>
      <w:r w:rsidRPr="009A70C3">
        <w:t xml:space="preserve"> noticeable improvements in community perceptions </w:t>
      </w:r>
      <w:r w:rsidR="004336CF">
        <w:t xml:space="preserve">of </w:t>
      </w:r>
      <w:r w:rsidRPr="009A70C3">
        <w:t>the Kiribati Police Service as a direct result of the PRPI</w:t>
      </w:r>
      <w:r w:rsidR="000020C3" w:rsidRPr="009A70C3">
        <w:t>’s</w:t>
      </w:r>
      <w:r w:rsidRPr="009A70C3">
        <w:t xml:space="preserve"> work in supporting capacity development and upgrading of </w:t>
      </w:r>
      <w:r w:rsidR="000020C3" w:rsidRPr="009A70C3">
        <w:t>p</w:t>
      </w:r>
      <w:r w:rsidRPr="009A70C3">
        <w:t xml:space="preserve">olice infrastructure in Kiribati. </w:t>
      </w:r>
    </w:p>
    <w:p w:rsidR="00616EA9" w:rsidRPr="009A70C3" w:rsidRDefault="00616EA9" w:rsidP="00616EA9">
      <w:pPr>
        <w:pStyle w:val="Heading4"/>
        <w:rPr>
          <w:bCs/>
        </w:rPr>
      </w:pPr>
      <w:r w:rsidRPr="009A70C3">
        <w:t>Fisheries</w:t>
      </w:r>
    </w:p>
    <w:p w:rsidR="00DA1593" w:rsidRPr="009A70C3" w:rsidRDefault="0072480C" w:rsidP="00616EA9">
      <w:pPr>
        <w:pStyle w:val="BodyText"/>
      </w:pPr>
      <w:r w:rsidRPr="009A70C3">
        <w:rPr>
          <w:bCs/>
        </w:rPr>
        <w:t>Th</w:t>
      </w:r>
      <w:r w:rsidR="00DA1593" w:rsidRPr="009A70C3">
        <w:rPr>
          <w:bCs/>
        </w:rPr>
        <w:t>e fisheries</w:t>
      </w:r>
      <w:r w:rsidRPr="009A70C3">
        <w:rPr>
          <w:bCs/>
        </w:rPr>
        <w:t xml:space="preserve"> program</w:t>
      </w:r>
      <w:r w:rsidRPr="009A70C3">
        <w:rPr>
          <w:b/>
        </w:rPr>
        <w:t xml:space="preserve">, </w:t>
      </w:r>
      <w:r w:rsidRPr="009A70C3">
        <w:t xml:space="preserve">an incentives-based program being implemented to improve </w:t>
      </w:r>
      <w:r w:rsidR="00DA1593" w:rsidRPr="009A70C3">
        <w:t>f</w:t>
      </w:r>
      <w:r w:rsidRPr="009A70C3">
        <w:t>isheries governance,</w:t>
      </w:r>
      <w:r w:rsidR="00DA1593" w:rsidRPr="009A70C3">
        <w:t xml:space="preserve"> has four agreed milestones:</w:t>
      </w:r>
    </w:p>
    <w:p w:rsidR="00DA1593" w:rsidRPr="009A70C3" w:rsidRDefault="0072480C" w:rsidP="00DA1593">
      <w:pPr>
        <w:pStyle w:val="ListBullet"/>
      </w:pPr>
      <w:r w:rsidRPr="009A70C3">
        <w:t xml:space="preserve">the review of the </w:t>
      </w:r>
      <w:r w:rsidRPr="00385E3C">
        <w:t>Fisheries Act</w:t>
      </w:r>
    </w:p>
    <w:p w:rsidR="00DA1593" w:rsidRPr="009A70C3" w:rsidRDefault="0072480C" w:rsidP="00DA1593">
      <w:pPr>
        <w:pStyle w:val="ListBullet"/>
      </w:pPr>
      <w:r w:rsidRPr="009A70C3">
        <w:t xml:space="preserve">an independent review of access, licensing and joint venture arrangements </w:t>
      </w:r>
    </w:p>
    <w:p w:rsidR="00DA1593" w:rsidRPr="009A70C3" w:rsidRDefault="001F2EF3" w:rsidP="00DA1593">
      <w:pPr>
        <w:pStyle w:val="ListBullet"/>
      </w:pPr>
      <w:r>
        <w:t xml:space="preserve">the </w:t>
      </w:r>
      <w:r w:rsidR="0072480C" w:rsidRPr="009A70C3">
        <w:t>for</w:t>
      </w:r>
      <w:r w:rsidR="001B53D0">
        <w:t xml:space="preserve">mulation of an agreement by </w:t>
      </w:r>
      <w:proofErr w:type="spellStart"/>
      <w:r w:rsidR="0072480C" w:rsidRPr="009A70C3">
        <w:t>GoK</w:t>
      </w:r>
      <w:proofErr w:type="spellEnd"/>
      <w:r w:rsidR="0072480C" w:rsidRPr="009A70C3">
        <w:t xml:space="preserve"> for clear policy and operational guidelines</w:t>
      </w:r>
    </w:p>
    <w:p w:rsidR="00DA1593" w:rsidRPr="009A70C3" w:rsidRDefault="0072480C" w:rsidP="00DA1593">
      <w:pPr>
        <w:pStyle w:val="ListBullet"/>
      </w:pPr>
      <w:r w:rsidRPr="009A70C3">
        <w:t xml:space="preserve">the development of a </w:t>
      </w:r>
      <w:r w:rsidR="006D4897" w:rsidRPr="009A70C3">
        <w:t xml:space="preserve">memorandum of understanding </w:t>
      </w:r>
      <w:r w:rsidRPr="009A70C3">
        <w:t xml:space="preserve">between the Ministry of Fisheries and Marine Resources Development </w:t>
      </w:r>
      <w:r w:rsidR="00DA1593" w:rsidRPr="009A70C3">
        <w:t>and the Police Maritime Unit.</w:t>
      </w:r>
    </w:p>
    <w:p w:rsidR="0072480C" w:rsidRPr="009A70C3" w:rsidRDefault="0072480C" w:rsidP="00DA1593">
      <w:pPr>
        <w:pStyle w:val="BodyText"/>
      </w:pPr>
      <w:r w:rsidRPr="009A70C3">
        <w:t xml:space="preserve">Progress towards meeting these milestones was slow (but not unexpectedly so) during the reporting period, with only </w:t>
      </w:r>
      <w:r w:rsidR="004A0151" w:rsidRPr="009A70C3">
        <w:t xml:space="preserve">two </w:t>
      </w:r>
      <w:r w:rsidRPr="009A70C3">
        <w:t xml:space="preserve">of </w:t>
      </w:r>
      <w:r w:rsidR="004A0151" w:rsidRPr="009A70C3">
        <w:t xml:space="preserve">the four </w:t>
      </w:r>
      <w:r w:rsidRPr="009A70C3">
        <w:t>milestones being partially met by mid</w:t>
      </w:r>
      <w:r w:rsidR="00385E3C">
        <w:t>-</w:t>
      </w:r>
      <w:r w:rsidRPr="009A70C3">
        <w:t>2009 (the end point of the program).</w:t>
      </w:r>
    </w:p>
    <w:p w:rsidR="00616EA9" w:rsidRPr="009A70C3" w:rsidRDefault="00616EA9" w:rsidP="00616EA9">
      <w:pPr>
        <w:pStyle w:val="Heading4"/>
      </w:pPr>
      <w:r w:rsidRPr="009A70C3">
        <w:t>Overall assessment</w:t>
      </w:r>
    </w:p>
    <w:p w:rsidR="0072480C" w:rsidRPr="009A70C3" w:rsidRDefault="0072480C" w:rsidP="0072480C">
      <w:pPr>
        <w:pStyle w:val="BodyText"/>
      </w:pPr>
      <w:r w:rsidRPr="009A70C3">
        <w:t xml:space="preserve">The outputs of the above activities are linked to </w:t>
      </w:r>
      <w:proofErr w:type="spellStart"/>
      <w:r w:rsidRPr="009A70C3">
        <w:t>GoK</w:t>
      </w:r>
      <w:proofErr w:type="spellEnd"/>
      <w:r w:rsidRPr="009A70C3">
        <w:t xml:space="preserve"> key priorities</w:t>
      </w:r>
      <w:r w:rsidR="004A0151" w:rsidRPr="009A70C3">
        <w:t>.</w:t>
      </w:r>
      <w:r w:rsidRPr="009A70C3">
        <w:rPr>
          <w:rStyle w:val="FootnoteReference"/>
          <w:bCs/>
        </w:rPr>
        <w:footnoteReference w:id="3"/>
      </w:r>
      <w:r w:rsidR="004C3315" w:rsidRPr="009A70C3">
        <w:t xml:space="preserve"> </w:t>
      </w:r>
      <w:r w:rsidRPr="009A70C3">
        <w:t xml:space="preserve">However, </w:t>
      </w:r>
      <w:proofErr w:type="spellStart"/>
      <w:r w:rsidRPr="009A70C3">
        <w:t>GoK</w:t>
      </w:r>
      <w:proofErr w:type="spellEnd"/>
      <w:r w:rsidRPr="009A70C3">
        <w:t xml:space="preserve"> officials (and technical advis</w:t>
      </w:r>
      <w:r w:rsidR="004A0151" w:rsidRPr="009A70C3">
        <w:t>e</w:t>
      </w:r>
      <w:r w:rsidRPr="009A70C3">
        <w:t>rs) have raised a number of upcoming challenges, including</w:t>
      </w:r>
      <w:r w:rsidR="004A0151" w:rsidRPr="009A70C3">
        <w:t xml:space="preserve"> the following.</w:t>
      </w:r>
    </w:p>
    <w:p w:rsidR="0072480C" w:rsidRPr="009A70C3" w:rsidRDefault="0072480C" w:rsidP="0072480C">
      <w:pPr>
        <w:pStyle w:val="ListBullet"/>
      </w:pPr>
      <w:r w:rsidRPr="009A70C3">
        <w:t>The early success of the current technical advis</w:t>
      </w:r>
      <w:r w:rsidR="004A0151" w:rsidRPr="009A70C3">
        <w:t>e</w:t>
      </w:r>
      <w:r w:rsidRPr="009A70C3">
        <w:t xml:space="preserve">rs highlights the need for external technical expertise to continue beyond earlier proposed timeframes and </w:t>
      </w:r>
      <w:r w:rsidR="00385E3C">
        <w:t xml:space="preserve">for </w:t>
      </w:r>
      <w:r w:rsidRPr="009A70C3">
        <w:t>clearer long</w:t>
      </w:r>
      <w:r w:rsidR="004A0151" w:rsidRPr="009A70C3">
        <w:t>-</w:t>
      </w:r>
      <w:r w:rsidRPr="009A70C3">
        <w:t>term policy outcomes.</w:t>
      </w:r>
    </w:p>
    <w:p w:rsidR="0072480C" w:rsidRPr="009A70C3" w:rsidRDefault="004A0151" w:rsidP="0072480C">
      <w:pPr>
        <w:pStyle w:val="ListBullet"/>
      </w:pPr>
      <w:r w:rsidRPr="009A70C3">
        <w:t>M</w:t>
      </w:r>
      <w:r w:rsidR="0072480C" w:rsidRPr="009A70C3">
        <w:t xml:space="preserve">onitoring and evaluation data on </w:t>
      </w:r>
      <w:r w:rsidRPr="009A70C3">
        <w:t xml:space="preserve">the </w:t>
      </w:r>
      <w:r w:rsidR="0072480C" w:rsidRPr="009A70C3">
        <w:t>outcomes of technical advis</w:t>
      </w:r>
      <w:r w:rsidRPr="009A70C3">
        <w:t>e</w:t>
      </w:r>
      <w:r w:rsidR="0072480C" w:rsidRPr="009A70C3">
        <w:t xml:space="preserve">rs needs to be shared between donors and </w:t>
      </w:r>
      <w:proofErr w:type="spellStart"/>
      <w:r w:rsidR="0072480C" w:rsidRPr="009A70C3">
        <w:t>GoK</w:t>
      </w:r>
      <w:proofErr w:type="spellEnd"/>
      <w:r w:rsidRPr="009A70C3">
        <w:t xml:space="preserve"> to improve lessons learned</w:t>
      </w:r>
      <w:r w:rsidR="0072480C" w:rsidRPr="009A70C3">
        <w:t>.</w:t>
      </w:r>
    </w:p>
    <w:p w:rsidR="0072480C" w:rsidRPr="009A70C3" w:rsidRDefault="006B0F14" w:rsidP="0072480C">
      <w:pPr>
        <w:pStyle w:val="ListBullet"/>
        <w:rPr>
          <w:bCs/>
        </w:rPr>
      </w:pPr>
      <w:r w:rsidRPr="009A70C3">
        <w:t xml:space="preserve">Although </w:t>
      </w:r>
      <w:proofErr w:type="spellStart"/>
      <w:r w:rsidR="0072480C" w:rsidRPr="009A70C3">
        <w:t>GoK</w:t>
      </w:r>
      <w:proofErr w:type="spellEnd"/>
      <w:r w:rsidR="0072480C" w:rsidRPr="009A70C3">
        <w:t xml:space="preserve"> encourages greater use of their systems, various ministries have weak and incompatible database systems, making </w:t>
      </w:r>
      <w:r w:rsidR="00A065FE">
        <w:t>it</w:t>
      </w:r>
      <w:r w:rsidR="006169B1" w:rsidRPr="009A70C3">
        <w:t xml:space="preserve"> difficult for donors to use</w:t>
      </w:r>
      <w:r w:rsidR="0072480C" w:rsidRPr="009A70C3">
        <w:t xml:space="preserve"> </w:t>
      </w:r>
      <w:r w:rsidR="001F2EF3">
        <w:t>them</w:t>
      </w:r>
      <w:r w:rsidR="0072480C" w:rsidRPr="009A70C3">
        <w:t xml:space="preserve">, and </w:t>
      </w:r>
      <w:r w:rsidR="006169B1" w:rsidRPr="009A70C3">
        <w:t xml:space="preserve">for ministries to </w:t>
      </w:r>
      <w:r w:rsidR="0072480C" w:rsidRPr="009A70C3">
        <w:t>shar</w:t>
      </w:r>
      <w:r w:rsidR="006169B1" w:rsidRPr="009A70C3">
        <w:t>e</w:t>
      </w:r>
      <w:r w:rsidR="0072480C" w:rsidRPr="009A70C3">
        <w:t xml:space="preserve"> relevant and up</w:t>
      </w:r>
      <w:r w:rsidR="006169B1" w:rsidRPr="009A70C3">
        <w:t>-</w:t>
      </w:r>
      <w:r w:rsidR="0072480C" w:rsidRPr="009A70C3">
        <w:t>to</w:t>
      </w:r>
      <w:r w:rsidR="006169B1" w:rsidRPr="009A70C3">
        <w:t>-</w:t>
      </w:r>
      <w:r w:rsidR="0072480C" w:rsidRPr="009A70C3">
        <w:t>date information</w:t>
      </w:r>
      <w:r w:rsidR="004C3315" w:rsidRPr="009A70C3">
        <w:t xml:space="preserve">. </w:t>
      </w:r>
      <w:r w:rsidR="0072480C" w:rsidRPr="009A70C3">
        <w:t xml:space="preserve">More effort will </w:t>
      </w:r>
      <w:r w:rsidR="00D44E91">
        <w:t xml:space="preserve">be needed to </w:t>
      </w:r>
      <w:r w:rsidR="0072480C" w:rsidRPr="009A70C3">
        <w:t xml:space="preserve">align with and/or strengthen </w:t>
      </w:r>
      <w:proofErr w:type="spellStart"/>
      <w:r w:rsidR="0072480C" w:rsidRPr="009A70C3">
        <w:t>GoK</w:t>
      </w:r>
      <w:r w:rsidR="001F2EF3">
        <w:t>’s</w:t>
      </w:r>
      <w:proofErr w:type="spellEnd"/>
      <w:r w:rsidR="0072480C" w:rsidRPr="009A70C3">
        <w:t xml:space="preserve"> systems </w:t>
      </w:r>
      <w:r w:rsidR="00D44E91">
        <w:t xml:space="preserve">if </w:t>
      </w:r>
      <w:r w:rsidR="006169B1" w:rsidRPr="009A70C3">
        <w:t xml:space="preserve">donors </w:t>
      </w:r>
      <w:r w:rsidR="00D44E91">
        <w:t xml:space="preserve">are </w:t>
      </w:r>
      <w:r w:rsidR="006169B1" w:rsidRPr="009A70C3">
        <w:t xml:space="preserve">to </w:t>
      </w:r>
      <w:r w:rsidR="00D44E91">
        <w:t xml:space="preserve">continue to </w:t>
      </w:r>
      <w:r w:rsidR="006169B1" w:rsidRPr="009A70C3">
        <w:t>use them</w:t>
      </w:r>
      <w:r w:rsidR="004A0151" w:rsidRPr="009A70C3">
        <w:t>.</w:t>
      </w:r>
    </w:p>
    <w:p w:rsidR="0072480C" w:rsidRPr="009A70C3" w:rsidRDefault="0072480C" w:rsidP="0072480C">
      <w:pPr>
        <w:pStyle w:val="Heading2unnumbered"/>
      </w:pPr>
      <w:bookmarkStart w:id="43" w:name="_Toc246227789"/>
      <w:r w:rsidRPr="009A70C3">
        <w:t xml:space="preserve">Objective 3: </w:t>
      </w:r>
      <w:r w:rsidR="009363C4" w:rsidRPr="009A70C3">
        <w:t>Human resource development</w:t>
      </w:r>
      <w:bookmarkEnd w:id="43"/>
    </w:p>
    <w:p w:rsidR="0072480C" w:rsidRPr="009A70C3" w:rsidRDefault="0072480C" w:rsidP="007F204A">
      <w:pPr>
        <w:pStyle w:val="ListBullet"/>
      </w:pPr>
      <w:r w:rsidRPr="009A70C3">
        <w:t>Efficient and effective provision of academic programs, in</w:t>
      </w:r>
      <w:r w:rsidR="00D44E91">
        <w:t>-</w:t>
      </w:r>
      <w:r w:rsidRPr="009A70C3">
        <w:t xml:space="preserve">country programs and overseas programs for new entrants to </w:t>
      </w:r>
      <w:r w:rsidR="00D44E91">
        <w:t xml:space="preserve">the </w:t>
      </w:r>
      <w:r w:rsidRPr="009A70C3">
        <w:t>labour market and for those already in the labour market</w:t>
      </w:r>
      <w:r w:rsidR="009363C4" w:rsidRPr="009A70C3">
        <w:t>.</w:t>
      </w:r>
    </w:p>
    <w:p w:rsidR="00565247" w:rsidRDefault="0072480C" w:rsidP="00565247">
      <w:pPr>
        <w:pStyle w:val="ListBullet"/>
      </w:pPr>
      <w:r w:rsidRPr="009A70C3">
        <w:t>Development of an enabling environment for improved human resource development in Kiribati</w:t>
      </w:r>
      <w:r w:rsidR="009363C4" w:rsidRPr="009A70C3">
        <w:t>.</w:t>
      </w:r>
      <w:bookmarkStart w:id="44" w:name="_Toc246227790"/>
    </w:p>
    <w:p w:rsidR="0072480C" w:rsidRPr="009A70C3" w:rsidRDefault="0072480C" w:rsidP="00E52F2B">
      <w:pPr>
        <w:pStyle w:val="Heading3"/>
        <w:spacing w:before="720"/>
      </w:pPr>
      <w:bookmarkStart w:id="45" w:name="_GoBack"/>
      <w:bookmarkEnd w:id="45"/>
      <w:r w:rsidRPr="009A70C3">
        <w:lastRenderedPageBreak/>
        <w:t>Rating</w:t>
      </w:r>
      <w:bookmarkEnd w:id="44"/>
    </w:p>
    <w:p w:rsidR="0072480C" w:rsidRPr="009A70C3" w:rsidRDefault="009700BC" w:rsidP="0021796E">
      <w:pPr>
        <w:pStyle w:val="BodyText"/>
        <w:tabs>
          <w:tab w:val="left" w:pos="567"/>
        </w:tabs>
      </w:pPr>
      <w:r>
        <w:rPr>
          <w:noProof/>
          <w:lang w:val="en-US" w:eastAsia="en-US"/>
        </w:rPr>
        <mc:AlternateContent>
          <mc:Choice Requires="wps">
            <w:drawing>
              <wp:inline distT="0" distB="0" distL="0" distR="0" wp14:anchorId="0368C860" wp14:editId="65DBAB51">
                <wp:extent cx="122555" cy="149860"/>
                <wp:effectExtent l="0" t="0" r="0" b="2540"/>
                <wp:docPr id="16" name="Rectangle 16" descr="Green"/>
                <wp:cNvGraphicFramePr/>
                <a:graphic xmlns:a="http://schemas.openxmlformats.org/drawingml/2006/main">
                  <a:graphicData uri="http://schemas.microsoft.com/office/word/2010/wordprocessingShape">
                    <wps:wsp>
                      <wps:cNvSpPr/>
                      <wps:spPr>
                        <a:xfrm>
                          <a:off x="0" y="0"/>
                          <a:ext cx="122555" cy="14986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4554" w:rsidRPr="00CF4554" w:rsidRDefault="00CF4554" w:rsidP="00CF4554">
                            <w:pPr>
                              <w:jc w:val="center"/>
                              <w:rPr>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368C860" id="Rectangle 16" o:spid="_x0000_s1026" alt="Green" style="width:9.65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" fillcolor="#92d050" stroked="f" strokeweight="2pt">
                <v:textbox>
                  <w:txbxContent>
                    <w:p w:rsidR="00CF4554" w:rsidRPr="00CF4554" w:rsidRDefault="00CF4554" w:rsidP="00CF4554">
                      <w:pPr>
                        <w:jc w:val="center"/>
                        <w:rPr>
                          <w:lang w:val="en-US"/>
                        </w:rPr>
                      </w:pPr>
                    </w:p>
                  </w:txbxContent>
                </v:textbox>
                <w10:wrap anchorx="page"/>
                <w10:anchorlock/>
              </v:rect>
            </w:pict>
          </mc:Fallback>
        </mc:AlternateContent>
      </w:r>
      <w:r w:rsidR="00CD35ED" w:rsidRPr="009A70C3">
        <w:rPr>
          <w:rFonts w:ascii="Wingdings" w:hAnsi="Wingdings"/>
          <w:color w:val="00DE00"/>
          <w:sz w:val="32"/>
          <w:szCs w:val="32"/>
        </w:rPr>
        <w:tab/>
      </w:r>
      <w:r w:rsidR="0072480C" w:rsidRPr="009A70C3">
        <w:t>The objective is on track to be fully achieved within the timeframe.</w:t>
      </w:r>
    </w:p>
    <w:p w:rsidR="00565247" w:rsidRDefault="0072480C" w:rsidP="0072480C">
      <w:pPr>
        <w:pStyle w:val="BodyText"/>
        <w:rPr>
          <w:bCs/>
          <w:lang w:bidi="x-none"/>
        </w:rPr>
      </w:pPr>
      <w:r w:rsidRPr="009A70C3">
        <w:rPr>
          <w:bCs/>
          <w:lang w:bidi="x-none"/>
        </w:rPr>
        <w:t xml:space="preserve">Australian assistance in support of this objective is having a demonstrably positive impact on Kiribati human resource development. As </w:t>
      </w:r>
      <w:r w:rsidR="004336CF">
        <w:rPr>
          <w:bCs/>
          <w:lang w:bidi="x-none"/>
        </w:rPr>
        <w:t xml:space="preserve">noted in </w:t>
      </w:r>
      <w:r w:rsidRPr="009A70C3">
        <w:rPr>
          <w:bCs/>
          <w:lang w:bidi="x-none"/>
        </w:rPr>
        <w:t xml:space="preserve">the </w:t>
      </w:r>
      <w:r w:rsidR="004336CF">
        <w:rPr>
          <w:bCs/>
          <w:lang w:bidi="x-none"/>
        </w:rPr>
        <w:t xml:space="preserve">2007 </w:t>
      </w:r>
      <w:r w:rsidRPr="009A70C3">
        <w:rPr>
          <w:bCs/>
          <w:lang w:bidi="x-none"/>
        </w:rPr>
        <w:t>APPR, this remains the strongest component of the aid program in Kiribati. The administration and impact of the scholarship programs continues to improve</w:t>
      </w:r>
      <w:r w:rsidR="008D6B99" w:rsidRPr="009A70C3">
        <w:rPr>
          <w:bCs/>
          <w:lang w:bidi="x-none"/>
        </w:rPr>
        <w:t>,</w:t>
      </w:r>
      <w:r w:rsidRPr="009A70C3">
        <w:rPr>
          <w:bCs/>
          <w:lang w:bidi="x-none"/>
        </w:rPr>
        <w:t xml:space="preserve"> but it is in technical and vocational training that the most significant impacts are occurring. Initiatives such as </w:t>
      </w:r>
      <w:r w:rsidR="008D6B99" w:rsidRPr="009A70C3">
        <w:rPr>
          <w:bCs/>
          <w:lang w:bidi="x-none"/>
        </w:rPr>
        <w:t>the Kiribati–Australia Nursing Initiative (</w:t>
      </w:r>
      <w:r w:rsidRPr="009A70C3">
        <w:rPr>
          <w:bCs/>
          <w:lang w:bidi="x-none"/>
        </w:rPr>
        <w:t>KANI</w:t>
      </w:r>
      <w:r w:rsidR="008D6B99" w:rsidRPr="009A70C3">
        <w:rPr>
          <w:bCs/>
          <w:lang w:bidi="x-none"/>
        </w:rPr>
        <w:t>)</w:t>
      </w:r>
      <w:r w:rsidRPr="009A70C3">
        <w:rPr>
          <w:bCs/>
          <w:lang w:bidi="x-none"/>
        </w:rPr>
        <w:t xml:space="preserve"> and links to the </w:t>
      </w:r>
      <w:r w:rsidR="004336CF">
        <w:rPr>
          <w:bCs/>
          <w:lang w:bidi="x-none"/>
        </w:rPr>
        <w:t>Australia–Pacific Technical College (</w:t>
      </w:r>
      <w:r w:rsidRPr="009A70C3">
        <w:rPr>
          <w:bCs/>
          <w:lang w:bidi="x-none"/>
        </w:rPr>
        <w:t>APTC</w:t>
      </w:r>
      <w:r w:rsidR="004336CF">
        <w:rPr>
          <w:bCs/>
          <w:lang w:bidi="x-none"/>
        </w:rPr>
        <w:t>)</w:t>
      </w:r>
      <w:r w:rsidRPr="009A70C3">
        <w:rPr>
          <w:bCs/>
          <w:lang w:bidi="x-none"/>
        </w:rPr>
        <w:t xml:space="preserve"> are having direct benefits through skills development and employment. But it is the impact on human resource and education p</w:t>
      </w:r>
    </w:p>
    <w:p w:rsidR="0072480C" w:rsidRPr="009A70C3" w:rsidRDefault="0072480C" w:rsidP="0072480C">
      <w:pPr>
        <w:pStyle w:val="BodyText"/>
        <w:rPr>
          <w:bCs/>
          <w:lang w:bidi="x-none"/>
        </w:rPr>
      </w:pPr>
      <w:proofErr w:type="spellStart"/>
      <w:r w:rsidRPr="009A70C3">
        <w:rPr>
          <w:bCs/>
          <w:lang w:bidi="x-none"/>
        </w:rPr>
        <w:t>olicy</w:t>
      </w:r>
      <w:proofErr w:type="spellEnd"/>
      <w:r w:rsidRPr="009A70C3">
        <w:rPr>
          <w:bCs/>
          <w:lang w:bidi="x-none"/>
        </w:rPr>
        <w:t xml:space="preserve"> where the aid program is having greater than expected influence, with the profile and interest in technical and vocational training gaining much greater government and community support as a result of the development and implementation of the individual programs.</w:t>
      </w:r>
    </w:p>
    <w:p w:rsidR="0072480C" w:rsidRPr="009A70C3" w:rsidRDefault="0072480C" w:rsidP="0072480C">
      <w:pPr>
        <w:pStyle w:val="Heading3"/>
      </w:pPr>
      <w:bookmarkStart w:id="46" w:name="_Toc246227791"/>
      <w:r w:rsidRPr="009A70C3">
        <w:t>Estimated expenditure</w:t>
      </w:r>
      <w:bookmarkEnd w:id="46"/>
    </w:p>
    <w:p w:rsidR="0072480C" w:rsidRPr="009A70C3" w:rsidRDefault="00B52506" w:rsidP="0072480C">
      <w:pPr>
        <w:pStyle w:val="BodyText"/>
      </w:pPr>
      <w:r>
        <w:t>In 2008–09, a</w:t>
      </w:r>
      <w:r w:rsidR="0072480C" w:rsidRPr="009A70C3">
        <w:t xml:space="preserve">pproximately </w:t>
      </w:r>
      <w:r w:rsidR="00D81195" w:rsidRPr="009A70C3">
        <w:t>5</w:t>
      </w:r>
      <w:r w:rsidR="00D81195">
        <w:t>7</w:t>
      </w:r>
      <w:r w:rsidR="0072480C" w:rsidRPr="009A70C3">
        <w:t xml:space="preserve">.1% of total expenditure was </w:t>
      </w:r>
      <w:r>
        <w:t xml:space="preserve">committed to initiatives related to </w:t>
      </w:r>
      <w:r w:rsidR="0072480C" w:rsidRPr="009A70C3">
        <w:t xml:space="preserve">this objective. </w:t>
      </w:r>
      <w:proofErr w:type="spellStart"/>
      <w:r w:rsidR="0072480C" w:rsidRPr="009A70C3">
        <w:t>AusAID</w:t>
      </w:r>
      <w:proofErr w:type="spellEnd"/>
      <w:r w:rsidR="0072480C" w:rsidRPr="009A70C3">
        <w:t xml:space="preserve">, NZAID, Japan, Taiwan and Cuba provide significant support to </w:t>
      </w:r>
      <w:r w:rsidR="0072480C" w:rsidRPr="009A70C3">
        <w:rPr>
          <w:bCs/>
          <w:lang w:bidi="x-none"/>
        </w:rPr>
        <w:t>human resource development (</w:t>
      </w:r>
      <w:r w:rsidR="0072480C" w:rsidRPr="009A70C3">
        <w:t>HRD).</w:t>
      </w:r>
    </w:p>
    <w:p w:rsidR="007F204A" w:rsidRPr="009A70C3" w:rsidRDefault="007F204A" w:rsidP="007F204A">
      <w:pPr>
        <w:pStyle w:val="Heading3"/>
      </w:pPr>
      <w:bookmarkStart w:id="47" w:name="_Toc246227792"/>
      <w:r w:rsidRPr="009A70C3">
        <w:t>Assess</w:t>
      </w:r>
      <w:r w:rsidR="002140CE" w:rsidRPr="009A70C3">
        <w:t>ment of results and performance</w:t>
      </w:r>
      <w:bookmarkEnd w:id="47"/>
    </w:p>
    <w:p w:rsidR="0072480C" w:rsidRPr="009A70C3" w:rsidRDefault="0072480C" w:rsidP="0072480C">
      <w:pPr>
        <w:pStyle w:val="BodyText"/>
      </w:pPr>
      <w:r w:rsidRPr="009A70C3">
        <w:t xml:space="preserve">Activities under this objective are aligned </w:t>
      </w:r>
      <w:r w:rsidR="00104FE3" w:rsidRPr="009A70C3">
        <w:t xml:space="preserve">with </w:t>
      </w:r>
      <w:r w:rsidRPr="009A70C3">
        <w:t>the KDP, which identifies investment in targeted HRD for domestic and international employment as a critical strategy for securing economic growth and reducing poverty in Kiribati.</w:t>
      </w:r>
      <w:r w:rsidRPr="009A70C3">
        <w:rPr>
          <w:rStyle w:val="FootnoteReference"/>
          <w:bCs/>
          <w:lang w:bidi="x-none"/>
        </w:rPr>
        <w:footnoteReference w:id="4"/>
      </w:r>
      <w:r w:rsidR="002A21F9" w:rsidRPr="009A70C3">
        <w:t xml:space="preserve"> </w:t>
      </w:r>
      <w:r w:rsidRPr="009A70C3">
        <w:t xml:space="preserve">Future APPRs will report against the Partnership for Development Priority Outcome 2 </w:t>
      </w:r>
      <w:r w:rsidR="002A21F9" w:rsidRPr="009A70C3">
        <w:t xml:space="preserve">– </w:t>
      </w:r>
      <w:r w:rsidRPr="009A70C3">
        <w:t xml:space="preserve">Workforce Skills Development. Under the </w:t>
      </w:r>
      <w:r w:rsidR="002A21F9" w:rsidRPr="009A70C3">
        <w:t>p</w:t>
      </w:r>
      <w:r w:rsidRPr="009A70C3">
        <w:t>artnership</w:t>
      </w:r>
      <w:r w:rsidR="002A21F9" w:rsidRPr="009A70C3">
        <w:t>,</w:t>
      </w:r>
      <w:r w:rsidRPr="009A70C3">
        <w:t xml:space="preserve"> there will be more explicit programming and policy links between </w:t>
      </w:r>
      <w:r w:rsidR="00B52506">
        <w:t xml:space="preserve">the support that </w:t>
      </w:r>
      <w:proofErr w:type="spellStart"/>
      <w:r w:rsidR="00B52506">
        <w:t>AusAID</w:t>
      </w:r>
      <w:proofErr w:type="spellEnd"/>
      <w:r w:rsidR="00B52506">
        <w:t xml:space="preserve"> gives for </w:t>
      </w:r>
      <w:r w:rsidRPr="009A70C3">
        <w:t xml:space="preserve">basic education and workforce skills development. </w:t>
      </w:r>
      <w:r w:rsidR="002A21F9" w:rsidRPr="009A70C3">
        <w:t>A</w:t>
      </w:r>
      <w:r w:rsidRPr="009A70C3">
        <w:t xml:space="preserve">chievements against the current objectives </w:t>
      </w:r>
      <w:r w:rsidR="002A21F9" w:rsidRPr="009A70C3">
        <w:t>for 2008 are as follows.</w:t>
      </w:r>
    </w:p>
    <w:p w:rsidR="00FC6F77" w:rsidRPr="009A70C3" w:rsidRDefault="0072480C" w:rsidP="009C13B3">
      <w:pPr>
        <w:pStyle w:val="Heading4"/>
      </w:pPr>
      <w:r w:rsidRPr="009A70C3">
        <w:t>Kiribati</w:t>
      </w:r>
      <w:r w:rsidR="00413604" w:rsidRPr="009A70C3">
        <w:t>–</w:t>
      </w:r>
      <w:r w:rsidRPr="009A70C3">
        <w:t xml:space="preserve">Australia </w:t>
      </w:r>
      <w:r w:rsidR="00413604" w:rsidRPr="009A70C3">
        <w:t xml:space="preserve">Nursing </w:t>
      </w:r>
      <w:r w:rsidRPr="009A70C3">
        <w:t>Initiative</w:t>
      </w:r>
    </w:p>
    <w:p w:rsidR="0072480C" w:rsidRPr="009A70C3" w:rsidRDefault="00B52506" w:rsidP="00FC6F77">
      <w:pPr>
        <w:pStyle w:val="BodyText"/>
      </w:pPr>
      <w:r>
        <w:t xml:space="preserve">Fifty-seven </w:t>
      </w:r>
      <w:r w:rsidR="0072480C" w:rsidRPr="009A70C3">
        <w:t xml:space="preserve">students </w:t>
      </w:r>
      <w:r>
        <w:t xml:space="preserve">are </w:t>
      </w:r>
      <w:r w:rsidR="0072480C" w:rsidRPr="009A70C3">
        <w:t>studying nursing at Griffith University in Brisbane, with the first cohort successfully completing the first 12 months of their bachelor degree, and the second cohort successfully completing the preparation program</w:t>
      </w:r>
      <w:r w:rsidR="004C3315" w:rsidRPr="009A70C3">
        <w:t xml:space="preserve">. </w:t>
      </w:r>
      <w:r w:rsidR="0072480C" w:rsidRPr="009A70C3">
        <w:t>With no graduates as yet, it is too early in the program to realise actual outcomes</w:t>
      </w:r>
      <w:r w:rsidR="009C13B3" w:rsidRPr="009A70C3">
        <w:t>;</w:t>
      </w:r>
      <w:r w:rsidR="0072480C" w:rsidRPr="009A70C3">
        <w:t xml:space="preserve"> however</w:t>
      </w:r>
      <w:r w:rsidR="009C13B3" w:rsidRPr="009A70C3">
        <w:t>,</w:t>
      </w:r>
      <w:r w:rsidR="0072480C" w:rsidRPr="009A70C3">
        <w:t xml:space="preserve"> good indicator</w:t>
      </w:r>
      <w:r w:rsidR="009C13B3" w:rsidRPr="009A70C3">
        <w:t>s include</w:t>
      </w:r>
      <w:r w:rsidR="0072480C" w:rsidRPr="009A70C3">
        <w:t xml:space="preserve"> the 97% </w:t>
      </w:r>
      <w:r>
        <w:t xml:space="preserve">study </w:t>
      </w:r>
      <w:r w:rsidR="0072480C" w:rsidRPr="009A70C3">
        <w:t xml:space="preserve">success rate for students, and </w:t>
      </w:r>
      <w:r w:rsidR="000D424B" w:rsidRPr="009A70C3">
        <w:t xml:space="preserve">the </w:t>
      </w:r>
      <w:r w:rsidR="009A4117">
        <w:t xml:space="preserve">engagement of </w:t>
      </w:r>
      <w:r w:rsidR="0072480C" w:rsidRPr="009A70C3">
        <w:t xml:space="preserve">three students </w:t>
      </w:r>
      <w:r w:rsidR="009A4117">
        <w:t xml:space="preserve">for </w:t>
      </w:r>
      <w:r w:rsidR="0072480C" w:rsidRPr="009A70C3">
        <w:t>casual nursing work in Australia over their study break</w:t>
      </w:r>
      <w:r w:rsidR="004C3315" w:rsidRPr="009A70C3">
        <w:t xml:space="preserve">. </w:t>
      </w:r>
      <w:r w:rsidR="0072480C" w:rsidRPr="009A70C3">
        <w:t xml:space="preserve">Students for the third cohort in 2009 have </w:t>
      </w:r>
      <w:r w:rsidR="000D424B" w:rsidRPr="009A70C3">
        <w:t xml:space="preserve">begun </w:t>
      </w:r>
      <w:r w:rsidR="0072480C" w:rsidRPr="009A70C3">
        <w:t>the preparation program in Tarawa</w:t>
      </w:r>
      <w:r w:rsidR="004C3315" w:rsidRPr="009A70C3">
        <w:t xml:space="preserve">. </w:t>
      </w:r>
      <w:r w:rsidR="0072480C" w:rsidRPr="009A70C3">
        <w:t>Components 2 and 3 of th</w:t>
      </w:r>
      <w:r w:rsidR="000D424B" w:rsidRPr="009A70C3">
        <w:t>e</w:t>
      </w:r>
      <w:r w:rsidR="0072480C" w:rsidRPr="009A70C3">
        <w:t xml:space="preserve"> program, </w:t>
      </w:r>
      <w:r w:rsidR="009A4117">
        <w:t xml:space="preserve">which </w:t>
      </w:r>
      <w:r w:rsidR="0072480C" w:rsidRPr="009A70C3">
        <w:t>focus on improving the quality of nurse training in Kiribati, were deferred in 2008</w:t>
      </w:r>
      <w:r w:rsidR="000D424B" w:rsidRPr="009A70C3">
        <w:t>,</w:t>
      </w:r>
      <w:r w:rsidR="0072480C" w:rsidRPr="009A70C3">
        <w:t xml:space="preserve"> pending outcomes of other donor activity in this area</w:t>
      </w:r>
      <w:r w:rsidR="000D424B" w:rsidRPr="009A70C3">
        <w:t>;</w:t>
      </w:r>
      <w:r w:rsidR="0072480C" w:rsidRPr="009A70C3">
        <w:t xml:space="preserve"> namely</w:t>
      </w:r>
      <w:r w:rsidR="000D424B" w:rsidRPr="009A70C3">
        <w:t xml:space="preserve">, </w:t>
      </w:r>
      <w:r w:rsidR="009A4117">
        <w:t xml:space="preserve">activities of </w:t>
      </w:r>
      <w:r w:rsidR="000D424B" w:rsidRPr="009A70C3">
        <w:t>the</w:t>
      </w:r>
      <w:r w:rsidR="0072480C" w:rsidRPr="009A70C3">
        <w:t xml:space="preserve"> W</w:t>
      </w:r>
      <w:r w:rsidR="000D424B" w:rsidRPr="009A70C3">
        <w:t xml:space="preserve">orld </w:t>
      </w:r>
      <w:r w:rsidR="0072480C" w:rsidRPr="009A70C3">
        <w:t>H</w:t>
      </w:r>
      <w:r w:rsidR="000D424B" w:rsidRPr="009A70C3">
        <w:t xml:space="preserve">ealth </w:t>
      </w:r>
      <w:r w:rsidR="0072480C" w:rsidRPr="009A70C3">
        <w:t>O</w:t>
      </w:r>
      <w:r w:rsidR="000D424B" w:rsidRPr="009A70C3">
        <w:t>rganization</w:t>
      </w:r>
      <w:r w:rsidR="0072480C" w:rsidRPr="009A70C3">
        <w:t xml:space="preserve">, NZAID and </w:t>
      </w:r>
      <w:r w:rsidR="000D424B" w:rsidRPr="009A70C3">
        <w:t xml:space="preserve">the </w:t>
      </w:r>
      <w:r w:rsidR="0072480C" w:rsidRPr="009A70C3">
        <w:t>EU</w:t>
      </w:r>
      <w:r w:rsidR="004C3315" w:rsidRPr="009A70C3">
        <w:t xml:space="preserve">. </w:t>
      </w:r>
      <w:r w:rsidR="0072480C" w:rsidRPr="009A70C3">
        <w:t xml:space="preserve">A donor coordination committee for the nursing sector, chaired by </w:t>
      </w:r>
      <w:proofErr w:type="spellStart"/>
      <w:r w:rsidR="0072480C" w:rsidRPr="009A70C3">
        <w:t>GoK</w:t>
      </w:r>
      <w:proofErr w:type="spellEnd"/>
      <w:r w:rsidR="0072480C" w:rsidRPr="009A70C3">
        <w:t xml:space="preserve">, was established to ensure </w:t>
      </w:r>
      <w:r w:rsidR="000D424B" w:rsidRPr="009A70C3">
        <w:t xml:space="preserve">that </w:t>
      </w:r>
      <w:r w:rsidR="0072480C" w:rsidRPr="009A70C3">
        <w:t>all future assistance by donors is harmoni</w:t>
      </w:r>
      <w:r w:rsidR="000D424B" w:rsidRPr="009A70C3">
        <w:t>s</w:t>
      </w:r>
      <w:r w:rsidR="0072480C" w:rsidRPr="009A70C3">
        <w:t xml:space="preserve">ed and aligned with </w:t>
      </w:r>
      <w:proofErr w:type="spellStart"/>
      <w:r w:rsidR="0072480C" w:rsidRPr="009A70C3">
        <w:t>GoK</w:t>
      </w:r>
      <w:proofErr w:type="spellEnd"/>
      <w:r w:rsidR="0072480C" w:rsidRPr="009A70C3">
        <w:t xml:space="preserve"> policy directions.</w:t>
      </w:r>
    </w:p>
    <w:p w:rsidR="00FC6F77" w:rsidRPr="009A70C3" w:rsidRDefault="0072480C" w:rsidP="009C13B3">
      <w:pPr>
        <w:pStyle w:val="Heading4"/>
      </w:pPr>
      <w:r w:rsidRPr="009A70C3">
        <w:lastRenderedPageBreak/>
        <w:t>Scholarships</w:t>
      </w:r>
    </w:p>
    <w:p w:rsidR="0072480C" w:rsidRPr="009A70C3" w:rsidRDefault="0072480C" w:rsidP="008A760D">
      <w:pPr>
        <w:pStyle w:val="BodyText"/>
      </w:pPr>
      <w:r w:rsidRPr="009A70C3">
        <w:t xml:space="preserve">There were </w:t>
      </w:r>
      <w:r w:rsidR="000D424B" w:rsidRPr="009A70C3">
        <w:t xml:space="preserve">six </w:t>
      </w:r>
      <w:r w:rsidRPr="009A70C3">
        <w:t xml:space="preserve">continuing and </w:t>
      </w:r>
      <w:r w:rsidR="000D424B" w:rsidRPr="009A70C3">
        <w:t xml:space="preserve">nine </w:t>
      </w:r>
      <w:r w:rsidRPr="009A70C3">
        <w:t xml:space="preserve">new </w:t>
      </w:r>
      <w:r w:rsidRPr="009A70C3">
        <w:rPr>
          <w:bCs/>
          <w:iCs/>
        </w:rPr>
        <w:t>Australian Development Scholarship (ADS)</w:t>
      </w:r>
      <w:r w:rsidRPr="009A70C3">
        <w:t xml:space="preserve"> students studying in Australia in 2008 in courses directly relevant to priorities identified in the Kiribati HRD Plan, including </w:t>
      </w:r>
      <w:r w:rsidR="009A4117">
        <w:t xml:space="preserve">in </w:t>
      </w:r>
      <w:r w:rsidRPr="009A70C3">
        <w:t>public administration, health science, engineering, and environmental studies</w:t>
      </w:r>
      <w:r w:rsidR="004C3315" w:rsidRPr="009A70C3">
        <w:t xml:space="preserve">. </w:t>
      </w:r>
      <w:r w:rsidRPr="009A70C3">
        <w:t>It is estimated that 90% of all ADS students have successfully completed their studies</w:t>
      </w:r>
      <w:r w:rsidR="009A4117">
        <w:t xml:space="preserve"> – a statistic which</w:t>
      </w:r>
      <w:r w:rsidR="000D424B" w:rsidRPr="009A70C3">
        <w:t xml:space="preserve"> </w:t>
      </w:r>
      <w:r w:rsidRPr="009A70C3">
        <w:t xml:space="preserve">continues recent positive upwards trends but </w:t>
      </w:r>
      <w:r w:rsidR="009A4117">
        <w:t xml:space="preserve">which </w:t>
      </w:r>
      <w:r w:rsidRPr="009A70C3">
        <w:t xml:space="preserve">is still </w:t>
      </w:r>
      <w:r w:rsidR="000D424B" w:rsidRPr="009A70C3">
        <w:t>lower than regional benchmarks.</w:t>
      </w:r>
    </w:p>
    <w:p w:rsidR="007F204A" w:rsidRPr="009A70C3" w:rsidRDefault="009A4117" w:rsidP="008A760D">
      <w:pPr>
        <w:pStyle w:val="BodyText"/>
      </w:pPr>
      <w:r>
        <w:t xml:space="preserve">Forty-nine </w:t>
      </w:r>
      <w:r w:rsidR="0072480C" w:rsidRPr="009A70C3">
        <w:t xml:space="preserve">students </w:t>
      </w:r>
      <w:r>
        <w:t xml:space="preserve">were </w:t>
      </w:r>
      <w:r w:rsidR="0072480C" w:rsidRPr="009A70C3">
        <w:t xml:space="preserve">studying under Australian Regional Development Scholarships (ARDS) </w:t>
      </w:r>
      <w:r w:rsidR="000D424B" w:rsidRPr="009A70C3">
        <w:t xml:space="preserve">in 2008, mainly </w:t>
      </w:r>
      <w:r w:rsidR="0072480C" w:rsidRPr="009A70C3">
        <w:t>in Fiji, but also in Samoa and Vanuatu</w:t>
      </w:r>
      <w:r w:rsidR="004C3315" w:rsidRPr="009A70C3">
        <w:t xml:space="preserve">. </w:t>
      </w:r>
      <w:r w:rsidR="0072480C" w:rsidRPr="009A70C3">
        <w:t xml:space="preserve">It is estimated that 67% of all ARDS students to date have successfully completed their studies, significantly lower than </w:t>
      </w:r>
      <w:r w:rsidR="004336CF">
        <w:t xml:space="preserve">the rate </w:t>
      </w:r>
      <w:r w:rsidR="0072480C" w:rsidRPr="009A70C3">
        <w:t>for ADS students</w:t>
      </w:r>
      <w:r w:rsidR="004C3315" w:rsidRPr="009A70C3">
        <w:t xml:space="preserve">. </w:t>
      </w:r>
      <w:r w:rsidR="0072480C" w:rsidRPr="009A70C3">
        <w:t xml:space="preserve">This success rate has improved slightly since last year, </w:t>
      </w:r>
      <w:r w:rsidR="004336CF">
        <w:t xml:space="preserve">and is </w:t>
      </w:r>
      <w:r w:rsidR="0072480C" w:rsidRPr="009A70C3">
        <w:t>attributable to the introduction of student support and progress monitoring measures</w:t>
      </w:r>
      <w:r w:rsidR="004336CF">
        <w:t xml:space="preserve">. It </w:t>
      </w:r>
      <w:r w:rsidR="0072480C" w:rsidRPr="009A70C3">
        <w:t xml:space="preserve">is anticipated </w:t>
      </w:r>
      <w:r w:rsidR="003F05C5" w:rsidRPr="009A70C3">
        <w:t xml:space="preserve">that </w:t>
      </w:r>
      <w:r w:rsidR="0072480C" w:rsidRPr="009A70C3">
        <w:t>this rate will further increase with the appointment of a student support officer in Suva in July 2008 to provide orientation, guidance and support to I-Kiribati students.</w:t>
      </w:r>
    </w:p>
    <w:p w:rsidR="0072480C" w:rsidRPr="009A70C3" w:rsidRDefault="0072480C" w:rsidP="008A760D">
      <w:pPr>
        <w:pStyle w:val="BodyText"/>
      </w:pPr>
      <w:r w:rsidRPr="009A70C3">
        <w:t>Whil</w:t>
      </w:r>
      <w:r w:rsidR="008A760D" w:rsidRPr="009A70C3">
        <w:t>e</w:t>
      </w:r>
      <w:r w:rsidRPr="009A70C3">
        <w:t xml:space="preserve"> no system </w:t>
      </w:r>
      <w:r w:rsidR="000F3368">
        <w:t xml:space="preserve">exists </w:t>
      </w:r>
      <w:r w:rsidRPr="009A70C3">
        <w:t xml:space="preserve">to measure development outcomes of scholarships, anecdotal evidence suggests </w:t>
      </w:r>
      <w:r w:rsidR="008A760D" w:rsidRPr="009A70C3">
        <w:t xml:space="preserve">that </w:t>
      </w:r>
      <w:r w:rsidRPr="009A70C3">
        <w:t>many graduates have returned to Kiribati and now hold senior and influential positions in the public sector, private sector and civil society</w:t>
      </w:r>
      <w:r w:rsidR="004C3315" w:rsidRPr="009A70C3">
        <w:t xml:space="preserve">. </w:t>
      </w:r>
      <w:r w:rsidRPr="009A70C3">
        <w:t>In March 2009</w:t>
      </w:r>
      <w:r w:rsidR="008A760D" w:rsidRPr="009A70C3">
        <w:t>,</w:t>
      </w:r>
      <w:r w:rsidR="001B53D0">
        <w:t xml:space="preserve"> </w:t>
      </w:r>
      <w:proofErr w:type="spellStart"/>
      <w:r w:rsidRPr="009A70C3">
        <w:t>GoK</w:t>
      </w:r>
      <w:proofErr w:type="spellEnd"/>
      <w:r w:rsidRPr="009A70C3">
        <w:t xml:space="preserve">, with the assistance of </w:t>
      </w:r>
      <w:proofErr w:type="spellStart"/>
      <w:r w:rsidRPr="009A70C3">
        <w:t>AusAID</w:t>
      </w:r>
      <w:proofErr w:type="spellEnd"/>
      <w:r w:rsidR="008A760D" w:rsidRPr="009A70C3">
        <w:t>,</w:t>
      </w:r>
      <w:r w:rsidR="0035732F">
        <w:t xml:space="preserve"> conducted a mini-</w:t>
      </w:r>
      <w:r w:rsidRPr="009A70C3">
        <w:t xml:space="preserve">tracer study to improve data on </w:t>
      </w:r>
      <w:r w:rsidR="008A760D" w:rsidRPr="009A70C3">
        <w:t xml:space="preserve">the </w:t>
      </w:r>
      <w:r w:rsidRPr="009A70C3">
        <w:t>development impact of scholarships</w:t>
      </w:r>
      <w:r w:rsidR="004C3315" w:rsidRPr="009A70C3">
        <w:t xml:space="preserve">. </w:t>
      </w:r>
      <w:proofErr w:type="spellStart"/>
      <w:r w:rsidRPr="009A70C3">
        <w:t>AusAID</w:t>
      </w:r>
      <w:proofErr w:type="spellEnd"/>
      <w:r w:rsidRPr="009A70C3">
        <w:t xml:space="preserve"> will be reviewing its scholarship programs for Kiribati in 2009 with a view to producing quantifiable data to assess whether the initiative is achieving its objectives</w:t>
      </w:r>
      <w:r w:rsidR="004C3315" w:rsidRPr="009A70C3">
        <w:t xml:space="preserve">. </w:t>
      </w:r>
      <w:r w:rsidRPr="009A70C3">
        <w:t xml:space="preserve">This review will look at </w:t>
      </w:r>
      <w:r w:rsidR="000F3368">
        <w:t xml:space="preserve">how </w:t>
      </w:r>
      <w:r w:rsidRPr="009A70C3">
        <w:t xml:space="preserve">scholarship programs </w:t>
      </w:r>
      <w:r w:rsidR="000F3368">
        <w:t xml:space="preserve">with good success rates </w:t>
      </w:r>
      <w:r w:rsidRPr="009A70C3">
        <w:t xml:space="preserve">at other </w:t>
      </w:r>
      <w:proofErr w:type="spellStart"/>
      <w:r w:rsidRPr="009A70C3">
        <w:t>AusAID</w:t>
      </w:r>
      <w:proofErr w:type="spellEnd"/>
      <w:r w:rsidRPr="009A70C3">
        <w:t xml:space="preserve"> posts </w:t>
      </w:r>
      <w:r w:rsidR="000F3368">
        <w:t>are managed</w:t>
      </w:r>
      <w:r w:rsidRPr="009A70C3">
        <w:t xml:space="preserve">, and incorporate these </w:t>
      </w:r>
      <w:r w:rsidR="008A760D" w:rsidRPr="009A70C3">
        <w:t xml:space="preserve">findings </w:t>
      </w:r>
      <w:r w:rsidRPr="009A70C3">
        <w:t>into the revised model</w:t>
      </w:r>
      <w:r w:rsidR="004C3315" w:rsidRPr="009A70C3">
        <w:t xml:space="preserve">. </w:t>
      </w:r>
      <w:r w:rsidRPr="009A70C3">
        <w:t xml:space="preserve">It is acknowledged that English language deficiency is a particular impediment to improving success rates of I-Kiribati students. </w:t>
      </w:r>
      <w:r w:rsidR="008A760D" w:rsidRPr="009A70C3">
        <w:t>The review will also consider o</w:t>
      </w:r>
      <w:r w:rsidRPr="009A70C3">
        <w:t>ptions for address</w:t>
      </w:r>
      <w:r w:rsidR="000F3368">
        <w:t>ing</w:t>
      </w:r>
      <w:r w:rsidRPr="009A70C3">
        <w:t xml:space="preserve"> this problem, including </w:t>
      </w:r>
      <w:r w:rsidR="000F3368">
        <w:t xml:space="preserve">the </w:t>
      </w:r>
      <w:r w:rsidRPr="009A70C3">
        <w:t xml:space="preserve">wider application of the KANI preparation program model prior to students </w:t>
      </w:r>
      <w:r w:rsidR="000F3368">
        <w:t xml:space="preserve">coming </w:t>
      </w:r>
      <w:r w:rsidRPr="009A70C3">
        <w:t>to Australia.</w:t>
      </w:r>
    </w:p>
    <w:p w:rsidR="00FC6F77" w:rsidRPr="009A70C3" w:rsidRDefault="0072480C" w:rsidP="009C13B3">
      <w:pPr>
        <w:pStyle w:val="Heading4"/>
      </w:pPr>
      <w:r w:rsidRPr="009A70C3">
        <w:t xml:space="preserve">Human </w:t>
      </w:r>
      <w:r w:rsidR="00722893" w:rsidRPr="009A70C3">
        <w:t>r</w:t>
      </w:r>
      <w:r w:rsidRPr="009A70C3">
        <w:t>esour</w:t>
      </w:r>
      <w:r w:rsidR="009C13B3" w:rsidRPr="009A70C3">
        <w:t xml:space="preserve">ce </w:t>
      </w:r>
      <w:r w:rsidR="00722893" w:rsidRPr="009A70C3">
        <w:t>d</w:t>
      </w:r>
      <w:r w:rsidR="009C13B3" w:rsidRPr="009A70C3">
        <w:t xml:space="preserve">evelopment </w:t>
      </w:r>
      <w:r w:rsidR="00722893" w:rsidRPr="009A70C3">
        <w:t>p</w:t>
      </w:r>
      <w:r w:rsidR="009C13B3" w:rsidRPr="009A70C3">
        <w:t>lanning</w:t>
      </w:r>
    </w:p>
    <w:p w:rsidR="0072480C" w:rsidRPr="009A70C3" w:rsidRDefault="0072480C" w:rsidP="00FC6F77">
      <w:pPr>
        <w:pStyle w:val="BodyText"/>
      </w:pPr>
      <w:r w:rsidRPr="009A70C3">
        <w:t>The ongoing engagement of a technical advis</w:t>
      </w:r>
      <w:r w:rsidR="00722893" w:rsidRPr="009A70C3">
        <w:t>e</w:t>
      </w:r>
      <w:r w:rsidRPr="009A70C3">
        <w:t xml:space="preserve">r to the Public Service Office (PSO) in 2008 contributed to the finalisation and implementation of the National HRD Plan. The HRD </w:t>
      </w:r>
      <w:r w:rsidR="002C16FF">
        <w:t xml:space="preserve">Plan </w:t>
      </w:r>
      <w:r w:rsidRPr="009A70C3">
        <w:t xml:space="preserve">was </w:t>
      </w:r>
      <w:r w:rsidR="002C16FF">
        <w:t>integrated into PSO’s planning processes</w:t>
      </w:r>
      <w:r w:rsidRPr="009A70C3">
        <w:t xml:space="preserve">, with ongoing improvements to the </w:t>
      </w:r>
      <w:r w:rsidR="002C16FF" w:rsidRPr="009A70C3">
        <w:t>HRD</w:t>
      </w:r>
      <w:r w:rsidR="002C16FF">
        <w:t xml:space="preserve"> Plan </w:t>
      </w:r>
      <w:r w:rsidRPr="009A70C3">
        <w:t>and workforce planning processes</w:t>
      </w:r>
      <w:r w:rsidR="004C3315" w:rsidRPr="009A70C3">
        <w:t xml:space="preserve">. </w:t>
      </w:r>
      <w:r w:rsidRPr="009A70C3">
        <w:t xml:space="preserve">The HRD Plan prioritises national training needs, and ensures that training awards, such as </w:t>
      </w:r>
      <w:proofErr w:type="spellStart"/>
      <w:r w:rsidRPr="009A70C3">
        <w:t>AusAID</w:t>
      </w:r>
      <w:proofErr w:type="spellEnd"/>
      <w:r w:rsidRPr="009A70C3">
        <w:t xml:space="preserve"> scholarships, are allocated according to national priorities</w:t>
      </w:r>
      <w:r w:rsidR="004C3315" w:rsidRPr="009A70C3">
        <w:t xml:space="preserve">. </w:t>
      </w:r>
      <w:r w:rsidRPr="009A70C3">
        <w:t>The advis</w:t>
      </w:r>
      <w:r w:rsidR="005D17A1" w:rsidRPr="009A70C3">
        <w:t>e</w:t>
      </w:r>
      <w:r w:rsidRPr="009A70C3">
        <w:t xml:space="preserve">r’s role was expanded to assist the PSO </w:t>
      </w:r>
      <w:r w:rsidR="00A22C52">
        <w:t xml:space="preserve">to </w:t>
      </w:r>
      <w:r w:rsidRPr="009A70C3">
        <w:t xml:space="preserve">progress its broader public sector reform agenda, including </w:t>
      </w:r>
      <w:r w:rsidR="00A22C52">
        <w:t xml:space="preserve">its </w:t>
      </w:r>
      <w:r w:rsidRPr="009A70C3">
        <w:t>review of the National Conditions of Service.</w:t>
      </w:r>
      <w:r w:rsidRPr="009A70C3">
        <w:rPr>
          <w:i/>
          <w:iCs/>
        </w:rPr>
        <w:t xml:space="preserve"> </w:t>
      </w:r>
      <w:proofErr w:type="spellStart"/>
      <w:r w:rsidR="005D17A1" w:rsidRPr="009A70C3">
        <w:rPr>
          <w:iCs/>
        </w:rPr>
        <w:t>GoK</w:t>
      </w:r>
      <w:proofErr w:type="spellEnd"/>
      <w:r w:rsidR="005D17A1" w:rsidRPr="009A70C3">
        <w:rPr>
          <w:iCs/>
        </w:rPr>
        <w:t xml:space="preserve"> and Australia are aware that t</w:t>
      </w:r>
      <w:r w:rsidRPr="009A70C3">
        <w:rPr>
          <w:iCs/>
        </w:rPr>
        <w:t xml:space="preserve">here are a number of inherent challenges to HRD planning and reform (see </w:t>
      </w:r>
      <w:r w:rsidR="0019274E" w:rsidRPr="009A70C3">
        <w:rPr>
          <w:iCs/>
        </w:rPr>
        <w:t xml:space="preserve">‘Overall assessment’ </w:t>
      </w:r>
      <w:r w:rsidRPr="009A70C3">
        <w:rPr>
          <w:iCs/>
        </w:rPr>
        <w:t>below)</w:t>
      </w:r>
      <w:r w:rsidR="004336CF">
        <w:rPr>
          <w:iCs/>
        </w:rPr>
        <w:t xml:space="preserve"> </w:t>
      </w:r>
      <w:r w:rsidRPr="009A70C3">
        <w:rPr>
          <w:iCs/>
        </w:rPr>
        <w:t>which will require systematic and long</w:t>
      </w:r>
      <w:r w:rsidR="005D17A1" w:rsidRPr="009A70C3">
        <w:rPr>
          <w:iCs/>
        </w:rPr>
        <w:t>-</w:t>
      </w:r>
      <w:r w:rsidRPr="009A70C3">
        <w:rPr>
          <w:iCs/>
        </w:rPr>
        <w:t xml:space="preserve">term responses under the </w:t>
      </w:r>
      <w:r w:rsidR="005D17A1" w:rsidRPr="009A70C3">
        <w:rPr>
          <w:iCs/>
        </w:rPr>
        <w:t xml:space="preserve">Australia–Kiribati </w:t>
      </w:r>
      <w:r w:rsidRPr="009A70C3">
        <w:rPr>
          <w:iCs/>
        </w:rPr>
        <w:t>Partnership</w:t>
      </w:r>
      <w:r w:rsidR="005D17A1" w:rsidRPr="009A70C3">
        <w:rPr>
          <w:iCs/>
        </w:rPr>
        <w:t xml:space="preserve"> for Development</w:t>
      </w:r>
      <w:r w:rsidR="004C3315" w:rsidRPr="009A70C3">
        <w:rPr>
          <w:iCs/>
        </w:rPr>
        <w:t>.</w:t>
      </w:r>
    </w:p>
    <w:p w:rsidR="00FC6F77" w:rsidRPr="009A70C3" w:rsidRDefault="0095561A" w:rsidP="009C13B3">
      <w:pPr>
        <w:pStyle w:val="Heading4"/>
      </w:pPr>
      <w:r>
        <w:t>Kiribati</w:t>
      </w:r>
      <w:r w:rsidR="00524C61">
        <w:t>–</w:t>
      </w:r>
      <w:r>
        <w:t xml:space="preserve">Australia </w:t>
      </w:r>
      <w:r w:rsidR="0072480C" w:rsidRPr="009A70C3">
        <w:t xml:space="preserve">Technical and Vocational Education and Training </w:t>
      </w:r>
      <w:r>
        <w:t xml:space="preserve">(TVET) Sector </w:t>
      </w:r>
      <w:r w:rsidR="0072480C" w:rsidRPr="009A70C3">
        <w:t>Strengthening Program</w:t>
      </w:r>
      <w:r>
        <w:t xml:space="preserve"> (TSSP)</w:t>
      </w:r>
    </w:p>
    <w:p w:rsidR="00565247" w:rsidRDefault="0072480C" w:rsidP="00FC6F77">
      <w:pPr>
        <w:pStyle w:val="BodyText"/>
      </w:pPr>
      <w:r w:rsidRPr="009A70C3">
        <w:t>Th</w:t>
      </w:r>
      <w:r w:rsidR="004336CF">
        <w:t xml:space="preserve">e </w:t>
      </w:r>
      <w:r w:rsidR="0095561A">
        <w:t>TSSP</w:t>
      </w:r>
      <w:r w:rsidR="00F45717">
        <w:t>, which</w:t>
      </w:r>
      <w:r w:rsidR="004336CF">
        <w:t xml:space="preserve"> </w:t>
      </w:r>
      <w:r w:rsidRPr="009A70C3">
        <w:t xml:space="preserve">is still at concept stage, </w:t>
      </w:r>
      <w:r w:rsidR="00A22C52">
        <w:t xml:space="preserve">aims to strengthen </w:t>
      </w:r>
      <w:r w:rsidRPr="009A70C3">
        <w:t>TVET institutions in Kiribati</w:t>
      </w:r>
      <w:r w:rsidR="00A22C52">
        <w:t xml:space="preserve">. It will focus in particular </w:t>
      </w:r>
      <w:r w:rsidRPr="009A70C3">
        <w:t>on improving training standards at the Kiribati Institute of Technology (KIT), as a pathway to domestic and overseas employment or further education</w:t>
      </w:r>
      <w:r w:rsidR="004C3315" w:rsidRPr="009A70C3">
        <w:t xml:space="preserve">. </w:t>
      </w:r>
      <w:r w:rsidRPr="009A70C3">
        <w:t xml:space="preserve">As a basis for engaging in the long-term program, </w:t>
      </w:r>
      <w:proofErr w:type="spellStart"/>
      <w:r w:rsidRPr="009A70C3">
        <w:t>AusAID</w:t>
      </w:r>
      <w:proofErr w:type="spellEnd"/>
      <w:r w:rsidRPr="009A70C3">
        <w:t xml:space="preserve"> has agreed to a number of preliminary assistance </w:t>
      </w:r>
    </w:p>
    <w:p w:rsidR="0072480C" w:rsidRPr="009A70C3" w:rsidRDefault="0072480C" w:rsidP="00FC6F77">
      <w:pPr>
        <w:pStyle w:val="BodyText"/>
      </w:pPr>
      <w:proofErr w:type="gramStart"/>
      <w:r w:rsidRPr="009A70C3">
        <w:lastRenderedPageBreak/>
        <w:t>measures</w:t>
      </w:r>
      <w:proofErr w:type="gramEnd"/>
      <w:r w:rsidRPr="009A70C3">
        <w:t xml:space="preserve">, including </w:t>
      </w:r>
      <w:r w:rsidR="00A22C52">
        <w:t xml:space="preserve">the </w:t>
      </w:r>
      <w:r w:rsidRPr="009A70C3">
        <w:t xml:space="preserve">recruitment of an internationally qualified </w:t>
      </w:r>
      <w:r w:rsidR="009663DE" w:rsidRPr="009A70C3">
        <w:t>p</w:t>
      </w:r>
      <w:r w:rsidRPr="009A70C3">
        <w:t xml:space="preserve">rincipal at KIT; delivery of teacher training at KIT in collaboration with APTC; and </w:t>
      </w:r>
      <w:r w:rsidR="00A22C52">
        <w:t xml:space="preserve">upgrade of </w:t>
      </w:r>
      <w:r w:rsidRPr="009A70C3">
        <w:t>equipment at the Marine Training Centre</w:t>
      </w:r>
      <w:r w:rsidR="004C3315" w:rsidRPr="009A70C3">
        <w:t xml:space="preserve">. </w:t>
      </w:r>
      <w:proofErr w:type="spellStart"/>
      <w:r w:rsidR="009663DE" w:rsidRPr="009A70C3">
        <w:t>AusAID</w:t>
      </w:r>
      <w:proofErr w:type="spellEnd"/>
      <w:r w:rsidR="009663DE" w:rsidRPr="009A70C3">
        <w:t xml:space="preserve"> has begun i</w:t>
      </w:r>
      <w:r w:rsidRPr="009A70C3">
        <w:t>mplement</w:t>
      </w:r>
      <w:r w:rsidR="009663DE" w:rsidRPr="009A70C3">
        <w:t>ing</w:t>
      </w:r>
      <w:r w:rsidRPr="009A70C3">
        <w:t xml:space="preserve"> these measures </w:t>
      </w:r>
      <w:r w:rsidR="009663DE" w:rsidRPr="009A70C3">
        <w:t>to</w:t>
      </w:r>
      <w:r w:rsidRPr="009A70C3">
        <w:t xml:space="preserve"> set the foundations for a long</w:t>
      </w:r>
      <w:r w:rsidR="009663DE" w:rsidRPr="009A70C3">
        <w:t>-</w:t>
      </w:r>
      <w:r w:rsidRPr="009A70C3">
        <w:t xml:space="preserve">term </w:t>
      </w:r>
      <w:r w:rsidR="009663DE" w:rsidRPr="009A70C3">
        <w:t xml:space="preserve">assistance </w:t>
      </w:r>
      <w:r w:rsidRPr="009A70C3">
        <w:t>program.</w:t>
      </w:r>
    </w:p>
    <w:p w:rsidR="0072480C" w:rsidRPr="009A70C3" w:rsidRDefault="0072480C" w:rsidP="00FC6F77">
      <w:pPr>
        <w:pStyle w:val="BodyText"/>
      </w:pPr>
      <w:r w:rsidRPr="009A70C3">
        <w:t xml:space="preserve">There are currently 35 I-Kiribati students on scholarships enrolled at various </w:t>
      </w:r>
      <w:r w:rsidRPr="009A70C3">
        <w:rPr>
          <w:bCs/>
        </w:rPr>
        <w:t>APTC</w:t>
      </w:r>
      <w:r w:rsidRPr="009A70C3">
        <w:t xml:space="preserve"> campuses (with 14 graduates) in </w:t>
      </w:r>
      <w:r w:rsidR="00A22C52">
        <w:t xml:space="preserve">a range of </w:t>
      </w:r>
      <w:r w:rsidRPr="009A70C3">
        <w:t>courses</w:t>
      </w:r>
      <w:r w:rsidR="009663DE" w:rsidRPr="009A70C3">
        <w:t>,</w:t>
      </w:r>
      <w:r w:rsidRPr="009A70C3">
        <w:t xml:space="preserve"> including carpentry, mechanics, electrical, cookery and hospital operations.</w:t>
      </w:r>
    </w:p>
    <w:p w:rsidR="0072480C" w:rsidRPr="009A70C3" w:rsidRDefault="0072480C" w:rsidP="00FC6F77">
      <w:pPr>
        <w:pStyle w:val="BodyText"/>
      </w:pPr>
      <w:r w:rsidRPr="009A70C3">
        <w:t>Australia has been a long</w:t>
      </w:r>
      <w:r w:rsidR="009663DE" w:rsidRPr="009A70C3">
        <w:t>-</w:t>
      </w:r>
      <w:r w:rsidRPr="009A70C3">
        <w:t xml:space="preserve">term supporter of the </w:t>
      </w:r>
      <w:r w:rsidR="009663DE" w:rsidRPr="009A70C3">
        <w:t>Marine Training C</w:t>
      </w:r>
      <w:r w:rsidRPr="009A70C3">
        <w:t>entr</w:t>
      </w:r>
      <w:r w:rsidR="009663DE" w:rsidRPr="009A70C3">
        <w:t>e</w:t>
      </w:r>
      <w:r w:rsidRPr="009A70C3">
        <w:t>, which has helped the cent</w:t>
      </w:r>
      <w:r w:rsidR="009663DE" w:rsidRPr="009A70C3">
        <w:t>r</w:t>
      </w:r>
      <w:r w:rsidRPr="009A70C3">
        <w:t xml:space="preserve">e to increase the number of courses and places it is able to offer students in the maritime </w:t>
      </w:r>
      <w:r w:rsidR="0095561A">
        <w:t>industry.</w:t>
      </w:r>
    </w:p>
    <w:p w:rsidR="00FC6F77" w:rsidRPr="009A70C3" w:rsidRDefault="00FC6F77" w:rsidP="00FC6F77">
      <w:pPr>
        <w:pStyle w:val="Heading4"/>
      </w:pPr>
      <w:r w:rsidRPr="009A70C3">
        <w:t>Overall assessment</w:t>
      </w:r>
    </w:p>
    <w:p w:rsidR="0072480C" w:rsidRPr="009A70C3" w:rsidRDefault="0072480C" w:rsidP="00C63F2D">
      <w:pPr>
        <w:pStyle w:val="BodyText"/>
      </w:pPr>
      <w:proofErr w:type="spellStart"/>
      <w:r w:rsidRPr="009A70C3">
        <w:t>GoK</w:t>
      </w:r>
      <w:proofErr w:type="spellEnd"/>
      <w:r w:rsidRPr="009A70C3">
        <w:t xml:space="preserve"> advised that </w:t>
      </w:r>
      <w:proofErr w:type="spellStart"/>
      <w:r w:rsidRPr="009A70C3">
        <w:t>AusAID’s</w:t>
      </w:r>
      <w:proofErr w:type="spellEnd"/>
      <w:r w:rsidRPr="009A70C3">
        <w:t xml:space="preserve"> programs are valuable and supportive of the overarching HRD strategic objectives, and note</w:t>
      </w:r>
      <w:r w:rsidR="0026287C">
        <w:t>d</w:t>
      </w:r>
      <w:r w:rsidRPr="009A70C3">
        <w:t xml:space="preserve"> in particular the considerable success of KANI</w:t>
      </w:r>
      <w:r w:rsidR="004C3315" w:rsidRPr="009A70C3">
        <w:t xml:space="preserve">. </w:t>
      </w:r>
      <w:r w:rsidRPr="009A70C3">
        <w:t xml:space="preserve">However, </w:t>
      </w:r>
      <w:proofErr w:type="spellStart"/>
      <w:r w:rsidRPr="009A70C3">
        <w:t>GoK</w:t>
      </w:r>
      <w:proofErr w:type="spellEnd"/>
      <w:r w:rsidRPr="009A70C3">
        <w:t xml:space="preserve"> </w:t>
      </w:r>
      <w:r w:rsidR="00F45717">
        <w:t xml:space="preserve">considers </w:t>
      </w:r>
      <w:r w:rsidR="0026287C">
        <w:t xml:space="preserve">that </w:t>
      </w:r>
      <w:r w:rsidRPr="009A70C3">
        <w:t xml:space="preserve">more needs to be done to support ‘in-country’ training programs and </w:t>
      </w:r>
      <w:r w:rsidR="008F10B3" w:rsidRPr="009A70C3">
        <w:t xml:space="preserve">to </w:t>
      </w:r>
      <w:r w:rsidRPr="009A70C3">
        <w:t xml:space="preserve">address youth unemployment under this objective, acknowledging the shift in this direction in the design of the future TVET program, and the </w:t>
      </w:r>
      <w:r w:rsidR="008F10B3" w:rsidRPr="009A70C3">
        <w:t xml:space="preserve">Australia–Kiribati </w:t>
      </w:r>
      <w:r w:rsidRPr="009A70C3">
        <w:t xml:space="preserve">Partnership for Development. </w:t>
      </w:r>
      <w:proofErr w:type="spellStart"/>
      <w:r w:rsidRPr="009A70C3">
        <w:t>GoK</w:t>
      </w:r>
      <w:proofErr w:type="spellEnd"/>
      <w:r w:rsidRPr="009A70C3">
        <w:t xml:space="preserve"> also recommended that support for implementing the HRD planning process </w:t>
      </w:r>
      <w:r w:rsidR="006135B5">
        <w:t xml:space="preserve">be </w:t>
      </w:r>
      <w:r w:rsidR="00F45717">
        <w:t>b</w:t>
      </w:r>
      <w:r w:rsidR="00DE4F5B">
        <w:t>etter targeted</w:t>
      </w:r>
      <w:r w:rsidRPr="009A70C3">
        <w:t>, and suggested</w:t>
      </w:r>
      <w:r w:rsidR="008F10B3" w:rsidRPr="009A70C3">
        <w:t xml:space="preserve"> that</w:t>
      </w:r>
      <w:r w:rsidRPr="009A70C3">
        <w:t xml:space="preserve"> </w:t>
      </w:r>
      <w:proofErr w:type="spellStart"/>
      <w:r w:rsidRPr="009A70C3">
        <w:t>AusAID</w:t>
      </w:r>
      <w:proofErr w:type="spellEnd"/>
      <w:r w:rsidRPr="009A70C3">
        <w:t xml:space="preserve"> move from fixed scholarship numbers to a ‘funding envelope’ with more flexibility for addressing HRD requirements</w:t>
      </w:r>
      <w:r w:rsidR="00F45717">
        <w:t>; for example,</w:t>
      </w:r>
      <w:r w:rsidRPr="009A70C3">
        <w:t xml:space="preserve"> TVET options </w:t>
      </w:r>
      <w:r w:rsidRPr="009A70C3">
        <w:rPr>
          <w:iCs/>
        </w:rPr>
        <w:t>(</w:t>
      </w:r>
      <w:proofErr w:type="spellStart"/>
      <w:r w:rsidRPr="009A70C3">
        <w:rPr>
          <w:iCs/>
        </w:rPr>
        <w:t>GoK</w:t>
      </w:r>
      <w:proofErr w:type="spellEnd"/>
      <w:r w:rsidRPr="009A70C3">
        <w:rPr>
          <w:iCs/>
        </w:rPr>
        <w:t xml:space="preserve"> feedback will be factored into a planned scholarships review in 2009)</w:t>
      </w:r>
      <w:r w:rsidR="004C3315" w:rsidRPr="009A70C3">
        <w:rPr>
          <w:i/>
          <w:iCs/>
        </w:rPr>
        <w:t xml:space="preserve">. </w:t>
      </w:r>
      <w:proofErr w:type="spellStart"/>
      <w:r w:rsidRPr="009A70C3">
        <w:t>GoK</w:t>
      </w:r>
      <w:proofErr w:type="spellEnd"/>
      <w:r w:rsidRPr="009A70C3">
        <w:t xml:space="preserve"> officials highlighted a number of other factors that could impact on the success of these programs</w:t>
      </w:r>
      <w:r w:rsidR="008F10B3" w:rsidRPr="009A70C3">
        <w:t>.</w:t>
      </w:r>
    </w:p>
    <w:p w:rsidR="0072480C" w:rsidRPr="009A70C3" w:rsidRDefault="00DB4985" w:rsidP="00060205">
      <w:pPr>
        <w:pStyle w:val="ListBullet"/>
      </w:pPr>
      <w:r>
        <w:t xml:space="preserve">Staff lack the skills and systems are inadequate </w:t>
      </w:r>
      <w:r w:rsidR="0072480C" w:rsidRPr="009A70C3">
        <w:t xml:space="preserve">for producing and analysing data on labour/skill needs, and </w:t>
      </w:r>
      <w:r>
        <w:t xml:space="preserve">for </w:t>
      </w:r>
      <w:r w:rsidR="0072480C" w:rsidRPr="009A70C3">
        <w:t>inform</w:t>
      </w:r>
      <w:r>
        <w:t>ing</w:t>
      </w:r>
      <w:r w:rsidR="0072480C" w:rsidRPr="009A70C3">
        <w:t xml:space="preserve"> and develop</w:t>
      </w:r>
      <w:r>
        <w:t>ing</w:t>
      </w:r>
      <w:r w:rsidR="0072480C" w:rsidRPr="009A70C3">
        <w:t xml:space="preserve"> HRD policy.</w:t>
      </w:r>
    </w:p>
    <w:p w:rsidR="0072480C" w:rsidRPr="009A70C3" w:rsidRDefault="009950AF" w:rsidP="00060205">
      <w:pPr>
        <w:pStyle w:val="ListBullet"/>
      </w:pPr>
      <w:r w:rsidRPr="009A70C3">
        <w:t>The s</w:t>
      </w:r>
      <w:r w:rsidR="0072480C" w:rsidRPr="009A70C3">
        <w:t xml:space="preserve">ustainability of HRD planning processes will be contingent on </w:t>
      </w:r>
      <w:r w:rsidR="00F45717">
        <w:t>being able to retain</w:t>
      </w:r>
      <w:r w:rsidR="00DB4985">
        <w:t xml:space="preserve"> </w:t>
      </w:r>
      <w:r w:rsidR="0072480C" w:rsidRPr="009A70C3">
        <w:t xml:space="preserve">staff in the PSO and broaden HRD management and workforce planning skills across all </w:t>
      </w:r>
      <w:proofErr w:type="spellStart"/>
      <w:r w:rsidR="0072480C" w:rsidRPr="009A70C3">
        <w:t>GoK</w:t>
      </w:r>
      <w:proofErr w:type="spellEnd"/>
      <w:r w:rsidR="0072480C" w:rsidRPr="009A70C3">
        <w:t xml:space="preserve"> ministries.</w:t>
      </w:r>
    </w:p>
    <w:p w:rsidR="0072480C" w:rsidRPr="009A70C3" w:rsidRDefault="0072480C" w:rsidP="00060205">
      <w:pPr>
        <w:pStyle w:val="ListBullet"/>
      </w:pPr>
      <w:r w:rsidRPr="009A70C3">
        <w:t xml:space="preserve">Government policies such as centralised budget and recruitment processes are </w:t>
      </w:r>
      <w:r w:rsidR="00DB4985">
        <w:t xml:space="preserve">not </w:t>
      </w:r>
      <w:r w:rsidR="0078428F">
        <w:t xml:space="preserve">sufficiently flexible </w:t>
      </w:r>
      <w:r w:rsidRPr="009A70C3">
        <w:t>to meet changing HRD requirements across all ministries.</w:t>
      </w:r>
    </w:p>
    <w:p w:rsidR="0072480C" w:rsidRPr="009A70C3" w:rsidRDefault="0078428F" w:rsidP="00060205">
      <w:pPr>
        <w:pStyle w:val="ListBullet"/>
      </w:pPr>
      <w:r w:rsidRPr="009A70C3">
        <w:t xml:space="preserve">Improved </w:t>
      </w:r>
      <w:r w:rsidR="0072480C" w:rsidRPr="009A70C3">
        <w:t>dialogue</w:t>
      </w:r>
      <w:r>
        <w:t>, more timely exchange of information</w:t>
      </w:r>
      <w:r w:rsidR="0072480C" w:rsidRPr="009A70C3">
        <w:t xml:space="preserve"> and </w:t>
      </w:r>
      <w:r>
        <w:t xml:space="preserve">better </w:t>
      </w:r>
      <w:r w:rsidR="0072480C" w:rsidRPr="009A70C3">
        <w:t xml:space="preserve">coordination between </w:t>
      </w:r>
      <w:proofErr w:type="spellStart"/>
      <w:r w:rsidR="0072480C" w:rsidRPr="009A70C3">
        <w:t>GoK</w:t>
      </w:r>
      <w:proofErr w:type="spellEnd"/>
      <w:r w:rsidR="0072480C" w:rsidRPr="009A70C3">
        <w:t xml:space="preserve">, contractors, </w:t>
      </w:r>
      <w:proofErr w:type="spellStart"/>
      <w:r w:rsidR="0072480C" w:rsidRPr="009A70C3">
        <w:t>AusAID</w:t>
      </w:r>
      <w:proofErr w:type="spellEnd"/>
      <w:r w:rsidR="0072480C" w:rsidRPr="009A70C3">
        <w:t xml:space="preserve"> and other donors </w:t>
      </w:r>
      <w:r w:rsidR="00F45717">
        <w:t>are</w:t>
      </w:r>
      <w:r>
        <w:t xml:space="preserve"> needed </w:t>
      </w:r>
      <w:r w:rsidR="0072480C" w:rsidRPr="009A70C3">
        <w:t xml:space="preserve">to ensure </w:t>
      </w:r>
      <w:r w:rsidR="00DB4985">
        <w:t xml:space="preserve">that programs continue to </w:t>
      </w:r>
      <w:r w:rsidR="0072480C" w:rsidRPr="009A70C3">
        <w:t>align with the HRD plan</w:t>
      </w:r>
      <w:r w:rsidR="0026578B" w:rsidRPr="009A70C3">
        <w:t>.</w:t>
      </w:r>
    </w:p>
    <w:p w:rsidR="0072480C" w:rsidRPr="009A70C3" w:rsidRDefault="0072480C" w:rsidP="00060205">
      <w:pPr>
        <w:pStyle w:val="ListBullet"/>
      </w:pPr>
      <w:r w:rsidRPr="009A70C3">
        <w:t>The ongoing challenge of addressing vocational English language skills</w:t>
      </w:r>
      <w:r w:rsidR="0078428F">
        <w:t xml:space="preserve"> needs to be met</w:t>
      </w:r>
      <w:r w:rsidRPr="009A70C3">
        <w:t>.</w:t>
      </w:r>
    </w:p>
    <w:p w:rsidR="0072480C" w:rsidRPr="009A70C3" w:rsidRDefault="0078428F" w:rsidP="00060205">
      <w:pPr>
        <w:pStyle w:val="ListBullet"/>
      </w:pPr>
      <w:r>
        <w:t xml:space="preserve">The poor standard and incompatible database systems currently used by some ministries will affect the delivery of programs. </w:t>
      </w:r>
    </w:p>
    <w:p w:rsidR="0072480C" w:rsidRPr="009A70C3" w:rsidRDefault="00F45717" w:rsidP="00060205">
      <w:pPr>
        <w:pStyle w:val="ListBullet"/>
      </w:pPr>
      <w:r w:rsidRPr="009A70C3">
        <w:t>Long</w:t>
      </w:r>
      <w:r w:rsidR="0072480C" w:rsidRPr="009A70C3">
        <w:t xml:space="preserve">-term donor funding </w:t>
      </w:r>
      <w:r w:rsidR="0026578B" w:rsidRPr="009A70C3">
        <w:t xml:space="preserve">is needed </w:t>
      </w:r>
      <w:r>
        <w:t xml:space="preserve">if the objectives of the HRD Plan are to be fully implemented </w:t>
      </w:r>
      <w:r w:rsidR="0072480C" w:rsidRPr="009A70C3">
        <w:t>in this sector.</w:t>
      </w:r>
    </w:p>
    <w:p w:rsidR="00427D51" w:rsidRPr="009A70C3" w:rsidRDefault="00060205" w:rsidP="00060205">
      <w:pPr>
        <w:pStyle w:val="Heading2unnumbered"/>
      </w:pPr>
      <w:bookmarkStart w:id="48" w:name="_Toc246227793"/>
      <w:r w:rsidRPr="009A70C3">
        <w:t xml:space="preserve">Objective 4: </w:t>
      </w:r>
      <w:r w:rsidR="00427D51" w:rsidRPr="009A70C3">
        <w:t>Partnerships in vulnerability reduction</w:t>
      </w:r>
      <w:bookmarkEnd w:id="48"/>
    </w:p>
    <w:p w:rsidR="00060205" w:rsidRPr="009A70C3" w:rsidRDefault="00060205" w:rsidP="00427D51">
      <w:pPr>
        <w:pStyle w:val="BodyText"/>
      </w:pPr>
      <w:r w:rsidRPr="009A70C3">
        <w:t xml:space="preserve">Strengthening of </w:t>
      </w:r>
      <w:r w:rsidR="0095561A">
        <w:t>p</w:t>
      </w:r>
      <w:r w:rsidRPr="009A70C3">
        <w:t xml:space="preserve">artnerships with regional and multilateral agencies to reduce vulnerability in key </w:t>
      </w:r>
      <w:r w:rsidR="0095561A">
        <w:t>sectors</w:t>
      </w:r>
      <w:r w:rsidR="0095561A" w:rsidRPr="009A70C3">
        <w:t xml:space="preserve"> </w:t>
      </w:r>
      <w:r w:rsidR="0095561A">
        <w:t>such as</w:t>
      </w:r>
      <w:r w:rsidRPr="009A70C3">
        <w:t xml:space="preserve"> health, environmental and social</w:t>
      </w:r>
      <w:r w:rsidR="0095561A">
        <w:t xml:space="preserve"> se</w:t>
      </w:r>
      <w:r w:rsidR="00794D95">
        <w:t>rvices.</w:t>
      </w:r>
    </w:p>
    <w:p w:rsidR="00060205" w:rsidRPr="009A70C3" w:rsidRDefault="00060205" w:rsidP="00060205">
      <w:pPr>
        <w:pStyle w:val="Heading3"/>
      </w:pPr>
      <w:bookmarkStart w:id="49" w:name="_Toc246227794"/>
      <w:r w:rsidRPr="009A70C3">
        <w:lastRenderedPageBreak/>
        <w:t>Rating</w:t>
      </w:r>
      <w:bookmarkEnd w:id="49"/>
    </w:p>
    <w:p w:rsidR="00060205" w:rsidRPr="009A70C3" w:rsidRDefault="00565247" w:rsidP="0021796E">
      <w:pPr>
        <w:pStyle w:val="BodyText"/>
        <w:tabs>
          <w:tab w:val="left" w:pos="567"/>
        </w:tabs>
      </w:pPr>
      <w:r>
        <w:rPr>
          <w:noProof/>
          <w:color w:val="FF8A3B"/>
          <w:lang w:val="en-US" w:eastAsia="en-US"/>
        </w:rPr>
        <w:drawing>
          <wp:inline distT="0" distB="0" distL="0" distR="0" wp14:anchorId="37483537" wp14:editId="682E634F">
            <wp:extent cx="138023" cy="138023"/>
            <wp:effectExtent l="0" t="0" r="0" b="0"/>
            <wp:docPr id="14" name="Picture 1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er.png"/>
                    <pic:cNvPicPr/>
                  </pic:nvPicPr>
                  <pic:blipFill>
                    <a:blip r:embed="rId17">
                      <a:extLst>
                        <a:ext uri="{28A0092B-C50C-407E-A947-70E740481C1C}">
                          <a14:useLocalDpi xmlns:a14="http://schemas.microsoft.com/office/drawing/2010/main" val="0"/>
                        </a:ext>
                      </a:extLst>
                    </a:blip>
                    <a:stretch>
                      <a:fillRect/>
                    </a:stretch>
                  </pic:blipFill>
                  <pic:spPr>
                    <a:xfrm>
                      <a:off x="0" y="0"/>
                      <a:ext cx="138528" cy="138528"/>
                    </a:xfrm>
                    <a:prstGeom prst="rect">
                      <a:avLst/>
                    </a:prstGeom>
                  </pic:spPr>
                </pic:pic>
              </a:graphicData>
            </a:graphic>
          </wp:inline>
        </w:drawing>
      </w:r>
      <w:r w:rsidR="0021796E" w:rsidRPr="009A70C3">
        <w:rPr>
          <w:color w:val="FF8A3B"/>
        </w:rPr>
        <w:tab/>
      </w:r>
      <w:r w:rsidR="0021796E" w:rsidRPr="009A70C3">
        <w:rPr>
          <w:color w:val="FF8A3B"/>
        </w:rPr>
        <w:tab/>
      </w:r>
      <w:r w:rsidR="00CD35ED" w:rsidRPr="009A70C3">
        <w:t>The objective will be partly achieved within the timeframe.</w:t>
      </w:r>
    </w:p>
    <w:p w:rsidR="0071212B" w:rsidRPr="009A70C3" w:rsidRDefault="0071212B" w:rsidP="00BC528B">
      <w:pPr>
        <w:pStyle w:val="Heading3"/>
      </w:pPr>
      <w:bookmarkStart w:id="50" w:name="_Toc246227795"/>
      <w:r w:rsidRPr="009A70C3">
        <w:t>Estimated expenditure</w:t>
      </w:r>
      <w:bookmarkEnd w:id="50"/>
    </w:p>
    <w:p w:rsidR="00D81195" w:rsidRPr="009A70C3" w:rsidRDefault="00D81195" w:rsidP="00D81195">
      <w:pPr>
        <w:pStyle w:val="BodyText"/>
      </w:pPr>
      <w:r w:rsidRPr="009A70C3">
        <w:t xml:space="preserve">Approximately </w:t>
      </w:r>
      <w:r>
        <w:t>4</w:t>
      </w:r>
      <w:r w:rsidRPr="009A70C3">
        <w:t xml:space="preserve">% of </w:t>
      </w:r>
      <w:r>
        <w:t xml:space="preserve">the </w:t>
      </w:r>
      <w:r w:rsidRPr="009A70C3">
        <w:t xml:space="preserve">2008–09 bilateral allocation was </w:t>
      </w:r>
      <w:r>
        <w:t>committed to initiatives related to this objective</w:t>
      </w:r>
      <w:r w:rsidRPr="009A70C3">
        <w:t>.</w:t>
      </w:r>
    </w:p>
    <w:p w:rsidR="00BC528B" w:rsidRPr="009A70C3" w:rsidRDefault="00BC528B" w:rsidP="00BC528B">
      <w:pPr>
        <w:pStyle w:val="Heading3"/>
      </w:pPr>
      <w:bookmarkStart w:id="51" w:name="_Toc246227796"/>
      <w:r w:rsidRPr="009A70C3">
        <w:t>Assessment of results and performance</w:t>
      </w:r>
      <w:bookmarkEnd w:id="51"/>
    </w:p>
    <w:p w:rsidR="0021796E" w:rsidRPr="009A70C3" w:rsidRDefault="0021796E" w:rsidP="0021796E">
      <w:pPr>
        <w:pStyle w:val="BodyText"/>
        <w:rPr>
          <w:rFonts w:cs="Arial"/>
          <w:bCs/>
          <w:iCs/>
        </w:rPr>
      </w:pPr>
      <w:r w:rsidRPr="009A70C3">
        <w:t xml:space="preserve">Performance against this objective has improved since </w:t>
      </w:r>
      <w:r w:rsidR="00FD1312">
        <w:t xml:space="preserve">reported on </w:t>
      </w:r>
      <w:r w:rsidR="002628EB">
        <w:t>in the 2007</w:t>
      </w:r>
      <w:r w:rsidR="00FD1312">
        <w:t xml:space="preserve"> </w:t>
      </w:r>
      <w:r w:rsidRPr="009A70C3">
        <w:t>APPR</w:t>
      </w:r>
      <w:r w:rsidR="00FD1312">
        <w:t>,</w:t>
      </w:r>
      <w:r w:rsidRPr="009A70C3">
        <w:t xml:space="preserve"> but weaker than expected progress in the environment component of the objective means </w:t>
      </w:r>
      <w:r w:rsidR="00C723CE" w:rsidRPr="009A70C3">
        <w:t xml:space="preserve">that </w:t>
      </w:r>
      <w:r w:rsidRPr="009A70C3">
        <w:t xml:space="preserve">only a ‘partially achieved’ rating is possible for </w:t>
      </w:r>
      <w:r w:rsidR="00FD1312">
        <w:t xml:space="preserve">this </w:t>
      </w:r>
      <w:r w:rsidRPr="009A70C3">
        <w:t>reporting period</w:t>
      </w:r>
      <w:r w:rsidRPr="009A70C3">
        <w:rPr>
          <w:rFonts w:cs="Arial"/>
          <w:bCs/>
          <w:i/>
          <w:iCs/>
        </w:rPr>
        <w:t xml:space="preserve">. </w:t>
      </w:r>
      <w:r w:rsidRPr="009A70C3">
        <w:rPr>
          <w:rFonts w:cs="Arial"/>
          <w:bCs/>
          <w:iCs/>
        </w:rPr>
        <w:t xml:space="preserve">Overall, progress on working in partnership with </w:t>
      </w:r>
      <w:proofErr w:type="spellStart"/>
      <w:r w:rsidRPr="009A70C3">
        <w:rPr>
          <w:rFonts w:cs="Arial"/>
          <w:bCs/>
          <w:iCs/>
        </w:rPr>
        <w:t>GoK</w:t>
      </w:r>
      <w:proofErr w:type="spellEnd"/>
      <w:r w:rsidRPr="009A70C3">
        <w:rPr>
          <w:rFonts w:cs="Arial"/>
          <w:bCs/>
          <w:iCs/>
        </w:rPr>
        <w:t xml:space="preserve"> and key development partners has been positive, particularly in the health and social sectors, with engagement with UN system and regional organisations leading to more streamlined, coherent and effective programming. The One </w:t>
      </w:r>
      <w:r w:rsidR="00FD1312">
        <w:rPr>
          <w:rFonts w:cs="Arial"/>
          <w:bCs/>
          <w:iCs/>
        </w:rPr>
        <w:t>Fund, One</w:t>
      </w:r>
      <w:r w:rsidR="005A26AC">
        <w:rPr>
          <w:rFonts w:cs="Arial"/>
          <w:bCs/>
          <w:iCs/>
        </w:rPr>
        <w:t xml:space="preserve"> </w:t>
      </w:r>
      <w:r w:rsidR="00794D95">
        <w:rPr>
          <w:rFonts w:cs="Arial"/>
          <w:bCs/>
          <w:iCs/>
        </w:rPr>
        <w:t>U</w:t>
      </w:r>
      <w:r w:rsidRPr="009A70C3">
        <w:rPr>
          <w:rFonts w:cs="Arial"/>
          <w:bCs/>
          <w:iCs/>
        </w:rPr>
        <w:t xml:space="preserve">N initiative in Kiribati continues to stimulate positive policy discussion on administrative and operational issues related to donor </w:t>
      </w:r>
      <w:r w:rsidR="00C723CE" w:rsidRPr="009A70C3">
        <w:rPr>
          <w:rFonts w:cs="Arial"/>
          <w:bCs/>
          <w:iCs/>
        </w:rPr>
        <w:t>harmonisation and coordination.</w:t>
      </w:r>
    </w:p>
    <w:p w:rsidR="0021796E" w:rsidRPr="009A70C3" w:rsidRDefault="0021796E" w:rsidP="0021796E">
      <w:pPr>
        <w:pStyle w:val="BodyText"/>
        <w:rPr>
          <w:rFonts w:cs="Arial"/>
          <w:bCs/>
        </w:rPr>
      </w:pPr>
      <w:r w:rsidRPr="009A70C3">
        <w:rPr>
          <w:rFonts w:cs="Arial"/>
          <w:bCs/>
          <w:iCs/>
        </w:rPr>
        <w:t xml:space="preserve">Health </w:t>
      </w:r>
      <w:r w:rsidRPr="009A70C3">
        <w:rPr>
          <w:rFonts w:cs="Arial"/>
          <w:bCs/>
        </w:rPr>
        <w:t>and</w:t>
      </w:r>
      <w:r w:rsidRPr="009A70C3">
        <w:rPr>
          <w:rFonts w:cs="Arial"/>
          <w:bCs/>
          <w:iCs/>
        </w:rPr>
        <w:t xml:space="preserve"> </w:t>
      </w:r>
      <w:r w:rsidR="00C723CE" w:rsidRPr="009A70C3">
        <w:rPr>
          <w:rFonts w:cs="Arial"/>
          <w:bCs/>
          <w:iCs/>
        </w:rPr>
        <w:t>e</w:t>
      </w:r>
      <w:r w:rsidRPr="009A70C3">
        <w:rPr>
          <w:rFonts w:cs="Arial"/>
          <w:bCs/>
          <w:iCs/>
        </w:rPr>
        <w:t>nvironment</w:t>
      </w:r>
      <w:r w:rsidRPr="009A70C3">
        <w:rPr>
          <w:rFonts w:cs="Arial"/>
          <w:bCs/>
        </w:rPr>
        <w:t xml:space="preserve"> are two key policy areas of the KDP</w:t>
      </w:r>
      <w:r w:rsidR="00C723CE" w:rsidRPr="009A70C3">
        <w:rPr>
          <w:rFonts w:cs="Arial"/>
          <w:bCs/>
        </w:rPr>
        <w:t>.</w:t>
      </w:r>
      <w:r w:rsidRPr="009A70C3">
        <w:rPr>
          <w:rStyle w:val="FootnoteReference"/>
          <w:rFonts w:cs="Arial"/>
          <w:bCs/>
        </w:rPr>
        <w:footnoteReference w:id="5"/>
      </w:r>
      <w:r w:rsidR="004C3315" w:rsidRPr="009A70C3">
        <w:rPr>
          <w:rFonts w:cs="Arial"/>
          <w:bCs/>
        </w:rPr>
        <w:t xml:space="preserve"> </w:t>
      </w:r>
      <w:r w:rsidRPr="009A70C3">
        <w:rPr>
          <w:rFonts w:cs="Arial"/>
          <w:bCs/>
        </w:rPr>
        <w:t>Under this objective</w:t>
      </w:r>
      <w:r w:rsidRPr="009A70C3">
        <w:rPr>
          <w:rStyle w:val="FootnoteReference"/>
          <w:rFonts w:cs="Arial"/>
          <w:bCs/>
        </w:rPr>
        <w:footnoteReference w:id="6"/>
      </w:r>
      <w:r w:rsidRPr="009A70C3">
        <w:rPr>
          <w:rFonts w:cs="Arial"/>
          <w:bCs/>
        </w:rPr>
        <w:t xml:space="preserve">, </w:t>
      </w:r>
      <w:proofErr w:type="spellStart"/>
      <w:r w:rsidRPr="009A70C3">
        <w:rPr>
          <w:rFonts w:cs="Arial"/>
          <w:bCs/>
        </w:rPr>
        <w:t>AusAID</w:t>
      </w:r>
      <w:proofErr w:type="spellEnd"/>
      <w:r w:rsidRPr="009A70C3">
        <w:rPr>
          <w:rFonts w:cs="Arial"/>
          <w:bCs/>
        </w:rPr>
        <w:t xml:space="preserve"> contributes to several programs, including engaging </w:t>
      </w:r>
      <w:r w:rsidR="006D4317" w:rsidRPr="009A70C3">
        <w:rPr>
          <w:rFonts w:cs="Arial"/>
          <w:bCs/>
        </w:rPr>
        <w:t xml:space="preserve">directly </w:t>
      </w:r>
      <w:r w:rsidRPr="009A70C3">
        <w:rPr>
          <w:rFonts w:cs="Arial"/>
          <w:bCs/>
        </w:rPr>
        <w:t>with other donor agency programs</w:t>
      </w:r>
      <w:r w:rsidR="004C3315" w:rsidRPr="009A70C3">
        <w:rPr>
          <w:rFonts w:cs="Arial"/>
          <w:bCs/>
        </w:rPr>
        <w:t xml:space="preserve">. </w:t>
      </w:r>
      <w:r w:rsidRPr="009A70C3">
        <w:rPr>
          <w:rFonts w:cs="Arial"/>
          <w:bCs/>
        </w:rPr>
        <w:t xml:space="preserve">By utilising existing partnerships with </w:t>
      </w:r>
      <w:proofErr w:type="spellStart"/>
      <w:r w:rsidRPr="009A70C3">
        <w:rPr>
          <w:rFonts w:cs="Arial"/>
          <w:bCs/>
        </w:rPr>
        <w:t>GoK</w:t>
      </w:r>
      <w:proofErr w:type="spellEnd"/>
      <w:r w:rsidRPr="009A70C3">
        <w:rPr>
          <w:rFonts w:cs="Arial"/>
          <w:bCs/>
        </w:rPr>
        <w:t xml:space="preserve">, Australia aims to strengthen the effectiveness of these programs and reduce the burden on </w:t>
      </w:r>
      <w:proofErr w:type="spellStart"/>
      <w:r w:rsidRPr="009A70C3">
        <w:rPr>
          <w:rFonts w:cs="Arial"/>
          <w:bCs/>
        </w:rPr>
        <w:t>GoK</w:t>
      </w:r>
      <w:proofErr w:type="spellEnd"/>
      <w:r w:rsidRPr="009A70C3">
        <w:rPr>
          <w:rFonts w:cs="Arial"/>
          <w:bCs/>
        </w:rPr>
        <w:t xml:space="preserve"> </w:t>
      </w:r>
      <w:r w:rsidR="00C56E1A" w:rsidRPr="009A70C3">
        <w:rPr>
          <w:rFonts w:cs="Arial"/>
          <w:bCs/>
        </w:rPr>
        <w:t xml:space="preserve">of </w:t>
      </w:r>
      <w:r w:rsidRPr="009A70C3">
        <w:rPr>
          <w:rFonts w:cs="Arial"/>
          <w:bCs/>
        </w:rPr>
        <w:t xml:space="preserve">dealing with multiple donors. The programs under this objective, and the respective implementing agency for each, </w:t>
      </w:r>
      <w:r w:rsidR="00C56E1A" w:rsidRPr="009A70C3">
        <w:rPr>
          <w:rFonts w:cs="Arial"/>
          <w:bCs/>
        </w:rPr>
        <w:t>are as follows.</w:t>
      </w:r>
    </w:p>
    <w:p w:rsidR="0021796E" w:rsidRPr="009A70C3" w:rsidRDefault="0021796E" w:rsidP="00BC528B">
      <w:pPr>
        <w:pStyle w:val="Heading4"/>
      </w:pPr>
      <w:r w:rsidRPr="009A70C3">
        <w:t>Tuberculosis Control Project (Secretariat for the Pacific Community)</w:t>
      </w:r>
    </w:p>
    <w:p w:rsidR="0021796E" w:rsidRPr="009A70C3" w:rsidRDefault="00E834B6" w:rsidP="00BC528B">
      <w:pPr>
        <w:pStyle w:val="BodyText"/>
      </w:pPr>
      <w:r w:rsidRPr="009A70C3">
        <w:t xml:space="preserve">Kiribati has </w:t>
      </w:r>
      <w:r w:rsidR="0021796E" w:rsidRPr="009A70C3">
        <w:t>the highest rate of TB per capita in the Pacific</w:t>
      </w:r>
      <w:r w:rsidRPr="009A70C3">
        <w:t>.</w:t>
      </w:r>
      <w:r w:rsidR="0021796E" w:rsidRPr="009A70C3">
        <w:t xml:space="preserve"> </w:t>
      </w:r>
      <w:r w:rsidRPr="009A70C3">
        <w:t>The three-</w:t>
      </w:r>
      <w:r w:rsidR="0021796E" w:rsidRPr="009A70C3">
        <w:t xml:space="preserve">year </w:t>
      </w:r>
      <w:r w:rsidRPr="009A70C3">
        <w:t>Tuberculosis Control Project</w:t>
      </w:r>
      <w:r w:rsidR="0021796E" w:rsidRPr="009A70C3">
        <w:t xml:space="preserve"> (</w:t>
      </w:r>
      <w:r w:rsidRPr="009A70C3">
        <w:t xml:space="preserve">which </w:t>
      </w:r>
      <w:r w:rsidR="0021796E" w:rsidRPr="009A70C3">
        <w:t>adopts the World Health Organi</w:t>
      </w:r>
      <w:r w:rsidRPr="009A70C3">
        <w:t>z</w:t>
      </w:r>
      <w:r w:rsidR="0021796E" w:rsidRPr="009A70C3">
        <w:t xml:space="preserve">ation’s Direct Observation Treatment Strategy) has resulted in a detection and treatment </w:t>
      </w:r>
      <w:r w:rsidRPr="009A70C3">
        <w:t xml:space="preserve">success rate </w:t>
      </w:r>
      <w:r w:rsidR="0021796E" w:rsidRPr="009A70C3">
        <w:t>of over 90%</w:t>
      </w:r>
      <w:r w:rsidR="004C3315" w:rsidRPr="009A70C3">
        <w:t xml:space="preserve">. </w:t>
      </w:r>
      <w:r w:rsidR="0021796E" w:rsidRPr="009A70C3">
        <w:t>This has led to a reduction in the number of confirmed TB cases from 745 in 2007 to 337 in 2008; however</w:t>
      </w:r>
      <w:r w:rsidRPr="009A70C3">
        <w:t>,</w:t>
      </w:r>
      <w:r w:rsidR="0021796E" w:rsidRPr="009A70C3">
        <w:t xml:space="preserve"> there are high burden areas yet to be addressed</w:t>
      </w:r>
      <w:r w:rsidR="004C3315" w:rsidRPr="009A70C3">
        <w:t xml:space="preserve">. </w:t>
      </w:r>
      <w:r w:rsidR="0021796E" w:rsidRPr="009A70C3">
        <w:t xml:space="preserve">The employment of nurses for contact tracing has been successful, meaning </w:t>
      </w:r>
      <w:r w:rsidRPr="009A70C3">
        <w:t xml:space="preserve">that </w:t>
      </w:r>
      <w:r w:rsidR="0021796E" w:rsidRPr="009A70C3">
        <w:t>early diagnosis and treatment ha</w:t>
      </w:r>
      <w:r w:rsidR="002628EB">
        <w:t>ve</w:t>
      </w:r>
      <w:r w:rsidR="0021796E" w:rsidRPr="009A70C3">
        <w:t xml:space="preserve"> averted full blown TB in many cases</w:t>
      </w:r>
      <w:r w:rsidR="004C3315" w:rsidRPr="009A70C3">
        <w:t xml:space="preserve">. </w:t>
      </w:r>
      <w:r w:rsidR="0021796E" w:rsidRPr="009A70C3">
        <w:t>A TB laboratory and outpatient clinic is being constructed and</w:t>
      </w:r>
      <w:r w:rsidRPr="009A70C3">
        <w:t>,</w:t>
      </w:r>
      <w:r w:rsidR="0021796E" w:rsidRPr="009A70C3">
        <w:t xml:space="preserve"> </w:t>
      </w:r>
      <w:r w:rsidRPr="009A70C3">
        <w:t xml:space="preserve">although </w:t>
      </w:r>
      <w:r w:rsidR="0021796E" w:rsidRPr="009A70C3">
        <w:t xml:space="preserve">it has </w:t>
      </w:r>
      <w:r w:rsidRPr="009A70C3">
        <w:t xml:space="preserve">been delayed by six </w:t>
      </w:r>
      <w:r w:rsidR="0021796E" w:rsidRPr="009A70C3">
        <w:t>month</w:t>
      </w:r>
      <w:r w:rsidRPr="009A70C3">
        <w:t>s</w:t>
      </w:r>
      <w:r w:rsidR="0021796E" w:rsidRPr="009A70C3">
        <w:t xml:space="preserve">, is scheduled to be finished </w:t>
      </w:r>
      <w:r w:rsidR="002628EB">
        <w:t xml:space="preserve">by </w:t>
      </w:r>
      <w:r w:rsidR="0021796E" w:rsidRPr="009A70C3">
        <w:t>mid</w:t>
      </w:r>
      <w:r w:rsidR="00EB6BA6">
        <w:t>-</w:t>
      </w:r>
      <w:r w:rsidR="0021796E" w:rsidRPr="009A70C3">
        <w:t>2009</w:t>
      </w:r>
      <w:r w:rsidR="004C3315" w:rsidRPr="009A70C3">
        <w:t xml:space="preserve">. </w:t>
      </w:r>
      <w:r w:rsidR="0021796E" w:rsidRPr="009A70C3">
        <w:t xml:space="preserve">This project remains a strong performer and demonstrates the potential impact of partnering on </w:t>
      </w:r>
      <w:r w:rsidRPr="009A70C3">
        <w:t>activities</w:t>
      </w:r>
      <w:r w:rsidR="002628EB">
        <w:t xml:space="preserve"> that are clearly defined and given technical support</w:t>
      </w:r>
      <w:r w:rsidRPr="009A70C3">
        <w:t>.</w:t>
      </w:r>
    </w:p>
    <w:p w:rsidR="0021796E" w:rsidRPr="009A70C3" w:rsidRDefault="0021796E" w:rsidP="00BC528B">
      <w:pPr>
        <w:pStyle w:val="Heading4"/>
        <w:rPr>
          <w:iCs/>
        </w:rPr>
      </w:pPr>
      <w:r w:rsidRPr="009A70C3">
        <w:t xml:space="preserve">Support for </w:t>
      </w:r>
      <w:r w:rsidR="00351D48">
        <w:t>p</w:t>
      </w:r>
      <w:r w:rsidRPr="009A70C3">
        <w:t xml:space="preserve">opulation and </w:t>
      </w:r>
      <w:r w:rsidR="00351D48">
        <w:t>r</w:t>
      </w:r>
      <w:r w:rsidRPr="009A70C3">
        <w:t xml:space="preserve">eproductive </w:t>
      </w:r>
      <w:r w:rsidR="00351D48">
        <w:t>h</w:t>
      </w:r>
      <w:r w:rsidRPr="009A70C3">
        <w:t>ealth</w:t>
      </w:r>
      <w:r w:rsidR="00351D48">
        <w:t xml:space="preserve"> </w:t>
      </w:r>
      <w:r w:rsidRPr="009A70C3">
        <w:rPr>
          <w:iCs/>
        </w:rPr>
        <w:t>(United Nations Population Fund)</w:t>
      </w:r>
    </w:p>
    <w:p w:rsidR="00565247" w:rsidRDefault="00524C61" w:rsidP="00BC528B">
      <w:pPr>
        <w:pStyle w:val="BodyText"/>
      </w:pPr>
      <w:r>
        <w:t>In 2008, s</w:t>
      </w:r>
      <w:r w:rsidR="00EB6BA6">
        <w:t xml:space="preserve">upport for </w:t>
      </w:r>
      <w:r w:rsidR="00351D48">
        <w:t>p</w:t>
      </w:r>
      <w:r w:rsidR="00EB6BA6">
        <w:t xml:space="preserve">opulation and </w:t>
      </w:r>
      <w:r w:rsidR="00351D48">
        <w:t>r</w:t>
      </w:r>
      <w:r w:rsidR="00EB6BA6">
        <w:t xml:space="preserve">eproductive </w:t>
      </w:r>
      <w:r w:rsidR="00351D48">
        <w:t>h</w:t>
      </w:r>
      <w:r w:rsidR="00EB6BA6">
        <w:t xml:space="preserve">ealth </w:t>
      </w:r>
      <w:r w:rsidR="00351D48">
        <w:t>in Kiribati</w:t>
      </w:r>
      <w:r w:rsidR="00941FA0">
        <w:t>, which</w:t>
      </w:r>
      <w:r w:rsidR="00EB6BA6">
        <w:t xml:space="preserve"> aims </w:t>
      </w:r>
      <w:r w:rsidR="0021796E" w:rsidRPr="00EB6BA6">
        <w:t xml:space="preserve">to reduce maternal mortality and morbidity, enabled approximately 3000 women and children to receive improved maternal and child healthcare through the provision of emergency obstetric </w:t>
      </w:r>
    </w:p>
    <w:p w:rsidR="00565247" w:rsidRDefault="00565247" w:rsidP="00BC528B">
      <w:pPr>
        <w:pStyle w:val="BodyText"/>
      </w:pPr>
    </w:p>
    <w:p w:rsidR="0021796E" w:rsidRPr="009A70C3" w:rsidRDefault="0021796E" w:rsidP="00BC528B">
      <w:pPr>
        <w:pStyle w:val="BodyText"/>
      </w:pPr>
      <w:proofErr w:type="gramStart"/>
      <w:r w:rsidRPr="00EB6BA6">
        <w:lastRenderedPageBreak/>
        <w:t>care</w:t>
      </w:r>
      <w:proofErr w:type="gramEnd"/>
      <w:r w:rsidRPr="00EB6BA6">
        <w:t xml:space="preserve"> equipment, supplies and drugs (funded by </w:t>
      </w:r>
      <w:proofErr w:type="spellStart"/>
      <w:r w:rsidRPr="00EB6BA6">
        <w:t>AusAID</w:t>
      </w:r>
      <w:proofErr w:type="spellEnd"/>
      <w:r w:rsidRPr="00EB6BA6">
        <w:t xml:space="preserve">), in approximately 15 newly </w:t>
      </w:r>
      <w:r w:rsidR="00345E01" w:rsidRPr="00EB6BA6">
        <w:t xml:space="preserve">built or </w:t>
      </w:r>
      <w:r w:rsidRPr="00EB6BA6">
        <w:t xml:space="preserve">refurbished health centres and clinics on </w:t>
      </w:r>
      <w:r w:rsidR="00345E01" w:rsidRPr="00EB6BA6">
        <w:t xml:space="preserve">seven </w:t>
      </w:r>
      <w:r w:rsidRPr="00EB6BA6">
        <w:t>of the outer islands (funded by the EU)</w:t>
      </w:r>
      <w:r w:rsidR="004C3315" w:rsidRPr="00EB6BA6">
        <w:t xml:space="preserve">. </w:t>
      </w:r>
      <w:r w:rsidRPr="00EB6BA6">
        <w:t>The</w:t>
      </w:r>
      <w:r w:rsidRPr="009A70C3">
        <w:t xml:space="preserve"> Adolescent Health and Development program, which includes peer education, awareness raising and advocacy on reproductive health issues, has been successfully piloted in a number of villages in South Tarawa, and is being considered for integration into the mainstream public health system. This program met all of its deliverable targets for the reporting period.</w:t>
      </w:r>
    </w:p>
    <w:p w:rsidR="0021796E" w:rsidRPr="009A70C3" w:rsidRDefault="0021796E" w:rsidP="00BC528B">
      <w:pPr>
        <w:pStyle w:val="Heading4"/>
        <w:rPr>
          <w:iCs/>
        </w:rPr>
      </w:pPr>
      <w:r w:rsidRPr="009A70C3">
        <w:t xml:space="preserve">Child Health consultant </w:t>
      </w:r>
      <w:r w:rsidRPr="009A70C3">
        <w:rPr>
          <w:iCs/>
        </w:rPr>
        <w:t>(</w:t>
      </w:r>
      <w:r w:rsidR="009B2FD9" w:rsidRPr="009A70C3">
        <w:rPr>
          <w:iCs/>
        </w:rPr>
        <w:t>United Nations Children’s Fund</w:t>
      </w:r>
      <w:r w:rsidRPr="009A70C3">
        <w:rPr>
          <w:iCs/>
        </w:rPr>
        <w:t>)</w:t>
      </w:r>
    </w:p>
    <w:p w:rsidR="0021796E" w:rsidRPr="009A70C3" w:rsidRDefault="00EB6BA6" w:rsidP="00BC528B">
      <w:pPr>
        <w:pStyle w:val="BodyText"/>
        <w:rPr>
          <w:b/>
          <w:bCs/>
        </w:rPr>
      </w:pPr>
      <w:r>
        <w:t xml:space="preserve">The project was delayed </w:t>
      </w:r>
      <w:r w:rsidR="0021796E" w:rsidRPr="009A70C3">
        <w:t>in 2008</w:t>
      </w:r>
      <w:r w:rsidR="00157B18">
        <w:t>–09</w:t>
      </w:r>
      <w:r w:rsidR="0021796E" w:rsidRPr="009A70C3">
        <w:t xml:space="preserve">, </w:t>
      </w:r>
      <w:r>
        <w:t xml:space="preserve">because the </w:t>
      </w:r>
      <w:r w:rsidR="0093186D">
        <w:t>Child Health consultant</w:t>
      </w:r>
      <w:r w:rsidR="007F4E0A">
        <w:t>,</w:t>
      </w:r>
      <w:r w:rsidR="0093186D">
        <w:t xml:space="preserve"> </w:t>
      </w:r>
      <w:r w:rsidR="00157B18">
        <w:t>who left in November 2007</w:t>
      </w:r>
      <w:r w:rsidR="007F4E0A">
        <w:t>,</w:t>
      </w:r>
      <w:r w:rsidR="00157B18">
        <w:t xml:space="preserve"> was not replaced </w:t>
      </w:r>
      <w:r w:rsidR="0021796E" w:rsidRPr="009A70C3">
        <w:t xml:space="preserve">until October 2008. The consultant, </w:t>
      </w:r>
      <w:r>
        <w:t xml:space="preserve">who was </w:t>
      </w:r>
      <w:r w:rsidR="0021796E" w:rsidRPr="009A70C3">
        <w:t xml:space="preserve">engaged for </w:t>
      </w:r>
      <w:r w:rsidR="002A74F8" w:rsidRPr="009A70C3">
        <w:t xml:space="preserve">six </w:t>
      </w:r>
      <w:r w:rsidR="0021796E" w:rsidRPr="009A70C3">
        <w:t xml:space="preserve">months, </w:t>
      </w:r>
      <w:r w:rsidR="00157B18">
        <w:t xml:space="preserve">worked with hospital and community health practitioners to develop </w:t>
      </w:r>
      <w:r w:rsidR="0021796E" w:rsidRPr="009A70C3">
        <w:t>measures for improving child health</w:t>
      </w:r>
      <w:r w:rsidR="00157B18">
        <w:t xml:space="preserve">, in particular for the </w:t>
      </w:r>
      <w:r w:rsidR="0021796E" w:rsidRPr="009A70C3">
        <w:t>under</w:t>
      </w:r>
      <w:r w:rsidR="00DE4F5B">
        <w:t xml:space="preserve"> </w:t>
      </w:r>
      <w:r w:rsidR="002A74F8" w:rsidRPr="009A70C3">
        <w:t>five</w:t>
      </w:r>
      <w:r w:rsidR="0021796E" w:rsidRPr="009A70C3">
        <w:t xml:space="preserve"> </w:t>
      </w:r>
      <w:r>
        <w:t xml:space="preserve">years </w:t>
      </w:r>
      <w:r w:rsidR="0021796E" w:rsidRPr="009A70C3">
        <w:t>age group</w:t>
      </w:r>
      <w:r w:rsidR="004C3315" w:rsidRPr="009A70C3">
        <w:t xml:space="preserve">. </w:t>
      </w:r>
      <w:r w:rsidR="0021796E" w:rsidRPr="009A70C3">
        <w:t>Whil</w:t>
      </w:r>
      <w:r w:rsidR="002A74F8" w:rsidRPr="009A70C3">
        <w:t>e</w:t>
      </w:r>
      <w:r w:rsidR="0021796E" w:rsidRPr="009A70C3">
        <w:t xml:space="preserve"> the overall project was behind schedule, an evidence-based strategic plan and a framework for </w:t>
      </w:r>
      <w:r w:rsidR="002628EB">
        <w:t xml:space="preserve">implementing </w:t>
      </w:r>
      <w:r w:rsidR="0021796E" w:rsidRPr="009A70C3">
        <w:t>child</w:t>
      </w:r>
      <w:r w:rsidR="002628EB">
        <w:t>-</w:t>
      </w:r>
      <w:r w:rsidR="0021796E" w:rsidRPr="009A70C3">
        <w:t xml:space="preserve">survival strategies </w:t>
      </w:r>
      <w:r w:rsidR="00157B18">
        <w:t xml:space="preserve">were </w:t>
      </w:r>
      <w:r w:rsidR="002A74F8" w:rsidRPr="009A70C3">
        <w:t>developed.</w:t>
      </w:r>
    </w:p>
    <w:p w:rsidR="0021796E" w:rsidRPr="009A70C3" w:rsidRDefault="0021796E" w:rsidP="00BC528B">
      <w:pPr>
        <w:pStyle w:val="Heading4"/>
        <w:rPr>
          <w:iCs/>
        </w:rPr>
      </w:pPr>
      <w:r w:rsidRPr="009A70C3">
        <w:t xml:space="preserve">Gender-based violence study </w:t>
      </w:r>
      <w:r w:rsidR="00D97278" w:rsidRPr="009A70C3">
        <w:rPr>
          <w:iCs/>
        </w:rPr>
        <w:t>(S</w:t>
      </w:r>
      <w:r w:rsidR="00357A0B" w:rsidRPr="009A70C3">
        <w:rPr>
          <w:iCs/>
        </w:rPr>
        <w:t xml:space="preserve">ecretariat of the </w:t>
      </w:r>
      <w:r w:rsidR="00D97278" w:rsidRPr="009A70C3">
        <w:rPr>
          <w:iCs/>
        </w:rPr>
        <w:t>P</w:t>
      </w:r>
      <w:r w:rsidR="00357A0B" w:rsidRPr="009A70C3">
        <w:rPr>
          <w:iCs/>
        </w:rPr>
        <w:t xml:space="preserve">acific </w:t>
      </w:r>
      <w:r w:rsidR="00D97278" w:rsidRPr="009A70C3">
        <w:rPr>
          <w:iCs/>
        </w:rPr>
        <w:t>C</w:t>
      </w:r>
      <w:r w:rsidR="00357A0B" w:rsidRPr="009A70C3">
        <w:rPr>
          <w:iCs/>
        </w:rPr>
        <w:t>ommunity</w:t>
      </w:r>
      <w:r w:rsidR="00D97278" w:rsidRPr="009A70C3">
        <w:rPr>
          <w:iCs/>
        </w:rPr>
        <w:t>)</w:t>
      </w:r>
    </w:p>
    <w:p w:rsidR="0021796E" w:rsidRPr="009A70C3" w:rsidRDefault="0021796E" w:rsidP="00BC528B">
      <w:pPr>
        <w:pStyle w:val="BodyText"/>
      </w:pPr>
      <w:r w:rsidRPr="009A70C3">
        <w:t xml:space="preserve">The </w:t>
      </w:r>
      <w:r w:rsidR="002628EB">
        <w:t>gender-based violence (</w:t>
      </w:r>
      <w:r w:rsidRPr="009A70C3">
        <w:t>GBV</w:t>
      </w:r>
      <w:r w:rsidR="002628EB">
        <w:t>)</w:t>
      </w:r>
      <w:r w:rsidRPr="009A70C3">
        <w:t xml:space="preserve"> study, completed in October 2008, aims to reduce the incidence and prevalence of GBV and child abuse</w:t>
      </w:r>
      <w:r w:rsidR="004C3315" w:rsidRPr="009A70C3">
        <w:t xml:space="preserve">. </w:t>
      </w:r>
      <w:r w:rsidRPr="009A70C3">
        <w:t xml:space="preserve">Initial findings revealed </w:t>
      </w:r>
      <w:r w:rsidR="00D97278" w:rsidRPr="009A70C3">
        <w:t xml:space="preserve">that </w:t>
      </w:r>
      <w:r w:rsidRPr="009A70C3">
        <w:t xml:space="preserve">Kiribati has a higher incidence of domestic violence </w:t>
      </w:r>
      <w:r w:rsidR="00157B18">
        <w:t xml:space="preserve">than </w:t>
      </w:r>
      <w:r w:rsidRPr="009A70C3">
        <w:t>nine other countries that completed the study</w:t>
      </w:r>
      <w:r w:rsidR="004C3315" w:rsidRPr="009A70C3">
        <w:t xml:space="preserve">. </w:t>
      </w:r>
      <w:r w:rsidR="00D97278" w:rsidRPr="009A70C3">
        <w:t xml:space="preserve">In response, </w:t>
      </w:r>
      <w:r w:rsidRPr="009A70C3">
        <w:t xml:space="preserve">arrangements </w:t>
      </w:r>
      <w:r w:rsidR="00157B18">
        <w:t xml:space="preserve">were immediately made </w:t>
      </w:r>
      <w:r w:rsidRPr="009A70C3">
        <w:t>with the Fiji Women’s Crisis Centre to provide support where needed</w:t>
      </w:r>
      <w:r w:rsidR="004C3315" w:rsidRPr="009A70C3">
        <w:t xml:space="preserve">. </w:t>
      </w:r>
      <w:r w:rsidRPr="009A70C3">
        <w:t xml:space="preserve">In addition, </w:t>
      </w:r>
      <w:r w:rsidR="00D97278" w:rsidRPr="009A70C3">
        <w:t>plans</w:t>
      </w:r>
      <w:r w:rsidRPr="009A70C3">
        <w:t xml:space="preserve"> </w:t>
      </w:r>
      <w:r w:rsidR="00D97278" w:rsidRPr="009A70C3">
        <w:t xml:space="preserve">are in place to </w:t>
      </w:r>
      <w:r w:rsidRPr="009A70C3">
        <w:t xml:space="preserve">address GBV </w:t>
      </w:r>
      <w:r w:rsidR="00157B18">
        <w:t xml:space="preserve">by </w:t>
      </w:r>
      <w:r w:rsidRPr="009A70C3">
        <w:t>disseminati</w:t>
      </w:r>
      <w:r w:rsidR="00D97278" w:rsidRPr="009A70C3">
        <w:t>ng</w:t>
      </w:r>
      <w:r w:rsidRPr="009A70C3">
        <w:t xml:space="preserve"> information to improve public education, establishing intervention strategies, strengthening services such as clinical protocols and training, and introduc</w:t>
      </w:r>
      <w:r w:rsidR="00D97278" w:rsidRPr="009A70C3">
        <w:t>ing</w:t>
      </w:r>
      <w:r w:rsidRPr="009A70C3">
        <w:t xml:space="preserve"> new, appropriate and proactive legislation. The study has had a far greater policy impact than expected</w:t>
      </w:r>
      <w:r w:rsidR="00D97278" w:rsidRPr="009A70C3">
        <w:t>;</w:t>
      </w:r>
      <w:r w:rsidRPr="009A70C3">
        <w:t xml:space="preserve"> as a result</w:t>
      </w:r>
      <w:r w:rsidR="00D97278" w:rsidRPr="009A70C3">
        <w:t>,</w:t>
      </w:r>
      <w:r w:rsidRPr="009A70C3">
        <w:t xml:space="preserve"> SPC will stay engaged with </w:t>
      </w:r>
      <w:proofErr w:type="spellStart"/>
      <w:r w:rsidRPr="009A70C3">
        <w:t>GoK</w:t>
      </w:r>
      <w:proofErr w:type="spellEnd"/>
      <w:r w:rsidRPr="009A70C3">
        <w:t xml:space="preserve"> to provide the technical support </w:t>
      </w:r>
      <w:r w:rsidR="002628EB">
        <w:t xml:space="preserve">necessary </w:t>
      </w:r>
      <w:r w:rsidRPr="009A70C3">
        <w:t xml:space="preserve">to </w:t>
      </w:r>
      <w:r w:rsidR="002628EB">
        <w:t xml:space="preserve">effectively integrate those </w:t>
      </w:r>
      <w:r w:rsidRPr="009A70C3">
        <w:t xml:space="preserve">measures </w:t>
      </w:r>
      <w:r w:rsidR="002C1883">
        <w:t xml:space="preserve">with </w:t>
      </w:r>
      <w:r w:rsidRPr="009A70C3">
        <w:t>government programs.</w:t>
      </w:r>
    </w:p>
    <w:p w:rsidR="0021796E" w:rsidRPr="009A70C3" w:rsidRDefault="0021796E" w:rsidP="00BC528B">
      <w:pPr>
        <w:pStyle w:val="Heading4"/>
      </w:pPr>
      <w:r w:rsidRPr="009A70C3">
        <w:t xml:space="preserve">Kiribati Adaptation Program II </w:t>
      </w:r>
      <w:r w:rsidRPr="009A70C3">
        <w:rPr>
          <w:iCs/>
        </w:rPr>
        <w:t>(World Bank)</w:t>
      </w:r>
    </w:p>
    <w:p w:rsidR="0021796E" w:rsidRPr="009A70C3" w:rsidRDefault="0021796E" w:rsidP="00BC528B">
      <w:pPr>
        <w:pStyle w:val="BodyText"/>
      </w:pPr>
      <w:proofErr w:type="spellStart"/>
      <w:r w:rsidRPr="009A70C3">
        <w:t>AusAID</w:t>
      </w:r>
      <w:proofErr w:type="spellEnd"/>
      <w:r w:rsidRPr="009A70C3">
        <w:t xml:space="preserve"> is providing funding of </w:t>
      </w:r>
      <w:r w:rsidR="00065334" w:rsidRPr="009A70C3">
        <w:t>$</w:t>
      </w:r>
      <w:r w:rsidRPr="009A70C3">
        <w:t xml:space="preserve">2.9 million for the Freshwater Resources component of </w:t>
      </w:r>
      <w:r w:rsidR="00065334" w:rsidRPr="009A70C3">
        <w:t>Kiribati Adaptation Program (</w:t>
      </w:r>
      <w:r w:rsidRPr="009A70C3">
        <w:t>KAP</w:t>
      </w:r>
      <w:r w:rsidR="00065334" w:rsidRPr="009A70C3">
        <w:t>)</w:t>
      </w:r>
      <w:r w:rsidRPr="009A70C3">
        <w:t xml:space="preserve"> II</w:t>
      </w:r>
      <w:r w:rsidR="006B4594" w:rsidRPr="009A70C3">
        <w:t>.</w:t>
      </w:r>
      <w:r w:rsidRPr="009A70C3">
        <w:t xml:space="preserve"> </w:t>
      </w:r>
      <w:r w:rsidR="006B4594" w:rsidRPr="009A70C3">
        <w:t>D</w:t>
      </w:r>
      <w:r w:rsidRPr="009A70C3">
        <w:t xml:space="preserve">evelopment and management of this resource </w:t>
      </w:r>
      <w:r w:rsidR="006B4594" w:rsidRPr="009A70C3">
        <w:t xml:space="preserve">is </w:t>
      </w:r>
      <w:r w:rsidRPr="009A70C3">
        <w:t>an important climate change adaptation measure</w:t>
      </w:r>
      <w:r w:rsidR="006B4594" w:rsidRPr="009A70C3">
        <w:t>,</w:t>
      </w:r>
      <w:r w:rsidR="004C3315" w:rsidRPr="009A70C3">
        <w:t xml:space="preserve"> </w:t>
      </w:r>
      <w:r w:rsidR="006B4594" w:rsidRPr="009A70C3">
        <w:t>and</w:t>
      </w:r>
      <w:r w:rsidRPr="009A70C3">
        <w:t xml:space="preserve"> </w:t>
      </w:r>
      <w:r w:rsidR="009A35CA">
        <w:t xml:space="preserve">one that </w:t>
      </w:r>
      <w:r w:rsidRPr="009A70C3">
        <w:t>will update the national water policy, improve water resource management, and explore and promote opportunities to reduce leakage and enhance rainwater catchment and storage</w:t>
      </w:r>
      <w:r w:rsidR="004C3315" w:rsidRPr="009A70C3">
        <w:t xml:space="preserve">. </w:t>
      </w:r>
      <w:r w:rsidR="009A35CA">
        <w:t xml:space="preserve">To date, </w:t>
      </w:r>
      <w:r w:rsidRPr="009A70C3">
        <w:t>a senior water engineer</w:t>
      </w:r>
      <w:r w:rsidR="009A35CA">
        <w:t xml:space="preserve"> has been engaged, Cabinet has approved </w:t>
      </w:r>
      <w:r w:rsidRPr="009A70C3">
        <w:t>the updated National Water Resources Policy and Implementation Plan</w:t>
      </w:r>
      <w:r w:rsidR="009A35CA">
        <w:t xml:space="preserve">, </w:t>
      </w:r>
      <w:r w:rsidRPr="009A70C3">
        <w:t>a draft water master plan for South Tarawa</w:t>
      </w:r>
      <w:r w:rsidR="009A35CA">
        <w:t xml:space="preserve"> has been developed, </w:t>
      </w:r>
      <w:r w:rsidR="00CC5766">
        <w:t xml:space="preserve">and </w:t>
      </w:r>
      <w:r w:rsidRPr="009A70C3">
        <w:t xml:space="preserve">work to reduce leakage from the </w:t>
      </w:r>
      <w:proofErr w:type="spellStart"/>
      <w:r w:rsidRPr="009A70C3">
        <w:t>Betio</w:t>
      </w:r>
      <w:proofErr w:type="spellEnd"/>
      <w:r w:rsidRPr="009A70C3">
        <w:t xml:space="preserve"> water supply system</w:t>
      </w:r>
      <w:r w:rsidR="009A35CA">
        <w:t xml:space="preserve"> has</w:t>
      </w:r>
      <w:r w:rsidR="00CC5766">
        <w:t xml:space="preserve"> begun</w:t>
      </w:r>
      <w:r w:rsidRPr="009A70C3">
        <w:t>.</w:t>
      </w:r>
    </w:p>
    <w:p w:rsidR="00BC528B" w:rsidRPr="009A70C3" w:rsidRDefault="00366B41" w:rsidP="002C1883">
      <w:pPr>
        <w:pStyle w:val="Heading4"/>
      </w:pPr>
      <w:r w:rsidRPr="009A70C3">
        <w:t>Regional programs</w:t>
      </w:r>
    </w:p>
    <w:p w:rsidR="00366B41" w:rsidRPr="009A70C3" w:rsidRDefault="00343DDB" w:rsidP="00366B41">
      <w:pPr>
        <w:pStyle w:val="BodyText"/>
      </w:pPr>
      <w:r w:rsidRPr="009A70C3">
        <w:t xml:space="preserve">In addition to those </w:t>
      </w:r>
      <w:r w:rsidR="00B65DBC">
        <w:t xml:space="preserve">programs </w:t>
      </w:r>
      <w:r w:rsidRPr="009A70C3">
        <w:t>previously mentioned, a</w:t>
      </w:r>
      <w:r w:rsidR="00366B41" w:rsidRPr="009A70C3">
        <w:t xml:space="preserve"> number of other Pacific </w:t>
      </w:r>
      <w:r w:rsidR="00B65DBC">
        <w:t>r</w:t>
      </w:r>
      <w:r w:rsidR="00366B41" w:rsidRPr="009A70C3">
        <w:t xml:space="preserve">egional </w:t>
      </w:r>
      <w:r w:rsidR="00B65DBC">
        <w:t>p</w:t>
      </w:r>
      <w:r w:rsidR="00366B41" w:rsidRPr="009A70C3">
        <w:t>rograms are augmenting the bilateral aid program objectives in Kiribati, including:</w:t>
      </w:r>
    </w:p>
    <w:p w:rsidR="00366B41" w:rsidRPr="009A70C3" w:rsidRDefault="00366B41" w:rsidP="00366B41">
      <w:pPr>
        <w:pStyle w:val="ListBullet"/>
      </w:pPr>
      <w:r w:rsidRPr="009A70C3">
        <w:rPr>
          <w:b/>
          <w:bCs/>
        </w:rPr>
        <w:t>The Pacific Regional Policing Initiative</w:t>
      </w:r>
      <w:r w:rsidRPr="009A70C3">
        <w:t xml:space="preserve"> – </w:t>
      </w:r>
      <w:r w:rsidR="00167D4C" w:rsidRPr="009A70C3">
        <w:t xml:space="preserve">which is </w:t>
      </w:r>
      <w:r w:rsidRPr="009A70C3">
        <w:t>improving basic policing, leadership and management, and key technical skills in areas such as forensics and infrastructure.</w:t>
      </w:r>
    </w:p>
    <w:p w:rsidR="00366B41" w:rsidRPr="009A70C3" w:rsidRDefault="00366B41" w:rsidP="00366B41">
      <w:pPr>
        <w:pStyle w:val="ListBullet"/>
      </w:pPr>
      <w:r w:rsidRPr="009A70C3">
        <w:rPr>
          <w:b/>
          <w:bCs/>
        </w:rPr>
        <w:t>The Pacific Regional Audit Initiative</w:t>
      </w:r>
      <w:r w:rsidRPr="009A70C3">
        <w:t xml:space="preserve"> – </w:t>
      </w:r>
      <w:r w:rsidR="00167D4C" w:rsidRPr="009A70C3">
        <w:t xml:space="preserve">which is </w:t>
      </w:r>
      <w:r w:rsidRPr="009A70C3">
        <w:t>benchmarking audit practices, and helping to pool audit resources across Kiribati, Tuvalu and Nauru</w:t>
      </w:r>
      <w:r w:rsidR="00343DDB" w:rsidRPr="009A70C3">
        <w:t>.</w:t>
      </w:r>
    </w:p>
    <w:p w:rsidR="00366B41" w:rsidRPr="009A70C3" w:rsidRDefault="00B65DBC" w:rsidP="00366B41">
      <w:pPr>
        <w:pStyle w:val="ListBullet"/>
      </w:pPr>
      <w:r>
        <w:rPr>
          <w:b/>
          <w:bCs/>
        </w:rPr>
        <w:lastRenderedPageBreak/>
        <w:t xml:space="preserve">The </w:t>
      </w:r>
      <w:r w:rsidR="00366B41" w:rsidRPr="009A70C3">
        <w:rPr>
          <w:b/>
          <w:bCs/>
        </w:rPr>
        <w:t>Pacific regional non-communicable diseases (NCD) program</w:t>
      </w:r>
      <w:r w:rsidR="00366B41" w:rsidRPr="009A70C3">
        <w:t xml:space="preserve"> – which has resulted in a reviewed and costed NCD Plan for a number of countries, including Kiribati.</w:t>
      </w:r>
    </w:p>
    <w:p w:rsidR="00366B41" w:rsidRPr="009A70C3" w:rsidRDefault="00B65DBC" w:rsidP="00366B41">
      <w:pPr>
        <w:pStyle w:val="ListBullet"/>
      </w:pPr>
      <w:r w:rsidRPr="00B65DBC">
        <w:rPr>
          <w:b/>
        </w:rPr>
        <w:t xml:space="preserve">The </w:t>
      </w:r>
      <w:r w:rsidR="00366B41" w:rsidRPr="009A70C3">
        <w:rPr>
          <w:b/>
          <w:bCs/>
        </w:rPr>
        <w:t>pilot seasonal workers scheme</w:t>
      </w:r>
      <w:r w:rsidR="00366B41" w:rsidRPr="009A70C3">
        <w:t xml:space="preserve"> </w:t>
      </w:r>
      <w:r w:rsidR="00167D4C" w:rsidRPr="009A70C3">
        <w:t xml:space="preserve">– </w:t>
      </w:r>
      <w:r w:rsidR="00366B41" w:rsidRPr="009A70C3">
        <w:t>which will provide employment opportunities in Australia for a limited number of workers from Kiribati, PNG, Tonga and Vanuatu.</w:t>
      </w:r>
    </w:p>
    <w:p w:rsidR="00366B41" w:rsidRPr="009A70C3" w:rsidRDefault="00B65DBC" w:rsidP="00366B41">
      <w:pPr>
        <w:pStyle w:val="ListBullet"/>
      </w:pPr>
      <w:r>
        <w:rPr>
          <w:b/>
        </w:rPr>
        <w:t xml:space="preserve">The </w:t>
      </w:r>
      <w:r w:rsidR="00366B41" w:rsidRPr="009A70C3">
        <w:rPr>
          <w:b/>
        </w:rPr>
        <w:t>Pacific Regional HIV/AIDS Program</w:t>
      </w:r>
      <w:r w:rsidR="00366B41" w:rsidRPr="009A70C3">
        <w:t xml:space="preserve"> – </w:t>
      </w:r>
      <w:r w:rsidR="00167D4C" w:rsidRPr="009A70C3">
        <w:t xml:space="preserve">which is </w:t>
      </w:r>
      <w:r w:rsidR="00366B41" w:rsidRPr="009A70C3">
        <w:t xml:space="preserve">a major source of support </w:t>
      </w:r>
      <w:r>
        <w:t xml:space="preserve">to countries in the region in building their </w:t>
      </w:r>
      <w:r w:rsidR="00366B41" w:rsidRPr="009A70C3">
        <w:t>capacity to respond to HIV/AIDS.</w:t>
      </w:r>
    </w:p>
    <w:p w:rsidR="00366B41" w:rsidRPr="009A70C3" w:rsidRDefault="00B65DBC" w:rsidP="00366B41">
      <w:pPr>
        <w:pStyle w:val="ListBullet"/>
      </w:pPr>
      <w:r>
        <w:rPr>
          <w:b/>
        </w:rPr>
        <w:t xml:space="preserve">The </w:t>
      </w:r>
      <w:r w:rsidR="00366B41" w:rsidRPr="009A70C3">
        <w:rPr>
          <w:b/>
        </w:rPr>
        <w:t>Pacific Island</w:t>
      </w:r>
      <w:r w:rsidR="0042038A">
        <w:rPr>
          <w:b/>
        </w:rPr>
        <w:t>s</w:t>
      </w:r>
      <w:r w:rsidR="00366B41" w:rsidRPr="009A70C3">
        <w:rPr>
          <w:b/>
        </w:rPr>
        <w:t xml:space="preserve"> Project – Royal Australasian College of Surgeons</w:t>
      </w:r>
      <w:r w:rsidR="00366B41" w:rsidRPr="009A70C3">
        <w:t xml:space="preserve"> </w:t>
      </w:r>
      <w:r w:rsidR="00167D4C" w:rsidRPr="009A70C3">
        <w:t xml:space="preserve">– which is </w:t>
      </w:r>
      <w:r w:rsidR="00366B41" w:rsidRPr="009A70C3">
        <w:t xml:space="preserve">contracted by </w:t>
      </w:r>
      <w:proofErr w:type="spellStart"/>
      <w:r w:rsidR="00366B41" w:rsidRPr="009A70C3">
        <w:t>AusAID</w:t>
      </w:r>
      <w:proofErr w:type="spellEnd"/>
      <w:r w:rsidR="00366B41" w:rsidRPr="009A70C3">
        <w:t xml:space="preserve"> to provide a range of speciali</w:t>
      </w:r>
      <w:r w:rsidR="0042038A">
        <w:t>st medical services to Pacific i</w:t>
      </w:r>
      <w:r w:rsidR="00366B41" w:rsidRPr="009A70C3">
        <w:t xml:space="preserve">sland </w:t>
      </w:r>
      <w:r w:rsidR="00167D4C" w:rsidRPr="009A70C3">
        <w:t>c</w:t>
      </w:r>
      <w:r w:rsidR="00366B41" w:rsidRPr="009A70C3">
        <w:t>ountries</w:t>
      </w:r>
      <w:r>
        <w:t xml:space="preserve">; for example, in Kiribati, the specialist </w:t>
      </w:r>
      <w:r w:rsidR="00597CC5">
        <w:t>eye t</w:t>
      </w:r>
      <w:r w:rsidR="00366B41" w:rsidRPr="009A70C3">
        <w:t>eam.</w:t>
      </w:r>
    </w:p>
    <w:p w:rsidR="00366B41" w:rsidRDefault="00B65DBC" w:rsidP="00366B41">
      <w:pPr>
        <w:pStyle w:val="ListBullet"/>
      </w:pPr>
      <w:r>
        <w:rPr>
          <w:b/>
        </w:rPr>
        <w:t xml:space="preserve">The </w:t>
      </w:r>
      <w:r w:rsidR="00366B41" w:rsidRPr="009A70C3">
        <w:rPr>
          <w:b/>
        </w:rPr>
        <w:t>Australia</w:t>
      </w:r>
      <w:r w:rsidR="00597CC5">
        <w:rPr>
          <w:b/>
        </w:rPr>
        <w:t xml:space="preserve"> </w:t>
      </w:r>
      <w:r w:rsidR="00B827D1" w:rsidRPr="009A70C3">
        <w:rPr>
          <w:b/>
        </w:rPr>
        <w:t>–</w:t>
      </w:r>
      <w:r w:rsidR="00597CC5">
        <w:rPr>
          <w:b/>
        </w:rPr>
        <w:t xml:space="preserve"> </w:t>
      </w:r>
      <w:r w:rsidR="00366B41" w:rsidRPr="009A70C3">
        <w:rPr>
          <w:b/>
        </w:rPr>
        <w:t>New Zealand School of Government</w:t>
      </w:r>
      <w:r w:rsidR="00366B41" w:rsidRPr="009A70C3">
        <w:t xml:space="preserve"> – </w:t>
      </w:r>
      <w:r w:rsidR="00B827D1" w:rsidRPr="009A70C3">
        <w:t xml:space="preserve">which provides </w:t>
      </w:r>
      <w:r w:rsidR="00366B41" w:rsidRPr="009A70C3">
        <w:t xml:space="preserve">capacity building, leadership and training programs for senior </w:t>
      </w:r>
      <w:r>
        <w:t>public service managers</w:t>
      </w:r>
      <w:r w:rsidR="00B827D1" w:rsidRPr="009A70C3">
        <w:t>.</w:t>
      </w:r>
    </w:p>
    <w:p w:rsidR="002C1883" w:rsidRDefault="002C1883" w:rsidP="002C1883">
      <w:pPr>
        <w:pStyle w:val="Heading4"/>
      </w:pPr>
      <w:r>
        <w:t>Overall assessment</w:t>
      </w:r>
    </w:p>
    <w:p w:rsidR="002C1883" w:rsidRPr="002C1883" w:rsidRDefault="002C1883" w:rsidP="002C1883">
      <w:pPr>
        <w:pStyle w:val="BodyText"/>
      </w:pPr>
      <w:proofErr w:type="spellStart"/>
      <w:r w:rsidRPr="002C1883">
        <w:t>GoK</w:t>
      </w:r>
      <w:proofErr w:type="spellEnd"/>
      <w:r w:rsidRPr="002C1883">
        <w:t xml:space="preserve"> advises that </w:t>
      </w:r>
      <w:proofErr w:type="spellStart"/>
      <w:r w:rsidRPr="002C1883">
        <w:t>AusAID’s</w:t>
      </w:r>
      <w:proofErr w:type="spellEnd"/>
      <w:r w:rsidRPr="002C1883">
        <w:t xml:space="preserve"> health-related projects are consistent with the priorities of the Ministry of Health and Medical Services (MHMS). However, MHMS is concerned about elements of the current project model; primarily, the channelling of </w:t>
      </w:r>
      <w:proofErr w:type="spellStart"/>
      <w:r w:rsidRPr="002C1883">
        <w:t>AusAID</w:t>
      </w:r>
      <w:proofErr w:type="spellEnd"/>
      <w:r w:rsidRPr="002C1883">
        <w:t xml:space="preserve"> funds through the implementing agency, which makes it difficult to monitor individual donor funding, and, in some cases, delaying the release of funds. MHMS has found it d</w:t>
      </w:r>
      <w:r w:rsidR="00B007E9">
        <w:t xml:space="preserve">ifficult </w:t>
      </w:r>
      <w:r w:rsidRPr="002C1883">
        <w:t>to meet the various administrative requirements of different donors, highlighting the need for greater streamlining and partnering under common systems. MHMS raised the following issues (many of which are common to work in other sectors) in relation to Australia’s support in the health sector.</w:t>
      </w:r>
    </w:p>
    <w:p w:rsidR="002C1883" w:rsidRPr="002C1883" w:rsidRDefault="002C1883" w:rsidP="002C1883">
      <w:pPr>
        <w:pStyle w:val="BodyText"/>
        <w:numPr>
          <w:ilvl w:val="0"/>
          <w:numId w:val="11"/>
        </w:numPr>
      </w:pPr>
      <w:r w:rsidRPr="002C1883">
        <w:t>Extracting the necessary financial information from MHMS’s account systems, and from the Ministry of Finance, is difficult due to the poor quality of systems and the lack of appropriately skilled staff.</w:t>
      </w:r>
    </w:p>
    <w:p w:rsidR="002C1883" w:rsidRPr="002C1883" w:rsidRDefault="003716C6" w:rsidP="002C1883">
      <w:pPr>
        <w:pStyle w:val="BodyText"/>
        <w:numPr>
          <w:ilvl w:val="0"/>
          <w:numId w:val="11"/>
        </w:numPr>
      </w:pPr>
      <w:r>
        <w:t>T</w:t>
      </w:r>
      <w:r w:rsidRPr="002C1883">
        <w:t xml:space="preserve">echnical </w:t>
      </w:r>
      <w:r w:rsidR="002C1883" w:rsidRPr="002C1883">
        <w:t>assistance and capacity building in financial ma</w:t>
      </w:r>
      <w:r w:rsidR="00DE4F5B">
        <w:t xml:space="preserve">nagement and related </w:t>
      </w:r>
      <w:r w:rsidR="00782795">
        <w:t>activities</w:t>
      </w:r>
      <w:r w:rsidR="00673F46">
        <w:t xml:space="preserve"> </w:t>
      </w:r>
      <w:r w:rsidR="00782795">
        <w:t>are</w:t>
      </w:r>
      <w:r>
        <w:t xml:space="preserve"> </w:t>
      </w:r>
      <w:r w:rsidR="002C1883" w:rsidRPr="002C1883">
        <w:t>required.</w:t>
      </w:r>
    </w:p>
    <w:p w:rsidR="002C1883" w:rsidRPr="002C1883" w:rsidRDefault="004E3902" w:rsidP="002C1883">
      <w:pPr>
        <w:pStyle w:val="BodyText"/>
        <w:numPr>
          <w:ilvl w:val="0"/>
          <w:numId w:val="11"/>
        </w:numPr>
      </w:pPr>
      <w:r>
        <w:t>D</w:t>
      </w:r>
      <w:r w:rsidRPr="002C1883">
        <w:t xml:space="preserve">irect </w:t>
      </w:r>
      <w:r w:rsidR="002C1883" w:rsidRPr="002C1883">
        <w:t xml:space="preserve">consultations with </w:t>
      </w:r>
      <w:proofErr w:type="spellStart"/>
      <w:r w:rsidR="002C1883" w:rsidRPr="002C1883">
        <w:t>AusAID</w:t>
      </w:r>
      <w:proofErr w:type="spellEnd"/>
      <w:r w:rsidR="002C1883" w:rsidRPr="002C1883">
        <w:t xml:space="preserve"> about </w:t>
      </w:r>
      <w:proofErr w:type="spellStart"/>
      <w:r w:rsidR="002C1883" w:rsidRPr="002C1883">
        <w:t>AusAID’s</w:t>
      </w:r>
      <w:proofErr w:type="spellEnd"/>
      <w:r w:rsidR="002C1883" w:rsidRPr="002C1883">
        <w:t xml:space="preserve"> contributions in the health sector, </w:t>
      </w:r>
      <w:r w:rsidR="00B007E9">
        <w:t xml:space="preserve">including </w:t>
      </w:r>
      <w:proofErr w:type="spellStart"/>
      <w:r>
        <w:t>AusAID’s</w:t>
      </w:r>
      <w:proofErr w:type="spellEnd"/>
      <w:r>
        <w:t xml:space="preserve"> </w:t>
      </w:r>
      <w:r w:rsidR="00B007E9">
        <w:t xml:space="preserve">support </w:t>
      </w:r>
      <w:r>
        <w:t xml:space="preserve">in developing </w:t>
      </w:r>
      <w:r w:rsidR="00B007E9">
        <w:t xml:space="preserve">a </w:t>
      </w:r>
      <w:r w:rsidR="002C1883" w:rsidRPr="002C1883">
        <w:t xml:space="preserve">strategic plan, </w:t>
      </w:r>
      <w:r>
        <w:t>are considered desirable</w:t>
      </w:r>
      <w:r w:rsidR="002C1883" w:rsidRPr="002C1883">
        <w:t>.</w:t>
      </w:r>
    </w:p>
    <w:p w:rsidR="002C1883" w:rsidRPr="002C1883" w:rsidRDefault="004E3902" w:rsidP="002C1883">
      <w:pPr>
        <w:pStyle w:val="BodyText"/>
        <w:numPr>
          <w:ilvl w:val="0"/>
          <w:numId w:val="11"/>
        </w:numPr>
      </w:pPr>
      <w:r w:rsidRPr="002C1883">
        <w:t xml:space="preserve">Greater </w:t>
      </w:r>
      <w:r w:rsidR="002C1883" w:rsidRPr="002C1883">
        <w:t>integration of regional health programs, such as the Pacific Islands Project, with related MHMS activities, including capacity building of MHMS staff by visiting medical teams</w:t>
      </w:r>
      <w:r>
        <w:t>, is required</w:t>
      </w:r>
      <w:r w:rsidR="002C1883" w:rsidRPr="002C1883">
        <w:t>.</w:t>
      </w:r>
    </w:p>
    <w:p w:rsidR="002C1883" w:rsidRPr="002C1883" w:rsidRDefault="004E3902" w:rsidP="002C1883">
      <w:pPr>
        <w:pStyle w:val="BodyText"/>
        <w:numPr>
          <w:ilvl w:val="0"/>
          <w:numId w:val="11"/>
        </w:numPr>
      </w:pPr>
      <w:r w:rsidRPr="002C1883">
        <w:t xml:space="preserve">Ongoing </w:t>
      </w:r>
      <w:r w:rsidR="002C1883" w:rsidRPr="002C1883">
        <w:t>donor funding to support a number of MHMS activities; for example, implementation of the Child Health Strategy and continuation of Adolescent Health and Development programs</w:t>
      </w:r>
      <w:r>
        <w:t>, is needed</w:t>
      </w:r>
      <w:r w:rsidR="002C1883" w:rsidRPr="002C1883">
        <w:t>.</w:t>
      </w:r>
    </w:p>
    <w:p w:rsidR="002C1883" w:rsidRPr="002C1883" w:rsidRDefault="003716C6" w:rsidP="002C1883">
      <w:pPr>
        <w:pStyle w:val="BodyText"/>
        <w:numPr>
          <w:ilvl w:val="0"/>
          <w:numId w:val="11"/>
        </w:numPr>
      </w:pPr>
      <w:r>
        <w:t>G</w:t>
      </w:r>
      <w:r w:rsidRPr="002C1883">
        <w:t xml:space="preserve">aps </w:t>
      </w:r>
      <w:r w:rsidR="002C1883" w:rsidRPr="002C1883">
        <w:t>in the health sector, such as mental health and disability support programs, and source</w:t>
      </w:r>
      <w:r>
        <w:t>s of</w:t>
      </w:r>
      <w:r w:rsidR="002C1883" w:rsidRPr="002C1883">
        <w:t xml:space="preserve"> donor funding for related activities need to be identified.</w:t>
      </w:r>
    </w:p>
    <w:p w:rsidR="00565247" w:rsidRDefault="002C1883" w:rsidP="002C1883">
      <w:pPr>
        <w:pStyle w:val="BodyText"/>
      </w:pPr>
      <w:r w:rsidRPr="009A70C3">
        <w:t xml:space="preserve">Overall progress of KAP II has been unsatisfactory, with donor reviews in 2008 identifying continued lack of progress due to poor overall management and insufficient disbursement (at April 2008, only 8% of </w:t>
      </w:r>
      <w:r>
        <w:t xml:space="preserve">the </w:t>
      </w:r>
      <w:r w:rsidRPr="009A70C3">
        <w:t xml:space="preserve">KAP II budget had been spent in the first two years, with </w:t>
      </w:r>
      <w:proofErr w:type="spellStart"/>
      <w:r w:rsidRPr="009A70C3">
        <w:t>AusAID’s</w:t>
      </w:r>
      <w:proofErr w:type="spellEnd"/>
      <w:r w:rsidRPr="009A70C3">
        <w:t xml:space="preserve"> contribution only at 3% spent and a further 7% committed)</w:t>
      </w:r>
      <w:r w:rsidRPr="009A70C3">
        <w:rPr>
          <w:i/>
        </w:rPr>
        <w:t xml:space="preserve">. </w:t>
      </w:r>
      <w:r w:rsidRPr="009A70C3">
        <w:t xml:space="preserve">Greater involvement by the lead </w:t>
      </w:r>
    </w:p>
    <w:p w:rsidR="00565247" w:rsidRDefault="002C1883" w:rsidP="002C1883">
      <w:pPr>
        <w:pStyle w:val="BodyText"/>
      </w:pPr>
      <w:proofErr w:type="gramStart"/>
      <w:r w:rsidRPr="009A70C3">
        <w:t>agency</w:t>
      </w:r>
      <w:proofErr w:type="gramEnd"/>
      <w:r w:rsidRPr="009A70C3">
        <w:t xml:space="preserve">, the Office of the President, and a tighter focus </w:t>
      </w:r>
      <w:r>
        <w:t xml:space="preserve">resulting from a </w:t>
      </w:r>
      <w:r w:rsidRPr="009A70C3">
        <w:t xml:space="preserve">reduction in </w:t>
      </w:r>
      <w:r w:rsidR="00DE4F5B">
        <w:t xml:space="preserve">the </w:t>
      </w:r>
    </w:p>
    <w:p w:rsidR="002C1883" w:rsidRPr="009A70C3" w:rsidRDefault="002C1883" w:rsidP="002C1883">
      <w:pPr>
        <w:pStyle w:val="BodyText"/>
      </w:pPr>
      <w:proofErr w:type="gramStart"/>
      <w:r w:rsidRPr="009A70C3">
        <w:lastRenderedPageBreak/>
        <w:t>number</w:t>
      </w:r>
      <w:proofErr w:type="gramEnd"/>
      <w:r w:rsidRPr="009A70C3">
        <w:t xml:space="preserve"> of activities, led to </w:t>
      </w:r>
      <w:r>
        <w:t xml:space="preserve">better coordinated and directed </w:t>
      </w:r>
      <w:r w:rsidRPr="009A70C3">
        <w:t xml:space="preserve">climate change issues. </w:t>
      </w:r>
      <w:r w:rsidRPr="009A70C3">
        <w:rPr>
          <w:rFonts w:cs="Arial"/>
        </w:rPr>
        <w:t>At September 2008, the situation had improved, with 15% of project funds having been spent and a further 24% committed.</w:t>
      </w:r>
    </w:p>
    <w:p w:rsidR="002C1883" w:rsidRPr="009A70C3" w:rsidRDefault="002C1883" w:rsidP="009A1D32">
      <w:pPr>
        <w:pStyle w:val="BodyText"/>
      </w:pPr>
      <w:r w:rsidRPr="009A70C3">
        <w:t xml:space="preserve">KAP II, including </w:t>
      </w:r>
      <w:proofErr w:type="spellStart"/>
      <w:r w:rsidRPr="009A70C3">
        <w:t>AusAID’s</w:t>
      </w:r>
      <w:proofErr w:type="spellEnd"/>
      <w:r w:rsidRPr="009A70C3">
        <w:t xml:space="preserve"> contribution, has now been extended to December 2010, and Freshwater Resources</w:t>
      </w:r>
      <w:r w:rsidRPr="009A70C3">
        <w:rPr>
          <w:i/>
        </w:rPr>
        <w:t xml:space="preserve"> </w:t>
      </w:r>
      <w:r w:rsidRPr="009A70C3">
        <w:t>an</w:t>
      </w:r>
      <w:r w:rsidR="001B53D0">
        <w:t xml:space="preserve">d Coastal Resilience remain </w:t>
      </w:r>
      <w:proofErr w:type="spellStart"/>
      <w:r w:rsidRPr="009A70C3">
        <w:t>GoK’s</w:t>
      </w:r>
      <w:proofErr w:type="spellEnd"/>
      <w:r w:rsidRPr="009A70C3">
        <w:t xml:space="preserve"> climate change adaptation priorities. Those priorities are the focus of the National Adaptation Plan of Action as well as KAP II, which could mean merging the two projects if a proposed future funded project goes ahead. Another component that could be considered for inclusion in </w:t>
      </w:r>
      <w:r>
        <w:t xml:space="preserve">the </w:t>
      </w:r>
      <w:r w:rsidRPr="009A70C3">
        <w:t xml:space="preserve">adaptation strategy is </w:t>
      </w:r>
      <w:r w:rsidRPr="009A70C3">
        <w:rPr>
          <w:iCs/>
        </w:rPr>
        <w:t>Disaster Risk Reduction</w:t>
      </w:r>
      <w:r w:rsidRPr="009A70C3">
        <w:t xml:space="preserve">. </w:t>
      </w:r>
      <w:proofErr w:type="spellStart"/>
      <w:r w:rsidRPr="009A70C3">
        <w:t>AusAID’s</w:t>
      </w:r>
      <w:proofErr w:type="spellEnd"/>
      <w:r w:rsidRPr="009A70C3">
        <w:t xml:space="preserve"> ongoing support includes reallocating 10% of its funding to technical assistance to further improve coordination, direction, disbursement of funds and project management.</w:t>
      </w:r>
    </w:p>
    <w:p w:rsidR="002C1883" w:rsidRPr="002C1883" w:rsidRDefault="002C1883" w:rsidP="002C1883">
      <w:pPr>
        <w:pStyle w:val="BodyText"/>
      </w:pPr>
    </w:p>
    <w:p w:rsidR="00366B41" w:rsidRPr="009A70C3" w:rsidRDefault="00377049">
      <w:pPr>
        <w:pStyle w:val="Heading1unnumbered"/>
        <w:rPr>
          <w:noProof/>
        </w:rPr>
      </w:pPr>
      <w:r>
        <w:rPr>
          <w:noProof/>
          <w:lang w:val="en-US" w:eastAsia="en-US"/>
        </w:rPr>
        <w:lastRenderedPageBreak/>
        <w:drawing>
          <wp:anchor distT="0" distB="0" distL="114300" distR="114300" simplePos="0" relativeHeight="251661312" behindDoc="1" locked="0" layoutInCell="1" allowOverlap="1" wp14:anchorId="56A4AFDB" wp14:editId="06FB3C74">
            <wp:simplePos x="0" y="0"/>
            <wp:positionH relativeFrom="page">
              <wp:posOffset>0</wp:posOffset>
            </wp:positionH>
            <wp:positionV relativeFrom="page">
              <wp:posOffset>1386205</wp:posOffset>
            </wp:positionV>
            <wp:extent cx="7560310" cy="1585595"/>
            <wp:effectExtent l="0" t="0" r="2540" b="0"/>
            <wp:wrapNone/>
            <wp:docPr id="10" name="Picture 10"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2" w:name="_Toc246227797"/>
      <w:r w:rsidR="00366B41" w:rsidRPr="009A70C3">
        <w:t>What is the quality of our aid activities</w:t>
      </w:r>
      <w:r w:rsidR="009B2D79" w:rsidRPr="009A70C3">
        <w:t>?</w:t>
      </w:r>
      <w:bookmarkEnd w:id="52"/>
      <w:r w:rsidR="00366B41" w:rsidRPr="009A70C3">
        <w:br/>
      </w:r>
    </w:p>
    <w:p w:rsidR="00366B41" w:rsidRPr="009A70C3" w:rsidRDefault="00366B41" w:rsidP="00366B41">
      <w:pPr>
        <w:pStyle w:val="BodyText"/>
      </w:pPr>
      <w:r w:rsidRPr="009A70C3">
        <w:t xml:space="preserve">In 2008, the Kiribati </w:t>
      </w:r>
      <w:r w:rsidR="0012722B">
        <w:t>p</w:t>
      </w:r>
      <w:r w:rsidRPr="009A70C3">
        <w:t xml:space="preserve">rogram rated six of their initiatives </w:t>
      </w:r>
      <w:r w:rsidR="0051788E">
        <w:t xml:space="preserve">for their quality at implementation. The four measures are </w:t>
      </w:r>
      <w:r w:rsidRPr="009A70C3">
        <w:t xml:space="preserve">achieving objectives; </w:t>
      </w:r>
      <w:r w:rsidR="0051788E">
        <w:t xml:space="preserve">implementation </w:t>
      </w:r>
      <w:r w:rsidRPr="009A70C3">
        <w:t>progress; monitoring and evaluation; and sustainability</w:t>
      </w:r>
      <w:r w:rsidR="004C3315" w:rsidRPr="009A70C3">
        <w:t xml:space="preserve">. </w:t>
      </w:r>
      <w:r w:rsidRPr="009A70C3">
        <w:t>The</w:t>
      </w:r>
      <w:r w:rsidR="002B5F72">
        <w:t xml:space="preserve"> six initiatives </w:t>
      </w:r>
      <w:r w:rsidRPr="009A70C3">
        <w:t xml:space="preserve">accounted for 77.6% of bilateral program fund expenditure for 2008. Table </w:t>
      </w:r>
      <w:r w:rsidR="00921211" w:rsidRPr="009A70C3">
        <w:t>1</w:t>
      </w:r>
      <w:r w:rsidRPr="009A70C3">
        <w:t xml:space="preserve"> also highlights the fact that many of the aid program’s initiatives in Kiribati are small (do not trigger requirement </w:t>
      </w:r>
      <w:r w:rsidR="009461A6" w:rsidRPr="009A70C3">
        <w:t>for</w:t>
      </w:r>
      <w:r w:rsidRPr="009A70C3">
        <w:t xml:space="preserve"> </w:t>
      </w:r>
      <w:r w:rsidR="00584D8A" w:rsidRPr="009A70C3">
        <w:t>quality at implementation reviews</w:t>
      </w:r>
      <w:r w:rsidRPr="009A70C3">
        <w:t>) and that the larger ones are concentrated against one or two objectives. The program design work under</w:t>
      </w:r>
      <w:r w:rsidR="005559CA" w:rsidRPr="009A70C3">
        <w:t xml:space="preserve"> </w:t>
      </w:r>
      <w:r w:rsidRPr="009A70C3">
        <w:t xml:space="preserve">way under the </w:t>
      </w:r>
      <w:r w:rsidR="00DE1D99" w:rsidRPr="009A70C3">
        <w:t xml:space="preserve">Australia–Kiribati </w:t>
      </w:r>
      <w:r w:rsidRPr="009A70C3">
        <w:t xml:space="preserve">Partnership </w:t>
      </w:r>
      <w:r w:rsidR="00DE1D99" w:rsidRPr="009A70C3">
        <w:t xml:space="preserve">for Development takes account of </w:t>
      </w:r>
      <w:r w:rsidRPr="009A70C3">
        <w:t>this issue</w:t>
      </w:r>
      <w:r w:rsidR="002B5F72">
        <w:t>.</w:t>
      </w:r>
      <w:r w:rsidRPr="009A70C3">
        <w:t xml:space="preserve"> </w:t>
      </w:r>
      <w:r w:rsidR="002B5F72" w:rsidRPr="009A70C3">
        <w:t xml:space="preserve">More </w:t>
      </w:r>
      <w:r w:rsidRPr="009A70C3">
        <w:t xml:space="preserve">consolidation within the portfolio is expected </w:t>
      </w:r>
      <w:r w:rsidR="002B5F72">
        <w:t xml:space="preserve">in </w:t>
      </w:r>
      <w:r w:rsidR="00921211" w:rsidRPr="009A70C3">
        <w:t xml:space="preserve">the </w:t>
      </w:r>
      <w:r w:rsidR="00CC5766">
        <w:t xml:space="preserve">next </w:t>
      </w:r>
      <w:r w:rsidR="00921211" w:rsidRPr="009A70C3">
        <w:t>reporting period.</w:t>
      </w:r>
    </w:p>
    <w:p w:rsidR="00366B41" w:rsidRPr="009A70C3" w:rsidRDefault="00366B41" w:rsidP="00366B41">
      <w:pPr>
        <w:pStyle w:val="Caption"/>
      </w:pPr>
      <w:r w:rsidRPr="009A70C3">
        <w:t>Table 1</w:t>
      </w:r>
      <w:r w:rsidRPr="009A70C3">
        <w:tab/>
        <w:t>Quality at implementation summary for 2008</w:t>
      </w:r>
    </w:p>
    <w:tbl>
      <w:tblPr>
        <w:tblW w:w="7938" w:type="dxa"/>
        <w:tblInd w:w="98" w:type="dxa"/>
        <w:tblLayout w:type="fixed"/>
        <w:tblLook w:val="0000" w:firstRow="0" w:lastRow="0" w:firstColumn="0" w:lastColumn="0" w:noHBand="0" w:noVBand="0"/>
        <w:tblDescription w:val="Table 1 Quality at implementation summary for 2008"/>
      </w:tblPr>
      <w:tblGrid>
        <w:gridCol w:w="1587"/>
        <w:gridCol w:w="1587"/>
        <w:gridCol w:w="220"/>
        <w:gridCol w:w="1368"/>
        <w:gridCol w:w="1588"/>
        <w:gridCol w:w="438"/>
        <w:gridCol w:w="1150"/>
      </w:tblGrid>
      <w:tr w:rsidR="00366B41" w:rsidRPr="009A70C3" w:rsidTr="009700BC">
        <w:trPr>
          <w:cantSplit/>
          <w:trHeight w:val="193"/>
          <w:tblHeader/>
        </w:trPr>
        <w:tc>
          <w:tcPr>
            <w:tcW w:w="1860" w:type="dxa"/>
            <w:tcBorders>
              <w:top w:val="single" w:sz="4" w:space="0" w:color="auto"/>
              <w:left w:val="single" w:sz="8" w:space="0" w:color="auto"/>
              <w:bottom w:val="single" w:sz="4" w:space="0" w:color="auto"/>
              <w:right w:val="single" w:sz="4" w:space="0" w:color="auto"/>
            </w:tcBorders>
            <w:shd w:val="clear" w:color="auto" w:fill="E6E6E6"/>
            <w:noWrap/>
            <w:vAlign w:val="bottom"/>
          </w:tcPr>
          <w:p w:rsidR="00366B41" w:rsidRPr="009A70C3" w:rsidRDefault="00366B41" w:rsidP="00B12711">
            <w:pPr>
              <w:pStyle w:val="TableTextColumnHeading"/>
            </w:pPr>
            <w:r w:rsidRPr="009A70C3">
              <w:t> </w:t>
            </w:r>
            <w:r w:rsidR="00B12711">
              <w:t>Initiative</w:t>
            </w:r>
          </w:p>
        </w:tc>
        <w:tc>
          <w:tcPr>
            <w:tcW w:w="1860" w:type="dxa"/>
            <w:tcBorders>
              <w:top w:val="single" w:sz="4" w:space="0" w:color="auto"/>
              <w:left w:val="nil"/>
              <w:bottom w:val="single" w:sz="4" w:space="0" w:color="auto"/>
              <w:right w:val="single" w:sz="4" w:space="0" w:color="auto"/>
            </w:tcBorders>
            <w:shd w:val="clear" w:color="auto" w:fill="E6E6E6"/>
            <w:noWrap/>
          </w:tcPr>
          <w:p w:rsidR="00366B41" w:rsidRPr="009A70C3" w:rsidRDefault="00366B41" w:rsidP="0090618D">
            <w:pPr>
              <w:pStyle w:val="TableDataColumnHeading"/>
            </w:pPr>
            <w:r w:rsidRPr="009A70C3">
              <w:t xml:space="preserve">Achieving </w:t>
            </w:r>
            <w:r w:rsidR="0090618D" w:rsidRPr="009A70C3">
              <w:t>o</w:t>
            </w:r>
            <w:r w:rsidRPr="009A70C3">
              <w:t>bjectives</w:t>
            </w:r>
          </w:p>
        </w:tc>
        <w:tc>
          <w:tcPr>
            <w:tcW w:w="1860" w:type="dxa"/>
            <w:gridSpan w:val="2"/>
            <w:tcBorders>
              <w:top w:val="single" w:sz="4" w:space="0" w:color="auto"/>
              <w:left w:val="nil"/>
              <w:bottom w:val="single" w:sz="4" w:space="0" w:color="auto"/>
              <w:right w:val="single" w:sz="4" w:space="0" w:color="auto"/>
            </w:tcBorders>
            <w:shd w:val="clear" w:color="auto" w:fill="E6E6E6"/>
          </w:tcPr>
          <w:p w:rsidR="00366B41" w:rsidRPr="009A70C3" w:rsidRDefault="00366B41" w:rsidP="0090618D">
            <w:pPr>
              <w:pStyle w:val="TableDataColumnHeading"/>
            </w:pPr>
            <w:r w:rsidRPr="009A70C3">
              <w:t xml:space="preserve">Implementation </w:t>
            </w:r>
            <w:r w:rsidR="0090618D" w:rsidRPr="009A70C3">
              <w:t>p</w:t>
            </w:r>
            <w:r w:rsidRPr="009A70C3">
              <w:t>rogress</w:t>
            </w:r>
          </w:p>
        </w:tc>
        <w:tc>
          <w:tcPr>
            <w:tcW w:w="1860" w:type="dxa"/>
            <w:tcBorders>
              <w:top w:val="single" w:sz="4" w:space="0" w:color="auto"/>
              <w:left w:val="nil"/>
              <w:bottom w:val="single" w:sz="4" w:space="0" w:color="auto"/>
              <w:right w:val="single" w:sz="4" w:space="0" w:color="auto"/>
            </w:tcBorders>
            <w:shd w:val="clear" w:color="auto" w:fill="E6E6E6"/>
            <w:noWrap/>
          </w:tcPr>
          <w:p w:rsidR="00366B41" w:rsidRPr="009A70C3" w:rsidRDefault="00366B41" w:rsidP="0090618D">
            <w:pPr>
              <w:pStyle w:val="TableDataColumnHeading"/>
            </w:pPr>
            <w:r w:rsidRPr="009A70C3">
              <w:t xml:space="preserve">Monitoring </w:t>
            </w:r>
            <w:r w:rsidR="0090618D" w:rsidRPr="009A70C3">
              <w:t>and</w:t>
            </w:r>
            <w:r w:rsidRPr="009A70C3">
              <w:t xml:space="preserve"> </w:t>
            </w:r>
            <w:r w:rsidR="0090618D" w:rsidRPr="009A70C3">
              <w:t>e</w:t>
            </w:r>
            <w:r w:rsidRPr="009A70C3">
              <w:t>valuation</w:t>
            </w:r>
          </w:p>
        </w:tc>
        <w:tc>
          <w:tcPr>
            <w:tcW w:w="1860" w:type="dxa"/>
            <w:gridSpan w:val="2"/>
            <w:tcBorders>
              <w:top w:val="single" w:sz="4" w:space="0" w:color="auto"/>
              <w:left w:val="nil"/>
              <w:bottom w:val="single" w:sz="4" w:space="0" w:color="auto"/>
              <w:right w:val="single" w:sz="4" w:space="0" w:color="auto"/>
            </w:tcBorders>
            <w:shd w:val="clear" w:color="auto" w:fill="E6E6E6"/>
            <w:noWrap/>
          </w:tcPr>
          <w:p w:rsidR="00366B41" w:rsidRPr="009A70C3" w:rsidRDefault="00366B41" w:rsidP="00366B41">
            <w:pPr>
              <w:pStyle w:val="TableDataColumnHeading"/>
            </w:pPr>
            <w:r w:rsidRPr="009A70C3">
              <w:t>Sustainability</w:t>
            </w:r>
          </w:p>
          <w:p w:rsidR="00366B41" w:rsidRPr="009A70C3" w:rsidRDefault="00366B41" w:rsidP="00366B41">
            <w:pPr>
              <w:pStyle w:val="TableDataColumnHeading"/>
            </w:pPr>
          </w:p>
        </w:tc>
      </w:tr>
      <w:tr w:rsidR="00366B41" w:rsidRPr="009A70C3" w:rsidTr="009700BC">
        <w:trPr>
          <w:cantSplit/>
          <w:trHeight w:val="60"/>
        </w:trPr>
        <w:tc>
          <w:tcPr>
            <w:tcW w:w="18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66B41" w:rsidRPr="009A70C3" w:rsidRDefault="00366B41" w:rsidP="00366B41">
            <w:pPr>
              <w:pStyle w:val="TableTextEntries"/>
              <w:rPr>
                <w:sz w:val="16"/>
                <w:szCs w:val="16"/>
              </w:rPr>
            </w:pPr>
            <w:r w:rsidRPr="009A70C3">
              <w:t>Education Sector Support</w:t>
            </w:r>
          </w:p>
        </w:tc>
        <w:tc>
          <w:tcPr>
            <w:tcW w:w="1860" w:type="dxa"/>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gridSpan w:val="2"/>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gridSpan w:val="2"/>
            <w:tcBorders>
              <w:top w:val="single" w:sz="4" w:space="0" w:color="auto"/>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r>
      <w:tr w:rsidR="00366B41" w:rsidRPr="009A70C3" w:rsidTr="009700BC">
        <w:trPr>
          <w:cantSplit/>
          <w:trHeight w:val="60"/>
        </w:trPr>
        <w:tc>
          <w:tcPr>
            <w:tcW w:w="1860" w:type="dxa"/>
            <w:tcBorders>
              <w:top w:val="nil"/>
              <w:left w:val="single" w:sz="8" w:space="0" w:color="auto"/>
              <w:bottom w:val="single" w:sz="4" w:space="0" w:color="auto"/>
              <w:right w:val="single" w:sz="4" w:space="0" w:color="auto"/>
            </w:tcBorders>
            <w:shd w:val="clear" w:color="auto" w:fill="auto"/>
            <w:noWrap/>
            <w:vAlign w:val="bottom"/>
          </w:tcPr>
          <w:p w:rsidR="00366B41" w:rsidRPr="009A70C3" w:rsidRDefault="00366B41" w:rsidP="00366B41">
            <w:pPr>
              <w:pStyle w:val="TableTextEntries"/>
              <w:rPr>
                <w:sz w:val="16"/>
                <w:szCs w:val="16"/>
              </w:rPr>
            </w:pPr>
            <w:r w:rsidRPr="009A70C3">
              <w:t>Kiribati Targeted Public Sector Support</w:t>
            </w:r>
          </w:p>
        </w:tc>
        <w:tc>
          <w:tcPr>
            <w:tcW w:w="1860" w:type="dxa"/>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gridSpan w:val="2"/>
            <w:tcBorders>
              <w:top w:val="nil"/>
              <w:left w:val="nil"/>
              <w:bottom w:val="single" w:sz="4" w:space="0" w:color="auto"/>
              <w:right w:val="single" w:sz="4" w:space="0" w:color="auto"/>
            </w:tcBorders>
            <w:shd w:val="clear" w:color="auto" w:fill="99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5</w:t>
            </w:r>
          </w:p>
        </w:tc>
        <w:tc>
          <w:tcPr>
            <w:tcW w:w="1860" w:type="dxa"/>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gridSpan w:val="2"/>
            <w:tcBorders>
              <w:top w:val="single" w:sz="4" w:space="0" w:color="auto"/>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r>
      <w:tr w:rsidR="00366B41" w:rsidRPr="009A70C3" w:rsidTr="009700BC">
        <w:trPr>
          <w:cantSplit/>
          <w:trHeight w:val="167"/>
        </w:trPr>
        <w:tc>
          <w:tcPr>
            <w:tcW w:w="18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66B41" w:rsidRPr="009A70C3" w:rsidRDefault="00366B41" w:rsidP="00366B41">
            <w:pPr>
              <w:pStyle w:val="TableTextEntries"/>
              <w:rPr>
                <w:sz w:val="16"/>
                <w:szCs w:val="16"/>
              </w:rPr>
            </w:pPr>
            <w:r w:rsidRPr="009A70C3">
              <w:t>Nurse Skills Upgrading (KANI)</w:t>
            </w:r>
          </w:p>
        </w:tc>
        <w:tc>
          <w:tcPr>
            <w:tcW w:w="1860" w:type="dxa"/>
            <w:tcBorders>
              <w:top w:val="nil"/>
              <w:left w:val="nil"/>
              <w:bottom w:val="single" w:sz="4" w:space="0" w:color="auto"/>
              <w:right w:val="single" w:sz="4" w:space="0" w:color="auto"/>
            </w:tcBorders>
            <w:shd w:val="clear" w:color="auto" w:fill="99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5</w:t>
            </w:r>
          </w:p>
        </w:tc>
        <w:tc>
          <w:tcPr>
            <w:tcW w:w="1860" w:type="dxa"/>
            <w:gridSpan w:val="2"/>
            <w:tcBorders>
              <w:top w:val="nil"/>
              <w:left w:val="nil"/>
              <w:bottom w:val="single" w:sz="4" w:space="0" w:color="auto"/>
              <w:right w:val="single" w:sz="4" w:space="0" w:color="auto"/>
            </w:tcBorders>
            <w:shd w:val="clear" w:color="auto" w:fill="99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5</w:t>
            </w:r>
          </w:p>
        </w:tc>
        <w:tc>
          <w:tcPr>
            <w:tcW w:w="1860" w:type="dxa"/>
            <w:tcBorders>
              <w:top w:val="nil"/>
              <w:left w:val="nil"/>
              <w:bottom w:val="single" w:sz="4" w:space="0" w:color="auto"/>
              <w:right w:val="single" w:sz="4" w:space="0" w:color="auto"/>
            </w:tcBorders>
            <w:shd w:val="clear" w:color="auto" w:fill="99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5</w:t>
            </w:r>
          </w:p>
        </w:tc>
        <w:tc>
          <w:tcPr>
            <w:tcW w:w="1860" w:type="dxa"/>
            <w:gridSpan w:val="2"/>
            <w:tcBorders>
              <w:top w:val="single" w:sz="4" w:space="0" w:color="auto"/>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r>
      <w:tr w:rsidR="00366B41" w:rsidRPr="009A70C3" w:rsidTr="009700BC">
        <w:trPr>
          <w:cantSplit/>
          <w:trHeight w:val="60"/>
        </w:trPr>
        <w:tc>
          <w:tcPr>
            <w:tcW w:w="1860" w:type="dxa"/>
            <w:tcBorders>
              <w:top w:val="nil"/>
              <w:left w:val="single" w:sz="8" w:space="0" w:color="auto"/>
              <w:bottom w:val="single" w:sz="4" w:space="0" w:color="auto"/>
              <w:right w:val="single" w:sz="4" w:space="0" w:color="auto"/>
            </w:tcBorders>
            <w:shd w:val="clear" w:color="auto" w:fill="auto"/>
            <w:vAlign w:val="bottom"/>
          </w:tcPr>
          <w:p w:rsidR="00366B41" w:rsidRPr="009A70C3" w:rsidRDefault="00366B41" w:rsidP="00584D8A">
            <w:pPr>
              <w:pStyle w:val="TableTextEntries"/>
              <w:rPr>
                <w:sz w:val="16"/>
                <w:szCs w:val="16"/>
              </w:rPr>
            </w:pPr>
            <w:r w:rsidRPr="009A70C3">
              <w:t xml:space="preserve">Kiribati </w:t>
            </w:r>
            <w:r w:rsidR="00584D8A" w:rsidRPr="009A70C3">
              <w:t>–</w:t>
            </w:r>
            <w:r w:rsidRPr="009A70C3">
              <w:t xml:space="preserve"> ADS</w:t>
            </w:r>
          </w:p>
        </w:tc>
        <w:tc>
          <w:tcPr>
            <w:tcW w:w="1860" w:type="dxa"/>
            <w:tcBorders>
              <w:top w:val="nil"/>
              <w:left w:val="nil"/>
              <w:bottom w:val="single" w:sz="4" w:space="0" w:color="auto"/>
              <w:right w:val="single" w:sz="4" w:space="0" w:color="auto"/>
            </w:tcBorders>
            <w:shd w:val="clear" w:color="auto" w:fill="99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5</w:t>
            </w:r>
          </w:p>
        </w:tc>
        <w:tc>
          <w:tcPr>
            <w:tcW w:w="1860" w:type="dxa"/>
            <w:gridSpan w:val="2"/>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gridSpan w:val="2"/>
            <w:tcBorders>
              <w:top w:val="single" w:sz="4" w:space="0" w:color="auto"/>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r>
      <w:tr w:rsidR="00366B41" w:rsidRPr="009A70C3" w:rsidTr="009700BC">
        <w:trPr>
          <w:cantSplit/>
          <w:trHeight w:val="281"/>
        </w:trPr>
        <w:tc>
          <w:tcPr>
            <w:tcW w:w="1860" w:type="dxa"/>
            <w:tcBorders>
              <w:top w:val="nil"/>
              <w:left w:val="single" w:sz="8" w:space="0" w:color="auto"/>
              <w:bottom w:val="single" w:sz="4" w:space="0" w:color="auto"/>
              <w:right w:val="single" w:sz="4" w:space="0" w:color="auto"/>
            </w:tcBorders>
            <w:shd w:val="clear" w:color="auto" w:fill="auto"/>
            <w:vAlign w:val="bottom"/>
          </w:tcPr>
          <w:p w:rsidR="00366B41" w:rsidRPr="009A70C3" w:rsidRDefault="00366B41" w:rsidP="0090618D">
            <w:pPr>
              <w:pStyle w:val="TableTextEntries"/>
              <w:rPr>
                <w:sz w:val="16"/>
                <w:szCs w:val="16"/>
              </w:rPr>
            </w:pPr>
            <w:r w:rsidRPr="009A70C3">
              <w:t xml:space="preserve">Kiribati </w:t>
            </w:r>
            <w:r w:rsidR="0090618D" w:rsidRPr="009A70C3">
              <w:t>–</w:t>
            </w:r>
            <w:r w:rsidRPr="009A70C3">
              <w:t xml:space="preserve"> ARDS</w:t>
            </w:r>
          </w:p>
        </w:tc>
        <w:tc>
          <w:tcPr>
            <w:tcW w:w="1860" w:type="dxa"/>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gridSpan w:val="2"/>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gridSpan w:val="2"/>
            <w:tcBorders>
              <w:top w:val="single" w:sz="4" w:space="0" w:color="auto"/>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r>
      <w:tr w:rsidR="00366B41" w:rsidRPr="009A70C3" w:rsidTr="009700BC">
        <w:trPr>
          <w:cantSplit/>
          <w:trHeight w:val="60"/>
        </w:trPr>
        <w:tc>
          <w:tcPr>
            <w:tcW w:w="1860" w:type="dxa"/>
            <w:tcBorders>
              <w:top w:val="nil"/>
              <w:left w:val="single" w:sz="8" w:space="0" w:color="auto"/>
              <w:bottom w:val="single" w:sz="4" w:space="0" w:color="auto"/>
              <w:right w:val="single" w:sz="4" w:space="0" w:color="auto"/>
            </w:tcBorders>
            <w:shd w:val="clear" w:color="auto" w:fill="auto"/>
            <w:vAlign w:val="bottom"/>
          </w:tcPr>
          <w:p w:rsidR="00366B41" w:rsidRPr="009A70C3" w:rsidRDefault="00366B41" w:rsidP="00366B41">
            <w:pPr>
              <w:pStyle w:val="TableTextEntries"/>
              <w:rPr>
                <w:sz w:val="16"/>
                <w:szCs w:val="16"/>
              </w:rPr>
            </w:pPr>
            <w:r w:rsidRPr="009A70C3">
              <w:t>Partnerships in Vulnerability Reduction</w:t>
            </w:r>
          </w:p>
        </w:tc>
        <w:tc>
          <w:tcPr>
            <w:tcW w:w="1860" w:type="dxa"/>
            <w:tcBorders>
              <w:top w:val="nil"/>
              <w:left w:val="nil"/>
              <w:bottom w:val="single" w:sz="4" w:space="0" w:color="auto"/>
              <w:right w:val="single" w:sz="4" w:space="0" w:color="auto"/>
            </w:tcBorders>
            <w:shd w:val="clear" w:color="auto" w:fill="FFCC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3</w:t>
            </w:r>
          </w:p>
        </w:tc>
        <w:tc>
          <w:tcPr>
            <w:tcW w:w="1860" w:type="dxa"/>
            <w:gridSpan w:val="2"/>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tcBorders>
              <w:top w:val="nil"/>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c>
          <w:tcPr>
            <w:tcW w:w="1860" w:type="dxa"/>
            <w:gridSpan w:val="2"/>
            <w:tcBorders>
              <w:top w:val="single" w:sz="4" w:space="0" w:color="auto"/>
              <w:left w:val="nil"/>
              <w:bottom w:val="single" w:sz="4" w:space="0" w:color="auto"/>
              <w:right w:val="single" w:sz="4" w:space="0" w:color="auto"/>
            </w:tcBorders>
            <w:shd w:val="clear" w:color="auto" w:fill="FFFF00"/>
            <w:noWrap/>
            <w:vAlign w:val="bottom"/>
          </w:tcPr>
          <w:p w:rsidR="00366B41" w:rsidRPr="009A70C3" w:rsidRDefault="00366B41" w:rsidP="00366B41">
            <w:pPr>
              <w:spacing w:before="40" w:after="40"/>
              <w:jc w:val="right"/>
              <w:rPr>
                <w:rFonts w:cs="Arial"/>
                <w:sz w:val="16"/>
                <w:szCs w:val="16"/>
              </w:rPr>
            </w:pPr>
            <w:r w:rsidRPr="009A70C3">
              <w:rPr>
                <w:rFonts w:cs="Arial"/>
                <w:b/>
                <w:bCs/>
                <w:szCs w:val="20"/>
              </w:rPr>
              <w:t>4</w:t>
            </w:r>
          </w:p>
        </w:tc>
      </w:tr>
      <w:tr w:rsidR="00366B41" w:rsidRPr="009A70C3" w:rsidTr="009700BC">
        <w:trPr>
          <w:cantSplit/>
          <w:trHeight w:val="127"/>
        </w:trPr>
        <w:tc>
          <w:tcPr>
            <w:tcW w:w="1860" w:type="dxa"/>
            <w:tcBorders>
              <w:top w:val="single" w:sz="4" w:space="0" w:color="auto"/>
              <w:left w:val="single" w:sz="8" w:space="0" w:color="auto"/>
              <w:bottom w:val="single" w:sz="4" w:space="0" w:color="auto"/>
              <w:right w:val="single" w:sz="4" w:space="0" w:color="auto"/>
            </w:tcBorders>
            <w:shd w:val="clear" w:color="auto" w:fill="E6E6E6"/>
            <w:noWrap/>
            <w:vAlign w:val="bottom"/>
          </w:tcPr>
          <w:p w:rsidR="00366B41" w:rsidRPr="009A70C3" w:rsidRDefault="00366B41" w:rsidP="00366B41">
            <w:pPr>
              <w:spacing w:before="40" w:after="40"/>
              <w:rPr>
                <w:rFonts w:cs="Arial"/>
                <w:b/>
                <w:bCs/>
                <w:sz w:val="16"/>
                <w:szCs w:val="16"/>
              </w:rPr>
            </w:pPr>
          </w:p>
        </w:tc>
        <w:tc>
          <w:tcPr>
            <w:tcW w:w="1860" w:type="dxa"/>
            <w:tcBorders>
              <w:top w:val="single" w:sz="4" w:space="0" w:color="auto"/>
              <w:left w:val="nil"/>
              <w:bottom w:val="single" w:sz="4" w:space="0" w:color="auto"/>
              <w:right w:val="single" w:sz="4" w:space="0" w:color="auto"/>
            </w:tcBorders>
            <w:shd w:val="clear" w:color="auto" w:fill="E6E6E6"/>
            <w:noWrap/>
            <w:vAlign w:val="bottom"/>
          </w:tcPr>
          <w:p w:rsidR="00366B41" w:rsidRPr="009A70C3" w:rsidRDefault="00366B41" w:rsidP="00366B41">
            <w:pPr>
              <w:spacing w:before="40" w:after="40"/>
              <w:rPr>
                <w:rFonts w:cs="Arial"/>
                <w:sz w:val="16"/>
                <w:szCs w:val="16"/>
              </w:rPr>
            </w:pPr>
          </w:p>
        </w:tc>
        <w:tc>
          <w:tcPr>
            <w:tcW w:w="1860" w:type="dxa"/>
            <w:gridSpan w:val="2"/>
            <w:tcBorders>
              <w:top w:val="single" w:sz="4" w:space="0" w:color="auto"/>
              <w:left w:val="nil"/>
              <w:bottom w:val="single" w:sz="4" w:space="0" w:color="auto"/>
              <w:right w:val="single" w:sz="4" w:space="0" w:color="auto"/>
            </w:tcBorders>
            <w:shd w:val="clear" w:color="auto" w:fill="E6E6E6"/>
            <w:noWrap/>
            <w:vAlign w:val="bottom"/>
          </w:tcPr>
          <w:p w:rsidR="00366B41" w:rsidRPr="009A70C3" w:rsidRDefault="00366B41" w:rsidP="00366B41">
            <w:pPr>
              <w:spacing w:before="40" w:after="40"/>
              <w:rPr>
                <w:rFonts w:cs="Arial"/>
                <w:sz w:val="16"/>
                <w:szCs w:val="16"/>
              </w:rPr>
            </w:pPr>
          </w:p>
        </w:tc>
        <w:tc>
          <w:tcPr>
            <w:tcW w:w="1860" w:type="dxa"/>
            <w:tcBorders>
              <w:top w:val="single" w:sz="4" w:space="0" w:color="auto"/>
              <w:left w:val="nil"/>
              <w:bottom w:val="single" w:sz="4" w:space="0" w:color="auto"/>
              <w:right w:val="single" w:sz="4" w:space="0" w:color="auto"/>
            </w:tcBorders>
            <w:shd w:val="clear" w:color="auto" w:fill="E6E6E6"/>
            <w:noWrap/>
            <w:vAlign w:val="bottom"/>
          </w:tcPr>
          <w:p w:rsidR="00366B41" w:rsidRPr="009A70C3" w:rsidRDefault="00366B41" w:rsidP="00366B41">
            <w:pPr>
              <w:spacing w:before="40" w:after="40"/>
              <w:rPr>
                <w:rFonts w:cs="Arial"/>
                <w:sz w:val="16"/>
                <w:szCs w:val="16"/>
              </w:rPr>
            </w:pPr>
          </w:p>
        </w:tc>
        <w:tc>
          <w:tcPr>
            <w:tcW w:w="1860" w:type="dxa"/>
            <w:gridSpan w:val="2"/>
            <w:tcBorders>
              <w:top w:val="single" w:sz="4" w:space="0" w:color="auto"/>
              <w:left w:val="nil"/>
              <w:bottom w:val="single" w:sz="4" w:space="0" w:color="auto"/>
              <w:right w:val="single" w:sz="4" w:space="0" w:color="auto"/>
            </w:tcBorders>
            <w:shd w:val="clear" w:color="auto" w:fill="E6E6E6"/>
            <w:noWrap/>
            <w:vAlign w:val="bottom"/>
          </w:tcPr>
          <w:p w:rsidR="00366B41" w:rsidRPr="009A70C3" w:rsidRDefault="00366B41" w:rsidP="00366B41">
            <w:pPr>
              <w:spacing w:before="40" w:after="40"/>
              <w:jc w:val="right"/>
              <w:rPr>
                <w:rFonts w:cs="Arial"/>
                <w:sz w:val="16"/>
                <w:szCs w:val="16"/>
              </w:rPr>
            </w:pPr>
          </w:p>
        </w:tc>
      </w:tr>
      <w:tr w:rsidR="00366B41" w:rsidRPr="009A70C3" w:rsidTr="009700BC">
        <w:trPr>
          <w:cantSplit/>
          <w:trHeight w:val="127"/>
        </w:trPr>
        <w:tc>
          <w:tcPr>
            <w:tcW w:w="18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66B41" w:rsidRPr="009A70C3" w:rsidRDefault="00366B41" w:rsidP="00366B41">
            <w:pPr>
              <w:pStyle w:val="TableHeading1"/>
            </w:pPr>
            <w:r w:rsidRPr="009A70C3">
              <w:t>Number of initiatives that are rated satisfactory</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5</w:t>
            </w:r>
          </w:p>
        </w:tc>
        <w:tc>
          <w:tcPr>
            <w:tcW w:w="1860" w:type="dxa"/>
            <w:gridSpan w:val="2"/>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4</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2</w:t>
            </w:r>
          </w:p>
        </w:tc>
        <w:tc>
          <w:tcPr>
            <w:tcW w:w="1860" w:type="dxa"/>
            <w:gridSpan w:val="2"/>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4</w:t>
            </w:r>
          </w:p>
        </w:tc>
      </w:tr>
      <w:tr w:rsidR="00366B41" w:rsidRPr="009A70C3" w:rsidTr="009700BC">
        <w:trPr>
          <w:cantSplit/>
          <w:trHeight w:val="127"/>
        </w:trPr>
        <w:tc>
          <w:tcPr>
            <w:tcW w:w="18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66B41" w:rsidRPr="009A70C3" w:rsidRDefault="00366B41" w:rsidP="00366B41">
            <w:pPr>
              <w:pStyle w:val="TableHeading1"/>
            </w:pPr>
            <w:r w:rsidRPr="009A70C3">
              <w:t>As a percentage of total initiatives</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83%</w:t>
            </w:r>
          </w:p>
        </w:tc>
        <w:tc>
          <w:tcPr>
            <w:tcW w:w="1860" w:type="dxa"/>
            <w:gridSpan w:val="2"/>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67%</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33%</w:t>
            </w:r>
          </w:p>
        </w:tc>
        <w:tc>
          <w:tcPr>
            <w:tcW w:w="1860" w:type="dxa"/>
            <w:gridSpan w:val="2"/>
            <w:tcBorders>
              <w:top w:val="single" w:sz="4" w:space="0" w:color="auto"/>
              <w:left w:val="nil"/>
              <w:bottom w:val="single" w:sz="4" w:space="0" w:color="auto"/>
              <w:right w:val="single" w:sz="4" w:space="0" w:color="auto"/>
            </w:tcBorders>
            <w:shd w:val="clear" w:color="auto" w:fill="auto"/>
            <w:noWrap/>
            <w:vAlign w:val="bottom"/>
          </w:tcPr>
          <w:p w:rsidR="00366B41" w:rsidRPr="009A70C3" w:rsidRDefault="00366B41" w:rsidP="00366B41">
            <w:pPr>
              <w:spacing w:before="40" w:after="40"/>
              <w:jc w:val="right"/>
              <w:rPr>
                <w:rFonts w:cs="Arial"/>
                <w:b/>
                <w:bCs/>
                <w:szCs w:val="20"/>
              </w:rPr>
            </w:pPr>
            <w:r w:rsidRPr="009A70C3">
              <w:rPr>
                <w:rFonts w:cs="Arial"/>
                <w:b/>
                <w:bCs/>
                <w:szCs w:val="20"/>
              </w:rPr>
              <w:t>67%</w:t>
            </w:r>
          </w:p>
        </w:tc>
      </w:tr>
      <w:tr w:rsidR="00366B41" w:rsidRPr="009A70C3" w:rsidTr="009700BC">
        <w:trPr>
          <w:gridAfter w:val="1"/>
          <w:wAfter w:w="1352" w:type="dxa"/>
          <w:cantSplit/>
          <w:trHeight w:val="196"/>
        </w:trPr>
        <w:tc>
          <w:tcPr>
            <w:tcW w:w="7948" w:type="dxa"/>
            <w:gridSpan w:val="6"/>
            <w:tcBorders>
              <w:top w:val="single" w:sz="4" w:space="0" w:color="000000"/>
              <w:left w:val="single" w:sz="8" w:space="0" w:color="auto"/>
              <w:bottom w:val="nil"/>
              <w:right w:val="single" w:sz="4" w:space="0" w:color="000000"/>
            </w:tcBorders>
            <w:shd w:val="clear" w:color="auto" w:fill="E6E6E6"/>
            <w:noWrap/>
            <w:vAlign w:val="bottom"/>
          </w:tcPr>
          <w:p w:rsidR="00366B41" w:rsidRPr="009A70C3" w:rsidRDefault="00366B41" w:rsidP="00366B41">
            <w:pPr>
              <w:spacing w:before="20" w:after="20"/>
              <w:rPr>
                <w:rFonts w:cs="Arial"/>
                <w:b/>
                <w:bCs/>
                <w:sz w:val="16"/>
                <w:szCs w:val="16"/>
              </w:rPr>
            </w:pPr>
            <w:r w:rsidRPr="009A70C3">
              <w:rPr>
                <w:rFonts w:cs="Arial"/>
                <w:b/>
                <w:bCs/>
                <w:sz w:val="16"/>
                <w:szCs w:val="16"/>
              </w:rPr>
              <w:t>Satisfactory (4, 5 and 6)</w:t>
            </w:r>
          </w:p>
        </w:tc>
      </w:tr>
      <w:tr w:rsidR="00366B41" w:rsidRPr="009A70C3" w:rsidTr="009700BC">
        <w:trPr>
          <w:gridAfter w:val="1"/>
          <w:wAfter w:w="1352" w:type="dxa"/>
          <w:cantSplit/>
          <w:trHeight w:val="126"/>
        </w:trPr>
        <w:tc>
          <w:tcPr>
            <w:tcW w:w="3974" w:type="dxa"/>
            <w:gridSpan w:val="3"/>
            <w:tcBorders>
              <w:top w:val="single" w:sz="4" w:space="0" w:color="auto"/>
              <w:left w:val="single" w:sz="8" w:space="0" w:color="auto"/>
              <w:bottom w:val="single" w:sz="4" w:space="0" w:color="auto"/>
              <w:right w:val="single" w:sz="4" w:space="0" w:color="000000"/>
            </w:tcBorders>
            <w:shd w:val="clear" w:color="auto" w:fill="99CC00"/>
            <w:vAlign w:val="bottom"/>
          </w:tcPr>
          <w:p w:rsidR="00366B41" w:rsidRPr="009A70C3" w:rsidRDefault="00366B41" w:rsidP="00366B41">
            <w:pPr>
              <w:spacing w:before="20" w:after="20"/>
              <w:jc w:val="center"/>
              <w:rPr>
                <w:rFonts w:cs="Arial"/>
                <w:sz w:val="16"/>
                <w:szCs w:val="16"/>
              </w:rPr>
            </w:pPr>
            <w:r w:rsidRPr="009A70C3">
              <w:rPr>
                <w:rFonts w:cs="Arial"/>
                <w:sz w:val="16"/>
                <w:szCs w:val="16"/>
              </w:rPr>
              <w:t>6</w:t>
            </w:r>
          </w:p>
        </w:tc>
        <w:tc>
          <w:tcPr>
            <w:tcW w:w="3974" w:type="dxa"/>
            <w:gridSpan w:val="3"/>
            <w:tcBorders>
              <w:top w:val="single" w:sz="4" w:space="0" w:color="000000"/>
              <w:left w:val="single" w:sz="4" w:space="0" w:color="000000"/>
              <w:bottom w:val="nil"/>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Very high quality</w:t>
            </w:r>
          </w:p>
        </w:tc>
      </w:tr>
      <w:tr w:rsidR="00366B41" w:rsidRPr="009A70C3" w:rsidTr="009700BC">
        <w:trPr>
          <w:gridAfter w:val="1"/>
          <w:wAfter w:w="1352" w:type="dxa"/>
          <w:cantSplit/>
          <w:trHeight w:val="111"/>
        </w:trPr>
        <w:tc>
          <w:tcPr>
            <w:tcW w:w="3974" w:type="dxa"/>
            <w:gridSpan w:val="3"/>
            <w:tcBorders>
              <w:top w:val="nil"/>
              <w:left w:val="single" w:sz="8" w:space="0" w:color="auto"/>
              <w:bottom w:val="single" w:sz="4" w:space="0" w:color="auto"/>
              <w:right w:val="single" w:sz="4" w:space="0" w:color="000000"/>
            </w:tcBorders>
            <w:shd w:val="clear" w:color="auto" w:fill="99CC00"/>
            <w:vAlign w:val="bottom"/>
          </w:tcPr>
          <w:p w:rsidR="00366B41" w:rsidRPr="009A70C3" w:rsidRDefault="00366B41" w:rsidP="00366B41">
            <w:pPr>
              <w:spacing w:before="20" w:after="20"/>
              <w:jc w:val="center"/>
              <w:rPr>
                <w:rFonts w:cs="Arial"/>
                <w:sz w:val="16"/>
                <w:szCs w:val="16"/>
              </w:rPr>
            </w:pPr>
            <w:r w:rsidRPr="009A70C3">
              <w:rPr>
                <w:rFonts w:cs="Arial"/>
                <w:sz w:val="16"/>
                <w:szCs w:val="16"/>
              </w:rPr>
              <w:t>5</w:t>
            </w:r>
          </w:p>
        </w:tc>
        <w:tc>
          <w:tcPr>
            <w:tcW w:w="3974" w:type="dxa"/>
            <w:gridSpan w:val="3"/>
            <w:tcBorders>
              <w:top w:val="nil"/>
              <w:left w:val="single" w:sz="4" w:space="0" w:color="000000"/>
              <w:bottom w:val="nil"/>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Good quality</w:t>
            </w:r>
          </w:p>
        </w:tc>
      </w:tr>
      <w:tr w:rsidR="00366B41" w:rsidRPr="009A70C3" w:rsidTr="009700BC">
        <w:trPr>
          <w:gridAfter w:val="1"/>
          <w:wAfter w:w="1352" w:type="dxa"/>
          <w:cantSplit/>
          <w:trHeight w:val="96"/>
        </w:trPr>
        <w:tc>
          <w:tcPr>
            <w:tcW w:w="3974" w:type="dxa"/>
            <w:gridSpan w:val="3"/>
            <w:tcBorders>
              <w:top w:val="nil"/>
              <w:left w:val="single" w:sz="8" w:space="0" w:color="auto"/>
              <w:bottom w:val="single" w:sz="4" w:space="0" w:color="auto"/>
              <w:right w:val="single" w:sz="4" w:space="0" w:color="000000"/>
            </w:tcBorders>
            <w:shd w:val="clear" w:color="auto" w:fill="FFFF00"/>
            <w:vAlign w:val="bottom"/>
          </w:tcPr>
          <w:p w:rsidR="00366B41" w:rsidRPr="009A70C3" w:rsidRDefault="00366B41" w:rsidP="00366B41">
            <w:pPr>
              <w:spacing w:before="20" w:after="20"/>
              <w:jc w:val="center"/>
              <w:rPr>
                <w:rFonts w:cs="Arial"/>
                <w:sz w:val="16"/>
                <w:szCs w:val="16"/>
              </w:rPr>
            </w:pPr>
            <w:r w:rsidRPr="009A70C3">
              <w:rPr>
                <w:rFonts w:cs="Arial"/>
                <w:sz w:val="16"/>
                <w:szCs w:val="16"/>
              </w:rPr>
              <w:t>4</w:t>
            </w:r>
          </w:p>
        </w:tc>
        <w:tc>
          <w:tcPr>
            <w:tcW w:w="3974" w:type="dxa"/>
            <w:gridSpan w:val="3"/>
            <w:tcBorders>
              <w:top w:val="nil"/>
              <w:left w:val="single" w:sz="4" w:space="0" w:color="000000"/>
              <w:bottom w:val="single" w:sz="4" w:space="0" w:color="auto"/>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 xml:space="preserve">Adequate quality; </w:t>
            </w:r>
            <w:r w:rsidRPr="009A70C3">
              <w:rPr>
                <w:rFonts w:cs="Arial"/>
                <w:bCs/>
                <w:iCs/>
                <w:sz w:val="16"/>
                <w:szCs w:val="16"/>
              </w:rPr>
              <w:t>some work to improve needed</w:t>
            </w:r>
            <w:r w:rsidRPr="009A70C3">
              <w:rPr>
                <w:rFonts w:cs="Arial"/>
                <w:i/>
                <w:iCs/>
                <w:sz w:val="16"/>
                <w:szCs w:val="16"/>
              </w:rPr>
              <w:t xml:space="preserve"> </w:t>
            </w:r>
          </w:p>
        </w:tc>
      </w:tr>
      <w:tr w:rsidR="00366B41" w:rsidRPr="009A70C3" w:rsidTr="009700BC">
        <w:trPr>
          <w:gridAfter w:val="1"/>
          <w:wAfter w:w="1352" w:type="dxa"/>
          <w:cantSplit/>
          <w:trHeight w:val="81"/>
        </w:trPr>
        <w:tc>
          <w:tcPr>
            <w:tcW w:w="7948" w:type="dxa"/>
            <w:gridSpan w:val="6"/>
            <w:tcBorders>
              <w:top w:val="single" w:sz="4" w:space="0" w:color="auto"/>
              <w:left w:val="single" w:sz="8" w:space="0" w:color="auto"/>
              <w:bottom w:val="nil"/>
              <w:right w:val="single" w:sz="4" w:space="0" w:color="000000"/>
            </w:tcBorders>
            <w:shd w:val="clear" w:color="auto" w:fill="E6E6E6"/>
            <w:noWrap/>
            <w:vAlign w:val="bottom"/>
          </w:tcPr>
          <w:p w:rsidR="00366B41" w:rsidRPr="009A70C3" w:rsidRDefault="00366B41" w:rsidP="00366B41">
            <w:pPr>
              <w:spacing w:before="20" w:after="20"/>
              <w:rPr>
                <w:rFonts w:cs="Arial"/>
                <w:b/>
                <w:bCs/>
                <w:sz w:val="16"/>
                <w:szCs w:val="16"/>
              </w:rPr>
            </w:pPr>
            <w:r w:rsidRPr="009A70C3">
              <w:rPr>
                <w:rFonts w:cs="Arial"/>
                <w:b/>
                <w:bCs/>
                <w:sz w:val="16"/>
                <w:szCs w:val="16"/>
              </w:rPr>
              <w:t>Less than satisfactory (1, 2 and 3)</w:t>
            </w:r>
          </w:p>
        </w:tc>
      </w:tr>
      <w:tr w:rsidR="00366B41" w:rsidRPr="009A70C3" w:rsidTr="009700BC">
        <w:trPr>
          <w:gridAfter w:val="1"/>
          <w:wAfter w:w="1352" w:type="dxa"/>
          <w:cantSplit/>
          <w:trHeight w:val="70"/>
        </w:trPr>
        <w:tc>
          <w:tcPr>
            <w:tcW w:w="3974" w:type="dxa"/>
            <w:gridSpan w:val="3"/>
            <w:tcBorders>
              <w:top w:val="single" w:sz="4" w:space="0" w:color="auto"/>
              <w:left w:val="single" w:sz="8" w:space="0" w:color="auto"/>
              <w:bottom w:val="single" w:sz="4" w:space="0" w:color="auto"/>
              <w:right w:val="single" w:sz="4" w:space="0" w:color="000000"/>
            </w:tcBorders>
            <w:shd w:val="clear" w:color="auto" w:fill="FFCC00"/>
            <w:noWrap/>
            <w:vAlign w:val="bottom"/>
          </w:tcPr>
          <w:p w:rsidR="00366B41" w:rsidRPr="009A70C3" w:rsidRDefault="00366B41" w:rsidP="00366B41">
            <w:pPr>
              <w:spacing w:before="20" w:after="20"/>
              <w:jc w:val="center"/>
              <w:rPr>
                <w:rFonts w:cs="Arial"/>
                <w:sz w:val="16"/>
                <w:szCs w:val="16"/>
              </w:rPr>
            </w:pPr>
            <w:r w:rsidRPr="009A70C3">
              <w:rPr>
                <w:rFonts w:cs="Arial"/>
                <w:sz w:val="16"/>
                <w:szCs w:val="16"/>
              </w:rPr>
              <w:t>3</w:t>
            </w:r>
          </w:p>
        </w:tc>
        <w:tc>
          <w:tcPr>
            <w:tcW w:w="3974" w:type="dxa"/>
            <w:gridSpan w:val="3"/>
            <w:tcBorders>
              <w:top w:val="single" w:sz="4" w:space="0" w:color="000000"/>
              <w:left w:val="single" w:sz="4" w:space="0" w:color="000000"/>
              <w:bottom w:val="nil"/>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Less than adequate quality; needs significant work</w:t>
            </w:r>
          </w:p>
        </w:tc>
      </w:tr>
      <w:tr w:rsidR="00366B41" w:rsidRPr="009A70C3" w:rsidTr="009700BC">
        <w:trPr>
          <w:gridAfter w:val="1"/>
          <w:wAfter w:w="1352" w:type="dxa"/>
          <w:cantSplit/>
          <w:trHeight w:val="70"/>
        </w:trPr>
        <w:tc>
          <w:tcPr>
            <w:tcW w:w="3974" w:type="dxa"/>
            <w:gridSpan w:val="3"/>
            <w:tcBorders>
              <w:top w:val="single" w:sz="4" w:space="0" w:color="auto"/>
              <w:left w:val="single" w:sz="8" w:space="0" w:color="auto"/>
              <w:bottom w:val="single" w:sz="4" w:space="0" w:color="auto"/>
              <w:right w:val="single" w:sz="4" w:space="0" w:color="000000"/>
            </w:tcBorders>
            <w:shd w:val="clear" w:color="auto" w:fill="FF9900"/>
            <w:noWrap/>
            <w:vAlign w:val="bottom"/>
          </w:tcPr>
          <w:p w:rsidR="00366B41" w:rsidRPr="009A70C3" w:rsidRDefault="00366B41" w:rsidP="00366B41">
            <w:pPr>
              <w:spacing w:before="20" w:after="20"/>
              <w:jc w:val="center"/>
              <w:rPr>
                <w:rFonts w:cs="Arial"/>
                <w:sz w:val="16"/>
                <w:szCs w:val="16"/>
              </w:rPr>
            </w:pPr>
            <w:r w:rsidRPr="009A70C3">
              <w:rPr>
                <w:rFonts w:cs="Arial"/>
                <w:sz w:val="16"/>
                <w:szCs w:val="16"/>
              </w:rPr>
              <w:t>2</w:t>
            </w:r>
          </w:p>
        </w:tc>
        <w:tc>
          <w:tcPr>
            <w:tcW w:w="3974" w:type="dxa"/>
            <w:gridSpan w:val="3"/>
            <w:tcBorders>
              <w:top w:val="nil"/>
              <w:left w:val="single" w:sz="4" w:space="0" w:color="000000"/>
              <w:bottom w:val="nil"/>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Poor quality; needs major work to improve</w:t>
            </w:r>
          </w:p>
        </w:tc>
      </w:tr>
      <w:tr w:rsidR="00366B41" w:rsidRPr="009A70C3" w:rsidTr="009700BC">
        <w:trPr>
          <w:gridAfter w:val="1"/>
          <w:wAfter w:w="1352" w:type="dxa"/>
          <w:cantSplit/>
          <w:trHeight w:val="70"/>
        </w:trPr>
        <w:tc>
          <w:tcPr>
            <w:tcW w:w="3974" w:type="dxa"/>
            <w:gridSpan w:val="3"/>
            <w:tcBorders>
              <w:top w:val="single" w:sz="4" w:space="0" w:color="auto"/>
              <w:left w:val="single" w:sz="8" w:space="0" w:color="auto"/>
              <w:bottom w:val="single" w:sz="8" w:space="0" w:color="auto"/>
              <w:right w:val="single" w:sz="4" w:space="0" w:color="000000"/>
            </w:tcBorders>
            <w:shd w:val="clear" w:color="auto" w:fill="FF6600"/>
            <w:noWrap/>
            <w:vAlign w:val="bottom"/>
          </w:tcPr>
          <w:p w:rsidR="00366B41" w:rsidRPr="009A70C3" w:rsidRDefault="00366B41" w:rsidP="00366B41">
            <w:pPr>
              <w:spacing w:before="20" w:after="20"/>
              <w:jc w:val="center"/>
              <w:rPr>
                <w:rFonts w:cs="Arial"/>
                <w:sz w:val="16"/>
                <w:szCs w:val="16"/>
              </w:rPr>
            </w:pPr>
            <w:r w:rsidRPr="009A70C3">
              <w:rPr>
                <w:rFonts w:cs="Arial"/>
                <w:sz w:val="16"/>
                <w:szCs w:val="16"/>
              </w:rPr>
              <w:t>1</w:t>
            </w:r>
          </w:p>
        </w:tc>
        <w:tc>
          <w:tcPr>
            <w:tcW w:w="3974" w:type="dxa"/>
            <w:gridSpan w:val="3"/>
            <w:tcBorders>
              <w:top w:val="nil"/>
              <w:left w:val="single" w:sz="4" w:space="0" w:color="000000"/>
              <w:bottom w:val="single" w:sz="4" w:space="0" w:color="000000"/>
              <w:right w:val="single" w:sz="4" w:space="0" w:color="000000"/>
            </w:tcBorders>
            <w:shd w:val="clear" w:color="auto" w:fill="auto"/>
            <w:noWrap/>
            <w:vAlign w:val="bottom"/>
          </w:tcPr>
          <w:p w:rsidR="00366B41" w:rsidRPr="009A70C3" w:rsidRDefault="00366B41" w:rsidP="00366B41">
            <w:pPr>
              <w:spacing w:before="20" w:after="20"/>
              <w:rPr>
                <w:rFonts w:cs="Arial"/>
                <w:sz w:val="16"/>
                <w:szCs w:val="16"/>
              </w:rPr>
            </w:pPr>
            <w:r w:rsidRPr="009A70C3">
              <w:rPr>
                <w:rFonts w:cs="Arial"/>
                <w:sz w:val="16"/>
                <w:szCs w:val="16"/>
              </w:rPr>
              <w:t>Very poor quality; needs major overhaul</w:t>
            </w:r>
          </w:p>
        </w:tc>
      </w:tr>
    </w:tbl>
    <w:p w:rsidR="00366B41" w:rsidRPr="009A70C3" w:rsidRDefault="00366B41" w:rsidP="00366B41">
      <w:pPr>
        <w:rPr>
          <w:bCs/>
        </w:rPr>
      </w:pPr>
    </w:p>
    <w:p w:rsidR="00366B41" w:rsidRPr="009A70C3" w:rsidRDefault="00366B41" w:rsidP="00366B41">
      <w:pPr>
        <w:rPr>
          <w:bCs/>
        </w:rPr>
      </w:pPr>
    </w:p>
    <w:p w:rsidR="00366B41" w:rsidRPr="009A70C3" w:rsidRDefault="00366B41" w:rsidP="00366B41">
      <w:pPr>
        <w:rPr>
          <w:bCs/>
        </w:rPr>
      </w:pPr>
      <w:r w:rsidRPr="009A70C3">
        <w:rPr>
          <w:bCs/>
        </w:rPr>
        <w:lastRenderedPageBreak/>
        <w:t xml:space="preserve">The </w:t>
      </w:r>
      <w:r w:rsidR="00BB584E" w:rsidRPr="009A70C3">
        <w:rPr>
          <w:bCs/>
        </w:rPr>
        <w:t>q</w:t>
      </w:r>
      <w:r w:rsidRPr="009A70C3">
        <w:rPr>
          <w:bCs/>
        </w:rPr>
        <w:t xml:space="preserve">uality at </w:t>
      </w:r>
      <w:r w:rsidR="00BB584E" w:rsidRPr="009A70C3">
        <w:rPr>
          <w:bCs/>
        </w:rPr>
        <w:t>i</w:t>
      </w:r>
      <w:r w:rsidRPr="009A70C3">
        <w:rPr>
          <w:bCs/>
        </w:rPr>
        <w:t>mplementation review process highlighted the following cross-cutting issues</w:t>
      </w:r>
      <w:r w:rsidR="00BB584E" w:rsidRPr="009A70C3">
        <w:rPr>
          <w:bCs/>
        </w:rPr>
        <w:t>.</w:t>
      </w:r>
    </w:p>
    <w:p w:rsidR="00366B41" w:rsidRPr="009A70C3" w:rsidRDefault="0090618D" w:rsidP="0090618D">
      <w:pPr>
        <w:pStyle w:val="Heading2unnumbered"/>
      </w:pPr>
      <w:bookmarkStart w:id="53" w:name="_Toc246227798"/>
      <w:r w:rsidRPr="009A70C3">
        <w:t>Monitoring and evaluation</w:t>
      </w:r>
      <w:bookmarkEnd w:id="53"/>
    </w:p>
    <w:p w:rsidR="0090618D" w:rsidRPr="009A70C3" w:rsidRDefault="00050F64" w:rsidP="0090618D">
      <w:pPr>
        <w:pStyle w:val="BodyText"/>
      </w:pPr>
      <w:r w:rsidRPr="009A70C3">
        <w:t>Monitoring and evaluation (</w:t>
      </w:r>
      <w:r w:rsidR="0090618D" w:rsidRPr="009A70C3">
        <w:t>M&amp;E</w:t>
      </w:r>
      <w:r w:rsidRPr="009A70C3">
        <w:t>)</w:t>
      </w:r>
      <w:r w:rsidR="0090618D" w:rsidRPr="009A70C3">
        <w:t xml:space="preserve"> needs to be strengthened across the whole program</w:t>
      </w:r>
      <w:r w:rsidR="004C3315" w:rsidRPr="009A70C3">
        <w:t xml:space="preserve">. </w:t>
      </w:r>
      <w:r w:rsidR="0090618D" w:rsidRPr="009A70C3">
        <w:t>Whil</w:t>
      </w:r>
      <w:r w:rsidR="00D9492F" w:rsidRPr="009A70C3">
        <w:t>e</w:t>
      </w:r>
      <w:r w:rsidR="0090618D" w:rsidRPr="009A70C3">
        <w:t xml:space="preserve"> the</w:t>
      </w:r>
      <w:r w:rsidR="0090618D" w:rsidRPr="009A70C3">
        <w:rPr>
          <w:i/>
          <w:iCs/>
        </w:rPr>
        <w:t xml:space="preserve"> </w:t>
      </w:r>
      <w:r w:rsidR="001525C8" w:rsidRPr="009A70C3">
        <w:rPr>
          <w:iCs/>
        </w:rPr>
        <w:t>e</w:t>
      </w:r>
      <w:r w:rsidR="0090618D" w:rsidRPr="009A70C3">
        <w:rPr>
          <w:iCs/>
        </w:rPr>
        <w:t>ducation</w:t>
      </w:r>
      <w:r w:rsidR="0090618D" w:rsidRPr="009A70C3">
        <w:t xml:space="preserve"> and </w:t>
      </w:r>
      <w:r w:rsidR="0090618D" w:rsidRPr="009A70C3">
        <w:rPr>
          <w:iCs/>
        </w:rPr>
        <w:t>HRD</w:t>
      </w:r>
      <w:r w:rsidR="0090618D" w:rsidRPr="009A70C3">
        <w:t xml:space="preserve"> initiatives have a number of activity</w:t>
      </w:r>
      <w:r w:rsidR="001525C8" w:rsidRPr="009A70C3">
        <w:t>-</w:t>
      </w:r>
      <w:r w:rsidR="0090618D" w:rsidRPr="009A70C3">
        <w:t>level M&amp;E frameworks in place, no sector-wide M&amp;E processes exist</w:t>
      </w:r>
      <w:r w:rsidR="004C3315" w:rsidRPr="009A70C3">
        <w:t xml:space="preserve">. </w:t>
      </w:r>
      <w:r w:rsidR="0090618D" w:rsidRPr="009A70C3">
        <w:t>This has led to difficulties in clearly articulating overall program objectives and measuring progress</w:t>
      </w:r>
      <w:r w:rsidR="004C3315" w:rsidRPr="009A70C3">
        <w:t xml:space="preserve">. </w:t>
      </w:r>
      <w:r w:rsidR="0090618D" w:rsidRPr="009A70C3">
        <w:t>The introduction of KEMIS in 2008 has improved data</w:t>
      </w:r>
      <w:r w:rsidR="001525C8" w:rsidRPr="009A70C3">
        <w:t>-</w:t>
      </w:r>
      <w:r w:rsidR="0090618D" w:rsidRPr="009A70C3">
        <w:t>gathering capability in the education sector</w:t>
      </w:r>
      <w:r w:rsidR="004C3315" w:rsidRPr="009A70C3">
        <w:t xml:space="preserve">. </w:t>
      </w:r>
      <w:r w:rsidR="0090618D" w:rsidRPr="009A70C3">
        <w:t>However, in some instances, M&amp;E data has been gathered but not shared with relevant parties such as contractor</w:t>
      </w:r>
      <w:r w:rsidR="001525C8" w:rsidRPr="009A70C3">
        <w:t>s</w:t>
      </w:r>
      <w:r w:rsidR="0090618D" w:rsidRPr="009A70C3">
        <w:t>, donor</w:t>
      </w:r>
      <w:r w:rsidR="001525C8" w:rsidRPr="009A70C3">
        <w:t>s</w:t>
      </w:r>
      <w:r w:rsidR="0090618D" w:rsidRPr="009A70C3">
        <w:t xml:space="preserve"> and appropriate </w:t>
      </w:r>
      <w:proofErr w:type="spellStart"/>
      <w:r w:rsidR="0090618D" w:rsidRPr="009A70C3">
        <w:t>GoK</w:t>
      </w:r>
      <w:proofErr w:type="spellEnd"/>
      <w:r w:rsidR="0090618D" w:rsidRPr="009A70C3">
        <w:t xml:space="preserve"> ministries</w:t>
      </w:r>
      <w:r w:rsidR="004C3315" w:rsidRPr="009A70C3">
        <w:t xml:space="preserve">. </w:t>
      </w:r>
      <w:r w:rsidR="0090618D" w:rsidRPr="009A70C3">
        <w:t xml:space="preserve">A number of activities planned for 2009 </w:t>
      </w:r>
      <w:r w:rsidR="00726E53">
        <w:t xml:space="preserve">will </w:t>
      </w:r>
      <w:r w:rsidR="0090618D" w:rsidRPr="009A70C3">
        <w:t>improve overall M&amp;E</w:t>
      </w:r>
      <w:r w:rsidR="00726E53">
        <w:t xml:space="preserve">. For example, </w:t>
      </w:r>
      <w:r w:rsidR="0090618D" w:rsidRPr="009A70C3">
        <w:t xml:space="preserve">a review of the </w:t>
      </w:r>
      <w:r w:rsidR="008434C8">
        <w:t>s</w:t>
      </w:r>
      <w:r w:rsidR="0090618D" w:rsidRPr="009A70C3">
        <w:t>cholarships program will include a mini-tracer study of graduates to better measure</w:t>
      </w:r>
      <w:r w:rsidR="001525C8" w:rsidRPr="009A70C3">
        <w:t xml:space="preserve"> the program’s</w:t>
      </w:r>
      <w:r w:rsidR="0090618D" w:rsidRPr="009A70C3">
        <w:t xml:space="preserve"> impact.</w:t>
      </w:r>
    </w:p>
    <w:p w:rsidR="0090618D" w:rsidRPr="009A70C3" w:rsidRDefault="0090618D" w:rsidP="0090618D">
      <w:pPr>
        <w:pStyle w:val="BodyText"/>
      </w:pPr>
      <w:r w:rsidRPr="009A70C3">
        <w:t xml:space="preserve">The </w:t>
      </w:r>
      <w:r w:rsidRPr="009A70C3">
        <w:rPr>
          <w:iCs/>
        </w:rPr>
        <w:t>Public Sector Improvement</w:t>
      </w:r>
      <w:r w:rsidRPr="009A70C3">
        <w:t xml:space="preserve"> and </w:t>
      </w:r>
      <w:r w:rsidRPr="009A70C3">
        <w:rPr>
          <w:iCs/>
        </w:rPr>
        <w:t>Partnerships in Vulnerability Reduction</w:t>
      </w:r>
      <w:r w:rsidRPr="009A70C3">
        <w:t xml:space="preserve"> initiatives represent an amalgam of similar activities grouped under each of these initiatives</w:t>
      </w:r>
      <w:r w:rsidR="00170044" w:rsidRPr="009A70C3">
        <w:t>.</w:t>
      </w:r>
      <w:r w:rsidRPr="009A70C3">
        <w:t xml:space="preserve"> </w:t>
      </w:r>
      <w:r w:rsidR="00170044" w:rsidRPr="009A70C3">
        <w:t>A</w:t>
      </w:r>
      <w:r w:rsidRPr="009A70C3">
        <w:t>s such, they ge</w:t>
      </w:r>
      <w:r w:rsidR="0012722B">
        <w:t>nerally have effective activity-</w:t>
      </w:r>
      <w:r w:rsidRPr="009A70C3">
        <w:t>level M&amp;E processes in place</w:t>
      </w:r>
      <w:r w:rsidR="00170044" w:rsidRPr="009A70C3">
        <w:t>; however</w:t>
      </w:r>
      <w:r w:rsidRPr="009A70C3">
        <w:t>, there is no overarching M&amp;E framework</w:t>
      </w:r>
      <w:r w:rsidR="004C3315" w:rsidRPr="009A70C3">
        <w:t xml:space="preserve">. </w:t>
      </w:r>
      <w:r w:rsidRPr="009A70C3">
        <w:t>For example, the technical advis</w:t>
      </w:r>
      <w:r w:rsidR="00170044" w:rsidRPr="009A70C3">
        <w:t>e</w:t>
      </w:r>
      <w:r w:rsidRPr="009A70C3">
        <w:t xml:space="preserve">rs recruited through </w:t>
      </w:r>
      <w:r w:rsidR="00170044" w:rsidRPr="009A70C3">
        <w:t xml:space="preserve">the </w:t>
      </w:r>
      <w:r w:rsidRPr="009A70C3">
        <w:t>Pacific Technical Assistance Mechanism report back to the contractor</w:t>
      </w:r>
      <w:r w:rsidR="004C3315" w:rsidRPr="009A70C3">
        <w:t xml:space="preserve">. </w:t>
      </w:r>
      <w:r w:rsidRPr="009A70C3">
        <w:t xml:space="preserve">Furthermore, </w:t>
      </w:r>
      <w:r w:rsidR="00726E53">
        <w:t xml:space="preserve">information is not shared with relevant parties </w:t>
      </w:r>
      <w:r w:rsidRPr="009A70C3">
        <w:t>for a number of activities that have individual M&amp;E processes.</w:t>
      </w:r>
    </w:p>
    <w:p w:rsidR="0090618D" w:rsidRPr="009A70C3" w:rsidRDefault="0090618D" w:rsidP="0090618D">
      <w:pPr>
        <w:pStyle w:val="BodyText"/>
      </w:pPr>
      <w:r w:rsidRPr="009A70C3">
        <w:t xml:space="preserve">The implementation of the </w:t>
      </w:r>
      <w:r w:rsidR="00170044" w:rsidRPr="009A70C3">
        <w:t xml:space="preserve">Australia–Kiribati </w:t>
      </w:r>
      <w:r w:rsidRPr="009A70C3">
        <w:t xml:space="preserve">Partnership for Development </w:t>
      </w:r>
      <w:r w:rsidR="0012722B">
        <w:t xml:space="preserve">priority outcomes </w:t>
      </w:r>
      <w:r w:rsidRPr="009A70C3">
        <w:t xml:space="preserve">will bring increased rigour to measuring and reporting on progress in the </w:t>
      </w:r>
      <w:r w:rsidR="00170044" w:rsidRPr="009A70C3">
        <w:rPr>
          <w:iCs/>
        </w:rPr>
        <w:t>e</w:t>
      </w:r>
      <w:r w:rsidRPr="009A70C3">
        <w:rPr>
          <w:iCs/>
        </w:rPr>
        <w:t>ducation</w:t>
      </w:r>
      <w:r w:rsidRPr="009A70C3">
        <w:t xml:space="preserve">, </w:t>
      </w:r>
      <w:r w:rsidRPr="009A70C3">
        <w:rPr>
          <w:iCs/>
        </w:rPr>
        <w:t>HRD</w:t>
      </w:r>
      <w:r w:rsidRPr="009A70C3">
        <w:t xml:space="preserve"> and </w:t>
      </w:r>
      <w:r w:rsidR="00170044" w:rsidRPr="009A70C3">
        <w:rPr>
          <w:iCs/>
        </w:rPr>
        <w:t>p</w:t>
      </w:r>
      <w:r w:rsidRPr="009A70C3">
        <w:rPr>
          <w:iCs/>
        </w:rPr>
        <w:t xml:space="preserve">ublic </w:t>
      </w:r>
      <w:r w:rsidR="00170044" w:rsidRPr="009A70C3">
        <w:rPr>
          <w:iCs/>
        </w:rPr>
        <w:t>s</w:t>
      </w:r>
      <w:r w:rsidRPr="009A70C3">
        <w:rPr>
          <w:iCs/>
        </w:rPr>
        <w:t xml:space="preserve">ector </w:t>
      </w:r>
      <w:r w:rsidR="00170044" w:rsidRPr="009A70C3">
        <w:rPr>
          <w:iCs/>
        </w:rPr>
        <w:t>i</w:t>
      </w:r>
      <w:r w:rsidRPr="009A70C3">
        <w:rPr>
          <w:iCs/>
        </w:rPr>
        <w:t>mprovement</w:t>
      </w:r>
      <w:r w:rsidRPr="009A70C3">
        <w:t xml:space="preserve"> components of the program, which will require investments in improving M&amp;E processes</w:t>
      </w:r>
      <w:r w:rsidR="004C3315" w:rsidRPr="009A70C3">
        <w:t xml:space="preserve">. </w:t>
      </w:r>
      <w:proofErr w:type="spellStart"/>
      <w:r w:rsidR="00170044" w:rsidRPr="009A70C3">
        <w:t>AusAID’s</w:t>
      </w:r>
      <w:proofErr w:type="spellEnd"/>
      <w:r w:rsidR="00170044" w:rsidRPr="009A70C3">
        <w:t xml:space="preserve"> </w:t>
      </w:r>
      <w:r w:rsidRPr="009A70C3">
        <w:t xml:space="preserve">ability to benchmark program performance against agreed targets (a feature of the individual </w:t>
      </w:r>
      <w:r w:rsidR="00170044" w:rsidRPr="009A70C3">
        <w:t>p</w:t>
      </w:r>
      <w:r w:rsidRPr="009A70C3">
        <w:t xml:space="preserve">artnership implementation schedules) will significantly improve the objectivity of </w:t>
      </w:r>
      <w:r w:rsidR="00726E53">
        <w:t xml:space="preserve">its </w:t>
      </w:r>
      <w:r w:rsidRPr="009A70C3">
        <w:t xml:space="preserve">performance assessments and ratings in </w:t>
      </w:r>
      <w:r w:rsidR="00726E53">
        <w:t xml:space="preserve">future </w:t>
      </w:r>
      <w:r w:rsidRPr="009A70C3">
        <w:t xml:space="preserve">APPRs. The proposed reallocation of activities under the </w:t>
      </w:r>
      <w:r w:rsidRPr="009A70C3">
        <w:rPr>
          <w:iCs/>
        </w:rPr>
        <w:t>Partnerships in Vulnerability Reduction</w:t>
      </w:r>
      <w:r w:rsidRPr="009A70C3">
        <w:t xml:space="preserve"> initiative should </w:t>
      </w:r>
      <w:r w:rsidR="00726E53">
        <w:t xml:space="preserve">result in </w:t>
      </w:r>
      <w:r w:rsidRPr="009A70C3">
        <w:t>more focused, tangible and measurable outcomes</w:t>
      </w:r>
      <w:r w:rsidR="004C3315" w:rsidRPr="009A70C3">
        <w:t xml:space="preserve">. </w:t>
      </w:r>
      <w:r w:rsidRPr="009A70C3">
        <w:t xml:space="preserve">However, a lack of necessary skills in partner government staff and appropriate systems for producing and analysing data </w:t>
      </w:r>
      <w:r w:rsidR="00170044" w:rsidRPr="009A70C3">
        <w:t xml:space="preserve">are ongoing challenges that </w:t>
      </w:r>
      <w:r w:rsidRPr="009A70C3">
        <w:t>will need to be addressed in order to improve overall M&amp;E processes across all initiatives.</w:t>
      </w:r>
    </w:p>
    <w:p w:rsidR="0090618D" w:rsidRPr="009A70C3" w:rsidRDefault="0090618D" w:rsidP="0090618D">
      <w:pPr>
        <w:pStyle w:val="BodyText"/>
      </w:pPr>
      <w:r w:rsidRPr="009A70C3">
        <w:t xml:space="preserve">Finally, </w:t>
      </w:r>
      <w:proofErr w:type="spellStart"/>
      <w:r w:rsidR="00170044" w:rsidRPr="009A70C3">
        <w:t>AusAID</w:t>
      </w:r>
      <w:proofErr w:type="spellEnd"/>
      <w:r w:rsidRPr="009A70C3">
        <w:t xml:space="preserve"> continues to </w:t>
      </w:r>
      <w:r w:rsidR="00170044" w:rsidRPr="009A70C3">
        <w:t>work</w:t>
      </w:r>
      <w:r w:rsidRPr="009A70C3">
        <w:t xml:space="preserve"> internally to improve integration with regional programs in support of the </w:t>
      </w:r>
      <w:r w:rsidR="00170044" w:rsidRPr="009A70C3">
        <w:t>p</w:t>
      </w:r>
      <w:r w:rsidRPr="009A70C3">
        <w:t xml:space="preserve">artnership with Kiribati. As mentioned elsewhere, regional programs make up a large (and growing) proportion of Australian assistance to Kiribati and remain a priority to ensure monitoring and evaluation requirements are integrated as closely as possible with those already </w:t>
      </w:r>
      <w:r w:rsidR="0012722B">
        <w:t xml:space="preserve">put </w:t>
      </w:r>
      <w:r w:rsidRPr="009A70C3">
        <w:t xml:space="preserve">in place by </w:t>
      </w:r>
      <w:proofErr w:type="spellStart"/>
      <w:r w:rsidRPr="009A70C3">
        <w:t>GoK</w:t>
      </w:r>
      <w:proofErr w:type="spellEnd"/>
      <w:r w:rsidRPr="009A70C3">
        <w:t xml:space="preserve"> or joint donor–</w:t>
      </w:r>
      <w:proofErr w:type="spellStart"/>
      <w:r w:rsidRPr="009A70C3">
        <w:t>GoK</w:t>
      </w:r>
      <w:proofErr w:type="spellEnd"/>
      <w:r w:rsidRPr="009A70C3">
        <w:t xml:space="preserve"> initiatives</w:t>
      </w:r>
      <w:r w:rsidR="00170044" w:rsidRPr="009A70C3">
        <w:t>.</w:t>
      </w:r>
    </w:p>
    <w:p w:rsidR="0090618D" w:rsidRPr="009A70C3" w:rsidRDefault="0090618D" w:rsidP="0090618D">
      <w:pPr>
        <w:pStyle w:val="Heading2unnumbered"/>
      </w:pPr>
      <w:bookmarkStart w:id="54" w:name="_Toc246227799"/>
      <w:r w:rsidRPr="009A70C3">
        <w:t>Sustainability</w:t>
      </w:r>
      <w:bookmarkEnd w:id="54"/>
    </w:p>
    <w:p w:rsidR="00565247" w:rsidRDefault="0090618D" w:rsidP="0090618D">
      <w:pPr>
        <w:pStyle w:val="BodyText"/>
      </w:pPr>
      <w:r w:rsidRPr="009A70C3">
        <w:t xml:space="preserve">A common challenge </w:t>
      </w:r>
      <w:r w:rsidR="00B12711">
        <w:t xml:space="preserve">for the six </w:t>
      </w:r>
      <w:r w:rsidRPr="009A70C3">
        <w:t xml:space="preserve">initiatives </w:t>
      </w:r>
      <w:r w:rsidR="00B12711">
        <w:t xml:space="preserve">relates to </w:t>
      </w:r>
      <w:r w:rsidRPr="00B12711">
        <w:t>c</w:t>
      </w:r>
      <w:r w:rsidRPr="009A70C3">
        <w:t xml:space="preserve">onstraints in </w:t>
      </w:r>
      <w:proofErr w:type="spellStart"/>
      <w:r w:rsidRPr="009A70C3">
        <w:t>GoK</w:t>
      </w:r>
      <w:proofErr w:type="spellEnd"/>
      <w:r w:rsidRPr="009A70C3">
        <w:t xml:space="preserve"> recurrent funding for often long</w:t>
      </w:r>
      <w:r w:rsidR="00B12711">
        <w:t>-</w:t>
      </w:r>
      <w:r w:rsidRPr="009A70C3">
        <w:t>term objectives</w:t>
      </w:r>
      <w:r w:rsidR="004C3315" w:rsidRPr="009A70C3">
        <w:t xml:space="preserve">. </w:t>
      </w:r>
      <w:r w:rsidR="00CC2DF3" w:rsidRPr="009A70C3">
        <w:t>Although</w:t>
      </w:r>
      <w:r w:rsidRPr="009A70C3">
        <w:t xml:space="preserve"> activities are aligned </w:t>
      </w:r>
      <w:r w:rsidR="00CC2DF3" w:rsidRPr="009A70C3">
        <w:t xml:space="preserve">with </w:t>
      </w:r>
      <w:proofErr w:type="spellStart"/>
      <w:r w:rsidRPr="009A70C3">
        <w:t>GoK</w:t>
      </w:r>
      <w:proofErr w:type="spellEnd"/>
      <w:r w:rsidRPr="009A70C3">
        <w:t xml:space="preserve"> development priorities, </w:t>
      </w:r>
      <w:r w:rsidR="00CC5766">
        <w:t xml:space="preserve">uncertainty about whether </w:t>
      </w:r>
      <w:r w:rsidR="00CC2DF3" w:rsidRPr="009A70C3">
        <w:t xml:space="preserve">funding </w:t>
      </w:r>
      <w:r w:rsidR="00CC5766">
        <w:t xml:space="preserve">will be ongoing affects the viability of initiatives. </w:t>
      </w:r>
      <w:r w:rsidRPr="009A70C3">
        <w:t xml:space="preserve">Also, the high turnover of staff, exacerbated by a policy of compulsory retirement at 50 years of age, </w:t>
      </w:r>
      <w:r w:rsidR="00CC5766">
        <w:t xml:space="preserve">has an impact </w:t>
      </w:r>
      <w:r w:rsidRPr="009A70C3">
        <w:t xml:space="preserve">on </w:t>
      </w:r>
      <w:r w:rsidR="00CC2DF3" w:rsidRPr="009A70C3">
        <w:t xml:space="preserve">the </w:t>
      </w:r>
      <w:r w:rsidRPr="009A70C3">
        <w:t>capacity and capability of staff to deliver required outcomes</w:t>
      </w:r>
      <w:r w:rsidR="004C3315" w:rsidRPr="009A70C3">
        <w:t xml:space="preserve">. </w:t>
      </w:r>
      <w:proofErr w:type="spellStart"/>
      <w:r w:rsidR="00CC2DF3" w:rsidRPr="009A70C3">
        <w:t>GoK</w:t>
      </w:r>
      <w:proofErr w:type="spellEnd"/>
      <w:r w:rsidRPr="009A70C3">
        <w:t xml:space="preserve"> continues to rel</w:t>
      </w:r>
      <w:r w:rsidR="00CC2DF3" w:rsidRPr="009A70C3">
        <w:t>y</w:t>
      </w:r>
      <w:r w:rsidRPr="009A70C3">
        <w:t xml:space="preserve"> on technical assistance acr</w:t>
      </w:r>
      <w:r w:rsidR="0012722B">
        <w:t>oss a number of initiatives</w:t>
      </w:r>
      <w:r w:rsidRPr="009A70C3">
        <w:t xml:space="preserve"> and</w:t>
      </w:r>
      <w:r w:rsidR="0012722B">
        <w:t>,</w:t>
      </w:r>
      <w:r w:rsidRPr="009A70C3">
        <w:t xml:space="preserve"> while this is understandable </w:t>
      </w:r>
    </w:p>
    <w:p w:rsidR="0090618D" w:rsidRPr="009A70C3" w:rsidRDefault="0090618D" w:rsidP="0090618D">
      <w:pPr>
        <w:pStyle w:val="BodyText"/>
      </w:pPr>
      <w:proofErr w:type="gramStart"/>
      <w:r w:rsidRPr="009A70C3">
        <w:lastRenderedPageBreak/>
        <w:t>in</w:t>
      </w:r>
      <w:proofErr w:type="gramEnd"/>
      <w:r w:rsidRPr="009A70C3">
        <w:t xml:space="preserve"> the short term, all programs need to explicitly address the longer term issues of capacity (hence the strong focus on HRD, training, </w:t>
      </w:r>
      <w:r w:rsidR="00547DB8">
        <w:t xml:space="preserve">and </w:t>
      </w:r>
      <w:r w:rsidRPr="009A70C3">
        <w:t>scholarships)</w:t>
      </w:r>
      <w:r w:rsidR="004C3315" w:rsidRPr="009A70C3">
        <w:t xml:space="preserve">. </w:t>
      </w:r>
      <w:r w:rsidRPr="009A70C3">
        <w:t>A review of the scholarship program in 2009 will gauge the sustainability of th</w:t>
      </w:r>
      <w:r w:rsidR="00CC2DF3" w:rsidRPr="009A70C3">
        <w:t>is</w:t>
      </w:r>
      <w:r w:rsidRPr="009A70C3">
        <w:t xml:space="preserve"> program in particular.</w:t>
      </w:r>
    </w:p>
    <w:p w:rsidR="0090618D" w:rsidRPr="009A70C3" w:rsidRDefault="0090618D" w:rsidP="0090618D">
      <w:pPr>
        <w:pStyle w:val="BodyText"/>
      </w:pPr>
      <w:r w:rsidRPr="009A70C3">
        <w:t xml:space="preserve">An important </w:t>
      </w:r>
      <w:r w:rsidR="00B77FB4">
        <w:t xml:space="preserve">way in which to address concerns about the sustainability of initiatives is to promote </w:t>
      </w:r>
      <w:proofErr w:type="spellStart"/>
      <w:r w:rsidRPr="009A70C3">
        <w:t>GoK</w:t>
      </w:r>
      <w:proofErr w:type="spellEnd"/>
      <w:r w:rsidRPr="009A70C3">
        <w:t xml:space="preserve"> ownership of initiatives through greater alignment with current </w:t>
      </w:r>
      <w:proofErr w:type="spellStart"/>
      <w:r w:rsidRPr="009A70C3">
        <w:t>GoK</w:t>
      </w:r>
      <w:proofErr w:type="spellEnd"/>
      <w:r w:rsidRPr="009A70C3">
        <w:t xml:space="preserve"> development priorities</w:t>
      </w:r>
      <w:r w:rsidR="004C3315" w:rsidRPr="009A70C3">
        <w:t xml:space="preserve">. </w:t>
      </w:r>
      <w:proofErr w:type="spellStart"/>
      <w:r w:rsidR="00776706">
        <w:rPr>
          <w:bCs/>
        </w:rPr>
        <w:t>AusAID</w:t>
      </w:r>
      <w:proofErr w:type="spellEnd"/>
      <w:r w:rsidR="00776706">
        <w:rPr>
          <w:bCs/>
        </w:rPr>
        <w:t xml:space="preserve"> is also </w:t>
      </w:r>
      <w:r w:rsidR="00776706" w:rsidRPr="009A70C3">
        <w:rPr>
          <w:bCs/>
        </w:rPr>
        <w:t xml:space="preserve">considering </w:t>
      </w:r>
      <w:r w:rsidR="00776706">
        <w:rPr>
          <w:bCs/>
        </w:rPr>
        <w:t xml:space="preserve">placing technical advisers </w:t>
      </w:r>
      <w:r w:rsidR="00776706" w:rsidRPr="009A70C3">
        <w:rPr>
          <w:bCs/>
        </w:rPr>
        <w:t>long</w:t>
      </w:r>
      <w:r w:rsidR="00776706">
        <w:rPr>
          <w:bCs/>
        </w:rPr>
        <w:t xml:space="preserve"> </w:t>
      </w:r>
      <w:r w:rsidR="00776706" w:rsidRPr="009A70C3">
        <w:rPr>
          <w:bCs/>
        </w:rPr>
        <w:t xml:space="preserve">term in key roles to promote sustainability. </w:t>
      </w:r>
      <w:proofErr w:type="spellStart"/>
      <w:r w:rsidRPr="009A70C3">
        <w:t>AusAID</w:t>
      </w:r>
      <w:proofErr w:type="spellEnd"/>
      <w:r w:rsidRPr="009A70C3">
        <w:t xml:space="preserve"> is working collaboratively with </w:t>
      </w:r>
      <w:proofErr w:type="spellStart"/>
      <w:r w:rsidRPr="009A70C3">
        <w:t>GoK</w:t>
      </w:r>
      <w:proofErr w:type="spellEnd"/>
      <w:r w:rsidRPr="009A70C3">
        <w:t xml:space="preserve"> and other development partners (such as ADB and New Zealand) in a number of areas, such as education and HRD, to ensure </w:t>
      </w:r>
      <w:r w:rsidR="00D5555E" w:rsidRPr="009A70C3">
        <w:t xml:space="preserve">that </w:t>
      </w:r>
      <w:r w:rsidRPr="009A70C3">
        <w:t>program</w:t>
      </w:r>
      <w:r w:rsidR="00D5555E" w:rsidRPr="009A70C3">
        <w:t xml:space="preserve"> targets</w:t>
      </w:r>
      <w:r w:rsidRPr="009A70C3">
        <w:t xml:space="preserve"> remain relevant and realistic</w:t>
      </w:r>
      <w:r w:rsidR="004C3315" w:rsidRPr="009A70C3">
        <w:t xml:space="preserve">. </w:t>
      </w:r>
      <w:r w:rsidRPr="009A70C3">
        <w:t xml:space="preserve">This collaborative process will be further strengthened by delivering on the </w:t>
      </w:r>
      <w:r w:rsidR="00D5555E" w:rsidRPr="009A70C3">
        <w:t xml:space="preserve">Australia–Kiribati </w:t>
      </w:r>
      <w:r w:rsidRPr="009A70C3">
        <w:rPr>
          <w:bCs/>
        </w:rPr>
        <w:t xml:space="preserve">Partnership for Development outcomes, which </w:t>
      </w:r>
      <w:r w:rsidR="00D5555E" w:rsidRPr="009A70C3">
        <w:rPr>
          <w:bCs/>
        </w:rPr>
        <w:t xml:space="preserve">demonstrate that both countries </w:t>
      </w:r>
      <w:r w:rsidR="00B77FB4">
        <w:rPr>
          <w:bCs/>
        </w:rPr>
        <w:t xml:space="preserve">are </w:t>
      </w:r>
      <w:r w:rsidRPr="009A70C3">
        <w:rPr>
          <w:bCs/>
        </w:rPr>
        <w:t>commit</w:t>
      </w:r>
      <w:r w:rsidR="00B77FB4">
        <w:rPr>
          <w:bCs/>
        </w:rPr>
        <w:t xml:space="preserve">ted </w:t>
      </w:r>
      <w:r w:rsidRPr="009A70C3">
        <w:rPr>
          <w:bCs/>
        </w:rPr>
        <w:t xml:space="preserve">to </w:t>
      </w:r>
      <w:r w:rsidR="00547DB8">
        <w:rPr>
          <w:bCs/>
        </w:rPr>
        <w:t xml:space="preserve">the </w:t>
      </w:r>
      <w:r w:rsidRPr="009A70C3">
        <w:rPr>
          <w:bCs/>
        </w:rPr>
        <w:t>sustainable delivery of core government functions and services</w:t>
      </w:r>
      <w:r w:rsidR="004C3315" w:rsidRPr="009A70C3">
        <w:rPr>
          <w:bCs/>
        </w:rPr>
        <w:t xml:space="preserve">. </w:t>
      </w:r>
      <w:r w:rsidRPr="009A70C3">
        <w:rPr>
          <w:bCs/>
        </w:rPr>
        <w:t xml:space="preserve">The </w:t>
      </w:r>
      <w:r w:rsidR="00D5555E" w:rsidRPr="009A70C3">
        <w:rPr>
          <w:bCs/>
        </w:rPr>
        <w:t>p</w:t>
      </w:r>
      <w:r w:rsidRPr="009A70C3">
        <w:rPr>
          <w:bCs/>
        </w:rPr>
        <w:t>artnership also requires mutual accountability for results</w:t>
      </w:r>
      <w:r w:rsidR="00547DB8">
        <w:rPr>
          <w:bCs/>
        </w:rPr>
        <w:t xml:space="preserve"> –</w:t>
      </w:r>
      <w:r w:rsidRPr="009A70C3">
        <w:rPr>
          <w:bCs/>
        </w:rPr>
        <w:t xml:space="preserve"> entailing joint, regular and evidence-based review of progress and performance measures.</w:t>
      </w:r>
    </w:p>
    <w:p w:rsidR="00366B41" w:rsidRPr="009A70C3" w:rsidRDefault="0090618D" w:rsidP="0090618D">
      <w:pPr>
        <w:pStyle w:val="Heading2unnumbered"/>
      </w:pPr>
      <w:bookmarkStart w:id="55" w:name="_Toc246227800"/>
      <w:r w:rsidRPr="009A70C3">
        <w:t xml:space="preserve">Progress against Paris </w:t>
      </w:r>
      <w:r w:rsidR="003756B4" w:rsidRPr="009A70C3">
        <w:t xml:space="preserve">Declaration </w:t>
      </w:r>
      <w:r w:rsidRPr="009A70C3">
        <w:t>and Accra principles</w:t>
      </w:r>
      <w:bookmarkEnd w:id="55"/>
    </w:p>
    <w:p w:rsidR="0090618D" w:rsidRPr="009A70C3" w:rsidRDefault="0090618D" w:rsidP="0090618D">
      <w:pPr>
        <w:pStyle w:val="BodyText"/>
      </w:pPr>
      <w:r w:rsidRPr="009A70C3">
        <w:t>In recent years, Australia has strengthened its partnerships with Kiribati institutions</w:t>
      </w:r>
      <w:r w:rsidR="00932593" w:rsidRPr="009A70C3">
        <w:t>,</w:t>
      </w:r>
      <w:r w:rsidRPr="009A70C3">
        <w:t xml:space="preserve"> which has </w:t>
      </w:r>
      <w:r w:rsidR="00932593" w:rsidRPr="009A70C3">
        <w:t xml:space="preserve">resulted in </w:t>
      </w:r>
      <w:r w:rsidRPr="009A70C3">
        <w:t xml:space="preserve">priorities </w:t>
      </w:r>
      <w:r w:rsidR="00932593" w:rsidRPr="009A70C3">
        <w:t>that</w:t>
      </w:r>
      <w:r w:rsidRPr="009A70C3">
        <w:t xml:space="preserve"> are more relevant </w:t>
      </w:r>
      <w:r w:rsidR="00932593" w:rsidRPr="009A70C3">
        <w:t xml:space="preserve">and achievable and </w:t>
      </w:r>
      <w:r w:rsidR="00547DB8">
        <w:t xml:space="preserve">that </w:t>
      </w:r>
      <w:r w:rsidRPr="009A70C3">
        <w:t>align with development priorities</w:t>
      </w:r>
      <w:r w:rsidR="004C3315" w:rsidRPr="009A70C3">
        <w:t xml:space="preserve">. </w:t>
      </w:r>
      <w:r w:rsidRPr="009A70C3">
        <w:t>However, the capacity of th</w:t>
      </w:r>
      <w:r w:rsidR="00547DB8">
        <w:t>o</w:t>
      </w:r>
      <w:r w:rsidRPr="009A70C3">
        <w:t xml:space="preserve">se institutions and their respective systems remains weak, </w:t>
      </w:r>
      <w:r w:rsidR="00B77FB4">
        <w:t xml:space="preserve">and this affects </w:t>
      </w:r>
      <w:r w:rsidRPr="009A70C3">
        <w:t>the effectiveness and sustainability of aid programs</w:t>
      </w:r>
      <w:r w:rsidR="004C3315" w:rsidRPr="009A70C3">
        <w:t xml:space="preserve">. </w:t>
      </w:r>
      <w:r w:rsidR="00F21CED" w:rsidRPr="009A70C3">
        <w:t>While</w:t>
      </w:r>
      <w:r w:rsidR="00F21CED">
        <w:t xml:space="preserve"> </w:t>
      </w:r>
      <w:r w:rsidR="00F21CED" w:rsidRPr="009A70C3">
        <w:t>Kiribati</w:t>
      </w:r>
      <w:r w:rsidRPr="009A70C3">
        <w:t xml:space="preserve"> is not yet in a position to proactively manage donor harmonisation or alignment with national systems, a number of donors have already adopted harmonisation principles. Australia is now working more closely with UN and New Zealand donors in the education and HRD sectors</w:t>
      </w:r>
      <w:r w:rsidR="003756B4" w:rsidRPr="009A70C3">
        <w:t>;</w:t>
      </w:r>
      <w:r w:rsidRPr="009A70C3">
        <w:t xml:space="preserve"> </w:t>
      </w:r>
      <w:r w:rsidR="003756B4" w:rsidRPr="009A70C3">
        <w:t xml:space="preserve">however, </w:t>
      </w:r>
      <w:r w:rsidRPr="009A70C3">
        <w:t xml:space="preserve">there is still room for closer collaboration. Greater participation by development partners in peer review processes has been particularly valuable in identifying areas in which early engagement in planning would be valuable. A practical example of this is the increased engagement </w:t>
      </w:r>
      <w:r w:rsidR="003756B4" w:rsidRPr="009A70C3">
        <w:t xml:space="preserve">with New Zealand </w:t>
      </w:r>
      <w:r w:rsidRPr="009A70C3">
        <w:t>on early planning and strategic collaboration as a result of their participation in APPR peer reviews and preparation of implementation schedules under t</w:t>
      </w:r>
      <w:r w:rsidR="003756B4" w:rsidRPr="009A70C3">
        <w:t>he Partnership for Development.</w:t>
      </w:r>
    </w:p>
    <w:p w:rsidR="0090618D" w:rsidRPr="009A70C3" w:rsidRDefault="0090618D" w:rsidP="0090618D">
      <w:pPr>
        <w:pStyle w:val="BodyText"/>
        <w:rPr>
          <w:bCs/>
        </w:rPr>
      </w:pPr>
      <w:r w:rsidRPr="009A70C3">
        <w:t xml:space="preserve">As mentioned under Objective 4, </w:t>
      </w:r>
      <w:r w:rsidR="003756B4" w:rsidRPr="009A70C3">
        <w:t>collaborative programming has</w:t>
      </w:r>
      <w:r w:rsidRPr="009A70C3">
        <w:t xml:space="preserve"> increase</w:t>
      </w:r>
      <w:r w:rsidR="003756B4" w:rsidRPr="009A70C3">
        <w:t>d markedly</w:t>
      </w:r>
      <w:r w:rsidR="000F2F30">
        <w:t xml:space="preserve"> as </w:t>
      </w:r>
      <w:r w:rsidRPr="009A70C3">
        <w:t xml:space="preserve">a direct result of </w:t>
      </w:r>
      <w:r w:rsidR="00265899" w:rsidRPr="009A70C3">
        <w:t xml:space="preserve">Australia’s </w:t>
      </w:r>
      <w:r w:rsidRPr="009A70C3">
        <w:t>more explicit policy focus on implement</w:t>
      </w:r>
      <w:r w:rsidR="003756B4" w:rsidRPr="009A70C3">
        <w:t>ing</w:t>
      </w:r>
      <w:r w:rsidRPr="009A70C3">
        <w:t xml:space="preserve"> Accra and Paris Declaration principles. The increased focus on these principles has coincided with a similar focus from </w:t>
      </w:r>
      <w:proofErr w:type="spellStart"/>
      <w:r w:rsidRPr="009A70C3">
        <w:t>GoK</w:t>
      </w:r>
      <w:proofErr w:type="spellEnd"/>
      <w:r w:rsidRPr="009A70C3">
        <w:t xml:space="preserve"> and development partners, noticeably the multilaterals</w:t>
      </w:r>
      <w:r w:rsidR="00644665">
        <w:t xml:space="preserve"> such as ADB, </w:t>
      </w:r>
      <w:r w:rsidR="0012722B">
        <w:t xml:space="preserve">the </w:t>
      </w:r>
      <w:r w:rsidR="00644665">
        <w:t>World Bank, the European Commission and the United Nations</w:t>
      </w:r>
      <w:r w:rsidRPr="009A70C3">
        <w:t xml:space="preserve">. </w:t>
      </w:r>
      <w:r w:rsidRPr="000F2F30">
        <w:t>Importantly, many organisations are taking steps to actually resource this move</w:t>
      </w:r>
      <w:r w:rsidR="003B3C90">
        <w:t>;</w:t>
      </w:r>
      <w:r w:rsidRPr="000F2F30">
        <w:t xml:space="preserve"> for example</w:t>
      </w:r>
      <w:r w:rsidR="003B3C90">
        <w:t>,</w:t>
      </w:r>
      <w:r w:rsidRPr="000F2F30">
        <w:t xml:space="preserve"> the establishment of a permanent WHO presence in Kiribati is already having a positive impact on collaboration and coordination between WHO, </w:t>
      </w:r>
      <w:proofErr w:type="spellStart"/>
      <w:r w:rsidRPr="000F2F30">
        <w:t>GoK</w:t>
      </w:r>
      <w:proofErr w:type="spellEnd"/>
      <w:r w:rsidRPr="000F2F30">
        <w:t xml:space="preserve"> and donors</w:t>
      </w:r>
      <w:r w:rsidR="003B3C90">
        <w:t xml:space="preserve"> such as </w:t>
      </w:r>
      <w:r w:rsidRPr="000F2F30">
        <w:t>Australia.</w:t>
      </w:r>
      <w:r w:rsidRPr="009A70C3">
        <w:t xml:space="preserve"> </w:t>
      </w:r>
      <w:r w:rsidR="003B3C90">
        <w:t>The partnership also provides p</w:t>
      </w:r>
      <w:r w:rsidR="003B3C90" w:rsidRPr="009A70C3">
        <w:t xml:space="preserve">otential </w:t>
      </w:r>
      <w:r w:rsidRPr="009A70C3">
        <w:t xml:space="preserve">for greater partnering with </w:t>
      </w:r>
      <w:r w:rsidR="00810EFD" w:rsidRPr="009A70C3">
        <w:t xml:space="preserve">non-government organisations </w:t>
      </w:r>
      <w:r w:rsidRPr="009A70C3">
        <w:t>and</w:t>
      </w:r>
      <w:r w:rsidR="003B3C90">
        <w:t xml:space="preserve"> individuals active in</w:t>
      </w:r>
      <w:r w:rsidRPr="009A70C3">
        <w:t xml:space="preserve"> </w:t>
      </w:r>
      <w:r w:rsidR="00673F46">
        <w:t>civil society</w:t>
      </w:r>
      <w:r w:rsidR="00810EFD" w:rsidRPr="009A70C3">
        <w:t>.</w:t>
      </w:r>
    </w:p>
    <w:p w:rsidR="00565247" w:rsidRDefault="0090618D" w:rsidP="0090618D">
      <w:pPr>
        <w:pStyle w:val="BodyText"/>
      </w:pPr>
      <w:r w:rsidRPr="009A70C3">
        <w:t xml:space="preserve">The </w:t>
      </w:r>
      <w:r w:rsidR="004B0969" w:rsidRPr="009A70C3">
        <w:t xml:space="preserve">Australia–Kiribati </w:t>
      </w:r>
      <w:r w:rsidRPr="009A70C3">
        <w:t xml:space="preserve">Partnership for Development will further strengthen Australia’s commitment to </w:t>
      </w:r>
      <w:r w:rsidR="003B3C90">
        <w:t xml:space="preserve">the </w:t>
      </w:r>
      <w:r w:rsidRPr="009A70C3">
        <w:t xml:space="preserve">Paris </w:t>
      </w:r>
      <w:r w:rsidR="004B0969" w:rsidRPr="009A70C3">
        <w:t xml:space="preserve">Declaration </w:t>
      </w:r>
      <w:r w:rsidRPr="009A70C3">
        <w:t xml:space="preserve">and Accra principles, </w:t>
      </w:r>
      <w:r w:rsidR="004B0969" w:rsidRPr="009A70C3">
        <w:t xml:space="preserve">enabling </w:t>
      </w:r>
      <w:r w:rsidRPr="009A70C3">
        <w:t xml:space="preserve">increasing alignment </w:t>
      </w:r>
      <w:r w:rsidR="004B0969" w:rsidRPr="009A70C3">
        <w:t xml:space="preserve">with </w:t>
      </w:r>
      <w:r w:rsidRPr="009A70C3">
        <w:t>Kiribati’s decision</w:t>
      </w:r>
      <w:r w:rsidR="004B0969" w:rsidRPr="009A70C3">
        <w:t>-</w:t>
      </w:r>
      <w:r w:rsidRPr="009A70C3">
        <w:t>making, financial and procurement systems, and further facilitating common approaches and partnerships among donors under Kiribati’s leadership</w:t>
      </w:r>
      <w:r w:rsidR="004C3315" w:rsidRPr="009A70C3">
        <w:t xml:space="preserve">. </w:t>
      </w:r>
      <w:proofErr w:type="spellStart"/>
      <w:r w:rsidRPr="009A70C3">
        <w:t>AusAID</w:t>
      </w:r>
      <w:proofErr w:type="spellEnd"/>
      <w:r w:rsidRPr="009A70C3">
        <w:t xml:space="preserve"> is already adopting these principles in a number of the </w:t>
      </w:r>
      <w:r w:rsidR="004B0969" w:rsidRPr="009A70C3">
        <w:t xml:space="preserve">partnership’s </w:t>
      </w:r>
      <w:r w:rsidRPr="009A70C3">
        <w:t>sector outcomes</w:t>
      </w:r>
      <w:r w:rsidR="004B0969" w:rsidRPr="009A70C3">
        <w:t>;</w:t>
      </w:r>
      <w:r w:rsidRPr="009A70C3">
        <w:t xml:space="preserve"> for example, using MOE systems for the Facilities Management Unit component of the education </w:t>
      </w:r>
    </w:p>
    <w:p w:rsidR="00565247" w:rsidRDefault="00565247" w:rsidP="0090618D">
      <w:pPr>
        <w:pStyle w:val="BodyText"/>
      </w:pPr>
    </w:p>
    <w:p w:rsidR="0090618D" w:rsidRPr="009A70C3" w:rsidRDefault="0090618D" w:rsidP="0090618D">
      <w:pPr>
        <w:pStyle w:val="BodyText"/>
      </w:pPr>
      <w:proofErr w:type="gramStart"/>
      <w:r w:rsidRPr="009A70C3">
        <w:lastRenderedPageBreak/>
        <w:t>program</w:t>
      </w:r>
      <w:proofErr w:type="gramEnd"/>
      <w:r w:rsidR="004C3315" w:rsidRPr="009A70C3">
        <w:t xml:space="preserve">. </w:t>
      </w:r>
      <w:r w:rsidR="004B0969" w:rsidRPr="009A70C3">
        <w:t xml:space="preserve">However, </w:t>
      </w:r>
      <w:r w:rsidRPr="009A70C3">
        <w:t xml:space="preserve">as noted earlier, </w:t>
      </w:r>
      <w:proofErr w:type="spellStart"/>
      <w:r w:rsidR="004B0969" w:rsidRPr="009A70C3">
        <w:t>AusAID</w:t>
      </w:r>
      <w:proofErr w:type="spellEnd"/>
      <w:r w:rsidR="004B0969" w:rsidRPr="009A70C3">
        <w:t xml:space="preserve"> </w:t>
      </w:r>
      <w:r w:rsidRPr="009A70C3">
        <w:t xml:space="preserve">will need to </w:t>
      </w:r>
      <w:r w:rsidR="004B0969" w:rsidRPr="009A70C3">
        <w:t>take care</w:t>
      </w:r>
      <w:r w:rsidRPr="009A70C3">
        <w:t xml:space="preserve"> to ensure that moves towards greater use of </w:t>
      </w:r>
      <w:proofErr w:type="spellStart"/>
      <w:r w:rsidRPr="009A70C3">
        <w:t>GoK</w:t>
      </w:r>
      <w:proofErr w:type="spellEnd"/>
      <w:r w:rsidRPr="009A70C3">
        <w:t xml:space="preserve"> systems take place in a measured and supported manner, in recognition of the weakness of some of th</w:t>
      </w:r>
      <w:r w:rsidR="004B0969" w:rsidRPr="009A70C3">
        <w:t>o</w:t>
      </w:r>
      <w:r w:rsidRPr="009A70C3">
        <w:t>se systems</w:t>
      </w:r>
      <w:r w:rsidR="004C3315" w:rsidRPr="009A70C3">
        <w:t xml:space="preserve">. </w:t>
      </w:r>
      <w:r w:rsidRPr="009A70C3">
        <w:t xml:space="preserve">Under the </w:t>
      </w:r>
      <w:r w:rsidR="004B0969" w:rsidRPr="009A70C3">
        <w:t>p</w:t>
      </w:r>
      <w:r w:rsidRPr="009A70C3">
        <w:t>artnership</w:t>
      </w:r>
      <w:r w:rsidR="004B0969" w:rsidRPr="009A70C3">
        <w:t>,</w:t>
      </w:r>
      <w:r w:rsidRPr="009A70C3">
        <w:t xml:space="preserve"> </w:t>
      </w:r>
      <w:proofErr w:type="spellStart"/>
      <w:r w:rsidRPr="009A70C3">
        <w:t>AusAID</w:t>
      </w:r>
      <w:proofErr w:type="spellEnd"/>
      <w:r w:rsidRPr="009A70C3">
        <w:t xml:space="preserve"> will support </w:t>
      </w:r>
      <w:proofErr w:type="spellStart"/>
      <w:r w:rsidRPr="009A70C3">
        <w:t>GoK</w:t>
      </w:r>
      <w:proofErr w:type="spellEnd"/>
      <w:r w:rsidRPr="009A70C3">
        <w:t xml:space="preserve"> in improv</w:t>
      </w:r>
      <w:r w:rsidR="004B0969" w:rsidRPr="009A70C3">
        <w:t>ing</w:t>
      </w:r>
      <w:r w:rsidRPr="009A70C3">
        <w:t xml:space="preserve"> its own planning and financial systems to support more complete use of </w:t>
      </w:r>
      <w:r w:rsidR="004B0969" w:rsidRPr="009A70C3">
        <w:t>p</w:t>
      </w:r>
      <w:r w:rsidRPr="009A70C3">
        <w:t>rogram</w:t>
      </w:r>
      <w:r w:rsidR="004B0969" w:rsidRPr="009A70C3">
        <w:t>-b</w:t>
      </w:r>
      <w:r w:rsidRPr="009A70C3">
        <w:t xml:space="preserve">ased </w:t>
      </w:r>
      <w:r w:rsidR="004B0969" w:rsidRPr="009A70C3">
        <w:t>a</w:t>
      </w:r>
      <w:r w:rsidRPr="009A70C3">
        <w:t>pproaches in the future.</w:t>
      </w:r>
    </w:p>
    <w:p w:rsidR="0090618D" w:rsidRPr="009A70C3" w:rsidRDefault="00377049">
      <w:pPr>
        <w:pStyle w:val="Heading1unnumbered"/>
        <w:rPr>
          <w:noProof/>
        </w:rPr>
      </w:pPr>
      <w:bookmarkStart w:id="56" w:name="_Toc215974320"/>
      <w:r>
        <w:rPr>
          <w:noProof/>
          <w:lang w:val="en-US" w:eastAsia="en-US"/>
        </w:rPr>
        <w:lastRenderedPageBreak/>
        <w:drawing>
          <wp:anchor distT="0" distB="0" distL="114300" distR="114300" simplePos="0" relativeHeight="25166233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 name="Picture 1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 graphics pacific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 w:name="_Toc246227801"/>
      <w:r w:rsidR="0090618D" w:rsidRPr="009A70C3">
        <w:t>What are the management consequences of this assessment?</w:t>
      </w:r>
      <w:bookmarkEnd w:id="57"/>
      <w:r w:rsidR="0090618D" w:rsidRPr="009A70C3">
        <w:br/>
      </w:r>
      <w:bookmarkEnd w:id="56"/>
    </w:p>
    <w:p w:rsidR="00A35369" w:rsidRDefault="00A35369" w:rsidP="00BD08FA">
      <w:pPr>
        <w:pStyle w:val="Heading2unnumbered"/>
      </w:pPr>
      <w:bookmarkStart w:id="58" w:name="_Toc246227802"/>
    </w:p>
    <w:p w:rsidR="0090618D" w:rsidRPr="009A70C3" w:rsidRDefault="00BD08FA" w:rsidP="00BD08FA">
      <w:pPr>
        <w:pStyle w:val="Heading2unnumbered"/>
      </w:pPr>
      <w:r w:rsidRPr="009A70C3">
        <w:t>Transitioning of Australia’s aid program</w:t>
      </w:r>
      <w:bookmarkEnd w:id="58"/>
    </w:p>
    <w:p w:rsidR="00BD08FA" w:rsidRPr="009A70C3" w:rsidRDefault="00BD08FA" w:rsidP="00E546FB">
      <w:pPr>
        <w:pStyle w:val="BodyText"/>
      </w:pPr>
      <w:r w:rsidRPr="009A70C3">
        <w:t>With the signing of the Australia</w:t>
      </w:r>
      <w:r w:rsidR="00966472" w:rsidRPr="009A70C3">
        <w:t>–Kiribati</w:t>
      </w:r>
      <w:r w:rsidRPr="009A70C3">
        <w:t xml:space="preserve"> Partnership for Development in early 2009, there is now a clear and mutually agreed set of priorities which will guide the aid program. The priority areas of </w:t>
      </w:r>
      <w:r w:rsidR="00966472" w:rsidRPr="009A70C3">
        <w:t>‘i</w:t>
      </w:r>
      <w:r w:rsidRPr="009A70C3">
        <w:t xml:space="preserve">mproved </w:t>
      </w:r>
      <w:r w:rsidR="00966472" w:rsidRPr="009A70C3">
        <w:t>b</w:t>
      </w:r>
      <w:r w:rsidRPr="009A70C3">
        <w:t xml:space="preserve">asic </w:t>
      </w:r>
      <w:r w:rsidR="00966472" w:rsidRPr="009A70C3">
        <w:t>e</w:t>
      </w:r>
      <w:r w:rsidRPr="009A70C3">
        <w:t>ducation</w:t>
      </w:r>
      <w:r w:rsidR="00966472" w:rsidRPr="009A70C3">
        <w:t>’</w:t>
      </w:r>
      <w:r w:rsidRPr="009A70C3">
        <w:t xml:space="preserve"> and </w:t>
      </w:r>
      <w:r w:rsidR="00966472" w:rsidRPr="009A70C3">
        <w:t>‘w</w:t>
      </w:r>
      <w:r w:rsidRPr="009A70C3">
        <w:t xml:space="preserve">orkforce </w:t>
      </w:r>
      <w:r w:rsidR="00966472" w:rsidRPr="009A70C3">
        <w:t>s</w:t>
      </w:r>
      <w:r w:rsidRPr="009A70C3">
        <w:t xml:space="preserve">kills </w:t>
      </w:r>
      <w:r w:rsidR="00966472" w:rsidRPr="009A70C3">
        <w:t>d</w:t>
      </w:r>
      <w:r w:rsidRPr="009A70C3">
        <w:t>evelopment</w:t>
      </w:r>
      <w:r w:rsidR="00966472" w:rsidRPr="009A70C3">
        <w:t>’</w:t>
      </w:r>
      <w:r w:rsidRPr="009A70C3">
        <w:t xml:space="preserve"> predominantly build on existing bilateral programs or </w:t>
      </w:r>
      <w:r w:rsidR="00966472" w:rsidRPr="009A70C3">
        <w:t xml:space="preserve">programs </w:t>
      </w:r>
      <w:r w:rsidRPr="009A70C3">
        <w:t>currently in design</w:t>
      </w:r>
      <w:r w:rsidR="004C3315" w:rsidRPr="009A70C3">
        <w:t xml:space="preserve">. </w:t>
      </w:r>
      <w:r w:rsidRPr="009A70C3">
        <w:t xml:space="preserve">The priority area of </w:t>
      </w:r>
      <w:r w:rsidR="00966472" w:rsidRPr="009A70C3">
        <w:t>‘i</w:t>
      </w:r>
      <w:r w:rsidRPr="009A70C3">
        <w:t xml:space="preserve">mproved </w:t>
      </w:r>
      <w:r w:rsidR="00966472" w:rsidRPr="009A70C3">
        <w:t>g</w:t>
      </w:r>
      <w:r w:rsidRPr="009A70C3">
        <w:t xml:space="preserve">rowth and </w:t>
      </w:r>
      <w:r w:rsidR="00966472" w:rsidRPr="009A70C3">
        <w:t>e</w:t>
      </w:r>
      <w:r w:rsidRPr="009A70C3">
        <w:t xml:space="preserve">conomic </w:t>
      </w:r>
      <w:r w:rsidR="00966472" w:rsidRPr="009A70C3">
        <w:t>m</w:t>
      </w:r>
      <w:r w:rsidRPr="009A70C3">
        <w:t>anagement</w:t>
      </w:r>
      <w:r w:rsidR="00966472" w:rsidRPr="009A70C3">
        <w:t>’</w:t>
      </w:r>
      <w:r w:rsidRPr="009A70C3">
        <w:t>, whil</w:t>
      </w:r>
      <w:r w:rsidR="00966472" w:rsidRPr="009A70C3">
        <w:t>e</w:t>
      </w:r>
      <w:r w:rsidRPr="009A70C3">
        <w:t xml:space="preserve"> building on existing bilateral and regional programs, will require the implementation of new approaches to assist </w:t>
      </w:r>
      <w:proofErr w:type="spellStart"/>
      <w:r w:rsidRPr="009A70C3">
        <w:t>GoK</w:t>
      </w:r>
      <w:proofErr w:type="spellEnd"/>
      <w:r w:rsidRPr="009A70C3">
        <w:t>-led economic reforms.</w:t>
      </w:r>
    </w:p>
    <w:p w:rsidR="00BD08FA" w:rsidRPr="009A70C3" w:rsidRDefault="00BD08FA" w:rsidP="00E546FB">
      <w:pPr>
        <w:pStyle w:val="BodyText"/>
      </w:pPr>
      <w:r w:rsidRPr="009A70C3">
        <w:t xml:space="preserve">Progressing this </w:t>
      </w:r>
      <w:r w:rsidR="00473162" w:rsidRPr="009A70C3">
        <w:t>p</w:t>
      </w:r>
      <w:r w:rsidRPr="009A70C3">
        <w:t xml:space="preserve">artnership will still require changes to the structure and approach of the current program’s portfolio of activities. For example, better alignment of aid funding with </w:t>
      </w:r>
      <w:proofErr w:type="spellStart"/>
      <w:r w:rsidRPr="009A70C3">
        <w:t>GoK’s</w:t>
      </w:r>
      <w:proofErr w:type="spellEnd"/>
      <w:r w:rsidRPr="009A70C3">
        <w:t xml:space="preserve"> financial management, monitoring and reporting systems will require more targeted support and commitment </w:t>
      </w:r>
      <w:r w:rsidR="00651997">
        <w:t xml:space="preserve">if the </w:t>
      </w:r>
      <w:r w:rsidRPr="009A70C3">
        <w:t xml:space="preserve">transition to using </w:t>
      </w:r>
      <w:r w:rsidR="00651997">
        <w:t>those systems is to be made</w:t>
      </w:r>
      <w:r w:rsidR="004C3315" w:rsidRPr="009A70C3">
        <w:t xml:space="preserve">. </w:t>
      </w:r>
      <w:proofErr w:type="spellStart"/>
      <w:r w:rsidRPr="009A70C3">
        <w:t>AusAID</w:t>
      </w:r>
      <w:proofErr w:type="spellEnd"/>
      <w:r w:rsidRPr="009A70C3">
        <w:t xml:space="preserve"> will also need to reduce the number of individual aid activities it currently manages (and improve the responsiveness of decision</w:t>
      </w:r>
      <w:r w:rsidR="00473162" w:rsidRPr="009A70C3">
        <w:t>-</w:t>
      </w:r>
      <w:r w:rsidRPr="009A70C3">
        <w:t>making and administrative processes), if it is to support th</w:t>
      </w:r>
      <w:r w:rsidR="00473162" w:rsidRPr="009A70C3">
        <w:t>e</w:t>
      </w:r>
      <w:r w:rsidRPr="009A70C3">
        <w:t xml:space="preserve"> transition to more policy-based engagement. The move to establish Suva as a regional support hub for the Kiribati program is already having a </w:t>
      </w:r>
      <w:r w:rsidR="00473162" w:rsidRPr="009A70C3">
        <w:t>positive impact in this regard.</w:t>
      </w:r>
    </w:p>
    <w:p w:rsidR="00BD08FA" w:rsidRPr="009A70C3" w:rsidRDefault="00BD08FA" w:rsidP="00E546FB">
      <w:pPr>
        <w:pStyle w:val="BodyText"/>
      </w:pPr>
      <w:r w:rsidRPr="009A70C3">
        <w:t xml:space="preserve">In relation to the </w:t>
      </w:r>
      <w:r w:rsidR="00934A6E" w:rsidRPr="009A70C3">
        <w:t>p</w:t>
      </w:r>
      <w:r w:rsidRPr="009A70C3">
        <w:t>artnership, the following approaches are being proposed to implement strategies for priority areas</w:t>
      </w:r>
      <w:r w:rsidR="00934A6E" w:rsidRPr="009A70C3">
        <w:t>.</w:t>
      </w:r>
    </w:p>
    <w:p w:rsidR="00BD08FA" w:rsidRPr="009A70C3" w:rsidRDefault="00BD08FA" w:rsidP="00E546FB">
      <w:pPr>
        <w:pStyle w:val="ListBullet"/>
      </w:pPr>
      <w:r w:rsidRPr="001C3CE2">
        <w:rPr>
          <w:b/>
        </w:rPr>
        <w:t xml:space="preserve">Improved </w:t>
      </w:r>
      <w:r w:rsidR="001828D8" w:rsidRPr="001C3CE2">
        <w:rPr>
          <w:b/>
        </w:rPr>
        <w:t>b</w:t>
      </w:r>
      <w:r w:rsidRPr="001C3CE2">
        <w:rPr>
          <w:b/>
        </w:rPr>
        <w:t xml:space="preserve">asic </w:t>
      </w:r>
      <w:r w:rsidR="001828D8" w:rsidRPr="001C3CE2">
        <w:rPr>
          <w:b/>
        </w:rPr>
        <w:t>e</w:t>
      </w:r>
      <w:r w:rsidRPr="001C3CE2">
        <w:rPr>
          <w:b/>
        </w:rPr>
        <w:t>ducation</w:t>
      </w:r>
      <w:r w:rsidR="00B77FB4">
        <w:t xml:space="preserve"> –</w:t>
      </w:r>
      <w:r w:rsidRPr="009A70C3">
        <w:rPr>
          <w:i/>
        </w:rPr>
        <w:t xml:space="preserve"> </w:t>
      </w:r>
      <w:proofErr w:type="spellStart"/>
      <w:r w:rsidRPr="009A70C3">
        <w:t>AusAID</w:t>
      </w:r>
      <w:proofErr w:type="spellEnd"/>
      <w:r w:rsidRPr="009A70C3">
        <w:t xml:space="preserve"> is working closely with </w:t>
      </w:r>
      <w:proofErr w:type="spellStart"/>
      <w:r w:rsidRPr="009A70C3">
        <w:t>GoK</w:t>
      </w:r>
      <w:proofErr w:type="spellEnd"/>
      <w:r w:rsidRPr="009A70C3">
        <w:t xml:space="preserve"> in develop</w:t>
      </w:r>
      <w:r w:rsidR="008A5E26" w:rsidRPr="009A70C3">
        <w:t>ing</w:t>
      </w:r>
      <w:r w:rsidRPr="009A70C3">
        <w:t xml:space="preserve"> a long</w:t>
      </w:r>
      <w:r w:rsidR="008A5E26" w:rsidRPr="009A70C3">
        <w:t>-</w:t>
      </w:r>
      <w:r w:rsidRPr="009A70C3">
        <w:t xml:space="preserve">term strategic program in the sector, which </w:t>
      </w:r>
      <w:r w:rsidR="00B77FB4">
        <w:t xml:space="preserve">will </w:t>
      </w:r>
      <w:r w:rsidRPr="009A70C3">
        <w:t>include NZAID and UNICEF</w:t>
      </w:r>
      <w:r w:rsidR="004C3315" w:rsidRPr="009A70C3">
        <w:t xml:space="preserve">. </w:t>
      </w:r>
      <w:r w:rsidRPr="009A70C3">
        <w:t>The proposed framework for implementation will be phased to ensure realistic deliverables are identified in appropriate timeframes.</w:t>
      </w:r>
    </w:p>
    <w:p w:rsidR="00BD08FA" w:rsidRPr="009A70C3" w:rsidRDefault="00BD08FA" w:rsidP="00E546FB">
      <w:pPr>
        <w:pStyle w:val="ListBullet"/>
      </w:pPr>
      <w:bookmarkStart w:id="59" w:name="OLE_LINK3"/>
      <w:bookmarkStart w:id="60" w:name="OLE_LINK4"/>
      <w:r w:rsidRPr="001C3CE2">
        <w:rPr>
          <w:b/>
        </w:rPr>
        <w:t xml:space="preserve">Workforce </w:t>
      </w:r>
      <w:r w:rsidR="001828D8" w:rsidRPr="001C3CE2">
        <w:rPr>
          <w:b/>
        </w:rPr>
        <w:t>s</w:t>
      </w:r>
      <w:r w:rsidRPr="001C3CE2">
        <w:rPr>
          <w:b/>
        </w:rPr>
        <w:t xml:space="preserve">kills </w:t>
      </w:r>
      <w:r w:rsidR="001828D8" w:rsidRPr="001C3CE2">
        <w:rPr>
          <w:b/>
        </w:rPr>
        <w:t>d</w:t>
      </w:r>
      <w:r w:rsidRPr="001C3CE2">
        <w:rPr>
          <w:b/>
        </w:rPr>
        <w:t>evelopment</w:t>
      </w:r>
      <w:r w:rsidR="00B77FB4">
        <w:t xml:space="preserve"> –</w:t>
      </w:r>
      <w:r w:rsidRPr="009A70C3">
        <w:t xml:space="preserve"> This </w:t>
      </w:r>
      <w:r w:rsidR="008A5E26" w:rsidRPr="009A70C3">
        <w:t>p</w:t>
      </w:r>
      <w:r w:rsidRPr="009A70C3">
        <w:t xml:space="preserve">riority </w:t>
      </w:r>
      <w:r w:rsidR="008A5E26" w:rsidRPr="009A70C3">
        <w:t>o</w:t>
      </w:r>
      <w:r w:rsidRPr="009A70C3">
        <w:t>utcome will primarily build on existing support</w:t>
      </w:r>
      <w:r w:rsidR="008A5E26" w:rsidRPr="009A70C3">
        <w:t>;</w:t>
      </w:r>
      <w:r w:rsidRPr="009A70C3">
        <w:t xml:space="preserve"> in particular</w:t>
      </w:r>
      <w:r w:rsidR="008A5E26" w:rsidRPr="009A70C3">
        <w:t>,</w:t>
      </w:r>
      <w:r w:rsidRPr="009A70C3">
        <w:t xml:space="preserve"> strengthening TVET institutions in Kiribati and improving training standards at the Kiribati Institute of Technology</w:t>
      </w:r>
      <w:r w:rsidR="004C3315" w:rsidRPr="009A70C3">
        <w:t xml:space="preserve">. </w:t>
      </w:r>
      <w:r w:rsidRPr="009A70C3">
        <w:t>Assistance will be in</w:t>
      </w:r>
      <w:r w:rsidR="008A5E26" w:rsidRPr="009A70C3">
        <w:t xml:space="preserve"> </w:t>
      </w:r>
      <w:r w:rsidRPr="009A70C3">
        <w:t xml:space="preserve">line with </w:t>
      </w:r>
      <w:proofErr w:type="spellStart"/>
      <w:r w:rsidRPr="009A70C3">
        <w:t>AusAID’s</w:t>
      </w:r>
      <w:proofErr w:type="spellEnd"/>
      <w:r w:rsidRPr="009A70C3">
        <w:t xml:space="preserve"> overall approach to education and training, which acknowledges that quality basic education is foundational to post-secondary education and training</w:t>
      </w:r>
      <w:r w:rsidR="001C3CE2">
        <w:t>,</w:t>
      </w:r>
      <w:r w:rsidRPr="009A70C3">
        <w:t xml:space="preserve"> </w:t>
      </w:r>
      <w:r w:rsidR="008A5E26" w:rsidRPr="009A70C3">
        <w:t xml:space="preserve">that </w:t>
      </w:r>
      <w:r w:rsidRPr="009A70C3">
        <w:t xml:space="preserve">internationally benchmarked technical training is important for labour mobility and </w:t>
      </w:r>
      <w:r w:rsidR="008A5E26" w:rsidRPr="009A70C3">
        <w:t xml:space="preserve">that </w:t>
      </w:r>
      <w:r w:rsidRPr="009A70C3">
        <w:t xml:space="preserve">all </w:t>
      </w:r>
      <w:r w:rsidR="00B77FB4">
        <w:t xml:space="preserve">donors who </w:t>
      </w:r>
      <w:r w:rsidRPr="009A70C3">
        <w:t>support the sector will seek to strengthen and work within government systems.</w:t>
      </w:r>
    </w:p>
    <w:bookmarkEnd w:id="59"/>
    <w:bookmarkEnd w:id="60"/>
    <w:p w:rsidR="00BD08FA" w:rsidRPr="009A70C3" w:rsidRDefault="00BD08FA" w:rsidP="00E546FB">
      <w:pPr>
        <w:pStyle w:val="ListBullet"/>
      </w:pPr>
      <w:r w:rsidRPr="001C3CE2">
        <w:rPr>
          <w:b/>
        </w:rPr>
        <w:t xml:space="preserve">Improved </w:t>
      </w:r>
      <w:r w:rsidR="001828D8" w:rsidRPr="001C3CE2">
        <w:rPr>
          <w:b/>
        </w:rPr>
        <w:t>g</w:t>
      </w:r>
      <w:r w:rsidRPr="001C3CE2">
        <w:rPr>
          <w:b/>
        </w:rPr>
        <w:t xml:space="preserve">rowth and </w:t>
      </w:r>
      <w:r w:rsidR="001828D8" w:rsidRPr="001C3CE2">
        <w:rPr>
          <w:b/>
        </w:rPr>
        <w:t>e</w:t>
      </w:r>
      <w:r w:rsidRPr="001C3CE2">
        <w:rPr>
          <w:b/>
        </w:rPr>
        <w:t xml:space="preserve">conomic </w:t>
      </w:r>
      <w:r w:rsidR="001828D8" w:rsidRPr="001C3CE2">
        <w:rPr>
          <w:b/>
        </w:rPr>
        <w:t>m</w:t>
      </w:r>
      <w:r w:rsidRPr="001C3CE2">
        <w:rPr>
          <w:b/>
        </w:rPr>
        <w:t>anagement</w:t>
      </w:r>
      <w:r w:rsidR="00B77FB4">
        <w:t xml:space="preserve"> –</w:t>
      </w:r>
      <w:r w:rsidR="001828D8" w:rsidRPr="009A70C3">
        <w:t xml:space="preserve"> </w:t>
      </w:r>
      <w:r w:rsidRPr="009A70C3">
        <w:t xml:space="preserve">As agreed in the </w:t>
      </w:r>
      <w:r w:rsidR="005B7254" w:rsidRPr="009A70C3">
        <w:t>p</w:t>
      </w:r>
      <w:r w:rsidRPr="009A70C3">
        <w:t xml:space="preserve">artnership, a sustainability study is proposed in 2009. </w:t>
      </w:r>
      <w:r w:rsidR="005B7254" w:rsidRPr="009A70C3">
        <w:t>The study, which will be undertaken i</w:t>
      </w:r>
      <w:r w:rsidRPr="009A70C3">
        <w:t xml:space="preserve">n close cooperation with </w:t>
      </w:r>
      <w:proofErr w:type="spellStart"/>
      <w:r w:rsidRPr="009A70C3">
        <w:t>GoK</w:t>
      </w:r>
      <w:proofErr w:type="spellEnd"/>
      <w:r w:rsidRPr="009A70C3">
        <w:t xml:space="preserve"> and other donors such as the World Bank, will analyse the costs of </w:t>
      </w:r>
      <w:r w:rsidRPr="009A70C3">
        <w:lastRenderedPageBreak/>
        <w:t xml:space="preserve">long-term sustainable delivery of government functions in Kiribati and the role of the private sector to </w:t>
      </w:r>
      <w:r w:rsidR="005B7254" w:rsidRPr="009A70C3">
        <w:t xml:space="preserve">establish </w:t>
      </w:r>
      <w:r w:rsidRPr="009A70C3">
        <w:t xml:space="preserve">a baseline for determining </w:t>
      </w:r>
      <w:r w:rsidR="005B7254" w:rsidRPr="009A70C3">
        <w:t xml:space="preserve">the </w:t>
      </w:r>
      <w:r w:rsidRPr="009A70C3">
        <w:t>level of support required</w:t>
      </w:r>
      <w:r w:rsidR="00E546FB" w:rsidRPr="009A70C3">
        <w:t>.</w:t>
      </w:r>
    </w:p>
    <w:p w:rsidR="00BD08FA" w:rsidRPr="009A70C3" w:rsidRDefault="00BD08FA" w:rsidP="00E546FB">
      <w:pPr>
        <w:pStyle w:val="BodyText"/>
      </w:pPr>
      <w:r w:rsidRPr="009A70C3">
        <w:t>Ongoing programs, particularly those in partnership with multilateral donors in the health and environment sectors</w:t>
      </w:r>
      <w:r w:rsidR="00FD2F77" w:rsidRPr="009A70C3">
        <w:t>,</w:t>
      </w:r>
      <w:r w:rsidRPr="009A70C3">
        <w:t xml:space="preserve"> will continue</w:t>
      </w:r>
      <w:r w:rsidR="004C3315" w:rsidRPr="009A70C3">
        <w:t xml:space="preserve">. </w:t>
      </w:r>
      <w:r w:rsidRPr="009A70C3">
        <w:t xml:space="preserve">Donors will continue to work closely with </w:t>
      </w:r>
      <w:proofErr w:type="spellStart"/>
      <w:r w:rsidRPr="009A70C3">
        <w:t>GoK</w:t>
      </w:r>
      <w:proofErr w:type="spellEnd"/>
      <w:r w:rsidRPr="009A70C3">
        <w:t xml:space="preserve"> to ensure </w:t>
      </w:r>
      <w:r w:rsidR="00FD2F77" w:rsidRPr="009A70C3">
        <w:t xml:space="preserve">that </w:t>
      </w:r>
      <w:r w:rsidRPr="009A70C3">
        <w:t xml:space="preserve">these programs remain relevant and align </w:t>
      </w:r>
      <w:r w:rsidR="00FD2F77" w:rsidRPr="009A70C3">
        <w:t xml:space="preserve">with </w:t>
      </w:r>
      <w:r w:rsidRPr="009A70C3">
        <w:t xml:space="preserve">development priorities, and </w:t>
      </w:r>
      <w:r w:rsidR="001C3CE2">
        <w:t xml:space="preserve">that </w:t>
      </w:r>
      <w:r w:rsidRPr="009A70C3">
        <w:t>the administrat</w:t>
      </w:r>
      <w:r w:rsidR="00E546FB" w:rsidRPr="009A70C3">
        <w:t xml:space="preserve">ive burden on </w:t>
      </w:r>
      <w:proofErr w:type="spellStart"/>
      <w:r w:rsidR="00E546FB" w:rsidRPr="009A70C3">
        <w:t>GoK</w:t>
      </w:r>
      <w:proofErr w:type="spellEnd"/>
      <w:r w:rsidR="001C3CE2">
        <w:t xml:space="preserve"> </w:t>
      </w:r>
      <w:r w:rsidR="00E546FB" w:rsidRPr="009A70C3">
        <w:t>is minimised.</w:t>
      </w:r>
    </w:p>
    <w:p w:rsidR="0090618D" w:rsidRPr="009A70C3" w:rsidRDefault="00BD08FA" w:rsidP="00BD08FA">
      <w:pPr>
        <w:pStyle w:val="Heading2unnumbered"/>
      </w:pPr>
      <w:bookmarkStart w:id="61" w:name="_Toc246227803"/>
      <w:r w:rsidRPr="009A70C3">
        <w:t>Scaling up</w:t>
      </w:r>
      <w:bookmarkEnd w:id="61"/>
    </w:p>
    <w:p w:rsidR="00BD08FA" w:rsidRPr="009A70C3" w:rsidRDefault="00BD08FA" w:rsidP="00E546FB">
      <w:pPr>
        <w:pStyle w:val="BodyText"/>
        <w:rPr>
          <w:b/>
        </w:rPr>
      </w:pPr>
      <w:r w:rsidRPr="009A70C3">
        <w:t xml:space="preserve">The </w:t>
      </w:r>
      <w:r w:rsidR="00915ED8" w:rsidRPr="009A70C3">
        <w:t>p</w:t>
      </w:r>
      <w:r w:rsidRPr="009A70C3">
        <w:t xml:space="preserve">artnership recognises </w:t>
      </w:r>
      <w:r w:rsidR="00915ED8" w:rsidRPr="009A70C3">
        <w:t xml:space="preserve">Australia’s </w:t>
      </w:r>
      <w:r w:rsidRPr="009A70C3">
        <w:t xml:space="preserve">intention to </w:t>
      </w:r>
      <w:r w:rsidR="00915ED8" w:rsidRPr="009A70C3">
        <w:t xml:space="preserve">commit </w:t>
      </w:r>
      <w:r w:rsidRPr="009A70C3">
        <w:t xml:space="preserve">long-term, predictable and increased development assistance, taking into account progress against </w:t>
      </w:r>
      <w:r w:rsidR="00915ED8" w:rsidRPr="009A70C3">
        <w:t>p</w:t>
      </w:r>
      <w:r w:rsidRPr="009A70C3">
        <w:t>artnership commitments, targets and progress indicators</w:t>
      </w:r>
      <w:r w:rsidR="004C3315" w:rsidRPr="009A70C3">
        <w:t xml:space="preserve">. </w:t>
      </w:r>
      <w:r w:rsidR="001C3CE2">
        <w:t>In w</w:t>
      </w:r>
      <w:r w:rsidRPr="009A70C3">
        <w:t xml:space="preserve">orking with </w:t>
      </w:r>
      <w:proofErr w:type="spellStart"/>
      <w:r w:rsidRPr="009A70C3">
        <w:t>GoK</w:t>
      </w:r>
      <w:proofErr w:type="spellEnd"/>
      <w:r w:rsidR="00915ED8" w:rsidRPr="009A70C3">
        <w:t>, ongoing challenges</w:t>
      </w:r>
      <w:r w:rsidRPr="009A70C3">
        <w:t xml:space="preserve"> in scaling up will include:</w:t>
      </w:r>
    </w:p>
    <w:p w:rsidR="00BD08FA" w:rsidRPr="009A70C3" w:rsidRDefault="00C34A96" w:rsidP="00E546FB">
      <w:pPr>
        <w:pStyle w:val="ListBullet"/>
        <w:rPr>
          <w:iCs/>
        </w:rPr>
      </w:pPr>
      <w:r w:rsidRPr="001C3CE2">
        <w:rPr>
          <w:b/>
        </w:rPr>
        <w:t>The a</w:t>
      </w:r>
      <w:r w:rsidR="00BD08FA" w:rsidRPr="001C3CE2">
        <w:rPr>
          <w:b/>
        </w:rPr>
        <w:t xml:space="preserve">bsorptive capacity of </w:t>
      </w:r>
      <w:proofErr w:type="spellStart"/>
      <w:r w:rsidR="00BD08FA" w:rsidRPr="001C3CE2">
        <w:rPr>
          <w:b/>
        </w:rPr>
        <w:t>GoK</w:t>
      </w:r>
      <w:proofErr w:type="spellEnd"/>
      <w:r w:rsidR="001C3CE2">
        <w:rPr>
          <w:b/>
        </w:rPr>
        <w:t xml:space="preserve"> </w:t>
      </w:r>
      <w:r w:rsidR="001C3CE2">
        <w:t xml:space="preserve">— This </w:t>
      </w:r>
      <w:r w:rsidR="00BD08FA" w:rsidRPr="009A70C3">
        <w:t xml:space="preserve">remains a constraint in most sectors. Under the </w:t>
      </w:r>
      <w:r w:rsidRPr="009A70C3">
        <w:t>p</w:t>
      </w:r>
      <w:r w:rsidR="00BD08FA" w:rsidRPr="009A70C3">
        <w:t xml:space="preserve">artnership, Australia and </w:t>
      </w:r>
      <w:proofErr w:type="spellStart"/>
      <w:r w:rsidR="00BD08FA" w:rsidRPr="009A70C3">
        <w:t>GoK</w:t>
      </w:r>
      <w:proofErr w:type="spellEnd"/>
      <w:r w:rsidR="00BD08FA" w:rsidRPr="009A70C3">
        <w:t xml:space="preserve"> will articulate more explicit short</w:t>
      </w:r>
      <w:r w:rsidRPr="009A70C3">
        <w:t>-term</w:t>
      </w:r>
      <w:r w:rsidR="00BD08FA" w:rsidRPr="009A70C3">
        <w:t xml:space="preserve"> and long</w:t>
      </w:r>
      <w:r w:rsidRPr="009A70C3">
        <w:t>-</w:t>
      </w:r>
      <w:r w:rsidR="00BD08FA" w:rsidRPr="009A70C3">
        <w:t>term targets and objectives, recognising immediate capacity constraints but with a clear strategy to address th</w:t>
      </w:r>
      <w:r w:rsidR="00A2261B">
        <w:t>o</w:t>
      </w:r>
      <w:r w:rsidR="00BD08FA" w:rsidRPr="009A70C3">
        <w:t xml:space="preserve">se in parallel </w:t>
      </w:r>
      <w:r w:rsidR="00A2261B">
        <w:t xml:space="preserve">with </w:t>
      </w:r>
      <w:r w:rsidR="00BD08FA" w:rsidRPr="009A70C3">
        <w:t>short term options</w:t>
      </w:r>
      <w:r w:rsidR="00A2261B">
        <w:t>,</w:t>
      </w:r>
      <w:r w:rsidR="00BD08FA" w:rsidRPr="009A70C3">
        <w:t xml:space="preserve"> which may include higher levels of technical assistance. Diversifying the forms of aid </w:t>
      </w:r>
      <w:r w:rsidRPr="009A70C3">
        <w:t xml:space="preserve">Australia </w:t>
      </w:r>
      <w:r w:rsidR="00BD08FA" w:rsidRPr="009A70C3">
        <w:t>use</w:t>
      </w:r>
      <w:r w:rsidRPr="009A70C3">
        <w:t>s</w:t>
      </w:r>
      <w:r w:rsidR="00BD08FA" w:rsidRPr="009A70C3">
        <w:t xml:space="preserve"> will be a priority</w:t>
      </w:r>
      <w:r w:rsidR="007D6CE0" w:rsidRPr="009A70C3">
        <w:rPr>
          <w:iCs/>
        </w:rPr>
        <w:t>.</w:t>
      </w:r>
    </w:p>
    <w:p w:rsidR="00BD08FA" w:rsidRPr="009A70C3" w:rsidRDefault="00201F3E" w:rsidP="00E546FB">
      <w:pPr>
        <w:pStyle w:val="ListBullet"/>
      </w:pPr>
      <w:r w:rsidRPr="001C3CE2">
        <w:rPr>
          <w:b/>
        </w:rPr>
        <w:t>The use</w:t>
      </w:r>
      <w:r w:rsidR="00BD08FA" w:rsidRPr="001C3CE2">
        <w:rPr>
          <w:b/>
        </w:rPr>
        <w:t xml:space="preserve"> of partner systems</w:t>
      </w:r>
      <w:r w:rsidR="00792FA6">
        <w:rPr>
          <w:b/>
        </w:rPr>
        <w:t xml:space="preserve"> – </w:t>
      </w:r>
      <w:r w:rsidR="00792FA6">
        <w:t xml:space="preserve">Partner systems </w:t>
      </w:r>
      <w:r w:rsidR="00BD08FA" w:rsidRPr="009A70C3">
        <w:t xml:space="preserve">are often weak and incompatible with Australian fiduciary requirements. Again, </w:t>
      </w:r>
      <w:r w:rsidRPr="009A70C3">
        <w:t>this will require</w:t>
      </w:r>
      <w:r w:rsidR="00BD08FA" w:rsidRPr="009A70C3">
        <w:t xml:space="preserve"> that </w:t>
      </w:r>
      <w:proofErr w:type="spellStart"/>
      <w:r w:rsidR="00BD08FA" w:rsidRPr="009A70C3">
        <w:t>GoK</w:t>
      </w:r>
      <w:proofErr w:type="spellEnd"/>
      <w:r w:rsidR="00BD08FA" w:rsidRPr="009A70C3">
        <w:t xml:space="preserve"> and Australia </w:t>
      </w:r>
      <w:r w:rsidR="00792FA6">
        <w:t xml:space="preserve">jointly understand </w:t>
      </w:r>
      <w:r w:rsidR="00BD08FA" w:rsidRPr="009A70C3">
        <w:t xml:space="preserve">what is working well and what needs improvement. The agreement to undertake a </w:t>
      </w:r>
      <w:r w:rsidRPr="009A70C3">
        <w:t>p</w:t>
      </w:r>
      <w:r w:rsidR="00BD08FA" w:rsidRPr="009A70C3">
        <w:t xml:space="preserve">ublic </w:t>
      </w:r>
      <w:r w:rsidRPr="009A70C3">
        <w:t>e</w:t>
      </w:r>
      <w:r w:rsidR="00BD08FA" w:rsidRPr="009A70C3">
        <w:t xml:space="preserve">xpenditure and </w:t>
      </w:r>
      <w:r w:rsidRPr="009A70C3">
        <w:t>f</w:t>
      </w:r>
      <w:r w:rsidR="00BD08FA" w:rsidRPr="009A70C3">
        <w:t xml:space="preserve">inancial </w:t>
      </w:r>
      <w:r w:rsidRPr="009A70C3">
        <w:t>a</w:t>
      </w:r>
      <w:r w:rsidR="00BD08FA" w:rsidRPr="009A70C3">
        <w:t>ccountability analysis (in collaboration with the World Bank and/or ADB) will be an important first step.</w:t>
      </w:r>
    </w:p>
    <w:p w:rsidR="00BD08FA" w:rsidRPr="009A70C3" w:rsidRDefault="00792FA6" w:rsidP="00E546FB">
      <w:pPr>
        <w:pStyle w:val="ListBullet"/>
      </w:pPr>
      <w:r w:rsidRPr="00792FA6">
        <w:rPr>
          <w:b/>
        </w:rPr>
        <w:t xml:space="preserve">The lack of flexibility of some </w:t>
      </w:r>
      <w:proofErr w:type="spellStart"/>
      <w:r w:rsidR="00BD08FA" w:rsidRPr="00792FA6">
        <w:rPr>
          <w:b/>
        </w:rPr>
        <w:t>GoK</w:t>
      </w:r>
      <w:proofErr w:type="spellEnd"/>
      <w:r w:rsidR="00BD08FA" w:rsidRPr="00792FA6">
        <w:rPr>
          <w:b/>
        </w:rPr>
        <w:t xml:space="preserve"> processes</w:t>
      </w:r>
      <w:r>
        <w:t xml:space="preserve"> – </w:t>
      </w:r>
      <w:r w:rsidR="00644665">
        <w:t>S</w:t>
      </w:r>
      <w:r w:rsidR="00644665" w:rsidRPr="009A70C3">
        <w:t xml:space="preserve">ome </w:t>
      </w:r>
      <w:r>
        <w:t xml:space="preserve">processes will need to be more flexible </w:t>
      </w:r>
      <w:r w:rsidR="00BD08FA" w:rsidRPr="009A70C3">
        <w:t xml:space="preserve">to meet changing needs (for example, the </w:t>
      </w:r>
      <w:r>
        <w:t xml:space="preserve">current centralisation </w:t>
      </w:r>
      <w:r w:rsidR="00BD08FA" w:rsidRPr="009A70C3">
        <w:t>of financial and HRD processes</w:t>
      </w:r>
      <w:r>
        <w:t xml:space="preserve"> is a limitation</w:t>
      </w:r>
      <w:r w:rsidR="00BD08FA" w:rsidRPr="009A70C3">
        <w:t>).</w:t>
      </w:r>
    </w:p>
    <w:p w:rsidR="00BD08FA" w:rsidRPr="009A70C3" w:rsidRDefault="00BD08FA" w:rsidP="00E546FB">
      <w:pPr>
        <w:pStyle w:val="ListBullet"/>
      </w:pPr>
      <w:r w:rsidRPr="00792FA6">
        <w:rPr>
          <w:b/>
        </w:rPr>
        <w:t>Recurrent budget limitations</w:t>
      </w:r>
      <w:r w:rsidR="00644665">
        <w:t xml:space="preserve"> </w:t>
      </w:r>
      <w:r w:rsidR="00792FA6">
        <w:t xml:space="preserve">– </w:t>
      </w:r>
      <w:r w:rsidR="00792FA6" w:rsidRPr="009A70C3">
        <w:t xml:space="preserve">There </w:t>
      </w:r>
      <w:r w:rsidRPr="009A70C3">
        <w:t xml:space="preserve">is often uncertainty as to whether future funding for development priorities will be available from </w:t>
      </w:r>
      <w:proofErr w:type="spellStart"/>
      <w:r w:rsidRPr="009A70C3">
        <w:t>GoK</w:t>
      </w:r>
      <w:proofErr w:type="spellEnd"/>
      <w:r w:rsidRPr="009A70C3">
        <w:t>.</w:t>
      </w:r>
    </w:p>
    <w:p w:rsidR="00BD08FA" w:rsidRPr="009A70C3" w:rsidRDefault="00BD08FA" w:rsidP="00BD08FA">
      <w:pPr>
        <w:pStyle w:val="Heading2unnumbered"/>
      </w:pPr>
      <w:bookmarkStart w:id="62" w:name="_Toc246227804"/>
      <w:r w:rsidRPr="009A70C3">
        <w:t>Management challenges</w:t>
      </w:r>
      <w:bookmarkEnd w:id="62"/>
    </w:p>
    <w:p w:rsidR="00BD08FA" w:rsidRPr="009A70C3" w:rsidRDefault="00BD08FA" w:rsidP="000E4D81">
      <w:pPr>
        <w:pStyle w:val="BodyText"/>
      </w:pPr>
      <w:proofErr w:type="spellStart"/>
      <w:r w:rsidRPr="009A70C3">
        <w:t>GoK</w:t>
      </w:r>
      <w:r w:rsidR="00176B79" w:rsidRPr="009A70C3">
        <w:t>’s</w:t>
      </w:r>
      <w:proofErr w:type="spellEnd"/>
      <w:r w:rsidRPr="009A70C3">
        <w:t xml:space="preserve"> capacity to effectively manag</w:t>
      </w:r>
      <w:r w:rsidR="00176B79" w:rsidRPr="009A70C3">
        <w:t>e</w:t>
      </w:r>
      <w:r w:rsidRPr="009A70C3">
        <w:t xml:space="preserve"> </w:t>
      </w:r>
      <w:r w:rsidR="00176B79" w:rsidRPr="009A70C3">
        <w:t xml:space="preserve">the </w:t>
      </w:r>
      <w:r w:rsidR="00792FA6">
        <w:t xml:space="preserve">collaboration between </w:t>
      </w:r>
      <w:r w:rsidRPr="009A70C3">
        <w:t>donors</w:t>
      </w:r>
      <w:r w:rsidR="00176B79" w:rsidRPr="009A70C3">
        <w:t xml:space="preserve"> is stretched</w:t>
      </w:r>
      <w:r w:rsidR="004C3315" w:rsidRPr="009A70C3">
        <w:t xml:space="preserve">. </w:t>
      </w:r>
      <w:r w:rsidRPr="009A70C3">
        <w:t xml:space="preserve">As a major donor to Kiribati, </w:t>
      </w:r>
      <w:proofErr w:type="spellStart"/>
      <w:r w:rsidRPr="009A70C3">
        <w:t>AusAID</w:t>
      </w:r>
      <w:proofErr w:type="spellEnd"/>
      <w:r w:rsidRPr="009A70C3">
        <w:t xml:space="preserve"> needs </w:t>
      </w:r>
      <w:r w:rsidR="00176B79" w:rsidRPr="009A70C3">
        <w:t xml:space="preserve">to </w:t>
      </w:r>
      <w:r w:rsidRPr="009A70C3">
        <w:t xml:space="preserve">assume a greater leadership role in promoting improved donor collaboration, despite the extra burden </w:t>
      </w:r>
      <w:r w:rsidR="00176B79" w:rsidRPr="009A70C3">
        <w:t>that this will entail</w:t>
      </w:r>
      <w:r w:rsidRPr="009A70C3">
        <w:t xml:space="preserve">. For example, </w:t>
      </w:r>
      <w:r w:rsidR="00176B79" w:rsidRPr="009A70C3">
        <w:t>although</w:t>
      </w:r>
      <w:r w:rsidRPr="009A70C3">
        <w:t xml:space="preserve"> other donors are willing to be engaged, the success of </w:t>
      </w:r>
      <w:r w:rsidR="00176B79" w:rsidRPr="009A70C3">
        <w:t xml:space="preserve">the education </w:t>
      </w:r>
      <w:r w:rsidRPr="009A70C3">
        <w:t xml:space="preserve">program </w:t>
      </w:r>
      <w:r w:rsidR="00176B79" w:rsidRPr="009A70C3">
        <w:t xml:space="preserve">design </w:t>
      </w:r>
      <w:r w:rsidRPr="009A70C3">
        <w:t xml:space="preserve">will be </w:t>
      </w:r>
      <w:r w:rsidR="00D163B4" w:rsidRPr="009A70C3">
        <w:t xml:space="preserve">largely </w:t>
      </w:r>
      <w:r w:rsidRPr="009A70C3">
        <w:t xml:space="preserve">contingent on the quality of </w:t>
      </w:r>
      <w:proofErr w:type="spellStart"/>
      <w:r w:rsidRPr="009A70C3">
        <w:t>AusAID’s</w:t>
      </w:r>
      <w:proofErr w:type="spellEnd"/>
      <w:r w:rsidRPr="009A70C3">
        <w:t xml:space="preserve"> engagement, including the input from key technical resources such as </w:t>
      </w:r>
      <w:proofErr w:type="spellStart"/>
      <w:r w:rsidRPr="009A70C3">
        <w:t>Au</w:t>
      </w:r>
      <w:r w:rsidR="000E4D81" w:rsidRPr="009A70C3">
        <w:t>sAID</w:t>
      </w:r>
      <w:r w:rsidR="00A2261B">
        <w:t>’s</w:t>
      </w:r>
      <w:proofErr w:type="spellEnd"/>
      <w:r w:rsidR="000E4D81" w:rsidRPr="009A70C3">
        <w:t xml:space="preserve"> Pacific Education Adviser.</w:t>
      </w:r>
    </w:p>
    <w:p w:rsidR="00BD08FA" w:rsidRPr="009A70C3" w:rsidRDefault="00BD08FA" w:rsidP="000E4D81">
      <w:pPr>
        <w:pStyle w:val="BodyText"/>
        <w:rPr>
          <w:rFonts w:cs="Arial"/>
          <w:szCs w:val="20"/>
        </w:rPr>
      </w:pPr>
      <w:bookmarkStart w:id="63" w:name="OLE_LINK5"/>
      <w:bookmarkStart w:id="64" w:name="OLE_LINK6"/>
      <w:r w:rsidRPr="009A70C3">
        <w:t xml:space="preserve">The capacity of </w:t>
      </w:r>
      <w:proofErr w:type="spellStart"/>
      <w:r w:rsidRPr="009A70C3">
        <w:t>GoK</w:t>
      </w:r>
      <w:proofErr w:type="spellEnd"/>
      <w:r w:rsidRPr="009A70C3">
        <w:t xml:space="preserve"> staff at lower levels in </w:t>
      </w:r>
      <w:r w:rsidR="00CF6B77" w:rsidRPr="009A70C3">
        <w:t>g</w:t>
      </w:r>
      <w:r w:rsidRPr="009A70C3">
        <w:t xml:space="preserve">overnment remains low, affecting service delivery, financial management and </w:t>
      </w:r>
      <w:proofErr w:type="spellStart"/>
      <w:r w:rsidRPr="009A70C3">
        <w:t>GoK</w:t>
      </w:r>
      <w:proofErr w:type="spellEnd"/>
      <w:r w:rsidRPr="009A70C3">
        <w:t xml:space="preserve"> capacity to direct and manage development assistance</w:t>
      </w:r>
      <w:r w:rsidR="004C3315" w:rsidRPr="009A70C3">
        <w:t xml:space="preserve">. </w:t>
      </w:r>
      <w:proofErr w:type="spellStart"/>
      <w:r w:rsidR="00CF6B77" w:rsidRPr="009A70C3">
        <w:t>GoK</w:t>
      </w:r>
      <w:proofErr w:type="spellEnd"/>
      <w:r w:rsidR="00CF6B77" w:rsidRPr="009A70C3">
        <w:t xml:space="preserve"> s</w:t>
      </w:r>
      <w:r w:rsidRPr="009A70C3">
        <w:t xml:space="preserve">enior management have significant workloads, frequently working at operational level </w:t>
      </w:r>
      <w:r w:rsidR="00CF6B77" w:rsidRPr="009A70C3">
        <w:t xml:space="preserve">and </w:t>
      </w:r>
      <w:r w:rsidRPr="009A70C3">
        <w:t>leaving little space for strategic dialogue on development priorities</w:t>
      </w:r>
      <w:r w:rsidR="00CF6B77" w:rsidRPr="009A70C3">
        <w:t xml:space="preserve"> or</w:t>
      </w:r>
      <w:r w:rsidRPr="009A70C3">
        <w:t xml:space="preserve"> </w:t>
      </w:r>
      <w:r w:rsidR="00A2261B">
        <w:t xml:space="preserve">for </w:t>
      </w:r>
      <w:r w:rsidRPr="009A70C3">
        <w:t>engaging with donors</w:t>
      </w:r>
      <w:r w:rsidR="004C3315" w:rsidRPr="009A70C3">
        <w:t xml:space="preserve">. </w:t>
      </w:r>
      <w:r w:rsidRPr="009A70C3">
        <w:rPr>
          <w:rFonts w:cs="Arial"/>
          <w:szCs w:val="20"/>
        </w:rPr>
        <w:t>The Public Sector Capa</w:t>
      </w:r>
      <w:r w:rsidR="00CF6B77" w:rsidRPr="009A70C3">
        <w:rPr>
          <w:rFonts w:cs="Arial"/>
          <w:szCs w:val="20"/>
        </w:rPr>
        <w:t xml:space="preserve">city Building Initiative </w:t>
      </w:r>
      <w:r w:rsidRPr="009A70C3">
        <w:rPr>
          <w:rFonts w:cs="Arial"/>
          <w:szCs w:val="20"/>
        </w:rPr>
        <w:t>could be used to</w:t>
      </w:r>
      <w:r w:rsidR="00CF6B77" w:rsidRPr="009A70C3">
        <w:rPr>
          <w:rFonts w:cs="Arial"/>
          <w:szCs w:val="20"/>
        </w:rPr>
        <w:t xml:space="preserve"> </w:t>
      </w:r>
      <w:r w:rsidRPr="009A70C3">
        <w:rPr>
          <w:rFonts w:cs="Arial"/>
          <w:szCs w:val="20"/>
        </w:rPr>
        <w:t>provide targeted assistance to address these concerns</w:t>
      </w:r>
      <w:r w:rsidR="00CF6B77" w:rsidRPr="009A70C3">
        <w:rPr>
          <w:rFonts w:cs="Arial"/>
          <w:szCs w:val="20"/>
        </w:rPr>
        <w:t>,</w:t>
      </w:r>
      <w:r w:rsidRPr="009A70C3">
        <w:rPr>
          <w:rFonts w:cs="Arial"/>
          <w:szCs w:val="20"/>
        </w:rPr>
        <w:t xml:space="preserve"> but the</w:t>
      </w:r>
      <w:r w:rsidR="005A3FF6" w:rsidRPr="009A70C3">
        <w:rPr>
          <w:rFonts w:cs="Arial"/>
          <w:szCs w:val="20"/>
        </w:rPr>
        <w:t xml:space="preserve"> relevant</w:t>
      </w:r>
      <w:r w:rsidRPr="009A70C3">
        <w:rPr>
          <w:rFonts w:cs="Arial"/>
          <w:szCs w:val="20"/>
        </w:rPr>
        <w:t xml:space="preserve"> issues must be factored into all design and implementation considerations for programs in Kiribati.</w:t>
      </w:r>
    </w:p>
    <w:bookmarkEnd w:id="63"/>
    <w:bookmarkEnd w:id="64"/>
    <w:p w:rsidR="00A35369" w:rsidRDefault="00A35369" w:rsidP="000E4D81">
      <w:pPr>
        <w:pStyle w:val="BodyText"/>
      </w:pPr>
    </w:p>
    <w:p w:rsidR="00BD08FA" w:rsidRPr="009A70C3" w:rsidRDefault="00BD08FA" w:rsidP="000E4D81">
      <w:pPr>
        <w:pStyle w:val="BodyText"/>
      </w:pPr>
      <w:r w:rsidRPr="009A70C3">
        <w:lastRenderedPageBreak/>
        <w:t xml:space="preserve">Following full program devolution, the Post was restructured in late 2008. The revised structure has </w:t>
      </w:r>
      <w:r w:rsidR="00984E65" w:rsidRPr="009A70C3">
        <w:t xml:space="preserve">two </w:t>
      </w:r>
      <w:r w:rsidRPr="009A70C3">
        <w:t xml:space="preserve">senior program managers and one development program specialist (DPS) leading teams for each of the </w:t>
      </w:r>
      <w:r w:rsidR="00984E65" w:rsidRPr="009A70C3">
        <w:t>p</w:t>
      </w:r>
      <w:r w:rsidRPr="009A70C3">
        <w:t>artnership priority outcomes</w:t>
      </w:r>
      <w:r w:rsidR="004C3315" w:rsidRPr="009A70C3">
        <w:t xml:space="preserve">. </w:t>
      </w:r>
      <w:r w:rsidRPr="009A70C3">
        <w:t xml:space="preserve">Managerial/operational support for the Post </w:t>
      </w:r>
      <w:r w:rsidR="0042038A">
        <w:t xml:space="preserve">is provided </w:t>
      </w:r>
      <w:r w:rsidRPr="009A70C3">
        <w:t>from Suva by the Minister Counsellor, supported by a Counsellor (and a DPS</w:t>
      </w:r>
      <w:r w:rsidR="00D25B74">
        <w:t>, who assigns 30% of her working week to the Kiribati program</w:t>
      </w:r>
      <w:r w:rsidRPr="009A70C3">
        <w:t>)</w:t>
      </w:r>
      <w:r w:rsidR="004C3315" w:rsidRPr="009A70C3">
        <w:t xml:space="preserve">. </w:t>
      </w:r>
      <w:r w:rsidRPr="009A70C3">
        <w:t xml:space="preserve">The new structure has enabled the </w:t>
      </w:r>
      <w:r w:rsidR="00984E65" w:rsidRPr="009A70C3">
        <w:t xml:space="preserve">First </w:t>
      </w:r>
      <w:r w:rsidRPr="009A70C3">
        <w:t xml:space="preserve">Secretary to engage in more strategic planning and policy dialogue with </w:t>
      </w:r>
      <w:proofErr w:type="spellStart"/>
      <w:r w:rsidR="00A2261B">
        <w:t>GoK</w:t>
      </w:r>
      <w:proofErr w:type="spellEnd"/>
      <w:r w:rsidR="00A2261B">
        <w:t xml:space="preserve"> </w:t>
      </w:r>
      <w:r w:rsidRPr="009A70C3">
        <w:t xml:space="preserve">and donors, </w:t>
      </w:r>
      <w:r w:rsidR="00984E65" w:rsidRPr="009A70C3">
        <w:t xml:space="preserve">which </w:t>
      </w:r>
      <w:r w:rsidR="0012722B">
        <w:t xml:space="preserve">are </w:t>
      </w:r>
      <w:r w:rsidRPr="009A70C3">
        <w:t xml:space="preserve">critical as the strategies for delivering on the outcomes of the </w:t>
      </w:r>
      <w:r w:rsidR="00057D92" w:rsidRPr="009A70C3">
        <w:t>p</w:t>
      </w:r>
      <w:r w:rsidRPr="009A70C3">
        <w:t>artnership are implemented</w:t>
      </w:r>
      <w:r w:rsidR="004C3315" w:rsidRPr="009A70C3">
        <w:t xml:space="preserve">. </w:t>
      </w:r>
      <w:r w:rsidRPr="009A70C3">
        <w:t>The human resources available at Post continue to be constrained</w:t>
      </w:r>
      <w:r w:rsidR="00057D92" w:rsidRPr="009A70C3">
        <w:t>,</w:t>
      </w:r>
      <w:r w:rsidRPr="009A70C3">
        <w:t xml:space="preserve"> and mechanisms for supplementing the current expertise at Post may include increasing advisory</w:t>
      </w:r>
      <w:r w:rsidR="00057D92" w:rsidRPr="009A70C3">
        <w:t xml:space="preserve"> and </w:t>
      </w:r>
      <w:r w:rsidRPr="009A70C3">
        <w:t>operational support in Suva to support both Kiribati and Tuvalu. It should be acknowledged that the Australian Head of Mission continues to play a very positive policy and advocacy role for the aid program to Kiribati</w:t>
      </w:r>
      <w:r w:rsidR="00057D92" w:rsidRPr="009A70C3">
        <w:t>.</w:t>
      </w:r>
    </w:p>
    <w:p w:rsidR="00BD08FA" w:rsidRPr="009A70C3" w:rsidRDefault="00BD08FA" w:rsidP="000E4D81">
      <w:pPr>
        <w:pStyle w:val="BodyText"/>
      </w:pPr>
      <w:r w:rsidRPr="009A70C3">
        <w:t xml:space="preserve">The ongoing implementation of the </w:t>
      </w:r>
      <w:r w:rsidR="00552E44" w:rsidRPr="009A70C3">
        <w:t>p</w:t>
      </w:r>
      <w:r w:rsidRPr="009A70C3">
        <w:t>artnership will promote increased rigour in developing the monitoring and evaluation processes needed for measuring and reporting on progress in the nominated priority sectors</w:t>
      </w:r>
      <w:r w:rsidR="004C3315" w:rsidRPr="009A70C3">
        <w:t xml:space="preserve">. </w:t>
      </w:r>
      <w:r w:rsidRPr="009A70C3">
        <w:t>However, the lack of appropriate skills in partner government staff</w:t>
      </w:r>
      <w:r w:rsidR="00552E44" w:rsidRPr="009A70C3">
        <w:t>,</w:t>
      </w:r>
      <w:r w:rsidRPr="009A70C3">
        <w:t xml:space="preserve"> and </w:t>
      </w:r>
      <w:r w:rsidR="009C3D78" w:rsidRPr="009A70C3">
        <w:t xml:space="preserve">the lack of </w:t>
      </w:r>
      <w:r w:rsidRPr="009A70C3">
        <w:t>appropriate systems for producing and analysing the nece</w:t>
      </w:r>
      <w:r w:rsidR="00552E44" w:rsidRPr="009A70C3">
        <w:t>ssary data, will be challenging.</w:t>
      </w:r>
    </w:p>
    <w:p w:rsidR="0090618D" w:rsidRPr="009A70C3" w:rsidRDefault="00BD08FA" w:rsidP="00BD08FA">
      <w:pPr>
        <w:pStyle w:val="BodyText"/>
      </w:pPr>
      <w:r w:rsidRPr="009A70C3">
        <w:t>Attempts to move towards program</w:t>
      </w:r>
      <w:r w:rsidR="009C3D78" w:rsidRPr="009A70C3">
        <w:t>-</w:t>
      </w:r>
      <w:r w:rsidRPr="009A70C3">
        <w:t xml:space="preserve">based approaches will need to be accompanied by ongoing assessment or benchmarking of </w:t>
      </w:r>
      <w:proofErr w:type="spellStart"/>
      <w:r w:rsidRPr="009A70C3">
        <w:t>GoK</w:t>
      </w:r>
      <w:proofErr w:type="spellEnd"/>
      <w:r w:rsidRPr="009A70C3">
        <w:t xml:space="preserve"> capacity in key areas</w:t>
      </w:r>
      <w:r w:rsidR="009C3D78" w:rsidRPr="009A70C3">
        <w:t>,</w:t>
      </w:r>
      <w:r w:rsidRPr="009A70C3">
        <w:t xml:space="preserve"> and then </w:t>
      </w:r>
      <w:r w:rsidR="00792FA6">
        <w:t xml:space="preserve">be </w:t>
      </w:r>
      <w:r w:rsidRPr="009A70C3">
        <w:t>supported by targeted assistance to improve any shortcomings</w:t>
      </w:r>
      <w:r w:rsidR="004C3315" w:rsidRPr="009A70C3">
        <w:t xml:space="preserve">. </w:t>
      </w:r>
      <w:proofErr w:type="spellStart"/>
      <w:r w:rsidRPr="009A70C3">
        <w:t>AusAID</w:t>
      </w:r>
      <w:proofErr w:type="spellEnd"/>
      <w:r w:rsidRPr="009A70C3">
        <w:t xml:space="preserve"> should commit to greater use of </w:t>
      </w:r>
      <w:proofErr w:type="spellStart"/>
      <w:r w:rsidRPr="009A70C3">
        <w:t>GoK</w:t>
      </w:r>
      <w:proofErr w:type="spellEnd"/>
      <w:r w:rsidRPr="009A70C3">
        <w:t xml:space="preserve"> systems as </w:t>
      </w:r>
      <w:r w:rsidR="009C3D78" w:rsidRPr="009A70C3">
        <w:t xml:space="preserve">those systems </w:t>
      </w:r>
      <w:r w:rsidRPr="009A70C3">
        <w:t xml:space="preserve">improve against agreed criteria. Improvements in </w:t>
      </w:r>
      <w:proofErr w:type="spellStart"/>
      <w:r w:rsidRPr="009A70C3">
        <w:t>GoK</w:t>
      </w:r>
      <w:proofErr w:type="spellEnd"/>
      <w:r w:rsidRPr="009A70C3">
        <w:t xml:space="preserve"> systems will also provide the basis for other donors to </w:t>
      </w:r>
      <w:r w:rsidR="0032341D" w:rsidRPr="009A70C3">
        <w:t>make</w:t>
      </w:r>
      <w:r w:rsidRPr="009A70C3">
        <w:t xml:space="preserve"> greater use of </w:t>
      </w:r>
      <w:proofErr w:type="spellStart"/>
      <w:r w:rsidRPr="009A70C3">
        <w:t>GoK</w:t>
      </w:r>
      <w:proofErr w:type="spellEnd"/>
      <w:r w:rsidRPr="009A70C3">
        <w:t xml:space="preserve"> processes</w:t>
      </w:r>
      <w:r w:rsidR="009C3D78" w:rsidRPr="009A70C3">
        <w:t>.</w:t>
      </w:r>
    </w:p>
    <w:p w:rsidR="00BD08FA" w:rsidRPr="009A70C3" w:rsidRDefault="00BD08FA" w:rsidP="00BD08FA">
      <w:pPr>
        <w:pStyle w:val="Heading2unnumbered"/>
      </w:pPr>
      <w:bookmarkStart w:id="65" w:name="_Toc246227805"/>
      <w:r w:rsidRPr="009A70C3">
        <w:t>Response to the global recession</w:t>
      </w:r>
      <w:bookmarkEnd w:id="65"/>
    </w:p>
    <w:p w:rsidR="00BD08FA" w:rsidRPr="009A70C3" w:rsidRDefault="00BD08FA" w:rsidP="000E4D81">
      <w:pPr>
        <w:pStyle w:val="BodyText"/>
      </w:pPr>
      <w:r w:rsidRPr="009A70C3">
        <w:t xml:space="preserve">Like many other Pacific </w:t>
      </w:r>
      <w:r w:rsidR="008A0B76">
        <w:t>i</w:t>
      </w:r>
      <w:r w:rsidR="008A0B76" w:rsidRPr="009A70C3">
        <w:t xml:space="preserve">sland </w:t>
      </w:r>
      <w:r w:rsidRPr="009A70C3">
        <w:t>countries, Kiribati is starting to experience more significant impacts due to the slowdown in the global economy</w:t>
      </w:r>
      <w:r w:rsidR="004C3315" w:rsidRPr="009A70C3">
        <w:t xml:space="preserve">. </w:t>
      </w:r>
      <w:r w:rsidR="00187AAD">
        <w:t>Being highly depende</w:t>
      </w:r>
      <w:r w:rsidRPr="009A70C3">
        <w:t>nt on imports (food, oil, manufactured goods), and reliant on remittances and the economic performance of the RERF as sources of revenue, Kiribati is heavily exposed to increasing macroeconomic difficulties such as an increased fiscal deficit</w:t>
      </w:r>
      <w:r w:rsidR="004C3315" w:rsidRPr="009A70C3">
        <w:t xml:space="preserve">. </w:t>
      </w:r>
      <w:r w:rsidRPr="009A70C3">
        <w:t>These problems are exacerbated by underlying structural weaknesses</w:t>
      </w:r>
      <w:r w:rsidR="00A2261B">
        <w:t>,</w:t>
      </w:r>
      <w:r w:rsidRPr="009A70C3">
        <w:t xml:space="preserve"> which were already creating fiscal management difficulties </w:t>
      </w:r>
      <w:r w:rsidR="002449DE" w:rsidRPr="009A70C3">
        <w:t>before</w:t>
      </w:r>
      <w:r w:rsidRPr="009A70C3">
        <w:t xml:space="preserve"> the global recession.</w:t>
      </w:r>
    </w:p>
    <w:p w:rsidR="00BD08FA" w:rsidRPr="009A70C3" w:rsidRDefault="00BD08FA" w:rsidP="000E4D81">
      <w:pPr>
        <w:pStyle w:val="BodyText"/>
      </w:pPr>
      <w:proofErr w:type="spellStart"/>
      <w:r w:rsidRPr="009A70C3">
        <w:t>AusAID</w:t>
      </w:r>
      <w:proofErr w:type="spellEnd"/>
      <w:r w:rsidRPr="009A70C3">
        <w:t xml:space="preserve"> is working with </w:t>
      </w:r>
      <w:r w:rsidR="002449DE" w:rsidRPr="009A70C3">
        <w:t xml:space="preserve">the </w:t>
      </w:r>
      <w:r w:rsidRPr="009A70C3">
        <w:t>D</w:t>
      </w:r>
      <w:r w:rsidR="002449DE" w:rsidRPr="009A70C3">
        <w:t xml:space="preserve">epartment of </w:t>
      </w:r>
      <w:r w:rsidRPr="009A70C3">
        <w:t>F</w:t>
      </w:r>
      <w:r w:rsidR="002449DE" w:rsidRPr="009A70C3">
        <w:t xml:space="preserve">oreign </w:t>
      </w:r>
      <w:r w:rsidRPr="009A70C3">
        <w:t>A</w:t>
      </w:r>
      <w:r w:rsidR="002449DE" w:rsidRPr="009A70C3">
        <w:t xml:space="preserve">ffairs and </w:t>
      </w:r>
      <w:r w:rsidRPr="009A70C3">
        <w:t>T</w:t>
      </w:r>
      <w:r w:rsidR="002449DE" w:rsidRPr="009A70C3">
        <w:t>rade</w:t>
      </w:r>
      <w:r w:rsidRPr="009A70C3">
        <w:t xml:space="preserve">, other donors and </w:t>
      </w:r>
      <w:proofErr w:type="spellStart"/>
      <w:r w:rsidRPr="009A70C3">
        <w:t>GoK</w:t>
      </w:r>
      <w:proofErr w:type="spellEnd"/>
      <w:r w:rsidRPr="009A70C3">
        <w:t xml:space="preserve"> in monitoring the impacts of the global recession, and will </w:t>
      </w:r>
      <w:r w:rsidR="002449DE" w:rsidRPr="009A70C3">
        <w:t>respond</w:t>
      </w:r>
      <w:r w:rsidRPr="009A70C3">
        <w:t xml:space="preserve"> to Kiribati</w:t>
      </w:r>
      <w:r w:rsidR="00A2261B">
        <w:t>’s</w:t>
      </w:r>
      <w:r w:rsidRPr="009A70C3">
        <w:t xml:space="preserve"> approaches for support</w:t>
      </w:r>
      <w:r w:rsidR="004C3315" w:rsidRPr="009A70C3">
        <w:t xml:space="preserve">. </w:t>
      </w:r>
      <w:proofErr w:type="spellStart"/>
      <w:r w:rsidRPr="009A70C3">
        <w:t>AusAID’s</w:t>
      </w:r>
      <w:proofErr w:type="spellEnd"/>
      <w:r w:rsidRPr="009A70C3">
        <w:t xml:space="preserve"> existing support to </w:t>
      </w:r>
      <w:r w:rsidR="0042038A">
        <w:t>c</w:t>
      </w:r>
      <w:r w:rsidRPr="009A70C3">
        <w:t>u</w:t>
      </w:r>
      <w:r w:rsidR="0042038A">
        <w:t>stoms, t</w:t>
      </w:r>
      <w:r w:rsidRPr="009A70C3">
        <w:t>axati</w:t>
      </w:r>
      <w:r w:rsidR="0042038A">
        <w:t>on, fisheries and t</w:t>
      </w:r>
      <w:r w:rsidRPr="009A70C3">
        <w:t xml:space="preserve">ourism, and planned activities to support improved management of the RERF and </w:t>
      </w:r>
      <w:r w:rsidR="002449DE" w:rsidRPr="009A70C3">
        <w:t xml:space="preserve">state-owned enterprise </w:t>
      </w:r>
      <w:r w:rsidRPr="009A70C3">
        <w:t xml:space="preserve">reforms through </w:t>
      </w:r>
      <w:r w:rsidR="002449DE" w:rsidRPr="009A70C3">
        <w:t>the partnership’s p</w:t>
      </w:r>
      <w:r w:rsidRPr="009A70C3">
        <w:t xml:space="preserve">riority </w:t>
      </w:r>
      <w:r w:rsidR="002449DE" w:rsidRPr="009A70C3">
        <w:t>o</w:t>
      </w:r>
      <w:r w:rsidRPr="009A70C3">
        <w:t xml:space="preserve">utcome </w:t>
      </w:r>
      <w:r w:rsidR="002449DE" w:rsidRPr="009A70C3">
        <w:t>‘i</w:t>
      </w:r>
      <w:r w:rsidRPr="009A70C3">
        <w:t xml:space="preserve">mproved </w:t>
      </w:r>
      <w:r w:rsidR="002449DE" w:rsidRPr="009A70C3">
        <w:t>g</w:t>
      </w:r>
      <w:r w:rsidRPr="009A70C3">
        <w:t xml:space="preserve">rowth and </w:t>
      </w:r>
      <w:r w:rsidR="002449DE" w:rsidRPr="009A70C3">
        <w:t>e</w:t>
      </w:r>
      <w:r w:rsidRPr="009A70C3">
        <w:t xml:space="preserve">conomic </w:t>
      </w:r>
      <w:r w:rsidR="002449DE" w:rsidRPr="009A70C3">
        <w:t>m</w:t>
      </w:r>
      <w:r w:rsidRPr="009A70C3">
        <w:t>anagement</w:t>
      </w:r>
      <w:r w:rsidR="002449DE" w:rsidRPr="009A70C3">
        <w:t>’,</w:t>
      </w:r>
      <w:r w:rsidRPr="009A70C3">
        <w:t xml:space="preserve"> </w:t>
      </w:r>
      <w:r w:rsidR="00A2261B">
        <w:t xml:space="preserve">will </w:t>
      </w:r>
      <w:r w:rsidRPr="009A70C3">
        <w:t>all contribute to reduc</w:t>
      </w:r>
      <w:r w:rsidR="00A2261B">
        <w:t>ing</w:t>
      </w:r>
      <w:r w:rsidRPr="009A70C3">
        <w:t xml:space="preserve"> government expenditure and increas</w:t>
      </w:r>
      <w:r w:rsidR="00A2261B">
        <w:t>ing</w:t>
      </w:r>
      <w:r w:rsidRPr="009A70C3">
        <w:t xml:space="preserve"> government revenue. Monitoring the economic impacts on vulnerable groups and service delivery in critical sectors</w:t>
      </w:r>
      <w:r w:rsidR="002449DE" w:rsidRPr="009A70C3">
        <w:t>,</w:t>
      </w:r>
      <w:r w:rsidRPr="009A70C3">
        <w:t xml:space="preserve"> such as health and education</w:t>
      </w:r>
      <w:r w:rsidR="002449DE" w:rsidRPr="009A70C3">
        <w:t>,</w:t>
      </w:r>
      <w:r w:rsidRPr="009A70C3">
        <w:t xml:space="preserve"> will also shape any potential response from the aid p</w:t>
      </w:r>
      <w:r w:rsidR="002449DE" w:rsidRPr="009A70C3">
        <w:t xml:space="preserve">rogram to </w:t>
      </w:r>
      <w:proofErr w:type="spellStart"/>
      <w:r w:rsidR="002449DE" w:rsidRPr="009A70C3">
        <w:t>GoK</w:t>
      </w:r>
      <w:proofErr w:type="spellEnd"/>
      <w:r w:rsidR="007920CA">
        <w:t>-</w:t>
      </w:r>
      <w:r w:rsidR="002449DE" w:rsidRPr="009A70C3">
        <w:t>identified needs.</w:t>
      </w:r>
    </w:p>
    <w:sectPr w:rsidR="00BD08FA" w:rsidRPr="009A70C3" w:rsidSect="006762E5">
      <w:headerReference w:type="even" r:id="rId18"/>
      <w:footerReference w:type="even" r:id="rId19"/>
      <w:footerReference w:type="default" r:id="rId20"/>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3A" w:rsidRDefault="002E613A">
      <w:r>
        <w:separator/>
      </w:r>
    </w:p>
  </w:endnote>
  <w:endnote w:type="continuationSeparator" w:id="0">
    <w:p w:rsidR="002E613A" w:rsidRDefault="002E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54" w:rsidRPr="00AD612A" w:rsidRDefault="00CF4554">
    <w:pPr>
      <w:pStyle w:val="Footer"/>
    </w:pPr>
    <w:r>
      <w:rPr>
        <w:rStyle w:val="PageNumber"/>
      </w:rPr>
      <w:fldChar w:fldCharType="begin"/>
    </w:r>
    <w:r>
      <w:rPr>
        <w:rStyle w:val="PageNumber"/>
      </w:rPr>
      <w:instrText xml:space="preserve"> PAGE </w:instrText>
    </w:r>
    <w:r>
      <w:rPr>
        <w:rStyle w:val="PageNumber"/>
      </w:rPr>
      <w:fldChar w:fldCharType="separate"/>
    </w:r>
    <w:r w:rsidR="00E52F2B">
      <w:rPr>
        <w:rStyle w:val="PageNumber"/>
        <w:noProof/>
      </w:rPr>
      <w:t>20</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E52F2B">
      <w:rPr>
        <w:rFonts w:cs="Arial"/>
        <w:noProof/>
      </w:rPr>
      <w:t>Annual program performance report: Republic of Kiribati</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54" w:rsidRPr="001260C2" w:rsidRDefault="00CF4554"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E52F2B">
      <w:rPr>
        <w:rFonts w:cs="Arial"/>
        <w:noProof/>
      </w:rPr>
      <w:t>Annual program performance report: Republic of Kiribati</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E52F2B">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3A" w:rsidRDefault="002E613A" w:rsidP="00D62AA4">
      <w:pPr>
        <w:spacing w:before="60" w:after="40" w:line="180" w:lineRule="exact"/>
      </w:pPr>
      <w:r>
        <w:continuationSeparator/>
      </w:r>
    </w:p>
  </w:footnote>
  <w:footnote w:type="continuationSeparator" w:id="0">
    <w:p w:rsidR="002E613A" w:rsidRDefault="002E613A">
      <w:r>
        <w:continuationSeparator/>
      </w:r>
    </w:p>
  </w:footnote>
  <w:footnote w:type="continuationNotice" w:id="1">
    <w:p w:rsidR="002E613A" w:rsidRDefault="002E613A"/>
  </w:footnote>
  <w:footnote w:id="2">
    <w:p w:rsidR="00CF4554" w:rsidRPr="00BE744E" w:rsidRDefault="00CF4554" w:rsidP="004031A5">
      <w:pPr>
        <w:pStyle w:val="CommentText"/>
        <w:rPr>
          <w:sz w:val="18"/>
          <w:szCs w:val="18"/>
        </w:rPr>
      </w:pPr>
      <w:r>
        <w:rPr>
          <w:rStyle w:val="FootnoteReference"/>
        </w:rPr>
        <w:footnoteRef/>
      </w:r>
      <w:r>
        <w:t xml:space="preserve"> </w:t>
      </w:r>
      <w:r w:rsidRPr="00BE744E">
        <w:rPr>
          <w:sz w:val="18"/>
          <w:szCs w:val="18"/>
        </w:rPr>
        <w:t>A</w:t>
      </w:r>
      <w:r>
        <w:rPr>
          <w:sz w:val="18"/>
          <w:szCs w:val="18"/>
        </w:rPr>
        <w:t>ustralia</w:t>
      </w:r>
      <w:r w:rsidRPr="00BE744E">
        <w:rPr>
          <w:sz w:val="18"/>
          <w:szCs w:val="18"/>
        </w:rPr>
        <w:t xml:space="preserve"> </w:t>
      </w:r>
      <w:r>
        <w:rPr>
          <w:sz w:val="18"/>
          <w:szCs w:val="18"/>
        </w:rPr>
        <w:t xml:space="preserve">(Australian Bureau of Statistics) </w:t>
      </w:r>
      <w:r w:rsidRPr="00BE744E">
        <w:rPr>
          <w:sz w:val="18"/>
          <w:szCs w:val="18"/>
        </w:rPr>
        <w:t xml:space="preserve">and SPC are providing assistance to the </w:t>
      </w:r>
      <w:r>
        <w:rPr>
          <w:sz w:val="18"/>
          <w:szCs w:val="18"/>
        </w:rPr>
        <w:t>N</w:t>
      </w:r>
      <w:r w:rsidRPr="00BE744E">
        <w:rPr>
          <w:sz w:val="18"/>
          <w:szCs w:val="18"/>
        </w:rPr>
        <w:t>ation</w:t>
      </w:r>
      <w:r>
        <w:rPr>
          <w:sz w:val="18"/>
          <w:szCs w:val="18"/>
        </w:rPr>
        <w:t>al S</w:t>
      </w:r>
      <w:r w:rsidRPr="00BE744E">
        <w:rPr>
          <w:sz w:val="18"/>
          <w:szCs w:val="18"/>
        </w:rPr>
        <w:t xml:space="preserve">tatistics </w:t>
      </w:r>
      <w:r>
        <w:rPr>
          <w:sz w:val="18"/>
          <w:szCs w:val="18"/>
        </w:rPr>
        <w:t>O</w:t>
      </w:r>
      <w:r w:rsidRPr="00BE744E">
        <w:rPr>
          <w:sz w:val="18"/>
          <w:szCs w:val="18"/>
        </w:rPr>
        <w:t xml:space="preserve">ffice </w:t>
      </w:r>
      <w:r>
        <w:rPr>
          <w:sz w:val="18"/>
          <w:szCs w:val="18"/>
        </w:rPr>
        <w:t xml:space="preserve">in 2009 </w:t>
      </w:r>
      <w:r w:rsidRPr="00BE744E">
        <w:rPr>
          <w:sz w:val="18"/>
          <w:szCs w:val="18"/>
        </w:rPr>
        <w:t xml:space="preserve">to improve the capacity of the unit </w:t>
      </w:r>
      <w:r>
        <w:rPr>
          <w:sz w:val="18"/>
          <w:szCs w:val="18"/>
        </w:rPr>
        <w:t>leading into the National C</w:t>
      </w:r>
      <w:r w:rsidRPr="00BE744E">
        <w:rPr>
          <w:sz w:val="18"/>
          <w:szCs w:val="18"/>
        </w:rPr>
        <w:t>ensus in 2010</w:t>
      </w:r>
      <w:r>
        <w:rPr>
          <w:sz w:val="18"/>
          <w:szCs w:val="18"/>
        </w:rPr>
        <w:t>.</w:t>
      </w:r>
    </w:p>
    <w:p w:rsidR="00CF4554" w:rsidRPr="00BE744E" w:rsidRDefault="00CF4554" w:rsidP="004031A5">
      <w:pPr>
        <w:pStyle w:val="FootnoteText"/>
      </w:pPr>
    </w:p>
  </w:footnote>
  <w:footnote w:id="3">
    <w:p w:rsidR="00CF4554" w:rsidRPr="00430899" w:rsidRDefault="00CF4554" w:rsidP="00597CC5">
      <w:pPr>
        <w:pStyle w:val="FootnoteText"/>
        <w:ind w:left="0" w:firstLine="0"/>
        <w:rPr>
          <w:sz w:val="18"/>
          <w:szCs w:val="18"/>
          <w:lang w:val="en-US"/>
        </w:rPr>
      </w:pPr>
      <w:r>
        <w:rPr>
          <w:rStyle w:val="FootnoteReference"/>
        </w:rPr>
        <w:footnoteRef/>
      </w:r>
      <w:r>
        <w:t xml:space="preserve"> </w:t>
      </w:r>
      <w:r>
        <w:rPr>
          <w:sz w:val="18"/>
          <w:szCs w:val="18"/>
          <w:lang w:val="en-US"/>
        </w:rPr>
        <w:t xml:space="preserve">The </w:t>
      </w:r>
      <w:r w:rsidRPr="009A2E30">
        <w:rPr>
          <w:sz w:val="18"/>
          <w:szCs w:val="18"/>
          <w:lang w:val="en-US"/>
        </w:rPr>
        <w:t xml:space="preserve">focus of </w:t>
      </w:r>
      <w:r>
        <w:rPr>
          <w:sz w:val="18"/>
          <w:szCs w:val="18"/>
          <w:lang w:val="en-US"/>
        </w:rPr>
        <w:t>these</w:t>
      </w:r>
      <w:r w:rsidRPr="009A2E30">
        <w:rPr>
          <w:sz w:val="18"/>
          <w:szCs w:val="18"/>
          <w:lang w:val="en-US"/>
        </w:rPr>
        <w:t xml:space="preserve"> </w:t>
      </w:r>
      <w:r>
        <w:rPr>
          <w:sz w:val="18"/>
          <w:szCs w:val="18"/>
          <w:lang w:val="en-US"/>
        </w:rPr>
        <w:t xml:space="preserve">activities in future years </w:t>
      </w:r>
      <w:r w:rsidRPr="009A2E30">
        <w:rPr>
          <w:sz w:val="18"/>
          <w:szCs w:val="18"/>
          <w:lang w:val="en-US"/>
        </w:rPr>
        <w:t>will be re-shaped by</w:t>
      </w:r>
      <w:r>
        <w:rPr>
          <w:sz w:val="18"/>
          <w:szCs w:val="18"/>
          <w:lang w:val="en-US"/>
        </w:rPr>
        <w:t xml:space="preserve"> </w:t>
      </w:r>
      <w:r w:rsidRPr="009A2E30">
        <w:rPr>
          <w:sz w:val="18"/>
          <w:szCs w:val="18"/>
          <w:lang w:val="en-US"/>
        </w:rPr>
        <w:t xml:space="preserve">the development of the outcome priority area </w:t>
      </w:r>
      <w:r>
        <w:rPr>
          <w:sz w:val="18"/>
          <w:szCs w:val="18"/>
          <w:lang w:val="en-US"/>
        </w:rPr>
        <w:t>‘improved growth and economic m</w:t>
      </w:r>
      <w:r w:rsidRPr="009A2E30">
        <w:rPr>
          <w:sz w:val="18"/>
          <w:szCs w:val="18"/>
          <w:lang w:val="en-US"/>
        </w:rPr>
        <w:t>an</w:t>
      </w:r>
      <w:r>
        <w:rPr>
          <w:sz w:val="18"/>
          <w:szCs w:val="18"/>
          <w:lang w:val="en-US"/>
        </w:rPr>
        <w:t>a</w:t>
      </w:r>
      <w:r w:rsidRPr="009A2E30">
        <w:rPr>
          <w:sz w:val="18"/>
          <w:szCs w:val="18"/>
          <w:lang w:val="en-US"/>
        </w:rPr>
        <w:t>g</w:t>
      </w:r>
      <w:r>
        <w:rPr>
          <w:sz w:val="18"/>
          <w:szCs w:val="18"/>
          <w:lang w:val="en-US"/>
        </w:rPr>
        <w:t>e</w:t>
      </w:r>
      <w:r w:rsidRPr="009A2E30">
        <w:rPr>
          <w:sz w:val="18"/>
          <w:szCs w:val="18"/>
          <w:lang w:val="en-US"/>
        </w:rPr>
        <w:t>ment</w:t>
      </w:r>
      <w:r>
        <w:rPr>
          <w:sz w:val="18"/>
          <w:szCs w:val="18"/>
          <w:lang w:val="en-US"/>
        </w:rPr>
        <w:t>’</w:t>
      </w:r>
      <w:r w:rsidRPr="009A2E30">
        <w:rPr>
          <w:sz w:val="18"/>
          <w:szCs w:val="18"/>
          <w:lang w:val="en-US"/>
        </w:rPr>
        <w:t xml:space="preserve"> under the </w:t>
      </w:r>
      <w:r>
        <w:rPr>
          <w:sz w:val="18"/>
          <w:szCs w:val="18"/>
          <w:lang w:val="en-US"/>
        </w:rPr>
        <w:t xml:space="preserve">Australia–Kiribati </w:t>
      </w:r>
      <w:r w:rsidRPr="009A2E30">
        <w:rPr>
          <w:sz w:val="18"/>
          <w:szCs w:val="18"/>
          <w:lang w:val="en-US"/>
        </w:rPr>
        <w:t>Partnership</w:t>
      </w:r>
      <w:r>
        <w:rPr>
          <w:sz w:val="18"/>
          <w:szCs w:val="18"/>
          <w:lang w:val="en-US"/>
        </w:rPr>
        <w:t xml:space="preserve"> for Development.</w:t>
      </w:r>
    </w:p>
  </w:footnote>
  <w:footnote w:id="4">
    <w:p w:rsidR="00CF4554" w:rsidRDefault="00CF4554" w:rsidP="00597CC5">
      <w:pPr>
        <w:pStyle w:val="FootnoteText"/>
        <w:ind w:left="0" w:firstLine="0"/>
        <w:rPr>
          <w:lang w:val="en-US"/>
        </w:rPr>
      </w:pPr>
      <w:r>
        <w:rPr>
          <w:rStyle w:val="FootnoteReference"/>
        </w:rPr>
        <w:footnoteRef/>
      </w:r>
      <w:r>
        <w:t xml:space="preserve"> </w:t>
      </w:r>
      <w:r>
        <w:rPr>
          <w:sz w:val="18"/>
          <w:szCs w:val="18"/>
          <w:lang w:val="en-US"/>
        </w:rPr>
        <w:t>The focus of these programs in future years will be re-shaped by the development of the priority outcome area of ‘workforce skills development’ under the Australia–Kiribati Partnership for Development.</w:t>
      </w:r>
    </w:p>
  </w:footnote>
  <w:footnote w:id="5">
    <w:p w:rsidR="00CF4554" w:rsidRPr="00CF5323" w:rsidRDefault="00CF4554" w:rsidP="00597CC5">
      <w:pPr>
        <w:pStyle w:val="FootnoteText"/>
        <w:ind w:left="0" w:firstLine="0"/>
        <w:rPr>
          <w:lang w:val="en-US"/>
        </w:rPr>
      </w:pPr>
      <w:r>
        <w:rPr>
          <w:rStyle w:val="FootnoteReference"/>
        </w:rPr>
        <w:footnoteRef/>
      </w:r>
      <w:r>
        <w:t xml:space="preserve"> </w:t>
      </w:r>
      <w:r w:rsidRPr="00CF5323">
        <w:rPr>
          <w:rFonts w:cs="Arial"/>
          <w:bCs/>
          <w:sz w:val="18"/>
          <w:szCs w:val="18"/>
        </w:rPr>
        <w:t xml:space="preserve">Other policy areas of the KDP include </w:t>
      </w:r>
      <w:r>
        <w:rPr>
          <w:rFonts w:cs="Arial"/>
          <w:bCs/>
          <w:iCs/>
          <w:sz w:val="18"/>
          <w:szCs w:val="18"/>
        </w:rPr>
        <w:t>i</w:t>
      </w:r>
      <w:r w:rsidRPr="00C723CE">
        <w:rPr>
          <w:rFonts w:cs="Arial"/>
          <w:bCs/>
          <w:iCs/>
          <w:sz w:val="18"/>
          <w:szCs w:val="18"/>
        </w:rPr>
        <w:t>nfrastructure</w:t>
      </w:r>
      <w:r w:rsidRPr="00C723CE">
        <w:rPr>
          <w:rFonts w:cs="Arial"/>
          <w:bCs/>
          <w:sz w:val="18"/>
          <w:szCs w:val="18"/>
        </w:rPr>
        <w:t xml:space="preserve">, </w:t>
      </w:r>
      <w:r>
        <w:rPr>
          <w:rFonts w:cs="Arial"/>
          <w:bCs/>
          <w:iCs/>
          <w:sz w:val="18"/>
          <w:szCs w:val="18"/>
        </w:rPr>
        <w:t>g</w:t>
      </w:r>
      <w:r w:rsidRPr="00C723CE">
        <w:rPr>
          <w:rFonts w:cs="Arial"/>
          <w:bCs/>
          <w:iCs/>
          <w:sz w:val="18"/>
          <w:szCs w:val="18"/>
        </w:rPr>
        <w:t>overnance</w:t>
      </w:r>
      <w:r w:rsidRPr="00072DB8">
        <w:rPr>
          <w:rFonts w:cs="Arial"/>
          <w:bCs/>
          <w:sz w:val="18"/>
          <w:szCs w:val="18"/>
        </w:rPr>
        <w:t xml:space="preserve">, </w:t>
      </w:r>
      <w:r>
        <w:rPr>
          <w:rFonts w:cs="Arial"/>
          <w:bCs/>
          <w:sz w:val="18"/>
          <w:szCs w:val="18"/>
        </w:rPr>
        <w:t>e</w:t>
      </w:r>
      <w:r w:rsidRPr="00072DB8">
        <w:rPr>
          <w:rFonts w:cs="Arial"/>
          <w:bCs/>
          <w:sz w:val="18"/>
          <w:szCs w:val="18"/>
        </w:rPr>
        <w:t xml:space="preserve">conomic </w:t>
      </w:r>
      <w:r>
        <w:rPr>
          <w:rFonts w:cs="Arial"/>
          <w:bCs/>
          <w:sz w:val="18"/>
          <w:szCs w:val="18"/>
        </w:rPr>
        <w:t>g</w:t>
      </w:r>
      <w:r w:rsidRPr="00072DB8">
        <w:rPr>
          <w:rFonts w:cs="Arial"/>
          <w:bCs/>
          <w:sz w:val="18"/>
          <w:szCs w:val="18"/>
        </w:rPr>
        <w:t xml:space="preserve">rowth and </w:t>
      </w:r>
      <w:r>
        <w:rPr>
          <w:rFonts w:cs="Arial"/>
          <w:bCs/>
          <w:sz w:val="18"/>
          <w:szCs w:val="18"/>
        </w:rPr>
        <w:t>p</w:t>
      </w:r>
      <w:r w:rsidRPr="00072DB8">
        <w:rPr>
          <w:rFonts w:cs="Arial"/>
          <w:bCs/>
          <w:sz w:val="18"/>
          <w:szCs w:val="18"/>
        </w:rPr>
        <w:t xml:space="preserve">overty </w:t>
      </w:r>
      <w:r>
        <w:rPr>
          <w:rFonts w:cs="Arial"/>
          <w:bCs/>
          <w:sz w:val="18"/>
          <w:szCs w:val="18"/>
        </w:rPr>
        <w:t>r</w:t>
      </w:r>
      <w:r w:rsidRPr="00072DB8">
        <w:rPr>
          <w:rFonts w:cs="Arial"/>
          <w:bCs/>
          <w:sz w:val="18"/>
          <w:szCs w:val="18"/>
        </w:rPr>
        <w:t>eduction</w:t>
      </w:r>
      <w:r>
        <w:rPr>
          <w:rFonts w:cs="Arial"/>
          <w:bCs/>
          <w:i/>
          <w:iCs/>
        </w:rPr>
        <w:t>,</w:t>
      </w:r>
      <w:r w:rsidRPr="00CF5323">
        <w:rPr>
          <w:rFonts w:cs="Arial"/>
          <w:bCs/>
          <w:sz w:val="18"/>
          <w:szCs w:val="18"/>
        </w:rPr>
        <w:t xml:space="preserve"> and </w:t>
      </w:r>
      <w:r>
        <w:rPr>
          <w:rFonts w:cs="Arial"/>
          <w:bCs/>
          <w:iCs/>
          <w:sz w:val="18"/>
          <w:szCs w:val="18"/>
        </w:rPr>
        <w:t>human resources development</w:t>
      </w:r>
      <w:r w:rsidRPr="00CF5323">
        <w:rPr>
          <w:rFonts w:cs="Arial"/>
          <w:bCs/>
          <w:sz w:val="18"/>
          <w:szCs w:val="18"/>
        </w:rPr>
        <w:t>.</w:t>
      </w:r>
    </w:p>
  </w:footnote>
  <w:footnote w:id="6">
    <w:p w:rsidR="00CF4554" w:rsidRPr="00552888" w:rsidRDefault="00CF4554" w:rsidP="00597CC5">
      <w:pPr>
        <w:pStyle w:val="FootnoteText"/>
        <w:ind w:left="0" w:firstLine="0"/>
        <w:rPr>
          <w:lang w:val="en-US"/>
        </w:rPr>
      </w:pPr>
      <w:r>
        <w:rPr>
          <w:rStyle w:val="FootnoteReference"/>
        </w:rPr>
        <w:footnoteRef/>
      </w:r>
      <w:r>
        <w:t xml:space="preserve"> </w:t>
      </w:r>
      <w:r w:rsidRPr="007B26B0">
        <w:rPr>
          <w:sz w:val="18"/>
          <w:szCs w:val="18"/>
        </w:rPr>
        <w:t>These programs</w:t>
      </w:r>
      <w:r>
        <w:rPr>
          <w:sz w:val="18"/>
          <w:szCs w:val="18"/>
        </w:rPr>
        <w:t xml:space="preserve">, </w:t>
      </w:r>
      <w:r w:rsidRPr="007B26B0">
        <w:rPr>
          <w:sz w:val="18"/>
          <w:szCs w:val="18"/>
        </w:rPr>
        <w:t xml:space="preserve">currently grouped </w:t>
      </w:r>
      <w:r>
        <w:rPr>
          <w:sz w:val="18"/>
          <w:szCs w:val="18"/>
        </w:rPr>
        <w:t>as</w:t>
      </w:r>
      <w:r w:rsidRPr="007B26B0">
        <w:rPr>
          <w:sz w:val="18"/>
          <w:szCs w:val="18"/>
        </w:rPr>
        <w:t xml:space="preserve"> one initiative</w:t>
      </w:r>
      <w:r>
        <w:rPr>
          <w:sz w:val="18"/>
          <w:szCs w:val="18"/>
        </w:rPr>
        <w:t>, are to be re-allocated to appropriate thematic or sectoral headings, and future reporting will reflect these 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554" w:rsidRDefault="00CF4554"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929"/>
    <w:multiLevelType w:val="hybridMultilevel"/>
    <w:tmpl w:val="DCB4801E"/>
    <w:lvl w:ilvl="0" w:tplc="374C0500">
      <w:start w:val="1"/>
      <w:numFmt w:val="bullet"/>
      <w:lvlText w:val=""/>
      <w:lvlJc w:val="left"/>
      <w:pPr>
        <w:tabs>
          <w:tab w:val="num" w:pos="590"/>
        </w:tabs>
        <w:ind w:left="59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4B70925"/>
    <w:multiLevelType w:val="hybridMultilevel"/>
    <w:tmpl w:val="D2409A1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065E6756"/>
    <w:multiLevelType w:val="hybridMultilevel"/>
    <w:tmpl w:val="68C6D5A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06995B58"/>
    <w:multiLevelType w:val="hybridMultilevel"/>
    <w:tmpl w:val="8E42E698"/>
    <w:lvl w:ilvl="0" w:tplc="374C0500">
      <w:start w:val="1"/>
      <w:numFmt w:val="bullet"/>
      <w:lvlText w:val=""/>
      <w:lvlJc w:val="left"/>
      <w:pPr>
        <w:tabs>
          <w:tab w:val="num" w:pos="590"/>
        </w:tabs>
        <w:ind w:left="590" w:hanging="363"/>
      </w:pPr>
      <w:rPr>
        <w:rFonts w:ascii="Symbol" w:hAnsi="Symbol" w:hint="default"/>
      </w:rPr>
    </w:lvl>
    <w:lvl w:ilvl="1" w:tplc="D2BEA7E6">
      <w:start w:val="1"/>
      <w:numFmt w:val="bullet"/>
      <w:lvlText w:val=""/>
      <w:lvlJc w:val="left"/>
      <w:pPr>
        <w:tabs>
          <w:tab w:val="num" w:pos="1080"/>
        </w:tabs>
        <w:ind w:left="987" w:firstLine="93"/>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775385D"/>
    <w:multiLevelType w:val="hybridMultilevel"/>
    <w:tmpl w:val="299CA042"/>
    <w:lvl w:ilvl="0" w:tplc="9044FC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6">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125A1F"/>
    <w:multiLevelType w:val="hybridMultilevel"/>
    <w:tmpl w:val="48ECE46A"/>
    <w:lvl w:ilvl="0" w:tplc="374C0500">
      <w:start w:val="1"/>
      <w:numFmt w:val="bullet"/>
      <w:lvlText w:val=""/>
      <w:lvlJc w:val="left"/>
      <w:pPr>
        <w:tabs>
          <w:tab w:val="num" w:pos="590"/>
        </w:tabs>
        <w:ind w:left="590" w:hanging="36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8FB0EBBC">
      <w:start w:val="1"/>
      <w:numFmt w:val="lowerLetter"/>
      <w:pStyle w:val="TableListNumber2"/>
      <w:lvlText w:val="%1."/>
      <w:lvlJc w:val="left"/>
      <w:pPr>
        <w:tabs>
          <w:tab w:val="num" w:pos="454"/>
        </w:tabs>
        <w:ind w:left="454" w:hanging="227"/>
      </w:pPr>
      <w:rPr>
        <w:rFonts w:hint="default"/>
      </w:rPr>
    </w:lvl>
    <w:lvl w:ilvl="1" w:tplc="4716AB92" w:tentative="1">
      <w:start w:val="1"/>
      <w:numFmt w:val="lowerLetter"/>
      <w:lvlText w:val="%2."/>
      <w:lvlJc w:val="left"/>
      <w:pPr>
        <w:tabs>
          <w:tab w:val="num" w:pos="1440"/>
        </w:tabs>
        <w:ind w:left="1440" w:hanging="360"/>
      </w:pPr>
    </w:lvl>
    <w:lvl w:ilvl="2" w:tplc="A9AA78CA" w:tentative="1">
      <w:start w:val="1"/>
      <w:numFmt w:val="lowerRoman"/>
      <w:lvlText w:val="%3."/>
      <w:lvlJc w:val="right"/>
      <w:pPr>
        <w:tabs>
          <w:tab w:val="num" w:pos="2160"/>
        </w:tabs>
        <w:ind w:left="2160" w:hanging="180"/>
      </w:pPr>
    </w:lvl>
    <w:lvl w:ilvl="3" w:tplc="827EBE00" w:tentative="1">
      <w:start w:val="1"/>
      <w:numFmt w:val="decimal"/>
      <w:lvlText w:val="%4."/>
      <w:lvlJc w:val="left"/>
      <w:pPr>
        <w:tabs>
          <w:tab w:val="num" w:pos="2880"/>
        </w:tabs>
        <w:ind w:left="2880" w:hanging="360"/>
      </w:pPr>
    </w:lvl>
    <w:lvl w:ilvl="4" w:tplc="B9C2DE4E" w:tentative="1">
      <w:start w:val="1"/>
      <w:numFmt w:val="lowerLetter"/>
      <w:lvlText w:val="%5."/>
      <w:lvlJc w:val="left"/>
      <w:pPr>
        <w:tabs>
          <w:tab w:val="num" w:pos="3600"/>
        </w:tabs>
        <w:ind w:left="3600" w:hanging="360"/>
      </w:pPr>
    </w:lvl>
    <w:lvl w:ilvl="5" w:tplc="F814CB6E" w:tentative="1">
      <w:start w:val="1"/>
      <w:numFmt w:val="lowerRoman"/>
      <w:lvlText w:val="%6."/>
      <w:lvlJc w:val="right"/>
      <w:pPr>
        <w:tabs>
          <w:tab w:val="num" w:pos="4320"/>
        </w:tabs>
        <w:ind w:left="4320" w:hanging="180"/>
      </w:pPr>
    </w:lvl>
    <w:lvl w:ilvl="6" w:tplc="EECCBACE" w:tentative="1">
      <w:start w:val="1"/>
      <w:numFmt w:val="decimal"/>
      <w:lvlText w:val="%7."/>
      <w:lvlJc w:val="left"/>
      <w:pPr>
        <w:tabs>
          <w:tab w:val="num" w:pos="5040"/>
        </w:tabs>
        <w:ind w:left="5040" w:hanging="360"/>
      </w:pPr>
    </w:lvl>
    <w:lvl w:ilvl="7" w:tplc="24DC53DA" w:tentative="1">
      <w:start w:val="1"/>
      <w:numFmt w:val="lowerLetter"/>
      <w:lvlText w:val="%8."/>
      <w:lvlJc w:val="left"/>
      <w:pPr>
        <w:tabs>
          <w:tab w:val="num" w:pos="5760"/>
        </w:tabs>
        <w:ind w:left="5760" w:hanging="360"/>
      </w:pPr>
    </w:lvl>
    <w:lvl w:ilvl="8" w:tplc="5E28ADDE" w:tentative="1">
      <w:start w:val="1"/>
      <w:numFmt w:val="lowerRoman"/>
      <w:lvlText w:val="%9."/>
      <w:lvlJc w:val="right"/>
      <w:pPr>
        <w:tabs>
          <w:tab w:val="num" w:pos="6480"/>
        </w:tabs>
        <w:ind w:left="6480" w:hanging="180"/>
      </w:pPr>
    </w:lvl>
  </w:abstractNum>
  <w:abstractNum w:abstractNumId="9">
    <w:nsid w:val="17BE0C71"/>
    <w:multiLevelType w:val="hybridMultilevel"/>
    <w:tmpl w:val="914ED0E6"/>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29565C4"/>
    <w:multiLevelType w:val="multilevel"/>
    <w:tmpl w:val="1220BD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3">
    <w:nsid w:val="2AEF5629"/>
    <w:multiLevelType w:val="hybridMultilevel"/>
    <w:tmpl w:val="758E36FC"/>
    <w:lvl w:ilvl="0" w:tplc="374C0500">
      <w:start w:val="1"/>
      <w:numFmt w:val="bullet"/>
      <w:lvlText w:val=""/>
      <w:lvlJc w:val="left"/>
      <w:pPr>
        <w:tabs>
          <w:tab w:val="num" w:pos="590"/>
        </w:tabs>
        <w:ind w:left="590" w:hanging="36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233F6B"/>
    <w:multiLevelType w:val="hybridMultilevel"/>
    <w:tmpl w:val="53929CB2"/>
    <w:lvl w:ilvl="0" w:tplc="B1604AB0">
      <w:start w:val="1"/>
      <w:numFmt w:val="lowerLetter"/>
      <w:pStyle w:val="BoxListNumber2"/>
      <w:lvlText w:val="%1."/>
      <w:lvlJc w:val="left"/>
      <w:pPr>
        <w:tabs>
          <w:tab w:val="num" w:pos="567"/>
        </w:tabs>
        <w:ind w:left="567" w:hanging="283"/>
      </w:pPr>
      <w:rPr>
        <w:rFonts w:hint="default"/>
      </w:rPr>
    </w:lvl>
    <w:lvl w:ilvl="1" w:tplc="C3C4DDBC" w:tentative="1">
      <w:start w:val="1"/>
      <w:numFmt w:val="lowerLetter"/>
      <w:lvlText w:val="%2."/>
      <w:lvlJc w:val="left"/>
      <w:pPr>
        <w:tabs>
          <w:tab w:val="num" w:pos="1440"/>
        </w:tabs>
        <w:ind w:left="1440" w:hanging="360"/>
      </w:pPr>
    </w:lvl>
    <w:lvl w:ilvl="2" w:tplc="1D98A84C" w:tentative="1">
      <w:start w:val="1"/>
      <w:numFmt w:val="lowerRoman"/>
      <w:lvlText w:val="%3."/>
      <w:lvlJc w:val="right"/>
      <w:pPr>
        <w:tabs>
          <w:tab w:val="num" w:pos="2160"/>
        </w:tabs>
        <w:ind w:left="2160" w:hanging="180"/>
      </w:pPr>
    </w:lvl>
    <w:lvl w:ilvl="3" w:tplc="FFB21722" w:tentative="1">
      <w:start w:val="1"/>
      <w:numFmt w:val="decimal"/>
      <w:lvlText w:val="%4."/>
      <w:lvlJc w:val="left"/>
      <w:pPr>
        <w:tabs>
          <w:tab w:val="num" w:pos="2880"/>
        </w:tabs>
        <w:ind w:left="2880" w:hanging="360"/>
      </w:pPr>
    </w:lvl>
    <w:lvl w:ilvl="4" w:tplc="F5B4BACE" w:tentative="1">
      <w:start w:val="1"/>
      <w:numFmt w:val="lowerLetter"/>
      <w:lvlText w:val="%5."/>
      <w:lvlJc w:val="left"/>
      <w:pPr>
        <w:tabs>
          <w:tab w:val="num" w:pos="3600"/>
        </w:tabs>
        <w:ind w:left="3600" w:hanging="360"/>
      </w:pPr>
    </w:lvl>
    <w:lvl w:ilvl="5" w:tplc="E35038CA" w:tentative="1">
      <w:start w:val="1"/>
      <w:numFmt w:val="lowerRoman"/>
      <w:lvlText w:val="%6."/>
      <w:lvlJc w:val="right"/>
      <w:pPr>
        <w:tabs>
          <w:tab w:val="num" w:pos="4320"/>
        </w:tabs>
        <w:ind w:left="4320" w:hanging="180"/>
      </w:pPr>
    </w:lvl>
    <w:lvl w:ilvl="6" w:tplc="F322F5CC" w:tentative="1">
      <w:start w:val="1"/>
      <w:numFmt w:val="decimal"/>
      <w:lvlText w:val="%7."/>
      <w:lvlJc w:val="left"/>
      <w:pPr>
        <w:tabs>
          <w:tab w:val="num" w:pos="5040"/>
        </w:tabs>
        <w:ind w:left="5040" w:hanging="360"/>
      </w:pPr>
    </w:lvl>
    <w:lvl w:ilvl="7" w:tplc="37900164" w:tentative="1">
      <w:start w:val="1"/>
      <w:numFmt w:val="lowerLetter"/>
      <w:lvlText w:val="%8."/>
      <w:lvlJc w:val="left"/>
      <w:pPr>
        <w:tabs>
          <w:tab w:val="num" w:pos="5760"/>
        </w:tabs>
        <w:ind w:left="5760" w:hanging="360"/>
      </w:pPr>
    </w:lvl>
    <w:lvl w:ilvl="8" w:tplc="95928584" w:tentative="1">
      <w:start w:val="1"/>
      <w:numFmt w:val="lowerRoman"/>
      <w:lvlText w:val="%9."/>
      <w:lvlJc w:val="right"/>
      <w:pPr>
        <w:tabs>
          <w:tab w:val="num" w:pos="6480"/>
        </w:tabs>
        <w:ind w:left="6480" w:hanging="180"/>
      </w:pPr>
    </w:lvl>
  </w:abstractNum>
  <w:abstractNum w:abstractNumId="16">
    <w:nsid w:val="3B5576AF"/>
    <w:multiLevelType w:val="hybridMultilevel"/>
    <w:tmpl w:val="C51EB26E"/>
    <w:lvl w:ilvl="0" w:tplc="93628402">
      <w:start w:val="1"/>
      <w:numFmt w:val="lowerLetter"/>
      <w:lvlRestart w:val="0"/>
      <w:lvlText w:val="%1"/>
      <w:lvlJc w:val="left"/>
      <w:pPr>
        <w:tabs>
          <w:tab w:val="num" w:pos="170"/>
        </w:tabs>
        <w:ind w:left="0" w:firstLine="0"/>
      </w:pPr>
      <w:rPr>
        <w:rFonts w:hint="default"/>
        <w:b w:val="0"/>
        <w:i w:val="0"/>
      </w:rPr>
    </w:lvl>
    <w:lvl w:ilvl="1" w:tplc="B11C3078" w:tentative="1">
      <w:start w:val="1"/>
      <w:numFmt w:val="lowerLetter"/>
      <w:lvlText w:val="%2."/>
      <w:lvlJc w:val="left"/>
      <w:pPr>
        <w:tabs>
          <w:tab w:val="num" w:pos="1440"/>
        </w:tabs>
        <w:ind w:left="1440" w:hanging="360"/>
      </w:pPr>
    </w:lvl>
    <w:lvl w:ilvl="2" w:tplc="D4D0E1C4" w:tentative="1">
      <w:start w:val="1"/>
      <w:numFmt w:val="lowerRoman"/>
      <w:lvlText w:val="%3."/>
      <w:lvlJc w:val="right"/>
      <w:pPr>
        <w:tabs>
          <w:tab w:val="num" w:pos="2160"/>
        </w:tabs>
        <w:ind w:left="2160" w:hanging="180"/>
      </w:pPr>
    </w:lvl>
    <w:lvl w:ilvl="3" w:tplc="A9467FC6" w:tentative="1">
      <w:start w:val="1"/>
      <w:numFmt w:val="decimal"/>
      <w:lvlText w:val="%4."/>
      <w:lvlJc w:val="left"/>
      <w:pPr>
        <w:tabs>
          <w:tab w:val="num" w:pos="2880"/>
        </w:tabs>
        <w:ind w:left="2880" w:hanging="360"/>
      </w:pPr>
    </w:lvl>
    <w:lvl w:ilvl="4" w:tplc="3F6463D2" w:tentative="1">
      <w:start w:val="1"/>
      <w:numFmt w:val="lowerLetter"/>
      <w:lvlText w:val="%5."/>
      <w:lvlJc w:val="left"/>
      <w:pPr>
        <w:tabs>
          <w:tab w:val="num" w:pos="3600"/>
        </w:tabs>
        <w:ind w:left="3600" w:hanging="360"/>
      </w:pPr>
    </w:lvl>
    <w:lvl w:ilvl="5" w:tplc="F51E370E" w:tentative="1">
      <w:start w:val="1"/>
      <w:numFmt w:val="lowerRoman"/>
      <w:lvlText w:val="%6."/>
      <w:lvlJc w:val="right"/>
      <w:pPr>
        <w:tabs>
          <w:tab w:val="num" w:pos="4320"/>
        </w:tabs>
        <w:ind w:left="4320" w:hanging="180"/>
      </w:pPr>
    </w:lvl>
    <w:lvl w:ilvl="6" w:tplc="9AECEBE2" w:tentative="1">
      <w:start w:val="1"/>
      <w:numFmt w:val="decimal"/>
      <w:lvlText w:val="%7."/>
      <w:lvlJc w:val="left"/>
      <w:pPr>
        <w:tabs>
          <w:tab w:val="num" w:pos="5040"/>
        </w:tabs>
        <w:ind w:left="5040" w:hanging="360"/>
      </w:pPr>
    </w:lvl>
    <w:lvl w:ilvl="7" w:tplc="F05ED9F0" w:tentative="1">
      <w:start w:val="1"/>
      <w:numFmt w:val="lowerLetter"/>
      <w:lvlText w:val="%8."/>
      <w:lvlJc w:val="left"/>
      <w:pPr>
        <w:tabs>
          <w:tab w:val="num" w:pos="5760"/>
        </w:tabs>
        <w:ind w:left="5760" w:hanging="360"/>
      </w:pPr>
    </w:lvl>
    <w:lvl w:ilvl="8" w:tplc="8F0673E2" w:tentative="1">
      <w:start w:val="1"/>
      <w:numFmt w:val="lowerRoman"/>
      <w:lvlText w:val="%9."/>
      <w:lvlJc w:val="right"/>
      <w:pPr>
        <w:tabs>
          <w:tab w:val="num" w:pos="6480"/>
        </w:tabs>
        <w:ind w:left="6480" w:hanging="180"/>
      </w:pPr>
    </w:lvl>
  </w:abstractNum>
  <w:abstractNum w:abstractNumId="17">
    <w:nsid w:val="46CD579B"/>
    <w:multiLevelType w:val="hybridMultilevel"/>
    <w:tmpl w:val="36F2514A"/>
    <w:lvl w:ilvl="0" w:tplc="4F027B7A">
      <w:start w:val="1"/>
      <w:numFmt w:val="bullet"/>
      <w:pStyle w:val="BoxListBullet"/>
      <w:lvlText w:val="&gt;"/>
      <w:lvlJc w:val="left"/>
      <w:pPr>
        <w:tabs>
          <w:tab w:val="num" w:pos="284"/>
        </w:tabs>
        <w:ind w:left="284" w:hanging="284"/>
      </w:pPr>
      <w:rPr>
        <w:rFonts w:hint="default"/>
        <w:color w:val="auto"/>
      </w:rPr>
    </w:lvl>
    <w:lvl w:ilvl="1" w:tplc="9F1A42D6" w:tentative="1">
      <w:start w:val="1"/>
      <w:numFmt w:val="bullet"/>
      <w:lvlText w:val="o"/>
      <w:lvlJc w:val="left"/>
      <w:pPr>
        <w:tabs>
          <w:tab w:val="num" w:pos="1440"/>
        </w:tabs>
        <w:ind w:left="1440" w:hanging="360"/>
      </w:pPr>
      <w:rPr>
        <w:rFonts w:ascii="Courier New" w:hAnsi="Courier New" w:cs="Courier New" w:hint="default"/>
      </w:rPr>
    </w:lvl>
    <w:lvl w:ilvl="2" w:tplc="6A08531A" w:tentative="1">
      <w:start w:val="1"/>
      <w:numFmt w:val="bullet"/>
      <w:lvlText w:val=""/>
      <w:lvlJc w:val="left"/>
      <w:pPr>
        <w:tabs>
          <w:tab w:val="num" w:pos="2160"/>
        </w:tabs>
        <w:ind w:left="2160" w:hanging="360"/>
      </w:pPr>
      <w:rPr>
        <w:rFonts w:ascii="Wingdings" w:hAnsi="Wingdings" w:hint="default"/>
      </w:rPr>
    </w:lvl>
    <w:lvl w:ilvl="3" w:tplc="729683BC" w:tentative="1">
      <w:start w:val="1"/>
      <w:numFmt w:val="bullet"/>
      <w:lvlText w:val=""/>
      <w:lvlJc w:val="left"/>
      <w:pPr>
        <w:tabs>
          <w:tab w:val="num" w:pos="2880"/>
        </w:tabs>
        <w:ind w:left="2880" w:hanging="360"/>
      </w:pPr>
      <w:rPr>
        <w:rFonts w:ascii="Symbol" w:hAnsi="Symbol" w:hint="default"/>
      </w:rPr>
    </w:lvl>
    <w:lvl w:ilvl="4" w:tplc="313400D2" w:tentative="1">
      <w:start w:val="1"/>
      <w:numFmt w:val="bullet"/>
      <w:lvlText w:val="o"/>
      <w:lvlJc w:val="left"/>
      <w:pPr>
        <w:tabs>
          <w:tab w:val="num" w:pos="3600"/>
        </w:tabs>
        <w:ind w:left="3600" w:hanging="360"/>
      </w:pPr>
      <w:rPr>
        <w:rFonts w:ascii="Courier New" w:hAnsi="Courier New" w:cs="Courier New" w:hint="default"/>
      </w:rPr>
    </w:lvl>
    <w:lvl w:ilvl="5" w:tplc="B2FAD81C" w:tentative="1">
      <w:start w:val="1"/>
      <w:numFmt w:val="bullet"/>
      <w:lvlText w:val=""/>
      <w:lvlJc w:val="left"/>
      <w:pPr>
        <w:tabs>
          <w:tab w:val="num" w:pos="4320"/>
        </w:tabs>
        <w:ind w:left="4320" w:hanging="360"/>
      </w:pPr>
      <w:rPr>
        <w:rFonts w:ascii="Wingdings" w:hAnsi="Wingdings" w:hint="default"/>
      </w:rPr>
    </w:lvl>
    <w:lvl w:ilvl="6" w:tplc="609241E4" w:tentative="1">
      <w:start w:val="1"/>
      <w:numFmt w:val="bullet"/>
      <w:lvlText w:val=""/>
      <w:lvlJc w:val="left"/>
      <w:pPr>
        <w:tabs>
          <w:tab w:val="num" w:pos="5040"/>
        </w:tabs>
        <w:ind w:left="5040" w:hanging="360"/>
      </w:pPr>
      <w:rPr>
        <w:rFonts w:ascii="Symbol" w:hAnsi="Symbol" w:hint="default"/>
      </w:rPr>
    </w:lvl>
    <w:lvl w:ilvl="7" w:tplc="25267828" w:tentative="1">
      <w:start w:val="1"/>
      <w:numFmt w:val="bullet"/>
      <w:lvlText w:val="o"/>
      <w:lvlJc w:val="left"/>
      <w:pPr>
        <w:tabs>
          <w:tab w:val="num" w:pos="5760"/>
        </w:tabs>
        <w:ind w:left="5760" w:hanging="360"/>
      </w:pPr>
      <w:rPr>
        <w:rFonts w:ascii="Courier New" w:hAnsi="Courier New" w:cs="Courier New" w:hint="default"/>
      </w:rPr>
    </w:lvl>
    <w:lvl w:ilvl="8" w:tplc="1C4AA638" w:tentative="1">
      <w:start w:val="1"/>
      <w:numFmt w:val="bullet"/>
      <w:lvlText w:val=""/>
      <w:lvlJc w:val="left"/>
      <w:pPr>
        <w:tabs>
          <w:tab w:val="num" w:pos="6480"/>
        </w:tabs>
        <w:ind w:left="6480" w:hanging="360"/>
      </w:pPr>
      <w:rPr>
        <w:rFonts w:ascii="Wingdings" w:hAnsi="Wingdings" w:hint="default"/>
      </w:rPr>
    </w:lvl>
  </w:abstractNum>
  <w:abstractNum w:abstractNumId="18">
    <w:nsid w:val="47531147"/>
    <w:multiLevelType w:val="hybridMultilevel"/>
    <w:tmpl w:val="D5B06BB0"/>
    <w:lvl w:ilvl="0" w:tplc="1E620FC4">
      <w:start w:val="1"/>
      <w:numFmt w:val="bullet"/>
      <w:pStyle w:val="List-bullet-2"/>
      <w:lvlText w:val="–"/>
      <w:lvlJc w:val="left"/>
      <w:pPr>
        <w:tabs>
          <w:tab w:val="num" w:pos="1021"/>
        </w:tabs>
        <w:ind w:left="1021" w:hanging="301"/>
      </w:pPr>
      <w:rPr>
        <w:rFonts w:hint="default"/>
        <w:color w:val="auto"/>
        <w:sz w:val="20"/>
      </w:rPr>
    </w:lvl>
    <w:lvl w:ilvl="1" w:tplc="04090019">
      <w:start w:val="1"/>
      <w:numFmt w:val="bullet"/>
      <w:lvlText w:val="–"/>
      <w:lvlJc w:val="left"/>
      <w:pPr>
        <w:tabs>
          <w:tab w:val="num" w:pos="1724"/>
        </w:tabs>
        <w:ind w:left="1724" w:hanging="363"/>
      </w:pPr>
      <w:rPr>
        <w:rFonts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19">
    <w:nsid w:val="4A37775D"/>
    <w:multiLevelType w:val="multilevel"/>
    <w:tmpl w:val="C4660D6E"/>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DF913A3"/>
    <w:multiLevelType w:val="hybridMultilevel"/>
    <w:tmpl w:val="78166D7A"/>
    <w:lvl w:ilvl="0" w:tplc="C5B0958A">
      <w:start w:val="1"/>
      <w:numFmt w:val="bullet"/>
      <w:lvlText w:val=""/>
      <w:lvlJc w:val="left"/>
      <w:pPr>
        <w:tabs>
          <w:tab w:val="num" w:pos="720"/>
        </w:tabs>
        <w:ind w:left="720" w:hanging="360"/>
      </w:pPr>
      <w:rPr>
        <w:rFonts w:ascii="Symbol" w:hAnsi="Symbol" w:hint="default"/>
      </w:rPr>
    </w:lvl>
    <w:lvl w:ilvl="1" w:tplc="416EAB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BC2C15"/>
    <w:multiLevelType w:val="hybridMultilevel"/>
    <w:tmpl w:val="112282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692D64"/>
    <w:multiLevelType w:val="hybridMultilevel"/>
    <w:tmpl w:val="3544D402"/>
    <w:lvl w:ilvl="0" w:tplc="1E620FC4">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8A5214"/>
    <w:multiLevelType w:val="hybridMultilevel"/>
    <w:tmpl w:val="0B5AC610"/>
    <w:lvl w:ilvl="0" w:tplc="00010409">
      <w:start w:val="1"/>
      <w:numFmt w:val="decimal"/>
      <w:pStyle w:val="TableListNumber"/>
      <w:lvlText w:val="%1."/>
      <w:lvlJc w:val="left"/>
      <w:pPr>
        <w:tabs>
          <w:tab w:val="num" w:pos="227"/>
        </w:tabs>
        <w:ind w:left="227" w:hanging="227"/>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4">
    <w:nsid w:val="5BE936E4"/>
    <w:multiLevelType w:val="hybridMultilevel"/>
    <w:tmpl w:val="0C08CBD4"/>
    <w:lvl w:ilvl="0" w:tplc="49BABBDA">
      <w:start w:val="1"/>
      <w:numFmt w:val="bullet"/>
      <w:lvlText w:val=""/>
      <w:lvlJc w:val="left"/>
      <w:pPr>
        <w:tabs>
          <w:tab w:val="num" w:pos="590"/>
        </w:tabs>
        <w:ind w:left="59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1F6FE2"/>
    <w:multiLevelType w:val="hybridMultilevel"/>
    <w:tmpl w:val="2676E352"/>
    <w:lvl w:ilvl="0" w:tplc="3698EFF6">
      <w:start w:val="1"/>
      <w:numFmt w:val="bullet"/>
      <w:pStyle w:val="bull2"/>
      <w:lvlText w:val=""/>
      <w:lvlJc w:val="left"/>
      <w:pPr>
        <w:tabs>
          <w:tab w:val="num" w:pos="720"/>
        </w:tabs>
        <w:ind w:left="720" w:hanging="360"/>
      </w:pPr>
      <w:rPr>
        <w:rFonts w:ascii="Symbol" w:hAnsi="Symbol" w:hint="default"/>
      </w:rPr>
    </w:lvl>
    <w:lvl w:ilvl="1" w:tplc="3DE03A60">
      <w:start w:val="1"/>
      <w:numFmt w:val="bullet"/>
      <w:lvlText w:val="o"/>
      <w:lvlJc w:val="left"/>
      <w:pPr>
        <w:tabs>
          <w:tab w:val="num" w:pos="1800"/>
        </w:tabs>
        <w:ind w:left="1800" w:hanging="360"/>
      </w:pPr>
      <w:rPr>
        <w:rFonts w:ascii="Courier New" w:hAnsi="Courier New" w:cs="Courier New" w:hint="default"/>
      </w:rPr>
    </w:lvl>
    <w:lvl w:ilvl="2" w:tplc="EF3C7158" w:tentative="1">
      <w:start w:val="1"/>
      <w:numFmt w:val="bullet"/>
      <w:lvlText w:val=""/>
      <w:lvlJc w:val="left"/>
      <w:pPr>
        <w:tabs>
          <w:tab w:val="num" w:pos="2520"/>
        </w:tabs>
        <w:ind w:left="2520" w:hanging="360"/>
      </w:pPr>
      <w:rPr>
        <w:rFonts w:ascii="Wingdings" w:hAnsi="Wingdings" w:hint="default"/>
      </w:rPr>
    </w:lvl>
    <w:lvl w:ilvl="3" w:tplc="D8802148" w:tentative="1">
      <w:start w:val="1"/>
      <w:numFmt w:val="bullet"/>
      <w:lvlText w:val=""/>
      <w:lvlJc w:val="left"/>
      <w:pPr>
        <w:tabs>
          <w:tab w:val="num" w:pos="3240"/>
        </w:tabs>
        <w:ind w:left="3240" w:hanging="360"/>
      </w:pPr>
      <w:rPr>
        <w:rFonts w:ascii="Symbol" w:hAnsi="Symbol" w:hint="default"/>
      </w:rPr>
    </w:lvl>
    <w:lvl w:ilvl="4" w:tplc="0E309ADA" w:tentative="1">
      <w:start w:val="1"/>
      <w:numFmt w:val="bullet"/>
      <w:lvlText w:val="o"/>
      <w:lvlJc w:val="left"/>
      <w:pPr>
        <w:tabs>
          <w:tab w:val="num" w:pos="3960"/>
        </w:tabs>
        <w:ind w:left="3960" w:hanging="360"/>
      </w:pPr>
      <w:rPr>
        <w:rFonts w:ascii="Courier New" w:hAnsi="Courier New" w:cs="Courier New" w:hint="default"/>
      </w:rPr>
    </w:lvl>
    <w:lvl w:ilvl="5" w:tplc="3102852A" w:tentative="1">
      <w:start w:val="1"/>
      <w:numFmt w:val="bullet"/>
      <w:lvlText w:val=""/>
      <w:lvlJc w:val="left"/>
      <w:pPr>
        <w:tabs>
          <w:tab w:val="num" w:pos="4680"/>
        </w:tabs>
        <w:ind w:left="4680" w:hanging="360"/>
      </w:pPr>
      <w:rPr>
        <w:rFonts w:ascii="Wingdings" w:hAnsi="Wingdings" w:hint="default"/>
      </w:rPr>
    </w:lvl>
    <w:lvl w:ilvl="6" w:tplc="39DC1F98" w:tentative="1">
      <w:start w:val="1"/>
      <w:numFmt w:val="bullet"/>
      <w:lvlText w:val=""/>
      <w:lvlJc w:val="left"/>
      <w:pPr>
        <w:tabs>
          <w:tab w:val="num" w:pos="5400"/>
        </w:tabs>
        <w:ind w:left="5400" w:hanging="360"/>
      </w:pPr>
      <w:rPr>
        <w:rFonts w:ascii="Symbol" w:hAnsi="Symbol" w:hint="default"/>
      </w:rPr>
    </w:lvl>
    <w:lvl w:ilvl="7" w:tplc="5498D8C6" w:tentative="1">
      <w:start w:val="1"/>
      <w:numFmt w:val="bullet"/>
      <w:lvlText w:val="o"/>
      <w:lvlJc w:val="left"/>
      <w:pPr>
        <w:tabs>
          <w:tab w:val="num" w:pos="6120"/>
        </w:tabs>
        <w:ind w:left="6120" w:hanging="360"/>
      </w:pPr>
      <w:rPr>
        <w:rFonts w:ascii="Courier New" w:hAnsi="Courier New" w:cs="Courier New" w:hint="default"/>
      </w:rPr>
    </w:lvl>
    <w:lvl w:ilvl="8" w:tplc="C8505EC2" w:tentative="1">
      <w:start w:val="1"/>
      <w:numFmt w:val="bullet"/>
      <w:lvlText w:val=""/>
      <w:lvlJc w:val="left"/>
      <w:pPr>
        <w:tabs>
          <w:tab w:val="num" w:pos="6840"/>
        </w:tabs>
        <w:ind w:left="6840" w:hanging="360"/>
      </w:pPr>
      <w:rPr>
        <w:rFonts w:ascii="Wingdings" w:hAnsi="Wingdings" w:hint="default"/>
      </w:rPr>
    </w:lvl>
  </w:abstractNum>
  <w:abstractNum w:abstractNumId="26">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27">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28">
    <w:nsid w:val="65B055C8"/>
    <w:multiLevelType w:val="hybridMultilevel"/>
    <w:tmpl w:val="63F4F024"/>
    <w:lvl w:ilvl="0" w:tplc="66E83F5C">
      <w:start w:val="1"/>
      <w:numFmt w:val="bullet"/>
      <w:lvlText w:val=""/>
      <w:lvlJc w:val="left"/>
      <w:pPr>
        <w:ind w:left="720" w:hanging="360"/>
      </w:pPr>
      <w:rPr>
        <w:rFonts w:ascii="Wingdings" w:hAnsi="Wingdings" w:hint="default"/>
        <w:color w:val="00DE00"/>
        <w:sz w:val="32"/>
        <w:szCs w:val="32"/>
      </w:rPr>
    </w:lvl>
    <w:lvl w:ilvl="1" w:tplc="125A731A" w:tentative="1">
      <w:start w:val="1"/>
      <w:numFmt w:val="bullet"/>
      <w:lvlText w:val="o"/>
      <w:lvlJc w:val="left"/>
      <w:pPr>
        <w:ind w:left="1440" w:hanging="360"/>
      </w:pPr>
      <w:rPr>
        <w:rFonts w:ascii="Courier New" w:hAnsi="Courier New" w:cs="Courier New" w:hint="default"/>
      </w:rPr>
    </w:lvl>
    <w:lvl w:ilvl="2" w:tplc="06D434DE" w:tentative="1">
      <w:start w:val="1"/>
      <w:numFmt w:val="bullet"/>
      <w:lvlText w:val=""/>
      <w:lvlJc w:val="left"/>
      <w:pPr>
        <w:ind w:left="2160" w:hanging="360"/>
      </w:pPr>
      <w:rPr>
        <w:rFonts w:ascii="Wingdings" w:hAnsi="Wingdings" w:hint="default"/>
      </w:rPr>
    </w:lvl>
    <w:lvl w:ilvl="3" w:tplc="BAE69756" w:tentative="1">
      <w:start w:val="1"/>
      <w:numFmt w:val="bullet"/>
      <w:lvlText w:val=""/>
      <w:lvlJc w:val="left"/>
      <w:pPr>
        <w:ind w:left="2880" w:hanging="360"/>
      </w:pPr>
      <w:rPr>
        <w:rFonts w:ascii="Symbol" w:hAnsi="Symbol" w:hint="default"/>
      </w:rPr>
    </w:lvl>
    <w:lvl w:ilvl="4" w:tplc="26422CB4" w:tentative="1">
      <w:start w:val="1"/>
      <w:numFmt w:val="bullet"/>
      <w:lvlText w:val="o"/>
      <w:lvlJc w:val="left"/>
      <w:pPr>
        <w:ind w:left="3600" w:hanging="360"/>
      </w:pPr>
      <w:rPr>
        <w:rFonts w:ascii="Courier New" w:hAnsi="Courier New" w:cs="Courier New" w:hint="default"/>
      </w:rPr>
    </w:lvl>
    <w:lvl w:ilvl="5" w:tplc="5674FCDE" w:tentative="1">
      <w:start w:val="1"/>
      <w:numFmt w:val="bullet"/>
      <w:lvlText w:val=""/>
      <w:lvlJc w:val="left"/>
      <w:pPr>
        <w:ind w:left="4320" w:hanging="360"/>
      </w:pPr>
      <w:rPr>
        <w:rFonts w:ascii="Wingdings" w:hAnsi="Wingdings" w:hint="default"/>
      </w:rPr>
    </w:lvl>
    <w:lvl w:ilvl="6" w:tplc="5CB889F2" w:tentative="1">
      <w:start w:val="1"/>
      <w:numFmt w:val="bullet"/>
      <w:lvlText w:val=""/>
      <w:lvlJc w:val="left"/>
      <w:pPr>
        <w:ind w:left="5040" w:hanging="360"/>
      </w:pPr>
      <w:rPr>
        <w:rFonts w:ascii="Symbol" w:hAnsi="Symbol" w:hint="default"/>
      </w:rPr>
    </w:lvl>
    <w:lvl w:ilvl="7" w:tplc="9CDAE744" w:tentative="1">
      <w:start w:val="1"/>
      <w:numFmt w:val="bullet"/>
      <w:lvlText w:val="o"/>
      <w:lvlJc w:val="left"/>
      <w:pPr>
        <w:ind w:left="5760" w:hanging="360"/>
      </w:pPr>
      <w:rPr>
        <w:rFonts w:ascii="Courier New" w:hAnsi="Courier New" w:cs="Courier New" w:hint="default"/>
      </w:rPr>
    </w:lvl>
    <w:lvl w:ilvl="8" w:tplc="DAAC8C52" w:tentative="1">
      <w:start w:val="1"/>
      <w:numFmt w:val="bullet"/>
      <w:lvlText w:val=""/>
      <w:lvlJc w:val="left"/>
      <w:pPr>
        <w:ind w:left="6480" w:hanging="360"/>
      </w:pPr>
      <w:rPr>
        <w:rFonts w:ascii="Wingdings" w:hAnsi="Wingdings" w:hint="default"/>
      </w:rPr>
    </w:lvl>
  </w:abstractNum>
  <w:abstractNum w:abstractNumId="29">
    <w:nsid w:val="66C55035"/>
    <w:multiLevelType w:val="hybridMultilevel"/>
    <w:tmpl w:val="A0C89EE8"/>
    <w:lvl w:ilvl="0" w:tplc="56CC2152">
      <w:start w:val="1"/>
      <w:numFmt w:val="bullet"/>
      <w:pStyle w:val="TableListBullet"/>
      <w:lvlText w:val="&gt;"/>
      <w:lvlJc w:val="left"/>
      <w:pPr>
        <w:tabs>
          <w:tab w:val="num" w:pos="227"/>
        </w:tabs>
        <w:ind w:left="227" w:hanging="227"/>
      </w:pPr>
      <w:rPr>
        <w:rFonts w:hint="default"/>
        <w:color w:val="auto"/>
        <w:spacing w:val="0"/>
        <w:w w:val="100"/>
        <w:position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C013BFE"/>
    <w:multiLevelType w:val="hybridMultilevel"/>
    <w:tmpl w:val="8A9CEC5A"/>
    <w:lvl w:ilvl="0" w:tplc="264216DC">
      <w:start w:val="1"/>
      <w:numFmt w:val="bullet"/>
      <w:lvlText w:val=""/>
      <w:lvlJc w:val="left"/>
      <w:pPr>
        <w:tabs>
          <w:tab w:val="num" w:pos="590"/>
        </w:tabs>
        <w:ind w:left="59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C791D60"/>
    <w:multiLevelType w:val="hybridMultilevel"/>
    <w:tmpl w:val="3E34D464"/>
    <w:lvl w:ilvl="0" w:tplc="374C0500">
      <w:start w:val="1"/>
      <w:numFmt w:val="bullet"/>
      <w:lvlText w:val=""/>
      <w:lvlJc w:val="left"/>
      <w:pPr>
        <w:tabs>
          <w:tab w:val="num" w:pos="590"/>
        </w:tabs>
        <w:ind w:left="590" w:hanging="363"/>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CA95AF5"/>
    <w:multiLevelType w:val="multilevel"/>
    <w:tmpl w:val="BC6CEFBA"/>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1A10E69"/>
    <w:multiLevelType w:val="singleLevel"/>
    <w:tmpl w:val="5B3C8342"/>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abstractNum>
  <w:abstractNum w:abstractNumId="34">
    <w:nsid w:val="723D6EBA"/>
    <w:multiLevelType w:val="multilevel"/>
    <w:tmpl w:val="C33450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35">
    <w:nsid w:val="72BB502B"/>
    <w:multiLevelType w:val="multilevel"/>
    <w:tmpl w:val="6FD4AAEC"/>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6">
    <w:nsid w:val="73571C5D"/>
    <w:multiLevelType w:val="hybridMultilevel"/>
    <w:tmpl w:val="BE6A90A4"/>
    <w:lvl w:ilvl="0" w:tplc="0C090001">
      <w:start w:val="1"/>
      <w:numFmt w:val="bullet"/>
      <w:lvlText w:val=""/>
      <w:lvlJc w:val="left"/>
      <w:pPr>
        <w:tabs>
          <w:tab w:val="num" w:pos="816"/>
        </w:tabs>
        <w:ind w:left="816" w:hanging="360"/>
      </w:pPr>
      <w:rPr>
        <w:rFonts w:ascii="Symbol" w:hAnsi="Symbol" w:hint="default"/>
      </w:rPr>
    </w:lvl>
    <w:lvl w:ilvl="1" w:tplc="0C090003" w:tentative="1">
      <w:start w:val="1"/>
      <w:numFmt w:val="bullet"/>
      <w:lvlText w:val="o"/>
      <w:lvlJc w:val="left"/>
      <w:pPr>
        <w:tabs>
          <w:tab w:val="num" w:pos="816"/>
        </w:tabs>
        <w:ind w:left="816" w:hanging="360"/>
      </w:pPr>
      <w:rPr>
        <w:rFonts w:ascii="Courier New" w:hAnsi="Courier New" w:cs="Courier New" w:hint="default"/>
      </w:rPr>
    </w:lvl>
    <w:lvl w:ilvl="2" w:tplc="0C090005" w:tentative="1">
      <w:start w:val="1"/>
      <w:numFmt w:val="bullet"/>
      <w:lvlText w:val=""/>
      <w:lvlJc w:val="left"/>
      <w:pPr>
        <w:tabs>
          <w:tab w:val="num" w:pos="1536"/>
        </w:tabs>
        <w:ind w:left="1536" w:hanging="360"/>
      </w:pPr>
      <w:rPr>
        <w:rFonts w:ascii="Wingdings" w:hAnsi="Wingdings" w:hint="default"/>
      </w:rPr>
    </w:lvl>
    <w:lvl w:ilvl="3" w:tplc="0C090001" w:tentative="1">
      <w:start w:val="1"/>
      <w:numFmt w:val="bullet"/>
      <w:lvlText w:val=""/>
      <w:lvlJc w:val="left"/>
      <w:pPr>
        <w:tabs>
          <w:tab w:val="num" w:pos="2256"/>
        </w:tabs>
        <w:ind w:left="2256" w:hanging="360"/>
      </w:pPr>
      <w:rPr>
        <w:rFonts w:ascii="Symbol" w:hAnsi="Symbol" w:hint="default"/>
      </w:rPr>
    </w:lvl>
    <w:lvl w:ilvl="4" w:tplc="0C090003" w:tentative="1">
      <w:start w:val="1"/>
      <w:numFmt w:val="bullet"/>
      <w:lvlText w:val="o"/>
      <w:lvlJc w:val="left"/>
      <w:pPr>
        <w:tabs>
          <w:tab w:val="num" w:pos="2976"/>
        </w:tabs>
        <w:ind w:left="2976" w:hanging="360"/>
      </w:pPr>
      <w:rPr>
        <w:rFonts w:ascii="Courier New" w:hAnsi="Courier New" w:cs="Courier New" w:hint="default"/>
      </w:rPr>
    </w:lvl>
    <w:lvl w:ilvl="5" w:tplc="0C090005" w:tentative="1">
      <w:start w:val="1"/>
      <w:numFmt w:val="bullet"/>
      <w:lvlText w:val=""/>
      <w:lvlJc w:val="left"/>
      <w:pPr>
        <w:tabs>
          <w:tab w:val="num" w:pos="3696"/>
        </w:tabs>
        <w:ind w:left="3696" w:hanging="360"/>
      </w:pPr>
      <w:rPr>
        <w:rFonts w:ascii="Wingdings" w:hAnsi="Wingdings" w:hint="default"/>
      </w:rPr>
    </w:lvl>
    <w:lvl w:ilvl="6" w:tplc="0C090001" w:tentative="1">
      <w:start w:val="1"/>
      <w:numFmt w:val="bullet"/>
      <w:lvlText w:val=""/>
      <w:lvlJc w:val="left"/>
      <w:pPr>
        <w:tabs>
          <w:tab w:val="num" w:pos="4416"/>
        </w:tabs>
        <w:ind w:left="4416" w:hanging="360"/>
      </w:pPr>
      <w:rPr>
        <w:rFonts w:ascii="Symbol" w:hAnsi="Symbol" w:hint="default"/>
      </w:rPr>
    </w:lvl>
    <w:lvl w:ilvl="7" w:tplc="0C090003" w:tentative="1">
      <w:start w:val="1"/>
      <w:numFmt w:val="bullet"/>
      <w:lvlText w:val="o"/>
      <w:lvlJc w:val="left"/>
      <w:pPr>
        <w:tabs>
          <w:tab w:val="num" w:pos="5136"/>
        </w:tabs>
        <w:ind w:left="5136" w:hanging="360"/>
      </w:pPr>
      <w:rPr>
        <w:rFonts w:ascii="Courier New" w:hAnsi="Courier New" w:cs="Courier New" w:hint="default"/>
      </w:rPr>
    </w:lvl>
    <w:lvl w:ilvl="8" w:tplc="0C090005" w:tentative="1">
      <w:start w:val="1"/>
      <w:numFmt w:val="bullet"/>
      <w:lvlText w:val=""/>
      <w:lvlJc w:val="left"/>
      <w:pPr>
        <w:tabs>
          <w:tab w:val="num" w:pos="5856"/>
        </w:tabs>
        <w:ind w:left="5856" w:hanging="360"/>
      </w:pPr>
      <w:rPr>
        <w:rFonts w:ascii="Wingdings" w:hAnsi="Wingdings" w:hint="default"/>
      </w:rPr>
    </w:lvl>
  </w:abstractNum>
  <w:abstractNum w:abstractNumId="37">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8">
    <w:nsid w:val="79E1124E"/>
    <w:multiLevelType w:val="hybridMultilevel"/>
    <w:tmpl w:val="6D42E656"/>
    <w:lvl w:ilvl="0" w:tplc="1E620FC4">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7A528B"/>
    <w:multiLevelType w:val="hybridMultilevel"/>
    <w:tmpl w:val="4ADC517C"/>
    <w:lvl w:ilvl="0" w:tplc="676C2A4A">
      <w:start w:val="1"/>
      <w:numFmt w:val="bullet"/>
      <w:pStyle w:val="ListBullet"/>
      <w:lvlText w:val="&gt;"/>
      <w:lvlJc w:val="left"/>
      <w:pPr>
        <w:tabs>
          <w:tab w:val="num" w:pos="284"/>
        </w:tabs>
        <w:ind w:left="284" w:hanging="284"/>
      </w:pPr>
      <w:rPr>
        <w:rFonts w:hint="default"/>
        <w:color w:val="auto"/>
        <w:position w:val="3"/>
      </w:rPr>
    </w:lvl>
    <w:lvl w:ilvl="1" w:tplc="BC409E68" w:tentative="1">
      <w:start w:val="1"/>
      <w:numFmt w:val="bullet"/>
      <w:lvlText w:val="o"/>
      <w:lvlJc w:val="left"/>
      <w:pPr>
        <w:tabs>
          <w:tab w:val="num" w:pos="1440"/>
        </w:tabs>
        <w:ind w:left="1440" w:hanging="360"/>
      </w:pPr>
      <w:rPr>
        <w:rFonts w:ascii="Courier New" w:hAnsi="Courier New" w:cs="Courier New" w:hint="default"/>
      </w:rPr>
    </w:lvl>
    <w:lvl w:ilvl="2" w:tplc="84902430" w:tentative="1">
      <w:start w:val="1"/>
      <w:numFmt w:val="bullet"/>
      <w:lvlText w:val=""/>
      <w:lvlJc w:val="left"/>
      <w:pPr>
        <w:tabs>
          <w:tab w:val="num" w:pos="2160"/>
        </w:tabs>
        <w:ind w:left="2160" w:hanging="360"/>
      </w:pPr>
      <w:rPr>
        <w:rFonts w:ascii="Wingdings" w:hAnsi="Wingdings" w:hint="default"/>
      </w:rPr>
    </w:lvl>
    <w:lvl w:ilvl="3" w:tplc="B44C743C" w:tentative="1">
      <w:start w:val="1"/>
      <w:numFmt w:val="bullet"/>
      <w:lvlText w:val=""/>
      <w:lvlJc w:val="left"/>
      <w:pPr>
        <w:tabs>
          <w:tab w:val="num" w:pos="2880"/>
        </w:tabs>
        <w:ind w:left="2880" w:hanging="360"/>
      </w:pPr>
      <w:rPr>
        <w:rFonts w:ascii="Symbol" w:hAnsi="Symbol" w:hint="default"/>
      </w:rPr>
    </w:lvl>
    <w:lvl w:ilvl="4" w:tplc="A1F8466A" w:tentative="1">
      <w:start w:val="1"/>
      <w:numFmt w:val="bullet"/>
      <w:lvlText w:val="o"/>
      <w:lvlJc w:val="left"/>
      <w:pPr>
        <w:tabs>
          <w:tab w:val="num" w:pos="3600"/>
        </w:tabs>
        <w:ind w:left="3600" w:hanging="360"/>
      </w:pPr>
      <w:rPr>
        <w:rFonts w:ascii="Courier New" w:hAnsi="Courier New" w:cs="Courier New" w:hint="default"/>
      </w:rPr>
    </w:lvl>
    <w:lvl w:ilvl="5" w:tplc="E3606224" w:tentative="1">
      <w:start w:val="1"/>
      <w:numFmt w:val="bullet"/>
      <w:lvlText w:val=""/>
      <w:lvlJc w:val="left"/>
      <w:pPr>
        <w:tabs>
          <w:tab w:val="num" w:pos="4320"/>
        </w:tabs>
        <w:ind w:left="4320" w:hanging="360"/>
      </w:pPr>
      <w:rPr>
        <w:rFonts w:ascii="Wingdings" w:hAnsi="Wingdings" w:hint="default"/>
      </w:rPr>
    </w:lvl>
    <w:lvl w:ilvl="6" w:tplc="8F04263E" w:tentative="1">
      <w:start w:val="1"/>
      <w:numFmt w:val="bullet"/>
      <w:lvlText w:val=""/>
      <w:lvlJc w:val="left"/>
      <w:pPr>
        <w:tabs>
          <w:tab w:val="num" w:pos="5040"/>
        </w:tabs>
        <w:ind w:left="5040" w:hanging="360"/>
      </w:pPr>
      <w:rPr>
        <w:rFonts w:ascii="Symbol" w:hAnsi="Symbol" w:hint="default"/>
      </w:rPr>
    </w:lvl>
    <w:lvl w:ilvl="7" w:tplc="80802AD8" w:tentative="1">
      <w:start w:val="1"/>
      <w:numFmt w:val="bullet"/>
      <w:lvlText w:val="o"/>
      <w:lvlJc w:val="left"/>
      <w:pPr>
        <w:tabs>
          <w:tab w:val="num" w:pos="5760"/>
        </w:tabs>
        <w:ind w:left="5760" w:hanging="360"/>
      </w:pPr>
      <w:rPr>
        <w:rFonts w:ascii="Courier New" w:hAnsi="Courier New" w:cs="Courier New" w:hint="default"/>
      </w:rPr>
    </w:lvl>
    <w:lvl w:ilvl="8" w:tplc="FF1EB05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8"/>
  </w:num>
  <w:num w:numId="3">
    <w:abstractNumId w:val="8"/>
  </w:num>
  <w:num w:numId="4">
    <w:abstractNumId w:val="11"/>
  </w:num>
  <w:num w:numId="5">
    <w:abstractNumId w:val="15"/>
  </w:num>
  <w:num w:numId="6">
    <w:abstractNumId w:val="22"/>
  </w:num>
  <w:num w:numId="7">
    <w:abstractNumId w:val="17"/>
  </w:num>
  <w:num w:numId="8">
    <w:abstractNumId w:val="14"/>
  </w:num>
  <w:num w:numId="9">
    <w:abstractNumId w:val="10"/>
  </w:num>
  <w:num w:numId="10">
    <w:abstractNumId w:val="19"/>
    <w:lvlOverride w:ilvl="0">
      <w:startOverride w:val="1"/>
    </w:lvlOverride>
  </w:num>
  <w:num w:numId="11">
    <w:abstractNumId w:val="39"/>
  </w:num>
  <w:num w:numId="12">
    <w:abstractNumId w:val="26"/>
  </w:num>
  <w:num w:numId="13">
    <w:abstractNumId w:val="12"/>
  </w:num>
  <w:num w:numId="14">
    <w:abstractNumId w:val="34"/>
  </w:num>
  <w:num w:numId="15">
    <w:abstractNumId w:val="27"/>
  </w:num>
  <w:num w:numId="16">
    <w:abstractNumId w:val="29"/>
  </w:num>
  <w:num w:numId="17">
    <w:abstractNumId w:val="6"/>
  </w:num>
  <w:num w:numId="18">
    <w:abstractNumId w:val="9"/>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num>
  <w:num w:numId="23">
    <w:abstractNumId w:val="35"/>
  </w:num>
  <w:num w:numId="24">
    <w:abstractNumId w:val="35"/>
    <w:lvlOverride w:ilvl="0">
      <w:startOverride w:val="1"/>
    </w:lvlOverride>
  </w:num>
  <w:num w:numId="25">
    <w:abstractNumId w:val="32"/>
  </w:num>
  <w:num w:numId="26">
    <w:abstractNumId w:val="16"/>
  </w:num>
  <w:num w:numId="27">
    <w:abstractNumId w:val="16"/>
    <w:lvlOverride w:ilvl="0">
      <w:startOverride w:val="1"/>
    </w:lvlOverride>
  </w:num>
  <w:num w:numId="28">
    <w:abstractNumId w:val="19"/>
    <w:lvlOverride w:ilvl="0">
      <w:startOverride w:val="1"/>
    </w:lvlOverride>
  </w:num>
  <w:num w:numId="29">
    <w:abstractNumId w:val="5"/>
  </w:num>
  <w:num w:numId="30">
    <w:abstractNumId w:val="18"/>
  </w:num>
  <w:num w:numId="31">
    <w:abstractNumId w:val="2"/>
  </w:num>
  <w:num w:numId="32">
    <w:abstractNumId w:val="1"/>
  </w:num>
  <w:num w:numId="33">
    <w:abstractNumId w:val="21"/>
  </w:num>
  <w:num w:numId="34">
    <w:abstractNumId w:val="3"/>
  </w:num>
  <w:num w:numId="35">
    <w:abstractNumId w:val="0"/>
  </w:num>
  <w:num w:numId="36">
    <w:abstractNumId w:val="31"/>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3"/>
  </w:num>
  <w:num w:numId="40">
    <w:abstractNumId w:val="30"/>
  </w:num>
  <w:num w:numId="41">
    <w:abstractNumId w:val="20"/>
  </w:num>
  <w:num w:numId="42">
    <w:abstractNumId w:val="28"/>
  </w:num>
  <w:num w:numId="43">
    <w:abstractNumId w:val="25"/>
  </w:num>
  <w:num w:numId="4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6"/>
  </w:num>
  <w:num w:numId="47">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3A"/>
    <w:rsid w:val="000020C3"/>
    <w:rsid w:val="00002939"/>
    <w:rsid w:val="00004368"/>
    <w:rsid w:val="00011550"/>
    <w:rsid w:val="0001170C"/>
    <w:rsid w:val="000129D7"/>
    <w:rsid w:val="0001356A"/>
    <w:rsid w:val="00015DBC"/>
    <w:rsid w:val="00016771"/>
    <w:rsid w:val="00016CBA"/>
    <w:rsid w:val="00017D33"/>
    <w:rsid w:val="0002235F"/>
    <w:rsid w:val="00022D41"/>
    <w:rsid w:val="00025509"/>
    <w:rsid w:val="000257E7"/>
    <w:rsid w:val="00030588"/>
    <w:rsid w:val="0003425B"/>
    <w:rsid w:val="00034B41"/>
    <w:rsid w:val="00034E45"/>
    <w:rsid w:val="00035E2A"/>
    <w:rsid w:val="00037673"/>
    <w:rsid w:val="000433AB"/>
    <w:rsid w:val="00044EDD"/>
    <w:rsid w:val="000452A6"/>
    <w:rsid w:val="0004636D"/>
    <w:rsid w:val="00046974"/>
    <w:rsid w:val="00050F64"/>
    <w:rsid w:val="000513B2"/>
    <w:rsid w:val="00053D8A"/>
    <w:rsid w:val="00057D92"/>
    <w:rsid w:val="00060205"/>
    <w:rsid w:val="00060A32"/>
    <w:rsid w:val="00061389"/>
    <w:rsid w:val="00063C90"/>
    <w:rsid w:val="00065334"/>
    <w:rsid w:val="000655EB"/>
    <w:rsid w:val="00065C12"/>
    <w:rsid w:val="00067F6E"/>
    <w:rsid w:val="00070BAE"/>
    <w:rsid w:val="00070F05"/>
    <w:rsid w:val="000722A1"/>
    <w:rsid w:val="00073A46"/>
    <w:rsid w:val="00073A6F"/>
    <w:rsid w:val="00074C9B"/>
    <w:rsid w:val="00075C1B"/>
    <w:rsid w:val="00075E37"/>
    <w:rsid w:val="000766F0"/>
    <w:rsid w:val="0008023F"/>
    <w:rsid w:val="000805B2"/>
    <w:rsid w:val="00082434"/>
    <w:rsid w:val="00082E97"/>
    <w:rsid w:val="000852E8"/>
    <w:rsid w:val="00085585"/>
    <w:rsid w:val="00085E50"/>
    <w:rsid w:val="00086164"/>
    <w:rsid w:val="000863C3"/>
    <w:rsid w:val="0009065D"/>
    <w:rsid w:val="00090C8C"/>
    <w:rsid w:val="0009147A"/>
    <w:rsid w:val="00092F37"/>
    <w:rsid w:val="00093DA8"/>
    <w:rsid w:val="00097A76"/>
    <w:rsid w:val="000A0794"/>
    <w:rsid w:val="000A3437"/>
    <w:rsid w:val="000A4433"/>
    <w:rsid w:val="000A5A3A"/>
    <w:rsid w:val="000A5BCC"/>
    <w:rsid w:val="000A7400"/>
    <w:rsid w:val="000A7708"/>
    <w:rsid w:val="000B0232"/>
    <w:rsid w:val="000B13AB"/>
    <w:rsid w:val="000B146D"/>
    <w:rsid w:val="000B4054"/>
    <w:rsid w:val="000B56CF"/>
    <w:rsid w:val="000B5B55"/>
    <w:rsid w:val="000B6330"/>
    <w:rsid w:val="000B67EA"/>
    <w:rsid w:val="000B7FF7"/>
    <w:rsid w:val="000C0125"/>
    <w:rsid w:val="000C0807"/>
    <w:rsid w:val="000C0A7E"/>
    <w:rsid w:val="000C0D83"/>
    <w:rsid w:val="000D074E"/>
    <w:rsid w:val="000D32D5"/>
    <w:rsid w:val="000D424B"/>
    <w:rsid w:val="000D43E6"/>
    <w:rsid w:val="000D444F"/>
    <w:rsid w:val="000E0333"/>
    <w:rsid w:val="000E2E8A"/>
    <w:rsid w:val="000E4D81"/>
    <w:rsid w:val="000E595E"/>
    <w:rsid w:val="000E5C21"/>
    <w:rsid w:val="000F2F30"/>
    <w:rsid w:val="000F3368"/>
    <w:rsid w:val="000F7DB9"/>
    <w:rsid w:val="000F7EBB"/>
    <w:rsid w:val="000F7FEC"/>
    <w:rsid w:val="00100AE5"/>
    <w:rsid w:val="001020A5"/>
    <w:rsid w:val="00104CCC"/>
    <w:rsid w:val="00104FE3"/>
    <w:rsid w:val="00115A8C"/>
    <w:rsid w:val="00115D91"/>
    <w:rsid w:val="001204E2"/>
    <w:rsid w:val="001250BF"/>
    <w:rsid w:val="001260C2"/>
    <w:rsid w:val="0012722B"/>
    <w:rsid w:val="0012796E"/>
    <w:rsid w:val="00127B7F"/>
    <w:rsid w:val="00130995"/>
    <w:rsid w:val="001314F3"/>
    <w:rsid w:val="00132E41"/>
    <w:rsid w:val="001360A4"/>
    <w:rsid w:val="00136E47"/>
    <w:rsid w:val="00136FF9"/>
    <w:rsid w:val="00137BA1"/>
    <w:rsid w:val="0014049B"/>
    <w:rsid w:val="00141818"/>
    <w:rsid w:val="00143525"/>
    <w:rsid w:val="001436A7"/>
    <w:rsid w:val="00144611"/>
    <w:rsid w:val="00146C7D"/>
    <w:rsid w:val="0014787F"/>
    <w:rsid w:val="001525C8"/>
    <w:rsid w:val="00152D98"/>
    <w:rsid w:val="001564B4"/>
    <w:rsid w:val="00156521"/>
    <w:rsid w:val="00157B18"/>
    <w:rsid w:val="00160A0D"/>
    <w:rsid w:val="001644AA"/>
    <w:rsid w:val="00165C4D"/>
    <w:rsid w:val="00166BE1"/>
    <w:rsid w:val="00167D4C"/>
    <w:rsid w:val="00170044"/>
    <w:rsid w:val="001702D7"/>
    <w:rsid w:val="001707ED"/>
    <w:rsid w:val="00170B04"/>
    <w:rsid w:val="00172093"/>
    <w:rsid w:val="0017313D"/>
    <w:rsid w:val="001756DD"/>
    <w:rsid w:val="00175CFE"/>
    <w:rsid w:val="00176846"/>
    <w:rsid w:val="00176B79"/>
    <w:rsid w:val="001772C7"/>
    <w:rsid w:val="00177AE1"/>
    <w:rsid w:val="00180E63"/>
    <w:rsid w:val="00180EC6"/>
    <w:rsid w:val="001828D8"/>
    <w:rsid w:val="00182E7D"/>
    <w:rsid w:val="001840DC"/>
    <w:rsid w:val="00184C6E"/>
    <w:rsid w:val="00187AAD"/>
    <w:rsid w:val="00187D56"/>
    <w:rsid w:val="0019274E"/>
    <w:rsid w:val="00193384"/>
    <w:rsid w:val="001957F2"/>
    <w:rsid w:val="0019627A"/>
    <w:rsid w:val="00196925"/>
    <w:rsid w:val="00197485"/>
    <w:rsid w:val="001A157D"/>
    <w:rsid w:val="001A4314"/>
    <w:rsid w:val="001A4CB0"/>
    <w:rsid w:val="001A4F3D"/>
    <w:rsid w:val="001A64D6"/>
    <w:rsid w:val="001A676A"/>
    <w:rsid w:val="001A7274"/>
    <w:rsid w:val="001A76CD"/>
    <w:rsid w:val="001A7A00"/>
    <w:rsid w:val="001B0BC3"/>
    <w:rsid w:val="001B1559"/>
    <w:rsid w:val="001B1F57"/>
    <w:rsid w:val="001B3A25"/>
    <w:rsid w:val="001B40B6"/>
    <w:rsid w:val="001B53D0"/>
    <w:rsid w:val="001B7441"/>
    <w:rsid w:val="001B7D36"/>
    <w:rsid w:val="001C1650"/>
    <w:rsid w:val="001C18A5"/>
    <w:rsid w:val="001C3CE2"/>
    <w:rsid w:val="001C4DB2"/>
    <w:rsid w:val="001C54D5"/>
    <w:rsid w:val="001C557B"/>
    <w:rsid w:val="001C68A6"/>
    <w:rsid w:val="001C6E25"/>
    <w:rsid w:val="001D0D54"/>
    <w:rsid w:val="001D0D75"/>
    <w:rsid w:val="001D24B1"/>
    <w:rsid w:val="001D2D04"/>
    <w:rsid w:val="001D5233"/>
    <w:rsid w:val="001D65A4"/>
    <w:rsid w:val="001D75FA"/>
    <w:rsid w:val="001E521E"/>
    <w:rsid w:val="001E5458"/>
    <w:rsid w:val="001E61C0"/>
    <w:rsid w:val="001E77A7"/>
    <w:rsid w:val="001F0E53"/>
    <w:rsid w:val="001F0E62"/>
    <w:rsid w:val="001F1365"/>
    <w:rsid w:val="001F2EF3"/>
    <w:rsid w:val="001F353B"/>
    <w:rsid w:val="001F39C9"/>
    <w:rsid w:val="001F4CD3"/>
    <w:rsid w:val="001F4E51"/>
    <w:rsid w:val="001F5AA9"/>
    <w:rsid w:val="002017AF"/>
    <w:rsid w:val="00201F3E"/>
    <w:rsid w:val="00203160"/>
    <w:rsid w:val="00205AA6"/>
    <w:rsid w:val="0021017E"/>
    <w:rsid w:val="00212197"/>
    <w:rsid w:val="00212975"/>
    <w:rsid w:val="00213176"/>
    <w:rsid w:val="002140CE"/>
    <w:rsid w:val="00214C9D"/>
    <w:rsid w:val="0021513B"/>
    <w:rsid w:val="002178C9"/>
    <w:rsid w:val="0021796E"/>
    <w:rsid w:val="00226029"/>
    <w:rsid w:val="00226880"/>
    <w:rsid w:val="0022688E"/>
    <w:rsid w:val="00227199"/>
    <w:rsid w:val="002274D0"/>
    <w:rsid w:val="00227C78"/>
    <w:rsid w:val="00227D6B"/>
    <w:rsid w:val="00230F10"/>
    <w:rsid w:val="00231CB6"/>
    <w:rsid w:val="00232097"/>
    <w:rsid w:val="00233570"/>
    <w:rsid w:val="00233D7A"/>
    <w:rsid w:val="00234189"/>
    <w:rsid w:val="00234583"/>
    <w:rsid w:val="00234D37"/>
    <w:rsid w:val="00236C53"/>
    <w:rsid w:val="00237451"/>
    <w:rsid w:val="00237453"/>
    <w:rsid w:val="002409E6"/>
    <w:rsid w:val="00243468"/>
    <w:rsid w:val="0024348E"/>
    <w:rsid w:val="002449DE"/>
    <w:rsid w:val="00244F96"/>
    <w:rsid w:val="00245210"/>
    <w:rsid w:val="0024542D"/>
    <w:rsid w:val="0024630C"/>
    <w:rsid w:val="002505BE"/>
    <w:rsid w:val="00250D70"/>
    <w:rsid w:val="002515F6"/>
    <w:rsid w:val="00251DED"/>
    <w:rsid w:val="002545A4"/>
    <w:rsid w:val="00254E51"/>
    <w:rsid w:val="00257199"/>
    <w:rsid w:val="002600C7"/>
    <w:rsid w:val="00260CE2"/>
    <w:rsid w:val="0026287C"/>
    <w:rsid w:val="002628EB"/>
    <w:rsid w:val="0026347A"/>
    <w:rsid w:val="00263B78"/>
    <w:rsid w:val="0026578B"/>
    <w:rsid w:val="00265899"/>
    <w:rsid w:val="00266A89"/>
    <w:rsid w:val="00266B56"/>
    <w:rsid w:val="00266C05"/>
    <w:rsid w:val="002702DD"/>
    <w:rsid w:val="00272699"/>
    <w:rsid w:val="0027441E"/>
    <w:rsid w:val="0027483C"/>
    <w:rsid w:val="00274E9C"/>
    <w:rsid w:val="00281D52"/>
    <w:rsid w:val="002820D7"/>
    <w:rsid w:val="002857B8"/>
    <w:rsid w:val="00286E03"/>
    <w:rsid w:val="00287F57"/>
    <w:rsid w:val="00291B3A"/>
    <w:rsid w:val="00292656"/>
    <w:rsid w:val="00292C3C"/>
    <w:rsid w:val="00294AA6"/>
    <w:rsid w:val="00294D4C"/>
    <w:rsid w:val="00296270"/>
    <w:rsid w:val="00297DF9"/>
    <w:rsid w:val="002A14E4"/>
    <w:rsid w:val="002A1D2F"/>
    <w:rsid w:val="002A21F9"/>
    <w:rsid w:val="002A2305"/>
    <w:rsid w:val="002A452A"/>
    <w:rsid w:val="002A477C"/>
    <w:rsid w:val="002A4BB1"/>
    <w:rsid w:val="002A561C"/>
    <w:rsid w:val="002A6CE4"/>
    <w:rsid w:val="002A74F8"/>
    <w:rsid w:val="002B02EA"/>
    <w:rsid w:val="002B3053"/>
    <w:rsid w:val="002B33AD"/>
    <w:rsid w:val="002B3E15"/>
    <w:rsid w:val="002B5F72"/>
    <w:rsid w:val="002C018F"/>
    <w:rsid w:val="002C0F44"/>
    <w:rsid w:val="002C159E"/>
    <w:rsid w:val="002C16FF"/>
    <w:rsid w:val="002C1883"/>
    <w:rsid w:val="002C23D1"/>
    <w:rsid w:val="002C257C"/>
    <w:rsid w:val="002C3C6E"/>
    <w:rsid w:val="002C7822"/>
    <w:rsid w:val="002C79E4"/>
    <w:rsid w:val="002D468F"/>
    <w:rsid w:val="002D56BC"/>
    <w:rsid w:val="002D5DED"/>
    <w:rsid w:val="002D657C"/>
    <w:rsid w:val="002D6D60"/>
    <w:rsid w:val="002D6E19"/>
    <w:rsid w:val="002D7A0A"/>
    <w:rsid w:val="002E000E"/>
    <w:rsid w:val="002E1AC2"/>
    <w:rsid w:val="002E2CDD"/>
    <w:rsid w:val="002E499B"/>
    <w:rsid w:val="002E613A"/>
    <w:rsid w:val="002E7256"/>
    <w:rsid w:val="002E7F6A"/>
    <w:rsid w:val="002F056E"/>
    <w:rsid w:val="002F36D2"/>
    <w:rsid w:val="002F3C1A"/>
    <w:rsid w:val="002F3E97"/>
    <w:rsid w:val="002F489A"/>
    <w:rsid w:val="003000CD"/>
    <w:rsid w:val="003023FD"/>
    <w:rsid w:val="0030414F"/>
    <w:rsid w:val="00305213"/>
    <w:rsid w:val="0031131B"/>
    <w:rsid w:val="00312B95"/>
    <w:rsid w:val="00312E50"/>
    <w:rsid w:val="003147DD"/>
    <w:rsid w:val="00315D84"/>
    <w:rsid w:val="00321C81"/>
    <w:rsid w:val="003225AB"/>
    <w:rsid w:val="0032341D"/>
    <w:rsid w:val="00323965"/>
    <w:rsid w:val="00327CCA"/>
    <w:rsid w:val="00330A76"/>
    <w:rsid w:val="00330D74"/>
    <w:rsid w:val="00330F04"/>
    <w:rsid w:val="00332945"/>
    <w:rsid w:val="00333127"/>
    <w:rsid w:val="003360B5"/>
    <w:rsid w:val="003368B5"/>
    <w:rsid w:val="003369D5"/>
    <w:rsid w:val="00336FAC"/>
    <w:rsid w:val="00337AAE"/>
    <w:rsid w:val="003405D1"/>
    <w:rsid w:val="00343DDB"/>
    <w:rsid w:val="00344C6C"/>
    <w:rsid w:val="00345C2F"/>
    <w:rsid w:val="00345E01"/>
    <w:rsid w:val="00347D10"/>
    <w:rsid w:val="00347E04"/>
    <w:rsid w:val="00351D48"/>
    <w:rsid w:val="003522B0"/>
    <w:rsid w:val="003527B9"/>
    <w:rsid w:val="00352A66"/>
    <w:rsid w:val="00352BDF"/>
    <w:rsid w:val="003557A9"/>
    <w:rsid w:val="0035655A"/>
    <w:rsid w:val="0035732F"/>
    <w:rsid w:val="00357879"/>
    <w:rsid w:val="00357A0B"/>
    <w:rsid w:val="0036152B"/>
    <w:rsid w:val="00362300"/>
    <w:rsid w:val="003627A2"/>
    <w:rsid w:val="00362945"/>
    <w:rsid w:val="00363DA6"/>
    <w:rsid w:val="003643A3"/>
    <w:rsid w:val="00364555"/>
    <w:rsid w:val="0036478F"/>
    <w:rsid w:val="0036493C"/>
    <w:rsid w:val="00365BED"/>
    <w:rsid w:val="00365ECE"/>
    <w:rsid w:val="00366135"/>
    <w:rsid w:val="00366B41"/>
    <w:rsid w:val="0037000D"/>
    <w:rsid w:val="003716C6"/>
    <w:rsid w:val="00371D7D"/>
    <w:rsid w:val="00372C90"/>
    <w:rsid w:val="00373509"/>
    <w:rsid w:val="00373B43"/>
    <w:rsid w:val="003756B4"/>
    <w:rsid w:val="00377049"/>
    <w:rsid w:val="003813B0"/>
    <w:rsid w:val="00381894"/>
    <w:rsid w:val="00382D95"/>
    <w:rsid w:val="0038475E"/>
    <w:rsid w:val="003852FD"/>
    <w:rsid w:val="00385E3C"/>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3C90"/>
    <w:rsid w:val="003B5B3A"/>
    <w:rsid w:val="003B669E"/>
    <w:rsid w:val="003C2E97"/>
    <w:rsid w:val="003C4DCD"/>
    <w:rsid w:val="003D277A"/>
    <w:rsid w:val="003D3401"/>
    <w:rsid w:val="003D41D9"/>
    <w:rsid w:val="003D7C66"/>
    <w:rsid w:val="003E15BE"/>
    <w:rsid w:val="003E4703"/>
    <w:rsid w:val="003E4E42"/>
    <w:rsid w:val="003E6A24"/>
    <w:rsid w:val="003E74A4"/>
    <w:rsid w:val="003F05C5"/>
    <w:rsid w:val="003F0648"/>
    <w:rsid w:val="003F159A"/>
    <w:rsid w:val="003F23B0"/>
    <w:rsid w:val="003F291D"/>
    <w:rsid w:val="003F348E"/>
    <w:rsid w:val="003F4406"/>
    <w:rsid w:val="003F6535"/>
    <w:rsid w:val="003F7DFD"/>
    <w:rsid w:val="00400F4A"/>
    <w:rsid w:val="004031A5"/>
    <w:rsid w:val="00403EC1"/>
    <w:rsid w:val="00404981"/>
    <w:rsid w:val="00404EA8"/>
    <w:rsid w:val="004069E3"/>
    <w:rsid w:val="00407CFC"/>
    <w:rsid w:val="00410D4E"/>
    <w:rsid w:val="00411191"/>
    <w:rsid w:val="00412989"/>
    <w:rsid w:val="004131F2"/>
    <w:rsid w:val="00413604"/>
    <w:rsid w:val="00414418"/>
    <w:rsid w:val="004146C9"/>
    <w:rsid w:val="00416765"/>
    <w:rsid w:val="00420072"/>
    <w:rsid w:val="0042038A"/>
    <w:rsid w:val="00421F32"/>
    <w:rsid w:val="00422524"/>
    <w:rsid w:val="00422662"/>
    <w:rsid w:val="004229B0"/>
    <w:rsid w:val="00425388"/>
    <w:rsid w:val="00427D51"/>
    <w:rsid w:val="00427DB3"/>
    <w:rsid w:val="0043018B"/>
    <w:rsid w:val="004336CF"/>
    <w:rsid w:val="00433FEB"/>
    <w:rsid w:val="00435399"/>
    <w:rsid w:val="0043622D"/>
    <w:rsid w:val="00442BE6"/>
    <w:rsid w:val="004435D2"/>
    <w:rsid w:val="0044452B"/>
    <w:rsid w:val="00445908"/>
    <w:rsid w:val="00446BFE"/>
    <w:rsid w:val="00447F42"/>
    <w:rsid w:val="0045116A"/>
    <w:rsid w:val="00451B00"/>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162"/>
    <w:rsid w:val="004732C0"/>
    <w:rsid w:val="00474394"/>
    <w:rsid w:val="004744D3"/>
    <w:rsid w:val="00475EFF"/>
    <w:rsid w:val="0047786B"/>
    <w:rsid w:val="00481800"/>
    <w:rsid w:val="004822A1"/>
    <w:rsid w:val="00482EF4"/>
    <w:rsid w:val="00483251"/>
    <w:rsid w:val="00483DD5"/>
    <w:rsid w:val="004845F1"/>
    <w:rsid w:val="00484BC2"/>
    <w:rsid w:val="00486E8C"/>
    <w:rsid w:val="004872E3"/>
    <w:rsid w:val="00487630"/>
    <w:rsid w:val="004900C1"/>
    <w:rsid w:val="00490743"/>
    <w:rsid w:val="00491178"/>
    <w:rsid w:val="00491B81"/>
    <w:rsid w:val="00491C68"/>
    <w:rsid w:val="00492FC4"/>
    <w:rsid w:val="00493041"/>
    <w:rsid w:val="00494CD3"/>
    <w:rsid w:val="00494FB3"/>
    <w:rsid w:val="00495EF4"/>
    <w:rsid w:val="00496DF9"/>
    <w:rsid w:val="00497240"/>
    <w:rsid w:val="004A0151"/>
    <w:rsid w:val="004A154E"/>
    <w:rsid w:val="004A2EFC"/>
    <w:rsid w:val="004A472E"/>
    <w:rsid w:val="004B0361"/>
    <w:rsid w:val="004B0969"/>
    <w:rsid w:val="004B3904"/>
    <w:rsid w:val="004B7492"/>
    <w:rsid w:val="004B7C61"/>
    <w:rsid w:val="004C0E63"/>
    <w:rsid w:val="004C3315"/>
    <w:rsid w:val="004C3546"/>
    <w:rsid w:val="004C3568"/>
    <w:rsid w:val="004C4638"/>
    <w:rsid w:val="004C60B8"/>
    <w:rsid w:val="004C6CF9"/>
    <w:rsid w:val="004D18D0"/>
    <w:rsid w:val="004D4BB6"/>
    <w:rsid w:val="004D5771"/>
    <w:rsid w:val="004D79AD"/>
    <w:rsid w:val="004D7BEF"/>
    <w:rsid w:val="004E3902"/>
    <w:rsid w:val="004E493E"/>
    <w:rsid w:val="004E63CC"/>
    <w:rsid w:val="004F004C"/>
    <w:rsid w:val="004F096E"/>
    <w:rsid w:val="004F0BE2"/>
    <w:rsid w:val="004F256B"/>
    <w:rsid w:val="004F75A1"/>
    <w:rsid w:val="004F79BD"/>
    <w:rsid w:val="00502E98"/>
    <w:rsid w:val="005031B6"/>
    <w:rsid w:val="00506BC4"/>
    <w:rsid w:val="00506EC3"/>
    <w:rsid w:val="00507A63"/>
    <w:rsid w:val="00507D05"/>
    <w:rsid w:val="00513602"/>
    <w:rsid w:val="005157A6"/>
    <w:rsid w:val="0051788E"/>
    <w:rsid w:val="00523B02"/>
    <w:rsid w:val="00524C61"/>
    <w:rsid w:val="00531479"/>
    <w:rsid w:val="005343DE"/>
    <w:rsid w:val="005348EF"/>
    <w:rsid w:val="005351E9"/>
    <w:rsid w:val="005353FE"/>
    <w:rsid w:val="005363D4"/>
    <w:rsid w:val="005374AC"/>
    <w:rsid w:val="00543FE3"/>
    <w:rsid w:val="00545090"/>
    <w:rsid w:val="00547DB8"/>
    <w:rsid w:val="005510FE"/>
    <w:rsid w:val="00552E44"/>
    <w:rsid w:val="005559CA"/>
    <w:rsid w:val="00556B35"/>
    <w:rsid w:val="00561EE2"/>
    <w:rsid w:val="005631AD"/>
    <w:rsid w:val="005639EA"/>
    <w:rsid w:val="00565247"/>
    <w:rsid w:val="005667D5"/>
    <w:rsid w:val="005722A1"/>
    <w:rsid w:val="00572319"/>
    <w:rsid w:val="00572841"/>
    <w:rsid w:val="00574E09"/>
    <w:rsid w:val="00574F61"/>
    <w:rsid w:val="00575350"/>
    <w:rsid w:val="00580DC4"/>
    <w:rsid w:val="005815DE"/>
    <w:rsid w:val="00582C90"/>
    <w:rsid w:val="00584D8A"/>
    <w:rsid w:val="00585433"/>
    <w:rsid w:val="005879C7"/>
    <w:rsid w:val="005900F7"/>
    <w:rsid w:val="005910A3"/>
    <w:rsid w:val="0059169A"/>
    <w:rsid w:val="00591DD6"/>
    <w:rsid w:val="005925E4"/>
    <w:rsid w:val="00592A83"/>
    <w:rsid w:val="00593B07"/>
    <w:rsid w:val="00593E3E"/>
    <w:rsid w:val="005942EA"/>
    <w:rsid w:val="005943A7"/>
    <w:rsid w:val="00596832"/>
    <w:rsid w:val="00597CC5"/>
    <w:rsid w:val="005A1052"/>
    <w:rsid w:val="005A26AC"/>
    <w:rsid w:val="005A341D"/>
    <w:rsid w:val="005A3621"/>
    <w:rsid w:val="005A3FE0"/>
    <w:rsid w:val="005A3FF6"/>
    <w:rsid w:val="005B1DF4"/>
    <w:rsid w:val="005B2981"/>
    <w:rsid w:val="005B507A"/>
    <w:rsid w:val="005B7254"/>
    <w:rsid w:val="005B7710"/>
    <w:rsid w:val="005C206D"/>
    <w:rsid w:val="005C2C17"/>
    <w:rsid w:val="005C349D"/>
    <w:rsid w:val="005C4005"/>
    <w:rsid w:val="005C4BD3"/>
    <w:rsid w:val="005C6FD6"/>
    <w:rsid w:val="005D0AF9"/>
    <w:rsid w:val="005D17A1"/>
    <w:rsid w:val="005D1E18"/>
    <w:rsid w:val="005D244B"/>
    <w:rsid w:val="005D2B37"/>
    <w:rsid w:val="005D4715"/>
    <w:rsid w:val="005E0A0B"/>
    <w:rsid w:val="005E1812"/>
    <w:rsid w:val="005E1AF2"/>
    <w:rsid w:val="005E1D7A"/>
    <w:rsid w:val="005E2411"/>
    <w:rsid w:val="005E344F"/>
    <w:rsid w:val="005E3CEF"/>
    <w:rsid w:val="005E51D2"/>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1D16"/>
    <w:rsid w:val="006135B5"/>
    <w:rsid w:val="00614A27"/>
    <w:rsid w:val="00615247"/>
    <w:rsid w:val="006155FC"/>
    <w:rsid w:val="00615695"/>
    <w:rsid w:val="006169B1"/>
    <w:rsid w:val="00616EA9"/>
    <w:rsid w:val="006203BD"/>
    <w:rsid w:val="0062059B"/>
    <w:rsid w:val="00624C5C"/>
    <w:rsid w:val="006271FC"/>
    <w:rsid w:val="00627E76"/>
    <w:rsid w:val="006323A6"/>
    <w:rsid w:val="00632B1F"/>
    <w:rsid w:val="00635A99"/>
    <w:rsid w:val="00636A86"/>
    <w:rsid w:val="00641FF2"/>
    <w:rsid w:val="00644665"/>
    <w:rsid w:val="00645987"/>
    <w:rsid w:val="0065046E"/>
    <w:rsid w:val="006504EE"/>
    <w:rsid w:val="00650B00"/>
    <w:rsid w:val="00651997"/>
    <w:rsid w:val="0065259E"/>
    <w:rsid w:val="0065282A"/>
    <w:rsid w:val="006536A9"/>
    <w:rsid w:val="00654413"/>
    <w:rsid w:val="00657C61"/>
    <w:rsid w:val="00657CB6"/>
    <w:rsid w:val="00657E00"/>
    <w:rsid w:val="006625B4"/>
    <w:rsid w:val="006640FE"/>
    <w:rsid w:val="00665711"/>
    <w:rsid w:val="00671255"/>
    <w:rsid w:val="00671A3F"/>
    <w:rsid w:val="00672BEE"/>
    <w:rsid w:val="00673548"/>
    <w:rsid w:val="00673F46"/>
    <w:rsid w:val="0067448D"/>
    <w:rsid w:val="006762E5"/>
    <w:rsid w:val="006764C8"/>
    <w:rsid w:val="006777A0"/>
    <w:rsid w:val="00681327"/>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A7735"/>
    <w:rsid w:val="006B0F14"/>
    <w:rsid w:val="006B4594"/>
    <w:rsid w:val="006B7C24"/>
    <w:rsid w:val="006B7CF9"/>
    <w:rsid w:val="006C0139"/>
    <w:rsid w:val="006C111C"/>
    <w:rsid w:val="006C1AEE"/>
    <w:rsid w:val="006C27E2"/>
    <w:rsid w:val="006C3927"/>
    <w:rsid w:val="006C51F7"/>
    <w:rsid w:val="006C6761"/>
    <w:rsid w:val="006D0368"/>
    <w:rsid w:val="006D2333"/>
    <w:rsid w:val="006D3DBE"/>
    <w:rsid w:val="006D4317"/>
    <w:rsid w:val="006D4897"/>
    <w:rsid w:val="006D571E"/>
    <w:rsid w:val="006D6CC7"/>
    <w:rsid w:val="006D7C85"/>
    <w:rsid w:val="006E1CA2"/>
    <w:rsid w:val="006E1D44"/>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31E2"/>
    <w:rsid w:val="00711B43"/>
    <w:rsid w:val="0071212B"/>
    <w:rsid w:val="007122CC"/>
    <w:rsid w:val="00716799"/>
    <w:rsid w:val="00722893"/>
    <w:rsid w:val="0072480C"/>
    <w:rsid w:val="00726E53"/>
    <w:rsid w:val="0073163E"/>
    <w:rsid w:val="007339FC"/>
    <w:rsid w:val="0073548A"/>
    <w:rsid w:val="007375CF"/>
    <w:rsid w:val="00737F14"/>
    <w:rsid w:val="00740BD4"/>
    <w:rsid w:val="00740EFF"/>
    <w:rsid w:val="00742F5B"/>
    <w:rsid w:val="0074328B"/>
    <w:rsid w:val="00747FFD"/>
    <w:rsid w:val="007500A2"/>
    <w:rsid w:val="00751A18"/>
    <w:rsid w:val="0075426C"/>
    <w:rsid w:val="007547BA"/>
    <w:rsid w:val="00754B6C"/>
    <w:rsid w:val="007609DE"/>
    <w:rsid w:val="00760D7B"/>
    <w:rsid w:val="00762176"/>
    <w:rsid w:val="00764B16"/>
    <w:rsid w:val="0076664B"/>
    <w:rsid w:val="00771A8A"/>
    <w:rsid w:val="00773ADD"/>
    <w:rsid w:val="00774DC8"/>
    <w:rsid w:val="00774FA0"/>
    <w:rsid w:val="00776706"/>
    <w:rsid w:val="00777A11"/>
    <w:rsid w:val="0078013B"/>
    <w:rsid w:val="00780E9B"/>
    <w:rsid w:val="00782795"/>
    <w:rsid w:val="00784027"/>
    <w:rsid w:val="0078428F"/>
    <w:rsid w:val="007848F3"/>
    <w:rsid w:val="00784C7B"/>
    <w:rsid w:val="0078618B"/>
    <w:rsid w:val="007864C1"/>
    <w:rsid w:val="00786718"/>
    <w:rsid w:val="00787512"/>
    <w:rsid w:val="007920CA"/>
    <w:rsid w:val="00792FA6"/>
    <w:rsid w:val="00794312"/>
    <w:rsid w:val="00794D95"/>
    <w:rsid w:val="0079518B"/>
    <w:rsid w:val="00797D46"/>
    <w:rsid w:val="007A01CC"/>
    <w:rsid w:val="007A0524"/>
    <w:rsid w:val="007A17CF"/>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2BA3"/>
    <w:rsid w:val="007C3820"/>
    <w:rsid w:val="007C6117"/>
    <w:rsid w:val="007D1A32"/>
    <w:rsid w:val="007D3FA4"/>
    <w:rsid w:val="007D4360"/>
    <w:rsid w:val="007D620F"/>
    <w:rsid w:val="007D6CE0"/>
    <w:rsid w:val="007E10C9"/>
    <w:rsid w:val="007E14BD"/>
    <w:rsid w:val="007E31EA"/>
    <w:rsid w:val="007E3B25"/>
    <w:rsid w:val="007E3B7D"/>
    <w:rsid w:val="007E401A"/>
    <w:rsid w:val="007E5A22"/>
    <w:rsid w:val="007E7710"/>
    <w:rsid w:val="007F16F5"/>
    <w:rsid w:val="007F2008"/>
    <w:rsid w:val="007F204A"/>
    <w:rsid w:val="007F22AC"/>
    <w:rsid w:val="007F42E3"/>
    <w:rsid w:val="007F4388"/>
    <w:rsid w:val="007F4788"/>
    <w:rsid w:val="007F4E0A"/>
    <w:rsid w:val="007F618A"/>
    <w:rsid w:val="00801432"/>
    <w:rsid w:val="00802290"/>
    <w:rsid w:val="00803305"/>
    <w:rsid w:val="0080375B"/>
    <w:rsid w:val="00804F53"/>
    <w:rsid w:val="00806C96"/>
    <w:rsid w:val="0081042F"/>
    <w:rsid w:val="00810EFD"/>
    <w:rsid w:val="008120AF"/>
    <w:rsid w:val="008125B6"/>
    <w:rsid w:val="00812625"/>
    <w:rsid w:val="00817C8F"/>
    <w:rsid w:val="00820982"/>
    <w:rsid w:val="0082170D"/>
    <w:rsid w:val="0082187A"/>
    <w:rsid w:val="00822223"/>
    <w:rsid w:val="00822802"/>
    <w:rsid w:val="00825521"/>
    <w:rsid w:val="00830B08"/>
    <w:rsid w:val="00831989"/>
    <w:rsid w:val="00831EBD"/>
    <w:rsid w:val="00834949"/>
    <w:rsid w:val="00836BE4"/>
    <w:rsid w:val="008378B4"/>
    <w:rsid w:val="00840A1A"/>
    <w:rsid w:val="00840D02"/>
    <w:rsid w:val="008431E0"/>
    <w:rsid w:val="008434C8"/>
    <w:rsid w:val="00844665"/>
    <w:rsid w:val="00845E4B"/>
    <w:rsid w:val="00846735"/>
    <w:rsid w:val="00846E42"/>
    <w:rsid w:val="00850601"/>
    <w:rsid w:val="00852698"/>
    <w:rsid w:val="00852948"/>
    <w:rsid w:val="00853065"/>
    <w:rsid w:val="00853F03"/>
    <w:rsid w:val="00854598"/>
    <w:rsid w:val="00856BDC"/>
    <w:rsid w:val="00861C4F"/>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44E3"/>
    <w:rsid w:val="00885A80"/>
    <w:rsid w:val="00887818"/>
    <w:rsid w:val="00892A5D"/>
    <w:rsid w:val="00893260"/>
    <w:rsid w:val="008952E6"/>
    <w:rsid w:val="0089533A"/>
    <w:rsid w:val="008A063A"/>
    <w:rsid w:val="008A0B76"/>
    <w:rsid w:val="008A146D"/>
    <w:rsid w:val="008A1C94"/>
    <w:rsid w:val="008A37E3"/>
    <w:rsid w:val="008A5294"/>
    <w:rsid w:val="008A5E26"/>
    <w:rsid w:val="008A6398"/>
    <w:rsid w:val="008A73CB"/>
    <w:rsid w:val="008A760D"/>
    <w:rsid w:val="008A7FE6"/>
    <w:rsid w:val="008B02D1"/>
    <w:rsid w:val="008B1A8D"/>
    <w:rsid w:val="008B1C28"/>
    <w:rsid w:val="008B31F8"/>
    <w:rsid w:val="008B72AD"/>
    <w:rsid w:val="008B7A52"/>
    <w:rsid w:val="008B7F12"/>
    <w:rsid w:val="008C00EC"/>
    <w:rsid w:val="008C02CF"/>
    <w:rsid w:val="008C0773"/>
    <w:rsid w:val="008C0CE5"/>
    <w:rsid w:val="008C1F78"/>
    <w:rsid w:val="008C5ABC"/>
    <w:rsid w:val="008C5C88"/>
    <w:rsid w:val="008D095A"/>
    <w:rsid w:val="008D3D3E"/>
    <w:rsid w:val="008D5735"/>
    <w:rsid w:val="008D6B99"/>
    <w:rsid w:val="008D6EAE"/>
    <w:rsid w:val="008D75EB"/>
    <w:rsid w:val="008E0A3D"/>
    <w:rsid w:val="008E0A75"/>
    <w:rsid w:val="008E0EAF"/>
    <w:rsid w:val="008E1805"/>
    <w:rsid w:val="008E6453"/>
    <w:rsid w:val="008F10B3"/>
    <w:rsid w:val="009027ED"/>
    <w:rsid w:val="0090525F"/>
    <w:rsid w:val="00905DCA"/>
    <w:rsid w:val="0090618D"/>
    <w:rsid w:val="00915690"/>
    <w:rsid w:val="00915ED8"/>
    <w:rsid w:val="00917927"/>
    <w:rsid w:val="00920B05"/>
    <w:rsid w:val="00921211"/>
    <w:rsid w:val="00924453"/>
    <w:rsid w:val="009254FA"/>
    <w:rsid w:val="009306F2"/>
    <w:rsid w:val="0093186D"/>
    <w:rsid w:val="00932593"/>
    <w:rsid w:val="00932EB4"/>
    <w:rsid w:val="009340B2"/>
    <w:rsid w:val="00934A6E"/>
    <w:rsid w:val="009363C4"/>
    <w:rsid w:val="00936BC3"/>
    <w:rsid w:val="009374CE"/>
    <w:rsid w:val="00940671"/>
    <w:rsid w:val="00940ECD"/>
    <w:rsid w:val="00941A6A"/>
    <w:rsid w:val="00941C25"/>
    <w:rsid w:val="00941FA0"/>
    <w:rsid w:val="0094415E"/>
    <w:rsid w:val="0094416B"/>
    <w:rsid w:val="009461A6"/>
    <w:rsid w:val="00946625"/>
    <w:rsid w:val="00951733"/>
    <w:rsid w:val="009519FC"/>
    <w:rsid w:val="00952317"/>
    <w:rsid w:val="00953A8D"/>
    <w:rsid w:val="0095561A"/>
    <w:rsid w:val="0095692A"/>
    <w:rsid w:val="00956962"/>
    <w:rsid w:val="00957D8E"/>
    <w:rsid w:val="0096040D"/>
    <w:rsid w:val="009606C6"/>
    <w:rsid w:val="00960AA9"/>
    <w:rsid w:val="00960D9D"/>
    <w:rsid w:val="009622C7"/>
    <w:rsid w:val="009663D4"/>
    <w:rsid w:val="009663DE"/>
    <w:rsid w:val="00966472"/>
    <w:rsid w:val="009700BC"/>
    <w:rsid w:val="0097190C"/>
    <w:rsid w:val="00975464"/>
    <w:rsid w:val="009765DD"/>
    <w:rsid w:val="009775E7"/>
    <w:rsid w:val="0098097B"/>
    <w:rsid w:val="00981906"/>
    <w:rsid w:val="00982E10"/>
    <w:rsid w:val="00984E65"/>
    <w:rsid w:val="00985129"/>
    <w:rsid w:val="00985BC6"/>
    <w:rsid w:val="00990CCF"/>
    <w:rsid w:val="009918D7"/>
    <w:rsid w:val="009919C7"/>
    <w:rsid w:val="009932CC"/>
    <w:rsid w:val="0099432E"/>
    <w:rsid w:val="0099453D"/>
    <w:rsid w:val="009950AF"/>
    <w:rsid w:val="009951C5"/>
    <w:rsid w:val="00996D23"/>
    <w:rsid w:val="00997A92"/>
    <w:rsid w:val="009A0A11"/>
    <w:rsid w:val="009A1504"/>
    <w:rsid w:val="009A1864"/>
    <w:rsid w:val="009A1C69"/>
    <w:rsid w:val="009A1D32"/>
    <w:rsid w:val="009A28D5"/>
    <w:rsid w:val="009A3393"/>
    <w:rsid w:val="009A35CA"/>
    <w:rsid w:val="009A4117"/>
    <w:rsid w:val="009A43A3"/>
    <w:rsid w:val="009A70C3"/>
    <w:rsid w:val="009A7A34"/>
    <w:rsid w:val="009A7BCF"/>
    <w:rsid w:val="009B0288"/>
    <w:rsid w:val="009B0552"/>
    <w:rsid w:val="009B077D"/>
    <w:rsid w:val="009B2D79"/>
    <w:rsid w:val="009B2DAD"/>
    <w:rsid w:val="009B2FD9"/>
    <w:rsid w:val="009B5599"/>
    <w:rsid w:val="009C0FD7"/>
    <w:rsid w:val="009C13B3"/>
    <w:rsid w:val="009C3C8C"/>
    <w:rsid w:val="009C3D78"/>
    <w:rsid w:val="009C4C54"/>
    <w:rsid w:val="009C4FD2"/>
    <w:rsid w:val="009C7161"/>
    <w:rsid w:val="009C76C1"/>
    <w:rsid w:val="009D05EC"/>
    <w:rsid w:val="009D3AF6"/>
    <w:rsid w:val="009D4019"/>
    <w:rsid w:val="009E014A"/>
    <w:rsid w:val="009E11BA"/>
    <w:rsid w:val="009E141B"/>
    <w:rsid w:val="009E2D6C"/>
    <w:rsid w:val="009E45AB"/>
    <w:rsid w:val="009E660D"/>
    <w:rsid w:val="009E7532"/>
    <w:rsid w:val="009F50D8"/>
    <w:rsid w:val="009F7DF3"/>
    <w:rsid w:val="009F7E80"/>
    <w:rsid w:val="00A03535"/>
    <w:rsid w:val="00A045A2"/>
    <w:rsid w:val="00A04B6D"/>
    <w:rsid w:val="00A065FE"/>
    <w:rsid w:val="00A06DD7"/>
    <w:rsid w:val="00A12BCC"/>
    <w:rsid w:val="00A14318"/>
    <w:rsid w:val="00A14F4E"/>
    <w:rsid w:val="00A167FB"/>
    <w:rsid w:val="00A20105"/>
    <w:rsid w:val="00A20E1D"/>
    <w:rsid w:val="00A2261B"/>
    <w:rsid w:val="00A22A56"/>
    <w:rsid w:val="00A22C52"/>
    <w:rsid w:val="00A239FF"/>
    <w:rsid w:val="00A241E3"/>
    <w:rsid w:val="00A25162"/>
    <w:rsid w:val="00A32095"/>
    <w:rsid w:val="00A32E70"/>
    <w:rsid w:val="00A33624"/>
    <w:rsid w:val="00A33E33"/>
    <w:rsid w:val="00A34D08"/>
    <w:rsid w:val="00A34D7D"/>
    <w:rsid w:val="00A35369"/>
    <w:rsid w:val="00A43557"/>
    <w:rsid w:val="00A44D85"/>
    <w:rsid w:val="00A45025"/>
    <w:rsid w:val="00A45844"/>
    <w:rsid w:val="00A51077"/>
    <w:rsid w:val="00A5433B"/>
    <w:rsid w:val="00A54C60"/>
    <w:rsid w:val="00A54E1A"/>
    <w:rsid w:val="00A56A48"/>
    <w:rsid w:val="00A576C1"/>
    <w:rsid w:val="00A60B48"/>
    <w:rsid w:val="00A60F9C"/>
    <w:rsid w:val="00A614D0"/>
    <w:rsid w:val="00A62BFB"/>
    <w:rsid w:val="00A65FDE"/>
    <w:rsid w:val="00A6602B"/>
    <w:rsid w:val="00A67397"/>
    <w:rsid w:val="00A71943"/>
    <w:rsid w:val="00A730EF"/>
    <w:rsid w:val="00A7361D"/>
    <w:rsid w:val="00A7456C"/>
    <w:rsid w:val="00A75588"/>
    <w:rsid w:val="00A76477"/>
    <w:rsid w:val="00A772B5"/>
    <w:rsid w:val="00A778FF"/>
    <w:rsid w:val="00A77D5D"/>
    <w:rsid w:val="00A82118"/>
    <w:rsid w:val="00A82EA9"/>
    <w:rsid w:val="00A84BBB"/>
    <w:rsid w:val="00A87BD4"/>
    <w:rsid w:val="00A90A02"/>
    <w:rsid w:val="00A91126"/>
    <w:rsid w:val="00A91E7F"/>
    <w:rsid w:val="00A95C14"/>
    <w:rsid w:val="00A95FAA"/>
    <w:rsid w:val="00A97BA6"/>
    <w:rsid w:val="00AA0797"/>
    <w:rsid w:val="00AA2431"/>
    <w:rsid w:val="00AA3C89"/>
    <w:rsid w:val="00AA4BFF"/>
    <w:rsid w:val="00AB0069"/>
    <w:rsid w:val="00AB18A3"/>
    <w:rsid w:val="00AB24E1"/>
    <w:rsid w:val="00AB2AB3"/>
    <w:rsid w:val="00AB3D71"/>
    <w:rsid w:val="00AB6EAC"/>
    <w:rsid w:val="00AC67A5"/>
    <w:rsid w:val="00AD0EF9"/>
    <w:rsid w:val="00AD18FE"/>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AEB"/>
    <w:rsid w:val="00AF5A5E"/>
    <w:rsid w:val="00AF7241"/>
    <w:rsid w:val="00B007E9"/>
    <w:rsid w:val="00B0153A"/>
    <w:rsid w:val="00B03CE1"/>
    <w:rsid w:val="00B03E45"/>
    <w:rsid w:val="00B045F0"/>
    <w:rsid w:val="00B04889"/>
    <w:rsid w:val="00B04DC4"/>
    <w:rsid w:val="00B06013"/>
    <w:rsid w:val="00B06CAC"/>
    <w:rsid w:val="00B07020"/>
    <w:rsid w:val="00B07049"/>
    <w:rsid w:val="00B12711"/>
    <w:rsid w:val="00B1380A"/>
    <w:rsid w:val="00B13902"/>
    <w:rsid w:val="00B13FA7"/>
    <w:rsid w:val="00B14244"/>
    <w:rsid w:val="00B1506B"/>
    <w:rsid w:val="00B20135"/>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3F2"/>
    <w:rsid w:val="00B462E6"/>
    <w:rsid w:val="00B46EBD"/>
    <w:rsid w:val="00B51489"/>
    <w:rsid w:val="00B5163B"/>
    <w:rsid w:val="00B51651"/>
    <w:rsid w:val="00B52506"/>
    <w:rsid w:val="00B546BF"/>
    <w:rsid w:val="00B562C4"/>
    <w:rsid w:val="00B571D5"/>
    <w:rsid w:val="00B57273"/>
    <w:rsid w:val="00B6012E"/>
    <w:rsid w:val="00B61C6C"/>
    <w:rsid w:val="00B621E5"/>
    <w:rsid w:val="00B622E7"/>
    <w:rsid w:val="00B62C96"/>
    <w:rsid w:val="00B6380C"/>
    <w:rsid w:val="00B63ABF"/>
    <w:rsid w:val="00B641A3"/>
    <w:rsid w:val="00B6545B"/>
    <w:rsid w:val="00B6556C"/>
    <w:rsid w:val="00B65DBC"/>
    <w:rsid w:val="00B6734D"/>
    <w:rsid w:val="00B72B76"/>
    <w:rsid w:val="00B72F4B"/>
    <w:rsid w:val="00B73DAC"/>
    <w:rsid w:val="00B7597A"/>
    <w:rsid w:val="00B75E8C"/>
    <w:rsid w:val="00B7603F"/>
    <w:rsid w:val="00B77EF4"/>
    <w:rsid w:val="00B77FB4"/>
    <w:rsid w:val="00B815E2"/>
    <w:rsid w:val="00B827D1"/>
    <w:rsid w:val="00B84294"/>
    <w:rsid w:val="00B84A71"/>
    <w:rsid w:val="00B871A9"/>
    <w:rsid w:val="00B87B22"/>
    <w:rsid w:val="00B906FF"/>
    <w:rsid w:val="00B9211C"/>
    <w:rsid w:val="00B925F8"/>
    <w:rsid w:val="00B92EEC"/>
    <w:rsid w:val="00B93515"/>
    <w:rsid w:val="00B936FE"/>
    <w:rsid w:val="00B950A5"/>
    <w:rsid w:val="00B97541"/>
    <w:rsid w:val="00BA1CA0"/>
    <w:rsid w:val="00BA38F1"/>
    <w:rsid w:val="00BA455A"/>
    <w:rsid w:val="00BA5528"/>
    <w:rsid w:val="00BA688E"/>
    <w:rsid w:val="00BB0742"/>
    <w:rsid w:val="00BB3DC5"/>
    <w:rsid w:val="00BB584E"/>
    <w:rsid w:val="00BB6818"/>
    <w:rsid w:val="00BC013C"/>
    <w:rsid w:val="00BC0541"/>
    <w:rsid w:val="00BC0C96"/>
    <w:rsid w:val="00BC328D"/>
    <w:rsid w:val="00BC38D6"/>
    <w:rsid w:val="00BC4517"/>
    <w:rsid w:val="00BC4595"/>
    <w:rsid w:val="00BC45BA"/>
    <w:rsid w:val="00BC528B"/>
    <w:rsid w:val="00BC5F4E"/>
    <w:rsid w:val="00BC5FDE"/>
    <w:rsid w:val="00BC7297"/>
    <w:rsid w:val="00BC7692"/>
    <w:rsid w:val="00BD0240"/>
    <w:rsid w:val="00BD0822"/>
    <w:rsid w:val="00BD08FA"/>
    <w:rsid w:val="00BD2C19"/>
    <w:rsid w:val="00BD5E01"/>
    <w:rsid w:val="00BD799F"/>
    <w:rsid w:val="00BE0125"/>
    <w:rsid w:val="00BE5FB6"/>
    <w:rsid w:val="00BE79DB"/>
    <w:rsid w:val="00BF1068"/>
    <w:rsid w:val="00BF11D7"/>
    <w:rsid w:val="00BF40BD"/>
    <w:rsid w:val="00BF467C"/>
    <w:rsid w:val="00BF7D62"/>
    <w:rsid w:val="00C0130E"/>
    <w:rsid w:val="00C04D36"/>
    <w:rsid w:val="00C05EB3"/>
    <w:rsid w:val="00C06FCE"/>
    <w:rsid w:val="00C07B73"/>
    <w:rsid w:val="00C07C03"/>
    <w:rsid w:val="00C10747"/>
    <w:rsid w:val="00C10EB5"/>
    <w:rsid w:val="00C11B1A"/>
    <w:rsid w:val="00C12025"/>
    <w:rsid w:val="00C12997"/>
    <w:rsid w:val="00C133C8"/>
    <w:rsid w:val="00C13CD0"/>
    <w:rsid w:val="00C1447E"/>
    <w:rsid w:val="00C1532F"/>
    <w:rsid w:val="00C15F7E"/>
    <w:rsid w:val="00C20EA3"/>
    <w:rsid w:val="00C21159"/>
    <w:rsid w:val="00C21650"/>
    <w:rsid w:val="00C259A9"/>
    <w:rsid w:val="00C265C0"/>
    <w:rsid w:val="00C27482"/>
    <w:rsid w:val="00C30595"/>
    <w:rsid w:val="00C30AAD"/>
    <w:rsid w:val="00C311B3"/>
    <w:rsid w:val="00C33D9D"/>
    <w:rsid w:val="00C34A96"/>
    <w:rsid w:val="00C35637"/>
    <w:rsid w:val="00C36AC4"/>
    <w:rsid w:val="00C371F2"/>
    <w:rsid w:val="00C418FA"/>
    <w:rsid w:val="00C44FA7"/>
    <w:rsid w:val="00C472A4"/>
    <w:rsid w:val="00C56E1A"/>
    <w:rsid w:val="00C612B5"/>
    <w:rsid w:val="00C62EDF"/>
    <w:rsid w:val="00C630B4"/>
    <w:rsid w:val="00C63F2D"/>
    <w:rsid w:val="00C64F1E"/>
    <w:rsid w:val="00C654F4"/>
    <w:rsid w:val="00C66654"/>
    <w:rsid w:val="00C71D12"/>
    <w:rsid w:val="00C71D79"/>
    <w:rsid w:val="00C71F95"/>
    <w:rsid w:val="00C723CE"/>
    <w:rsid w:val="00C72C64"/>
    <w:rsid w:val="00C73585"/>
    <w:rsid w:val="00C73C0D"/>
    <w:rsid w:val="00C7586A"/>
    <w:rsid w:val="00C76125"/>
    <w:rsid w:val="00C76480"/>
    <w:rsid w:val="00C77547"/>
    <w:rsid w:val="00C778E6"/>
    <w:rsid w:val="00C81E07"/>
    <w:rsid w:val="00C82A18"/>
    <w:rsid w:val="00C8388D"/>
    <w:rsid w:val="00C85D6A"/>
    <w:rsid w:val="00C874E9"/>
    <w:rsid w:val="00C9040A"/>
    <w:rsid w:val="00C90AFC"/>
    <w:rsid w:val="00C91616"/>
    <w:rsid w:val="00C93167"/>
    <w:rsid w:val="00C93D90"/>
    <w:rsid w:val="00C94693"/>
    <w:rsid w:val="00C94898"/>
    <w:rsid w:val="00CA1DA0"/>
    <w:rsid w:val="00CA2D32"/>
    <w:rsid w:val="00CA3FE6"/>
    <w:rsid w:val="00CA7058"/>
    <w:rsid w:val="00CC0083"/>
    <w:rsid w:val="00CC27F3"/>
    <w:rsid w:val="00CC2DF3"/>
    <w:rsid w:val="00CC3562"/>
    <w:rsid w:val="00CC5766"/>
    <w:rsid w:val="00CC5E5B"/>
    <w:rsid w:val="00CC772A"/>
    <w:rsid w:val="00CD13CE"/>
    <w:rsid w:val="00CD14DB"/>
    <w:rsid w:val="00CD1933"/>
    <w:rsid w:val="00CD35ED"/>
    <w:rsid w:val="00CE2E0F"/>
    <w:rsid w:val="00CE6283"/>
    <w:rsid w:val="00CE67AA"/>
    <w:rsid w:val="00CE6F33"/>
    <w:rsid w:val="00CE73B5"/>
    <w:rsid w:val="00CE791D"/>
    <w:rsid w:val="00CE79D7"/>
    <w:rsid w:val="00CE7CE3"/>
    <w:rsid w:val="00CF2071"/>
    <w:rsid w:val="00CF244E"/>
    <w:rsid w:val="00CF278D"/>
    <w:rsid w:val="00CF37C7"/>
    <w:rsid w:val="00CF3CF8"/>
    <w:rsid w:val="00CF4554"/>
    <w:rsid w:val="00CF474D"/>
    <w:rsid w:val="00CF5A64"/>
    <w:rsid w:val="00CF6622"/>
    <w:rsid w:val="00CF6B77"/>
    <w:rsid w:val="00CF749A"/>
    <w:rsid w:val="00CF7733"/>
    <w:rsid w:val="00D000EE"/>
    <w:rsid w:val="00D0089A"/>
    <w:rsid w:val="00D014C7"/>
    <w:rsid w:val="00D01548"/>
    <w:rsid w:val="00D02050"/>
    <w:rsid w:val="00D03E52"/>
    <w:rsid w:val="00D04D5F"/>
    <w:rsid w:val="00D04DFA"/>
    <w:rsid w:val="00D05F35"/>
    <w:rsid w:val="00D06393"/>
    <w:rsid w:val="00D06E5E"/>
    <w:rsid w:val="00D06F79"/>
    <w:rsid w:val="00D10597"/>
    <w:rsid w:val="00D120A3"/>
    <w:rsid w:val="00D12C59"/>
    <w:rsid w:val="00D1584B"/>
    <w:rsid w:val="00D163B4"/>
    <w:rsid w:val="00D16B53"/>
    <w:rsid w:val="00D219E9"/>
    <w:rsid w:val="00D2205B"/>
    <w:rsid w:val="00D2282B"/>
    <w:rsid w:val="00D23418"/>
    <w:rsid w:val="00D24606"/>
    <w:rsid w:val="00D25B74"/>
    <w:rsid w:val="00D2620A"/>
    <w:rsid w:val="00D3056A"/>
    <w:rsid w:val="00D30AED"/>
    <w:rsid w:val="00D30F84"/>
    <w:rsid w:val="00D31091"/>
    <w:rsid w:val="00D33CFE"/>
    <w:rsid w:val="00D33DDE"/>
    <w:rsid w:val="00D34DA4"/>
    <w:rsid w:val="00D34E45"/>
    <w:rsid w:val="00D35C40"/>
    <w:rsid w:val="00D3752F"/>
    <w:rsid w:val="00D40DDE"/>
    <w:rsid w:val="00D43970"/>
    <w:rsid w:val="00D43CA5"/>
    <w:rsid w:val="00D44CA5"/>
    <w:rsid w:val="00D44E91"/>
    <w:rsid w:val="00D46E12"/>
    <w:rsid w:val="00D50495"/>
    <w:rsid w:val="00D50734"/>
    <w:rsid w:val="00D507C0"/>
    <w:rsid w:val="00D513CC"/>
    <w:rsid w:val="00D5555E"/>
    <w:rsid w:val="00D62AA4"/>
    <w:rsid w:val="00D6318F"/>
    <w:rsid w:val="00D63451"/>
    <w:rsid w:val="00D650BB"/>
    <w:rsid w:val="00D6540A"/>
    <w:rsid w:val="00D70438"/>
    <w:rsid w:val="00D717AD"/>
    <w:rsid w:val="00D720AD"/>
    <w:rsid w:val="00D74A18"/>
    <w:rsid w:val="00D74D3E"/>
    <w:rsid w:val="00D757C6"/>
    <w:rsid w:val="00D75C41"/>
    <w:rsid w:val="00D80529"/>
    <w:rsid w:val="00D80F78"/>
    <w:rsid w:val="00D81195"/>
    <w:rsid w:val="00D81619"/>
    <w:rsid w:val="00D81AC3"/>
    <w:rsid w:val="00D81C59"/>
    <w:rsid w:val="00D82A5B"/>
    <w:rsid w:val="00D84637"/>
    <w:rsid w:val="00D8473B"/>
    <w:rsid w:val="00D85780"/>
    <w:rsid w:val="00D925AA"/>
    <w:rsid w:val="00D9283D"/>
    <w:rsid w:val="00D930DD"/>
    <w:rsid w:val="00D9341C"/>
    <w:rsid w:val="00D9492F"/>
    <w:rsid w:val="00D94B7D"/>
    <w:rsid w:val="00D97278"/>
    <w:rsid w:val="00DA1313"/>
    <w:rsid w:val="00DA1560"/>
    <w:rsid w:val="00DA1593"/>
    <w:rsid w:val="00DA3948"/>
    <w:rsid w:val="00DA4C44"/>
    <w:rsid w:val="00DA4C48"/>
    <w:rsid w:val="00DA4E21"/>
    <w:rsid w:val="00DA580F"/>
    <w:rsid w:val="00DA71EF"/>
    <w:rsid w:val="00DA7A18"/>
    <w:rsid w:val="00DB1347"/>
    <w:rsid w:val="00DB28CE"/>
    <w:rsid w:val="00DB29BC"/>
    <w:rsid w:val="00DB2A2A"/>
    <w:rsid w:val="00DB479F"/>
    <w:rsid w:val="00DB4985"/>
    <w:rsid w:val="00DB55B6"/>
    <w:rsid w:val="00DB5F21"/>
    <w:rsid w:val="00DB6D7C"/>
    <w:rsid w:val="00DC090A"/>
    <w:rsid w:val="00DC0E7E"/>
    <w:rsid w:val="00DC14FC"/>
    <w:rsid w:val="00DC30EA"/>
    <w:rsid w:val="00DC4FE9"/>
    <w:rsid w:val="00DC5918"/>
    <w:rsid w:val="00DC671B"/>
    <w:rsid w:val="00DC6C8D"/>
    <w:rsid w:val="00DC6F49"/>
    <w:rsid w:val="00DC73A5"/>
    <w:rsid w:val="00DD0236"/>
    <w:rsid w:val="00DD0B38"/>
    <w:rsid w:val="00DD76A4"/>
    <w:rsid w:val="00DD7C65"/>
    <w:rsid w:val="00DE03E4"/>
    <w:rsid w:val="00DE0E2E"/>
    <w:rsid w:val="00DE1134"/>
    <w:rsid w:val="00DE1AEB"/>
    <w:rsid w:val="00DE1D99"/>
    <w:rsid w:val="00DE4732"/>
    <w:rsid w:val="00DE4F5B"/>
    <w:rsid w:val="00DE6668"/>
    <w:rsid w:val="00DE6987"/>
    <w:rsid w:val="00E0080A"/>
    <w:rsid w:val="00E00F31"/>
    <w:rsid w:val="00E02242"/>
    <w:rsid w:val="00E0300E"/>
    <w:rsid w:val="00E04AE0"/>
    <w:rsid w:val="00E070D0"/>
    <w:rsid w:val="00E11517"/>
    <w:rsid w:val="00E12FB2"/>
    <w:rsid w:val="00E13727"/>
    <w:rsid w:val="00E13B0F"/>
    <w:rsid w:val="00E16F67"/>
    <w:rsid w:val="00E20254"/>
    <w:rsid w:val="00E219EB"/>
    <w:rsid w:val="00E22C13"/>
    <w:rsid w:val="00E25045"/>
    <w:rsid w:val="00E25CA3"/>
    <w:rsid w:val="00E2677C"/>
    <w:rsid w:val="00E26D83"/>
    <w:rsid w:val="00E26DD3"/>
    <w:rsid w:val="00E27A1E"/>
    <w:rsid w:val="00E306E9"/>
    <w:rsid w:val="00E307DC"/>
    <w:rsid w:val="00E32C42"/>
    <w:rsid w:val="00E334B9"/>
    <w:rsid w:val="00E33905"/>
    <w:rsid w:val="00E342D1"/>
    <w:rsid w:val="00E34B96"/>
    <w:rsid w:val="00E37502"/>
    <w:rsid w:val="00E40127"/>
    <w:rsid w:val="00E43074"/>
    <w:rsid w:val="00E431C8"/>
    <w:rsid w:val="00E44926"/>
    <w:rsid w:val="00E44E09"/>
    <w:rsid w:val="00E45D53"/>
    <w:rsid w:val="00E46DBD"/>
    <w:rsid w:val="00E46F2A"/>
    <w:rsid w:val="00E51708"/>
    <w:rsid w:val="00E51729"/>
    <w:rsid w:val="00E52F2B"/>
    <w:rsid w:val="00E53139"/>
    <w:rsid w:val="00E53A8F"/>
    <w:rsid w:val="00E5429C"/>
    <w:rsid w:val="00E5435E"/>
    <w:rsid w:val="00E546FB"/>
    <w:rsid w:val="00E55A81"/>
    <w:rsid w:val="00E56450"/>
    <w:rsid w:val="00E56DA8"/>
    <w:rsid w:val="00E57958"/>
    <w:rsid w:val="00E60ACC"/>
    <w:rsid w:val="00E60C4B"/>
    <w:rsid w:val="00E60E21"/>
    <w:rsid w:val="00E66220"/>
    <w:rsid w:val="00E66638"/>
    <w:rsid w:val="00E6706E"/>
    <w:rsid w:val="00E707D9"/>
    <w:rsid w:val="00E7211D"/>
    <w:rsid w:val="00E757CA"/>
    <w:rsid w:val="00E75D48"/>
    <w:rsid w:val="00E773CD"/>
    <w:rsid w:val="00E774C9"/>
    <w:rsid w:val="00E80964"/>
    <w:rsid w:val="00E834B6"/>
    <w:rsid w:val="00E841A6"/>
    <w:rsid w:val="00E84BCB"/>
    <w:rsid w:val="00E85546"/>
    <w:rsid w:val="00E85905"/>
    <w:rsid w:val="00E907C2"/>
    <w:rsid w:val="00E90DC4"/>
    <w:rsid w:val="00E90DC9"/>
    <w:rsid w:val="00E9163F"/>
    <w:rsid w:val="00E91CB7"/>
    <w:rsid w:val="00E956E8"/>
    <w:rsid w:val="00EA022D"/>
    <w:rsid w:val="00EA0D10"/>
    <w:rsid w:val="00EA0F2C"/>
    <w:rsid w:val="00EA19CB"/>
    <w:rsid w:val="00EA2C8F"/>
    <w:rsid w:val="00EA4311"/>
    <w:rsid w:val="00EA5D64"/>
    <w:rsid w:val="00EA613A"/>
    <w:rsid w:val="00EA6A8C"/>
    <w:rsid w:val="00EB2AD1"/>
    <w:rsid w:val="00EB3067"/>
    <w:rsid w:val="00EB353E"/>
    <w:rsid w:val="00EB56E0"/>
    <w:rsid w:val="00EB5DDF"/>
    <w:rsid w:val="00EB6BA6"/>
    <w:rsid w:val="00EB6E66"/>
    <w:rsid w:val="00EB72C5"/>
    <w:rsid w:val="00EC3CEC"/>
    <w:rsid w:val="00EC4545"/>
    <w:rsid w:val="00EC4625"/>
    <w:rsid w:val="00ED139E"/>
    <w:rsid w:val="00ED15D5"/>
    <w:rsid w:val="00ED1759"/>
    <w:rsid w:val="00ED27A5"/>
    <w:rsid w:val="00ED445D"/>
    <w:rsid w:val="00ED461C"/>
    <w:rsid w:val="00ED4B49"/>
    <w:rsid w:val="00ED5E2B"/>
    <w:rsid w:val="00EE01C2"/>
    <w:rsid w:val="00EE37A2"/>
    <w:rsid w:val="00EE3B12"/>
    <w:rsid w:val="00EE5AF3"/>
    <w:rsid w:val="00EE5E91"/>
    <w:rsid w:val="00EE5F8C"/>
    <w:rsid w:val="00EE73BC"/>
    <w:rsid w:val="00EF00AA"/>
    <w:rsid w:val="00EF329D"/>
    <w:rsid w:val="00EF4396"/>
    <w:rsid w:val="00EF5C49"/>
    <w:rsid w:val="00EF6472"/>
    <w:rsid w:val="00F0026A"/>
    <w:rsid w:val="00F021E7"/>
    <w:rsid w:val="00F026C1"/>
    <w:rsid w:val="00F039D1"/>
    <w:rsid w:val="00F05BEC"/>
    <w:rsid w:val="00F05D0F"/>
    <w:rsid w:val="00F05DB4"/>
    <w:rsid w:val="00F07805"/>
    <w:rsid w:val="00F13358"/>
    <w:rsid w:val="00F13CB8"/>
    <w:rsid w:val="00F1456D"/>
    <w:rsid w:val="00F15387"/>
    <w:rsid w:val="00F15D8B"/>
    <w:rsid w:val="00F1770E"/>
    <w:rsid w:val="00F17D58"/>
    <w:rsid w:val="00F21CED"/>
    <w:rsid w:val="00F228F5"/>
    <w:rsid w:val="00F23FD4"/>
    <w:rsid w:val="00F24143"/>
    <w:rsid w:val="00F241BE"/>
    <w:rsid w:val="00F24962"/>
    <w:rsid w:val="00F25038"/>
    <w:rsid w:val="00F309F1"/>
    <w:rsid w:val="00F3124A"/>
    <w:rsid w:val="00F31D41"/>
    <w:rsid w:val="00F34539"/>
    <w:rsid w:val="00F35005"/>
    <w:rsid w:val="00F364CB"/>
    <w:rsid w:val="00F37601"/>
    <w:rsid w:val="00F4058E"/>
    <w:rsid w:val="00F4220F"/>
    <w:rsid w:val="00F423B8"/>
    <w:rsid w:val="00F43F58"/>
    <w:rsid w:val="00F45187"/>
    <w:rsid w:val="00F45507"/>
    <w:rsid w:val="00F45717"/>
    <w:rsid w:val="00F46014"/>
    <w:rsid w:val="00F47670"/>
    <w:rsid w:val="00F509C8"/>
    <w:rsid w:val="00F51371"/>
    <w:rsid w:val="00F51AF6"/>
    <w:rsid w:val="00F55D7B"/>
    <w:rsid w:val="00F56113"/>
    <w:rsid w:val="00F5640F"/>
    <w:rsid w:val="00F56735"/>
    <w:rsid w:val="00F60F94"/>
    <w:rsid w:val="00F615F9"/>
    <w:rsid w:val="00F62055"/>
    <w:rsid w:val="00F620BE"/>
    <w:rsid w:val="00F64DC5"/>
    <w:rsid w:val="00F66CFA"/>
    <w:rsid w:val="00F73938"/>
    <w:rsid w:val="00F73E87"/>
    <w:rsid w:val="00F74224"/>
    <w:rsid w:val="00F747A9"/>
    <w:rsid w:val="00F75477"/>
    <w:rsid w:val="00F76696"/>
    <w:rsid w:val="00F77A84"/>
    <w:rsid w:val="00F81AD0"/>
    <w:rsid w:val="00F87905"/>
    <w:rsid w:val="00F9229E"/>
    <w:rsid w:val="00F92724"/>
    <w:rsid w:val="00F92A12"/>
    <w:rsid w:val="00F942E2"/>
    <w:rsid w:val="00F9523B"/>
    <w:rsid w:val="00F9560B"/>
    <w:rsid w:val="00F95755"/>
    <w:rsid w:val="00F96E67"/>
    <w:rsid w:val="00F96E92"/>
    <w:rsid w:val="00F97931"/>
    <w:rsid w:val="00FA13CB"/>
    <w:rsid w:val="00FA2BE9"/>
    <w:rsid w:val="00FA31AE"/>
    <w:rsid w:val="00FA4FCD"/>
    <w:rsid w:val="00FB1DA4"/>
    <w:rsid w:val="00FB1F37"/>
    <w:rsid w:val="00FB2973"/>
    <w:rsid w:val="00FB42CF"/>
    <w:rsid w:val="00FB511E"/>
    <w:rsid w:val="00FB7B5E"/>
    <w:rsid w:val="00FC07DD"/>
    <w:rsid w:val="00FC082F"/>
    <w:rsid w:val="00FC2B86"/>
    <w:rsid w:val="00FC48B5"/>
    <w:rsid w:val="00FC4CA2"/>
    <w:rsid w:val="00FC6F77"/>
    <w:rsid w:val="00FC7629"/>
    <w:rsid w:val="00FC7B2A"/>
    <w:rsid w:val="00FD00B4"/>
    <w:rsid w:val="00FD0C1B"/>
    <w:rsid w:val="00FD1312"/>
    <w:rsid w:val="00FD2F77"/>
    <w:rsid w:val="00FD3D67"/>
    <w:rsid w:val="00FD536A"/>
    <w:rsid w:val="00FD7DC1"/>
    <w:rsid w:val="00FE3B10"/>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15:docId w15:val="{AA5C7E06-1F17-4B26-84E9-B2A04483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C371F2"/>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C371F2"/>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C371F2"/>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17313D"/>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17313D"/>
    <w:pPr>
      <w:keepNext/>
      <w:numPr>
        <w:ilvl w:val="4"/>
        <w:numId w:val="15"/>
      </w:numPr>
      <w:spacing w:before="320" w:after="0"/>
      <w:outlineLvl w:val="4"/>
    </w:pPr>
    <w:rPr>
      <w:b/>
      <w:color w:val="54534A"/>
    </w:rPr>
  </w:style>
  <w:style w:type="paragraph" w:styleId="Heading6">
    <w:name w:val="heading 6"/>
    <w:basedOn w:val="Heading1"/>
    <w:next w:val="BodyText"/>
    <w:qFormat/>
    <w:rsid w:val="00C371F2"/>
    <w:pPr>
      <w:numPr>
        <w:ilvl w:val="5"/>
      </w:numPr>
      <w:outlineLvl w:val="5"/>
    </w:pPr>
    <w:rPr>
      <w:bCs/>
    </w:rPr>
  </w:style>
  <w:style w:type="paragraph" w:styleId="Heading7">
    <w:name w:val="heading 7"/>
    <w:basedOn w:val="Heading2"/>
    <w:next w:val="BodyText"/>
    <w:qFormat/>
    <w:rsid w:val="00C371F2"/>
    <w:pPr>
      <w:numPr>
        <w:ilvl w:val="6"/>
      </w:numPr>
      <w:outlineLvl w:val="6"/>
    </w:p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60AA9"/>
    <w:pPr>
      <w:numPr>
        <w:numId w:val="11"/>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List-bullet-2">
    <w:name w:val="List-bullet-2"/>
    <w:basedOn w:val="Normal"/>
    <w:rsid w:val="000A5A3A"/>
    <w:pPr>
      <w:numPr>
        <w:numId w:val="30"/>
      </w:numPr>
      <w:spacing w:before="80"/>
    </w:pPr>
    <w:rPr>
      <w:rFonts w:ascii="Arial" w:hAnsi="Arial" w:cs="Arial"/>
      <w:szCs w:val="22"/>
      <w:lang w:val="en-US" w:eastAsia="en-US"/>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B546BF"/>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7"/>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numPr>
        <w:numId w:val="16"/>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link w:val="CommentTextChar"/>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numPr>
        <w:numId w:val="17"/>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5900F7"/>
    <w:pPr>
      <w:numPr>
        <w:numId w:val="22"/>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6"/>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8"/>
      </w:numPr>
      <w:spacing w:before="0"/>
    </w:pPr>
  </w:style>
  <w:style w:type="paragraph" w:customStyle="1" w:styleId="BoxListNumber2">
    <w:name w:val="Box List Number 2"/>
    <w:basedOn w:val="BoxListNumber"/>
    <w:rsid w:val="006C6761"/>
    <w:pPr>
      <w:numPr>
        <w:numId w:val="5"/>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B546BF"/>
    <w:rPr>
      <w:rFonts w:ascii="Franklin Gothic Book" w:hAnsi="Franklin Gothic Book"/>
      <w:color w:val="5A9A98"/>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A9A98"/>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A9A98"/>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A9A98"/>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A9A98"/>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rmal-text">
    <w:name w:val="Table-normal-text"/>
    <w:basedOn w:val="Normal"/>
    <w:rsid w:val="000A5A3A"/>
    <w:pPr>
      <w:spacing w:before="60"/>
    </w:pPr>
    <w:rPr>
      <w:rFonts w:ascii="Arial" w:hAnsi="Arial"/>
      <w:lang w:eastAsia="en-US"/>
    </w:rPr>
  </w:style>
  <w:style w:type="paragraph" w:customStyle="1" w:styleId="DocName">
    <w:name w:val="DocName"/>
    <w:basedOn w:val="Normal"/>
    <w:link w:val="DocNameChar"/>
    <w:rsid w:val="00774DC8"/>
    <w:pPr>
      <w:jc w:val="center"/>
    </w:pPr>
    <w:rPr>
      <w:rFonts w:ascii="Arial" w:hAnsi="Arial"/>
      <w:b/>
      <w:bCs/>
      <w:sz w:val="28"/>
      <w:lang w:eastAsia="en-US"/>
    </w:rPr>
  </w:style>
  <w:style w:type="character" w:customStyle="1" w:styleId="DocNameChar">
    <w:name w:val="DocName Char"/>
    <w:basedOn w:val="DefaultParagraphFont"/>
    <w:link w:val="DocName"/>
    <w:rsid w:val="00774DC8"/>
    <w:rPr>
      <w:rFonts w:ascii="Arial" w:hAnsi="Arial"/>
      <w:b/>
      <w:bCs/>
      <w:sz w:val="28"/>
      <w:szCs w:val="24"/>
      <w:lang w:eastAsia="en-US"/>
    </w:rPr>
  </w:style>
  <w:style w:type="paragraph" w:customStyle="1" w:styleId="bull2">
    <w:name w:val="bull 2"/>
    <w:basedOn w:val="Normal"/>
    <w:rsid w:val="00AD18FE"/>
    <w:pPr>
      <w:numPr>
        <w:numId w:val="43"/>
      </w:numPr>
      <w:spacing w:before="120"/>
    </w:pPr>
    <w:rPr>
      <w:rFonts w:ascii="Arial" w:hAnsi="Arial"/>
      <w:lang w:eastAsia="en-US"/>
    </w:rPr>
  </w:style>
  <w:style w:type="paragraph" w:styleId="CommentSubject">
    <w:name w:val="annotation subject"/>
    <w:basedOn w:val="CommentText"/>
    <w:next w:val="CommentText"/>
    <w:link w:val="CommentSubjectChar"/>
    <w:rsid w:val="00413604"/>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rsid w:val="00413604"/>
    <w:rPr>
      <w:rFonts w:ascii="Georgia" w:hAnsi="Georgia"/>
      <w:sz w:val="19"/>
      <w:szCs w:val="19"/>
      <w:lang w:val="en-AU" w:eastAsia="en-AU" w:bidi="ar-SA"/>
    </w:rPr>
  </w:style>
  <w:style w:type="character" w:customStyle="1" w:styleId="CommentSubjectChar">
    <w:name w:val="Comment Subject Char"/>
    <w:basedOn w:val="CommentTextChar"/>
    <w:link w:val="CommentSubject"/>
    <w:rsid w:val="00413604"/>
    <w:rPr>
      <w:rFonts w:ascii="Georgia" w:hAnsi="Georgia"/>
      <w:sz w:val="19"/>
      <w:szCs w:val="19"/>
      <w:lang w:val="en-AU" w:eastAsia="en-AU" w:bidi="ar-SA"/>
    </w:rPr>
  </w:style>
  <w:style w:type="paragraph" w:styleId="BalloonText">
    <w:name w:val="Balloon Text"/>
    <w:basedOn w:val="Normal"/>
    <w:link w:val="BalloonTextChar"/>
    <w:rsid w:val="00413604"/>
    <w:rPr>
      <w:rFonts w:ascii="Tahoma" w:hAnsi="Tahoma" w:cs="Tahoma"/>
      <w:sz w:val="16"/>
      <w:szCs w:val="16"/>
    </w:rPr>
  </w:style>
  <w:style w:type="character" w:customStyle="1" w:styleId="BalloonTextChar">
    <w:name w:val="Balloon Text Char"/>
    <w:basedOn w:val="DefaultParagraphFont"/>
    <w:link w:val="BalloonText"/>
    <w:rsid w:val="00413604"/>
    <w:rPr>
      <w:rFonts w:ascii="Tahoma" w:hAnsi="Tahoma" w:cs="Tahoma"/>
      <w:sz w:val="16"/>
      <w:szCs w:val="16"/>
    </w:rPr>
  </w:style>
  <w:style w:type="paragraph" w:styleId="DocumentMap">
    <w:name w:val="Document Map"/>
    <w:basedOn w:val="Normal"/>
    <w:link w:val="DocumentMapChar"/>
    <w:rsid w:val="00B93515"/>
    <w:rPr>
      <w:rFonts w:ascii="Tahoma" w:hAnsi="Tahoma" w:cs="Tahoma"/>
      <w:sz w:val="16"/>
      <w:szCs w:val="16"/>
    </w:rPr>
  </w:style>
  <w:style w:type="character" w:customStyle="1" w:styleId="DocumentMapChar">
    <w:name w:val="Document Map Char"/>
    <w:basedOn w:val="DefaultParagraphFont"/>
    <w:link w:val="DocumentMap"/>
    <w:rsid w:val="00B93515"/>
    <w:rPr>
      <w:rFonts w:ascii="Tahoma" w:hAnsi="Tahoma" w:cs="Tahoma"/>
      <w:sz w:val="16"/>
      <w:szCs w:val="16"/>
    </w:rPr>
  </w:style>
  <w:style w:type="paragraph" w:customStyle="1" w:styleId="H1">
    <w:name w:val="H1"/>
    <w:basedOn w:val="Contents"/>
    <w:qFormat/>
    <w:rsid w:val="00491B81"/>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usai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said.gov.au/Publicatio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gov.au/c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_Templates\client%20templates\AusAID_templates_09\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8EDFD5-830F-4441-8737-2171A1574497}"/>
</file>

<file path=customXml/itemProps2.xml><?xml version="1.0" encoding="utf-8"?>
<ds:datastoreItem xmlns:ds="http://schemas.openxmlformats.org/officeDocument/2006/customXml" ds:itemID="{E3AF1056-EA60-454E-9009-98B9F0B8F654}"/>
</file>

<file path=customXml/itemProps3.xml><?xml version="1.0" encoding="utf-8"?>
<ds:datastoreItem xmlns:ds="http://schemas.openxmlformats.org/officeDocument/2006/customXml" ds:itemID="{B057F7CC-1E99-4547-B6E3-79EC114BB0D9}"/>
</file>

<file path=customXml/itemProps4.xml><?xml version="1.0" encoding="utf-8"?>
<ds:datastoreItem xmlns:ds="http://schemas.openxmlformats.org/officeDocument/2006/customXml" ds:itemID="{C475CE99-7EBA-4CE7-85CC-D0C93452BE92}"/>
</file>

<file path=customXml/itemProps5.xml><?xml version="1.0" encoding="utf-8"?>
<ds:datastoreItem xmlns:ds="http://schemas.openxmlformats.org/officeDocument/2006/customXml" ds:itemID="{D44F674A-8F28-403E-836E-3FDB9AA24880}"/>
</file>

<file path=docProps/app.xml><?xml version="1.0" encoding="utf-8"?>
<Properties xmlns="http://schemas.openxmlformats.org/officeDocument/2006/extended-properties" xmlns:vt="http://schemas.openxmlformats.org/officeDocument/2006/docPropsVTypes">
  <Template>Pacific report</Template>
  <TotalTime>148</TotalTime>
  <Pages>1</Pages>
  <Words>11025</Words>
  <Characters>62844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73722</CharactersWithSpaces>
  <SharedDoc>false</SharedDoc>
  <HLinks>
    <vt:vector size="18" baseType="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WWW</dc:creator>
  <cp:lastModifiedBy>Guest</cp:lastModifiedBy>
  <cp:revision>8</cp:revision>
  <cp:lastPrinted>2009-11-17T07:53:00Z</cp:lastPrinted>
  <dcterms:created xsi:type="dcterms:W3CDTF">2013-07-07T15:42:00Z</dcterms:created>
  <dcterms:modified xsi:type="dcterms:W3CDTF">2013-07-09T17:39:00Z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119100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