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8FD58" w14:textId="77777777" w:rsidR="00E0744A" w:rsidRPr="007C55AB" w:rsidRDefault="00E0744A" w:rsidP="007C55AB">
      <w:pPr>
        <w:pStyle w:val="Heading1"/>
      </w:pPr>
      <w:r w:rsidRPr="007C55AB">
        <w:t>AUSTRALIA PACIFIC TRAINING COALITION</w:t>
      </w:r>
    </w:p>
    <w:p w14:paraId="503BF6EE" w14:textId="77777777" w:rsidR="00E0744A" w:rsidRPr="007C55AB" w:rsidRDefault="00E0744A" w:rsidP="007C55AB">
      <w:pPr>
        <w:pStyle w:val="Heading1"/>
        <w:spacing w:after="360"/>
      </w:pPr>
      <w:r w:rsidRPr="007C55AB">
        <w:t>STAGE 3 (APTC3)</w:t>
      </w:r>
    </w:p>
    <w:p w14:paraId="7BBAC462" w14:textId="77777777" w:rsidR="00E0744A" w:rsidRPr="00CC609F" w:rsidRDefault="00E0744A" w:rsidP="007C55AB">
      <w:pPr>
        <w:spacing w:after="360"/>
        <w:jc w:val="center"/>
        <w:rPr>
          <w:rFonts w:asciiTheme="majorHAnsi" w:hAnsiTheme="majorHAnsi" w:cstheme="majorHAnsi"/>
          <w:b/>
          <w:bCs/>
          <w:sz w:val="40"/>
          <w:szCs w:val="40"/>
        </w:rPr>
      </w:pPr>
      <w:r w:rsidRPr="00CC609F">
        <w:rPr>
          <w:rFonts w:asciiTheme="majorHAnsi" w:hAnsiTheme="majorHAnsi" w:cstheme="majorHAnsi"/>
          <w:b/>
          <w:bCs/>
          <w:sz w:val="40"/>
          <w:szCs w:val="40"/>
        </w:rPr>
        <w:t>STRATEGIC REVIEW</w:t>
      </w:r>
    </w:p>
    <w:p w14:paraId="55E51810" w14:textId="32338AFD" w:rsidR="00E0744A" w:rsidRPr="00F65657" w:rsidRDefault="00E0744A" w:rsidP="007C55AB">
      <w:pPr>
        <w:spacing w:after="360"/>
        <w:jc w:val="center"/>
        <w:rPr>
          <w:rFonts w:asciiTheme="majorHAnsi" w:hAnsiTheme="majorHAnsi" w:cstheme="majorHAnsi"/>
          <w:b/>
          <w:bCs/>
          <w:color w:val="000000" w:themeColor="text1"/>
          <w:sz w:val="40"/>
          <w:szCs w:val="40"/>
        </w:rPr>
      </w:pPr>
      <w:r>
        <w:rPr>
          <w:rFonts w:asciiTheme="majorHAnsi" w:hAnsiTheme="majorHAnsi" w:cstheme="majorHAnsi"/>
          <w:b/>
          <w:bCs/>
          <w:color w:val="FF0000"/>
          <w:sz w:val="40"/>
          <w:szCs w:val="40"/>
        </w:rPr>
        <w:t>Executive Summary</w:t>
      </w:r>
    </w:p>
    <w:p w14:paraId="303CA0D9" w14:textId="77777777" w:rsidR="00E0744A" w:rsidRPr="00CC609F" w:rsidRDefault="00E0744A" w:rsidP="00E0744A">
      <w:pPr>
        <w:jc w:val="center"/>
        <w:rPr>
          <w:rFonts w:asciiTheme="majorHAnsi" w:hAnsiTheme="majorHAnsi" w:cstheme="majorHAnsi"/>
          <w:b/>
          <w:bCs/>
          <w:sz w:val="40"/>
          <w:szCs w:val="40"/>
        </w:rPr>
      </w:pPr>
      <w:r>
        <w:rPr>
          <w:rFonts w:asciiTheme="majorHAnsi" w:hAnsiTheme="majorHAnsi" w:cstheme="majorHAnsi"/>
          <w:b/>
          <w:bCs/>
          <w:sz w:val="40"/>
          <w:szCs w:val="40"/>
        </w:rPr>
        <w:t xml:space="preserve">March </w:t>
      </w:r>
      <w:r w:rsidRPr="00CC609F">
        <w:rPr>
          <w:rFonts w:asciiTheme="majorHAnsi" w:hAnsiTheme="majorHAnsi" w:cstheme="majorHAnsi"/>
          <w:b/>
          <w:bCs/>
          <w:sz w:val="40"/>
          <w:szCs w:val="40"/>
        </w:rPr>
        <w:t>202</w:t>
      </w:r>
      <w:r>
        <w:rPr>
          <w:rFonts w:asciiTheme="majorHAnsi" w:hAnsiTheme="majorHAnsi" w:cstheme="majorHAnsi"/>
          <w:b/>
          <w:bCs/>
          <w:sz w:val="40"/>
          <w:szCs w:val="40"/>
        </w:rPr>
        <w:t>1</w:t>
      </w:r>
    </w:p>
    <w:p w14:paraId="1152FCCF" w14:textId="44FD74D7" w:rsidR="00E0744A" w:rsidRDefault="00E0744A" w:rsidP="00E0744A">
      <w:pPr>
        <w:sectPr w:rsidR="00E0744A" w:rsidSect="002C68CB">
          <w:footerReference w:type="default" r:id="rId7"/>
          <w:pgSz w:w="11906" w:h="16838"/>
          <w:pgMar w:top="1440" w:right="1440" w:bottom="1440" w:left="1440" w:header="708" w:footer="708" w:gutter="0"/>
          <w:pgNumType w:start="0"/>
          <w:cols w:space="708"/>
          <w:titlePg/>
          <w:docGrid w:linePitch="360"/>
        </w:sectPr>
      </w:pPr>
    </w:p>
    <w:p w14:paraId="54582CB6" w14:textId="77777777" w:rsidR="00E0744A" w:rsidRPr="00120FB6" w:rsidRDefault="00E0744A" w:rsidP="00120FB6">
      <w:pPr>
        <w:pStyle w:val="Heading2"/>
      </w:pPr>
      <w:r w:rsidRPr="00120FB6">
        <w:lastRenderedPageBreak/>
        <w:t>March 2021</w:t>
      </w:r>
    </w:p>
    <w:p w14:paraId="55B83282" w14:textId="77777777" w:rsidR="00E0744A" w:rsidRDefault="00E0744A" w:rsidP="00E0744A">
      <w:pPr>
        <w:rPr>
          <w:rFonts w:asciiTheme="minorHAnsi" w:hAnsiTheme="minorHAnsi" w:cstheme="minorHAnsi"/>
          <w:sz w:val="22"/>
          <w:szCs w:val="22"/>
        </w:rPr>
      </w:pPr>
    </w:p>
    <w:p w14:paraId="167690C0" w14:textId="5DAB699D" w:rsidR="00E0744A" w:rsidRPr="00B1226C" w:rsidRDefault="00E0744A" w:rsidP="00F06403">
      <w:pPr>
        <w:spacing w:after="240"/>
        <w:rPr>
          <w:rFonts w:asciiTheme="minorHAnsi" w:hAnsiTheme="minorHAnsi" w:cstheme="minorHAnsi"/>
          <w:sz w:val="22"/>
          <w:szCs w:val="22"/>
        </w:rPr>
      </w:pPr>
      <w:r w:rsidRPr="00B1226C">
        <w:rPr>
          <w:rFonts w:asciiTheme="minorHAnsi" w:hAnsiTheme="minorHAnsi" w:cstheme="minorHAnsi"/>
          <w:sz w:val="22"/>
          <w:szCs w:val="22"/>
        </w:rPr>
        <w:t xml:space="preserve">A Review of APTC3 was undertaken in two stages.  Firstly, the preparation of a discussion paper based on detailed Terms of Reference (TOR) and supported by an intensive consultation phase </w:t>
      </w:r>
      <w:r>
        <w:rPr>
          <w:rFonts w:asciiTheme="minorHAnsi" w:hAnsiTheme="minorHAnsi" w:cstheme="minorHAnsi"/>
          <w:sz w:val="22"/>
          <w:szCs w:val="22"/>
        </w:rPr>
        <w:t xml:space="preserve">from </w:t>
      </w:r>
      <w:r w:rsidRPr="00B1226C">
        <w:rPr>
          <w:rFonts w:asciiTheme="minorHAnsi" w:hAnsiTheme="minorHAnsi" w:cstheme="minorHAnsi"/>
          <w:sz w:val="22"/>
          <w:szCs w:val="22"/>
        </w:rPr>
        <w:t xml:space="preserve">August </w:t>
      </w:r>
      <w:r>
        <w:rPr>
          <w:rFonts w:asciiTheme="minorHAnsi" w:hAnsiTheme="minorHAnsi" w:cstheme="minorHAnsi"/>
          <w:sz w:val="22"/>
          <w:szCs w:val="22"/>
        </w:rPr>
        <w:t xml:space="preserve">to </w:t>
      </w:r>
      <w:r w:rsidRPr="00B1226C">
        <w:rPr>
          <w:rFonts w:asciiTheme="minorHAnsi" w:hAnsiTheme="minorHAnsi" w:cstheme="minorHAnsi"/>
          <w:sz w:val="22"/>
          <w:szCs w:val="22"/>
        </w:rPr>
        <w:t>October 202</w:t>
      </w:r>
      <w:r w:rsidR="000E7F67">
        <w:rPr>
          <w:rFonts w:asciiTheme="minorHAnsi" w:hAnsiTheme="minorHAnsi" w:cstheme="minorHAnsi"/>
          <w:sz w:val="22"/>
          <w:szCs w:val="22"/>
        </w:rPr>
        <w:t>0</w:t>
      </w:r>
      <w:r w:rsidRPr="00B1226C">
        <w:rPr>
          <w:rFonts w:asciiTheme="minorHAnsi" w:hAnsiTheme="minorHAnsi" w:cstheme="minorHAnsi"/>
          <w:sz w:val="22"/>
          <w:szCs w:val="22"/>
        </w:rPr>
        <w:t xml:space="preserve">.  This informed partner discussions between DFAT and APTC (note in this Report a reference to APTC also infers the </w:t>
      </w:r>
      <w:r>
        <w:rPr>
          <w:rFonts w:asciiTheme="minorHAnsi" w:hAnsiTheme="minorHAnsi" w:cstheme="minorHAnsi"/>
          <w:sz w:val="22"/>
          <w:szCs w:val="22"/>
        </w:rPr>
        <w:t>M</w:t>
      </w:r>
      <w:r w:rsidRPr="00B1226C">
        <w:rPr>
          <w:rFonts w:asciiTheme="minorHAnsi" w:hAnsiTheme="minorHAnsi" w:cstheme="minorHAnsi"/>
          <w:sz w:val="22"/>
          <w:szCs w:val="22"/>
        </w:rPr>
        <w:t xml:space="preserve">anaging </w:t>
      </w:r>
      <w:r>
        <w:rPr>
          <w:rFonts w:asciiTheme="minorHAnsi" w:hAnsiTheme="minorHAnsi" w:cstheme="minorHAnsi"/>
          <w:sz w:val="22"/>
          <w:szCs w:val="22"/>
        </w:rPr>
        <w:t>C</w:t>
      </w:r>
      <w:r w:rsidRPr="00B1226C">
        <w:rPr>
          <w:rFonts w:asciiTheme="minorHAnsi" w:hAnsiTheme="minorHAnsi" w:cstheme="minorHAnsi"/>
          <w:sz w:val="22"/>
          <w:szCs w:val="22"/>
        </w:rPr>
        <w:t xml:space="preserve">ontractor for the APTC investment, TAFE Queensland).  From late January – February 2021, a strategic review report, based on more targeted TOR, was prepared.  </w:t>
      </w:r>
    </w:p>
    <w:p w14:paraId="40467C6B" w14:textId="77777777" w:rsidR="00E0744A" w:rsidRPr="00B1226C" w:rsidRDefault="00E0744A" w:rsidP="00F06403">
      <w:pPr>
        <w:spacing w:after="240"/>
        <w:rPr>
          <w:rFonts w:asciiTheme="minorHAnsi" w:hAnsiTheme="minorHAnsi" w:cstheme="minorHAnsi"/>
          <w:sz w:val="22"/>
          <w:szCs w:val="22"/>
        </w:rPr>
      </w:pPr>
      <w:r w:rsidRPr="00B1226C">
        <w:rPr>
          <w:rFonts w:asciiTheme="minorHAnsi" w:hAnsiTheme="minorHAnsi" w:cstheme="minorHAnsi"/>
          <w:sz w:val="22"/>
          <w:szCs w:val="22"/>
        </w:rPr>
        <w:t xml:space="preserve">In the first stage, the team consisted of: </w:t>
      </w:r>
      <w:proofErr w:type="spellStart"/>
      <w:r w:rsidRPr="00B1226C">
        <w:rPr>
          <w:rFonts w:asciiTheme="minorHAnsi" w:hAnsiTheme="minorHAnsi" w:cstheme="minorHAnsi"/>
          <w:sz w:val="22"/>
          <w:szCs w:val="22"/>
        </w:rPr>
        <w:t>Fantasha</w:t>
      </w:r>
      <w:proofErr w:type="spellEnd"/>
      <w:r w:rsidRPr="00B1226C">
        <w:rPr>
          <w:rFonts w:asciiTheme="minorHAnsi" w:hAnsiTheme="minorHAnsi" w:cstheme="minorHAnsi"/>
          <w:sz w:val="22"/>
          <w:szCs w:val="22"/>
        </w:rPr>
        <w:t xml:space="preserve"> Lockington (Pacific Lead – Fiji), </w:t>
      </w:r>
      <w:proofErr w:type="spellStart"/>
      <w:r w:rsidRPr="00B1226C">
        <w:rPr>
          <w:rFonts w:asciiTheme="minorHAnsi" w:hAnsiTheme="minorHAnsi" w:cstheme="minorHAnsi"/>
          <w:sz w:val="22"/>
          <w:szCs w:val="22"/>
        </w:rPr>
        <w:t>Lesieli</w:t>
      </w:r>
      <w:proofErr w:type="spellEnd"/>
      <w:r w:rsidRPr="00B1226C">
        <w:rPr>
          <w:rFonts w:asciiTheme="minorHAnsi" w:hAnsiTheme="minorHAnsi" w:cstheme="minorHAnsi"/>
          <w:sz w:val="22"/>
          <w:szCs w:val="22"/>
        </w:rPr>
        <w:t xml:space="preserve"> </w:t>
      </w:r>
      <w:proofErr w:type="spellStart"/>
      <w:r w:rsidRPr="00B1226C">
        <w:rPr>
          <w:rFonts w:asciiTheme="minorHAnsi" w:hAnsiTheme="minorHAnsi" w:cstheme="minorHAnsi"/>
          <w:sz w:val="22"/>
          <w:szCs w:val="22"/>
        </w:rPr>
        <w:t>Taviri</w:t>
      </w:r>
      <w:proofErr w:type="spellEnd"/>
      <w:r w:rsidRPr="00B1226C">
        <w:rPr>
          <w:rFonts w:asciiTheme="minorHAnsi" w:hAnsiTheme="minorHAnsi" w:cstheme="minorHAnsi"/>
          <w:sz w:val="22"/>
          <w:szCs w:val="22"/>
        </w:rPr>
        <w:t xml:space="preserve"> (Pacific Lead – PNG), Kate Hayes (Australia Lead), Bob Paton (TVET Specialist), Denise Stevens (TVET Specialist) and Stuart Kinsella (MEL Specialist and VFM lead) with VFM specialist support provided by economist Peter </w:t>
      </w:r>
      <w:proofErr w:type="spellStart"/>
      <w:r w:rsidRPr="00B1226C">
        <w:rPr>
          <w:rFonts w:asciiTheme="minorHAnsi" w:hAnsiTheme="minorHAnsi" w:cstheme="minorHAnsi"/>
          <w:sz w:val="22"/>
          <w:szCs w:val="22"/>
        </w:rPr>
        <w:t>Moock</w:t>
      </w:r>
      <w:proofErr w:type="spellEnd"/>
      <w:r w:rsidRPr="00B1226C">
        <w:rPr>
          <w:rFonts w:asciiTheme="minorHAnsi" w:hAnsiTheme="minorHAnsi" w:cstheme="minorHAnsi"/>
          <w:sz w:val="22"/>
          <w:szCs w:val="22"/>
        </w:rPr>
        <w:t xml:space="preserve">.  For this Final Strategic Review Report the team consisted of Kate Hayes, Bob Paton, Denise Stevens, Stuart Kinsella with MEL/research support from Jenny </w:t>
      </w:r>
      <w:proofErr w:type="spellStart"/>
      <w:r w:rsidRPr="00B1226C">
        <w:rPr>
          <w:rFonts w:asciiTheme="minorHAnsi" w:hAnsiTheme="minorHAnsi" w:cstheme="minorHAnsi"/>
          <w:sz w:val="22"/>
          <w:szCs w:val="22"/>
        </w:rPr>
        <w:t>Geppert</w:t>
      </w:r>
      <w:proofErr w:type="spellEnd"/>
      <w:r w:rsidRPr="00B1226C">
        <w:rPr>
          <w:rFonts w:asciiTheme="minorHAnsi" w:hAnsiTheme="minorHAnsi" w:cstheme="minorHAnsi"/>
          <w:sz w:val="22"/>
          <w:szCs w:val="22"/>
        </w:rPr>
        <w:t xml:space="preserve"> (MEL Specialist). </w:t>
      </w:r>
    </w:p>
    <w:p w14:paraId="43186DA9" w14:textId="77777777" w:rsidR="00E0744A" w:rsidRPr="00B1226C" w:rsidRDefault="00E0744A" w:rsidP="00E0744A">
      <w:pPr>
        <w:rPr>
          <w:rFonts w:asciiTheme="minorHAnsi" w:hAnsiTheme="minorHAnsi" w:cstheme="minorHAnsi"/>
          <w:sz w:val="22"/>
          <w:szCs w:val="22"/>
          <w:lang w:val="en-US"/>
        </w:rPr>
      </w:pPr>
      <w:r w:rsidRPr="00F06403">
        <w:rPr>
          <w:rStyle w:val="Heading3Char"/>
        </w:rPr>
        <w:t>Acknowledgements</w:t>
      </w:r>
      <w:r w:rsidRPr="00B1226C">
        <w:rPr>
          <w:rFonts w:asciiTheme="minorHAnsi" w:hAnsiTheme="minorHAnsi" w:cstheme="minorHAnsi"/>
          <w:b/>
          <w:bCs/>
          <w:sz w:val="22"/>
          <w:szCs w:val="22"/>
          <w:lang w:val="en-US"/>
        </w:rPr>
        <w:t xml:space="preserve">: </w:t>
      </w:r>
      <w:r w:rsidRPr="00B1226C">
        <w:rPr>
          <w:rFonts w:asciiTheme="minorHAnsi" w:hAnsiTheme="minorHAnsi" w:cstheme="minorHAnsi"/>
          <w:sz w:val="22"/>
          <w:szCs w:val="22"/>
          <w:lang w:val="en-US"/>
        </w:rPr>
        <w:t xml:space="preserve">The team would like to acknowledge the support of the APTC team, Board and Associates in providing information and access – this has been invaluable, and we acknowledge at times a heavy load against a backdrop of COVID 19 and all the implications for a team scattered through repatriation to home countries; and the lock downs of those.  Similarly, the access to and support of the DFAT team in Canberra and Suva has been so appreciated and has been invaluable in progressing </w:t>
      </w:r>
      <w:proofErr w:type="gramStart"/>
      <w:r w:rsidRPr="00B1226C">
        <w:rPr>
          <w:rFonts w:asciiTheme="minorHAnsi" w:hAnsiTheme="minorHAnsi" w:cstheme="minorHAnsi"/>
          <w:sz w:val="22"/>
          <w:szCs w:val="22"/>
          <w:lang w:val="en-US"/>
        </w:rPr>
        <w:t>a number of</w:t>
      </w:r>
      <w:proofErr w:type="gramEnd"/>
      <w:r w:rsidRPr="00B1226C">
        <w:rPr>
          <w:rFonts w:asciiTheme="minorHAnsi" w:hAnsiTheme="minorHAnsi" w:cstheme="minorHAnsi"/>
          <w:sz w:val="22"/>
          <w:szCs w:val="22"/>
          <w:lang w:val="en-US"/>
        </w:rPr>
        <w:t xml:space="preserve"> consultations (especially with Post). Thanks too, to the teams at the High Commissions who gave the Review an understanding of the Government of Australia’s perspective in each country and were generous and open regarding their engagement with APTC. </w:t>
      </w:r>
    </w:p>
    <w:p w14:paraId="1B33C1BE" w14:textId="77777777" w:rsidR="00E0744A" w:rsidRDefault="00E0744A" w:rsidP="00E0744A">
      <w:pPr>
        <w:rPr>
          <w:rFonts w:asciiTheme="minorHAnsi" w:hAnsiTheme="minorHAnsi" w:cstheme="minorHAnsi"/>
          <w:sz w:val="22"/>
          <w:szCs w:val="22"/>
          <w:lang w:val="en-US"/>
        </w:rPr>
      </w:pPr>
    </w:p>
    <w:p w14:paraId="2B9C453B" w14:textId="77777777" w:rsidR="00E0744A" w:rsidRDefault="00E0744A" w:rsidP="00F06403">
      <w:pPr>
        <w:spacing w:after="240"/>
        <w:rPr>
          <w:rFonts w:asciiTheme="minorHAnsi" w:hAnsiTheme="minorHAnsi" w:cstheme="minorHAnsi"/>
          <w:sz w:val="22"/>
          <w:szCs w:val="22"/>
          <w:lang w:val="en-US"/>
        </w:rPr>
      </w:pPr>
      <w:r w:rsidRPr="00B1226C">
        <w:rPr>
          <w:rFonts w:asciiTheme="minorHAnsi" w:hAnsiTheme="minorHAnsi" w:cstheme="minorHAnsi"/>
          <w:sz w:val="22"/>
          <w:szCs w:val="22"/>
          <w:lang w:val="en-US"/>
        </w:rPr>
        <w:t xml:space="preserve">More broadly the team acknowledge and </w:t>
      </w:r>
      <w:proofErr w:type="spellStart"/>
      <w:r w:rsidRPr="00B1226C">
        <w:rPr>
          <w:rFonts w:asciiTheme="minorHAnsi" w:hAnsiTheme="minorHAnsi" w:cstheme="minorHAnsi"/>
          <w:sz w:val="22"/>
          <w:szCs w:val="22"/>
          <w:lang w:val="en-US"/>
        </w:rPr>
        <w:t>honour</w:t>
      </w:r>
      <w:proofErr w:type="spellEnd"/>
      <w:r w:rsidRPr="00B1226C">
        <w:rPr>
          <w:rFonts w:asciiTheme="minorHAnsi" w:hAnsiTheme="minorHAnsi" w:cstheme="minorHAnsi"/>
          <w:sz w:val="22"/>
          <w:szCs w:val="22"/>
          <w:lang w:val="en-US"/>
        </w:rPr>
        <w:t xml:space="preserve"> the time, generosity and reflections of the people consulted (</w:t>
      </w:r>
      <w:r w:rsidRPr="00B1226C">
        <w:rPr>
          <w:rFonts w:asciiTheme="minorHAnsi" w:hAnsiTheme="minorHAnsi" w:cstheme="minorHAnsi"/>
          <w:b/>
          <w:bCs/>
          <w:sz w:val="22"/>
          <w:szCs w:val="22"/>
          <w:lang w:val="en-US"/>
        </w:rPr>
        <w:t>Annex B)</w:t>
      </w:r>
      <w:r w:rsidRPr="00B1226C">
        <w:rPr>
          <w:rFonts w:asciiTheme="minorHAnsi" w:hAnsiTheme="minorHAnsi" w:cstheme="minorHAnsi"/>
          <w:sz w:val="22"/>
          <w:szCs w:val="22"/>
          <w:lang w:val="en-US"/>
        </w:rPr>
        <w:t xml:space="preserve">. Most sought anonymity for their views and unless permission has been </w:t>
      </w:r>
    </w:p>
    <w:tbl>
      <w:tblPr>
        <w:tblStyle w:val="TableGrid"/>
        <w:tblW w:w="0" w:type="auto"/>
        <w:tblLook w:val="04A0" w:firstRow="1" w:lastRow="0" w:firstColumn="1" w:lastColumn="0" w:noHBand="0" w:noVBand="1"/>
      </w:tblPr>
      <w:tblGrid>
        <w:gridCol w:w="1838"/>
        <w:gridCol w:w="1843"/>
        <w:gridCol w:w="3260"/>
        <w:gridCol w:w="2075"/>
      </w:tblGrid>
      <w:tr w:rsidR="00E0744A" w14:paraId="31AF6CF1" w14:textId="77777777" w:rsidTr="007C55AB">
        <w:trPr>
          <w:tblHeader/>
        </w:trPr>
        <w:tc>
          <w:tcPr>
            <w:tcW w:w="1838" w:type="dxa"/>
          </w:tcPr>
          <w:p w14:paraId="3EA02E9B" w14:textId="77777777" w:rsidR="00E0744A" w:rsidRPr="00B1226C" w:rsidRDefault="00E0744A" w:rsidP="003B1CE9">
            <w:pPr>
              <w:spacing w:before="60" w:after="60"/>
              <w:rPr>
                <w:rFonts w:asciiTheme="minorHAnsi" w:hAnsiTheme="minorHAnsi" w:cstheme="minorHAnsi"/>
                <w:b/>
                <w:bCs/>
                <w:sz w:val="22"/>
                <w:szCs w:val="22"/>
              </w:rPr>
            </w:pPr>
            <w:r w:rsidRPr="00B1226C">
              <w:rPr>
                <w:rFonts w:asciiTheme="minorHAnsi" w:hAnsiTheme="minorHAnsi" w:cstheme="minorHAnsi"/>
                <w:b/>
                <w:bCs/>
                <w:sz w:val="22"/>
                <w:szCs w:val="22"/>
              </w:rPr>
              <w:t>Version number</w:t>
            </w:r>
          </w:p>
        </w:tc>
        <w:tc>
          <w:tcPr>
            <w:tcW w:w="1843" w:type="dxa"/>
          </w:tcPr>
          <w:p w14:paraId="2228CF8B" w14:textId="77777777" w:rsidR="00E0744A" w:rsidRPr="00B1226C" w:rsidRDefault="00E0744A" w:rsidP="003B1CE9">
            <w:pPr>
              <w:spacing w:before="60" w:after="60"/>
              <w:rPr>
                <w:rFonts w:asciiTheme="minorHAnsi" w:hAnsiTheme="minorHAnsi" w:cstheme="minorHAnsi"/>
                <w:b/>
                <w:bCs/>
                <w:sz w:val="22"/>
                <w:szCs w:val="22"/>
              </w:rPr>
            </w:pPr>
            <w:r w:rsidRPr="00B1226C">
              <w:rPr>
                <w:rFonts w:asciiTheme="minorHAnsi" w:hAnsiTheme="minorHAnsi" w:cstheme="minorHAnsi"/>
                <w:b/>
                <w:bCs/>
                <w:sz w:val="22"/>
                <w:szCs w:val="22"/>
              </w:rPr>
              <w:t>Date</w:t>
            </w:r>
          </w:p>
        </w:tc>
        <w:tc>
          <w:tcPr>
            <w:tcW w:w="3260" w:type="dxa"/>
          </w:tcPr>
          <w:p w14:paraId="12AEDC2B" w14:textId="77777777" w:rsidR="00E0744A" w:rsidRPr="00B1226C" w:rsidRDefault="00E0744A" w:rsidP="003B1CE9">
            <w:pPr>
              <w:spacing w:before="60" w:after="60"/>
              <w:rPr>
                <w:rFonts w:asciiTheme="minorHAnsi" w:hAnsiTheme="minorHAnsi" w:cstheme="minorHAnsi"/>
                <w:b/>
                <w:bCs/>
                <w:sz w:val="22"/>
                <w:szCs w:val="22"/>
              </w:rPr>
            </w:pPr>
            <w:r w:rsidRPr="00B1226C">
              <w:rPr>
                <w:rFonts w:asciiTheme="minorHAnsi" w:hAnsiTheme="minorHAnsi" w:cstheme="minorHAnsi"/>
                <w:b/>
                <w:bCs/>
                <w:sz w:val="22"/>
                <w:szCs w:val="22"/>
              </w:rPr>
              <w:t>Description</w:t>
            </w:r>
          </w:p>
        </w:tc>
        <w:tc>
          <w:tcPr>
            <w:tcW w:w="2075" w:type="dxa"/>
          </w:tcPr>
          <w:p w14:paraId="59411AD6" w14:textId="77777777" w:rsidR="00E0744A" w:rsidRPr="00B1226C" w:rsidRDefault="00E0744A" w:rsidP="003B1CE9">
            <w:pPr>
              <w:spacing w:before="60" w:after="60"/>
              <w:rPr>
                <w:rFonts w:asciiTheme="minorHAnsi" w:hAnsiTheme="minorHAnsi" w:cstheme="minorHAnsi"/>
                <w:b/>
                <w:bCs/>
                <w:sz w:val="22"/>
                <w:szCs w:val="22"/>
              </w:rPr>
            </w:pPr>
            <w:r w:rsidRPr="00B1226C">
              <w:rPr>
                <w:rFonts w:asciiTheme="minorHAnsi" w:hAnsiTheme="minorHAnsi" w:cstheme="minorHAnsi"/>
                <w:b/>
                <w:bCs/>
                <w:sz w:val="22"/>
                <w:szCs w:val="22"/>
              </w:rPr>
              <w:t>Author</w:t>
            </w:r>
          </w:p>
        </w:tc>
      </w:tr>
      <w:tr w:rsidR="00E0744A" w14:paraId="0F9897C5" w14:textId="77777777" w:rsidTr="003B1CE9">
        <w:tc>
          <w:tcPr>
            <w:tcW w:w="1838" w:type="dxa"/>
          </w:tcPr>
          <w:p w14:paraId="31F3344A" w14:textId="77777777" w:rsidR="00E0744A" w:rsidRPr="00B1226C" w:rsidRDefault="00E0744A" w:rsidP="003B1CE9">
            <w:pPr>
              <w:spacing w:before="60" w:after="60"/>
              <w:jc w:val="center"/>
              <w:rPr>
                <w:rFonts w:asciiTheme="minorHAnsi" w:hAnsiTheme="minorHAnsi" w:cstheme="minorHAnsi"/>
                <w:sz w:val="22"/>
                <w:szCs w:val="22"/>
              </w:rPr>
            </w:pPr>
            <w:r w:rsidRPr="00B1226C">
              <w:rPr>
                <w:rFonts w:asciiTheme="minorHAnsi" w:hAnsiTheme="minorHAnsi" w:cstheme="minorHAnsi"/>
                <w:sz w:val="22"/>
                <w:szCs w:val="22"/>
              </w:rPr>
              <w:t>1</w:t>
            </w:r>
          </w:p>
        </w:tc>
        <w:tc>
          <w:tcPr>
            <w:tcW w:w="1843" w:type="dxa"/>
          </w:tcPr>
          <w:p w14:paraId="5A29D372" w14:textId="77777777" w:rsidR="00E0744A" w:rsidRPr="00B1226C" w:rsidRDefault="00E0744A" w:rsidP="003B1CE9">
            <w:pPr>
              <w:spacing w:before="60" w:after="60"/>
              <w:rPr>
                <w:rFonts w:asciiTheme="minorHAnsi" w:hAnsiTheme="minorHAnsi" w:cstheme="minorHAnsi"/>
                <w:sz w:val="22"/>
                <w:szCs w:val="22"/>
              </w:rPr>
            </w:pPr>
            <w:r w:rsidRPr="00B1226C">
              <w:rPr>
                <w:rFonts w:asciiTheme="minorHAnsi" w:hAnsiTheme="minorHAnsi" w:cstheme="minorHAnsi"/>
                <w:sz w:val="22"/>
                <w:szCs w:val="22"/>
              </w:rPr>
              <w:t>09 November 2020</w:t>
            </w:r>
          </w:p>
        </w:tc>
        <w:tc>
          <w:tcPr>
            <w:tcW w:w="3260" w:type="dxa"/>
          </w:tcPr>
          <w:p w14:paraId="11A1B115" w14:textId="77777777" w:rsidR="00E0744A" w:rsidRPr="00B1226C" w:rsidRDefault="00E0744A" w:rsidP="003B1CE9">
            <w:pPr>
              <w:spacing w:before="60" w:after="60"/>
              <w:rPr>
                <w:rFonts w:asciiTheme="minorHAnsi" w:hAnsiTheme="minorHAnsi" w:cstheme="minorHAnsi"/>
                <w:sz w:val="22"/>
                <w:szCs w:val="22"/>
              </w:rPr>
            </w:pPr>
            <w:r w:rsidRPr="00B1226C">
              <w:rPr>
                <w:rFonts w:asciiTheme="minorHAnsi" w:hAnsiTheme="minorHAnsi" w:cstheme="minorHAnsi"/>
                <w:sz w:val="22"/>
                <w:szCs w:val="22"/>
              </w:rPr>
              <w:t>Discussion Paper to DFAT, APTC, APTC Board and TAFE Queensland – detailed TOR</w:t>
            </w:r>
          </w:p>
        </w:tc>
        <w:tc>
          <w:tcPr>
            <w:tcW w:w="2075" w:type="dxa"/>
          </w:tcPr>
          <w:p w14:paraId="03131EFE" w14:textId="77777777" w:rsidR="00E0744A" w:rsidRPr="00B1226C" w:rsidRDefault="00E0744A" w:rsidP="003B1CE9">
            <w:pPr>
              <w:spacing w:before="60" w:after="60"/>
              <w:rPr>
                <w:rFonts w:asciiTheme="minorHAnsi" w:hAnsiTheme="minorHAnsi" w:cstheme="minorHAnsi"/>
                <w:sz w:val="22"/>
                <w:szCs w:val="22"/>
              </w:rPr>
            </w:pPr>
            <w:r>
              <w:rPr>
                <w:rFonts w:asciiTheme="minorHAnsi" w:hAnsiTheme="minorHAnsi" w:cstheme="minorHAnsi"/>
                <w:sz w:val="22"/>
                <w:szCs w:val="22"/>
              </w:rPr>
              <w:t xml:space="preserve">Stage One </w:t>
            </w:r>
            <w:r w:rsidRPr="00B1226C">
              <w:rPr>
                <w:rFonts w:asciiTheme="minorHAnsi" w:hAnsiTheme="minorHAnsi" w:cstheme="minorHAnsi"/>
                <w:sz w:val="22"/>
                <w:szCs w:val="22"/>
              </w:rPr>
              <w:t>Review Team</w:t>
            </w:r>
          </w:p>
        </w:tc>
      </w:tr>
      <w:tr w:rsidR="00E0744A" w14:paraId="1F7F9076" w14:textId="77777777" w:rsidTr="003B1CE9">
        <w:tc>
          <w:tcPr>
            <w:tcW w:w="1838" w:type="dxa"/>
          </w:tcPr>
          <w:p w14:paraId="6C031B76" w14:textId="77777777" w:rsidR="00E0744A" w:rsidRPr="00B1226C" w:rsidRDefault="00E0744A" w:rsidP="003B1CE9">
            <w:pPr>
              <w:spacing w:before="60" w:after="60"/>
              <w:jc w:val="center"/>
              <w:rPr>
                <w:rFonts w:asciiTheme="minorHAnsi" w:hAnsiTheme="minorHAnsi" w:cstheme="minorHAnsi"/>
                <w:sz w:val="22"/>
                <w:szCs w:val="22"/>
              </w:rPr>
            </w:pPr>
            <w:r w:rsidRPr="00B1226C">
              <w:rPr>
                <w:rFonts w:asciiTheme="minorHAnsi" w:hAnsiTheme="minorHAnsi" w:cstheme="minorHAnsi"/>
                <w:sz w:val="22"/>
                <w:szCs w:val="22"/>
              </w:rPr>
              <w:t>2</w:t>
            </w:r>
          </w:p>
        </w:tc>
        <w:tc>
          <w:tcPr>
            <w:tcW w:w="1843" w:type="dxa"/>
          </w:tcPr>
          <w:p w14:paraId="4E4165DE" w14:textId="77777777" w:rsidR="00E0744A" w:rsidRPr="00B1226C" w:rsidRDefault="00E0744A" w:rsidP="003B1CE9">
            <w:pPr>
              <w:spacing w:before="60" w:after="60"/>
              <w:rPr>
                <w:rFonts w:asciiTheme="minorHAnsi" w:hAnsiTheme="minorHAnsi" w:cstheme="minorHAnsi"/>
                <w:sz w:val="22"/>
                <w:szCs w:val="22"/>
              </w:rPr>
            </w:pPr>
            <w:r w:rsidRPr="00B1226C">
              <w:rPr>
                <w:rFonts w:asciiTheme="minorHAnsi" w:hAnsiTheme="minorHAnsi" w:cstheme="minorHAnsi"/>
                <w:sz w:val="22"/>
                <w:szCs w:val="22"/>
              </w:rPr>
              <w:t>10 March 2021</w:t>
            </w:r>
          </w:p>
        </w:tc>
        <w:tc>
          <w:tcPr>
            <w:tcW w:w="3260" w:type="dxa"/>
          </w:tcPr>
          <w:p w14:paraId="3DEDD3FC" w14:textId="77777777" w:rsidR="00E0744A" w:rsidRPr="00B1226C" w:rsidRDefault="00E0744A" w:rsidP="003B1CE9">
            <w:pPr>
              <w:spacing w:before="60" w:after="60"/>
              <w:rPr>
                <w:rFonts w:asciiTheme="minorHAnsi" w:hAnsiTheme="minorHAnsi" w:cstheme="minorHAnsi"/>
                <w:sz w:val="22"/>
                <w:szCs w:val="22"/>
              </w:rPr>
            </w:pPr>
            <w:r w:rsidRPr="00B1226C">
              <w:rPr>
                <w:rFonts w:asciiTheme="minorHAnsi" w:hAnsiTheme="minorHAnsi" w:cstheme="minorHAnsi"/>
                <w:sz w:val="22"/>
                <w:szCs w:val="22"/>
              </w:rPr>
              <w:t xml:space="preserve">Strategic Review Final Report </w:t>
            </w:r>
          </w:p>
        </w:tc>
        <w:tc>
          <w:tcPr>
            <w:tcW w:w="2075" w:type="dxa"/>
          </w:tcPr>
          <w:p w14:paraId="67EA3852" w14:textId="77777777" w:rsidR="00E0744A" w:rsidRPr="00B1226C" w:rsidRDefault="00E0744A" w:rsidP="003B1CE9">
            <w:pPr>
              <w:spacing w:before="60" w:after="60"/>
              <w:rPr>
                <w:rFonts w:asciiTheme="minorHAnsi" w:hAnsiTheme="minorHAnsi" w:cstheme="minorHAnsi"/>
                <w:sz w:val="22"/>
                <w:szCs w:val="22"/>
              </w:rPr>
            </w:pPr>
            <w:r>
              <w:rPr>
                <w:rFonts w:asciiTheme="minorHAnsi" w:hAnsiTheme="minorHAnsi" w:cstheme="minorHAnsi"/>
                <w:sz w:val="22"/>
                <w:szCs w:val="22"/>
              </w:rPr>
              <w:t xml:space="preserve">Final </w:t>
            </w:r>
            <w:r w:rsidRPr="00B1226C">
              <w:rPr>
                <w:rFonts w:asciiTheme="minorHAnsi" w:hAnsiTheme="minorHAnsi" w:cstheme="minorHAnsi"/>
                <w:sz w:val="22"/>
                <w:szCs w:val="22"/>
              </w:rPr>
              <w:t>Review Team</w:t>
            </w:r>
          </w:p>
        </w:tc>
      </w:tr>
    </w:tbl>
    <w:p w14:paraId="12D28631" w14:textId="77777777" w:rsidR="00E0744A" w:rsidRDefault="00E0744A" w:rsidP="00E0744A"/>
    <w:p w14:paraId="3172C498" w14:textId="77777777" w:rsidR="00E0744A" w:rsidRPr="00B1226C" w:rsidRDefault="00E0744A" w:rsidP="00F06403">
      <w:pPr>
        <w:pStyle w:val="Heading3"/>
      </w:pPr>
      <w:r w:rsidRPr="00B1226C">
        <w:t>Disclaimer</w:t>
      </w:r>
    </w:p>
    <w:p w14:paraId="41844166" w14:textId="0F75BE64" w:rsidR="007C55AB" w:rsidRDefault="00E0744A" w:rsidP="00E0744A">
      <w:pPr>
        <w:autoSpaceDE w:val="0"/>
        <w:autoSpaceDN w:val="0"/>
        <w:adjustRightInd w:val="0"/>
        <w:rPr>
          <w:rFonts w:asciiTheme="minorHAnsi" w:hAnsiTheme="minorHAnsi" w:cstheme="minorHAnsi"/>
          <w:sz w:val="22"/>
          <w:szCs w:val="22"/>
        </w:rPr>
      </w:pPr>
      <w:r w:rsidRPr="00B1226C">
        <w:rPr>
          <w:rFonts w:asciiTheme="minorHAnsi" w:hAnsiTheme="minorHAnsi" w:cstheme="minorHAnsi"/>
          <w:sz w:val="22"/>
          <w:szCs w:val="22"/>
        </w:rPr>
        <w:t>This report was commissioned through the Pacific Education and Skills section of the Pacific Partnerships &amp; Human Development Branch, Department of Foreign Affairs and Trade. The views in the report are those of the authors and do not necessarily reflect the views of the Australian aid program or of any other organisation or person.</w:t>
      </w:r>
    </w:p>
    <w:p w14:paraId="3315C491" w14:textId="77777777" w:rsidR="007C55AB" w:rsidRDefault="007C55AB">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0838456" w14:textId="77777777" w:rsidR="00E0744A" w:rsidRDefault="00E0744A" w:rsidP="00120FB6">
      <w:pPr>
        <w:pStyle w:val="Heading2"/>
      </w:pPr>
      <w:bookmarkStart w:id="0" w:name="_Toc66303442"/>
      <w:r>
        <w:lastRenderedPageBreak/>
        <w:t>Acronyms and Abbreviations</w:t>
      </w:r>
      <w:bookmarkEnd w:id="0"/>
    </w:p>
    <w:p w14:paraId="1AA9ADCF" w14:textId="3E7A1A3C" w:rsidR="007C55AB" w:rsidRPr="00CE7A72" w:rsidRDefault="007C55AB" w:rsidP="007C55AB">
      <w:pPr>
        <w:pStyle w:val="IODPARCTableText"/>
        <w:ind w:left="1701" w:hanging="1701"/>
        <w:jc w:val="both"/>
        <w:rPr>
          <w:rFonts w:asciiTheme="minorHAnsi" w:hAnsiTheme="minorHAnsi" w:cstheme="minorHAnsi"/>
          <w:sz w:val="22"/>
          <w:szCs w:val="22"/>
        </w:rPr>
      </w:pPr>
      <w:r w:rsidRPr="00CE7A72">
        <w:rPr>
          <w:rFonts w:asciiTheme="minorHAnsi" w:hAnsiTheme="minorHAnsi" w:cstheme="minorHAnsi"/>
          <w:sz w:val="22"/>
          <w:szCs w:val="22"/>
        </w:rPr>
        <w:t>ADB</w:t>
      </w:r>
      <w:r w:rsidRPr="007C55AB">
        <w:rPr>
          <w:rFonts w:asciiTheme="minorHAnsi" w:hAnsiTheme="minorHAnsi" w:cstheme="minorHAnsi"/>
          <w:sz w:val="22"/>
          <w:szCs w:val="22"/>
        </w:rPr>
        <w:t xml:space="preserve"> </w:t>
      </w:r>
      <w:r w:rsidRPr="00CE7A72">
        <w:rPr>
          <w:rFonts w:asciiTheme="minorHAnsi" w:hAnsiTheme="minorHAnsi" w:cstheme="minorHAnsi"/>
          <w:sz w:val="22"/>
          <w:szCs w:val="22"/>
        </w:rPr>
        <w:tab/>
        <w:t>Asian Development Bank</w:t>
      </w:r>
    </w:p>
    <w:p w14:paraId="40B18FD8" w14:textId="45E7083A" w:rsidR="007C55AB" w:rsidRPr="00CE7A72" w:rsidRDefault="007C55AB" w:rsidP="007C55AB">
      <w:pPr>
        <w:pStyle w:val="IODPARCTableText"/>
        <w:ind w:left="1701" w:hanging="1701"/>
        <w:jc w:val="both"/>
        <w:rPr>
          <w:rFonts w:asciiTheme="minorHAnsi" w:hAnsiTheme="minorHAnsi" w:cstheme="minorHAnsi"/>
          <w:sz w:val="22"/>
          <w:szCs w:val="22"/>
        </w:rPr>
      </w:pPr>
      <w:r w:rsidRPr="00CE7A72">
        <w:rPr>
          <w:rFonts w:asciiTheme="minorHAnsi" w:hAnsiTheme="minorHAnsi" w:cstheme="minorHAnsi"/>
          <w:sz w:val="22"/>
          <w:szCs w:val="22"/>
        </w:rPr>
        <w:t>AIFFP</w:t>
      </w:r>
      <w:r>
        <w:rPr>
          <w:rFonts w:asciiTheme="minorHAnsi" w:hAnsiTheme="minorHAnsi" w:cstheme="minorHAnsi"/>
          <w:sz w:val="22"/>
          <w:szCs w:val="22"/>
        </w:rPr>
        <w:tab/>
      </w:r>
      <w:r w:rsidRPr="00CE7A72">
        <w:rPr>
          <w:rFonts w:asciiTheme="minorHAnsi" w:hAnsiTheme="minorHAnsi" w:cstheme="minorHAnsi"/>
          <w:sz w:val="22"/>
          <w:szCs w:val="22"/>
        </w:rPr>
        <w:t>Australian Infrastructure Financing Facility for the Pacific</w:t>
      </w:r>
    </w:p>
    <w:p w14:paraId="76E82B4E" w14:textId="77777777" w:rsidR="007C55AB" w:rsidRPr="00CE7A72" w:rsidRDefault="007C55AB" w:rsidP="007C55AB">
      <w:pPr>
        <w:pStyle w:val="IODPARCTableText"/>
        <w:tabs>
          <w:tab w:val="left" w:pos="1735"/>
        </w:tabs>
        <w:ind w:left="1701" w:hanging="1701"/>
        <w:rPr>
          <w:rFonts w:asciiTheme="minorHAnsi" w:hAnsiTheme="minorHAnsi" w:cstheme="minorHAnsi"/>
          <w:sz w:val="22"/>
          <w:szCs w:val="22"/>
        </w:rPr>
      </w:pPr>
      <w:r w:rsidRPr="00CE7A72">
        <w:rPr>
          <w:rFonts w:asciiTheme="minorHAnsi" w:hAnsiTheme="minorHAnsi" w:cstheme="minorHAnsi"/>
          <w:sz w:val="22"/>
          <w:szCs w:val="22"/>
        </w:rPr>
        <w:t>APTC</w:t>
      </w:r>
      <w:r w:rsidRPr="00CE7A72">
        <w:rPr>
          <w:rFonts w:asciiTheme="minorHAnsi" w:hAnsiTheme="minorHAnsi" w:cstheme="minorHAnsi"/>
          <w:sz w:val="22"/>
          <w:szCs w:val="22"/>
        </w:rPr>
        <w:tab/>
        <w:t>Australia Pacific Training Coalition</w:t>
      </w:r>
      <w:r>
        <w:rPr>
          <w:rFonts w:asciiTheme="minorHAnsi" w:hAnsiTheme="minorHAnsi" w:cstheme="minorHAnsi"/>
          <w:sz w:val="22"/>
          <w:szCs w:val="22"/>
        </w:rPr>
        <w:t xml:space="preserve"> (</w:t>
      </w:r>
      <w:r w:rsidRPr="00CE7A72">
        <w:rPr>
          <w:rFonts w:asciiTheme="minorHAnsi" w:hAnsiTheme="minorHAnsi" w:cstheme="minorHAnsi"/>
          <w:sz w:val="22"/>
          <w:szCs w:val="22"/>
        </w:rPr>
        <w:t>noting in this Report a reference to APTC also infers the managing contractor for the APTC investment, TAFE Queensland</w:t>
      </w:r>
      <w:r>
        <w:rPr>
          <w:rFonts w:asciiTheme="minorHAnsi" w:hAnsiTheme="minorHAnsi" w:cstheme="minorHAnsi"/>
          <w:sz w:val="22"/>
          <w:szCs w:val="22"/>
        </w:rPr>
        <w:t>)</w:t>
      </w:r>
    </w:p>
    <w:p w14:paraId="43D2475F"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APTC3</w:t>
      </w:r>
      <w:r w:rsidRPr="00CE7A72">
        <w:rPr>
          <w:rFonts w:asciiTheme="minorHAnsi" w:hAnsiTheme="minorHAnsi" w:cstheme="minorHAnsi"/>
          <w:sz w:val="22"/>
          <w:szCs w:val="22"/>
        </w:rPr>
        <w:tab/>
        <w:t>Australia Pacific Training Coalition Stage 3</w:t>
      </w:r>
    </w:p>
    <w:p w14:paraId="7508E10C"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CCS</w:t>
      </w:r>
      <w:r w:rsidRPr="00CE7A72">
        <w:rPr>
          <w:rFonts w:asciiTheme="minorHAnsi" w:hAnsiTheme="minorHAnsi" w:cstheme="minorHAnsi"/>
          <w:sz w:val="22"/>
          <w:szCs w:val="22"/>
        </w:rPr>
        <w:tab/>
        <w:t>Course Commencement Survey</w:t>
      </w:r>
    </w:p>
    <w:p w14:paraId="70AE8BE2"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COVID-19</w:t>
      </w:r>
      <w:r w:rsidRPr="00CE7A72">
        <w:rPr>
          <w:rFonts w:asciiTheme="minorHAnsi" w:hAnsiTheme="minorHAnsi" w:cstheme="minorHAnsi"/>
          <w:sz w:val="22"/>
          <w:szCs w:val="22"/>
        </w:rPr>
        <w:tab/>
        <w:t>Novel Corona Virus Disease 2019</w:t>
      </w:r>
    </w:p>
    <w:p w14:paraId="7339471F"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DFAT</w:t>
      </w:r>
      <w:r w:rsidRPr="00CE7A72">
        <w:rPr>
          <w:rFonts w:asciiTheme="minorHAnsi" w:hAnsiTheme="minorHAnsi" w:cstheme="minorHAnsi"/>
          <w:sz w:val="22"/>
          <w:szCs w:val="22"/>
        </w:rPr>
        <w:tab/>
        <w:t>Department of Foreign Affairs and Trade</w:t>
      </w:r>
    </w:p>
    <w:p w14:paraId="776A715C"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DHERST</w:t>
      </w:r>
      <w:r w:rsidRPr="00CE7A72">
        <w:rPr>
          <w:rFonts w:asciiTheme="minorHAnsi" w:hAnsiTheme="minorHAnsi" w:cstheme="minorHAnsi"/>
          <w:sz w:val="22"/>
          <w:szCs w:val="22"/>
        </w:rPr>
        <w:tab/>
        <w:t>Department of Higher Education, Research and Technology (PNG)</w:t>
      </w:r>
    </w:p>
    <w:p w14:paraId="498BD56D"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EOPO</w:t>
      </w:r>
      <w:r w:rsidRPr="00CE7A72">
        <w:rPr>
          <w:rFonts w:asciiTheme="minorHAnsi" w:hAnsiTheme="minorHAnsi" w:cstheme="minorHAnsi"/>
          <w:sz w:val="22"/>
          <w:szCs w:val="22"/>
        </w:rPr>
        <w:tab/>
        <w:t>End-of-Program Outcome/s</w:t>
      </w:r>
    </w:p>
    <w:p w14:paraId="14878BF2"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FHEC</w:t>
      </w:r>
      <w:r w:rsidRPr="00CE7A72">
        <w:rPr>
          <w:rFonts w:asciiTheme="minorHAnsi" w:hAnsiTheme="minorHAnsi" w:cstheme="minorHAnsi"/>
          <w:sz w:val="22"/>
          <w:szCs w:val="22"/>
        </w:rPr>
        <w:tab/>
        <w:t>Fiji Higher Education Commission</w:t>
      </w:r>
    </w:p>
    <w:p w14:paraId="2F10721F"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FNU</w:t>
      </w:r>
      <w:r w:rsidRPr="00CE7A72">
        <w:rPr>
          <w:rFonts w:asciiTheme="minorHAnsi" w:hAnsiTheme="minorHAnsi" w:cstheme="minorHAnsi"/>
          <w:sz w:val="22"/>
          <w:szCs w:val="22"/>
        </w:rPr>
        <w:tab/>
        <w:t>Fiji National University</w:t>
      </w:r>
    </w:p>
    <w:p w14:paraId="24F6D360"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GTS</w:t>
      </w:r>
      <w:r w:rsidRPr="00CE7A72">
        <w:rPr>
          <w:rFonts w:asciiTheme="minorHAnsi" w:hAnsiTheme="minorHAnsi" w:cstheme="minorHAnsi"/>
          <w:sz w:val="22"/>
          <w:szCs w:val="22"/>
        </w:rPr>
        <w:tab/>
        <w:t>Graduate Tracer Survey</w:t>
      </w:r>
    </w:p>
    <w:p w14:paraId="2C17C1A0"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MELF</w:t>
      </w:r>
      <w:r w:rsidRPr="00CE7A72">
        <w:rPr>
          <w:rFonts w:asciiTheme="minorHAnsi" w:hAnsiTheme="minorHAnsi" w:cstheme="minorHAnsi"/>
          <w:sz w:val="22"/>
          <w:szCs w:val="22"/>
        </w:rPr>
        <w:tab/>
        <w:t>Monitoring, Evaluation and Learning Framework</w:t>
      </w:r>
    </w:p>
    <w:p w14:paraId="266BCFFF"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MOU</w:t>
      </w:r>
      <w:r w:rsidRPr="00CE7A72">
        <w:rPr>
          <w:rFonts w:asciiTheme="minorHAnsi" w:hAnsiTheme="minorHAnsi" w:cstheme="minorHAnsi"/>
          <w:sz w:val="22"/>
          <w:szCs w:val="22"/>
        </w:rPr>
        <w:tab/>
        <w:t>Memorandum of Understanding</w:t>
      </w:r>
    </w:p>
    <w:p w14:paraId="11173E4F"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MTR</w:t>
      </w:r>
      <w:r w:rsidRPr="00CE7A72">
        <w:rPr>
          <w:rFonts w:asciiTheme="minorHAnsi" w:hAnsiTheme="minorHAnsi" w:cstheme="minorHAnsi"/>
          <w:sz w:val="22"/>
          <w:szCs w:val="22"/>
        </w:rPr>
        <w:tab/>
        <w:t>Mid-Term Review</w:t>
      </w:r>
    </w:p>
    <w:p w14:paraId="43BE19EA"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OTP</w:t>
      </w:r>
      <w:r w:rsidRPr="00CE7A72">
        <w:rPr>
          <w:rFonts w:asciiTheme="minorHAnsi" w:hAnsiTheme="minorHAnsi" w:cstheme="minorHAnsi"/>
          <w:sz w:val="22"/>
          <w:szCs w:val="22"/>
        </w:rPr>
        <w:tab/>
        <w:t>Office of the Pacific</w:t>
      </w:r>
    </w:p>
    <w:p w14:paraId="6EF50F34"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PLF</w:t>
      </w:r>
      <w:r w:rsidRPr="00CE7A72">
        <w:rPr>
          <w:rFonts w:asciiTheme="minorHAnsi" w:hAnsiTheme="minorHAnsi" w:cstheme="minorHAnsi"/>
          <w:sz w:val="22"/>
          <w:szCs w:val="22"/>
        </w:rPr>
        <w:tab/>
        <w:t xml:space="preserve">Pacific Labour Facility (part of the Pacific Labour Scheme) </w:t>
      </w:r>
    </w:p>
    <w:p w14:paraId="4A553EFE"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PLS</w:t>
      </w:r>
      <w:r w:rsidRPr="00CE7A72">
        <w:rPr>
          <w:rFonts w:asciiTheme="minorHAnsi" w:hAnsiTheme="minorHAnsi" w:cstheme="minorHAnsi"/>
          <w:sz w:val="22"/>
          <w:szCs w:val="22"/>
        </w:rPr>
        <w:tab/>
        <w:t>Pacific Labour Scheme</w:t>
      </w:r>
    </w:p>
    <w:p w14:paraId="435E6EEA"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PNG</w:t>
      </w:r>
      <w:r w:rsidRPr="00CE7A72">
        <w:rPr>
          <w:rFonts w:asciiTheme="minorHAnsi" w:hAnsiTheme="minorHAnsi" w:cstheme="minorHAnsi"/>
          <w:sz w:val="22"/>
          <w:szCs w:val="22"/>
        </w:rPr>
        <w:tab/>
        <w:t>Papua New Guinea</w:t>
      </w:r>
    </w:p>
    <w:p w14:paraId="18D1DC47"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POMTECH</w:t>
      </w:r>
      <w:r w:rsidRPr="00CE7A72">
        <w:rPr>
          <w:rFonts w:asciiTheme="minorHAnsi" w:hAnsiTheme="minorHAnsi" w:cstheme="minorHAnsi"/>
          <w:sz w:val="22"/>
          <w:szCs w:val="22"/>
        </w:rPr>
        <w:tab/>
        <w:t>Port Moresby Technical Institute</w:t>
      </w:r>
    </w:p>
    <w:p w14:paraId="45FC5E65"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RTO</w:t>
      </w:r>
      <w:r w:rsidRPr="00CE7A72">
        <w:rPr>
          <w:rFonts w:asciiTheme="minorHAnsi" w:hAnsiTheme="minorHAnsi" w:cstheme="minorHAnsi"/>
          <w:sz w:val="22"/>
          <w:szCs w:val="22"/>
        </w:rPr>
        <w:tab/>
        <w:t>Registered Training Organisation</w:t>
      </w:r>
    </w:p>
    <w:p w14:paraId="7DBE10EB"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SPC</w:t>
      </w:r>
      <w:r w:rsidRPr="00CE7A72">
        <w:rPr>
          <w:rFonts w:asciiTheme="minorHAnsi" w:hAnsiTheme="minorHAnsi" w:cstheme="minorHAnsi"/>
          <w:sz w:val="22"/>
          <w:szCs w:val="22"/>
        </w:rPr>
        <w:tab/>
        <w:t>The Pacific Community</w:t>
      </w:r>
    </w:p>
    <w:p w14:paraId="7F9C0B77"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proofErr w:type="spellStart"/>
      <w:r w:rsidRPr="00CE7A72">
        <w:rPr>
          <w:rFonts w:asciiTheme="minorHAnsi" w:hAnsiTheme="minorHAnsi" w:cstheme="minorHAnsi"/>
          <w:sz w:val="22"/>
          <w:szCs w:val="22"/>
        </w:rPr>
        <w:t>PacREF</w:t>
      </w:r>
      <w:proofErr w:type="spellEnd"/>
      <w:r w:rsidRPr="00CE7A72">
        <w:rPr>
          <w:rFonts w:asciiTheme="minorHAnsi" w:hAnsiTheme="minorHAnsi" w:cstheme="minorHAnsi"/>
          <w:sz w:val="22"/>
          <w:szCs w:val="22"/>
        </w:rPr>
        <w:tab/>
        <w:t>Pacific Regional Education Framework</w:t>
      </w:r>
    </w:p>
    <w:p w14:paraId="2070DD6D"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TAFE Qld</w:t>
      </w:r>
      <w:r w:rsidRPr="00CE7A72">
        <w:rPr>
          <w:rFonts w:asciiTheme="minorHAnsi" w:hAnsiTheme="minorHAnsi" w:cstheme="minorHAnsi"/>
          <w:sz w:val="22"/>
          <w:szCs w:val="22"/>
        </w:rPr>
        <w:tab/>
        <w:t>TAFE Queensland</w:t>
      </w:r>
    </w:p>
    <w:p w14:paraId="24EB688E" w14:textId="77777777" w:rsidR="007C55AB" w:rsidRPr="00CE7A72" w:rsidRDefault="007C55AB" w:rsidP="00324B39">
      <w:pPr>
        <w:pStyle w:val="IODPARCTableText"/>
        <w:tabs>
          <w:tab w:val="left" w:pos="1735"/>
        </w:tabs>
        <w:ind w:left="1843" w:hanging="1735"/>
        <w:rPr>
          <w:rFonts w:asciiTheme="minorHAnsi" w:hAnsiTheme="minorHAnsi" w:cstheme="minorHAnsi"/>
          <w:sz w:val="22"/>
          <w:szCs w:val="22"/>
        </w:rPr>
      </w:pPr>
      <w:r w:rsidRPr="00CE7A72">
        <w:rPr>
          <w:rFonts w:asciiTheme="minorHAnsi" w:hAnsiTheme="minorHAnsi" w:cstheme="minorHAnsi"/>
          <w:sz w:val="22"/>
          <w:szCs w:val="22"/>
        </w:rPr>
        <w:t xml:space="preserve">The Institute </w:t>
      </w:r>
      <w:r w:rsidRPr="00CE7A72">
        <w:rPr>
          <w:rFonts w:asciiTheme="minorHAnsi" w:hAnsiTheme="minorHAnsi" w:cstheme="minorHAnsi"/>
          <w:sz w:val="22"/>
          <w:szCs w:val="22"/>
        </w:rPr>
        <w:tab/>
      </w:r>
      <w:proofErr w:type="spellStart"/>
      <w:r w:rsidRPr="00CE7A72">
        <w:rPr>
          <w:rFonts w:asciiTheme="minorHAnsi" w:hAnsiTheme="minorHAnsi" w:cstheme="minorHAnsi"/>
          <w:sz w:val="22"/>
          <w:szCs w:val="22"/>
        </w:rPr>
        <w:t>Institute</w:t>
      </w:r>
      <w:proofErr w:type="spellEnd"/>
      <w:r w:rsidRPr="00CE7A72">
        <w:rPr>
          <w:rFonts w:asciiTheme="minorHAnsi" w:hAnsiTheme="minorHAnsi" w:cstheme="minorHAnsi"/>
          <w:sz w:val="22"/>
          <w:szCs w:val="22"/>
        </w:rPr>
        <w:t xml:space="preserve"> for Human Security and Social Change, La Trobe University (APTC Associate)</w:t>
      </w:r>
    </w:p>
    <w:p w14:paraId="7616CDC6"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TSSP</w:t>
      </w:r>
      <w:r w:rsidRPr="00CE7A72">
        <w:rPr>
          <w:rFonts w:asciiTheme="minorHAnsi" w:hAnsiTheme="minorHAnsi" w:cstheme="minorHAnsi"/>
          <w:sz w:val="22"/>
          <w:szCs w:val="22"/>
        </w:rPr>
        <w:tab/>
        <w:t>TVET Systems Strengthening Platform</w:t>
      </w:r>
    </w:p>
    <w:p w14:paraId="63E11BFD"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TVET</w:t>
      </w:r>
      <w:r w:rsidRPr="00CE7A72">
        <w:rPr>
          <w:rFonts w:asciiTheme="minorHAnsi" w:hAnsiTheme="minorHAnsi" w:cstheme="minorHAnsi"/>
          <w:sz w:val="22"/>
          <w:szCs w:val="22"/>
        </w:rPr>
        <w:tab/>
        <w:t xml:space="preserve">Technical and Vocational Education and Training </w:t>
      </w:r>
    </w:p>
    <w:p w14:paraId="4DFBAAE0"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USP</w:t>
      </w:r>
      <w:r w:rsidRPr="00CE7A72">
        <w:rPr>
          <w:rFonts w:asciiTheme="minorHAnsi" w:hAnsiTheme="minorHAnsi" w:cstheme="minorHAnsi"/>
          <w:sz w:val="22"/>
          <w:szCs w:val="22"/>
        </w:rPr>
        <w:tab/>
        <w:t>University of South Pacific</w:t>
      </w:r>
    </w:p>
    <w:p w14:paraId="4AD737C7"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proofErr w:type="spellStart"/>
      <w:r w:rsidRPr="00CE7A72">
        <w:rPr>
          <w:rFonts w:asciiTheme="minorHAnsi" w:hAnsiTheme="minorHAnsi" w:cstheme="minorHAnsi"/>
          <w:sz w:val="22"/>
          <w:szCs w:val="22"/>
        </w:rPr>
        <w:t>VfM</w:t>
      </w:r>
      <w:proofErr w:type="spellEnd"/>
      <w:r w:rsidRPr="00CE7A72">
        <w:rPr>
          <w:rFonts w:asciiTheme="minorHAnsi" w:hAnsiTheme="minorHAnsi" w:cstheme="minorHAnsi"/>
          <w:sz w:val="22"/>
          <w:szCs w:val="22"/>
        </w:rPr>
        <w:tab/>
        <w:t>Value for Money</w:t>
      </w:r>
    </w:p>
    <w:p w14:paraId="3D83B66B" w14:textId="77777777" w:rsidR="007C55AB" w:rsidRPr="00CE7A72" w:rsidRDefault="007C55AB" w:rsidP="003B1CE9">
      <w:pPr>
        <w:pStyle w:val="IODPARCTableText"/>
        <w:tabs>
          <w:tab w:val="left" w:pos="1735"/>
        </w:tabs>
        <w:ind w:left="108"/>
        <w:rPr>
          <w:rFonts w:asciiTheme="minorHAnsi" w:hAnsiTheme="minorHAnsi" w:cstheme="minorHAnsi"/>
          <w:sz w:val="22"/>
          <w:szCs w:val="22"/>
        </w:rPr>
      </w:pPr>
      <w:r w:rsidRPr="00CE7A72">
        <w:rPr>
          <w:rFonts w:asciiTheme="minorHAnsi" w:hAnsiTheme="minorHAnsi" w:cstheme="minorHAnsi"/>
          <w:sz w:val="22"/>
          <w:szCs w:val="22"/>
        </w:rPr>
        <w:t>WBG</w:t>
      </w:r>
      <w:r w:rsidRPr="00CE7A72">
        <w:rPr>
          <w:rFonts w:asciiTheme="minorHAnsi" w:hAnsiTheme="minorHAnsi" w:cstheme="minorHAnsi"/>
          <w:sz w:val="22"/>
          <w:szCs w:val="22"/>
        </w:rPr>
        <w:tab/>
        <w:t>World Bank Group</w:t>
      </w:r>
    </w:p>
    <w:p w14:paraId="62C71C4E" w14:textId="77777777" w:rsidR="00E0744A" w:rsidRDefault="00E0744A" w:rsidP="00120FB6">
      <w:pPr>
        <w:pStyle w:val="Heading2"/>
      </w:pPr>
      <w:r>
        <w:br w:type="page"/>
      </w:r>
      <w:bookmarkStart w:id="1" w:name="_Toc66303443"/>
      <w:r>
        <w:lastRenderedPageBreak/>
        <w:t>Executive Summary</w:t>
      </w:r>
      <w:bookmarkEnd w:id="1"/>
      <w:r>
        <w:t xml:space="preserve"> </w:t>
      </w:r>
    </w:p>
    <w:p w14:paraId="0B95CEFB" w14:textId="77777777" w:rsidR="00E0744A" w:rsidRPr="00CE7A72" w:rsidRDefault="00E0744A" w:rsidP="00E0744A">
      <w:pPr>
        <w:spacing w:after="120"/>
        <w:rPr>
          <w:rFonts w:asciiTheme="minorHAnsi" w:hAnsiTheme="minorHAnsi" w:cstheme="minorHAnsi"/>
          <w:sz w:val="22"/>
          <w:szCs w:val="22"/>
          <w:lang w:eastAsia="en-AU"/>
        </w:rPr>
      </w:pPr>
      <w:r w:rsidRPr="00964014">
        <w:rPr>
          <w:rFonts w:asciiTheme="minorHAnsi" w:hAnsiTheme="minorHAnsi" w:cstheme="minorHAnsi"/>
          <w:b/>
          <w:bCs/>
          <w:sz w:val="22"/>
          <w:szCs w:val="22"/>
          <w:lang w:eastAsia="en-AU"/>
        </w:rPr>
        <w:t xml:space="preserve">A formal independent mid-term review (MTR) of APTC3 was originally planned for 2021, but due to the COVID-19 pandemic </w:t>
      </w:r>
      <w:r w:rsidRPr="00964014">
        <w:rPr>
          <w:rFonts w:asciiTheme="minorHAnsi" w:hAnsiTheme="minorHAnsi" w:cstheme="minorHAnsi"/>
          <w:b/>
          <w:bCs/>
          <w:sz w:val="22"/>
          <w:szCs w:val="22"/>
        </w:rPr>
        <w:t>it was called forward and repurposed as a Strategic Review (the ‘Review’)</w:t>
      </w:r>
      <w:r w:rsidRPr="00B57AAC">
        <w:rPr>
          <w:rFonts w:asciiTheme="minorHAnsi" w:hAnsiTheme="minorHAnsi" w:cstheme="minorHAnsi"/>
          <w:sz w:val="22"/>
          <w:szCs w:val="22"/>
        </w:rPr>
        <w:t>.</w:t>
      </w:r>
      <w:r>
        <w:rPr>
          <w:rFonts w:asciiTheme="minorHAnsi" w:hAnsiTheme="minorHAnsi" w:cstheme="minorHAnsi"/>
          <w:sz w:val="22"/>
          <w:szCs w:val="22"/>
          <w:lang w:eastAsia="en-AU"/>
        </w:rPr>
        <w:t xml:space="preserve"> </w:t>
      </w:r>
      <w:r w:rsidRPr="00B57AAC">
        <w:rPr>
          <w:rFonts w:asciiTheme="minorHAnsi" w:hAnsiTheme="minorHAnsi" w:cstheme="minorHAnsi"/>
          <w:sz w:val="22"/>
          <w:szCs w:val="22"/>
        </w:rPr>
        <w:t>The</w:t>
      </w:r>
      <w:r w:rsidRPr="00B57AAC" w:rsidDel="0040216D">
        <w:rPr>
          <w:rFonts w:asciiTheme="minorHAnsi" w:hAnsiTheme="minorHAnsi" w:cstheme="minorHAnsi"/>
          <w:sz w:val="22"/>
          <w:szCs w:val="22"/>
        </w:rPr>
        <w:t xml:space="preserve"> Review consider</w:t>
      </w:r>
      <w:r>
        <w:rPr>
          <w:rFonts w:asciiTheme="minorHAnsi" w:hAnsiTheme="minorHAnsi" w:cstheme="minorHAnsi"/>
          <w:sz w:val="22"/>
          <w:szCs w:val="22"/>
        </w:rPr>
        <w:t>s</w:t>
      </w:r>
      <w:r w:rsidRPr="00B57AAC" w:rsidDel="0040216D">
        <w:rPr>
          <w:rFonts w:asciiTheme="minorHAnsi" w:hAnsiTheme="minorHAnsi" w:cstheme="minorHAnsi"/>
          <w:sz w:val="22"/>
          <w:szCs w:val="22"/>
        </w:rPr>
        <w:t xml:space="preserve"> </w:t>
      </w:r>
      <w:r w:rsidRPr="00B57AAC">
        <w:rPr>
          <w:rFonts w:asciiTheme="minorHAnsi" w:hAnsiTheme="minorHAnsi" w:cstheme="minorHAnsi"/>
          <w:sz w:val="22"/>
          <w:szCs w:val="22"/>
        </w:rPr>
        <w:t xml:space="preserve">whether </w:t>
      </w:r>
      <w:r w:rsidRPr="00B57AAC" w:rsidDel="0040216D">
        <w:rPr>
          <w:rFonts w:asciiTheme="minorHAnsi" w:hAnsiTheme="minorHAnsi" w:cstheme="minorHAnsi"/>
          <w:sz w:val="22"/>
          <w:szCs w:val="22"/>
        </w:rPr>
        <w:t>the positioning and</w:t>
      </w:r>
      <w:r w:rsidRPr="00B57AAC">
        <w:rPr>
          <w:rFonts w:asciiTheme="minorHAnsi" w:hAnsiTheme="minorHAnsi" w:cstheme="minorHAnsi"/>
          <w:sz w:val="22"/>
          <w:szCs w:val="22"/>
        </w:rPr>
        <w:t xml:space="preserve"> direction</w:t>
      </w:r>
      <w:r w:rsidRPr="00B57AAC" w:rsidDel="0040216D">
        <w:rPr>
          <w:rFonts w:asciiTheme="minorHAnsi" w:hAnsiTheme="minorHAnsi" w:cstheme="minorHAnsi"/>
          <w:sz w:val="22"/>
          <w:szCs w:val="22"/>
        </w:rPr>
        <w:t xml:space="preserve"> of APTC</w:t>
      </w:r>
      <w:r w:rsidRPr="00B57AAC">
        <w:rPr>
          <w:rFonts w:asciiTheme="minorHAnsi" w:hAnsiTheme="minorHAnsi" w:cstheme="minorHAnsi"/>
          <w:sz w:val="22"/>
          <w:szCs w:val="22"/>
        </w:rPr>
        <w:t xml:space="preserve">3 is still relevant and delivering value for money in the context of Australia’s </w:t>
      </w:r>
      <w:r>
        <w:rPr>
          <w:rFonts w:asciiTheme="minorHAnsi" w:hAnsiTheme="minorHAnsi" w:cstheme="minorHAnsi"/>
          <w:sz w:val="22"/>
          <w:szCs w:val="22"/>
        </w:rPr>
        <w:t xml:space="preserve">Pacific Step-up and </w:t>
      </w:r>
      <w:r w:rsidRPr="00B57AAC">
        <w:rPr>
          <w:rFonts w:asciiTheme="minorHAnsi" w:hAnsiTheme="minorHAnsi" w:cstheme="minorHAnsi"/>
          <w:sz w:val="22"/>
          <w:szCs w:val="22"/>
        </w:rPr>
        <w:t xml:space="preserve">new </w:t>
      </w:r>
      <w:r>
        <w:rPr>
          <w:rFonts w:asciiTheme="minorHAnsi" w:hAnsiTheme="minorHAnsi" w:cstheme="minorHAnsi"/>
          <w:sz w:val="22"/>
          <w:szCs w:val="22"/>
        </w:rPr>
        <w:t>development</w:t>
      </w:r>
      <w:r w:rsidRPr="00B57AAC">
        <w:rPr>
          <w:rFonts w:asciiTheme="minorHAnsi" w:hAnsiTheme="minorHAnsi" w:cstheme="minorHAnsi"/>
          <w:sz w:val="22"/>
          <w:szCs w:val="22"/>
        </w:rPr>
        <w:t xml:space="preserve"> policy framework, </w:t>
      </w:r>
      <w:r w:rsidRPr="00B57AAC">
        <w:rPr>
          <w:rFonts w:asciiTheme="minorHAnsi" w:hAnsiTheme="minorHAnsi" w:cstheme="minorHAnsi"/>
          <w:i/>
          <w:iCs/>
          <w:sz w:val="22"/>
          <w:szCs w:val="22"/>
        </w:rPr>
        <w:t xml:space="preserve">Partnerships for Recovery. </w:t>
      </w:r>
    </w:p>
    <w:p w14:paraId="0D322337" w14:textId="77777777" w:rsidR="00E0744A" w:rsidRPr="00B57AAC" w:rsidRDefault="00E0744A" w:rsidP="00E0744A">
      <w:pPr>
        <w:spacing w:after="120"/>
        <w:rPr>
          <w:rFonts w:asciiTheme="minorHAnsi" w:hAnsiTheme="minorHAnsi" w:cstheme="minorHAnsi"/>
          <w:sz w:val="22"/>
          <w:szCs w:val="22"/>
        </w:rPr>
      </w:pPr>
      <w:r w:rsidRPr="00964014">
        <w:rPr>
          <w:rFonts w:asciiTheme="minorHAnsi" w:hAnsiTheme="minorHAnsi" w:cstheme="minorHAnsi"/>
          <w:b/>
          <w:bCs/>
          <w:sz w:val="22"/>
          <w:szCs w:val="22"/>
        </w:rPr>
        <w:t>The Review responds to three broad questions</w:t>
      </w:r>
      <w:r w:rsidRPr="00B57AAC">
        <w:rPr>
          <w:rFonts w:asciiTheme="minorHAnsi" w:hAnsiTheme="minorHAnsi" w:cstheme="minorHAnsi"/>
          <w:sz w:val="22"/>
          <w:szCs w:val="22"/>
        </w:rPr>
        <w:t>:</w:t>
      </w:r>
    </w:p>
    <w:p w14:paraId="577DB904" w14:textId="77777777" w:rsidR="00E0744A" w:rsidRPr="00E60720" w:rsidRDefault="00E0744A" w:rsidP="00E0744A">
      <w:pPr>
        <w:pStyle w:val="ListParagraph"/>
        <w:numPr>
          <w:ilvl w:val="0"/>
          <w:numId w:val="1"/>
        </w:numPr>
        <w:spacing w:after="160" w:line="256" w:lineRule="auto"/>
        <w:rPr>
          <w:rFonts w:asciiTheme="minorHAnsi" w:hAnsiTheme="minorHAnsi" w:cstheme="minorHAnsi"/>
          <w:sz w:val="22"/>
          <w:szCs w:val="22"/>
          <w:lang w:eastAsia="en-AU"/>
        </w:rPr>
      </w:pPr>
      <w:r w:rsidRPr="00E60720">
        <w:rPr>
          <w:rFonts w:asciiTheme="minorHAnsi" w:hAnsiTheme="minorHAnsi" w:cstheme="minorHAnsi"/>
          <w:sz w:val="22"/>
          <w:szCs w:val="22"/>
          <w:lang w:eastAsia="en-AU"/>
        </w:rPr>
        <w:t>What role might APTC play in supporting economic recovery in Pacific Island Countries, and in Australia, over the next 5 years?</w:t>
      </w:r>
    </w:p>
    <w:p w14:paraId="0D2FA599" w14:textId="77777777" w:rsidR="00E0744A" w:rsidRPr="00E60720" w:rsidRDefault="00E0744A" w:rsidP="00E0744A">
      <w:pPr>
        <w:pStyle w:val="ListParagraph"/>
        <w:numPr>
          <w:ilvl w:val="0"/>
          <w:numId w:val="1"/>
        </w:numPr>
        <w:spacing w:after="160" w:line="256" w:lineRule="auto"/>
        <w:rPr>
          <w:rFonts w:asciiTheme="minorHAnsi" w:hAnsiTheme="minorHAnsi" w:cstheme="minorHAnsi"/>
          <w:sz w:val="22"/>
          <w:szCs w:val="22"/>
          <w:lang w:eastAsia="en-AU"/>
        </w:rPr>
      </w:pPr>
      <w:r w:rsidRPr="00E60720">
        <w:rPr>
          <w:rFonts w:asciiTheme="minorHAnsi" w:hAnsiTheme="minorHAnsi" w:cstheme="minorHAnsi"/>
          <w:sz w:val="22"/>
          <w:szCs w:val="22"/>
          <w:lang w:eastAsia="en-AU"/>
        </w:rPr>
        <w:t>To what extent has APTC responded to and progressed the Australian Government’s priorities for its Pacific Step-</w:t>
      </w:r>
      <w:r>
        <w:rPr>
          <w:rFonts w:asciiTheme="minorHAnsi" w:hAnsiTheme="minorHAnsi" w:cstheme="minorHAnsi"/>
          <w:sz w:val="22"/>
          <w:szCs w:val="22"/>
          <w:lang w:eastAsia="en-AU"/>
        </w:rPr>
        <w:t>u</w:t>
      </w:r>
      <w:r w:rsidRPr="00E60720">
        <w:rPr>
          <w:rFonts w:asciiTheme="minorHAnsi" w:hAnsiTheme="minorHAnsi" w:cstheme="minorHAnsi"/>
          <w:sz w:val="22"/>
          <w:szCs w:val="22"/>
          <w:lang w:eastAsia="en-AU"/>
        </w:rPr>
        <w:t xml:space="preserve">p, including addressing Australia’s labour mobility needs, and the labour mobility needs of Pacific Island Countries? </w:t>
      </w:r>
    </w:p>
    <w:p w14:paraId="77F09B92" w14:textId="77777777" w:rsidR="00E0744A" w:rsidRPr="00CE7A72" w:rsidRDefault="00E0744A" w:rsidP="00E0744A">
      <w:pPr>
        <w:pStyle w:val="ListParagraph"/>
        <w:numPr>
          <w:ilvl w:val="0"/>
          <w:numId w:val="1"/>
        </w:numPr>
        <w:spacing w:after="120" w:line="256" w:lineRule="auto"/>
        <w:rPr>
          <w:rFonts w:asciiTheme="minorHAnsi" w:hAnsiTheme="minorHAnsi" w:cstheme="minorHAnsi"/>
          <w:sz w:val="22"/>
          <w:szCs w:val="22"/>
          <w:lang w:eastAsia="en-AU"/>
        </w:rPr>
      </w:pPr>
      <w:r w:rsidRPr="00E60720">
        <w:rPr>
          <w:rFonts w:asciiTheme="minorHAnsi" w:hAnsiTheme="minorHAnsi" w:cstheme="minorHAnsi"/>
          <w:sz w:val="22"/>
          <w:szCs w:val="22"/>
          <w:lang w:eastAsia="en-AU"/>
        </w:rPr>
        <w:t>To what extent do the results achieved to date and the ways of working represent a value-for-money trajectory from both a Pacific and Australian perspective?</w:t>
      </w:r>
    </w:p>
    <w:p w14:paraId="648D2AB2" w14:textId="77777777" w:rsidR="00E0744A" w:rsidRDefault="00E0744A" w:rsidP="00E0744A">
      <w:pPr>
        <w:spacing w:after="120"/>
        <w:rPr>
          <w:rFonts w:asciiTheme="minorHAnsi" w:hAnsiTheme="minorHAnsi" w:cstheme="minorHAnsi"/>
          <w:sz w:val="22"/>
          <w:szCs w:val="22"/>
        </w:rPr>
      </w:pPr>
      <w:r w:rsidRPr="00964014">
        <w:rPr>
          <w:rFonts w:asciiTheme="minorHAnsi" w:hAnsiTheme="minorHAnsi" w:cstheme="minorHAnsi"/>
          <w:b/>
          <w:bCs/>
          <w:sz w:val="22"/>
          <w:szCs w:val="22"/>
        </w:rPr>
        <w:t>Overall,</w:t>
      </w:r>
      <w:r>
        <w:rPr>
          <w:rFonts w:asciiTheme="minorHAnsi" w:hAnsiTheme="minorHAnsi" w:cstheme="minorHAnsi"/>
          <w:sz w:val="22"/>
          <w:szCs w:val="22"/>
        </w:rPr>
        <w:t xml:space="preserve"> </w:t>
      </w:r>
      <w:r w:rsidRPr="00CE7A72">
        <w:rPr>
          <w:rFonts w:asciiTheme="minorHAnsi" w:hAnsiTheme="minorHAnsi" w:cstheme="minorHAnsi"/>
          <w:b/>
          <w:bCs/>
          <w:sz w:val="22"/>
          <w:szCs w:val="22"/>
        </w:rPr>
        <w:t xml:space="preserve">the Review finds that </w:t>
      </w:r>
      <w:r>
        <w:rPr>
          <w:rFonts w:asciiTheme="minorHAnsi" w:hAnsiTheme="minorHAnsi" w:cstheme="minorHAnsi"/>
          <w:b/>
          <w:bCs/>
          <w:sz w:val="22"/>
          <w:szCs w:val="22"/>
        </w:rPr>
        <w:t xml:space="preserve">as per Pacific </w:t>
      </w:r>
      <w:r w:rsidRPr="00D36A0E">
        <w:rPr>
          <w:rFonts w:asciiTheme="minorHAnsi" w:hAnsiTheme="minorHAnsi" w:cstheme="minorHAnsi"/>
          <w:b/>
          <w:bCs/>
          <w:sz w:val="22"/>
          <w:szCs w:val="22"/>
        </w:rPr>
        <w:t>Step</w:t>
      </w:r>
      <w:r>
        <w:rPr>
          <w:rFonts w:asciiTheme="minorHAnsi" w:hAnsiTheme="minorHAnsi" w:cstheme="minorHAnsi"/>
          <w:b/>
          <w:bCs/>
          <w:sz w:val="22"/>
          <w:szCs w:val="22"/>
        </w:rPr>
        <w:t>-u</w:t>
      </w:r>
      <w:r w:rsidRPr="00D36A0E">
        <w:rPr>
          <w:rFonts w:asciiTheme="minorHAnsi" w:hAnsiTheme="minorHAnsi" w:cstheme="minorHAnsi"/>
          <w:b/>
          <w:bCs/>
          <w:sz w:val="22"/>
          <w:szCs w:val="22"/>
        </w:rPr>
        <w:t>p</w:t>
      </w:r>
      <w:r>
        <w:rPr>
          <w:rFonts w:asciiTheme="minorHAnsi" w:hAnsiTheme="minorHAnsi" w:cstheme="minorHAnsi"/>
          <w:b/>
          <w:bCs/>
          <w:i/>
          <w:iCs/>
          <w:sz w:val="22"/>
          <w:szCs w:val="22"/>
        </w:rPr>
        <w:t>,</w:t>
      </w:r>
      <w:r>
        <w:rPr>
          <w:rFonts w:asciiTheme="minorHAnsi" w:hAnsiTheme="minorHAnsi" w:cstheme="minorHAnsi"/>
          <w:b/>
          <w:bCs/>
          <w:sz w:val="22"/>
          <w:szCs w:val="22"/>
        </w:rPr>
        <w:t xml:space="preserve"> </w:t>
      </w:r>
      <w:r w:rsidRPr="00CE7A72">
        <w:rPr>
          <w:rFonts w:asciiTheme="minorHAnsi" w:hAnsiTheme="minorHAnsi" w:cstheme="minorHAnsi"/>
          <w:b/>
          <w:bCs/>
          <w:sz w:val="22"/>
          <w:szCs w:val="22"/>
        </w:rPr>
        <w:t>Australia is deepening its contribution and value in the Pacific</w:t>
      </w:r>
      <w:r w:rsidRPr="00E60720">
        <w:rPr>
          <w:rFonts w:asciiTheme="minorHAnsi" w:hAnsiTheme="minorHAnsi" w:cstheme="minorHAnsi"/>
          <w:sz w:val="22"/>
          <w:szCs w:val="22"/>
        </w:rPr>
        <w:t xml:space="preserve"> through the Australian Pacific Training Coalition (APTC), and APTC is giving real expression to the Pacific-Australia partnership both at regional and national levels. In the context of</w:t>
      </w:r>
      <w:r>
        <w:rPr>
          <w:rFonts w:asciiTheme="minorHAnsi" w:hAnsiTheme="minorHAnsi" w:cstheme="minorHAnsi"/>
          <w:sz w:val="22"/>
          <w:szCs w:val="22"/>
        </w:rPr>
        <w:t xml:space="preserve"> the</w:t>
      </w:r>
      <w:r w:rsidRPr="00E60720">
        <w:rPr>
          <w:rFonts w:asciiTheme="minorHAnsi" w:hAnsiTheme="minorHAnsi" w:cstheme="minorHAnsi"/>
          <w:sz w:val="22"/>
          <w:szCs w:val="22"/>
        </w:rPr>
        <w:t xml:space="preserve"> COVID-19 pandemic and its impact </w:t>
      </w:r>
      <w:r>
        <w:rPr>
          <w:rFonts w:asciiTheme="minorHAnsi" w:hAnsiTheme="minorHAnsi" w:cstheme="minorHAnsi"/>
          <w:sz w:val="22"/>
          <w:szCs w:val="22"/>
        </w:rPr>
        <w:t>o</w:t>
      </w:r>
      <w:r w:rsidRPr="00E60720">
        <w:rPr>
          <w:rFonts w:asciiTheme="minorHAnsi" w:hAnsiTheme="minorHAnsi" w:cstheme="minorHAnsi"/>
          <w:sz w:val="22"/>
          <w:szCs w:val="22"/>
        </w:rPr>
        <w:t>n the Pacific</w:t>
      </w:r>
      <w:r>
        <w:rPr>
          <w:rFonts w:asciiTheme="minorHAnsi" w:hAnsiTheme="minorHAnsi" w:cstheme="minorHAnsi"/>
          <w:sz w:val="22"/>
          <w:szCs w:val="22"/>
        </w:rPr>
        <w:t>,</w:t>
      </w:r>
      <w:r w:rsidRPr="00E60720">
        <w:rPr>
          <w:rFonts w:asciiTheme="minorHAnsi" w:hAnsiTheme="minorHAnsi" w:cstheme="minorHAnsi"/>
          <w:sz w:val="22"/>
          <w:szCs w:val="22"/>
        </w:rPr>
        <w:t xml:space="preserve"> and</w:t>
      </w:r>
      <w:r>
        <w:rPr>
          <w:rFonts w:asciiTheme="minorHAnsi" w:hAnsiTheme="minorHAnsi" w:cstheme="minorHAnsi"/>
          <w:sz w:val="22"/>
          <w:szCs w:val="22"/>
        </w:rPr>
        <w:t xml:space="preserve"> noting </w:t>
      </w:r>
      <w:r w:rsidRPr="00E60720">
        <w:rPr>
          <w:rFonts w:asciiTheme="minorHAnsi" w:hAnsiTheme="minorHAnsi" w:cstheme="minorHAnsi"/>
          <w:sz w:val="22"/>
          <w:szCs w:val="22"/>
        </w:rPr>
        <w:t xml:space="preserve">Australia’s </w:t>
      </w:r>
      <w:r w:rsidRPr="00E60720">
        <w:rPr>
          <w:rFonts w:asciiTheme="minorHAnsi" w:hAnsiTheme="minorHAnsi" w:cstheme="minorHAnsi"/>
          <w:i/>
          <w:iCs/>
          <w:sz w:val="22"/>
          <w:szCs w:val="22"/>
        </w:rPr>
        <w:t>Partnerships for Recovery</w:t>
      </w:r>
      <w:r w:rsidRPr="00E60720">
        <w:rPr>
          <w:rFonts w:asciiTheme="minorHAnsi" w:hAnsiTheme="minorHAnsi" w:cstheme="minorHAnsi"/>
          <w:sz w:val="22"/>
          <w:szCs w:val="22"/>
        </w:rPr>
        <w:t xml:space="preserve"> </w:t>
      </w:r>
      <w:r>
        <w:rPr>
          <w:rFonts w:asciiTheme="minorHAnsi" w:hAnsiTheme="minorHAnsi" w:cstheme="minorHAnsi"/>
          <w:sz w:val="22"/>
          <w:szCs w:val="22"/>
        </w:rPr>
        <w:t xml:space="preserve">policy framework, </w:t>
      </w:r>
      <w:r w:rsidRPr="00E60720">
        <w:rPr>
          <w:rFonts w:asciiTheme="minorHAnsi" w:hAnsiTheme="minorHAnsi" w:cstheme="minorHAnsi"/>
          <w:sz w:val="22"/>
          <w:szCs w:val="22"/>
        </w:rPr>
        <w:t xml:space="preserve">it </w:t>
      </w:r>
      <w:r>
        <w:rPr>
          <w:rFonts w:asciiTheme="minorHAnsi" w:hAnsiTheme="minorHAnsi" w:cstheme="minorHAnsi"/>
          <w:sz w:val="22"/>
          <w:szCs w:val="22"/>
        </w:rPr>
        <w:t>is</w:t>
      </w:r>
      <w:r w:rsidRPr="00E60720">
        <w:rPr>
          <w:rFonts w:asciiTheme="minorHAnsi" w:hAnsiTheme="minorHAnsi" w:cstheme="minorHAnsi"/>
          <w:sz w:val="22"/>
          <w:szCs w:val="22"/>
        </w:rPr>
        <w:t xml:space="preserve"> </w:t>
      </w:r>
      <w:r>
        <w:rPr>
          <w:rFonts w:asciiTheme="minorHAnsi" w:hAnsiTheme="minorHAnsi" w:cstheme="minorHAnsi"/>
          <w:sz w:val="22"/>
          <w:szCs w:val="22"/>
        </w:rPr>
        <w:t>vital</w:t>
      </w:r>
      <w:r w:rsidRPr="00E60720">
        <w:rPr>
          <w:rFonts w:asciiTheme="minorHAnsi" w:hAnsiTheme="minorHAnsi" w:cstheme="minorHAnsi"/>
          <w:sz w:val="22"/>
          <w:szCs w:val="22"/>
        </w:rPr>
        <w:t xml:space="preserve"> that this partnership is optimally positioned to serve </w:t>
      </w:r>
      <w:r>
        <w:rPr>
          <w:rFonts w:asciiTheme="minorHAnsi" w:hAnsiTheme="minorHAnsi" w:cstheme="minorHAnsi"/>
          <w:sz w:val="22"/>
          <w:szCs w:val="22"/>
        </w:rPr>
        <w:t xml:space="preserve">socio </w:t>
      </w:r>
      <w:r w:rsidRPr="00E60720">
        <w:rPr>
          <w:rFonts w:asciiTheme="minorHAnsi" w:hAnsiTheme="minorHAnsi" w:cstheme="minorHAnsi"/>
          <w:sz w:val="22"/>
          <w:szCs w:val="22"/>
        </w:rPr>
        <w:t xml:space="preserve">economic recovery.  </w:t>
      </w:r>
      <w:r w:rsidRPr="00CE7A72">
        <w:rPr>
          <w:rFonts w:asciiTheme="minorHAnsi" w:hAnsiTheme="minorHAnsi" w:cstheme="minorHAnsi"/>
          <w:b/>
          <w:bCs/>
          <w:sz w:val="22"/>
          <w:szCs w:val="22"/>
        </w:rPr>
        <w:t>The Review finds there is scope to better corral resources (</w:t>
      </w:r>
      <w:r>
        <w:rPr>
          <w:rFonts w:asciiTheme="minorHAnsi" w:hAnsiTheme="minorHAnsi" w:cstheme="minorHAnsi"/>
          <w:b/>
          <w:bCs/>
          <w:sz w:val="22"/>
          <w:szCs w:val="22"/>
        </w:rPr>
        <w:t xml:space="preserve">focus, </w:t>
      </w:r>
      <w:proofErr w:type="gramStart"/>
      <w:r w:rsidRPr="00CE7A72">
        <w:rPr>
          <w:rFonts w:asciiTheme="minorHAnsi" w:hAnsiTheme="minorHAnsi" w:cstheme="minorHAnsi"/>
          <w:b/>
          <w:bCs/>
          <w:sz w:val="22"/>
          <w:szCs w:val="22"/>
        </w:rPr>
        <w:t>people</w:t>
      </w:r>
      <w:proofErr w:type="gramEnd"/>
      <w:r w:rsidRPr="00CE7A72">
        <w:rPr>
          <w:rFonts w:asciiTheme="minorHAnsi" w:hAnsiTheme="minorHAnsi" w:cstheme="minorHAnsi"/>
          <w:b/>
          <w:bCs/>
          <w:sz w:val="22"/>
          <w:szCs w:val="22"/>
        </w:rPr>
        <w:t xml:space="preserve"> and budget) to this recovery agenda</w:t>
      </w:r>
      <w:r w:rsidRPr="00E60720">
        <w:rPr>
          <w:rFonts w:asciiTheme="minorHAnsi" w:hAnsiTheme="minorHAnsi" w:cstheme="minorHAnsi"/>
          <w:sz w:val="22"/>
          <w:szCs w:val="22"/>
        </w:rPr>
        <w:t xml:space="preserve">. </w:t>
      </w:r>
    </w:p>
    <w:p w14:paraId="16ABD5D8" w14:textId="77777777" w:rsidR="00E0744A" w:rsidRPr="00E60720" w:rsidRDefault="00E0744A" w:rsidP="00E0744A">
      <w:pPr>
        <w:spacing w:after="120"/>
        <w:rPr>
          <w:rFonts w:asciiTheme="minorHAnsi" w:hAnsiTheme="minorHAnsi" w:cstheme="minorHAnsi"/>
          <w:sz w:val="22"/>
          <w:szCs w:val="22"/>
        </w:rPr>
      </w:pPr>
      <w:r w:rsidRPr="00E60720">
        <w:rPr>
          <w:rFonts w:asciiTheme="minorHAnsi" w:hAnsiTheme="minorHAnsi" w:cstheme="minorHAnsi"/>
          <w:sz w:val="22"/>
          <w:szCs w:val="22"/>
        </w:rPr>
        <w:t>In designing APTC3, the Department of Foreign Affairs and Trade (DFAT) intended three strategic shifts</w:t>
      </w:r>
      <w:r>
        <w:rPr>
          <w:rFonts w:asciiTheme="minorHAnsi" w:hAnsiTheme="minorHAnsi" w:cstheme="minorHAnsi"/>
          <w:sz w:val="22"/>
          <w:szCs w:val="22"/>
        </w:rPr>
        <w:t xml:space="preserve"> (transitions)</w:t>
      </w:r>
      <w:r w:rsidRPr="00E60720">
        <w:rPr>
          <w:rFonts w:asciiTheme="minorHAnsi" w:hAnsiTheme="minorHAnsi" w:cstheme="minorHAnsi"/>
          <w:sz w:val="22"/>
          <w:szCs w:val="22"/>
        </w:rPr>
        <w:t xml:space="preserve">. </w:t>
      </w:r>
      <w:r>
        <w:rPr>
          <w:rFonts w:asciiTheme="minorHAnsi" w:hAnsiTheme="minorHAnsi" w:cstheme="minorHAnsi"/>
          <w:sz w:val="22"/>
          <w:szCs w:val="22"/>
        </w:rPr>
        <w:t xml:space="preserve">The design set an ambitious transition agenda, originally charted over 12 years.  </w:t>
      </w:r>
      <w:r w:rsidRPr="00CE7A72">
        <w:rPr>
          <w:rFonts w:asciiTheme="minorHAnsi" w:hAnsiTheme="minorHAnsi" w:cstheme="minorHAnsi"/>
          <w:b/>
          <w:bCs/>
          <w:sz w:val="22"/>
          <w:szCs w:val="22"/>
        </w:rPr>
        <w:t>The first strategic shift</w:t>
      </w:r>
      <w:r>
        <w:rPr>
          <w:rFonts w:asciiTheme="minorHAnsi" w:hAnsiTheme="minorHAnsi" w:cstheme="minorHAnsi"/>
          <w:sz w:val="22"/>
          <w:szCs w:val="22"/>
        </w:rPr>
        <w:t xml:space="preserve"> was </w:t>
      </w:r>
      <w:r w:rsidRPr="00E60720">
        <w:rPr>
          <w:rFonts w:asciiTheme="minorHAnsi" w:hAnsiTheme="minorHAnsi" w:cstheme="minorHAnsi"/>
          <w:sz w:val="22"/>
          <w:szCs w:val="22"/>
        </w:rPr>
        <w:t xml:space="preserve">based on </w:t>
      </w:r>
      <w:r>
        <w:rPr>
          <w:rFonts w:asciiTheme="minorHAnsi" w:hAnsiTheme="minorHAnsi" w:cstheme="minorHAnsi"/>
          <w:sz w:val="22"/>
          <w:szCs w:val="22"/>
        </w:rPr>
        <w:t xml:space="preserve">a </w:t>
      </w:r>
      <w:r w:rsidRPr="00E60720">
        <w:rPr>
          <w:rFonts w:asciiTheme="minorHAnsi" w:hAnsiTheme="minorHAnsi" w:cstheme="minorHAnsi"/>
          <w:sz w:val="22"/>
          <w:szCs w:val="22"/>
        </w:rPr>
        <w:t xml:space="preserve">finding that ongoing enclave delivery of training as a standalone college was </w:t>
      </w:r>
      <w:r>
        <w:rPr>
          <w:rFonts w:asciiTheme="minorHAnsi" w:hAnsiTheme="minorHAnsi" w:cstheme="minorHAnsi"/>
          <w:sz w:val="22"/>
          <w:szCs w:val="22"/>
        </w:rPr>
        <w:t xml:space="preserve">not scalable, sustainable or </w:t>
      </w:r>
      <w:r w:rsidRPr="00E60720">
        <w:rPr>
          <w:rFonts w:asciiTheme="minorHAnsi" w:hAnsiTheme="minorHAnsi" w:cstheme="minorHAnsi"/>
          <w:sz w:val="22"/>
          <w:szCs w:val="22"/>
        </w:rPr>
        <w:t>value for money</w:t>
      </w:r>
      <w:r>
        <w:rPr>
          <w:rFonts w:asciiTheme="minorHAnsi" w:hAnsiTheme="minorHAnsi" w:cstheme="minorHAnsi"/>
          <w:sz w:val="22"/>
          <w:szCs w:val="22"/>
        </w:rPr>
        <w:t>,</w:t>
      </w:r>
      <w:r w:rsidRPr="00E60720">
        <w:rPr>
          <w:rFonts w:asciiTheme="minorHAnsi" w:hAnsiTheme="minorHAnsi" w:cstheme="minorHAnsi"/>
          <w:sz w:val="22"/>
          <w:szCs w:val="22"/>
        </w:rPr>
        <w:t xml:space="preserve"> and that the practice of </w:t>
      </w:r>
      <w:r>
        <w:rPr>
          <w:rFonts w:asciiTheme="minorHAnsi" w:hAnsiTheme="minorHAnsi" w:cstheme="minorHAnsi"/>
          <w:sz w:val="22"/>
          <w:szCs w:val="22"/>
        </w:rPr>
        <w:t xml:space="preserve">providing </w:t>
      </w:r>
      <w:r w:rsidRPr="00E60720">
        <w:rPr>
          <w:rFonts w:asciiTheme="minorHAnsi" w:hAnsiTheme="minorHAnsi" w:cstheme="minorHAnsi"/>
          <w:sz w:val="22"/>
          <w:szCs w:val="22"/>
        </w:rPr>
        <w:t xml:space="preserve">scholarships for up to 75 per cent of enrolments had led to a supply driven </w:t>
      </w:r>
      <w:r>
        <w:rPr>
          <w:rFonts w:asciiTheme="minorHAnsi" w:hAnsiTheme="minorHAnsi" w:cstheme="minorHAnsi"/>
          <w:sz w:val="22"/>
          <w:szCs w:val="22"/>
        </w:rPr>
        <w:t>model</w:t>
      </w:r>
      <w:r w:rsidRPr="00E60720">
        <w:rPr>
          <w:rFonts w:asciiTheme="minorHAnsi" w:hAnsiTheme="minorHAnsi" w:cstheme="minorHAnsi"/>
          <w:sz w:val="22"/>
          <w:szCs w:val="22"/>
        </w:rPr>
        <w:t xml:space="preserve">. </w:t>
      </w:r>
      <w:r>
        <w:rPr>
          <w:rFonts w:asciiTheme="minorHAnsi" w:hAnsiTheme="minorHAnsi" w:cstheme="minorHAnsi"/>
          <w:sz w:val="22"/>
          <w:szCs w:val="22"/>
        </w:rPr>
        <w:t xml:space="preserve">DFAT sought </w:t>
      </w:r>
      <w:r w:rsidRPr="00E60720">
        <w:rPr>
          <w:rFonts w:asciiTheme="minorHAnsi" w:hAnsiTheme="minorHAnsi" w:cstheme="minorHAnsi"/>
          <w:sz w:val="22"/>
          <w:szCs w:val="22"/>
        </w:rPr>
        <w:t xml:space="preserve">to leverage APTC’s established reputation for quality training and Australia’s reputation more broadly, for quality TVET systems </w:t>
      </w:r>
      <w:proofErr w:type="gramStart"/>
      <w:r w:rsidRPr="00E60720">
        <w:rPr>
          <w:rFonts w:asciiTheme="minorHAnsi" w:hAnsiTheme="minorHAnsi" w:cstheme="minorHAnsi"/>
          <w:sz w:val="22"/>
          <w:szCs w:val="22"/>
        </w:rPr>
        <w:t>in order to</w:t>
      </w:r>
      <w:proofErr w:type="gramEnd"/>
      <w:r w:rsidRPr="00E60720">
        <w:rPr>
          <w:rFonts w:asciiTheme="minorHAnsi" w:hAnsiTheme="minorHAnsi" w:cstheme="minorHAnsi"/>
          <w:sz w:val="22"/>
          <w:szCs w:val="22"/>
        </w:rPr>
        <w:t xml:space="preserve"> reposition/embed APTC within and serving </w:t>
      </w:r>
      <w:r>
        <w:rPr>
          <w:rFonts w:asciiTheme="minorHAnsi" w:hAnsiTheme="minorHAnsi" w:cstheme="minorHAnsi"/>
          <w:sz w:val="22"/>
          <w:szCs w:val="22"/>
        </w:rPr>
        <w:t>a demand driven quality</w:t>
      </w:r>
      <w:r w:rsidRPr="00E60720">
        <w:rPr>
          <w:rFonts w:asciiTheme="minorHAnsi" w:hAnsiTheme="minorHAnsi" w:cstheme="minorHAnsi"/>
          <w:sz w:val="22"/>
          <w:szCs w:val="22"/>
        </w:rPr>
        <w:t xml:space="preserve"> Pacific TVET system. </w:t>
      </w:r>
      <w:r>
        <w:rPr>
          <w:rFonts w:asciiTheme="minorHAnsi" w:hAnsiTheme="minorHAnsi" w:cstheme="minorHAnsi"/>
          <w:sz w:val="22"/>
          <w:szCs w:val="22"/>
        </w:rPr>
        <w:t xml:space="preserve">Through </w:t>
      </w:r>
      <w:r w:rsidRPr="00CE7A72">
        <w:rPr>
          <w:rFonts w:asciiTheme="minorHAnsi" w:hAnsiTheme="minorHAnsi" w:cstheme="minorHAnsi"/>
          <w:sz w:val="22"/>
          <w:szCs w:val="22"/>
        </w:rPr>
        <w:t>APTC3</w:t>
      </w:r>
      <w:r>
        <w:rPr>
          <w:rFonts w:asciiTheme="minorHAnsi" w:hAnsiTheme="minorHAnsi" w:cstheme="minorHAnsi"/>
          <w:sz w:val="22"/>
          <w:szCs w:val="22"/>
        </w:rPr>
        <w:t>, APTC</w:t>
      </w:r>
      <w:r w:rsidRPr="00CE7A72">
        <w:rPr>
          <w:rFonts w:asciiTheme="minorHAnsi" w:hAnsiTheme="minorHAnsi" w:cstheme="minorHAnsi"/>
          <w:sz w:val="22"/>
          <w:szCs w:val="22"/>
        </w:rPr>
        <w:t xml:space="preserve"> </w:t>
      </w:r>
      <w:r>
        <w:rPr>
          <w:rFonts w:asciiTheme="minorHAnsi" w:hAnsiTheme="minorHAnsi" w:cstheme="minorHAnsi"/>
          <w:sz w:val="22"/>
          <w:szCs w:val="22"/>
        </w:rPr>
        <w:t>is contributing</w:t>
      </w:r>
      <w:r w:rsidRPr="00CE7A72">
        <w:rPr>
          <w:rFonts w:asciiTheme="minorHAnsi" w:hAnsiTheme="minorHAnsi" w:cstheme="minorHAnsi"/>
          <w:sz w:val="22"/>
          <w:szCs w:val="22"/>
        </w:rPr>
        <w:t xml:space="preserve"> to </w:t>
      </w:r>
      <w:r w:rsidRPr="00CE7A72">
        <w:rPr>
          <w:rFonts w:asciiTheme="minorHAnsi" w:hAnsiTheme="minorHAnsi" w:cstheme="minorHAnsi"/>
          <w:b/>
          <w:bCs/>
          <w:sz w:val="22"/>
          <w:szCs w:val="22"/>
        </w:rPr>
        <w:t>TVET sector strengthening</w:t>
      </w:r>
      <w:r w:rsidRPr="00CE7A72">
        <w:rPr>
          <w:rFonts w:asciiTheme="minorHAnsi" w:hAnsiTheme="minorHAnsi" w:cstheme="minorHAnsi"/>
          <w:sz w:val="22"/>
          <w:szCs w:val="22"/>
        </w:rPr>
        <w:t xml:space="preserve"> through partnering and to </w:t>
      </w:r>
      <w:r w:rsidRPr="00CE7A72">
        <w:rPr>
          <w:rFonts w:asciiTheme="minorHAnsi" w:hAnsiTheme="minorHAnsi" w:cstheme="minorHAnsi"/>
          <w:b/>
          <w:bCs/>
          <w:sz w:val="22"/>
          <w:szCs w:val="22"/>
        </w:rPr>
        <w:t>TVET systems reform</w:t>
      </w:r>
      <w:r w:rsidRPr="00CE7A72">
        <w:rPr>
          <w:rFonts w:asciiTheme="minorHAnsi" w:hAnsiTheme="minorHAnsi" w:cstheme="minorHAnsi"/>
          <w:sz w:val="22"/>
          <w:szCs w:val="22"/>
        </w:rPr>
        <w:t xml:space="preserve"> through mobilising and/or engaging in coalitions</w:t>
      </w:r>
      <w:r>
        <w:rPr>
          <w:rFonts w:asciiTheme="minorHAnsi" w:hAnsiTheme="minorHAnsi" w:cstheme="minorHAnsi"/>
          <w:sz w:val="22"/>
          <w:szCs w:val="22"/>
        </w:rPr>
        <w:t xml:space="preserve"> and</w:t>
      </w:r>
      <w:r w:rsidRPr="00435C59">
        <w:rPr>
          <w:rFonts w:asciiTheme="minorHAnsi" w:hAnsiTheme="minorHAnsi" w:cstheme="minorHAnsi"/>
          <w:sz w:val="22"/>
          <w:szCs w:val="22"/>
        </w:rPr>
        <w:t xml:space="preserve"> is the means to effectively contribute to a quality Pacific TVET system</w:t>
      </w:r>
      <w:r>
        <w:rPr>
          <w:rFonts w:asciiTheme="minorHAnsi" w:hAnsiTheme="minorHAnsi" w:cstheme="minorHAnsi"/>
          <w:sz w:val="22"/>
          <w:szCs w:val="22"/>
        </w:rPr>
        <w:t>. T</w:t>
      </w:r>
      <w:r w:rsidRPr="00435C59">
        <w:rPr>
          <w:rFonts w:asciiTheme="minorHAnsi" w:hAnsiTheme="minorHAnsi" w:cstheme="minorHAnsi"/>
          <w:sz w:val="22"/>
          <w:szCs w:val="22"/>
        </w:rPr>
        <w:t xml:space="preserve">he Review affirms APTC’s emergent approach based on partnering principles as </w:t>
      </w:r>
      <w:r>
        <w:rPr>
          <w:rFonts w:asciiTheme="minorHAnsi" w:hAnsiTheme="minorHAnsi" w:cstheme="minorHAnsi"/>
          <w:sz w:val="22"/>
          <w:szCs w:val="22"/>
        </w:rPr>
        <w:t xml:space="preserve">very </w:t>
      </w:r>
      <w:r w:rsidRPr="00435C59">
        <w:rPr>
          <w:rFonts w:asciiTheme="minorHAnsi" w:hAnsiTheme="minorHAnsi" w:cstheme="minorHAnsi"/>
          <w:sz w:val="22"/>
          <w:szCs w:val="22"/>
        </w:rPr>
        <w:t>well received in the region and delivering early results</w:t>
      </w:r>
      <w:r w:rsidRPr="00D92EEF">
        <w:rPr>
          <w:rFonts w:asciiTheme="minorHAnsi" w:hAnsiTheme="minorHAnsi" w:cstheme="minorHAnsi"/>
          <w:sz w:val="22"/>
          <w:szCs w:val="22"/>
        </w:rPr>
        <w:t>.</w:t>
      </w:r>
      <w:r>
        <w:rPr>
          <w:rFonts w:asciiTheme="minorHAnsi" w:hAnsiTheme="minorHAnsi" w:cstheme="minorHAnsi"/>
          <w:sz w:val="22"/>
          <w:szCs w:val="22"/>
        </w:rPr>
        <w:t xml:space="preserve"> </w:t>
      </w:r>
      <w:r w:rsidRPr="00435C59">
        <w:rPr>
          <w:rFonts w:asciiTheme="minorHAnsi" w:hAnsiTheme="minorHAnsi" w:cstheme="minorHAnsi"/>
          <w:b/>
          <w:bCs/>
          <w:sz w:val="22"/>
          <w:szCs w:val="22"/>
        </w:rPr>
        <w:t>This approach is positioning APTC to make the most meaningful and scalable contribution to the development of a quality TVET system in the Pacific and (through this) optimise its contribution to socio-economic recovery.</w:t>
      </w:r>
    </w:p>
    <w:p w14:paraId="59377784" w14:textId="77777777" w:rsidR="00E0744A" w:rsidRDefault="00E0744A" w:rsidP="00E0744A">
      <w:pPr>
        <w:spacing w:after="120"/>
        <w:rPr>
          <w:rFonts w:asciiTheme="minorHAnsi" w:hAnsiTheme="minorHAnsi" w:cstheme="minorHAnsi"/>
          <w:sz w:val="22"/>
          <w:szCs w:val="22"/>
        </w:rPr>
      </w:pPr>
      <w:r w:rsidRPr="00D92EEF">
        <w:rPr>
          <w:rFonts w:asciiTheme="minorHAnsi" w:hAnsiTheme="minorHAnsi" w:cstheme="minorHAnsi"/>
          <w:sz w:val="22"/>
          <w:szCs w:val="22"/>
        </w:rPr>
        <w:t xml:space="preserve">The </w:t>
      </w:r>
      <w:r w:rsidRPr="00D92EEF">
        <w:rPr>
          <w:rFonts w:asciiTheme="minorHAnsi" w:hAnsiTheme="minorHAnsi" w:cstheme="minorHAnsi"/>
          <w:b/>
          <w:bCs/>
          <w:sz w:val="22"/>
          <w:szCs w:val="22"/>
        </w:rPr>
        <w:t>second strategic shift</w:t>
      </w:r>
      <w:r>
        <w:rPr>
          <w:rFonts w:asciiTheme="minorHAnsi" w:hAnsiTheme="minorHAnsi" w:cstheme="minorHAnsi"/>
          <w:sz w:val="22"/>
          <w:szCs w:val="22"/>
        </w:rPr>
        <w:t xml:space="preserve">, gradual co-investment, is </w:t>
      </w:r>
      <w:r w:rsidRPr="00E60720">
        <w:rPr>
          <w:rFonts w:asciiTheme="minorHAnsi" w:hAnsiTheme="minorHAnsi" w:cstheme="minorHAnsi"/>
          <w:sz w:val="22"/>
          <w:szCs w:val="22"/>
        </w:rPr>
        <w:t xml:space="preserve">perhaps </w:t>
      </w:r>
      <w:r>
        <w:rPr>
          <w:rFonts w:asciiTheme="minorHAnsi" w:hAnsiTheme="minorHAnsi" w:cstheme="minorHAnsi"/>
          <w:sz w:val="22"/>
          <w:szCs w:val="22"/>
        </w:rPr>
        <w:t xml:space="preserve">more aptly </w:t>
      </w:r>
      <w:r w:rsidRPr="00D92EEF">
        <w:rPr>
          <w:rFonts w:asciiTheme="minorHAnsi" w:hAnsiTheme="minorHAnsi" w:cstheme="minorHAnsi"/>
          <w:sz w:val="22"/>
          <w:szCs w:val="22"/>
        </w:rPr>
        <w:t>framed as an enabling strategy</w:t>
      </w:r>
      <w:r>
        <w:rPr>
          <w:rFonts w:asciiTheme="minorHAnsi" w:hAnsiTheme="minorHAnsi" w:cstheme="minorHAnsi"/>
          <w:sz w:val="22"/>
          <w:szCs w:val="22"/>
        </w:rPr>
        <w:t>. It</w:t>
      </w:r>
      <w:r w:rsidRPr="00D92EEF">
        <w:rPr>
          <w:rFonts w:asciiTheme="minorHAnsi" w:hAnsiTheme="minorHAnsi" w:cstheme="minorHAnsi"/>
          <w:sz w:val="22"/>
          <w:szCs w:val="22"/>
        </w:rPr>
        <w:t xml:space="preserve"> recognises that the emphasis placed on scholarships in previous phases </w:t>
      </w:r>
      <w:r>
        <w:rPr>
          <w:rFonts w:asciiTheme="minorHAnsi" w:hAnsiTheme="minorHAnsi" w:cstheme="minorHAnsi"/>
          <w:sz w:val="22"/>
          <w:szCs w:val="22"/>
        </w:rPr>
        <w:t>is in</w:t>
      </w:r>
      <w:r w:rsidRPr="00D92EEF">
        <w:rPr>
          <w:rFonts w:asciiTheme="minorHAnsi" w:hAnsiTheme="minorHAnsi" w:cstheme="minorHAnsi"/>
          <w:sz w:val="22"/>
          <w:szCs w:val="22"/>
        </w:rPr>
        <w:t>consistent with a demand</w:t>
      </w:r>
      <w:r>
        <w:rPr>
          <w:rFonts w:asciiTheme="minorHAnsi" w:hAnsiTheme="minorHAnsi" w:cstheme="minorHAnsi"/>
          <w:sz w:val="22"/>
          <w:szCs w:val="22"/>
        </w:rPr>
        <w:t xml:space="preserve"> </w:t>
      </w:r>
      <w:r w:rsidRPr="00D92EEF">
        <w:rPr>
          <w:rFonts w:asciiTheme="minorHAnsi" w:hAnsiTheme="minorHAnsi" w:cstheme="minorHAnsi"/>
          <w:sz w:val="22"/>
          <w:szCs w:val="22"/>
        </w:rPr>
        <w:t xml:space="preserve">driven system. </w:t>
      </w:r>
      <w:r>
        <w:rPr>
          <w:rFonts w:asciiTheme="minorHAnsi" w:hAnsiTheme="minorHAnsi" w:cstheme="minorHAnsi"/>
          <w:sz w:val="22"/>
          <w:szCs w:val="22"/>
        </w:rPr>
        <w:t xml:space="preserve"> </w:t>
      </w:r>
      <w:r w:rsidRPr="00D92EEF">
        <w:rPr>
          <w:rFonts w:asciiTheme="minorHAnsi" w:hAnsiTheme="minorHAnsi" w:cstheme="minorHAnsi"/>
          <w:sz w:val="22"/>
          <w:szCs w:val="22"/>
        </w:rPr>
        <w:t xml:space="preserve">Demand can be </w:t>
      </w:r>
      <w:r>
        <w:rPr>
          <w:rFonts w:asciiTheme="minorHAnsi" w:hAnsiTheme="minorHAnsi" w:cstheme="minorHAnsi"/>
          <w:sz w:val="22"/>
          <w:szCs w:val="22"/>
        </w:rPr>
        <w:t>measured</w:t>
      </w:r>
      <w:r w:rsidRPr="00D92EEF">
        <w:rPr>
          <w:rFonts w:asciiTheme="minorHAnsi" w:hAnsiTheme="minorHAnsi" w:cstheme="minorHAnsi"/>
          <w:sz w:val="22"/>
          <w:szCs w:val="22"/>
        </w:rPr>
        <w:t xml:space="preserve"> by </w:t>
      </w:r>
      <w:r>
        <w:rPr>
          <w:rFonts w:asciiTheme="minorHAnsi" w:hAnsiTheme="minorHAnsi" w:cstheme="minorHAnsi"/>
          <w:sz w:val="22"/>
          <w:szCs w:val="22"/>
        </w:rPr>
        <w:t xml:space="preserve">the extent of </w:t>
      </w:r>
      <w:r w:rsidRPr="00D92EEF">
        <w:rPr>
          <w:rFonts w:asciiTheme="minorHAnsi" w:hAnsiTheme="minorHAnsi" w:cstheme="minorHAnsi"/>
          <w:sz w:val="22"/>
          <w:szCs w:val="22"/>
        </w:rPr>
        <w:t xml:space="preserve">co-investment, that is, the willingness to contribute </w:t>
      </w:r>
      <w:r>
        <w:rPr>
          <w:rFonts w:asciiTheme="minorHAnsi" w:hAnsiTheme="minorHAnsi" w:cstheme="minorHAnsi"/>
          <w:sz w:val="22"/>
          <w:szCs w:val="22"/>
        </w:rPr>
        <w:t xml:space="preserve">to TVET </w:t>
      </w:r>
      <w:r w:rsidRPr="00D92EEF">
        <w:rPr>
          <w:rFonts w:asciiTheme="minorHAnsi" w:hAnsiTheme="minorHAnsi" w:cstheme="minorHAnsi"/>
          <w:sz w:val="22"/>
          <w:szCs w:val="22"/>
        </w:rPr>
        <w:t xml:space="preserve">by those who benefit from it – individuals, </w:t>
      </w:r>
      <w:proofErr w:type="gramStart"/>
      <w:r w:rsidRPr="00D92EEF">
        <w:rPr>
          <w:rFonts w:asciiTheme="minorHAnsi" w:hAnsiTheme="minorHAnsi" w:cstheme="minorHAnsi"/>
          <w:sz w:val="22"/>
          <w:szCs w:val="22"/>
        </w:rPr>
        <w:t>employers</w:t>
      </w:r>
      <w:proofErr w:type="gramEnd"/>
      <w:r w:rsidRPr="00D92EEF">
        <w:rPr>
          <w:rFonts w:asciiTheme="minorHAnsi" w:hAnsiTheme="minorHAnsi" w:cstheme="minorHAnsi"/>
          <w:sz w:val="22"/>
          <w:szCs w:val="22"/>
        </w:rPr>
        <w:t xml:space="preserve"> and governments. </w:t>
      </w:r>
      <w:r>
        <w:rPr>
          <w:rFonts w:asciiTheme="minorHAnsi" w:hAnsiTheme="minorHAnsi" w:cstheme="minorHAnsi"/>
          <w:sz w:val="22"/>
          <w:szCs w:val="22"/>
        </w:rPr>
        <w:t xml:space="preserve"> </w:t>
      </w:r>
      <w:r w:rsidRPr="00D92EEF">
        <w:rPr>
          <w:rFonts w:asciiTheme="minorHAnsi" w:hAnsiTheme="minorHAnsi" w:cstheme="minorHAnsi"/>
          <w:sz w:val="22"/>
          <w:szCs w:val="22"/>
        </w:rPr>
        <w:t>It is intended that the principle of co-investment be understood primarily as investment in Pacific TVET, not as investment in APTC</w:t>
      </w:r>
      <w:r>
        <w:rPr>
          <w:rFonts w:asciiTheme="minorHAnsi" w:hAnsiTheme="minorHAnsi" w:cstheme="minorHAnsi"/>
          <w:sz w:val="22"/>
          <w:szCs w:val="22"/>
        </w:rPr>
        <w:t xml:space="preserve"> per se.  </w:t>
      </w:r>
      <w:r w:rsidRPr="00964014">
        <w:rPr>
          <w:rFonts w:asciiTheme="minorHAnsi" w:hAnsiTheme="minorHAnsi" w:cstheme="minorHAnsi"/>
          <w:b/>
          <w:bCs/>
          <w:sz w:val="22"/>
          <w:szCs w:val="22"/>
        </w:rPr>
        <w:t xml:space="preserve">The Review considers this intent </w:t>
      </w:r>
      <w:r>
        <w:rPr>
          <w:rFonts w:asciiTheme="minorHAnsi" w:hAnsiTheme="minorHAnsi" w:cstheme="minorHAnsi"/>
          <w:b/>
          <w:bCs/>
          <w:sz w:val="22"/>
          <w:szCs w:val="22"/>
        </w:rPr>
        <w:t xml:space="preserve">(i.e., investment in the system </w:t>
      </w:r>
      <w:r w:rsidRPr="00D36A0E">
        <w:rPr>
          <w:rFonts w:asciiTheme="minorHAnsi" w:hAnsiTheme="minorHAnsi" w:cstheme="minorHAnsi"/>
          <w:b/>
          <w:bCs/>
          <w:i/>
          <w:iCs/>
          <w:sz w:val="22"/>
          <w:szCs w:val="22"/>
        </w:rPr>
        <w:t>beyond</w:t>
      </w:r>
      <w:r>
        <w:rPr>
          <w:rFonts w:asciiTheme="minorHAnsi" w:hAnsiTheme="minorHAnsi" w:cstheme="minorHAnsi"/>
          <w:b/>
          <w:bCs/>
          <w:sz w:val="22"/>
          <w:szCs w:val="22"/>
        </w:rPr>
        <w:t xml:space="preserve"> just APTC) </w:t>
      </w:r>
      <w:r w:rsidRPr="00964014">
        <w:rPr>
          <w:rFonts w:asciiTheme="minorHAnsi" w:hAnsiTheme="minorHAnsi" w:cstheme="minorHAnsi"/>
          <w:b/>
          <w:bCs/>
          <w:sz w:val="22"/>
          <w:szCs w:val="22"/>
        </w:rPr>
        <w:t xml:space="preserve">has become lost in </w:t>
      </w:r>
      <w:r>
        <w:rPr>
          <w:rFonts w:asciiTheme="minorHAnsi" w:hAnsiTheme="minorHAnsi" w:cstheme="minorHAnsi"/>
          <w:b/>
          <w:bCs/>
          <w:sz w:val="22"/>
          <w:szCs w:val="22"/>
        </w:rPr>
        <w:t>translation. The focus of effort and activity has instead been on co-investment in APTC, which distracts from a focus on contributing to a demand responsive TVET system, which would in turn make co-investment more compelling.</w:t>
      </w:r>
    </w:p>
    <w:p w14:paraId="3FF0D7B3" w14:textId="77777777" w:rsidR="00E0744A" w:rsidRPr="00E60720" w:rsidRDefault="00E0744A" w:rsidP="00E0744A">
      <w:pPr>
        <w:pBdr>
          <w:bottom w:val="single" w:sz="6" w:space="0" w:color="D0CECE" w:themeColor="background2" w:themeShade="E6"/>
        </w:pBdr>
        <w:spacing w:after="120"/>
        <w:rPr>
          <w:rFonts w:asciiTheme="minorHAnsi" w:hAnsiTheme="minorHAnsi" w:cstheme="minorHAnsi"/>
          <w:sz w:val="22"/>
          <w:szCs w:val="22"/>
        </w:rPr>
      </w:pPr>
      <w:r w:rsidRPr="00E60720">
        <w:rPr>
          <w:rFonts w:asciiTheme="minorHAnsi" w:hAnsiTheme="minorHAnsi" w:cstheme="minorHAnsi"/>
          <w:sz w:val="22"/>
          <w:szCs w:val="22"/>
        </w:rPr>
        <w:t xml:space="preserve">And finally, </w:t>
      </w:r>
      <w:r>
        <w:rPr>
          <w:rFonts w:asciiTheme="minorHAnsi" w:hAnsiTheme="minorHAnsi" w:cstheme="minorHAnsi"/>
          <w:sz w:val="22"/>
          <w:szCs w:val="22"/>
        </w:rPr>
        <w:t xml:space="preserve">to </w:t>
      </w:r>
      <w:r w:rsidRPr="00E60720">
        <w:rPr>
          <w:rFonts w:asciiTheme="minorHAnsi" w:hAnsiTheme="minorHAnsi" w:cstheme="minorHAnsi"/>
          <w:sz w:val="22"/>
          <w:szCs w:val="22"/>
        </w:rPr>
        <w:t xml:space="preserve">the </w:t>
      </w:r>
      <w:r w:rsidRPr="00964014">
        <w:rPr>
          <w:rFonts w:asciiTheme="minorHAnsi" w:hAnsiTheme="minorHAnsi" w:cstheme="minorHAnsi"/>
          <w:b/>
          <w:bCs/>
          <w:sz w:val="22"/>
          <w:szCs w:val="22"/>
        </w:rPr>
        <w:t>third strategic shift</w:t>
      </w:r>
      <w:r w:rsidRPr="00E60720">
        <w:rPr>
          <w:rFonts w:asciiTheme="minorHAnsi" w:hAnsiTheme="minorHAnsi" w:cstheme="minorHAnsi"/>
          <w:sz w:val="22"/>
          <w:szCs w:val="22"/>
        </w:rPr>
        <w:t xml:space="preserve">. APTC3 was designed with a renewed emphasis on </w:t>
      </w:r>
      <w:r w:rsidRPr="00E60720">
        <w:rPr>
          <w:rFonts w:asciiTheme="minorHAnsi" w:hAnsiTheme="minorHAnsi" w:cstheme="minorHAnsi"/>
          <w:b/>
          <w:bCs/>
          <w:sz w:val="22"/>
          <w:szCs w:val="22"/>
        </w:rPr>
        <w:t>Labour Mobility</w:t>
      </w:r>
      <w:r w:rsidRPr="00E60720">
        <w:rPr>
          <w:rFonts w:asciiTheme="minorHAnsi" w:hAnsiTheme="minorHAnsi" w:cstheme="minorHAnsi"/>
          <w:sz w:val="22"/>
          <w:szCs w:val="22"/>
        </w:rPr>
        <w:t xml:space="preserve"> to </w:t>
      </w:r>
      <w:r>
        <w:rPr>
          <w:rFonts w:asciiTheme="minorHAnsi" w:hAnsiTheme="minorHAnsi" w:cstheme="minorHAnsi"/>
          <w:sz w:val="22"/>
          <w:szCs w:val="22"/>
        </w:rPr>
        <w:t xml:space="preserve">both </w:t>
      </w:r>
      <w:r w:rsidRPr="00E60720">
        <w:rPr>
          <w:rFonts w:asciiTheme="minorHAnsi" w:hAnsiTheme="minorHAnsi" w:cstheme="minorHAnsi"/>
          <w:sz w:val="22"/>
          <w:szCs w:val="22"/>
        </w:rPr>
        <w:t>increase the value for money proposition</w:t>
      </w:r>
      <w:r>
        <w:rPr>
          <w:rFonts w:asciiTheme="minorHAnsi" w:hAnsiTheme="minorHAnsi" w:cstheme="minorHAnsi"/>
          <w:sz w:val="22"/>
          <w:szCs w:val="22"/>
        </w:rPr>
        <w:t xml:space="preserve"> and meet </w:t>
      </w:r>
      <w:r w:rsidRPr="00E60720">
        <w:rPr>
          <w:rFonts w:asciiTheme="minorHAnsi" w:hAnsiTheme="minorHAnsi" w:cstheme="minorHAnsi"/>
          <w:sz w:val="22"/>
          <w:szCs w:val="22"/>
        </w:rPr>
        <w:t xml:space="preserve">the objectives of Australia’s </w:t>
      </w:r>
      <w:r>
        <w:rPr>
          <w:rFonts w:asciiTheme="minorHAnsi" w:hAnsiTheme="minorHAnsi" w:cstheme="minorHAnsi"/>
          <w:sz w:val="22"/>
          <w:szCs w:val="22"/>
        </w:rPr>
        <w:t xml:space="preserve">Pacific </w:t>
      </w:r>
      <w:r w:rsidRPr="00C80395">
        <w:rPr>
          <w:rFonts w:asciiTheme="minorHAnsi" w:hAnsiTheme="minorHAnsi" w:cstheme="minorHAnsi"/>
          <w:sz w:val="22"/>
          <w:szCs w:val="22"/>
        </w:rPr>
        <w:t>Step</w:t>
      </w:r>
      <w:r>
        <w:rPr>
          <w:rFonts w:asciiTheme="minorHAnsi" w:hAnsiTheme="minorHAnsi" w:cstheme="minorHAnsi"/>
          <w:sz w:val="22"/>
          <w:szCs w:val="22"/>
        </w:rPr>
        <w:t>-u</w:t>
      </w:r>
      <w:r w:rsidRPr="00C80395">
        <w:rPr>
          <w:rFonts w:asciiTheme="minorHAnsi" w:hAnsiTheme="minorHAnsi" w:cstheme="minorHAnsi"/>
          <w:sz w:val="22"/>
          <w:szCs w:val="22"/>
        </w:rPr>
        <w:t>p</w:t>
      </w:r>
      <w:r w:rsidRPr="00E60720">
        <w:rPr>
          <w:rFonts w:asciiTheme="minorHAnsi" w:hAnsiTheme="minorHAnsi" w:cstheme="minorHAnsi"/>
          <w:sz w:val="22"/>
          <w:szCs w:val="22"/>
        </w:rPr>
        <w:t xml:space="preserve"> and </w:t>
      </w:r>
      <w:r>
        <w:rPr>
          <w:rFonts w:asciiTheme="minorHAnsi" w:hAnsiTheme="minorHAnsi" w:cstheme="minorHAnsi"/>
          <w:sz w:val="22"/>
          <w:szCs w:val="22"/>
        </w:rPr>
        <w:t xml:space="preserve">the objectives of </w:t>
      </w:r>
      <w:r w:rsidRPr="00E60720">
        <w:rPr>
          <w:rFonts w:asciiTheme="minorHAnsi" w:hAnsiTheme="minorHAnsi" w:cstheme="minorHAnsi"/>
          <w:sz w:val="22"/>
          <w:szCs w:val="22"/>
        </w:rPr>
        <w:t xml:space="preserve">a growing number of Pacific Countries. Facilitating inclusive and effective labour mobility in the context of COVID-19 is to facilitate shared economic recovery and is </w:t>
      </w:r>
      <w:r w:rsidRPr="00E60720">
        <w:rPr>
          <w:rFonts w:asciiTheme="minorHAnsi" w:hAnsiTheme="minorHAnsi" w:cstheme="minorHAnsi"/>
          <w:sz w:val="22"/>
          <w:szCs w:val="22"/>
        </w:rPr>
        <w:lastRenderedPageBreak/>
        <w:t xml:space="preserve">an excellent expression of mutual benefit, </w:t>
      </w:r>
      <w:r>
        <w:rPr>
          <w:rFonts w:asciiTheme="minorHAnsi" w:hAnsiTheme="minorHAnsi" w:cstheme="minorHAnsi"/>
          <w:sz w:val="22"/>
          <w:szCs w:val="22"/>
        </w:rPr>
        <w:t xml:space="preserve">a </w:t>
      </w:r>
      <w:r w:rsidRPr="00E60720">
        <w:rPr>
          <w:rFonts w:asciiTheme="minorHAnsi" w:hAnsiTheme="minorHAnsi" w:cstheme="minorHAnsi"/>
          <w:sz w:val="22"/>
          <w:szCs w:val="22"/>
        </w:rPr>
        <w:t xml:space="preserve">core </w:t>
      </w:r>
      <w:r>
        <w:rPr>
          <w:rFonts w:asciiTheme="minorHAnsi" w:hAnsiTheme="minorHAnsi" w:cstheme="minorHAnsi"/>
          <w:sz w:val="22"/>
          <w:szCs w:val="22"/>
        </w:rPr>
        <w:t>principle of</w:t>
      </w:r>
      <w:r w:rsidRPr="00E60720">
        <w:rPr>
          <w:rFonts w:asciiTheme="minorHAnsi" w:hAnsiTheme="minorHAnsi" w:cstheme="minorHAnsi"/>
          <w:sz w:val="22"/>
          <w:szCs w:val="22"/>
        </w:rPr>
        <w:t xml:space="preserve"> effective partnerships. </w:t>
      </w:r>
      <w:r w:rsidRPr="00964014">
        <w:rPr>
          <w:rFonts w:asciiTheme="minorHAnsi" w:hAnsiTheme="minorHAnsi" w:cstheme="minorHAnsi"/>
          <w:b/>
          <w:bCs/>
          <w:sz w:val="22"/>
          <w:szCs w:val="22"/>
        </w:rPr>
        <w:t xml:space="preserve">The Review considers this strategic shift needs </w:t>
      </w:r>
      <w:r>
        <w:rPr>
          <w:rFonts w:asciiTheme="minorHAnsi" w:hAnsiTheme="minorHAnsi" w:cstheme="minorHAnsi"/>
          <w:b/>
          <w:bCs/>
          <w:sz w:val="22"/>
          <w:szCs w:val="22"/>
        </w:rPr>
        <w:t xml:space="preserve">prioritising, a reallocation of </w:t>
      </w:r>
      <w:r w:rsidRPr="00964014">
        <w:rPr>
          <w:rFonts w:asciiTheme="minorHAnsi" w:hAnsiTheme="minorHAnsi" w:cstheme="minorHAnsi"/>
          <w:b/>
          <w:bCs/>
          <w:sz w:val="22"/>
          <w:szCs w:val="22"/>
        </w:rPr>
        <w:t xml:space="preserve">resourcing </w:t>
      </w:r>
      <w:proofErr w:type="gramStart"/>
      <w:r>
        <w:rPr>
          <w:rFonts w:asciiTheme="minorHAnsi" w:hAnsiTheme="minorHAnsi" w:cstheme="minorHAnsi"/>
          <w:b/>
          <w:bCs/>
          <w:sz w:val="22"/>
          <w:szCs w:val="22"/>
        </w:rPr>
        <w:t>and</w:t>
      </w:r>
      <w:r w:rsidRPr="00964014">
        <w:rPr>
          <w:rFonts w:asciiTheme="minorHAnsi" w:hAnsiTheme="minorHAnsi" w:cstheme="minorHAnsi"/>
          <w:b/>
          <w:bCs/>
          <w:sz w:val="22"/>
          <w:szCs w:val="22"/>
        </w:rPr>
        <w:t xml:space="preserve"> also</w:t>
      </w:r>
      <w:proofErr w:type="gramEnd"/>
      <w:r w:rsidRPr="00964014">
        <w:rPr>
          <w:rFonts w:asciiTheme="minorHAnsi" w:hAnsiTheme="minorHAnsi" w:cstheme="minorHAnsi"/>
          <w:b/>
          <w:bCs/>
          <w:sz w:val="22"/>
          <w:szCs w:val="22"/>
        </w:rPr>
        <w:t xml:space="preserve"> a </w:t>
      </w:r>
      <w:r>
        <w:rPr>
          <w:rFonts w:asciiTheme="minorHAnsi" w:hAnsiTheme="minorHAnsi" w:cstheme="minorHAnsi"/>
          <w:b/>
          <w:bCs/>
          <w:sz w:val="22"/>
          <w:szCs w:val="22"/>
        </w:rPr>
        <w:t xml:space="preserve">broader non-traditional </w:t>
      </w:r>
      <w:r w:rsidRPr="00964014">
        <w:rPr>
          <w:rFonts w:asciiTheme="minorHAnsi" w:hAnsiTheme="minorHAnsi" w:cstheme="minorHAnsi"/>
          <w:b/>
          <w:bCs/>
          <w:sz w:val="22"/>
          <w:szCs w:val="22"/>
        </w:rPr>
        <w:t xml:space="preserve">redefinition of what it means for APTC to contribute to </w:t>
      </w:r>
      <w:r>
        <w:rPr>
          <w:rFonts w:asciiTheme="minorHAnsi" w:hAnsiTheme="minorHAnsi" w:cstheme="minorHAnsi"/>
          <w:b/>
          <w:bCs/>
          <w:sz w:val="22"/>
          <w:szCs w:val="22"/>
        </w:rPr>
        <w:t xml:space="preserve">Pacific </w:t>
      </w:r>
      <w:r w:rsidRPr="00964014">
        <w:rPr>
          <w:rFonts w:asciiTheme="minorHAnsi" w:hAnsiTheme="minorHAnsi" w:cstheme="minorHAnsi"/>
          <w:b/>
          <w:bCs/>
          <w:sz w:val="22"/>
          <w:szCs w:val="22"/>
        </w:rPr>
        <w:t>labour mobility outcomes</w:t>
      </w:r>
      <w:r>
        <w:rPr>
          <w:rFonts w:asciiTheme="minorHAnsi" w:hAnsiTheme="minorHAnsi" w:cstheme="minorHAnsi"/>
          <w:b/>
          <w:bCs/>
          <w:sz w:val="22"/>
          <w:szCs w:val="22"/>
        </w:rPr>
        <w:t xml:space="preserve">. </w:t>
      </w:r>
      <w:r>
        <w:rPr>
          <w:rFonts w:asciiTheme="minorHAnsi" w:hAnsiTheme="minorHAnsi" w:cstheme="minorHAnsi"/>
          <w:sz w:val="22"/>
          <w:szCs w:val="22"/>
        </w:rPr>
        <w:t xml:space="preserve">The measure could be more than just APTC </w:t>
      </w:r>
      <w:r w:rsidRPr="00E60720">
        <w:rPr>
          <w:rFonts w:asciiTheme="minorHAnsi" w:hAnsiTheme="minorHAnsi" w:cstheme="minorHAnsi"/>
          <w:sz w:val="22"/>
          <w:szCs w:val="22"/>
        </w:rPr>
        <w:t xml:space="preserve">graduates </w:t>
      </w:r>
      <w:r>
        <w:rPr>
          <w:rFonts w:asciiTheme="minorHAnsi" w:hAnsiTheme="minorHAnsi" w:cstheme="minorHAnsi"/>
          <w:sz w:val="22"/>
          <w:szCs w:val="22"/>
        </w:rPr>
        <w:t xml:space="preserve">who take up labour mobility opportunities </w:t>
      </w:r>
      <w:proofErr w:type="gramStart"/>
      <w:r>
        <w:rPr>
          <w:rFonts w:asciiTheme="minorHAnsi" w:hAnsiTheme="minorHAnsi" w:cstheme="minorHAnsi"/>
          <w:sz w:val="22"/>
          <w:szCs w:val="22"/>
        </w:rPr>
        <w:t>and also</w:t>
      </w:r>
      <w:proofErr w:type="gramEnd"/>
      <w:r>
        <w:rPr>
          <w:rFonts w:asciiTheme="minorHAnsi" w:hAnsiTheme="minorHAnsi" w:cstheme="minorHAnsi"/>
          <w:sz w:val="22"/>
          <w:szCs w:val="22"/>
        </w:rPr>
        <w:t xml:space="preserve"> must account for those labour mobility participants who undertake any one of a range of APTC designed/supported preparedness training and/or reintegration support processes. This combination </w:t>
      </w:r>
      <w:r w:rsidRPr="00E60720">
        <w:rPr>
          <w:rFonts w:asciiTheme="minorHAnsi" w:hAnsiTheme="minorHAnsi" w:cstheme="minorHAnsi"/>
          <w:sz w:val="22"/>
          <w:szCs w:val="22"/>
        </w:rPr>
        <w:t>contribute</w:t>
      </w:r>
      <w:r>
        <w:rPr>
          <w:rFonts w:asciiTheme="minorHAnsi" w:hAnsiTheme="minorHAnsi" w:cstheme="minorHAnsi"/>
          <w:sz w:val="22"/>
          <w:szCs w:val="22"/>
        </w:rPr>
        <w:t>s</w:t>
      </w:r>
      <w:r w:rsidRPr="00E60720">
        <w:rPr>
          <w:rFonts w:asciiTheme="minorHAnsi" w:hAnsiTheme="minorHAnsi" w:cstheme="minorHAnsi"/>
          <w:sz w:val="22"/>
          <w:szCs w:val="22"/>
        </w:rPr>
        <w:t xml:space="preserve"> to building </w:t>
      </w:r>
      <w:r>
        <w:rPr>
          <w:rFonts w:asciiTheme="minorHAnsi" w:hAnsiTheme="minorHAnsi" w:cstheme="minorHAnsi"/>
          <w:sz w:val="22"/>
          <w:szCs w:val="22"/>
        </w:rPr>
        <w:t xml:space="preserve">an inclusive, mutually beneficial </w:t>
      </w:r>
      <w:r w:rsidRPr="00E60720">
        <w:rPr>
          <w:rFonts w:asciiTheme="minorHAnsi" w:hAnsiTheme="minorHAnsi" w:cstheme="minorHAnsi"/>
          <w:sz w:val="22"/>
          <w:szCs w:val="22"/>
        </w:rPr>
        <w:t xml:space="preserve">Pacific Labour Scheme. </w:t>
      </w:r>
      <w:r>
        <w:rPr>
          <w:rFonts w:asciiTheme="minorHAnsi" w:hAnsiTheme="minorHAnsi" w:cstheme="minorHAnsi"/>
          <w:sz w:val="22"/>
          <w:szCs w:val="22"/>
        </w:rPr>
        <w:t>Ideally, APTC would, over time, work with and through national providers to support scale and sustainability.</w:t>
      </w:r>
    </w:p>
    <w:p w14:paraId="158FB237" w14:textId="77777777" w:rsidR="00E0744A" w:rsidRDefault="00E0744A" w:rsidP="00E0744A">
      <w:pPr>
        <w:pBdr>
          <w:bottom w:val="single" w:sz="6" w:space="0" w:color="D0CECE" w:themeColor="background2" w:themeShade="E6"/>
        </w:pBdr>
        <w:rPr>
          <w:rFonts w:asciiTheme="minorHAnsi" w:hAnsiTheme="minorHAnsi" w:cstheme="minorHAnsi"/>
          <w:sz w:val="22"/>
          <w:szCs w:val="22"/>
        </w:rPr>
      </w:pPr>
      <w:r w:rsidRPr="00E60720">
        <w:rPr>
          <w:rFonts w:asciiTheme="minorHAnsi" w:hAnsiTheme="minorHAnsi" w:cstheme="minorHAnsi"/>
          <w:sz w:val="22"/>
          <w:szCs w:val="22"/>
        </w:rPr>
        <w:t>The Review</w:t>
      </w:r>
      <w:r>
        <w:rPr>
          <w:rFonts w:asciiTheme="minorHAnsi" w:hAnsiTheme="minorHAnsi" w:cstheme="minorHAnsi"/>
          <w:sz w:val="22"/>
          <w:szCs w:val="22"/>
        </w:rPr>
        <w:t xml:space="preserve"> process, together with the impacts of </w:t>
      </w:r>
      <w:r w:rsidRPr="00E60720">
        <w:rPr>
          <w:rFonts w:asciiTheme="minorHAnsi" w:hAnsiTheme="minorHAnsi" w:cstheme="minorHAnsi"/>
          <w:sz w:val="22"/>
          <w:szCs w:val="22"/>
        </w:rPr>
        <w:t>COVID-19</w:t>
      </w:r>
      <w:r>
        <w:rPr>
          <w:rFonts w:asciiTheme="minorHAnsi" w:hAnsiTheme="minorHAnsi" w:cstheme="minorHAnsi"/>
          <w:sz w:val="22"/>
          <w:szCs w:val="22"/>
        </w:rPr>
        <w:t>,</w:t>
      </w:r>
      <w:r w:rsidRPr="00E60720">
        <w:rPr>
          <w:rFonts w:asciiTheme="minorHAnsi" w:hAnsiTheme="minorHAnsi" w:cstheme="minorHAnsi"/>
          <w:sz w:val="22"/>
          <w:szCs w:val="22"/>
        </w:rPr>
        <w:t xml:space="preserve"> ha</w:t>
      </w:r>
      <w:r>
        <w:rPr>
          <w:rFonts w:asciiTheme="minorHAnsi" w:hAnsiTheme="minorHAnsi" w:cstheme="minorHAnsi"/>
          <w:sz w:val="22"/>
          <w:szCs w:val="22"/>
        </w:rPr>
        <w:t>ve</w:t>
      </w:r>
      <w:r w:rsidRPr="00E60720">
        <w:rPr>
          <w:rFonts w:asciiTheme="minorHAnsi" w:hAnsiTheme="minorHAnsi" w:cstheme="minorHAnsi"/>
          <w:sz w:val="22"/>
          <w:szCs w:val="22"/>
        </w:rPr>
        <w:t xml:space="preserve"> put APTC’s transition/response to </w:t>
      </w:r>
      <w:r>
        <w:rPr>
          <w:rFonts w:asciiTheme="minorHAnsi" w:hAnsiTheme="minorHAnsi" w:cstheme="minorHAnsi"/>
          <w:sz w:val="22"/>
          <w:szCs w:val="22"/>
        </w:rPr>
        <w:t xml:space="preserve">the </w:t>
      </w:r>
      <w:r w:rsidRPr="00E60720">
        <w:rPr>
          <w:rFonts w:asciiTheme="minorHAnsi" w:hAnsiTheme="minorHAnsi" w:cstheme="minorHAnsi"/>
          <w:sz w:val="22"/>
          <w:szCs w:val="22"/>
        </w:rPr>
        <w:t xml:space="preserve">APTC3 design under the spotlight. </w:t>
      </w:r>
      <w:r>
        <w:rPr>
          <w:rFonts w:asciiTheme="minorHAnsi" w:hAnsiTheme="minorHAnsi" w:cstheme="minorHAnsi"/>
          <w:sz w:val="22"/>
          <w:szCs w:val="22"/>
        </w:rPr>
        <w:t>In just over two years the transition foundations have been developed and implementation is underway. Now</w:t>
      </w:r>
      <w:r w:rsidRPr="00B838AA">
        <w:rPr>
          <w:rFonts w:asciiTheme="minorHAnsi" w:hAnsiTheme="minorHAnsi" w:cstheme="minorHAnsi"/>
          <w:b/>
          <w:bCs/>
          <w:sz w:val="22"/>
          <w:szCs w:val="22"/>
        </w:rPr>
        <w:t xml:space="preserve">, </w:t>
      </w:r>
      <w:proofErr w:type="gramStart"/>
      <w:r w:rsidRPr="00B838AA">
        <w:rPr>
          <w:rFonts w:asciiTheme="minorHAnsi" w:hAnsiTheme="minorHAnsi" w:cstheme="minorHAnsi"/>
          <w:b/>
          <w:bCs/>
          <w:sz w:val="22"/>
          <w:szCs w:val="22"/>
        </w:rPr>
        <w:t>f</w:t>
      </w:r>
      <w:r w:rsidRPr="00964014">
        <w:rPr>
          <w:rFonts w:asciiTheme="minorHAnsi" w:hAnsiTheme="minorHAnsi" w:cstheme="minorHAnsi"/>
          <w:b/>
          <w:bCs/>
          <w:sz w:val="22"/>
          <w:szCs w:val="22"/>
        </w:rPr>
        <w:t>airly</w:t>
      </w:r>
      <w:proofErr w:type="gramEnd"/>
      <w:r w:rsidRPr="00964014">
        <w:rPr>
          <w:rFonts w:asciiTheme="minorHAnsi" w:hAnsiTheme="minorHAnsi" w:cstheme="minorHAnsi"/>
          <w:b/>
          <w:bCs/>
          <w:sz w:val="22"/>
          <w:szCs w:val="22"/>
        </w:rPr>
        <w:t xml:space="preserve"> or otherwise, the </w:t>
      </w:r>
      <w:r>
        <w:rPr>
          <w:rFonts w:asciiTheme="minorHAnsi" w:hAnsiTheme="minorHAnsi" w:cstheme="minorHAnsi"/>
          <w:b/>
          <w:bCs/>
          <w:sz w:val="22"/>
          <w:szCs w:val="22"/>
        </w:rPr>
        <w:t xml:space="preserve">impacts of COVID-19 </w:t>
      </w:r>
      <w:r w:rsidRPr="00964014">
        <w:rPr>
          <w:rFonts w:asciiTheme="minorHAnsi" w:hAnsiTheme="minorHAnsi" w:cstheme="minorHAnsi"/>
          <w:b/>
          <w:bCs/>
          <w:sz w:val="22"/>
          <w:szCs w:val="22"/>
        </w:rPr>
        <w:t>call for</w:t>
      </w:r>
      <w:r>
        <w:rPr>
          <w:rFonts w:asciiTheme="minorHAnsi" w:hAnsiTheme="minorHAnsi" w:cstheme="minorHAnsi"/>
          <w:b/>
          <w:bCs/>
          <w:sz w:val="22"/>
          <w:szCs w:val="22"/>
        </w:rPr>
        <w:t xml:space="preserve"> agility and speed, and </w:t>
      </w:r>
      <w:r w:rsidRPr="00964014">
        <w:rPr>
          <w:rFonts w:asciiTheme="minorHAnsi" w:hAnsiTheme="minorHAnsi" w:cstheme="minorHAnsi"/>
          <w:b/>
          <w:bCs/>
          <w:sz w:val="22"/>
          <w:szCs w:val="22"/>
        </w:rPr>
        <w:t>a tightening of strategy</w:t>
      </w:r>
      <w:r>
        <w:rPr>
          <w:rFonts w:asciiTheme="minorHAnsi" w:hAnsiTheme="minorHAnsi" w:cstheme="minorHAnsi"/>
          <w:b/>
          <w:bCs/>
          <w:sz w:val="22"/>
          <w:szCs w:val="22"/>
        </w:rPr>
        <w:t xml:space="preserve"> and execution. </w:t>
      </w:r>
      <w:r w:rsidRPr="006529F9">
        <w:rPr>
          <w:rFonts w:asciiTheme="minorHAnsi" w:hAnsiTheme="minorHAnsi" w:cstheme="minorHAnsi"/>
          <w:sz w:val="22"/>
          <w:szCs w:val="22"/>
        </w:rPr>
        <w:t>Further, a revised Monitoring and Evaluation Framework and supporting systems that can captu</w:t>
      </w:r>
      <w:r w:rsidRPr="00E60720">
        <w:rPr>
          <w:rFonts w:asciiTheme="minorHAnsi" w:hAnsiTheme="minorHAnsi" w:cstheme="minorHAnsi"/>
          <w:sz w:val="22"/>
          <w:szCs w:val="22"/>
        </w:rPr>
        <w:t>re the cost and impact of the interventions being made</w:t>
      </w:r>
      <w:r>
        <w:rPr>
          <w:rFonts w:asciiTheme="minorHAnsi" w:hAnsiTheme="minorHAnsi" w:cstheme="minorHAnsi"/>
          <w:sz w:val="22"/>
          <w:szCs w:val="22"/>
        </w:rPr>
        <w:t xml:space="preserve"> (and aligned to Pacific priorities and DFAT country and regional-level COVID Response Plans) is critical. This will </w:t>
      </w:r>
      <w:r w:rsidRPr="00E60720">
        <w:rPr>
          <w:rFonts w:asciiTheme="minorHAnsi" w:hAnsiTheme="minorHAnsi" w:cstheme="minorHAnsi"/>
          <w:sz w:val="22"/>
          <w:szCs w:val="22"/>
        </w:rPr>
        <w:t>inform reporting and communication products that support strategic and judicious decision making. This is important always but</w:t>
      </w:r>
      <w:r>
        <w:rPr>
          <w:rFonts w:asciiTheme="minorHAnsi" w:hAnsiTheme="minorHAnsi" w:cstheme="minorHAnsi"/>
          <w:sz w:val="22"/>
          <w:szCs w:val="22"/>
        </w:rPr>
        <w:t xml:space="preserve"> particularly</w:t>
      </w:r>
      <w:r w:rsidRPr="00E60720">
        <w:rPr>
          <w:rFonts w:asciiTheme="minorHAnsi" w:hAnsiTheme="minorHAnsi" w:cstheme="minorHAnsi"/>
          <w:sz w:val="22"/>
          <w:szCs w:val="22"/>
        </w:rPr>
        <w:t xml:space="preserve"> critical at a time when the ground keeps moving. COVID-19 and its impacts on </w:t>
      </w:r>
      <w:r>
        <w:rPr>
          <w:rFonts w:asciiTheme="minorHAnsi" w:hAnsiTheme="minorHAnsi" w:cstheme="minorHAnsi"/>
          <w:sz w:val="22"/>
          <w:szCs w:val="22"/>
        </w:rPr>
        <w:t xml:space="preserve">the </w:t>
      </w:r>
      <w:r w:rsidRPr="00E60720">
        <w:rPr>
          <w:rFonts w:asciiTheme="minorHAnsi" w:hAnsiTheme="minorHAnsi" w:cstheme="minorHAnsi"/>
          <w:sz w:val="22"/>
          <w:szCs w:val="22"/>
        </w:rPr>
        <w:t xml:space="preserve">labour markets and economies of the Pacific will be reverberating for many years yet and for Australia to make a more meaningful contribution through APTC </w:t>
      </w:r>
      <w:proofErr w:type="gramStart"/>
      <w:r w:rsidRPr="00E60720">
        <w:rPr>
          <w:rFonts w:asciiTheme="minorHAnsi" w:hAnsiTheme="minorHAnsi" w:cstheme="minorHAnsi"/>
          <w:sz w:val="22"/>
          <w:szCs w:val="22"/>
        </w:rPr>
        <w:t>a number of</w:t>
      </w:r>
      <w:proofErr w:type="gramEnd"/>
      <w:r w:rsidRPr="00E60720">
        <w:rPr>
          <w:rFonts w:asciiTheme="minorHAnsi" w:hAnsiTheme="minorHAnsi" w:cstheme="minorHAnsi"/>
          <w:sz w:val="22"/>
          <w:szCs w:val="22"/>
        </w:rPr>
        <w:t xml:space="preserve"> priority actions are </w:t>
      </w:r>
      <w:r>
        <w:rPr>
          <w:rFonts w:asciiTheme="minorHAnsi" w:hAnsiTheme="minorHAnsi" w:cstheme="minorHAnsi"/>
          <w:sz w:val="22"/>
          <w:szCs w:val="22"/>
        </w:rPr>
        <w:t>recommended</w:t>
      </w:r>
      <w:r w:rsidRPr="00E60720">
        <w:rPr>
          <w:rFonts w:asciiTheme="minorHAnsi" w:hAnsiTheme="minorHAnsi" w:cstheme="minorHAnsi"/>
          <w:sz w:val="22"/>
          <w:szCs w:val="22"/>
        </w:rPr>
        <w:t>.</w:t>
      </w:r>
      <w:bookmarkStart w:id="2" w:name="_Toc58508845"/>
    </w:p>
    <w:p w14:paraId="44B4A6B2" w14:textId="77777777" w:rsidR="00E0744A" w:rsidRDefault="00E0744A" w:rsidP="00E0744A">
      <w:pPr>
        <w:pBdr>
          <w:bottom w:val="single" w:sz="6" w:space="0" w:color="D0CECE" w:themeColor="background2" w:themeShade="E6"/>
        </w:pBdr>
        <w:rPr>
          <w:rFonts w:ascii="Calibri" w:hAnsi="Calibri"/>
          <w:b/>
          <w:bCs/>
          <w:i/>
          <w:iCs/>
          <w:u w:val="single"/>
          <w:lang w:val="en-GB"/>
        </w:rPr>
      </w:pPr>
    </w:p>
    <w:p w14:paraId="616BD5C6" w14:textId="22D5F032" w:rsidR="00E0744A" w:rsidRDefault="00E0744A" w:rsidP="00E0744A">
      <w:pPr>
        <w:pBdr>
          <w:bottom w:val="single" w:sz="6" w:space="0" w:color="D0CECE" w:themeColor="background2" w:themeShade="E6"/>
        </w:pBdr>
        <w:spacing w:after="120"/>
        <w:rPr>
          <w:rFonts w:ascii="Calibri" w:eastAsia="Arial" w:hAnsi="Calibri"/>
          <w:b/>
          <w:bCs/>
          <w:i/>
          <w:iCs/>
          <w:sz w:val="22"/>
          <w:szCs w:val="22"/>
          <w:u w:val="single"/>
          <w:lang w:val="en-GB"/>
        </w:rPr>
      </w:pPr>
      <w:r w:rsidRPr="00E60720">
        <w:rPr>
          <w:rFonts w:ascii="Calibri" w:eastAsia="Arial" w:hAnsi="Calibri"/>
          <w:b/>
          <w:bCs/>
          <w:i/>
          <w:iCs/>
          <w:sz w:val="22"/>
          <w:szCs w:val="22"/>
          <w:u w:val="single"/>
          <w:lang w:val="en-GB"/>
        </w:rPr>
        <w:t>Summary of key findings and recommendations</w:t>
      </w:r>
    </w:p>
    <w:p w14:paraId="046C6577" w14:textId="4D7D3BA7" w:rsidR="007C55AB" w:rsidRDefault="007C55AB" w:rsidP="00F06403">
      <w:pPr>
        <w:spacing w:after="240"/>
        <w:rPr>
          <w:rFonts w:ascii="Calibri" w:eastAsia="Arial" w:hAnsi="Calibri"/>
          <w:b/>
          <w:bCs/>
          <w:i/>
          <w:iCs/>
          <w:sz w:val="22"/>
          <w:szCs w:val="22"/>
          <w:u w:val="single"/>
          <w:lang w:val="en-GB"/>
        </w:rPr>
      </w:pPr>
      <w:r w:rsidRPr="00B838AA">
        <w:rPr>
          <w:rFonts w:asciiTheme="minorHAnsi" w:hAnsiTheme="minorHAnsi" w:cstheme="minorHAnsi"/>
          <w:b/>
          <w:bCs/>
          <w:i/>
          <w:iCs/>
          <w:color w:val="4472C4" w:themeColor="accent1"/>
          <w:sz w:val="20"/>
          <w:szCs w:val="20"/>
        </w:rPr>
        <w:t>What role might APTC play in supporting economic recovery in Pacific Island Countries, and in Australia, over the next 5 years?</w:t>
      </w:r>
    </w:p>
    <w:tbl>
      <w:tblPr>
        <w:tblStyle w:val="TableGrid"/>
        <w:tblW w:w="9351" w:type="dxa"/>
        <w:tblLook w:val="04A0" w:firstRow="1" w:lastRow="0" w:firstColumn="1" w:lastColumn="0" w:noHBand="0" w:noVBand="1"/>
      </w:tblPr>
      <w:tblGrid>
        <w:gridCol w:w="897"/>
        <w:gridCol w:w="3854"/>
        <w:gridCol w:w="4600"/>
      </w:tblGrid>
      <w:tr w:rsidR="007C55AB" w:rsidRPr="00C7207F" w14:paraId="65B17D91" w14:textId="77777777" w:rsidTr="007C55AB">
        <w:trPr>
          <w:tblHeader/>
        </w:trPr>
        <w:tc>
          <w:tcPr>
            <w:tcW w:w="562" w:type="dxa"/>
          </w:tcPr>
          <w:p w14:paraId="78734C80" w14:textId="3C6CF7A9" w:rsidR="007C55AB" w:rsidRPr="00B838AA" w:rsidRDefault="007C55AB" w:rsidP="003B1CE9">
            <w:pPr>
              <w:spacing w:before="60" w:after="160"/>
              <w:rPr>
                <w:rFonts w:asciiTheme="minorHAnsi" w:hAnsiTheme="minorHAnsi"/>
                <w:b/>
                <w:bCs/>
                <w:sz w:val="20"/>
                <w:szCs w:val="20"/>
              </w:rPr>
            </w:pPr>
            <w:r>
              <w:rPr>
                <w:rFonts w:asciiTheme="minorHAnsi" w:hAnsiTheme="minorHAnsi"/>
                <w:b/>
                <w:bCs/>
                <w:sz w:val="20"/>
                <w:szCs w:val="20"/>
              </w:rPr>
              <w:t>Number</w:t>
            </w:r>
          </w:p>
        </w:tc>
        <w:tc>
          <w:tcPr>
            <w:tcW w:w="3994" w:type="dxa"/>
          </w:tcPr>
          <w:p w14:paraId="00F50857" w14:textId="2EEA367A" w:rsidR="007C55AB" w:rsidRPr="00B838AA" w:rsidRDefault="007C55AB" w:rsidP="003B1CE9">
            <w:pPr>
              <w:spacing w:before="60" w:after="160"/>
              <w:rPr>
                <w:rFonts w:asciiTheme="minorHAnsi" w:hAnsiTheme="minorHAnsi"/>
                <w:b/>
                <w:bCs/>
                <w:sz w:val="20"/>
                <w:szCs w:val="20"/>
              </w:rPr>
            </w:pPr>
            <w:r w:rsidRPr="00B838AA">
              <w:rPr>
                <w:rFonts w:asciiTheme="minorHAnsi" w:hAnsiTheme="minorHAnsi"/>
                <w:b/>
                <w:bCs/>
                <w:sz w:val="20"/>
                <w:szCs w:val="20"/>
              </w:rPr>
              <w:t>Key Finding</w:t>
            </w:r>
          </w:p>
        </w:tc>
        <w:tc>
          <w:tcPr>
            <w:tcW w:w="4795" w:type="dxa"/>
          </w:tcPr>
          <w:p w14:paraId="534DAB4D" w14:textId="77777777" w:rsidR="007C55AB" w:rsidRPr="00B838AA" w:rsidRDefault="007C55AB" w:rsidP="003B1CE9">
            <w:pPr>
              <w:spacing w:before="60" w:after="160"/>
              <w:rPr>
                <w:rFonts w:asciiTheme="minorHAnsi" w:hAnsiTheme="minorHAnsi"/>
                <w:b/>
                <w:bCs/>
                <w:sz w:val="20"/>
                <w:szCs w:val="20"/>
              </w:rPr>
            </w:pPr>
            <w:r w:rsidRPr="00B838AA">
              <w:rPr>
                <w:rFonts w:asciiTheme="minorHAnsi" w:hAnsiTheme="minorHAnsi"/>
                <w:b/>
                <w:bCs/>
                <w:sz w:val="20"/>
                <w:szCs w:val="20"/>
              </w:rPr>
              <w:t>Recommendation</w:t>
            </w:r>
          </w:p>
        </w:tc>
      </w:tr>
      <w:tr w:rsidR="00E0744A" w:rsidRPr="00EB7327" w14:paraId="39FE875B" w14:textId="77777777" w:rsidTr="007C55AB">
        <w:tc>
          <w:tcPr>
            <w:tcW w:w="562" w:type="dxa"/>
          </w:tcPr>
          <w:p w14:paraId="137EA4BE" w14:textId="77777777" w:rsidR="00E0744A" w:rsidRPr="00B838AA" w:rsidRDefault="00E0744A" w:rsidP="003B1CE9">
            <w:pPr>
              <w:spacing w:before="60" w:after="60"/>
              <w:rPr>
                <w:rFonts w:asciiTheme="minorHAnsi" w:hAnsiTheme="minorHAnsi" w:cstheme="minorHAnsi"/>
                <w:sz w:val="20"/>
                <w:szCs w:val="20"/>
                <w:lang w:val="en-US"/>
              </w:rPr>
            </w:pPr>
            <w:r w:rsidRPr="00B838AA">
              <w:rPr>
                <w:rFonts w:asciiTheme="minorHAnsi" w:hAnsiTheme="minorHAnsi" w:cstheme="minorHAnsi"/>
                <w:sz w:val="20"/>
                <w:szCs w:val="20"/>
                <w:lang w:val="en-US"/>
              </w:rPr>
              <w:t>1.</w:t>
            </w:r>
          </w:p>
        </w:tc>
        <w:tc>
          <w:tcPr>
            <w:tcW w:w="3994" w:type="dxa"/>
          </w:tcPr>
          <w:p w14:paraId="7C82D5B3" w14:textId="77777777" w:rsidR="00E0744A" w:rsidRPr="00B838A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TVET and skills development more broadly is a key instrument for supporting passage through the COVID-19 crisis and the emergent socio-economic recovery.</w:t>
            </w:r>
          </w:p>
          <w:p w14:paraId="424D3B93" w14:textId="77777777" w:rsidR="00E0744A" w:rsidRPr="00B838AA" w:rsidRDefault="00E0744A" w:rsidP="00E0744A">
            <w:pPr>
              <w:pStyle w:val="ListParagraph"/>
              <w:numPr>
                <w:ilvl w:val="0"/>
                <w:numId w:val="2"/>
              </w:numPr>
              <w:spacing w:before="60" w:after="60"/>
              <w:ind w:left="275" w:hanging="275"/>
              <w:rPr>
                <w:rFonts w:asciiTheme="minorHAnsi" w:hAnsiTheme="minorHAnsi" w:cstheme="minorHAnsi"/>
                <w:color w:val="222222"/>
                <w:sz w:val="20"/>
                <w:szCs w:val="20"/>
                <w:lang w:eastAsia="en-AU"/>
              </w:rPr>
            </w:pPr>
            <w:r w:rsidRPr="00B838AA">
              <w:rPr>
                <w:rFonts w:asciiTheme="minorHAnsi" w:hAnsiTheme="minorHAnsi" w:cstheme="minorHAnsi"/>
                <w:sz w:val="20"/>
                <w:szCs w:val="20"/>
                <w:lang w:val="en-US"/>
              </w:rPr>
              <w:t xml:space="preserve">When benchmarked against WBG and ADB frameworks for TVET support to </w:t>
            </w:r>
            <w:r>
              <w:rPr>
                <w:rFonts w:asciiTheme="minorHAnsi" w:hAnsiTheme="minorHAnsi" w:cstheme="minorHAnsi"/>
                <w:sz w:val="20"/>
                <w:szCs w:val="20"/>
                <w:lang w:val="en-US"/>
              </w:rPr>
              <w:t>socio-</w:t>
            </w:r>
            <w:r w:rsidRPr="00B838AA">
              <w:rPr>
                <w:rFonts w:asciiTheme="minorHAnsi" w:hAnsiTheme="minorHAnsi" w:cstheme="minorHAnsi"/>
                <w:sz w:val="20"/>
                <w:szCs w:val="20"/>
                <w:lang w:val="en-US"/>
              </w:rPr>
              <w:t xml:space="preserve">economic recovery, APTC’s interventions </w:t>
            </w:r>
            <w:r>
              <w:rPr>
                <w:rFonts w:asciiTheme="minorHAnsi" w:hAnsiTheme="minorHAnsi" w:cstheme="minorHAnsi"/>
                <w:sz w:val="20"/>
                <w:szCs w:val="20"/>
                <w:lang w:val="en-US"/>
              </w:rPr>
              <w:t xml:space="preserve">since </w:t>
            </w:r>
            <w:r w:rsidRPr="00B838AA">
              <w:rPr>
                <w:rFonts w:asciiTheme="minorHAnsi" w:hAnsiTheme="minorHAnsi" w:cstheme="minorHAnsi"/>
                <w:sz w:val="20"/>
                <w:szCs w:val="20"/>
                <w:lang w:val="en-US"/>
              </w:rPr>
              <w:t xml:space="preserve">COVID-19 </w:t>
            </w:r>
            <w:r>
              <w:rPr>
                <w:rFonts w:asciiTheme="minorHAnsi" w:hAnsiTheme="minorHAnsi" w:cstheme="minorHAnsi"/>
                <w:sz w:val="20"/>
                <w:szCs w:val="20"/>
                <w:lang w:val="en-US"/>
              </w:rPr>
              <w:t>are well aligned.</w:t>
            </w:r>
          </w:p>
        </w:tc>
        <w:tc>
          <w:tcPr>
            <w:tcW w:w="4795" w:type="dxa"/>
          </w:tcPr>
          <w:p w14:paraId="27F34082" w14:textId="77777777" w:rsidR="00E0744A" w:rsidRPr="00B838AA" w:rsidRDefault="00E0744A" w:rsidP="00E0744A">
            <w:pPr>
              <w:pStyle w:val="ListParagraph"/>
              <w:numPr>
                <w:ilvl w:val="0"/>
                <w:numId w:val="2"/>
              </w:numPr>
              <w:spacing w:before="60" w:after="60"/>
              <w:ind w:left="275" w:hanging="275"/>
              <w:rPr>
                <w:rFonts w:asciiTheme="minorHAnsi" w:hAnsiTheme="minorHAnsi" w:cstheme="minorHAnsi"/>
                <w:color w:val="222222"/>
                <w:sz w:val="20"/>
                <w:szCs w:val="20"/>
                <w:lang w:eastAsia="en-AU"/>
              </w:rPr>
            </w:pPr>
            <w:r w:rsidRPr="00B838AA">
              <w:rPr>
                <w:rFonts w:asciiTheme="minorHAnsi" w:hAnsiTheme="minorHAnsi" w:cstheme="minorHAnsi"/>
                <w:sz w:val="20"/>
                <w:szCs w:val="20"/>
                <w:lang w:val="en-US"/>
              </w:rPr>
              <w:t xml:space="preserve">All efforts by APTC both </w:t>
            </w:r>
            <w:r>
              <w:rPr>
                <w:rFonts w:asciiTheme="minorHAnsi" w:hAnsiTheme="minorHAnsi" w:cstheme="minorHAnsi"/>
                <w:sz w:val="20"/>
                <w:szCs w:val="20"/>
                <w:lang w:val="en-US"/>
              </w:rPr>
              <w:t xml:space="preserve">in </w:t>
            </w:r>
            <w:r w:rsidRPr="00B838AA">
              <w:rPr>
                <w:rFonts w:asciiTheme="minorHAnsi" w:hAnsiTheme="minorHAnsi" w:cstheme="minorHAnsi"/>
                <w:sz w:val="20"/>
                <w:szCs w:val="20"/>
                <w:lang w:val="en-US"/>
              </w:rPr>
              <w:t>their supporting TVET strengthening</w:t>
            </w:r>
            <w:r>
              <w:rPr>
                <w:rFonts w:asciiTheme="minorHAnsi" w:hAnsiTheme="minorHAnsi" w:cstheme="minorHAnsi"/>
                <w:sz w:val="20"/>
                <w:szCs w:val="20"/>
                <w:lang w:val="en-US"/>
              </w:rPr>
              <w:t>/T</w:t>
            </w:r>
            <w:r w:rsidRPr="00B838AA">
              <w:rPr>
                <w:rFonts w:asciiTheme="minorHAnsi" w:hAnsiTheme="minorHAnsi" w:cstheme="minorHAnsi"/>
                <w:sz w:val="20"/>
                <w:szCs w:val="20"/>
                <w:lang w:val="en-US"/>
              </w:rPr>
              <w:t xml:space="preserve">VET systems reform role, and in their training role, must be corralled to an unequivocal and shared purpose: </w:t>
            </w:r>
            <w:r w:rsidRPr="000778E0">
              <w:rPr>
                <w:rFonts w:asciiTheme="minorHAnsi" w:hAnsiTheme="minorHAnsi" w:cstheme="minorHAnsi"/>
                <w:i/>
                <w:iCs/>
                <w:sz w:val="20"/>
                <w:szCs w:val="20"/>
                <w:lang w:val="en-US"/>
              </w:rPr>
              <w:t>skills for inclusive recovery and employment.</w:t>
            </w:r>
          </w:p>
        </w:tc>
      </w:tr>
      <w:tr w:rsidR="00E0744A" w:rsidRPr="00EB7327" w14:paraId="5262987B" w14:textId="77777777" w:rsidTr="007C55AB">
        <w:tc>
          <w:tcPr>
            <w:tcW w:w="562" w:type="dxa"/>
          </w:tcPr>
          <w:p w14:paraId="749B7683" w14:textId="77777777" w:rsidR="00E0744A" w:rsidRPr="00B838AA" w:rsidRDefault="00E0744A" w:rsidP="003B1CE9">
            <w:pPr>
              <w:spacing w:before="60" w:after="60"/>
              <w:rPr>
                <w:rFonts w:asciiTheme="minorHAnsi" w:hAnsiTheme="minorHAnsi" w:cstheme="minorHAnsi"/>
                <w:sz w:val="20"/>
                <w:szCs w:val="20"/>
                <w:lang w:val="en-US"/>
              </w:rPr>
            </w:pPr>
            <w:r>
              <w:rPr>
                <w:rFonts w:asciiTheme="minorHAnsi" w:hAnsiTheme="minorHAnsi" w:cstheme="minorHAnsi"/>
                <w:sz w:val="20"/>
                <w:szCs w:val="20"/>
                <w:lang w:val="en-US"/>
              </w:rPr>
              <w:t>2</w:t>
            </w:r>
          </w:p>
        </w:tc>
        <w:tc>
          <w:tcPr>
            <w:tcW w:w="3994" w:type="dxa"/>
          </w:tcPr>
          <w:p w14:paraId="0B1E723C" w14:textId="77777777" w:rsidR="00E0744A" w:rsidRPr="00B838A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APTC’s ability to respond to the COVID-19 pandemic through reskilling workers from affected industries and skilling new workers for emerging priorities has largely been driven by fee-for-service opportunities, not</w:t>
            </w:r>
            <w:r>
              <w:rPr>
                <w:rFonts w:asciiTheme="minorHAnsi" w:hAnsiTheme="minorHAnsi" w:cstheme="minorHAnsi"/>
                <w:sz w:val="20"/>
                <w:szCs w:val="20"/>
                <w:lang w:val="en-US"/>
              </w:rPr>
              <w:t xml:space="preserve"> through a </w:t>
            </w:r>
            <w:r w:rsidRPr="00B838AA">
              <w:rPr>
                <w:rFonts w:asciiTheme="minorHAnsi" w:hAnsiTheme="minorHAnsi" w:cstheme="minorHAnsi"/>
                <w:sz w:val="20"/>
                <w:szCs w:val="20"/>
                <w:lang w:val="en-US"/>
              </w:rPr>
              <w:t>restructured operating budget.</w:t>
            </w:r>
          </w:p>
          <w:p w14:paraId="2A1117FA" w14:textId="77777777" w:rsidR="00E0744A" w:rsidRPr="000004FE"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Pr>
                <w:rFonts w:asciiTheme="minorHAnsi" w:hAnsiTheme="minorHAnsi" w:cstheme="minorHAnsi"/>
                <w:sz w:val="20"/>
                <w:szCs w:val="20"/>
                <w:lang w:val="en-US"/>
              </w:rPr>
              <w:t>T</w:t>
            </w:r>
            <w:r w:rsidRPr="00B838AA">
              <w:rPr>
                <w:rFonts w:asciiTheme="minorHAnsi" w:hAnsiTheme="minorHAnsi" w:cstheme="minorHAnsi"/>
                <w:sz w:val="20"/>
                <w:szCs w:val="20"/>
                <w:lang w:val="en-US"/>
              </w:rPr>
              <w:t>h</w:t>
            </w:r>
            <w:r>
              <w:rPr>
                <w:rFonts w:asciiTheme="minorHAnsi" w:hAnsiTheme="minorHAnsi" w:cstheme="minorHAnsi"/>
                <w:sz w:val="20"/>
                <w:szCs w:val="20"/>
                <w:lang w:val="en-US"/>
              </w:rPr>
              <w:t>is was reflected to the Review</w:t>
            </w:r>
            <w:r w:rsidRPr="00B838AA">
              <w:rPr>
                <w:rFonts w:asciiTheme="minorHAnsi" w:hAnsiTheme="minorHAnsi" w:cstheme="minorHAnsi"/>
                <w:sz w:val="20"/>
                <w:szCs w:val="20"/>
                <w:lang w:val="en-US"/>
              </w:rPr>
              <w:t xml:space="preserve"> as being </w:t>
            </w:r>
            <w:r w:rsidRPr="000004FE">
              <w:rPr>
                <w:rFonts w:asciiTheme="minorHAnsi" w:hAnsiTheme="minorHAnsi" w:cstheme="minorHAnsi"/>
                <w:sz w:val="20"/>
                <w:szCs w:val="20"/>
                <w:lang w:val="en-US"/>
              </w:rPr>
              <w:t xml:space="preserve">driven by an annual contractual target </w:t>
            </w:r>
            <w:r w:rsidRPr="00FC4133">
              <w:rPr>
                <w:rFonts w:asciiTheme="minorHAnsi" w:hAnsiTheme="minorHAnsi" w:cstheme="minorHAnsi"/>
                <w:i/>
                <w:iCs/>
                <w:sz w:val="20"/>
                <w:szCs w:val="20"/>
                <w:lang w:val="en-US"/>
              </w:rPr>
              <w:t>to deliver Australian qualifications to around 1200 graduates</w:t>
            </w:r>
            <w:r w:rsidRPr="000004FE">
              <w:rPr>
                <w:rFonts w:asciiTheme="minorHAnsi" w:hAnsiTheme="minorHAnsi" w:cstheme="minorHAnsi"/>
                <w:sz w:val="20"/>
                <w:szCs w:val="20"/>
                <w:lang w:val="en-US"/>
              </w:rPr>
              <w:t>.</w:t>
            </w:r>
          </w:p>
          <w:p w14:paraId="6CD1A3CA" w14:textId="77777777" w:rsidR="00E0744A" w:rsidRPr="00B838A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Australia’s unique offering is its expertise in quality TVET systems – not Australian qualifications per se.  Overstating this</w:t>
            </w:r>
            <w:r>
              <w:rPr>
                <w:rFonts w:asciiTheme="minorHAnsi" w:hAnsiTheme="minorHAnsi" w:cstheme="minorHAnsi"/>
                <w:sz w:val="20"/>
                <w:szCs w:val="20"/>
                <w:lang w:val="en-US"/>
              </w:rPr>
              <w:t>,</w:t>
            </w:r>
            <w:r w:rsidRPr="00B838AA">
              <w:rPr>
                <w:rFonts w:asciiTheme="minorHAnsi" w:hAnsiTheme="minorHAnsi" w:cstheme="minorHAnsi"/>
                <w:sz w:val="20"/>
                <w:szCs w:val="20"/>
                <w:lang w:val="en-US"/>
              </w:rPr>
              <w:t xml:space="preserve"> risks diminishing the value and currency </w:t>
            </w:r>
            <w:r w:rsidRPr="00B838AA">
              <w:rPr>
                <w:rFonts w:asciiTheme="minorHAnsi" w:hAnsiTheme="minorHAnsi" w:cstheme="minorHAnsi"/>
                <w:sz w:val="20"/>
                <w:szCs w:val="20"/>
                <w:lang w:val="en-US"/>
              </w:rPr>
              <w:lastRenderedPageBreak/>
              <w:t xml:space="preserve">of </w:t>
            </w:r>
            <w:r>
              <w:rPr>
                <w:rFonts w:asciiTheme="minorHAnsi" w:hAnsiTheme="minorHAnsi" w:cstheme="minorHAnsi"/>
                <w:sz w:val="20"/>
                <w:szCs w:val="20"/>
                <w:lang w:val="en-US"/>
              </w:rPr>
              <w:t xml:space="preserve">contributing to a sustainable and </w:t>
            </w:r>
            <w:r w:rsidRPr="00B838AA">
              <w:rPr>
                <w:rFonts w:asciiTheme="minorHAnsi" w:hAnsiTheme="minorHAnsi" w:cstheme="minorHAnsi"/>
                <w:sz w:val="20"/>
                <w:szCs w:val="20"/>
                <w:lang w:val="en-US"/>
              </w:rPr>
              <w:t xml:space="preserve">quality Pacific </w:t>
            </w:r>
            <w:r>
              <w:rPr>
                <w:rFonts w:asciiTheme="minorHAnsi" w:hAnsiTheme="minorHAnsi" w:cstheme="minorHAnsi"/>
                <w:sz w:val="20"/>
                <w:szCs w:val="20"/>
                <w:lang w:val="en-US"/>
              </w:rPr>
              <w:t>TVET</w:t>
            </w:r>
            <w:r w:rsidRPr="00B838AA">
              <w:rPr>
                <w:rFonts w:asciiTheme="minorHAnsi" w:hAnsiTheme="minorHAnsi" w:cstheme="minorHAnsi"/>
                <w:sz w:val="20"/>
                <w:szCs w:val="20"/>
                <w:lang w:val="en-US"/>
              </w:rPr>
              <w:t xml:space="preserve">. </w:t>
            </w:r>
          </w:p>
        </w:tc>
        <w:tc>
          <w:tcPr>
            <w:tcW w:w="4795" w:type="dxa"/>
          </w:tcPr>
          <w:p w14:paraId="418571A5" w14:textId="77777777" w:rsidR="00E0744A" w:rsidRPr="00B838A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Pr>
                <w:rFonts w:asciiTheme="minorHAnsi" w:hAnsiTheme="minorHAnsi" w:cstheme="minorHAnsi"/>
                <w:sz w:val="20"/>
                <w:szCs w:val="20"/>
                <w:lang w:val="en-US"/>
              </w:rPr>
              <w:lastRenderedPageBreak/>
              <w:t>Reframe/reinterpret the contractual target</w:t>
            </w:r>
            <w:r w:rsidRPr="00B838AA">
              <w:rPr>
                <w:rFonts w:asciiTheme="minorHAnsi" w:hAnsiTheme="minorHAnsi" w:cstheme="minorHAnsi"/>
                <w:sz w:val="20"/>
                <w:szCs w:val="20"/>
                <w:lang w:val="en-US"/>
              </w:rPr>
              <w:t xml:space="preserve"> on the basis that it </w:t>
            </w:r>
            <w:r>
              <w:rPr>
                <w:rFonts w:asciiTheme="minorHAnsi" w:hAnsiTheme="minorHAnsi" w:cstheme="minorHAnsi"/>
                <w:sz w:val="20"/>
                <w:szCs w:val="20"/>
                <w:lang w:val="en-US"/>
              </w:rPr>
              <w:t>captures</w:t>
            </w:r>
            <w:r w:rsidRPr="00B838AA">
              <w:rPr>
                <w:rFonts w:asciiTheme="minorHAnsi" w:hAnsiTheme="minorHAnsi" w:cstheme="minorHAnsi"/>
                <w:sz w:val="20"/>
                <w:szCs w:val="20"/>
                <w:lang w:val="en-US"/>
              </w:rPr>
              <w:t xml:space="preserve"> a composite of all delivery options (i.e., full qualifications, short courses, skill sets and micro credentials)</w:t>
            </w:r>
            <w:r>
              <w:rPr>
                <w:rFonts w:asciiTheme="minorHAnsi" w:hAnsiTheme="minorHAnsi" w:cstheme="minorHAnsi"/>
                <w:sz w:val="20"/>
                <w:szCs w:val="20"/>
                <w:lang w:val="en-US"/>
              </w:rPr>
              <w:t xml:space="preserve">; and stipulate the number of graduates </w:t>
            </w:r>
            <w:r w:rsidRPr="00B838AA">
              <w:rPr>
                <w:rFonts w:asciiTheme="minorHAnsi" w:hAnsiTheme="minorHAnsi" w:cstheme="minorHAnsi"/>
                <w:sz w:val="20"/>
                <w:szCs w:val="20"/>
                <w:lang w:val="en-US"/>
              </w:rPr>
              <w:t>base</w:t>
            </w:r>
            <w:r>
              <w:rPr>
                <w:rFonts w:asciiTheme="minorHAnsi" w:hAnsiTheme="minorHAnsi" w:cstheme="minorHAnsi"/>
                <w:sz w:val="20"/>
                <w:szCs w:val="20"/>
                <w:lang w:val="en-US"/>
              </w:rPr>
              <w:t>d</w:t>
            </w:r>
            <w:r w:rsidRPr="00B838AA">
              <w:rPr>
                <w:rFonts w:asciiTheme="minorHAnsi" w:hAnsiTheme="minorHAnsi" w:cstheme="minorHAnsi"/>
                <w:sz w:val="20"/>
                <w:szCs w:val="20"/>
                <w:lang w:val="en-US"/>
              </w:rPr>
              <w:t xml:space="preserve"> on </w:t>
            </w:r>
            <w:r>
              <w:rPr>
                <w:rFonts w:asciiTheme="minorHAnsi" w:hAnsiTheme="minorHAnsi" w:cstheme="minorHAnsi"/>
                <w:sz w:val="20"/>
                <w:szCs w:val="20"/>
                <w:lang w:val="en-US"/>
              </w:rPr>
              <w:t>equivalence i.e.</w:t>
            </w:r>
            <w:r w:rsidRPr="00B838AA">
              <w:rPr>
                <w:rFonts w:asciiTheme="minorHAnsi" w:hAnsiTheme="minorHAnsi" w:cstheme="minorHAnsi"/>
                <w:sz w:val="20"/>
                <w:szCs w:val="20"/>
                <w:lang w:val="en-US"/>
              </w:rPr>
              <w:t xml:space="preserve">an agreed </w:t>
            </w:r>
            <w:r w:rsidRPr="00435C59">
              <w:rPr>
                <w:rFonts w:asciiTheme="minorHAnsi" w:hAnsiTheme="minorHAnsi" w:cstheme="minorHAnsi"/>
                <w:sz w:val="20"/>
                <w:szCs w:val="20"/>
                <w:lang w:val="en-US"/>
              </w:rPr>
              <w:t xml:space="preserve">equivalent </w:t>
            </w:r>
            <w:r>
              <w:rPr>
                <w:rFonts w:asciiTheme="minorHAnsi" w:hAnsiTheme="minorHAnsi" w:cstheme="minorHAnsi"/>
                <w:sz w:val="20"/>
                <w:szCs w:val="20"/>
                <w:lang w:val="en-US"/>
              </w:rPr>
              <w:t xml:space="preserve">of X </w:t>
            </w:r>
            <w:r w:rsidRPr="00435C59">
              <w:rPr>
                <w:rFonts w:asciiTheme="minorHAnsi" w:hAnsiTheme="minorHAnsi" w:cstheme="minorHAnsi"/>
                <w:sz w:val="20"/>
                <w:szCs w:val="20"/>
                <w:lang w:val="en-US"/>
              </w:rPr>
              <w:t>full-time student hours</w:t>
            </w:r>
            <w:r w:rsidRPr="00B838AA">
              <w:rPr>
                <w:rFonts w:asciiTheme="minorHAnsi" w:hAnsiTheme="minorHAnsi" w:cstheme="minorHAnsi"/>
                <w:sz w:val="20"/>
                <w:szCs w:val="20"/>
                <w:lang w:val="en-US"/>
              </w:rPr>
              <w:t>.</w:t>
            </w:r>
          </w:p>
          <w:p w14:paraId="3765AB1F" w14:textId="77777777" w:rsidR="00E0744A" w:rsidRPr="00B838A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Promote the value of Australian qualifications for identified </w:t>
            </w:r>
            <w:proofErr w:type="spellStart"/>
            <w:r w:rsidRPr="00B838AA">
              <w:rPr>
                <w:rFonts w:asciiTheme="minorHAnsi" w:hAnsiTheme="minorHAnsi" w:cstheme="minorHAnsi"/>
                <w:sz w:val="20"/>
                <w:szCs w:val="20"/>
                <w:lang w:val="en-US"/>
              </w:rPr>
              <w:t>labour</w:t>
            </w:r>
            <w:proofErr w:type="spellEnd"/>
            <w:r w:rsidRPr="00B838AA">
              <w:rPr>
                <w:rFonts w:asciiTheme="minorHAnsi" w:hAnsiTheme="minorHAnsi" w:cstheme="minorHAnsi"/>
                <w:sz w:val="20"/>
                <w:szCs w:val="20"/>
                <w:lang w:val="en-US"/>
              </w:rPr>
              <w:t xml:space="preserve"> mobility opportunities</w:t>
            </w:r>
            <w:r>
              <w:rPr>
                <w:rFonts w:asciiTheme="minorHAnsi" w:hAnsiTheme="minorHAnsi" w:cstheme="minorHAnsi"/>
                <w:sz w:val="20"/>
                <w:szCs w:val="20"/>
                <w:lang w:val="en-US"/>
              </w:rPr>
              <w:t xml:space="preserve"> and emerging growth sectors </w:t>
            </w:r>
            <w:r w:rsidRPr="00B838AA">
              <w:rPr>
                <w:rFonts w:asciiTheme="minorHAnsi" w:hAnsiTheme="minorHAnsi" w:cstheme="minorHAnsi"/>
                <w:sz w:val="20"/>
                <w:szCs w:val="20"/>
                <w:lang w:val="en-US"/>
              </w:rPr>
              <w:t xml:space="preserve">but challenge the narrative that Australian qualifications are inherently valuable. Australia’s TVET quality systems expertise is the core </w:t>
            </w:r>
            <w:r>
              <w:rPr>
                <w:rFonts w:asciiTheme="minorHAnsi" w:hAnsiTheme="minorHAnsi" w:cstheme="minorHAnsi"/>
                <w:sz w:val="20"/>
                <w:szCs w:val="20"/>
                <w:lang w:val="en-US"/>
              </w:rPr>
              <w:t>offering</w:t>
            </w:r>
            <w:r w:rsidRPr="00B838AA">
              <w:rPr>
                <w:rFonts w:asciiTheme="minorHAnsi" w:hAnsiTheme="minorHAnsi" w:cstheme="minorHAnsi"/>
                <w:sz w:val="20"/>
                <w:szCs w:val="20"/>
                <w:lang w:val="en-US"/>
              </w:rPr>
              <w:t xml:space="preserve">. Promote </w:t>
            </w:r>
            <w:r>
              <w:rPr>
                <w:rFonts w:asciiTheme="minorHAnsi" w:hAnsiTheme="minorHAnsi" w:cstheme="minorHAnsi"/>
                <w:sz w:val="20"/>
                <w:szCs w:val="20"/>
                <w:lang w:val="en-US"/>
              </w:rPr>
              <w:t xml:space="preserve">and support </w:t>
            </w:r>
            <w:r w:rsidRPr="00B838AA">
              <w:rPr>
                <w:rFonts w:asciiTheme="minorHAnsi" w:hAnsiTheme="minorHAnsi" w:cstheme="minorHAnsi"/>
                <w:i/>
                <w:iCs/>
                <w:sz w:val="20"/>
                <w:szCs w:val="20"/>
                <w:lang w:val="en-US"/>
              </w:rPr>
              <w:t>quality TVET to agreed standards</w:t>
            </w:r>
            <w:r w:rsidRPr="00B838AA">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with </w:t>
            </w:r>
            <w:r w:rsidRPr="00B838AA">
              <w:rPr>
                <w:rFonts w:asciiTheme="minorHAnsi" w:hAnsiTheme="minorHAnsi" w:cstheme="minorHAnsi"/>
                <w:sz w:val="20"/>
                <w:szCs w:val="20"/>
                <w:lang w:val="en-US"/>
              </w:rPr>
              <w:t>TVET partners.</w:t>
            </w:r>
          </w:p>
        </w:tc>
      </w:tr>
      <w:tr w:rsidR="00E0744A" w:rsidRPr="00EB7327" w14:paraId="6FD0153C" w14:textId="77777777" w:rsidTr="007C55AB">
        <w:trPr>
          <w:trHeight w:val="2837"/>
        </w:trPr>
        <w:tc>
          <w:tcPr>
            <w:tcW w:w="562" w:type="dxa"/>
          </w:tcPr>
          <w:p w14:paraId="2B8086D1" w14:textId="77777777" w:rsidR="00E0744A" w:rsidRDefault="00E0744A" w:rsidP="003B1CE9">
            <w:pPr>
              <w:spacing w:before="60" w:after="60"/>
              <w:rPr>
                <w:rFonts w:asciiTheme="minorHAnsi" w:hAnsiTheme="minorHAnsi" w:cstheme="minorHAnsi"/>
                <w:sz w:val="20"/>
                <w:szCs w:val="20"/>
                <w:lang w:val="en-US"/>
              </w:rPr>
            </w:pPr>
            <w:r>
              <w:rPr>
                <w:rFonts w:asciiTheme="minorHAnsi" w:hAnsiTheme="minorHAnsi" w:cstheme="minorHAnsi"/>
                <w:sz w:val="20"/>
                <w:szCs w:val="20"/>
                <w:lang w:val="en-US"/>
              </w:rPr>
              <w:t>3</w:t>
            </w:r>
          </w:p>
          <w:p w14:paraId="7CC0DB7C" w14:textId="77777777" w:rsidR="00E0744A" w:rsidRDefault="00E0744A" w:rsidP="003B1CE9">
            <w:pPr>
              <w:spacing w:before="60" w:after="60"/>
              <w:rPr>
                <w:rFonts w:asciiTheme="minorHAnsi" w:hAnsiTheme="minorHAnsi" w:cstheme="minorHAnsi"/>
                <w:sz w:val="20"/>
                <w:szCs w:val="20"/>
                <w:lang w:val="en-US"/>
              </w:rPr>
            </w:pPr>
          </w:p>
          <w:p w14:paraId="0DB122E7" w14:textId="77777777" w:rsidR="00E0744A" w:rsidRDefault="00E0744A" w:rsidP="003B1CE9">
            <w:pPr>
              <w:spacing w:before="60" w:after="60"/>
              <w:rPr>
                <w:rFonts w:asciiTheme="minorHAnsi" w:hAnsiTheme="minorHAnsi" w:cstheme="minorHAnsi"/>
                <w:sz w:val="20"/>
                <w:szCs w:val="20"/>
                <w:lang w:val="en-US"/>
              </w:rPr>
            </w:pPr>
          </w:p>
          <w:p w14:paraId="5F94BF53" w14:textId="77777777" w:rsidR="00E0744A" w:rsidRDefault="00E0744A" w:rsidP="003B1CE9">
            <w:pPr>
              <w:spacing w:before="60" w:after="60"/>
              <w:rPr>
                <w:rFonts w:asciiTheme="minorHAnsi" w:hAnsiTheme="minorHAnsi" w:cstheme="minorHAnsi"/>
                <w:sz w:val="20"/>
                <w:szCs w:val="20"/>
                <w:lang w:val="en-US"/>
              </w:rPr>
            </w:pPr>
          </w:p>
          <w:p w14:paraId="687CB0F6" w14:textId="77777777" w:rsidR="00E0744A" w:rsidRPr="00B838AA" w:rsidRDefault="00E0744A" w:rsidP="003B1CE9">
            <w:pPr>
              <w:spacing w:before="60" w:after="60"/>
              <w:rPr>
                <w:rFonts w:asciiTheme="minorHAnsi" w:hAnsiTheme="minorHAnsi" w:cstheme="minorHAnsi"/>
                <w:sz w:val="20"/>
                <w:szCs w:val="20"/>
                <w:lang w:val="en-US"/>
              </w:rPr>
            </w:pPr>
          </w:p>
        </w:tc>
        <w:tc>
          <w:tcPr>
            <w:tcW w:w="3994" w:type="dxa"/>
          </w:tcPr>
          <w:p w14:paraId="129DB718" w14:textId="77777777" w:rsidR="00E0744A" w:rsidRPr="00B838A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At a Pacific TVET systems level there continues to be a mismatch between the supply and demand for skills. </w:t>
            </w:r>
            <w:r>
              <w:rPr>
                <w:rFonts w:asciiTheme="minorHAnsi" w:hAnsiTheme="minorHAnsi" w:cstheme="minorHAnsi"/>
                <w:sz w:val="20"/>
                <w:szCs w:val="20"/>
                <w:lang w:val="en-US"/>
              </w:rPr>
              <w:t>At the individual provider level</w:t>
            </w:r>
            <w:r w:rsidRPr="00B838AA">
              <w:rPr>
                <w:rFonts w:asciiTheme="minorHAnsi" w:hAnsiTheme="minorHAnsi" w:cstheme="minorHAnsi"/>
                <w:sz w:val="20"/>
                <w:szCs w:val="20"/>
                <w:lang w:val="en-US"/>
              </w:rPr>
              <w:t xml:space="preserve"> there </w:t>
            </w:r>
            <w:r>
              <w:rPr>
                <w:rFonts w:asciiTheme="minorHAnsi" w:hAnsiTheme="minorHAnsi" w:cstheme="minorHAnsi"/>
                <w:sz w:val="20"/>
                <w:szCs w:val="20"/>
                <w:lang w:val="en-US"/>
              </w:rPr>
              <w:t>has been</w:t>
            </w:r>
            <w:r w:rsidRPr="00B838AA">
              <w:rPr>
                <w:rFonts w:asciiTheme="minorHAnsi" w:hAnsiTheme="minorHAnsi" w:cstheme="minorHAnsi"/>
                <w:sz w:val="20"/>
                <w:szCs w:val="20"/>
                <w:lang w:val="en-US"/>
              </w:rPr>
              <w:t xml:space="preserve"> little evidence until recently, that APTC’s training profile has been genuinely ‘demand-</w:t>
            </w:r>
            <w:r>
              <w:rPr>
                <w:rFonts w:asciiTheme="minorHAnsi" w:hAnsiTheme="minorHAnsi" w:cstheme="minorHAnsi"/>
                <w:sz w:val="20"/>
                <w:szCs w:val="20"/>
                <w:lang w:val="en-US"/>
              </w:rPr>
              <w:t>responsive</w:t>
            </w:r>
            <w:r w:rsidRPr="00B838AA">
              <w:rPr>
                <w:rFonts w:asciiTheme="minorHAnsi" w:hAnsiTheme="minorHAnsi" w:cstheme="minorHAnsi"/>
                <w:sz w:val="20"/>
                <w:szCs w:val="20"/>
                <w:lang w:val="en-US"/>
              </w:rPr>
              <w:t xml:space="preserve">’. </w:t>
            </w:r>
          </w:p>
          <w:p w14:paraId="4785D282" w14:textId="77777777" w:rsidR="00E0744A" w:rsidRPr="00B838A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In the initial response to COVID-19, APTC </w:t>
            </w:r>
            <w:r>
              <w:rPr>
                <w:rFonts w:asciiTheme="minorHAnsi" w:hAnsiTheme="minorHAnsi" w:cstheme="minorHAnsi"/>
                <w:sz w:val="20"/>
                <w:szCs w:val="20"/>
                <w:lang w:val="en-US"/>
              </w:rPr>
              <w:t xml:space="preserve">quickly </w:t>
            </w:r>
            <w:r w:rsidRPr="00B838AA">
              <w:rPr>
                <w:rFonts w:asciiTheme="minorHAnsi" w:hAnsiTheme="minorHAnsi" w:cstheme="minorHAnsi"/>
                <w:sz w:val="20"/>
                <w:szCs w:val="20"/>
                <w:lang w:val="en-US"/>
              </w:rPr>
              <w:t>shifted some training delivery to remote learning and adopted a greater use of technology and learner support.</w:t>
            </w:r>
          </w:p>
        </w:tc>
        <w:tc>
          <w:tcPr>
            <w:tcW w:w="4795" w:type="dxa"/>
          </w:tcPr>
          <w:p w14:paraId="73E9A74E" w14:textId="77777777" w:rsidR="00E0744A" w:rsidRPr="00012D1D"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012D1D">
              <w:rPr>
                <w:rFonts w:asciiTheme="minorHAnsi" w:hAnsiTheme="minorHAnsi" w:cstheme="minorHAnsi"/>
                <w:sz w:val="20"/>
                <w:szCs w:val="20"/>
                <w:lang w:val="en-US"/>
              </w:rPr>
              <w:t xml:space="preserve">Accelerate the reforms (mandate, systems, processes) within APTC </w:t>
            </w:r>
            <w:r>
              <w:rPr>
                <w:rFonts w:asciiTheme="minorHAnsi" w:hAnsiTheme="minorHAnsi" w:cstheme="minorHAnsi"/>
                <w:sz w:val="20"/>
                <w:szCs w:val="20"/>
                <w:lang w:val="en-US"/>
              </w:rPr>
              <w:t xml:space="preserve">and partners </w:t>
            </w:r>
            <w:r w:rsidRPr="00012D1D">
              <w:rPr>
                <w:rFonts w:asciiTheme="minorHAnsi" w:hAnsiTheme="minorHAnsi" w:cstheme="minorHAnsi"/>
                <w:sz w:val="20"/>
                <w:szCs w:val="20"/>
                <w:lang w:val="en-US"/>
              </w:rPr>
              <w:t xml:space="preserve">that reinforce the industry demand orientation of TVET provision. </w:t>
            </w:r>
          </w:p>
          <w:p w14:paraId="65C4529F" w14:textId="77777777" w:rsidR="00E0744A" w:rsidRPr="00012D1D"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012D1D">
              <w:rPr>
                <w:rFonts w:asciiTheme="minorHAnsi" w:hAnsiTheme="minorHAnsi" w:cstheme="minorHAnsi"/>
                <w:sz w:val="20"/>
                <w:szCs w:val="20"/>
                <w:lang w:val="en-US"/>
              </w:rPr>
              <w:t xml:space="preserve">Monitor and publish </w:t>
            </w:r>
            <w:r>
              <w:rPr>
                <w:rFonts w:asciiTheme="minorHAnsi" w:hAnsiTheme="minorHAnsi" w:cstheme="minorHAnsi"/>
                <w:sz w:val="20"/>
                <w:szCs w:val="20"/>
                <w:lang w:val="en-US"/>
              </w:rPr>
              <w:t xml:space="preserve">APTC </w:t>
            </w:r>
            <w:r w:rsidRPr="00012D1D">
              <w:rPr>
                <w:rFonts w:asciiTheme="minorHAnsi" w:hAnsiTheme="minorHAnsi" w:cstheme="minorHAnsi"/>
                <w:sz w:val="20"/>
                <w:szCs w:val="20"/>
                <w:lang w:val="en-US"/>
              </w:rPr>
              <w:t xml:space="preserve">employment data by qualification and by pre-course employment status </w:t>
            </w:r>
          </w:p>
          <w:p w14:paraId="37A27E32" w14:textId="77777777" w:rsidR="00E0744A" w:rsidRPr="00B838A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Develop a </w:t>
            </w:r>
            <w:r>
              <w:rPr>
                <w:rFonts w:asciiTheme="minorHAnsi" w:hAnsiTheme="minorHAnsi" w:cstheme="minorHAnsi"/>
                <w:sz w:val="20"/>
                <w:szCs w:val="20"/>
                <w:lang w:val="en-US"/>
              </w:rPr>
              <w:t>three</w:t>
            </w:r>
            <w:r w:rsidRPr="00B838AA">
              <w:rPr>
                <w:rFonts w:asciiTheme="minorHAnsi" w:hAnsiTheme="minorHAnsi" w:cstheme="minorHAnsi"/>
                <w:sz w:val="20"/>
                <w:szCs w:val="20"/>
                <w:lang w:val="en-US"/>
              </w:rPr>
              <w:t>-year roadmap to adopting further innovations in remote learning and technology supported training delivery (avoid reverting to the traditional classroom model). Consider</w:t>
            </w:r>
            <w:r>
              <w:rPr>
                <w:rFonts w:asciiTheme="minorHAnsi" w:hAnsiTheme="minorHAnsi" w:cstheme="minorHAnsi"/>
                <w:sz w:val="20"/>
                <w:szCs w:val="20"/>
                <w:lang w:val="en-US"/>
              </w:rPr>
              <w:t xml:space="preserve"> technology supported access for people living with disabilities</w:t>
            </w:r>
            <w:r w:rsidRPr="00B838AA">
              <w:rPr>
                <w:rFonts w:asciiTheme="minorHAnsi" w:hAnsiTheme="minorHAnsi" w:cstheme="minorHAnsi"/>
                <w:sz w:val="20"/>
                <w:szCs w:val="20"/>
                <w:lang w:val="en-US"/>
              </w:rPr>
              <w:t>.</w:t>
            </w:r>
          </w:p>
        </w:tc>
      </w:tr>
      <w:tr w:rsidR="00E0744A" w:rsidRPr="00EB7327" w14:paraId="43F3CC77" w14:textId="77777777" w:rsidTr="007C55AB">
        <w:tc>
          <w:tcPr>
            <w:tcW w:w="562" w:type="dxa"/>
          </w:tcPr>
          <w:p w14:paraId="1CCB8D2B" w14:textId="77777777" w:rsidR="00E0744A" w:rsidRPr="00B838AA" w:rsidRDefault="00E0744A" w:rsidP="003B1CE9">
            <w:pPr>
              <w:spacing w:before="60" w:after="60"/>
              <w:rPr>
                <w:rFonts w:asciiTheme="minorHAnsi" w:hAnsiTheme="minorHAnsi" w:cstheme="minorHAnsi"/>
                <w:sz w:val="20"/>
                <w:szCs w:val="20"/>
                <w:lang w:val="en-US"/>
              </w:rPr>
            </w:pPr>
            <w:r>
              <w:rPr>
                <w:rFonts w:asciiTheme="minorHAnsi" w:hAnsiTheme="minorHAnsi" w:cstheme="minorHAnsi"/>
                <w:sz w:val="20"/>
                <w:szCs w:val="20"/>
                <w:lang w:val="en-US"/>
              </w:rPr>
              <w:t>4</w:t>
            </w:r>
            <w:r w:rsidRPr="00B838AA">
              <w:rPr>
                <w:rFonts w:asciiTheme="minorHAnsi" w:hAnsiTheme="minorHAnsi" w:cstheme="minorHAnsi"/>
                <w:sz w:val="20"/>
                <w:szCs w:val="20"/>
                <w:lang w:val="en-US"/>
              </w:rPr>
              <w:t>.</w:t>
            </w:r>
          </w:p>
        </w:tc>
        <w:tc>
          <w:tcPr>
            <w:tcW w:w="3994" w:type="dxa"/>
          </w:tcPr>
          <w:p w14:paraId="47F37387" w14:textId="77777777" w:rsidR="00E0744A" w:rsidRPr="00B838A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The strategic shifts of the APTC3 design </w:t>
            </w:r>
            <w:r>
              <w:rPr>
                <w:rFonts w:asciiTheme="minorHAnsi" w:hAnsiTheme="minorHAnsi" w:cstheme="minorHAnsi"/>
                <w:sz w:val="20"/>
                <w:szCs w:val="20"/>
                <w:lang w:val="en-US"/>
              </w:rPr>
              <w:t xml:space="preserve">are still very relevant but have not yet </w:t>
            </w:r>
            <w:r w:rsidRPr="00B838AA">
              <w:rPr>
                <w:rFonts w:asciiTheme="minorHAnsi" w:hAnsiTheme="minorHAnsi" w:cstheme="minorHAnsi"/>
                <w:sz w:val="20"/>
                <w:szCs w:val="20"/>
                <w:lang w:val="en-US"/>
              </w:rPr>
              <w:t xml:space="preserve">led to a </w:t>
            </w:r>
            <w:r>
              <w:rPr>
                <w:rFonts w:asciiTheme="minorHAnsi" w:hAnsiTheme="minorHAnsi" w:cstheme="minorHAnsi"/>
                <w:sz w:val="20"/>
                <w:szCs w:val="20"/>
                <w:lang w:val="en-US"/>
              </w:rPr>
              <w:t xml:space="preserve">comprehensive </w:t>
            </w:r>
            <w:r w:rsidRPr="00B838AA">
              <w:rPr>
                <w:rFonts w:asciiTheme="minorHAnsi" w:hAnsiTheme="minorHAnsi" w:cstheme="minorHAnsi"/>
                <w:sz w:val="20"/>
                <w:szCs w:val="20"/>
                <w:lang w:val="en-US"/>
              </w:rPr>
              <w:t xml:space="preserve">reassignment of budget or staff resources to support implementation. </w:t>
            </w:r>
          </w:p>
          <w:p w14:paraId="61A3D1C4" w14:textId="77777777" w:rsidR="00E0744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APTC has developed </w:t>
            </w:r>
            <w:r>
              <w:rPr>
                <w:rFonts w:asciiTheme="minorHAnsi" w:hAnsiTheme="minorHAnsi" w:cstheme="minorHAnsi"/>
                <w:sz w:val="20"/>
                <w:szCs w:val="20"/>
                <w:lang w:val="en-US"/>
              </w:rPr>
              <w:t xml:space="preserve">some good </w:t>
            </w:r>
            <w:r w:rsidRPr="00B838AA">
              <w:rPr>
                <w:rFonts w:asciiTheme="minorHAnsi" w:hAnsiTheme="minorHAnsi" w:cstheme="minorHAnsi"/>
                <w:sz w:val="20"/>
                <w:szCs w:val="20"/>
                <w:lang w:val="en-US"/>
              </w:rPr>
              <w:t xml:space="preserve">strategies and frameworks to guide the strategic shifts, </w:t>
            </w:r>
            <w:r>
              <w:rPr>
                <w:rFonts w:asciiTheme="minorHAnsi" w:hAnsiTheme="minorHAnsi" w:cstheme="minorHAnsi"/>
                <w:sz w:val="20"/>
                <w:szCs w:val="20"/>
                <w:lang w:val="en-US"/>
              </w:rPr>
              <w:t xml:space="preserve">but </w:t>
            </w:r>
            <w:r w:rsidRPr="00B838AA">
              <w:rPr>
                <w:rFonts w:asciiTheme="minorHAnsi" w:hAnsiTheme="minorHAnsi" w:cstheme="minorHAnsi"/>
                <w:sz w:val="20"/>
                <w:szCs w:val="20"/>
                <w:lang w:val="en-US"/>
              </w:rPr>
              <w:t xml:space="preserve">they do not easily form a coherent whole. </w:t>
            </w:r>
            <w:r>
              <w:rPr>
                <w:rFonts w:asciiTheme="minorHAnsi" w:hAnsiTheme="minorHAnsi" w:cstheme="minorHAnsi"/>
                <w:sz w:val="20"/>
                <w:szCs w:val="20"/>
                <w:lang w:val="en-US"/>
              </w:rPr>
              <w:t>Nor is there a clear prioritization tool for charting focus/effort.</w:t>
            </w:r>
          </w:p>
          <w:p w14:paraId="64B3303B" w14:textId="77777777" w:rsidR="00E0744A" w:rsidRPr="00B838A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TVET strengthening</w:t>
            </w:r>
            <w:r>
              <w:rPr>
                <w:rFonts w:asciiTheme="minorHAnsi" w:hAnsiTheme="minorHAnsi" w:cstheme="minorHAnsi"/>
                <w:sz w:val="20"/>
                <w:szCs w:val="20"/>
                <w:lang w:val="en-US"/>
              </w:rPr>
              <w:t>/TVET systems reform</w:t>
            </w:r>
            <w:r w:rsidRPr="00B838AA">
              <w:rPr>
                <w:rFonts w:asciiTheme="minorHAnsi" w:hAnsiTheme="minorHAnsi" w:cstheme="minorHAnsi"/>
                <w:sz w:val="20"/>
                <w:szCs w:val="20"/>
                <w:lang w:val="en-US"/>
              </w:rPr>
              <w:t xml:space="preserve"> is foundational through which training, </w:t>
            </w:r>
            <w:r>
              <w:rPr>
                <w:rFonts w:asciiTheme="minorHAnsi" w:hAnsiTheme="minorHAnsi" w:cstheme="minorHAnsi"/>
                <w:sz w:val="20"/>
                <w:szCs w:val="20"/>
                <w:lang w:val="en-US"/>
              </w:rPr>
              <w:t xml:space="preserve">and </w:t>
            </w:r>
            <w:proofErr w:type="spellStart"/>
            <w:r w:rsidRPr="00B838AA">
              <w:rPr>
                <w:rFonts w:asciiTheme="minorHAnsi" w:hAnsiTheme="minorHAnsi" w:cstheme="minorHAnsi"/>
                <w:sz w:val="20"/>
                <w:szCs w:val="20"/>
                <w:lang w:val="en-US"/>
              </w:rPr>
              <w:t>labour</w:t>
            </w:r>
            <w:proofErr w:type="spellEnd"/>
            <w:r w:rsidRPr="00B838AA">
              <w:rPr>
                <w:rFonts w:asciiTheme="minorHAnsi" w:hAnsiTheme="minorHAnsi" w:cstheme="minorHAnsi"/>
                <w:sz w:val="20"/>
                <w:szCs w:val="20"/>
                <w:lang w:val="en-US"/>
              </w:rPr>
              <w:t xml:space="preserve"> mobility initiatives can be implemented</w:t>
            </w:r>
            <w:r>
              <w:rPr>
                <w:rFonts w:asciiTheme="minorHAnsi" w:hAnsiTheme="minorHAnsi" w:cstheme="minorHAnsi"/>
                <w:sz w:val="20"/>
                <w:szCs w:val="20"/>
                <w:lang w:val="en-US"/>
              </w:rPr>
              <w:t xml:space="preserve"> with and through interested partners</w:t>
            </w:r>
            <w:r w:rsidRPr="00B838AA">
              <w:rPr>
                <w:rFonts w:asciiTheme="minorHAnsi" w:hAnsiTheme="minorHAnsi" w:cstheme="minorHAnsi"/>
                <w:sz w:val="20"/>
                <w:szCs w:val="20"/>
                <w:lang w:val="en-US"/>
              </w:rPr>
              <w:t>.</w:t>
            </w:r>
          </w:p>
        </w:tc>
        <w:tc>
          <w:tcPr>
            <w:tcW w:w="4795" w:type="dxa"/>
          </w:tcPr>
          <w:p w14:paraId="494E3414" w14:textId="77777777" w:rsidR="00E0744A" w:rsidRPr="00B838A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Integrate and mainstream the strategic shifts in budget and structure – and cohere the strategies and frameworks </w:t>
            </w:r>
            <w:proofErr w:type="spellStart"/>
            <w:r w:rsidRPr="00B838AA">
              <w:rPr>
                <w:rFonts w:asciiTheme="minorHAnsi" w:hAnsiTheme="minorHAnsi" w:cstheme="minorHAnsi"/>
                <w:sz w:val="20"/>
                <w:szCs w:val="20"/>
                <w:lang w:val="en-US"/>
              </w:rPr>
              <w:t>cognisant</w:t>
            </w:r>
            <w:proofErr w:type="spellEnd"/>
            <w:r w:rsidRPr="00B838AA">
              <w:rPr>
                <w:rFonts w:asciiTheme="minorHAnsi" w:hAnsiTheme="minorHAnsi" w:cstheme="minorHAnsi"/>
                <w:sz w:val="20"/>
                <w:szCs w:val="20"/>
                <w:lang w:val="en-US"/>
              </w:rPr>
              <w:t xml:space="preserve"> of their interconnectivity.</w:t>
            </w:r>
          </w:p>
          <w:p w14:paraId="5830CBA4" w14:textId="77777777" w:rsidR="00E0744A" w:rsidRPr="00B838A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Develop discernment criteria that apply across all operations that rigorously drive a focus of effort, contain </w:t>
            </w:r>
            <w:proofErr w:type="gramStart"/>
            <w:r w:rsidRPr="00B838AA">
              <w:rPr>
                <w:rFonts w:asciiTheme="minorHAnsi" w:hAnsiTheme="minorHAnsi" w:cstheme="minorHAnsi"/>
                <w:sz w:val="20"/>
                <w:szCs w:val="20"/>
                <w:lang w:val="en-US"/>
              </w:rPr>
              <w:t>budget</w:t>
            </w:r>
            <w:proofErr w:type="gramEnd"/>
            <w:r w:rsidRPr="00B838AA">
              <w:rPr>
                <w:rFonts w:asciiTheme="minorHAnsi" w:hAnsiTheme="minorHAnsi" w:cstheme="minorHAnsi"/>
                <w:sz w:val="20"/>
                <w:szCs w:val="20"/>
                <w:lang w:val="en-US"/>
              </w:rPr>
              <w:t xml:space="preserve"> and support an aggregate narrative.</w:t>
            </w:r>
          </w:p>
          <w:p w14:paraId="63012D64" w14:textId="77777777" w:rsidR="00E0744A" w:rsidRDefault="00E0744A" w:rsidP="00E0744A">
            <w:pPr>
              <w:pStyle w:val="ListParagraph"/>
              <w:numPr>
                <w:ilvl w:val="1"/>
                <w:numId w:val="2"/>
              </w:numPr>
              <w:spacing w:before="60" w:after="60"/>
              <w:ind w:left="573" w:hanging="283"/>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Develop a subset of criteria to determine which fee-for-service activities best serve </w:t>
            </w:r>
            <w:r>
              <w:rPr>
                <w:rFonts w:asciiTheme="minorHAnsi" w:hAnsiTheme="minorHAnsi" w:cstheme="minorHAnsi"/>
                <w:sz w:val="20"/>
                <w:szCs w:val="20"/>
                <w:lang w:val="en-US"/>
              </w:rPr>
              <w:t>socio-economic recovery</w:t>
            </w:r>
          </w:p>
          <w:p w14:paraId="3F3734DD" w14:textId="77777777" w:rsidR="00E0744A" w:rsidRPr="00435C59"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Increasingly integrate TVET strengthening as a modality less as a separate stream of work and view and deploy the TVET Sector Strengthening Platform (TSSP) as the motor of change.</w:t>
            </w:r>
          </w:p>
        </w:tc>
      </w:tr>
      <w:tr w:rsidR="00E0744A" w:rsidRPr="00EB7327" w14:paraId="523266D4" w14:textId="77777777" w:rsidTr="007C55AB">
        <w:tc>
          <w:tcPr>
            <w:tcW w:w="562" w:type="dxa"/>
          </w:tcPr>
          <w:p w14:paraId="7AF7C453" w14:textId="77777777" w:rsidR="00E0744A" w:rsidRPr="00B838AA" w:rsidRDefault="00E0744A" w:rsidP="003B1CE9">
            <w:pPr>
              <w:spacing w:before="60" w:after="60"/>
              <w:rPr>
                <w:rFonts w:asciiTheme="minorHAnsi" w:hAnsiTheme="minorHAnsi" w:cstheme="minorHAnsi"/>
                <w:sz w:val="20"/>
                <w:szCs w:val="20"/>
                <w:lang w:val="en-US"/>
              </w:rPr>
            </w:pPr>
            <w:r>
              <w:rPr>
                <w:rFonts w:asciiTheme="minorHAnsi" w:hAnsiTheme="minorHAnsi" w:cstheme="minorHAnsi"/>
                <w:sz w:val="20"/>
                <w:szCs w:val="20"/>
                <w:lang w:val="en-US"/>
              </w:rPr>
              <w:t>5</w:t>
            </w:r>
          </w:p>
        </w:tc>
        <w:tc>
          <w:tcPr>
            <w:tcW w:w="3994" w:type="dxa"/>
          </w:tcPr>
          <w:p w14:paraId="0E338EDB" w14:textId="77777777" w:rsidR="00E0744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APTC is building capacity at the national level by working with and through TVET, government and industry partners, and at the system level by engaging in coalitions for reform. This twin-track approach is </w:t>
            </w:r>
            <w:r>
              <w:rPr>
                <w:rFonts w:asciiTheme="minorHAnsi" w:hAnsiTheme="minorHAnsi" w:cstheme="minorHAnsi"/>
                <w:sz w:val="20"/>
                <w:szCs w:val="20"/>
                <w:lang w:val="en-US"/>
              </w:rPr>
              <w:t xml:space="preserve">emergent and </w:t>
            </w:r>
            <w:r w:rsidRPr="00B838AA">
              <w:rPr>
                <w:rFonts w:asciiTheme="minorHAnsi" w:hAnsiTheme="minorHAnsi" w:cstheme="minorHAnsi"/>
                <w:sz w:val="20"/>
                <w:szCs w:val="20"/>
                <w:lang w:val="en-US"/>
              </w:rPr>
              <w:t xml:space="preserve">delivering results. </w:t>
            </w:r>
          </w:p>
          <w:p w14:paraId="6AFC0DD8" w14:textId="77777777" w:rsidR="00E0744A" w:rsidRPr="00B838A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Pr>
                <w:rFonts w:asciiTheme="minorHAnsi" w:hAnsiTheme="minorHAnsi" w:cstheme="minorHAnsi"/>
                <w:sz w:val="20"/>
                <w:szCs w:val="20"/>
                <w:lang w:val="en-US"/>
              </w:rPr>
              <w:t>It is not well documented.</w:t>
            </w:r>
          </w:p>
        </w:tc>
        <w:tc>
          <w:tcPr>
            <w:tcW w:w="4795" w:type="dxa"/>
          </w:tcPr>
          <w:p w14:paraId="62AC10B3" w14:textId="77777777" w:rsidR="00E0744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Foster this approach and build better mechanisms for defining, </w:t>
            </w:r>
            <w:proofErr w:type="gramStart"/>
            <w:r w:rsidRPr="00B838AA">
              <w:rPr>
                <w:rFonts w:asciiTheme="minorHAnsi" w:hAnsiTheme="minorHAnsi" w:cstheme="minorHAnsi"/>
                <w:sz w:val="20"/>
                <w:szCs w:val="20"/>
                <w:lang w:val="en-US"/>
              </w:rPr>
              <w:t>tracking</w:t>
            </w:r>
            <w:proofErr w:type="gramEnd"/>
            <w:r w:rsidRPr="00B838AA">
              <w:rPr>
                <w:rFonts w:asciiTheme="minorHAnsi" w:hAnsiTheme="minorHAnsi" w:cstheme="minorHAnsi"/>
                <w:sz w:val="20"/>
                <w:szCs w:val="20"/>
                <w:lang w:val="en-US"/>
              </w:rPr>
              <w:t xml:space="preserve"> and communicating results, including clearly linking </w:t>
            </w:r>
            <w:r>
              <w:rPr>
                <w:rFonts w:asciiTheme="minorHAnsi" w:hAnsiTheme="minorHAnsi" w:cstheme="minorHAnsi"/>
                <w:sz w:val="20"/>
                <w:szCs w:val="20"/>
                <w:lang w:val="en-US"/>
              </w:rPr>
              <w:t xml:space="preserve">APTC </w:t>
            </w:r>
            <w:r w:rsidRPr="00B838AA">
              <w:rPr>
                <w:rFonts w:asciiTheme="minorHAnsi" w:hAnsiTheme="minorHAnsi" w:cstheme="minorHAnsi"/>
                <w:sz w:val="20"/>
                <w:szCs w:val="20"/>
                <w:lang w:val="en-US"/>
              </w:rPr>
              <w:t xml:space="preserve">country plans to Pacific and Australian policy objectives especially </w:t>
            </w:r>
            <w:proofErr w:type="spellStart"/>
            <w:r w:rsidRPr="00B838AA">
              <w:rPr>
                <w:rFonts w:asciiTheme="minorHAnsi" w:hAnsiTheme="minorHAnsi" w:cstheme="minorHAnsi"/>
                <w:sz w:val="20"/>
                <w:szCs w:val="20"/>
                <w:lang w:val="en-US"/>
              </w:rPr>
              <w:t>PacREF</w:t>
            </w:r>
            <w:proofErr w:type="spellEnd"/>
            <w:r w:rsidRPr="00B838AA">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national TVET priorities, </w:t>
            </w:r>
            <w:r w:rsidRPr="00B838AA">
              <w:rPr>
                <w:rFonts w:asciiTheme="minorHAnsi" w:hAnsiTheme="minorHAnsi" w:cstheme="minorHAnsi"/>
                <w:sz w:val="20"/>
                <w:szCs w:val="20"/>
                <w:lang w:val="en-US"/>
              </w:rPr>
              <w:t>Partnerships for Recovery, and Pacific Step</w:t>
            </w:r>
            <w:r>
              <w:rPr>
                <w:rFonts w:asciiTheme="minorHAnsi" w:hAnsiTheme="minorHAnsi" w:cstheme="minorHAnsi"/>
                <w:sz w:val="20"/>
                <w:szCs w:val="20"/>
                <w:lang w:val="en-US"/>
              </w:rPr>
              <w:t>-u</w:t>
            </w:r>
            <w:r w:rsidRPr="00B838AA">
              <w:rPr>
                <w:rFonts w:asciiTheme="minorHAnsi" w:hAnsiTheme="minorHAnsi" w:cstheme="minorHAnsi"/>
                <w:sz w:val="20"/>
                <w:szCs w:val="20"/>
                <w:lang w:val="en-US"/>
              </w:rPr>
              <w:t>p.</w:t>
            </w:r>
          </w:p>
          <w:p w14:paraId="7E099F54" w14:textId="77777777" w:rsidR="00E0744A" w:rsidRPr="00B838AA" w:rsidRDefault="00E0744A" w:rsidP="00E0744A">
            <w:pPr>
              <w:pStyle w:val="ListParagraph"/>
              <w:numPr>
                <w:ilvl w:val="0"/>
                <w:numId w:val="2"/>
              </w:numPr>
              <w:spacing w:before="60" w:after="60"/>
              <w:ind w:left="275" w:hanging="275"/>
              <w:rPr>
                <w:rFonts w:asciiTheme="minorHAnsi" w:hAnsiTheme="minorHAnsi" w:cstheme="minorHAnsi"/>
                <w:sz w:val="20"/>
                <w:szCs w:val="20"/>
                <w:lang w:val="en-US"/>
              </w:rPr>
            </w:pPr>
            <w:r>
              <w:rPr>
                <w:rFonts w:asciiTheme="minorHAnsi" w:hAnsiTheme="minorHAnsi" w:cstheme="minorHAnsi"/>
                <w:sz w:val="20"/>
                <w:szCs w:val="20"/>
                <w:lang w:val="en-US"/>
              </w:rPr>
              <w:t xml:space="preserve">APTC and DFAT build more engaged and effective partnerships at Post to support the recovery agenda. </w:t>
            </w:r>
          </w:p>
        </w:tc>
      </w:tr>
      <w:tr w:rsidR="00E0744A" w:rsidRPr="00EB7327" w14:paraId="0AA54372" w14:textId="77777777" w:rsidTr="007C55AB">
        <w:tc>
          <w:tcPr>
            <w:tcW w:w="562" w:type="dxa"/>
          </w:tcPr>
          <w:p w14:paraId="729FC308" w14:textId="77777777" w:rsidR="00E0744A" w:rsidRPr="00B838AA" w:rsidRDefault="00E0744A" w:rsidP="003B1CE9">
            <w:pPr>
              <w:spacing w:before="60" w:after="60"/>
              <w:rPr>
                <w:rFonts w:asciiTheme="minorHAnsi" w:hAnsiTheme="minorHAnsi" w:cstheme="minorHAnsi"/>
                <w:color w:val="222222"/>
                <w:sz w:val="20"/>
                <w:szCs w:val="20"/>
                <w:lang w:eastAsia="en-AU"/>
              </w:rPr>
            </w:pPr>
            <w:r>
              <w:rPr>
                <w:rFonts w:asciiTheme="minorHAnsi" w:hAnsiTheme="minorHAnsi" w:cstheme="minorHAnsi"/>
                <w:color w:val="222222"/>
                <w:sz w:val="20"/>
                <w:szCs w:val="20"/>
                <w:lang w:eastAsia="en-AU"/>
              </w:rPr>
              <w:t>6</w:t>
            </w:r>
            <w:r w:rsidRPr="00B838AA">
              <w:rPr>
                <w:rFonts w:asciiTheme="minorHAnsi" w:hAnsiTheme="minorHAnsi" w:cstheme="minorHAnsi"/>
                <w:color w:val="222222"/>
                <w:sz w:val="20"/>
                <w:szCs w:val="20"/>
                <w:lang w:eastAsia="en-AU"/>
              </w:rPr>
              <w:t>.</w:t>
            </w:r>
          </w:p>
          <w:p w14:paraId="7609F8F2" w14:textId="77777777" w:rsidR="00E0744A" w:rsidRPr="00B838AA" w:rsidRDefault="00E0744A" w:rsidP="003B1CE9">
            <w:pPr>
              <w:spacing w:before="60" w:after="60"/>
              <w:rPr>
                <w:rFonts w:asciiTheme="minorHAnsi" w:hAnsiTheme="minorHAnsi" w:cstheme="minorHAnsi"/>
                <w:color w:val="222222"/>
                <w:sz w:val="20"/>
                <w:szCs w:val="20"/>
                <w:lang w:eastAsia="en-AU"/>
              </w:rPr>
            </w:pPr>
          </w:p>
        </w:tc>
        <w:tc>
          <w:tcPr>
            <w:tcW w:w="3994" w:type="dxa"/>
          </w:tcPr>
          <w:p w14:paraId="77A0639B" w14:textId="77777777" w:rsidR="00E0744A" w:rsidRPr="00435C59" w:rsidRDefault="00E0744A" w:rsidP="00E0744A">
            <w:pPr>
              <w:pStyle w:val="ListParagraph"/>
              <w:numPr>
                <w:ilvl w:val="0"/>
                <w:numId w:val="2"/>
              </w:numPr>
              <w:spacing w:before="60" w:after="60"/>
              <w:ind w:left="275" w:hanging="275"/>
              <w:rPr>
                <w:rFonts w:asciiTheme="minorHAnsi" w:hAnsiTheme="minorHAnsi" w:cstheme="minorHAnsi"/>
                <w:sz w:val="20"/>
                <w:szCs w:val="20"/>
              </w:rPr>
            </w:pPr>
            <w:r w:rsidRPr="00C80395">
              <w:rPr>
                <w:rFonts w:asciiTheme="minorHAnsi" w:hAnsiTheme="minorHAnsi" w:cstheme="minorHAnsi"/>
                <w:sz w:val="20"/>
                <w:szCs w:val="20"/>
                <w:lang w:val="en-US"/>
              </w:rPr>
              <w:t>Strategic decision making is currently not supported well by reporting and communication products.</w:t>
            </w:r>
            <w:r w:rsidRPr="00435C59">
              <w:rPr>
                <w:rFonts w:asciiTheme="minorHAnsi" w:hAnsiTheme="minorHAnsi" w:cstheme="minorHAnsi"/>
                <w:color w:val="222222"/>
                <w:sz w:val="20"/>
                <w:szCs w:val="20"/>
                <w:lang w:eastAsia="en-AU"/>
              </w:rPr>
              <w:t xml:space="preserve"> </w:t>
            </w:r>
          </w:p>
        </w:tc>
        <w:tc>
          <w:tcPr>
            <w:tcW w:w="4795" w:type="dxa"/>
          </w:tcPr>
          <w:p w14:paraId="5F1A2FB6" w14:textId="77777777" w:rsidR="00E0744A" w:rsidRPr="00435C59" w:rsidRDefault="00E0744A" w:rsidP="00E0744A">
            <w:pPr>
              <w:pStyle w:val="ListParagraph"/>
              <w:numPr>
                <w:ilvl w:val="0"/>
                <w:numId w:val="2"/>
              </w:numPr>
              <w:spacing w:before="60" w:after="60"/>
              <w:ind w:left="275" w:hanging="275"/>
              <w:rPr>
                <w:rFonts w:asciiTheme="minorHAnsi" w:hAnsiTheme="minorHAnsi" w:cstheme="minorHAnsi"/>
                <w:sz w:val="20"/>
                <w:szCs w:val="20"/>
              </w:rPr>
            </w:pPr>
            <w:r w:rsidRPr="00C80395">
              <w:rPr>
                <w:rFonts w:asciiTheme="minorHAnsi" w:hAnsiTheme="minorHAnsi" w:cstheme="minorHAnsi"/>
                <w:sz w:val="20"/>
                <w:szCs w:val="20"/>
                <w:lang w:val="en-US"/>
              </w:rPr>
              <w:t>Revise the Monitoring and Evaluation Framework and refine supporting systems to inform reporting and key communication products that can support strategic and judicious decision making.</w:t>
            </w:r>
          </w:p>
        </w:tc>
      </w:tr>
      <w:bookmarkEnd w:id="2"/>
    </w:tbl>
    <w:p w14:paraId="0A733494" w14:textId="0C5F17D6" w:rsidR="007C55AB" w:rsidRDefault="007C55AB"/>
    <w:p w14:paraId="37222949" w14:textId="77777777" w:rsidR="007C55AB" w:rsidRDefault="007C55AB">
      <w:pPr>
        <w:spacing w:after="160" w:line="259" w:lineRule="auto"/>
      </w:pPr>
      <w:r>
        <w:br w:type="page"/>
      </w:r>
    </w:p>
    <w:p w14:paraId="594FD18B" w14:textId="08EA7184" w:rsidR="007C55AB" w:rsidRDefault="007C55AB" w:rsidP="00F06403">
      <w:pPr>
        <w:spacing w:after="240"/>
      </w:pPr>
      <w:r w:rsidRPr="00B838AA">
        <w:rPr>
          <w:rFonts w:asciiTheme="minorHAnsi" w:hAnsiTheme="minorHAnsi" w:cstheme="minorHAnsi"/>
          <w:b/>
          <w:bCs/>
          <w:i/>
          <w:iCs/>
          <w:color w:val="4472C4" w:themeColor="accent1"/>
          <w:sz w:val="20"/>
          <w:szCs w:val="20"/>
        </w:rPr>
        <w:lastRenderedPageBreak/>
        <w:t>To what extent has APTC responded to and progressed the Australian Government’s priorities for its Pacific Step-</w:t>
      </w:r>
      <w:r>
        <w:rPr>
          <w:rFonts w:asciiTheme="minorHAnsi" w:hAnsiTheme="minorHAnsi" w:cstheme="minorHAnsi"/>
          <w:b/>
          <w:bCs/>
          <w:i/>
          <w:iCs/>
          <w:color w:val="4472C4" w:themeColor="accent1"/>
          <w:sz w:val="20"/>
          <w:szCs w:val="20"/>
        </w:rPr>
        <w:t>u</w:t>
      </w:r>
      <w:r w:rsidRPr="00B838AA">
        <w:rPr>
          <w:rFonts w:asciiTheme="minorHAnsi" w:hAnsiTheme="minorHAnsi" w:cstheme="minorHAnsi"/>
          <w:b/>
          <w:bCs/>
          <w:i/>
          <w:iCs/>
          <w:color w:val="4472C4" w:themeColor="accent1"/>
          <w:sz w:val="20"/>
          <w:szCs w:val="20"/>
        </w:rPr>
        <w:t>p, including addressing Australia’s labour mobility needs, and the labour mobility needs of P</w:t>
      </w:r>
      <w:r>
        <w:rPr>
          <w:rFonts w:asciiTheme="minorHAnsi" w:hAnsiTheme="minorHAnsi" w:cstheme="minorHAnsi"/>
          <w:b/>
          <w:bCs/>
          <w:i/>
          <w:iCs/>
          <w:color w:val="4472C4" w:themeColor="accent1"/>
          <w:sz w:val="20"/>
          <w:szCs w:val="20"/>
        </w:rPr>
        <w:t>ICs</w:t>
      </w:r>
      <w:r w:rsidRPr="00B838AA">
        <w:rPr>
          <w:rFonts w:asciiTheme="minorHAnsi" w:hAnsiTheme="minorHAnsi" w:cstheme="minorHAnsi"/>
          <w:b/>
          <w:bCs/>
          <w:i/>
          <w:iCs/>
          <w:color w:val="4472C4" w:themeColor="accent1"/>
          <w:sz w:val="20"/>
          <w:szCs w:val="20"/>
        </w:rPr>
        <w:t>?</w:t>
      </w:r>
    </w:p>
    <w:tbl>
      <w:tblPr>
        <w:tblStyle w:val="TableGrid"/>
        <w:tblW w:w="9351" w:type="dxa"/>
        <w:tblLook w:val="04A0" w:firstRow="1" w:lastRow="0" w:firstColumn="1" w:lastColumn="0" w:noHBand="0" w:noVBand="1"/>
      </w:tblPr>
      <w:tblGrid>
        <w:gridCol w:w="897"/>
        <w:gridCol w:w="3923"/>
        <w:gridCol w:w="4531"/>
      </w:tblGrid>
      <w:tr w:rsidR="007C55AB" w:rsidRPr="00B838AA" w14:paraId="5CFAED0D" w14:textId="77777777" w:rsidTr="007C55AB">
        <w:trPr>
          <w:tblHeader/>
        </w:trPr>
        <w:tc>
          <w:tcPr>
            <w:tcW w:w="897" w:type="dxa"/>
          </w:tcPr>
          <w:p w14:paraId="0758888A" w14:textId="31F33885" w:rsidR="007C55AB" w:rsidRPr="007C55AB" w:rsidRDefault="007C55AB" w:rsidP="007C55AB">
            <w:pPr>
              <w:spacing w:before="60" w:after="60"/>
              <w:rPr>
                <w:rFonts w:asciiTheme="minorHAnsi" w:hAnsiTheme="minorHAnsi" w:cstheme="minorHAnsi"/>
                <w:b/>
                <w:bCs/>
                <w:sz w:val="20"/>
                <w:szCs w:val="20"/>
              </w:rPr>
            </w:pPr>
            <w:r w:rsidRPr="007C55AB">
              <w:rPr>
                <w:rFonts w:asciiTheme="minorHAnsi" w:hAnsiTheme="minorHAnsi" w:cstheme="minorHAnsi"/>
                <w:b/>
                <w:bCs/>
                <w:sz w:val="20"/>
                <w:szCs w:val="20"/>
              </w:rPr>
              <w:t>Number</w:t>
            </w:r>
          </w:p>
        </w:tc>
        <w:tc>
          <w:tcPr>
            <w:tcW w:w="3923" w:type="dxa"/>
          </w:tcPr>
          <w:p w14:paraId="6A7AD419" w14:textId="50CC6C70" w:rsidR="007C55AB" w:rsidRPr="00B838AA"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b/>
                <w:bCs/>
                <w:sz w:val="20"/>
                <w:szCs w:val="20"/>
              </w:rPr>
              <w:t>Key Finding</w:t>
            </w:r>
          </w:p>
        </w:tc>
        <w:tc>
          <w:tcPr>
            <w:tcW w:w="4531" w:type="dxa"/>
          </w:tcPr>
          <w:p w14:paraId="0527A53E" w14:textId="4D68DB3B" w:rsidR="007C55AB" w:rsidRPr="00E51C22"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b/>
                <w:bCs/>
                <w:sz w:val="20"/>
                <w:szCs w:val="20"/>
              </w:rPr>
              <w:t>Recommendation</w:t>
            </w:r>
          </w:p>
        </w:tc>
      </w:tr>
      <w:tr w:rsidR="007C55AB" w:rsidRPr="00B838AA" w14:paraId="427DAF21" w14:textId="77777777" w:rsidTr="007C55AB">
        <w:tc>
          <w:tcPr>
            <w:tcW w:w="897" w:type="dxa"/>
          </w:tcPr>
          <w:p w14:paraId="306594A8" w14:textId="77777777" w:rsidR="007C55AB" w:rsidRPr="00B838AA" w:rsidRDefault="007C55AB" w:rsidP="007C55AB">
            <w:pPr>
              <w:spacing w:before="60" w:after="60"/>
              <w:rPr>
                <w:rFonts w:asciiTheme="minorHAnsi" w:hAnsiTheme="minorHAnsi" w:cstheme="minorHAnsi"/>
                <w:sz w:val="20"/>
                <w:szCs w:val="20"/>
              </w:rPr>
            </w:pPr>
            <w:r>
              <w:rPr>
                <w:rFonts w:asciiTheme="minorHAnsi" w:hAnsiTheme="minorHAnsi" w:cstheme="minorHAnsi"/>
                <w:sz w:val="20"/>
                <w:szCs w:val="20"/>
              </w:rPr>
              <w:t>7</w:t>
            </w:r>
            <w:r w:rsidRPr="00B838AA">
              <w:rPr>
                <w:rFonts w:asciiTheme="minorHAnsi" w:hAnsiTheme="minorHAnsi" w:cstheme="minorHAnsi"/>
                <w:sz w:val="20"/>
                <w:szCs w:val="20"/>
              </w:rPr>
              <w:t>.</w:t>
            </w:r>
          </w:p>
          <w:p w14:paraId="4404C088" w14:textId="77777777" w:rsidR="007C55AB" w:rsidRPr="00B838AA" w:rsidRDefault="007C55AB" w:rsidP="007C55AB">
            <w:pPr>
              <w:spacing w:before="60" w:after="60"/>
              <w:rPr>
                <w:rFonts w:asciiTheme="minorHAnsi" w:hAnsiTheme="minorHAnsi" w:cstheme="minorHAnsi"/>
                <w:sz w:val="20"/>
                <w:szCs w:val="20"/>
              </w:rPr>
            </w:pPr>
          </w:p>
        </w:tc>
        <w:tc>
          <w:tcPr>
            <w:tcW w:w="3923" w:type="dxa"/>
          </w:tcPr>
          <w:p w14:paraId="055AFEEC" w14:textId="77777777" w:rsidR="007C55AB"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Since its 2007 inception there is limited evidence of APTC graduate </w:t>
            </w:r>
            <w:proofErr w:type="spellStart"/>
            <w:r w:rsidRPr="00B838AA">
              <w:rPr>
                <w:rFonts w:asciiTheme="minorHAnsi" w:hAnsiTheme="minorHAnsi" w:cstheme="minorHAnsi"/>
                <w:sz w:val="20"/>
                <w:szCs w:val="20"/>
                <w:lang w:val="en-US"/>
              </w:rPr>
              <w:t>labour</w:t>
            </w:r>
            <w:proofErr w:type="spellEnd"/>
            <w:r w:rsidRPr="00B838AA">
              <w:rPr>
                <w:rFonts w:asciiTheme="minorHAnsi" w:hAnsiTheme="minorHAnsi" w:cstheme="minorHAnsi"/>
                <w:sz w:val="20"/>
                <w:szCs w:val="20"/>
                <w:lang w:val="en-US"/>
              </w:rPr>
              <w:t xml:space="preserve"> mobility outcomes.</w:t>
            </w:r>
            <w:r>
              <w:rPr>
                <w:rFonts w:asciiTheme="minorHAnsi" w:hAnsiTheme="minorHAnsi" w:cstheme="minorHAnsi"/>
                <w:sz w:val="20"/>
                <w:szCs w:val="20"/>
                <w:lang w:val="en-US"/>
              </w:rPr>
              <w:t xml:space="preserve"> </w:t>
            </w:r>
          </w:p>
          <w:p w14:paraId="0EF24B3A" w14:textId="77777777" w:rsidR="007C55AB" w:rsidRPr="00E51C22"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The APTC contract </w:t>
            </w:r>
            <w:r>
              <w:rPr>
                <w:rFonts w:asciiTheme="minorHAnsi" w:hAnsiTheme="minorHAnsi" w:cstheme="minorHAnsi"/>
                <w:sz w:val="20"/>
                <w:szCs w:val="20"/>
                <w:lang w:val="en-US"/>
              </w:rPr>
              <w:t xml:space="preserve">reflects </w:t>
            </w:r>
            <w:r w:rsidRPr="00B838AA">
              <w:rPr>
                <w:rFonts w:asciiTheme="minorHAnsi" w:hAnsiTheme="minorHAnsi" w:cstheme="minorHAnsi"/>
                <w:sz w:val="20"/>
                <w:szCs w:val="20"/>
                <w:lang w:val="en-US"/>
              </w:rPr>
              <w:t xml:space="preserve">a range of training support for </w:t>
            </w:r>
            <w:proofErr w:type="spellStart"/>
            <w:r w:rsidRPr="00B838AA">
              <w:rPr>
                <w:rFonts w:asciiTheme="minorHAnsi" w:hAnsiTheme="minorHAnsi" w:cstheme="minorHAnsi"/>
                <w:sz w:val="20"/>
                <w:szCs w:val="20"/>
                <w:lang w:val="en-US"/>
              </w:rPr>
              <w:t>labour</w:t>
            </w:r>
            <w:proofErr w:type="spellEnd"/>
            <w:r w:rsidRPr="00B838AA">
              <w:rPr>
                <w:rFonts w:asciiTheme="minorHAnsi" w:hAnsiTheme="minorHAnsi" w:cstheme="minorHAnsi"/>
                <w:sz w:val="20"/>
                <w:szCs w:val="20"/>
                <w:lang w:val="en-US"/>
              </w:rPr>
              <w:t xml:space="preserve"> mobility work would most likely </w:t>
            </w:r>
            <w:r>
              <w:rPr>
                <w:rFonts w:asciiTheme="minorHAnsi" w:hAnsiTheme="minorHAnsi" w:cstheme="minorHAnsi"/>
                <w:sz w:val="20"/>
                <w:szCs w:val="20"/>
                <w:lang w:val="en-US"/>
              </w:rPr>
              <w:t xml:space="preserve">be </w:t>
            </w:r>
            <w:r w:rsidRPr="00B838AA">
              <w:rPr>
                <w:rFonts w:asciiTheme="minorHAnsi" w:hAnsiTheme="minorHAnsi" w:cstheme="minorHAnsi"/>
                <w:sz w:val="20"/>
                <w:szCs w:val="20"/>
                <w:lang w:val="en-US"/>
              </w:rPr>
              <w:t xml:space="preserve">‘fee-for-service’ and so </w:t>
            </w:r>
            <w:r>
              <w:rPr>
                <w:rFonts w:asciiTheme="minorHAnsi" w:hAnsiTheme="minorHAnsi" w:cstheme="minorHAnsi"/>
                <w:sz w:val="20"/>
                <w:szCs w:val="20"/>
                <w:lang w:val="en-US"/>
              </w:rPr>
              <w:t>APTC did not factor</w:t>
            </w:r>
            <w:r w:rsidRPr="00B838AA">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this </w:t>
            </w:r>
            <w:r w:rsidRPr="00B838AA">
              <w:rPr>
                <w:rFonts w:asciiTheme="minorHAnsi" w:hAnsiTheme="minorHAnsi" w:cstheme="minorHAnsi"/>
                <w:sz w:val="20"/>
                <w:szCs w:val="20"/>
                <w:lang w:val="en-US"/>
              </w:rPr>
              <w:t xml:space="preserve">into </w:t>
            </w:r>
            <w:r>
              <w:rPr>
                <w:rFonts w:asciiTheme="minorHAnsi" w:hAnsiTheme="minorHAnsi" w:cstheme="minorHAnsi"/>
                <w:sz w:val="20"/>
                <w:szCs w:val="20"/>
                <w:lang w:val="en-US"/>
              </w:rPr>
              <w:t>the operating budget</w:t>
            </w:r>
            <w:r w:rsidRPr="00B838AA">
              <w:rPr>
                <w:rFonts w:asciiTheme="minorHAnsi" w:hAnsiTheme="minorHAnsi" w:cstheme="minorHAnsi"/>
                <w:sz w:val="20"/>
                <w:szCs w:val="20"/>
                <w:lang w:val="en-US"/>
              </w:rPr>
              <w:t xml:space="preserve">. This has stymied coordination efforts with the PLF. </w:t>
            </w:r>
          </w:p>
        </w:tc>
        <w:tc>
          <w:tcPr>
            <w:tcW w:w="4531" w:type="dxa"/>
          </w:tcPr>
          <w:p w14:paraId="003C98FC" w14:textId="77777777" w:rsidR="007C55AB" w:rsidRPr="00E51C22"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sidRPr="00E51C22">
              <w:rPr>
                <w:rFonts w:asciiTheme="minorHAnsi" w:hAnsiTheme="minorHAnsi" w:cstheme="minorHAnsi"/>
                <w:sz w:val="20"/>
                <w:szCs w:val="20"/>
                <w:lang w:val="en-US"/>
              </w:rPr>
              <w:t>Redirect core budget and resources to support this strategic priority</w:t>
            </w:r>
            <w:r>
              <w:rPr>
                <w:rFonts w:asciiTheme="minorHAnsi" w:hAnsiTheme="minorHAnsi" w:cstheme="minorHAnsi"/>
                <w:sz w:val="20"/>
                <w:szCs w:val="20"/>
                <w:lang w:val="en-US"/>
              </w:rPr>
              <w:t>.</w:t>
            </w:r>
            <w:r w:rsidRPr="00E51C22">
              <w:rPr>
                <w:rFonts w:asciiTheme="minorHAnsi" w:hAnsiTheme="minorHAnsi" w:cstheme="minorHAnsi"/>
                <w:sz w:val="20"/>
                <w:szCs w:val="20"/>
                <w:lang w:val="en-US"/>
              </w:rPr>
              <w:t xml:space="preserve"> </w:t>
            </w:r>
          </w:p>
          <w:p w14:paraId="2FC5B5C4" w14:textId="77777777" w:rsidR="007C55AB"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sidRPr="00E51C22">
              <w:rPr>
                <w:rFonts w:asciiTheme="minorHAnsi" w:hAnsiTheme="minorHAnsi" w:cstheme="minorHAnsi"/>
                <w:sz w:val="20"/>
                <w:szCs w:val="20"/>
                <w:lang w:val="en-US"/>
              </w:rPr>
              <w:t xml:space="preserve">Frame </w:t>
            </w:r>
            <w:proofErr w:type="spellStart"/>
            <w:r w:rsidRPr="00E51C22">
              <w:rPr>
                <w:rFonts w:asciiTheme="minorHAnsi" w:hAnsiTheme="minorHAnsi" w:cstheme="minorHAnsi"/>
                <w:sz w:val="20"/>
                <w:szCs w:val="20"/>
                <w:lang w:val="en-US"/>
              </w:rPr>
              <w:t>labour</w:t>
            </w:r>
            <w:proofErr w:type="spellEnd"/>
            <w:r w:rsidRPr="00E51C22">
              <w:rPr>
                <w:rFonts w:asciiTheme="minorHAnsi" w:hAnsiTheme="minorHAnsi" w:cstheme="minorHAnsi"/>
                <w:sz w:val="20"/>
                <w:szCs w:val="20"/>
                <w:lang w:val="en-US"/>
              </w:rPr>
              <w:t xml:space="preserve"> mobility targets that accommodate a range of contributions to ‘</w:t>
            </w:r>
            <w:r>
              <w:rPr>
                <w:rFonts w:asciiTheme="minorHAnsi" w:hAnsiTheme="minorHAnsi" w:cstheme="minorHAnsi"/>
                <w:sz w:val="20"/>
                <w:szCs w:val="20"/>
                <w:lang w:val="en-US"/>
              </w:rPr>
              <w:t xml:space="preserve">Pacific </w:t>
            </w:r>
            <w:proofErr w:type="spellStart"/>
            <w:r w:rsidRPr="00E51C22">
              <w:rPr>
                <w:rFonts w:asciiTheme="minorHAnsi" w:hAnsiTheme="minorHAnsi" w:cstheme="minorHAnsi"/>
                <w:sz w:val="20"/>
                <w:szCs w:val="20"/>
                <w:lang w:val="en-US"/>
              </w:rPr>
              <w:t>labour</w:t>
            </w:r>
            <w:proofErr w:type="spellEnd"/>
            <w:r w:rsidRPr="00E51C22">
              <w:rPr>
                <w:rFonts w:asciiTheme="minorHAnsi" w:hAnsiTheme="minorHAnsi" w:cstheme="minorHAnsi"/>
                <w:sz w:val="20"/>
                <w:szCs w:val="20"/>
                <w:lang w:val="en-US"/>
              </w:rPr>
              <w:t xml:space="preserve"> mobility outcomes’, including APTC’s range of preparedness training</w:t>
            </w:r>
            <w:r>
              <w:rPr>
                <w:rFonts w:asciiTheme="minorHAnsi" w:hAnsiTheme="minorHAnsi" w:cstheme="minorHAnsi"/>
                <w:sz w:val="20"/>
                <w:szCs w:val="20"/>
                <w:lang w:val="en-US"/>
              </w:rPr>
              <w:t xml:space="preserve"> for </w:t>
            </w:r>
            <w:proofErr w:type="spellStart"/>
            <w:r>
              <w:rPr>
                <w:rFonts w:asciiTheme="minorHAnsi" w:hAnsiTheme="minorHAnsi" w:cstheme="minorHAnsi"/>
                <w:sz w:val="20"/>
                <w:szCs w:val="20"/>
                <w:lang w:val="en-US"/>
              </w:rPr>
              <w:t>labour</w:t>
            </w:r>
            <w:proofErr w:type="spellEnd"/>
            <w:r>
              <w:rPr>
                <w:rFonts w:asciiTheme="minorHAnsi" w:hAnsiTheme="minorHAnsi" w:cstheme="minorHAnsi"/>
                <w:sz w:val="20"/>
                <w:szCs w:val="20"/>
                <w:lang w:val="en-US"/>
              </w:rPr>
              <w:t xml:space="preserve"> mobility participants.</w:t>
            </w:r>
          </w:p>
          <w:p w14:paraId="4EDAFF37" w14:textId="77777777" w:rsidR="007C55AB" w:rsidRPr="00B838AA"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sidRPr="00E51C22">
              <w:rPr>
                <w:rFonts w:asciiTheme="minorHAnsi" w:hAnsiTheme="minorHAnsi" w:cstheme="minorHAnsi"/>
                <w:sz w:val="20"/>
                <w:szCs w:val="20"/>
                <w:lang w:val="en-US"/>
              </w:rPr>
              <w:t xml:space="preserve">Deepen partnership with the Pacific </w:t>
            </w:r>
            <w:proofErr w:type="spellStart"/>
            <w:r w:rsidRPr="00E51C22">
              <w:rPr>
                <w:rFonts w:asciiTheme="minorHAnsi" w:hAnsiTheme="minorHAnsi" w:cstheme="minorHAnsi"/>
                <w:sz w:val="20"/>
                <w:szCs w:val="20"/>
                <w:lang w:val="en-US"/>
              </w:rPr>
              <w:t>Labour</w:t>
            </w:r>
            <w:proofErr w:type="spellEnd"/>
            <w:r w:rsidRPr="00E51C22">
              <w:rPr>
                <w:rFonts w:asciiTheme="minorHAnsi" w:hAnsiTheme="minorHAnsi" w:cstheme="minorHAnsi"/>
                <w:sz w:val="20"/>
                <w:szCs w:val="20"/>
                <w:lang w:val="en-US"/>
              </w:rPr>
              <w:t xml:space="preserve"> Facility. Anticipate/shape PLF Roadmap initiatives for semi-skilled opportunities and adjust training profile</w:t>
            </w:r>
            <w:r>
              <w:rPr>
                <w:rFonts w:asciiTheme="minorHAnsi" w:hAnsiTheme="minorHAnsi" w:cstheme="minorHAnsi"/>
                <w:sz w:val="20"/>
                <w:szCs w:val="20"/>
                <w:lang w:val="en-US"/>
              </w:rPr>
              <w:t>.</w:t>
            </w:r>
          </w:p>
        </w:tc>
      </w:tr>
      <w:tr w:rsidR="007C55AB" w:rsidRPr="00B838AA" w14:paraId="253C5437" w14:textId="77777777" w:rsidTr="007C55AB">
        <w:tc>
          <w:tcPr>
            <w:tcW w:w="897" w:type="dxa"/>
          </w:tcPr>
          <w:p w14:paraId="6AB47022" w14:textId="77777777" w:rsidR="007C55AB" w:rsidRPr="00B838AA" w:rsidRDefault="007C55AB" w:rsidP="007C55AB">
            <w:pPr>
              <w:spacing w:before="60" w:after="60"/>
              <w:rPr>
                <w:rFonts w:asciiTheme="minorHAnsi" w:hAnsiTheme="minorHAnsi" w:cstheme="minorHAnsi"/>
                <w:sz w:val="20"/>
                <w:szCs w:val="20"/>
              </w:rPr>
            </w:pPr>
            <w:r>
              <w:rPr>
                <w:rFonts w:asciiTheme="minorHAnsi" w:hAnsiTheme="minorHAnsi" w:cstheme="minorHAnsi"/>
                <w:sz w:val="20"/>
                <w:szCs w:val="20"/>
              </w:rPr>
              <w:t>8</w:t>
            </w:r>
            <w:r w:rsidRPr="00B838AA">
              <w:rPr>
                <w:rFonts w:asciiTheme="minorHAnsi" w:hAnsiTheme="minorHAnsi" w:cstheme="minorHAnsi"/>
                <w:sz w:val="20"/>
                <w:szCs w:val="20"/>
              </w:rPr>
              <w:t>.</w:t>
            </w:r>
          </w:p>
        </w:tc>
        <w:tc>
          <w:tcPr>
            <w:tcW w:w="3923" w:type="dxa"/>
          </w:tcPr>
          <w:p w14:paraId="273EBED1" w14:textId="77777777" w:rsidR="007C55AB" w:rsidRPr="00E51C22"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sidRPr="00E51C22">
              <w:rPr>
                <w:rFonts w:asciiTheme="minorHAnsi" w:hAnsiTheme="minorHAnsi" w:cstheme="minorHAnsi"/>
                <w:sz w:val="20"/>
                <w:szCs w:val="20"/>
                <w:lang w:val="en-US"/>
              </w:rPr>
              <w:t xml:space="preserve">APTC has a stated mandate to renew its emphasis on </w:t>
            </w:r>
            <w:proofErr w:type="spellStart"/>
            <w:r w:rsidRPr="00E51C22">
              <w:rPr>
                <w:rFonts w:asciiTheme="minorHAnsi" w:hAnsiTheme="minorHAnsi" w:cstheme="minorHAnsi"/>
                <w:sz w:val="20"/>
                <w:szCs w:val="20"/>
                <w:lang w:val="en-US"/>
              </w:rPr>
              <w:t>labour</w:t>
            </w:r>
            <w:proofErr w:type="spellEnd"/>
            <w:r w:rsidRPr="00E51C22">
              <w:rPr>
                <w:rFonts w:asciiTheme="minorHAnsi" w:hAnsiTheme="minorHAnsi" w:cstheme="minorHAnsi"/>
                <w:sz w:val="20"/>
                <w:szCs w:val="20"/>
                <w:lang w:val="en-US"/>
              </w:rPr>
              <w:t xml:space="preserve"> mobility and enhance </w:t>
            </w:r>
            <w:proofErr w:type="spellStart"/>
            <w:r w:rsidRPr="00E51C22">
              <w:rPr>
                <w:rFonts w:asciiTheme="minorHAnsi" w:hAnsiTheme="minorHAnsi" w:cstheme="minorHAnsi"/>
                <w:sz w:val="20"/>
                <w:szCs w:val="20"/>
                <w:lang w:val="en-US"/>
              </w:rPr>
              <w:t>labour</w:t>
            </w:r>
            <w:proofErr w:type="spellEnd"/>
            <w:r w:rsidRPr="00E51C22">
              <w:rPr>
                <w:rFonts w:asciiTheme="minorHAnsi" w:hAnsiTheme="minorHAnsi" w:cstheme="minorHAnsi"/>
                <w:sz w:val="20"/>
                <w:szCs w:val="20"/>
                <w:lang w:val="en-US"/>
              </w:rPr>
              <w:t xml:space="preserve"> mobility outcomes. APTC has responded to this mandate and developed a </w:t>
            </w:r>
            <w:proofErr w:type="spellStart"/>
            <w:r w:rsidRPr="00E51C22">
              <w:rPr>
                <w:rFonts w:asciiTheme="minorHAnsi" w:hAnsiTheme="minorHAnsi" w:cstheme="minorHAnsi"/>
                <w:sz w:val="20"/>
                <w:szCs w:val="20"/>
                <w:lang w:val="en-US"/>
              </w:rPr>
              <w:t>labour</w:t>
            </w:r>
            <w:proofErr w:type="spellEnd"/>
            <w:r w:rsidRPr="00E51C22">
              <w:rPr>
                <w:rFonts w:asciiTheme="minorHAnsi" w:hAnsiTheme="minorHAnsi" w:cstheme="minorHAnsi"/>
                <w:sz w:val="20"/>
                <w:szCs w:val="20"/>
                <w:lang w:val="en-US"/>
              </w:rPr>
              <w:t xml:space="preserve"> mobility (away) training track; developed a range of supporting preparedness training and promoted </w:t>
            </w:r>
            <w:proofErr w:type="spellStart"/>
            <w:r w:rsidRPr="00E51C22">
              <w:rPr>
                <w:rFonts w:asciiTheme="minorHAnsi" w:hAnsiTheme="minorHAnsi" w:cstheme="minorHAnsi"/>
                <w:sz w:val="20"/>
                <w:szCs w:val="20"/>
                <w:lang w:val="en-US"/>
              </w:rPr>
              <w:t>labour</w:t>
            </w:r>
            <w:proofErr w:type="spellEnd"/>
            <w:r w:rsidRPr="00E51C22">
              <w:rPr>
                <w:rFonts w:asciiTheme="minorHAnsi" w:hAnsiTheme="minorHAnsi" w:cstheme="minorHAnsi"/>
                <w:sz w:val="20"/>
                <w:szCs w:val="20"/>
                <w:lang w:val="en-US"/>
              </w:rPr>
              <w:t xml:space="preserve"> mobility within and across the Pacific. </w:t>
            </w:r>
            <w:r>
              <w:rPr>
                <w:rFonts w:asciiTheme="minorHAnsi" w:hAnsiTheme="minorHAnsi" w:cstheme="minorHAnsi"/>
                <w:sz w:val="20"/>
                <w:szCs w:val="20"/>
                <w:lang w:val="en-US"/>
              </w:rPr>
              <w:t xml:space="preserve"> COVID-19 impacts demand an amplified response.</w:t>
            </w:r>
          </w:p>
          <w:p w14:paraId="2D2B1212" w14:textId="77777777" w:rsidR="007C55AB" w:rsidRPr="00B838AA"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Pr>
                <w:rFonts w:asciiTheme="minorHAnsi" w:hAnsiTheme="minorHAnsi" w:cstheme="minorHAnsi"/>
                <w:sz w:val="20"/>
                <w:szCs w:val="20"/>
                <w:lang w:val="en-US"/>
              </w:rPr>
              <w:t xml:space="preserve">The APTC design principle of non-competition with local TVET providers has meant a focus on higher order certificates and diplomas – the transition to TVET strengthening opens up an opportunity for APTC to support interested TVET partners/governments address the disproportionate impacts of COVID-19 on youth employment through carefully supported youth </w:t>
            </w:r>
            <w:proofErr w:type="spellStart"/>
            <w:r>
              <w:rPr>
                <w:rFonts w:asciiTheme="minorHAnsi" w:hAnsiTheme="minorHAnsi" w:cstheme="minorHAnsi"/>
                <w:sz w:val="20"/>
                <w:szCs w:val="20"/>
                <w:lang w:val="en-US"/>
              </w:rPr>
              <w:t>labour</w:t>
            </w:r>
            <w:proofErr w:type="spellEnd"/>
            <w:r>
              <w:rPr>
                <w:rFonts w:asciiTheme="minorHAnsi" w:hAnsiTheme="minorHAnsi" w:cstheme="minorHAnsi"/>
                <w:sz w:val="20"/>
                <w:szCs w:val="20"/>
                <w:lang w:val="en-US"/>
              </w:rPr>
              <w:t xml:space="preserve"> mobility initiatives.</w:t>
            </w:r>
          </w:p>
        </w:tc>
        <w:tc>
          <w:tcPr>
            <w:tcW w:w="4531" w:type="dxa"/>
          </w:tcPr>
          <w:p w14:paraId="68611494" w14:textId="77777777" w:rsidR="007C55AB" w:rsidRPr="00B838AA"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Pr>
                <w:rFonts w:asciiTheme="minorHAnsi" w:hAnsiTheme="minorHAnsi" w:cstheme="minorHAnsi"/>
                <w:sz w:val="20"/>
                <w:szCs w:val="20"/>
                <w:lang w:val="en-US"/>
              </w:rPr>
              <w:t>Supply and demand are inextricably linked and APTC can c</w:t>
            </w:r>
            <w:r w:rsidRPr="00B838AA">
              <w:rPr>
                <w:rFonts w:asciiTheme="minorHAnsi" w:hAnsiTheme="minorHAnsi" w:cstheme="minorHAnsi"/>
                <w:sz w:val="20"/>
                <w:szCs w:val="20"/>
                <w:lang w:val="en-US"/>
              </w:rPr>
              <w:t xml:space="preserve">ontribute to shaping the Australian demand for semi-skilled workers through </w:t>
            </w:r>
            <w:r>
              <w:rPr>
                <w:rFonts w:asciiTheme="minorHAnsi" w:hAnsiTheme="minorHAnsi" w:cstheme="minorHAnsi"/>
                <w:sz w:val="20"/>
                <w:szCs w:val="20"/>
                <w:lang w:val="en-US"/>
              </w:rPr>
              <w:t xml:space="preserve">its </w:t>
            </w:r>
            <w:r w:rsidRPr="00B838AA">
              <w:rPr>
                <w:rFonts w:asciiTheme="minorHAnsi" w:hAnsiTheme="minorHAnsi" w:cstheme="minorHAnsi"/>
                <w:sz w:val="20"/>
                <w:szCs w:val="20"/>
                <w:lang w:val="en-US"/>
              </w:rPr>
              <w:t>TAFE Q</w:t>
            </w:r>
            <w:r>
              <w:rPr>
                <w:rFonts w:asciiTheme="minorHAnsi" w:hAnsiTheme="minorHAnsi" w:cstheme="minorHAnsi"/>
                <w:sz w:val="20"/>
                <w:szCs w:val="20"/>
                <w:lang w:val="en-US"/>
              </w:rPr>
              <w:t xml:space="preserve">ueensland </w:t>
            </w:r>
            <w:r w:rsidRPr="00B838AA">
              <w:rPr>
                <w:rFonts w:asciiTheme="minorHAnsi" w:hAnsiTheme="minorHAnsi" w:cstheme="minorHAnsi"/>
                <w:sz w:val="20"/>
                <w:szCs w:val="20"/>
                <w:lang w:val="en-US"/>
              </w:rPr>
              <w:t xml:space="preserve">and Board networks </w:t>
            </w:r>
            <w:r>
              <w:rPr>
                <w:rFonts w:asciiTheme="minorHAnsi" w:hAnsiTheme="minorHAnsi" w:cstheme="minorHAnsi"/>
                <w:sz w:val="20"/>
                <w:szCs w:val="20"/>
                <w:lang w:val="en-US"/>
              </w:rPr>
              <w:t>(</w:t>
            </w:r>
            <w:r w:rsidRPr="00B838AA">
              <w:rPr>
                <w:rFonts w:asciiTheme="minorHAnsi" w:hAnsiTheme="minorHAnsi" w:cstheme="minorHAnsi"/>
                <w:sz w:val="20"/>
                <w:szCs w:val="20"/>
                <w:lang w:val="en-US"/>
              </w:rPr>
              <w:t>in concert with PLF process</w:t>
            </w:r>
            <w:r>
              <w:rPr>
                <w:rFonts w:asciiTheme="minorHAnsi" w:hAnsiTheme="minorHAnsi" w:cstheme="minorHAnsi"/>
                <w:sz w:val="20"/>
                <w:szCs w:val="20"/>
                <w:lang w:val="en-US"/>
              </w:rPr>
              <w:t>).</w:t>
            </w:r>
          </w:p>
          <w:p w14:paraId="6F5F5C03" w14:textId="77777777" w:rsidR="007C55AB" w:rsidRPr="00B838AA"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Pr>
                <w:rFonts w:asciiTheme="minorHAnsi" w:hAnsiTheme="minorHAnsi" w:cstheme="minorHAnsi"/>
                <w:sz w:val="20"/>
                <w:szCs w:val="20"/>
                <w:lang w:val="en-US"/>
              </w:rPr>
              <w:t xml:space="preserve">Take advantage of closed borders and trace and track </w:t>
            </w:r>
            <w:r w:rsidRPr="00B838AA">
              <w:rPr>
                <w:rFonts w:asciiTheme="minorHAnsi" w:hAnsiTheme="minorHAnsi" w:cstheme="minorHAnsi"/>
                <w:sz w:val="20"/>
                <w:szCs w:val="20"/>
                <w:lang w:val="en-US"/>
              </w:rPr>
              <w:t xml:space="preserve">graduates </w:t>
            </w:r>
            <w:r>
              <w:rPr>
                <w:rFonts w:asciiTheme="minorHAnsi" w:hAnsiTheme="minorHAnsi" w:cstheme="minorHAnsi"/>
                <w:sz w:val="20"/>
                <w:szCs w:val="20"/>
                <w:lang w:val="en-US"/>
              </w:rPr>
              <w:t xml:space="preserve">eligible for Temporary Skills Shortage Visas and support links </w:t>
            </w:r>
            <w:r w:rsidRPr="00B838AA">
              <w:rPr>
                <w:rFonts w:asciiTheme="minorHAnsi" w:hAnsiTheme="minorHAnsi" w:cstheme="minorHAnsi"/>
                <w:sz w:val="20"/>
                <w:szCs w:val="20"/>
                <w:lang w:val="en-US"/>
              </w:rPr>
              <w:t xml:space="preserve">with employers – </w:t>
            </w:r>
            <w:r>
              <w:rPr>
                <w:rFonts w:asciiTheme="minorHAnsi" w:hAnsiTheme="minorHAnsi" w:cstheme="minorHAnsi"/>
                <w:sz w:val="20"/>
                <w:szCs w:val="20"/>
                <w:lang w:val="en-US"/>
              </w:rPr>
              <w:t xml:space="preserve">and/or consider </w:t>
            </w:r>
            <w:r w:rsidRPr="00B838AA">
              <w:rPr>
                <w:rFonts w:asciiTheme="minorHAnsi" w:hAnsiTheme="minorHAnsi" w:cstheme="minorHAnsi"/>
                <w:sz w:val="20"/>
                <w:szCs w:val="20"/>
                <w:lang w:val="en-US"/>
              </w:rPr>
              <w:t>transfer</w:t>
            </w:r>
            <w:r>
              <w:rPr>
                <w:rFonts w:asciiTheme="minorHAnsi" w:hAnsiTheme="minorHAnsi" w:cstheme="minorHAnsi"/>
                <w:sz w:val="20"/>
                <w:szCs w:val="20"/>
                <w:lang w:val="en-US"/>
              </w:rPr>
              <w:t>ring</w:t>
            </w:r>
            <w:r w:rsidRPr="00B838AA">
              <w:rPr>
                <w:rFonts w:asciiTheme="minorHAnsi" w:hAnsiTheme="minorHAnsi" w:cstheme="minorHAnsi"/>
                <w:sz w:val="20"/>
                <w:szCs w:val="20"/>
                <w:lang w:val="en-US"/>
              </w:rPr>
              <w:t xml:space="preserve"> Pacific TSS </w:t>
            </w:r>
            <w:r>
              <w:rPr>
                <w:rFonts w:asciiTheme="minorHAnsi" w:hAnsiTheme="minorHAnsi" w:cstheme="minorHAnsi"/>
                <w:sz w:val="20"/>
                <w:szCs w:val="20"/>
                <w:lang w:val="en-US"/>
              </w:rPr>
              <w:t xml:space="preserve">interests </w:t>
            </w:r>
            <w:r w:rsidRPr="00B838AA">
              <w:rPr>
                <w:rFonts w:asciiTheme="minorHAnsi" w:hAnsiTheme="minorHAnsi" w:cstheme="minorHAnsi"/>
                <w:sz w:val="20"/>
                <w:szCs w:val="20"/>
                <w:lang w:val="en-US"/>
              </w:rPr>
              <w:t xml:space="preserve">to </w:t>
            </w:r>
            <w:r>
              <w:rPr>
                <w:rFonts w:asciiTheme="minorHAnsi" w:hAnsiTheme="minorHAnsi" w:cstheme="minorHAnsi"/>
                <w:sz w:val="20"/>
                <w:szCs w:val="20"/>
                <w:lang w:val="en-US"/>
              </w:rPr>
              <w:t xml:space="preserve">the </w:t>
            </w:r>
            <w:r w:rsidRPr="00B838AA">
              <w:rPr>
                <w:rFonts w:asciiTheme="minorHAnsi" w:hAnsiTheme="minorHAnsi" w:cstheme="minorHAnsi"/>
                <w:sz w:val="20"/>
                <w:szCs w:val="20"/>
                <w:lang w:val="en-US"/>
              </w:rPr>
              <w:t xml:space="preserve">PLF </w:t>
            </w:r>
            <w:r>
              <w:rPr>
                <w:rFonts w:asciiTheme="minorHAnsi" w:hAnsiTheme="minorHAnsi" w:cstheme="minorHAnsi"/>
                <w:sz w:val="20"/>
                <w:szCs w:val="20"/>
                <w:lang w:val="en-US"/>
              </w:rPr>
              <w:t>who have the sector/employer mechanisms</w:t>
            </w:r>
            <w:r w:rsidRPr="00B838AA">
              <w:rPr>
                <w:rFonts w:asciiTheme="minorHAnsi" w:hAnsiTheme="minorHAnsi" w:cstheme="minorHAnsi"/>
                <w:sz w:val="20"/>
                <w:szCs w:val="20"/>
                <w:lang w:val="en-US"/>
              </w:rPr>
              <w:t>.</w:t>
            </w:r>
          </w:p>
          <w:p w14:paraId="3859CEA9" w14:textId="77777777" w:rsidR="007C55AB"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Work </w:t>
            </w:r>
            <w:r>
              <w:rPr>
                <w:rFonts w:asciiTheme="minorHAnsi" w:hAnsiTheme="minorHAnsi" w:cstheme="minorHAnsi"/>
                <w:sz w:val="20"/>
                <w:szCs w:val="20"/>
                <w:lang w:val="en-US"/>
              </w:rPr>
              <w:t xml:space="preserve">with and </w:t>
            </w:r>
            <w:r w:rsidRPr="00B838AA">
              <w:rPr>
                <w:rFonts w:asciiTheme="minorHAnsi" w:hAnsiTheme="minorHAnsi" w:cstheme="minorHAnsi"/>
                <w:sz w:val="20"/>
                <w:szCs w:val="20"/>
                <w:lang w:val="en-US"/>
              </w:rPr>
              <w:t xml:space="preserve">through </w:t>
            </w:r>
            <w:r>
              <w:rPr>
                <w:rFonts w:asciiTheme="minorHAnsi" w:hAnsiTheme="minorHAnsi" w:cstheme="minorHAnsi"/>
                <w:sz w:val="20"/>
                <w:szCs w:val="20"/>
                <w:lang w:val="en-US"/>
              </w:rPr>
              <w:t xml:space="preserve">interested TVET </w:t>
            </w:r>
            <w:r w:rsidRPr="00B838AA">
              <w:rPr>
                <w:rFonts w:asciiTheme="minorHAnsi" w:hAnsiTheme="minorHAnsi" w:cstheme="minorHAnsi"/>
                <w:sz w:val="20"/>
                <w:szCs w:val="20"/>
                <w:lang w:val="en-US"/>
              </w:rPr>
              <w:t xml:space="preserve">partners to </w:t>
            </w:r>
            <w:r>
              <w:rPr>
                <w:rFonts w:asciiTheme="minorHAnsi" w:hAnsiTheme="minorHAnsi" w:cstheme="minorHAnsi"/>
                <w:sz w:val="20"/>
                <w:szCs w:val="20"/>
                <w:lang w:val="en-US"/>
              </w:rPr>
              <w:t>support development</w:t>
            </w:r>
            <w:r w:rsidRPr="00B838AA">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and delivery of: </w:t>
            </w:r>
          </w:p>
          <w:p w14:paraId="6859EEB3" w14:textId="77777777" w:rsidR="007C55AB" w:rsidRDefault="007C55AB" w:rsidP="007C55AB">
            <w:pPr>
              <w:pStyle w:val="ListParagraph"/>
              <w:numPr>
                <w:ilvl w:val="1"/>
                <w:numId w:val="2"/>
              </w:numPr>
              <w:spacing w:before="60" w:after="60"/>
              <w:ind w:left="573" w:hanging="283"/>
              <w:rPr>
                <w:rFonts w:asciiTheme="minorHAnsi" w:hAnsiTheme="minorHAnsi" w:cstheme="minorHAnsi"/>
                <w:sz w:val="20"/>
                <w:szCs w:val="20"/>
                <w:lang w:val="en-US"/>
              </w:rPr>
            </w:pPr>
            <w:r>
              <w:rPr>
                <w:rFonts w:asciiTheme="minorHAnsi" w:hAnsiTheme="minorHAnsi" w:cstheme="minorHAnsi"/>
                <w:sz w:val="20"/>
                <w:szCs w:val="20"/>
                <w:lang w:val="en-US"/>
              </w:rPr>
              <w:t xml:space="preserve">employability skills </w:t>
            </w:r>
            <w:proofErr w:type="gramStart"/>
            <w:r>
              <w:rPr>
                <w:rFonts w:asciiTheme="minorHAnsi" w:hAnsiTheme="minorHAnsi" w:cstheme="minorHAnsi"/>
                <w:sz w:val="20"/>
                <w:szCs w:val="20"/>
                <w:lang w:val="en-US"/>
              </w:rPr>
              <w:t>packages;</w:t>
            </w:r>
            <w:proofErr w:type="gramEnd"/>
            <w:r>
              <w:rPr>
                <w:rFonts w:asciiTheme="minorHAnsi" w:hAnsiTheme="minorHAnsi" w:cstheme="minorHAnsi"/>
                <w:sz w:val="20"/>
                <w:szCs w:val="20"/>
                <w:lang w:val="en-US"/>
              </w:rPr>
              <w:t xml:space="preserve"> </w:t>
            </w:r>
            <w:r w:rsidRPr="00B838AA">
              <w:rPr>
                <w:rFonts w:asciiTheme="minorHAnsi" w:hAnsiTheme="minorHAnsi" w:cstheme="minorHAnsi"/>
                <w:sz w:val="20"/>
                <w:szCs w:val="20"/>
                <w:lang w:val="en-US"/>
              </w:rPr>
              <w:t xml:space="preserve">work readiness standards and work readiness training at scale </w:t>
            </w:r>
            <w:r>
              <w:rPr>
                <w:rFonts w:asciiTheme="minorHAnsi" w:hAnsiTheme="minorHAnsi" w:cstheme="minorHAnsi"/>
                <w:sz w:val="20"/>
                <w:szCs w:val="20"/>
                <w:lang w:val="en-US"/>
              </w:rPr>
              <w:t xml:space="preserve">to support the Pacific </w:t>
            </w:r>
            <w:proofErr w:type="spellStart"/>
            <w:r>
              <w:rPr>
                <w:rFonts w:asciiTheme="minorHAnsi" w:hAnsiTheme="minorHAnsi" w:cstheme="minorHAnsi"/>
                <w:sz w:val="20"/>
                <w:szCs w:val="20"/>
                <w:lang w:val="en-US"/>
              </w:rPr>
              <w:t>Labour</w:t>
            </w:r>
            <w:proofErr w:type="spellEnd"/>
            <w:r>
              <w:rPr>
                <w:rFonts w:asciiTheme="minorHAnsi" w:hAnsiTheme="minorHAnsi" w:cstheme="minorHAnsi"/>
                <w:sz w:val="20"/>
                <w:szCs w:val="20"/>
                <w:lang w:val="en-US"/>
              </w:rPr>
              <w:t xml:space="preserve"> Scheme;</w:t>
            </w:r>
          </w:p>
          <w:p w14:paraId="5D2749E7" w14:textId="77777777" w:rsidR="007C55AB" w:rsidRPr="00B838AA" w:rsidRDefault="007C55AB" w:rsidP="007C55AB">
            <w:pPr>
              <w:pStyle w:val="ListParagraph"/>
              <w:numPr>
                <w:ilvl w:val="1"/>
                <w:numId w:val="2"/>
              </w:numPr>
              <w:spacing w:before="60" w:after="60"/>
              <w:ind w:left="573" w:hanging="283"/>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Certificate I </w:t>
            </w:r>
            <w:r>
              <w:rPr>
                <w:rFonts w:asciiTheme="minorHAnsi" w:hAnsiTheme="minorHAnsi" w:cstheme="minorHAnsi"/>
                <w:sz w:val="20"/>
                <w:szCs w:val="20"/>
                <w:lang w:val="en-US"/>
              </w:rPr>
              <w:t>and</w:t>
            </w:r>
            <w:r w:rsidRPr="00B838AA">
              <w:rPr>
                <w:rFonts w:asciiTheme="minorHAnsi" w:hAnsiTheme="minorHAnsi" w:cstheme="minorHAnsi"/>
                <w:sz w:val="20"/>
                <w:szCs w:val="20"/>
                <w:lang w:val="en-US"/>
              </w:rPr>
              <w:t xml:space="preserve"> II opportunities to facilitate youth </w:t>
            </w:r>
            <w:proofErr w:type="spellStart"/>
            <w:r w:rsidRPr="00B838AA">
              <w:rPr>
                <w:rFonts w:asciiTheme="minorHAnsi" w:hAnsiTheme="minorHAnsi" w:cstheme="minorHAnsi"/>
                <w:sz w:val="20"/>
                <w:szCs w:val="20"/>
                <w:lang w:val="en-US"/>
              </w:rPr>
              <w:t>labour</w:t>
            </w:r>
            <w:proofErr w:type="spellEnd"/>
            <w:r w:rsidRPr="00B838AA">
              <w:rPr>
                <w:rFonts w:asciiTheme="minorHAnsi" w:hAnsiTheme="minorHAnsi" w:cstheme="minorHAnsi"/>
                <w:sz w:val="20"/>
                <w:szCs w:val="20"/>
                <w:lang w:val="en-US"/>
              </w:rPr>
              <w:t xml:space="preserve"> mobility in </w:t>
            </w:r>
            <w:proofErr w:type="gramStart"/>
            <w:r w:rsidRPr="00B838AA">
              <w:rPr>
                <w:rFonts w:asciiTheme="minorHAnsi" w:hAnsiTheme="minorHAnsi" w:cstheme="minorHAnsi"/>
                <w:sz w:val="20"/>
                <w:szCs w:val="20"/>
                <w:lang w:val="en-US"/>
              </w:rPr>
              <w:t>agriculture</w:t>
            </w:r>
            <w:r>
              <w:rPr>
                <w:rFonts w:asciiTheme="minorHAnsi" w:hAnsiTheme="minorHAnsi" w:cstheme="minorHAnsi"/>
                <w:sz w:val="20"/>
                <w:szCs w:val="20"/>
                <w:lang w:val="en-US"/>
              </w:rPr>
              <w:t>;</w:t>
            </w:r>
            <w:proofErr w:type="gramEnd"/>
            <w:r>
              <w:rPr>
                <w:rFonts w:asciiTheme="minorHAnsi" w:hAnsiTheme="minorHAnsi" w:cstheme="minorHAnsi"/>
                <w:sz w:val="20"/>
                <w:szCs w:val="20"/>
                <w:lang w:val="en-US"/>
              </w:rPr>
              <w:t xml:space="preserve"> and</w:t>
            </w:r>
          </w:p>
          <w:p w14:paraId="474B0CF1" w14:textId="77777777" w:rsidR="007C55AB" w:rsidRPr="00B838AA" w:rsidRDefault="007C55AB" w:rsidP="007C55AB">
            <w:pPr>
              <w:pStyle w:val="ListParagraph"/>
              <w:numPr>
                <w:ilvl w:val="1"/>
                <w:numId w:val="2"/>
              </w:numPr>
              <w:spacing w:before="60" w:after="60"/>
              <w:ind w:left="573" w:hanging="283"/>
              <w:rPr>
                <w:rFonts w:asciiTheme="minorHAnsi" w:hAnsiTheme="minorHAnsi" w:cstheme="minorHAnsi"/>
                <w:sz w:val="20"/>
                <w:szCs w:val="20"/>
                <w:lang w:val="en-US"/>
              </w:rPr>
            </w:pPr>
            <w:r w:rsidRPr="00B838AA">
              <w:rPr>
                <w:rFonts w:asciiTheme="minorHAnsi" w:hAnsiTheme="minorHAnsi" w:cstheme="minorHAnsi"/>
                <w:sz w:val="20"/>
                <w:szCs w:val="20"/>
                <w:lang w:val="en-US"/>
              </w:rPr>
              <w:t>youth re</w:t>
            </w:r>
            <w:r>
              <w:rPr>
                <w:rFonts w:asciiTheme="minorHAnsi" w:hAnsiTheme="minorHAnsi" w:cstheme="minorHAnsi"/>
                <w:sz w:val="20"/>
                <w:szCs w:val="20"/>
                <w:lang w:val="en-US"/>
              </w:rPr>
              <w:t>-</w:t>
            </w:r>
            <w:r w:rsidRPr="00B838AA">
              <w:rPr>
                <w:rFonts w:asciiTheme="minorHAnsi" w:hAnsiTheme="minorHAnsi" w:cstheme="minorHAnsi"/>
                <w:sz w:val="20"/>
                <w:szCs w:val="20"/>
                <w:lang w:val="en-US"/>
              </w:rPr>
              <w:t xml:space="preserve">integration </w:t>
            </w:r>
            <w:r>
              <w:rPr>
                <w:rFonts w:asciiTheme="minorHAnsi" w:hAnsiTheme="minorHAnsi" w:cstheme="minorHAnsi"/>
                <w:sz w:val="20"/>
                <w:szCs w:val="20"/>
                <w:lang w:val="en-US"/>
              </w:rPr>
              <w:t xml:space="preserve">and </w:t>
            </w:r>
            <w:r w:rsidRPr="00B838AA">
              <w:rPr>
                <w:rFonts w:asciiTheme="minorHAnsi" w:hAnsiTheme="minorHAnsi" w:cstheme="minorHAnsi"/>
                <w:sz w:val="20"/>
                <w:szCs w:val="20"/>
                <w:lang w:val="en-US"/>
              </w:rPr>
              <w:t>employment opportunities along the agriculture supply chain</w:t>
            </w:r>
            <w:r>
              <w:rPr>
                <w:rFonts w:asciiTheme="minorHAnsi" w:hAnsiTheme="minorHAnsi" w:cstheme="minorHAnsi"/>
                <w:sz w:val="20"/>
                <w:szCs w:val="20"/>
                <w:lang w:val="en-US"/>
              </w:rPr>
              <w:t xml:space="preserve"> including by leveraging</w:t>
            </w:r>
            <w:r w:rsidRPr="00B838AA">
              <w:rPr>
                <w:rFonts w:asciiTheme="minorHAnsi" w:hAnsiTheme="minorHAnsi" w:cstheme="minorHAnsi"/>
                <w:sz w:val="20"/>
                <w:szCs w:val="20"/>
                <w:lang w:val="en-US"/>
              </w:rPr>
              <w:t xml:space="preserve"> links with </w:t>
            </w:r>
            <w:r>
              <w:rPr>
                <w:rFonts w:asciiTheme="minorHAnsi" w:hAnsiTheme="minorHAnsi" w:cstheme="minorHAnsi"/>
                <w:sz w:val="20"/>
                <w:szCs w:val="20"/>
                <w:lang w:val="en-US"/>
              </w:rPr>
              <w:t xml:space="preserve">Australia’s </w:t>
            </w:r>
            <w:r w:rsidRPr="00B838AA">
              <w:rPr>
                <w:rFonts w:asciiTheme="minorHAnsi" w:hAnsiTheme="minorHAnsi" w:cstheme="minorHAnsi"/>
                <w:sz w:val="20"/>
                <w:szCs w:val="20"/>
                <w:lang w:val="en-US"/>
              </w:rPr>
              <w:t>PHAMA Plus and PACER Plus</w:t>
            </w:r>
            <w:r>
              <w:rPr>
                <w:rFonts w:asciiTheme="minorHAnsi" w:hAnsiTheme="minorHAnsi" w:cstheme="minorHAnsi"/>
                <w:sz w:val="20"/>
                <w:szCs w:val="20"/>
                <w:lang w:val="en-US"/>
              </w:rPr>
              <w:t xml:space="preserve"> investments.</w:t>
            </w:r>
          </w:p>
        </w:tc>
      </w:tr>
    </w:tbl>
    <w:p w14:paraId="205E746E" w14:textId="0F8864A0" w:rsidR="007C55AB" w:rsidRDefault="007C55AB"/>
    <w:p w14:paraId="7E890C03" w14:textId="2C7AFFAA" w:rsidR="007C55AB" w:rsidRDefault="007C55AB" w:rsidP="00F06403">
      <w:pPr>
        <w:spacing w:after="240"/>
      </w:pPr>
      <w:r w:rsidRPr="00B838AA">
        <w:rPr>
          <w:rFonts w:asciiTheme="minorHAnsi" w:hAnsiTheme="minorHAnsi" w:cstheme="minorHAnsi"/>
          <w:b/>
          <w:bCs/>
          <w:i/>
          <w:iCs/>
          <w:color w:val="4472C4" w:themeColor="accent1"/>
          <w:sz w:val="20"/>
          <w:szCs w:val="20"/>
        </w:rPr>
        <w:t xml:space="preserve">To what extent do the results achieved to date and the ways of working represent a value-for-money </w:t>
      </w:r>
      <w:r>
        <w:rPr>
          <w:rFonts w:asciiTheme="minorHAnsi" w:hAnsiTheme="minorHAnsi" w:cstheme="minorHAnsi"/>
          <w:b/>
          <w:bCs/>
          <w:i/>
          <w:iCs/>
          <w:color w:val="4472C4" w:themeColor="accent1"/>
          <w:sz w:val="20"/>
          <w:szCs w:val="20"/>
        </w:rPr>
        <w:t>(</w:t>
      </w:r>
      <w:proofErr w:type="spellStart"/>
      <w:r>
        <w:rPr>
          <w:rFonts w:asciiTheme="minorHAnsi" w:hAnsiTheme="minorHAnsi" w:cstheme="minorHAnsi"/>
          <w:b/>
          <w:bCs/>
          <w:i/>
          <w:iCs/>
          <w:color w:val="4472C4" w:themeColor="accent1"/>
          <w:sz w:val="20"/>
          <w:szCs w:val="20"/>
        </w:rPr>
        <w:t>VfM</w:t>
      </w:r>
      <w:proofErr w:type="spellEnd"/>
      <w:r>
        <w:rPr>
          <w:rFonts w:asciiTheme="minorHAnsi" w:hAnsiTheme="minorHAnsi" w:cstheme="minorHAnsi"/>
          <w:b/>
          <w:bCs/>
          <w:i/>
          <w:iCs/>
          <w:color w:val="4472C4" w:themeColor="accent1"/>
          <w:sz w:val="20"/>
          <w:szCs w:val="20"/>
        </w:rPr>
        <w:t xml:space="preserve">) </w:t>
      </w:r>
      <w:r w:rsidRPr="00B838AA">
        <w:rPr>
          <w:rFonts w:asciiTheme="minorHAnsi" w:hAnsiTheme="minorHAnsi" w:cstheme="minorHAnsi"/>
          <w:b/>
          <w:bCs/>
          <w:i/>
          <w:iCs/>
          <w:color w:val="4472C4" w:themeColor="accent1"/>
          <w:sz w:val="20"/>
          <w:szCs w:val="20"/>
        </w:rPr>
        <w:t>trajectory from both a Pacific and Australian perspective?</w:t>
      </w:r>
    </w:p>
    <w:tbl>
      <w:tblPr>
        <w:tblStyle w:val="TableGrid"/>
        <w:tblW w:w="9351" w:type="dxa"/>
        <w:tblLook w:val="04A0" w:firstRow="1" w:lastRow="0" w:firstColumn="1" w:lastColumn="0" w:noHBand="0" w:noVBand="1"/>
      </w:tblPr>
      <w:tblGrid>
        <w:gridCol w:w="897"/>
        <w:gridCol w:w="3881"/>
        <w:gridCol w:w="4573"/>
      </w:tblGrid>
      <w:tr w:rsidR="007C55AB" w:rsidRPr="00B838AA" w14:paraId="3A085AA7" w14:textId="77777777" w:rsidTr="007C55AB">
        <w:trPr>
          <w:tblHeader/>
        </w:trPr>
        <w:tc>
          <w:tcPr>
            <w:tcW w:w="470" w:type="dxa"/>
          </w:tcPr>
          <w:p w14:paraId="0394FC43" w14:textId="62EF93B0" w:rsidR="007C55AB" w:rsidRDefault="007C55AB" w:rsidP="007C55AB">
            <w:pPr>
              <w:spacing w:before="60" w:after="60"/>
              <w:rPr>
                <w:rFonts w:asciiTheme="minorHAnsi" w:hAnsiTheme="minorHAnsi" w:cstheme="minorHAnsi"/>
                <w:sz w:val="20"/>
                <w:szCs w:val="20"/>
              </w:rPr>
            </w:pPr>
            <w:r w:rsidRPr="007C55AB">
              <w:rPr>
                <w:rFonts w:asciiTheme="minorHAnsi" w:hAnsiTheme="minorHAnsi" w:cstheme="minorHAnsi"/>
                <w:b/>
                <w:bCs/>
                <w:sz w:val="20"/>
                <w:szCs w:val="20"/>
              </w:rPr>
              <w:t>Number</w:t>
            </w:r>
          </w:p>
        </w:tc>
        <w:tc>
          <w:tcPr>
            <w:tcW w:w="4086" w:type="dxa"/>
          </w:tcPr>
          <w:p w14:paraId="059E3C55" w14:textId="1C019F95" w:rsidR="007C55AB" w:rsidRPr="00B838AA"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b/>
                <w:bCs/>
                <w:sz w:val="20"/>
                <w:szCs w:val="20"/>
              </w:rPr>
              <w:t>Key Finding</w:t>
            </w:r>
          </w:p>
        </w:tc>
        <w:tc>
          <w:tcPr>
            <w:tcW w:w="4795" w:type="dxa"/>
          </w:tcPr>
          <w:p w14:paraId="227D3FE1" w14:textId="0553C60A" w:rsidR="007C55AB" w:rsidRPr="00B838AA"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b/>
                <w:bCs/>
                <w:sz w:val="20"/>
                <w:szCs w:val="20"/>
              </w:rPr>
              <w:t>Recommendation</w:t>
            </w:r>
          </w:p>
        </w:tc>
      </w:tr>
      <w:tr w:rsidR="007C55AB" w:rsidRPr="00B838AA" w14:paraId="30F923AF" w14:textId="77777777" w:rsidTr="00E72DD8">
        <w:tc>
          <w:tcPr>
            <w:tcW w:w="470" w:type="dxa"/>
          </w:tcPr>
          <w:p w14:paraId="5CDCE5BD" w14:textId="77777777" w:rsidR="007C55AB" w:rsidRPr="00B838AA" w:rsidRDefault="007C55AB" w:rsidP="007C55AB">
            <w:pPr>
              <w:spacing w:before="60" w:after="60"/>
              <w:rPr>
                <w:rFonts w:asciiTheme="minorHAnsi" w:hAnsiTheme="minorHAnsi" w:cstheme="minorHAnsi"/>
                <w:sz w:val="20"/>
                <w:szCs w:val="20"/>
              </w:rPr>
            </w:pPr>
            <w:r>
              <w:rPr>
                <w:rFonts w:asciiTheme="minorHAnsi" w:hAnsiTheme="minorHAnsi" w:cstheme="minorHAnsi"/>
                <w:sz w:val="20"/>
                <w:szCs w:val="20"/>
              </w:rPr>
              <w:t>9</w:t>
            </w:r>
            <w:r w:rsidRPr="00B838AA">
              <w:rPr>
                <w:rFonts w:asciiTheme="minorHAnsi" w:hAnsiTheme="minorHAnsi" w:cstheme="minorHAnsi"/>
                <w:sz w:val="20"/>
                <w:szCs w:val="20"/>
              </w:rPr>
              <w:t>.</w:t>
            </w:r>
          </w:p>
        </w:tc>
        <w:tc>
          <w:tcPr>
            <w:tcW w:w="4086" w:type="dxa"/>
          </w:tcPr>
          <w:p w14:paraId="216673E8" w14:textId="77777777" w:rsidR="007C55AB" w:rsidRPr="00B838AA" w:rsidRDefault="007C55AB" w:rsidP="007C55AB">
            <w:pPr>
              <w:pStyle w:val="ListParagraph"/>
              <w:numPr>
                <w:ilvl w:val="0"/>
                <w:numId w:val="2"/>
              </w:numPr>
              <w:spacing w:before="60" w:after="60"/>
              <w:ind w:left="275" w:hanging="275"/>
              <w:rPr>
                <w:rFonts w:asciiTheme="minorHAnsi" w:hAnsiTheme="minorHAnsi" w:cstheme="minorHAnsi"/>
                <w:sz w:val="20"/>
                <w:szCs w:val="20"/>
              </w:rPr>
            </w:pPr>
            <w:r w:rsidRPr="00B838AA">
              <w:rPr>
                <w:rFonts w:asciiTheme="minorHAnsi" w:hAnsiTheme="minorHAnsi" w:cstheme="minorHAnsi"/>
                <w:sz w:val="20"/>
                <w:szCs w:val="20"/>
                <w:lang w:val="en-US"/>
              </w:rPr>
              <w:t xml:space="preserve">Overall, the results achieved to date in APTC3 and ways of working represent ‘Fair’ to ‘Good’ value for money (on a 5-point scale) from a Pacific and an Australian perspective, and there is evidence of a positive and improving </w:t>
            </w:r>
            <w:proofErr w:type="spellStart"/>
            <w:r w:rsidRPr="00B838AA">
              <w:rPr>
                <w:rFonts w:asciiTheme="minorHAnsi" w:hAnsiTheme="minorHAnsi" w:cstheme="minorHAnsi"/>
                <w:sz w:val="20"/>
                <w:szCs w:val="20"/>
                <w:lang w:val="en-US"/>
              </w:rPr>
              <w:t>VfM</w:t>
            </w:r>
            <w:proofErr w:type="spellEnd"/>
            <w:r w:rsidRPr="00B838AA">
              <w:rPr>
                <w:rFonts w:asciiTheme="minorHAnsi" w:hAnsiTheme="minorHAnsi" w:cstheme="minorHAnsi"/>
                <w:sz w:val="20"/>
                <w:szCs w:val="20"/>
                <w:lang w:val="en-US"/>
              </w:rPr>
              <w:t xml:space="preserve"> trajectory since the last </w:t>
            </w:r>
            <w:proofErr w:type="spellStart"/>
            <w:r w:rsidRPr="00B838AA">
              <w:rPr>
                <w:rFonts w:asciiTheme="minorHAnsi" w:hAnsiTheme="minorHAnsi" w:cstheme="minorHAnsi"/>
                <w:sz w:val="20"/>
                <w:szCs w:val="20"/>
                <w:lang w:val="en-US"/>
              </w:rPr>
              <w:t>VfM</w:t>
            </w:r>
            <w:proofErr w:type="spellEnd"/>
            <w:r w:rsidRPr="00B838AA">
              <w:rPr>
                <w:rFonts w:asciiTheme="minorHAnsi" w:hAnsiTheme="minorHAnsi" w:cstheme="minorHAnsi"/>
                <w:sz w:val="20"/>
                <w:szCs w:val="20"/>
                <w:lang w:val="en-US"/>
              </w:rPr>
              <w:t xml:space="preserve"> assessment completed in 2014.</w:t>
            </w:r>
          </w:p>
        </w:tc>
        <w:tc>
          <w:tcPr>
            <w:tcW w:w="4795" w:type="dxa"/>
          </w:tcPr>
          <w:p w14:paraId="72794280" w14:textId="77777777" w:rsidR="007C55AB" w:rsidRPr="00B838AA"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proofErr w:type="spellStart"/>
            <w:r w:rsidRPr="00B838AA">
              <w:rPr>
                <w:rFonts w:asciiTheme="minorHAnsi" w:hAnsiTheme="minorHAnsi" w:cstheme="minorHAnsi"/>
                <w:sz w:val="20"/>
                <w:szCs w:val="20"/>
                <w:lang w:val="en-US"/>
              </w:rPr>
              <w:t>VfM</w:t>
            </w:r>
            <w:proofErr w:type="spellEnd"/>
            <w:r w:rsidRPr="00B838AA">
              <w:rPr>
                <w:rFonts w:asciiTheme="minorHAnsi" w:hAnsiTheme="minorHAnsi" w:cstheme="minorHAnsi"/>
                <w:sz w:val="20"/>
                <w:szCs w:val="20"/>
                <w:lang w:val="en-US"/>
              </w:rPr>
              <w:t xml:space="preserve"> would be improved by facilitating stronger </w:t>
            </w:r>
            <w:proofErr w:type="spellStart"/>
            <w:r w:rsidRPr="00B838AA">
              <w:rPr>
                <w:rFonts w:asciiTheme="minorHAnsi" w:hAnsiTheme="minorHAnsi" w:cstheme="minorHAnsi"/>
                <w:sz w:val="20"/>
                <w:szCs w:val="20"/>
                <w:lang w:val="en-US"/>
              </w:rPr>
              <w:t>labour</w:t>
            </w:r>
            <w:proofErr w:type="spellEnd"/>
            <w:r w:rsidRPr="00B838AA">
              <w:rPr>
                <w:rFonts w:asciiTheme="minorHAnsi" w:hAnsiTheme="minorHAnsi" w:cstheme="minorHAnsi"/>
                <w:sz w:val="20"/>
                <w:szCs w:val="20"/>
                <w:lang w:val="en-US"/>
              </w:rPr>
              <w:t xml:space="preserve"> mobility outcomes, accelerating reforms to reduce both the footprint and cost of training, reducing the dependence on bursaries, and increasing access to training for women and people living with a disability, especially by innovating in supported remote learning and technology options.</w:t>
            </w:r>
          </w:p>
        </w:tc>
      </w:tr>
      <w:tr w:rsidR="007C55AB" w:rsidRPr="00B838AA" w14:paraId="4AD8AE32" w14:textId="77777777" w:rsidTr="00E72DD8">
        <w:tc>
          <w:tcPr>
            <w:tcW w:w="470" w:type="dxa"/>
          </w:tcPr>
          <w:p w14:paraId="60DABBBA" w14:textId="77777777" w:rsidR="007C55AB" w:rsidRPr="00B838AA" w:rsidRDefault="007C55AB" w:rsidP="007C55AB">
            <w:pPr>
              <w:spacing w:before="60" w:after="60"/>
              <w:rPr>
                <w:rFonts w:asciiTheme="minorHAnsi" w:hAnsiTheme="minorHAnsi" w:cstheme="minorHAnsi"/>
                <w:sz w:val="20"/>
                <w:szCs w:val="20"/>
              </w:rPr>
            </w:pPr>
            <w:r>
              <w:rPr>
                <w:rFonts w:asciiTheme="minorHAnsi" w:hAnsiTheme="minorHAnsi" w:cstheme="minorHAnsi"/>
                <w:sz w:val="20"/>
                <w:szCs w:val="20"/>
              </w:rPr>
              <w:t>10</w:t>
            </w:r>
            <w:r w:rsidRPr="00B838AA">
              <w:rPr>
                <w:rFonts w:asciiTheme="minorHAnsi" w:hAnsiTheme="minorHAnsi" w:cstheme="minorHAnsi"/>
                <w:sz w:val="20"/>
                <w:szCs w:val="20"/>
              </w:rPr>
              <w:t>.</w:t>
            </w:r>
          </w:p>
        </w:tc>
        <w:tc>
          <w:tcPr>
            <w:tcW w:w="4086" w:type="dxa"/>
          </w:tcPr>
          <w:p w14:paraId="4260AF87" w14:textId="77777777" w:rsidR="007C55AB" w:rsidRPr="00B838AA" w:rsidRDefault="007C55AB" w:rsidP="007C55AB">
            <w:pPr>
              <w:pStyle w:val="ListParagraph"/>
              <w:numPr>
                <w:ilvl w:val="0"/>
                <w:numId w:val="2"/>
              </w:numPr>
              <w:spacing w:before="60" w:after="60"/>
              <w:ind w:left="275" w:hanging="275"/>
              <w:rPr>
                <w:rFonts w:asciiTheme="minorHAnsi" w:hAnsiTheme="minorHAnsi" w:cstheme="minorHAnsi"/>
                <w:sz w:val="20"/>
                <w:szCs w:val="20"/>
              </w:rPr>
            </w:pPr>
            <w:r w:rsidRPr="00B838AA">
              <w:rPr>
                <w:rFonts w:asciiTheme="minorHAnsi" w:hAnsiTheme="minorHAnsi" w:cstheme="minorHAnsi"/>
                <w:sz w:val="20"/>
                <w:szCs w:val="20"/>
                <w:lang w:val="en-US"/>
              </w:rPr>
              <w:t xml:space="preserve">APTC’s value for money framework has potential as a new and credible approach </w:t>
            </w:r>
            <w:r w:rsidRPr="00B838AA">
              <w:rPr>
                <w:rFonts w:asciiTheme="minorHAnsi" w:hAnsiTheme="minorHAnsi" w:cstheme="minorHAnsi"/>
                <w:sz w:val="20"/>
                <w:szCs w:val="20"/>
                <w:lang w:val="en-US"/>
              </w:rPr>
              <w:lastRenderedPageBreak/>
              <w:t xml:space="preserve">to </w:t>
            </w:r>
            <w:r>
              <w:rPr>
                <w:rFonts w:asciiTheme="minorHAnsi" w:hAnsiTheme="minorHAnsi" w:cstheme="minorHAnsi"/>
                <w:sz w:val="20"/>
                <w:szCs w:val="20"/>
                <w:lang w:val="en-US"/>
              </w:rPr>
              <w:t xml:space="preserve">making a more wholistic </w:t>
            </w:r>
            <w:r w:rsidRPr="00B838AA">
              <w:rPr>
                <w:rFonts w:asciiTheme="minorHAnsi" w:hAnsiTheme="minorHAnsi" w:cstheme="minorHAnsi"/>
                <w:sz w:val="20"/>
                <w:szCs w:val="20"/>
                <w:lang w:val="en-US"/>
              </w:rPr>
              <w:t>assess</w:t>
            </w:r>
            <w:r>
              <w:rPr>
                <w:rFonts w:asciiTheme="minorHAnsi" w:hAnsiTheme="minorHAnsi" w:cstheme="minorHAnsi"/>
                <w:sz w:val="20"/>
                <w:szCs w:val="20"/>
                <w:lang w:val="en-US"/>
              </w:rPr>
              <w:t>ment of</w:t>
            </w:r>
            <w:r w:rsidRPr="00B838AA">
              <w:rPr>
                <w:rFonts w:asciiTheme="minorHAnsi" w:hAnsiTheme="minorHAnsi" w:cstheme="minorHAnsi"/>
                <w:sz w:val="20"/>
                <w:szCs w:val="20"/>
                <w:lang w:val="en-US"/>
              </w:rPr>
              <w:t xml:space="preserve"> value for money.</w:t>
            </w:r>
            <w:r w:rsidRPr="00B838AA">
              <w:rPr>
                <w:rFonts w:asciiTheme="minorHAnsi" w:hAnsiTheme="minorHAnsi" w:cstheme="minorHAnsi"/>
                <w:sz w:val="20"/>
                <w:szCs w:val="20"/>
              </w:rPr>
              <w:t xml:space="preserve"> </w:t>
            </w:r>
          </w:p>
        </w:tc>
        <w:tc>
          <w:tcPr>
            <w:tcW w:w="4795" w:type="dxa"/>
          </w:tcPr>
          <w:p w14:paraId="123AA989" w14:textId="77777777" w:rsidR="007C55AB" w:rsidRPr="00B838AA"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lastRenderedPageBreak/>
              <w:t xml:space="preserve">Develop and </w:t>
            </w:r>
            <w:proofErr w:type="spellStart"/>
            <w:r w:rsidRPr="00B838AA">
              <w:rPr>
                <w:rFonts w:asciiTheme="minorHAnsi" w:hAnsiTheme="minorHAnsi" w:cstheme="minorHAnsi"/>
                <w:sz w:val="20"/>
                <w:szCs w:val="20"/>
                <w:lang w:val="en-US"/>
              </w:rPr>
              <w:t>finalise</w:t>
            </w:r>
            <w:proofErr w:type="spellEnd"/>
            <w:r w:rsidRPr="00B838AA">
              <w:rPr>
                <w:rFonts w:asciiTheme="minorHAnsi" w:hAnsiTheme="minorHAnsi" w:cstheme="minorHAnsi"/>
                <w:sz w:val="20"/>
                <w:szCs w:val="20"/>
                <w:lang w:val="en-US"/>
              </w:rPr>
              <w:t xml:space="preserve"> the </w:t>
            </w:r>
            <w:proofErr w:type="spellStart"/>
            <w:r w:rsidRPr="00B838AA">
              <w:rPr>
                <w:rFonts w:asciiTheme="minorHAnsi" w:hAnsiTheme="minorHAnsi" w:cstheme="minorHAnsi"/>
                <w:sz w:val="20"/>
                <w:szCs w:val="20"/>
                <w:lang w:val="en-US"/>
              </w:rPr>
              <w:t>VfM</w:t>
            </w:r>
            <w:proofErr w:type="spellEnd"/>
            <w:r w:rsidRPr="00B838AA">
              <w:rPr>
                <w:rFonts w:asciiTheme="minorHAnsi" w:hAnsiTheme="minorHAnsi" w:cstheme="minorHAnsi"/>
                <w:sz w:val="20"/>
                <w:szCs w:val="20"/>
                <w:lang w:val="en-US"/>
              </w:rPr>
              <w:t xml:space="preserve"> framework, including co-creating performance criteria and </w:t>
            </w:r>
            <w:r w:rsidRPr="00B838AA">
              <w:rPr>
                <w:rFonts w:asciiTheme="minorHAnsi" w:hAnsiTheme="minorHAnsi" w:cstheme="minorHAnsi"/>
                <w:sz w:val="20"/>
                <w:szCs w:val="20"/>
                <w:lang w:val="en-US"/>
              </w:rPr>
              <w:lastRenderedPageBreak/>
              <w:t>agreeing the weightings with DFAT and key stakeholders.</w:t>
            </w:r>
          </w:p>
          <w:p w14:paraId="6F8697ED" w14:textId="77777777" w:rsidR="007C55AB" w:rsidRPr="00B838AA"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Complete the benefits model as a priority so a true cost-benefit analysis can be undertaken. </w:t>
            </w:r>
          </w:p>
          <w:p w14:paraId="197F50EB" w14:textId="77777777" w:rsidR="007C55AB" w:rsidRPr="00B838AA"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Review and revise the performance criteria for the 4 E’s, both in terms of overall content and quantum (there are potentially too many criteria) and weighting particularly for ‘Effectiveness’.  </w:t>
            </w:r>
          </w:p>
          <w:p w14:paraId="444FF78D" w14:textId="77777777" w:rsidR="007C55AB" w:rsidRPr="00B838AA" w:rsidRDefault="007C55AB" w:rsidP="007C55AB">
            <w:pPr>
              <w:pStyle w:val="ListParagraph"/>
              <w:numPr>
                <w:ilvl w:val="0"/>
                <w:numId w:val="2"/>
              </w:numPr>
              <w:spacing w:before="60" w:after="60"/>
              <w:ind w:left="275" w:hanging="275"/>
              <w:rPr>
                <w:rFonts w:asciiTheme="minorHAnsi" w:hAnsiTheme="minorHAnsi" w:cstheme="minorHAnsi"/>
                <w:sz w:val="20"/>
                <w:szCs w:val="20"/>
                <w:lang w:val="en-US"/>
              </w:rPr>
            </w:pPr>
            <w:r w:rsidRPr="00B838AA">
              <w:rPr>
                <w:rFonts w:asciiTheme="minorHAnsi" w:hAnsiTheme="minorHAnsi" w:cstheme="minorHAnsi"/>
                <w:sz w:val="20"/>
                <w:szCs w:val="20"/>
                <w:lang w:val="en-US"/>
              </w:rPr>
              <w:t xml:space="preserve">Add </w:t>
            </w:r>
            <w:proofErr w:type="spellStart"/>
            <w:r w:rsidRPr="00B838AA">
              <w:rPr>
                <w:rFonts w:asciiTheme="minorHAnsi" w:hAnsiTheme="minorHAnsi" w:cstheme="minorHAnsi"/>
                <w:sz w:val="20"/>
                <w:szCs w:val="20"/>
                <w:lang w:val="en-US"/>
              </w:rPr>
              <w:t>labour</w:t>
            </w:r>
            <w:proofErr w:type="spellEnd"/>
            <w:r w:rsidRPr="00B838AA">
              <w:rPr>
                <w:rFonts w:asciiTheme="minorHAnsi" w:hAnsiTheme="minorHAnsi" w:cstheme="minorHAnsi"/>
                <w:sz w:val="20"/>
                <w:szCs w:val="20"/>
                <w:lang w:val="en-US"/>
              </w:rPr>
              <w:t xml:space="preserve"> mobility as a </w:t>
            </w:r>
            <w:r>
              <w:rPr>
                <w:rFonts w:asciiTheme="minorHAnsi" w:hAnsiTheme="minorHAnsi" w:cstheme="minorHAnsi"/>
                <w:sz w:val="20"/>
                <w:szCs w:val="20"/>
                <w:lang w:val="en-US"/>
              </w:rPr>
              <w:t xml:space="preserve">core and </w:t>
            </w:r>
            <w:r w:rsidRPr="00B838AA">
              <w:rPr>
                <w:rFonts w:asciiTheme="minorHAnsi" w:hAnsiTheme="minorHAnsi" w:cstheme="minorHAnsi"/>
                <w:sz w:val="20"/>
                <w:szCs w:val="20"/>
                <w:lang w:val="en-US"/>
              </w:rPr>
              <w:t xml:space="preserve">discrete criterion in the </w:t>
            </w:r>
            <w:proofErr w:type="spellStart"/>
            <w:r w:rsidRPr="00B838AA">
              <w:rPr>
                <w:rFonts w:asciiTheme="minorHAnsi" w:hAnsiTheme="minorHAnsi" w:cstheme="minorHAnsi"/>
                <w:sz w:val="20"/>
                <w:szCs w:val="20"/>
                <w:lang w:val="en-US"/>
              </w:rPr>
              <w:t>VfM</w:t>
            </w:r>
            <w:proofErr w:type="spellEnd"/>
            <w:r w:rsidRPr="00B838AA">
              <w:rPr>
                <w:rFonts w:asciiTheme="minorHAnsi" w:hAnsiTheme="minorHAnsi" w:cstheme="minorHAnsi"/>
                <w:sz w:val="20"/>
                <w:szCs w:val="20"/>
                <w:lang w:val="en-US"/>
              </w:rPr>
              <w:t xml:space="preserve"> framework under ‘Effectiveness’.</w:t>
            </w:r>
          </w:p>
        </w:tc>
      </w:tr>
    </w:tbl>
    <w:p w14:paraId="176E0B42" w14:textId="77777777" w:rsidR="007C55AB" w:rsidRDefault="007C55AB"/>
    <w:sectPr w:rsidR="007C55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74253" w14:textId="77777777" w:rsidR="00E0744A" w:rsidRDefault="00E0744A" w:rsidP="00E0744A">
      <w:r>
        <w:separator/>
      </w:r>
    </w:p>
  </w:endnote>
  <w:endnote w:type="continuationSeparator" w:id="0">
    <w:p w14:paraId="6DF2C1FE" w14:textId="77777777" w:rsidR="00E0744A" w:rsidRDefault="00E0744A" w:rsidP="00E0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838589"/>
      <w:docPartObj>
        <w:docPartGallery w:val="Page Numbers (Bottom of Page)"/>
        <w:docPartUnique/>
      </w:docPartObj>
    </w:sdtPr>
    <w:sdtEndPr>
      <w:rPr>
        <w:noProof/>
      </w:rPr>
    </w:sdtEndPr>
    <w:sdtContent>
      <w:p w14:paraId="322C93A4" w14:textId="77777777" w:rsidR="00923D36" w:rsidRDefault="00E0744A">
        <w:pPr>
          <w:pStyle w:val="Footer"/>
          <w:jc w:val="right"/>
        </w:pPr>
        <w:r>
          <w:fldChar w:fldCharType="begin"/>
        </w:r>
        <w:r>
          <w:instrText xml:space="preserve"> PAGE   \* MERGEFORMAT </w:instrText>
        </w:r>
        <w:r>
          <w:fldChar w:fldCharType="separate"/>
        </w:r>
        <w:r>
          <w:rPr>
            <w:noProof/>
          </w:rPr>
          <w:t>vi</w:t>
        </w:r>
        <w:r>
          <w:rPr>
            <w:noProof/>
          </w:rPr>
          <w:fldChar w:fldCharType="end"/>
        </w:r>
      </w:p>
    </w:sdtContent>
  </w:sdt>
  <w:p w14:paraId="7328BB9D" w14:textId="77777777" w:rsidR="00923D36" w:rsidRDefault="00025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ABAFA" w14:textId="77777777" w:rsidR="00E0744A" w:rsidRDefault="00E0744A" w:rsidP="00E0744A">
      <w:r>
        <w:separator/>
      </w:r>
    </w:p>
  </w:footnote>
  <w:footnote w:type="continuationSeparator" w:id="0">
    <w:p w14:paraId="7C9B86A6" w14:textId="77777777" w:rsidR="00E0744A" w:rsidRDefault="00E0744A" w:rsidP="00E07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4037"/>
    <w:multiLevelType w:val="hybridMultilevel"/>
    <w:tmpl w:val="430ED914"/>
    <w:lvl w:ilvl="0" w:tplc="0C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F16A5B"/>
    <w:multiLevelType w:val="hybridMultilevel"/>
    <w:tmpl w:val="197AA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4A"/>
    <w:rsid w:val="000254BD"/>
    <w:rsid w:val="000E7F67"/>
    <w:rsid w:val="00120FB6"/>
    <w:rsid w:val="00324B39"/>
    <w:rsid w:val="003C49BC"/>
    <w:rsid w:val="006E419C"/>
    <w:rsid w:val="007C55AB"/>
    <w:rsid w:val="00AF3C74"/>
    <w:rsid w:val="00B618B4"/>
    <w:rsid w:val="00E0744A"/>
    <w:rsid w:val="00F06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C0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4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C55AB"/>
    <w:pPr>
      <w:jc w:val="center"/>
      <w:outlineLvl w:val="0"/>
    </w:pPr>
    <w:rPr>
      <w:rFonts w:asciiTheme="majorHAnsi" w:hAnsiTheme="majorHAnsi" w:cstheme="majorHAnsi"/>
      <w:b/>
      <w:bCs/>
      <w:sz w:val="40"/>
      <w:szCs w:val="40"/>
    </w:rPr>
  </w:style>
  <w:style w:type="paragraph" w:styleId="Heading2">
    <w:name w:val="heading 2"/>
    <w:basedOn w:val="Normal"/>
    <w:next w:val="Normal"/>
    <w:link w:val="Heading2Char"/>
    <w:uiPriority w:val="9"/>
    <w:unhideWhenUsed/>
    <w:qFormat/>
    <w:rsid w:val="00120FB6"/>
    <w:pPr>
      <w:keepNext/>
      <w:keepLines/>
      <w:spacing w:before="40"/>
      <w:outlineLvl w:val="1"/>
    </w:pPr>
    <w:rPr>
      <w:rFonts w:asciiTheme="majorHAnsi" w:eastAsiaTheme="majorEastAsia" w:hAnsiTheme="majorHAnsi" w:cstheme="majorBidi"/>
      <w:b/>
      <w:bCs/>
      <w:sz w:val="26"/>
      <w:szCs w:val="26"/>
      <w:lang w:val="en-US"/>
    </w:rPr>
  </w:style>
  <w:style w:type="paragraph" w:styleId="Heading3">
    <w:name w:val="heading 3"/>
    <w:basedOn w:val="Normal"/>
    <w:next w:val="Normal"/>
    <w:link w:val="Heading3Char"/>
    <w:uiPriority w:val="9"/>
    <w:unhideWhenUsed/>
    <w:qFormat/>
    <w:rsid w:val="00F06403"/>
    <w:pPr>
      <w:outlineLvl w:val="2"/>
    </w:pPr>
    <w:rPr>
      <w:rFonts w:asciiTheme="minorHAnsi" w:hAnsiTheme="minorHAnsi" w:cstheme="minorHAns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44A"/>
    <w:pPr>
      <w:tabs>
        <w:tab w:val="center" w:pos="4513"/>
        <w:tab w:val="right" w:pos="9026"/>
      </w:tabs>
    </w:pPr>
  </w:style>
  <w:style w:type="character" w:customStyle="1" w:styleId="HeaderChar">
    <w:name w:val="Header Char"/>
    <w:basedOn w:val="DefaultParagraphFont"/>
    <w:link w:val="Header"/>
    <w:uiPriority w:val="99"/>
    <w:rsid w:val="00E0744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0744A"/>
    <w:pPr>
      <w:tabs>
        <w:tab w:val="center" w:pos="4513"/>
        <w:tab w:val="right" w:pos="9026"/>
      </w:tabs>
    </w:pPr>
  </w:style>
  <w:style w:type="character" w:customStyle="1" w:styleId="FooterChar">
    <w:name w:val="Footer Char"/>
    <w:basedOn w:val="DefaultParagraphFont"/>
    <w:link w:val="Footer"/>
    <w:uiPriority w:val="99"/>
    <w:rsid w:val="00E0744A"/>
    <w:rPr>
      <w:rFonts w:ascii="Times New Roman" w:eastAsia="Times New Roman" w:hAnsi="Times New Roman" w:cs="Times New Roman"/>
      <w:sz w:val="24"/>
      <w:szCs w:val="24"/>
      <w:lang w:eastAsia="en-GB"/>
    </w:rPr>
  </w:style>
  <w:style w:type="table" w:styleId="TableGrid">
    <w:name w:val="Table Grid"/>
    <w:basedOn w:val="TableNormal"/>
    <w:uiPriority w:val="39"/>
    <w:rsid w:val="00E07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55AB"/>
    <w:rPr>
      <w:rFonts w:asciiTheme="majorHAnsi" w:eastAsia="Times New Roman" w:hAnsiTheme="majorHAnsi" w:cstheme="majorHAnsi"/>
      <w:b/>
      <w:bCs/>
      <w:sz w:val="40"/>
      <w:szCs w:val="40"/>
      <w:lang w:eastAsia="en-GB"/>
    </w:r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列出"/>
    <w:basedOn w:val="Normal"/>
    <w:link w:val="ListParagraphChar"/>
    <w:uiPriority w:val="34"/>
    <w:qFormat/>
    <w:rsid w:val="00E0744A"/>
    <w:pPr>
      <w:ind w:left="720"/>
      <w:contextualSpacing/>
    </w:pPr>
  </w:style>
  <w:style w:type="paragraph" w:customStyle="1" w:styleId="IODPARCTableText">
    <w:name w:val="IOD PARC Table Text"/>
    <w:basedOn w:val="Normal"/>
    <w:rsid w:val="00E0744A"/>
    <w:rPr>
      <w:rFonts w:ascii="Georgia" w:eastAsia="Georgia" w:hAnsi="Georgia"/>
      <w:lang w:val="en-GB"/>
    </w:r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E0744A"/>
    <w:rPr>
      <w:rFonts w:ascii="Times New Roman" w:eastAsia="Times New Roman" w:hAnsi="Times New Roman" w:cs="Times New Roman"/>
      <w:sz w:val="24"/>
      <w:szCs w:val="24"/>
      <w:lang w:eastAsia="en-GB"/>
    </w:rPr>
  </w:style>
  <w:style w:type="paragraph" w:customStyle="1" w:styleId="Head2">
    <w:name w:val="Head2"/>
    <w:basedOn w:val="Heading2"/>
    <w:link w:val="Head2Char"/>
    <w:qFormat/>
    <w:rsid w:val="00E0744A"/>
    <w:pPr>
      <w:suppressAutoHyphens/>
      <w:spacing w:before="280" w:line="264" w:lineRule="auto"/>
    </w:pPr>
    <w:rPr>
      <w:b w:val="0"/>
      <w:bCs w:val="0"/>
      <w:color w:val="BF8F00" w:themeColor="accent4" w:themeShade="BF"/>
      <w:sz w:val="28"/>
    </w:rPr>
  </w:style>
  <w:style w:type="character" w:customStyle="1" w:styleId="Head2Char">
    <w:name w:val="Head2 Char"/>
    <w:basedOn w:val="DefaultParagraphFont"/>
    <w:link w:val="Head2"/>
    <w:rsid w:val="00E0744A"/>
    <w:rPr>
      <w:rFonts w:asciiTheme="majorHAnsi" w:eastAsiaTheme="majorEastAsia" w:hAnsiTheme="majorHAnsi" w:cstheme="majorBidi"/>
      <w:b/>
      <w:bCs/>
      <w:color w:val="BF8F00" w:themeColor="accent4" w:themeShade="BF"/>
      <w:sz w:val="28"/>
      <w:szCs w:val="26"/>
      <w:lang w:eastAsia="en-GB"/>
    </w:rPr>
  </w:style>
  <w:style w:type="character" w:customStyle="1" w:styleId="Heading2Char">
    <w:name w:val="Heading 2 Char"/>
    <w:basedOn w:val="DefaultParagraphFont"/>
    <w:link w:val="Heading2"/>
    <w:uiPriority w:val="9"/>
    <w:rsid w:val="00120FB6"/>
    <w:rPr>
      <w:rFonts w:asciiTheme="majorHAnsi" w:eastAsiaTheme="majorEastAsia" w:hAnsiTheme="majorHAnsi" w:cstheme="majorBidi"/>
      <w:b/>
      <w:bCs/>
      <w:sz w:val="26"/>
      <w:szCs w:val="26"/>
      <w:lang w:val="en-US" w:eastAsia="en-GB"/>
    </w:rPr>
  </w:style>
  <w:style w:type="character" w:customStyle="1" w:styleId="Heading3Char">
    <w:name w:val="Heading 3 Char"/>
    <w:basedOn w:val="DefaultParagraphFont"/>
    <w:link w:val="Heading3"/>
    <w:uiPriority w:val="9"/>
    <w:rsid w:val="00F06403"/>
    <w:rPr>
      <w:rFonts w:eastAsia="Times New Roman" w:cstheme="minorHAnsi"/>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2835</Words>
  <Characters>16355</Characters>
  <Application>Microsoft Office Word</Application>
  <DocSecurity>4</DocSecurity>
  <Lines>414</Lines>
  <Paragraphs>135</Paragraphs>
  <ScaleCrop>false</ScaleCrop>
  <HeadingPairs>
    <vt:vector size="2" baseType="variant">
      <vt:variant>
        <vt:lpstr>Title</vt:lpstr>
      </vt:variant>
      <vt:variant>
        <vt:i4>1</vt:i4>
      </vt:variant>
    </vt:vector>
  </HeadingPairs>
  <TitlesOfParts>
    <vt:vector size="1" baseType="lpstr">
      <vt:lpstr>Australia pacific training coalition stage 3 (aptc3) strategic review executive summary</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pacific training coalition stage 3 (aptc3) strategic review executive summary</dc:title>
  <dc:subject/>
  <dc:creator/>
  <cp:keywords>[SEC=OFFICIAL]</cp:keywords>
  <dc:description/>
  <cp:lastModifiedBy/>
  <cp:revision>1</cp:revision>
  <dcterms:created xsi:type="dcterms:W3CDTF">2021-07-06T01:39:00Z</dcterms:created>
  <dcterms:modified xsi:type="dcterms:W3CDTF">2021-07-06T01:39:00Z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8A6DC810DDC74F6A9B6F1288A8863D74</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2021-07-06T01:34:49Z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72636ED77AB12D8D98AE6E17E414EE0E</vt:lpwstr>
  </property>
  <property fmtid="{D5CDD505-2E9C-101B-9397-08002B2CF9AE}" pid="20" name="PM_Hash_Salt">
    <vt:lpwstr>C825D3BC2B1AA161855819FAF79002CF</vt:lpwstr>
  </property>
  <property fmtid="{D5CDD505-2E9C-101B-9397-08002B2CF9AE}" pid="21" name="PM_Hash_SHA1">
    <vt:lpwstr>CB1E39C8D26B04D32536E71A109D3F681C9A8CD9</vt:lpwstr>
  </property>
  <property fmtid="{D5CDD505-2E9C-101B-9397-08002B2CF9AE}" pid="22" name="PM_SecurityClassification_Prev">
    <vt:lpwstr>OFFICIAL</vt:lpwstr>
  </property>
  <property fmtid="{D5CDD505-2E9C-101B-9397-08002B2CF9AE}" pid="23" name="PM_Qualifier_Prev">
    <vt:lpwstr/>
  </property>
</Properties>
</file>