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41E6" w14:textId="056F934B" w:rsidR="00BF7EDB" w:rsidRPr="00200E93" w:rsidRDefault="00A94D27" w:rsidP="002504DF">
      <w:pPr>
        <w:pStyle w:val="Title"/>
        <w:spacing w:before="3600"/>
        <w:rPr>
          <w:lang w:val="en-GB"/>
        </w:rPr>
      </w:pPr>
      <w:r>
        <w:rPr>
          <w:lang w:val="en-GB"/>
        </w:rPr>
        <w:t xml:space="preserve">The Australian National University </w:t>
      </w:r>
      <w:r w:rsidR="00BF7EDB" w:rsidRPr="00200E93">
        <w:rPr>
          <w:lang w:val="en-GB"/>
        </w:rPr>
        <w:t>Indonesia Project Phase V</w:t>
      </w:r>
    </w:p>
    <w:p w14:paraId="27AFD6C2" w14:textId="0429EB77" w:rsidR="00BF7EDB" w:rsidRPr="00200E93" w:rsidRDefault="00BF7EDB" w:rsidP="00BE0514">
      <w:pPr>
        <w:pStyle w:val="Title"/>
        <w:rPr>
          <w:lang w:val="en-GB"/>
        </w:rPr>
      </w:pPr>
      <w:r w:rsidRPr="00200E93">
        <w:rPr>
          <w:lang w:val="en-GB"/>
        </w:rPr>
        <w:t>(</w:t>
      </w:r>
      <w:r w:rsidR="00493950">
        <w:rPr>
          <w:lang w:val="en-GB"/>
        </w:rPr>
        <w:t xml:space="preserve">July </w:t>
      </w:r>
      <w:r w:rsidRPr="00200E93">
        <w:rPr>
          <w:lang w:val="en-GB"/>
        </w:rPr>
        <w:t>2022–</w:t>
      </w:r>
      <w:r w:rsidR="00493950">
        <w:rPr>
          <w:lang w:val="en-GB"/>
        </w:rPr>
        <w:t xml:space="preserve">June </w:t>
      </w:r>
      <w:r w:rsidRPr="00200E93">
        <w:rPr>
          <w:lang w:val="en-GB"/>
        </w:rPr>
        <w:t xml:space="preserve">2026) </w:t>
      </w:r>
    </w:p>
    <w:p w14:paraId="6A22E8D9" w14:textId="0F7C242E" w:rsidR="00BF7EDB" w:rsidRPr="00200E93" w:rsidRDefault="00BF7EDB" w:rsidP="00BE0514">
      <w:pPr>
        <w:pStyle w:val="Title"/>
        <w:rPr>
          <w:lang w:val="en-GB"/>
        </w:rPr>
      </w:pPr>
    </w:p>
    <w:p w14:paraId="0B8D289F" w14:textId="79C3FD59" w:rsidR="00100C78" w:rsidRPr="00200E93" w:rsidRDefault="00D169DE" w:rsidP="00BE0514">
      <w:pPr>
        <w:pStyle w:val="Title"/>
        <w:rPr>
          <w:lang w:val="en-GB"/>
        </w:rPr>
      </w:pPr>
      <w:r>
        <w:rPr>
          <w:lang w:val="en-GB"/>
        </w:rPr>
        <w:t xml:space="preserve">Final </w:t>
      </w:r>
      <w:r w:rsidR="00BF7EDB" w:rsidRPr="00200E93">
        <w:rPr>
          <w:lang w:val="en-GB"/>
        </w:rPr>
        <w:t xml:space="preserve">Evaluation </w:t>
      </w:r>
      <w:r w:rsidR="005E7BED">
        <w:rPr>
          <w:lang w:val="en-GB"/>
        </w:rPr>
        <w:t>Report</w:t>
      </w:r>
    </w:p>
    <w:p w14:paraId="401A8E98" w14:textId="3FBB3131" w:rsidR="00BF7EDB" w:rsidRPr="00200E93" w:rsidRDefault="00BF7EDB" w:rsidP="00BF7EDB">
      <w:pPr>
        <w:autoSpaceDE w:val="0"/>
        <w:autoSpaceDN w:val="0"/>
        <w:adjustRightInd w:val="0"/>
        <w:rPr>
          <w:rFonts w:asciiTheme="majorHAnsi" w:eastAsiaTheme="minorHAnsi" w:hAnsiTheme="majorHAnsi" w:cstheme="majorHAnsi"/>
          <w:color w:val="000000" w:themeColor="text1"/>
          <w:sz w:val="28"/>
          <w:szCs w:val="28"/>
          <w:lang w:val="en-GB"/>
        </w:rPr>
      </w:pPr>
    </w:p>
    <w:p w14:paraId="26D798CA" w14:textId="107AC651" w:rsidR="00BF7EDB" w:rsidRPr="00200E93" w:rsidRDefault="005E7BED" w:rsidP="002504DF">
      <w:pPr>
        <w:autoSpaceDE w:val="0"/>
        <w:autoSpaceDN w:val="0"/>
        <w:adjustRightInd w:val="0"/>
        <w:spacing w:after="3600"/>
        <w:rPr>
          <w:rFonts w:asciiTheme="majorHAnsi" w:eastAsiaTheme="minorHAnsi" w:hAnsiTheme="majorHAnsi" w:cstheme="majorHAnsi"/>
          <w:color w:val="000000" w:themeColor="text1"/>
          <w:sz w:val="28"/>
          <w:szCs w:val="28"/>
          <w:lang w:val="en-GB"/>
        </w:rPr>
      </w:pPr>
      <w:r>
        <w:rPr>
          <w:rFonts w:asciiTheme="majorHAnsi" w:eastAsiaTheme="minorHAnsi" w:hAnsiTheme="majorHAnsi" w:cstheme="majorHAnsi"/>
          <w:color w:val="000000" w:themeColor="text1"/>
          <w:sz w:val="28"/>
          <w:szCs w:val="28"/>
          <w:lang w:val="en-GB"/>
        </w:rPr>
        <w:t>January 2026</w:t>
      </w:r>
    </w:p>
    <w:p w14:paraId="3D6B154F" w14:textId="67A79CE2" w:rsidR="00100C78" w:rsidRPr="00427930" w:rsidRDefault="00BF7EDB" w:rsidP="002504DF">
      <w:pPr>
        <w:spacing w:before="120" w:after="600" w:line="280" w:lineRule="atLeast"/>
        <w:rPr>
          <w:rFonts w:ascii="Space Grotesk" w:hAnsi="Space Grotesk"/>
          <w:sz w:val="18"/>
          <w:szCs w:val="18"/>
        </w:rPr>
      </w:pPr>
      <w:r>
        <w:rPr>
          <w:rFonts w:ascii="Calibri" w:hAnsi="Calibri"/>
          <w:noProof/>
          <w:lang w:eastAsia="en-AU"/>
        </w:rPr>
        <w:drawing>
          <wp:inline distT="0" distB="0" distL="0" distR="0" wp14:anchorId="5E18B780" wp14:editId="4E8B7CCB">
            <wp:extent cx="4014470" cy="769620"/>
            <wp:effectExtent l="0" t="0" r="5080" b="0"/>
            <wp:docPr id="1261209322" name="Picture 1261209322" descr="Logo for Collective Insights features overlapping orange and gray circles on left, with &quot;Collective Insights&quot; text in gray and orange on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09322" name="Picture 1261209322" descr="Logo for Collective Insights features overlapping orange and gray circles on left, with &quot;Collective Insights&quot; text in gray and orange on right."/>
                    <pic:cNvPicPr/>
                  </pic:nvPicPr>
                  <pic:blipFill>
                    <a:blip r:embed="rId11">
                      <a:extLst>
                        <a:ext uri="{28A0092B-C50C-407E-A947-70E740481C1C}">
                          <a14:useLocalDpi xmlns:a14="http://schemas.microsoft.com/office/drawing/2010/main" val="0"/>
                        </a:ext>
                      </a:extLst>
                    </a:blip>
                    <a:stretch>
                      <a:fillRect/>
                    </a:stretch>
                  </pic:blipFill>
                  <pic:spPr>
                    <a:xfrm>
                      <a:off x="0" y="0"/>
                      <a:ext cx="4014470" cy="769620"/>
                    </a:xfrm>
                    <a:prstGeom prst="rect">
                      <a:avLst/>
                    </a:prstGeom>
                  </pic:spPr>
                </pic:pic>
              </a:graphicData>
            </a:graphic>
          </wp:inline>
        </w:drawing>
      </w:r>
    </w:p>
    <w:p w14:paraId="18C10CCE" w14:textId="74C8C4A5" w:rsidR="00A75418" w:rsidRDefault="00BF7EDB" w:rsidP="00BF7EDB">
      <w:pPr>
        <w:spacing w:before="120" w:line="280" w:lineRule="atLeast"/>
        <w:rPr>
          <w:rFonts w:ascii="Space Grotesk" w:hAnsi="Space Grotesk"/>
          <w:sz w:val="18"/>
          <w:szCs w:val="18"/>
        </w:rPr>
      </w:pPr>
      <w:r>
        <w:rPr>
          <w:rFonts w:ascii="Space Grotesk" w:hAnsi="Space Grotesk"/>
          <w:noProof/>
          <w:sz w:val="18"/>
          <w:szCs w:val="18"/>
        </w:rPr>
        <w:drawing>
          <wp:inline distT="0" distB="0" distL="0" distR="0" wp14:anchorId="4E8ADD40" wp14:editId="2DF5B53A">
            <wp:extent cx="3897512" cy="334791"/>
            <wp:effectExtent l="0" t="0" r="8255" b="8255"/>
            <wp:docPr id="1735801208" name="Picture 12" descr="A logo design featuring the word &quot;STORYSCAP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01208" name="Picture 12" descr="A logo design featuring the word &quot;STORYSCAPE&quo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99212" cy="334937"/>
                    </a:xfrm>
                    <a:prstGeom prst="rect">
                      <a:avLst/>
                    </a:prstGeom>
                  </pic:spPr>
                </pic:pic>
              </a:graphicData>
            </a:graphic>
          </wp:inline>
        </w:drawing>
      </w:r>
    </w:p>
    <w:p w14:paraId="3D737DFC" w14:textId="77777777" w:rsidR="00D314EA" w:rsidRDefault="00D314EA">
      <w:pPr>
        <w:rPr>
          <w:rFonts w:ascii="Space Grotesk" w:eastAsiaTheme="minorHAnsi" w:hAnsi="Space Grotesk" w:cs="Ü-ôu'3"/>
          <w:sz w:val="18"/>
          <w:szCs w:val="18"/>
          <w:lang w:val="en-GB"/>
        </w:rPr>
      </w:pPr>
      <w:r>
        <w:rPr>
          <w:rFonts w:ascii="Space Grotesk" w:eastAsiaTheme="minorHAnsi" w:hAnsi="Space Grotesk" w:cs="Ü-ôu'3"/>
          <w:sz w:val="18"/>
          <w:szCs w:val="18"/>
          <w:lang w:val="en-GB"/>
        </w:rPr>
        <w:br w:type="page"/>
      </w:r>
    </w:p>
    <w:p w14:paraId="7B0317E5" w14:textId="77777777" w:rsidR="008E3DCB" w:rsidRDefault="008E3DCB" w:rsidP="00FE0449">
      <w:pPr>
        <w:pStyle w:val="Heading1"/>
        <w:rPr>
          <w:lang w:val="en-GB"/>
        </w:rPr>
        <w:sectPr w:rsidR="008E3DCB" w:rsidSect="008E3DC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9" w:footer="681" w:gutter="0"/>
          <w:pgNumType w:start="1"/>
          <w:cols w:space="565"/>
          <w:titlePg/>
          <w:docGrid w:linePitch="360"/>
        </w:sectPr>
      </w:pPr>
    </w:p>
    <w:p w14:paraId="5A6E6321" w14:textId="77777777" w:rsidR="006B68F5" w:rsidRPr="006E6D4A" w:rsidRDefault="006B68F5" w:rsidP="00FE0449">
      <w:pPr>
        <w:pStyle w:val="Heading1"/>
        <w:rPr>
          <w:lang w:val="en-GB"/>
        </w:rPr>
      </w:pPr>
      <w:r w:rsidRPr="006E6D4A">
        <w:rPr>
          <w:lang w:val="en-GB"/>
        </w:rPr>
        <w:lastRenderedPageBreak/>
        <w:t xml:space="preserve">Table of Contents </w:t>
      </w:r>
    </w:p>
    <w:p w14:paraId="57DDDDCD" w14:textId="77777777" w:rsidR="006B68F5" w:rsidRPr="000728B8" w:rsidRDefault="006B68F5" w:rsidP="006B68F5">
      <w:pPr>
        <w:pStyle w:val="TOC1"/>
        <w:tabs>
          <w:tab w:val="right" w:leader="dot" w:pos="9016"/>
        </w:tabs>
        <w:rPr>
          <w:rFonts w:asciiTheme="majorHAnsi" w:eastAsiaTheme="minorHAnsi" w:hAnsiTheme="majorHAnsi" w:cstheme="majorHAnsi"/>
          <w:sz w:val="22"/>
          <w:szCs w:val="22"/>
          <w:lang w:val="en-GB"/>
        </w:rPr>
      </w:pPr>
    </w:p>
    <w:p w14:paraId="1D3C7129" w14:textId="5A97DC95" w:rsidR="00C90385" w:rsidRPr="00C90385" w:rsidRDefault="006B68F5">
      <w:pPr>
        <w:pStyle w:val="TOC1"/>
        <w:tabs>
          <w:tab w:val="right" w:leader="dot" w:pos="9016"/>
        </w:tabs>
        <w:rPr>
          <w:rFonts w:asciiTheme="majorHAnsi" w:eastAsiaTheme="minorEastAsia" w:hAnsiTheme="majorHAnsi" w:cstheme="majorHAnsi"/>
          <w:noProof/>
          <w:kern w:val="2"/>
          <w14:ligatures w14:val="standardContextual"/>
        </w:rPr>
      </w:pPr>
      <w:r w:rsidRPr="002E7105">
        <w:rPr>
          <w:rFonts w:asciiTheme="majorHAnsi" w:eastAsiaTheme="minorHAnsi" w:hAnsiTheme="majorHAnsi" w:cstheme="majorHAnsi"/>
          <w:lang w:val="en-GB"/>
        </w:rPr>
        <w:fldChar w:fldCharType="begin"/>
      </w:r>
      <w:r w:rsidRPr="002E7105">
        <w:rPr>
          <w:rFonts w:asciiTheme="majorHAnsi" w:eastAsiaTheme="minorHAnsi" w:hAnsiTheme="majorHAnsi" w:cstheme="majorHAnsi"/>
          <w:lang w:val="en-GB"/>
        </w:rPr>
        <w:instrText xml:space="preserve"> TOC \o "1-2" \h \z \u </w:instrText>
      </w:r>
      <w:r w:rsidRPr="002E7105">
        <w:rPr>
          <w:rFonts w:asciiTheme="majorHAnsi" w:eastAsiaTheme="minorHAnsi" w:hAnsiTheme="majorHAnsi" w:cstheme="majorHAnsi"/>
          <w:lang w:val="en-GB"/>
        </w:rPr>
        <w:fldChar w:fldCharType="separate"/>
      </w:r>
      <w:hyperlink w:anchor="_Toc219232320" w:history="1">
        <w:r w:rsidR="00C90385" w:rsidRPr="00C90385">
          <w:rPr>
            <w:rStyle w:val="Hyperlink"/>
            <w:rFonts w:asciiTheme="majorHAnsi" w:eastAsiaTheme="minorHAnsi" w:hAnsiTheme="majorHAnsi" w:cstheme="majorHAnsi"/>
            <w:b/>
            <w:bCs/>
            <w:noProof/>
            <w:lang w:val="en-GB"/>
          </w:rPr>
          <w:t>Executive summary</w:t>
        </w:r>
        <w:r w:rsidR="00C90385" w:rsidRPr="00C90385">
          <w:rPr>
            <w:rFonts w:asciiTheme="majorHAnsi" w:hAnsiTheme="majorHAnsi" w:cstheme="majorHAnsi"/>
            <w:noProof/>
            <w:webHidden/>
          </w:rPr>
          <w:tab/>
        </w:r>
        <w:r w:rsidR="00C90385" w:rsidRPr="00C90385">
          <w:rPr>
            <w:rFonts w:asciiTheme="majorHAnsi" w:hAnsiTheme="majorHAnsi" w:cstheme="majorHAnsi"/>
            <w:noProof/>
            <w:webHidden/>
          </w:rPr>
          <w:fldChar w:fldCharType="begin"/>
        </w:r>
        <w:r w:rsidR="00C90385" w:rsidRPr="00C90385">
          <w:rPr>
            <w:rFonts w:asciiTheme="majorHAnsi" w:hAnsiTheme="majorHAnsi" w:cstheme="majorHAnsi"/>
            <w:noProof/>
            <w:webHidden/>
          </w:rPr>
          <w:instrText xml:space="preserve"> PAGEREF _Toc219232320 \h </w:instrText>
        </w:r>
        <w:r w:rsidR="00C90385" w:rsidRPr="00C90385">
          <w:rPr>
            <w:rFonts w:asciiTheme="majorHAnsi" w:hAnsiTheme="majorHAnsi" w:cstheme="majorHAnsi"/>
            <w:noProof/>
            <w:webHidden/>
          </w:rPr>
        </w:r>
        <w:r w:rsidR="00C90385" w:rsidRPr="00C90385">
          <w:rPr>
            <w:rFonts w:asciiTheme="majorHAnsi" w:hAnsiTheme="majorHAnsi" w:cstheme="majorHAnsi"/>
            <w:noProof/>
            <w:webHidden/>
          </w:rPr>
          <w:fldChar w:fldCharType="separate"/>
        </w:r>
        <w:r w:rsidR="000049D5">
          <w:rPr>
            <w:rFonts w:asciiTheme="majorHAnsi" w:hAnsiTheme="majorHAnsi" w:cstheme="majorHAnsi"/>
            <w:noProof/>
            <w:webHidden/>
          </w:rPr>
          <w:t>2</w:t>
        </w:r>
        <w:r w:rsidR="00C90385" w:rsidRPr="00C90385">
          <w:rPr>
            <w:rFonts w:asciiTheme="majorHAnsi" w:hAnsiTheme="majorHAnsi" w:cstheme="majorHAnsi"/>
            <w:noProof/>
            <w:webHidden/>
          </w:rPr>
          <w:fldChar w:fldCharType="end"/>
        </w:r>
      </w:hyperlink>
    </w:p>
    <w:p w14:paraId="32CDF3AF" w14:textId="2BCC708B" w:rsidR="00C90385" w:rsidRPr="00C90385" w:rsidRDefault="00C90385">
      <w:pPr>
        <w:pStyle w:val="TOC1"/>
        <w:tabs>
          <w:tab w:val="right" w:leader="dot" w:pos="9016"/>
        </w:tabs>
        <w:rPr>
          <w:rFonts w:asciiTheme="majorHAnsi" w:eastAsiaTheme="minorEastAsia" w:hAnsiTheme="majorHAnsi" w:cstheme="majorHAnsi"/>
          <w:noProof/>
          <w:kern w:val="2"/>
          <w14:ligatures w14:val="standardContextual"/>
        </w:rPr>
      </w:pPr>
      <w:hyperlink w:anchor="_Toc219232321" w:history="1">
        <w:r w:rsidRPr="00C90385">
          <w:rPr>
            <w:rStyle w:val="Hyperlink"/>
            <w:rFonts w:asciiTheme="majorHAnsi" w:eastAsiaTheme="minorHAnsi" w:hAnsiTheme="majorHAnsi" w:cstheme="majorHAnsi"/>
            <w:b/>
            <w:bCs/>
            <w:noProof/>
            <w:lang w:val="en-GB"/>
          </w:rPr>
          <w:t>Abbreviations and acronyms</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_Toc219232321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6</w:t>
        </w:r>
        <w:r w:rsidRPr="00C90385">
          <w:rPr>
            <w:rFonts w:asciiTheme="majorHAnsi" w:hAnsiTheme="majorHAnsi" w:cstheme="majorHAnsi"/>
            <w:noProof/>
            <w:webHidden/>
          </w:rPr>
          <w:fldChar w:fldCharType="end"/>
        </w:r>
      </w:hyperlink>
    </w:p>
    <w:p w14:paraId="220A467C" w14:textId="1D920F60" w:rsidR="00C90385" w:rsidRPr="00C90385" w:rsidRDefault="00C90385">
      <w:pPr>
        <w:pStyle w:val="TOC1"/>
        <w:tabs>
          <w:tab w:val="left" w:pos="720"/>
          <w:tab w:val="right" w:leader="dot" w:pos="9016"/>
        </w:tabs>
        <w:rPr>
          <w:rFonts w:asciiTheme="majorHAnsi" w:eastAsiaTheme="minorEastAsia" w:hAnsiTheme="majorHAnsi" w:cstheme="majorHAnsi"/>
          <w:noProof/>
          <w:kern w:val="2"/>
          <w14:ligatures w14:val="standardContextual"/>
        </w:rPr>
      </w:pPr>
      <w:hyperlink w:anchor="_Toc219232322" w:history="1">
        <w:r w:rsidRPr="00C90385">
          <w:rPr>
            <w:rStyle w:val="Hyperlink"/>
            <w:rFonts w:asciiTheme="majorHAnsi" w:eastAsiaTheme="minorHAnsi" w:hAnsiTheme="majorHAnsi" w:cstheme="majorHAnsi"/>
            <w:b/>
            <w:bCs/>
            <w:noProof/>
            <w:lang w:val="en-GB"/>
          </w:rPr>
          <w:t xml:space="preserve">1.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Introduction</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_Toc219232322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7</w:t>
        </w:r>
        <w:r w:rsidRPr="00C90385">
          <w:rPr>
            <w:rFonts w:asciiTheme="majorHAnsi" w:hAnsiTheme="majorHAnsi" w:cstheme="majorHAnsi"/>
            <w:noProof/>
            <w:webHidden/>
          </w:rPr>
          <w:fldChar w:fldCharType="end"/>
        </w:r>
      </w:hyperlink>
    </w:p>
    <w:p w14:paraId="7F3EC894" w14:textId="53E58825"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23" w:history="1">
        <w:r w:rsidRPr="00C90385">
          <w:rPr>
            <w:rStyle w:val="Hyperlink"/>
            <w:rFonts w:asciiTheme="majorHAnsi" w:eastAsiaTheme="minorHAnsi" w:hAnsiTheme="majorHAnsi" w:cstheme="majorHAnsi"/>
            <w:b/>
            <w:bCs/>
            <w:noProof/>
            <w:lang w:val="en-GB"/>
          </w:rPr>
          <w:t xml:space="preserve">1.1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Project history and background</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_Toc219232323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7</w:t>
        </w:r>
        <w:r w:rsidRPr="00C90385">
          <w:rPr>
            <w:rFonts w:asciiTheme="majorHAnsi" w:hAnsiTheme="majorHAnsi" w:cstheme="majorHAnsi"/>
            <w:noProof/>
            <w:webHidden/>
          </w:rPr>
          <w:fldChar w:fldCharType="end"/>
        </w:r>
      </w:hyperlink>
    </w:p>
    <w:p w14:paraId="26A1C530" w14:textId="02BC26A3"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24" w:history="1">
        <w:r w:rsidRPr="00C90385">
          <w:rPr>
            <w:rStyle w:val="Hyperlink"/>
            <w:rFonts w:asciiTheme="majorHAnsi" w:eastAsiaTheme="minorHAnsi" w:hAnsiTheme="majorHAnsi" w:cstheme="majorHAnsi"/>
            <w:b/>
            <w:bCs/>
            <w:noProof/>
            <w:lang w:val="en-GB"/>
          </w:rPr>
          <w:t xml:space="preserve">1.2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Evaluation methodology</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_Toc219232324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8</w:t>
        </w:r>
        <w:r w:rsidRPr="00C90385">
          <w:rPr>
            <w:rFonts w:asciiTheme="majorHAnsi" w:hAnsiTheme="majorHAnsi" w:cstheme="majorHAnsi"/>
            <w:noProof/>
            <w:webHidden/>
          </w:rPr>
          <w:fldChar w:fldCharType="end"/>
        </w:r>
      </w:hyperlink>
    </w:p>
    <w:p w14:paraId="271679D0" w14:textId="50204896"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25" w:history="1">
        <w:r w:rsidRPr="00C90385">
          <w:rPr>
            <w:rStyle w:val="Hyperlink"/>
            <w:rFonts w:asciiTheme="majorHAnsi" w:eastAsiaTheme="minorHAnsi" w:hAnsiTheme="majorHAnsi" w:cstheme="majorHAnsi"/>
            <w:b/>
            <w:bCs/>
            <w:noProof/>
            <w:lang w:val="en-GB"/>
          </w:rPr>
          <w:t xml:space="preserve">1.3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Limitations of the evaluation</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_Toc219232325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9</w:t>
        </w:r>
        <w:r w:rsidRPr="00C90385">
          <w:rPr>
            <w:rFonts w:asciiTheme="majorHAnsi" w:hAnsiTheme="majorHAnsi" w:cstheme="majorHAnsi"/>
            <w:noProof/>
            <w:webHidden/>
          </w:rPr>
          <w:fldChar w:fldCharType="end"/>
        </w:r>
      </w:hyperlink>
    </w:p>
    <w:p w14:paraId="244BDCF5" w14:textId="4153F2A9" w:rsidR="00C90385" w:rsidRPr="00C90385" w:rsidRDefault="00C90385">
      <w:pPr>
        <w:pStyle w:val="TOC1"/>
        <w:tabs>
          <w:tab w:val="left" w:pos="720"/>
          <w:tab w:val="right" w:leader="dot" w:pos="9016"/>
        </w:tabs>
        <w:rPr>
          <w:rFonts w:asciiTheme="majorHAnsi" w:eastAsiaTheme="minorEastAsia" w:hAnsiTheme="majorHAnsi" w:cstheme="majorHAnsi"/>
          <w:noProof/>
          <w:kern w:val="2"/>
          <w14:ligatures w14:val="standardContextual"/>
        </w:rPr>
      </w:pPr>
      <w:hyperlink w:anchor="_Toc219232326" w:history="1">
        <w:r w:rsidRPr="00C90385">
          <w:rPr>
            <w:rStyle w:val="Hyperlink"/>
            <w:rFonts w:asciiTheme="majorHAnsi" w:eastAsiaTheme="minorHAnsi" w:hAnsiTheme="majorHAnsi" w:cstheme="majorHAnsi"/>
            <w:b/>
            <w:bCs/>
            <w:noProof/>
            <w:lang w:val="en-GB"/>
          </w:rPr>
          <w:t xml:space="preserve">2.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Findings and analysis</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_Toc219232326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10</w:t>
        </w:r>
        <w:r w:rsidRPr="00C90385">
          <w:rPr>
            <w:rFonts w:asciiTheme="majorHAnsi" w:hAnsiTheme="majorHAnsi" w:cstheme="majorHAnsi"/>
            <w:noProof/>
            <w:webHidden/>
          </w:rPr>
          <w:fldChar w:fldCharType="end"/>
        </w:r>
      </w:hyperlink>
    </w:p>
    <w:p w14:paraId="0D6865EB" w14:textId="511DDA64"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27" w:history="1">
        <w:r w:rsidRPr="00C90385">
          <w:rPr>
            <w:rStyle w:val="Hyperlink"/>
            <w:rFonts w:asciiTheme="majorHAnsi" w:eastAsiaTheme="minorHAnsi" w:hAnsiTheme="majorHAnsi" w:cstheme="majorHAnsi"/>
            <w:b/>
            <w:bCs/>
            <w:noProof/>
            <w:lang w:val="en-GB"/>
          </w:rPr>
          <w:t xml:space="preserve">2.1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Project outcomes and effectiveness (KEQ1)</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_Toc219232327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10</w:t>
        </w:r>
        <w:r w:rsidRPr="00C90385">
          <w:rPr>
            <w:rFonts w:asciiTheme="majorHAnsi" w:hAnsiTheme="majorHAnsi" w:cstheme="majorHAnsi"/>
            <w:noProof/>
            <w:webHidden/>
          </w:rPr>
          <w:fldChar w:fldCharType="end"/>
        </w:r>
      </w:hyperlink>
    </w:p>
    <w:p w14:paraId="791AA3B6" w14:textId="6B1EEC83"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28" w:history="1">
        <w:r w:rsidRPr="00C90385">
          <w:rPr>
            <w:rStyle w:val="Hyperlink"/>
            <w:rFonts w:asciiTheme="majorHAnsi" w:eastAsiaTheme="minorHAnsi" w:hAnsiTheme="majorHAnsi" w:cstheme="majorHAnsi"/>
            <w:b/>
            <w:bCs/>
            <w:noProof/>
            <w:lang w:val="en-GB"/>
          </w:rPr>
          <w:t xml:space="preserve">2.2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Project outcomes and inclusivity (KEQ2)</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_Toc219232328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16</w:t>
        </w:r>
        <w:r w:rsidRPr="00C90385">
          <w:rPr>
            <w:rFonts w:asciiTheme="majorHAnsi" w:hAnsiTheme="majorHAnsi" w:cstheme="majorHAnsi"/>
            <w:noProof/>
            <w:webHidden/>
          </w:rPr>
          <w:fldChar w:fldCharType="end"/>
        </w:r>
      </w:hyperlink>
    </w:p>
    <w:p w14:paraId="0E0777EE" w14:textId="17416070"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29" w:history="1">
        <w:r w:rsidRPr="00C90385">
          <w:rPr>
            <w:rStyle w:val="Hyperlink"/>
            <w:rFonts w:asciiTheme="majorHAnsi" w:eastAsiaTheme="minorHAnsi" w:hAnsiTheme="majorHAnsi" w:cstheme="majorHAnsi"/>
            <w:b/>
            <w:bCs/>
            <w:noProof/>
            <w:lang w:val="en-GB"/>
          </w:rPr>
          <w:t xml:space="preserve">2.3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Relevance and strategic alignment of the project (KEQ3)</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_Toc219232329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19</w:t>
        </w:r>
        <w:r w:rsidRPr="00C90385">
          <w:rPr>
            <w:rFonts w:asciiTheme="majorHAnsi" w:hAnsiTheme="majorHAnsi" w:cstheme="majorHAnsi"/>
            <w:noProof/>
            <w:webHidden/>
          </w:rPr>
          <w:fldChar w:fldCharType="end"/>
        </w:r>
      </w:hyperlink>
    </w:p>
    <w:p w14:paraId="4F908DD9" w14:textId="2B54225C" w:rsidR="00C90385" w:rsidRPr="00C90385" w:rsidRDefault="00C90385">
      <w:pPr>
        <w:pStyle w:val="TOC2"/>
        <w:tabs>
          <w:tab w:val="left" w:pos="960"/>
          <w:tab w:val="right" w:leader="dot" w:pos="9016"/>
        </w:tabs>
        <w:rPr>
          <w:rFonts w:asciiTheme="majorHAnsi" w:eastAsiaTheme="minorEastAsia" w:hAnsiTheme="majorHAnsi" w:cstheme="majorHAnsi"/>
          <w:noProof/>
          <w:kern w:val="2"/>
          <w14:ligatures w14:val="standardContextual"/>
        </w:rPr>
      </w:pPr>
      <w:hyperlink w:anchor="_Toc219232330" w:history="1">
        <w:r w:rsidRPr="00C90385">
          <w:rPr>
            <w:rStyle w:val="Hyperlink"/>
            <w:rFonts w:asciiTheme="majorHAnsi" w:eastAsiaTheme="minorHAnsi" w:hAnsiTheme="majorHAnsi" w:cstheme="majorHAnsi"/>
            <w:b/>
            <w:bCs/>
            <w:noProof/>
            <w:lang w:val="en-GB"/>
          </w:rPr>
          <w:t xml:space="preserve">2.3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Efficiency of the project modality (KEQ4)</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_Toc219232330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21</w:t>
        </w:r>
        <w:r w:rsidRPr="00C90385">
          <w:rPr>
            <w:rFonts w:asciiTheme="majorHAnsi" w:hAnsiTheme="majorHAnsi" w:cstheme="majorHAnsi"/>
            <w:noProof/>
            <w:webHidden/>
          </w:rPr>
          <w:fldChar w:fldCharType="end"/>
        </w:r>
      </w:hyperlink>
    </w:p>
    <w:p w14:paraId="779E93FF" w14:textId="427EE4AC" w:rsidR="00C90385" w:rsidRPr="00C90385" w:rsidRDefault="00C90385">
      <w:pPr>
        <w:pStyle w:val="TOC1"/>
        <w:tabs>
          <w:tab w:val="left" w:pos="720"/>
          <w:tab w:val="right" w:leader="dot" w:pos="9016"/>
        </w:tabs>
        <w:rPr>
          <w:rFonts w:asciiTheme="majorHAnsi" w:eastAsiaTheme="minorEastAsia" w:hAnsiTheme="majorHAnsi" w:cstheme="majorHAnsi"/>
          <w:noProof/>
          <w:kern w:val="2"/>
          <w14:ligatures w14:val="standardContextual"/>
        </w:rPr>
      </w:pPr>
      <w:hyperlink w:anchor="_Toc219232331" w:history="1">
        <w:r w:rsidRPr="00C90385">
          <w:rPr>
            <w:rStyle w:val="Hyperlink"/>
            <w:rFonts w:asciiTheme="majorHAnsi" w:eastAsiaTheme="minorHAnsi" w:hAnsiTheme="majorHAnsi" w:cstheme="majorHAnsi"/>
            <w:b/>
            <w:bCs/>
            <w:noProof/>
            <w:lang w:val="en-GB"/>
          </w:rPr>
          <w:t xml:space="preserve">3.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Key strengths and challenges</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_Toc219232331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22</w:t>
        </w:r>
        <w:r w:rsidRPr="00C90385">
          <w:rPr>
            <w:rFonts w:asciiTheme="majorHAnsi" w:hAnsiTheme="majorHAnsi" w:cstheme="majorHAnsi"/>
            <w:noProof/>
            <w:webHidden/>
          </w:rPr>
          <w:fldChar w:fldCharType="end"/>
        </w:r>
      </w:hyperlink>
    </w:p>
    <w:p w14:paraId="19A0997F" w14:textId="4A663670" w:rsidR="00C90385" w:rsidRPr="00C90385" w:rsidRDefault="00C90385">
      <w:pPr>
        <w:pStyle w:val="TOC1"/>
        <w:tabs>
          <w:tab w:val="left" w:pos="720"/>
          <w:tab w:val="right" w:leader="dot" w:pos="9016"/>
        </w:tabs>
        <w:rPr>
          <w:rFonts w:asciiTheme="majorHAnsi" w:eastAsiaTheme="minorEastAsia" w:hAnsiTheme="majorHAnsi" w:cstheme="majorHAnsi"/>
          <w:noProof/>
          <w:kern w:val="2"/>
          <w14:ligatures w14:val="standardContextual"/>
        </w:rPr>
      </w:pPr>
      <w:hyperlink w:anchor="_Toc219232332" w:history="1">
        <w:r w:rsidRPr="00C90385">
          <w:rPr>
            <w:rStyle w:val="Hyperlink"/>
            <w:rFonts w:asciiTheme="majorHAnsi" w:eastAsiaTheme="minorHAnsi" w:hAnsiTheme="majorHAnsi" w:cstheme="majorHAnsi"/>
            <w:b/>
            <w:bCs/>
            <w:noProof/>
            <w:lang w:val="en-GB"/>
          </w:rPr>
          <w:t xml:space="preserve">4.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Conclusion</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_Toc219232332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24</w:t>
        </w:r>
        <w:r w:rsidRPr="00C90385">
          <w:rPr>
            <w:rFonts w:asciiTheme="majorHAnsi" w:hAnsiTheme="majorHAnsi" w:cstheme="majorHAnsi"/>
            <w:noProof/>
            <w:webHidden/>
          </w:rPr>
          <w:fldChar w:fldCharType="end"/>
        </w:r>
      </w:hyperlink>
    </w:p>
    <w:p w14:paraId="412D5A5A" w14:textId="7CE9F710" w:rsidR="00C90385" w:rsidRPr="00C90385" w:rsidRDefault="00C90385">
      <w:pPr>
        <w:pStyle w:val="TOC1"/>
        <w:tabs>
          <w:tab w:val="left" w:pos="720"/>
          <w:tab w:val="right" w:leader="dot" w:pos="9016"/>
        </w:tabs>
        <w:rPr>
          <w:rFonts w:asciiTheme="majorHAnsi" w:eastAsiaTheme="minorEastAsia" w:hAnsiTheme="majorHAnsi" w:cstheme="majorHAnsi"/>
          <w:noProof/>
          <w:kern w:val="2"/>
          <w14:ligatures w14:val="standardContextual"/>
        </w:rPr>
      </w:pPr>
      <w:hyperlink w:anchor="_Toc219232333" w:history="1">
        <w:r w:rsidRPr="00C90385">
          <w:rPr>
            <w:rStyle w:val="Hyperlink"/>
            <w:rFonts w:asciiTheme="majorHAnsi" w:eastAsiaTheme="minorHAnsi" w:hAnsiTheme="majorHAnsi" w:cstheme="majorHAnsi"/>
            <w:b/>
            <w:bCs/>
            <w:noProof/>
            <w:lang w:val="en-GB"/>
          </w:rPr>
          <w:t xml:space="preserve">5. </w:t>
        </w:r>
        <w:r w:rsidRPr="00C90385">
          <w:rPr>
            <w:rFonts w:asciiTheme="majorHAnsi" w:eastAsiaTheme="minorEastAsia" w:hAnsiTheme="majorHAnsi" w:cstheme="majorHAnsi"/>
            <w:noProof/>
            <w:kern w:val="2"/>
            <w14:ligatures w14:val="standardContextual"/>
          </w:rPr>
          <w:tab/>
        </w:r>
        <w:r w:rsidRPr="00C90385">
          <w:rPr>
            <w:rStyle w:val="Hyperlink"/>
            <w:rFonts w:asciiTheme="majorHAnsi" w:eastAsiaTheme="minorHAnsi" w:hAnsiTheme="majorHAnsi" w:cstheme="majorHAnsi"/>
            <w:b/>
            <w:bCs/>
            <w:noProof/>
            <w:lang w:val="en-GB"/>
          </w:rPr>
          <w:t>Recommendations</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_Toc219232333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24</w:t>
        </w:r>
        <w:r w:rsidRPr="00C90385">
          <w:rPr>
            <w:rFonts w:asciiTheme="majorHAnsi" w:hAnsiTheme="majorHAnsi" w:cstheme="majorHAnsi"/>
            <w:noProof/>
            <w:webHidden/>
          </w:rPr>
          <w:fldChar w:fldCharType="end"/>
        </w:r>
      </w:hyperlink>
    </w:p>
    <w:p w14:paraId="03F017E6" w14:textId="3085EC31" w:rsidR="00C90385" w:rsidRPr="00C90385" w:rsidRDefault="00C90385">
      <w:pPr>
        <w:pStyle w:val="TOC1"/>
        <w:tabs>
          <w:tab w:val="right" w:leader="dot" w:pos="9016"/>
        </w:tabs>
        <w:rPr>
          <w:rFonts w:asciiTheme="majorHAnsi" w:eastAsiaTheme="minorEastAsia" w:hAnsiTheme="majorHAnsi" w:cstheme="majorHAnsi"/>
          <w:noProof/>
          <w:kern w:val="2"/>
          <w14:ligatures w14:val="standardContextual"/>
        </w:rPr>
      </w:pPr>
      <w:hyperlink w:anchor="_Toc219232334" w:history="1">
        <w:r w:rsidRPr="00C90385">
          <w:rPr>
            <w:rStyle w:val="Hyperlink"/>
            <w:rFonts w:asciiTheme="majorHAnsi" w:eastAsiaTheme="minorHAnsi" w:hAnsiTheme="majorHAnsi" w:cstheme="majorHAnsi"/>
            <w:b/>
            <w:bCs/>
            <w:noProof/>
            <w:lang w:val="en-GB"/>
          </w:rPr>
          <w:t>Appendix 1: Project logic</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_Toc219232334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26</w:t>
        </w:r>
        <w:r w:rsidRPr="00C90385">
          <w:rPr>
            <w:rFonts w:asciiTheme="majorHAnsi" w:hAnsiTheme="majorHAnsi" w:cstheme="majorHAnsi"/>
            <w:noProof/>
            <w:webHidden/>
          </w:rPr>
          <w:fldChar w:fldCharType="end"/>
        </w:r>
      </w:hyperlink>
    </w:p>
    <w:p w14:paraId="2CD186EE" w14:textId="22CD466D" w:rsidR="00C90385" w:rsidRPr="00C90385" w:rsidRDefault="00C90385">
      <w:pPr>
        <w:pStyle w:val="TOC1"/>
        <w:tabs>
          <w:tab w:val="right" w:leader="dot" w:pos="9016"/>
        </w:tabs>
        <w:rPr>
          <w:rFonts w:asciiTheme="majorHAnsi" w:eastAsiaTheme="minorEastAsia" w:hAnsiTheme="majorHAnsi" w:cstheme="majorHAnsi"/>
          <w:noProof/>
          <w:kern w:val="2"/>
          <w14:ligatures w14:val="standardContextual"/>
        </w:rPr>
      </w:pPr>
      <w:hyperlink w:anchor="_Toc219232335" w:history="1">
        <w:r w:rsidRPr="00C90385">
          <w:rPr>
            <w:rStyle w:val="Hyperlink"/>
            <w:rFonts w:asciiTheme="majorHAnsi" w:eastAsiaTheme="minorHAnsi" w:hAnsiTheme="majorHAnsi" w:cstheme="majorHAnsi"/>
            <w:b/>
            <w:bCs/>
            <w:noProof/>
            <w:lang w:val="en-GB"/>
          </w:rPr>
          <w:t>Appendix 2: Analysis of Phase V monitoring data (2023–2025)</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_Toc219232335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27</w:t>
        </w:r>
        <w:r w:rsidRPr="00C90385">
          <w:rPr>
            <w:rFonts w:asciiTheme="majorHAnsi" w:hAnsiTheme="majorHAnsi" w:cstheme="majorHAnsi"/>
            <w:noProof/>
            <w:webHidden/>
          </w:rPr>
          <w:fldChar w:fldCharType="end"/>
        </w:r>
      </w:hyperlink>
    </w:p>
    <w:p w14:paraId="7D323106" w14:textId="38A43736" w:rsidR="00C90385" w:rsidRPr="00C90385" w:rsidRDefault="00C90385">
      <w:pPr>
        <w:pStyle w:val="TOC1"/>
        <w:tabs>
          <w:tab w:val="right" w:leader="dot" w:pos="9016"/>
        </w:tabs>
        <w:rPr>
          <w:rFonts w:asciiTheme="majorHAnsi" w:eastAsiaTheme="minorEastAsia" w:hAnsiTheme="majorHAnsi" w:cstheme="majorHAnsi"/>
          <w:noProof/>
          <w:kern w:val="2"/>
          <w14:ligatures w14:val="standardContextual"/>
        </w:rPr>
      </w:pPr>
      <w:hyperlink w:anchor="_Toc219232336" w:history="1">
        <w:r w:rsidRPr="00C90385">
          <w:rPr>
            <w:rStyle w:val="Hyperlink"/>
            <w:rFonts w:asciiTheme="majorHAnsi" w:eastAsiaTheme="minorHAnsi" w:hAnsiTheme="majorHAnsi" w:cstheme="majorHAnsi"/>
            <w:b/>
            <w:bCs/>
            <w:noProof/>
            <w:lang w:val="en-GB"/>
          </w:rPr>
          <w:t>Appendix 3: Journal and communications metrics</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_Toc219232336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31</w:t>
        </w:r>
        <w:r w:rsidRPr="00C90385">
          <w:rPr>
            <w:rFonts w:asciiTheme="majorHAnsi" w:hAnsiTheme="majorHAnsi" w:cstheme="majorHAnsi"/>
            <w:noProof/>
            <w:webHidden/>
          </w:rPr>
          <w:fldChar w:fldCharType="end"/>
        </w:r>
      </w:hyperlink>
    </w:p>
    <w:p w14:paraId="098FA7D9" w14:textId="2BD085F1" w:rsidR="00C90385" w:rsidRPr="00C90385" w:rsidRDefault="00C90385">
      <w:pPr>
        <w:pStyle w:val="TOC1"/>
        <w:tabs>
          <w:tab w:val="right" w:leader="dot" w:pos="9016"/>
        </w:tabs>
        <w:rPr>
          <w:rFonts w:asciiTheme="majorHAnsi" w:eastAsiaTheme="minorEastAsia" w:hAnsiTheme="majorHAnsi" w:cstheme="majorHAnsi"/>
          <w:noProof/>
          <w:kern w:val="2"/>
          <w14:ligatures w14:val="standardContextual"/>
        </w:rPr>
      </w:pPr>
      <w:hyperlink w:anchor="_Toc219232337" w:history="1">
        <w:r w:rsidRPr="00C90385">
          <w:rPr>
            <w:rStyle w:val="Hyperlink"/>
            <w:rFonts w:asciiTheme="majorHAnsi" w:eastAsiaTheme="minorHAnsi" w:hAnsiTheme="majorHAnsi" w:cstheme="majorHAnsi"/>
            <w:b/>
            <w:bCs/>
            <w:noProof/>
            <w:lang w:val="en-GB"/>
          </w:rPr>
          <w:t>Appendix 4: Assessment against key strategic documents</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_Toc219232337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32</w:t>
        </w:r>
        <w:r w:rsidRPr="00C90385">
          <w:rPr>
            <w:rFonts w:asciiTheme="majorHAnsi" w:hAnsiTheme="majorHAnsi" w:cstheme="majorHAnsi"/>
            <w:noProof/>
            <w:webHidden/>
          </w:rPr>
          <w:fldChar w:fldCharType="end"/>
        </w:r>
      </w:hyperlink>
    </w:p>
    <w:p w14:paraId="6726DC43" w14:textId="2A98F035" w:rsidR="00C90385" w:rsidRPr="00C90385" w:rsidRDefault="00C90385">
      <w:pPr>
        <w:pStyle w:val="TOC1"/>
        <w:tabs>
          <w:tab w:val="right" w:leader="dot" w:pos="9016"/>
        </w:tabs>
        <w:rPr>
          <w:rFonts w:asciiTheme="majorHAnsi" w:eastAsiaTheme="minorEastAsia" w:hAnsiTheme="majorHAnsi" w:cstheme="majorHAnsi"/>
          <w:noProof/>
          <w:kern w:val="2"/>
          <w14:ligatures w14:val="standardContextual"/>
        </w:rPr>
      </w:pPr>
      <w:hyperlink w:anchor="_Toc219232338" w:history="1">
        <w:r w:rsidRPr="00C90385">
          <w:rPr>
            <w:rStyle w:val="Hyperlink"/>
            <w:rFonts w:asciiTheme="majorHAnsi" w:eastAsiaTheme="minorHAnsi" w:hAnsiTheme="majorHAnsi" w:cstheme="majorHAnsi"/>
            <w:b/>
            <w:bCs/>
            <w:noProof/>
            <w:lang w:val="en-GB"/>
          </w:rPr>
          <w:t>Appendix 5: List of key documents reviewed</w:t>
        </w:r>
        <w:r w:rsidRPr="00C90385">
          <w:rPr>
            <w:rFonts w:asciiTheme="majorHAnsi" w:hAnsiTheme="majorHAnsi" w:cstheme="majorHAnsi"/>
            <w:noProof/>
            <w:webHidden/>
          </w:rPr>
          <w:tab/>
        </w:r>
        <w:r w:rsidRPr="00C90385">
          <w:rPr>
            <w:rFonts w:asciiTheme="majorHAnsi" w:hAnsiTheme="majorHAnsi" w:cstheme="majorHAnsi"/>
            <w:noProof/>
            <w:webHidden/>
          </w:rPr>
          <w:fldChar w:fldCharType="begin"/>
        </w:r>
        <w:r w:rsidRPr="00C90385">
          <w:rPr>
            <w:rFonts w:asciiTheme="majorHAnsi" w:hAnsiTheme="majorHAnsi" w:cstheme="majorHAnsi"/>
            <w:noProof/>
            <w:webHidden/>
          </w:rPr>
          <w:instrText xml:space="preserve"> PAGEREF _Toc219232338 \h </w:instrText>
        </w:r>
        <w:r w:rsidRPr="00C90385">
          <w:rPr>
            <w:rFonts w:asciiTheme="majorHAnsi" w:hAnsiTheme="majorHAnsi" w:cstheme="majorHAnsi"/>
            <w:noProof/>
            <w:webHidden/>
          </w:rPr>
        </w:r>
        <w:r w:rsidRPr="00C90385">
          <w:rPr>
            <w:rFonts w:asciiTheme="majorHAnsi" w:hAnsiTheme="majorHAnsi" w:cstheme="majorHAnsi"/>
            <w:noProof/>
            <w:webHidden/>
          </w:rPr>
          <w:fldChar w:fldCharType="separate"/>
        </w:r>
        <w:r w:rsidR="000049D5">
          <w:rPr>
            <w:rFonts w:asciiTheme="majorHAnsi" w:hAnsiTheme="majorHAnsi" w:cstheme="majorHAnsi"/>
            <w:noProof/>
            <w:webHidden/>
          </w:rPr>
          <w:t>33</w:t>
        </w:r>
        <w:r w:rsidRPr="00C90385">
          <w:rPr>
            <w:rFonts w:asciiTheme="majorHAnsi" w:hAnsiTheme="majorHAnsi" w:cstheme="majorHAnsi"/>
            <w:noProof/>
            <w:webHidden/>
          </w:rPr>
          <w:fldChar w:fldCharType="end"/>
        </w:r>
      </w:hyperlink>
    </w:p>
    <w:p w14:paraId="42554C87" w14:textId="58DCEB87" w:rsidR="006B68F5" w:rsidRPr="001078BB" w:rsidRDefault="006B68F5" w:rsidP="006B68F5">
      <w:pPr>
        <w:autoSpaceDE w:val="0"/>
        <w:autoSpaceDN w:val="0"/>
        <w:adjustRightInd w:val="0"/>
        <w:spacing w:before="120" w:after="240" w:line="360" w:lineRule="auto"/>
        <w:rPr>
          <w:rFonts w:ascii="Space Grotesk" w:eastAsiaTheme="minorHAnsi" w:hAnsi="Space Grotesk" w:cs="Ü-ôu'3"/>
          <w:sz w:val="22"/>
          <w:szCs w:val="22"/>
          <w:lang w:val="en-GB"/>
        </w:rPr>
      </w:pPr>
      <w:r w:rsidRPr="002E7105">
        <w:rPr>
          <w:rFonts w:asciiTheme="majorHAnsi" w:eastAsiaTheme="minorHAnsi" w:hAnsiTheme="majorHAnsi" w:cstheme="majorHAnsi"/>
          <w:lang w:val="en-GB"/>
        </w:rPr>
        <w:fldChar w:fldCharType="end"/>
      </w:r>
      <w:r w:rsidRPr="001078BB">
        <w:rPr>
          <w:rFonts w:ascii="Space Grotesk" w:eastAsiaTheme="minorHAnsi" w:hAnsi="Space Grotesk" w:cs="Ü-ôu'3"/>
          <w:sz w:val="22"/>
          <w:szCs w:val="22"/>
          <w:lang w:val="en-GB"/>
        </w:rPr>
        <w:t xml:space="preserve"> </w:t>
      </w:r>
    </w:p>
    <w:p w14:paraId="5D65B7EC" w14:textId="77777777" w:rsidR="006B68F5" w:rsidRDefault="006B68F5" w:rsidP="006B68F5">
      <w:pPr>
        <w:autoSpaceDE w:val="0"/>
        <w:autoSpaceDN w:val="0"/>
        <w:adjustRightInd w:val="0"/>
        <w:spacing w:before="120" w:after="240"/>
        <w:rPr>
          <w:rFonts w:ascii="Space Grotesk" w:eastAsiaTheme="minorHAnsi" w:hAnsi="Space Grotesk" w:cs="Ü-ôu'3"/>
          <w:sz w:val="18"/>
          <w:szCs w:val="18"/>
          <w:lang w:val="en-GB"/>
        </w:rPr>
      </w:pPr>
    </w:p>
    <w:p w14:paraId="224DD39E" w14:textId="77777777" w:rsidR="006B68F5" w:rsidRPr="00D847AA" w:rsidRDefault="006B68F5" w:rsidP="006B68F5">
      <w:pPr>
        <w:autoSpaceDE w:val="0"/>
        <w:autoSpaceDN w:val="0"/>
        <w:adjustRightInd w:val="0"/>
        <w:spacing w:before="120" w:line="280" w:lineRule="atLeast"/>
        <w:rPr>
          <w:rFonts w:ascii="Space Grotesk" w:eastAsiaTheme="minorHAnsi" w:hAnsi="Space Grotesk" w:cs="Ü=Ëe'3"/>
          <w:sz w:val="18"/>
          <w:szCs w:val="18"/>
          <w:lang w:val="en-GB"/>
        </w:rPr>
        <w:sectPr w:rsidR="006B68F5" w:rsidRPr="00D847AA" w:rsidSect="006B68F5">
          <w:pgSz w:w="11906" w:h="16838"/>
          <w:pgMar w:top="1440" w:right="1440" w:bottom="1440" w:left="1440" w:header="709" w:footer="681" w:gutter="0"/>
          <w:pgNumType w:start="1"/>
          <w:cols w:space="565"/>
          <w:docGrid w:linePitch="360"/>
        </w:sectPr>
      </w:pPr>
    </w:p>
    <w:p w14:paraId="1EBC2A0B" w14:textId="77777777" w:rsidR="006B68F5" w:rsidRPr="00764147" w:rsidRDefault="62D976BA" w:rsidP="00764147">
      <w:pPr>
        <w:pStyle w:val="Heading1"/>
      </w:pPr>
      <w:bookmarkStart w:id="0" w:name="_Toc213600290"/>
      <w:bookmarkStart w:id="1" w:name="_Toc218593470"/>
      <w:bookmarkStart w:id="2" w:name="_Toc219232320"/>
      <w:r w:rsidRPr="00764147">
        <w:lastRenderedPageBreak/>
        <w:t>Executive summary</w:t>
      </w:r>
      <w:bookmarkEnd w:id="0"/>
      <w:bookmarkEnd w:id="1"/>
      <w:bookmarkEnd w:id="2"/>
    </w:p>
    <w:p w14:paraId="33A5B313" w14:textId="77777777" w:rsidR="006B68F5" w:rsidRDefault="006B68F5" w:rsidP="006B68F5">
      <w:pPr>
        <w:rPr>
          <w:rFonts w:asciiTheme="majorHAnsi" w:hAnsiTheme="majorHAnsi" w:cstheme="majorHAnsi"/>
          <w:sz w:val="22"/>
          <w:szCs w:val="22"/>
          <w:lang w:val="en-GB"/>
        </w:rPr>
      </w:pPr>
    </w:p>
    <w:p w14:paraId="07701339" w14:textId="1CCB7700" w:rsidR="004A574E" w:rsidRDefault="006B68F5" w:rsidP="002D31CB">
      <w:pPr>
        <w:spacing w:after="120"/>
        <w:rPr>
          <w:rFonts w:asciiTheme="majorHAnsi" w:eastAsiaTheme="minorHAnsi" w:hAnsiTheme="majorHAnsi" w:cstheme="majorHAnsi"/>
          <w:sz w:val="22"/>
          <w:szCs w:val="22"/>
          <w:lang w:val="en-GB"/>
        </w:rPr>
      </w:pPr>
      <w:r w:rsidRPr="00AB3420">
        <w:rPr>
          <w:rFonts w:asciiTheme="majorHAnsi" w:eastAsiaTheme="minorHAnsi" w:hAnsiTheme="majorHAnsi" w:cstheme="majorHAnsi"/>
          <w:sz w:val="22"/>
          <w:szCs w:val="22"/>
          <w:lang w:val="en-GB"/>
        </w:rPr>
        <w:t xml:space="preserve">This Evaluation Report presents the findings of an Independent Evaluation of the </w:t>
      </w:r>
      <w:r w:rsidRPr="0057279B">
        <w:rPr>
          <w:rFonts w:asciiTheme="majorHAnsi" w:eastAsiaTheme="minorHAnsi" w:hAnsiTheme="majorHAnsi" w:cstheme="majorHAnsi"/>
          <w:b/>
          <w:bCs/>
          <w:sz w:val="22"/>
          <w:szCs w:val="22"/>
          <w:lang w:val="en-GB"/>
        </w:rPr>
        <w:t>Australian National University Indonesia Project</w:t>
      </w:r>
      <w:r w:rsidRPr="00AB3420">
        <w:rPr>
          <w:rFonts w:asciiTheme="majorHAnsi" w:eastAsiaTheme="minorHAnsi" w:hAnsiTheme="majorHAnsi" w:cstheme="majorHAnsi"/>
          <w:sz w:val="22"/>
          <w:szCs w:val="22"/>
          <w:lang w:val="en-GB"/>
        </w:rPr>
        <w:t xml:space="preserve"> (the Project). </w:t>
      </w:r>
      <w:r w:rsidRPr="00AB3420">
        <w:rPr>
          <w:rFonts w:asciiTheme="majorHAnsi" w:hAnsiTheme="majorHAnsi" w:cstheme="majorHAnsi"/>
          <w:sz w:val="22"/>
          <w:szCs w:val="22"/>
          <w:lang w:val="en-GB"/>
        </w:rPr>
        <w:t xml:space="preserve">The Project is delivered by ANU’s Crawford School of Public </w:t>
      </w:r>
      <w:proofErr w:type="gramStart"/>
      <w:r w:rsidRPr="00AB3420">
        <w:rPr>
          <w:rFonts w:asciiTheme="majorHAnsi" w:hAnsiTheme="majorHAnsi" w:cstheme="majorHAnsi"/>
          <w:sz w:val="22"/>
          <w:szCs w:val="22"/>
          <w:lang w:val="en-GB"/>
        </w:rPr>
        <w:t>Policy, and</w:t>
      </w:r>
      <w:proofErr w:type="gramEnd"/>
      <w:r w:rsidRPr="00AB3420">
        <w:rPr>
          <w:rFonts w:asciiTheme="majorHAnsi" w:hAnsiTheme="majorHAnsi" w:cstheme="majorHAnsi"/>
          <w:sz w:val="22"/>
          <w:szCs w:val="22"/>
          <w:lang w:val="en-GB"/>
        </w:rPr>
        <w:t xml:space="preserve"> overseen by the Indonesia Development and Partnerships Section within DFAT. </w:t>
      </w:r>
      <w:r>
        <w:rPr>
          <w:rFonts w:asciiTheme="majorHAnsi" w:hAnsiTheme="majorHAnsi" w:cstheme="majorHAnsi"/>
          <w:sz w:val="22"/>
          <w:szCs w:val="22"/>
          <w:lang w:val="en-GB"/>
        </w:rPr>
        <w:t xml:space="preserve">The goal of the Project is </w:t>
      </w:r>
      <w:r>
        <w:rPr>
          <w:rFonts w:asciiTheme="majorHAnsi" w:eastAsiaTheme="minorHAnsi" w:hAnsiTheme="majorHAnsi" w:cstheme="majorHAnsi"/>
          <w:sz w:val="22"/>
          <w:szCs w:val="22"/>
          <w:lang w:val="en-GB"/>
        </w:rPr>
        <w:t xml:space="preserve">“to contribute to sustainable and inclusive social development and economic growth through education and research-based public policies in Indonesia”. The Project aims to contribute to this goal by </w:t>
      </w:r>
      <w:r w:rsidRPr="0087039C">
        <w:rPr>
          <w:rFonts w:asciiTheme="majorHAnsi" w:eastAsiaTheme="minorHAnsi" w:hAnsiTheme="majorHAnsi" w:cstheme="majorHAnsi"/>
          <w:b/>
          <w:bCs/>
          <w:sz w:val="22"/>
          <w:szCs w:val="22"/>
          <w:lang w:val="en-GB"/>
        </w:rPr>
        <w:t xml:space="preserve">producing high quality economic/development policy research, education and partnership links </w:t>
      </w:r>
      <w:r w:rsidR="00E8505A" w:rsidRPr="0087039C">
        <w:rPr>
          <w:rFonts w:asciiTheme="majorHAnsi" w:eastAsiaTheme="minorHAnsi" w:hAnsiTheme="majorHAnsi" w:cstheme="majorHAnsi"/>
          <w:b/>
          <w:bCs/>
          <w:sz w:val="22"/>
          <w:szCs w:val="22"/>
          <w:lang w:val="en-GB"/>
        </w:rPr>
        <w:t>between</w:t>
      </w:r>
      <w:r w:rsidRPr="0087039C">
        <w:rPr>
          <w:rFonts w:asciiTheme="majorHAnsi" w:eastAsiaTheme="minorHAnsi" w:hAnsiTheme="majorHAnsi" w:cstheme="majorHAnsi"/>
          <w:b/>
          <w:bCs/>
          <w:sz w:val="22"/>
          <w:szCs w:val="22"/>
          <w:lang w:val="en-GB"/>
        </w:rPr>
        <w:t xml:space="preserve"> Indonesia and Australia</w:t>
      </w:r>
      <w:r>
        <w:rPr>
          <w:rFonts w:asciiTheme="majorHAnsi" w:eastAsiaTheme="minorHAnsi" w:hAnsiTheme="majorHAnsi" w:cstheme="majorHAnsi"/>
          <w:sz w:val="22"/>
          <w:szCs w:val="22"/>
          <w:lang w:val="en-GB"/>
        </w:rPr>
        <w:t xml:space="preserve">. The Project does this by </w:t>
      </w:r>
      <w:r w:rsidR="008C7F37">
        <w:rPr>
          <w:rFonts w:asciiTheme="majorHAnsi" w:eastAsiaTheme="minorHAnsi" w:hAnsiTheme="majorHAnsi" w:cstheme="majorHAnsi"/>
          <w:sz w:val="22"/>
          <w:szCs w:val="22"/>
          <w:lang w:val="en-GB"/>
        </w:rPr>
        <w:t xml:space="preserve">funding </w:t>
      </w:r>
      <w:r w:rsidR="004A574E">
        <w:rPr>
          <w:rFonts w:asciiTheme="majorHAnsi" w:eastAsiaTheme="minorHAnsi" w:hAnsiTheme="majorHAnsi" w:cstheme="majorHAnsi"/>
          <w:sz w:val="22"/>
          <w:szCs w:val="22"/>
          <w:lang w:val="en-GB"/>
        </w:rPr>
        <w:t>key ANU academic roles and knowledge dissemination activities designed</w:t>
      </w:r>
      <w:r w:rsidR="008C7F37">
        <w:rPr>
          <w:rFonts w:asciiTheme="majorHAnsi" w:eastAsiaTheme="minorHAnsi" w:hAnsiTheme="majorHAnsi" w:cstheme="majorHAnsi"/>
          <w:sz w:val="22"/>
          <w:szCs w:val="22"/>
          <w:lang w:val="en-GB"/>
        </w:rPr>
        <w:t xml:space="preserve"> to </w:t>
      </w:r>
      <w:r>
        <w:rPr>
          <w:rFonts w:asciiTheme="majorHAnsi" w:eastAsiaTheme="minorHAnsi" w:hAnsiTheme="majorHAnsi" w:cstheme="majorHAnsi"/>
          <w:sz w:val="22"/>
          <w:szCs w:val="22"/>
          <w:lang w:val="en-GB"/>
        </w:rPr>
        <w:t xml:space="preserve">build the capacity of Indonesian researchers, </w:t>
      </w:r>
      <w:r w:rsidR="004A574E">
        <w:rPr>
          <w:rFonts w:asciiTheme="majorHAnsi" w:eastAsiaTheme="minorHAnsi" w:hAnsiTheme="majorHAnsi" w:cstheme="majorHAnsi"/>
          <w:sz w:val="22"/>
          <w:szCs w:val="22"/>
          <w:lang w:val="en-GB"/>
        </w:rPr>
        <w:t>share</w:t>
      </w:r>
      <w:r>
        <w:rPr>
          <w:rFonts w:asciiTheme="majorHAnsi" w:eastAsiaTheme="minorHAnsi" w:hAnsiTheme="majorHAnsi" w:cstheme="majorHAnsi"/>
          <w:sz w:val="22"/>
          <w:szCs w:val="22"/>
          <w:lang w:val="en-GB"/>
        </w:rPr>
        <w:t xml:space="preserve"> research results to target audiences</w:t>
      </w:r>
      <w:r w:rsidR="00D55152">
        <w:rPr>
          <w:rFonts w:asciiTheme="majorHAnsi" w:eastAsiaTheme="minorHAnsi" w:hAnsiTheme="majorHAnsi" w:cstheme="majorHAnsi"/>
          <w:sz w:val="22"/>
          <w:szCs w:val="22"/>
          <w:lang w:val="en-GB"/>
        </w:rPr>
        <w:t xml:space="preserve"> including policymakers</w:t>
      </w:r>
      <w:r>
        <w:rPr>
          <w:rFonts w:asciiTheme="majorHAnsi" w:eastAsiaTheme="minorHAnsi" w:hAnsiTheme="majorHAnsi" w:cstheme="majorHAnsi"/>
          <w:sz w:val="22"/>
          <w:szCs w:val="22"/>
          <w:lang w:val="en-GB"/>
        </w:rPr>
        <w:t>, develop institutional and people-to-people networks, and improv</w:t>
      </w:r>
      <w:r w:rsidR="004A574E">
        <w:rPr>
          <w:rFonts w:asciiTheme="majorHAnsi" w:eastAsiaTheme="minorHAnsi" w:hAnsiTheme="majorHAnsi" w:cstheme="majorHAnsi"/>
          <w:sz w:val="22"/>
          <w:szCs w:val="22"/>
          <w:lang w:val="en-GB"/>
        </w:rPr>
        <w:t>e</w:t>
      </w:r>
      <w:r>
        <w:rPr>
          <w:rFonts w:asciiTheme="majorHAnsi" w:eastAsiaTheme="minorHAnsi" w:hAnsiTheme="majorHAnsi" w:cstheme="majorHAnsi"/>
          <w:sz w:val="22"/>
          <w:szCs w:val="22"/>
          <w:lang w:val="en-GB"/>
        </w:rPr>
        <w:t xml:space="preserve"> Indonesian literacy among Australians. </w:t>
      </w:r>
    </w:p>
    <w:p w14:paraId="3D5C00C9" w14:textId="77777777" w:rsidR="00D55152" w:rsidRDefault="006B68F5" w:rsidP="004A574E">
      <w:pPr>
        <w:spacing w:after="120"/>
        <w:rPr>
          <w:rFonts w:asciiTheme="majorHAnsi" w:hAnsiTheme="majorHAnsi" w:cstheme="majorHAnsi"/>
          <w:sz w:val="22"/>
          <w:szCs w:val="22"/>
        </w:rPr>
      </w:pPr>
      <w:r w:rsidRPr="00514348">
        <w:rPr>
          <w:rFonts w:asciiTheme="majorHAnsi" w:eastAsiaTheme="minorHAnsi" w:hAnsiTheme="majorHAnsi" w:cstheme="majorHAnsi"/>
          <w:sz w:val="22"/>
          <w:szCs w:val="22"/>
          <w:lang w:val="en-GB"/>
        </w:rPr>
        <w:t xml:space="preserve">Initially established by ANU in 1965, the Indonesia Project is in its </w:t>
      </w:r>
      <w:r w:rsidRPr="0087039C">
        <w:rPr>
          <w:rFonts w:asciiTheme="majorHAnsi" w:eastAsiaTheme="minorHAnsi" w:hAnsiTheme="majorHAnsi" w:cstheme="majorHAnsi"/>
          <w:b/>
          <w:bCs/>
          <w:sz w:val="22"/>
          <w:szCs w:val="22"/>
          <w:lang w:val="en-GB"/>
        </w:rPr>
        <w:t>fifth phase of DFAT funding</w:t>
      </w:r>
      <w:r w:rsidRPr="00514348">
        <w:rPr>
          <w:rFonts w:asciiTheme="majorHAnsi" w:eastAsiaTheme="minorHAnsi" w:hAnsiTheme="majorHAnsi" w:cstheme="majorHAnsi"/>
          <w:sz w:val="22"/>
          <w:szCs w:val="22"/>
          <w:lang w:val="en-GB"/>
        </w:rPr>
        <w:t xml:space="preserve"> with matched funding provided by ANU through staffing, activity costs and in-kind support. </w:t>
      </w:r>
      <w:r w:rsidRPr="00AB3420">
        <w:rPr>
          <w:rFonts w:asciiTheme="majorHAnsi" w:eastAsiaTheme="minorHAnsi" w:hAnsiTheme="majorHAnsi" w:cstheme="majorHAnsi"/>
          <w:sz w:val="22"/>
          <w:szCs w:val="22"/>
          <w:lang w:val="en-GB"/>
        </w:rPr>
        <w:t xml:space="preserve">Through </w:t>
      </w:r>
      <w:r>
        <w:rPr>
          <w:rFonts w:asciiTheme="majorHAnsi" w:eastAsiaTheme="minorHAnsi" w:hAnsiTheme="majorHAnsi" w:cstheme="majorHAnsi"/>
          <w:sz w:val="22"/>
          <w:szCs w:val="22"/>
          <w:lang w:val="en-GB"/>
        </w:rPr>
        <w:t>Phase V of the Project</w:t>
      </w:r>
      <w:r w:rsidRPr="00AB3420">
        <w:rPr>
          <w:rFonts w:asciiTheme="majorHAnsi" w:eastAsiaTheme="minorHAnsi" w:hAnsiTheme="majorHAnsi" w:cstheme="majorHAnsi"/>
          <w:sz w:val="22"/>
          <w:szCs w:val="22"/>
          <w:lang w:val="en-GB"/>
        </w:rPr>
        <w:t>, Australia has committed AUD5.2 million over four years (</w:t>
      </w:r>
      <w:r w:rsidR="008C7F37">
        <w:rPr>
          <w:rFonts w:asciiTheme="majorHAnsi" w:eastAsiaTheme="minorHAnsi" w:hAnsiTheme="majorHAnsi" w:cstheme="majorHAnsi"/>
          <w:sz w:val="22"/>
          <w:szCs w:val="22"/>
          <w:lang w:val="en-GB"/>
        </w:rPr>
        <w:t xml:space="preserve">July </w:t>
      </w:r>
      <w:r w:rsidRPr="00AB3420">
        <w:rPr>
          <w:rFonts w:asciiTheme="majorHAnsi" w:eastAsiaTheme="minorHAnsi" w:hAnsiTheme="majorHAnsi" w:cstheme="majorHAnsi"/>
          <w:sz w:val="22"/>
          <w:szCs w:val="22"/>
          <w:lang w:val="en-GB"/>
        </w:rPr>
        <w:t>2022–</w:t>
      </w:r>
      <w:r>
        <w:rPr>
          <w:rFonts w:asciiTheme="majorHAnsi" w:eastAsiaTheme="minorHAnsi" w:hAnsiTheme="majorHAnsi" w:cstheme="majorHAnsi"/>
          <w:sz w:val="22"/>
          <w:szCs w:val="22"/>
          <w:lang w:val="en-GB"/>
        </w:rPr>
        <w:t xml:space="preserve">June </w:t>
      </w:r>
      <w:r w:rsidRPr="00AB3420">
        <w:rPr>
          <w:rFonts w:asciiTheme="majorHAnsi" w:eastAsiaTheme="minorHAnsi" w:hAnsiTheme="majorHAnsi" w:cstheme="majorHAnsi"/>
          <w:sz w:val="22"/>
          <w:szCs w:val="22"/>
          <w:lang w:val="en-GB"/>
        </w:rPr>
        <w:t>2026), approximately AUD1.3 million per year</w:t>
      </w:r>
      <w:r>
        <w:rPr>
          <w:rFonts w:asciiTheme="majorHAnsi" w:eastAsiaTheme="minorHAnsi" w:hAnsiTheme="majorHAnsi" w:cstheme="majorHAnsi"/>
          <w:sz w:val="22"/>
          <w:szCs w:val="22"/>
          <w:lang w:val="en-GB"/>
        </w:rPr>
        <w:t>.</w:t>
      </w:r>
      <w:r w:rsidR="004A574E">
        <w:rPr>
          <w:rFonts w:asciiTheme="majorHAnsi" w:eastAsiaTheme="minorHAnsi" w:hAnsiTheme="majorHAnsi" w:cstheme="majorHAnsi"/>
          <w:sz w:val="22"/>
          <w:szCs w:val="22"/>
          <w:lang w:val="en-GB"/>
        </w:rPr>
        <w:t xml:space="preserve"> </w:t>
      </w:r>
      <w:r w:rsidR="00DE063E" w:rsidRPr="00AB3420">
        <w:rPr>
          <w:rFonts w:asciiTheme="majorHAnsi" w:hAnsiTheme="majorHAnsi" w:cstheme="majorHAnsi"/>
          <w:sz w:val="22"/>
          <w:szCs w:val="22"/>
        </w:rPr>
        <w:t>The purpose of th</w:t>
      </w:r>
      <w:r w:rsidR="00D55152">
        <w:rPr>
          <w:rFonts w:asciiTheme="majorHAnsi" w:hAnsiTheme="majorHAnsi" w:cstheme="majorHAnsi"/>
          <w:sz w:val="22"/>
          <w:szCs w:val="22"/>
        </w:rPr>
        <w:t>is</w:t>
      </w:r>
      <w:r w:rsidR="00DE063E" w:rsidRPr="00AB3420">
        <w:rPr>
          <w:rFonts w:asciiTheme="majorHAnsi" w:hAnsiTheme="majorHAnsi" w:cstheme="majorHAnsi"/>
          <w:sz w:val="22"/>
          <w:szCs w:val="22"/>
        </w:rPr>
        <w:t xml:space="preserve"> </w:t>
      </w:r>
      <w:r>
        <w:rPr>
          <w:rFonts w:asciiTheme="majorHAnsi" w:hAnsiTheme="majorHAnsi" w:cstheme="majorHAnsi"/>
          <w:sz w:val="22"/>
          <w:szCs w:val="22"/>
        </w:rPr>
        <w:t xml:space="preserve">mid-term </w:t>
      </w:r>
      <w:r w:rsidR="00DE063E" w:rsidRPr="00AB3420">
        <w:rPr>
          <w:rFonts w:asciiTheme="majorHAnsi" w:hAnsiTheme="majorHAnsi" w:cstheme="majorHAnsi"/>
          <w:sz w:val="22"/>
          <w:szCs w:val="22"/>
        </w:rPr>
        <w:t xml:space="preserve">evaluation is </w:t>
      </w:r>
      <w:r w:rsidR="00DE063E" w:rsidRPr="00AB3420">
        <w:rPr>
          <w:rFonts w:asciiTheme="majorHAnsi" w:hAnsiTheme="majorHAnsi" w:cstheme="majorHAnsi"/>
          <w:sz w:val="22"/>
          <w:szCs w:val="22"/>
          <w:lang w:val="en-GB"/>
        </w:rPr>
        <w:t xml:space="preserve">to assess the current performance of the Project </w:t>
      </w:r>
      <w:r w:rsidR="00D55152">
        <w:rPr>
          <w:rFonts w:asciiTheme="majorHAnsi" w:hAnsiTheme="majorHAnsi" w:cstheme="majorHAnsi"/>
          <w:sz w:val="22"/>
          <w:szCs w:val="22"/>
          <w:lang w:val="en-GB"/>
        </w:rPr>
        <w:t xml:space="preserve">against its Phase V outcomes </w:t>
      </w:r>
      <w:r w:rsidR="00DE063E" w:rsidRPr="00AB3420">
        <w:rPr>
          <w:rFonts w:asciiTheme="majorHAnsi" w:hAnsiTheme="majorHAnsi" w:cstheme="majorHAnsi"/>
          <w:sz w:val="22"/>
          <w:szCs w:val="22"/>
          <w:lang w:val="en-GB"/>
        </w:rPr>
        <w:t xml:space="preserve">and its </w:t>
      </w:r>
      <w:r w:rsidR="00D55152">
        <w:rPr>
          <w:rFonts w:asciiTheme="majorHAnsi" w:hAnsiTheme="majorHAnsi" w:cstheme="majorHAnsi"/>
          <w:sz w:val="22"/>
          <w:szCs w:val="22"/>
          <w:lang w:val="en-GB"/>
        </w:rPr>
        <w:t xml:space="preserve">continued </w:t>
      </w:r>
      <w:r w:rsidR="00DE063E" w:rsidRPr="00AB3420">
        <w:rPr>
          <w:rFonts w:asciiTheme="majorHAnsi" w:hAnsiTheme="majorHAnsi" w:cstheme="majorHAnsi"/>
          <w:sz w:val="22"/>
          <w:szCs w:val="22"/>
          <w:lang w:val="en-GB"/>
        </w:rPr>
        <w:t xml:space="preserve">alignment with Australian Government strategic objectives. The evaluation is also being undertaken to inform DFAT’s decision to fund a Phase VI of the Project, and to </w:t>
      </w:r>
      <w:r w:rsidR="00DE063E" w:rsidRPr="00AB3420">
        <w:rPr>
          <w:rFonts w:asciiTheme="majorHAnsi" w:hAnsiTheme="majorHAnsi" w:cstheme="majorHAnsi"/>
          <w:sz w:val="22"/>
          <w:szCs w:val="22"/>
        </w:rPr>
        <w:t xml:space="preserve">develop recommendations for </w:t>
      </w:r>
      <w:r w:rsidR="0057279B">
        <w:rPr>
          <w:rFonts w:asciiTheme="majorHAnsi" w:hAnsiTheme="majorHAnsi" w:cstheme="majorHAnsi"/>
          <w:sz w:val="22"/>
          <w:szCs w:val="22"/>
        </w:rPr>
        <w:t>a potential future</w:t>
      </w:r>
      <w:r w:rsidR="00DE063E" w:rsidRPr="00AB3420">
        <w:rPr>
          <w:rFonts w:asciiTheme="majorHAnsi" w:hAnsiTheme="majorHAnsi" w:cstheme="majorHAnsi"/>
          <w:sz w:val="22"/>
          <w:szCs w:val="22"/>
        </w:rPr>
        <w:t xml:space="preserve"> design process.</w:t>
      </w:r>
      <w:r w:rsidR="00E8505A">
        <w:rPr>
          <w:rFonts w:asciiTheme="majorHAnsi" w:hAnsiTheme="majorHAnsi" w:cstheme="majorHAnsi"/>
          <w:sz w:val="22"/>
          <w:szCs w:val="22"/>
        </w:rPr>
        <w:t xml:space="preserve"> </w:t>
      </w:r>
    </w:p>
    <w:p w14:paraId="71C2D4C1" w14:textId="4685C1EE" w:rsidR="00DE063E" w:rsidRDefault="000728B8" w:rsidP="00E8505A">
      <w:pPr>
        <w:autoSpaceDE w:val="0"/>
        <w:autoSpaceDN w:val="0"/>
        <w:adjustRightInd w:val="0"/>
        <w:spacing w:before="120" w:line="280" w:lineRule="atLeast"/>
        <w:rPr>
          <w:rFonts w:asciiTheme="majorHAnsi" w:hAnsiTheme="majorHAnsi" w:cstheme="majorHAnsi"/>
        </w:rPr>
      </w:pPr>
      <w:r w:rsidRPr="00AB3420">
        <w:rPr>
          <w:rFonts w:asciiTheme="majorHAnsi" w:eastAsiaTheme="minorHAnsi" w:hAnsiTheme="majorHAnsi" w:cstheme="majorHAnsi"/>
          <w:sz w:val="22"/>
          <w:szCs w:val="22"/>
          <w:lang w:val="en-GB"/>
        </w:rPr>
        <w:t xml:space="preserve">The </w:t>
      </w:r>
      <w:r w:rsidR="0087039C" w:rsidRPr="0023673B">
        <w:rPr>
          <w:rFonts w:asciiTheme="majorHAnsi" w:eastAsiaTheme="minorHAnsi" w:hAnsiTheme="majorHAnsi" w:cstheme="majorHAnsi"/>
          <w:b/>
          <w:bCs/>
          <w:sz w:val="22"/>
          <w:szCs w:val="22"/>
          <w:lang w:val="en-GB"/>
        </w:rPr>
        <w:t xml:space="preserve">mid-term </w:t>
      </w:r>
      <w:r w:rsidRPr="0023673B">
        <w:rPr>
          <w:rFonts w:asciiTheme="majorHAnsi" w:eastAsiaTheme="minorHAnsi" w:hAnsiTheme="majorHAnsi" w:cstheme="majorHAnsi"/>
          <w:b/>
          <w:bCs/>
          <w:sz w:val="22"/>
          <w:szCs w:val="22"/>
          <w:lang w:val="en-GB"/>
        </w:rPr>
        <w:t>evaluation</w:t>
      </w:r>
      <w:r w:rsidRPr="00AB3420">
        <w:rPr>
          <w:rFonts w:asciiTheme="majorHAnsi" w:eastAsiaTheme="minorHAnsi" w:hAnsiTheme="majorHAnsi" w:cstheme="majorHAnsi"/>
          <w:sz w:val="22"/>
          <w:szCs w:val="22"/>
          <w:lang w:val="en-GB"/>
        </w:rPr>
        <w:t xml:space="preserve"> </w:t>
      </w:r>
      <w:r w:rsidR="008772D8">
        <w:rPr>
          <w:rFonts w:asciiTheme="majorHAnsi" w:eastAsiaTheme="minorHAnsi" w:hAnsiTheme="majorHAnsi" w:cstheme="majorHAnsi"/>
          <w:sz w:val="22"/>
          <w:szCs w:val="22"/>
          <w:lang w:val="en-GB"/>
        </w:rPr>
        <w:t xml:space="preserve">of the Indonesia Project </w:t>
      </w:r>
      <w:r w:rsidRPr="00AB3420">
        <w:rPr>
          <w:rFonts w:asciiTheme="majorHAnsi" w:eastAsiaTheme="minorHAnsi" w:hAnsiTheme="majorHAnsi" w:cstheme="majorHAnsi"/>
          <w:sz w:val="22"/>
          <w:szCs w:val="22"/>
          <w:lang w:val="en-GB"/>
        </w:rPr>
        <w:t>was carried out by an external, three-person evaluation team</w:t>
      </w:r>
      <w:r>
        <w:rPr>
          <w:rFonts w:asciiTheme="majorHAnsi" w:eastAsiaTheme="minorHAnsi" w:hAnsiTheme="majorHAnsi" w:cstheme="majorHAnsi"/>
          <w:sz w:val="22"/>
          <w:szCs w:val="22"/>
          <w:lang w:val="en-GB"/>
        </w:rPr>
        <w:t xml:space="preserve"> </w:t>
      </w:r>
      <w:r w:rsidRPr="00AB3420">
        <w:rPr>
          <w:rFonts w:asciiTheme="majorHAnsi" w:hAnsiTheme="majorHAnsi" w:cstheme="majorHAnsi"/>
          <w:sz w:val="22"/>
          <w:szCs w:val="22"/>
        </w:rPr>
        <w:t>between 27 October to 17 December 2025</w:t>
      </w:r>
      <w:r w:rsidRPr="00DE063E">
        <w:rPr>
          <w:rFonts w:asciiTheme="majorHAnsi" w:eastAsiaTheme="minorHAnsi" w:hAnsiTheme="majorHAnsi" w:cstheme="majorHAnsi"/>
          <w:sz w:val="22"/>
          <w:szCs w:val="22"/>
          <w:lang w:val="en-GB"/>
        </w:rPr>
        <w:t xml:space="preserve">. </w:t>
      </w:r>
      <w:r w:rsidR="00DE063E" w:rsidRPr="00DE063E">
        <w:rPr>
          <w:rFonts w:asciiTheme="majorHAnsi" w:eastAsiaTheme="minorHAnsi" w:hAnsiTheme="majorHAnsi" w:cstheme="majorHAnsi"/>
          <w:sz w:val="22"/>
          <w:szCs w:val="22"/>
          <w:lang w:val="en-GB"/>
        </w:rPr>
        <w:t xml:space="preserve">The evaluation team conducted </w:t>
      </w:r>
      <w:r w:rsidR="00D55152">
        <w:rPr>
          <w:rFonts w:asciiTheme="majorHAnsi" w:eastAsiaTheme="minorHAnsi" w:hAnsiTheme="majorHAnsi" w:cstheme="majorHAnsi"/>
          <w:sz w:val="22"/>
          <w:szCs w:val="22"/>
          <w:lang w:val="en-GB"/>
        </w:rPr>
        <w:t xml:space="preserve">online </w:t>
      </w:r>
      <w:r w:rsidR="00DE063E" w:rsidRPr="00DE063E">
        <w:rPr>
          <w:rFonts w:asciiTheme="majorHAnsi" w:eastAsiaTheme="minorHAnsi" w:hAnsiTheme="majorHAnsi" w:cstheme="majorHAnsi"/>
          <w:sz w:val="22"/>
          <w:szCs w:val="22"/>
          <w:lang w:val="en-GB"/>
        </w:rPr>
        <w:t xml:space="preserve">interviews with 21 key stakeholders, including project alumni and partners from Indonesian academic and research institutes, managing contractors implementing DFAT initiatives in Indonesia, ANU project management staff and Board members, and DFAT staff in Canberra and at Post. The team also reviewed and analysed </w:t>
      </w:r>
      <w:r w:rsidR="00DE063E">
        <w:rPr>
          <w:rFonts w:asciiTheme="majorHAnsi" w:eastAsiaTheme="minorHAnsi" w:hAnsiTheme="majorHAnsi" w:cstheme="majorHAnsi"/>
          <w:sz w:val="22"/>
          <w:szCs w:val="22"/>
          <w:lang w:val="en-GB"/>
        </w:rPr>
        <w:t xml:space="preserve">project monitoring data, and </w:t>
      </w:r>
      <w:r w:rsidR="00DE063E" w:rsidRPr="00DE063E">
        <w:rPr>
          <w:rFonts w:asciiTheme="majorHAnsi" w:eastAsiaTheme="minorHAnsi" w:hAnsiTheme="majorHAnsi" w:cstheme="majorHAnsi"/>
          <w:sz w:val="22"/>
          <w:szCs w:val="22"/>
          <w:lang w:val="en-GB"/>
        </w:rPr>
        <w:t>a wide range of program reports and Australian Government strategic documents made available to them.</w:t>
      </w:r>
      <w:r w:rsidR="00DE063E">
        <w:rPr>
          <w:rFonts w:asciiTheme="majorHAnsi" w:hAnsiTheme="majorHAnsi" w:cstheme="majorHAnsi"/>
        </w:rPr>
        <w:t xml:space="preserve"> </w:t>
      </w:r>
    </w:p>
    <w:p w14:paraId="67F0166D" w14:textId="77777777" w:rsidR="007D0F20" w:rsidRDefault="5B0D60B7" w:rsidP="5AB46587">
      <w:pPr>
        <w:pStyle w:val="Heading2"/>
        <w:rPr>
          <w:b/>
          <w:bCs/>
          <w:sz w:val="22"/>
          <w:szCs w:val="22"/>
        </w:rPr>
      </w:pPr>
      <w:r>
        <w:t>Limitations</w:t>
      </w:r>
    </w:p>
    <w:p w14:paraId="6239781F" w14:textId="42A17789" w:rsidR="007D0F20" w:rsidRPr="007D0F20" w:rsidRDefault="007D0F20" w:rsidP="007D0F20">
      <w:pPr>
        <w:spacing w:before="120" w:after="120"/>
        <w:rPr>
          <w:rFonts w:asciiTheme="majorHAnsi" w:hAnsiTheme="majorHAnsi" w:cstheme="majorHAnsi"/>
          <w:b/>
          <w:bCs/>
          <w:sz w:val="22"/>
          <w:szCs w:val="22"/>
        </w:rPr>
      </w:pPr>
      <w:r>
        <w:rPr>
          <w:rFonts w:asciiTheme="majorHAnsi" w:eastAsiaTheme="minorHAnsi" w:hAnsiTheme="majorHAnsi" w:cstheme="majorHAnsi"/>
          <w:sz w:val="22"/>
          <w:szCs w:val="22"/>
          <w:lang w:val="en-GB"/>
        </w:rPr>
        <w:t xml:space="preserve">There </w:t>
      </w:r>
      <w:r w:rsidRPr="008323DB">
        <w:rPr>
          <w:rFonts w:asciiTheme="majorHAnsi" w:eastAsiaTheme="minorHAnsi" w:hAnsiTheme="majorHAnsi" w:cstheme="majorHAnsi"/>
          <w:sz w:val="22"/>
          <w:szCs w:val="22"/>
          <w:lang w:val="en-GB"/>
        </w:rPr>
        <w:t xml:space="preserve">are </w:t>
      </w:r>
      <w:r>
        <w:rPr>
          <w:rFonts w:asciiTheme="majorHAnsi" w:eastAsiaTheme="minorHAnsi" w:hAnsiTheme="majorHAnsi" w:cstheme="majorHAnsi"/>
          <w:sz w:val="22"/>
          <w:szCs w:val="22"/>
          <w:lang w:val="en-GB"/>
        </w:rPr>
        <w:t>four</w:t>
      </w:r>
      <w:r w:rsidRPr="008323DB">
        <w:rPr>
          <w:rFonts w:asciiTheme="majorHAnsi" w:eastAsiaTheme="minorHAnsi" w:hAnsiTheme="majorHAnsi" w:cstheme="majorHAnsi"/>
          <w:sz w:val="22"/>
          <w:szCs w:val="22"/>
          <w:lang w:val="en-GB"/>
        </w:rPr>
        <w:t xml:space="preserve"> identified</w:t>
      </w:r>
      <w:r>
        <w:rPr>
          <w:rFonts w:asciiTheme="majorHAnsi" w:eastAsiaTheme="minorHAnsi" w:hAnsiTheme="majorHAnsi" w:cstheme="majorHAnsi"/>
          <w:sz w:val="22"/>
          <w:szCs w:val="22"/>
          <w:lang w:val="en-GB"/>
        </w:rPr>
        <w:t xml:space="preserve"> limitations of the evaluation and the findings presented in this report. Firstly, t</w:t>
      </w:r>
      <w:r w:rsidRPr="007D0F20">
        <w:rPr>
          <w:rFonts w:asciiTheme="majorHAnsi" w:eastAsiaTheme="minorHAnsi" w:hAnsiTheme="majorHAnsi" w:cstheme="majorHAnsi"/>
          <w:sz w:val="22"/>
          <w:szCs w:val="22"/>
          <w:lang w:val="en-GB"/>
        </w:rPr>
        <w:t xml:space="preserve">he sample of interviewees, while diverse, cannot fully represent the breadth of the Project’s network and alumni. Monitoring data </w:t>
      </w:r>
      <w:r>
        <w:rPr>
          <w:rFonts w:asciiTheme="majorHAnsi" w:eastAsiaTheme="minorHAnsi" w:hAnsiTheme="majorHAnsi" w:cstheme="majorHAnsi"/>
          <w:sz w:val="22"/>
          <w:szCs w:val="22"/>
          <w:lang w:val="en-GB"/>
        </w:rPr>
        <w:t xml:space="preserve">analysed </w:t>
      </w:r>
      <w:r w:rsidRPr="007D0F20">
        <w:rPr>
          <w:rFonts w:asciiTheme="majorHAnsi" w:eastAsiaTheme="minorHAnsi" w:hAnsiTheme="majorHAnsi" w:cstheme="majorHAnsi"/>
          <w:sz w:val="22"/>
          <w:szCs w:val="22"/>
          <w:lang w:val="en-GB"/>
        </w:rPr>
        <w:t xml:space="preserve">does not consistently track the Project’s policy influence or longer-term network effects. </w:t>
      </w:r>
      <w:proofErr w:type="gramStart"/>
      <w:r w:rsidRPr="007D0F20">
        <w:rPr>
          <w:rFonts w:asciiTheme="majorHAnsi" w:eastAsiaTheme="minorHAnsi" w:hAnsiTheme="majorHAnsi" w:cstheme="majorHAnsi"/>
          <w:sz w:val="22"/>
          <w:szCs w:val="22"/>
          <w:lang w:val="en-GB"/>
        </w:rPr>
        <w:t>Therefore</w:t>
      </w:r>
      <w:proofErr w:type="gramEnd"/>
      <w:r w:rsidRPr="007D0F20">
        <w:rPr>
          <w:rFonts w:asciiTheme="majorHAnsi" w:eastAsiaTheme="minorHAnsi" w:hAnsiTheme="majorHAnsi" w:cstheme="majorHAnsi"/>
          <w:sz w:val="22"/>
          <w:szCs w:val="22"/>
          <w:lang w:val="en-GB"/>
        </w:rPr>
        <w:t xml:space="preserve"> the evaluation relies largely on qualitative evidence</w:t>
      </w:r>
      <w:r>
        <w:rPr>
          <w:rFonts w:asciiTheme="majorHAnsi" w:eastAsiaTheme="minorHAnsi" w:hAnsiTheme="majorHAnsi" w:cstheme="majorHAnsi"/>
          <w:sz w:val="22"/>
          <w:szCs w:val="22"/>
          <w:lang w:val="en-GB"/>
        </w:rPr>
        <w:t xml:space="preserve"> for this analysis</w:t>
      </w:r>
      <w:r w:rsidRPr="007D0F20">
        <w:rPr>
          <w:rFonts w:asciiTheme="majorHAnsi" w:eastAsiaTheme="minorHAnsi" w:hAnsiTheme="majorHAnsi" w:cstheme="majorHAnsi"/>
          <w:sz w:val="22"/>
          <w:szCs w:val="22"/>
          <w:lang w:val="en-GB"/>
        </w:rPr>
        <w:t>. The evaluation team re-coded monitoring data collected by ANU against the Project Logic’s EOPO, outputs and activities</w:t>
      </w:r>
      <w:r>
        <w:rPr>
          <w:rFonts w:asciiTheme="majorHAnsi" w:eastAsiaTheme="minorHAnsi" w:hAnsiTheme="majorHAnsi" w:cstheme="majorHAnsi"/>
          <w:sz w:val="22"/>
          <w:szCs w:val="22"/>
          <w:lang w:val="en-GB"/>
        </w:rPr>
        <w:t>, and t</w:t>
      </w:r>
      <w:r w:rsidRPr="007D0F20">
        <w:rPr>
          <w:rFonts w:asciiTheme="majorHAnsi" w:eastAsiaTheme="minorHAnsi" w:hAnsiTheme="majorHAnsi" w:cstheme="majorHAnsi"/>
          <w:sz w:val="22"/>
          <w:szCs w:val="22"/>
          <w:lang w:val="en-GB"/>
        </w:rPr>
        <w:t xml:space="preserve">herefore data is analysed and presented differently to the manner of presentation in ANU’s annual reports. </w:t>
      </w:r>
      <w:r>
        <w:rPr>
          <w:rFonts w:asciiTheme="majorHAnsi" w:hAnsiTheme="majorHAnsi" w:cstheme="majorHAnsi"/>
          <w:sz w:val="22"/>
          <w:szCs w:val="22"/>
        </w:rPr>
        <w:t>L</w:t>
      </w:r>
      <w:r w:rsidRPr="007D0F20">
        <w:rPr>
          <w:rFonts w:asciiTheme="majorHAnsi" w:hAnsiTheme="majorHAnsi" w:cstheme="majorHAnsi"/>
          <w:sz w:val="22"/>
          <w:szCs w:val="22"/>
        </w:rPr>
        <w:t>astly, t</w:t>
      </w:r>
      <w:r w:rsidRPr="007D0F20">
        <w:rPr>
          <w:rFonts w:asciiTheme="majorHAnsi" w:eastAsiaTheme="minorHAnsi" w:hAnsiTheme="majorHAnsi" w:cstheme="majorHAnsi"/>
          <w:sz w:val="22"/>
          <w:szCs w:val="22"/>
          <w:lang w:val="en-GB"/>
        </w:rPr>
        <w:t xml:space="preserve">he evaluation was undertaken in a relatively short timeframe, with limited time for data collection and analysis. </w:t>
      </w:r>
      <w:r w:rsidRPr="004F1C74">
        <w:rPr>
          <w:rFonts w:asciiTheme="majorHAnsi" w:eastAsiaTheme="minorHAnsi" w:hAnsiTheme="majorHAnsi" w:cstheme="majorHAnsi"/>
          <w:sz w:val="22"/>
          <w:szCs w:val="22"/>
          <w:lang w:val="en-GB"/>
        </w:rPr>
        <w:t xml:space="preserve">The limitations </w:t>
      </w:r>
      <w:r>
        <w:rPr>
          <w:rFonts w:asciiTheme="majorHAnsi" w:eastAsiaTheme="minorHAnsi" w:hAnsiTheme="majorHAnsi" w:cstheme="majorHAnsi"/>
          <w:sz w:val="22"/>
          <w:szCs w:val="22"/>
          <w:lang w:val="en-GB"/>
        </w:rPr>
        <w:t xml:space="preserve">outlined above </w:t>
      </w:r>
      <w:r w:rsidRPr="004F1C74">
        <w:rPr>
          <w:rFonts w:asciiTheme="majorHAnsi" w:eastAsiaTheme="minorHAnsi" w:hAnsiTheme="majorHAnsi" w:cstheme="majorHAnsi"/>
          <w:sz w:val="22"/>
          <w:szCs w:val="22"/>
          <w:lang w:val="en-GB"/>
        </w:rPr>
        <w:t xml:space="preserve">are common for </w:t>
      </w:r>
      <w:r>
        <w:rPr>
          <w:rFonts w:asciiTheme="majorHAnsi" w:eastAsiaTheme="minorHAnsi" w:hAnsiTheme="majorHAnsi" w:cstheme="majorHAnsi"/>
          <w:sz w:val="22"/>
          <w:szCs w:val="22"/>
          <w:lang w:val="en-GB"/>
        </w:rPr>
        <w:t xml:space="preserve">short-term evaluations and </w:t>
      </w:r>
      <w:r w:rsidRPr="004F1C74">
        <w:rPr>
          <w:rFonts w:asciiTheme="majorHAnsi" w:eastAsiaTheme="minorHAnsi" w:hAnsiTheme="majorHAnsi" w:cstheme="majorHAnsi"/>
          <w:sz w:val="22"/>
          <w:szCs w:val="22"/>
          <w:lang w:val="en-GB"/>
        </w:rPr>
        <w:t>research-focused investments and are mitigated</w:t>
      </w:r>
      <w:r>
        <w:rPr>
          <w:rFonts w:asciiTheme="majorHAnsi" w:eastAsiaTheme="minorHAnsi" w:hAnsiTheme="majorHAnsi" w:cstheme="majorHAnsi"/>
          <w:sz w:val="22"/>
          <w:szCs w:val="22"/>
          <w:lang w:val="en-GB"/>
        </w:rPr>
        <w:t>, as much as possible,</w:t>
      </w:r>
      <w:r w:rsidRPr="004F1C74">
        <w:rPr>
          <w:rFonts w:asciiTheme="majorHAnsi" w:eastAsiaTheme="minorHAnsi" w:hAnsiTheme="majorHAnsi" w:cstheme="majorHAnsi"/>
          <w:sz w:val="22"/>
          <w:szCs w:val="22"/>
          <w:lang w:val="en-GB"/>
        </w:rPr>
        <w:t xml:space="preserve"> through </w:t>
      </w:r>
      <w:r>
        <w:rPr>
          <w:rFonts w:asciiTheme="majorHAnsi" w:eastAsiaTheme="minorHAnsi" w:hAnsiTheme="majorHAnsi" w:cstheme="majorHAnsi"/>
          <w:sz w:val="22"/>
          <w:szCs w:val="22"/>
          <w:lang w:val="en-GB"/>
        </w:rPr>
        <w:t xml:space="preserve">data </w:t>
      </w:r>
      <w:r w:rsidRPr="004F1C74">
        <w:rPr>
          <w:rFonts w:asciiTheme="majorHAnsi" w:eastAsiaTheme="minorHAnsi" w:hAnsiTheme="majorHAnsi" w:cstheme="majorHAnsi"/>
          <w:sz w:val="22"/>
          <w:szCs w:val="22"/>
          <w:lang w:val="en-GB"/>
        </w:rPr>
        <w:t xml:space="preserve">triangulation and </w:t>
      </w:r>
      <w:r>
        <w:rPr>
          <w:rFonts w:asciiTheme="majorHAnsi" w:eastAsiaTheme="minorHAnsi" w:hAnsiTheme="majorHAnsi" w:cstheme="majorHAnsi"/>
          <w:sz w:val="22"/>
          <w:szCs w:val="22"/>
          <w:lang w:val="en-GB"/>
        </w:rPr>
        <w:t>the careful analysis and interpretation of findings</w:t>
      </w:r>
      <w:r w:rsidRPr="004F1C74">
        <w:rPr>
          <w:rFonts w:asciiTheme="majorHAnsi" w:eastAsiaTheme="minorHAnsi" w:hAnsiTheme="majorHAnsi" w:cstheme="majorHAnsi"/>
          <w:sz w:val="22"/>
          <w:szCs w:val="22"/>
          <w:lang w:val="en-GB"/>
        </w:rPr>
        <w:t>.</w:t>
      </w:r>
    </w:p>
    <w:p w14:paraId="62A4AE17" w14:textId="7F516CAB" w:rsidR="00AB3420" w:rsidRPr="00AB3420" w:rsidRDefault="35A88F9B" w:rsidP="5AB46587">
      <w:pPr>
        <w:pStyle w:val="Heading2"/>
        <w:rPr>
          <w:b/>
          <w:bCs/>
          <w:sz w:val="22"/>
          <w:szCs w:val="22"/>
        </w:rPr>
      </w:pPr>
      <w:r>
        <w:t>Findings</w:t>
      </w:r>
    </w:p>
    <w:p w14:paraId="5B2CF7F5" w14:textId="6F2033DA" w:rsidR="000728B8" w:rsidRPr="00675BEE" w:rsidRDefault="00675BEE" w:rsidP="00675BEE">
      <w:pPr>
        <w:widowControl w:val="0"/>
        <w:autoSpaceDE w:val="0"/>
        <w:autoSpaceDN w:val="0"/>
        <w:spacing w:before="120" w:after="120"/>
        <w:ind w:right="386"/>
        <w:rPr>
          <w:rFonts w:asciiTheme="majorHAnsi" w:hAnsiTheme="majorHAnsi" w:cstheme="majorHAnsi"/>
          <w:bCs/>
          <w:i/>
          <w:iCs/>
          <w:sz w:val="22"/>
          <w:szCs w:val="22"/>
          <w:u w:val="single"/>
          <w:lang w:val="en-GB"/>
        </w:rPr>
      </w:pPr>
      <w:r>
        <w:rPr>
          <w:rFonts w:asciiTheme="majorHAnsi" w:hAnsiTheme="majorHAnsi" w:cstheme="majorHAnsi"/>
          <w:bCs/>
          <w:i/>
          <w:iCs/>
          <w:sz w:val="22"/>
          <w:szCs w:val="22"/>
          <w:u w:val="single"/>
          <w:lang w:val="en-GB"/>
        </w:rPr>
        <w:t>Project effectiveness (</w:t>
      </w:r>
      <w:r w:rsidR="000728B8" w:rsidRPr="000728B8">
        <w:rPr>
          <w:rFonts w:asciiTheme="majorHAnsi" w:hAnsiTheme="majorHAnsi" w:cstheme="majorHAnsi"/>
          <w:bCs/>
          <w:i/>
          <w:iCs/>
          <w:sz w:val="22"/>
          <w:szCs w:val="22"/>
          <w:u w:val="single"/>
          <w:lang w:val="en-GB"/>
        </w:rPr>
        <w:t>KEQ1)</w:t>
      </w:r>
      <w:r>
        <w:rPr>
          <w:rFonts w:asciiTheme="majorHAnsi" w:hAnsiTheme="majorHAnsi" w:cstheme="majorHAnsi"/>
          <w:bCs/>
          <w:i/>
          <w:iCs/>
          <w:sz w:val="22"/>
          <w:szCs w:val="22"/>
          <w:lang w:val="en-GB"/>
        </w:rPr>
        <w:t xml:space="preserve">: </w:t>
      </w:r>
      <w:r w:rsidR="000728B8" w:rsidRPr="000728B8">
        <w:rPr>
          <w:rFonts w:asciiTheme="majorHAnsi" w:hAnsiTheme="majorHAnsi" w:cstheme="majorHAnsi"/>
          <w:sz w:val="22"/>
          <w:szCs w:val="22"/>
        </w:rPr>
        <w:t xml:space="preserve">The Project is on track to achieve all its stated </w:t>
      </w:r>
      <w:r w:rsidR="00544C47">
        <w:rPr>
          <w:rFonts w:asciiTheme="majorHAnsi" w:hAnsiTheme="majorHAnsi" w:cstheme="majorHAnsi"/>
          <w:sz w:val="22"/>
          <w:szCs w:val="22"/>
        </w:rPr>
        <w:t>End of Program Outcomes (</w:t>
      </w:r>
      <w:r w:rsidR="000728B8" w:rsidRPr="000728B8">
        <w:rPr>
          <w:rFonts w:asciiTheme="majorHAnsi" w:hAnsiTheme="majorHAnsi" w:cstheme="majorHAnsi"/>
          <w:sz w:val="22"/>
          <w:szCs w:val="22"/>
        </w:rPr>
        <w:t>EOPOs</w:t>
      </w:r>
      <w:r w:rsidR="00544C47">
        <w:rPr>
          <w:rFonts w:asciiTheme="majorHAnsi" w:hAnsiTheme="majorHAnsi" w:cstheme="majorHAnsi"/>
          <w:sz w:val="22"/>
          <w:szCs w:val="22"/>
        </w:rPr>
        <w:t>)</w:t>
      </w:r>
      <w:r w:rsidR="000728B8" w:rsidRPr="000728B8">
        <w:rPr>
          <w:rFonts w:asciiTheme="majorHAnsi" w:hAnsiTheme="majorHAnsi" w:cstheme="majorHAnsi"/>
          <w:sz w:val="22"/>
          <w:szCs w:val="22"/>
        </w:rPr>
        <w:t xml:space="preserve"> for Phase V. The Project’s research outputs are </w:t>
      </w:r>
      <w:r w:rsidR="000728B8" w:rsidRPr="000728B8">
        <w:rPr>
          <w:rFonts w:asciiTheme="majorHAnsi" w:hAnsiTheme="majorHAnsi" w:cstheme="majorHAnsi"/>
          <w:b/>
          <w:bCs/>
          <w:sz w:val="22"/>
          <w:szCs w:val="22"/>
        </w:rPr>
        <w:t xml:space="preserve">internationally recognised </w:t>
      </w:r>
      <w:r w:rsidR="000728B8" w:rsidRPr="000728B8">
        <w:rPr>
          <w:rFonts w:asciiTheme="majorHAnsi" w:hAnsiTheme="majorHAnsi" w:cstheme="majorHAnsi"/>
          <w:sz w:val="22"/>
          <w:szCs w:val="22"/>
        </w:rPr>
        <w:t>and of</w:t>
      </w:r>
      <w:r w:rsidR="000728B8" w:rsidRPr="000728B8">
        <w:rPr>
          <w:rFonts w:asciiTheme="majorHAnsi" w:hAnsiTheme="majorHAnsi" w:cstheme="majorHAnsi"/>
          <w:b/>
          <w:bCs/>
          <w:sz w:val="22"/>
          <w:szCs w:val="22"/>
        </w:rPr>
        <w:t xml:space="preserve"> high academic quality</w:t>
      </w:r>
      <w:r w:rsidR="000728B8" w:rsidRPr="000728B8">
        <w:rPr>
          <w:rFonts w:asciiTheme="majorHAnsi" w:hAnsiTheme="majorHAnsi" w:cstheme="majorHAnsi"/>
          <w:sz w:val="22"/>
          <w:szCs w:val="22"/>
        </w:rPr>
        <w:t xml:space="preserve">, with the Indonesia Update and the Bulletin of Indonesian Economic Studies (BIES) considered </w:t>
      </w:r>
      <w:r w:rsidR="000728B8" w:rsidRPr="000728B8">
        <w:rPr>
          <w:rFonts w:asciiTheme="majorHAnsi" w:hAnsiTheme="majorHAnsi" w:cstheme="majorHAnsi"/>
          <w:i/>
          <w:iCs/>
          <w:sz w:val="22"/>
          <w:szCs w:val="22"/>
        </w:rPr>
        <w:t>the</w:t>
      </w:r>
      <w:r w:rsidR="000728B8" w:rsidRPr="000728B8">
        <w:rPr>
          <w:rFonts w:asciiTheme="majorHAnsi" w:hAnsiTheme="majorHAnsi" w:cstheme="majorHAnsi"/>
          <w:sz w:val="22"/>
          <w:szCs w:val="22"/>
        </w:rPr>
        <w:t xml:space="preserve"> </w:t>
      </w:r>
      <w:r w:rsidR="000728B8" w:rsidRPr="000728B8">
        <w:rPr>
          <w:rFonts w:asciiTheme="majorHAnsi" w:hAnsiTheme="majorHAnsi" w:cstheme="majorHAnsi"/>
          <w:i/>
          <w:iCs/>
          <w:sz w:val="22"/>
          <w:szCs w:val="22"/>
        </w:rPr>
        <w:t>place</w:t>
      </w:r>
      <w:r w:rsidR="000728B8" w:rsidRPr="000728B8">
        <w:rPr>
          <w:rFonts w:asciiTheme="majorHAnsi" w:hAnsiTheme="majorHAnsi" w:cstheme="majorHAnsi"/>
          <w:sz w:val="22"/>
          <w:szCs w:val="22"/>
        </w:rPr>
        <w:t xml:space="preserve"> for </w:t>
      </w:r>
      <w:r w:rsidR="000728B8" w:rsidRPr="000728B8">
        <w:rPr>
          <w:rFonts w:asciiTheme="majorHAnsi" w:hAnsiTheme="majorHAnsi" w:cstheme="majorHAnsi"/>
          <w:b/>
          <w:bCs/>
          <w:sz w:val="22"/>
          <w:szCs w:val="22"/>
        </w:rPr>
        <w:t>independent expert knowledge and evidence-based discussion</w:t>
      </w:r>
      <w:r w:rsidR="000728B8" w:rsidRPr="000728B8">
        <w:rPr>
          <w:rFonts w:asciiTheme="majorHAnsi" w:hAnsiTheme="majorHAnsi" w:cstheme="majorHAnsi"/>
          <w:sz w:val="22"/>
          <w:szCs w:val="22"/>
        </w:rPr>
        <w:t xml:space="preserve"> on Indonesia’s economic and social issues. Seminars and forums held in Indonesia are highly regarded and well attended by Indonesian academics, policymakers, and civil society. The Project’s influence on policy is largely indirect with research and events informing debates on trade, fiscal policy and social protection, and helping to influence policy decision-making. The </w:t>
      </w:r>
      <w:r w:rsidR="000728B8" w:rsidRPr="000728B8">
        <w:rPr>
          <w:rFonts w:asciiTheme="majorHAnsi" w:hAnsiTheme="majorHAnsi" w:cstheme="majorHAnsi"/>
          <w:sz w:val="22"/>
          <w:szCs w:val="22"/>
        </w:rPr>
        <w:lastRenderedPageBreak/>
        <w:t xml:space="preserve">Project has </w:t>
      </w:r>
      <w:r w:rsidR="000728B8" w:rsidRPr="000728B8">
        <w:rPr>
          <w:rFonts w:asciiTheme="majorHAnsi" w:hAnsiTheme="majorHAnsi" w:cstheme="majorHAnsi"/>
          <w:b/>
          <w:bCs/>
          <w:sz w:val="22"/>
          <w:szCs w:val="22"/>
        </w:rPr>
        <w:t>built the capacity</w:t>
      </w:r>
      <w:r w:rsidR="000728B8" w:rsidRPr="000728B8">
        <w:rPr>
          <w:rFonts w:asciiTheme="majorHAnsi" w:hAnsiTheme="majorHAnsi" w:cstheme="majorHAnsi"/>
          <w:sz w:val="22"/>
          <w:szCs w:val="22"/>
        </w:rPr>
        <w:t xml:space="preserve"> of multiple generations of Indonesian researchers, many of whom now occupy senior roles in Indonesian government ministries, universities, research institutes and think tanks, and international organisations based in Indonesia. </w:t>
      </w:r>
    </w:p>
    <w:p w14:paraId="673166D1" w14:textId="77777777" w:rsidR="000728B8" w:rsidRPr="000728B8" w:rsidRDefault="000728B8" w:rsidP="000728B8">
      <w:pPr>
        <w:spacing w:before="100" w:beforeAutospacing="1" w:after="100" w:afterAutospacing="1"/>
        <w:rPr>
          <w:rFonts w:asciiTheme="majorHAnsi" w:hAnsiTheme="majorHAnsi" w:cstheme="majorHAnsi"/>
          <w:sz w:val="22"/>
          <w:szCs w:val="22"/>
        </w:rPr>
      </w:pPr>
      <w:r w:rsidRPr="000728B8">
        <w:rPr>
          <w:rFonts w:asciiTheme="majorHAnsi" w:hAnsiTheme="majorHAnsi" w:cstheme="majorHAnsi"/>
          <w:sz w:val="22"/>
          <w:szCs w:val="22"/>
        </w:rPr>
        <w:t xml:space="preserve">Over time there has been a marked increase in Indonesian authorship within BIES, reflecting strengthened capacity and research quality. Strong </w:t>
      </w:r>
      <w:r w:rsidRPr="000728B8">
        <w:rPr>
          <w:rFonts w:asciiTheme="majorHAnsi" w:hAnsiTheme="majorHAnsi" w:cstheme="majorHAnsi"/>
          <w:b/>
          <w:bCs/>
          <w:sz w:val="22"/>
          <w:szCs w:val="22"/>
        </w:rPr>
        <w:t>people-to-people connections</w:t>
      </w:r>
      <w:r w:rsidRPr="000728B8">
        <w:rPr>
          <w:rFonts w:asciiTheme="majorHAnsi" w:hAnsiTheme="majorHAnsi" w:cstheme="majorHAnsi"/>
          <w:sz w:val="22"/>
          <w:szCs w:val="22"/>
        </w:rPr>
        <w:t xml:space="preserve"> established through the Project continue long after formal study, creating enduring bilateral links. In addition, the extensive network held by the Project is an important </w:t>
      </w:r>
      <w:r w:rsidRPr="000728B8">
        <w:rPr>
          <w:rFonts w:asciiTheme="majorHAnsi" w:hAnsiTheme="majorHAnsi" w:cstheme="majorHAnsi"/>
          <w:b/>
          <w:bCs/>
          <w:sz w:val="22"/>
          <w:szCs w:val="22"/>
        </w:rPr>
        <w:t>access point for Australian Government</w:t>
      </w:r>
      <w:r w:rsidRPr="000728B8">
        <w:rPr>
          <w:rFonts w:asciiTheme="majorHAnsi" w:hAnsiTheme="majorHAnsi" w:cstheme="majorHAnsi"/>
          <w:sz w:val="22"/>
          <w:szCs w:val="22"/>
        </w:rPr>
        <w:t xml:space="preserve"> and ANU officials, as well as other “</w:t>
      </w:r>
      <w:proofErr w:type="spellStart"/>
      <w:r w:rsidRPr="000728B8">
        <w:rPr>
          <w:rFonts w:asciiTheme="majorHAnsi" w:hAnsiTheme="majorHAnsi" w:cstheme="majorHAnsi"/>
          <w:sz w:val="22"/>
          <w:szCs w:val="22"/>
        </w:rPr>
        <w:t>Indonesianists</w:t>
      </w:r>
      <w:proofErr w:type="spellEnd"/>
      <w:r w:rsidRPr="000728B8">
        <w:rPr>
          <w:rFonts w:asciiTheme="majorHAnsi" w:hAnsiTheme="majorHAnsi" w:cstheme="majorHAnsi"/>
          <w:sz w:val="22"/>
          <w:szCs w:val="22"/>
        </w:rPr>
        <w:t xml:space="preserve">”, when engaging with Indonesia. This network is highly trusted and respected due to the longstanding reputation of the Project, academics involved, and quality of research outputs.  </w:t>
      </w:r>
    </w:p>
    <w:p w14:paraId="21B47A1C" w14:textId="40C1AD4B" w:rsidR="000728B8" w:rsidRPr="00675BEE" w:rsidRDefault="00675BEE" w:rsidP="00675BEE">
      <w:pPr>
        <w:widowControl w:val="0"/>
        <w:autoSpaceDE w:val="0"/>
        <w:autoSpaceDN w:val="0"/>
        <w:spacing w:before="120" w:after="120"/>
        <w:ind w:right="386"/>
        <w:rPr>
          <w:rFonts w:asciiTheme="majorHAnsi" w:hAnsiTheme="majorHAnsi" w:cstheme="majorHAnsi"/>
          <w:bCs/>
          <w:i/>
          <w:iCs/>
          <w:sz w:val="22"/>
          <w:szCs w:val="22"/>
          <w:u w:val="single"/>
          <w:lang w:val="en-GB"/>
        </w:rPr>
      </w:pPr>
      <w:r>
        <w:rPr>
          <w:rFonts w:asciiTheme="majorHAnsi" w:hAnsiTheme="majorHAnsi" w:cstheme="majorHAnsi"/>
          <w:bCs/>
          <w:i/>
          <w:iCs/>
          <w:sz w:val="22"/>
          <w:szCs w:val="22"/>
          <w:u w:val="single"/>
          <w:lang w:val="en-GB"/>
        </w:rPr>
        <w:t>Project inclusivity (</w:t>
      </w:r>
      <w:r w:rsidR="000728B8" w:rsidRPr="000728B8">
        <w:rPr>
          <w:rFonts w:asciiTheme="majorHAnsi" w:hAnsiTheme="majorHAnsi" w:cstheme="majorHAnsi"/>
          <w:bCs/>
          <w:i/>
          <w:iCs/>
          <w:sz w:val="22"/>
          <w:szCs w:val="22"/>
          <w:u w:val="single"/>
          <w:lang w:val="en-GB"/>
        </w:rPr>
        <w:t>KEQ2)</w:t>
      </w:r>
      <w:r>
        <w:rPr>
          <w:rFonts w:asciiTheme="majorHAnsi" w:hAnsiTheme="majorHAnsi" w:cstheme="majorHAnsi"/>
          <w:bCs/>
          <w:i/>
          <w:iCs/>
          <w:sz w:val="22"/>
          <w:szCs w:val="22"/>
          <w:lang w:val="en-GB"/>
        </w:rPr>
        <w:t xml:space="preserve">: </w:t>
      </w:r>
      <w:r w:rsidR="000728B8" w:rsidRPr="000728B8">
        <w:rPr>
          <w:rFonts w:asciiTheme="majorHAnsi" w:hAnsiTheme="majorHAnsi" w:cstheme="majorHAnsi"/>
          <w:sz w:val="22"/>
          <w:szCs w:val="22"/>
        </w:rPr>
        <w:t xml:space="preserve">During Phase V the Project has taken </w:t>
      </w:r>
      <w:r w:rsidR="000728B8" w:rsidRPr="000728B8">
        <w:rPr>
          <w:rFonts w:asciiTheme="majorHAnsi" w:hAnsiTheme="majorHAnsi" w:cstheme="majorHAnsi"/>
          <w:b/>
          <w:bCs/>
          <w:sz w:val="22"/>
          <w:szCs w:val="22"/>
        </w:rPr>
        <w:t>meaningful steps to mainstream gender equality</w:t>
      </w:r>
      <w:r w:rsidR="000728B8" w:rsidRPr="000728B8">
        <w:rPr>
          <w:rFonts w:asciiTheme="majorHAnsi" w:hAnsiTheme="majorHAnsi" w:cstheme="majorHAnsi"/>
          <w:sz w:val="22"/>
          <w:szCs w:val="22"/>
        </w:rPr>
        <w:t xml:space="preserve"> and improve social inclusion. The Project hosted an Indonesia Update on the theme of gender in 2022; </w:t>
      </w:r>
      <w:r w:rsidR="000728B8" w:rsidRPr="000728B8">
        <w:rPr>
          <w:rFonts w:asciiTheme="majorHAnsi" w:hAnsiTheme="majorHAnsi" w:cstheme="majorHAnsi"/>
          <w:b/>
          <w:bCs/>
          <w:sz w:val="22"/>
          <w:szCs w:val="22"/>
        </w:rPr>
        <w:t>increased the ratio of female academics, speakers and Board members</w:t>
      </w:r>
      <w:r w:rsidR="000728B8" w:rsidRPr="000728B8">
        <w:rPr>
          <w:rFonts w:asciiTheme="majorHAnsi" w:hAnsiTheme="majorHAnsi" w:cstheme="majorHAnsi"/>
          <w:sz w:val="22"/>
          <w:szCs w:val="22"/>
        </w:rPr>
        <w:t xml:space="preserve"> engaged by the project; and implemented a gender checklist and tools to ensure the </w:t>
      </w:r>
      <w:r w:rsidR="000728B8" w:rsidRPr="000728B8">
        <w:rPr>
          <w:rFonts w:asciiTheme="majorHAnsi" w:hAnsiTheme="majorHAnsi" w:cstheme="majorHAnsi"/>
          <w:b/>
          <w:bCs/>
          <w:sz w:val="22"/>
          <w:szCs w:val="22"/>
        </w:rPr>
        <w:t>production of gender sensitive research</w:t>
      </w:r>
      <w:r w:rsidR="000728B8" w:rsidRPr="000728B8">
        <w:rPr>
          <w:rFonts w:asciiTheme="majorHAnsi" w:hAnsiTheme="majorHAnsi" w:cstheme="majorHAnsi"/>
          <w:sz w:val="22"/>
          <w:szCs w:val="22"/>
        </w:rPr>
        <w:t xml:space="preserve">. The Project’s </w:t>
      </w:r>
      <w:r w:rsidR="000728B8" w:rsidRPr="000728B8">
        <w:rPr>
          <w:rFonts w:asciiTheme="majorHAnsi" w:hAnsiTheme="majorHAnsi" w:cstheme="majorHAnsi"/>
          <w:b/>
          <w:bCs/>
          <w:sz w:val="22"/>
          <w:szCs w:val="22"/>
        </w:rPr>
        <w:t>collaboration with KONEKSI</w:t>
      </w:r>
      <w:r w:rsidR="000728B8" w:rsidRPr="000728B8">
        <w:rPr>
          <w:rFonts w:asciiTheme="majorHAnsi" w:hAnsiTheme="majorHAnsi" w:cstheme="majorHAnsi"/>
          <w:sz w:val="22"/>
          <w:szCs w:val="22"/>
        </w:rPr>
        <w:t xml:space="preserve"> has enhanced social inclusion and extended opportunities to researchers outside Java and into Eastern Indonesia, although these remain relatively small in scale compared with the Project’s overall reach. </w:t>
      </w:r>
    </w:p>
    <w:p w14:paraId="23BD3FE4" w14:textId="6CA0845A" w:rsidR="000728B8" w:rsidRPr="000728B8" w:rsidRDefault="000728B8" w:rsidP="000728B8">
      <w:pPr>
        <w:spacing w:before="100" w:beforeAutospacing="1" w:after="100" w:afterAutospacing="1"/>
        <w:rPr>
          <w:rFonts w:asciiTheme="majorHAnsi" w:hAnsiTheme="majorHAnsi" w:cstheme="majorHAnsi"/>
          <w:sz w:val="22"/>
          <w:szCs w:val="22"/>
        </w:rPr>
      </w:pPr>
      <w:r w:rsidRPr="000728B8">
        <w:rPr>
          <w:rFonts w:asciiTheme="majorHAnsi" w:hAnsiTheme="majorHAnsi" w:cstheme="majorHAnsi"/>
          <w:sz w:val="22"/>
          <w:szCs w:val="22"/>
        </w:rPr>
        <w:t xml:space="preserve">While the Project has made efforts to ensure its activities are accessible to </w:t>
      </w:r>
      <w:r w:rsidRPr="000728B8">
        <w:rPr>
          <w:rFonts w:asciiTheme="majorHAnsi" w:hAnsiTheme="majorHAnsi" w:cstheme="majorHAnsi"/>
          <w:b/>
          <w:bCs/>
          <w:sz w:val="22"/>
          <w:szCs w:val="22"/>
        </w:rPr>
        <w:t>researchers with disability</w:t>
      </w:r>
      <w:r w:rsidRPr="000728B8">
        <w:rPr>
          <w:rFonts w:asciiTheme="majorHAnsi" w:hAnsiTheme="majorHAnsi" w:cstheme="majorHAnsi"/>
          <w:sz w:val="22"/>
          <w:szCs w:val="22"/>
        </w:rPr>
        <w:t>, there has been limited research focus and outputs on disability. This is largely the result of the missing “D” representing disability in the Project’s G</w:t>
      </w:r>
      <w:r w:rsidR="009E5CA8">
        <w:rPr>
          <w:rFonts w:asciiTheme="majorHAnsi" w:hAnsiTheme="majorHAnsi" w:cstheme="majorHAnsi"/>
          <w:sz w:val="22"/>
          <w:szCs w:val="22"/>
        </w:rPr>
        <w:t xml:space="preserve">ender, </w:t>
      </w:r>
      <w:r w:rsidRPr="000728B8">
        <w:rPr>
          <w:rFonts w:asciiTheme="majorHAnsi" w:hAnsiTheme="majorHAnsi" w:cstheme="majorHAnsi"/>
          <w:sz w:val="22"/>
          <w:szCs w:val="22"/>
        </w:rPr>
        <w:t>E</w:t>
      </w:r>
      <w:r w:rsidR="009E5CA8">
        <w:rPr>
          <w:rFonts w:asciiTheme="majorHAnsi" w:hAnsiTheme="majorHAnsi" w:cstheme="majorHAnsi"/>
          <w:sz w:val="22"/>
          <w:szCs w:val="22"/>
        </w:rPr>
        <w:t xml:space="preserve">quality and </w:t>
      </w:r>
      <w:r w:rsidRPr="000728B8">
        <w:rPr>
          <w:rFonts w:asciiTheme="majorHAnsi" w:hAnsiTheme="majorHAnsi" w:cstheme="majorHAnsi"/>
          <w:sz w:val="22"/>
          <w:szCs w:val="22"/>
        </w:rPr>
        <w:t>S</w:t>
      </w:r>
      <w:r w:rsidR="009E5CA8">
        <w:rPr>
          <w:rFonts w:asciiTheme="majorHAnsi" w:hAnsiTheme="majorHAnsi" w:cstheme="majorHAnsi"/>
          <w:sz w:val="22"/>
          <w:szCs w:val="22"/>
        </w:rPr>
        <w:t xml:space="preserve">ocial </w:t>
      </w:r>
      <w:r w:rsidRPr="000728B8">
        <w:rPr>
          <w:rFonts w:asciiTheme="majorHAnsi" w:hAnsiTheme="majorHAnsi" w:cstheme="majorHAnsi"/>
          <w:sz w:val="22"/>
          <w:szCs w:val="22"/>
        </w:rPr>
        <w:t>I</w:t>
      </w:r>
      <w:r w:rsidR="009E5CA8">
        <w:rPr>
          <w:rFonts w:asciiTheme="majorHAnsi" w:hAnsiTheme="majorHAnsi" w:cstheme="majorHAnsi"/>
          <w:sz w:val="22"/>
          <w:szCs w:val="22"/>
        </w:rPr>
        <w:t>nclusion (GESI)</w:t>
      </w:r>
      <w:r w:rsidRPr="000728B8">
        <w:rPr>
          <w:rFonts w:asciiTheme="majorHAnsi" w:hAnsiTheme="majorHAnsi" w:cstheme="majorHAnsi"/>
          <w:sz w:val="22"/>
          <w:szCs w:val="22"/>
        </w:rPr>
        <w:t xml:space="preserve"> strategy, which was an intentional strategy to implement a staged approach to inclusivity. Given the progress made towards gender equality, at this stage ANU </w:t>
      </w:r>
      <w:r w:rsidR="00F541B7">
        <w:rPr>
          <w:rFonts w:asciiTheme="majorHAnsi" w:hAnsiTheme="majorHAnsi" w:cstheme="majorHAnsi"/>
          <w:sz w:val="22"/>
          <w:szCs w:val="22"/>
        </w:rPr>
        <w:t>is encouraged to</w:t>
      </w:r>
      <w:r w:rsidR="00F541B7" w:rsidRPr="000728B8">
        <w:rPr>
          <w:rFonts w:asciiTheme="majorHAnsi" w:hAnsiTheme="majorHAnsi" w:cstheme="majorHAnsi"/>
          <w:sz w:val="22"/>
          <w:szCs w:val="22"/>
        </w:rPr>
        <w:t xml:space="preserve"> </w:t>
      </w:r>
      <w:r w:rsidRPr="000728B8">
        <w:rPr>
          <w:rFonts w:asciiTheme="majorHAnsi" w:hAnsiTheme="majorHAnsi" w:cstheme="majorHAnsi"/>
          <w:sz w:val="22"/>
          <w:szCs w:val="22"/>
        </w:rPr>
        <w:t>enhance inclusivity by further supporting the participation of researchers with disability and from diverse backgrounds in the Project, and ensuring GEDSI (including the “D”) is considered in research areas where appropriate and relevant to research topics, rather than treating it as a compliance requirement.</w:t>
      </w:r>
    </w:p>
    <w:p w14:paraId="3C964C2F" w14:textId="25B1F126" w:rsidR="000728B8" w:rsidRPr="00675BEE" w:rsidRDefault="00675BEE" w:rsidP="00675BEE">
      <w:pPr>
        <w:widowControl w:val="0"/>
        <w:autoSpaceDE w:val="0"/>
        <w:autoSpaceDN w:val="0"/>
        <w:spacing w:after="120"/>
        <w:ind w:right="386"/>
        <w:rPr>
          <w:rFonts w:asciiTheme="majorHAnsi" w:hAnsiTheme="majorHAnsi" w:cstheme="majorHAnsi"/>
          <w:bCs/>
          <w:i/>
          <w:iCs/>
          <w:sz w:val="22"/>
          <w:szCs w:val="22"/>
          <w:u w:val="single"/>
          <w:lang w:val="en-GB"/>
        </w:rPr>
      </w:pPr>
      <w:r>
        <w:rPr>
          <w:rFonts w:asciiTheme="majorHAnsi" w:hAnsiTheme="majorHAnsi" w:cstheme="majorHAnsi"/>
          <w:bCs/>
          <w:i/>
          <w:iCs/>
          <w:sz w:val="22"/>
          <w:szCs w:val="22"/>
          <w:u w:val="single"/>
          <w:lang w:val="en-GB"/>
        </w:rPr>
        <w:t>Project relevance (</w:t>
      </w:r>
      <w:r w:rsidR="000728B8" w:rsidRPr="000728B8">
        <w:rPr>
          <w:rFonts w:asciiTheme="majorHAnsi" w:hAnsiTheme="majorHAnsi" w:cstheme="majorHAnsi"/>
          <w:bCs/>
          <w:i/>
          <w:iCs/>
          <w:sz w:val="22"/>
          <w:szCs w:val="22"/>
          <w:u w:val="single"/>
          <w:lang w:val="en-GB"/>
        </w:rPr>
        <w:t>KEQ3)</w:t>
      </w:r>
      <w:r>
        <w:rPr>
          <w:rFonts w:asciiTheme="majorHAnsi" w:hAnsiTheme="majorHAnsi" w:cstheme="majorHAnsi"/>
          <w:bCs/>
          <w:i/>
          <w:iCs/>
          <w:sz w:val="22"/>
          <w:szCs w:val="22"/>
          <w:lang w:val="en-GB"/>
        </w:rPr>
        <w:t xml:space="preserve">: </w:t>
      </w:r>
      <w:r w:rsidR="000728B8" w:rsidRPr="000728B8">
        <w:rPr>
          <w:rFonts w:asciiTheme="majorHAnsi" w:hAnsiTheme="majorHAnsi" w:cstheme="majorBidi"/>
          <w:sz w:val="22"/>
          <w:szCs w:val="22"/>
        </w:rPr>
        <w:t xml:space="preserve">The Project remains </w:t>
      </w:r>
      <w:r w:rsidR="000728B8" w:rsidRPr="000728B8">
        <w:rPr>
          <w:rFonts w:asciiTheme="majorHAnsi" w:hAnsiTheme="majorHAnsi" w:cstheme="majorBidi"/>
          <w:b/>
          <w:bCs/>
          <w:sz w:val="22"/>
          <w:szCs w:val="22"/>
        </w:rPr>
        <w:t>highly relevant to the Australian Government’s strategic objectives</w:t>
      </w:r>
      <w:r w:rsidR="000728B8" w:rsidRPr="000728B8">
        <w:rPr>
          <w:rFonts w:asciiTheme="majorHAnsi" w:hAnsiTheme="majorHAnsi" w:cstheme="majorBidi"/>
          <w:sz w:val="22"/>
          <w:szCs w:val="22"/>
        </w:rPr>
        <w:t xml:space="preserve">, providing independent, long-term analysis of Indonesia’s economic and social policy landscape. It contributes to DFAT’s International Development Policy and Australia–Indonesia Development Partnership Plan by </w:t>
      </w:r>
      <w:r w:rsidR="000728B8" w:rsidRPr="000728B8">
        <w:rPr>
          <w:rFonts w:asciiTheme="majorHAnsi" w:hAnsiTheme="majorHAnsi" w:cstheme="majorBidi"/>
          <w:b/>
          <w:bCs/>
          <w:sz w:val="22"/>
          <w:szCs w:val="22"/>
        </w:rPr>
        <w:t>strengthening knowledge sharing and policy dialogue</w:t>
      </w:r>
      <w:r w:rsidR="000728B8" w:rsidRPr="000728B8">
        <w:rPr>
          <w:rFonts w:asciiTheme="majorHAnsi" w:hAnsiTheme="majorHAnsi" w:cstheme="majorBidi"/>
          <w:sz w:val="22"/>
          <w:szCs w:val="22"/>
        </w:rPr>
        <w:t xml:space="preserve"> across research institutions, government and civil society, and through the creation of </w:t>
      </w:r>
      <w:r w:rsidR="000728B8" w:rsidRPr="000728B8">
        <w:rPr>
          <w:rFonts w:asciiTheme="majorHAnsi" w:hAnsiTheme="majorHAnsi" w:cstheme="majorBidi"/>
          <w:b/>
          <w:bCs/>
          <w:sz w:val="22"/>
          <w:szCs w:val="22"/>
        </w:rPr>
        <w:t>enduring</w:t>
      </w:r>
      <w:r w:rsidR="000728B8" w:rsidRPr="000728B8">
        <w:rPr>
          <w:rFonts w:asciiTheme="majorHAnsi" w:hAnsiTheme="majorHAnsi" w:cstheme="majorBidi"/>
          <w:sz w:val="22"/>
          <w:szCs w:val="22"/>
        </w:rPr>
        <w:t xml:space="preserve"> </w:t>
      </w:r>
      <w:r w:rsidR="000728B8" w:rsidRPr="000728B8">
        <w:rPr>
          <w:rFonts w:asciiTheme="majorHAnsi" w:hAnsiTheme="majorHAnsi" w:cstheme="majorBidi"/>
          <w:b/>
          <w:bCs/>
          <w:sz w:val="22"/>
          <w:szCs w:val="22"/>
        </w:rPr>
        <w:t>people-to-people links</w:t>
      </w:r>
      <w:r w:rsidR="000728B8" w:rsidRPr="000728B8">
        <w:rPr>
          <w:rFonts w:asciiTheme="majorHAnsi" w:hAnsiTheme="majorHAnsi" w:cstheme="majorBidi"/>
          <w:sz w:val="22"/>
          <w:szCs w:val="22"/>
        </w:rPr>
        <w:t xml:space="preserve">. The Project produces and contributes to research on contemporary and relevant economic and social topics, which is driven by current issues rather than by political agendas. Importantly the Project provides </w:t>
      </w:r>
      <w:r w:rsidR="000728B8" w:rsidRPr="000728B8">
        <w:rPr>
          <w:rFonts w:asciiTheme="majorHAnsi" w:hAnsiTheme="majorHAnsi" w:cstheme="majorBidi"/>
          <w:b/>
          <w:bCs/>
          <w:sz w:val="22"/>
          <w:szCs w:val="22"/>
        </w:rPr>
        <w:t>access to influential Indonesian leaders and thinkers</w:t>
      </w:r>
      <w:r w:rsidR="000728B8" w:rsidRPr="000728B8">
        <w:rPr>
          <w:rFonts w:asciiTheme="majorHAnsi" w:hAnsiTheme="majorHAnsi" w:cstheme="majorBidi"/>
          <w:sz w:val="22"/>
          <w:szCs w:val="22"/>
        </w:rPr>
        <w:t xml:space="preserve"> for DFAT and </w:t>
      </w:r>
      <w:proofErr w:type="gramStart"/>
      <w:r w:rsidR="000728B8" w:rsidRPr="000728B8">
        <w:rPr>
          <w:rFonts w:asciiTheme="majorHAnsi" w:hAnsiTheme="majorHAnsi" w:cstheme="majorBidi"/>
          <w:sz w:val="22"/>
          <w:szCs w:val="22"/>
        </w:rPr>
        <w:t>ANU, and</w:t>
      </w:r>
      <w:proofErr w:type="gramEnd"/>
      <w:r w:rsidR="000728B8" w:rsidRPr="000728B8">
        <w:rPr>
          <w:rFonts w:asciiTheme="majorHAnsi" w:hAnsiTheme="majorHAnsi" w:cstheme="majorBidi"/>
          <w:sz w:val="22"/>
          <w:szCs w:val="22"/>
        </w:rPr>
        <w:t xml:space="preserve"> creates a pipeline of researchers and future government officials for networking and engagement. </w:t>
      </w:r>
    </w:p>
    <w:p w14:paraId="6CF57825" w14:textId="5D6FD226" w:rsidR="000728B8" w:rsidRPr="000728B8" w:rsidRDefault="000728B8" w:rsidP="000728B8">
      <w:pPr>
        <w:spacing w:before="100" w:beforeAutospacing="1" w:after="100" w:afterAutospacing="1"/>
        <w:rPr>
          <w:rFonts w:asciiTheme="majorHAnsi" w:hAnsiTheme="majorHAnsi" w:cstheme="majorBidi"/>
          <w:sz w:val="22"/>
          <w:szCs w:val="22"/>
        </w:rPr>
      </w:pPr>
      <w:r w:rsidRPr="000728B8">
        <w:rPr>
          <w:rFonts w:asciiTheme="majorHAnsi" w:hAnsiTheme="majorHAnsi" w:cstheme="majorBidi"/>
          <w:sz w:val="22"/>
          <w:szCs w:val="22"/>
        </w:rPr>
        <w:t xml:space="preserve">With the current political shifts taking place in Indonesia, the value of having an </w:t>
      </w:r>
      <w:r w:rsidRPr="000728B8">
        <w:rPr>
          <w:rFonts w:asciiTheme="majorHAnsi" w:hAnsiTheme="majorHAnsi" w:cstheme="majorBidi"/>
          <w:b/>
          <w:bCs/>
          <w:sz w:val="22"/>
          <w:szCs w:val="22"/>
        </w:rPr>
        <w:t>independent Australian research partner</w:t>
      </w:r>
      <w:r w:rsidRPr="000728B8">
        <w:rPr>
          <w:rFonts w:asciiTheme="majorHAnsi" w:hAnsiTheme="majorHAnsi" w:cstheme="majorBidi"/>
          <w:sz w:val="22"/>
          <w:szCs w:val="22"/>
        </w:rPr>
        <w:t xml:space="preserve"> with deep knowledge of Indonesia’s economy and institutions is vital. The Project also supports </w:t>
      </w:r>
      <w:r w:rsidRPr="000728B8">
        <w:rPr>
          <w:rFonts w:asciiTheme="majorHAnsi" w:hAnsiTheme="majorHAnsi" w:cstheme="majorBidi"/>
          <w:b/>
          <w:bCs/>
          <w:sz w:val="22"/>
          <w:szCs w:val="22"/>
        </w:rPr>
        <w:t>Indonesian studies in Australia</w:t>
      </w:r>
      <w:r w:rsidRPr="000728B8">
        <w:rPr>
          <w:rFonts w:asciiTheme="majorHAnsi" w:hAnsiTheme="majorHAnsi" w:cstheme="majorBidi"/>
          <w:sz w:val="22"/>
          <w:szCs w:val="22"/>
        </w:rPr>
        <w:t xml:space="preserve"> at a time of declining Indonesian language enrolments and shrinking numbers of “</w:t>
      </w:r>
      <w:proofErr w:type="spellStart"/>
      <w:r w:rsidRPr="000728B8">
        <w:rPr>
          <w:rFonts w:asciiTheme="majorHAnsi" w:hAnsiTheme="majorHAnsi" w:cstheme="majorBidi"/>
          <w:sz w:val="22"/>
          <w:szCs w:val="22"/>
        </w:rPr>
        <w:t>Indonesianist</w:t>
      </w:r>
      <w:proofErr w:type="spellEnd"/>
      <w:r w:rsidRPr="000728B8">
        <w:rPr>
          <w:rFonts w:asciiTheme="majorHAnsi" w:hAnsiTheme="majorHAnsi" w:cstheme="majorBidi"/>
          <w:sz w:val="22"/>
          <w:szCs w:val="22"/>
        </w:rPr>
        <w:t xml:space="preserve">” economists, thereby preserving critical expertise that would be costly to rebuild. The Project is also an </w:t>
      </w:r>
      <w:r w:rsidRPr="000728B8">
        <w:rPr>
          <w:rFonts w:asciiTheme="majorHAnsi" w:hAnsiTheme="majorHAnsi" w:cstheme="majorBidi"/>
          <w:b/>
          <w:bCs/>
          <w:sz w:val="22"/>
          <w:szCs w:val="22"/>
        </w:rPr>
        <w:t>important asset</w:t>
      </w:r>
      <w:r w:rsidRPr="000728B8">
        <w:rPr>
          <w:rFonts w:asciiTheme="majorHAnsi" w:hAnsiTheme="majorHAnsi" w:cstheme="majorBidi"/>
          <w:sz w:val="22"/>
          <w:szCs w:val="22"/>
        </w:rPr>
        <w:t xml:space="preserve"> within the broader DFAT portfolio. However, while there are connections and examples of collaboration with DFAT initiatives (e.g. with Prospera, SKALA and KONEKSI), engagement does not appear to be linked to clear partnership strategies. DFAT could </w:t>
      </w:r>
      <w:r w:rsidR="0079016F">
        <w:rPr>
          <w:rFonts w:asciiTheme="majorHAnsi" w:hAnsiTheme="majorHAnsi" w:cstheme="majorBidi"/>
          <w:sz w:val="22"/>
          <w:szCs w:val="22"/>
        </w:rPr>
        <w:t>more actively</w:t>
      </w:r>
      <w:r w:rsidRPr="000728B8">
        <w:rPr>
          <w:rFonts w:asciiTheme="majorHAnsi" w:hAnsiTheme="majorHAnsi" w:cstheme="majorBidi"/>
          <w:sz w:val="22"/>
          <w:szCs w:val="22"/>
        </w:rPr>
        <w:t xml:space="preserve"> broker strategic engagement and collaboration to support a more joined up approach across its portfolio in Indonesia. </w:t>
      </w:r>
    </w:p>
    <w:p w14:paraId="2AA2A61C" w14:textId="7F3758D0" w:rsidR="00675BEE" w:rsidRPr="002D31CB" w:rsidRDefault="00675BEE" w:rsidP="002D31CB">
      <w:pPr>
        <w:widowControl w:val="0"/>
        <w:autoSpaceDE w:val="0"/>
        <w:autoSpaceDN w:val="0"/>
        <w:spacing w:before="120" w:after="120"/>
        <w:ind w:right="386"/>
        <w:rPr>
          <w:rFonts w:asciiTheme="majorHAnsi" w:hAnsiTheme="majorHAnsi" w:cstheme="majorBidi"/>
          <w:sz w:val="22"/>
          <w:szCs w:val="22"/>
        </w:rPr>
      </w:pPr>
      <w:r>
        <w:rPr>
          <w:rFonts w:asciiTheme="majorHAnsi" w:hAnsiTheme="majorHAnsi" w:cstheme="majorHAnsi"/>
          <w:bCs/>
          <w:i/>
          <w:iCs/>
          <w:sz w:val="22"/>
          <w:szCs w:val="22"/>
          <w:u w:val="single"/>
          <w:lang w:val="en-GB"/>
        </w:rPr>
        <w:t>Project efficiency (</w:t>
      </w:r>
      <w:r w:rsidR="000728B8" w:rsidRPr="000728B8">
        <w:rPr>
          <w:rFonts w:asciiTheme="majorHAnsi" w:hAnsiTheme="majorHAnsi" w:cstheme="majorHAnsi"/>
          <w:bCs/>
          <w:i/>
          <w:iCs/>
          <w:sz w:val="22"/>
          <w:szCs w:val="22"/>
          <w:u w:val="single"/>
          <w:lang w:val="en-GB"/>
        </w:rPr>
        <w:t>KEQ4)</w:t>
      </w:r>
      <w:r>
        <w:rPr>
          <w:rFonts w:asciiTheme="majorHAnsi" w:hAnsiTheme="majorHAnsi" w:cstheme="majorHAnsi"/>
          <w:bCs/>
          <w:i/>
          <w:iCs/>
          <w:sz w:val="22"/>
          <w:szCs w:val="22"/>
          <w:lang w:val="en-GB"/>
        </w:rPr>
        <w:t xml:space="preserve">: </w:t>
      </w:r>
      <w:r w:rsidR="000728B8" w:rsidRPr="000728B8">
        <w:rPr>
          <w:rFonts w:asciiTheme="majorHAnsi" w:hAnsiTheme="majorHAnsi" w:cstheme="majorBidi"/>
          <w:sz w:val="22"/>
          <w:szCs w:val="22"/>
        </w:rPr>
        <w:t xml:space="preserve">The Project represents </w:t>
      </w:r>
      <w:r w:rsidR="000728B8" w:rsidRPr="000728B8">
        <w:rPr>
          <w:rFonts w:asciiTheme="majorHAnsi" w:hAnsiTheme="majorHAnsi" w:cstheme="majorBidi"/>
          <w:b/>
          <w:bCs/>
          <w:sz w:val="22"/>
          <w:szCs w:val="22"/>
        </w:rPr>
        <w:t>good value for money</w:t>
      </w:r>
      <w:r w:rsidR="000728B8" w:rsidRPr="000728B8">
        <w:rPr>
          <w:rFonts w:asciiTheme="majorHAnsi" w:hAnsiTheme="majorHAnsi" w:cstheme="majorBidi"/>
          <w:sz w:val="22"/>
          <w:szCs w:val="22"/>
        </w:rPr>
        <w:t xml:space="preserve"> for DFAT, given its modest </w:t>
      </w:r>
      <w:r w:rsidR="000728B8" w:rsidRPr="000728B8">
        <w:rPr>
          <w:rFonts w:asciiTheme="majorHAnsi" w:hAnsiTheme="majorHAnsi" w:cstheme="majorBidi"/>
          <w:sz w:val="22"/>
          <w:szCs w:val="22"/>
        </w:rPr>
        <w:lastRenderedPageBreak/>
        <w:t xml:space="preserve">budget relative to the breadth of outputs, networks and long-term outcomes it generates. Locating the Project within ANU provides cost-effective access to institutional infrastructure and intellectual capital. However, the Project operates with </w:t>
      </w:r>
      <w:r w:rsidR="000728B8" w:rsidRPr="000728B8">
        <w:rPr>
          <w:rFonts w:asciiTheme="majorHAnsi" w:hAnsiTheme="majorHAnsi" w:cstheme="majorBidi"/>
          <w:b/>
          <w:bCs/>
          <w:sz w:val="22"/>
          <w:szCs w:val="22"/>
        </w:rPr>
        <w:t>tight resourcing</w:t>
      </w:r>
      <w:r w:rsidR="000728B8" w:rsidRPr="000728B8">
        <w:rPr>
          <w:rFonts w:asciiTheme="majorHAnsi" w:hAnsiTheme="majorHAnsi" w:cstheme="majorBidi"/>
          <w:sz w:val="22"/>
          <w:szCs w:val="22"/>
        </w:rPr>
        <w:t xml:space="preserve"> and expectations around collaboration, communications and inclusion have expanded </w:t>
      </w:r>
      <w:r w:rsidR="0079016F">
        <w:rPr>
          <w:rFonts w:asciiTheme="majorHAnsi" w:hAnsiTheme="majorHAnsi" w:cstheme="majorBidi"/>
          <w:sz w:val="22"/>
          <w:szCs w:val="22"/>
        </w:rPr>
        <w:t>more quickly</w:t>
      </w:r>
      <w:r w:rsidR="0079016F" w:rsidRPr="000728B8">
        <w:rPr>
          <w:rFonts w:asciiTheme="majorHAnsi" w:hAnsiTheme="majorHAnsi" w:cstheme="majorBidi"/>
          <w:sz w:val="22"/>
          <w:szCs w:val="22"/>
        </w:rPr>
        <w:t xml:space="preserve"> </w:t>
      </w:r>
      <w:r w:rsidR="000728B8" w:rsidRPr="000728B8">
        <w:rPr>
          <w:rFonts w:asciiTheme="majorHAnsi" w:hAnsiTheme="majorHAnsi" w:cstheme="majorBidi"/>
          <w:sz w:val="22"/>
          <w:szCs w:val="22"/>
        </w:rPr>
        <w:t xml:space="preserve">than available staff time and budget, posing risks to quality and staff workload. The GESI and communications strategies have been sensibly streamlined into short “quick guides”, to accommodate gaps between original strategy ambitions and what could realistically be implemented. </w:t>
      </w:r>
      <w:r w:rsidR="000728B8" w:rsidRPr="000728B8">
        <w:rPr>
          <w:rFonts w:asciiTheme="majorHAnsi" w:hAnsiTheme="majorHAnsi" w:cstheme="majorBidi"/>
          <w:b/>
          <w:bCs/>
          <w:sz w:val="22"/>
          <w:szCs w:val="22"/>
        </w:rPr>
        <w:t>Collaboration with DFAT initiatives</w:t>
      </w:r>
      <w:r w:rsidR="000728B8" w:rsidRPr="000728B8">
        <w:rPr>
          <w:rFonts w:asciiTheme="majorHAnsi" w:hAnsiTheme="majorHAnsi" w:cstheme="majorBidi"/>
          <w:sz w:val="22"/>
          <w:szCs w:val="22"/>
        </w:rPr>
        <w:t xml:space="preserve"> has delivered benefits, however this could be strengthened through coordination efforts from within DFAT, as the transaction costs of collaboration</w:t>
      </w:r>
      <w:r w:rsidR="000728B8" w:rsidRPr="000728B8">
        <w:rPr>
          <w:rFonts w:asciiTheme="majorHAnsi" w:hAnsiTheme="majorHAnsi" w:cstheme="majorBidi"/>
          <w:b/>
          <w:bCs/>
          <w:sz w:val="22"/>
          <w:szCs w:val="22"/>
        </w:rPr>
        <w:t xml:space="preserve"> </w:t>
      </w:r>
      <w:r w:rsidR="000728B8" w:rsidRPr="000728B8">
        <w:rPr>
          <w:rFonts w:asciiTheme="majorHAnsi" w:hAnsiTheme="majorHAnsi" w:cstheme="majorBidi"/>
          <w:sz w:val="22"/>
          <w:szCs w:val="22"/>
        </w:rPr>
        <w:t xml:space="preserve">are not always fully recognised or resourced. There has been progress in </w:t>
      </w:r>
      <w:r w:rsidR="000728B8" w:rsidRPr="000728B8">
        <w:rPr>
          <w:rFonts w:asciiTheme="majorHAnsi" w:hAnsiTheme="majorHAnsi" w:cstheme="majorBidi"/>
          <w:b/>
          <w:bCs/>
          <w:sz w:val="22"/>
          <w:szCs w:val="22"/>
        </w:rPr>
        <w:t>broadening access to research outputs</w:t>
      </w:r>
      <w:r w:rsidR="000728B8" w:rsidRPr="000728B8">
        <w:rPr>
          <w:rFonts w:asciiTheme="majorHAnsi" w:hAnsiTheme="majorHAnsi" w:cstheme="majorBidi"/>
          <w:sz w:val="22"/>
          <w:szCs w:val="22"/>
        </w:rPr>
        <w:t xml:space="preserve"> through social media, and online seminars and forums held in Indonesia. These are an efficient way to share knowledge and create dialogue on policy issues. However, the overall communications effort remains modest relative to the potential audience due to resource constraints, and engagement within Australia has been less substantial as a result. </w:t>
      </w:r>
    </w:p>
    <w:p w14:paraId="44A4AF75" w14:textId="68233B31" w:rsidR="000728B8" w:rsidRPr="008772D8" w:rsidRDefault="7A10D26A" w:rsidP="5AB46587">
      <w:pPr>
        <w:pStyle w:val="Heading2"/>
        <w:rPr>
          <w:b/>
          <w:bCs/>
          <w:sz w:val="22"/>
          <w:szCs w:val="22"/>
        </w:rPr>
      </w:pPr>
      <w:r>
        <w:t xml:space="preserve">Key strengths of the </w:t>
      </w:r>
      <w:r w:rsidR="2FB9A55B">
        <w:t>P</w:t>
      </w:r>
      <w:r>
        <w:t>roject</w:t>
      </w:r>
    </w:p>
    <w:p w14:paraId="6DEB6F6C" w14:textId="69DE4FF0" w:rsidR="000728B8" w:rsidRPr="00071D23" w:rsidRDefault="006F7F9A" w:rsidP="006F7F9A">
      <w:pPr>
        <w:spacing w:after="120"/>
        <w:rPr>
          <w:rFonts w:asciiTheme="majorHAnsi" w:hAnsiTheme="majorHAnsi" w:cstheme="majorBidi"/>
          <w:sz w:val="22"/>
          <w:szCs w:val="22"/>
        </w:rPr>
      </w:pPr>
      <w:r w:rsidRPr="006F7F9A">
        <w:rPr>
          <w:rFonts w:asciiTheme="majorHAnsi" w:hAnsiTheme="majorHAnsi" w:cstheme="majorHAnsi"/>
          <w:sz w:val="22"/>
          <w:szCs w:val="22"/>
        </w:rPr>
        <w:t>Sixty</w:t>
      </w:r>
      <w:r w:rsidR="000728B8" w:rsidRPr="006F7F9A">
        <w:rPr>
          <w:rFonts w:asciiTheme="majorHAnsi" w:hAnsiTheme="majorHAnsi" w:cstheme="majorHAnsi"/>
          <w:sz w:val="22"/>
          <w:szCs w:val="22"/>
        </w:rPr>
        <w:t xml:space="preserve"> </w:t>
      </w:r>
      <w:r w:rsidR="000728B8" w:rsidRPr="000728B8">
        <w:rPr>
          <w:rFonts w:asciiTheme="majorHAnsi" w:hAnsiTheme="majorHAnsi" w:cstheme="majorHAnsi"/>
          <w:sz w:val="22"/>
          <w:szCs w:val="22"/>
        </w:rPr>
        <w:t xml:space="preserve">years of continuous activity has created </w:t>
      </w:r>
      <w:r w:rsidR="000728B8" w:rsidRPr="006F7F9A">
        <w:rPr>
          <w:rFonts w:asciiTheme="majorHAnsi" w:hAnsiTheme="majorHAnsi" w:cstheme="majorHAnsi"/>
          <w:b/>
          <w:bCs/>
          <w:sz w:val="22"/>
          <w:szCs w:val="22"/>
        </w:rPr>
        <w:t>deep trust, brand recognition and continuity of relationships</w:t>
      </w:r>
      <w:r w:rsidR="000728B8" w:rsidRPr="000728B8">
        <w:rPr>
          <w:rFonts w:asciiTheme="majorHAnsi" w:hAnsiTheme="majorHAnsi" w:cstheme="majorHAnsi"/>
          <w:sz w:val="22"/>
          <w:szCs w:val="22"/>
        </w:rPr>
        <w:t>, making the Project a cornerstone of Indonesia-focused research in Australia</w:t>
      </w:r>
      <w:r>
        <w:rPr>
          <w:rFonts w:asciiTheme="majorHAnsi" w:hAnsiTheme="majorHAnsi" w:cstheme="majorHAnsi"/>
          <w:sz w:val="22"/>
          <w:szCs w:val="22"/>
        </w:rPr>
        <w:t xml:space="preserve">. </w:t>
      </w:r>
      <w:r>
        <w:rPr>
          <w:rFonts w:asciiTheme="majorHAnsi" w:hAnsiTheme="majorHAnsi" w:cstheme="majorBidi"/>
          <w:sz w:val="22"/>
          <w:szCs w:val="22"/>
        </w:rPr>
        <w:t>G</w:t>
      </w:r>
      <w:r w:rsidR="000728B8" w:rsidRPr="000728B8">
        <w:rPr>
          <w:rFonts w:asciiTheme="majorHAnsi" w:hAnsiTheme="majorHAnsi" w:cstheme="majorBidi"/>
          <w:sz w:val="22"/>
          <w:szCs w:val="22"/>
        </w:rPr>
        <w:t xml:space="preserve">enerations of Indonesian researchers have been trained by the Project, building </w:t>
      </w:r>
      <w:r w:rsidRPr="006F7F9A">
        <w:rPr>
          <w:rFonts w:asciiTheme="majorHAnsi" w:hAnsiTheme="majorHAnsi" w:cstheme="majorBidi"/>
          <w:b/>
          <w:bCs/>
          <w:sz w:val="22"/>
          <w:szCs w:val="22"/>
        </w:rPr>
        <w:t xml:space="preserve">sustained </w:t>
      </w:r>
      <w:r w:rsidR="000728B8" w:rsidRPr="006F7F9A">
        <w:rPr>
          <w:rFonts w:asciiTheme="majorHAnsi" w:hAnsiTheme="majorHAnsi" w:cstheme="majorBidi"/>
          <w:b/>
          <w:bCs/>
          <w:sz w:val="22"/>
          <w:szCs w:val="22"/>
        </w:rPr>
        <w:t xml:space="preserve">local capacity </w:t>
      </w:r>
      <w:r w:rsidR="000728B8" w:rsidRPr="006F7F9A">
        <w:rPr>
          <w:rFonts w:asciiTheme="majorHAnsi" w:hAnsiTheme="majorHAnsi" w:cstheme="majorBidi"/>
          <w:sz w:val="22"/>
          <w:szCs w:val="22"/>
        </w:rPr>
        <w:t>in high quality applied research</w:t>
      </w:r>
      <w:r w:rsidR="000728B8" w:rsidRPr="000728B8">
        <w:rPr>
          <w:rFonts w:asciiTheme="majorHAnsi" w:hAnsiTheme="majorHAnsi" w:cstheme="majorBidi"/>
          <w:sz w:val="22"/>
          <w:szCs w:val="22"/>
        </w:rPr>
        <w:t>. U</w:t>
      </w:r>
      <w:r w:rsidR="000728B8" w:rsidRPr="00071D23">
        <w:rPr>
          <w:rFonts w:asciiTheme="majorHAnsi" w:hAnsiTheme="majorHAnsi" w:cstheme="majorBidi"/>
          <w:sz w:val="22"/>
          <w:szCs w:val="22"/>
        </w:rPr>
        <w:t xml:space="preserve">ltimately this increased knowledge and capacity supports evidence-based </w:t>
      </w:r>
      <w:proofErr w:type="gramStart"/>
      <w:r w:rsidR="000728B8" w:rsidRPr="00071D23">
        <w:rPr>
          <w:rFonts w:asciiTheme="majorHAnsi" w:hAnsiTheme="majorHAnsi" w:cstheme="majorBidi"/>
          <w:sz w:val="22"/>
          <w:szCs w:val="22"/>
        </w:rPr>
        <w:t>policy-making</w:t>
      </w:r>
      <w:proofErr w:type="gramEnd"/>
      <w:r w:rsidR="000728B8" w:rsidRPr="00071D23">
        <w:rPr>
          <w:rFonts w:asciiTheme="majorHAnsi" w:hAnsiTheme="majorHAnsi" w:cstheme="majorBidi"/>
          <w:sz w:val="22"/>
          <w:szCs w:val="22"/>
        </w:rPr>
        <w:t xml:space="preserve"> in Indonesia</w:t>
      </w:r>
      <w:r w:rsidR="000728B8" w:rsidRPr="000728B8">
        <w:rPr>
          <w:rFonts w:asciiTheme="majorHAnsi" w:hAnsiTheme="majorHAnsi" w:cstheme="majorBidi"/>
          <w:sz w:val="22"/>
          <w:szCs w:val="22"/>
        </w:rPr>
        <w:t xml:space="preserve">. </w:t>
      </w:r>
      <w:r w:rsidRPr="006F7F9A">
        <w:rPr>
          <w:rFonts w:asciiTheme="majorHAnsi" w:hAnsiTheme="majorHAnsi" w:cstheme="majorHAnsi"/>
          <w:sz w:val="22"/>
          <w:szCs w:val="22"/>
        </w:rPr>
        <w:t>T</w:t>
      </w:r>
      <w:r w:rsidR="000728B8" w:rsidRPr="000728B8">
        <w:rPr>
          <w:rFonts w:asciiTheme="majorHAnsi" w:hAnsiTheme="majorHAnsi" w:cstheme="majorHAnsi"/>
          <w:sz w:val="22"/>
          <w:szCs w:val="22"/>
        </w:rPr>
        <w:t xml:space="preserve">he Project is seen as </w:t>
      </w:r>
      <w:r w:rsidR="000728B8" w:rsidRPr="006F7F9A">
        <w:rPr>
          <w:rFonts w:asciiTheme="majorHAnsi" w:hAnsiTheme="majorHAnsi" w:cstheme="majorHAnsi"/>
          <w:b/>
          <w:bCs/>
          <w:sz w:val="22"/>
          <w:szCs w:val="22"/>
        </w:rPr>
        <w:t xml:space="preserve">politically independent and academically </w:t>
      </w:r>
      <w:r>
        <w:rPr>
          <w:rFonts w:asciiTheme="majorHAnsi" w:hAnsiTheme="majorHAnsi" w:cstheme="majorHAnsi"/>
          <w:b/>
          <w:bCs/>
          <w:sz w:val="22"/>
          <w:szCs w:val="22"/>
        </w:rPr>
        <w:t>rigorous</w:t>
      </w:r>
      <w:r w:rsidR="000728B8" w:rsidRPr="000728B8">
        <w:rPr>
          <w:rFonts w:asciiTheme="majorHAnsi" w:hAnsiTheme="majorHAnsi" w:cstheme="majorHAnsi"/>
          <w:sz w:val="22"/>
          <w:szCs w:val="22"/>
        </w:rPr>
        <w:t>, which is highly valued by Indonesian and Australian partners</w:t>
      </w:r>
      <w:r w:rsidR="0079016F">
        <w:rPr>
          <w:rFonts w:asciiTheme="majorHAnsi" w:hAnsiTheme="majorHAnsi" w:cstheme="majorHAnsi"/>
          <w:sz w:val="22"/>
          <w:szCs w:val="22"/>
        </w:rPr>
        <w:t xml:space="preserve"> and </w:t>
      </w:r>
      <w:r w:rsidR="000728B8" w:rsidRPr="000728B8">
        <w:rPr>
          <w:rFonts w:asciiTheme="majorHAnsi" w:hAnsiTheme="majorHAnsi" w:cstheme="majorHAnsi"/>
          <w:sz w:val="22"/>
          <w:szCs w:val="22"/>
        </w:rPr>
        <w:t xml:space="preserve">alumni. </w:t>
      </w:r>
      <w:r w:rsidRPr="006F7F9A">
        <w:rPr>
          <w:rFonts w:asciiTheme="majorHAnsi" w:hAnsiTheme="majorHAnsi" w:cstheme="majorHAnsi"/>
          <w:sz w:val="22"/>
          <w:szCs w:val="22"/>
        </w:rPr>
        <w:t xml:space="preserve">Its </w:t>
      </w:r>
      <w:r w:rsidR="000728B8" w:rsidRPr="006F7F9A">
        <w:rPr>
          <w:rFonts w:asciiTheme="majorHAnsi" w:hAnsiTheme="majorHAnsi" w:cstheme="majorHAnsi"/>
          <w:b/>
          <w:bCs/>
          <w:sz w:val="22"/>
          <w:szCs w:val="22"/>
        </w:rPr>
        <w:t xml:space="preserve">layered network </w:t>
      </w:r>
      <w:r w:rsidR="000728B8" w:rsidRPr="006F7F9A">
        <w:rPr>
          <w:rFonts w:asciiTheme="majorHAnsi" w:hAnsiTheme="majorHAnsi" w:cstheme="majorHAnsi"/>
          <w:sz w:val="22"/>
          <w:szCs w:val="22"/>
        </w:rPr>
        <w:t>of students, alumni, academics, bureaucrats and policymakers</w:t>
      </w:r>
      <w:r w:rsidR="000728B8" w:rsidRPr="000728B8">
        <w:rPr>
          <w:rFonts w:asciiTheme="majorHAnsi" w:hAnsiTheme="majorHAnsi" w:cstheme="majorHAnsi"/>
          <w:sz w:val="22"/>
          <w:szCs w:val="22"/>
        </w:rPr>
        <w:t xml:space="preserve"> is arguably the Project’s most important asset and a key channel through which influence is realised.</w:t>
      </w:r>
      <w:r>
        <w:rPr>
          <w:rFonts w:asciiTheme="majorHAnsi" w:hAnsiTheme="majorHAnsi" w:cstheme="majorHAnsi"/>
          <w:sz w:val="22"/>
          <w:szCs w:val="22"/>
        </w:rPr>
        <w:t xml:space="preserve"> B</w:t>
      </w:r>
      <w:r w:rsidR="000728B8" w:rsidRPr="000728B8">
        <w:rPr>
          <w:rFonts w:asciiTheme="majorHAnsi" w:hAnsiTheme="majorHAnsi" w:cstheme="majorHAnsi"/>
          <w:sz w:val="22"/>
          <w:szCs w:val="22"/>
        </w:rPr>
        <w:t xml:space="preserve">eing based </w:t>
      </w:r>
      <w:r>
        <w:rPr>
          <w:rFonts w:asciiTheme="majorHAnsi" w:hAnsiTheme="majorHAnsi" w:cstheme="majorHAnsi"/>
          <w:sz w:val="22"/>
          <w:szCs w:val="22"/>
        </w:rPr>
        <w:t xml:space="preserve">at </w:t>
      </w:r>
      <w:r w:rsidRPr="006F7F9A">
        <w:rPr>
          <w:rFonts w:asciiTheme="majorHAnsi" w:hAnsiTheme="majorHAnsi" w:cstheme="majorHAnsi"/>
          <w:b/>
          <w:bCs/>
          <w:sz w:val="22"/>
          <w:szCs w:val="22"/>
        </w:rPr>
        <w:t xml:space="preserve">ANU </w:t>
      </w:r>
      <w:r w:rsidRPr="00675BEE">
        <w:rPr>
          <w:rFonts w:asciiTheme="majorHAnsi" w:hAnsiTheme="majorHAnsi" w:cstheme="majorHAnsi"/>
          <w:sz w:val="22"/>
          <w:szCs w:val="22"/>
        </w:rPr>
        <w:t xml:space="preserve">in </w:t>
      </w:r>
      <w:r w:rsidR="000728B8" w:rsidRPr="00675BEE">
        <w:rPr>
          <w:rFonts w:asciiTheme="majorHAnsi" w:hAnsiTheme="majorHAnsi" w:cstheme="majorHAnsi"/>
          <w:sz w:val="22"/>
          <w:szCs w:val="22"/>
        </w:rPr>
        <w:t>Canberra</w:t>
      </w:r>
      <w:r w:rsidR="000728B8" w:rsidRPr="000728B8">
        <w:rPr>
          <w:rFonts w:asciiTheme="majorHAnsi" w:hAnsiTheme="majorHAnsi" w:cstheme="majorHAnsi"/>
          <w:sz w:val="22"/>
          <w:szCs w:val="22"/>
        </w:rPr>
        <w:t xml:space="preserve"> yet focused on Indonesia allows the Project to connect Australian and Indonesian institutions, while remaining somewhat insulated from day-to-day political shifts.</w:t>
      </w:r>
      <w:r w:rsidR="00071D23">
        <w:rPr>
          <w:rFonts w:asciiTheme="majorHAnsi" w:hAnsiTheme="majorHAnsi" w:cstheme="majorBidi"/>
          <w:sz w:val="22"/>
          <w:szCs w:val="22"/>
        </w:rPr>
        <w:t xml:space="preserve"> </w:t>
      </w:r>
      <w:r w:rsidR="002D31CB">
        <w:rPr>
          <w:rFonts w:asciiTheme="majorHAnsi" w:hAnsiTheme="majorHAnsi" w:cstheme="majorBidi"/>
          <w:sz w:val="22"/>
          <w:szCs w:val="22"/>
        </w:rPr>
        <w:t>E</w:t>
      </w:r>
      <w:r w:rsidR="000728B8" w:rsidRPr="000728B8">
        <w:rPr>
          <w:rFonts w:asciiTheme="majorHAnsi" w:hAnsiTheme="majorHAnsi" w:cstheme="majorHAnsi"/>
          <w:sz w:val="22"/>
          <w:szCs w:val="22"/>
        </w:rPr>
        <w:t xml:space="preserve">xternal reviews and DFAT priorities have prompted </w:t>
      </w:r>
      <w:r w:rsidR="000728B8" w:rsidRPr="002D31CB">
        <w:rPr>
          <w:rFonts w:asciiTheme="majorHAnsi" w:hAnsiTheme="majorHAnsi" w:cstheme="majorHAnsi"/>
          <w:b/>
          <w:bCs/>
          <w:sz w:val="22"/>
          <w:szCs w:val="22"/>
        </w:rPr>
        <w:t>genuine progress on</w:t>
      </w:r>
      <w:r w:rsidR="000728B8" w:rsidRPr="000728B8">
        <w:rPr>
          <w:rFonts w:asciiTheme="majorHAnsi" w:hAnsiTheme="majorHAnsi" w:cstheme="majorHAnsi"/>
          <w:sz w:val="22"/>
          <w:szCs w:val="22"/>
        </w:rPr>
        <w:t xml:space="preserve"> </w:t>
      </w:r>
      <w:r w:rsidR="000728B8" w:rsidRPr="006F7F9A">
        <w:rPr>
          <w:rFonts w:asciiTheme="majorHAnsi" w:hAnsiTheme="majorHAnsi" w:cstheme="majorHAnsi"/>
          <w:b/>
          <w:bCs/>
          <w:sz w:val="22"/>
          <w:szCs w:val="22"/>
        </w:rPr>
        <w:t>gender equality</w:t>
      </w:r>
      <w:r w:rsidR="000728B8" w:rsidRPr="000728B8">
        <w:rPr>
          <w:rFonts w:asciiTheme="majorHAnsi" w:hAnsiTheme="majorHAnsi" w:cstheme="majorHAnsi"/>
          <w:sz w:val="22"/>
          <w:szCs w:val="22"/>
        </w:rPr>
        <w:t xml:space="preserve"> within staffing, governance and research areas.</w:t>
      </w:r>
      <w:r>
        <w:rPr>
          <w:rFonts w:asciiTheme="majorHAnsi" w:hAnsiTheme="majorHAnsi" w:cstheme="majorHAnsi"/>
          <w:sz w:val="22"/>
          <w:szCs w:val="22"/>
        </w:rPr>
        <w:t xml:space="preserve"> The </w:t>
      </w:r>
      <w:r w:rsidR="002D31CB">
        <w:rPr>
          <w:rFonts w:asciiTheme="majorHAnsi" w:hAnsiTheme="majorHAnsi" w:cstheme="majorHAnsi"/>
          <w:sz w:val="22"/>
          <w:szCs w:val="22"/>
        </w:rPr>
        <w:t>P</w:t>
      </w:r>
      <w:r>
        <w:rPr>
          <w:rFonts w:asciiTheme="majorHAnsi" w:hAnsiTheme="majorHAnsi" w:cstheme="majorHAnsi"/>
          <w:sz w:val="22"/>
          <w:szCs w:val="22"/>
        </w:rPr>
        <w:t xml:space="preserve">roject </w:t>
      </w:r>
      <w:r w:rsidR="002D31CB">
        <w:rPr>
          <w:rFonts w:asciiTheme="majorHAnsi" w:hAnsiTheme="majorHAnsi" w:cstheme="majorHAnsi"/>
          <w:sz w:val="22"/>
          <w:szCs w:val="22"/>
        </w:rPr>
        <w:t>T</w:t>
      </w:r>
      <w:r>
        <w:rPr>
          <w:rFonts w:asciiTheme="majorHAnsi" w:hAnsiTheme="majorHAnsi" w:cstheme="majorHAnsi"/>
          <w:sz w:val="22"/>
          <w:szCs w:val="22"/>
        </w:rPr>
        <w:t xml:space="preserve">eam has also </w:t>
      </w:r>
      <w:r w:rsidR="000728B8" w:rsidRPr="000728B8">
        <w:rPr>
          <w:rFonts w:asciiTheme="majorHAnsi" w:hAnsiTheme="majorHAnsi" w:cstheme="majorHAnsi"/>
          <w:sz w:val="22"/>
          <w:szCs w:val="22"/>
        </w:rPr>
        <w:t>shown</w:t>
      </w:r>
      <w:r>
        <w:rPr>
          <w:rFonts w:asciiTheme="majorHAnsi" w:hAnsiTheme="majorHAnsi" w:cstheme="majorHAnsi"/>
          <w:sz w:val="22"/>
          <w:szCs w:val="22"/>
        </w:rPr>
        <w:t xml:space="preserve"> great</w:t>
      </w:r>
      <w:r w:rsidR="000728B8" w:rsidRPr="000728B8">
        <w:rPr>
          <w:rFonts w:asciiTheme="majorHAnsi" w:hAnsiTheme="majorHAnsi" w:cstheme="majorHAnsi"/>
          <w:sz w:val="22"/>
          <w:szCs w:val="22"/>
        </w:rPr>
        <w:t xml:space="preserve"> </w:t>
      </w:r>
      <w:r w:rsidRPr="006F7F9A">
        <w:rPr>
          <w:rFonts w:asciiTheme="majorHAnsi" w:hAnsiTheme="majorHAnsi" w:cstheme="majorHAnsi"/>
          <w:b/>
          <w:bCs/>
          <w:sz w:val="22"/>
          <w:szCs w:val="22"/>
        </w:rPr>
        <w:t>flexibility and responsiveness</w:t>
      </w:r>
      <w:r w:rsidR="000728B8" w:rsidRPr="000728B8">
        <w:rPr>
          <w:rFonts w:asciiTheme="majorHAnsi" w:hAnsiTheme="majorHAnsi" w:cstheme="majorHAnsi"/>
          <w:sz w:val="22"/>
          <w:szCs w:val="22"/>
        </w:rPr>
        <w:t xml:space="preserve"> to contextual change</w:t>
      </w:r>
      <w:r>
        <w:rPr>
          <w:rFonts w:asciiTheme="majorHAnsi" w:hAnsiTheme="majorHAnsi" w:cstheme="majorHAnsi"/>
          <w:sz w:val="22"/>
          <w:szCs w:val="22"/>
        </w:rPr>
        <w:t>s</w:t>
      </w:r>
      <w:r w:rsidR="000728B8" w:rsidRPr="000728B8">
        <w:rPr>
          <w:rFonts w:asciiTheme="majorHAnsi" w:hAnsiTheme="majorHAnsi" w:cstheme="majorHAnsi"/>
          <w:sz w:val="22"/>
          <w:szCs w:val="22"/>
        </w:rPr>
        <w:t xml:space="preserve"> (e.g. COVID-19</w:t>
      </w:r>
      <w:r w:rsidR="0079016F">
        <w:rPr>
          <w:rFonts w:asciiTheme="majorHAnsi" w:hAnsiTheme="majorHAnsi" w:cstheme="majorHAnsi"/>
          <w:sz w:val="22"/>
          <w:szCs w:val="22"/>
        </w:rPr>
        <w:t xml:space="preserve"> Pandemic</w:t>
      </w:r>
      <w:r w:rsidR="000728B8" w:rsidRPr="000728B8">
        <w:rPr>
          <w:rFonts w:asciiTheme="majorHAnsi" w:hAnsiTheme="majorHAnsi" w:cstheme="majorHAnsi"/>
          <w:sz w:val="22"/>
          <w:szCs w:val="22"/>
        </w:rPr>
        <w:t>, political shifts, new DFAT priorities) within tight resource constraints.</w:t>
      </w:r>
    </w:p>
    <w:p w14:paraId="7C1E825C" w14:textId="77777777" w:rsidR="000728B8" w:rsidRPr="000728B8" w:rsidRDefault="7A10D26A" w:rsidP="5AB46587">
      <w:pPr>
        <w:pStyle w:val="Heading2"/>
        <w:rPr>
          <w:b/>
          <w:bCs/>
          <w:sz w:val="22"/>
          <w:szCs w:val="22"/>
        </w:rPr>
      </w:pPr>
      <w:r>
        <w:t>Challenges and lessons learned</w:t>
      </w:r>
    </w:p>
    <w:p w14:paraId="1D343169" w14:textId="38A30952" w:rsidR="000728B8" w:rsidRPr="000728B8" w:rsidRDefault="0079016F" w:rsidP="00363029">
      <w:pPr>
        <w:spacing w:after="120"/>
        <w:rPr>
          <w:rFonts w:asciiTheme="majorHAnsi" w:hAnsiTheme="majorHAnsi" w:cstheme="majorHAnsi"/>
          <w:sz w:val="22"/>
          <w:szCs w:val="22"/>
        </w:rPr>
      </w:pPr>
      <w:r>
        <w:rPr>
          <w:rFonts w:asciiTheme="majorHAnsi" w:hAnsiTheme="majorHAnsi" w:cstheme="majorHAnsi"/>
          <w:sz w:val="22"/>
          <w:szCs w:val="22"/>
        </w:rPr>
        <w:t>While overall the evaluation</w:t>
      </w:r>
      <w:r w:rsidR="00DF2B32">
        <w:rPr>
          <w:rFonts w:asciiTheme="majorHAnsi" w:hAnsiTheme="majorHAnsi" w:cstheme="majorHAnsi"/>
          <w:sz w:val="22"/>
          <w:szCs w:val="22"/>
        </w:rPr>
        <w:t xml:space="preserve"> found the project to be high performing </w:t>
      </w:r>
      <w:r w:rsidR="009F2F16">
        <w:rPr>
          <w:rFonts w:asciiTheme="majorHAnsi" w:hAnsiTheme="majorHAnsi" w:cstheme="majorHAnsi"/>
          <w:sz w:val="22"/>
          <w:szCs w:val="22"/>
        </w:rPr>
        <w:t>and</w:t>
      </w:r>
      <w:r w:rsidR="00DF2B32">
        <w:rPr>
          <w:rFonts w:asciiTheme="majorHAnsi" w:hAnsiTheme="majorHAnsi" w:cstheme="majorHAnsi"/>
          <w:sz w:val="22"/>
          <w:szCs w:val="22"/>
        </w:rPr>
        <w:t xml:space="preserve"> </w:t>
      </w:r>
      <w:r w:rsidR="009F2F16">
        <w:rPr>
          <w:rFonts w:asciiTheme="majorHAnsi" w:hAnsiTheme="majorHAnsi" w:cstheme="majorHAnsi"/>
          <w:sz w:val="22"/>
          <w:szCs w:val="22"/>
        </w:rPr>
        <w:t xml:space="preserve">successfully </w:t>
      </w:r>
      <w:r w:rsidR="00DF2B32">
        <w:rPr>
          <w:rFonts w:asciiTheme="majorHAnsi" w:hAnsiTheme="majorHAnsi" w:cstheme="majorHAnsi"/>
          <w:sz w:val="22"/>
          <w:szCs w:val="22"/>
        </w:rPr>
        <w:t xml:space="preserve">yielding positive outcomes, there are some areas for improvement. </w:t>
      </w:r>
      <w:r w:rsidR="002D31CB">
        <w:rPr>
          <w:rFonts w:asciiTheme="majorHAnsi" w:hAnsiTheme="majorHAnsi" w:cstheme="majorHAnsi"/>
          <w:sz w:val="22"/>
          <w:szCs w:val="22"/>
        </w:rPr>
        <w:t>T</w:t>
      </w:r>
      <w:r w:rsidR="000728B8" w:rsidRPr="000728B8">
        <w:rPr>
          <w:rFonts w:asciiTheme="majorHAnsi" w:hAnsiTheme="majorHAnsi" w:cstheme="majorHAnsi"/>
          <w:sz w:val="22"/>
          <w:szCs w:val="22"/>
        </w:rPr>
        <w:t xml:space="preserve">here is concern </w:t>
      </w:r>
      <w:r w:rsidR="002D31CB">
        <w:rPr>
          <w:rFonts w:asciiTheme="majorHAnsi" w:hAnsiTheme="majorHAnsi" w:cstheme="majorHAnsi"/>
          <w:sz w:val="22"/>
          <w:szCs w:val="22"/>
        </w:rPr>
        <w:t xml:space="preserve">amongst key stakeholders consulted </w:t>
      </w:r>
      <w:r w:rsidR="000728B8" w:rsidRPr="000728B8">
        <w:rPr>
          <w:rFonts w:asciiTheme="majorHAnsi" w:hAnsiTheme="majorHAnsi" w:cstheme="majorHAnsi"/>
          <w:sz w:val="22"/>
          <w:szCs w:val="22"/>
        </w:rPr>
        <w:t>about declining numbers of “</w:t>
      </w:r>
      <w:proofErr w:type="spellStart"/>
      <w:r w:rsidR="000728B8" w:rsidRPr="000728B8">
        <w:rPr>
          <w:rFonts w:asciiTheme="majorHAnsi" w:hAnsiTheme="majorHAnsi" w:cstheme="majorHAnsi"/>
          <w:sz w:val="22"/>
          <w:szCs w:val="22"/>
        </w:rPr>
        <w:t>Indonesianists</w:t>
      </w:r>
      <w:proofErr w:type="spellEnd"/>
      <w:r w:rsidR="000728B8" w:rsidRPr="000728B8">
        <w:rPr>
          <w:rFonts w:asciiTheme="majorHAnsi" w:hAnsiTheme="majorHAnsi" w:cstheme="majorHAnsi"/>
          <w:sz w:val="22"/>
          <w:szCs w:val="22"/>
        </w:rPr>
        <w:t xml:space="preserve">” in Australia, the ageing of some senior academics, and the need for </w:t>
      </w:r>
      <w:r w:rsidR="000728B8" w:rsidRPr="002D31CB">
        <w:rPr>
          <w:rFonts w:asciiTheme="majorHAnsi" w:hAnsiTheme="majorHAnsi" w:cstheme="majorHAnsi"/>
          <w:b/>
          <w:bCs/>
          <w:sz w:val="22"/>
          <w:szCs w:val="22"/>
        </w:rPr>
        <w:t>clearer succession planning</w:t>
      </w:r>
      <w:r w:rsidR="000728B8" w:rsidRPr="000728B8">
        <w:rPr>
          <w:rFonts w:asciiTheme="majorHAnsi" w:hAnsiTheme="majorHAnsi" w:cstheme="majorHAnsi"/>
          <w:sz w:val="22"/>
          <w:szCs w:val="22"/>
        </w:rPr>
        <w:t xml:space="preserve"> and </w:t>
      </w:r>
      <w:r w:rsidR="000728B8" w:rsidRPr="002D31CB">
        <w:rPr>
          <w:rFonts w:asciiTheme="majorHAnsi" w:hAnsiTheme="majorHAnsi" w:cstheme="majorHAnsi"/>
          <w:b/>
          <w:bCs/>
          <w:sz w:val="22"/>
          <w:szCs w:val="22"/>
        </w:rPr>
        <w:t>longer-term funding certainty</w:t>
      </w:r>
      <w:r w:rsidR="000728B8" w:rsidRPr="000728B8">
        <w:rPr>
          <w:rFonts w:asciiTheme="majorHAnsi" w:hAnsiTheme="majorHAnsi" w:cstheme="majorHAnsi"/>
          <w:sz w:val="22"/>
          <w:szCs w:val="22"/>
        </w:rPr>
        <w:t>.</w:t>
      </w:r>
      <w:r w:rsidR="002D31CB">
        <w:rPr>
          <w:rFonts w:asciiTheme="majorHAnsi" w:hAnsiTheme="majorHAnsi" w:cstheme="majorHAnsi"/>
          <w:sz w:val="22"/>
          <w:szCs w:val="22"/>
        </w:rPr>
        <w:t xml:space="preserve"> </w:t>
      </w:r>
      <w:r w:rsidR="002D31CB">
        <w:rPr>
          <w:rFonts w:asciiTheme="majorHAnsi" w:hAnsiTheme="majorHAnsi" w:cstheme="majorBidi"/>
          <w:sz w:val="22"/>
          <w:szCs w:val="22"/>
        </w:rPr>
        <w:t>The</w:t>
      </w:r>
      <w:r w:rsidR="000728B8" w:rsidRPr="000728B8">
        <w:rPr>
          <w:rFonts w:asciiTheme="majorHAnsi" w:hAnsiTheme="majorHAnsi" w:cstheme="majorBidi"/>
          <w:sz w:val="22"/>
          <w:szCs w:val="22"/>
        </w:rPr>
        <w:t xml:space="preserve"> Project has successfully engaged Indonesian researchers and there is a vibrant academic and research community connected through the Project in Indonesia. </w:t>
      </w:r>
      <w:proofErr w:type="gramStart"/>
      <w:r w:rsidR="000728B8" w:rsidRPr="000728B8">
        <w:rPr>
          <w:rFonts w:asciiTheme="majorHAnsi" w:hAnsiTheme="majorHAnsi" w:cstheme="majorBidi"/>
          <w:sz w:val="22"/>
          <w:szCs w:val="22"/>
        </w:rPr>
        <w:t>However</w:t>
      </w:r>
      <w:proofErr w:type="gramEnd"/>
      <w:r w:rsidR="000728B8" w:rsidRPr="000728B8">
        <w:rPr>
          <w:rFonts w:asciiTheme="majorHAnsi" w:hAnsiTheme="majorHAnsi" w:cstheme="majorBidi"/>
          <w:sz w:val="22"/>
          <w:szCs w:val="22"/>
        </w:rPr>
        <w:t xml:space="preserve"> resource limitations and </w:t>
      </w:r>
      <w:r w:rsidR="000728B8" w:rsidRPr="002D31CB">
        <w:rPr>
          <w:rFonts w:asciiTheme="majorHAnsi" w:hAnsiTheme="majorHAnsi" w:cstheme="majorBidi"/>
          <w:b/>
          <w:bCs/>
          <w:sz w:val="22"/>
          <w:szCs w:val="22"/>
        </w:rPr>
        <w:t>declining Indonesian language studies in Australia pose a significant challenge</w:t>
      </w:r>
      <w:r w:rsidR="000728B8" w:rsidRPr="000728B8">
        <w:rPr>
          <w:rFonts w:asciiTheme="majorHAnsi" w:hAnsiTheme="majorHAnsi" w:cstheme="majorBidi"/>
          <w:sz w:val="22"/>
          <w:szCs w:val="22"/>
        </w:rPr>
        <w:t xml:space="preserve"> to the project.</w:t>
      </w:r>
      <w:r w:rsidR="002D31CB">
        <w:rPr>
          <w:rFonts w:asciiTheme="majorHAnsi" w:hAnsiTheme="majorHAnsi" w:cstheme="majorBidi"/>
          <w:sz w:val="22"/>
          <w:szCs w:val="22"/>
        </w:rPr>
        <w:t xml:space="preserve"> T</w:t>
      </w:r>
      <w:r w:rsidR="000728B8" w:rsidRPr="000728B8">
        <w:rPr>
          <w:rFonts w:asciiTheme="majorHAnsi" w:hAnsiTheme="majorHAnsi" w:cstheme="majorBidi"/>
          <w:sz w:val="22"/>
          <w:szCs w:val="22"/>
        </w:rPr>
        <w:t xml:space="preserve">here is </w:t>
      </w:r>
      <w:r w:rsidR="002D31CB">
        <w:rPr>
          <w:rFonts w:asciiTheme="majorHAnsi" w:hAnsiTheme="majorHAnsi" w:cstheme="majorBidi"/>
          <w:sz w:val="22"/>
          <w:szCs w:val="22"/>
        </w:rPr>
        <w:t xml:space="preserve">also </w:t>
      </w:r>
      <w:r w:rsidR="000728B8" w:rsidRPr="000728B8">
        <w:rPr>
          <w:rFonts w:asciiTheme="majorHAnsi" w:hAnsiTheme="majorHAnsi" w:cstheme="majorBidi"/>
          <w:sz w:val="22"/>
          <w:szCs w:val="22"/>
        </w:rPr>
        <w:t xml:space="preserve">a risk of </w:t>
      </w:r>
      <w:r w:rsidR="000728B8" w:rsidRPr="002D31CB">
        <w:rPr>
          <w:rFonts w:asciiTheme="majorHAnsi" w:hAnsiTheme="majorHAnsi" w:cstheme="majorBidi"/>
          <w:b/>
          <w:bCs/>
          <w:sz w:val="22"/>
          <w:szCs w:val="22"/>
        </w:rPr>
        <w:t xml:space="preserve">dilution </w:t>
      </w:r>
      <w:r w:rsidR="002D31CB" w:rsidRPr="002D31CB">
        <w:rPr>
          <w:rFonts w:asciiTheme="majorHAnsi" w:hAnsiTheme="majorHAnsi" w:cstheme="majorBidi"/>
          <w:b/>
          <w:bCs/>
          <w:sz w:val="22"/>
          <w:szCs w:val="22"/>
        </w:rPr>
        <w:t>of strategic focus</w:t>
      </w:r>
      <w:r w:rsidR="002D31CB">
        <w:rPr>
          <w:rFonts w:asciiTheme="majorHAnsi" w:hAnsiTheme="majorHAnsi" w:cstheme="majorBidi"/>
          <w:sz w:val="22"/>
          <w:szCs w:val="22"/>
        </w:rPr>
        <w:t xml:space="preserve"> </w:t>
      </w:r>
      <w:r w:rsidR="000728B8" w:rsidRPr="000728B8">
        <w:rPr>
          <w:rFonts w:asciiTheme="majorHAnsi" w:hAnsiTheme="majorHAnsi" w:cstheme="majorBidi"/>
          <w:sz w:val="22"/>
          <w:szCs w:val="22"/>
        </w:rPr>
        <w:t xml:space="preserve">if the Project attempts to cover too many themes, audiences and functions (private sector outreach for example) which may be out of project </w:t>
      </w:r>
      <w:proofErr w:type="gramStart"/>
      <w:r w:rsidR="000728B8" w:rsidRPr="000728B8">
        <w:rPr>
          <w:rFonts w:asciiTheme="majorHAnsi" w:hAnsiTheme="majorHAnsi" w:cstheme="majorBidi"/>
          <w:sz w:val="22"/>
          <w:szCs w:val="22"/>
        </w:rPr>
        <w:t>scope, or</w:t>
      </w:r>
      <w:proofErr w:type="gramEnd"/>
      <w:r w:rsidR="000728B8" w:rsidRPr="000728B8">
        <w:rPr>
          <w:rFonts w:asciiTheme="majorHAnsi" w:hAnsiTheme="majorHAnsi" w:cstheme="majorBidi"/>
          <w:sz w:val="22"/>
          <w:szCs w:val="22"/>
        </w:rPr>
        <w:t xml:space="preserve"> not have sufficient resourcing. </w:t>
      </w:r>
      <w:r w:rsidR="0057279B">
        <w:rPr>
          <w:rFonts w:asciiTheme="majorHAnsi" w:hAnsiTheme="majorHAnsi" w:cstheme="majorHAnsi"/>
          <w:sz w:val="22"/>
          <w:szCs w:val="22"/>
        </w:rPr>
        <w:t xml:space="preserve">There </w:t>
      </w:r>
      <w:r w:rsidR="0057279B" w:rsidRPr="000728B8">
        <w:rPr>
          <w:rFonts w:asciiTheme="majorHAnsi" w:hAnsiTheme="majorHAnsi" w:cstheme="majorBidi"/>
          <w:sz w:val="22"/>
          <w:szCs w:val="22"/>
        </w:rPr>
        <w:t>is a</w:t>
      </w:r>
      <w:r w:rsidR="0041029B">
        <w:rPr>
          <w:rFonts w:asciiTheme="majorHAnsi" w:hAnsiTheme="majorHAnsi" w:cstheme="majorBidi"/>
          <w:sz w:val="22"/>
          <w:szCs w:val="22"/>
        </w:rPr>
        <w:t>n evident</w:t>
      </w:r>
      <w:r w:rsidR="0057279B" w:rsidRPr="000728B8">
        <w:rPr>
          <w:rFonts w:asciiTheme="majorHAnsi" w:hAnsiTheme="majorHAnsi" w:cstheme="majorBidi"/>
          <w:sz w:val="22"/>
          <w:szCs w:val="22"/>
        </w:rPr>
        <w:t xml:space="preserve"> lack of clarity of the role and value of the </w:t>
      </w:r>
      <w:r w:rsidR="0057279B">
        <w:rPr>
          <w:rFonts w:asciiTheme="majorHAnsi" w:hAnsiTheme="majorHAnsi" w:cstheme="majorBidi"/>
          <w:sz w:val="22"/>
          <w:szCs w:val="22"/>
        </w:rPr>
        <w:t>P</w:t>
      </w:r>
      <w:r w:rsidR="0057279B" w:rsidRPr="000728B8">
        <w:rPr>
          <w:rFonts w:asciiTheme="majorHAnsi" w:hAnsiTheme="majorHAnsi" w:cstheme="majorBidi"/>
          <w:sz w:val="22"/>
          <w:szCs w:val="22"/>
        </w:rPr>
        <w:t xml:space="preserve">roject among some </w:t>
      </w:r>
      <w:r w:rsidR="0057279B">
        <w:rPr>
          <w:rFonts w:asciiTheme="majorHAnsi" w:hAnsiTheme="majorHAnsi" w:cstheme="majorBidi"/>
          <w:sz w:val="22"/>
          <w:szCs w:val="22"/>
        </w:rPr>
        <w:t xml:space="preserve">areas of </w:t>
      </w:r>
      <w:r w:rsidR="0057279B" w:rsidRPr="000728B8">
        <w:rPr>
          <w:rFonts w:asciiTheme="majorHAnsi" w:hAnsiTheme="majorHAnsi" w:cstheme="majorBidi"/>
          <w:sz w:val="22"/>
          <w:szCs w:val="22"/>
        </w:rPr>
        <w:t xml:space="preserve">DFAT, leading to </w:t>
      </w:r>
      <w:r w:rsidR="0057279B" w:rsidRPr="002D31CB">
        <w:rPr>
          <w:rFonts w:asciiTheme="majorHAnsi" w:hAnsiTheme="majorHAnsi" w:cstheme="majorBidi"/>
          <w:b/>
          <w:bCs/>
          <w:sz w:val="22"/>
          <w:szCs w:val="22"/>
        </w:rPr>
        <w:t>missed opportunities for structured collaboration</w:t>
      </w:r>
      <w:r w:rsidR="0057279B" w:rsidRPr="000728B8">
        <w:rPr>
          <w:rFonts w:asciiTheme="majorHAnsi" w:hAnsiTheme="majorHAnsi" w:cstheme="majorBidi"/>
          <w:sz w:val="22"/>
          <w:szCs w:val="22"/>
        </w:rPr>
        <w:t>.</w:t>
      </w:r>
      <w:r w:rsidR="0057279B">
        <w:rPr>
          <w:rFonts w:asciiTheme="majorHAnsi" w:hAnsiTheme="majorHAnsi" w:cstheme="majorHAnsi"/>
          <w:sz w:val="22"/>
          <w:szCs w:val="22"/>
        </w:rPr>
        <w:t xml:space="preserve"> At the same time, c</w:t>
      </w:r>
      <w:r w:rsidR="0057279B" w:rsidRPr="000728B8">
        <w:rPr>
          <w:rFonts w:asciiTheme="majorHAnsi" w:hAnsiTheme="majorHAnsi" w:cstheme="majorHAnsi"/>
          <w:sz w:val="22"/>
          <w:szCs w:val="22"/>
        </w:rPr>
        <w:t xml:space="preserve">ollaborative activities with DFAT initiatives can </w:t>
      </w:r>
      <w:r w:rsidR="0057279B">
        <w:rPr>
          <w:rFonts w:asciiTheme="majorHAnsi" w:hAnsiTheme="majorHAnsi" w:cstheme="majorHAnsi"/>
          <w:sz w:val="22"/>
          <w:szCs w:val="22"/>
        </w:rPr>
        <w:t xml:space="preserve">also </w:t>
      </w:r>
      <w:r w:rsidR="0057279B" w:rsidRPr="000728B8">
        <w:rPr>
          <w:rFonts w:asciiTheme="majorHAnsi" w:hAnsiTheme="majorHAnsi" w:cstheme="majorHAnsi"/>
          <w:sz w:val="22"/>
          <w:szCs w:val="22"/>
        </w:rPr>
        <w:t xml:space="preserve">impose </w:t>
      </w:r>
      <w:r w:rsidR="0057279B" w:rsidRPr="0057279B">
        <w:rPr>
          <w:rFonts w:asciiTheme="majorHAnsi" w:hAnsiTheme="majorHAnsi" w:cstheme="majorHAnsi"/>
          <w:b/>
          <w:bCs/>
          <w:sz w:val="22"/>
          <w:szCs w:val="22"/>
        </w:rPr>
        <w:t>significant administrative costs</w:t>
      </w:r>
      <w:r w:rsidR="0057279B" w:rsidRPr="000728B8">
        <w:rPr>
          <w:rFonts w:asciiTheme="majorHAnsi" w:hAnsiTheme="majorHAnsi" w:cstheme="majorHAnsi"/>
          <w:sz w:val="22"/>
          <w:szCs w:val="22"/>
        </w:rPr>
        <w:t xml:space="preserve"> on a small team</w:t>
      </w:r>
      <w:r w:rsidR="0057279B">
        <w:rPr>
          <w:rFonts w:asciiTheme="majorHAnsi" w:hAnsiTheme="majorHAnsi" w:cstheme="majorHAnsi"/>
          <w:sz w:val="22"/>
          <w:szCs w:val="22"/>
        </w:rPr>
        <w:t xml:space="preserve">. </w:t>
      </w:r>
      <w:r w:rsidR="002D31CB">
        <w:rPr>
          <w:rFonts w:asciiTheme="majorHAnsi" w:hAnsiTheme="majorHAnsi" w:cstheme="majorHAnsi"/>
          <w:sz w:val="22"/>
          <w:szCs w:val="22"/>
        </w:rPr>
        <w:t>W</w:t>
      </w:r>
      <w:r w:rsidR="000728B8" w:rsidRPr="000728B8">
        <w:rPr>
          <w:rFonts w:asciiTheme="majorHAnsi" w:hAnsiTheme="majorHAnsi" w:cstheme="majorHAnsi"/>
          <w:sz w:val="22"/>
          <w:szCs w:val="22"/>
        </w:rPr>
        <w:t xml:space="preserve">hile the Project coordinates and manages various events, seminars and forums, it does so on a </w:t>
      </w:r>
      <w:r w:rsidR="000728B8" w:rsidRPr="002D31CB">
        <w:rPr>
          <w:rFonts w:asciiTheme="majorHAnsi" w:hAnsiTheme="majorHAnsi" w:cstheme="majorHAnsi"/>
          <w:b/>
          <w:bCs/>
          <w:sz w:val="22"/>
          <w:szCs w:val="22"/>
        </w:rPr>
        <w:t>very limited budget</w:t>
      </w:r>
      <w:r w:rsidR="000728B8" w:rsidRPr="000728B8">
        <w:rPr>
          <w:rFonts w:asciiTheme="majorHAnsi" w:hAnsiTheme="majorHAnsi" w:cstheme="majorHAnsi"/>
          <w:sz w:val="22"/>
          <w:szCs w:val="22"/>
        </w:rPr>
        <w:t>. Staffing constraints also limit communications and reduce the ability of the Project to engage with students, researchers, and policymakers, particularly in Australia.</w:t>
      </w:r>
      <w:r w:rsidR="002D31CB">
        <w:rPr>
          <w:rFonts w:asciiTheme="majorHAnsi" w:hAnsiTheme="majorHAnsi" w:cstheme="majorHAnsi"/>
          <w:sz w:val="22"/>
          <w:szCs w:val="22"/>
        </w:rPr>
        <w:t xml:space="preserve"> Despite </w:t>
      </w:r>
      <w:r w:rsidR="000728B8" w:rsidRPr="000728B8">
        <w:rPr>
          <w:rFonts w:asciiTheme="majorHAnsi" w:hAnsiTheme="majorHAnsi" w:cstheme="majorHAnsi"/>
          <w:sz w:val="22"/>
          <w:szCs w:val="22"/>
        </w:rPr>
        <w:t>significant progress</w:t>
      </w:r>
      <w:r w:rsidR="002D31CB">
        <w:rPr>
          <w:rFonts w:asciiTheme="majorHAnsi" w:hAnsiTheme="majorHAnsi" w:cstheme="majorHAnsi"/>
          <w:sz w:val="22"/>
          <w:szCs w:val="22"/>
        </w:rPr>
        <w:t xml:space="preserve"> in gender equality</w:t>
      </w:r>
      <w:r w:rsidR="000728B8" w:rsidRPr="000728B8">
        <w:rPr>
          <w:rFonts w:asciiTheme="majorHAnsi" w:hAnsiTheme="majorHAnsi" w:cstheme="majorHAnsi"/>
          <w:sz w:val="22"/>
          <w:szCs w:val="22"/>
        </w:rPr>
        <w:t>,</w:t>
      </w:r>
      <w:r w:rsidR="005C6B3F">
        <w:rPr>
          <w:rFonts w:asciiTheme="majorHAnsi" w:hAnsiTheme="majorHAnsi" w:cstheme="majorHAnsi"/>
          <w:sz w:val="22"/>
          <w:szCs w:val="22"/>
        </w:rPr>
        <w:t xml:space="preserve"> progress towards</w:t>
      </w:r>
      <w:r w:rsidR="000728B8" w:rsidRPr="000728B8">
        <w:rPr>
          <w:rFonts w:asciiTheme="majorHAnsi" w:hAnsiTheme="majorHAnsi" w:cstheme="majorHAnsi"/>
          <w:sz w:val="22"/>
          <w:szCs w:val="22"/>
        </w:rPr>
        <w:t xml:space="preserve"> </w:t>
      </w:r>
      <w:r w:rsidR="000728B8" w:rsidRPr="002D31CB">
        <w:rPr>
          <w:rFonts w:asciiTheme="majorHAnsi" w:hAnsiTheme="majorHAnsi" w:cstheme="majorHAnsi"/>
          <w:b/>
          <w:bCs/>
          <w:sz w:val="22"/>
          <w:szCs w:val="22"/>
        </w:rPr>
        <w:t>disability and broader social inclusion remain</w:t>
      </w:r>
      <w:r w:rsidR="005C6B3F">
        <w:rPr>
          <w:rFonts w:asciiTheme="majorHAnsi" w:hAnsiTheme="majorHAnsi" w:cstheme="majorHAnsi"/>
          <w:b/>
          <w:bCs/>
          <w:sz w:val="22"/>
          <w:szCs w:val="22"/>
        </w:rPr>
        <w:t>s</w:t>
      </w:r>
      <w:r w:rsidR="000728B8" w:rsidRPr="002D31CB">
        <w:rPr>
          <w:rFonts w:asciiTheme="majorHAnsi" w:hAnsiTheme="majorHAnsi" w:cstheme="majorHAnsi"/>
          <w:b/>
          <w:bCs/>
          <w:sz w:val="22"/>
          <w:szCs w:val="22"/>
        </w:rPr>
        <w:t xml:space="preserve"> under-developed</w:t>
      </w:r>
      <w:r w:rsidR="000728B8" w:rsidRPr="000728B8">
        <w:rPr>
          <w:rFonts w:asciiTheme="majorHAnsi" w:hAnsiTheme="majorHAnsi" w:cstheme="majorHAnsi"/>
          <w:sz w:val="22"/>
          <w:szCs w:val="22"/>
        </w:rPr>
        <w:t>. This is largely due to the staged approach to inclusivity applied in the Project’s GESI strategy.</w:t>
      </w:r>
      <w:r w:rsidR="0057279B">
        <w:rPr>
          <w:rFonts w:asciiTheme="majorHAnsi" w:hAnsiTheme="majorHAnsi" w:cstheme="majorHAnsi"/>
          <w:sz w:val="22"/>
          <w:szCs w:val="22"/>
        </w:rPr>
        <w:t xml:space="preserve"> Furthermore, </w:t>
      </w:r>
      <w:r w:rsidR="000728B8" w:rsidRPr="000728B8">
        <w:rPr>
          <w:rFonts w:asciiTheme="majorHAnsi" w:hAnsiTheme="majorHAnsi" w:cstheme="majorHAnsi"/>
          <w:sz w:val="22"/>
          <w:szCs w:val="22"/>
        </w:rPr>
        <w:t xml:space="preserve">having the </w:t>
      </w:r>
      <w:r w:rsidR="0057279B">
        <w:rPr>
          <w:rFonts w:asciiTheme="majorHAnsi" w:hAnsiTheme="majorHAnsi" w:cstheme="majorHAnsi"/>
          <w:sz w:val="22"/>
          <w:szCs w:val="22"/>
        </w:rPr>
        <w:t>P</w:t>
      </w:r>
      <w:r w:rsidR="000728B8" w:rsidRPr="000728B8">
        <w:rPr>
          <w:rFonts w:asciiTheme="majorHAnsi" w:hAnsiTheme="majorHAnsi" w:cstheme="majorHAnsi"/>
          <w:sz w:val="22"/>
          <w:szCs w:val="22"/>
        </w:rPr>
        <w:t xml:space="preserve">roject based within an academic institution comes with </w:t>
      </w:r>
      <w:r w:rsidR="000728B8" w:rsidRPr="0057279B">
        <w:rPr>
          <w:rFonts w:asciiTheme="majorHAnsi" w:hAnsiTheme="majorHAnsi" w:cstheme="majorHAnsi"/>
          <w:b/>
          <w:bCs/>
          <w:sz w:val="22"/>
          <w:szCs w:val="22"/>
        </w:rPr>
        <w:t>fixed constraints</w:t>
      </w:r>
      <w:r w:rsidR="0057279B" w:rsidRPr="0057279B">
        <w:rPr>
          <w:rFonts w:asciiTheme="majorHAnsi" w:hAnsiTheme="majorHAnsi" w:cstheme="majorHAnsi"/>
          <w:b/>
          <w:bCs/>
          <w:sz w:val="22"/>
          <w:szCs w:val="22"/>
        </w:rPr>
        <w:t xml:space="preserve"> of the university sector</w:t>
      </w:r>
      <w:r w:rsidR="000728B8" w:rsidRPr="000728B8">
        <w:rPr>
          <w:rFonts w:asciiTheme="majorHAnsi" w:hAnsiTheme="majorHAnsi" w:cstheme="majorHAnsi"/>
          <w:sz w:val="22"/>
          <w:szCs w:val="22"/>
        </w:rPr>
        <w:t xml:space="preserve">. Designing the project and managing DFAT expectations within these limitations is pertinent. </w:t>
      </w:r>
    </w:p>
    <w:p w14:paraId="76584083" w14:textId="7FF46E27" w:rsidR="000728B8" w:rsidRPr="000728B8" w:rsidRDefault="72810C8C" w:rsidP="5AB46587">
      <w:pPr>
        <w:pStyle w:val="Heading2"/>
        <w:rPr>
          <w:b/>
          <w:bCs/>
          <w:sz w:val="22"/>
          <w:szCs w:val="22"/>
        </w:rPr>
      </w:pPr>
      <w:r>
        <w:lastRenderedPageBreak/>
        <w:t>Conclusion and r</w:t>
      </w:r>
      <w:r w:rsidR="7A10D26A">
        <w:t xml:space="preserve">ecommendations </w:t>
      </w:r>
    </w:p>
    <w:p w14:paraId="08F66B61" w14:textId="059D1636" w:rsidR="005C6B3F" w:rsidRPr="007D0F20" w:rsidRDefault="005C6B3F" w:rsidP="007D0F20">
      <w:pPr>
        <w:spacing w:before="120" w:after="120"/>
        <w:rPr>
          <w:rFonts w:asciiTheme="majorHAnsi" w:hAnsiTheme="majorHAnsi" w:cstheme="majorHAnsi"/>
          <w:sz w:val="22"/>
          <w:szCs w:val="22"/>
        </w:rPr>
      </w:pPr>
      <w:r w:rsidRPr="00A6752B">
        <w:rPr>
          <w:rFonts w:asciiTheme="majorHAnsi" w:hAnsiTheme="majorHAnsi" w:cstheme="majorHAnsi"/>
          <w:sz w:val="22"/>
          <w:szCs w:val="22"/>
        </w:rPr>
        <w:t xml:space="preserve">The evaluation finds that the ANU Indonesia Project Phase V is a high-performing, strategically significant investment that delivers strong value for money and remains highly relevant to both Australia and Indonesia. </w:t>
      </w:r>
      <w:r>
        <w:rPr>
          <w:rFonts w:asciiTheme="majorHAnsi" w:hAnsiTheme="majorHAnsi" w:cstheme="majorHAnsi"/>
          <w:sz w:val="22"/>
          <w:szCs w:val="22"/>
        </w:rPr>
        <w:t xml:space="preserve">The evaluation team recommends DFAT funds a Phase VI of the </w:t>
      </w:r>
      <w:proofErr w:type="gramStart"/>
      <w:r>
        <w:rPr>
          <w:rFonts w:asciiTheme="majorHAnsi" w:hAnsiTheme="majorHAnsi" w:cstheme="majorHAnsi"/>
          <w:sz w:val="22"/>
          <w:szCs w:val="22"/>
        </w:rPr>
        <w:t>Project</w:t>
      </w:r>
      <w:proofErr w:type="gramEnd"/>
      <w:r>
        <w:rPr>
          <w:rFonts w:asciiTheme="majorHAnsi" w:hAnsiTheme="majorHAnsi" w:cstheme="majorHAnsi"/>
          <w:sz w:val="22"/>
          <w:szCs w:val="22"/>
        </w:rPr>
        <w:t xml:space="preserve"> and t</w:t>
      </w:r>
      <w:r w:rsidRPr="000728B8">
        <w:rPr>
          <w:rFonts w:asciiTheme="majorHAnsi" w:hAnsiTheme="majorHAnsi" w:cstheme="majorHAnsi"/>
          <w:sz w:val="22"/>
          <w:szCs w:val="22"/>
        </w:rPr>
        <w:t xml:space="preserve">he following recommendations are proposed to guide a </w:t>
      </w:r>
      <w:r>
        <w:rPr>
          <w:rFonts w:asciiTheme="majorHAnsi" w:hAnsiTheme="majorHAnsi" w:cstheme="majorHAnsi"/>
          <w:sz w:val="22"/>
          <w:szCs w:val="22"/>
        </w:rPr>
        <w:t>potential future design process:</w:t>
      </w:r>
      <w:r w:rsidRPr="000728B8">
        <w:rPr>
          <w:rFonts w:asciiTheme="majorHAnsi" w:hAnsiTheme="majorHAnsi" w:cstheme="majorHAnsi"/>
          <w:sz w:val="22"/>
          <w:szCs w:val="22"/>
        </w:rPr>
        <w:t xml:space="preserve"> </w:t>
      </w:r>
    </w:p>
    <w:p w14:paraId="21CC0B2E" w14:textId="0B319A3A" w:rsidR="000728B8" w:rsidRPr="00DE063E" w:rsidRDefault="00DE063E" w:rsidP="00363029">
      <w:pPr>
        <w:spacing w:after="120"/>
        <w:rPr>
          <w:rFonts w:asciiTheme="majorHAnsi" w:hAnsiTheme="majorHAnsi" w:cstheme="majorBidi"/>
          <w:sz w:val="22"/>
          <w:szCs w:val="22"/>
        </w:rPr>
      </w:pPr>
      <w:r>
        <w:rPr>
          <w:rFonts w:asciiTheme="majorHAnsi" w:hAnsiTheme="majorHAnsi" w:cstheme="majorBidi"/>
          <w:i/>
          <w:iCs/>
          <w:sz w:val="22"/>
          <w:szCs w:val="22"/>
        </w:rPr>
        <w:t>Recommendation 1:</w:t>
      </w:r>
      <w:r w:rsidRPr="00DE063E">
        <w:rPr>
          <w:rFonts w:asciiTheme="majorHAnsi" w:hAnsiTheme="majorHAnsi" w:cstheme="majorBidi"/>
          <w:sz w:val="22"/>
          <w:szCs w:val="22"/>
        </w:rPr>
        <w:t xml:space="preserve"> </w:t>
      </w:r>
      <w:r w:rsidR="000728B8" w:rsidRPr="00DE063E">
        <w:rPr>
          <w:rFonts w:asciiTheme="majorHAnsi" w:hAnsiTheme="majorHAnsi" w:cstheme="majorBidi"/>
          <w:sz w:val="22"/>
          <w:szCs w:val="22"/>
        </w:rPr>
        <w:t xml:space="preserve">Maintain the Project’s </w:t>
      </w:r>
      <w:r w:rsidR="000728B8" w:rsidRPr="00273B78">
        <w:rPr>
          <w:rFonts w:asciiTheme="majorHAnsi" w:hAnsiTheme="majorHAnsi" w:cstheme="majorBidi"/>
          <w:b/>
          <w:bCs/>
          <w:sz w:val="22"/>
          <w:szCs w:val="22"/>
        </w:rPr>
        <w:t>research focus on contemporary social and economic issues and policy making</w:t>
      </w:r>
      <w:r w:rsidR="000728B8" w:rsidRPr="00DE063E">
        <w:rPr>
          <w:rFonts w:asciiTheme="majorHAnsi" w:hAnsiTheme="majorHAnsi" w:cstheme="majorBidi"/>
          <w:sz w:val="22"/>
          <w:szCs w:val="22"/>
        </w:rPr>
        <w:t xml:space="preserve"> so as not to dilute the niche benefit it provides to both the Australian Government and to policy dialogue in Indonesia. </w:t>
      </w:r>
    </w:p>
    <w:p w14:paraId="2BD5ACFE" w14:textId="5D76124D" w:rsidR="000728B8" w:rsidRDefault="00DE063E" w:rsidP="00363029">
      <w:pPr>
        <w:spacing w:after="120"/>
        <w:rPr>
          <w:rFonts w:asciiTheme="majorHAnsi" w:hAnsiTheme="majorHAnsi" w:cstheme="majorBidi"/>
          <w:sz w:val="22"/>
          <w:szCs w:val="22"/>
        </w:rPr>
      </w:pPr>
      <w:r>
        <w:rPr>
          <w:rFonts w:asciiTheme="majorHAnsi" w:hAnsiTheme="majorHAnsi" w:cstheme="majorBidi"/>
          <w:i/>
          <w:iCs/>
          <w:sz w:val="22"/>
          <w:szCs w:val="22"/>
        </w:rPr>
        <w:t>Recommendation 2:</w:t>
      </w:r>
      <w:r w:rsidR="000728B8" w:rsidRPr="00DE063E">
        <w:rPr>
          <w:rFonts w:asciiTheme="majorHAnsi" w:hAnsiTheme="majorHAnsi" w:cstheme="majorBidi"/>
          <w:sz w:val="22"/>
          <w:szCs w:val="22"/>
        </w:rPr>
        <w:t xml:space="preserve"> D</w:t>
      </w:r>
      <w:r w:rsidRPr="00DE063E">
        <w:rPr>
          <w:rFonts w:asciiTheme="majorHAnsi" w:hAnsiTheme="majorHAnsi" w:cstheme="majorBidi"/>
          <w:sz w:val="22"/>
          <w:szCs w:val="22"/>
        </w:rPr>
        <w:t xml:space="preserve">FAT should consider </w:t>
      </w:r>
      <w:r w:rsidRPr="00273B78">
        <w:rPr>
          <w:rFonts w:asciiTheme="majorHAnsi" w:hAnsiTheme="majorHAnsi" w:cstheme="majorBidi"/>
          <w:b/>
          <w:bCs/>
          <w:sz w:val="22"/>
          <w:szCs w:val="22"/>
        </w:rPr>
        <w:t>developing</w:t>
      </w:r>
      <w:r w:rsidR="000728B8" w:rsidRPr="00273B78">
        <w:rPr>
          <w:rFonts w:asciiTheme="majorHAnsi" w:hAnsiTheme="majorHAnsi" w:cstheme="majorBidi"/>
          <w:b/>
          <w:bCs/>
          <w:sz w:val="22"/>
          <w:szCs w:val="22"/>
        </w:rPr>
        <w:t xml:space="preserve"> structured engagement</w:t>
      </w:r>
      <w:r w:rsidR="000728B8" w:rsidRPr="00DE063E">
        <w:rPr>
          <w:rFonts w:asciiTheme="majorHAnsi" w:hAnsiTheme="majorHAnsi" w:cstheme="majorBidi"/>
          <w:sz w:val="22"/>
          <w:szCs w:val="22"/>
        </w:rPr>
        <w:t xml:space="preserve"> between </w:t>
      </w:r>
      <w:r>
        <w:rPr>
          <w:rFonts w:asciiTheme="majorHAnsi" w:hAnsiTheme="majorHAnsi" w:cstheme="majorBidi"/>
          <w:sz w:val="22"/>
          <w:szCs w:val="22"/>
        </w:rPr>
        <w:t xml:space="preserve">its </w:t>
      </w:r>
      <w:r w:rsidRPr="00273B78">
        <w:rPr>
          <w:rFonts w:asciiTheme="majorHAnsi" w:hAnsiTheme="majorHAnsi" w:cstheme="majorBidi"/>
          <w:b/>
          <w:bCs/>
          <w:sz w:val="22"/>
          <w:szCs w:val="22"/>
        </w:rPr>
        <w:t>i</w:t>
      </w:r>
      <w:r w:rsidR="000728B8" w:rsidRPr="00273B78">
        <w:rPr>
          <w:rFonts w:asciiTheme="majorHAnsi" w:hAnsiTheme="majorHAnsi" w:cstheme="majorBidi"/>
          <w:b/>
          <w:bCs/>
          <w:sz w:val="22"/>
          <w:szCs w:val="22"/>
        </w:rPr>
        <w:t xml:space="preserve">nitiatives </w:t>
      </w:r>
      <w:r w:rsidRPr="00273B78">
        <w:rPr>
          <w:rFonts w:asciiTheme="majorHAnsi" w:hAnsiTheme="majorHAnsi" w:cstheme="majorBidi"/>
          <w:b/>
          <w:bCs/>
          <w:sz w:val="22"/>
          <w:szCs w:val="22"/>
        </w:rPr>
        <w:t xml:space="preserve">in Indonesia </w:t>
      </w:r>
      <w:r w:rsidR="000728B8" w:rsidRPr="00273B78">
        <w:rPr>
          <w:rFonts w:asciiTheme="majorHAnsi" w:hAnsiTheme="majorHAnsi" w:cstheme="majorBidi"/>
          <w:b/>
          <w:bCs/>
          <w:sz w:val="22"/>
          <w:szCs w:val="22"/>
        </w:rPr>
        <w:t>and the Project</w:t>
      </w:r>
      <w:r w:rsidR="000728B8" w:rsidRPr="000728B8">
        <w:rPr>
          <w:rFonts w:asciiTheme="majorHAnsi" w:hAnsiTheme="majorHAnsi" w:cstheme="majorBidi"/>
          <w:sz w:val="22"/>
          <w:szCs w:val="22"/>
        </w:rPr>
        <w:t xml:space="preserve"> to enable deeper understanding and </w:t>
      </w:r>
      <w:r>
        <w:rPr>
          <w:rFonts w:asciiTheme="majorHAnsi" w:hAnsiTheme="majorHAnsi" w:cstheme="majorBidi"/>
          <w:sz w:val="22"/>
          <w:szCs w:val="22"/>
        </w:rPr>
        <w:t xml:space="preserve">purposeful </w:t>
      </w:r>
      <w:r w:rsidR="000728B8" w:rsidRPr="000728B8">
        <w:rPr>
          <w:rFonts w:asciiTheme="majorHAnsi" w:hAnsiTheme="majorHAnsi" w:cstheme="majorBidi"/>
          <w:sz w:val="22"/>
          <w:szCs w:val="22"/>
        </w:rPr>
        <w:t>collaboration</w:t>
      </w:r>
      <w:r w:rsidR="0041029B">
        <w:rPr>
          <w:rFonts w:asciiTheme="majorHAnsi" w:hAnsiTheme="majorHAnsi" w:cstheme="majorBidi"/>
          <w:sz w:val="22"/>
          <w:szCs w:val="22"/>
        </w:rPr>
        <w:t xml:space="preserve"> where appropriate and mutually beneficial</w:t>
      </w:r>
      <w:r w:rsidR="000728B8" w:rsidRPr="000728B8">
        <w:rPr>
          <w:rFonts w:asciiTheme="majorHAnsi" w:hAnsiTheme="majorHAnsi" w:cstheme="majorBidi"/>
          <w:sz w:val="22"/>
          <w:szCs w:val="22"/>
        </w:rPr>
        <w:t xml:space="preserve">. </w:t>
      </w:r>
    </w:p>
    <w:p w14:paraId="78844F7D" w14:textId="697D1BF9" w:rsidR="00017CBA" w:rsidRPr="00363029" w:rsidRDefault="00017CBA" w:rsidP="00017CBA">
      <w:pPr>
        <w:spacing w:after="120"/>
        <w:rPr>
          <w:rFonts w:asciiTheme="majorHAnsi" w:hAnsiTheme="majorHAnsi" w:cstheme="majorHAnsi"/>
          <w:sz w:val="22"/>
          <w:szCs w:val="22"/>
        </w:rPr>
      </w:pPr>
      <w:r w:rsidRPr="00564BCB">
        <w:rPr>
          <w:rFonts w:asciiTheme="majorHAnsi" w:hAnsiTheme="majorHAnsi" w:cstheme="majorHAnsi"/>
          <w:i/>
          <w:iCs/>
          <w:sz w:val="22"/>
          <w:szCs w:val="22"/>
        </w:rPr>
        <w:t xml:space="preserve">Recommendation </w:t>
      </w:r>
      <w:r>
        <w:rPr>
          <w:rFonts w:asciiTheme="majorHAnsi" w:hAnsiTheme="majorHAnsi" w:cstheme="majorHAnsi"/>
          <w:i/>
          <w:iCs/>
          <w:sz w:val="22"/>
          <w:szCs w:val="22"/>
        </w:rPr>
        <w:t>3</w:t>
      </w:r>
      <w:r w:rsidRPr="00564BCB">
        <w:rPr>
          <w:rFonts w:asciiTheme="majorHAnsi" w:hAnsiTheme="majorHAnsi" w:cstheme="majorHAnsi"/>
          <w:i/>
          <w:iCs/>
          <w:sz w:val="22"/>
          <w:szCs w:val="22"/>
        </w:rPr>
        <w:t xml:space="preserve">: </w:t>
      </w:r>
      <w:r>
        <w:rPr>
          <w:rFonts w:asciiTheme="majorHAnsi" w:hAnsiTheme="majorHAnsi" w:cstheme="majorHAnsi"/>
          <w:sz w:val="22"/>
          <w:szCs w:val="22"/>
        </w:rPr>
        <w:t xml:space="preserve">Ensure that </w:t>
      </w:r>
      <w:r w:rsidRPr="00564BCB">
        <w:rPr>
          <w:rFonts w:asciiTheme="majorHAnsi" w:hAnsiTheme="majorHAnsi" w:cstheme="majorHAnsi"/>
          <w:b/>
          <w:bCs/>
          <w:sz w:val="22"/>
          <w:szCs w:val="22"/>
        </w:rPr>
        <w:t>collaboration with DFAT initiatives is appropriately resourced</w:t>
      </w:r>
      <w:r>
        <w:rPr>
          <w:rFonts w:asciiTheme="majorHAnsi" w:hAnsiTheme="majorHAnsi" w:cstheme="majorHAnsi"/>
          <w:sz w:val="22"/>
          <w:szCs w:val="22"/>
        </w:rPr>
        <w:t xml:space="preserve"> and there are clear, strategic incentives for all parties, </w:t>
      </w:r>
      <w:r w:rsidRPr="000728B8">
        <w:rPr>
          <w:rFonts w:asciiTheme="majorHAnsi" w:hAnsiTheme="majorHAnsi" w:cstheme="majorHAnsi"/>
          <w:sz w:val="22"/>
          <w:szCs w:val="22"/>
        </w:rPr>
        <w:t>so that the Project’s core research and capacity-building functions are not undermined.</w:t>
      </w:r>
    </w:p>
    <w:p w14:paraId="3F5A587A" w14:textId="0A97D35A" w:rsidR="000728B8" w:rsidRPr="000728B8" w:rsidRDefault="00DE063E" w:rsidP="00363029">
      <w:pPr>
        <w:spacing w:after="120"/>
        <w:rPr>
          <w:rFonts w:asciiTheme="majorHAnsi" w:hAnsiTheme="majorHAnsi" w:cstheme="majorBidi"/>
          <w:sz w:val="22"/>
          <w:szCs w:val="22"/>
        </w:rPr>
      </w:pPr>
      <w:r>
        <w:rPr>
          <w:rFonts w:asciiTheme="majorHAnsi" w:hAnsiTheme="majorHAnsi" w:cstheme="majorBidi"/>
          <w:i/>
          <w:iCs/>
          <w:sz w:val="22"/>
          <w:szCs w:val="22"/>
        </w:rPr>
        <w:t xml:space="preserve">Recommendation </w:t>
      </w:r>
      <w:r w:rsidR="00017CBA">
        <w:rPr>
          <w:rFonts w:asciiTheme="majorHAnsi" w:hAnsiTheme="majorHAnsi" w:cstheme="majorBidi"/>
          <w:i/>
          <w:iCs/>
          <w:sz w:val="22"/>
          <w:szCs w:val="22"/>
        </w:rPr>
        <w:t>4</w:t>
      </w:r>
      <w:r>
        <w:rPr>
          <w:rFonts w:asciiTheme="majorHAnsi" w:hAnsiTheme="majorHAnsi" w:cstheme="majorBidi"/>
          <w:i/>
          <w:iCs/>
          <w:sz w:val="22"/>
          <w:szCs w:val="22"/>
        </w:rPr>
        <w:t>:</w:t>
      </w:r>
      <w:r w:rsidRPr="00DE063E">
        <w:rPr>
          <w:rFonts w:asciiTheme="majorHAnsi" w:hAnsiTheme="majorHAnsi" w:cstheme="majorBidi"/>
          <w:sz w:val="22"/>
          <w:szCs w:val="22"/>
        </w:rPr>
        <w:t xml:space="preserve"> </w:t>
      </w:r>
      <w:r>
        <w:rPr>
          <w:rFonts w:asciiTheme="majorHAnsi" w:hAnsiTheme="majorHAnsi" w:cstheme="majorBidi"/>
          <w:sz w:val="22"/>
          <w:szCs w:val="22"/>
        </w:rPr>
        <w:t xml:space="preserve">The Project should </w:t>
      </w:r>
      <w:r w:rsidRPr="00273B78">
        <w:rPr>
          <w:rFonts w:asciiTheme="majorHAnsi" w:hAnsiTheme="majorHAnsi" w:cstheme="majorBidi"/>
          <w:b/>
          <w:bCs/>
          <w:sz w:val="22"/>
          <w:szCs w:val="22"/>
        </w:rPr>
        <w:t>strengthen its approach to inclusivity</w:t>
      </w:r>
      <w:r>
        <w:rPr>
          <w:rFonts w:asciiTheme="majorHAnsi" w:hAnsiTheme="majorHAnsi" w:cstheme="majorBidi"/>
          <w:sz w:val="22"/>
          <w:szCs w:val="22"/>
        </w:rPr>
        <w:t xml:space="preserve"> by adopting a </w:t>
      </w:r>
      <w:r w:rsidR="00273B78">
        <w:rPr>
          <w:rFonts w:asciiTheme="majorHAnsi" w:hAnsiTheme="majorHAnsi" w:cstheme="majorBidi"/>
          <w:sz w:val="22"/>
          <w:szCs w:val="22"/>
        </w:rPr>
        <w:t xml:space="preserve">stronger, more </w:t>
      </w:r>
      <w:r>
        <w:rPr>
          <w:rFonts w:asciiTheme="majorHAnsi" w:hAnsiTheme="majorHAnsi" w:cstheme="majorBidi"/>
          <w:sz w:val="22"/>
          <w:szCs w:val="22"/>
        </w:rPr>
        <w:t xml:space="preserve">considered approach to disability inclusion, </w:t>
      </w:r>
      <w:r w:rsidR="000728B8" w:rsidRPr="000728B8">
        <w:rPr>
          <w:rFonts w:asciiTheme="majorHAnsi" w:hAnsiTheme="majorHAnsi" w:cstheme="majorBidi"/>
          <w:sz w:val="22"/>
          <w:szCs w:val="22"/>
        </w:rPr>
        <w:t>ensuring disability inclusion analysis (and broader GEDSI analysis) is substantively connected</w:t>
      </w:r>
      <w:r w:rsidR="0041029B">
        <w:rPr>
          <w:rFonts w:asciiTheme="majorHAnsi" w:hAnsiTheme="majorHAnsi" w:cstheme="majorBidi"/>
          <w:sz w:val="22"/>
          <w:szCs w:val="22"/>
        </w:rPr>
        <w:t xml:space="preserve"> </w:t>
      </w:r>
      <w:r w:rsidR="000728B8" w:rsidRPr="000728B8">
        <w:rPr>
          <w:rFonts w:asciiTheme="majorHAnsi" w:hAnsiTheme="majorHAnsi" w:cstheme="majorBidi"/>
          <w:sz w:val="22"/>
          <w:szCs w:val="22"/>
        </w:rPr>
        <w:t>to core economic and policy debates</w:t>
      </w:r>
      <w:r w:rsidR="0041029B">
        <w:rPr>
          <w:rFonts w:asciiTheme="majorHAnsi" w:hAnsiTheme="majorHAnsi" w:cstheme="majorBidi"/>
          <w:sz w:val="22"/>
          <w:szCs w:val="22"/>
        </w:rPr>
        <w:t xml:space="preserve"> and applied where appropriate</w:t>
      </w:r>
      <w:r w:rsidR="0098636B">
        <w:rPr>
          <w:rFonts w:asciiTheme="majorHAnsi" w:hAnsiTheme="majorHAnsi" w:cstheme="majorBidi"/>
          <w:sz w:val="22"/>
          <w:szCs w:val="22"/>
        </w:rPr>
        <w:t xml:space="preserve">. The approach adopted should be commensurate to the resources available. Where possible DFAT could consider sharing internal resources to support this endeavour. </w:t>
      </w:r>
    </w:p>
    <w:p w14:paraId="08010FBF" w14:textId="273AB723" w:rsidR="000728B8" w:rsidRDefault="00DE063E" w:rsidP="00363029">
      <w:pPr>
        <w:spacing w:after="120"/>
        <w:rPr>
          <w:rFonts w:asciiTheme="majorHAnsi" w:hAnsiTheme="majorHAnsi" w:cstheme="majorHAnsi"/>
          <w:sz w:val="22"/>
          <w:szCs w:val="22"/>
        </w:rPr>
      </w:pPr>
      <w:r>
        <w:rPr>
          <w:rFonts w:asciiTheme="majorHAnsi" w:hAnsiTheme="majorHAnsi" w:cstheme="majorBidi"/>
          <w:i/>
          <w:iCs/>
          <w:sz w:val="22"/>
          <w:szCs w:val="22"/>
        </w:rPr>
        <w:t xml:space="preserve">Recommendation </w:t>
      </w:r>
      <w:r w:rsidR="00017CBA">
        <w:rPr>
          <w:rFonts w:asciiTheme="majorHAnsi" w:hAnsiTheme="majorHAnsi" w:cstheme="majorBidi"/>
          <w:i/>
          <w:iCs/>
          <w:sz w:val="22"/>
          <w:szCs w:val="22"/>
        </w:rPr>
        <w:t>5</w:t>
      </w:r>
      <w:r>
        <w:rPr>
          <w:rFonts w:asciiTheme="majorHAnsi" w:hAnsiTheme="majorHAnsi" w:cstheme="majorBidi"/>
          <w:i/>
          <w:iCs/>
          <w:sz w:val="22"/>
          <w:szCs w:val="22"/>
        </w:rPr>
        <w:t>:</w:t>
      </w:r>
      <w:r w:rsidRPr="00DE063E">
        <w:rPr>
          <w:rFonts w:asciiTheme="majorHAnsi" w:hAnsiTheme="majorHAnsi" w:cstheme="majorBidi"/>
          <w:sz w:val="22"/>
          <w:szCs w:val="22"/>
        </w:rPr>
        <w:t xml:space="preserve"> </w:t>
      </w:r>
      <w:r w:rsidR="00273B78" w:rsidRPr="00273B78">
        <w:rPr>
          <w:rFonts w:asciiTheme="majorHAnsi" w:hAnsiTheme="majorHAnsi" w:cstheme="majorHAnsi"/>
          <w:sz w:val="22"/>
          <w:szCs w:val="22"/>
        </w:rPr>
        <w:t xml:space="preserve">Further </w:t>
      </w:r>
      <w:r w:rsidR="00273B78" w:rsidRPr="00273B78">
        <w:rPr>
          <w:rFonts w:asciiTheme="majorHAnsi" w:hAnsiTheme="majorHAnsi" w:cstheme="majorHAnsi"/>
          <w:b/>
          <w:bCs/>
          <w:sz w:val="22"/>
          <w:szCs w:val="22"/>
        </w:rPr>
        <w:t>resource investment</w:t>
      </w:r>
      <w:r w:rsidR="000728B8" w:rsidRPr="00273B78">
        <w:rPr>
          <w:rFonts w:asciiTheme="majorHAnsi" w:hAnsiTheme="majorHAnsi" w:cstheme="majorHAnsi"/>
          <w:b/>
          <w:bCs/>
          <w:sz w:val="22"/>
          <w:szCs w:val="22"/>
        </w:rPr>
        <w:t xml:space="preserve"> in communications and knowledge translation</w:t>
      </w:r>
      <w:r w:rsidR="00273B78" w:rsidRPr="00273B78">
        <w:rPr>
          <w:rFonts w:asciiTheme="majorHAnsi" w:hAnsiTheme="majorHAnsi" w:cstheme="majorHAnsi"/>
          <w:sz w:val="22"/>
          <w:szCs w:val="22"/>
        </w:rPr>
        <w:t xml:space="preserve"> is required to </w:t>
      </w:r>
      <w:r w:rsidR="000728B8" w:rsidRPr="00273B78">
        <w:rPr>
          <w:rFonts w:asciiTheme="majorHAnsi" w:hAnsiTheme="majorHAnsi" w:cstheme="majorHAnsi"/>
          <w:sz w:val="22"/>
          <w:szCs w:val="22"/>
        </w:rPr>
        <w:t xml:space="preserve">translate research into accessible formats </w:t>
      </w:r>
      <w:r w:rsidR="00273B78" w:rsidRPr="00273B78">
        <w:rPr>
          <w:rFonts w:asciiTheme="majorHAnsi" w:hAnsiTheme="majorHAnsi" w:cstheme="majorHAnsi"/>
          <w:sz w:val="22"/>
          <w:szCs w:val="22"/>
        </w:rPr>
        <w:t>for</w:t>
      </w:r>
      <w:r w:rsidR="000728B8" w:rsidRPr="00273B78">
        <w:rPr>
          <w:rFonts w:asciiTheme="majorHAnsi" w:hAnsiTheme="majorHAnsi" w:cstheme="majorHAnsi"/>
          <w:sz w:val="22"/>
          <w:szCs w:val="22"/>
        </w:rPr>
        <w:t xml:space="preserve"> policymakers </w:t>
      </w:r>
      <w:r w:rsidR="00273B78" w:rsidRPr="00273B78">
        <w:rPr>
          <w:rFonts w:asciiTheme="majorHAnsi" w:hAnsiTheme="majorHAnsi" w:cstheme="majorHAnsi"/>
          <w:sz w:val="22"/>
          <w:szCs w:val="22"/>
        </w:rPr>
        <w:t>and to</w:t>
      </w:r>
      <w:r w:rsidR="000728B8" w:rsidRPr="00273B78">
        <w:rPr>
          <w:rFonts w:asciiTheme="majorHAnsi" w:hAnsiTheme="majorHAnsi" w:cstheme="majorHAnsi"/>
          <w:sz w:val="22"/>
          <w:szCs w:val="22"/>
        </w:rPr>
        <w:t xml:space="preserve"> better</w:t>
      </w:r>
      <w:r w:rsidR="000728B8" w:rsidRPr="000728B8">
        <w:rPr>
          <w:rFonts w:asciiTheme="majorHAnsi" w:hAnsiTheme="majorHAnsi" w:cstheme="majorHAnsi"/>
          <w:sz w:val="22"/>
          <w:szCs w:val="22"/>
        </w:rPr>
        <w:t xml:space="preserve"> engage Australian students, researchers and government officials. </w:t>
      </w:r>
    </w:p>
    <w:p w14:paraId="2BC5DA8B" w14:textId="16BEB79F" w:rsidR="000728B8" w:rsidRPr="000728B8" w:rsidRDefault="00273B78" w:rsidP="00363029">
      <w:pPr>
        <w:spacing w:after="120"/>
        <w:rPr>
          <w:rFonts w:asciiTheme="majorHAnsi" w:hAnsiTheme="majorHAnsi" w:cstheme="majorHAnsi"/>
          <w:sz w:val="22"/>
          <w:szCs w:val="22"/>
        </w:rPr>
      </w:pPr>
      <w:r>
        <w:rPr>
          <w:rFonts w:asciiTheme="majorHAnsi" w:hAnsiTheme="majorHAnsi" w:cstheme="majorBidi"/>
          <w:i/>
          <w:iCs/>
          <w:sz w:val="22"/>
          <w:szCs w:val="22"/>
        </w:rPr>
        <w:t xml:space="preserve">Recommendation </w:t>
      </w:r>
      <w:r w:rsidR="00017CBA">
        <w:rPr>
          <w:rFonts w:asciiTheme="majorHAnsi" w:hAnsiTheme="majorHAnsi" w:cstheme="majorBidi"/>
          <w:i/>
          <w:iCs/>
          <w:sz w:val="22"/>
          <w:szCs w:val="22"/>
        </w:rPr>
        <w:t>6</w:t>
      </w:r>
      <w:r>
        <w:rPr>
          <w:rFonts w:asciiTheme="majorHAnsi" w:hAnsiTheme="majorHAnsi" w:cstheme="majorBidi"/>
          <w:i/>
          <w:iCs/>
          <w:sz w:val="22"/>
          <w:szCs w:val="22"/>
        </w:rPr>
        <w:t>:</w:t>
      </w:r>
      <w:r>
        <w:rPr>
          <w:rFonts w:asciiTheme="majorHAnsi" w:hAnsiTheme="majorHAnsi" w:cstheme="majorHAnsi"/>
          <w:sz w:val="22"/>
          <w:szCs w:val="22"/>
        </w:rPr>
        <w:t xml:space="preserve"> The Project should </w:t>
      </w:r>
      <w:r w:rsidR="000728B8" w:rsidRPr="000728B8">
        <w:rPr>
          <w:rFonts w:asciiTheme="majorHAnsi" w:hAnsiTheme="majorHAnsi" w:cstheme="majorHAnsi"/>
          <w:sz w:val="22"/>
          <w:szCs w:val="22"/>
        </w:rPr>
        <w:t xml:space="preserve">consider options for </w:t>
      </w:r>
      <w:r w:rsidR="000728B8" w:rsidRPr="00273B78">
        <w:rPr>
          <w:rFonts w:asciiTheme="majorHAnsi" w:hAnsiTheme="majorHAnsi" w:cstheme="majorHAnsi"/>
          <w:b/>
          <w:bCs/>
          <w:sz w:val="22"/>
          <w:szCs w:val="22"/>
        </w:rPr>
        <w:t>generational renewal and succession planning</w:t>
      </w:r>
      <w:r>
        <w:rPr>
          <w:rFonts w:asciiTheme="majorHAnsi" w:hAnsiTheme="majorHAnsi" w:cstheme="majorHAnsi"/>
          <w:sz w:val="22"/>
          <w:szCs w:val="22"/>
        </w:rPr>
        <w:t>, including</w:t>
      </w:r>
      <w:r w:rsidR="005C6B3F">
        <w:rPr>
          <w:rFonts w:asciiTheme="majorHAnsi" w:hAnsiTheme="majorHAnsi" w:cstheme="majorHAnsi"/>
          <w:sz w:val="22"/>
          <w:szCs w:val="22"/>
        </w:rPr>
        <w:t xml:space="preserve"> ANU</w:t>
      </w:r>
      <w:r>
        <w:rPr>
          <w:rFonts w:asciiTheme="majorHAnsi" w:hAnsiTheme="majorHAnsi" w:cstheme="majorHAnsi"/>
          <w:sz w:val="22"/>
          <w:szCs w:val="22"/>
        </w:rPr>
        <w:t xml:space="preserve"> </w:t>
      </w:r>
      <w:r w:rsidR="000728B8" w:rsidRPr="000728B8">
        <w:rPr>
          <w:rFonts w:asciiTheme="majorHAnsi" w:hAnsiTheme="majorHAnsi" w:cstheme="majorHAnsi"/>
          <w:sz w:val="22"/>
          <w:szCs w:val="22"/>
        </w:rPr>
        <w:t xml:space="preserve">going out to market to recruit scholars into key academic roles; while at the same time continuing to foster the development of early-career academics.  </w:t>
      </w:r>
    </w:p>
    <w:p w14:paraId="605DDD43" w14:textId="7AA1E776" w:rsidR="000728B8" w:rsidRPr="000728B8" w:rsidRDefault="00273B78" w:rsidP="00363029">
      <w:pPr>
        <w:spacing w:after="120"/>
        <w:rPr>
          <w:rFonts w:asciiTheme="majorHAnsi" w:hAnsiTheme="majorHAnsi" w:cstheme="majorBidi"/>
          <w:sz w:val="22"/>
          <w:szCs w:val="22"/>
        </w:rPr>
      </w:pPr>
      <w:r w:rsidRPr="00273B78">
        <w:rPr>
          <w:rFonts w:asciiTheme="majorHAnsi" w:hAnsiTheme="majorHAnsi" w:cstheme="majorBidi"/>
          <w:i/>
          <w:iCs/>
          <w:sz w:val="22"/>
          <w:szCs w:val="22"/>
        </w:rPr>
        <w:t xml:space="preserve">Recommendation </w:t>
      </w:r>
      <w:r w:rsidR="00017CBA">
        <w:rPr>
          <w:rFonts w:asciiTheme="majorHAnsi" w:hAnsiTheme="majorHAnsi" w:cstheme="majorBidi"/>
          <w:i/>
          <w:iCs/>
          <w:sz w:val="22"/>
          <w:szCs w:val="22"/>
        </w:rPr>
        <w:t>7</w:t>
      </w:r>
      <w:r w:rsidRPr="00273B78">
        <w:rPr>
          <w:rFonts w:asciiTheme="majorHAnsi" w:hAnsiTheme="majorHAnsi" w:cstheme="majorBidi"/>
          <w:i/>
          <w:iCs/>
          <w:sz w:val="22"/>
          <w:szCs w:val="22"/>
        </w:rPr>
        <w:t xml:space="preserve">: </w:t>
      </w:r>
      <w:r>
        <w:rPr>
          <w:rFonts w:asciiTheme="majorHAnsi" w:hAnsiTheme="majorHAnsi" w:cstheme="majorBidi"/>
          <w:sz w:val="22"/>
          <w:szCs w:val="22"/>
        </w:rPr>
        <w:t>DFAT to c</w:t>
      </w:r>
      <w:r w:rsidR="000728B8" w:rsidRPr="000728B8">
        <w:rPr>
          <w:rFonts w:asciiTheme="majorHAnsi" w:hAnsiTheme="majorHAnsi" w:cstheme="majorBidi"/>
          <w:sz w:val="22"/>
          <w:szCs w:val="22"/>
        </w:rPr>
        <w:t xml:space="preserve">onsider </w:t>
      </w:r>
      <w:r w:rsidR="000728B8" w:rsidRPr="00273B78">
        <w:rPr>
          <w:rFonts w:asciiTheme="majorHAnsi" w:hAnsiTheme="majorHAnsi" w:cstheme="majorBidi"/>
          <w:b/>
          <w:bCs/>
          <w:sz w:val="22"/>
          <w:szCs w:val="22"/>
        </w:rPr>
        <w:t xml:space="preserve">longer term funding </w:t>
      </w:r>
      <w:r w:rsidRPr="00273B78">
        <w:rPr>
          <w:rFonts w:asciiTheme="majorHAnsi" w:hAnsiTheme="majorHAnsi" w:cstheme="majorBidi"/>
          <w:b/>
          <w:bCs/>
          <w:sz w:val="22"/>
          <w:szCs w:val="22"/>
        </w:rPr>
        <w:t>phases</w:t>
      </w:r>
      <w:r>
        <w:rPr>
          <w:rFonts w:asciiTheme="majorHAnsi" w:hAnsiTheme="majorHAnsi" w:cstheme="majorBidi"/>
          <w:sz w:val="22"/>
          <w:szCs w:val="22"/>
        </w:rPr>
        <w:t xml:space="preserve"> </w:t>
      </w:r>
      <w:r w:rsidR="0098636B">
        <w:rPr>
          <w:rFonts w:asciiTheme="majorHAnsi" w:hAnsiTheme="majorHAnsi" w:cstheme="majorBidi"/>
          <w:sz w:val="22"/>
          <w:szCs w:val="22"/>
        </w:rPr>
        <w:t xml:space="preserve">or a commitment to multiple phases </w:t>
      </w:r>
      <w:r w:rsidR="000728B8" w:rsidRPr="000728B8">
        <w:rPr>
          <w:rFonts w:asciiTheme="majorHAnsi" w:hAnsiTheme="majorHAnsi" w:cstheme="majorBidi"/>
          <w:sz w:val="22"/>
          <w:szCs w:val="22"/>
        </w:rPr>
        <w:t>to enable strategic staffing and planning</w:t>
      </w:r>
      <w:r w:rsidR="0098636B">
        <w:rPr>
          <w:rFonts w:asciiTheme="majorHAnsi" w:hAnsiTheme="majorHAnsi" w:cstheme="majorBidi"/>
          <w:sz w:val="22"/>
          <w:szCs w:val="22"/>
        </w:rPr>
        <w:t>.</w:t>
      </w:r>
      <w:r w:rsidR="000728B8" w:rsidRPr="000728B8">
        <w:rPr>
          <w:rFonts w:asciiTheme="majorHAnsi" w:hAnsiTheme="majorHAnsi" w:cstheme="majorBidi"/>
          <w:sz w:val="22"/>
          <w:szCs w:val="22"/>
        </w:rPr>
        <w:t xml:space="preserve"> </w:t>
      </w:r>
      <w:r w:rsidR="0098636B">
        <w:rPr>
          <w:rFonts w:asciiTheme="majorHAnsi" w:hAnsiTheme="majorHAnsi" w:cstheme="majorBidi"/>
          <w:sz w:val="22"/>
          <w:szCs w:val="22"/>
        </w:rPr>
        <w:t>A</w:t>
      </w:r>
      <w:r w:rsidR="000728B8" w:rsidRPr="000728B8">
        <w:rPr>
          <w:rFonts w:asciiTheme="majorHAnsi" w:hAnsiTheme="majorHAnsi" w:cstheme="majorBidi"/>
          <w:sz w:val="22"/>
          <w:szCs w:val="22"/>
        </w:rPr>
        <w:t>t the same time</w:t>
      </w:r>
      <w:r w:rsidR="0098636B">
        <w:rPr>
          <w:rFonts w:asciiTheme="majorHAnsi" w:hAnsiTheme="majorHAnsi" w:cstheme="majorBidi"/>
          <w:sz w:val="22"/>
          <w:szCs w:val="22"/>
        </w:rPr>
        <w:t xml:space="preserve">, DFAT and ANU are </w:t>
      </w:r>
      <w:proofErr w:type="gramStart"/>
      <w:r w:rsidR="0098636B">
        <w:rPr>
          <w:rFonts w:asciiTheme="majorHAnsi" w:hAnsiTheme="majorHAnsi" w:cstheme="majorBidi"/>
          <w:sz w:val="22"/>
          <w:szCs w:val="22"/>
        </w:rPr>
        <w:t>encourage</w:t>
      </w:r>
      <w:proofErr w:type="gramEnd"/>
      <w:r w:rsidR="0098636B">
        <w:rPr>
          <w:rFonts w:asciiTheme="majorHAnsi" w:hAnsiTheme="majorHAnsi" w:cstheme="majorBidi"/>
          <w:sz w:val="22"/>
          <w:szCs w:val="22"/>
        </w:rPr>
        <w:t xml:space="preserve"> to consider</w:t>
      </w:r>
      <w:r w:rsidR="000728B8" w:rsidRPr="000728B8">
        <w:rPr>
          <w:rFonts w:asciiTheme="majorHAnsi" w:hAnsiTheme="majorHAnsi" w:cstheme="majorBidi"/>
          <w:sz w:val="22"/>
          <w:szCs w:val="22"/>
        </w:rPr>
        <w:t xml:space="preserve"> increasing </w:t>
      </w:r>
      <w:r>
        <w:rPr>
          <w:rFonts w:asciiTheme="majorHAnsi" w:hAnsiTheme="majorHAnsi" w:cstheme="majorBidi"/>
          <w:sz w:val="22"/>
          <w:szCs w:val="22"/>
        </w:rPr>
        <w:t>the</w:t>
      </w:r>
      <w:r w:rsidR="000728B8" w:rsidRPr="000728B8">
        <w:rPr>
          <w:rFonts w:asciiTheme="majorHAnsi" w:hAnsiTheme="majorHAnsi" w:cstheme="majorBidi"/>
          <w:sz w:val="22"/>
          <w:szCs w:val="22"/>
        </w:rPr>
        <w:t xml:space="preserve"> investment commitment </w:t>
      </w:r>
      <w:proofErr w:type="gramStart"/>
      <w:r w:rsidR="000728B8" w:rsidRPr="000728B8">
        <w:rPr>
          <w:rFonts w:asciiTheme="majorHAnsi" w:hAnsiTheme="majorHAnsi" w:cstheme="majorBidi"/>
          <w:sz w:val="22"/>
          <w:szCs w:val="22"/>
        </w:rPr>
        <w:t>to</w:t>
      </w:r>
      <w:r w:rsidR="00564BCB">
        <w:rPr>
          <w:rFonts w:asciiTheme="majorHAnsi" w:hAnsiTheme="majorHAnsi" w:cstheme="majorBidi"/>
          <w:sz w:val="22"/>
          <w:szCs w:val="22"/>
        </w:rPr>
        <w:t>:</w:t>
      </w:r>
      <w:proofErr w:type="gramEnd"/>
      <w:r>
        <w:rPr>
          <w:rFonts w:asciiTheme="majorHAnsi" w:hAnsiTheme="majorHAnsi" w:cstheme="majorBidi"/>
          <w:sz w:val="22"/>
          <w:szCs w:val="22"/>
        </w:rPr>
        <w:t xml:space="preserve"> </w:t>
      </w:r>
      <w:r w:rsidR="000728B8" w:rsidRPr="000728B8">
        <w:rPr>
          <w:rFonts w:asciiTheme="majorHAnsi" w:hAnsiTheme="majorHAnsi" w:cstheme="majorBidi"/>
          <w:sz w:val="22"/>
          <w:szCs w:val="22"/>
        </w:rPr>
        <w:t>enable the engagement of a fulltime communications/events role</w:t>
      </w:r>
      <w:r w:rsidR="00564BCB">
        <w:rPr>
          <w:rFonts w:asciiTheme="majorHAnsi" w:hAnsiTheme="majorHAnsi" w:cstheme="majorBidi"/>
          <w:sz w:val="22"/>
          <w:szCs w:val="22"/>
        </w:rPr>
        <w:t xml:space="preserve"> an</w:t>
      </w:r>
      <w:r>
        <w:rPr>
          <w:rFonts w:asciiTheme="majorHAnsi" w:hAnsiTheme="majorHAnsi" w:cstheme="majorBidi"/>
          <w:sz w:val="22"/>
          <w:szCs w:val="22"/>
        </w:rPr>
        <w:t xml:space="preserve">d </w:t>
      </w:r>
      <w:r w:rsidR="000728B8" w:rsidRPr="000728B8">
        <w:rPr>
          <w:rFonts w:asciiTheme="majorHAnsi" w:hAnsiTheme="majorHAnsi" w:cstheme="majorBidi"/>
          <w:sz w:val="22"/>
          <w:szCs w:val="22"/>
        </w:rPr>
        <w:t>ensure sufficient funding for project activities</w:t>
      </w:r>
      <w:r w:rsidR="00564BCB">
        <w:rPr>
          <w:rFonts w:asciiTheme="majorHAnsi" w:hAnsiTheme="majorHAnsi" w:cstheme="majorBidi"/>
          <w:sz w:val="22"/>
          <w:szCs w:val="22"/>
        </w:rPr>
        <w:t xml:space="preserve"> and the engagement of Australian students and researchers</w:t>
      </w:r>
      <w:r w:rsidR="000728B8" w:rsidRPr="000728B8">
        <w:rPr>
          <w:rFonts w:asciiTheme="majorHAnsi" w:hAnsiTheme="majorHAnsi" w:cstheme="majorBidi"/>
          <w:sz w:val="22"/>
          <w:szCs w:val="22"/>
        </w:rPr>
        <w:t xml:space="preserve">. </w:t>
      </w:r>
    </w:p>
    <w:p w14:paraId="0BFE3A38" w14:textId="27CDC69D" w:rsidR="000728B8" w:rsidRPr="000728B8" w:rsidRDefault="00564BCB" w:rsidP="00363029">
      <w:pPr>
        <w:spacing w:after="120"/>
        <w:rPr>
          <w:rFonts w:asciiTheme="majorHAnsi" w:hAnsiTheme="majorHAnsi" w:cstheme="majorBidi"/>
          <w:sz w:val="22"/>
          <w:szCs w:val="22"/>
        </w:rPr>
      </w:pPr>
      <w:r w:rsidRPr="00564BCB">
        <w:rPr>
          <w:rFonts w:asciiTheme="majorHAnsi" w:hAnsiTheme="majorHAnsi" w:cstheme="majorBidi"/>
          <w:i/>
          <w:iCs/>
          <w:sz w:val="22"/>
          <w:szCs w:val="22"/>
        </w:rPr>
        <w:t xml:space="preserve">Recommendation </w:t>
      </w:r>
      <w:r w:rsidR="00017CBA">
        <w:rPr>
          <w:rFonts w:asciiTheme="majorHAnsi" w:hAnsiTheme="majorHAnsi" w:cstheme="majorBidi"/>
          <w:i/>
          <w:iCs/>
          <w:sz w:val="22"/>
          <w:szCs w:val="22"/>
        </w:rPr>
        <w:t>8</w:t>
      </w:r>
      <w:r w:rsidRPr="00564BCB">
        <w:rPr>
          <w:rFonts w:asciiTheme="majorHAnsi" w:hAnsiTheme="majorHAnsi" w:cstheme="majorBidi"/>
          <w:i/>
          <w:iCs/>
          <w:sz w:val="22"/>
          <w:szCs w:val="22"/>
        </w:rPr>
        <w:t>:</w:t>
      </w:r>
      <w:r>
        <w:rPr>
          <w:rFonts w:asciiTheme="majorHAnsi" w:hAnsiTheme="majorHAnsi" w:cstheme="majorBidi"/>
          <w:sz w:val="22"/>
          <w:szCs w:val="22"/>
        </w:rPr>
        <w:t xml:space="preserve"> Consider options to </w:t>
      </w:r>
      <w:r w:rsidRPr="00564BCB">
        <w:rPr>
          <w:rFonts w:asciiTheme="majorHAnsi" w:hAnsiTheme="majorHAnsi" w:cstheme="majorBidi"/>
          <w:b/>
          <w:bCs/>
          <w:sz w:val="22"/>
          <w:szCs w:val="22"/>
        </w:rPr>
        <w:t>b</w:t>
      </w:r>
      <w:r w:rsidR="000728B8" w:rsidRPr="00564BCB">
        <w:rPr>
          <w:rFonts w:asciiTheme="majorHAnsi" w:hAnsiTheme="majorHAnsi" w:cstheme="majorBidi"/>
          <w:b/>
          <w:bCs/>
          <w:sz w:val="22"/>
          <w:szCs w:val="22"/>
        </w:rPr>
        <w:t xml:space="preserve">roaden and deepen </w:t>
      </w:r>
      <w:r>
        <w:rPr>
          <w:rFonts w:asciiTheme="majorHAnsi" w:hAnsiTheme="majorHAnsi" w:cstheme="majorBidi"/>
          <w:b/>
          <w:bCs/>
          <w:sz w:val="22"/>
          <w:szCs w:val="22"/>
        </w:rPr>
        <w:t>engagement and inclusion of</w:t>
      </w:r>
      <w:r w:rsidR="000728B8" w:rsidRPr="00564BCB">
        <w:rPr>
          <w:rFonts w:asciiTheme="majorHAnsi" w:hAnsiTheme="majorHAnsi" w:cstheme="majorBidi"/>
          <w:b/>
          <w:bCs/>
          <w:sz w:val="22"/>
          <w:szCs w:val="22"/>
        </w:rPr>
        <w:t xml:space="preserve"> Indonesian</w:t>
      </w:r>
      <w:r>
        <w:rPr>
          <w:rFonts w:asciiTheme="majorHAnsi" w:hAnsiTheme="majorHAnsi" w:cstheme="majorBidi"/>
          <w:b/>
          <w:bCs/>
          <w:sz w:val="22"/>
          <w:szCs w:val="22"/>
        </w:rPr>
        <w:t xml:space="preserve"> researchers/alumni</w:t>
      </w:r>
      <w:r>
        <w:rPr>
          <w:rFonts w:asciiTheme="majorHAnsi" w:hAnsiTheme="majorHAnsi" w:cstheme="majorBidi"/>
          <w:sz w:val="22"/>
          <w:szCs w:val="22"/>
        </w:rPr>
        <w:t>, such as</w:t>
      </w:r>
      <w:r w:rsidR="000728B8" w:rsidRPr="00564BCB">
        <w:rPr>
          <w:rFonts w:asciiTheme="majorHAnsi" w:hAnsiTheme="majorHAnsi" w:cstheme="majorBidi"/>
          <w:b/>
          <w:bCs/>
          <w:sz w:val="22"/>
          <w:szCs w:val="22"/>
        </w:rPr>
        <w:t xml:space="preserve"> </w:t>
      </w:r>
      <w:r w:rsidR="000728B8" w:rsidRPr="000728B8">
        <w:rPr>
          <w:rFonts w:asciiTheme="majorHAnsi" w:hAnsiTheme="majorHAnsi" w:cstheme="majorBidi"/>
          <w:sz w:val="22"/>
          <w:szCs w:val="22"/>
        </w:rPr>
        <w:t>strengthen</w:t>
      </w:r>
      <w:r>
        <w:rPr>
          <w:rFonts w:asciiTheme="majorHAnsi" w:hAnsiTheme="majorHAnsi" w:cstheme="majorBidi"/>
          <w:sz w:val="22"/>
          <w:szCs w:val="22"/>
        </w:rPr>
        <w:t>ing</w:t>
      </w:r>
      <w:r w:rsidR="000728B8" w:rsidRPr="000728B8">
        <w:rPr>
          <w:rFonts w:asciiTheme="majorHAnsi" w:hAnsiTheme="majorHAnsi" w:cstheme="majorBidi"/>
          <w:sz w:val="22"/>
          <w:szCs w:val="22"/>
        </w:rPr>
        <w:t xml:space="preserve"> outreach beyond Jakarta </w:t>
      </w:r>
      <w:r>
        <w:rPr>
          <w:rFonts w:asciiTheme="majorHAnsi" w:hAnsiTheme="majorHAnsi" w:cstheme="majorBidi"/>
          <w:sz w:val="22"/>
          <w:szCs w:val="22"/>
        </w:rPr>
        <w:t>into</w:t>
      </w:r>
      <w:r w:rsidR="000728B8" w:rsidRPr="000728B8">
        <w:rPr>
          <w:rFonts w:asciiTheme="majorHAnsi" w:hAnsiTheme="majorHAnsi" w:cstheme="majorBidi"/>
          <w:sz w:val="22"/>
          <w:szCs w:val="22"/>
        </w:rPr>
        <w:t xml:space="preserve"> </w:t>
      </w:r>
      <w:r>
        <w:rPr>
          <w:rFonts w:asciiTheme="majorHAnsi" w:hAnsiTheme="majorHAnsi" w:cstheme="majorBidi"/>
          <w:sz w:val="22"/>
          <w:szCs w:val="22"/>
        </w:rPr>
        <w:t xml:space="preserve">Eastern Indonesia, as well as </w:t>
      </w:r>
      <w:r w:rsidR="000728B8" w:rsidRPr="00564BCB">
        <w:rPr>
          <w:rFonts w:asciiTheme="majorHAnsi" w:hAnsiTheme="majorHAnsi" w:cstheme="majorBidi"/>
          <w:sz w:val="22"/>
          <w:szCs w:val="22"/>
        </w:rPr>
        <w:t>mechanism</w:t>
      </w:r>
      <w:r w:rsidRPr="00564BCB">
        <w:rPr>
          <w:rFonts w:asciiTheme="majorHAnsi" w:hAnsiTheme="majorHAnsi" w:cstheme="majorBidi"/>
          <w:sz w:val="22"/>
          <w:szCs w:val="22"/>
        </w:rPr>
        <w:t>s</w:t>
      </w:r>
      <w:r w:rsidR="000728B8" w:rsidRPr="00564BCB">
        <w:rPr>
          <w:rFonts w:asciiTheme="majorHAnsi" w:hAnsiTheme="majorHAnsi" w:cstheme="majorBidi"/>
          <w:sz w:val="22"/>
          <w:szCs w:val="22"/>
        </w:rPr>
        <w:t xml:space="preserve"> to support Indonesian </w:t>
      </w:r>
      <w:r>
        <w:rPr>
          <w:rFonts w:asciiTheme="majorHAnsi" w:hAnsiTheme="majorHAnsi" w:cstheme="majorBidi"/>
          <w:sz w:val="22"/>
          <w:szCs w:val="22"/>
        </w:rPr>
        <w:t>alumni</w:t>
      </w:r>
      <w:r w:rsidR="000728B8" w:rsidRPr="00564BCB">
        <w:rPr>
          <w:rFonts w:asciiTheme="majorHAnsi" w:hAnsiTheme="majorHAnsi" w:cstheme="majorBidi"/>
          <w:sz w:val="22"/>
          <w:szCs w:val="22"/>
        </w:rPr>
        <w:t xml:space="preserve"> to publish their research.</w:t>
      </w:r>
      <w:r w:rsidR="000728B8" w:rsidRPr="000728B8">
        <w:rPr>
          <w:rFonts w:asciiTheme="majorHAnsi" w:hAnsiTheme="majorHAnsi" w:cstheme="majorBidi"/>
          <w:sz w:val="22"/>
          <w:szCs w:val="22"/>
        </w:rPr>
        <w:t xml:space="preserve"> </w:t>
      </w:r>
    </w:p>
    <w:p w14:paraId="330C38E2" w14:textId="41F0E9BB" w:rsidR="000728B8" w:rsidRPr="000728B8" w:rsidRDefault="00564BCB" w:rsidP="00363029">
      <w:pPr>
        <w:spacing w:after="120"/>
        <w:rPr>
          <w:rFonts w:asciiTheme="majorHAnsi" w:hAnsiTheme="majorHAnsi" w:cstheme="majorBidi"/>
          <w:sz w:val="22"/>
          <w:szCs w:val="22"/>
        </w:rPr>
      </w:pPr>
      <w:r w:rsidRPr="00564BCB">
        <w:rPr>
          <w:rFonts w:asciiTheme="majorHAnsi" w:hAnsiTheme="majorHAnsi" w:cstheme="majorBidi"/>
          <w:i/>
          <w:iCs/>
          <w:sz w:val="22"/>
          <w:szCs w:val="22"/>
        </w:rPr>
        <w:t xml:space="preserve">Recommendation </w:t>
      </w:r>
      <w:r w:rsidR="00017CBA">
        <w:rPr>
          <w:rFonts w:asciiTheme="majorHAnsi" w:hAnsiTheme="majorHAnsi" w:cstheme="majorBidi"/>
          <w:i/>
          <w:iCs/>
          <w:sz w:val="22"/>
          <w:szCs w:val="22"/>
        </w:rPr>
        <w:t>9</w:t>
      </w:r>
      <w:r w:rsidRPr="00564BCB">
        <w:rPr>
          <w:rFonts w:asciiTheme="majorHAnsi" w:hAnsiTheme="majorHAnsi" w:cstheme="majorBidi"/>
          <w:i/>
          <w:iCs/>
          <w:sz w:val="22"/>
          <w:szCs w:val="22"/>
        </w:rPr>
        <w:t>:</w:t>
      </w:r>
      <w:r>
        <w:rPr>
          <w:rFonts w:asciiTheme="majorHAnsi" w:hAnsiTheme="majorHAnsi" w:cstheme="majorBidi"/>
          <w:sz w:val="22"/>
          <w:szCs w:val="22"/>
        </w:rPr>
        <w:t xml:space="preserve"> Consider options to </w:t>
      </w:r>
      <w:r w:rsidRPr="00564BCB">
        <w:rPr>
          <w:rFonts w:asciiTheme="majorHAnsi" w:hAnsiTheme="majorHAnsi" w:cstheme="majorBidi"/>
          <w:b/>
          <w:bCs/>
          <w:sz w:val="22"/>
          <w:szCs w:val="22"/>
        </w:rPr>
        <w:t>broaden and deepen engagement of Australian students</w:t>
      </w:r>
      <w:r>
        <w:rPr>
          <w:rFonts w:asciiTheme="majorHAnsi" w:hAnsiTheme="majorHAnsi" w:cstheme="majorBidi"/>
          <w:sz w:val="22"/>
          <w:szCs w:val="22"/>
        </w:rPr>
        <w:t xml:space="preserve"> in the Project, such as expanding the number of travel grants for Australian honours/</w:t>
      </w:r>
      <w:proofErr w:type="gramStart"/>
      <w:r>
        <w:rPr>
          <w:rFonts w:asciiTheme="majorHAnsi" w:hAnsiTheme="majorHAnsi" w:cstheme="majorBidi"/>
          <w:sz w:val="22"/>
          <w:szCs w:val="22"/>
        </w:rPr>
        <w:t>masters</w:t>
      </w:r>
      <w:proofErr w:type="gramEnd"/>
      <w:r>
        <w:rPr>
          <w:rFonts w:asciiTheme="majorHAnsi" w:hAnsiTheme="majorHAnsi" w:cstheme="majorBidi"/>
          <w:sz w:val="22"/>
          <w:szCs w:val="22"/>
        </w:rPr>
        <w:t xml:space="preserve"> researchers, </w:t>
      </w:r>
      <w:r w:rsidR="000728B8" w:rsidRPr="000728B8">
        <w:rPr>
          <w:rFonts w:asciiTheme="majorHAnsi" w:hAnsiTheme="majorHAnsi" w:cstheme="majorBidi"/>
          <w:sz w:val="22"/>
          <w:szCs w:val="22"/>
        </w:rPr>
        <w:t xml:space="preserve">and </w:t>
      </w:r>
      <w:r>
        <w:rPr>
          <w:rFonts w:asciiTheme="majorHAnsi" w:hAnsiTheme="majorHAnsi" w:cstheme="majorBidi"/>
          <w:sz w:val="22"/>
          <w:szCs w:val="22"/>
        </w:rPr>
        <w:t>t</w:t>
      </w:r>
      <w:r w:rsidR="000728B8" w:rsidRPr="000728B8">
        <w:rPr>
          <w:rFonts w:asciiTheme="majorHAnsi" w:hAnsiTheme="majorHAnsi" w:cstheme="majorBidi"/>
          <w:sz w:val="22"/>
          <w:szCs w:val="22"/>
        </w:rPr>
        <w:t>he provision of a DFAT-funded PhD scholarship within the Project.</w:t>
      </w:r>
    </w:p>
    <w:p w14:paraId="272AD803" w14:textId="77777777" w:rsidR="00DE063E" w:rsidRDefault="00DE063E">
      <w:pPr>
        <w:rPr>
          <w:rFonts w:asciiTheme="majorHAnsi" w:eastAsiaTheme="minorHAnsi" w:hAnsiTheme="majorHAnsi" w:cstheme="majorHAnsi"/>
          <w:b/>
          <w:bCs/>
          <w:color w:val="F9A94A"/>
          <w:sz w:val="32"/>
          <w:szCs w:val="32"/>
          <w:lang w:val="en-GB"/>
        </w:rPr>
      </w:pPr>
      <w:bookmarkStart w:id="3" w:name="_Toc213600291"/>
      <w:bookmarkStart w:id="4" w:name="_Toc218593471"/>
      <w:r>
        <w:rPr>
          <w:rFonts w:eastAsiaTheme="minorHAnsi" w:cstheme="majorHAnsi"/>
          <w:b/>
          <w:bCs/>
          <w:color w:val="F9A94A"/>
          <w:lang w:val="en-GB"/>
        </w:rPr>
        <w:br w:type="page"/>
      </w:r>
    </w:p>
    <w:p w14:paraId="00A9373A" w14:textId="75E32C63" w:rsidR="006E6D4A" w:rsidRPr="00764147" w:rsidRDefault="6509D00B" w:rsidP="00764147">
      <w:pPr>
        <w:pStyle w:val="Heading1"/>
      </w:pPr>
      <w:bookmarkStart w:id="5" w:name="_Toc219232321"/>
      <w:r w:rsidRPr="00764147">
        <w:lastRenderedPageBreak/>
        <w:t>A</w:t>
      </w:r>
      <w:r w:rsidR="0FECCC18" w:rsidRPr="00764147">
        <w:t>bbreviations and a</w:t>
      </w:r>
      <w:r w:rsidRPr="00764147">
        <w:t>cronyms</w:t>
      </w:r>
      <w:bookmarkEnd w:id="3"/>
      <w:bookmarkEnd w:id="4"/>
      <w:bookmarkEnd w:id="5"/>
    </w:p>
    <w:p w14:paraId="1CCED68C" w14:textId="77777777" w:rsidR="008E3DCB" w:rsidRPr="008E3DCB" w:rsidRDefault="008E3DCB" w:rsidP="008E3DCB">
      <w:pPr>
        <w:rPr>
          <w:rFonts w:asciiTheme="majorHAnsi" w:hAnsiTheme="majorHAnsi" w:cstheme="majorHAnsi"/>
          <w:sz w:val="22"/>
          <w:szCs w:val="22"/>
          <w:lang w:val="en-G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5"/>
        <w:gridCol w:w="7364"/>
      </w:tblGrid>
      <w:tr w:rsidR="008E3DCB" w:rsidRPr="00200E93" w14:paraId="1B056019" w14:textId="77777777" w:rsidTr="001F290C">
        <w:trPr>
          <w:tblHeader/>
        </w:trPr>
        <w:tc>
          <w:tcPr>
            <w:tcW w:w="1555" w:type="dxa"/>
            <w:shd w:val="clear" w:color="auto" w:fill="D9E2F3" w:themeFill="accent1" w:themeFillTint="33"/>
          </w:tcPr>
          <w:p w14:paraId="7C421ED3" w14:textId="0F82FB7F" w:rsidR="008E3DCB" w:rsidRPr="00200E93" w:rsidRDefault="6693BE58" w:rsidP="1053922A">
            <w:pPr>
              <w:rPr>
                <w:rFonts w:asciiTheme="majorHAnsi" w:hAnsiTheme="majorHAnsi" w:cstheme="majorBidi"/>
                <w:b/>
                <w:bCs/>
                <w:color w:val="FFFFFF" w:themeColor="background1"/>
                <w:sz w:val="22"/>
                <w:szCs w:val="22"/>
                <w:lang w:val="en-US"/>
              </w:rPr>
            </w:pPr>
            <w:r w:rsidRPr="1053922A">
              <w:rPr>
                <w:rFonts w:asciiTheme="majorHAnsi" w:hAnsiTheme="majorHAnsi" w:cstheme="majorBidi"/>
                <w:b/>
                <w:bCs/>
                <w:color w:val="002060"/>
                <w:sz w:val="22"/>
                <w:szCs w:val="22"/>
                <w:lang w:val="en-US"/>
              </w:rPr>
              <w:t>Acronym</w:t>
            </w:r>
          </w:p>
        </w:tc>
        <w:tc>
          <w:tcPr>
            <w:tcW w:w="7364" w:type="dxa"/>
            <w:shd w:val="clear" w:color="auto" w:fill="D9E2F3" w:themeFill="accent1" w:themeFillTint="33"/>
          </w:tcPr>
          <w:p w14:paraId="5A376AB4" w14:textId="4B131692" w:rsidR="008E3DCB" w:rsidRPr="00200E93" w:rsidRDefault="6693BE58" w:rsidP="1053922A">
            <w:pPr>
              <w:autoSpaceDE w:val="0"/>
              <w:autoSpaceDN w:val="0"/>
              <w:adjustRightInd w:val="0"/>
              <w:rPr>
                <w:rFonts w:asciiTheme="majorHAnsi" w:hAnsiTheme="majorHAnsi" w:cstheme="majorBidi"/>
                <w:b/>
                <w:bCs/>
                <w:color w:val="FFFFFF" w:themeColor="background1"/>
                <w:sz w:val="22"/>
                <w:szCs w:val="22"/>
                <w:lang w:val="en-US"/>
              </w:rPr>
            </w:pPr>
            <w:r w:rsidRPr="1053922A">
              <w:rPr>
                <w:rFonts w:asciiTheme="majorHAnsi" w:hAnsiTheme="majorHAnsi" w:cstheme="majorBidi"/>
                <w:b/>
                <w:bCs/>
                <w:color w:val="002060"/>
                <w:sz w:val="22"/>
                <w:szCs w:val="22"/>
                <w:lang w:val="en-US"/>
              </w:rPr>
              <w:t>Description</w:t>
            </w:r>
          </w:p>
        </w:tc>
      </w:tr>
      <w:tr w:rsidR="008E3DCB" w:rsidRPr="00200E93" w14:paraId="55C804C0" w14:textId="77777777" w:rsidTr="1053922A">
        <w:tc>
          <w:tcPr>
            <w:tcW w:w="1555" w:type="dxa"/>
          </w:tcPr>
          <w:p w14:paraId="30D80158" w14:textId="001F983E" w:rsidR="008E3DCB" w:rsidRPr="00200E93" w:rsidRDefault="00A94D27"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ANU</w:t>
            </w:r>
          </w:p>
        </w:tc>
        <w:tc>
          <w:tcPr>
            <w:tcW w:w="7364" w:type="dxa"/>
          </w:tcPr>
          <w:p w14:paraId="7DD7AAFF" w14:textId="794965A8" w:rsidR="008E3DCB" w:rsidRPr="00200E93" w:rsidRDefault="00A94D27"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The Australian National University</w:t>
            </w:r>
          </w:p>
        </w:tc>
      </w:tr>
      <w:tr w:rsidR="003E6E6D" w:rsidRPr="00200E93" w14:paraId="7C706BC3" w14:textId="77777777" w:rsidTr="1053922A">
        <w:tc>
          <w:tcPr>
            <w:tcW w:w="1555" w:type="dxa"/>
          </w:tcPr>
          <w:p w14:paraId="0CB24DFA" w14:textId="4A6161E7" w:rsidR="003E6E6D" w:rsidRDefault="003E6E6D" w:rsidP="00866F8B">
            <w:pPr>
              <w:spacing w:line="320" w:lineRule="atLeast"/>
              <w:contextualSpacing/>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AS INB</w:t>
            </w:r>
          </w:p>
        </w:tc>
        <w:tc>
          <w:tcPr>
            <w:tcW w:w="7364" w:type="dxa"/>
          </w:tcPr>
          <w:p w14:paraId="2F662399" w14:textId="79FCF6FC" w:rsidR="003E6E6D" w:rsidRDefault="00A52A5A"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Assistant Secretary, Indonesia Branch</w:t>
            </w:r>
          </w:p>
        </w:tc>
      </w:tr>
      <w:tr w:rsidR="00877380" w:rsidRPr="00200E93" w14:paraId="73F203AD" w14:textId="77777777" w:rsidTr="1053922A">
        <w:tc>
          <w:tcPr>
            <w:tcW w:w="1555" w:type="dxa"/>
          </w:tcPr>
          <w:p w14:paraId="4DB4F6B0" w14:textId="3431C17F" w:rsidR="00877380" w:rsidRPr="003E6E6D" w:rsidRDefault="00877380" w:rsidP="00866F8B">
            <w:pPr>
              <w:spacing w:line="320" w:lineRule="atLeast"/>
              <w:contextualSpacing/>
              <w:rPr>
                <w:rFonts w:asciiTheme="majorHAnsi" w:eastAsiaTheme="minorHAnsi" w:hAnsiTheme="majorHAnsi" w:cstheme="majorHAnsi"/>
                <w:sz w:val="22"/>
                <w:szCs w:val="22"/>
                <w:highlight w:val="yellow"/>
                <w:lang w:val="en-GB"/>
              </w:rPr>
            </w:pPr>
            <w:r w:rsidRPr="00877380">
              <w:rPr>
                <w:rFonts w:asciiTheme="majorHAnsi" w:eastAsiaTheme="minorHAnsi" w:hAnsiTheme="majorHAnsi" w:cstheme="majorHAnsi"/>
                <w:sz w:val="22"/>
                <w:szCs w:val="22"/>
                <w:lang w:val="en-GB"/>
              </w:rPr>
              <w:t>BIES</w:t>
            </w:r>
          </w:p>
        </w:tc>
        <w:tc>
          <w:tcPr>
            <w:tcW w:w="7364" w:type="dxa"/>
          </w:tcPr>
          <w:p w14:paraId="3268A796" w14:textId="640BFC81" w:rsidR="00877380" w:rsidRPr="00877380" w:rsidRDefault="00877380" w:rsidP="00866F8B">
            <w:pPr>
              <w:spacing w:line="320" w:lineRule="atLeast"/>
              <w:contextualSpacing/>
              <w:rPr>
                <w:rFonts w:asciiTheme="majorHAnsi" w:eastAsiaTheme="minorHAnsi" w:hAnsiTheme="majorHAnsi" w:cstheme="majorHAnsi"/>
                <w:sz w:val="22"/>
                <w:szCs w:val="22"/>
                <w:lang w:val="en-GB"/>
              </w:rPr>
            </w:pPr>
            <w:r w:rsidRPr="00877380">
              <w:rPr>
                <w:rFonts w:asciiTheme="majorHAnsi" w:eastAsiaTheme="minorHAnsi" w:hAnsiTheme="majorHAnsi" w:cstheme="majorHAnsi"/>
                <w:sz w:val="22"/>
                <w:szCs w:val="22"/>
                <w:lang w:val="en-GB"/>
              </w:rPr>
              <w:t>Bulletin of Indonesian Economic Studies</w:t>
            </w:r>
          </w:p>
        </w:tc>
      </w:tr>
      <w:tr w:rsidR="009B2B26" w:rsidRPr="00200E93" w14:paraId="0CA16825" w14:textId="77777777" w:rsidTr="1053922A">
        <w:tc>
          <w:tcPr>
            <w:tcW w:w="1555" w:type="dxa"/>
          </w:tcPr>
          <w:p w14:paraId="21C905CB" w14:textId="14F53A6E" w:rsidR="009B2B26" w:rsidRDefault="009B2B26"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CSO</w:t>
            </w:r>
          </w:p>
        </w:tc>
        <w:tc>
          <w:tcPr>
            <w:tcW w:w="7364" w:type="dxa"/>
          </w:tcPr>
          <w:p w14:paraId="37EFFBF3" w14:textId="73B8AB65" w:rsidR="009B2B26" w:rsidRDefault="009B2B26"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Civil Society Organisation</w:t>
            </w:r>
          </w:p>
        </w:tc>
      </w:tr>
      <w:tr w:rsidR="008E3DCB" w:rsidRPr="00200E93" w14:paraId="2C5ADED3" w14:textId="77777777" w:rsidTr="1053922A">
        <w:tc>
          <w:tcPr>
            <w:tcW w:w="1555" w:type="dxa"/>
          </w:tcPr>
          <w:p w14:paraId="2F7A9A30" w14:textId="0DD0D67D" w:rsidR="008E3DCB" w:rsidRPr="00200E93" w:rsidRDefault="008E3DCB" w:rsidP="00866F8B">
            <w:pPr>
              <w:autoSpaceDE w:val="0"/>
              <w:autoSpaceDN w:val="0"/>
              <w:adjustRightInd w:val="0"/>
              <w:spacing w:line="320" w:lineRule="atLeast"/>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DFAT</w:t>
            </w:r>
          </w:p>
        </w:tc>
        <w:tc>
          <w:tcPr>
            <w:tcW w:w="7364" w:type="dxa"/>
          </w:tcPr>
          <w:p w14:paraId="107324E3" w14:textId="13EA39B3" w:rsidR="008E3DCB" w:rsidRPr="00200E93" w:rsidRDefault="008E3DCB"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Australian Government Department of Foreign Affairs and Trade</w:t>
            </w:r>
          </w:p>
        </w:tc>
      </w:tr>
      <w:tr w:rsidR="008E3DCB" w:rsidRPr="00200E93" w14:paraId="23A6874F" w14:textId="77777777" w:rsidTr="1053922A">
        <w:tc>
          <w:tcPr>
            <w:tcW w:w="1555" w:type="dxa"/>
          </w:tcPr>
          <w:p w14:paraId="5555E344" w14:textId="111D93B1" w:rsidR="008E3DCB" w:rsidRPr="00200E93" w:rsidRDefault="008B1B6F" w:rsidP="00866F8B">
            <w:pPr>
              <w:autoSpaceDE w:val="0"/>
              <w:autoSpaceDN w:val="0"/>
              <w:adjustRightInd w:val="0"/>
              <w:spacing w:line="320" w:lineRule="atLeast"/>
              <w:rPr>
                <w:rFonts w:asciiTheme="majorHAnsi" w:eastAsiaTheme="minorHAnsi" w:hAnsiTheme="majorHAnsi" w:cstheme="majorHAnsi"/>
                <w:sz w:val="22"/>
                <w:szCs w:val="22"/>
                <w:lang w:val="en-GB"/>
              </w:rPr>
            </w:pPr>
            <w:proofErr w:type="spellStart"/>
            <w:r>
              <w:rPr>
                <w:rFonts w:asciiTheme="majorHAnsi" w:eastAsiaTheme="minorHAnsi" w:hAnsiTheme="majorHAnsi" w:cstheme="majorHAnsi"/>
                <w:sz w:val="22"/>
                <w:szCs w:val="22"/>
                <w:lang w:val="en-GB"/>
              </w:rPr>
              <w:t>EoPO</w:t>
            </w:r>
            <w:proofErr w:type="spellEnd"/>
          </w:p>
        </w:tc>
        <w:tc>
          <w:tcPr>
            <w:tcW w:w="7364" w:type="dxa"/>
          </w:tcPr>
          <w:p w14:paraId="5AFC7F25" w14:textId="37ECFF1C" w:rsidR="008E3DCB" w:rsidRPr="00200E93" w:rsidRDefault="008B1B6F"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E</w:t>
            </w:r>
            <w:r w:rsidRPr="008B1B6F">
              <w:rPr>
                <w:rFonts w:asciiTheme="majorHAnsi" w:eastAsiaTheme="minorHAnsi" w:hAnsiTheme="majorHAnsi" w:cstheme="majorHAnsi"/>
                <w:sz w:val="22"/>
                <w:szCs w:val="22"/>
                <w:lang w:val="en-GB"/>
              </w:rPr>
              <w:t xml:space="preserve">nd of </w:t>
            </w:r>
            <w:r>
              <w:rPr>
                <w:rFonts w:asciiTheme="majorHAnsi" w:eastAsiaTheme="minorHAnsi" w:hAnsiTheme="majorHAnsi" w:cstheme="majorHAnsi"/>
                <w:sz w:val="22"/>
                <w:szCs w:val="22"/>
                <w:lang w:val="en-GB"/>
              </w:rPr>
              <w:t>P</w:t>
            </w:r>
            <w:r w:rsidRPr="008B1B6F">
              <w:rPr>
                <w:rFonts w:asciiTheme="majorHAnsi" w:eastAsiaTheme="minorHAnsi" w:hAnsiTheme="majorHAnsi" w:cstheme="majorHAnsi"/>
                <w:sz w:val="22"/>
                <w:szCs w:val="22"/>
                <w:lang w:val="en-GB"/>
              </w:rPr>
              <w:t xml:space="preserve">roject </w:t>
            </w:r>
            <w:r>
              <w:rPr>
                <w:rFonts w:asciiTheme="majorHAnsi" w:eastAsiaTheme="minorHAnsi" w:hAnsiTheme="majorHAnsi" w:cstheme="majorHAnsi"/>
                <w:sz w:val="22"/>
                <w:szCs w:val="22"/>
                <w:lang w:val="en-GB"/>
              </w:rPr>
              <w:t>O</w:t>
            </w:r>
            <w:r w:rsidRPr="008B1B6F">
              <w:rPr>
                <w:rFonts w:asciiTheme="majorHAnsi" w:eastAsiaTheme="minorHAnsi" w:hAnsiTheme="majorHAnsi" w:cstheme="majorHAnsi"/>
                <w:sz w:val="22"/>
                <w:szCs w:val="22"/>
                <w:lang w:val="en-GB"/>
              </w:rPr>
              <w:t>utcome</w:t>
            </w:r>
          </w:p>
        </w:tc>
      </w:tr>
      <w:tr w:rsidR="008E3DCB" w:rsidRPr="00200E93" w14:paraId="665B99E0" w14:textId="77777777" w:rsidTr="1053922A">
        <w:tc>
          <w:tcPr>
            <w:tcW w:w="1555" w:type="dxa"/>
          </w:tcPr>
          <w:p w14:paraId="2B5E125F" w14:textId="6D1ABA1C" w:rsidR="008E3DCB" w:rsidRPr="00E67E6F" w:rsidRDefault="003E6E6D"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FAS SMD</w:t>
            </w:r>
          </w:p>
        </w:tc>
        <w:tc>
          <w:tcPr>
            <w:tcW w:w="7364" w:type="dxa"/>
          </w:tcPr>
          <w:p w14:paraId="52F399AE" w14:textId="2D86D7F3" w:rsidR="008E3DCB" w:rsidRPr="00200E93" w:rsidRDefault="00A52A5A"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First Assistant Secretary, Southeast Asia Maritime Division</w:t>
            </w:r>
          </w:p>
        </w:tc>
      </w:tr>
      <w:tr w:rsidR="00950DEB" w:rsidRPr="00200E93" w14:paraId="461EBA59" w14:textId="77777777" w:rsidTr="1053922A">
        <w:tc>
          <w:tcPr>
            <w:tcW w:w="1555" w:type="dxa"/>
          </w:tcPr>
          <w:p w14:paraId="5336BFD0" w14:textId="1163E3DB" w:rsidR="00950DEB" w:rsidRPr="00E67E6F" w:rsidRDefault="00950DEB" w:rsidP="00866F8B">
            <w:pPr>
              <w:autoSpaceDE w:val="0"/>
              <w:autoSpaceDN w:val="0"/>
              <w:adjustRightInd w:val="0"/>
              <w:spacing w:line="320" w:lineRule="atLeast"/>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FKP</w:t>
            </w:r>
          </w:p>
        </w:tc>
        <w:tc>
          <w:tcPr>
            <w:tcW w:w="7364" w:type="dxa"/>
          </w:tcPr>
          <w:p w14:paraId="766970F1" w14:textId="5B4F1E45" w:rsidR="00950DEB" w:rsidRDefault="00950DEB"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Forum Kajian Pembangunan (Development Studies Forum)</w:t>
            </w:r>
          </w:p>
        </w:tc>
      </w:tr>
      <w:tr w:rsidR="00861611" w:rsidRPr="00200E93" w14:paraId="1B4E6EBD" w14:textId="77777777" w:rsidTr="1053922A">
        <w:tc>
          <w:tcPr>
            <w:tcW w:w="1555" w:type="dxa"/>
          </w:tcPr>
          <w:p w14:paraId="67E20B5E" w14:textId="599E5238" w:rsidR="00861611" w:rsidRPr="00E67E6F" w:rsidRDefault="00861611"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GEDSI</w:t>
            </w:r>
          </w:p>
        </w:tc>
        <w:tc>
          <w:tcPr>
            <w:tcW w:w="7364" w:type="dxa"/>
          </w:tcPr>
          <w:p w14:paraId="65DAF0A2" w14:textId="7B8D2BE2" w:rsidR="00861611" w:rsidRPr="00200E93" w:rsidRDefault="00861611"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Gender Equality, Disability and Social Inclusion</w:t>
            </w:r>
          </w:p>
        </w:tc>
      </w:tr>
      <w:tr w:rsidR="008E3DCB" w:rsidRPr="00200E93" w14:paraId="74720349" w14:textId="77777777" w:rsidTr="1053922A">
        <w:tc>
          <w:tcPr>
            <w:tcW w:w="1555" w:type="dxa"/>
          </w:tcPr>
          <w:p w14:paraId="39138E56" w14:textId="79D93BCC" w:rsidR="008E3DCB" w:rsidRPr="00E67E6F" w:rsidRDefault="0066215C"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GESI</w:t>
            </w:r>
          </w:p>
        </w:tc>
        <w:tc>
          <w:tcPr>
            <w:tcW w:w="7364" w:type="dxa"/>
          </w:tcPr>
          <w:p w14:paraId="3E483DA7" w14:textId="77CD78BC" w:rsidR="008E3DCB" w:rsidRPr="00200E93" w:rsidRDefault="0066215C"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 xml:space="preserve">Gender Equality </w:t>
            </w:r>
            <w:r w:rsidR="00861611">
              <w:rPr>
                <w:rFonts w:asciiTheme="majorHAnsi" w:eastAsiaTheme="minorHAnsi" w:hAnsiTheme="majorHAnsi" w:cstheme="majorHAnsi"/>
                <w:sz w:val="22"/>
                <w:szCs w:val="22"/>
                <w:lang w:val="en-GB"/>
              </w:rPr>
              <w:t>and Social Inclusion</w:t>
            </w:r>
          </w:p>
        </w:tc>
      </w:tr>
      <w:tr w:rsidR="009B2B26" w:rsidRPr="00200E93" w14:paraId="4ED4D13D" w14:textId="77777777" w:rsidTr="1053922A">
        <w:tc>
          <w:tcPr>
            <w:tcW w:w="1555" w:type="dxa"/>
          </w:tcPr>
          <w:p w14:paraId="4B89A635" w14:textId="0EA75A60" w:rsidR="009B2B26" w:rsidRPr="00E67E6F" w:rsidRDefault="009B2B26"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ICR</w:t>
            </w:r>
          </w:p>
        </w:tc>
        <w:tc>
          <w:tcPr>
            <w:tcW w:w="7364" w:type="dxa"/>
          </w:tcPr>
          <w:p w14:paraId="7ABA0EC0" w14:textId="2559C88B" w:rsidR="009B2B26" w:rsidRDefault="009B2B26"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Independent Completion Review</w:t>
            </w:r>
          </w:p>
        </w:tc>
      </w:tr>
      <w:tr w:rsidR="009B2B26" w:rsidRPr="00200E93" w14:paraId="0AD3653B" w14:textId="77777777" w:rsidTr="1053922A">
        <w:tc>
          <w:tcPr>
            <w:tcW w:w="1555" w:type="dxa"/>
          </w:tcPr>
          <w:p w14:paraId="358AB884" w14:textId="32933A38" w:rsidR="009B2B26" w:rsidRPr="00E67E6F" w:rsidRDefault="009B2B26"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IMR</w:t>
            </w:r>
          </w:p>
        </w:tc>
        <w:tc>
          <w:tcPr>
            <w:tcW w:w="7364" w:type="dxa"/>
          </w:tcPr>
          <w:p w14:paraId="25D58170" w14:textId="5D68315A" w:rsidR="009B2B26" w:rsidRDefault="009B2B26"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Investment Monitoring Report</w:t>
            </w:r>
          </w:p>
        </w:tc>
      </w:tr>
      <w:tr w:rsidR="009B2B26" w:rsidRPr="00200E93" w14:paraId="2022173D" w14:textId="77777777" w:rsidTr="1053922A">
        <w:tc>
          <w:tcPr>
            <w:tcW w:w="1555" w:type="dxa"/>
          </w:tcPr>
          <w:p w14:paraId="29FB49AB" w14:textId="436C12F5" w:rsidR="009B2B26" w:rsidRPr="00E67E6F" w:rsidRDefault="009B2B26"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IO</w:t>
            </w:r>
          </w:p>
        </w:tc>
        <w:tc>
          <w:tcPr>
            <w:tcW w:w="7364" w:type="dxa"/>
          </w:tcPr>
          <w:p w14:paraId="2845FDB0" w14:textId="1A7D7657" w:rsidR="009B2B26" w:rsidRDefault="009B2B26"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Intermediate Outcome</w:t>
            </w:r>
          </w:p>
        </w:tc>
      </w:tr>
      <w:tr w:rsidR="00842EF6" w:rsidRPr="00200E93" w14:paraId="547765CF" w14:textId="77777777" w:rsidTr="1053922A">
        <w:tc>
          <w:tcPr>
            <w:tcW w:w="1555" w:type="dxa"/>
          </w:tcPr>
          <w:p w14:paraId="35D68FE4" w14:textId="300BBC3B" w:rsidR="00842EF6" w:rsidRPr="00E67E6F" w:rsidRDefault="00842EF6"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KEQ</w:t>
            </w:r>
          </w:p>
        </w:tc>
        <w:tc>
          <w:tcPr>
            <w:tcW w:w="7364" w:type="dxa"/>
          </w:tcPr>
          <w:p w14:paraId="035AFBB8" w14:textId="6E043420" w:rsidR="00842EF6" w:rsidRDefault="00842EF6"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Key Evaluation Question</w:t>
            </w:r>
          </w:p>
        </w:tc>
      </w:tr>
      <w:tr w:rsidR="009E5CA8" w:rsidRPr="00200E93" w14:paraId="1C00E8D6" w14:textId="77777777" w:rsidTr="1053922A">
        <w:tc>
          <w:tcPr>
            <w:tcW w:w="1555" w:type="dxa"/>
          </w:tcPr>
          <w:p w14:paraId="0B3B7339" w14:textId="1BF10795" w:rsidR="009E5CA8" w:rsidRPr="00E67E6F" w:rsidRDefault="009E5CA8" w:rsidP="00866F8B">
            <w:pPr>
              <w:autoSpaceDE w:val="0"/>
              <w:autoSpaceDN w:val="0"/>
              <w:adjustRightInd w:val="0"/>
              <w:spacing w:line="320" w:lineRule="atLeast"/>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KONEKSI</w:t>
            </w:r>
          </w:p>
        </w:tc>
        <w:tc>
          <w:tcPr>
            <w:tcW w:w="7364" w:type="dxa"/>
          </w:tcPr>
          <w:p w14:paraId="02C00809" w14:textId="2AF685EB" w:rsidR="009E5CA8" w:rsidRDefault="00454BB2"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Australia-Indonesia Knowledge Partnership Platform</w:t>
            </w:r>
          </w:p>
        </w:tc>
      </w:tr>
      <w:tr w:rsidR="008E3DCB" w:rsidRPr="00200E93" w14:paraId="6C6AD952" w14:textId="77777777" w:rsidTr="1053922A">
        <w:tc>
          <w:tcPr>
            <w:tcW w:w="1555" w:type="dxa"/>
          </w:tcPr>
          <w:p w14:paraId="103FDA2F" w14:textId="3A85968E" w:rsidR="008E3DCB" w:rsidRPr="00E67E6F" w:rsidRDefault="0066215C"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Theme="minorHAnsi" w:hAnsiTheme="majorHAnsi" w:cstheme="majorHAnsi"/>
                <w:sz w:val="22"/>
                <w:szCs w:val="22"/>
                <w:lang w:val="en-GB"/>
              </w:rPr>
              <w:t>M&amp;E</w:t>
            </w:r>
          </w:p>
        </w:tc>
        <w:tc>
          <w:tcPr>
            <w:tcW w:w="7364" w:type="dxa"/>
          </w:tcPr>
          <w:p w14:paraId="7CA1F617" w14:textId="35ED4448" w:rsidR="008E3DCB" w:rsidRPr="00200E93" w:rsidRDefault="0066215C"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Monitoring and evaluation</w:t>
            </w:r>
          </w:p>
        </w:tc>
      </w:tr>
      <w:tr w:rsidR="00454BB2" w:rsidRPr="00200E93" w14:paraId="57261564" w14:textId="77777777" w:rsidTr="1053922A">
        <w:tc>
          <w:tcPr>
            <w:tcW w:w="1555" w:type="dxa"/>
          </w:tcPr>
          <w:p w14:paraId="44200BFC" w14:textId="410585D1" w:rsidR="00454BB2" w:rsidRPr="00E67E6F" w:rsidRDefault="00454BB2" w:rsidP="00866F8B">
            <w:pPr>
              <w:autoSpaceDE w:val="0"/>
              <w:autoSpaceDN w:val="0"/>
              <w:adjustRightInd w:val="0"/>
              <w:spacing w:line="320" w:lineRule="atLeast"/>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Prospera</w:t>
            </w:r>
          </w:p>
        </w:tc>
        <w:tc>
          <w:tcPr>
            <w:tcW w:w="7364" w:type="dxa"/>
          </w:tcPr>
          <w:p w14:paraId="1C7888D5" w14:textId="06B12C35" w:rsidR="00454BB2" w:rsidRDefault="00454BB2" w:rsidP="00866F8B">
            <w:pPr>
              <w:spacing w:line="320" w:lineRule="atLeast"/>
              <w:contextualSpacing/>
              <w:rPr>
                <w:rFonts w:asciiTheme="majorHAnsi" w:eastAsiaTheme="minorHAnsi" w:hAnsiTheme="majorHAnsi" w:cstheme="majorHAnsi"/>
                <w:sz w:val="22"/>
                <w:szCs w:val="22"/>
                <w:lang w:val="en-GB"/>
              </w:rPr>
            </w:pPr>
            <w:proofErr w:type="spellStart"/>
            <w:r>
              <w:rPr>
                <w:rFonts w:asciiTheme="majorHAnsi" w:eastAsiaTheme="minorHAnsi" w:hAnsiTheme="majorHAnsi" w:cstheme="majorHAnsi"/>
                <w:sz w:val="22"/>
                <w:szCs w:val="22"/>
                <w:lang w:val="en-GB"/>
              </w:rPr>
              <w:t>Porgram</w:t>
            </w:r>
            <w:proofErr w:type="spellEnd"/>
            <w:r>
              <w:rPr>
                <w:rFonts w:asciiTheme="majorHAnsi" w:eastAsiaTheme="minorHAnsi" w:hAnsiTheme="majorHAnsi" w:cstheme="majorHAnsi"/>
                <w:sz w:val="22"/>
                <w:szCs w:val="22"/>
                <w:lang w:val="en-GB"/>
              </w:rPr>
              <w:t xml:space="preserve"> </w:t>
            </w:r>
            <w:proofErr w:type="spellStart"/>
            <w:r>
              <w:rPr>
                <w:rFonts w:asciiTheme="majorHAnsi" w:eastAsiaTheme="minorHAnsi" w:hAnsiTheme="majorHAnsi" w:cstheme="majorHAnsi"/>
                <w:sz w:val="22"/>
                <w:szCs w:val="22"/>
                <w:lang w:val="en-GB"/>
              </w:rPr>
              <w:t>Kemitraan</w:t>
            </w:r>
            <w:proofErr w:type="spellEnd"/>
            <w:r>
              <w:rPr>
                <w:rFonts w:asciiTheme="majorHAnsi" w:eastAsiaTheme="minorHAnsi" w:hAnsiTheme="majorHAnsi" w:cstheme="majorHAnsi"/>
                <w:sz w:val="22"/>
                <w:szCs w:val="22"/>
                <w:lang w:val="en-GB"/>
              </w:rPr>
              <w:t xml:space="preserve"> Indonesia Australia </w:t>
            </w:r>
            <w:proofErr w:type="spellStart"/>
            <w:r>
              <w:rPr>
                <w:rFonts w:asciiTheme="majorHAnsi" w:eastAsiaTheme="minorHAnsi" w:hAnsiTheme="majorHAnsi" w:cstheme="majorHAnsi"/>
                <w:sz w:val="22"/>
                <w:szCs w:val="22"/>
                <w:lang w:val="en-GB"/>
              </w:rPr>
              <w:t>untuk</w:t>
            </w:r>
            <w:proofErr w:type="spellEnd"/>
            <w:r>
              <w:rPr>
                <w:rFonts w:asciiTheme="majorHAnsi" w:eastAsiaTheme="minorHAnsi" w:hAnsiTheme="majorHAnsi" w:cstheme="majorHAnsi"/>
                <w:sz w:val="22"/>
                <w:szCs w:val="22"/>
                <w:lang w:val="en-GB"/>
              </w:rPr>
              <w:t xml:space="preserve"> </w:t>
            </w:r>
            <w:proofErr w:type="spellStart"/>
            <w:r>
              <w:rPr>
                <w:rFonts w:asciiTheme="majorHAnsi" w:eastAsiaTheme="minorHAnsi" w:hAnsiTheme="majorHAnsi" w:cstheme="majorHAnsi"/>
                <w:sz w:val="22"/>
                <w:szCs w:val="22"/>
                <w:lang w:val="en-GB"/>
              </w:rPr>
              <w:t>Perekonomian</w:t>
            </w:r>
            <w:proofErr w:type="spellEnd"/>
            <w:r>
              <w:rPr>
                <w:rFonts w:asciiTheme="majorHAnsi" w:eastAsiaTheme="minorHAnsi" w:hAnsiTheme="majorHAnsi" w:cstheme="majorHAnsi"/>
                <w:sz w:val="22"/>
                <w:szCs w:val="22"/>
                <w:lang w:val="en-GB"/>
              </w:rPr>
              <w:t xml:space="preserve"> (Australia Indonesia Partnership for Economic Development)</w:t>
            </w:r>
          </w:p>
        </w:tc>
      </w:tr>
      <w:tr w:rsidR="008E3DCB" w:rsidRPr="00200E93" w14:paraId="3C096C5D" w14:textId="77777777" w:rsidTr="1053922A">
        <w:tc>
          <w:tcPr>
            <w:tcW w:w="1555" w:type="dxa"/>
          </w:tcPr>
          <w:p w14:paraId="6BE2594A" w14:textId="7999E350" w:rsidR="008E3DCB" w:rsidRPr="00E67E6F" w:rsidRDefault="009D7567" w:rsidP="00866F8B">
            <w:pPr>
              <w:autoSpaceDE w:val="0"/>
              <w:autoSpaceDN w:val="0"/>
              <w:adjustRightInd w:val="0"/>
              <w:spacing w:line="320" w:lineRule="atLeast"/>
              <w:rPr>
                <w:rFonts w:asciiTheme="majorHAnsi" w:eastAsiaTheme="minorHAnsi" w:hAnsiTheme="majorHAnsi" w:cstheme="majorHAnsi"/>
                <w:sz w:val="22"/>
                <w:szCs w:val="22"/>
                <w:lang w:val="en-GB"/>
              </w:rPr>
            </w:pPr>
            <w:r w:rsidRPr="00E67E6F">
              <w:rPr>
                <w:rFonts w:asciiTheme="majorHAnsi" w:eastAsia="Calibri" w:hAnsiTheme="majorHAnsi" w:cstheme="majorHAnsi"/>
                <w:sz w:val="22"/>
                <w:szCs w:val="22"/>
                <w:lang w:val="en-IE"/>
              </w:rPr>
              <w:t>QISS</w:t>
            </w:r>
          </w:p>
        </w:tc>
        <w:tc>
          <w:tcPr>
            <w:tcW w:w="7364" w:type="dxa"/>
          </w:tcPr>
          <w:p w14:paraId="6588614B" w14:textId="52CF28BE" w:rsidR="008E3DCB" w:rsidRPr="00200E93" w:rsidRDefault="00E61AE3" w:rsidP="00866F8B">
            <w:pPr>
              <w:spacing w:line="320" w:lineRule="atLeast"/>
              <w:contextualSpacing/>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Quality Investment Support Services</w:t>
            </w:r>
          </w:p>
        </w:tc>
      </w:tr>
      <w:tr w:rsidR="009E5CA8" w:rsidRPr="00200E93" w14:paraId="65FF87F8" w14:textId="77777777" w:rsidTr="1053922A">
        <w:tc>
          <w:tcPr>
            <w:tcW w:w="1555" w:type="dxa"/>
          </w:tcPr>
          <w:p w14:paraId="2E1C839F" w14:textId="3F3B8A24" w:rsidR="009E5CA8" w:rsidRPr="00E67E6F" w:rsidRDefault="009E5CA8" w:rsidP="00866F8B">
            <w:pPr>
              <w:autoSpaceDE w:val="0"/>
              <w:autoSpaceDN w:val="0"/>
              <w:adjustRightInd w:val="0"/>
              <w:spacing w:line="320" w:lineRule="atLeast"/>
              <w:rPr>
                <w:rFonts w:asciiTheme="majorHAnsi" w:eastAsia="Calibri" w:hAnsiTheme="majorHAnsi" w:cstheme="majorHAnsi"/>
                <w:sz w:val="22"/>
                <w:szCs w:val="22"/>
                <w:lang w:val="en-IE"/>
              </w:rPr>
            </w:pPr>
            <w:r>
              <w:rPr>
                <w:rFonts w:asciiTheme="majorHAnsi" w:eastAsia="Calibri" w:hAnsiTheme="majorHAnsi" w:cstheme="majorHAnsi"/>
                <w:sz w:val="22"/>
                <w:szCs w:val="22"/>
                <w:lang w:val="en-IE"/>
              </w:rPr>
              <w:t>SKALA</w:t>
            </w:r>
          </w:p>
        </w:tc>
        <w:tc>
          <w:tcPr>
            <w:tcW w:w="7364" w:type="dxa"/>
          </w:tcPr>
          <w:p w14:paraId="16F23C49" w14:textId="3E20F9C2" w:rsidR="009E5CA8" w:rsidRPr="00454BB2" w:rsidRDefault="00454BB2" w:rsidP="00454BB2">
            <w:pPr>
              <w:pStyle w:val="Heading3"/>
              <w:spacing w:before="0" w:line="240" w:lineRule="auto"/>
              <w:rPr>
                <w:rFonts w:ascii="TiemposHeadline" w:hAnsi="TiemposHeadline" w:hint="eastAsia"/>
                <w:color w:val="1D2C4C"/>
                <w:sz w:val="60"/>
                <w:szCs w:val="60"/>
              </w:rPr>
            </w:pPr>
            <w:proofErr w:type="spellStart"/>
            <w:r w:rsidRPr="00454BB2">
              <w:rPr>
                <w:rFonts w:eastAsiaTheme="minorHAnsi" w:cstheme="majorHAnsi"/>
                <w:color w:val="auto"/>
                <w:kern w:val="0"/>
                <w:sz w:val="22"/>
                <w:szCs w:val="22"/>
                <w:lang w:val="en-GB"/>
                <w14:ligatures w14:val="none"/>
              </w:rPr>
              <w:t>Sinergi</w:t>
            </w:r>
            <w:proofErr w:type="spellEnd"/>
            <w:r w:rsidRPr="00454BB2">
              <w:rPr>
                <w:rFonts w:eastAsiaTheme="minorHAnsi" w:cstheme="majorHAnsi"/>
                <w:color w:val="auto"/>
                <w:kern w:val="0"/>
                <w:sz w:val="22"/>
                <w:szCs w:val="22"/>
                <w:lang w:val="en-GB"/>
                <w14:ligatures w14:val="none"/>
              </w:rPr>
              <w:t xml:space="preserve"> dan </w:t>
            </w:r>
            <w:proofErr w:type="spellStart"/>
            <w:r w:rsidRPr="00454BB2">
              <w:rPr>
                <w:rFonts w:eastAsiaTheme="minorHAnsi" w:cstheme="majorHAnsi"/>
                <w:color w:val="auto"/>
                <w:kern w:val="0"/>
                <w:sz w:val="22"/>
                <w:szCs w:val="22"/>
                <w:lang w:val="en-GB"/>
                <w14:ligatures w14:val="none"/>
              </w:rPr>
              <w:t>Kolaborasi</w:t>
            </w:r>
            <w:proofErr w:type="spellEnd"/>
            <w:r w:rsidRPr="00454BB2">
              <w:rPr>
                <w:rFonts w:eastAsiaTheme="minorHAnsi" w:cstheme="majorHAnsi"/>
                <w:color w:val="auto"/>
                <w:kern w:val="0"/>
                <w:sz w:val="22"/>
                <w:szCs w:val="22"/>
                <w:lang w:val="en-GB"/>
                <w14:ligatures w14:val="none"/>
              </w:rPr>
              <w:t xml:space="preserve"> </w:t>
            </w:r>
            <w:proofErr w:type="spellStart"/>
            <w:r w:rsidRPr="00454BB2">
              <w:rPr>
                <w:rFonts w:eastAsiaTheme="minorHAnsi" w:cstheme="majorHAnsi"/>
                <w:color w:val="auto"/>
                <w:kern w:val="0"/>
                <w:sz w:val="22"/>
                <w:szCs w:val="22"/>
                <w:lang w:val="en-GB"/>
                <w14:ligatures w14:val="none"/>
              </w:rPr>
              <w:t>untuk</w:t>
            </w:r>
            <w:proofErr w:type="spellEnd"/>
            <w:r w:rsidRPr="00454BB2">
              <w:rPr>
                <w:rFonts w:eastAsiaTheme="minorHAnsi" w:cstheme="majorHAnsi"/>
                <w:color w:val="auto"/>
                <w:kern w:val="0"/>
                <w:sz w:val="22"/>
                <w:szCs w:val="22"/>
                <w:lang w:val="en-GB"/>
                <w14:ligatures w14:val="none"/>
              </w:rPr>
              <w:t xml:space="preserve"> </w:t>
            </w:r>
            <w:proofErr w:type="spellStart"/>
            <w:r w:rsidRPr="00454BB2">
              <w:rPr>
                <w:rFonts w:eastAsiaTheme="minorHAnsi" w:cstheme="majorHAnsi"/>
                <w:color w:val="auto"/>
                <w:kern w:val="0"/>
                <w:sz w:val="22"/>
                <w:szCs w:val="22"/>
                <w:lang w:val="en-GB"/>
                <w14:ligatures w14:val="none"/>
              </w:rPr>
              <w:t>Akselerasi</w:t>
            </w:r>
            <w:proofErr w:type="spellEnd"/>
            <w:r w:rsidRPr="00454BB2">
              <w:rPr>
                <w:rFonts w:eastAsiaTheme="minorHAnsi" w:cstheme="majorHAnsi"/>
                <w:color w:val="auto"/>
                <w:kern w:val="0"/>
                <w:sz w:val="22"/>
                <w:szCs w:val="22"/>
                <w:lang w:val="en-GB"/>
                <w14:ligatures w14:val="none"/>
              </w:rPr>
              <w:t xml:space="preserve"> </w:t>
            </w:r>
            <w:proofErr w:type="spellStart"/>
            <w:r w:rsidRPr="00454BB2">
              <w:rPr>
                <w:rFonts w:eastAsiaTheme="minorHAnsi" w:cstheme="majorHAnsi"/>
                <w:color w:val="auto"/>
                <w:kern w:val="0"/>
                <w:sz w:val="22"/>
                <w:szCs w:val="22"/>
                <w:lang w:val="en-GB"/>
                <w14:ligatures w14:val="none"/>
              </w:rPr>
              <w:t>Layanan</w:t>
            </w:r>
            <w:proofErr w:type="spellEnd"/>
            <w:r w:rsidRPr="00454BB2">
              <w:rPr>
                <w:rFonts w:eastAsiaTheme="minorHAnsi" w:cstheme="majorHAnsi"/>
                <w:color w:val="auto"/>
                <w:kern w:val="0"/>
                <w:sz w:val="22"/>
                <w:szCs w:val="22"/>
                <w:lang w:val="en-GB"/>
                <w14:ligatures w14:val="none"/>
              </w:rPr>
              <w:t xml:space="preserve"> Dasar (Synergies and Collaboration to Accelerate Service Delivery)</w:t>
            </w:r>
          </w:p>
        </w:tc>
      </w:tr>
    </w:tbl>
    <w:p w14:paraId="06C46C64" w14:textId="27C46D41" w:rsidR="006B68F5" w:rsidRPr="00764147" w:rsidRDefault="62D976BA" w:rsidP="00764147">
      <w:pPr>
        <w:pStyle w:val="Heading1"/>
      </w:pPr>
      <w:bookmarkStart w:id="6" w:name="_Toc105070857"/>
      <w:bookmarkStart w:id="7" w:name="_Toc106190657"/>
      <w:r w:rsidRPr="00764147">
        <w:t>Acknowledgements</w:t>
      </w:r>
      <w:bookmarkEnd w:id="6"/>
      <w:bookmarkEnd w:id="7"/>
    </w:p>
    <w:p w14:paraId="387EEBF5" w14:textId="77777777" w:rsidR="006B68F5" w:rsidRPr="007C253D" w:rsidRDefault="006B68F5" w:rsidP="006B68F5">
      <w:pPr>
        <w:autoSpaceDE w:val="0"/>
        <w:autoSpaceDN w:val="0"/>
        <w:adjustRightInd w:val="0"/>
        <w:spacing w:before="120" w:after="120"/>
        <w:rPr>
          <w:rFonts w:asciiTheme="majorHAnsi" w:eastAsiaTheme="minorHAnsi" w:hAnsiTheme="majorHAnsi" w:cstheme="majorHAnsi"/>
          <w:sz w:val="22"/>
          <w:szCs w:val="22"/>
          <w:lang w:val="en-GB"/>
        </w:rPr>
      </w:pPr>
      <w:proofErr w:type="spellStart"/>
      <w:r w:rsidRPr="007C253D">
        <w:rPr>
          <w:rFonts w:asciiTheme="majorHAnsi" w:eastAsiaTheme="minorHAnsi" w:hAnsiTheme="majorHAnsi" w:cstheme="majorHAnsi"/>
          <w:sz w:val="22"/>
          <w:szCs w:val="22"/>
          <w:lang w:val="en-GB"/>
        </w:rPr>
        <w:t>Storyscape</w:t>
      </w:r>
      <w:proofErr w:type="spellEnd"/>
      <w:r w:rsidRPr="007C253D">
        <w:rPr>
          <w:rFonts w:asciiTheme="majorHAnsi" w:eastAsiaTheme="minorHAnsi" w:hAnsiTheme="majorHAnsi" w:cstheme="majorHAnsi"/>
          <w:sz w:val="22"/>
          <w:szCs w:val="22"/>
          <w:lang w:val="en-GB"/>
        </w:rPr>
        <w:t xml:space="preserve"> </w:t>
      </w:r>
      <w:r>
        <w:rPr>
          <w:rFonts w:asciiTheme="majorHAnsi" w:eastAsiaTheme="minorHAnsi" w:hAnsiTheme="majorHAnsi" w:cstheme="majorHAnsi"/>
          <w:sz w:val="22"/>
          <w:szCs w:val="22"/>
          <w:lang w:val="en-GB"/>
        </w:rPr>
        <w:t xml:space="preserve">and Collective Insights </w:t>
      </w:r>
      <w:r w:rsidRPr="007C253D">
        <w:rPr>
          <w:rFonts w:asciiTheme="majorHAnsi" w:eastAsiaTheme="minorHAnsi" w:hAnsiTheme="majorHAnsi" w:cstheme="majorHAnsi"/>
          <w:sz w:val="22"/>
          <w:szCs w:val="22"/>
          <w:lang w:val="en-GB"/>
        </w:rPr>
        <w:t xml:space="preserve">would like to acknowledge and thank all the </w:t>
      </w:r>
      <w:r>
        <w:rPr>
          <w:rFonts w:asciiTheme="majorHAnsi" w:eastAsiaTheme="minorHAnsi" w:hAnsiTheme="majorHAnsi" w:cstheme="majorHAnsi"/>
          <w:sz w:val="22"/>
          <w:szCs w:val="22"/>
          <w:lang w:val="en-GB"/>
        </w:rPr>
        <w:t>DFAT, Indonesia Project staff, partners and alumni</w:t>
      </w:r>
      <w:r w:rsidRPr="007C253D">
        <w:rPr>
          <w:rFonts w:asciiTheme="majorHAnsi" w:eastAsiaTheme="minorHAnsi" w:hAnsiTheme="majorHAnsi" w:cstheme="majorHAnsi"/>
          <w:sz w:val="22"/>
          <w:szCs w:val="22"/>
          <w:lang w:val="en-GB"/>
        </w:rPr>
        <w:t xml:space="preserve"> that took part in the evaluation, and generously provided their feedback and insights on the project. We are also particularly grateful to </w:t>
      </w:r>
      <w:r>
        <w:rPr>
          <w:rFonts w:asciiTheme="majorHAnsi" w:eastAsiaTheme="minorHAnsi" w:hAnsiTheme="majorHAnsi" w:cstheme="majorHAnsi"/>
          <w:sz w:val="22"/>
          <w:szCs w:val="22"/>
          <w:lang w:val="en-GB"/>
        </w:rPr>
        <w:t>Kathryn Whitney</w:t>
      </w:r>
      <w:r w:rsidRPr="007C253D">
        <w:rPr>
          <w:rFonts w:asciiTheme="majorHAnsi" w:eastAsiaTheme="minorHAnsi" w:hAnsiTheme="majorHAnsi" w:cstheme="majorHAnsi"/>
          <w:sz w:val="22"/>
          <w:szCs w:val="22"/>
          <w:lang w:val="en-GB"/>
        </w:rPr>
        <w:t xml:space="preserve"> </w:t>
      </w:r>
      <w:r>
        <w:rPr>
          <w:rFonts w:asciiTheme="majorHAnsi" w:eastAsiaTheme="minorHAnsi" w:hAnsiTheme="majorHAnsi" w:cstheme="majorHAnsi"/>
          <w:sz w:val="22"/>
          <w:szCs w:val="22"/>
          <w:lang w:val="en-GB"/>
        </w:rPr>
        <w:t>for her assistance</w:t>
      </w:r>
      <w:r w:rsidRPr="007C253D">
        <w:rPr>
          <w:rFonts w:asciiTheme="majorHAnsi" w:eastAsiaTheme="minorHAnsi" w:hAnsiTheme="majorHAnsi" w:cstheme="majorHAnsi"/>
          <w:sz w:val="22"/>
          <w:szCs w:val="22"/>
          <w:lang w:val="en-GB"/>
        </w:rPr>
        <w:t xml:space="preserve"> in </w:t>
      </w:r>
      <w:r>
        <w:rPr>
          <w:rFonts w:asciiTheme="majorHAnsi" w:eastAsiaTheme="minorHAnsi" w:hAnsiTheme="majorHAnsi" w:cstheme="majorHAnsi"/>
          <w:sz w:val="22"/>
          <w:szCs w:val="22"/>
          <w:lang w:val="en-GB"/>
        </w:rPr>
        <w:t xml:space="preserve">providing contact details and enabling connection with a key sample of past PhD </w:t>
      </w:r>
      <w:proofErr w:type="gramStart"/>
      <w:r>
        <w:rPr>
          <w:rFonts w:asciiTheme="majorHAnsi" w:eastAsiaTheme="minorHAnsi" w:hAnsiTheme="majorHAnsi" w:cstheme="majorHAnsi"/>
          <w:sz w:val="22"/>
          <w:szCs w:val="22"/>
          <w:lang w:val="en-GB"/>
        </w:rPr>
        <w:t>students, and</w:t>
      </w:r>
      <w:proofErr w:type="gramEnd"/>
      <w:r>
        <w:rPr>
          <w:rFonts w:asciiTheme="majorHAnsi" w:eastAsiaTheme="minorHAnsi" w:hAnsiTheme="majorHAnsi" w:cstheme="majorHAnsi"/>
          <w:sz w:val="22"/>
          <w:szCs w:val="22"/>
          <w:lang w:val="en-GB"/>
        </w:rPr>
        <w:t xml:space="preserve"> responding to a </w:t>
      </w:r>
      <w:proofErr w:type="gramStart"/>
      <w:r>
        <w:rPr>
          <w:rFonts w:asciiTheme="majorHAnsi" w:eastAsiaTheme="minorHAnsi" w:hAnsiTheme="majorHAnsi" w:cstheme="majorHAnsi"/>
          <w:sz w:val="22"/>
          <w:szCs w:val="22"/>
          <w:lang w:val="en-GB"/>
        </w:rPr>
        <w:t>numerous and varied data requests</w:t>
      </w:r>
      <w:proofErr w:type="gramEnd"/>
      <w:r w:rsidRPr="007C253D">
        <w:rPr>
          <w:rFonts w:asciiTheme="majorHAnsi" w:eastAsiaTheme="minorHAnsi" w:hAnsiTheme="majorHAnsi" w:cstheme="majorHAnsi"/>
          <w:sz w:val="22"/>
          <w:szCs w:val="22"/>
          <w:lang w:val="en-GB"/>
        </w:rPr>
        <w:t xml:space="preserve">. </w:t>
      </w:r>
    </w:p>
    <w:p w14:paraId="1F255452" w14:textId="77777777" w:rsidR="006B68F5" w:rsidRPr="006B68F5" w:rsidRDefault="006B68F5" w:rsidP="006B68F5">
      <w:pPr>
        <w:rPr>
          <w:rFonts w:eastAsiaTheme="minorHAnsi"/>
          <w:lang w:val="en-GB"/>
        </w:rPr>
      </w:pPr>
    </w:p>
    <w:p w14:paraId="38AD11EE" w14:textId="77777777" w:rsidR="006E6D4A" w:rsidRDefault="006E6D4A">
      <w:pPr>
        <w:rPr>
          <w:rFonts w:asciiTheme="majorHAnsi" w:eastAsiaTheme="minorHAnsi" w:hAnsiTheme="majorHAnsi" w:cstheme="majorHAnsi"/>
          <w:b/>
          <w:bCs/>
          <w:color w:val="F9A94A"/>
          <w:sz w:val="32"/>
          <w:szCs w:val="32"/>
          <w:lang w:val="en-GB"/>
        </w:rPr>
      </w:pPr>
      <w:r>
        <w:rPr>
          <w:rFonts w:eastAsiaTheme="minorHAnsi" w:cstheme="majorHAnsi"/>
          <w:b/>
          <w:bCs/>
          <w:color w:val="F9A94A"/>
          <w:lang w:val="en-GB"/>
        </w:rPr>
        <w:br w:type="page"/>
      </w:r>
    </w:p>
    <w:p w14:paraId="7C7A0FBA" w14:textId="359BF6A0" w:rsidR="00D314EA" w:rsidRPr="00764147" w:rsidRDefault="50270441" w:rsidP="00764147">
      <w:pPr>
        <w:pStyle w:val="Heading1"/>
      </w:pPr>
      <w:bookmarkStart w:id="8" w:name="_Toc218593472"/>
      <w:bookmarkStart w:id="9" w:name="_Toc219232322"/>
      <w:r w:rsidRPr="00764147">
        <w:lastRenderedPageBreak/>
        <w:t xml:space="preserve">1. </w:t>
      </w:r>
      <w:r w:rsidR="004C594E" w:rsidRPr="00764147">
        <w:tab/>
      </w:r>
      <w:r w:rsidR="7A10D26A" w:rsidRPr="00764147">
        <w:t>Introduction</w:t>
      </w:r>
      <w:bookmarkEnd w:id="8"/>
      <w:bookmarkEnd w:id="9"/>
      <w:r w:rsidR="7A10D26A" w:rsidRPr="00764147">
        <w:t xml:space="preserve"> </w:t>
      </w:r>
    </w:p>
    <w:p w14:paraId="7D718D7C" w14:textId="7B01AD5D" w:rsidR="008B1B6F" w:rsidRPr="00764147" w:rsidRDefault="50B01692" w:rsidP="00764147">
      <w:pPr>
        <w:pStyle w:val="Heading2"/>
      </w:pPr>
      <w:bookmarkStart w:id="10" w:name="_Toc219232323"/>
      <w:r w:rsidRPr="00764147">
        <w:t xml:space="preserve">1.1 </w:t>
      </w:r>
      <w:r w:rsidR="00FE1292" w:rsidRPr="00764147">
        <w:tab/>
      </w:r>
      <w:r w:rsidRPr="00764147">
        <w:t>Project</w:t>
      </w:r>
      <w:r w:rsidR="7A22A5C4" w:rsidRPr="00764147">
        <w:t xml:space="preserve"> history and background</w:t>
      </w:r>
      <w:bookmarkEnd w:id="10"/>
    </w:p>
    <w:p w14:paraId="7AB67F58" w14:textId="769C1C2D" w:rsidR="0018139D" w:rsidRDefault="000B7519" w:rsidP="00A75418">
      <w:pPr>
        <w:autoSpaceDE w:val="0"/>
        <w:autoSpaceDN w:val="0"/>
        <w:adjustRightInd w:val="0"/>
        <w:spacing w:before="120" w:line="280" w:lineRule="atLeast"/>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The Australian National University (ANU) established the ANU Indonesia Project (</w:t>
      </w:r>
      <w:r w:rsidR="003E3B7F">
        <w:rPr>
          <w:rFonts w:asciiTheme="majorHAnsi" w:eastAsiaTheme="minorHAnsi" w:hAnsiTheme="majorHAnsi" w:cstheme="majorHAnsi"/>
          <w:sz w:val="22"/>
          <w:szCs w:val="22"/>
          <w:lang w:val="en-GB"/>
        </w:rPr>
        <w:t>the Project</w:t>
      </w:r>
      <w:r>
        <w:rPr>
          <w:rFonts w:asciiTheme="majorHAnsi" w:eastAsiaTheme="minorHAnsi" w:hAnsiTheme="majorHAnsi" w:cstheme="majorHAnsi"/>
          <w:sz w:val="22"/>
          <w:szCs w:val="22"/>
          <w:lang w:val="en-GB"/>
        </w:rPr>
        <w:t>) in 1965</w:t>
      </w:r>
      <w:r w:rsidR="0018139D">
        <w:rPr>
          <w:rFonts w:asciiTheme="majorHAnsi" w:eastAsiaTheme="minorHAnsi" w:hAnsiTheme="majorHAnsi" w:cstheme="majorHAnsi"/>
          <w:sz w:val="22"/>
          <w:szCs w:val="22"/>
          <w:lang w:val="en-GB"/>
        </w:rPr>
        <w:t>. It is managed</w:t>
      </w:r>
      <w:r>
        <w:rPr>
          <w:rFonts w:asciiTheme="majorHAnsi" w:eastAsiaTheme="minorHAnsi" w:hAnsiTheme="majorHAnsi" w:cstheme="majorHAnsi"/>
          <w:sz w:val="22"/>
          <w:szCs w:val="22"/>
          <w:lang w:val="en-GB"/>
        </w:rPr>
        <w:t xml:space="preserve"> </w:t>
      </w:r>
      <w:r w:rsidR="00FF5311">
        <w:rPr>
          <w:rFonts w:asciiTheme="majorHAnsi" w:eastAsiaTheme="minorHAnsi" w:hAnsiTheme="majorHAnsi" w:cstheme="majorHAnsi"/>
          <w:sz w:val="22"/>
          <w:szCs w:val="22"/>
          <w:lang w:val="en-GB"/>
        </w:rPr>
        <w:t xml:space="preserve">by and housed within </w:t>
      </w:r>
      <w:r>
        <w:rPr>
          <w:rFonts w:asciiTheme="majorHAnsi" w:eastAsiaTheme="minorHAnsi" w:hAnsiTheme="majorHAnsi" w:cstheme="majorHAnsi"/>
          <w:sz w:val="22"/>
          <w:szCs w:val="22"/>
          <w:lang w:val="en-GB"/>
        </w:rPr>
        <w:t xml:space="preserve">the Arndt-Corden Department of Economics, Crawford School of Public Policy, College of Asia and the Pacific. </w:t>
      </w:r>
      <w:r w:rsidR="00FF5311">
        <w:rPr>
          <w:rFonts w:asciiTheme="majorHAnsi" w:eastAsiaTheme="minorHAnsi" w:hAnsiTheme="majorHAnsi" w:cstheme="majorHAnsi"/>
          <w:sz w:val="22"/>
          <w:szCs w:val="22"/>
          <w:lang w:val="en-GB"/>
        </w:rPr>
        <w:t>The Project was</w:t>
      </w:r>
      <w:r w:rsidR="0018139D">
        <w:rPr>
          <w:rFonts w:asciiTheme="majorHAnsi" w:eastAsiaTheme="minorHAnsi" w:hAnsiTheme="majorHAnsi" w:cstheme="majorHAnsi"/>
          <w:sz w:val="22"/>
          <w:szCs w:val="22"/>
          <w:lang w:val="en-GB"/>
        </w:rPr>
        <w:t xml:space="preserve"> </w:t>
      </w:r>
      <w:r w:rsidR="00FF5311">
        <w:rPr>
          <w:rFonts w:asciiTheme="majorHAnsi" w:eastAsiaTheme="minorHAnsi" w:hAnsiTheme="majorHAnsi" w:cstheme="majorHAnsi"/>
          <w:sz w:val="22"/>
          <w:szCs w:val="22"/>
          <w:lang w:val="en-GB"/>
        </w:rPr>
        <w:t>founded</w:t>
      </w:r>
      <w:r w:rsidR="0018139D">
        <w:rPr>
          <w:rFonts w:asciiTheme="majorHAnsi" w:eastAsiaTheme="minorHAnsi" w:hAnsiTheme="majorHAnsi" w:cstheme="majorHAnsi"/>
          <w:sz w:val="22"/>
          <w:szCs w:val="22"/>
          <w:lang w:val="en-GB"/>
        </w:rPr>
        <w:t xml:space="preserve"> at the same time as the </w:t>
      </w:r>
      <w:r w:rsidR="0018139D">
        <w:rPr>
          <w:rFonts w:asciiTheme="majorHAnsi" w:eastAsiaTheme="minorHAnsi" w:hAnsiTheme="majorHAnsi" w:cstheme="majorHAnsi"/>
          <w:i/>
          <w:iCs/>
          <w:sz w:val="22"/>
          <w:szCs w:val="22"/>
          <w:lang w:val="en-GB"/>
        </w:rPr>
        <w:t xml:space="preserve">Bulletin of Indonesian Economic Studies </w:t>
      </w:r>
      <w:r w:rsidR="0018139D">
        <w:rPr>
          <w:rFonts w:asciiTheme="majorHAnsi" w:eastAsiaTheme="minorHAnsi" w:hAnsiTheme="majorHAnsi" w:cstheme="majorHAnsi"/>
          <w:sz w:val="22"/>
          <w:szCs w:val="22"/>
          <w:lang w:val="en-GB"/>
        </w:rPr>
        <w:t xml:space="preserve">(BIES) was </w:t>
      </w:r>
      <w:proofErr w:type="gramStart"/>
      <w:r w:rsidR="0018139D">
        <w:rPr>
          <w:rFonts w:asciiTheme="majorHAnsi" w:eastAsiaTheme="minorHAnsi" w:hAnsiTheme="majorHAnsi" w:cstheme="majorHAnsi"/>
          <w:sz w:val="22"/>
          <w:szCs w:val="22"/>
          <w:lang w:val="en-GB"/>
        </w:rPr>
        <w:t>established</w:t>
      </w:r>
      <w:r w:rsidR="00FF5311">
        <w:rPr>
          <w:rFonts w:asciiTheme="majorHAnsi" w:eastAsiaTheme="minorHAnsi" w:hAnsiTheme="majorHAnsi" w:cstheme="majorHAnsi"/>
          <w:sz w:val="22"/>
          <w:szCs w:val="22"/>
          <w:lang w:val="en-GB"/>
        </w:rPr>
        <w:t>, and</w:t>
      </w:r>
      <w:proofErr w:type="gramEnd"/>
      <w:r w:rsidR="00FF5311">
        <w:rPr>
          <w:rFonts w:asciiTheme="majorHAnsi" w:eastAsiaTheme="minorHAnsi" w:hAnsiTheme="majorHAnsi" w:cstheme="majorHAnsi"/>
          <w:sz w:val="22"/>
          <w:szCs w:val="22"/>
          <w:lang w:val="en-GB"/>
        </w:rPr>
        <w:t xml:space="preserve"> is designed to support economic and social partnership between Indonesia and Australia</w:t>
      </w:r>
      <w:r w:rsidR="0018139D">
        <w:rPr>
          <w:rFonts w:asciiTheme="majorHAnsi" w:eastAsiaTheme="minorHAnsi" w:hAnsiTheme="majorHAnsi" w:cstheme="majorHAnsi"/>
          <w:sz w:val="22"/>
          <w:szCs w:val="22"/>
          <w:lang w:val="en-GB"/>
        </w:rPr>
        <w:t xml:space="preserve">. While initially </w:t>
      </w:r>
      <w:r w:rsidR="00FF5311">
        <w:rPr>
          <w:rFonts w:asciiTheme="majorHAnsi" w:eastAsiaTheme="minorHAnsi" w:hAnsiTheme="majorHAnsi" w:cstheme="majorHAnsi"/>
          <w:sz w:val="22"/>
          <w:szCs w:val="22"/>
          <w:lang w:val="en-GB"/>
        </w:rPr>
        <w:t>developed</w:t>
      </w:r>
      <w:r w:rsidR="0018139D">
        <w:rPr>
          <w:rFonts w:asciiTheme="majorHAnsi" w:eastAsiaTheme="minorHAnsi" w:hAnsiTheme="majorHAnsi" w:cstheme="majorHAnsi"/>
          <w:sz w:val="22"/>
          <w:szCs w:val="22"/>
          <w:lang w:val="en-GB"/>
        </w:rPr>
        <w:t xml:space="preserve"> as a</w:t>
      </w:r>
      <w:r w:rsidR="00FF5311">
        <w:rPr>
          <w:rFonts w:asciiTheme="majorHAnsi" w:eastAsiaTheme="minorHAnsi" w:hAnsiTheme="majorHAnsi" w:cstheme="majorHAnsi"/>
          <w:sz w:val="22"/>
          <w:szCs w:val="22"/>
          <w:lang w:val="en-GB"/>
        </w:rPr>
        <w:t xml:space="preserve"> </w:t>
      </w:r>
      <w:r w:rsidR="007339F1">
        <w:rPr>
          <w:rFonts w:asciiTheme="majorHAnsi" w:eastAsiaTheme="minorHAnsi" w:hAnsiTheme="majorHAnsi" w:cstheme="majorHAnsi"/>
          <w:sz w:val="22"/>
          <w:szCs w:val="22"/>
          <w:lang w:val="en-GB"/>
        </w:rPr>
        <w:t xml:space="preserve">discrete </w:t>
      </w:r>
      <w:r w:rsidR="0018139D">
        <w:rPr>
          <w:rFonts w:asciiTheme="majorHAnsi" w:eastAsiaTheme="minorHAnsi" w:hAnsiTheme="majorHAnsi" w:cstheme="majorHAnsi"/>
          <w:sz w:val="22"/>
          <w:szCs w:val="22"/>
          <w:lang w:val="en-GB"/>
        </w:rPr>
        <w:t xml:space="preserve">project, it </w:t>
      </w:r>
      <w:r w:rsidR="00FF5311">
        <w:rPr>
          <w:rFonts w:asciiTheme="majorHAnsi" w:eastAsiaTheme="minorHAnsi" w:hAnsiTheme="majorHAnsi" w:cstheme="majorHAnsi"/>
          <w:sz w:val="22"/>
          <w:szCs w:val="22"/>
          <w:lang w:val="en-GB"/>
        </w:rPr>
        <w:t xml:space="preserve">has evolved over the years into </w:t>
      </w:r>
      <w:r w:rsidR="0018139D">
        <w:rPr>
          <w:rFonts w:asciiTheme="majorHAnsi" w:eastAsiaTheme="minorHAnsi" w:hAnsiTheme="majorHAnsi" w:cstheme="majorHAnsi"/>
          <w:sz w:val="22"/>
          <w:szCs w:val="22"/>
          <w:lang w:val="en-GB"/>
        </w:rPr>
        <w:t>a</w:t>
      </w:r>
      <w:r w:rsidR="00FF5311">
        <w:rPr>
          <w:rFonts w:asciiTheme="majorHAnsi" w:eastAsiaTheme="minorHAnsi" w:hAnsiTheme="majorHAnsi" w:cstheme="majorHAnsi"/>
          <w:sz w:val="22"/>
          <w:szCs w:val="22"/>
          <w:lang w:val="en-GB"/>
        </w:rPr>
        <w:t xml:space="preserve"> leading</w:t>
      </w:r>
      <w:r w:rsidR="0018139D">
        <w:rPr>
          <w:rFonts w:asciiTheme="majorHAnsi" w:eastAsiaTheme="minorHAnsi" w:hAnsiTheme="majorHAnsi" w:cstheme="majorHAnsi"/>
          <w:sz w:val="22"/>
          <w:szCs w:val="22"/>
          <w:lang w:val="en-GB"/>
        </w:rPr>
        <w:t xml:space="preserve"> </w:t>
      </w:r>
      <w:r w:rsidR="00FF5311">
        <w:rPr>
          <w:rFonts w:asciiTheme="majorHAnsi" w:eastAsiaTheme="minorHAnsi" w:hAnsiTheme="majorHAnsi" w:cstheme="majorHAnsi"/>
          <w:sz w:val="22"/>
          <w:szCs w:val="22"/>
          <w:lang w:val="en-GB"/>
        </w:rPr>
        <w:t xml:space="preserve">Indonesian economic and social </w:t>
      </w:r>
      <w:r w:rsidR="0018139D">
        <w:rPr>
          <w:rFonts w:asciiTheme="majorHAnsi" w:eastAsiaTheme="minorHAnsi" w:hAnsiTheme="majorHAnsi" w:cstheme="majorHAnsi"/>
          <w:sz w:val="22"/>
          <w:szCs w:val="22"/>
          <w:lang w:val="en-GB"/>
        </w:rPr>
        <w:t xml:space="preserve">research and training centre. </w:t>
      </w:r>
      <w:r w:rsidR="00FF5311">
        <w:rPr>
          <w:rFonts w:asciiTheme="majorHAnsi" w:eastAsiaTheme="minorHAnsi" w:hAnsiTheme="majorHAnsi" w:cstheme="majorHAnsi"/>
          <w:sz w:val="22"/>
          <w:szCs w:val="22"/>
          <w:lang w:val="en-GB"/>
        </w:rPr>
        <w:t xml:space="preserve">DFAT has funded the Project since 1980, with </w:t>
      </w:r>
      <w:r w:rsidR="009566E7">
        <w:rPr>
          <w:rFonts w:asciiTheme="majorHAnsi" w:eastAsiaTheme="minorHAnsi" w:hAnsiTheme="majorHAnsi" w:cstheme="majorHAnsi"/>
          <w:sz w:val="22"/>
          <w:szCs w:val="22"/>
          <w:lang w:val="en-GB"/>
        </w:rPr>
        <w:t xml:space="preserve">DFAT and </w:t>
      </w:r>
      <w:r w:rsidR="00FF5311">
        <w:rPr>
          <w:rFonts w:asciiTheme="majorHAnsi" w:eastAsiaTheme="minorHAnsi" w:hAnsiTheme="majorHAnsi" w:cstheme="majorHAnsi"/>
          <w:sz w:val="22"/>
          <w:szCs w:val="22"/>
          <w:lang w:val="en-GB"/>
        </w:rPr>
        <w:t xml:space="preserve">ANU providing matched funding contributions. The Project is in its fifth phase of DFAT funding and received </w:t>
      </w:r>
      <w:r w:rsidR="008C16B7">
        <w:rPr>
          <w:rFonts w:asciiTheme="majorHAnsi" w:eastAsiaTheme="minorHAnsi" w:hAnsiTheme="majorHAnsi" w:cstheme="majorHAnsi"/>
          <w:sz w:val="22"/>
          <w:szCs w:val="22"/>
          <w:lang w:val="en-GB"/>
        </w:rPr>
        <w:t xml:space="preserve">AUD </w:t>
      </w:r>
      <w:r w:rsidR="00FF5311">
        <w:rPr>
          <w:rFonts w:asciiTheme="majorHAnsi" w:eastAsiaTheme="minorHAnsi" w:hAnsiTheme="majorHAnsi" w:cstheme="majorHAnsi"/>
          <w:sz w:val="22"/>
          <w:szCs w:val="22"/>
          <w:lang w:val="en-GB"/>
        </w:rPr>
        <w:t xml:space="preserve">5.2 million </w:t>
      </w:r>
      <w:r w:rsidR="008C16B7">
        <w:rPr>
          <w:rFonts w:asciiTheme="majorHAnsi" w:eastAsiaTheme="minorHAnsi" w:hAnsiTheme="majorHAnsi" w:cstheme="majorHAnsi"/>
          <w:sz w:val="22"/>
          <w:szCs w:val="22"/>
          <w:lang w:val="en-GB"/>
        </w:rPr>
        <w:t xml:space="preserve">between 2022–2026. ANU has provided equivalent funding through direct staffing and activity costs, as well as </w:t>
      </w:r>
      <w:r w:rsidR="00E04E20">
        <w:rPr>
          <w:rFonts w:asciiTheme="majorHAnsi" w:eastAsiaTheme="minorHAnsi" w:hAnsiTheme="majorHAnsi" w:cstheme="majorHAnsi"/>
          <w:sz w:val="22"/>
          <w:szCs w:val="22"/>
          <w:lang w:val="en-GB"/>
        </w:rPr>
        <w:t xml:space="preserve">through </w:t>
      </w:r>
      <w:r w:rsidR="008C16B7">
        <w:rPr>
          <w:rFonts w:asciiTheme="majorHAnsi" w:eastAsiaTheme="minorHAnsi" w:hAnsiTheme="majorHAnsi" w:cstheme="majorHAnsi"/>
          <w:sz w:val="22"/>
          <w:szCs w:val="22"/>
          <w:lang w:val="en-GB"/>
        </w:rPr>
        <w:t>the provision of in-kind support (</w:t>
      </w:r>
      <w:r w:rsidR="007339F1">
        <w:rPr>
          <w:rFonts w:asciiTheme="majorHAnsi" w:eastAsiaTheme="minorHAnsi" w:hAnsiTheme="majorHAnsi" w:cstheme="majorHAnsi"/>
          <w:sz w:val="22"/>
          <w:szCs w:val="22"/>
          <w:lang w:val="en-GB"/>
        </w:rPr>
        <w:t xml:space="preserve">i.e. </w:t>
      </w:r>
      <w:r w:rsidR="008C16B7">
        <w:rPr>
          <w:rFonts w:asciiTheme="majorHAnsi" w:eastAsiaTheme="minorHAnsi" w:hAnsiTheme="majorHAnsi" w:cstheme="majorHAnsi"/>
          <w:sz w:val="22"/>
          <w:szCs w:val="22"/>
          <w:lang w:val="en-GB"/>
        </w:rPr>
        <w:t>offices, venues and administrati</w:t>
      </w:r>
      <w:r w:rsidR="00E04E20">
        <w:rPr>
          <w:rFonts w:asciiTheme="majorHAnsi" w:eastAsiaTheme="minorHAnsi" w:hAnsiTheme="majorHAnsi" w:cstheme="majorHAnsi"/>
          <w:sz w:val="22"/>
          <w:szCs w:val="22"/>
          <w:lang w:val="en-GB"/>
        </w:rPr>
        <w:t>ve contributions</w:t>
      </w:r>
      <w:r w:rsidR="008C16B7">
        <w:rPr>
          <w:rFonts w:asciiTheme="majorHAnsi" w:eastAsiaTheme="minorHAnsi" w:hAnsiTheme="majorHAnsi" w:cstheme="majorHAnsi"/>
          <w:sz w:val="22"/>
          <w:szCs w:val="22"/>
          <w:lang w:val="en-GB"/>
        </w:rPr>
        <w:t xml:space="preserve">). </w:t>
      </w:r>
    </w:p>
    <w:p w14:paraId="3489EF8C" w14:textId="59C27511" w:rsidR="00FE1292" w:rsidRPr="00FE1292" w:rsidRDefault="00FE1292" w:rsidP="007F0B56">
      <w:pPr>
        <w:pStyle w:val="Heading3"/>
        <w:rPr>
          <w:lang w:val="en-GB"/>
        </w:rPr>
      </w:pPr>
      <w:r>
        <w:rPr>
          <w:lang w:val="en-GB"/>
        </w:rPr>
        <w:t>Phase V of the Indonesia project</w:t>
      </w:r>
    </w:p>
    <w:p w14:paraId="221DFE1F" w14:textId="31703658" w:rsidR="008323DB" w:rsidRDefault="00CD6330" w:rsidP="008323DB">
      <w:pPr>
        <w:autoSpaceDE w:val="0"/>
        <w:autoSpaceDN w:val="0"/>
        <w:adjustRightInd w:val="0"/>
        <w:spacing w:before="120" w:line="280" w:lineRule="atLeast"/>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 xml:space="preserve">The overarching goal of the </w:t>
      </w:r>
      <w:r w:rsidR="00E04E20" w:rsidRPr="00FE1292">
        <w:rPr>
          <w:rFonts w:asciiTheme="majorHAnsi" w:eastAsiaTheme="minorHAnsi" w:hAnsiTheme="majorHAnsi" w:cstheme="majorHAnsi"/>
          <w:sz w:val="22"/>
          <w:szCs w:val="22"/>
          <w:lang w:val="en-GB"/>
        </w:rPr>
        <w:t>Phase V of the Project</w:t>
      </w:r>
      <w:r>
        <w:rPr>
          <w:rFonts w:asciiTheme="majorHAnsi" w:eastAsiaTheme="minorHAnsi" w:hAnsiTheme="majorHAnsi" w:cstheme="majorHAnsi"/>
          <w:sz w:val="22"/>
          <w:szCs w:val="22"/>
          <w:lang w:val="en-GB"/>
        </w:rPr>
        <w:t xml:space="preserve"> is “to contribute to sustainable and inclusive social development and economic growth through education and research-based public policies in Indonesia” (ANU-IP, Phase V Design, 2022). The </w:t>
      </w:r>
      <w:r w:rsidR="00E04E20">
        <w:rPr>
          <w:rFonts w:asciiTheme="majorHAnsi" w:eastAsiaTheme="minorHAnsi" w:hAnsiTheme="majorHAnsi" w:cstheme="majorHAnsi"/>
          <w:sz w:val="22"/>
          <w:szCs w:val="22"/>
          <w:lang w:val="en-GB"/>
        </w:rPr>
        <w:t>P</w:t>
      </w:r>
      <w:r>
        <w:rPr>
          <w:rFonts w:asciiTheme="majorHAnsi" w:eastAsiaTheme="minorHAnsi" w:hAnsiTheme="majorHAnsi" w:cstheme="majorHAnsi"/>
          <w:sz w:val="22"/>
          <w:szCs w:val="22"/>
          <w:lang w:val="en-GB"/>
        </w:rPr>
        <w:t xml:space="preserve">roject aims to contribute to this goal </w:t>
      </w:r>
      <w:r w:rsidR="001F3910">
        <w:rPr>
          <w:rFonts w:asciiTheme="majorHAnsi" w:eastAsiaTheme="minorHAnsi" w:hAnsiTheme="majorHAnsi" w:cstheme="majorHAnsi"/>
          <w:sz w:val="22"/>
          <w:szCs w:val="22"/>
          <w:lang w:val="en-GB"/>
        </w:rPr>
        <w:t>by producing</w:t>
      </w:r>
      <w:r>
        <w:rPr>
          <w:rFonts w:asciiTheme="majorHAnsi" w:eastAsiaTheme="minorHAnsi" w:hAnsiTheme="majorHAnsi" w:cstheme="majorHAnsi"/>
          <w:sz w:val="22"/>
          <w:szCs w:val="22"/>
          <w:lang w:val="en-GB"/>
        </w:rPr>
        <w:t xml:space="preserve"> high quality economic/development policy research, education and partnership links that benefit </w:t>
      </w:r>
      <w:r w:rsidR="001F3910">
        <w:rPr>
          <w:rFonts w:asciiTheme="majorHAnsi" w:eastAsiaTheme="minorHAnsi" w:hAnsiTheme="majorHAnsi" w:cstheme="majorHAnsi"/>
          <w:sz w:val="22"/>
          <w:szCs w:val="22"/>
          <w:lang w:val="en-GB"/>
        </w:rPr>
        <w:t xml:space="preserve">both Indonesia and Australia. </w:t>
      </w:r>
      <w:r w:rsidR="00351281">
        <w:rPr>
          <w:rFonts w:asciiTheme="majorHAnsi" w:eastAsiaTheme="minorHAnsi" w:hAnsiTheme="majorHAnsi" w:cstheme="majorHAnsi"/>
          <w:sz w:val="22"/>
          <w:szCs w:val="22"/>
          <w:lang w:val="en-GB"/>
        </w:rPr>
        <w:t>The Project does this by building the capacity of Indonesian researchers, disseminating research results to target audiences</w:t>
      </w:r>
      <w:r w:rsidR="00877380">
        <w:rPr>
          <w:rFonts w:asciiTheme="majorHAnsi" w:eastAsiaTheme="minorHAnsi" w:hAnsiTheme="majorHAnsi" w:cstheme="majorHAnsi"/>
          <w:sz w:val="22"/>
          <w:szCs w:val="22"/>
          <w:lang w:val="en-GB"/>
        </w:rPr>
        <w:t xml:space="preserve"> (through publications such as BIES and knowledge symposiums such as the Indonesia Update)</w:t>
      </w:r>
      <w:r w:rsidR="00351281">
        <w:rPr>
          <w:rFonts w:asciiTheme="majorHAnsi" w:eastAsiaTheme="minorHAnsi" w:hAnsiTheme="majorHAnsi" w:cstheme="majorHAnsi"/>
          <w:sz w:val="22"/>
          <w:szCs w:val="22"/>
          <w:lang w:val="en-GB"/>
        </w:rPr>
        <w:t>, developing institutional and people-to-people networks, and improving Indonesian literacy among Australians.</w:t>
      </w:r>
      <w:r w:rsidR="0041029B">
        <w:rPr>
          <w:rFonts w:asciiTheme="majorHAnsi" w:eastAsiaTheme="minorHAnsi" w:hAnsiTheme="majorHAnsi" w:cstheme="majorHAnsi"/>
          <w:sz w:val="22"/>
          <w:szCs w:val="22"/>
          <w:lang w:val="en-GB"/>
        </w:rPr>
        <w:t xml:space="preserve"> The Project works with a range of institutional partners across Australia and Indonesia including government departments and ministries, universities, think-tanks and research institutes, civil society organisations (CSOs), and multilateral organisations (e.g. World Bank and Asian Development Bank). </w:t>
      </w:r>
    </w:p>
    <w:p w14:paraId="73BC6320" w14:textId="0EE5D4B6" w:rsidR="00FE1292" w:rsidRPr="008323DB" w:rsidRDefault="00FE1292" w:rsidP="008323DB">
      <w:pPr>
        <w:autoSpaceDE w:val="0"/>
        <w:autoSpaceDN w:val="0"/>
        <w:adjustRightInd w:val="0"/>
        <w:spacing w:before="120" w:line="280" w:lineRule="atLeast"/>
        <w:rPr>
          <w:rFonts w:asciiTheme="majorHAnsi" w:eastAsiaTheme="minorHAnsi" w:hAnsiTheme="majorHAnsi" w:cstheme="majorHAnsi"/>
          <w:sz w:val="22"/>
          <w:szCs w:val="22"/>
          <w:lang w:val="en-GB"/>
        </w:rPr>
      </w:pPr>
      <w:r w:rsidRPr="00FE1292">
        <w:rPr>
          <w:rFonts w:asciiTheme="majorHAnsi" w:hAnsiTheme="majorHAnsi" w:cstheme="majorHAnsi"/>
          <w:sz w:val="22"/>
          <w:szCs w:val="22"/>
        </w:rPr>
        <w:t>Phase V of the project has four End of Program Outcomes (EOPOs):</w:t>
      </w:r>
    </w:p>
    <w:p w14:paraId="1D33AB74" w14:textId="11646E48" w:rsidR="00FE1292" w:rsidRPr="00FE1292" w:rsidRDefault="00FE1292" w:rsidP="007B461C">
      <w:pPr>
        <w:numPr>
          <w:ilvl w:val="0"/>
          <w:numId w:val="3"/>
        </w:numPr>
        <w:spacing w:before="120"/>
        <w:ind w:left="714" w:hanging="357"/>
        <w:rPr>
          <w:rFonts w:asciiTheme="majorHAnsi" w:hAnsiTheme="majorHAnsi" w:cstheme="majorHAnsi"/>
          <w:sz w:val="22"/>
          <w:szCs w:val="22"/>
        </w:rPr>
      </w:pPr>
      <w:r w:rsidRPr="00FE1292">
        <w:rPr>
          <w:rFonts w:asciiTheme="majorHAnsi" w:hAnsiTheme="majorHAnsi" w:cstheme="majorHAnsi"/>
          <w:b/>
          <w:bCs/>
          <w:i/>
          <w:iCs/>
          <w:sz w:val="22"/>
          <w:szCs w:val="22"/>
        </w:rPr>
        <w:t>Applied research and teaching</w:t>
      </w:r>
      <w:r w:rsidR="008323DB">
        <w:rPr>
          <w:rFonts w:asciiTheme="majorHAnsi" w:hAnsiTheme="majorHAnsi" w:cstheme="majorHAnsi"/>
          <w:b/>
          <w:bCs/>
          <w:i/>
          <w:iCs/>
          <w:sz w:val="22"/>
          <w:szCs w:val="22"/>
        </w:rPr>
        <w:t xml:space="preserve"> (EOPO 1)</w:t>
      </w:r>
      <w:r w:rsidRPr="00FE1292">
        <w:rPr>
          <w:rFonts w:asciiTheme="majorHAnsi" w:hAnsiTheme="majorHAnsi" w:cstheme="majorHAnsi"/>
          <w:b/>
          <w:bCs/>
          <w:i/>
          <w:iCs/>
          <w:sz w:val="22"/>
          <w:szCs w:val="22"/>
        </w:rPr>
        <w:t>:</w:t>
      </w:r>
      <w:r w:rsidRPr="00FE1292">
        <w:rPr>
          <w:rFonts w:asciiTheme="majorHAnsi" w:hAnsiTheme="majorHAnsi" w:cstheme="majorHAnsi"/>
          <w:sz w:val="22"/>
          <w:szCs w:val="22"/>
        </w:rPr>
        <w:t xml:space="preserve"> High-quality, independent teaching and research produced and used to help strengthen inclusive social and economic </w:t>
      </w:r>
      <w:proofErr w:type="gramStart"/>
      <w:r w:rsidRPr="00FE1292">
        <w:rPr>
          <w:rFonts w:asciiTheme="majorHAnsi" w:hAnsiTheme="majorHAnsi" w:cstheme="majorHAnsi"/>
          <w:sz w:val="22"/>
          <w:szCs w:val="22"/>
        </w:rPr>
        <w:t>policy-making</w:t>
      </w:r>
      <w:proofErr w:type="gramEnd"/>
    </w:p>
    <w:p w14:paraId="6245391C" w14:textId="3DFC074D" w:rsidR="00FE1292" w:rsidRPr="00FE1292" w:rsidRDefault="00FE1292" w:rsidP="007B461C">
      <w:pPr>
        <w:numPr>
          <w:ilvl w:val="0"/>
          <w:numId w:val="3"/>
        </w:numPr>
        <w:spacing w:before="100" w:beforeAutospacing="1" w:after="100" w:afterAutospacing="1"/>
        <w:rPr>
          <w:rFonts w:asciiTheme="majorHAnsi" w:hAnsiTheme="majorHAnsi" w:cstheme="majorHAnsi"/>
          <w:sz w:val="22"/>
          <w:szCs w:val="22"/>
        </w:rPr>
      </w:pPr>
      <w:r w:rsidRPr="00FE1292">
        <w:rPr>
          <w:rFonts w:asciiTheme="majorHAnsi" w:hAnsiTheme="majorHAnsi" w:cstheme="majorHAnsi"/>
          <w:b/>
          <w:bCs/>
          <w:i/>
          <w:iCs/>
          <w:sz w:val="22"/>
          <w:szCs w:val="22"/>
        </w:rPr>
        <w:t>Capacity building</w:t>
      </w:r>
      <w:r w:rsidR="008323DB">
        <w:rPr>
          <w:rFonts w:asciiTheme="majorHAnsi" w:hAnsiTheme="majorHAnsi" w:cstheme="majorHAnsi"/>
          <w:b/>
          <w:bCs/>
          <w:i/>
          <w:iCs/>
          <w:sz w:val="22"/>
          <w:szCs w:val="22"/>
        </w:rPr>
        <w:t xml:space="preserve"> (EOPO 2)</w:t>
      </w:r>
      <w:r w:rsidRPr="00FE1292">
        <w:rPr>
          <w:rFonts w:asciiTheme="majorHAnsi" w:hAnsiTheme="majorHAnsi" w:cstheme="majorHAnsi"/>
          <w:b/>
          <w:bCs/>
          <w:i/>
          <w:iCs/>
          <w:sz w:val="22"/>
          <w:szCs w:val="22"/>
        </w:rPr>
        <w:t>:</w:t>
      </w:r>
      <w:r w:rsidRPr="00FE1292">
        <w:rPr>
          <w:rFonts w:asciiTheme="majorHAnsi" w:hAnsiTheme="majorHAnsi" w:cstheme="majorHAnsi"/>
          <w:sz w:val="22"/>
          <w:szCs w:val="22"/>
        </w:rPr>
        <w:t xml:space="preserve"> Enhanced capacity and expanded cohort of current and future Indonesian and Australian researchers</w:t>
      </w:r>
    </w:p>
    <w:p w14:paraId="14ACDB50" w14:textId="4818A569" w:rsidR="00FE1292" w:rsidRPr="00FE1292" w:rsidRDefault="00FE1292" w:rsidP="007B461C">
      <w:pPr>
        <w:numPr>
          <w:ilvl w:val="0"/>
          <w:numId w:val="3"/>
        </w:numPr>
        <w:spacing w:before="100" w:beforeAutospacing="1" w:after="100" w:afterAutospacing="1"/>
        <w:rPr>
          <w:rFonts w:asciiTheme="majorHAnsi" w:hAnsiTheme="majorHAnsi" w:cstheme="majorHAnsi"/>
          <w:sz w:val="22"/>
          <w:szCs w:val="22"/>
        </w:rPr>
      </w:pPr>
      <w:r w:rsidRPr="00FE1292">
        <w:rPr>
          <w:rFonts w:asciiTheme="majorHAnsi" w:hAnsiTheme="majorHAnsi" w:cstheme="majorHAnsi"/>
          <w:b/>
          <w:bCs/>
          <w:i/>
          <w:iCs/>
          <w:sz w:val="22"/>
          <w:szCs w:val="22"/>
        </w:rPr>
        <w:t>Communication, outreach and networks</w:t>
      </w:r>
      <w:r w:rsidR="008323DB">
        <w:rPr>
          <w:rFonts w:asciiTheme="majorHAnsi" w:hAnsiTheme="majorHAnsi" w:cstheme="majorHAnsi"/>
          <w:b/>
          <w:bCs/>
          <w:i/>
          <w:iCs/>
          <w:sz w:val="22"/>
          <w:szCs w:val="22"/>
        </w:rPr>
        <w:t xml:space="preserve"> (EOPO 3)</w:t>
      </w:r>
      <w:r w:rsidRPr="00FE1292">
        <w:rPr>
          <w:rFonts w:asciiTheme="majorHAnsi" w:hAnsiTheme="majorHAnsi" w:cstheme="majorHAnsi"/>
          <w:b/>
          <w:bCs/>
          <w:i/>
          <w:iCs/>
          <w:sz w:val="22"/>
          <w:szCs w:val="22"/>
        </w:rPr>
        <w:t>:</w:t>
      </w:r>
      <w:r w:rsidRPr="00FE1292">
        <w:rPr>
          <w:rFonts w:asciiTheme="majorHAnsi" w:hAnsiTheme="majorHAnsi" w:cstheme="majorHAnsi"/>
          <w:sz w:val="22"/>
          <w:szCs w:val="22"/>
        </w:rPr>
        <w:t xml:space="preserve"> Increased knowledge about Indonesia, particularly in Australia, and strong Australia–Indonesia networks</w:t>
      </w:r>
    </w:p>
    <w:p w14:paraId="60135338" w14:textId="154F4853" w:rsidR="00FE1292" w:rsidRDefault="00FE1292" w:rsidP="007B461C">
      <w:pPr>
        <w:numPr>
          <w:ilvl w:val="0"/>
          <w:numId w:val="3"/>
        </w:numPr>
        <w:spacing w:before="100" w:beforeAutospacing="1" w:after="100" w:afterAutospacing="1"/>
        <w:rPr>
          <w:rFonts w:asciiTheme="majorHAnsi" w:hAnsiTheme="majorHAnsi" w:cstheme="majorHAnsi"/>
          <w:sz w:val="22"/>
          <w:szCs w:val="22"/>
        </w:rPr>
      </w:pPr>
      <w:r w:rsidRPr="00FE1292">
        <w:rPr>
          <w:rFonts w:asciiTheme="majorHAnsi" w:hAnsiTheme="majorHAnsi" w:cstheme="majorHAnsi"/>
          <w:b/>
          <w:bCs/>
          <w:i/>
          <w:iCs/>
          <w:sz w:val="22"/>
          <w:szCs w:val="22"/>
        </w:rPr>
        <w:t>Equity and inclusion</w:t>
      </w:r>
      <w:r w:rsidR="008323DB">
        <w:rPr>
          <w:rFonts w:asciiTheme="majorHAnsi" w:hAnsiTheme="majorHAnsi" w:cstheme="majorHAnsi"/>
          <w:b/>
          <w:bCs/>
          <w:i/>
          <w:iCs/>
          <w:sz w:val="22"/>
          <w:szCs w:val="22"/>
        </w:rPr>
        <w:t xml:space="preserve"> (EOPO 4)</w:t>
      </w:r>
      <w:r w:rsidRPr="00FE1292">
        <w:rPr>
          <w:rFonts w:asciiTheme="majorHAnsi" w:hAnsiTheme="majorHAnsi" w:cstheme="majorHAnsi"/>
          <w:b/>
          <w:bCs/>
          <w:i/>
          <w:iCs/>
          <w:sz w:val="22"/>
          <w:szCs w:val="22"/>
        </w:rPr>
        <w:t>:</w:t>
      </w:r>
      <w:r w:rsidRPr="00FE1292">
        <w:rPr>
          <w:rFonts w:asciiTheme="majorHAnsi" w:hAnsiTheme="majorHAnsi" w:cstheme="majorHAnsi"/>
          <w:sz w:val="22"/>
          <w:szCs w:val="22"/>
        </w:rPr>
        <w:t xml:space="preserve"> Increased gender equality and social inclusion. </w:t>
      </w:r>
    </w:p>
    <w:p w14:paraId="5B9C74C5" w14:textId="643D2011" w:rsidR="00351281" w:rsidRPr="00FE1292" w:rsidRDefault="00E04E20" w:rsidP="00FE1292">
      <w:pPr>
        <w:spacing w:before="100" w:beforeAutospacing="1" w:after="100" w:afterAutospacing="1"/>
        <w:rPr>
          <w:rStyle w:val="normaltextrun"/>
          <w:rFonts w:asciiTheme="majorHAnsi" w:hAnsiTheme="majorHAnsi" w:cstheme="majorHAnsi"/>
          <w:sz w:val="22"/>
          <w:szCs w:val="22"/>
        </w:rPr>
      </w:pPr>
      <w:proofErr w:type="gramStart"/>
      <w:r w:rsidRPr="00FE1292">
        <w:rPr>
          <w:rStyle w:val="normaltextrun"/>
          <w:rFonts w:ascii="Calibri Light" w:hAnsi="Calibri Light" w:cs="Calibri Light"/>
          <w:sz w:val="22"/>
          <w:szCs w:val="22"/>
        </w:rPr>
        <w:t>In order to</w:t>
      </w:r>
      <w:proofErr w:type="gramEnd"/>
      <w:r w:rsidRPr="00FE1292">
        <w:rPr>
          <w:rStyle w:val="normaltextrun"/>
          <w:rFonts w:ascii="Calibri Light" w:hAnsi="Calibri Light" w:cs="Calibri Light"/>
          <w:sz w:val="22"/>
          <w:szCs w:val="22"/>
        </w:rPr>
        <w:t xml:space="preserve"> achieve these outcomes, t</w:t>
      </w:r>
      <w:r w:rsidR="00351281" w:rsidRPr="00FE1292">
        <w:rPr>
          <w:rStyle w:val="normaltextrun"/>
          <w:rFonts w:ascii="Calibri Light" w:hAnsi="Calibri Light" w:cs="Calibri Light"/>
          <w:sz w:val="22"/>
          <w:szCs w:val="22"/>
        </w:rPr>
        <w:t>he Project implements a suite of activities under three project components</w:t>
      </w:r>
      <w:r w:rsidRPr="00FE1292">
        <w:rPr>
          <w:rStyle w:val="normaltextrun"/>
          <w:rFonts w:ascii="Calibri Light" w:hAnsi="Calibri Light" w:cs="Calibri Light"/>
          <w:sz w:val="22"/>
          <w:szCs w:val="22"/>
        </w:rPr>
        <w:t xml:space="preserve"> (see </w:t>
      </w:r>
      <w:r w:rsidR="00FE1292" w:rsidRPr="00FE1292">
        <w:rPr>
          <w:rStyle w:val="normaltextrun"/>
          <w:rFonts w:ascii="Calibri Light" w:hAnsi="Calibri Light" w:cs="Calibri Light"/>
          <w:sz w:val="22"/>
          <w:szCs w:val="22"/>
        </w:rPr>
        <w:t>Appendix 1</w:t>
      </w:r>
      <w:r w:rsidRPr="00FE1292">
        <w:rPr>
          <w:rStyle w:val="normaltextrun"/>
          <w:rFonts w:ascii="Calibri Light" w:hAnsi="Calibri Light" w:cs="Calibri Light"/>
          <w:sz w:val="22"/>
          <w:szCs w:val="22"/>
        </w:rPr>
        <w:t xml:space="preserve"> </w:t>
      </w:r>
      <w:r w:rsidR="00BF0E47">
        <w:rPr>
          <w:rStyle w:val="normaltextrun"/>
          <w:rFonts w:ascii="Calibri Light" w:hAnsi="Calibri Light" w:cs="Calibri Light"/>
          <w:sz w:val="22"/>
          <w:szCs w:val="22"/>
        </w:rPr>
        <w:t>for a</w:t>
      </w:r>
      <w:r w:rsidRPr="00FE1292">
        <w:rPr>
          <w:rStyle w:val="normaltextrun"/>
          <w:rFonts w:ascii="Calibri Light" w:hAnsi="Calibri Light" w:cs="Calibri Light"/>
          <w:sz w:val="22"/>
          <w:szCs w:val="22"/>
        </w:rPr>
        <w:t xml:space="preserve"> list of key activities implemented)</w:t>
      </w:r>
      <w:r w:rsidR="00351281" w:rsidRPr="00FE1292">
        <w:rPr>
          <w:rStyle w:val="normaltextrun"/>
          <w:rFonts w:ascii="Calibri Light" w:hAnsi="Calibri Light" w:cs="Calibri Light"/>
          <w:sz w:val="22"/>
          <w:szCs w:val="22"/>
        </w:rPr>
        <w:t>:</w:t>
      </w:r>
    </w:p>
    <w:p w14:paraId="1C387DDD" w14:textId="77777777" w:rsidR="00351281" w:rsidRDefault="00351281" w:rsidP="007B461C">
      <w:pPr>
        <w:pStyle w:val="ListParagraph"/>
        <w:numPr>
          <w:ilvl w:val="0"/>
          <w:numId w:val="2"/>
        </w:numPr>
        <w:autoSpaceDE w:val="0"/>
        <w:autoSpaceDN w:val="0"/>
        <w:adjustRightInd w:val="0"/>
        <w:spacing w:before="120" w:line="280" w:lineRule="atLeast"/>
        <w:rPr>
          <w:rStyle w:val="normaltextrun"/>
          <w:rFonts w:ascii="Calibri Light" w:hAnsi="Calibri Light" w:cs="Calibri Light"/>
          <w:sz w:val="22"/>
          <w:szCs w:val="22"/>
        </w:rPr>
      </w:pPr>
      <w:r>
        <w:rPr>
          <w:rStyle w:val="normaltextrun"/>
          <w:rFonts w:ascii="Calibri Light" w:hAnsi="Calibri Light" w:cs="Calibri Light"/>
          <w:sz w:val="22"/>
          <w:szCs w:val="22"/>
        </w:rPr>
        <w:t>Component A: Knowledge Deepening and Capacity Building</w:t>
      </w:r>
    </w:p>
    <w:p w14:paraId="3E414806" w14:textId="77777777" w:rsidR="00351281" w:rsidRDefault="00351281" w:rsidP="007B461C">
      <w:pPr>
        <w:pStyle w:val="ListParagraph"/>
        <w:numPr>
          <w:ilvl w:val="0"/>
          <w:numId w:val="2"/>
        </w:numPr>
        <w:autoSpaceDE w:val="0"/>
        <w:autoSpaceDN w:val="0"/>
        <w:adjustRightInd w:val="0"/>
        <w:spacing w:before="120" w:line="280" w:lineRule="atLeast"/>
        <w:rPr>
          <w:rStyle w:val="normaltextrun"/>
          <w:rFonts w:ascii="Calibri Light" w:hAnsi="Calibri Light" w:cs="Calibri Light"/>
          <w:sz w:val="22"/>
          <w:szCs w:val="22"/>
        </w:rPr>
      </w:pPr>
      <w:r>
        <w:rPr>
          <w:rStyle w:val="normaltextrun"/>
          <w:rFonts w:ascii="Calibri Light" w:hAnsi="Calibri Light" w:cs="Calibri Light"/>
          <w:sz w:val="22"/>
          <w:szCs w:val="22"/>
        </w:rPr>
        <w:t>Component B: Policy Engagement and Dissemination of Research Findings</w:t>
      </w:r>
    </w:p>
    <w:p w14:paraId="6974E59E" w14:textId="3CC6AD43" w:rsidR="00351281" w:rsidRDefault="00351281" w:rsidP="007B461C">
      <w:pPr>
        <w:pStyle w:val="ListParagraph"/>
        <w:numPr>
          <w:ilvl w:val="0"/>
          <w:numId w:val="2"/>
        </w:numPr>
        <w:autoSpaceDE w:val="0"/>
        <w:autoSpaceDN w:val="0"/>
        <w:adjustRightInd w:val="0"/>
        <w:spacing w:before="120" w:line="280" w:lineRule="atLeast"/>
        <w:rPr>
          <w:rStyle w:val="normaltextrun"/>
          <w:rFonts w:ascii="Calibri Light" w:hAnsi="Calibri Light" w:cs="Calibri Light"/>
          <w:sz w:val="22"/>
          <w:szCs w:val="22"/>
        </w:rPr>
      </w:pPr>
      <w:r>
        <w:rPr>
          <w:rStyle w:val="normaltextrun"/>
          <w:rFonts w:ascii="Calibri Light" w:hAnsi="Calibri Light" w:cs="Calibri Light"/>
          <w:sz w:val="22"/>
          <w:szCs w:val="22"/>
        </w:rPr>
        <w:t>Component C: Community and Business Outreach.</w:t>
      </w:r>
    </w:p>
    <w:p w14:paraId="46104487" w14:textId="3EC2E454" w:rsidR="009F6CBB" w:rsidRPr="009F6CBB" w:rsidRDefault="00416A6F" w:rsidP="009F6CBB">
      <w:pPr>
        <w:autoSpaceDE w:val="0"/>
        <w:autoSpaceDN w:val="0"/>
        <w:adjustRightInd w:val="0"/>
        <w:spacing w:before="120" w:line="280" w:lineRule="atLeast"/>
        <w:rPr>
          <w:rStyle w:val="normaltextrun"/>
          <w:rFonts w:asciiTheme="majorHAnsi" w:eastAsiaTheme="minorHAnsi" w:hAnsiTheme="majorHAnsi" w:cstheme="majorHAnsi"/>
          <w:sz w:val="22"/>
          <w:szCs w:val="22"/>
          <w:lang w:val="en-GB"/>
        </w:rPr>
      </w:pPr>
      <w:r w:rsidRPr="00416A6F">
        <w:rPr>
          <w:rStyle w:val="normaltextrun"/>
          <w:rFonts w:ascii="Calibri Light" w:hAnsi="Calibri Light" w:cs="Calibri Light"/>
          <w:sz w:val="22"/>
          <w:szCs w:val="22"/>
        </w:rPr>
        <w:t xml:space="preserve">Component C is a new component not included </w:t>
      </w:r>
      <w:r>
        <w:rPr>
          <w:rStyle w:val="normaltextrun"/>
          <w:rFonts w:ascii="Calibri Light" w:hAnsi="Calibri Light" w:cs="Calibri Light"/>
          <w:sz w:val="22"/>
          <w:szCs w:val="22"/>
        </w:rPr>
        <w:t>in previous project phases</w:t>
      </w:r>
      <w:r w:rsidR="009F6CBB">
        <w:rPr>
          <w:rStyle w:val="normaltextrun"/>
          <w:rFonts w:ascii="Calibri Light" w:hAnsi="Calibri Light" w:cs="Calibri Light"/>
          <w:sz w:val="22"/>
          <w:szCs w:val="22"/>
        </w:rPr>
        <w:t xml:space="preserve"> which </w:t>
      </w:r>
      <w:r w:rsidRPr="00416A6F">
        <w:rPr>
          <w:rStyle w:val="normaltextrun"/>
          <w:rFonts w:ascii="Calibri Light" w:hAnsi="Calibri Light" w:cs="Calibri Light"/>
          <w:sz w:val="22"/>
          <w:szCs w:val="22"/>
        </w:rPr>
        <w:t xml:space="preserve">directly responds to findings </w:t>
      </w:r>
      <w:r w:rsidR="009F6CBB">
        <w:rPr>
          <w:rStyle w:val="normaltextrun"/>
          <w:rFonts w:ascii="Calibri Light" w:hAnsi="Calibri Light" w:cs="Calibri Light"/>
          <w:sz w:val="22"/>
          <w:szCs w:val="22"/>
        </w:rPr>
        <w:t xml:space="preserve">and recommendations </w:t>
      </w:r>
      <w:r>
        <w:rPr>
          <w:rStyle w:val="normaltextrun"/>
          <w:rFonts w:ascii="Calibri Light" w:hAnsi="Calibri Light" w:cs="Calibri Light"/>
          <w:sz w:val="22"/>
          <w:szCs w:val="22"/>
        </w:rPr>
        <w:t xml:space="preserve">presented in </w:t>
      </w:r>
      <w:r w:rsidR="009F6CBB">
        <w:rPr>
          <w:rStyle w:val="normaltextrun"/>
          <w:rFonts w:ascii="Calibri Light" w:hAnsi="Calibri Light" w:cs="Calibri Light"/>
          <w:sz w:val="22"/>
          <w:szCs w:val="22"/>
        </w:rPr>
        <w:t xml:space="preserve">the </w:t>
      </w:r>
      <w:r>
        <w:rPr>
          <w:rStyle w:val="normaltextrun"/>
          <w:rFonts w:ascii="Calibri Light" w:hAnsi="Calibri Light" w:cs="Calibri Light"/>
          <w:sz w:val="22"/>
          <w:szCs w:val="22"/>
        </w:rPr>
        <w:t>Phase IV Independent Completion Review (</w:t>
      </w:r>
      <w:r w:rsidRPr="00416A6F">
        <w:rPr>
          <w:rStyle w:val="normaltextrun"/>
          <w:rFonts w:ascii="Calibri Light" w:hAnsi="Calibri Light" w:cs="Calibri Light"/>
          <w:sz w:val="22"/>
          <w:szCs w:val="22"/>
        </w:rPr>
        <w:t>IC</w:t>
      </w:r>
      <w:r w:rsidR="00E04E20">
        <w:rPr>
          <w:rStyle w:val="normaltextrun"/>
          <w:rFonts w:ascii="Calibri Light" w:hAnsi="Calibri Light" w:cs="Calibri Light"/>
          <w:sz w:val="22"/>
          <w:szCs w:val="22"/>
        </w:rPr>
        <w:t>R</w:t>
      </w:r>
      <w:r>
        <w:rPr>
          <w:rStyle w:val="normaltextrun"/>
          <w:rFonts w:ascii="Calibri Light" w:hAnsi="Calibri Light" w:cs="Calibri Light"/>
          <w:sz w:val="22"/>
          <w:szCs w:val="22"/>
        </w:rPr>
        <w:t>)</w:t>
      </w:r>
      <w:r w:rsidRPr="00416A6F">
        <w:rPr>
          <w:rStyle w:val="normaltextrun"/>
          <w:rFonts w:ascii="Calibri Light" w:hAnsi="Calibri Light" w:cs="Calibri Light"/>
          <w:sz w:val="22"/>
          <w:szCs w:val="22"/>
        </w:rPr>
        <w:t xml:space="preserve"> </w:t>
      </w:r>
      <w:r>
        <w:rPr>
          <w:rStyle w:val="normaltextrun"/>
          <w:rFonts w:ascii="Calibri Light" w:hAnsi="Calibri Light" w:cs="Calibri Light"/>
          <w:sz w:val="22"/>
          <w:szCs w:val="22"/>
        </w:rPr>
        <w:t>(</w:t>
      </w:r>
      <w:r w:rsidRPr="00416A6F">
        <w:rPr>
          <w:rStyle w:val="normaltextrun"/>
          <w:rFonts w:ascii="Calibri Light" w:hAnsi="Calibri Light" w:cs="Calibri Light"/>
          <w:sz w:val="22"/>
          <w:szCs w:val="22"/>
        </w:rPr>
        <w:t>2019</w:t>
      </w:r>
      <w:r>
        <w:rPr>
          <w:rStyle w:val="normaltextrun"/>
          <w:rFonts w:ascii="Calibri Light" w:hAnsi="Calibri Light" w:cs="Calibri Light"/>
          <w:sz w:val="22"/>
          <w:szCs w:val="22"/>
        </w:rPr>
        <w:t>)</w:t>
      </w:r>
      <w:r w:rsidRPr="00416A6F">
        <w:rPr>
          <w:rStyle w:val="normaltextrun"/>
          <w:rFonts w:ascii="Calibri Light" w:hAnsi="Calibri Light" w:cs="Calibri Light"/>
          <w:sz w:val="22"/>
          <w:szCs w:val="22"/>
        </w:rPr>
        <w:t xml:space="preserve">. </w:t>
      </w:r>
      <w:r w:rsidR="00351281">
        <w:rPr>
          <w:rFonts w:asciiTheme="majorHAnsi" w:eastAsiaTheme="minorHAnsi" w:hAnsiTheme="majorHAnsi" w:cstheme="majorHAnsi"/>
          <w:sz w:val="22"/>
          <w:szCs w:val="22"/>
          <w:lang w:val="en-GB"/>
        </w:rPr>
        <w:t xml:space="preserve">Notably, the ICR </w:t>
      </w:r>
      <w:r>
        <w:rPr>
          <w:rFonts w:asciiTheme="majorHAnsi" w:eastAsiaTheme="minorHAnsi" w:hAnsiTheme="majorHAnsi" w:cstheme="majorHAnsi"/>
          <w:sz w:val="22"/>
          <w:szCs w:val="22"/>
          <w:lang w:val="en-GB"/>
        </w:rPr>
        <w:t>recommended</w:t>
      </w:r>
      <w:r w:rsidR="00351281">
        <w:rPr>
          <w:rFonts w:asciiTheme="majorHAnsi" w:eastAsiaTheme="minorHAnsi" w:hAnsiTheme="majorHAnsi" w:cstheme="majorHAnsi"/>
          <w:sz w:val="22"/>
          <w:szCs w:val="22"/>
          <w:lang w:val="en-GB"/>
        </w:rPr>
        <w:t xml:space="preserve"> that further strengthening of the Project was needed in the areas of strategic </w:t>
      </w:r>
      <w:r w:rsidR="00351281" w:rsidRPr="00416A6F">
        <w:rPr>
          <w:rFonts w:asciiTheme="majorHAnsi" w:eastAsiaTheme="minorHAnsi" w:hAnsiTheme="majorHAnsi" w:cstheme="majorHAnsi"/>
          <w:sz w:val="22"/>
          <w:szCs w:val="22"/>
          <w:lang w:val="en-GB"/>
        </w:rPr>
        <w:t xml:space="preserve">planning, </w:t>
      </w:r>
      <w:r w:rsidRPr="00416A6F">
        <w:rPr>
          <w:rFonts w:asciiTheme="majorHAnsi" w:eastAsiaTheme="minorHAnsi" w:hAnsiTheme="majorHAnsi" w:cstheme="majorHAnsi"/>
          <w:sz w:val="22"/>
          <w:szCs w:val="22"/>
          <w:lang w:val="en-GB"/>
        </w:rPr>
        <w:t>g</w:t>
      </w:r>
      <w:r w:rsidR="00351281" w:rsidRPr="00416A6F">
        <w:rPr>
          <w:rFonts w:asciiTheme="majorHAnsi" w:eastAsiaTheme="minorHAnsi" w:hAnsiTheme="majorHAnsi" w:cstheme="majorHAnsi"/>
          <w:sz w:val="22"/>
          <w:szCs w:val="22"/>
          <w:lang w:val="en-GB"/>
        </w:rPr>
        <w:t>ender equality</w:t>
      </w:r>
      <w:r w:rsidRPr="00416A6F">
        <w:rPr>
          <w:rFonts w:asciiTheme="majorHAnsi" w:eastAsiaTheme="minorHAnsi" w:hAnsiTheme="majorHAnsi" w:cstheme="majorHAnsi"/>
          <w:sz w:val="22"/>
          <w:szCs w:val="22"/>
          <w:lang w:val="en-GB"/>
        </w:rPr>
        <w:t>,</w:t>
      </w:r>
      <w:r>
        <w:rPr>
          <w:rFonts w:asciiTheme="majorHAnsi" w:eastAsiaTheme="minorHAnsi" w:hAnsiTheme="majorHAnsi" w:cstheme="majorHAnsi"/>
          <w:sz w:val="22"/>
          <w:szCs w:val="22"/>
          <w:lang w:val="en-GB"/>
        </w:rPr>
        <w:t xml:space="preserve"> </w:t>
      </w:r>
      <w:r w:rsidR="00351281">
        <w:rPr>
          <w:rFonts w:asciiTheme="majorHAnsi" w:eastAsiaTheme="minorHAnsi" w:hAnsiTheme="majorHAnsi" w:cstheme="majorHAnsi"/>
          <w:sz w:val="22"/>
          <w:szCs w:val="22"/>
          <w:lang w:val="en-GB"/>
        </w:rPr>
        <w:t>monitoring and evaluation (M&amp;E), communications and public engagement, and linkages with other DFAT funded initiatives in Indonesia. In response, Phase V of the project developed a Theory of Change and Project Logic (see</w:t>
      </w:r>
      <w:r w:rsidR="00BF0E47">
        <w:rPr>
          <w:rFonts w:asciiTheme="majorHAnsi" w:eastAsiaTheme="minorHAnsi" w:hAnsiTheme="majorHAnsi" w:cstheme="majorHAnsi"/>
          <w:sz w:val="22"/>
          <w:szCs w:val="22"/>
          <w:lang w:val="en-GB"/>
        </w:rPr>
        <w:t xml:space="preserve"> Appendix</w:t>
      </w:r>
      <w:r w:rsidR="00351281">
        <w:rPr>
          <w:rFonts w:asciiTheme="majorHAnsi" w:eastAsiaTheme="minorHAnsi" w:hAnsiTheme="majorHAnsi" w:cstheme="majorHAnsi"/>
          <w:sz w:val="22"/>
          <w:szCs w:val="22"/>
          <w:lang w:val="en-GB"/>
        </w:rPr>
        <w:t xml:space="preserve"> 1), a </w:t>
      </w:r>
      <w:r>
        <w:rPr>
          <w:rFonts w:asciiTheme="majorHAnsi" w:eastAsiaTheme="minorHAnsi" w:hAnsiTheme="majorHAnsi" w:cstheme="majorHAnsi"/>
          <w:sz w:val="22"/>
          <w:szCs w:val="22"/>
          <w:lang w:val="en-GB"/>
        </w:rPr>
        <w:t>Gender Equality and Social Inclusion (</w:t>
      </w:r>
      <w:r w:rsidR="00351281">
        <w:rPr>
          <w:rFonts w:asciiTheme="majorHAnsi" w:eastAsiaTheme="minorHAnsi" w:hAnsiTheme="majorHAnsi" w:cstheme="majorHAnsi"/>
          <w:sz w:val="22"/>
          <w:szCs w:val="22"/>
          <w:lang w:val="en-GB"/>
        </w:rPr>
        <w:t>GESI</w:t>
      </w:r>
      <w:r>
        <w:rPr>
          <w:rFonts w:asciiTheme="majorHAnsi" w:eastAsiaTheme="minorHAnsi" w:hAnsiTheme="majorHAnsi" w:cstheme="majorHAnsi"/>
          <w:sz w:val="22"/>
          <w:szCs w:val="22"/>
          <w:lang w:val="en-GB"/>
        </w:rPr>
        <w:t>)</w:t>
      </w:r>
      <w:r w:rsidR="00351281">
        <w:rPr>
          <w:rFonts w:asciiTheme="majorHAnsi" w:eastAsiaTheme="minorHAnsi" w:hAnsiTheme="majorHAnsi" w:cstheme="majorHAnsi"/>
          <w:sz w:val="22"/>
          <w:szCs w:val="22"/>
          <w:lang w:val="en-GB"/>
        </w:rPr>
        <w:t xml:space="preserve"> strategy, communications strategy, and a M&amp;E </w:t>
      </w:r>
      <w:r w:rsidR="002B7A38">
        <w:rPr>
          <w:rFonts w:asciiTheme="majorHAnsi" w:eastAsiaTheme="minorHAnsi" w:hAnsiTheme="majorHAnsi" w:cstheme="majorHAnsi"/>
          <w:sz w:val="22"/>
          <w:szCs w:val="22"/>
          <w:lang w:val="en-GB"/>
        </w:rPr>
        <w:t>f</w:t>
      </w:r>
      <w:r w:rsidR="00351281">
        <w:rPr>
          <w:rFonts w:asciiTheme="majorHAnsi" w:eastAsiaTheme="minorHAnsi" w:hAnsiTheme="majorHAnsi" w:cstheme="majorHAnsi"/>
          <w:sz w:val="22"/>
          <w:szCs w:val="22"/>
          <w:lang w:val="en-GB"/>
        </w:rPr>
        <w:t xml:space="preserve">ramework. </w:t>
      </w:r>
    </w:p>
    <w:p w14:paraId="71896C2E" w14:textId="55D0370E" w:rsidR="00FE1292" w:rsidRPr="00764147" w:rsidRDefault="5C48C428" w:rsidP="00764147">
      <w:pPr>
        <w:pStyle w:val="Heading2"/>
      </w:pPr>
      <w:bookmarkStart w:id="11" w:name="_Toc219232324"/>
      <w:r w:rsidRPr="00764147">
        <w:lastRenderedPageBreak/>
        <w:t xml:space="preserve">1.2 </w:t>
      </w:r>
      <w:r w:rsidR="009D3D4A" w:rsidRPr="00764147">
        <w:tab/>
      </w:r>
      <w:r w:rsidRPr="00764147">
        <w:t xml:space="preserve">Evaluation </w:t>
      </w:r>
      <w:r w:rsidR="7A22A5C4" w:rsidRPr="00764147">
        <w:t>m</w:t>
      </w:r>
      <w:r w:rsidRPr="00764147">
        <w:t>ethodology</w:t>
      </w:r>
      <w:bookmarkEnd w:id="11"/>
      <w:r w:rsidRPr="00764147">
        <w:t xml:space="preserve"> </w:t>
      </w:r>
    </w:p>
    <w:p w14:paraId="4DB00B2A" w14:textId="77777777" w:rsidR="00BF0E47" w:rsidRDefault="00B10203" w:rsidP="00BF0E47">
      <w:pPr>
        <w:autoSpaceDE w:val="0"/>
        <w:autoSpaceDN w:val="0"/>
        <w:adjustRightInd w:val="0"/>
        <w:spacing w:before="120"/>
        <w:rPr>
          <w:rFonts w:asciiTheme="majorHAnsi" w:eastAsiaTheme="minorHAnsi" w:hAnsiTheme="majorHAnsi" w:cstheme="majorHAnsi"/>
          <w:sz w:val="22"/>
          <w:szCs w:val="22"/>
          <w:lang w:val="en-GB"/>
        </w:rPr>
      </w:pPr>
      <w:r w:rsidRPr="009E5CA8">
        <w:rPr>
          <w:rFonts w:asciiTheme="majorHAnsi" w:eastAsiaTheme="minorHAnsi" w:hAnsiTheme="majorHAnsi" w:cstheme="majorHAnsi"/>
          <w:sz w:val="22"/>
          <w:szCs w:val="22"/>
          <w:lang w:val="en-GB"/>
        </w:rPr>
        <w:t xml:space="preserve">The purpose of the evaluation is </w:t>
      </w:r>
      <w:r>
        <w:rPr>
          <w:rFonts w:asciiTheme="majorHAnsi" w:eastAsiaTheme="minorHAnsi" w:hAnsiTheme="majorHAnsi" w:cstheme="majorHAnsi"/>
          <w:sz w:val="22"/>
          <w:szCs w:val="22"/>
          <w:lang w:val="en-GB"/>
        </w:rPr>
        <w:t xml:space="preserve">an accountability measure </w:t>
      </w:r>
      <w:r w:rsidRPr="009E5CA8">
        <w:rPr>
          <w:rFonts w:asciiTheme="majorHAnsi" w:eastAsiaTheme="minorHAnsi" w:hAnsiTheme="majorHAnsi" w:cstheme="majorHAnsi"/>
          <w:sz w:val="22"/>
          <w:szCs w:val="22"/>
          <w:lang w:val="en-GB"/>
        </w:rPr>
        <w:t xml:space="preserve">to assess the current performance of the Project and its alignment with Australian Government strategic objectives. The evaluation is also being undertaken to inform DFAT’s decision to fund a </w:t>
      </w:r>
      <w:r>
        <w:rPr>
          <w:rFonts w:asciiTheme="majorHAnsi" w:eastAsiaTheme="minorHAnsi" w:hAnsiTheme="majorHAnsi" w:cstheme="majorHAnsi"/>
          <w:sz w:val="22"/>
          <w:szCs w:val="22"/>
          <w:lang w:val="en-GB"/>
        </w:rPr>
        <w:t xml:space="preserve">potential </w:t>
      </w:r>
      <w:r w:rsidRPr="009E5CA8">
        <w:rPr>
          <w:rFonts w:asciiTheme="majorHAnsi" w:eastAsiaTheme="minorHAnsi" w:hAnsiTheme="majorHAnsi" w:cstheme="majorHAnsi"/>
          <w:sz w:val="22"/>
          <w:szCs w:val="22"/>
          <w:lang w:val="en-GB"/>
        </w:rPr>
        <w:t xml:space="preserve">Phase VI of the Project, and to develop recommendations </w:t>
      </w:r>
      <w:r>
        <w:rPr>
          <w:rFonts w:asciiTheme="majorHAnsi" w:eastAsiaTheme="minorHAnsi" w:hAnsiTheme="majorHAnsi" w:cstheme="majorHAnsi"/>
          <w:sz w:val="22"/>
          <w:szCs w:val="22"/>
          <w:lang w:val="en-GB"/>
        </w:rPr>
        <w:t xml:space="preserve">to guide the </w:t>
      </w:r>
      <w:r w:rsidRPr="009E5CA8">
        <w:rPr>
          <w:rFonts w:asciiTheme="majorHAnsi" w:eastAsiaTheme="minorHAnsi" w:hAnsiTheme="majorHAnsi" w:cstheme="majorHAnsi"/>
          <w:sz w:val="22"/>
          <w:szCs w:val="22"/>
          <w:lang w:val="en-GB"/>
        </w:rPr>
        <w:t>design</w:t>
      </w:r>
      <w:r>
        <w:rPr>
          <w:rFonts w:asciiTheme="majorHAnsi" w:eastAsiaTheme="minorHAnsi" w:hAnsiTheme="majorHAnsi" w:cstheme="majorHAnsi"/>
          <w:sz w:val="22"/>
          <w:szCs w:val="22"/>
          <w:lang w:val="en-GB"/>
        </w:rPr>
        <w:t xml:space="preserve"> process should this option be pursued.</w:t>
      </w:r>
      <w:r w:rsidR="00BF0E47">
        <w:rPr>
          <w:rFonts w:asciiTheme="majorHAnsi" w:eastAsiaTheme="minorHAnsi" w:hAnsiTheme="majorHAnsi" w:cstheme="majorHAnsi"/>
          <w:sz w:val="22"/>
          <w:szCs w:val="22"/>
          <w:lang w:val="en-GB"/>
        </w:rPr>
        <w:t xml:space="preserve"> </w:t>
      </w:r>
    </w:p>
    <w:p w14:paraId="05DC001B" w14:textId="3265E65D" w:rsidR="009E5CA8" w:rsidRDefault="009E5CA8" w:rsidP="00BF0E47">
      <w:pPr>
        <w:autoSpaceDE w:val="0"/>
        <w:autoSpaceDN w:val="0"/>
        <w:adjustRightInd w:val="0"/>
        <w:spacing w:before="120"/>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The evaluation was guided by four Key Evaluation Questions</w:t>
      </w:r>
      <w:r w:rsidR="008D2B33">
        <w:rPr>
          <w:rFonts w:asciiTheme="majorHAnsi" w:eastAsiaTheme="minorHAnsi" w:hAnsiTheme="majorHAnsi" w:cstheme="majorHAnsi"/>
          <w:sz w:val="22"/>
          <w:szCs w:val="22"/>
          <w:lang w:val="en-GB"/>
        </w:rPr>
        <w:t xml:space="preserve"> (KEQs)</w:t>
      </w:r>
      <w:r>
        <w:rPr>
          <w:rFonts w:asciiTheme="majorHAnsi" w:eastAsiaTheme="minorHAnsi" w:hAnsiTheme="majorHAnsi" w:cstheme="majorHAnsi"/>
          <w:sz w:val="22"/>
          <w:szCs w:val="22"/>
          <w:lang w:val="en-GB"/>
        </w:rPr>
        <w:t>, used to define all dat</w:t>
      </w:r>
      <w:r w:rsidR="008D2B33">
        <w:rPr>
          <w:rFonts w:asciiTheme="majorHAnsi" w:eastAsiaTheme="minorHAnsi" w:hAnsiTheme="majorHAnsi" w:cstheme="majorHAnsi"/>
          <w:sz w:val="22"/>
          <w:szCs w:val="22"/>
          <w:lang w:val="en-GB"/>
        </w:rPr>
        <w:t xml:space="preserve">a collection and </w:t>
      </w:r>
      <w:r w:rsidR="00B10203">
        <w:rPr>
          <w:rFonts w:asciiTheme="majorHAnsi" w:eastAsiaTheme="minorHAnsi" w:hAnsiTheme="majorHAnsi" w:cstheme="majorHAnsi"/>
          <w:sz w:val="22"/>
          <w:szCs w:val="22"/>
          <w:lang w:val="en-GB"/>
        </w:rPr>
        <w:t>analysis</w:t>
      </w:r>
      <w:r w:rsidR="008D2B33">
        <w:rPr>
          <w:rFonts w:asciiTheme="majorHAnsi" w:eastAsiaTheme="minorHAnsi" w:hAnsiTheme="majorHAnsi" w:cstheme="majorHAnsi"/>
          <w:sz w:val="22"/>
          <w:szCs w:val="22"/>
          <w:lang w:val="en-GB"/>
        </w:rPr>
        <w:t xml:space="preserve">. The KEQs were developed based on the Terms of Reference provided by DFAT, and an initial inception meeting held with </w:t>
      </w:r>
      <w:r w:rsidR="00F82D51">
        <w:rPr>
          <w:rFonts w:asciiTheme="majorHAnsi" w:eastAsiaTheme="minorHAnsi" w:hAnsiTheme="majorHAnsi" w:cstheme="majorHAnsi"/>
          <w:sz w:val="22"/>
          <w:szCs w:val="22"/>
          <w:lang w:val="en-GB"/>
        </w:rPr>
        <w:t xml:space="preserve">staff from the </w:t>
      </w:r>
      <w:r w:rsidR="00F82D51" w:rsidRPr="00AB3420">
        <w:rPr>
          <w:rFonts w:asciiTheme="majorHAnsi" w:hAnsiTheme="majorHAnsi" w:cstheme="majorHAnsi"/>
          <w:sz w:val="22"/>
          <w:szCs w:val="22"/>
          <w:lang w:val="en-GB"/>
        </w:rPr>
        <w:t>Indonesia Development and Partnerships Section</w:t>
      </w:r>
      <w:r w:rsidR="008D2B33" w:rsidRPr="00086CB3">
        <w:rPr>
          <w:rFonts w:asciiTheme="majorHAnsi" w:eastAsiaTheme="minorHAnsi" w:hAnsiTheme="majorHAnsi" w:cstheme="majorHAnsi"/>
          <w:sz w:val="22"/>
          <w:szCs w:val="22"/>
          <w:lang w:val="en-GB"/>
        </w:rPr>
        <w:t>.</w:t>
      </w:r>
      <w:r w:rsidR="008D2B33">
        <w:rPr>
          <w:rFonts w:asciiTheme="majorHAnsi" w:eastAsiaTheme="minorHAnsi" w:hAnsiTheme="majorHAnsi" w:cstheme="majorHAnsi"/>
          <w:sz w:val="22"/>
          <w:szCs w:val="22"/>
          <w:lang w:val="en-GB"/>
        </w:rPr>
        <w:t xml:space="preserve"> The questions also incorporate </w:t>
      </w:r>
      <w:r w:rsidR="00086CB3">
        <w:rPr>
          <w:rFonts w:asciiTheme="majorHAnsi" w:eastAsiaTheme="minorHAnsi" w:hAnsiTheme="majorHAnsi" w:cstheme="majorHAnsi"/>
          <w:sz w:val="22"/>
          <w:szCs w:val="22"/>
          <w:lang w:val="en-GB"/>
        </w:rPr>
        <w:t>relevant</w:t>
      </w:r>
      <w:r w:rsidR="008D2B33">
        <w:rPr>
          <w:rFonts w:asciiTheme="majorHAnsi" w:eastAsiaTheme="minorHAnsi" w:hAnsiTheme="majorHAnsi" w:cstheme="majorHAnsi"/>
          <w:sz w:val="22"/>
          <w:szCs w:val="22"/>
          <w:lang w:val="en-GB"/>
        </w:rPr>
        <w:t xml:space="preserve"> OCED Development Assistance Committee (DAC) evaluation criteria in the assessment</w:t>
      </w:r>
      <w:r w:rsidR="00B10203">
        <w:rPr>
          <w:rFonts w:asciiTheme="majorHAnsi" w:eastAsiaTheme="minorHAnsi" w:hAnsiTheme="majorHAnsi" w:cstheme="majorHAnsi"/>
          <w:sz w:val="22"/>
          <w:szCs w:val="22"/>
          <w:lang w:val="en-GB"/>
        </w:rPr>
        <w:t>:</w:t>
      </w:r>
    </w:p>
    <w:p w14:paraId="70674417" w14:textId="78BBA341" w:rsidR="008D2B33" w:rsidRPr="008D2B33" w:rsidRDefault="008D2B33" w:rsidP="007B461C">
      <w:pPr>
        <w:pStyle w:val="ListParagraph"/>
        <w:widowControl w:val="0"/>
        <w:numPr>
          <w:ilvl w:val="0"/>
          <w:numId w:val="4"/>
        </w:numPr>
        <w:autoSpaceDE w:val="0"/>
        <w:autoSpaceDN w:val="0"/>
        <w:spacing w:before="120" w:after="120"/>
        <w:ind w:right="386"/>
        <w:rPr>
          <w:rFonts w:asciiTheme="majorHAnsi" w:hAnsiTheme="majorHAnsi" w:cstheme="majorHAnsi"/>
          <w:bCs/>
          <w:sz w:val="22"/>
          <w:szCs w:val="22"/>
          <w:lang w:val="en-GB"/>
        </w:rPr>
      </w:pPr>
      <w:r w:rsidRPr="00BF0E47">
        <w:rPr>
          <w:rFonts w:asciiTheme="majorHAnsi" w:hAnsiTheme="majorHAnsi" w:cstheme="majorHAnsi"/>
          <w:b/>
          <w:i/>
          <w:iCs/>
          <w:sz w:val="22"/>
          <w:szCs w:val="22"/>
          <w:lang w:val="en-GB"/>
        </w:rPr>
        <w:t>KEQ1 (effectiveness):</w:t>
      </w:r>
      <w:r w:rsidRPr="008D2B33">
        <w:rPr>
          <w:rFonts w:asciiTheme="majorHAnsi" w:hAnsiTheme="majorHAnsi" w:cstheme="majorHAnsi"/>
          <w:bCs/>
          <w:sz w:val="22"/>
          <w:szCs w:val="22"/>
          <w:lang w:val="en-GB"/>
        </w:rPr>
        <w:t xml:space="preserve"> To what extent is the project on track to achieve its </w:t>
      </w:r>
      <w:r w:rsidR="00F82D51">
        <w:rPr>
          <w:rFonts w:asciiTheme="majorHAnsi" w:hAnsiTheme="majorHAnsi" w:cstheme="majorHAnsi"/>
          <w:bCs/>
          <w:sz w:val="22"/>
          <w:szCs w:val="22"/>
          <w:lang w:val="en-GB"/>
        </w:rPr>
        <w:t xml:space="preserve">Phase V </w:t>
      </w:r>
      <w:r w:rsidRPr="008D2B33">
        <w:rPr>
          <w:rFonts w:asciiTheme="majorHAnsi" w:hAnsiTheme="majorHAnsi" w:cstheme="majorHAnsi"/>
          <w:bCs/>
          <w:sz w:val="22"/>
          <w:szCs w:val="22"/>
          <w:lang w:val="en-GB"/>
        </w:rPr>
        <w:t>outcomes (EOPO 1–3), and what is the level of significance and satisfaction with outcomes generated?</w:t>
      </w:r>
    </w:p>
    <w:p w14:paraId="65413FD8" w14:textId="766D6B41" w:rsidR="008D2B33" w:rsidRPr="008D2B33" w:rsidRDefault="008D2B33" w:rsidP="007B461C">
      <w:pPr>
        <w:pStyle w:val="ListParagraph"/>
        <w:widowControl w:val="0"/>
        <w:numPr>
          <w:ilvl w:val="0"/>
          <w:numId w:val="4"/>
        </w:numPr>
        <w:autoSpaceDE w:val="0"/>
        <w:autoSpaceDN w:val="0"/>
        <w:spacing w:before="120" w:after="120"/>
        <w:ind w:right="386"/>
        <w:rPr>
          <w:rFonts w:asciiTheme="majorHAnsi" w:hAnsiTheme="majorHAnsi" w:cstheme="majorHAnsi"/>
          <w:bCs/>
          <w:sz w:val="22"/>
          <w:szCs w:val="22"/>
          <w:lang w:val="en-GB"/>
        </w:rPr>
      </w:pPr>
      <w:r w:rsidRPr="00BF0E47">
        <w:rPr>
          <w:rFonts w:asciiTheme="majorHAnsi" w:hAnsiTheme="majorHAnsi" w:cstheme="majorHAnsi"/>
          <w:b/>
          <w:i/>
          <w:iCs/>
          <w:sz w:val="22"/>
          <w:szCs w:val="22"/>
          <w:lang w:val="en-GB"/>
        </w:rPr>
        <w:t>KEQ2 (effectiveness/inclusivity):</w:t>
      </w:r>
      <w:r w:rsidRPr="008D2B33">
        <w:rPr>
          <w:rFonts w:asciiTheme="majorHAnsi" w:hAnsiTheme="majorHAnsi" w:cstheme="majorHAnsi"/>
          <w:bCs/>
          <w:sz w:val="22"/>
          <w:szCs w:val="22"/>
          <w:lang w:val="en-GB"/>
        </w:rPr>
        <w:t xml:space="preserve"> What outcomes and progress on gender equality, disability, and social inclusion has the project achieved (E</w:t>
      </w:r>
      <w:r w:rsidR="00B10203">
        <w:rPr>
          <w:rFonts w:asciiTheme="majorHAnsi" w:hAnsiTheme="majorHAnsi" w:cstheme="majorHAnsi"/>
          <w:bCs/>
          <w:sz w:val="22"/>
          <w:szCs w:val="22"/>
          <w:lang w:val="en-GB"/>
        </w:rPr>
        <w:t>O</w:t>
      </w:r>
      <w:r w:rsidRPr="008D2B33">
        <w:rPr>
          <w:rFonts w:asciiTheme="majorHAnsi" w:hAnsiTheme="majorHAnsi" w:cstheme="majorHAnsi"/>
          <w:bCs/>
          <w:sz w:val="22"/>
          <w:szCs w:val="22"/>
          <w:lang w:val="en-GB"/>
        </w:rPr>
        <w:t xml:space="preserve">PO 4)? </w:t>
      </w:r>
    </w:p>
    <w:p w14:paraId="4859A4B7" w14:textId="77777777" w:rsidR="008D2B33" w:rsidRPr="008D2B33" w:rsidRDefault="008D2B33" w:rsidP="007B461C">
      <w:pPr>
        <w:pStyle w:val="ListParagraph"/>
        <w:widowControl w:val="0"/>
        <w:numPr>
          <w:ilvl w:val="0"/>
          <w:numId w:val="4"/>
        </w:numPr>
        <w:autoSpaceDE w:val="0"/>
        <w:autoSpaceDN w:val="0"/>
        <w:spacing w:after="120"/>
        <w:ind w:right="386"/>
        <w:rPr>
          <w:rFonts w:asciiTheme="majorHAnsi" w:hAnsiTheme="majorHAnsi" w:cstheme="majorHAnsi"/>
          <w:bCs/>
          <w:sz w:val="22"/>
          <w:szCs w:val="22"/>
          <w:lang w:val="en-GB"/>
        </w:rPr>
      </w:pPr>
      <w:r w:rsidRPr="00BF0E47">
        <w:rPr>
          <w:rFonts w:asciiTheme="majorHAnsi" w:hAnsiTheme="majorHAnsi" w:cstheme="majorHAnsi"/>
          <w:b/>
          <w:i/>
          <w:iCs/>
          <w:sz w:val="22"/>
          <w:szCs w:val="22"/>
          <w:lang w:val="en-GB"/>
        </w:rPr>
        <w:t>KEQ3 (relevance):</w:t>
      </w:r>
      <w:r w:rsidRPr="00BF0E47">
        <w:rPr>
          <w:rFonts w:asciiTheme="majorHAnsi" w:hAnsiTheme="majorHAnsi" w:cstheme="majorHAnsi"/>
          <w:bCs/>
          <w:i/>
          <w:iCs/>
          <w:sz w:val="22"/>
          <w:szCs w:val="22"/>
          <w:lang w:val="en-GB"/>
        </w:rPr>
        <w:t xml:space="preserve"> </w:t>
      </w:r>
      <w:r w:rsidRPr="008D2B33">
        <w:rPr>
          <w:rFonts w:asciiTheme="majorHAnsi" w:hAnsiTheme="majorHAnsi" w:cstheme="majorHAnsi"/>
          <w:bCs/>
          <w:sz w:val="22"/>
          <w:szCs w:val="22"/>
          <w:lang w:val="en-GB"/>
        </w:rPr>
        <w:t xml:space="preserve">To what extent is the project aligned with the Australian and Indonesian governments’ strategic objectives and policy goals in Indonesia?  </w:t>
      </w:r>
    </w:p>
    <w:p w14:paraId="44810746" w14:textId="2442D44C" w:rsidR="00086CB3" w:rsidRPr="00086CB3" w:rsidRDefault="008D2B33" w:rsidP="007B461C">
      <w:pPr>
        <w:pStyle w:val="ListParagraph"/>
        <w:widowControl w:val="0"/>
        <w:numPr>
          <w:ilvl w:val="0"/>
          <w:numId w:val="4"/>
        </w:numPr>
        <w:autoSpaceDE w:val="0"/>
        <w:autoSpaceDN w:val="0"/>
        <w:spacing w:before="120" w:after="120"/>
        <w:ind w:right="386"/>
        <w:rPr>
          <w:rFonts w:asciiTheme="majorHAnsi" w:hAnsiTheme="majorHAnsi" w:cstheme="majorHAnsi"/>
          <w:bCs/>
          <w:sz w:val="22"/>
          <w:szCs w:val="22"/>
          <w:lang w:val="en-GB"/>
        </w:rPr>
      </w:pPr>
      <w:r w:rsidRPr="00BF0E47">
        <w:rPr>
          <w:rFonts w:asciiTheme="majorHAnsi" w:hAnsiTheme="majorHAnsi" w:cstheme="majorHAnsi"/>
          <w:b/>
          <w:i/>
          <w:iCs/>
          <w:sz w:val="22"/>
          <w:szCs w:val="22"/>
          <w:lang w:val="en-GB"/>
        </w:rPr>
        <w:t>KEQ4 (efficiency):</w:t>
      </w:r>
      <w:r w:rsidRPr="008D2B33">
        <w:rPr>
          <w:rFonts w:asciiTheme="majorHAnsi" w:hAnsiTheme="majorHAnsi" w:cstheme="majorHAnsi"/>
          <w:bCs/>
          <w:sz w:val="22"/>
          <w:szCs w:val="22"/>
          <w:lang w:val="en-GB"/>
        </w:rPr>
        <w:t xml:space="preserve"> To what extent has the project modality and its implementation operated efficiently to achieve the desired results? </w:t>
      </w:r>
    </w:p>
    <w:p w14:paraId="6C5D255F" w14:textId="77777777" w:rsidR="00086CB3" w:rsidRPr="008D2B33" w:rsidRDefault="00086CB3" w:rsidP="00086CB3">
      <w:pPr>
        <w:autoSpaceDE w:val="0"/>
        <w:autoSpaceDN w:val="0"/>
        <w:adjustRightInd w:val="0"/>
        <w:spacing w:before="120" w:line="280" w:lineRule="atLeast"/>
        <w:rPr>
          <w:rFonts w:asciiTheme="majorHAnsi" w:eastAsiaTheme="minorHAnsi" w:hAnsiTheme="majorHAnsi" w:cstheme="majorHAnsi"/>
          <w:sz w:val="22"/>
          <w:szCs w:val="22"/>
          <w:lang w:val="en-GB"/>
        </w:rPr>
      </w:pPr>
      <w:r w:rsidRPr="008D2B33">
        <w:rPr>
          <w:rFonts w:asciiTheme="majorHAnsi" w:eastAsiaTheme="minorHAnsi" w:hAnsiTheme="majorHAnsi" w:cstheme="majorHAnsi"/>
          <w:sz w:val="22"/>
          <w:szCs w:val="22"/>
          <w:lang w:val="en-GB"/>
        </w:rPr>
        <w:t>The evaluation adopted a grounded theory methodology, applying mixed methods and triangulating</w:t>
      </w:r>
    </w:p>
    <w:p w14:paraId="35D6A4D8" w14:textId="554D0F1F" w:rsidR="00F82D51" w:rsidRDefault="00086CB3" w:rsidP="00F82D51">
      <w:pPr>
        <w:autoSpaceDE w:val="0"/>
        <w:autoSpaceDN w:val="0"/>
        <w:adjustRightInd w:val="0"/>
        <w:spacing w:after="120"/>
        <w:rPr>
          <w:rFonts w:asciiTheme="majorHAnsi" w:eastAsiaTheme="minorHAnsi" w:hAnsiTheme="majorHAnsi" w:cstheme="majorHAnsi"/>
          <w:sz w:val="22"/>
          <w:szCs w:val="22"/>
          <w:lang w:val="en-GB"/>
        </w:rPr>
      </w:pPr>
      <w:r w:rsidRPr="008D2B33">
        <w:rPr>
          <w:rFonts w:asciiTheme="majorHAnsi" w:eastAsiaTheme="minorHAnsi" w:hAnsiTheme="majorHAnsi" w:cstheme="majorHAnsi"/>
          <w:sz w:val="22"/>
          <w:szCs w:val="22"/>
          <w:lang w:val="en-GB"/>
        </w:rPr>
        <w:t>data. Data collection included: interviews held with key project</w:t>
      </w:r>
      <w:r>
        <w:rPr>
          <w:rFonts w:asciiTheme="majorHAnsi" w:eastAsiaTheme="minorHAnsi" w:hAnsiTheme="majorHAnsi" w:cstheme="majorHAnsi"/>
          <w:sz w:val="22"/>
          <w:szCs w:val="22"/>
          <w:lang w:val="en-GB"/>
        </w:rPr>
        <w:t xml:space="preserve"> </w:t>
      </w:r>
      <w:r w:rsidRPr="008D2B33">
        <w:rPr>
          <w:rFonts w:asciiTheme="majorHAnsi" w:eastAsiaTheme="minorHAnsi" w:hAnsiTheme="majorHAnsi" w:cstheme="majorHAnsi"/>
          <w:sz w:val="22"/>
          <w:szCs w:val="22"/>
          <w:lang w:val="en-GB"/>
        </w:rPr>
        <w:t>stakeholders</w:t>
      </w:r>
      <w:r w:rsidR="00F82D51">
        <w:rPr>
          <w:rFonts w:asciiTheme="majorHAnsi" w:eastAsiaTheme="minorHAnsi" w:hAnsiTheme="majorHAnsi" w:cstheme="majorHAnsi"/>
          <w:sz w:val="22"/>
          <w:szCs w:val="22"/>
          <w:lang w:val="en-GB"/>
        </w:rPr>
        <w:t xml:space="preserve">, </w:t>
      </w:r>
      <w:r w:rsidRPr="008D2B33">
        <w:rPr>
          <w:rFonts w:asciiTheme="majorHAnsi" w:eastAsiaTheme="minorHAnsi" w:hAnsiTheme="majorHAnsi" w:cstheme="majorHAnsi"/>
          <w:sz w:val="22"/>
          <w:szCs w:val="22"/>
          <w:lang w:val="en-GB"/>
        </w:rPr>
        <w:t xml:space="preserve">a document review of project reports and </w:t>
      </w:r>
      <w:r>
        <w:rPr>
          <w:rFonts w:asciiTheme="majorHAnsi" w:eastAsiaTheme="minorHAnsi" w:hAnsiTheme="majorHAnsi" w:cstheme="majorHAnsi"/>
          <w:sz w:val="22"/>
          <w:szCs w:val="22"/>
          <w:lang w:val="en-GB"/>
        </w:rPr>
        <w:t xml:space="preserve">Australian Government strategic </w:t>
      </w:r>
      <w:r w:rsidRPr="008D2B33">
        <w:rPr>
          <w:rFonts w:asciiTheme="majorHAnsi" w:eastAsiaTheme="minorHAnsi" w:hAnsiTheme="majorHAnsi" w:cstheme="majorHAnsi"/>
          <w:sz w:val="22"/>
          <w:szCs w:val="22"/>
          <w:lang w:val="en-GB"/>
        </w:rPr>
        <w:t>documents</w:t>
      </w:r>
      <w:r w:rsidR="00F82D51">
        <w:rPr>
          <w:rFonts w:asciiTheme="majorHAnsi" w:eastAsiaTheme="minorHAnsi" w:hAnsiTheme="majorHAnsi" w:cstheme="majorHAnsi"/>
          <w:sz w:val="22"/>
          <w:szCs w:val="22"/>
          <w:lang w:val="en-GB"/>
        </w:rPr>
        <w:t>,</w:t>
      </w:r>
      <w:r w:rsidRPr="008D2B33">
        <w:rPr>
          <w:rFonts w:asciiTheme="majorHAnsi" w:eastAsiaTheme="minorHAnsi" w:hAnsiTheme="majorHAnsi" w:cstheme="majorHAnsi"/>
          <w:sz w:val="22"/>
          <w:szCs w:val="22"/>
          <w:lang w:val="en-GB"/>
        </w:rPr>
        <w:t xml:space="preserve"> and an analysis</w:t>
      </w:r>
      <w:r>
        <w:rPr>
          <w:rFonts w:asciiTheme="majorHAnsi" w:eastAsiaTheme="minorHAnsi" w:hAnsiTheme="majorHAnsi" w:cstheme="majorHAnsi"/>
          <w:sz w:val="22"/>
          <w:szCs w:val="22"/>
          <w:lang w:val="en-GB"/>
        </w:rPr>
        <w:t xml:space="preserve"> </w:t>
      </w:r>
      <w:r w:rsidRPr="008D2B33">
        <w:rPr>
          <w:rFonts w:asciiTheme="majorHAnsi" w:eastAsiaTheme="minorHAnsi" w:hAnsiTheme="majorHAnsi" w:cstheme="majorHAnsi"/>
          <w:sz w:val="22"/>
          <w:szCs w:val="22"/>
          <w:lang w:val="en-GB"/>
        </w:rPr>
        <w:t>of existing project monit</w:t>
      </w:r>
      <w:r w:rsidRPr="00086CB3">
        <w:rPr>
          <w:rFonts w:asciiTheme="majorHAnsi" w:eastAsiaTheme="minorHAnsi" w:hAnsiTheme="majorHAnsi" w:cstheme="majorHAnsi"/>
          <w:sz w:val="22"/>
          <w:szCs w:val="22"/>
          <w:lang w:val="en-GB"/>
        </w:rPr>
        <w:t>oring data (i.e. research and publication data</w:t>
      </w:r>
      <w:r w:rsidR="00E8505A">
        <w:rPr>
          <w:rFonts w:asciiTheme="majorHAnsi" w:eastAsiaTheme="minorHAnsi" w:hAnsiTheme="majorHAnsi" w:cstheme="majorHAnsi"/>
          <w:sz w:val="22"/>
          <w:szCs w:val="22"/>
          <w:lang w:val="en-GB"/>
        </w:rPr>
        <w:t>,</w:t>
      </w:r>
      <w:r w:rsidRPr="00086CB3">
        <w:rPr>
          <w:rFonts w:asciiTheme="majorHAnsi" w:eastAsiaTheme="minorHAnsi" w:hAnsiTheme="majorHAnsi" w:cstheme="majorHAnsi"/>
          <w:sz w:val="22"/>
          <w:szCs w:val="22"/>
          <w:lang w:val="en-GB"/>
        </w:rPr>
        <w:t xml:space="preserve"> and participant</w:t>
      </w:r>
      <w:r w:rsidR="006A5346">
        <w:rPr>
          <w:rFonts w:asciiTheme="majorHAnsi" w:eastAsiaTheme="minorHAnsi" w:hAnsiTheme="majorHAnsi" w:cstheme="majorHAnsi"/>
          <w:sz w:val="22"/>
          <w:szCs w:val="22"/>
          <w:lang w:val="en-GB"/>
        </w:rPr>
        <w:t xml:space="preserve"> and </w:t>
      </w:r>
      <w:r w:rsidRPr="00086CB3">
        <w:rPr>
          <w:rFonts w:asciiTheme="majorHAnsi" w:eastAsiaTheme="minorHAnsi" w:hAnsiTheme="majorHAnsi" w:cstheme="majorHAnsi"/>
          <w:sz w:val="22"/>
          <w:szCs w:val="22"/>
          <w:lang w:val="en-GB"/>
        </w:rPr>
        <w:t>alumni survey results).</w:t>
      </w:r>
      <w:r>
        <w:rPr>
          <w:rFonts w:asciiTheme="majorHAnsi" w:eastAsiaTheme="minorHAnsi" w:hAnsiTheme="majorHAnsi" w:cstheme="majorHAnsi"/>
          <w:sz w:val="22"/>
          <w:szCs w:val="22"/>
          <w:lang w:val="en-GB"/>
        </w:rPr>
        <w:t xml:space="preserve"> </w:t>
      </w:r>
    </w:p>
    <w:p w14:paraId="0C7B5AFD" w14:textId="65ED246C" w:rsidR="00F82D51" w:rsidRDefault="00F82D51" w:rsidP="00F82D51">
      <w:pPr>
        <w:autoSpaceDE w:val="0"/>
        <w:autoSpaceDN w:val="0"/>
        <w:adjustRightInd w:val="0"/>
        <w:spacing w:after="120"/>
        <w:rPr>
          <w:rFonts w:asciiTheme="majorHAnsi" w:eastAsiaTheme="minorHAnsi" w:hAnsiTheme="majorHAnsi" w:cstheme="majorHAnsi"/>
          <w:sz w:val="22"/>
          <w:szCs w:val="22"/>
          <w:lang w:val="en-GB"/>
        </w:rPr>
      </w:pPr>
      <w:r w:rsidRPr="009E5CA8">
        <w:rPr>
          <w:rFonts w:asciiTheme="majorHAnsi" w:eastAsiaTheme="minorHAnsi" w:hAnsiTheme="majorHAnsi" w:cstheme="majorHAnsi"/>
          <w:sz w:val="22"/>
          <w:szCs w:val="22"/>
          <w:lang w:val="en-GB"/>
        </w:rPr>
        <w:t>The evaluation was conducted between 27 October to 17 December 2025 and was undertaken by an independent evaluation team comprising Zoe Dawkins (Team Leader), Pip Chandler (Evaluation Specialist) and Michelle Besley (Evaluation Specialist/Quality Assurance).</w:t>
      </w:r>
      <w:r>
        <w:rPr>
          <w:rFonts w:asciiTheme="majorHAnsi" w:eastAsiaTheme="minorHAnsi" w:hAnsiTheme="majorHAnsi" w:cstheme="majorHAnsi"/>
          <w:sz w:val="22"/>
          <w:szCs w:val="22"/>
          <w:lang w:val="en-GB"/>
        </w:rPr>
        <w:t xml:space="preserve"> </w:t>
      </w:r>
      <w:r w:rsidRPr="009E5CA8">
        <w:rPr>
          <w:rFonts w:asciiTheme="majorHAnsi" w:eastAsiaTheme="minorHAnsi" w:hAnsiTheme="majorHAnsi" w:cstheme="majorHAnsi"/>
          <w:sz w:val="22"/>
          <w:szCs w:val="22"/>
          <w:lang w:val="en-GB"/>
        </w:rPr>
        <w:t>The evaluation team conducted</w:t>
      </w:r>
      <w:r w:rsidR="00174DA6">
        <w:rPr>
          <w:rFonts w:asciiTheme="majorHAnsi" w:eastAsiaTheme="minorHAnsi" w:hAnsiTheme="majorHAnsi" w:cstheme="majorHAnsi"/>
          <w:sz w:val="22"/>
          <w:szCs w:val="22"/>
          <w:lang w:val="en-GB"/>
        </w:rPr>
        <w:t xml:space="preserve"> online</w:t>
      </w:r>
      <w:r w:rsidRPr="009E5CA8">
        <w:rPr>
          <w:rFonts w:asciiTheme="majorHAnsi" w:eastAsiaTheme="minorHAnsi" w:hAnsiTheme="majorHAnsi" w:cstheme="majorHAnsi"/>
          <w:sz w:val="22"/>
          <w:szCs w:val="22"/>
          <w:lang w:val="en-GB"/>
        </w:rPr>
        <w:t xml:space="preserve"> interviews with 21 key stakeholders, including project alumni and partners from Indonesian research institutes, managing contractors implementing DFAT initiatives in Indonesia, ANU project management staff and Board members, and DFAT staff in Canberra and at Post</w:t>
      </w:r>
      <w:r>
        <w:rPr>
          <w:rFonts w:asciiTheme="majorHAnsi" w:eastAsiaTheme="minorHAnsi" w:hAnsiTheme="majorHAnsi" w:cstheme="majorHAnsi"/>
          <w:sz w:val="22"/>
          <w:szCs w:val="22"/>
          <w:lang w:val="en-GB"/>
        </w:rPr>
        <w:t xml:space="preserve"> (see Table 1 for more detail)</w:t>
      </w:r>
      <w:r w:rsidRPr="009E5CA8">
        <w:rPr>
          <w:rFonts w:asciiTheme="majorHAnsi" w:eastAsiaTheme="minorHAnsi" w:hAnsiTheme="majorHAnsi" w:cstheme="majorHAnsi"/>
          <w:sz w:val="22"/>
          <w:szCs w:val="22"/>
          <w:lang w:val="en-GB"/>
        </w:rPr>
        <w:t xml:space="preserve">. </w:t>
      </w:r>
    </w:p>
    <w:p w14:paraId="6DF4FD1B" w14:textId="34342521" w:rsidR="008D2B33" w:rsidRPr="008D2119" w:rsidRDefault="3A327261" w:rsidP="00764147">
      <w:pPr>
        <w:pStyle w:val="Heading3"/>
        <w:rPr>
          <w:rFonts w:eastAsiaTheme="minorHAnsi" w:cstheme="majorHAnsi"/>
          <w:lang w:val="en-GB"/>
        </w:rPr>
      </w:pPr>
      <w:r w:rsidRPr="5AB46587">
        <w:rPr>
          <w:lang w:val="en-GB"/>
        </w:rPr>
        <w:t>Table 1: Number of key stakeholders consulted</w:t>
      </w:r>
    </w:p>
    <w:p w14:paraId="34F648DD" w14:textId="34ADD3D1" w:rsidR="00053EEC" w:rsidRDefault="00053EEC" w:rsidP="5AB46587">
      <w:pPr>
        <w:spacing w:before="120" w:after="120" w:line="280" w:lineRule="atLeast"/>
        <w:rPr>
          <w:rFonts w:asciiTheme="majorHAnsi" w:eastAsiaTheme="minorEastAsia" w:hAnsiTheme="majorHAnsi" w:cstheme="majorBidi"/>
          <w:i/>
          <w:iCs/>
          <w:sz w:val="22"/>
          <w:szCs w:val="22"/>
          <w:lang w:val="en-GB"/>
        </w:rPr>
      </w:pPr>
      <w:r w:rsidRPr="5AB46587">
        <w:rPr>
          <w:rFonts w:asciiTheme="majorHAnsi" w:eastAsiaTheme="minorEastAsia" w:hAnsiTheme="majorHAnsi" w:cstheme="majorBidi"/>
          <w:i/>
          <w:iCs/>
          <w:sz w:val="22"/>
          <w:szCs w:val="22"/>
          <w:lang w:val="en-GB"/>
        </w:rPr>
        <w:t xml:space="preserve">Key Stakeholders by role or </w:t>
      </w:r>
      <w:r w:rsidR="00934376" w:rsidRPr="5AB46587">
        <w:rPr>
          <w:rFonts w:asciiTheme="majorHAnsi" w:eastAsiaTheme="minorEastAsia" w:hAnsiTheme="majorHAnsi" w:cstheme="majorBidi"/>
          <w:i/>
          <w:iCs/>
          <w:sz w:val="22"/>
          <w:szCs w:val="22"/>
          <w:lang w:val="en-GB"/>
        </w:rPr>
        <w:t>occupation</w:t>
      </w: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81"/>
        <w:gridCol w:w="1417"/>
        <w:gridCol w:w="1418"/>
        <w:gridCol w:w="1276"/>
        <w:gridCol w:w="1275"/>
      </w:tblGrid>
      <w:tr w:rsidR="00A5264D" w:rsidRPr="00200E93" w14:paraId="0F342794" w14:textId="3C738B84" w:rsidTr="0073399E">
        <w:trPr>
          <w:tblHeader/>
        </w:trPr>
        <w:tc>
          <w:tcPr>
            <w:tcW w:w="3681" w:type="dxa"/>
            <w:shd w:val="clear" w:color="auto" w:fill="B4C6E7" w:themeFill="accent1" w:themeFillTint="66"/>
          </w:tcPr>
          <w:p w14:paraId="678D94E8" w14:textId="2D27D8D3" w:rsidR="00A5264D" w:rsidRPr="0073399E" w:rsidRDefault="00A5264D">
            <w:pPr>
              <w:rPr>
                <w:rFonts w:asciiTheme="majorHAnsi" w:hAnsiTheme="majorHAnsi" w:cstheme="majorHAnsi"/>
                <w:b/>
                <w:bCs/>
                <w:color w:val="1F3864" w:themeColor="accent1" w:themeShade="80"/>
                <w:sz w:val="18"/>
                <w:szCs w:val="18"/>
                <w:lang w:val="en-US"/>
              </w:rPr>
            </w:pPr>
            <w:r w:rsidRPr="0073399E">
              <w:rPr>
                <w:rFonts w:asciiTheme="majorHAnsi" w:hAnsiTheme="majorHAnsi" w:cstheme="majorHAnsi"/>
                <w:b/>
                <w:bCs/>
                <w:color w:val="1F3864" w:themeColor="accent1" w:themeShade="80"/>
                <w:sz w:val="18"/>
                <w:szCs w:val="18"/>
                <w:lang w:val="en-US"/>
              </w:rPr>
              <w:t>Key stakeholder</w:t>
            </w:r>
          </w:p>
        </w:tc>
        <w:tc>
          <w:tcPr>
            <w:tcW w:w="1417" w:type="dxa"/>
            <w:shd w:val="clear" w:color="auto" w:fill="B4C6E7" w:themeFill="accent1" w:themeFillTint="66"/>
          </w:tcPr>
          <w:p w14:paraId="3D96680A" w14:textId="190ED21C" w:rsidR="00A5264D" w:rsidRPr="0073399E" w:rsidRDefault="00A5264D">
            <w:pPr>
              <w:autoSpaceDE w:val="0"/>
              <w:autoSpaceDN w:val="0"/>
              <w:adjustRightInd w:val="0"/>
              <w:rPr>
                <w:rFonts w:asciiTheme="majorHAnsi" w:hAnsiTheme="majorHAnsi" w:cstheme="majorHAnsi"/>
                <w:b/>
                <w:bCs/>
                <w:color w:val="1F3864" w:themeColor="accent1" w:themeShade="80"/>
                <w:sz w:val="18"/>
                <w:szCs w:val="18"/>
                <w:lang w:val="en-US"/>
              </w:rPr>
            </w:pPr>
            <w:r w:rsidRPr="0073399E">
              <w:rPr>
                <w:rFonts w:asciiTheme="majorHAnsi" w:hAnsiTheme="majorHAnsi" w:cstheme="majorHAnsi"/>
                <w:b/>
                <w:bCs/>
                <w:color w:val="1F3864" w:themeColor="accent1" w:themeShade="80"/>
                <w:sz w:val="18"/>
                <w:szCs w:val="18"/>
                <w:lang w:val="en-US"/>
              </w:rPr>
              <w:t>Total</w:t>
            </w:r>
          </w:p>
        </w:tc>
        <w:tc>
          <w:tcPr>
            <w:tcW w:w="1418" w:type="dxa"/>
            <w:shd w:val="clear" w:color="auto" w:fill="B4C6E7" w:themeFill="accent1" w:themeFillTint="66"/>
          </w:tcPr>
          <w:p w14:paraId="4E2226B7" w14:textId="7E2F3F0A" w:rsidR="00A5264D" w:rsidRPr="0073399E" w:rsidRDefault="00A5264D">
            <w:pPr>
              <w:autoSpaceDE w:val="0"/>
              <w:autoSpaceDN w:val="0"/>
              <w:adjustRightInd w:val="0"/>
              <w:rPr>
                <w:rFonts w:asciiTheme="majorHAnsi" w:hAnsiTheme="majorHAnsi" w:cstheme="majorHAnsi"/>
                <w:b/>
                <w:bCs/>
                <w:color w:val="1F3864" w:themeColor="accent1" w:themeShade="80"/>
                <w:sz w:val="18"/>
                <w:szCs w:val="18"/>
                <w:lang w:val="en-US"/>
              </w:rPr>
            </w:pPr>
            <w:r w:rsidRPr="0073399E">
              <w:rPr>
                <w:rFonts w:asciiTheme="majorHAnsi" w:hAnsiTheme="majorHAnsi" w:cstheme="majorHAnsi"/>
                <w:b/>
                <w:bCs/>
                <w:color w:val="1F3864" w:themeColor="accent1" w:themeShade="80"/>
                <w:sz w:val="18"/>
                <w:szCs w:val="18"/>
                <w:lang w:val="en-US"/>
              </w:rPr>
              <w:t>Percentage</w:t>
            </w:r>
          </w:p>
        </w:tc>
        <w:tc>
          <w:tcPr>
            <w:tcW w:w="1276" w:type="dxa"/>
            <w:shd w:val="clear" w:color="auto" w:fill="B4C6E7" w:themeFill="accent1" w:themeFillTint="66"/>
          </w:tcPr>
          <w:p w14:paraId="6718912E" w14:textId="3DEEE416" w:rsidR="00A5264D" w:rsidRPr="0073399E" w:rsidRDefault="00A5264D">
            <w:pPr>
              <w:autoSpaceDE w:val="0"/>
              <w:autoSpaceDN w:val="0"/>
              <w:adjustRightInd w:val="0"/>
              <w:rPr>
                <w:rFonts w:asciiTheme="majorHAnsi" w:hAnsiTheme="majorHAnsi" w:cstheme="majorHAnsi"/>
                <w:b/>
                <w:bCs/>
                <w:color w:val="1F3864" w:themeColor="accent1" w:themeShade="80"/>
                <w:sz w:val="18"/>
                <w:szCs w:val="18"/>
                <w:lang w:val="en-US"/>
              </w:rPr>
            </w:pPr>
            <w:r w:rsidRPr="0073399E">
              <w:rPr>
                <w:rFonts w:asciiTheme="majorHAnsi" w:hAnsiTheme="majorHAnsi" w:cstheme="majorHAnsi"/>
                <w:b/>
                <w:bCs/>
                <w:color w:val="1F3864" w:themeColor="accent1" w:themeShade="80"/>
                <w:sz w:val="18"/>
                <w:szCs w:val="18"/>
                <w:lang w:val="en-US"/>
              </w:rPr>
              <w:t>Male</w:t>
            </w:r>
          </w:p>
        </w:tc>
        <w:tc>
          <w:tcPr>
            <w:tcW w:w="1275" w:type="dxa"/>
            <w:shd w:val="clear" w:color="auto" w:fill="B4C6E7" w:themeFill="accent1" w:themeFillTint="66"/>
          </w:tcPr>
          <w:p w14:paraId="37BC1990" w14:textId="6EB99218" w:rsidR="00A5264D" w:rsidRPr="0073399E" w:rsidRDefault="00A5264D">
            <w:pPr>
              <w:autoSpaceDE w:val="0"/>
              <w:autoSpaceDN w:val="0"/>
              <w:adjustRightInd w:val="0"/>
              <w:rPr>
                <w:rFonts w:asciiTheme="majorHAnsi" w:hAnsiTheme="majorHAnsi" w:cstheme="majorHAnsi"/>
                <w:b/>
                <w:bCs/>
                <w:color w:val="1F3864" w:themeColor="accent1" w:themeShade="80"/>
                <w:sz w:val="18"/>
                <w:szCs w:val="18"/>
                <w:lang w:val="en-US"/>
              </w:rPr>
            </w:pPr>
            <w:r w:rsidRPr="0073399E">
              <w:rPr>
                <w:rFonts w:asciiTheme="majorHAnsi" w:hAnsiTheme="majorHAnsi" w:cstheme="majorHAnsi"/>
                <w:b/>
                <w:bCs/>
                <w:color w:val="1F3864" w:themeColor="accent1" w:themeShade="80"/>
                <w:sz w:val="18"/>
                <w:szCs w:val="18"/>
                <w:lang w:val="en-US"/>
              </w:rPr>
              <w:t>Female</w:t>
            </w:r>
          </w:p>
        </w:tc>
      </w:tr>
      <w:tr w:rsidR="00A5264D" w:rsidRPr="00200E93" w14:paraId="62BB2DDA" w14:textId="462D79EF" w:rsidTr="5AB46587">
        <w:tc>
          <w:tcPr>
            <w:tcW w:w="3681" w:type="dxa"/>
          </w:tcPr>
          <w:p w14:paraId="2A200381" w14:textId="77777777" w:rsidR="00675727"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 xml:space="preserve">Project partners </w:t>
            </w:r>
          </w:p>
          <w:p w14:paraId="30975929" w14:textId="2933348C" w:rsidR="00A5264D"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(DFAT and ANU, Project Board)</w:t>
            </w:r>
          </w:p>
        </w:tc>
        <w:tc>
          <w:tcPr>
            <w:tcW w:w="1417" w:type="dxa"/>
          </w:tcPr>
          <w:p w14:paraId="7FE427DF" w14:textId="3DB39B5D" w:rsidR="00A5264D"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6</w:t>
            </w:r>
          </w:p>
        </w:tc>
        <w:tc>
          <w:tcPr>
            <w:tcW w:w="1418" w:type="dxa"/>
          </w:tcPr>
          <w:p w14:paraId="5137BF85" w14:textId="5A349CF4" w:rsidR="00A5264D"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29%</w:t>
            </w:r>
          </w:p>
        </w:tc>
        <w:tc>
          <w:tcPr>
            <w:tcW w:w="1276" w:type="dxa"/>
          </w:tcPr>
          <w:p w14:paraId="269C0078" w14:textId="49AA03CC" w:rsidR="00A5264D"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w:t>
            </w:r>
          </w:p>
        </w:tc>
        <w:tc>
          <w:tcPr>
            <w:tcW w:w="1275" w:type="dxa"/>
          </w:tcPr>
          <w:p w14:paraId="59ABB0BF" w14:textId="6D1E9794" w:rsidR="00A5264D"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4</w:t>
            </w:r>
          </w:p>
        </w:tc>
      </w:tr>
      <w:tr w:rsidR="00A5264D" w:rsidRPr="00200E93" w14:paraId="40577A77" w14:textId="2AA870F2" w:rsidTr="5AB46587">
        <w:tc>
          <w:tcPr>
            <w:tcW w:w="3681" w:type="dxa"/>
          </w:tcPr>
          <w:p w14:paraId="1C0B351C" w14:textId="77777777" w:rsidR="008D2119"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 xml:space="preserve">DFAT Post </w:t>
            </w:r>
          </w:p>
          <w:p w14:paraId="663F9AAE" w14:textId="75013D6C" w:rsidR="008D2119"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(Indonesia)</w:t>
            </w:r>
          </w:p>
        </w:tc>
        <w:tc>
          <w:tcPr>
            <w:tcW w:w="1417" w:type="dxa"/>
          </w:tcPr>
          <w:p w14:paraId="3FD060EB" w14:textId="2E5C17A7" w:rsidR="00A5264D"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4</w:t>
            </w:r>
          </w:p>
        </w:tc>
        <w:tc>
          <w:tcPr>
            <w:tcW w:w="1418" w:type="dxa"/>
          </w:tcPr>
          <w:p w14:paraId="30C2E853" w14:textId="61498846" w:rsidR="00A5264D"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19%</w:t>
            </w:r>
          </w:p>
        </w:tc>
        <w:tc>
          <w:tcPr>
            <w:tcW w:w="1276" w:type="dxa"/>
          </w:tcPr>
          <w:p w14:paraId="022EFA3F" w14:textId="1A608CD7" w:rsidR="00A5264D"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w:t>
            </w:r>
          </w:p>
        </w:tc>
        <w:tc>
          <w:tcPr>
            <w:tcW w:w="1275" w:type="dxa"/>
          </w:tcPr>
          <w:p w14:paraId="1B01BA6D" w14:textId="0507E4E2" w:rsidR="00A5264D"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w:t>
            </w:r>
          </w:p>
        </w:tc>
      </w:tr>
      <w:tr w:rsidR="008D2119" w:rsidRPr="00200E93" w14:paraId="73717279" w14:textId="77777777" w:rsidTr="5AB46587">
        <w:tc>
          <w:tcPr>
            <w:tcW w:w="3681" w:type="dxa"/>
          </w:tcPr>
          <w:p w14:paraId="22BA79AF" w14:textId="77777777" w:rsidR="00675727"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 xml:space="preserve">DFAT initiatives in Indonesia </w:t>
            </w:r>
          </w:p>
          <w:p w14:paraId="1CA6798E" w14:textId="0E2C3C1F" w:rsidR="008D2119"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(Managing Contractors)</w:t>
            </w:r>
          </w:p>
        </w:tc>
        <w:tc>
          <w:tcPr>
            <w:tcW w:w="1417" w:type="dxa"/>
          </w:tcPr>
          <w:p w14:paraId="3991ED5D" w14:textId="1E04257B" w:rsidR="008D2119"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4</w:t>
            </w:r>
          </w:p>
        </w:tc>
        <w:tc>
          <w:tcPr>
            <w:tcW w:w="1418" w:type="dxa"/>
          </w:tcPr>
          <w:p w14:paraId="2E4BEC24" w14:textId="22CFF327" w:rsidR="008D2119"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19%</w:t>
            </w:r>
          </w:p>
        </w:tc>
        <w:tc>
          <w:tcPr>
            <w:tcW w:w="1276" w:type="dxa"/>
          </w:tcPr>
          <w:p w14:paraId="31AEF560" w14:textId="1AE45E3D" w:rsidR="008D2119"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w:t>
            </w:r>
          </w:p>
        </w:tc>
        <w:tc>
          <w:tcPr>
            <w:tcW w:w="1275" w:type="dxa"/>
          </w:tcPr>
          <w:p w14:paraId="2008249E" w14:textId="45FFFD1D" w:rsidR="008D2119"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w:t>
            </w:r>
          </w:p>
        </w:tc>
      </w:tr>
      <w:tr w:rsidR="008D2119" w:rsidRPr="00200E93" w14:paraId="038B1778" w14:textId="77777777" w:rsidTr="5AB46587">
        <w:tc>
          <w:tcPr>
            <w:tcW w:w="3681" w:type="dxa"/>
          </w:tcPr>
          <w:p w14:paraId="69E1FE0E" w14:textId="22AE3E64" w:rsidR="008D2119"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Project partner/beneficiary institutions (universities/research institutes)</w:t>
            </w:r>
          </w:p>
        </w:tc>
        <w:tc>
          <w:tcPr>
            <w:tcW w:w="1417" w:type="dxa"/>
          </w:tcPr>
          <w:p w14:paraId="1DDC41EB" w14:textId="201EA1EC" w:rsidR="008D2119"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1</w:t>
            </w:r>
          </w:p>
        </w:tc>
        <w:tc>
          <w:tcPr>
            <w:tcW w:w="1418" w:type="dxa"/>
          </w:tcPr>
          <w:p w14:paraId="25D99E41" w14:textId="5CEB5630" w:rsidR="008D2119"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5%</w:t>
            </w:r>
          </w:p>
        </w:tc>
        <w:tc>
          <w:tcPr>
            <w:tcW w:w="1276" w:type="dxa"/>
          </w:tcPr>
          <w:p w14:paraId="2898DAD6" w14:textId="089E08CC" w:rsidR="008D2119"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1</w:t>
            </w:r>
          </w:p>
        </w:tc>
        <w:tc>
          <w:tcPr>
            <w:tcW w:w="1275" w:type="dxa"/>
          </w:tcPr>
          <w:p w14:paraId="0B101891" w14:textId="64D91230" w:rsidR="008D2119"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0</w:t>
            </w:r>
          </w:p>
        </w:tc>
      </w:tr>
      <w:tr w:rsidR="008D2119" w:rsidRPr="00200E93" w14:paraId="71307129" w14:textId="77777777" w:rsidTr="5AB46587">
        <w:tc>
          <w:tcPr>
            <w:tcW w:w="3681" w:type="dxa"/>
          </w:tcPr>
          <w:p w14:paraId="3338B572" w14:textId="77777777" w:rsidR="008D2119"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Project alumni/primary stakeholders</w:t>
            </w:r>
          </w:p>
          <w:p w14:paraId="31CAE049" w14:textId="339D8461" w:rsidR="008D2119" w:rsidRPr="002833A3" w:rsidRDefault="008D2119" w:rsidP="008D2119">
            <w:pPr>
              <w:rPr>
                <w:rFonts w:asciiTheme="majorHAnsi" w:hAnsiTheme="majorHAnsi" w:cstheme="majorHAnsi"/>
                <w:sz w:val="18"/>
                <w:szCs w:val="18"/>
              </w:rPr>
            </w:pPr>
            <w:r w:rsidRPr="002833A3">
              <w:rPr>
                <w:rFonts w:asciiTheme="majorHAnsi" w:hAnsiTheme="majorHAnsi" w:cstheme="majorHAnsi"/>
                <w:sz w:val="18"/>
                <w:szCs w:val="18"/>
              </w:rPr>
              <w:t>(</w:t>
            </w:r>
            <w:r w:rsidR="00675727" w:rsidRPr="002833A3">
              <w:rPr>
                <w:rFonts w:asciiTheme="majorHAnsi" w:hAnsiTheme="majorHAnsi" w:cstheme="majorHAnsi"/>
                <w:sz w:val="18"/>
                <w:szCs w:val="18"/>
              </w:rPr>
              <w:t xml:space="preserve">former </w:t>
            </w:r>
            <w:r w:rsidRPr="002833A3">
              <w:rPr>
                <w:rFonts w:asciiTheme="majorHAnsi" w:hAnsiTheme="majorHAnsi" w:cstheme="majorHAnsi"/>
                <w:sz w:val="18"/>
                <w:szCs w:val="18"/>
              </w:rPr>
              <w:t>PhD students)</w:t>
            </w:r>
          </w:p>
        </w:tc>
        <w:tc>
          <w:tcPr>
            <w:tcW w:w="1417" w:type="dxa"/>
          </w:tcPr>
          <w:p w14:paraId="4F0B1AFF" w14:textId="5236A417" w:rsidR="008D2119"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6</w:t>
            </w:r>
          </w:p>
        </w:tc>
        <w:tc>
          <w:tcPr>
            <w:tcW w:w="1418" w:type="dxa"/>
          </w:tcPr>
          <w:p w14:paraId="7817979A" w14:textId="556C1912" w:rsidR="008D2119" w:rsidRPr="002833A3" w:rsidRDefault="00675727"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29%</w:t>
            </w:r>
          </w:p>
        </w:tc>
        <w:tc>
          <w:tcPr>
            <w:tcW w:w="1276" w:type="dxa"/>
          </w:tcPr>
          <w:p w14:paraId="3C1FEF86" w14:textId="4C97565D" w:rsidR="008D2119"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1</w:t>
            </w:r>
          </w:p>
        </w:tc>
        <w:tc>
          <w:tcPr>
            <w:tcW w:w="1275" w:type="dxa"/>
          </w:tcPr>
          <w:p w14:paraId="3034B5D5" w14:textId="31C4239F" w:rsidR="008D2119" w:rsidRPr="002833A3" w:rsidRDefault="005C3852" w:rsidP="008D2119">
            <w:pPr>
              <w:jc w:val="center"/>
              <w:rPr>
                <w:rFonts w:asciiTheme="majorHAnsi" w:eastAsiaTheme="minorHAnsi" w:hAnsiTheme="majorHAnsi" w:cstheme="majorHAnsi"/>
                <w:sz w:val="18"/>
                <w:szCs w:val="18"/>
                <w:lang w:val="en-GB"/>
              </w:rPr>
            </w:pPr>
            <w:r w:rsidRPr="002833A3">
              <w:rPr>
                <w:rFonts w:asciiTheme="majorHAnsi" w:eastAsiaTheme="minorHAnsi" w:hAnsiTheme="majorHAnsi" w:cstheme="majorHAnsi"/>
                <w:sz w:val="18"/>
                <w:szCs w:val="18"/>
                <w:lang w:val="en-GB"/>
              </w:rPr>
              <w:t>5</w:t>
            </w:r>
          </w:p>
        </w:tc>
      </w:tr>
      <w:tr w:rsidR="008D2119" w:rsidRPr="00200E93" w14:paraId="6CF10EA1" w14:textId="77777777" w:rsidTr="5AB46587">
        <w:tc>
          <w:tcPr>
            <w:tcW w:w="3681" w:type="dxa"/>
          </w:tcPr>
          <w:p w14:paraId="704CC6F4" w14:textId="2CF484DD" w:rsidR="008D2119" w:rsidRPr="002833A3" w:rsidRDefault="008D2119" w:rsidP="008D2119">
            <w:pPr>
              <w:rPr>
                <w:rFonts w:asciiTheme="majorHAnsi" w:hAnsiTheme="majorHAnsi" w:cstheme="majorHAnsi"/>
                <w:b/>
                <w:bCs/>
                <w:sz w:val="18"/>
                <w:szCs w:val="18"/>
              </w:rPr>
            </w:pPr>
            <w:r w:rsidRPr="002833A3">
              <w:rPr>
                <w:rFonts w:asciiTheme="majorHAnsi" w:hAnsiTheme="majorHAnsi" w:cstheme="majorHAnsi"/>
                <w:b/>
                <w:bCs/>
                <w:sz w:val="18"/>
                <w:szCs w:val="18"/>
              </w:rPr>
              <w:t>Total</w:t>
            </w:r>
          </w:p>
        </w:tc>
        <w:tc>
          <w:tcPr>
            <w:tcW w:w="1417" w:type="dxa"/>
          </w:tcPr>
          <w:p w14:paraId="4C7978EC" w14:textId="1A42DB59" w:rsidR="008D2119" w:rsidRPr="002833A3" w:rsidRDefault="00675727" w:rsidP="008D2119">
            <w:pPr>
              <w:jc w:val="center"/>
              <w:rPr>
                <w:rFonts w:asciiTheme="majorHAnsi" w:eastAsiaTheme="minorHAnsi" w:hAnsiTheme="majorHAnsi" w:cstheme="majorHAnsi"/>
                <w:b/>
                <w:bCs/>
                <w:sz w:val="18"/>
                <w:szCs w:val="18"/>
                <w:lang w:val="en-GB"/>
              </w:rPr>
            </w:pPr>
            <w:r w:rsidRPr="002833A3">
              <w:rPr>
                <w:rFonts w:asciiTheme="majorHAnsi" w:eastAsiaTheme="minorHAnsi" w:hAnsiTheme="majorHAnsi" w:cstheme="majorHAnsi"/>
                <w:b/>
                <w:bCs/>
                <w:sz w:val="18"/>
                <w:szCs w:val="18"/>
                <w:lang w:val="en-GB"/>
              </w:rPr>
              <w:t>21</w:t>
            </w:r>
          </w:p>
        </w:tc>
        <w:tc>
          <w:tcPr>
            <w:tcW w:w="1418" w:type="dxa"/>
          </w:tcPr>
          <w:p w14:paraId="6B20E05B" w14:textId="1268CC15" w:rsidR="008D2119" w:rsidRPr="002833A3" w:rsidRDefault="00675727" w:rsidP="008D2119">
            <w:pPr>
              <w:jc w:val="center"/>
              <w:rPr>
                <w:rFonts w:asciiTheme="majorHAnsi" w:eastAsiaTheme="minorHAnsi" w:hAnsiTheme="majorHAnsi" w:cstheme="majorHAnsi"/>
                <w:b/>
                <w:bCs/>
                <w:sz w:val="18"/>
                <w:szCs w:val="18"/>
                <w:lang w:val="en-GB"/>
              </w:rPr>
            </w:pPr>
            <w:r w:rsidRPr="002833A3">
              <w:rPr>
                <w:rFonts w:asciiTheme="majorHAnsi" w:eastAsiaTheme="minorHAnsi" w:hAnsiTheme="majorHAnsi" w:cstheme="majorHAnsi"/>
                <w:b/>
                <w:bCs/>
                <w:sz w:val="18"/>
                <w:szCs w:val="18"/>
                <w:lang w:val="en-GB"/>
              </w:rPr>
              <w:t>100%</w:t>
            </w:r>
          </w:p>
        </w:tc>
        <w:tc>
          <w:tcPr>
            <w:tcW w:w="1276" w:type="dxa"/>
          </w:tcPr>
          <w:p w14:paraId="674BEF1A" w14:textId="769BA48F" w:rsidR="008D2119" w:rsidRPr="002833A3" w:rsidRDefault="005C3852" w:rsidP="008D2119">
            <w:pPr>
              <w:jc w:val="center"/>
              <w:rPr>
                <w:rFonts w:asciiTheme="majorHAnsi" w:eastAsiaTheme="minorHAnsi" w:hAnsiTheme="majorHAnsi" w:cstheme="majorHAnsi"/>
                <w:b/>
                <w:bCs/>
                <w:sz w:val="18"/>
                <w:szCs w:val="18"/>
                <w:lang w:val="en-GB"/>
              </w:rPr>
            </w:pPr>
            <w:r w:rsidRPr="002833A3">
              <w:rPr>
                <w:rFonts w:asciiTheme="majorHAnsi" w:eastAsiaTheme="minorHAnsi" w:hAnsiTheme="majorHAnsi" w:cstheme="majorHAnsi"/>
                <w:b/>
                <w:bCs/>
                <w:sz w:val="18"/>
                <w:szCs w:val="18"/>
                <w:lang w:val="en-GB"/>
              </w:rPr>
              <w:t>8</w:t>
            </w:r>
          </w:p>
        </w:tc>
        <w:tc>
          <w:tcPr>
            <w:tcW w:w="1275" w:type="dxa"/>
          </w:tcPr>
          <w:p w14:paraId="6720B5F3" w14:textId="76478E76" w:rsidR="008D2119" w:rsidRPr="002833A3" w:rsidRDefault="005C3852" w:rsidP="008D2119">
            <w:pPr>
              <w:jc w:val="center"/>
              <w:rPr>
                <w:rFonts w:asciiTheme="majorHAnsi" w:eastAsiaTheme="minorHAnsi" w:hAnsiTheme="majorHAnsi" w:cstheme="majorHAnsi"/>
                <w:b/>
                <w:bCs/>
                <w:sz w:val="18"/>
                <w:szCs w:val="18"/>
                <w:lang w:val="en-GB"/>
              </w:rPr>
            </w:pPr>
            <w:r w:rsidRPr="002833A3">
              <w:rPr>
                <w:rFonts w:asciiTheme="majorHAnsi" w:eastAsiaTheme="minorHAnsi" w:hAnsiTheme="majorHAnsi" w:cstheme="majorHAnsi"/>
                <w:b/>
                <w:bCs/>
                <w:sz w:val="18"/>
                <w:szCs w:val="18"/>
                <w:lang w:val="en-GB"/>
              </w:rPr>
              <w:t>13</w:t>
            </w:r>
          </w:p>
        </w:tc>
      </w:tr>
    </w:tbl>
    <w:p w14:paraId="05F32934" w14:textId="77777777" w:rsidR="008D2B33" w:rsidRDefault="008D2B33" w:rsidP="008D2119">
      <w:pPr>
        <w:autoSpaceDE w:val="0"/>
        <w:autoSpaceDN w:val="0"/>
        <w:adjustRightInd w:val="0"/>
        <w:spacing w:after="120"/>
        <w:rPr>
          <w:rFonts w:asciiTheme="majorHAnsi" w:hAnsiTheme="majorHAnsi" w:cstheme="majorHAnsi"/>
          <w:sz w:val="10"/>
          <w:szCs w:val="10"/>
          <w:lang w:val="en-GB"/>
        </w:rPr>
      </w:pPr>
    </w:p>
    <w:p w14:paraId="158470FF" w14:textId="2DFDF897" w:rsidR="00E5388A" w:rsidRPr="00BF0E47" w:rsidRDefault="00BF0E47" w:rsidP="00BF0E47">
      <w:pPr>
        <w:spacing w:before="120" w:after="120"/>
        <w:rPr>
          <w:rFonts w:asciiTheme="majorHAnsi" w:hAnsiTheme="majorHAnsi"/>
          <w:sz w:val="22"/>
          <w:szCs w:val="22"/>
        </w:rPr>
      </w:pPr>
      <w:r>
        <w:rPr>
          <w:rFonts w:asciiTheme="majorHAnsi" w:eastAsiaTheme="minorHAnsi" w:hAnsiTheme="majorHAnsi" w:cstheme="majorHAnsi"/>
          <w:sz w:val="22"/>
          <w:szCs w:val="22"/>
          <w:lang w:val="en-GB"/>
        </w:rPr>
        <w:t xml:space="preserve">The primary audience for the evaluation </w:t>
      </w:r>
      <w:r w:rsidR="00F82D51">
        <w:rPr>
          <w:rFonts w:asciiTheme="majorHAnsi" w:eastAsiaTheme="minorHAnsi" w:hAnsiTheme="majorHAnsi" w:cstheme="majorHAnsi"/>
          <w:sz w:val="22"/>
          <w:szCs w:val="22"/>
          <w:lang w:val="en-GB"/>
        </w:rPr>
        <w:t>is</w:t>
      </w:r>
      <w:r>
        <w:rPr>
          <w:rFonts w:asciiTheme="majorHAnsi" w:eastAsiaTheme="minorHAnsi" w:hAnsiTheme="majorHAnsi" w:cstheme="majorHAnsi"/>
          <w:sz w:val="22"/>
          <w:szCs w:val="22"/>
          <w:lang w:val="en-GB"/>
        </w:rPr>
        <w:t xml:space="preserve"> the DFAT delegate responsible for decision making on potential future funding and policy directions of the Project. ANU and the</w:t>
      </w:r>
      <w:r w:rsidRPr="007B60F5">
        <w:rPr>
          <w:rFonts w:asciiTheme="majorHAnsi" w:eastAsiaTheme="minorHAnsi" w:hAnsiTheme="majorHAnsi" w:cstheme="majorHAnsi"/>
          <w:sz w:val="22"/>
          <w:szCs w:val="22"/>
          <w:lang w:val="en-GB"/>
        </w:rPr>
        <w:t xml:space="preserve"> Project itself</w:t>
      </w:r>
      <w:r>
        <w:rPr>
          <w:rFonts w:asciiTheme="majorHAnsi" w:eastAsiaTheme="minorHAnsi" w:hAnsiTheme="majorHAnsi" w:cstheme="majorHAnsi"/>
          <w:sz w:val="22"/>
          <w:szCs w:val="22"/>
          <w:lang w:val="en-GB"/>
        </w:rPr>
        <w:t>, including its Project Board,</w:t>
      </w:r>
      <w:r w:rsidRPr="007B60F5">
        <w:rPr>
          <w:rFonts w:asciiTheme="majorHAnsi" w:eastAsiaTheme="minorHAnsi" w:hAnsiTheme="majorHAnsi" w:cstheme="majorHAnsi"/>
          <w:sz w:val="22"/>
          <w:szCs w:val="22"/>
          <w:lang w:val="en-GB"/>
        </w:rPr>
        <w:t xml:space="preserve"> </w:t>
      </w:r>
      <w:r>
        <w:rPr>
          <w:rFonts w:asciiTheme="majorHAnsi" w:eastAsiaTheme="minorHAnsi" w:hAnsiTheme="majorHAnsi" w:cstheme="majorHAnsi"/>
          <w:sz w:val="22"/>
          <w:szCs w:val="22"/>
          <w:lang w:val="en-GB"/>
        </w:rPr>
        <w:t>are also a key audience</w:t>
      </w:r>
      <w:r w:rsidRPr="007B60F5">
        <w:rPr>
          <w:rFonts w:asciiTheme="majorHAnsi" w:eastAsiaTheme="minorHAnsi" w:hAnsiTheme="majorHAnsi" w:cstheme="majorHAnsi"/>
          <w:sz w:val="22"/>
          <w:szCs w:val="22"/>
          <w:lang w:val="en-GB"/>
        </w:rPr>
        <w:t xml:space="preserve"> </w:t>
      </w:r>
      <w:r>
        <w:rPr>
          <w:rFonts w:asciiTheme="majorHAnsi" w:eastAsiaTheme="minorHAnsi" w:hAnsiTheme="majorHAnsi" w:cstheme="majorHAnsi"/>
          <w:sz w:val="22"/>
          <w:szCs w:val="22"/>
          <w:lang w:val="en-GB"/>
        </w:rPr>
        <w:t>for</w:t>
      </w:r>
      <w:r w:rsidRPr="007B60F5">
        <w:rPr>
          <w:rFonts w:asciiTheme="majorHAnsi" w:eastAsiaTheme="minorHAnsi" w:hAnsiTheme="majorHAnsi" w:cstheme="majorHAnsi"/>
          <w:sz w:val="22"/>
          <w:szCs w:val="22"/>
          <w:lang w:val="en-GB"/>
        </w:rPr>
        <w:t xml:space="preserve"> continuous learning and improvement</w:t>
      </w:r>
      <w:r>
        <w:rPr>
          <w:rFonts w:asciiTheme="majorHAnsi" w:eastAsiaTheme="minorHAnsi" w:hAnsiTheme="majorHAnsi" w:cstheme="majorHAnsi"/>
          <w:sz w:val="22"/>
          <w:szCs w:val="22"/>
          <w:lang w:val="en-GB"/>
        </w:rPr>
        <w:t xml:space="preserve"> purposes</w:t>
      </w:r>
      <w:r w:rsidRPr="007B60F5">
        <w:rPr>
          <w:rFonts w:asciiTheme="majorHAnsi" w:eastAsiaTheme="minorHAnsi" w:hAnsiTheme="majorHAnsi" w:cstheme="majorHAnsi"/>
          <w:sz w:val="22"/>
          <w:szCs w:val="22"/>
          <w:lang w:val="en-GB"/>
        </w:rPr>
        <w:t xml:space="preserve">. </w:t>
      </w:r>
      <w:r>
        <w:rPr>
          <w:rFonts w:asciiTheme="majorHAnsi" w:eastAsiaTheme="minorHAnsi" w:hAnsiTheme="majorHAnsi" w:cstheme="majorHAnsi"/>
          <w:sz w:val="22"/>
          <w:szCs w:val="22"/>
          <w:lang w:val="en-GB"/>
        </w:rPr>
        <w:t xml:space="preserve">Secondary stakeholders include the Project’s extensive alumni, partner institutions and the </w:t>
      </w:r>
      <w:proofErr w:type="gramStart"/>
      <w:r>
        <w:rPr>
          <w:rFonts w:asciiTheme="majorHAnsi" w:eastAsiaTheme="minorHAnsi" w:hAnsiTheme="majorHAnsi" w:cstheme="majorHAnsi"/>
          <w:sz w:val="22"/>
          <w:szCs w:val="22"/>
          <w:lang w:val="en-GB"/>
        </w:rPr>
        <w:t>general public</w:t>
      </w:r>
      <w:proofErr w:type="gramEnd"/>
      <w:r>
        <w:rPr>
          <w:rFonts w:asciiTheme="majorHAnsi" w:eastAsiaTheme="minorHAnsi" w:hAnsiTheme="majorHAnsi" w:cstheme="majorHAnsi"/>
          <w:sz w:val="22"/>
          <w:szCs w:val="22"/>
          <w:lang w:val="en-GB"/>
        </w:rPr>
        <w:t>.</w:t>
      </w:r>
    </w:p>
    <w:p w14:paraId="79E74E8A" w14:textId="4B413C04" w:rsidR="009D3D4A" w:rsidRPr="00764147" w:rsidRDefault="5C48C428" w:rsidP="00764147">
      <w:pPr>
        <w:pStyle w:val="Heading2"/>
      </w:pPr>
      <w:bookmarkStart w:id="12" w:name="_Toc219232325"/>
      <w:r w:rsidRPr="00764147">
        <w:lastRenderedPageBreak/>
        <w:t xml:space="preserve">1.3 </w:t>
      </w:r>
      <w:r w:rsidR="009D3D4A" w:rsidRPr="00764147">
        <w:tab/>
      </w:r>
      <w:r w:rsidRPr="00764147">
        <w:t xml:space="preserve">Limitations of the </w:t>
      </w:r>
      <w:r w:rsidR="7A22A5C4" w:rsidRPr="00764147">
        <w:t>e</w:t>
      </w:r>
      <w:r w:rsidRPr="00764147">
        <w:t>valuation</w:t>
      </w:r>
      <w:bookmarkEnd w:id="12"/>
    </w:p>
    <w:p w14:paraId="542A2DB2" w14:textId="28E312CD" w:rsidR="00E5388A" w:rsidRDefault="00776B9A" w:rsidP="00DA4129">
      <w:pPr>
        <w:jc w:val="both"/>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 xml:space="preserve">There </w:t>
      </w:r>
      <w:r w:rsidRPr="008323DB">
        <w:rPr>
          <w:rFonts w:asciiTheme="majorHAnsi" w:eastAsiaTheme="minorHAnsi" w:hAnsiTheme="majorHAnsi" w:cstheme="majorHAnsi"/>
          <w:sz w:val="22"/>
          <w:szCs w:val="22"/>
          <w:lang w:val="en-GB"/>
        </w:rPr>
        <w:t xml:space="preserve">are </w:t>
      </w:r>
      <w:r w:rsidR="00BA48ED">
        <w:rPr>
          <w:rFonts w:asciiTheme="majorHAnsi" w:eastAsiaTheme="minorHAnsi" w:hAnsiTheme="majorHAnsi" w:cstheme="majorHAnsi"/>
          <w:sz w:val="22"/>
          <w:szCs w:val="22"/>
          <w:lang w:val="en-GB"/>
        </w:rPr>
        <w:t>four</w:t>
      </w:r>
      <w:r w:rsidRPr="008323DB">
        <w:rPr>
          <w:rFonts w:asciiTheme="majorHAnsi" w:eastAsiaTheme="minorHAnsi" w:hAnsiTheme="majorHAnsi" w:cstheme="majorHAnsi"/>
          <w:sz w:val="22"/>
          <w:szCs w:val="22"/>
          <w:lang w:val="en-GB"/>
        </w:rPr>
        <w:t xml:space="preserve"> identified</w:t>
      </w:r>
      <w:r>
        <w:rPr>
          <w:rFonts w:asciiTheme="majorHAnsi" w:eastAsiaTheme="minorHAnsi" w:hAnsiTheme="majorHAnsi" w:cstheme="majorHAnsi"/>
          <w:sz w:val="22"/>
          <w:szCs w:val="22"/>
          <w:lang w:val="en-GB"/>
        </w:rPr>
        <w:t xml:space="preserve"> limitations </w:t>
      </w:r>
      <w:r w:rsidR="00F82D51">
        <w:rPr>
          <w:rFonts w:asciiTheme="majorHAnsi" w:eastAsiaTheme="minorHAnsi" w:hAnsiTheme="majorHAnsi" w:cstheme="majorHAnsi"/>
          <w:sz w:val="22"/>
          <w:szCs w:val="22"/>
          <w:lang w:val="en-GB"/>
        </w:rPr>
        <w:t xml:space="preserve">of </w:t>
      </w:r>
      <w:r>
        <w:rPr>
          <w:rFonts w:asciiTheme="majorHAnsi" w:eastAsiaTheme="minorHAnsi" w:hAnsiTheme="majorHAnsi" w:cstheme="majorHAnsi"/>
          <w:sz w:val="22"/>
          <w:szCs w:val="22"/>
          <w:lang w:val="en-GB"/>
        </w:rPr>
        <w:t>the evaluation and the findings presented in this report:</w:t>
      </w:r>
    </w:p>
    <w:p w14:paraId="4A5356FE" w14:textId="77777777" w:rsidR="00776B9A" w:rsidRDefault="00776B9A" w:rsidP="00DA4129">
      <w:pPr>
        <w:jc w:val="both"/>
        <w:rPr>
          <w:rFonts w:asciiTheme="majorHAnsi" w:eastAsiaTheme="minorHAnsi" w:hAnsiTheme="majorHAnsi" w:cstheme="majorHAnsi"/>
          <w:sz w:val="22"/>
          <w:szCs w:val="22"/>
          <w:lang w:val="en-GB"/>
        </w:rPr>
      </w:pPr>
    </w:p>
    <w:p w14:paraId="19A2B668" w14:textId="2F49B84B" w:rsidR="00776B9A" w:rsidRDefault="00776B9A" w:rsidP="007B461C">
      <w:pPr>
        <w:pStyle w:val="ListParagraph"/>
        <w:numPr>
          <w:ilvl w:val="0"/>
          <w:numId w:val="6"/>
        </w:numPr>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 xml:space="preserve">The </w:t>
      </w:r>
      <w:r>
        <w:rPr>
          <w:rFonts w:asciiTheme="majorHAnsi" w:eastAsiaTheme="minorHAnsi" w:hAnsiTheme="majorHAnsi" w:cstheme="majorHAnsi"/>
          <w:b/>
          <w:bCs/>
          <w:sz w:val="22"/>
          <w:szCs w:val="22"/>
          <w:lang w:val="en-GB"/>
        </w:rPr>
        <w:t>sample of interviewees</w:t>
      </w:r>
      <w:r>
        <w:rPr>
          <w:rFonts w:asciiTheme="majorHAnsi" w:eastAsiaTheme="minorHAnsi" w:hAnsiTheme="majorHAnsi" w:cstheme="majorHAnsi"/>
          <w:sz w:val="22"/>
          <w:szCs w:val="22"/>
          <w:lang w:val="en-GB"/>
        </w:rPr>
        <w:t>, while diverse, cannot fully represent the breadth of the Project’s network and alumni. In addition, the high profile of some key stakeholders meant that despite the evaluation team’s best efforts for engagement</w:t>
      </w:r>
      <w:r w:rsidR="004F1C74">
        <w:rPr>
          <w:rFonts w:asciiTheme="majorHAnsi" w:eastAsiaTheme="minorHAnsi" w:hAnsiTheme="majorHAnsi" w:cstheme="majorHAnsi"/>
          <w:sz w:val="22"/>
          <w:szCs w:val="22"/>
          <w:lang w:val="en-GB"/>
        </w:rPr>
        <w:t>,</w:t>
      </w:r>
      <w:r>
        <w:rPr>
          <w:rFonts w:asciiTheme="majorHAnsi" w:eastAsiaTheme="minorHAnsi" w:hAnsiTheme="majorHAnsi" w:cstheme="majorHAnsi"/>
          <w:sz w:val="22"/>
          <w:szCs w:val="22"/>
          <w:lang w:val="en-GB"/>
        </w:rPr>
        <w:t xml:space="preserve"> </w:t>
      </w:r>
      <w:r w:rsidR="00F82D51">
        <w:rPr>
          <w:rFonts w:asciiTheme="majorHAnsi" w:eastAsiaTheme="minorHAnsi" w:hAnsiTheme="majorHAnsi" w:cstheme="majorHAnsi"/>
          <w:sz w:val="22"/>
          <w:szCs w:val="22"/>
          <w:lang w:val="en-GB"/>
        </w:rPr>
        <w:t xml:space="preserve">senior </w:t>
      </w:r>
      <w:r>
        <w:rPr>
          <w:rFonts w:asciiTheme="majorHAnsi" w:eastAsiaTheme="minorHAnsi" w:hAnsiTheme="majorHAnsi" w:cstheme="majorHAnsi"/>
          <w:sz w:val="22"/>
          <w:szCs w:val="22"/>
          <w:lang w:val="en-GB"/>
        </w:rPr>
        <w:t xml:space="preserve">representatives from the Government of Indonesia were not consulted. To overcome this limitation </w:t>
      </w:r>
      <w:r w:rsidR="004B16DD">
        <w:rPr>
          <w:rFonts w:asciiTheme="majorHAnsi" w:eastAsiaTheme="minorHAnsi" w:hAnsiTheme="majorHAnsi" w:cstheme="majorHAnsi"/>
          <w:sz w:val="22"/>
          <w:szCs w:val="22"/>
          <w:lang w:val="en-GB"/>
        </w:rPr>
        <w:t>to the extent</w:t>
      </w:r>
      <w:r>
        <w:rPr>
          <w:rFonts w:asciiTheme="majorHAnsi" w:eastAsiaTheme="minorHAnsi" w:hAnsiTheme="majorHAnsi" w:cstheme="majorHAnsi"/>
          <w:sz w:val="22"/>
          <w:szCs w:val="22"/>
          <w:lang w:val="en-GB"/>
        </w:rPr>
        <w:t xml:space="preserve"> possible, the evaluation team focussed on ensuring as broad a cross-section of key stakeholders, and the incorporation of data from a recently completed alumni survey undertaken by ANU. </w:t>
      </w:r>
    </w:p>
    <w:p w14:paraId="1D37752D" w14:textId="1B9F06D2" w:rsidR="005E11F4" w:rsidRDefault="004F1C74" w:rsidP="007B461C">
      <w:pPr>
        <w:pStyle w:val="ListParagraph"/>
        <w:numPr>
          <w:ilvl w:val="0"/>
          <w:numId w:val="6"/>
        </w:numPr>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 xml:space="preserve">Monitoring data does not consistently track the Project’s </w:t>
      </w:r>
      <w:r>
        <w:rPr>
          <w:rFonts w:asciiTheme="majorHAnsi" w:eastAsiaTheme="minorHAnsi" w:hAnsiTheme="majorHAnsi" w:cstheme="majorHAnsi"/>
          <w:b/>
          <w:bCs/>
          <w:sz w:val="22"/>
          <w:szCs w:val="22"/>
          <w:lang w:val="en-GB"/>
        </w:rPr>
        <w:t>policy influence or longer-term network effects</w:t>
      </w:r>
      <w:r>
        <w:rPr>
          <w:rFonts w:asciiTheme="majorHAnsi" w:eastAsiaTheme="minorHAnsi" w:hAnsiTheme="majorHAnsi" w:cstheme="majorHAnsi"/>
          <w:sz w:val="22"/>
          <w:szCs w:val="22"/>
          <w:lang w:val="en-GB"/>
        </w:rPr>
        <w:t xml:space="preserve">. </w:t>
      </w:r>
      <w:proofErr w:type="gramStart"/>
      <w:r>
        <w:rPr>
          <w:rFonts w:asciiTheme="majorHAnsi" w:eastAsiaTheme="minorHAnsi" w:hAnsiTheme="majorHAnsi" w:cstheme="majorHAnsi"/>
          <w:sz w:val="22"/>
          <w:szCs w:val="22"/>
          <w:lang w:val="en-GB"/>
        </w:rPr>
        <w:t>Therefore</w:t>
      </w:r>
      <w:proofErr w:type="gramEnd"/>
      <w:r>
        <w:rPr>
          <w:rFonts w:asciiTheme="majorHAnsi" w:eastAsiaTheme="minorHAnsi" w:hAnsiTheme="majorHAnsi" w:cstheme="majorHAnsi"/>
          <w:sz w:val="22"/>
          <w:szCs w:val="22"/>
          <w:lang w:val="en-GB"/>
        </w:rPr>
        <w:t xml:space="preserve"> the evaluation relies largely on qualitative evidence and illustrative cases to demonstrate the Project’s impact on policy making. </w:t>
      </w:r>
    </w:p>
    <w:p w14:paraId="247DEB76" w14:textId="7C4C521E" w:rsidR="00BA48ED" w:rsidRPr="009C7316" w:rsidRDefault="004C2EEB" w:rsidP="007B461C">
      <w:pPr>
        <w:pStyle w:val="ListParagraph"/>
        <w:numPr>
          <w:ilvl w:val="0"/>
          <w:numId w:val="6"/>
        </w:numPr>
        <w:rPr>
          <w:rFonts w:asciiTheme="majorHAnsi" w:eastAsiaTheme="minorHAnsi" w:hAnsiTheme="majorHAnsi" w:cstheme="majorHAnsi"/>
          <w:sz w:val="22"/>
          <w:szCs w:val="22"/>
          <w:lang w:val="en-GB"/>
        </w:rPr>
      </w:pPr>
      <w:r w:rsidRPr="009C7316">
        <w:rPr>
          <w:rFonts w:asciiTheme="majorHAnsi" w:eastAsiaTheme="minorHAnsi" w:hAnsiTheme="majorHAnsi" w:cstheme="majorHAnsi"/>
          <w:sz w:val="22"/>
          <w:szCs w:val="22"/>
          <w:lang w:val="en-GB"/>
        </w:rPr>
        <w:t>The evaluation team re-coded monitoring data collected by ANU against the</w:t>
      </w:r>
      <w:r w:rsidR="00BA48ED" w:rsidRPr="009C7316">
        <w:rPr>
          <w:rFonts w:asciiTheme="majorHAnsi" w:eastAsiaTheme="minorHAnsi" w:hAnsiTheme="majorHAnsi" w:cstheme="majorHAnsi"/>
          <w:sz w:val="22"/>
          <w:szCs w:val="22"/>
          <w:lang w:val="en-GB"/>
        </w:rPr>
        <w:t xml:space="preserve"> Project Logic</w:t>
      </w:r>
      <w:r w:rsidRPr="009C7316">
        <w:rPr>
          <w:rFonts w:asciiTheme="majorHAnsi" w:eastAsiaTheme="minorHAnsi" w:hAnsiTheme="majorHAnsi" w:cstheme="majorHAnsi"/>
          <w:sz w:val="22"/>
          <w:szCs w:val="22"/>
          <w:lang w:val="en-GB"/>
        </w:rPr>
        <w:t xml:space="preserve">’s </w:t>
      </w:r>
      <w:r w:rsidR="00BA48ED" w:rsidRPr="009C7316">
        <w:rPr>
          <w:rFonts w:asciiTheme="majorHAnsi" w:eastAsiaTheme="minorHAnsi" w:hAnsiTheme="majorHAnsi" w:cstheme="majorHAnsi"/>
          <w:sz w:val="22"/>
          <w:szCs w:val="22"/>
          <w:lang w:val="en-GB"/>
        </w:rPr>
        <w:t>EOPO, output</w:t>
      </w:r>
      <w:r w:rsidRPr="009C7316">
        <w:rPr>
          <w:rFonts w:asciiTheme="majorHAnsi" w:eastAsiaTheme="minorHAnsi" w:hAnsiTheme="majorHAnsi" w:cstheme="majorHAnsi"/>
          <w:sz w:val="22"/>
          <w:szCs w:val="22"/>
          <w:lang w:val="en-GB"/>
        </w:rPr>
        <w:t>s</w:t>
      </w:r>
      <w:r w:rsidR="00BA48ED" w:rsidRPr="009C7316">
        <w:rPr>
          <w:rFonts w:asciiTheme="majorHAnsi" w:eastAsiaTheme="minorHAnsi" w:hAnsiTheme="majorHAnsi" w:cstheme="majorHAnsi"/>
          <w:sz w:val="22"/>
          <w:szCs w:val="22"/>
          <w:lang w:val="en-GB"/>
        </w:rPr>
        <w:t xml:space="preserve"> and activit</w:t>
      </w:r>
      <w:r w:rsidRPr="009C7316">
        <w:rPr>
          <w:rFonts w:asciiTheme="majorHAnsi" w:eastAsiaTheme="minorHAnsi" w:hAnsiTheme="majorHAnsi" w:cstheme="majorHAnsi"/>
          <w:sz w:val="22"/>
          <w:szCs w:val="22"/>
          <w:lang w:val="en-GB"/>
        </w:rPr>
        <w:t>ies</w:t>
      </w:r>
      <w:r w:rsidR="00BA48ED" w:rsidRPr="009C7316">
        <w:rPr>
          <w:rFonts w:asciiTheme="majorHAnsi" w:eastAsiaTheme="minorHAnsi" w:hAnsiTheme="majorHAnsi" w:cstheme="majorHAnsi"/>
          <w:sz w:val="22"/>
          <w:szCs w:val="22"/>
          <w:lang w:val="en-GB"/>
        </w:rPr>
        <w:t>.</w:t>
      </w:r>
      <w:r w:rsidRPr="009C7316">
        <w:rPr>
          <w:rFonts w:asciiTheme="majorHAnsi" w:eastAsiaTheme="minorHAnsi" w:hAnsiTheme="majorHAnsi" w:cstheme="majorHAnsi"/>
          <w:sz w:val="22"/>
          <w:szCs w:val="22"/>
          <w:lang w:val="en-GB"/>
        </w:rPr>
        <w:t xml:space="preserve"> </w:t>
      </w:r>
      <w:proofErr w:type="gramStart"/>
      <w:r w:rsidRPr="009C7316">
        <w:rPr>
          <w:rFonts w:asciiTheme="majorHAnsi" w:eastAsiaTheme="minorHAnsi" w:hAnsiTheme="majorHAnsi" w:cstheme="majorHAnsi"/>
          <w:sz w:val="22"/>
          <w:szCs w:val="22"/>
          <w:lang w:val="en-GB"/>
        </w:rPr>
        <w:t>Therefore</w:t>
      </w:r>
      <w:proofErr w:type="gramEnd"/>
      <w:r w:rsidRPr="009C7316">
        <w:rPr>
          <w:rFonts w:asciiTheme="majorHAnsi" w:eastAsiaTheme="minorHAnsi" w:hAnsiTheme="majorHAnsi" w:cstheme="majorHAnsi"/>
          <w:sz w:val="22"/>
          <w:szCs w:val="22"/>
          <w:lang w:val="en-GB"/>
        </w:rPr>
        <w:t xml:space="preserve"> </w:t>
      </w:r>
      <w:r w:rsidRPr="009C7316">
        <w:rPr>
          <w:rFonts w:asciiTheme="majorHAnsi" w:eastAsiaTheme="minorHAnsi" w:hAnsiTheme="majorHAnsi" w:cstheme="majorHAnsi"/>
          <w:b/>
          <w:bCs/>
          <w:sz w:val="22"/>
          <w:szCs w:val="22"/>
          <w:lang w:val="en-GB"/>
        </w:rPr>
        <w:t xml:space="preserve">data is analysed and presented differently </w:t>
      </w:r>
      <w:r w:rsidR="008059C8">
        <w:rPr>
          <w:rFonts w:asciiTheme="majorHAnsi" w:eastAsiaTheme="minorHAnsi" w:hAnsiTheme="majorHAnsi" w:cstheme="majorHAnsi"/>
          <w:b/>
          <w:bCs/>
          <w:sz w:val="22"/>
          <w:szCs w:val="22"/>
          <w:lang w:val="en-GB"/>
        </w:rPr>
        <w:t xml:space="preserve">to the manner of </w:t>
      </w:r>
      <w:r w:rsidRPr="009C7316">
        <w:rPr>
          <w:rFonts w:asciiTheme="majorHAnsi" w:eastAsiaTheme="minorHAnsi" w:hAnsiTheme="majorHAnsi" w:cstheme="majorHAnsi"/>
          <w:b/>
          <w:bCs/>
          <w:sz w:val="22"/>
          <w:szCs w:val="22"/>
          <w:lang w:val="en-GB"/>
        </w:rPr>
        <w:t>present</w:t>
      </w:r>
      <w:r w:rsidR="008059C8">
        <w:rPr>
          <w:rFonts w:asciiTheme="majorHAnsi" w:eastAsiaTheme="minorHAnsi" w:hAnsiTheme="majorHAnsi" w:cstheme="majorHAnsi"/>
          <w:b/>
          <w:bCs/>
          <w:sz w:val="22"/>
          <w:szCs w:val="22"/>
          <w:lang w:val="en-GB"/>
        </w:rPr>
        <w:t>ation</w:t>
      </w:r>
      <w:r w:rsidRPr="009C7316">
        <w:rPr>
          <w:rFonts w:asciiTheme="majorHAnsi" w:eastAsiaTheme="minorHAnsi" w:hAnsiTheme="majorHAnsi" w:cstheme="majorHAnsi"/>
          <w:b/>
          <w:bCs/>
          <w:sz w:val="22"/>
          <w:szCs w:val="22"/>
          <w:lang w:val="en-GB"/>
        </w:rPr>
        <w:t xml:space="preserve"> in ANU’s annual reports</w:t>
      </w:r>
      <w:r w:rsidRPr="009C7316">
        <w:rPr>
          <w:rFonts w:asciiTheme="majorHAnsi" w:eastAsiaTheme="minorHAnsi" w:hAnsiTheme="majorHAnsi" w:cstheme="majorHAnsi"/>
          <w:sz w:val="22"/>
          <w:szCs w:val="22"/>
          <w:lang w:val="en-GB"/>
        </w:rPr>
        <w:t xml:space="preserve">. The process of recoding also identified </w:t>
      </w:r>
      <w:r w:rsidR="007229D1">
        <w:rPr>
          <w:rFonts w:asciiTheme="majorHAnsi" w:eastAsiaTheme="minorHAnsi" w:hAnsiTheme="majorHAnsi" w:cstheme="majorHAnsi"/>
          <w:sz w:val="22"/>
          <w:szCs w:val="22"/>
          <w:lang w:val="en-GB"/>
        </w:rPr>
        <w:t xml:space="preserve">some </w:t>
      </w:r>
      <w:r w:rsidRPr="009C7316">
        <w:rPr>
          <w:rFonts w:asciiTheme="majorHAnsi" w:eastAsiaTheme="minorHAnsi" w:hAnsiTheme="majorHAnsi" w:cstheme="majorHAnsi"/>
          <w:sz w:val="22"/>
          <w:szCs w:val="22"/>
          <w:lang w:val="en-GB"/>
        </w:rPr>
        <w:t>data gaps (particularly in relation to events/</w:t>
      </w:r>
      <w:r w:rsidR="009C7316">
        <w:rPr>
          <w:rFonts w:asciiTheme="majorHAnsi" w:eastAsiaTheme="minorHAnsi" w:hAnsiTheme="majorHAnsi" w:cstheme="majorHAnsi"/>
          <w:sz w:val="22"/>
          <w:szCs w:val="22"/>
          <w:lang w:val="en-GB"/>
        </w:rPr>
        <w:t xml:space="preserve">attendance </w:t>
      </w:r>
      <w:r w:rsidR="009C7316" w:rsidRPr="009C7316">
        <w:rPr>
          <w:rFonts w:asciiTheme="majorHAnsi" w:eastAsiaTheme="minorHAnsi" w:hAnsiTheme="majorHAnsi" w:cstheme="majorHAnsi"/>
          <w:sz w:val="22"/>
          <w:szCs w:val="22"/>
          <w:lang w:val="en-GB"/>
        </w:rPr>
        <w:t>data</w:t>
      </w:r>
      <w:r w:rsidRPr="009C7316">
        <w:rPr>
          <w:rFonts w:asciiTheme="majorHAnsi" w:eastAsiaTheme="minorHAnsi" w:hAnsiTheme="majorHAnsi" w:cstheme="majorHAnsi"/>
          <w:sz w:val="22"/>
          <w:szCs w:val="22"/>
          <w:lang w:val="en-GB"/>
        </w:rPr>
        <w:t xml:space="preserve">). This is not </w:t>
      </w:r>
      <w:r w:rsidR="009C7316" w:rsidRPr="009C7316">
        <w:rPr>
          <w:rFonts w:asciiTheme="majorHAnsi" w:eastAsiaTheme="minorHAnsi" w:hAnsiTheme="majorHAnsi" w:cstheme="majorHAnsi"/>
          <w:sz w:val="22"/>
          <w:szCs w:val="22"/>
          <w:lang w:val="en-GB"/>
        </w:rPr>
        <w:t xml:space="preserve">a criticism of the Project Team </w:t>
      </w:r>
      <w:r w:rsidR="008059C8">
        <w:rPr>
          <w:rFonts w:asciiTheme="majorHAnsi" w:eastAsiaTheme="minorHAnsi" w:hAnsiTheme="majorHAnsi" w:cstheme="majorHAnsi"/>
          <w:sz w:val="22"/>
          <w:szCs w:val="22"/>
          <w:lang w:val="en-GB"/>
        </w:rPr>
        <w:t xml:space="preserve">or systems, </w:t>
      </w:r>
      <w:r w:rsidR="009C7316" w:rsidRPr="009C7316">
        <w:rPr>
          <w:rFonts w:asciiTheme="majorHAnsi" w:eastAsiaTheme="minorHAnsi" w:hAnsiTheme="majorHAnsi" w:cstheme="majorHAnsi"/>
          <w:sz w:val="22"/>
          <w:szCs w:val="22"/>
          <w:lang w:val="en-GB"/>
        </w:rPr>
        <w:t xml:space="preserve">and is not </w:t>
      </w:r>
      <w:r w:rsidRPr="009C7316">
        <w:rPr>
          <w:rFonts w:asciiTheme="majorHAnsi" w:eastAsiaTheme="minorHAnsi" w:hAnsiTheme="majorHAnsi" w:cstheme="majorHAnsi"/>
          <w:sz w:val="22"/>
          <w:szCs w:val="22"/>
          <w:lang w:val="en-GB"/>
        </w:rPr>
        <w:t xml:space="preserve">surprising given the breadth of events, the diverse way in which </w:t>
      </w:r>
      <w:r w:rsidR="009C7316">
        <w:rPr>
          <w:rFonts w:asciiTheme="majorHAnsi" w:eastAsiaTheme="minorHAnsi" w:hAnsiTheme="majorHAnsi" w:cstheme="majorHAnsi"/>
          <w:sz w:val="22"/>
          <w:szCs w:val="22"/>
          <w:lang w:val="en-GB"/>
        </w:rPr>
        <w:t>stakeholders attend</w:t>
      </w:r>
      <w:r w:rsidRPr="009C7316">
        <w:rPr>
          <w:rFonts w:asciiTheme="majorHAnsi" w:eastAsiaTheme="minorHAnsi" w:hAnsiTheme="majorHAnsi" w:cstheme="majorHAnsi"/>
          <w:sz w:val="22"/>
          <w:szCs w:val="22"/>
          <w:lang w:val="en-GB"/>
        </w:rPr>
        <w:t xml:space="preserve">, and the resources available to the Project. The result </w:t>
      </w:r>
      <w:r w:rsidR="009C7316" w:rsidRPr="009C7316">
        <w:rPr>
          <w:rFonts w:asciiTheme="majorHAnsi" w:eastAsiaTheme="minorHAnsi" w:hAnsiTheme="majorHAnsi" w:cstheme="majorHAnsi"/>
          <w:sz w:val="22"/>
          <w:szCs w:val="22"/>
          <w:lang w:val="en-GB"/>
        </w:rPr>
        <w:t xml:space="preserve">however </w:t>
      </w:r>
      <w:r w:rsidRPr="009C7316">
        <w:rPr>
          <w:rFonts w:asciiTheme="majorHAnsi" w:eastAsiaTheme="minorHAnsi" w:hAnsiTheme="majorHAnsi" w:cstheme="majorHAnsi"/>
          <w:sz w:val="22"/>
          <w:szCs w:val="22"/>
          <w:lang w:val="en-GB"/>
        </w:rPr>
        <w:t>is tha</w:t>
      </w:r>
      <w:r w:rsidR="009C7316" w:rsidRPr="009C7316">
        <w:rPr>
          <w:rFonts w:asciiTheme="majorHAnsi" w:eastAsiaTheme="minorHAnsi" w:hAnsiTheme="majorHAnsi" w:cstheme="majorHAnsi"/>
          <w:sz w:val="22"/>
          <w:szCs w:val="22"/>
          <w:lang w:val="en-GB"/>
        </w:rPr>
        <w:t xml:space="preserve">t activity numbers may not </w:t>
      </w:r>
      <w:r w:rsidR="009C7316">
        <w:rPr>
          <w:rFonts w:asciiTheme="majorHAnsi" w:eastAsiaTheme="minorHAnsi" w:hAnsiTheme="majorHAnsi" w:cstheme="majorHAnsi"/>
          <w:sz w:val="22"/>
          <w:szCs w:val="22"/>
          <w:lang w:val="en-GB"/>
        </w:rPr>
        <w:t xml:space="preserve">fully represent the reach and impact of the </w:t>
      </w:r>
      <w:proofErr w:type="gramStart"/>
      <w:r w:rsidR="009C7316">
        <w:rPr>
          <w:rFonts w:asciiTheme="majorHAnsi" w:eastAsiaTheme="minorHAnsi" w:hAnsiTheme="majorHAnsi" w:cstheme="majorHAnsi"/>
          <w:sz w:val="22"/>
          <w:szCs w:val="22"/>
          <w:lang w:val="en-GB"/>
        </w:rPr>
        <w:t>Project, and</w:t>
      </w:r>
      <w:proofErr w:type="gramEnd"/>
      <w:r w:rsidR="009C7316">
        <w:rPr>
          <w:rFonts w:asciiTheme="majorHAnsi" w:eastAsiaTheme="minorHAnsi" w:hAnsiTheme="majorHAnsi" w:cstheme="majorHAnsi"/>
          <w:sz w:val="22"/>
          <w:szCs w:val="22"/>
          <w:lang w:val="en-GB"/>
        </w:rPr>
        <w:t xml:space="preserve"> may not </w:t>
      </w:r>
      <w:r w:rsidR="009C7316" w:rsidRPr="009C7316">
        <w:rPr>
          <w:rFonts w:asciiTheme="majorHAnsi" w:eastAsiaTheme="minorHAnsi" w:hAnsiTheme="majorHAnsi" w:cstheme="majorHAnsi"/>
          <w:sz w:val="22"/>
          <w:szCs w:val="22"/>
          <w:lang w:val="en-GB"/>
        </w:rPr>
        <w:t>align</w:t>
      </w:r>
      <w:r w:rsidRPr="009C7316">
        <w:rPr>
          <w:rFonts w:asciiTheme="majorHAnsi" w:eastAsiaTheme="minorHAnsi" w:hAnsiTheme="majorHAnsi" w:cstheme="majorHAnsi"/>
          <w:sz w:val="22"/>
          <w:szCs w:val="22"/>
          <w:lang w:val="en-GB"/>
        </w:rPr>
        <w:t xml:space="preserve"> </w:t>
      </w:r>
      <w:r w:rsidR="009C7316">
        <w:rPr>
          <w:rFonts w:asciiTheme="majorHAnsi" w:eastAsiaTheme="minorHAnsi" w:hAnsiTheme="majorHAnsi" w:cstheme="majorHAnsi"/>
          <w:sz w:val="22"/>
          <w:szCs w:val="22"/>
          <w:lang w:val="en-GB"/>
        </w:rPr>
        <w:t>between the</w:t>
      </w:r>
      <w:r w:rsidRPr="009C7316">
        <w:rPr>
          <w:rFonts w:asciiTheme="majorHAnsi" w:eastAsiaTheme="minorHAnsi" w:hAnsiTheme="majorHAnsi" w:cstheme="majorHAnsi"/>
          <w:sz w:val="22"/>
          <w:szCs w:val="22"/>
          <w:lang w:val="en-GB"/>
        </w:rPr>
        <w:t xml:space="preserve"> Evaluation Report and ANU’s annual reports. </w:t>
      </w:r>
      <w:r w:rsidR="00BA48ED" w:rsidRPr="009C7316">
        <w:rPr>
          <w:rFonts w:asciiTheme="majorHAnsi" w:eastAsiaTheme="minorHAnsi" w:hAnsiTheme="majorHAnsi" w:cstheme="majorHAnsi"/>
          <w:sz w:val="22"/>
          <w:szCs w:val="22"/>
          <w:lang w:val="en-GB"/>
        </w:rPr>
        <w:t xml:space="preserve"> </w:t>
      </w:r>
    </w:p>
    <w:p w14:paraId="05DE6256" w14:textId="14899B30" w:rsidR="008323DB" w:rsidRPr="008323DB" w:rsidRDefault="008323DB" w:rsidP="007B461C">
      <w:pPr>
        <w:pStyle w:val="ListParagraph"/>
        <w:numPr>
          <w:ilvl w:val="0"/>
          <w:numId w:val="6"/>
        </w:numPr>
        <w:rPr>
          <w:rFonts w:asciiTheme="majorHAnsi" w:eastAsiaTheme="minorHAnsi" w:hAnsiTheme="majorHAnsi" w:cstheme="majorHAnsi"/>
          <w:sz w:val="22"/>
          <w:szCs w:val="22"/>
          <w:lang w:val="en-GB"/>
        </w:rPr>
      </w:pPr>
      <w:r>
        <w:rPr>
          <w:rFonts w:asciiTheme="majorHAnsi" w:eastAsiaTheme="minorHAnsi" w:hAnsiTheme="majorHAnsi" w:cstheme="majorHAnsi"/>
          <w:sz w:val="22"/>
          <w:szCs w:val="22"/>
          <w:lang w:val="en-GB"/>
        </w:rPr>
        <w:t xml:space="preserve">The evaluation was undertaken in a relatively </w:t>
      </w:r>
      <w:r w:rsidRPr="008323DB">
        <w:rPr>
          <w:rFonts w:asciiTheme="majorHAnsi" w:eastAsiaTheme="minorHAnsi" w:hAnsiTheme="majorHAnsi" w:cstheme="majorHAnsi"/>
          <w:b/>
          <w:bCs/>
          <w:sz w:val="22"/>
          <w:szCs w:val="22"/>
          <w:lang w:val="en-GB"/>
        </w:rPr>
        <w:t>short timeframe</w:t>
      </w:r>
      <w:r>
        <w:rPr>
          <w:rFonts w:asciiTheme="majorHAnsi" w:eastAsiaTheme="minorHAnsi" w:hAnsiTheme="majorHAnsi" w:cstheme="majorHAnsi"/>
          <w:sz w:val="22"/>
          <w:szCs w:val="22"/>
          <w:lang w:val="en-GB"/>
        </w:rPr>
        <w:t>, with limited time for data collection and analysis. The result is a lack of sufficient time to consult broadly</w:t>
      </w:r>
      <w:r w:rsidR="004B16DD">
        <w:rPr>
          <w:rFonts w:asciiTheme="majorHAnsi" w:eastAsiaTheme="minorHAnsi" w:hAnsiTheme="majorHAnsi" w:cstheme="majorHAnsi"/>
          <w:sz w:val="22"/>
          <w:szCs w:val="22"/>
          <w:lang w:val="en-GB"/>
        </w:rPr>
        <w:t>, conduct an in-country visit,</w:t>
      </w:r>
      <w:r>
        <w:rPr>
          <w:rFonts w:asciiTheme="majorHAnsi" w:eastAsiaTheme="minorHAnsi" w:hAnsiTheme="majorHAnsi" w:cstheme="majorHAnsi"/>
          <w:sz w:val="22"/>
          <w:szCs w:val="22"/>
          <w:lang w:val="en-GB"/>
        </w:rPr>
        <w:t xml:space="preserve"> and to explore all project outcomes in-depth. The evaluation also relies substantially on monitoring data and reports prepared by ANU.  </w:t>
      </w:r>
    </w:p>
    <w:p w14:paraId="730A9E83" w14:textId="6AE790F1" w:rsidR="005E11F4" w:rsidRDefault="004F1C74" w:rsidP="008323DB">
      <w:pPr>
        <w:spacing w:before="100" w:beforeAutospacing="1" w:after="100" w:afterAutospacing="1"/>
        <w:rPr>
          <w:rFonts w:asciiTheme="majorHAnsi" w:eastAsiaTheme="minorHAnsi" w:hAnsiTheme="majorHAnsi" w:cstheme="majorHAnsi"/>
          <w:sz w:val="22"/>
          <w:szCs w:val="22"/>
          <w:lang w:val="en-GB"/>
        </w:rPr>
      </w:pPr>
      <w:r w:rsidRPr="004F1C74">
        <w:rPr>
          <w:rFonts w:asciiTheme="majorHAnsi" w:eastAsiaTheme="minorHAnsi" w:hAnsiTheme="majorHAnsi" w:cstheme="majorHAnsi"/>
          <w:sz w:val="22"/>
          <w:szCs w:val="22"/>
          <w:lang w:val="en-GB"/>
        </w:rPr>
        <w:t xml:space="preserve">The limitations </w:t>
      </w:r>
      <w:r w:rsidR="00F82D51">
        <w:rPr>
          <w:rFonts w:asciiTheme="majorHAnsi" w:eastAsiaTheme="minorHAnsi" w:hAnsiTheme="majorHAnsi" w:cstheme="majorHAnsi"/>
          <w:sz w:val="22"/>
          <w:szCs w:val="22"/>
          <w:lang w:val="en-GB"/>
        </w:rPr>
        <w:t xml:space="preserve">outlined above </w:t>
      </w:r>
      <w:r w:rsidRPr="004F1C74">
        <w:rPr>
          <w:rFonts w:asciiTheme="majorHAnsi" w:eastAsiaTheme="minorHAnsi" w:hAnsiTheme="majorHAnsi" w:cstheme="majorHAnsi"/>
          <w:sz w:val="22"/>
          <w:szCs w:val="22"/>
          <w:lang w:val="en-GB"/>
        </w:rPr>
        <w:t xml:space="preserve">are common for </w:t>
      </w:r>
      <w:r>
        <w:rPr>
          <w:rFonts w:asciiTheme="majorHAnsi" w:eastAsiaTheme="minorHAnsi" w:hAnsiTheme="majorHAnsi" w:cstheme="majorHAnsi"/>
          <w:sz w:val="22"/>
          <w:szCs w:val="22"/>
          <w:lang w:val="en-GB"/>
        </w:rPr>
        <w:t xml:space="preserve">short-term evaluations and </w:t>
      </w:r>
      <w:r w:rsidRPr="004F1C74">
        <w:rPr>
          <w:rFonts w:asciiTheme="majorHAnsi" w:eastAsiaTheme="minorHAnsi" w:hAnsiTheme="majorHAnsi" w:cstheme="majorHAnsi"/>
          <w:sz w:val="22"/>
          <w:szCs w:val="22"/>
          <w:lang w:val="en-GB"/>
        </w:rPr>
        <w:t>research-focused investments and are mitigated</w:t>
      </w:r>
      <w:r>
        <w:rPr>
          <w:rFonts w:asciiTheme="majorHAnsi" w:eastAsiaTheme="minorHAnsi" w:hAnsiTheme="majorHAnsi" w:cstheme="majorHAnsi"/>
          <w:sz w:val="22"/>
          <w:szCs w:val="22"/>
          <w:lang w:val="en-GB"/>
        </w:rPr>
        <w:t>, as much as possible,</w:t>
      </w:r>
      <w:r w:rsidRPr="004F1C74">
        <w:rPr>
          <w:rFonts w:asciiTheme="majorHAnsi" w:eastAsiaTheme="minorHAnsi" w:hAnsiTheme="majorHAnsi" w:cstheme="majorHAnsi"/>
          <w:sz w:val="22"/>
          <w:szCs w:val="22"/>
          <w:lang w:val="en-GB"/>
        </w:rPr>
        <w:t xml:space="preserve"> through </w:t>
      </w:r>
      <w:r>
        <w:rPr>
          <w:rFonts w:asciiTheme="majorHAnsi" w:eastAsiaTheme="minorHAnsi" w:hAnsiTheme="majorHAnsi" w:cstheme="majorHAnsi"/>
          <w:sz w:val="22"/>
          <w:szCs w:val="22"/>
          <w:lang w:val="en-GB"/>
        </w:rPr>
        <w:t xml:space="preserve">data </w:t>
      </w:r>
      <w:r w:rsidRPr="004F1C74">
        <w:rPr>
          <w:rFonts w:asciiTheme="majorHAnsi" w:eastAsiaTheme="minorHAnsi" w:hAnsiTheme="majorHAnsi" w:cstheme="majorHAnsi"/>
          <w:sz w:val="22"/>
          <w:szCs w:val="22"/>
          <w:lang w:val="en-GB"/>
        </w:rPr>
        <w:t xml:space="preserve">triangulation and </w:t>
      </w:r>
      <w:r>
        <w:rPr>
          <w:rFonts w:asciiTheme="majorHAnsi" w:eastAsiaTheme="minorHAnsi" w:hAnsiTheme="majorHAnsi" w:cstheme="majorHAnsi"/>
          <w:sz w:val="22"/>
          <w:szCs w:val="22"/>
          <w:lang w:val="en-GB"/>
        </w:rPr>
        <w:t>the careful analysis and interpretation of findings</w:t>
      </w:r>
      <w:r w:rsidRPr="004F1C74">
        <w:rPr>
          <w:rFonts w:asciiTheme="majorHAnsi" w:eastAsiaTheme="minorHAnsi" w:hAnsiTheme="majorHAnsi" w:cstheme="majorHAnsi"/>
          <w:sz w:val="22"/>
          <w:szCs w:val="22"/>
          <w:lang w:val="en-GB"/>
        </w:rPr>
        <w:t>.</w:t>
      </w:r>
    </w:p>
    <w:p w14:paraId="42B7F80C" w14:textId="6FAE177E" w:rsidR="005E11F4" w:rsidRPr="00DA4129" w:rsidRDefault="005E11F4" w:rsidP="00DA4129">
      <w:pPr>
        <w:jc w:val="both"/>
        <w:rPr>
          <w:rFonts w:ascii="Calibri Light" w:hAnsi="Calibri Light" w:cs="Calibri Light"/>
          <w:color w:val="000000" w:themeColor="text1"/>
        </w:rPr>
        <w:sectPr w:rsidR="005E11F4" w:rsidRPr="00DA4129" w:rsidSect="00FE1292">
          <w:headerReference w:type="default" r:id="rId19"/>
          <w:footerReference w:type="default" r:id="rId20"/>
          <w:headerReference w:type="first" r:id="rId21"/>
          <w:pgSz w:w="11906" w:h="16838"/>
          <w:pgMar w:top="1440" w:right="1440" w:bottom="1440" w:left="1440" w:header="709" w:footer="709" w:gutter="0"/>
          <w:cols w:space="565"/>
          <w:docGrid w:linePitch="360"/>
        </w:sectPr>
      </w:pPr>
    </w:p>
    <w:p w14:paraId="3DEB2882" w14:textId="4A5369A7" w:rsidR="00624CE6" w:rsidRPr="00764147" w:rsidRDefault="5C48C428" w:rsidP="00764147">
      <w:pPr>
        <w:pStyle w:val="Heading1"/>
      </w:pPr>
      <w:bookmarkStart w:id="13" w:name="_Toc218593473"/>
      <w:bookmarkStart w:id="14" w:name="_Toc219232326"/>
      <w:bookmarkStart w:id="15" w:name="_Hlk178095363"/>
      <w:r w:rsidRPr="00764147">
        <w:lastRenderedPageBreak/>
        <w:t>2</w:t>
      </w:r>
      <w:r w:rsidR="354D1D12" w:rsidRPr="00764147">
        <w:t xml:space="preserve">. </w:t>
      </w:r>
      <w:r w:rsidR="009D3D4A" w:rsidRPr="00764147">
        <w:tab/>
      </w:r>
      <w:r w:rsidR="7A10D26A" w:rsidRPr="00764147">
        <w:t>Findings</w:t>
      </w:r>
      <w:bookmarkEnd w:id="13"/>
      <w:r w:rsidR="0FECCC18" w:rsidRPr="00764147">
        <w:t xml:space="preserve"> and analysis</w:t>
      </w:r>
      <w:bookmarkEnd w:id="14"/>
    </w:p>
    <w:p w14:paraId="3B7FDF17" w14:textId="0D86DB73" w:rsidR="009D3D4A" w:rsidRPr="00764147" w:rsidRDefault="5C48C428" w:rsidP="00764147">
      <w:pPr>
        <w:pStyle w:val="Heading2"/>
      </w:pPr>
      <w:bookmarkStart w:id="16" w:name="_Toc219232327"/>
      <w:r w:rsidRPr="00764147">
        <w:t xml:space="preserve">2.1 </w:t>
      </w:r>
      <w:r w:rsidR="009D3D4A" w:rsidRPr="00764147">
        <w:tab/>
      </w:r>
      <w:r w:rsidRPr="00764147">
        <w:t xml:space="preserve">Project </w:t>
      </w:r>
      <w:r w:rsidR="3ADBB685" w:rsidRPr="00764147">
        <w:t xml:space="preserve">outcomes and </w:t>
      </w:r>
      <w:r w:rsidRPr="00764147">
        <w:t>effectiveness (KEQ1)</w:t>
      </w:r>
      <w:bookmarkEnd w:id="16"/>
    </w:p>
    <w:bookmarkEnd w:id="15"/>
    <w:p w14:paraId="6EB2E1A3" w14:textId="125B0B38" w:rsidR="00A71C14" w:rsidRPr="00A71C14" w:rsidRDefault="79792A7D" w:rsidP="5AB46587">
      <w:pPr>
        <w:spacing w:before="100" w:beforeAutospacing="1" w:after="100" w:afterAutospacing="1"/>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rPr>
        <w:t xml:space="preserve">The Indonesia Project is on track to achieve all its stated EOPOs for Phase V. </w:t>
      </w:r>
      <w:r w:rsidRPr="5AB46587">
        <w:rPr>
          <w:rFonts w:asciiTheme="minorHAnsi" w:eastAsiaTheme="minorEastAsia" w:hAnsiTheme="minorHAnsi" w:cstheme="minorBidi"/>
          <w:sz w:val="22"/>
          <w:szCs w:val="22"/>
          <w:lang w:val="en-GB"/>
        </w:rPr>
        <w:t>The Project continues to generate high-quality, independent research</w:t>
      </w:r>
      <w:r w:rsidR="6BAFF921" w:rsidRPr="5AB46587">
        <w:rPr>
          <w:rFonts w:asciiTheme="minorHAnsi" w:eastAsiaTheme="minorEastAsia" w:hAnsiTheme="minorHAnsi" w:cstheme="minorBidi"/>
          <w:sz w:val="22"/>
          <w:szCs w:val="22"/>
          <w:lang w:val="en-GB"/>
        </w:rPr>
        <w:t>,</w:t>
      </w:r>
      <w:r w:rsidRPr="5AB46587">
        <w:rPr>
          <w:rFonts w:asciiTheme="minorHAnsi" w:eastAsiaTheme="minorEastAsia" w:hAnsiTheme="minorHAnsi" w:cstheme="minorBidi"/>
          <w:sz w:val="22"/>
          <w:szCs w:val="22"/>
          <w:lang w:val="en-GB"/>
        </w:rPr>
        <w:t xml:space="preserve"> plays a central role in building Indonesian and Australian research capacity</w:t>
      </w:r>
      <w:r w:rsidR="6BAFF921" w:rsidRPr="5AB46587">
        <w:rPr>
          <w:rFonts w:asciiTheme="minorHAnsi" w:eastAsiaTheme="minorEastAsia" w:hAnsiTheme="minorHAnsi" w:cstheme="minorBidi"/>
          <w:sz w:val="22"/>
          <w:szCs w:val="22"/>
          <w:lang w:val="en-GB"/>
        </w:rPr>
        <w:t>,</w:t>
      </w:r>
      <w:r w:rsidRPr="5AB46587">
        <w:rPr>
          <w:rFonts w:asciiTheme="minorHAnsi" w:eastAsiaTheme="minorEastAsia" w:hAnsiTheme="minorHAnsi" w:cstheme="minorBidi"/>
          <w:sz w:val="22"/>
          <w:szCs w:val="22"/>
          <w:lang w:val="en-GB"/>
        </w:rPr>
        <w:t xml:space="preserve"> and maintains a highly valued network and </w:t>
      </w:r>
      <w:r w:rsidR="6BAFF921" w:rsidRPr="5AB46587">
        <w:rPr>
          <w:rFonts w:asciiTheme="minorHAnsi" w:eastAsiaTheme="minorEastAsia" w:hAnsiTheme="minorHAnsi" w:cstheme="minorBidi"/>
          <w:sz w:val="22"/>
          <w:szCs w:val="22"/>
          <w:lang w:val="en-GB"/>
        </w:rPr>
        <w:t>suite</w:t>
      </w:r>
      <w:r w:rsidRPr="5AB46587">
        <w:rPr>
          <w:rFonts w:asciiTheme="minorHAnsi" w:eastAsiaTheme="minorEastAsia" w:hAnsiTheme="minorHAnsi" w:cstheme="minorBidi"/>
          <w:sz w:val="22"/>
          <w:szCs w:val="22"/>
          <w:lang w:val="en-GB"/>
        </w:rPr>
        <w:t xml:space="preserve"> of outreach platforms that support Australia–Indonesia collaboration. </w:t>
      </w:r>
    </w:p>
    <w:p w14:paraId="0FD60650" w14:textId="46A92D14" w:rsidR="00BC157C" w:rsidRPr="00764147" w:rsidRDefault="4C2730EC" w:rsidP="00764147">
      <w:pPr>
        <w:pStyle w:val="Heading3"/>
      </w:pPr>
      <w:r w:rsidRPr="00764147">
        <w:t>2.1.1</w:t>
      </w:r>
      <w:r w:rsidR="007322F8" w:rsidRPr="00764147">
        <w:tab/>
      </w:r>
      <w:r w:rsidR="76CC745F" w:rsidRPr="00764147">
        <w:t xml:space="preserve">EOPO 1: </w:t>
      </w:r>
      <w:r w:rsidR="1F9F9061" w:rsidRPr="00764147">
        <w:t>High quality research and teaching</w:t>
      </w:r>
    </w:p>
    <w:p w14:paraId="44A06ADD" w14:textId="576CCEE5" w:rsidR="1F88186D" w:rsidRPr="00764147" w:rsidRDefault="1F88186D" w:rsidP="00764147">
      <w:pPr>
        <w:pStyle w:val="Heading4"/>
      </w:pPr>
      <w:r w:rsidRPr="00764147">
        <w:t>Social and economic evidence-based research</w:t>
      </w:r>
    </w:p>
    <w:p w14:paraId="6EDD4443" w14:textId="0A0A5E0A" w:rsidR="1F88186D" w:rsidRDefault="1F88186D" w:rsidP="5AB46587">
      <w:pPr>
        <w:widowControl w:val="0"/>
        <w:spacing w:before="120" w:after="120"/>
        <w:ind w:right="38"/>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During Phase V the Project produced approximately 500 applied research and training outputs, including 133 publications (see Table 2 and Appendix 2 for more detail). The Project’s research outputs are internationally recognised and of high academic quality, with the Indonesia Update and the Bulletin of Indonesian Economic Studies (BIES) considered </w:t>
      </w:r>
      <w:r w:rsidRPr="5AB46587">
        <w:rPr>
          <w:rFonts w:asciiTheme="minorHAnsi" w:eastAsiaTheme="minorEastAsia" w:hAnsiTheme="minorHAnsi" w:cstheme="minorBidi"/>
          <w:i/>
          <w:iCs/>
          <w:sz w:val="22"/>
          <w:szCs w:val="22"/>
        </w:rPr>
        <w:t>the</w:t>
      </w:r>
      <w:r w:rsidRPr="5AB46587">
        <w:rPr>
          <w:rFonts w:asciiTheme="minorHAnsi" w:eastAsiaTheme="minorEastAsia" w:hAnsiTheme="minorHAnsi" w:cstheme="minorBidi"/>
          <w:sz w:val="22"/>
          <w:szCs w:val="22"/>
        </w:rPr>
        <w:t xml:space="preserve"> </w:t>
      </w:r>
      <w:r w:rsidRPr="5AB46587">
        <w:rPr>
          <w:rFonts w:asciiTheme="minorHAnsi" w:eastAsiaTheme="minorEastAsia" w:hAnsiTheme="minorHAnsi" w:cstheme="minorBidi"/>
          <w:i/>
          <w:iCs/>
          <w:sz w:val="22"/>
          <w:szCs w:val="22"/>
        </w:rPr>
        <w:t>place</w:t>
      </w:r>
      <w:r w:rsidRPr="5AB46587">
        <w:rPr>
          <w:rFonts w:asciiTheme="minorHAnsi" w:eastAsiaTheme="minorEastAsia" w:hAnsiTheme="minorHAnsi" w:cstheme="minorBidi"/>
          <w:sz w:val="22"/>
          <w:szCs w:val="22"/>
        </w:rPr>
        <w:t xml:space="preserve"> for independent expert knowledge and evidence-based discussion on Indonesia’s economic and social issues. Stakeholders consulted commented on the high calibre of researchers engaged by the Project and research outputs produced and shared through publications, conferences and forums. </w:t>
      </w:r>
    </w:p>
    <w:p w14:paraId="0006ABA2" w14:textId="31259249" w:rsidR="1F88186D" w:rsidRDefault="1F88186D" w:rsidP="5AB46587">
      <w:pPr>
        <w:widowControl w:val="0"/>
        <w:spacing w:before="120" w:after="120"/>
        <w:ind w:right="38"/>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Based on monitoring data reviewed, research and teaching generated by the Project is still largely focused on social and economic policymaking, with 37% of research and teaching outputs addressing social policy and 27% trade and development (see Chart 1 for more detail). There were mixed responses from stakeholders regarding the thematic focus of the Project, with some suggesting it needed to broaden its research scope and others stating the Project had lost its way when it was less focused on economic and social policy under previous leaders. In </w:t>
      </w:r>
      <w:proofErr w:type="gramStart"/>
      <w:r w:rsidRPr="5AB46587">
        <w:rPr>
          <w:rFonts w:asciiTheme="minorHAnsi" w:eastAsiaTheme="minorEastAsia" w:hAnsiTheme="minorHAnsi" w:cstheme="minorBidi"/>
          <w:sz w:val="22"/>
          <w:szCs w:val="22"/>
        </w:rPr>
        <w:t>general</w:t>
      </w:r>
      <w:proofErr w:type="gramEnd"/>
      <w:r w:rsidRPr="5AB46587">
        <w:rPr>
          <w:rFonts w:asciiTheme="minorHAnsi" w:eastAsiaTheme="minorEastAsia" w:hAnsiTheme="minorHAnsi" w:cstheme="minorBidi"/>
          <w:sz w:val="22"/>
          <w:szCs w:val="22"/>
        </w:rPr>
        <w:t xml:space="preserve"> however most stakeholders considered the topics and themes of research covered by the project to be both contemporary and relevant. The Indonesia Update conference and BIES journal were repeatedly described as “pivotal” and “globally recognised”, providing a focal point for new research and policy debate on the Indonesian economy and society. In addition, a review of BIES journal metrics between 2018 (Phase IV) and 2024 (Phase V) indicate that the journal maintains a good academic reputation and continues to be widely accessed and cited. For example, in 2018 article downloads were approximately 60,000 and in 2024 were 125,000 (see Appendix 3 for BIES journal metrics between 2018 and 2024).  </w:t>
      </w:r>
    </w:p>
    <w:p w14:paraId="6545C9A1" w14:textId="34AA08A4" w:rsidR="5BFA7280" w:rsidRPr="00764147" w:rsidRDefault="5BFA7280" w:rsidP="00764147">
      <w:pPr>
        <w:pStyle w:val="Heading4"/>
      </w:pPr>
      <w:r w:rsidRPr="00764147">
        <w:t>Selected comments from key stakeholder interviews</w:t>
      </w:r>
    </w:p>
    <w:p w14:paraId="7AA681DE" w14:textId="4FC7E334" w:rsidR="5BFA7280" w:rsidRDefault="5BFA7280" w:rsidP="5AB46587">
      <w:pPr>
        <w:widowControl w:val="0"/>
        <w:spacing w:before="120" w:after="120"/>
        <w:ind w:right="35"/>
        <w:rPr>
          <w:rFonts w:asciiTheme="minorHAnsi" w:eastAsiaTheme="minorEastAsia" w:hAnsiTheme="minorHAnsi" w:cstheme="minorBidi"/>
          <w:b/>
          <w:bCs/>
          <w:i/>
          <w:iCs/>
          <w:sz w:val="20"/>
          <w:szCs w:val="20"/>
        </w:rPr>
      </w:pPr>
      <w:r w:rsidRPr="5AB46587">
        <w:rPr>
          <w:rFonts w:asciiTheme="minorHAnsi" w:eastAsiaTheme="minorEastAsia" w:hAnsiTheme="minorHAnsi" w:cstheme="minorBidi"/>
          <w:b/>
          <w:bCs/>
          <w:i/>
          <w:iCs/>
          <w:sz w:val="20"/>
          <w:szCs w:val="20"/>
        </w:rPr>
        <w:t>Comment from a key stakeholder:</w:t>
      </w:r>
      <w:r w:rsidRPr="5AB46587">
        <w:rPr>
          <w:rFonts w:asciiTheme="minorHAnsi" w:eastAsiaTheme="minorEastAsia" w:hAnsiTheme="minorHAnsi" w:cstheme="minorBidi"/>
          <w:i/>
          <w:iCs/>
          <w:sz w:val="20"/>
          <w:szCs w:val="20"/>
        </w:rPr>
        <w:t xml:space="preserve"> If you are working on Indonesia, on any aspect of Indonesia's economy, politics, government or policy making then the Indonesia Update is “the” conference. It's the pivotal event in the worl</w:t>
      </w:r>
      <w:r w:rsidR="749FD7E7" w:rsidRPr="5AB46587">
        <w:rPr>
          <w:rFonts w:asciiTheme="minorHAnsi" w:eastAsiaTheme="minorEastAsia" w:hAnsiTheme="minorHAnsi" w:cstheme="minorBidi"/>
          <w:i/>
          <w:iCs/>
          <w:sz w:val="20"/>
          <w:szCs w:val="20"/>
        </w:rPr>
        <w:t>d.</w:t>
      </w:r>
    </w:p>
    <w:p w14:paraId="3B2BA1E1" w14:textId="215BC01C" w:rsidR="749FD7E7" w:rsidRDefault="749FD7E7" w:rsidP="5AB46587">
      <w:pPr>
        <w:widowControl w:val="0"/>
        <w:spacing w:before="120"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Comment from a project partner: </w:t>
      </w:r>
      <w:r w:rsidR="5BFA7280" w:rsidRPr="5AB46587">
        <w:rPr>
          <w:rFonts w:asciiTheme="minorHAnsi" w:eastAsiaTheme="minorEastAsia" w:hAnsiTheme="minorHAnsi" w:cstheme="minorBidi"/>
          <w:i/>
          <w:iCs/>
          <w:sz w:val="20"/>
          <w:szCs w:val="20"/>
        </w:rPr>
        <w:t xml:space="preserve">"BIES started off as a small in-house journal, and it's become a really highly cited and highly rated development journal… it's got this incredibly high impact factor. Much higher than all the other regional country journals." </w:t>
      </w:r>
    </w:p>
    <w:p w14:paraId="172F5F99" w14:textId="645F929E" w:rsidR="6B92A188" w:rsidRDefault="6B92A188" w:rsidP="5AB46587">
      <w:pPr>
        <w:widowControl w:val="0"/>
        <w:spacing w:before="120"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Comment from an </w:t>
      </w:r>
      <w:proofErr w:type="gramStart"/>
      <w:r w:rsidRPr="5AB46587">
        <w:rPr>
          <w:rFonts w:asciiTheme="minorHAnsi" w:eastAsiaTheme="minorEastAsia" w:hAnsiTheme="minorHAnsi" w:cstheme="minorBidi"/>
          <w:b/>
          <w:bCs/>
          <w:i/>
          <w:iCs/>
          <w:sz w:val="20"/>
          <w:szCs w:val="20"/>
        </w:rPr>
        <w:t>alumni</w:t>
      </w:r>
      <w:proofErr w:type="gramEnd"/>
      <w:r w:rsidRPr="5AB46587">
        <w:rPr>
          <w:rFonts w:asciiTheme="minorHAnsi" w:eastAsiaTheme="minorEastAsia" w:hAnsiTheme="minorHAnsi" w:cstheme="minorBidi"/>
          <w:b/>
          <w:bCs/>
          <w:i/>
          <w:iCs/>
          <w:sz w:val="20"/>
          <w:szCs w:val="20"/>
        </w:rPr>
        <w:t>:</w:t>
      </w:r>
      <w:r w:rsidRPr="5AB46587">
        <w:rPr>
          <w:rFonts w:asciiTheme="minorHAnsi" w:eastAsiaTheme="minorEastAsia" w:hAnsiTheme="minorHAnsi" w:cstheme="minorBidi"/>
          <w:i/>
          <w:iCs/>
          <w:sz w:val="20"/>
          <w:szCs w:val="20"/>
        </w:rPr>
        <w:t xml:space="preserve"> </w:t>
      </w:r>
      <w:r w:rsidR="5BFA7280" w:rsidRPr="5AB46587">
        <w:rPr>
          <w:rFonts w:asciiTheme="minorHAnsi" w:eastAsiaTheme="minorEastAsia" w:hAnsiTheme="minorHAnsi" w:cstheme="minorBidi"/>
          <w:i/>
          <w:iCs/>
          <w:sz w:val="20"/>
          <w:szCs w:val="20"/>
        </w:rPr>
        <w:t>"So I always told my younger colleagues, if you want to do PhD about Indonesia, then probably ANU, the Indonesia Project, is the best place to do that. It's not about just Indonesians there, right? But the people who know Indonesia is very abundant.”</w:t>
      </w:r>
    </w:p>
    <w:p w14:paraId="2F669383" w14:textId="7947737F" w:rsidR="00BC157C" w:rsidRPr="00764147" w:rsidRDefault="1FF912C6" w:rsidP="00764147">
      <w:pPr>
        <w:pStyle w:val="Heading3"/>
      </w:pPr>
      <w:r w:rsidRPr="00764147">
        <w:t xml:space="preserve">Applied research and teaching outputs (2023–2025) </w:t>
      </w:r>
    </w:p>
    <w:p w14:paraId="2D492260" w14:textId="25F58D3F" w:rsidR="73E7433B" w:rsidRPr="00764147" w:rsidRDefault="73E7433B" w:rsidP="00764147">
      <w:pPr>
        <w:pStyle w:val="Heading4"/>
      </w:pPr>
      <w:r w:rsidRPr="00764147">
        <w:t xml:space="preserve">Table </w:t>
      </w:r>
      <w:r w:rsidR="007F0B56" w:rsidRPr="00764147">
        <w:t>2</w:t>
      </w:r>
      <w:r w:rsidRPr="00764147">
        <w:t>: Publications</w:t>
      </w:r>
    </w:p>
    <w:tbl>
      <w:tblPr>
        <w:tblStyle w:val="TableGrid"/>
        <w:tblW w:w="0" w:type="auto"/>
        <w:tblLook w:val="04A0" w:firstRow="1" w:lastRow="0" w:firstColumn="1" w:lastColumn="0" w:noHBand="0" w:noVBand="1"/>
      </w:tblPr>
      <w:tblGrid>
        <w:gridCol w:w="4508"/>
        <w:gridCol w:w="4508"/>
      </w:tblGrid>
      <w:tr w:rsidR="5AB46587" w14:paraId="67451418" w14:textId="77777777" w:rsidTr="001F290C">
        <w:trPr>
          <w:trHeight w:val="231"/>
          <w:tblHeader/>
        </w:trPr>
        <w:tc>
          <w:tcPr>
            <w:tcW w:w="4508" w:type="dxa"/>
            <w:shd w:val="clear" w:color="auto" w:fill="B4C6E7" w:themeFill="accent1" w:themeFillTint="66"/>
          </w:tcPr>
          <w:p w14:paraId="241DA54E" w14:textId="151901B6" w:rsidR="73E7433B" w:rsidRPr="0073399E" w:rsidRDefault="73E7433B" w:rsidP="5AB46587">
            <w:pPr>
              <w:spacing w:line="259" w:lineRule="auto"/>
              <w:rPr>
                <w:rFonts w:asciiTheme="minorHAnsi" w:eastAsiaTheme="minorEastAsia" w:hAnsiTheme="minorHAnsi" w:cstheme="minorBidi"/>
                <w:b/>
                <w:bCs/>
                <w:color w:val="1F3864" w:themeColor="accent1" w:themeShade="80"/>
                <w:sz w:val="18"/>
                <w:szCs w:val="18"/>
                <w:lang w:val="en-GB"/>
              </w:rPr>
            </w:pPr>
            <w:r w:rsidRPr="0073399E">
              <w:rPr>
                <w:rFonts w:asciiTheme="minorHAnsi" w:eastAsiaTheme="minorEastAsia" w:hAnsiTheme="minorHAnsi" w:cstheme="minorBidi"/>
                <w:b/>
                <w:bCs/>
                <w:color w:val="1F3864" w:themeColor="accent1" w:themeShade="80"/>
                <w:sz w:val="18"/>
                <w:szCs w:val="18"/>
                <w:lang w:val="en-GB"/>
              </w:rPr>
              <w:t>Publication type</w:t>
            </w:r>
          </w:p>
        </w:tc>
        <w:tc>
          <w:tcPr>
            <w:tcW w:w="4508" w:type="dxa"/>
            <w:shd w:val="clear" w:color="auto" w:fill="B4C6E7" w:themeFill="accent1" w:themeFillTint="66"/>
          </w:tcPr>
          <w:p w14:paraId="57E5AF14" w14:textId="5F1B4F36" w:rsidR="5AB46587" w:rsidRPr="0073399E" w:rsidRDefault="5AB46587" w:rsidP="5AB46587">
            <w:pPr>
              <w:jc w:val="center"/>
              <w:rPr>
                <w:rFonts w:asciiTheme="minorHAnsi" w:eastAsiaTheme="minorEastAsia" w:hAnsiTheme="minorHAnsi" w:cstheme="minorBidi"/>
                <w:b/>
                <w:bCs/>
                <w:color w:val="1F3864" w:themeColor="accent1" w:themeShade="80"/>
                <w:sz w:val="18"/>
                <w:szCs w:val="18"/>
                <w:lang w:val="en-GB"/>
              </w:rPr>
            </w:pPr>
            <w:r w:rsidRPr="0073399E">
              <w:rPr>
                <w:rFonts w:asciiTheme="minorHAnsi" w:eastAsiaTheme="minorEastAsia" w:hAnsiTheme="minorHAnsi" w:cstheme="minorBidi"/>
                <w:b/>
                <w:bCs/>
                <w:color w:val="1F3864" w:themeColor="accent1" w:themeShade="80"/>
                <w:sz w:val="18"/>
                <w:szCs w:val="18"/>
                <w:lang w:val="en-GB"/>
              </w:rPr>
              <w:t>Number</w:t>
            </w:r>
            <w:r w:rsidR="0F0C324C" w:rsidRPr="0073399E">
              <w:rPr>
                <w:rFonts w:asciiTheme="minorHAnsi" w:eastAsiaTheme="minorEastAsia" w:hAnsiTheme="minorHAnsi" w:cstheme="minorBidi"/>
                <w:b/>
                <w:bCs/>
                <w:color w:val="1F3864" w:themeColor="accent1" w:themeShade="80"/>
                <w:sz w:val="18"/>
                <w:szCs w:val="18"/>
                <w:lang w:val="en-GB"/>
              </w:rPr>
              <w:t xml:space="preserve"> of publications</w:t>
            </w:r>
          </w:p>
        </w:tc>
      </w:tr>
      <w:tr w:rsidR="5AB46587" w14:paraId="6428DA08" w14:textId="77777777" w:rsidTr="001F290C">
        <w:trPr>
          <w:trHeight w:val="300"/>
        </w:trPr>
        <w:tc>
          <w:tcPr>
            <w:tcW w:w="4508" w:type="dxa"/>
          </w:tcPr>
          <w:p w14:paraId="31567F00"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BIES journals published</w:t>
            </w:r>
          </w:p>
        </w:tc>
        <w:tc>
          <w:tcPr>
            <w:tcW w:w="4508" w:type="dxa"/>
          </w:tcPr>
          <w:p w14:paraId="3623250D"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11</w:t>
            </w:r>
          </w:p>
        </w:tc>
      </w:tr>
      <w:tr w:rsidR="5AB46587" w14:paraId="22485D18" w14:textId="77777777" w:rsidTr="001F290C">
        <w:trPr>
          <w:trHeight w:val="300"/>
        </w:trPr>
        <w:tc>
          <w:tcPr>
            <w:tcW w:w="4508" w:type="dxa"/>
          </w:tcPr>
          <w:p w14:paraId="4D8DB14F"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BIES articles</w:t>
            </w:r>
          </w:p>
        </w:tc>
        <w:tc>
          <w:tcPr>
            <w:tcW w:w="4508" w:type="dxa"/>
          </w:tcPr>
          <w:p w14:paraId="71A86EC3"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29</w:t>
            </w:r>
          </w:p>
        </w:tc>
      </w:tr>
      <w:tr w:rsidR="5AB46587" w14:paraId="0FFE2BA4" w14:textId="77777777" w:rsidTr="001F290C">
        <w:trPr>
          <w:trHeight w:val="300"/>
        </w:trPr>
        <w:tc>
          <w:tcPr>
            <w:tcW w:w="4508" w:type="dxa"/>
          </w:tcPr>
          <w:p w14:paraId="1AD84107"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lastRenderedPageBreak/>
              <w:t>Books</w:t>
            </w:r>
          </w:p>
        </w:tc>
        <w:tc>
          <w:tcPr>
            <w:tcW w:w="4508" w:type="dxa"/>
          </w:tcPr>
          <w:p w14:paraId="2C4A28BC"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 xml:space="preserve">7 </w:t>
            </w:r>
          </w:p>
        </w:tc>
      </w:tr>
      <w:tr w:rsidR="5AB46587" w14:paraId="4F5AB85E" w14:textId="77777777" w:rsidTr="001F290C">
        <w:trPr>
          <w:trHeight w:val="300"/>
        </w:trPr>
        <w:tc>
          <w:tcPr>
            <w:tcW w:w="4508" w:type="dxa"/>
          </w:tcPr>
          <w:p w14:paraId="2893AE73"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Book chapters</w:t>
            </w:r>
          </w:p>
        </w:tc>
        <w:tc>
          <w:tcPr>
            <w:tcW w:w="4508" w:type="dxa"/>
          </w:tcPr>
          <w:p w14:paraId="356A2068"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10</w:t>
            </w:r>
          </w:p>
        </w:tc>
      </w:tr>
      <w:tr w:rsidR="5AB46587" w14:paraId="5CE1B070" w14:textId="77777777" w:rsidTr="001F290C">
        <w:trPr>
          <w:trHeight w:val="300"/>
        </w:trPr>
        <w:tc>
          <w:tcPr>
            <w:tcW w:w="4508" w:type="dxa"/>
          </w:tcPr>
          <w:p w14:paraId="54DECFA2"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Journal articles</w:t>
            </w:r>
          </w:p>
        </w:tc>
        <w:tc>
          <w:tcPr>
            <w:tcW w:w="4508" w:type="dxa"/>
          </w:tcPr>
          <w:p w14:paraId="00FAA2E5"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74</w:t>
            </w:r>
          </w:p>
        </w:tc>
      </w:tr>
      <w:tr w:rsidR="5AB46587" w14:paraId="54D75D11" w14:textId="77777777" w:rsidTr="001F290C">
        <w:trPr>
          <w:trHeight w:val="300"/>
        </w:trPr>
        <w:tc>
          <w:tcPr>
            <w:tcW w:w="4508" w:type="dxa"/>
          </w:tcPr>
          <w:p w14:paraId="23BC5F1F"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Working papers</w:t>
            </w:r>
          </w:p>
        </w:tc>
        <w:tc>
          <w:tcPr>
            <w:tcW w:w="4508" w:type="dxa"/>
          </w:tcPr>
          <w:p w14:paraId="10175794"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r>
      <w:tr w:rsidR="5AB46587" w14:paraId="7EB57BFC" w14:textId="77777777" w:rsidTr="001F290C">
        <w:trPr>
          <w:trHeight w:val="300"/>
        </w:trPr>
        <w:tc>
          <w:tcPr>
            <w:tcW w:w="4508" w:type="dxa"/>
          </w:tcPr>
          <w:p w14:paraId="27B4C4FA" w14:textId="101C9A11" w:rsidR="67E310EB" w:rsidRDefault="67E310EB"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Total</w:t>
            </w:r>
          </w:p>
        </w:tc>
        <w:tc>
          <w:tcPr>
            <w:tcW w:w="4508" w:type="dxa"/>
          </w:tcPr>
          <w:p w14:paraId="6D2ECF43" w14:textId="3E0085E3" w:rsidR="67E310EB" w:rsidRDefault="67E310EB"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133</w:t>
            </w:r>
          </w:p>
        </w:tc>
      </w:tr>
    </w:tbl>
    <w:p w14:paraId="76841414" w14:textId="09A6D951" w:rsidR="5E14A1FA" w:rsidRPr="00764147" w:rsidRDefault="5E14A1FA" w:rsidP="00764147">
      <w:pPr>
        <w:pStyle w:val="Heading4"/>
      </w:pPr>
      <w:r w:rsidRPr="00764147">
        <w:t xml:space="preserve">Table </w:t>
      </w:r>
      <w:r w:rsidR="007F0B56" w:rsidRPr="00764147">
        <w:t>3</w:t>
      </w:r>
      <w:r w:rsidRPr="00764147">
        <w:t>: Conferences</w:t>
      </w:r>
    </w:p>
    <w:tbl>
      <w:tblPr>
        <w:tblStyle w:val="TableGrid"/>
        <w:tblW w:w="0" w:type="auto"/>
        <w:tblInd w:w="5" w:type="dxa"/>
        <w:tblLook w:val="04A0" w:firstRow="1" w:lastRow="0" w:firstColumn="1" w:lastColumn="0" w:noHBand="0" w:noVBand="1"/>
      </w:tblPr>
      <w:tblGrid>
        <w:gridCol w:w="4447"/>
        <w:gridCol w:w="4564"/>
      </w:tblGrid>
      <w:tr w:rsidR="5AB46587" w14:paraId="54444CCD" w14:textId="77777777" w:rsidTr="001F290C">
        <w:trPr>
          <w:trHeight w:val="300"/>
          <w:tblHeader/>
        </w:trPr>
        <w:tc>
          <w:tcPr>
            <w:tcW w:w="4500" w:type="dxa"/>
            <w:shd w:val="clear" w:color="auto" w:fill="B4C6E7" w:themeFill="accent1" w:themeFillTint="66"/>
          </w:tcPr>
          <w:p w14:paraId="73E56A16" w14:textId="2E19D9BA" w:rsidR="5E14A1FA" w:rsidRPr="0073399E" w:rsidRDefault="5E14A1FA" w:rsidP="5AB46587">
            <w:pPr>
              <w:rPr>
                <w:rFonts w:asciiTheme="minorHAnsi" w:eastAsiaTheme="minorEastAsia" w:hAnsiTheme="minorHAnsi" w:cstheme="minorBidi"/>
                <w:b/>
                <w:bCs/>
                <w:color w:val="1F3864" w:themeColor="accent1" w:themeShade="80"/>
                <w:sz w:val="18"/>
                <w:szCs w:val="18"/>
                <w:lang w:val="en-GB"/>
              </w:rPr>
            </w:pPr>
            <w:r w:rsidRPr="0073399E">
              <w:rPr>
                <w:rFonts w:asciiTheme="minorHAnsi" w:eastAsiaTheme="minorEastAsia" w:hAnsiTheme="minorHAnsi" w:cstheme="minorBidi"/>
                <w:b/>
                <w:bCs/>
                <w:color w:val="1F3864" w:themeColor="accent1" w:themeShade="80"/>
                <w:sz w:val="18"/>
                <w:szCs w:val="18"/>
                <w:lang w:val="en-GB"/>
              </w:rPr>
              <w:t>Conference Type</w:t>
            </w:r>
          </w:p>
        </w:tc>
        <w:tc>
          <w:tcPr>
            <w:tcW w:w="4626" w:type="dxa"/>
            <w:shd w:val="clear" w:color="auto" w:fill="B4C6E7" w:themeFill="accent1" w:themeFillTint="66"/>
          </w:tcPr>
          <w:p w14:paraId="33D7B56A" w14:textId="3D061E07" w:rsidR="67E310EB" w:rsidRPr="0073399E" w:rsidRDefault="67E310EB" w:rsidP="5AB46587">
            <w:pPr>
              <w:jc w:val="center"/>
              <w:rPr>
                <w:rFonts w:asciiTheme="minorHAnsi" w:eastAsiaTheme="minorEastAsia" w:hAnsiTheme="minorHAnsi" w:cstheme="minorBidi"/>
                <w:b/>
                <w:bCs/>
                <w:color w:val="1F3864" w:themeColor="accent1" w:themeShade="80"/>
                <w:sz w:val="18"/>
                <w:szCs w:val="18"/>
                <w:lang w:val="en-GB"/>
              </w:rPr>
            </w:pPr>
            <w:r w:rsidRPr="0073399E">
              <w:rPr>
                <w:rFonts w:asciiTheme="minorHAnsi" w:eastAsiaTheme="minorEastAsia" w:hAnsiTheme="minorHAnsi" w:cstheme="minorBidi"/>
                <w:b/>
                <w:bCs/>
                <w:color w:val="1F3864" w:themeColor="accent1" w:themeShade="80"/>
                <w:sz w:val="18"/>
                <w:szCs w:val="18"/>
                <w:lang w:val="en-GB"/>
              </w:rPr>
              <w:t>Number</w:t>
            </w:r>
          </w:p>
        </w:tc>
      </w:tr>
      <w:tr w:rsidR="5AB46587" w14:paraId="362C9434" w14:textId="77777777" w:rsidTr="001F290C">
        <w:trPr>
          <w:trHeight w:val="300"/>
        </w:trPr>
        <w:tc>
          <w:tcPr>
            <w:tcW w:w="4500" w:type="dxa"/>
          </w:tcPr>
          <w:p w14:paraId="4C8A9BDE"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Indonesia Update conferences</w:t>
            </w:r>
          </w:p>
        </w:tc>
        <w:tc>
          <w:tcPr>
            <w:tcW w:w="4626" w:type="dxa"/>
          </w:tcPr>
          <w:p w14:paraId="67F21050"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w:t>
            </w:r>
          </w:p>
        </w:tc>
      </w:tr>
      <w:tr w:rsidR="5AB46587" w14:paraId="21772415" w14:textId="77777777" w:rsidTr="001F290C">
        <w:trPr>
          <w:trHeight w:val="300"/>
        </w:trPr>
        <w:tc>
          <w:tcPr>
            <w:tcW w:w="4500" w:type="dxa"/>
          </w:tcPr>
          <w:p w14:paraId="539767D8"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Conference presentations</w:t>
            </w:r>
          </w:p>
        </w:tc>
        <w:tc>
          <w:tcPr>
            <w:tcW w:w="4626" w:type="dxa"/>
          </w:tcPr>
          <w:p w14:paraId="617ED5AA"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14</w:t>
            </w:r>
          </w:p>
        </w:tc>
      </w:tr>
      <w:tr w:rsidR="5AB46587" w14:paraId="5A38509F" w14:textId="77777777" w:rsidTr="001F290C">
        <w:trPr>
          <w:trHeight w:val="300"/>
        </w:trPr>
        <w:tc>
          <w:tcPr>
            <w:tcW w:w="4500" w:type="dxa"/>
          </w:tcPr>
          <w:p w14:paraId="5ED5DEAD"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Keynote speaking engagements</w:t>
            </w:r>
          </w:p>
        </w:tc>
        <w:tc>
          <w:tcPr>
            <w:tcW w:w="4626" w:type="dxa"/>
          </w:tcPr>
          <w:p w14:paraId="12872F3A"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r>
      <w:tr w:rsidR="5AB46587" w14:paraId="407603D3" w14:textId="77777777" w:rsidTr="001F290C">
        <w:trPr>
          <w:trHeight w:val="300"/>
        </w:trPr>
        <w:tc>
          <w:tcPr>
            <w:tcW w:w="4500" w:type="dxa"/>
          </w:tcPr>
          <w:p w14:paraId="264B1ED8" w14:textId="286E0EB2" w:rsidR="35ACC7F0" w:rsidRDefault="35ACC7F0"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Total</w:t>
            </w:r>
          </w:p>
        </w:tc>
        <w:tc>
          <w:tcPr>
            <w:tcW w:w="4626" w:type="dxa"/>
          </w:tcPr>
          <w:p w14:paraId="1DCAFE45" w14:textId="64357486" w:rsidR="35ACC7F0" w:rsidRDefault="35ACC7F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24</w:t>
            </w:r>
          </w:p>
        </w:tc>
      </w:tr>
    </w:tbl>
    <w:p w14:paraId="19204963" w14:textId="4D25C378" w:rsidR="77ACFAEA" w:rsidRPr="00764147" w:rsidRDefault="77ACFAEA" w:rsidP="00764147">
      <w:pPr>
        <w:pStyle w:val="Heading4"/>
      </w:pPr>
      <w:r w:rsidRPr="00764147">
        <w:t xml:space="preserve">Table </w:t>
      </w:r>
      <w:r w:rsidR="007F0B56" w:rsidRPr="00764147">
        <w:t>4</w:t>
      </w:r>
      <w:r w:rsidRPr="00764147">
        <w:t>: Presentations</w:t>
      </w:r>
    </w:p>
    <w:tbl>
      <w:tblPr>
        <w:tblStyle w:val="TableGrid"/>
        <w:tblW w:w="0" w:type="auto"/>
        <w:tblInd w:w="5" w:type="dxa"/>
        <w:tblLook w:val="04A0" w:firstRow="1" w:lastRow="0" w:firstColumn="1" w:lastColumn="0" w:noHBand="0" w:noVBand="1"/>
      </w:tblPr>
      <w:tblGrid>
        <w:gridCol w:w="4510"/>
        <w:gridCol w:w="4501"/>
      </w:tblGrid>
      <w:tr w:rsidR="5AB46587" w14:paraId="0C9253FC" w14:textId="77777777" w:rsidTr="001F290C">
        <w:trPr>
          <w:trHeight w:val="300"/>
          <w:tblHeader/>
        </w:trPr>
        <w:tc>
          <w:tcPr>
            <w:tcW w:w="4560" w:type="dxa"/>
            <w:shd w:val="clear" w:color="auto" w:fill="B4C6E7" w:themeFill="accent1" w:themeFillTint="66"/>
          </w:tcPr>
          <w:p w14:paraId="4506245B" w14:textId="0C3C9872" w:rsidR="1EABCE1C" w:rsidRPr="0073399E" w:rsidRDefault="1EABCE1C" w:rsidP="5AB46587">
            <w:pPr>
              <w:rPr>
                <w:rFonts w:asciiTheme="minorHAnsi" w:eastAsiaTheme="minorEastAsia" w:hAnsiTheme="minorHAnsi" w:cstheme="minorBidi"/>
                <w:b/>
                <w:bCs/>
                <w:color w:val="1F3864" w:themeColor="accent1" w:themeShade="80"/>
                <w:sz w:val="18"/>
                <w:szCs w:val="18"/>
                <w:lang w:val="en-GB"/>
              </w:rPr>
            </w:pPr>
            <w:r w:rsidRPr="0073399E">
              <w:rPr>
                <w:rFonts w:asciiTheme="minorHAnsi" w:eastAsiaTheme="minorEastAsia" w:hAnsiTheme="minorHAnsi" w:cstheme="minorBidi"/>
                <w:b/>
                <w:bCs/>
                <w:color w:val="1F3864" w:themeColor="accent1" w:themeShade="80"/>
                <w:sz w:val="18"/>
                <w:szCs w:val="18"/>
                <w:lang w:val="en-GB"/>
              </w:rPr>
              <w:t>Presentations and guest lectures</w:t>
            </w:r>
          </w:p>
        </w:tc>
        <w:tc>
          <w:tcPr>
            <w:tcW w:w="4566" w:type="dxa"/>
            <w:shd w:val="clear" w:color="auto" w:fill="B4C6E7" w:themeFill="accent1" w:themeFillTint="66"/>
          </w:tcPr>
          <w:p w14:paraId="5A089B47" w14:textId="72D3DA0B" w:rsidR="1EABCE1C" w:rsidRPr="0073399E" w:rsidRDefault="1EABCE1C" w:rsidP="5AB46587">
            <w:pPr>
              <w:jc w:val="center"/>
              <w:rPr>
                <w:rFonts w:asciiTheme="minorHAnsi" w:eastAsiaTheme="minorEastAsia" w:hAnsiTheme="minorHAnsi" w:cstheme="minorBidi"/>
                <w:b/>
                <w:bCs/>
                <w:color w:val="1F3864" w:themeColor="accent1" w:themeShade="80"/>
                <w:sz w:val="18"/>
                <w:szCs w:val="18"/>
                <w:lang w:val="en-GB"/>
              </w:rPr>
            </w:pPr>
            <w:r w:rsidRPr="0073399E">
              <w:rPr>
                <w:rFonts w:asciiTheme="minorHAnsi" w:eastAsiaTheme="minorEastAsia" w:hAnsiTheme="minorHAnsi" w:cstheme="minorBidi"/>
                <w:b/>
                <w:bCs/>
                <w:color w:val="1F3864" w:themeColor="accent1" w:themeShade="80"/>
                <w:sz w:val="18"/>
                <w:szCs w:val="18"/>
                <w:lang w:val="en-GB"/>
              </w:rPr>
              <w:t>Number</w:t>
            </w:r>
          </w:p>
        </w:tc>
      </w:tr>
      <w:tr w:rsidR="5AB46587" w14:paraId="3BE98017" w14:textId="77777777" w:rsidTr="001F290C">
        <w:trPr>
          <w:trHeight w:val="300"/>
        </w:trPr>
        <w:tc>
          <w:tcPr>
            <w:tcW w:w="4560" w:type="dxa"/>
          </w:tcPr>
          <w:p w14:paraId="64320825" w14:textId="47546D43" w:rsidR="5AB46587" w:rsidRDefault="5AB46587" w:rsidP="5AB46587">
            <w:pPr>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presentations/guest lectures</w:t>
            </w:r>
            <w:r w:rsidR="49C1F4F0" w:rsidRPr="5AB46587">
              <w:rPr>
                <w:rFonts w:asciiTheme="minorHAnsi" w:eastAsiaTheme="minorEastAsia" w:hAnsiTheme="minorHAnsi" w:cstheme="minorBidi"/>
                <w:color w:val="000000" w:themeColor="text1"/>
                <w:sz w:val="18"/>
                <w:szCs w:val="18"/>
                <w:lang w:val="en-GB"/>
              </w:rPr>
              <w:t xml:space="preserve"> delivered</w:t>
            </w:r>
          </w:p>
        </w:tc>
        <w:tc>
          <w:tcPr>
            <w:tcW w:w="4566" w:type="dxa"/>
          </w:tcPr>
          <w:p w14:paraId="23FB4EA9" w14:textId="25D03DEF" w:rsidR="5AB46587" w:rsidRDefault="5AB46587" w:rsidP="5AB46587">
            <w:pPr>
              <w:jc w:val="center"/>
              <w:rPr>
                <w:rFonts w:asciiTheme="minorHAnsi" w:eastAsiaTheme="minorEastAsia" w:hAnsiTheme="minorHAnsi" w:cstheme="minorBidi"/>
                <w:color w:val="000000" w:themeColor="text1"/>
                <w:sz w:val="18"/>
                <w:szCs w:val="18"/>
              </w:rPr>
            </w:pPr>
            <w:r w:rsidRPr="5AB46587">
              <w:rPr>
                <w:rFonts w:asciiTheme="minorHAnsi" w:eastAsiaTheme="minorEastAsia" w:hAnsiTheme="minorHAnsi" w:cstheme="minorBidi"/>
                <w:color w:val="000000" w:themeColor="text1"/>
                <w:sz w:val="18"/>
                <w:szCs w:val="18"/>
                <w:lang w:val="en-GB"/>
              </w:rPr>
              <w:t>35</w:t>
            </w:r>
          </w:p>
        </w:tc>
      </w:tr>
      <w:tr w:rsidR="5AB46587" w14:paraId="5D707FEB" w14:textId="77777777" w:rsidTr="001F290C">
        <w:trPr>
          <w:trHeight w:val="300"/>
        </w:trPr>
        <w:tc>
          <w:tcPr>
            <w:tcW w:w="4560" w:type="dxa"/>
          </w:tcPr>
          <w:p w14:paraId="1926E97C" w14:textId="716DF7FD" w:rsidR="5865C768" w:rsidRDefault="5865C768"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Total</w:t>
            </w:r>
          </w:p>
        </w:tc>
        <w:tc>
          <w:tcPr>
            <w:tcW w:w="4566" w:type="dxa"/>
          </w:tcPr>
          <w:p w14:paraId="5E477E9E" w14:textId="4EC29421" w:rsidR="5865C768" w:rsidRDefault="5865C7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35</w:t>
            </w:r>
          </w:p>
        </w:tc>
      </w:tr>
    </w:tbl>
    <w:p w14:paraId="72C306CC" w14:textId="781C008C" w:rsidR="433122FB" w:rsidRPr="00764147" w:rsidRDefault="433122FB" w:rsidP="00764147">
      <w:pPr>
        <w:pStyle w:val="Heading4"/>
      </w:pPr>
      <w:r w:rsidRPr="00764147">
        <w:t xml:space="preserve">Table </w:t>
      </w:r>
      <w:r w:rsidR="007F0B56" w:rsidRPr="00764147">
        <w:t>5</w:t>
      </w:r>
      <w:r w:rsidRPr="00764147">
        <w:t>: Seminars</w:t>
      </w:r>
    </w:p>
    <w:tbl>
      <w:tblPr>
        <w:tblStyle w:val="TableGrid"/>
        <w:tblW w:w="0" w:type="auto"/>
        <w:tblInd w:w="5" w:type="dxa"/>
        <w:tblLook w:val="04A0" w:firstRow="1" w:lastRow="0" w:firstColumn="1" w:lastColumn="0" w:noHBand="0" w:noVBand="1"/>
      </w:tblPr>
      <w:tblGrid>
        <w:gridCol w:w="4506"/>
        <w:gridCol w:w="4505"/>
      </w:tblGrid>
      <w:tr w:rsidR="5AB46587" w14:paraId="6078E89C" w14:textId="77777777" w:rsidTr="001F290C">
        <w:trPr>
          <w:trHeight w:val="300"/>
          <w:tblHeader/>
        </w:trPr>
        <w:tc>
          <w:tcPr>
            <w:tcW w:w="4560" w:type="dxa"/>
            <w:shd w:val="clear" w:color="auto" w:fill="B4C6E7" w:themeFill="accent1" w:themeFillTint="66"/>
          </w:tcPr>
          <w:p w14:paraId="0FAF1BFA" w14:textId="3BB6B553" w:rsidR="433122FB" w:rsidRPr="00AF535F" w:rsidRDefault="433122FB" w:rsidP="5AB46587">
            <w:pPr>
              <w:spacing w:line="259" w:lineRule="auto"/>
              <w:rPr>
                <w:rFonts w:asciiTheme="minorHAnsi" w:eastAsiaTheme="minorEastAsia" w:hAnsiTheme="minorHAnsi" w:cstheme="minorBidi"/>
                <w:b/>
                <w:bCs/>
                <w:color w:val="1F3864" w:themeColor="accent1" w:themeShade="80"/>
                <w:sz w:val="18"/>
                <w:szCs w:val="18"/>
                <w:lang w:val="en-GB"/>
              </w:rPr>
            </w:pPr>
            <w:r w:rsidRPr="00AF535F">
              <w:rPr>
                <w:rFonts w:asciiTheme="minorHAnsi" w:eastAsiaTheme="minorEastAsia" w:hAnsiTheme="minorHAnsi" w:cstheme="minorBidi"/>
                <w:b/>
                <w:bCs/>
                <w:color w:val="1F3864" w:themeColor="accent1" w:themeShade="80"/>
                <w:sz w:val="18"/>
                <w:szCs w:val="18"/>
                <w:lang w:val="en-GB"/>
              </w:rPr>
              <w:t>Seminars and Forum</w:t>
            </w:r>
            <w:r w:rsidR="0163DB7B" w:rsidRPr="00AF535F">
              <w:rPr>
                <w:rFonts w:asciiTheme="minorHAnsi" w:eastAsiaTheme="minorEastAsia" w:hAnsiTheme="minorHAnsi" w:cstheme="minorBidi"/>
                <w:b/>
                <w:bCs/>
                <w:color w:val="1F3864" w:themeColor="accent1" w:themeShade="80"/>
                <w:sz w:val="18"/>
                <w:szCs w:val="18"/>
                <w:lang w:val="en-GB"/>
              </w:rPr>
              <w:t xml:space="preserve"> Type</w:t>
            </w:r>
          </w:p>
        </w:tc>
        <w:tc>
          <w:tcPr>
            <w:tcW w:w="4566" w:type="dxa"/>
            <w:shd w:val="clear" w:color="auto" w:fill="B4C6E7" w:themeFill="accent1" w:themeFillTint="66"/>
          </w:tcPr>
          <w:p w14:paraId="43F2BB88" w14:textId="72D3DA0B" w:rsidR="5AB46587" w:rsidRPr="00AF535F" w:rsidRDefault="5AB46587" w:rsidP="5AB46587">
            <w:pPr>
              <w:jc w:val="center"/>
              <w:rPr>
                <w:rFonts w:asciiTheme="minorHAnsi" w:eastAsiaTheme="minorEastAsia" w:hAnsiTheme="minorHAnsi" w:cstheme="minorBidi"/>
                <w:b/>
                <w:bCs/>
                <w:color w:val="1F3864" w:themeColor="accent1" w:themeShade="80"/>
                <w:sz w:val="18"/>
                <w:szCs w:val="18"/>
                <w:lang w:val="en-GB"/>
              </w:rPr>
            </w:pPr>
            <w:r w:rsidRPr="00AF535F">
              <w:rPr>
                <w:rFonts w:asciiTheme="minorHAnsi" w:eastAsiaTheme="minorEastAsia" w:hAnsiTheme="minorHAnsi" w:cstheme="minorBidi"/>
                <w:b/>
                <w:bCs/>
                <w:color w:val="1F3864" w:themeColor="accent1" w:themeShade="80"/>
                <w:sz w:val="18"/>
                <w:szCs w:val="18"/>
                <w:lang w:val="en-GB"/>
              </w:rPr>
              <w:t>Number</w:t>
            </w:r>
          </w:p>
        </w:tc>
      </w:tr>
      <w:tr w:rsidR="5AB46587" w14:paraId="73B8F8F7" w14:textId="77777777" w:rsidTr="001F290C">
        <w:trPr>
          <w:trHeight w:val="300"/>
        </w:trPr>
        <w:tc>
          <w:tcPr>
            <w:tcW w:w="4560" w:type="dxa"/>
          </w:tcPr>
          <w:p w14:paraId="30CB2A72"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Development Studies Forum</w:t>
            </w:r>
          </w:p>
        </w:tc>
        <w:tc>
          <w:tcPr>
            <w:tcW w:w="4566" w:type="dxa"/>
          </w:tcPr>
          <w:p w14:paraId="40588671"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109</w:t>
            </w:r>
          </w:p>
        </w:tc>
      </w:tr>
      <w:tr w:rsidR="5AB46587" w14:paraId="67E523F4" w14:textId="77777777" w:rsidTr="001F290C">
        <w:trPr>
          <w:trHeight w:val="300"/>
        </w:trPr>
        <w:tc>
          <w:tcPr>
            <w:tcW w:w="4560" w:type="dxa"/>
          </w:tcPr>
          <w:p w14:paraId="0EAD6CEF"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Global Seminars</w:t>
            </w:r>
          </w:p>
        </w:tc>
        <w:tc>
          <w:tcPr>
            <w:tcW w:w="4566" w:type="dxa"/>
          </w:tcPr>
          <w:p w14:paraId="57BEFF49"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11</w:t>
            </w:r>
          </w:p>
        </w:tc>
      </w:tr>
      <w:tr w:rsidR="5AB46587" w14:paraId="5D3A5A59" w14:textId="77777777" w:rsidTr="001F290C">
        <w:trPr>
          <w:trHeight w:val="300"/>
        </w:trPr>
        <w:tc>
          <w:tcPr>
            <w:tcW w:w="4560" w:type="dxa"/>
          </w:tcPr>
          <w:p w14:paraId="0B0F37E1"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Indonesia Study Group</w:t>
            </w:r>
          </w:p>
        </w:tc>
        <w:tc>
          <w:tcPr>
            <w:tcW w:w="4566" w:type="dxa"/>
          </w:tcPr>
          <w:p w14:paraId="2A624773"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33</w:t>
            </w:r>
          </w:p>
        </w:tc>
      </w:tr>
      <w:tr w:rsidR="5AB46587" w14:paraId="7DDD4470" w14:textId="77777777" w:rsidTr="001F290C">
        <w:trPr>
          <w:trHeight w:val="300"/>
        </w:trPr>
        <w:tc>
          <w:tcPr>
            <w:tcW w:w="4560" w:type="dxa"/>
          </w:tcPr>
          <w:p w14:paraId="0D3644C9"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Seminar</w:t>
            </w:r>
          </w:p>
        </w:tc>
        <w:tc>
          <w:tcPr>
            <w:tcW w:w="4566" w:type="dxa"/>
          </w:tcPr>
          <w:p w14:paraId="29AFE199"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w:t>
            </w:r>
          </w:p>
        </w:tc>
      </w:tr>
      <w:tr w:rsidR="5AB46587" w14:paraId="69E7EF4D" w14:textId="77777777" w:rsidTr="001F290C">
        <w:trPr>
          <w:trHeight w:val="300"/>
        </w:trPr>
        <w:tc>
          <w:tcPr>
            <w:tcW w:w="4560" w:type="dxa"/>
          </w:tcPr>
          <w:p w14:paraId="1D2A7090" w14:textId="5A41B2F3" w:rsidR="72C51E71" w:rsidRDefault="72C51E71"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Total</w:t>
            </w:r>
          </w:p>
        </w:tc>
        <w:tc>
          <w:tcPr>
            <w:tcW w:w="4566" w:type="dxa"/>
          </w:tcPr>
          <w:p w14:paraId="30FF1A20" w14:textId="5F6B667F" w:rsidR="72C51E71" w:rsidRDefault="72C51E71"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155</w:t>
            </w:r>
          </w:p>
        </w:tc>
      </w:tr>
    </w:tbl>
    <w:p w14:paraId="2969AB47" w14:textId="7A2437E3" w:rsidR="72C51E71" w:rsidRPr="00764147" w:rsidRDefault="72C51E71" w:rsidP="00764147">
      <w:pPr>
        <w:pStyle w:val="Heading4"/>
      </w:pPr>
      <w:r w:rsidRPr="00764147">
        <w:t xml:space="preserve">Table </w:t>
      </w:r>
      <w:r w:rsidR="007F0B56" w:rsidRPr="00764147">
        <w:t>6</w:t>
      </w:r>
      <w:r w:rsidR="4CFDB8BB" w:rsidRPr="00764147">
        <w:t>: Teaching</w:t>
      </w:r>
    </w:p>
    <w:tbl>
      <w:tblPr>
        <w:tblStyle w:val="TableGrid"/>
        <w:tblW w:w="0" w:type="auto"/>
        <w:tblInd w:w="5" w:type="dxa"/>
        <w:tblLook w:val="04A0" w:firstRow="1" w:lastRow="0" w:firstColumn="1" w:lastColumn="0" w:noHBand="0" w:noVBand="1"/>
      </w:tblPr>
      <w:tblGrid>
        <w:gridCol w:w="4504"/>
        <w:gridCol w:w="4507"/>
      </w:tblGrid>
      <w:tr w:rsidR="5AB46587" w14:paraId="5F95C38B" w14:textId="77777777" w:rsidTr="001F290C">
        <w:trPr>
          <w:trHeight w:val="300"/>
          <w:tblHeader/>
        </w:trPr>
        <w:tc>
          <w:tcPr>
            <w:tcW w:w="4560" w:type="dxa"/>
            <w:shd w:val="clear" w:color="auto" w:fill="B4C6E7" w:themeFill="accent1" w:themeFillTint="66"/>
          </w:tcPr>
          <w:p w14:paraId="6A726BE0" w14:textId="31B731B1" w:rsidR="3FDCB8A7" w:rsidRPr="00AF535F" w:rsidRDefault="3FDCB8A7" w:rsidP="5AB46587">
            <w:pPr>
              <w:rPr>
                <w:rFonts w:asciiTheme="minorHAnsi" w:eastAsiaTheme="minorEastAsia" w:hAnsiTheme="minorHAnsi" w:cstheme="minorBidi"/>
                <w:b/>
                <w:bCs/>
                <w:color w:val="1F3864" w:themeColor="accent1" w:themeShade="80"/>
                <w:sz w:val="18"/>
                <w:szCs w:val="18"/>
                <w:lang w:val="en-GB"/>
              </w:rPr>
            </w:pPr>
            <w:r w:rsidRPr="00AF535F">
              <w:rPr>
                <w:rFonts w:asciiTheme="minorHAnsi" w:eastAsiaTheme="minorEastAsia" w:hAnsiTheme="minorHAnsi" w:cstheme="minorBidi"/>
                <w:b/>
                <w:bCs/>
                <w:color w:val="1F3864" w:themeColor="accent1" w:themeShade="80"/>
                <w:sz w:val="18"/>
                <w:szCs w:val="18"/>
                <w:lang w:val="en-GB"/>
              </w:rPr>
              <w:t>Teaching type</w:t>
            </w:r>
          </w:p>
        </w:tc>
        <w:tc>
          <w:tcPr>
            <w:tcW w:w="4566" w:type="dxa"/>
            <w:shd w:val="clear" w:color="auto" w:fill="B4C6E7" w:themeFill="accent1" w:themeFillTint="66"/>
          </w:tcPr>
          <w:p w14:paraId="11D9DC8C" w14:textId="44A31FC3" w:rsidR="3FDCB8A7" w:rsidRPr="00AF535F" w:rsidRDefault="3FDCB8A7" w:rsidP="5AB46587">
            <w:pPr>
              <w:jc w:val="center"/>
              <w:rPr>
                <w:rFonts w:asciiTheme="minorHAnsi" w:eastAsiaTheme="minorEastAsia" w:hAnsiTheme="minorHAnsi" w:cstheme="minorBidi"/>
                <w:b/>
                <w:bCs/>
                <w:color w:val="1F3864" w:themeColor="accent1" w:themeShade="80"/>
                <w:sz w:val="18"/>
                <w:szCs w:val="18"/>
                <w:lang w:val="en-GB"/>
              </w:rPr>
            </w:pPr>
            <w:r w:rsidRPr="00AF535F">
              <w:rPr>
                <w:rFonts w:asciiTheme="minorHAnsi" w:eastAsiaTheme="minorEastAsia" w:hAnsiTheme="minorHAnsi" w:cstheme="minorBidi"/>
                <w:b/>
                <w:bCs/>
                <w:color w:val="1F3864" w:themeColor="accent1" w:themeShade="80"/>
                <w:sz w:val="18"/>
                <w:szCs w:val="18"/>
                <w:lang w:val="en-GB"/>
              </w:rPr>
              <w:t>Number</w:t>
            </w:r>
          </w:p>
        </w:tc>
      </w:tr>
      <w:tr w:rsidR="5AB46587" w14:paraId="28BF5270" w14:textId="77777777" w:rsidTr="001F290C">
        <w:trPr>
          <w:trHeight w:val="300"/>
        </w:trPr>
        <w:tc>
          <w:tcPr>
            <w:tcW w:w="4560" w:type="dxa"/>
          </w:tcPr>
          <w:p w14:paraId="123905B6"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 xml:space="preserve">Semester teaching </w:t>
            </w:r>
          </w:p>
        </w:tc>
        <w:tc>
          <w:tcPr>
            <w:tcW w:w="4566" w:type="dxa"/>
          </w:tcPr>
          <w:p w14:paraId="07F32F22"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13</w:t>
            </w:r>
          </w:p>
        </w:tc>
      </w:tr>
      <w:tr w:rsidR="5AB46587" w14:paraId="6A7B7E48" w14:textId="77777777" w:rsidTr="001F290C">
        <w:trPr>
          <w:trHeight w:val="300"/>
        </w:trPr>
        <w:tc>
          <w:tcPr>
            <w:tcW w:w="4560" w:type="dxa"/>
          </w:tcPr>
          <w:p w14:paraId="04E3BDEB"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Supervision</w:t>
            </w:r>
          </w:p>
        </w:tc>
        <w:tc>
          <w:tcPr>
            <w:tcW w:w="4566" w:type="dxa"/>
          </w:tcPr>
          <w:p w14:paraId="2C0D7B26"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140</w:t>
            </w:r>
          </w:p>
        </w:tc>
      </w:tr>
    </w:tbl>
    <w:p w14:paraId="706C0244" w14:textId="1F5C11A3" w:rsidR="675EB0C3" w:rsidRPr="00764147" w:rsidRDefault="675EB0C3" w:rsidP="00764147">
      <w:pPr>
        <w:pStyle w:val="Heading4"/>
      </w:pPr>
      <w:r w:rsidRPr="00764147">
        <w:t xml:space="preserve">Table </w:t>
      </w:r>
      <w:r w:rsidR="007F0B56" w:rsidRPr="00764147">
        <w:t>7</w:t>
      </w:r>
      <w:r w:rsidRPr="00764147">
        <w:t>: Training</w:t>
      </w:r>
    </w:p>
    <w:tbl>
      <w:tblPr>
        <w:tblStyle w:val="TableGrid"/>
        <w:tblW w:w="0" w:type="auto"/>
        <w:tblInd w:w="5" w:type="dxa"/>
        <w:tblLook w:val="04A0" w:firstRow="1" w:lastRow="0" w:firstColumn="1" w:lastColumn="0" w:noHBand="0" w:noVBand="1"/>
      </w:tblPr>
      <w:tblGrid>
        <w:gridCol w:w="4505"/>
        <w:gridCol w:w="4506"/>
      </w:tblGrid>
      <w:tr w:rsidR="5AB46587" w14:paraId="47788FD5" w14:textId="77777777" w:rsidTr="001F290C">
        <w:trPr>
          <w:trHeight w:val="405"/>
          <w:tblHeader/>
        </w:trPr>
        <w:tc>
          <w:tcPr>
            <w:tcW w:w="4560" w:type="dxa"/>
            <w:shd w:val="clear" w:color="auto" w:fill="B4C6E7" w:themeFill="accent1" w:themeFillTint="66"/>
          </w:tcPr>
          <w:p w14:paraId="7BC447D2" w14:textId="6EE91998" w:rsidR="5AB46587" w:rsidRPr="00AF535F" w:rsidRDefault="5AB46587" w:rsidP="5AB46587">
            <w:pPr>
              <w:rPr>
                <w:rFonts w:asciiTheme="minorHAnsi" w:eastAsiaTheme="minorEastAsia" w:hAnsiTheme="minorHAnsi" w:cstheme="minorBidi"/>
                <w:b/>
                <w:bCs/>
                <w:color w:val="1F3864" w:themeColor="accent1" w:themeShade="80"/>
                <w:sz w:val="18"/>
                <w:szCs w:val="18"/>
                <w:lang w:val="en-GB"/>
              </w:rPr>
            </w:pPr>
            <w:r w:rsidRPr="00AF535F">
              <w:rPr>
                <w:rFonts w:asciiTheme="minorHAnsi" w:eastAsiaTheme="minorEastAsia" w:hAnsiTheme="minorHAnsi" w:cstheme="minorBidi"/>
                <w:b/>
                <w:bCs/>
                <w:color w:val="1F3864" w:themeColor="accent1" w:themeShade="80"/>
                <w:sz w:val="18"/>
                <w:szCs w:val="18"/>
                <w:lang w:val="en-GB"/>
              </w:rPr>
              <w:t>T</w:t>
            </w:r>
            <w:r w:rsidR="4A760B94" w:rsidRPr="00AF535F">
              <w:rPr>
                <w:rFonts w:asciiTheme="minorHAnsi" w:eastAsiaTheme="minorEastAsia" w:hAnsiTheme="minorHAnsi" w:cstheme="minorBidi"/>
                <w:b/>
                <w:bCs/>
                <w:color w:val="1F3864" w:themeColor="accent1" w:themeShade="80"/>
                <w:sz w:val="18"/>
                <w:szCs w:val="18"/>
                <w:lang w:val="en-GB"/>
              </w:rPr>
              <w:t>raining</w:t>
            </w:r>
            <w:r w:rsidRPr="00AF535F">
              <w:rPr>
                <w:rFonts w:asciiTheme="minorHAnsi" w:eastAsiaTheme="minorEastAsia" w:hAnsiTheme="minorHAnsi" w:cstheme="minorBidi"/>
                <w:b/>
                <w:bCs/>
                <w:color w:val="1F3864" w:themeColor="accent1" w:themeShade="80"/>
                <w:sz w:val="18"/>
                <w:szCs w:val="18"/>
                <w:lang w:val="en-GB"/>
              </w:rPr>
              <w:t xml:space="preserve"> type</w:t>
            </w:r>
          </w:p>
        </w:tc>
        <w:tc>
          <w:tcPr>
            <w:tcW w:w="4566" w:type="dxa"/>
            <w:shd w:val="clear" w:color="auto" w:fill="B4C6E7" w:themeFill="accent1" w:themeFillTint="66"/>
          </w:tcPr>
          <w:p w14:paraId="75DCF7EA" w14:textId="44A31FC3" w:rsidR="5AB46587" w:rsidRPr="00AF535F" w:rsidRDefault="5AB46587" w:rsidP="5AB46587">
            <w:pPr>
              <w:jc w:val="center"/>
              <w:rPr>
                <w:rFonts w:asciiTheme="minorHAnsi" w:eastAsiaTheme="minorEastAsia" w:hAnsiTheme="minorHAnsi" w:cstheme="minorBidi"/>
                <w:b/>
                <w:bCs/>
                <w:color w:val="1F3864" w:themeColor="accent1" w:themeShade="80"/>
                <w:sz w:val="18"/>
                <w:szCs w:val="18"/>
                <w:lang w:val="en-GB"/>
              </w:rPr>
            </w:pPr>
            <w:r w:rsidRPr="00AF535F">
              <w:rPr>
                <w:rFonts w:asciiTheme="minorHAnsi" w:eastAsiaTheme="minorEastAsia" w:hAnsiTheme="minorHAnsi" w:cstheme="minorBidi"/>
                <w:b/>
                <w:bCs/>
                <w:color w:val="1F3864" w:themeColor="accent1" w:themeShade="80"/>
                <w:sz w:val="18"/>
                <w:szCs w:val="18"/>
                <w:lang w:val="en-GB"/>
              </w:rPr>
              <w:t>Number</w:t>
            </w:r>
          </w:p>
        </w:tc>
      </w:tr>
      <w:tr w:rsidR="5AB46587" w14:paraId="4984BE31" w14:textId="77777777" w:rsidTr="5AB46587">
        <w:trPr>
          <w:trHeight w:val="300"/>
        </w:trPr>
        <w:tc>
          <w:tcPr>
            <w:tcW w:w="4560" w:type="dxa"/>
          </w:tcPr>
          <w:p w14:paraId="13E8745B"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Policy bootcamp</w:t>
            </w:r>
          </w:p>
        </w:tc>
        <w:tc>
          <w:tcPr>
            <w:tcW w:w="4566" w:type="dxa"/>
          </w:tcPr>
          <w:p w14:paraId="738C0020"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4</w:t>
            </w:r>
          </w:p>
        </w:tc>
      </w:tr>
      <w:tr w:rsidR="5AB46587" w14:paraId="73349436" w14:textId="77777777" w:rsidTr="5AB46587">
        <w:trPr>
          <w:trHeight w:val="300"/>
        </w:trPr>
        <w:tc>
          <w:tcPr>
            <w:tcW w:w="4560" w:type="dxa"/>
          </w:tcPr>
          <w:p w14:paraId="1ECB87B2" w14:textId="77777777" w:rsidR="5AB46587" w:rsidRDefault="5AB4658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Executive development</w:t>
            </w:r>
          </w:p>
        </w:tc>
        <w:tc>
          <w:tcPr>
            <w:tcW w:w="4566" w:type="dxa"/>
          </w:tcPr>
          <w:p w14:paraId="22B787E7" w14:textId="77777777" w:rsidR="5AB46587" w:rsidRDefault="5AB4658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r>
      <w:tr w:rsidR="5AB46587" w14:paraId="5F56D2D0" w14:textId="77777777" w:rsidTr="5AB46587">
        <w:trPr>
          <w:trHeight w:val="300"/>
        </w:trPr>
        <w:tc>
          <w:tcPr>
            <w:tcW w:w="4560" w:type="dxa"/>
          </w:tcPr>
          <w:p w14:paraId="79EBD886" w14:textId="7991F493" w:rsidR="28A3CEF7" w:rsidRDefault="28A3CEF7" w:rsidP="5AB46587">
            <w:pP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Total</w:t>
            </w:r>
          </w:p>
        </w:tc>
        <w:tc>
          <w:tcPr>
            <w:tcW w:w="4566" w:type="dxa"/>
          </w:tcPr>
          <w:p w14:paraId="046A9BAE" w14:textId="300BE3AB" w:rsidR="28A3CEF7" w:rsidRDefault="28A3CEF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w:t>
            </w:r>
          </w:p>
        </w:tc>
      </w:tr>
    </w:tbl>
    <w:p w14:paraId="691BD3BF" w14:textId="19B99680" w:rsidR="5AB46587" w:rsidRDefault="7A6ECF07" w:rsidP="002504DF">
      <w:pPr>
        <w:spacing w:before="120" w:after="120" w:line="280" w:lineRule="atLeast"/>
        <w:rPr>
          <w:rFonts w:asciiTheme="minorHAnsi" w:eastAsiaTheme="minorEastAsia" w:hAnsiTheme="minorHAnsi" w:cstheme="minorBidi"/>
        </w:rPr>
      </w:pPr>
      <w:r w:rsidRPr="5AB46587">
        <w:rPr>
          <w:rFonts w:asciiTheme="minorHAnsi" w:eastAsiaTheme="minorEastAsia" w:hAnsiTheme="minorHAnsi" w:cstheme="minorBidi"/>
          <w:i/>
          <w:iCs/>
          <w:sz w:val="20"/>
          <w:szCs w:val="20"/>
          <w:lang w:val="en-GB"/>
        </w:rPr>
        <w:t>Total number of applied research and teaching combined: 506</w:t>
      </w:r>
    </w:p>
    <w:p w14:paraId="5ABD68B3" w14:textId="77777777" w:rsidR="00BC157C" w:rsidRDefault="00BC157C" w:rsidP="5AB46587">
      <w:pPr>
        <w:widowControl w:val="0"/>
        <w:autoSpaceDE w:val="0"/>
        <w:autoSpaceDN w:val="0"/>
        <w:spacing w:before="120" w:after="120"/>
        <w:ind w:right="386"/>
        <w:rPr>
          <w:rFonts w:asciiTheme="minorHAnsi" w:eastAsiaTheme="minorEastAsia" w:hAnsiTheme="minorHAnsi" w:cstheme="minorBidi"/>
          <w:sz w:val="10"/>
          <w:szCs w:val="10"/>
        </w:rPr>
      </w:pPr>
    </w:p>
    <w:p w14:paraId="5CB93D6E" w14:textId="77777777" w:rsidR="007322F8" w:rsidRPr="00764147" w:rsidRDefault="4C2730EC" w:rsidP="00764147">
      <w:pPr>
        <w:pStyle w:val="Heading4"/>
      </w:pPr>
      <w:r w:rsidRPr="00764147">
        <w:lastRenderedPageBreak/>
        <w:t>Chart 1: Indonesia Project themes covered in applied research and teaching outputs</w:t>
      </w:r>
    </w:p>
    <w:p w14:paraId="2E5818EA" w14:textId="74E44851" w:rsidR="002A3AF7" w:rsidRPr="009D5599" w:rsidRDefault="00F93BE8" w:rsidP="00F93BE8">
      <w:pPr>
        <w:widowControl w:val="0"/>
        <w:autoSpaceDE w:val="0"/>
        <w:autoSpaceDN w:val="0"/>
        <w:spacing w:before="120" w:after="120"/>
        <w:ind w:right="386"/>
        <w:jc w:val="center"/>
        <w:rPr>
          <w:rFonts w:asciiTheme="minorHAnsi" w:eastAsiaTheme="minorEastAsia" w:hAnsiTheme="minorHAnsi" w:cstheme="minorBidi"/>
          <w:sz w:val="22"/>
          <w:szCs w:val="22"/>
        </w:rPr>
      </w:pPr>
      <w:r w:rsidRPr="00F93BE8">
        <w:rPr>
          <w:rFonts w:asciiTheme="minorHAnsi" w:eastAsiaTheme="minorEastAsia" w:hAnsiTheme="minorHAnsi" w:cstheme="minorBidi"/>
          <w:noProof/>
          <w:sz w:val="22"/>
          <w:szCs w:val="22"/>
        </w:rPr>
        <w:drawing>
          <wp:inline distT="0" distB="0" distL="0" distR="0" wp14:anchorId="31400759" wp14:editId="63403D87">
            <wp:extent cx="5553850" cy="2448267"/>
            <wp:effectExtent l="0" t="0" r="0" b="9525"/>
            <wp:docPr id="485895294" name="Picture 1" descr="Pie chart titled ‘Research and teaching outputs by theme’. The chart shows four segments: Social policy at 37 per cent, Trade and development at 27 per cent, Agriculture and environment at 21 per cent, and Politics and governance at 1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95294" name="Picture 1" descr="Pie chart titled ‘Research and teaching outputs by theme’. The chart shows four segments: Social policy at 37 per cent, Trade and development at 27 per cent, Agriculture and environment at 21 per cent, and Politics and governance at 15 per cent"/>
                    <pic:cNvPicPr/>
                  </pic:nvPicPr>
                  <pic:blipFill>
                    <a:blip r:embed="rId22"/>
                    <a:stretch>
                      <a:fillRect/>
                    </a:stretch>
                  </pic:blipFill>
                  <pic:spPr>
                    <a:xfrm>
                      <a:off x="0" y="0"/>
                      <a:ext cx="5553850" cy="2448267"/>
                    </a:xfrm>
                    <a:prstGeom prst="rect">
                      <a:avLst/>
                    </a:prstGeom>
                  </pic:spPr>
                </pic:pic>
              </a:graphicData>
            </a:graphic>
          </wp:inline>
        </w:drawing>
      </w:r>
    </w:p>
    <w:tbl>
      <w:tblPr>
        <w:tblStyle w:val="TableGrid"/>
        <w:tblW w:w="9356"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356"/>
      </w:tblGrid>
      <w:tr w:rsidR="00BC157C" w:rsidRPr="00E168C4" w14:paraId="7CDA4D0A" w14:textId="77777777" w:rsidTr="5AB46587">
        <w:trPr>
          <w:trHeight w:val="300"/>
        </w:trPr>
        <w:tc>
          <w:tcPr>
            <w:tcW w:w="9356" w:type="dxa"/>
          </w:tcPr>
          <w:p w14:paraId="25011A85" w14:textId="5D3D5927" w:rsidR="00BC157C" w:rsidRPr="00764147" w:rsidRDefault="1FF912C6" w:rsidP="00764147">
            <w:pPr>
              <w:pStyle w:val="Heading4"/>
            </w:pPr>
            <w:r w:rsidRPr="00764147">
              <w:t xml:space="preserve">Influence on policymaking </w:t>
            </w:r>
          </w:p>
          <w:p w14:paraId="127168BD" w14:textId="7FF5210D" w:rsidR="004C7F24" w:rsidRDefault="1FF912C6" w:rsidP="5AB46587">
            <w:pPr>
              <w:widowControl w:val="0"/>
              <w:autoSpaceDE w:val="0"/>
              <w:autoSpaceDN w:val="0"/>
              <w:spacing w:before="120" w:after="120"/>
              <w:ind w:right="38"/>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Project’s influence on policymaking is largely indirect with publications, seminars and forums informing debates on trade, fiscal policy and social protection, and helping to influence policy decision-making. For example, the</w:t>
            </w:r>
            <w:r w:rsidR="056E6626" w:rsidRPr="5AB46587">
              <w:rPr>
                <w:rFonts w:asciiTheme="minorHAnsi" w:eastAsiaTheme="minorEastAsia" w:hAnsiTheme="minorHAnsi" w:cstheme="minorBidi"/>
                <w:sz w:val="22"/>
                <w:szCs w:val="22"/>
              </w:rPr>
              <w:t xml:space="preserve"> </w:t>
            </w:r>
            <w:r w:rsidR="056E6626" w:rsidRPr="5AB46587">
              <w:rPr>
                <w:rFonts w:asciiTheme="minorHAnsi" w:eastAsiaTheme="minorEastAsia" w:hAnsiTheme="minorHAnsi" w:cstheme="minorBidi"/>
                <w:sz w:val="22"/>
                <w:szCs w:val="22"/>
                <w:lang w:val="en-GB"/>
              </w:rPr>
              <w:t>Development Studies Forum or</w:t>
            </w:r>
            <w:r w:rsidRPr="5AB46587">
              <w:rPr>
                <w:rFonts w:asciiTheme="minorHAnsi" w:eastAsiaTheme="minorEastAsia" w:hAnsiTheme="minorHAnsi" w:cstheme="minorBidi"/>
                <w:sz w:val="22"/>
                <w:szCs w:val="22"/>
              </w:rPr>
              <w:t xml:space="preserve"> </w:t>
            </w:r>
            <w:r w:rsidRPr="5AB46587">
              <w:rPr>
                <w:rFonts w:asciiTheme="minorHAnsi" w:eastAsiaTheme="minorEastAsia" w:hAnsiTheme="minorHAnsi" w:cstheme="minorBidi"/>
                <w:sz w:val="22"/>
                <w:szCs w:val="22"/>
                <w:lang w:val="en-GB"/>
              </w:rPr>
              <w:t xml:space="preserve">Forum Kajian Pembangunan (FKP) was repeatedly noted by key stakeholders as a key forum </w:t>
            </w:r>
            <w:r w:rsidR="056E6626" w:rsidRPr="5AB46587">
              <w:rPr>
                <w:rFonts w:asciiTheme="minorHAnsi" w:eastAsiaTheme="minorEastAsia" w:hAnsiTheme="minorHAnsi" w:cstheme="minorBidi"/>
                <w:sz w:val="22"/>
                <w:szCs w:val="22"/>
                <w:lang w:val="en-GB"/>
              </w:rPr>
              <w:t xml:space="preserve">in Indonesia </w:t>
            </w:r>
            <w:r w:rsidRPr="5AB46587">
              <w:rPr>
                <w:rFonts w:asciiTheme="minorHAnsi" w:eastAsiaTheme="minorEastAsia" w:hAnsiTheme="minorHAnsi" w:cstheme="minorBidi"/>
                <w:sz w:val="22"/>
                <w:szCs w:val="22"/>
                <w:lang w:val="en-GB"/>
              </w:rPr>
              <w:t>for sharing evidence-based research</w:t>
            </w:r>
            <w:r w:rsidR="07845B57" w:rsidRPr="5AB46587">
              <w:rPr>
                <w:rFonts w:asciiTheme="minorHAnsi" w:eastAsiaTheme="minorEastAsia" w:hAnsiTheme="minorHAnsi" w:cstheme="minorBidi"/>
                <w:sz w:val="22"/>
                <w:szCs w:val="22"/>
                <w:lang w:val="en-GB"/>
              </w:rPr>
              <w:t xml:space="preserve"> and informing policy decisions</w:t>
            </w:r>
            <w:r w:rsidR="056E6626" w:rsidRPr="5AB46587">
              <w:rPr>
                <w:rFonts w:asciiTheme="minorHAnsi" w:eastAsiaTheme="minorEastAsia" w:hAnsiTheme="minorHAnsi" w:cstheme="minorBidi"/>
                <w:sz w:val="22"/>
                <w:szCs w:val="22"/>
                <w:lang w:val="en-GB"/>
              </w:rPr>
              <w:t xml:space="preserve">. </w:t>
            </w:r>
            <w:r w:rsidRPr="5AB46587">
              <w:rPr>
                <w:rFonts w:asciiTheme="minorHAnsi" w:eastAsiaTheme="minorEastAsia" w:hAnsiTheme="minorHAnsi" w:cstheme="minorBidi"/>
                <w:sz w:val="22"/>
                <w:szCs w:val="22"/>
              </w:rPr>
              <w:t>This indirect influence on policymaking was highly regarded by most key stakeholders consulted</w:t>
            </w:r>
            <w:r w:rsidR="056E6626" w:rsidRPr="5AB46587">
              <w:rPr>
                <w:rFonts w:asciiTheme="minorHAnsi" w:eastAsiaTheme="minorEastAsia" w:hAnsiTheme="minorHAnsi" w:cstheme="minorBidi"/>
                <w:sz w:val="22"/>
                <w:szCs w:val="22"/>
              </w:rPr>
              <w:t xml:space="preserve">, as it is regarded as being </w:t>
            </w:r>
            <w:r w:rsidR="07845B57" w:rsidRPr="5AB46587">
              <w:rPr>
                <w:rFonts w:asciiTheme="minorHAnsi" w:eastAsiaTheme="minorEastAsia" w:hAnsiTheme="minorHAnsi" w:cstheme="minorBidi"/>
                <w:sz w:val="22"/>
                <w:szCs w:val="22"/>
              </w:rPr>
              <w:t xml:space="preserve">both </w:t>
            </w:r>
            <w:r w:rsidR="056E6626" w:rsidRPr="5AB46587">
              <w:rPr>
                <w:rFonts w:asciiTheme="minorHAnsi" w:eastAsiaTheme="minorEastAsia" w:hAnsiTheme="minorHAnsi" w:cstheme="minorBidi"/>
                <w:sz w:val="22"/>
                <w:szCs w:val="22"/>
              </w:rPr>
              <w:t xml:space="preserve">academically credible and independent of political interference. </w:t>
            </w:r>
          </w:p>
          <w:p w14:paraId="58E6C4F2" w14:textId="77777777" w:rsidR="0017112F" w:rsidRDefault="07845B57" w:rsidP="5AB46587">
            <w:pPr>
              <w:widowControl w:val="0"/>
              <w:autoSpaceDE w:val="0"/>
              <w:autoSpaceDN w:val="0"/>
              <w:spacing w:before="120" w:after="120"/>
              <w:ind w:right="38"/>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The increased knowledge and capacity of Indonesian researchers, as described below, also contributes to evidence-based </w:t>
            </w:r>
            <w:proofErr w:type="gramStart"/>
            <w:r w:rsidRPr="5AB46587">
              <w:rPr>
                <w:rFonts w:asciiTheme="minorHAnsi" w:eastAsiaTheme="minorEastAsia" w:hAnsiTheme="minorHAnsi" w:cstheme="minorBidi"/>
                <w:sz w:val="22"/>
                <w:szCs w:val="22"/>
              </w:rPr>
              <w:t>policy-making</w:t>
            </w:r>
            <w:proofErr w:type="gramEnd"/>
            <w:r w:rsidRPr="5AB46587">
              <w:rPr>
                <w:rFonts w:asciiTheme="minorHAnsi" w:eastAsiaTheme="minorEastAsia" w:hAnsiTheme="minorHAnsi" w:cstheme="minorBidi"/>
                <w:sz w:val="22"/>
                <w:szCs w:val="22"/>
              </w:rPr>
              <w:t xml:space="preserve"> in Indonesia. Many Indonesian researchers trained and supervised by Indonesia Project academics in the past now occupy senior roles in Indonesian government ministries, universities, research institutes and think tanks, as well as international organisations based in Indonesia. This increased capacity ultimately strengthens the Indonesian Government’s ability to identify and solve its own economic and social policy priorities. </w:t>
            </w:r>
          </w:p>
          <w:p w14:paraId="1659521D" w14:textId="41B5D0B6" w:rsidR="00BC157C" w:rsidRPr="0017112F" w:rsidRDefault="1FF912C6" w:rsidP="5AB46587">
            <w:pPr>
              <w:widowControl w:val="0"/>
              <w:autoSpaceDE w:val="0"/>
              <w:autoSpaceDN w:val="0"/>
              <w:spacing w:before="120" w:after="120"/>
              <w:ind w:right="38"/>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Several interviewees</w:t>
            </w:r>
            <w:r w:rsidRPr="5AB46587">
              <w:rPr>
                <w:rFonts w:asciiTheme="minorHAnsi" w:eastAsiaTheme="minorEastAsia" w:hAnsiTheme="minorHAnsi" w:cstheme="minorBidi"/>
              </w:rPr>
              <w:t xml:space="preserve"> </w:t>
            </w:r>
            <w:r w:rsidRPr="5AB46587">
              <w:rPr>
                <w:rFonts w:asciiTheme="minorHAnsi" w:eastAsiaTheme="minorEastAsia" w:hAnsiTheme="minorHAnsi" w:cstheme="minorBidi"/>
                <w:sz w:val="22"/>
                <w:szCs w:val="22"/>
              </w:rPr>
              <w:t xml:space="preserve">referenced direct engagement by the Indonesian Ministry of Finance and other agencies seeking </w:t>
            </w:r>
            <w:r w:rsidR="5C01B284" w:rsidRPr="5AB46587">
              <w:rPr>
                <w:rFonts w:asciiTheme="minorHAnsi" w:eastAsiaTheme="minorEastAsia" w:hAnsiTheme="minorHAnsi" w:cstheme="minorBidi"/>
                <w:sz w:val="22"/>
                <w:szCs w:val="22"/>
              </w:rPr>
              <w:t>policy advice</w:t>
            </w:r>
            <w:r w:rsidRPr="5AB46587">
              <w:rPr>
                <w:rFonts w:asciiTheme="minorHAnsi" w:eastAsiaTheme="minorEastAsia" w:hAnsiTheme="minorHAnsi" w:cstheme="minorBidi"/>
                <w:sz w:val="22"/>
                <w:szCs w:val="22"/>
              </w:rPr>
              <w:t xml:space="preserve">, </w:t>
            </w:r>
            <w:r w:rsidR="5C01B284" w:rsidRPr="5AB46587">
              <w:rPr>
                <w:rFonts w:asciiTheme="minorHAnsi" w:eastAsiaTheme="minorEastAsia" w:hAnsiTheme="minorHAnsi" w:cstheme="minorBidi"/>
                <w:sz w:val="22"/>
                <w:szCs w:val="22"/>
              </w:rPr>
              <w:t xml:space="preserve">through mechanisms such as </w:t>
            </w:r>
            <w:proofErr w:type="gramStart"/>
            <w:r w:rsidR="5C01B284" w:rsidRPr="5AB46587">
              <w:rPr>
                <w:rFonts w:asciiTheme="minorHAnsi" w:eastAsiaTheme="minorEastAsia" w:hAnsiTheme="minorHAnsi" w:cstheme="minorBidi"/>
                <w:sz w:val="22"/>
                <w:szCs w:val="22"/>
              </w:rPr>
              <w:t>High Level</w:t>
            </w:r>
            <w:proofErr w:type="gramEnd"/>
            <w:r w:rsidR="5C01B284" w:rsidRPr="5AB46587">
              <w:rPr>
                <w:rFonts w:asciiTheme="minorHAnsi" w:eastAsiaTheme="minorEastAsia" w:hAnsiTheme="minorHAnsi" w:cstheme="minorBidi"/>
                <w:sz w:val="22"/>
                <w:szCs w:val="22"/>
              </w:rPr>
              <w:t xml:space="preserve"> Policy Dialogue, </w:t>
            </w:r>
            <w:r w:rsidRPr="5AB46587">
              <w:rPr>
                <w:rFonts w:asciiTheme="minorHAnsi" w:eastAsiaTheme="minorEastAsia" w:hAnsiTheme="minorHAnsi" w:cstheme="minorBidi"/>
                <w:sz w:val="22"/>
                <w:szCs w:val="22"/>
              </w:rPr>
              <w:t xml:space="preserve">indicating </w:t>
            </w:r>
            <w:r w:rsidR="5C01B284" w:rsidRPr="5AB46587">
              <w:rPr>
                <w:rFonts w:asciiTheme="minorHAnsi" w:eastAsiaTheme="minorEastAsia" w:hAnsiTheme="minorHAnsi" w:cstheme="minorBidi"/>
                <w:sz w:val="22"/>
                <w:szCs w:val="22"/>
              </w:rPr>
              <w:t xml:space="preserve">Indonesian Government </w:t>
            </w:r>
            <w:r w:rsidRPr="5AB46587">
              <w:rPr>
                <w:rFonts w:asciiTheme="minorHAnsi" w:eastAsiaTheme="minorEastAsia" w:hAnsiTheme="minorHAnsi" w:cstheme="minorBidi"/>
                <w:sz w:val="22"/>
                <w:szCs w:val="22"/>
              </w:rPr>
              <w:t xml:space="preserve">recognition of </w:t>
            </w:r>
            <w:r w:rsidR="07845B57" w:rsidRPr="5AB46587">
              <w:rPr>
                <w:rFonts w:asciiTheme="minorHAnsi" w:eastAsiaTheme="minorEastAsia" w:hAnsiTheme="minorHAnsi" w:cstheme="minorBidi"/>
                <w:sz w:val="22"/>
                <w:szCs w:val="22"/>
              </w:rPr>
              <w:t xml:space="preserve">the Project </w:t>
            </w:r>
            <w:r w:rsidRPr="5AB46587">
              <w:rPr>
                <w:rFonts w:asciiTheme="minorHAnsi" w:eastAsiaTheme="minorEastAsia" w:hAnsiTheme="minorHAnsi" w:cstheme="minorBidi"/>
                <w:sz w:val="22"/>
                <w:szCs w:val="22"/>
              </w:rPr>
              <w:t>as a trusted knowledge partner.</w:t>
            </w:r>
            <w:r w:rsidR="07845B57" w:rsidRPr="5AB46587">
              <w:rPr>
                <w:rFonts w:asciiTheme="minorHAnsi" w:eastAsiaTheme="minorEastAsia" w:hAnsiTheme="minorHAnsi" w:cstheme="minorBidi"/>
                <w:sz w:val="22"/>
                <w:szCs w:val="22"/>
              </w:rPr>
              <w:t xml:space="preserve"> However, as discussed further in Section 2.3 this </w:t>
            </w:r>
            <w:r w:rsidR="5C01B284" w:rsidRPr="5AB46587">
              <w:rPr>
                <w:rFonts w:asciiTheme="minorHAnsi" w:eastAsiaTheme="minorEastAsia" w:hAnsiTheme="minorHAnsi" w:cstheme="minorBidi"/>
                <w:sz w:val="22"/>
                <w:szCs w:val="22"/>
              </w:rPr>
              <w:t xml:space="preserve">trusted </w:t>
            </w:r>
            <w:r w:rsidR="58011F16" w:rsidRPr="5AB46587">
              <w:rPr>
                <w:rFonts w:asciiTheme="minorHAnsi" w:eastAsiaTheme="minorEastAsia" w:hAnsiTheme="minorHAnsi" w:cstheme="minorBidi"/>
                <w:sz w:val="22"/>
                <w:szCs w:val="22"/>
              </w:rPr>
              <w:t>position of the Project</w:t>
            </w:r>
            <w:r w:rsidR="07845B57" w:rsidRPr="5AB46587">
              <w:rPr>
                <w:rFonts w:asciiTheme="minorHAnsi" w:eastAsiaTheme="minorEastAsia" w:hAnsiTheme="minorHAnsi" w:cstheme="minorBidi"/>
                <w:sz w:val="22"/>
                <w:szCs w:val="22"/>
              </w:rPr>
              <w:t xml:space="preserve"> has </w:t>
            </w:r>
            <w:r w:rsidR="58011F16" w:rsidRPr="5AB46587">
              <w:rPr>
                <w:rFonts w:asciiTheme="minorHAnsi" w:eastAsiaTheme="minorEastAsia" w:hAnsiTheme="minorHAnsi" w:cstheme="minorBidi"/>
                <w:sz w:val="22"/>
                <w:szCs w:val="22"/>
              </w:rPr>
              <w:t xml:space="preserve">shifted </w:t>
            </w:r>
            <w:r w:rsidR="5C01B284" w:rsidRPr="5AB46587">
              <w:rPr>
                <w:rFonts w:asciiTheme="minorHAnsi" w:eastAsiaTheme="minorEastAsia" w:hAnsiTheme="minorHAnsi" w:cstheme="minorBidi"/>
                <w:sz w:val="22"/>
                <w:szCs w:val="22"/>
              </w:rPr>
              <w:t>with</w:t>
            </w:r>
            <w:r w:rsidR="07845B57" w:rsidRPr="5AB46587">
              <w:rPr>
                <w:rFonts w:asciiTheme="minorHAnsi" w:eastAsiaTheme="minorEastAsia" w:hAnsiTheme="minorHAnsi" w:cstheme="minorBidi"/>
                <w:sz w:val="22"/>
                <w:szCs w:val="22"/>
              </w:rPr>
              <w:t xml:space="preserve"> the chang</w:t>
            </w:r>
            <w:r w:rsidR="5C01B284" w:rsidRPr="5AB46587">
              <w:rPr>
                <w:rFonts w:asciiTheme="minorHAnsi" w:eastAsiaTheme="minorEastAsia" w:hAnsiTheme="minorHAnsi" w:cstheme="minorBidi"/>
                <w:sz w:val="22"/>
                <w:szCs w:val="22"/>
              </w:rPr>
              <w:t xml:space="preserve">ing political landscape </w:t>
            </w:r>
            <w:r w:rsidR="07845B57" w:rsidRPr="5AB46587">
              <w:rPr>
                <w:rFonts w:asciiTheme="minorHAnsi" w:eastAsiaTheme="minorEastAsia" w:hAnsiTheme="minorHAnsi" w:cstheme="minorBidi"/>
                <w:sz w:val="22"/>
                <w:szCs w:val="22"/>
              </w:rPr>
              <w:t xml:space="preserve">in Indonesia. </w:t>
            </w:r>
          </w:p>
          <w:p w14:paraId="303BB582" w14:textId="193C72FA" w:rsidR="1A804D4B" w:rsidRDefault="1A804D4B" w:rsidP="5AB46587">
            <w:pPr>
              <w:spacing w:before="120" w:after="120"/>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Key stakeholder comment:</w:t>
            </w:r>
            <w:r w:rsidRPr="5AB46587">
              <w:rPr>
                <w:rFonts w:asciiTheme="minorHAnsi" w:eastAsiaTheme="minorEastAsia" w:hAnsiTheme="minorHAnsi" w:cstheme="minorBidi"/>
                <w:i/>
                <w:iCs/>
                <w:sz w:val="20"/>
                <w:szCs w:val="20"/>
              </w:rPr>
              <w:t xml:space="preserve"> </w:t>
            </w:r>
            <w:r w:rsidR="1FF912C6" w:rsidRPr="5AB46587">
              <w:rPr>
                <w:rFonts w:asciiTheme="minorHAnsi" w:eastAsiaTheme="minorEastAsia" w:hAnsiTheme="minorHAnsi" w:cstheme="minorBidi"/>
                <w:i/>
                <w:iCs/>
                <w:sz w:val="20"/>
                <w:szCs w:val="20"/>
              </w:rPr>
              <w:t xml:space="preserve">“The FKP … in Indonesia is a forum that … </w:t>
            </w:r>
            <w:proofErr w:type="gramStart"/>
            <w:r w:rsidR="1FF912C6" w:rsidRPr="5AB46587">
              <w:rPr>
                <w:rFonts w:asciiTheme="minorHAnsi" w:eastAsiaTheme="minorEastAsia" w:hAnsiTheme="minorHAnsi" w:cstheme="minorBidi"/>
                <w:i/>
                <w:iCs/>
                <w:sz w:val="20"/>
                <w:szCs w:val="20"/>
              </w:rPr>
              <w:t>actually connects</w:t>
            </w:r>
            <w:proofErr w:type="gramEnd"/>
            <w:r w:rsidR="1FF912C6" w:rsidRPr="5AB46587">
              <w:rPr>
                <w:rFonts w:asciiTheme="minorHAnsi" w:eastAsiaTheme="minorEastAsia" w:hAnsiTheme="minorHAnsi" w:cstheme="minorBidi"/>
                <w:i/>
                <w:iCs/>
                <w:sz w:val="20"/>
                <w:szCs w:val="20"/>
              </w:rPr>
              <w:t xml:space="preserve"> all institutions, universities … in Papua, Sumatra, research centres in other provinces, Bank Indonesia, Statistics Indonesia, Ministry of Finance. We </w:t>
            </w:r>
            <w:r w:rsidR="2B906724" w:rsidRPr="5AB46587">
              <w:rPr>
                <w:rFonts w:asciiTheme="minorHAnsi" w:eastAsiaTheme="minorEastAsia" w:hAnsiTheme="minorHAnsi" w:cstheme="minorBidi"/>
                <w:i/>
                <w:iCs/>
                <w:sz w:val="20"/>
                <w:szCs w:val="20"/>
              </w:rPr>
              <w:t>…</w:t>
            </w:r>
            <w:r w:rsidR="1FF912C6" w:rsidRPr="5AB46587">
              <w:rPr>
                <w:rFonts w:asciiTheme="minorHAnsi" w:eastAsiaTheme="minorEastAsia" w:hAnsiTheme="minorHAnsi" w:cstheme="minorBidi"/>
                <w:i/>
                <w:iCs/>
                <w:sz w:val="20"/>
                <w:szCs w:val="20"/>
              </w:rPr>
              <w:t xml:space="preserve"> discuss policy, we discuss findings … we discuss research. And … this one is initiated by the Indonesia Project, and it's really shaped … policy in Indonesia.” </w:t>
            </w:r>
          </w:p>
          <w:p w14:paraId="7BFEE669" w14:textId="121A5536" w:rsidR="7282B20A" w:rsidRDefault="7282B20A" w:rsidP="5AB46587">
            <w:pPr>
              <w:spacing w:before="120" w:after="120"/>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Alumni comment: </w:t>
            </w:r>
            <w:r w:rsidR="377EFA7E" w:rsidRPr="5AB46587">
              <w:rPr>
                <w:rFonts w:asciiTheme="minorHAnsi" w:eastAsiaTheme="minorEastAsia" w:hAnsiTheme="minorHAnsi" w:cstheme="minorBidi"/>
                <w:i/>
                <w:iCs/>
                <w:sz w:val="20"/>
                <w:szCs w:val="20"/>
              </w:rPr>
              <w:t>"The most significant things is</w:t>
            </w:r>
            <w:r w:rsidR="232B9F99" w:rsidRPr="5AB46587">
              <w:rPr>
                <w:rFonts w:asciiTheme="minorHAnsi" w:eastAsiaTheme="minorEastAsia" w:hAnsiTheme="minorHAnsi" w:cstheme="minorBidi"/>
                <w:i/>
                <w:iCs/>
                <w:sz w:val="20"/>
                <w:szCs w:val="20"/>
              </w:rPr>
              <w:t xml:space="preserve"> … </w:t>
            </w:r>
            <w:r w:rsidR="377EFA7E" w:rsidRPr="5AB46587">
              <w:rPr>
                <w:rFonts w:asciiTheme="minorHAnsi" w:eastAsiaTheme="minorEastAsia" w:hAnsiTheme="minorHAnsi" w:cstheme="minorBidi"/>
                <w:i/>
                <w:iCs/>
                <w:sz w:val="20"/>
                <w:szCs w:val="20"/>
              </w:rPr>
              <w:t>the network</w:t>
            </w:r>
            <w:r w:rsidR="232B9F99" w:rsidRPr="5AB46587">
              <w:rPr>
                <w:rFonts w:asciiTheme="minorHAnsi" w:eastAsiaTheme="minorEastAsia" w:hAnsiTheme="minorHAnsi" w:cstheme="minorBidi"/>
                <w:i/>
                <w:iCs/>
                <w:sz w:val="20"/>
                <w:szCs w:val="20"/>
              </w:rPr>
              <w:t xml:space="preserve"> … </w:t>
            </w:r>
            <w:r w:rsidR="377EFA7E" w:rsidRPr="5AB46587">
              <w:rPr>
                <w:rFonts w:asciiTheme="minorHAnsi" w:eastAsiaTheme="minorEastAsia" w:hAnsiTheme="minorHAnsi" w:cstheme="minorBidi"/>
                <w:i/>
                <w:iCs/>
                <w:sz w:val="20"/>
                <w:szCs w:val="20"/>
              </w:rPr>
              <w:t>because I'm also</w:t>
            </w:r>
            <w:r w:rsidR="232B9F99" w:rsidRPr="5AB46587">
              <w:rPr>
                <w:rFonts w:asciiTheme="minorHAnsi" w:eastAsiaTheme="minorEastAsia" w:hAnsiTheme="minorHAnsi" w:cstheme="minorBidi"/>
                <w:i/>
                <w:iCs/>
                <w:sz w:val="20"/>
                <w:szCs w:val="20"/>
              </w:rPr>
              <w:t xml:space="preserve"> a</w:t>
            </w:r>
            <w:r w:rsidR="377EFA7E" w:rsidRPr="5AB46587">
              <w:rPr>
                <w:rFonts w:asciiTheme="minorHAnsi" w:eastAsiaTheme="minorEastAsia" w:hAnsiTheme="minorHAnsi" w:cstheme="minorBidi"/>
                <w:i/>
                <w:iCs/>
                <w:sz w:val="20"/>
                <w:szCs w:val="20"/>
              </w:rPr>
              <w:t xml:space="preserve"> policy maker </w:t>
            </w:r>
            <w:r w:rsidR="232B9F99" w:rsidRPr="5AB46587">
              <w:rPr>
                <w:rFonts w:asciiTheme="minorHAnsi" w:eastAsiaTheme="minorEastAsia" w:hAnsiTheme="minorHAnsi" w:cstheme="minorBidi"/>
                <w:i/>
                <w:iCs/>
                <w:sz w:val="20"/>
                <w:szCs w:val="20"/>
              </w:rPr>
              <w:t xml:space="preserve">in </w:t>
            </w:r>
            <w:r w:rsidR="377EFA7E" w:rsidRPr="5AB46587">
              <w:rPr>
                <w:rFonts w:asciiTheme="minorHAnsi" w:eastAsiaTheme="minorEastAsia" w:hAnsiTheme="minorHAnsi" w:cstheme="minorBidi"/>
                <w:i/>
                <w:iCs/>
                <w:sz w:val="20"/>
                <w:szCs w:val="20"/>
              </w:rPr>
              <w:t>Indonesia, and there are also many alumni like me in Indonesia, as policymakers and in other institutions</w:t>
            </w:r>
            <w:r w:rsidR="2B906724" w:rsidRPr="5AB46587">
              <w:rPr>
                <w:rFonts w:asciiTheme="minorHAnsi" w:eastAsiaTheme="minorEastAsia" w:hAnsiTheme="minorHAnsi" w:cstheme="minorBidi"/>
                <w:i/>
                <w:iCs/>
                <w:sz w:val="20"/>
                <w:szCs w:val="20"/>
              </w:rPr>
              <w:t>…</w:t>
            </w:r>
            <w:r w:rsidR="377EFA7E" w:rsidRPr="5AB46587">
              <w:rPr>
                <w:rFonts w:asciiTheme="minorHAnsi" w:eastAsiaTheme="minorEastAsia" w:hAnsiTheme="minorHAnsi" w:cstheme="minorBidi"/>
                <w:i/>
                <w:iCs/>
                <w:sz w:val="20"/>
                <w:szCs w:val="20"/>
              </w:rPr>
              <w:t xml:space="preserve"> </w:t>
            </w:r>
            <w:r w:rsidR="232B9F99" w:rsidRPr="5AB46587">
              <w:rPr>
                <w:rFonts w:asciiTheme="minorHAnsi" w:eastAsiaTheme="minorEastAsia" w:hAnsiTheme="minorHAnsi" w:cstheme="minorBidi"/>
                <w:i/>
                <w:iCs/>
                <w:sz w:val="20"/>
                <w:szCs w:val="20"/>
              </w:rPr>
              <w:t>A</w:t>
            </w:r>
            <w:r w:rsidR="377EFA7E" w:rsidRPr="5AB46587">
              <w:rPr>
                <w:rFonts w:asciiTheme="minorHAnsi" w:eastAsiaTheme="minorEastAsia" w:hAnsiTheme="minorHAnsi" w:cstheme="minorBidi"/>
                <w:i/>
                <w:iCs/>
                <w:sz w:val="20"/>
                <w:szCs w:val="20"/>
              </w:rPr>
              <w:t>nd we can communicate better</w:t>
            </w:r>
            <w:r w:rsidR="232B9F99" w:rsidRPr="5AB46587">
              <w:rPr>
                <w:rFonts w:asciiTheme="minorHAnsi" w:eastAsiaTheme="minorEastAsia" w:hAnsiTheme="minorHAnsi" w:cstheme="minorBidi"/>
                <w:i/>
                <w:iCs/>
                <w:sz w:val="20"/>
                <w:szCs w:val="20"/>
              </w:rPr>
              <w:t xml:space="preserve"> … </w:t>
            </w:r>
            <w:r w:rsidR="377EFA7E" w:rsidRPr="5AB46587">
              <w:rPr>
                <w:rFonts w:asciiTheme="minorHAnsi" w:eastAsiaTheme="minorEastAsia" w:hAnsiTheme="minorHAnsi" w:cstheme="minorBidi"/>
                <w:i/>
                <w:iCs/>
                <w:sz w:val="20"/>
                <w:szCs w:val="20"/>
              </w:rPr>
              <w:t>when making</w:t>
            </w:r>
            <w:r w:rsidR="232B9F99" w:rsidRPr="5AB46587">
              <w:rPr>
                <w:rFonts w:asciiTheme="minorHAnsi" w:eastAsiaTheme="minorEastAsia" w:hAnsiTheme="minorHAnsi" w:cstheme="minorBidi"/>
                <w:i/>
                <w:iCs/>
                <w:sz w:val="20"/>
                <w:szCs w:val="20"/>
              </w:rPr>
              <w:t xml:space="preserve"> </w:t>
            </w:r>
            <w:r w:rsidR="377EFA7E" w:rsidRPr="5AB46587">
              <w:rPr>
                <w:rFonts w:asciiTheme="minorHAnsi" w:eastAsiaTheme="minorEastAsia" w:hAnsiTheme="minorHAnsi" w:cstheme="minorBidi"/>
                <w:i/>
                <w:iCs/>
                <w:sz w:val="20"/>
                <w:szCs w:val="20"/>
              </w:rPr>
              <w:t>policy in Indonesia</w:t>
            </w:r>
            <w:r w:rsidR="232B9F99" w:rsidRPr="5AB46587">
              <w:rPr>
                <w:rFonts w:asciiTheme="minorHAnsi" w:eastAsiaTheme="minorEastAsia" w:hAnsiTheme="minorHAnsi" w:cstheme="minorBidi"/>
                <w:i/>
                <w:iCs/>
                <w:sz w:val="20"/>
                <w:szCs w:val="20"/>
              </w:rPr>
              <w:t>. W</w:t>
            </w:r>
            <w:r w:rsidR="377EFA7E" w:rsidRPr="5AB46587">
              <w:rPr>
                <w:rFonts w:asciiTheme="minorHAnsi" w:eastAsiaTheme="minorEastAsia" w:hAnsiTheme="minorHAnsi" w:cstheme="minorBidi"/>
                <w:i/>
                <w:iCs/>
                <w:sz w:val="20"/>
                <w:szCs w:val="20"/>
              </w:rPr>
              <w:t xml:space="preserve">e have same language, understanding, so even though maybe we don't always agree with each other, I think we can communicate better." </w:t>
            </w:r>
          </w:p>
        </w:tc>
      </w:tr>
    </w:tbl>
    <w:p w14:paraId="5118AE07" w14:textId="7D1C714F" w:rsidR="00F72302" w:rsidRDefault="00F72302" w:rsidP="5AB46587">
      <w:pPr>
        <w:rPr>
          <w:rFonts w:asciiTheme="minorHAnsi" w:eastAsiaTheme="minorEastAsia" w:hAnsiTheme="minorHAnsi" w:cstheme="minorBidi"/>
          <w:b/>
          <w:bCs/>
          <w:sz w:val="22"/>
          <w:szCs w:val="22"/>
          <w:lang w:val="en-GB"/>
        </w:rPr>
      </w:pPr>
    </w:p>
    <w:p w14:paraId="45CE2043" w14:textId="6F0D8A9B" w:rsidR="007322F8" w:rsidRPr="00764147" w:rsidRDefault="4C2730EC" w:rsidP="00764147">
      <w:pPr>
        <w:pStyle w:val="Heading3"/>
      </w:pPr>
      <w:r w:rsidRPr="00764147">
        <w:lastRenderedPageBreak/>
        <w:t>2.1.2</w:t>
      </w:r>
      <w:r w:rsidR="007322F8" w:rsidRPr="00764147">
        <w:tab/>
      </w:r>
      <w:r w:rsidR="76CC745F" w:rsidRPr="00764147">
        <w:t xml:space="preserve">EOPO 2: </w:t>
      </w:r>
      <w:r w:rsidR="1F9F9061" w:rsidRPr="00764147">
        <w:t>Capacity building of Indonesian and Australian researchers</w:t>
      </w:r>
    </w:p>
    <w:tbl>
      <w:tblPr>
        <w:tblStyle w:val="TableGrid"/>
        <w:tblW w:w="934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345"/>
      </w:tblGrid>
      <w:tr w:rsidR="007322F8" w:rsidRPr="00E168C4" w14:paraId="277CAFD8" w14:textId="77777777" w:rsidTr="5AB46587">
        <w:trPr>
          <w:trHeight w:val="300"/>
        </w:trPr>
        <w:tc>
          <w:tcPr>
            <w:tcW w:w="9345" w:type="dxa"/>
          </w:tcPr>
          <w:p w14:paraId="1C9DEDE0" w14:textId="413D9C86" w:rsidR="007322F8" w:rsidRPr="00764147" w:rsidRDefault="4C2730EC" w:rsidP="00764147">
            <w:pPr>
              <w:pStyle w:val="Heading4"/>
            </w:pPr>
            <w:r w:rsidRPr="00764147">
              <w:t>Supporting the capacity of generations of researchers</w:t>
            </w:r>
          </w:p>
          <w:p w14:paraId="57A5809C" w14:textId="12FE084F" w:rsidR="007322F8" w:rsidRDefault="4C2730EC" w:rsidP="5AB46587">
            <w:pPr>
              <w:spacing w:before="100" w:beforeAutospacing="1"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Indonesia Project continues to expand and nurture a cohort of “</w:t>
            </w:r>
            <w:proofErr w:type="spellStart"/>
            <w:r w:rsidRPr="5AB46587">
              <w:rPr>
                <w:rFonts w:asciiTheme="minorHAnsi" w:eastAsiaTheme="minorEastAsia" w:hAnsiTheme="minorHAnsi" w:cstheme="minorBidi"/>
                <w:sz w:val="22"/>
                <w:szCs w:val="22"/>
              </w:rPr>
              <w:t>Indonesianist</w:t>
            </w:r>
            <w:proofErr w:type="spellEnd"/>
            <w:r w:rsidRPr="5AB46587">
              <w:rPr>
                <w:rFonts w:asciiTheme="minorHAnsi" w:eastAsiaTheme="minorEastAsia" w:hAnsiTheme="minorHAnsi" w:cstheme="minorBidi"/>
                <w:sz w:val="22"/>
                <w:szCs w:val="22"/>
              </w:rPr>
              <w:t>” researchers from Australia</w:t>
            </w:r>
            <w:r w:rsidR="58011F16" w:rsidRPr="5AB46587">
              <w:rPr>
                <w:rFonts w:asciiTheme="minorHAnsi" w:eastAsiaTheme="minorEastAsia" w:hAnsiTheme="minorHAnsi" w:cstheme="minorBidi"/>
                <w:sz w:val="22"/>
                <w:szCs w:val="22"/>
              </w:rPr>
              <w:t xml:space="preserve"> and</w:t>
            </w:r>
            <w:r w:rsidRPr="5AB46587">
              <w:rPr>
                <w:rFonts w:asciiTheme="minorHAnsi" w:eastAsiaTheme="minorEastAsia" w:hAnsiTheme="minorHAnsi" w:cstheme="minorBidi"/>
                <w:sz w:val="22"/>
                <w:szCs w:val="22"/>
              </w:rPr>
              <w:t xml:space="preserve"> Indonesia. During Phase V of the Project, 69 PhD and </w:t>
            </w:r>
            <w:proofErr w:type="gramStart"/>
            <w:r w:rsidRPr="5AB46587">
              <w:rPr>
                <w:rFonts w:asciiTheme="minorHAnsi" w:eastAsiaTheme="minorEastAsia" w:hAnsiTheme="minorHAnsi" w:cstheme="minorBidi"/>
                <w:sz w:val="22"/>
                <w:szCs w:val="22"/>
              </w:rPr>
              <w:t>Masters</w:t>
            </w:r>
            <w:proofErr w:type="gramEnd"/>
            <w:r w:rsidRPr="5AB46587">
              <w:rPr>
                <w:rFonts w:asciiTheme="minorHAnsi" w:eastAsiaTheme="minorEastAsia" w:hAnsiTheme="minorHAnsi" w:cstheme="minorBidi"/>
                <w:sz w:val="22"/>
                <w:szCs w:val="22"/>
              </w:rPr>
              <w:t xml:space="preserve"> students were supervised by Indonesia Project academics, and grants and fellowships were awarded to 28 researchers. In total 22 Australian and 61 Indonesian early-career researchers were supported (see Table 3 and Table 4). This builds on six decades of effort developing the capacity of multiple generations of Indonesian and Australian researchers to the benefit of both countries. This finding was supported by key stakeholders with nine of the 21 </w:t>
            </w:r>
            <w:r w:rsidR="07845B57" w:rsidRPr="5AB46587">
              <w:rPr>
                <w:rFonts w:asciiTheme="minorHAnsi" w:eastAsiaTheme="minorEastAsia" w:hAnsiTheme="minorHAnsi" w:cstheme="minorBidi"/>
                <w:sz w:val="22"/>
                <w:szCs w:val="22"/>
              </w:rPr>
              <w:t>consulted</w:t>
            </w:r>
            <w:r w:rsidRPr="5AB46587">
              <w:rPr>
                <w:rFonts w:asciiTheme="minorHAnsi" w:eastAsiaTheme="minorEastAsia" w:hAnsiTheme="minorHAnsi" w:cstheme="minorBidi"/>
                <w:sz w:val="22"/>
                <w:szCs w:val="22"/>
              </w:rPr>
              <w:t xml:space="preserve"> identifying increased capacity of “</w:t>
            </w:r>
            <w:proofErr w:type="spellStart"/>
            <w:r w:rsidRPr="5AB46587">
              <w:rPr>
                <w:rFonts w:asciiTheme="minorHAnsi" w:eastAsiaTheme="minorEastAsia" w:hAnsiTheme="minorHAnsi" w:cstheme="minorBidi"/>
                <w:sz w:val="22"/>
                <w:szCs w:val="22"/>
              </w:rPr>
              <w:t>Indonesianists</w:t>
            </w:r>
            <w:proofErr w:type="spellEnd"/>
            <w:r w:rsidRPr="5AB46587">
              <w:rPr>
                <w:rFonts w:asciiTheme="minorHAnsi" w:eastAsiaTheme="minorEastAsia" w:hAnsiTheme="minorHAnsi" w:cstheme="minorBidi"/>
                <w:sz w:val="22"/>
                <w:szCs w:val="22"/>
              </w:rPr>
              <w:t>” as a key outcome achieved by the Project. Indonesian alumni consulted also acknowledge</w:t>
            </w:r>
            <w:r w:rsidR="07845B57" w:rsidRPr="5AB46587">
              <w:rPr>
                <w:rFonts w:asciiTheme="minorHAnsi" w:eastAsiaTheme="minorEastAsia" w:hAnsiTheme="minorHAnsi" w:cstheme="minorBidi"/>
                <w:sz w:val="22"/>
                <w:szCs w:val="22"/>
              </w:rPr>
              <w:t>d</w:t>
            </w:r>
            <w:r w:rsidRPr="5AB46587">
              <w:rPr>
                <w:rFonts w:asciiTheme="minorHAnsi" w:eastAsiaTheme="minorEastAsia" w:hAnsiTheme="minorHAnsi" w:cstheme="minorBidi"/>
                <w:sz w:val="22"/>
                <w:szCs w:val="22"/>
              </w:rPr>
              <w:t xml:space="preserve"> the important contribution the </w:t>
            </w:r>
            <w:r w:rsidR="76CC745F" w:rsidRPr="5AB46587">
              <w:rPr>
                <w:rFonts w:asciiTheme="minorHAnsi" w:eastAsiaTheme="minorEastAsia" w:hAnsiTheme="minorHAnsi" w:cstheme="minorBidi"/>
                <w:sz w:val="22"/>
                <w:szCs w:val="22"/>
              </w:rPr>
              <w:t>P</w:t>
            </w:r>
            <w:r w:rsidRPr="5AB46587">
              <w:rPr>
                <w:rFonts w:asciiTheme="minorHAnsi" w:eastAsiaTheme="minorEastAsia" w:hAnsiTheme="minorHAnsi" w:cstheme="minorBidi"/>
                <w:sz w:val="22"/>
                <w:szCs w:val="22"/>
              </w:rPr>
              <w:t xml:space="preserve">roject has played in their research capacity and broader knowledge of Indonesia. </w:t>
            </w:r>
          </w:p>
          <w:p w14:paraId="71BB58D4" w14:textId="1584AC21" w:rsidR="007322F8" w:rsidRPr="007322F8" w:rsidRDefault="4C2730EC" w:rsidP="5AB46587">
            <w:pPr>
              <w:spacing w:before="100" w:beforeAutospacing="1" w:after="100" w:afterAutospacing="1"/>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rPr>
              <w:t xml:space="preserve">Capacity building of researchers has been undertaken not only through postgraduate research supervision and university teaching, but also through collaboration with other DFAT initiatives in Indonesia such as the </w:t>
            </w:r>
            <w:r w:rsidRPr="5AB46587">
              <w:rPr>
                <w:rFonts w:asciiTheme="minorHAnsi" w:eastAsiaTheme="minorEastAsia" w:hAnsiTheme="minorHAnsi" w:cstheme="minorBidi"/>
                <w:sz w:val="22"/>
                <w:szCs w:val="22"/>
                <w:lang w:val="en-GB"/>
              </w:rPr>
              <w:t xml:space="preserve">Australia-Indonesia Knowledge Partnership Platform, known as KONEKSI. Through this initiative the Project has contributed to capacity building of applied researchers in Eastern Indonesia through a series of training “bootcamps”. </w:t>
            </w:r>
            <w:r w:rsidR="58011F16" w:rsidRPr="5AB46587">
              <w:rPr>
                <w:rFonts w:asciiTheme="minorHAnsi" w:eastAsiaTheme="minorEastAsia" w:hAnsiTheme="minorHAnsi" w:cstheme="minorBidi"/>
                <w:sz w:val="22"/>
                <w:szCs w:val="22"/>
                <w:lang w:val="en-GB"/>
              </w:rPr>
              <w:t>This collaboration has been intentional and has enabled increased access and support to researchers beyond Java. The collaboration with KONEKSI and other DFAT initiatives is</w:t>
            </w:r>
            <w:r w:rsidRPr="5AB46587">
              <w:rPr>
                <w:rFonts w:asciiTheme="minorHAnsi" w:eastAsiaTheme="minorEastAsia" w:hAnsiTheme="minorHAnsi" w:cstheme="minorBidi"/>
                <w:sz w:val="22"/>
                <w:szCs w:val="22"/>
                <w:lang w:val="en-GB"/>
              </w:rPr>
              <w:t xml:space="preserve"> discussed further in Section 2.3. </w:t>
            </w:r>
          </w:p>
          <w:p w14:paraId="1BE41F8E" w14:textId="487DB2DB" w:rsidR="55C3F877" w:rsidRDefault="55C3F877" w:rsidP="5AB46587">
            <w:pPr>
              <w:spacing w:beforeAutospacing="1" w:afterAutospacing="1"/>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Comment from alumni:</w:t>
            </w:r>
            <w:r w:rsidRPr="5AB46587">
              <w:rPr>
                <w:rFonts w:asciiTheme="minorHAnsi" w:eastAsiaTheme="minorEastAsia" w:hAnsiTheme="minorHAnsi" w:cstheme="minorBidi"/>
                <w:i/>
                <w:iCs/>
                <w:sz w:val="20"/>
                <w:szCs w:val="20"/>
              </w:rPr>
              <w:t xml:space="preserve"> “Studying at ANU and being involved in the Indonesia Project, I just see [that is] the only place … outside of Indonesia that has so many academics working passionately on Indonesia … there is just a vast amount of knowledge there and on topics that never will be discussed in Indonesia… that just really helped me professionally… it just [helped] my understanding of my own country...”</w:t>
            </w:r>
          </w:p>
          <w:p w14:paraId="042D021E" w14:textId="0B4FF7C9" w:rsidR="55C3F877" w:rsidRDefault="55C3F877" w:rsidP="5AB46587">
            <w:pPr>
              <w:spacing w:before="120" w:after="120"/>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Comment from project partner:</w:t>
            </w:r>
            <w:r w:rsidRPr="5AB46587">
              <w:rPr>
                <w:rFonts w:asciiTheme="minorHAnsi" w:eastAsiaTheme="minorEastAsia" w:hAnsiTheme="minorHAnsi" w:cstheme="minorBidi"/>
                <w:i/>
                <w:iCs/>
                <w:sz w:val="20"/>
                <w:szCs w:val="20"/>
              </w:rPr>
              <w:t xml:space="preserve"> "I think the most useful thing we do is probably to train Indonesian students to go back and make a useful contribution to their country." </w:t>
            </w:r>
          </w:p>
          <w:p w14:paraId="25E04325" w14:textId="4DC0EFB8" w:rsidR="55C3F877" w:rsidRDefault="55C3F877" w:rsidP="5AB46587">
            <w:pPr>
              <w:spacing w:before="120" w:after="120"/>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Comment from key stakeholder: </w:t>
            </w:r>
            <w:r w:rsidR="42176237" w:rsidRPr="5AB46587">
              <w:rPr>
                <w:rFonts w:asciiTheme="minorHAnsi" w:eastAsiaTheme="minorEastAsia" w:hAnsiTheme="minorHAnsi" w:cstheme="minorBidi"/>
                <w:i/>
                <w:iCs/>
                <w:sz w:val="20"/>
                <w:szCs w:val="20"/>
              </w:rPr>
              <w:t>"</w:t>
            </w:r>
            <w:r w:rsidR="58B4F31D" w:rsidRPr="5AB46587">
              <w:rPr>
                <w:rFonts w:asciiTheme="minorHAnsi" w:eastAsiaTheme="minorEastAsia" w:hAnsiTheme="minorHAnsi" w:cstheme="minorBidi"/>
                <w:i/>
                <w:iCs/>
                <w:sz w:val="20"/>
                <w:szCs w:val="20"/>
              </w:rPr>
              <w:t>T</w:t>
            </w:r>
            <w:r w:rsidR="42176237" w:rsidRPr="5AB46587">
              <w:rPr>
                <w:rFonts w:asciiTheme="minorHAnsi" w:eastAsiaTheme="minorEastAsia" w:hAnsiTheme="minorHAnsi" w:cstheme="minorBidi"/>
                <w:i/>
                <w:iCs/>
                <w:sz w:val="20"/>
                <w:szCs w:val="20"/>
              </w:rPr>
              <w:t>here's a range of work they do on</w:t>
            </w:r>
            <w:r w:rsidR="58B4F31D" w:rsidRPr="5AB46587">
              <w:rPr>
                <w:rFonts w:asciiTheme="minorHAnsi" w:eastAsiaTheme="minorEastAsia" w:hAnsiTheme="minorHAnsi" w:cstheme="minorBidi"/>
                <w:i/>
                <w:iCs/>
                <w:sz w:val="20"/>
                <w:szCs w:val="20"/>
              </w:rPr>
              <w:t xml:space="preserve"> the </w:t>
            </w:r>
            <w:r w:rsidR="42176237" w:rsidRPr="5AB46587">
              <w:rPr>
                <w:rFonts w:asciiTheme="minorHAnsi" w:eastAsiaTheme="minorEastAsia" w:hAnsiTheme="minorHAnsi" w:cstheme="minorBidi"/>
                <w:i/>
                <w:iCs/>
                <w:sz w:val="20"/>
                <w:szCs w:val="20"/>
              </w:rPr>
              <w:t xml:space="preserve">next generation </w:t>
            </w:r>
            <w:r w:rsidR="58B4F31D" w:rsidRPr="5AB46587">
              <w:rPr>
                <w:rFonts w:asciiTheme="minorHAnsi" w:eastAsiaTheme="minorEastAsia" w:hAnsiTheme="minorHAnsi" w:cstheme="minorBidi"/>
                <w:i/>
                <w:iCs/>
                <w:sz w:val="20"/>
                <w:szCs w:val="20"/>
              </w:rPr>
              <w:t xml:space="preserve">of </w:t>
            </w:r>
            <w:r w:rsidR="42176237" w:rsidRPr="5AB46587">
              <w:rPr>
                <w:rFonts w:asciiTheme="minorHAnsi" w:eastAsiaTheme="minorEastAsia" w:hAnsiTheme="minorHAnsi" w:cstheme="minorBidi"/>
                <w:i/>
                <w:iCs/>
                <w:sz w:val="20"/>
                <w:szCs w:val="20"/>
              </w:rPr>
              <w:t xml:space="preserve">scholars and </w:t>
            </w:r>
            <w:r w:rsidR="58B4F31D" w:rsidRPr="5AB46587">
              <w:rPr>
                <w:rFonts w:asciiTheme="minorHAnsi" w:eastAsiaTheme="minorEastAsia" w:hAnsiTheme="minorHAnsi" w:cstheme="minorBidi"/>
                <w:i/>
                <w:iCs/>
                <w:sz w:val="20"/>
                <w:szCs w:val="20"/>
              </w:rPr>
              <w:t>…</w:t>
            </w:r>
            <w:r w:rsidR="42176237" w:rsidRPr="5AB46587">
              <w:rPr>
                <w:rFonts w:asciiTheme="minorHAnsi" w:eastAsiaTheme="minorEastAsia" w:hAnsiTheme="minorHAnsi" w:cstheme="minorBidi"/>
                <w:i/>
                <w:iCs/>
                <w:sz w:val="20"/>
                <w:szCs w:val="20"/>
              </w:rPr>
              <w:t xml:space="preserve"> that is important, because this is a long</w:t>
            </w:r>
            <w:r w:rsidR="58B4F31D" w:rsidRPr="5AB46587">
              <w:rPr>
                <w:rFonts w:asciiTheme="minorHAnsi" w:eastAsiaTheme="minorEastAsia" w:hAnsiTheme="minorHAnsi" w:cstheme="minorBidi"/>
                <w:i/>
                <w:iCs/>
                <w:sz w:val="20"/>
                <w:szCs w:val="20"/>
              </w:rPr>
              <w:t>-</w:t>
            </w:r>
            <w:r w:rsidR="42176237" w:rsidRPr="5AB46587">
              <w:rPr>
                <w:rFonts w:asciiTheme="minorHAnsi" w:eastAsiaTheme="minorEastAsia" w:hAnsiTheme="minorHAnsi" w:cstheme="minorBidi"/>
                <w:i/>
                <w:iCs/>
                <w:sz w:val="20"/>
                <w:szCs w:val="20"/>
              </w:rPr>
              <w:t>term endeavo</w:t>
            </w:r>
            <w:r w:rsidR="7F8BF66D" w:rsidRPr="5AB46587">
              <w:rPr>
                <w:rFonts w:asciiTheme="minorHAnsi" w:eastAsiaTheme="minorEastAsia" w:hAnsiTheme="minorHAnsi" w:cstheme="minorBidi"/>
                <w:i/>
                <w:iCs/>
                <w:sz w:val="20"/>
                <w:szCs w:val="20"/>
              </w:rPr>
              <w:t>u</w:t>
            </w:r>
            <w:r w:rsidR="42176237" w:rsidRPr="5AB46587">
              <w:rPr>
                <w:rFonts w:asciiTheme="minorHAnsi" w:eastAsiaTheme="minorEastAsia" w:hAnsiTheme="minorHAnsi" w:cstheme="minorBidi"/>
                <w:i/>
                <w:iCs/>
                <w:sz w:val="20"/>
                <w:szCs w:val="20"/>
              </w:rPr>
              <w:t>r</w:t>
            </w:r>
            <w:r w:rsidR="58B4F31D" w:rsidRPr="5AB46587">
              <w:rPr>
                <w:rFonts w:asciiTheme="minorHAnsi" w:eastAsiaTheme="minorEastAsia" w:hAnsiTheme="minorHAnsi" w:cstheme="minorBidi"/>
                <w:i/>
                <w:iCs/>
                <w:sz w:val="20"/>
                <w:szCs w:val="20"/>
              </w:rPr>
              <w:t xml:space="preserve">.” </w:t>
            </w:r>
          </w:p>
        </w:tc>
      </w:tr>
    </w:tbl>
    <w:p w14:paraId="1424215D" w14:textId="2A81A97E" w:rsidR="007322F8" w:rsidRPr="0067727B" w:rsidRDefault="4C2730EC" w:rsidP="00764147">
      <w:pPr>
        <w:pStyle w:val="Heading4"/>
        <w:rPr>
          <w:lang w:val="en-GB"/>
        </w:rPr>
      </w:pPr>
      <w:r w:rsidRPr="5AB46587">
        <w:rPr>
          <w:lang w:val="en-GB"/>
        </w:rPr>
        <w:t xml:space="preserve">Table 3: Number and research focus of PhD and </w:t>
      </w:r>
      <w:proofErr w:type="gramStart"/>
      <w:r w:rsidRPr="5AB46587">
        <w:rPr>
          <w:lang w:val="en-GB"/>
        </w:rPr>
        <w:t>Masters</w:t>
      </w:r>
      <w:proofErr w:type="gramEnd"/>
      <w:r w:rsidRPr="5AB46587">
        <w:rPr>
          <w:lang w:val="en-GB"/>
        </w:rPr>
        <w:t xml:space="preserve"> students supervised* </w:t>
      </w:r>
    </w:p>
    <w:tbl>
      <w:tblPr>
        <w:tblStyle w:val="TableGrid"/>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98"/>
        <w:gridCol w:w="812"/>
        <w:gridCol w:w="760"/>
        <w:gridCol w:w="862"/>
        <w:gridCol w:w="977"/>
        <w:gridCol w:w="997"/>
        <w:gridCol w:w="912"/>
        <w:gridCol w:w="187"/>
        <w:gridCol w:w="968"/>
        <w:gridCol w:w="1043"/>
      </w:tblGrid>
      <w:tr w:rsidR="0023673B" w:rsidRPr="00200E93" w14:paraId="100BBFF3" w14:textId="281AE659" w:rsidTr="005271F7">
        <w:trPr>
          <w:tblHeader/>
        </w:trPr>
        <w:tc>
          <w:tcPr>
            <w:tcW w:w="1517" w:type="dxa"/>
            <w:shd w:val="clear" w:color="auto" w:fill="B4C6E7" w:themeFill="accent1" w:themeFillTint="66"/>
          </w:tcPr>
          <w:p w14:paraId="4920AEA6" w14:textId="77777777" w:rsidR="00FA5B8C" w:rsidRPr="00AF535F" w:rsidRDefault="64D17480" w:rsidP="5AB46587">
            <w:pP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Supervisions</w:t>
            </w:r>
          </w:p>
        </w:tc>
        <w:tc>
          <w:tcPr>
            <w:tcW w:w="825" w:type="dxa"/>
            <w:shd w:val="clear" w:color="auto" w:fill="B4C6E7" w:themeFill="accent1" w:themeFillTint="66"/>
          </w:tcPr>
          <w:p w14:paraId="05D8E32F"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 xml:space="preserve">Total </w:t>
            </w:r>
          </w:p>
        </w:tc>
        <w:tc>
          <w:tcPr>
            <w:tcW w:w="745" w:type="dxa"/>
            <w:shd w:val="clear" w:color="auto" w:fill="B4C6E7" w:themeFill="accent1" w:themeFillTint="66"/>
          </w:tcPr>
          <w:p w14:paraId="6C90437C"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 xml:space="preserve">Female </w:t>
            </w:r>
          </w:p>
        </w:tc>
        <w:tc>
          <w:tcPr>
            <w:tcW w:w="877" w:type="dxa"/>
            <w:tcBorders>
              <w:right w:val="nil"/>
            </w:tcBorders>
            <w:shd w:val="clear" w:color="auto" w:fill="B4C6E7" w:themeFill="accent1" w:themeFillTint="66"/>
          </w:tcPr>
          <w:p w14:paraId="7579DBD6"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 xml:space="preserve">Male </w:t>
            </w:r>
          </w:p>
        </w:tc>
        <w:tc>
          <w:tcPr>
            <w:tcW w:w="993" w:type="dxa"/>
            <w:tcBorders>
              <w:top w:val="nil"/>
              <w:left w:val="nil"/>
              <w:bottom w:val="nil"/>
              <w:right w:val="nil"/>
            </w:tcBorders>
            <w:shd w:val="clear" w:color="auto" w:fill="B4C6E7" w:themeFill="accent1" w:themeFillTint="66"/>
          </w:tcPr>
          <w:p w14:paraId="5EF3A13E" w14:textId="22563D7E"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GESI theme</w:t>
            </w:r>
          </w:p>
        </w:tc>
        <w:tc>
          <w:tcPr>
            <w:tcW w:w="1009" w:type="dxa"/>
            <w:tcBorders>
              <w:top w:val="nil"/>
              <w:left w:val="nil"/>
              <w:bottom w:val="nil"/>
              <w:right w:val="nil"/>
            </w:tcBorders>
            <w:shd w:val="clear" w:color="auto" w:fill="B4C6E7" w:themeFill="accent1" w:themeFillTint="66"/>
          </w:tcPr>
          <w:p w14:paraId="437DB525"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Climate theme</w:t>
            </w:r>
          </w:p>
        </w:tc>
        <w:tc>
          <w:tcPr>
            <w:tcW w:w="872" w:type="dxa"/>
            <w:tcBorders>
              <w:left w:val="nil"/>
            </w:tcBorders>
            <w:shd w:val="clear" w:color="auto" w:fill="B4C6E7" w:themeFill="accent1" w:themeFillTint="66"/>
          </w:tcPr>
          <w:p w14:paraId="3D07CC46"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 xml:space="preserve">Disability </w:t>
            </w:r>
          </w:p>
          <w:p w14:paraId="489B1C51" w14:textId="24C445E8"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theme</w:t>
            </w:r>
          </w:p>
        </w:tc>
        <w:tc>
          <w:tcPr>
            <w:tcW w:w="1166" w:type="dxa"/>
            <w:gridSpan w:val="2"/>
            <w:shd w:val="clear" w:color="auto" w:fill="B4C6E7" w:themeFill="accent1" w:themeFillTint="66"/>
          </w:tcPr>
          <w:p w14:paraId="019A1B08" w14:textId="426672FC"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Australian</w:t>
            </w:r>
          </w:p>
        </w:tc>
        <w:tc>
          <w:tcPr>
            <w:tcW w:w="1012" w:type="dxa"/>
            <w:shd w:val="clear" w:color="auto" w:fill="B4C6E7" w:themeFill="accent1" w:themeFillTint="66"/>
          </w:tcPr>
          <w:p w14:paraId="2B039FAD" w14:textId="6F55FD45"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Indonesian</w:t>
            </w:r>
          </w:p>
        </w:tc>
      </w:tr>
      <w:tr w:rsidR="0023673B" w:rsidRPr="00200E93" w14:paraId="1CE37893" w14:textId="4511844B" w:rsidTr="005271F7">
        <w:tc>
          <w:tcPr>
            <w:tcW w:w="1517" w:type="dxa"/>
          </w:tcPr>
          <w:p w14:paraId="2DCF900B" w14:textId="77777777" w:rsidR="00FA5B8C" w:rsidRPr="0071628F" w:rsidRDefault="64D17480"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 xml:space="preserve">PhD and </w:t>
            </w:r>
            <w:proofErr w:type="gramStart"/>
            <w:r w:rsidRPr="5AB46587">
              <w:rPr>
                <w:rFonts w:asciiTheme="minorHAnsi" w:eastAsiaTheme="minorEastAsia" w:hAnsiTheme="minorHAnsi" w:cstheme="minorBidi"/>
                <w:sz w:val="18"/>
                <w:szCs w:val="18"/>
              </w:rPr>
              <w:t>Masters</w:t>
            </w:r>
            <w:proofErr w:type="gramEnd"/>
            <w:r w:rsidRPr="5AB46587">
              <w:rPr>
                <w:rFonts w:asciiTheme="minorHAnsi" w:eastAsiaTheme="minorEastAsia" w:hAnsiTheme="minorHAnsi" w:cstheme="minorBidi"/>
                <w:sz w:val="18"/>
                <w:szCs w:val="18"/>
              </w:rPr>
              <w:t xml:space="preserve"> students</w:t>
            </w:r>
          </w:p>
        </w:tc>
        <w:tc>
          <w:tcPr>
            <w:tcW w:w="825" w:type="dxa"/>
          </w:tcPr>
          <w:p w14:paraId="0ED5AEE8"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69</w:t>
            </w:r>
          </w:p>
        </w:tc>
        <w:tc>
          <w:tcPr>
            <w:tcW w:w="745" w:type="dxa"/>
          </w:tcPr>
          <w:p w14:paraId="36A3BF41"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31</w:t>
            </w:r>
          </w:p>
        </w:tc>
        <w:tc>
          <w:tcPr>
            <w:tcW w:w="877" w:type="dxa"/>
          </w:tcPr>
          <w:p w14:paraId="42ECEEF3"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38</w:t>
            </w:r>
          </w:p>
        </w:tc>
        <w:tc>
          <w:tcPr>
            <w:tcW w:w="993" w:type="dxa"/>
            <w:tcBorders>
              <w:top w:val="nil"/>
            </w:tcBorders>
          </w:tcPr>
          <w:p w14:paraId="1697C9A1"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22</w:t>
            </w:r>
          </w:p>
        </w:tc>
        <w:tc>
          <w:tcPr>
            <w:tcW w:w="1009" w:type="dxa"/>
            <w:tcBorders>
              <w:top w:val="nil"/>
            </w:tcBorders>
          </w:tcPr>
          <w:p w14:paraId="581EE7CC"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4</w:t>
            </w:r>
          </w:p>
        </w:tc>
        <w:tc>
          <w:tcPr>
            <w:tcW w:w="1064" w:type="dxa"/>
            <w:gridSpan w:val="2"/>
          </w:tcPr>
          <w:p w14:paraId="34AF73CC" w14:textId="417728BC"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w:t>
            </w:r>
          </w:p>
        </w:tc>
        <w:tc>
          <w:tcPr>
            <w:tcW w:w="974" w:type="dxa"/>
          </w:tcPr>
          <w:p w14:paraId="49FA2829" w14:textId="0E8F9971"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10</w:t>
            </w:r>
          </w:p>
        </w:tc>
        <w:tc>
          <w:tcPr>
            <w:tcW w:w="1012" w:type="dxa"/>
          </w:tcPr>
          <w:p w14:paraId="4C0CFFEC" w14:textId="35FE4D08" w:rsidR="00FA5B8C"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45</w:t>
            </w:r>
          </w:p>
        </w:tc>
      </w:tr>
    </w:tbl>
    <w:p w14:paraId="5D956469" w14:textId="12612C18" w:rsidR="007322F8" w:rsidRDefault="1BA33B72" w:rsidP="5AB46587">
      <w:pPr>
        <w:autoSpaceDE w:val="0"/>
        <w:autoSpaceDN w:val="0"/>
        <w:adjustRightInd w:val="0"/>
        <w:spacing w:after="120"/>
        <w:rPr>
          <w:rFonts w:asciiTheme="minorHAnsi" w:eastAsiaTheme="minorEastAsia" w:hAnsiTheme="minorHAnsi" w:cstheme="minorBidi"/>
          <w:i/>
          <w:iCs/>
          <w:sz w:val="15"/>
          <w:szCs w:val="15"/>
          <w:lang w:val="en-GB"/>
        </w:rPr>
      </w:pPr>
      <w:r w:rsidRPr="5AB46587">
        <w:rPr>
          <w:rFonts w:asciiTheme="minorHAnsi" w:eastAsiaTheme="minorEastAsia" w:hAnsiTheme="minorHAnsi" w:cstheme="minorBidi"/>
          <w:i/>
          <w:iCs/>
          <w:sz w:val="15"/>
          <w:szCs w:val="15"/>
          <w:lang w:val="en-GB"/>
        </w:rPr>
        <w:t xml:space="preserve">Note: </w:t>
      </w:r>
      <w:r w:rsidR="4C2730EC" w:rsidRPr="5AB46587">
        <w:rPr>
          <w:rFonts w:asciiTheme="minorHAnsi" w:eastAsiaTheme="minorEastAsia" w:hAnsiTheme="minorHAnsi" w:cstheme="minorBidi"/>
          <w:i/>
          <w:iCs/>
          <w:sz w:val="15"/>
          <w:szCs w:val="15"/>
          <w:lang w:val="en-GB"/>
        </w:rPr>
        <w:t xml:space="preserve">Of the total students 14 were from countries other than Australia or Indonesia, or their nationality has not been disclosed. In addition, not all students declare a research topic, and therefore alignment to DFAT themes (such as GEDSI and Climate Change) is not consistently recorded.   </w:t>
      </w:r>
    </w:p>
    <w:p w14:paraId="0F1151EF" w14:textId="62E3799F" w:rsidR="0014054C" w:rsidRPr="0067727B" w:rsidRDefault="51CD4C45" w:rsidP="00764147">
      <w:pPr>
        <w:pStyle w:val="Heading4"/>
        <w:rPr>
          <w:lang w:val="en-GB"/>
        </w:rPr>
      </w:pPr>
      <w:r w:rsidRPr="5AB46587">
        <w:rPr>
          <w:lang w:val="en-GB"/>
        </w:rPr>
        <w:t>Table 4: Number and research focus of grant/fellowship recipients</w:t>
      </w:r>
      <w:r w:rsidR="0014054C">
        <w:tab/>
      </w:r>
      <w:r w:rsidR="0014054C">
        <w:tab/>
      </w:r>
      <w:r w:rsidR="0014054C">
        <w:tab/>
      </w:r>
      <w:r w:rsidR="0014054C">
        <w:tab/>
      </w:r>
    </w:p>
    <w:tbl>
      <w:tblPr>
        <w:tblStyle w:val="TableGrid"/>
        <w:tblW w:w="90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67"/>
        <w:gridCol w:w="802"/>
        <w:gridCol w:w="867"/>
        <w:gridCol w:w="867"/>
        <w:gridCol w:w="804"/>
        <w:gridCol w:w="897"/>
        <w:gridCol w:w="962"/>
        <w:gridCol w:w="1007"/>
        <w:gridCol w:w="1043"/>
      </w:tblGrid>
      <w:tr w:rsidR="00AF535F" w:rsidRPr="00AF535F" w14:paraId="601E2AF3" w14:textId="3418E793" w:rsidTr="001F290C">
        <w:trPr>
          <w:tblHeader/>
        </w:trPr>
        <w:tc>
          <w:tcPr>
            <w:tcW w:w="1812" w:type="dxa"/>
            <w:shd w:val="clear" w:color="auto" w:fill="B4C6E7" w:themeFill="accent1" w:themeFillTint="66"/>
          </w:tcPr>
          <w:p w14:paraId="2681059B" w14:textId="77777777" w:rsidR="00FA5B8C" w:rsidRPr="00AF535F" w:rsidRDefault="64D17480" w:rsidP="5AB46587">
            <w:pP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Grant/Fellowship</w:t>
            </w:r>
          </w:p>
        </w:tc>
        <w:tc>
          <w:tcPr>
            <w:tcW w:w="806" w:type="dxa"/>
            <w:shd w:val="clear" w:color="auto" w:fill="B4C6E7" w:themeFill="accent1" w:themeFillTint="66"/>
          </w:tcPr>
          <w:p w14:paraId="3EC0E599"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Total Awards</w:t>
            </w:r>
          </w:p>
        </w:tc>
        <w:tc>
          <w:tcPr>
            <w:tcW w:w="850" w:type="dxa"/>
            <w:shd w:val="clear" w:color="auto" w:fill="B4C6E7" w:themeFill="accent1" w:themeFillTint="66"/>
          </w:tcPr>
          <w:p w14:paraId="0934F3B4"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Female grantees</w:t>
            </w:r>
          </w:p>
        </w:tc>
        <w:tc>
          <w:tcPr>
            <w:tcW w:w="850" w:type="dxa"/>
            <w:shd w:val="clear" w:color="auto" w:fill="B4C6E7" w:themeFill="accent1" w:themeFillTint="66"/>
          </w:tcPr>
          <w:p w14:paraId="4F76010E"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Male grantees</w:t>
            </w:r>
          </w:p>
        </w:tc>
        <w:tc>
          <w:tcPr>
            <w:tcW w:w="823" w:type="dxa"/>
            <w:shd w:val="clear" w:color="auto" w:fill="B4C6E7" w:themeFill="accent1" w:themeFillTint="66"/>
          </w:tcPr>
          <w:p w14:paraId="7D13468E" w14:textId="6181E11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GESI theme</w:t>
            </w:r>
          </w:p>
        </w:tc>
        <w:tc>
          <w:tcPr>
            <w:tcW w:w="917" w:type="dxa"/>
            <w:shd w:val="clear" w:color="auto" w:fill="B4C6E7" w:themeFill="accent1" w:themeFillTint="66"/>
          </w:tcPr>
          <w:p w14:paraId="6786B8EF" w14:textId="77777777"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Climate theme</w:t>
            </w:r>
          </w:p>
        </w:tc>
        <w:tc>
          <w:tcPr>
            <w:tcW w:w="971" w:type="dxa"/>
            <w:shd w:val="clear" w:color="auto" w:fill="B4C6E7" w:themeFill="accent1" w:themeFillTint="66"/>
          </w:tcPr>
          <w:p w14:paraId="367192B3" w14:textId="6FE0C662"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Disability theme</w:t>
            </w:r>
          </w:p>
        </w:tc>
        <w:tc>
          <w:tcPr>
            <w:tcW w:w="1012" w:type="dxa"/>
            <w:shd w:val="clear" w:color="auto" w:fill="B4C6E7" w:themeFill="accent1" w:themeFillTint="66"/>
          </w:tcPr>
          <w:p w14:paraId="3E15A9C1" w14:textId="2E7B8881"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Australian</w:t>
            </w:r>
          </w:p>
        </w:tc>
        <w:tc>
          <w:tcPr>
            <w:tcW w:w="975" w:type="dxa"/>
            <w:shd w:val="clear" w:color="auto" w:fill="B4C6E7" w:themeFill="accent1" w:themeFillTint="66"/>
          </w:tcPr>
          <w:p w14:paraId="3A78CCB1" w14:textId="54307B21" w:rsidR="00FA5B8C" w:rsidRPr="00AF535F" w:rsidRDefault="64D17480"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Indonesian</w:t>
            </w:r>
          </w:p>
        </w:tc>
      </w:tr>
      <w:tr w:rsidR="00FA5B8C" w:rsidRPr="00200E93" w14:paraId="3D20FC42" w14:textId="4751776B" w:rsidTr="001F290C">
        <w:tc>
          <w:tcPr>
            <w:tcW w:w="1812" w:type="dxa"/>
            <w:shd w:val="clear" w:color="auto" w:fill="FFFFFF" w:themeFill="background1"/>
          </w:tcPr>
          <w:p w14:paraId="0062A451" w14:textId="77777777" w:rsidR="00FA5B8C" w:rsidRPr="0071628F" w:rsidRDefault="64D17480"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Student Research Grants</w:t>
            </w:r>
          </w:p>
        </w:tc>
        <w:tc>
          <w:tcPr>
            <w:tcW w:w="806" w:type="dxa"/>
            <w:shd w:val="clear" w:color="auto" w:fill="FFFFFF" w:themeFill="background1"/>
          </w:tcPr>
          <w:p w14:paraId="63466A73"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10</w:t>
            </w:r>
          </w:p>
        </w:tc>
        <w:tc>
          <w:tcPr>
            <w:tcW w:w="850" w:type="dxa"/>
            <w:shd w:val="clear" w:color="auto" w:fill="FFFFFF" w:themeFill="background1"/>
          </w:tcPr>
          <w:p w14:paraId="1F6EB25F"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w:t>
            </w:r>
          </w:p>
        </w:tc>
        <w:tc>
          <w:tcPr>
            <w:tcW w:w="850" w:type="dxa"/>
            <w:shd w:val="clear" w:color="auto" w:fill="FFFFFF" w:themeFill="background1"/>
          </w:tcPr>
          <w:p w14:paraId="74BD9A49"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4</w:t>
            </w:r>
          </w:p>
        </w:tc>
        <w:tc>
          <w:tcPr>
            <w:tcW w:w="823" w:type="dxa"/>
            <w:shd w:val="clear" w:color="auto" w:fill="FFFFFF" w:themeFill="background1"/>
          </w:tcPr>
          <w:p w14:paraId="28D4D011"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w:t>
            </w:r>
          </w:p>
        </w:tc>
        <w:tc>
          <w:tcPr>
            <w:tcW w:w="917" w:type="dxa"/>
            <w:shd w:val="clear" w:color="auto" w:fill="FFFFFF" w:themeFill="background1"/>
          </w:tcPr>
          <w:p w14:paraId="073EE53C"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c>
          <w:tcPr>
            <w:tcW w:w="971" w:type="dxa"/>
            <w:shd w:val="clear" w:color="auto" w:fill="FFFFFF" w:themeFill="background1"/>
          </w:tcPr>
          <w:p w14:paraId="12ECE619" w14:textId="336A00B9"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0</w:t>
            </w:r>
          </w:p>
        </w:tc>
        <w:tc>
          <w:tcPr>
            <w:tcW w:w="1012" w:type="dxa"/>
            <w:shd w:val="clear" w:color="auto" w:fill="FFFFFF" w:themeFill="background1"/>
          </w:tcPr>
          <w:p w14:paraId="25440282" w14:textId="3E518C70"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10</w:t>
            </w:r>
          </w:p>
        </w:tc>
        <w:tc>
          <w:tcPr>
            <w:tcW w:w="975" w:type="dxa"/>
            <w:shd w:val="clear" w:color="auto" w:fill="FFFFFF" w:themeFill="background1"/>
          </w:tcPr>
          <w:p w14:paraId="1B5F2AE6" w14:textId="5985827F" w:rsidR="00FA5B8C"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0</w:t>
            </w:r>
          </w:p>
        </w:tc>
      </w:tr>
      <w:tr w:rsidR="00FA5B8C" w:rsidRPr="00200E93" w14:paraId="3B2E4CA6" w14:textId="2CFD8A07" w:rsidTr="001F290C">
        <w:tc>
          <w:tcPr>
            <w:tcW w:w="1812" w:type="dxa"/>
            <w:shd w:val="clear" w:color="auto" w:fill="FFFFFF" w:themeFill="background1"/>
          </w:tcPr>
          <w:p w14:paraId="357A514F" w14:textId="77777777" w:rsidR="00FA5B8C" w:rsidRPr="0071628F" w:rsidRDefault="64D17480"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Ruth Daroesman Grants</w:t>
            </w:r>
          </w:p>
        </w:tc>
        <w:tc>
          <w:tcPr>
            <w:tcW w:w="806" w:type="dxa"/>
            <w:shd w:val="clear" w:color="auto" w:fill="FFFFFF" w:themeFill="background1"/>
          </w:tcPr>
          <w:p w14:paraId="308E1BAB"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8</w:t>
            </w:r>
          </w:p>
        </w:tc>
        <w:tc>
          <w:tcPr>
            <w:tcW w:w="850" w:type="dxa"/>
            <w:shd w:val="clear" w:color="auto" w:fill="FFFFFF" w:themeFill="background1"/>
          </w:tcPr>
          <w:p w14:paraId="56C82C09"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w:t>
            </w:r>
          </w:p>
        </w:tc>
        <w:tc>
          <w:tcPr>
            <w:tcW w:w="850" w:type="dxa"/>
            <w:shd w:val="clear" w:color="auto" w:fill="FFFFFF" w:themeFill="background1"/>
          </w:tcPr>
          <w:p w14:paraId="584E48F5"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823" w:type="dxa"/>
            <w:shd w:val="clear" w:color="auto" w:fill="FFFFFF" w:themeFill="background1"/>
          </w:tcPr>
          <w:p w14:paraId="4E51CA3A"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c>
          <w:tcPr>
            <w:tcW w:w="917" w:type="dxa"/>
            <w:shd w:val="clear" w:color="auto" w:fill="FFFFFF" w:themeFill="background1"/>
          </w:tcPr>
          <w:p w14:paraId="32C7EA23"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971" w:type="dxa"/>
            <w:shd w:val="clear" w:color="auto" w:fill="FFFFFF" w:themeFill="background1"/>
          </w:tcPr>
          <w:p w14:paraId="3A6E1D1A" w14:textId="04AA7BE6"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w:t>
            </w:r>
          </w:p>
        </w:tc>
        <w:tc>
          <w:tcPr>
            <w:tcW w:w="1012" w:type="dxa"/>
            <w:shd w:val="clear" w:color="auto" w:fill="FFFFFF" w:themeFill="background1"/>
          </w:tcPr>
          <w:p w14:paraId="2D5F46DD" w14:textId="0C5B7C14"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975" w:type="dxa"/>
            <w:shd w:val="clear" w:color="auto" w:fill="FFFFFF" w:themeFill="background1"/>
          </w:tcPr>
          <w:p w14:paraId="15A50B88" w14:textId="2CB3C723" w:rsidR="00FA5B8C"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w:t>
            </w:r>
          </w:p>
        </w:tc>
      </w:tr>
      <w:tr w:rsidR="00FA5B8C" w:rsidRPr="00200E93" w14:paraId="5F58A3B8" w14:textId="77B823D7" w:rsidTr="001F290C">
        <w:tc>
          <w:tcPr>
            <w:tcW w:w="1812" w:type="dxa"/>
            <w:shd w:val="clear" w:color="auto" w:fill="FFFFFF" w:themeFill="background1"/>
          </w:tcPr>
          <w:p w14:paraId="7A3F5744" w14:textId="77777777" w:rsidR="00FA5B8C" w:rsidRPr="0071628F" w:rsidRDefault="64D17480"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Collaborative Research Grants</w:t>
            </w:r>
          </w:p>
        </w:tc>
        <w:tc>
          <w:tcPr>
            <w:tcW w:w="806" w:type="dxa"/>
            <w:shd w:val="clear" w:color="auto" w:fill="FFFFFF" w:themeFill="background1"/>
          </w:tcPr>
          <w:p w14:paraId="6B03B92C"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w:t>
            </w:r>
          </w:p>
        </w:tc>
        <w:tc>
          <w:tcPr>
            <w:tcW w:w="850" w:type="dxa"/>
            <w:shd w:val="clear" w:color="auto" w:fill="FFFFFF" w:themeFill="background1"/>
          </w:tcPr>
          <w:p w14:paraId="08E3B55D"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850" w:type="dxa"/>
            <w:shd w:val="clear" w:color="auto" w:fill="FFFFFF" w:themeFill="background1"/>
          </w:tcPr>
          <w:p w14:paraId="22B16550"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c>
          <w:tcPr>
            <w:tcW w:w="823" w:type="dxa"/>
            <w:shd w:val="clear" w:color="auto" w:fill="FFFFFF" w:themeFill="background1"/>
          </w:tcPr>
          <w:p w14:paraId="0A886E34"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c>
          <w:tcPr>
            <w:tcW w:w="917" w:type="dxa"/>
            <w:shd w:val="clear" w:color="auto" w:fill="FFFFFF" w:themeFill="background1"/>
          </w:tcPr>
          <w:p w14:paraId="2EF886F3"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971" w:type="dxa"/>
            <w:shd w:val="clear" w:color="auto" w:fill="FFFFFF" w:themeFill="background1"/>
          </w:tcPr>
          <w:p w14:paraId="0F5DEBC0" w14:textId="1B5FCCFF"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1012" w:type="dxa"/>
            <w:shd w:val="clear" w:color="auto" w:fill="FFFFFF" w:themeFill="background1"/>
          </w:tcPr>
          <w:p w14:paraId="2129E591" w14:textId="6757E9CE"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0</w:t>
            </w:r>
          </w:p>
        </w:tc>
        <w:tc>
          <w:tcPr>
            <w:tcW w:w="975" w:type="dxa"/>
            <w:shd w:val="clear" w:color="auto" w:fill="FFFFFF" w:themeFill="background1"/>
          </w:tcPr>
          <w:p w14:paraId="6E43DB39" w14:textId="32B17C06" w:rsidR="00FA5B8C"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w:t>
            </w:r>
          </w:p>
        </w:tc>
      </w:tr>
      <w:tr w:rsidR="00FA5B8C" w:rsidRPr="00200E93" w14:paraId="492FEBB8" w14:textId="3C3E1E1B" w:rsidTr="001F290C">
        <w:tc>
          <w:tcPr>
            <w:tcW w:w="1812" w:type="dxa"/>
            <w:shd w:val="clear" w:color="auto" w:fill="FFFFFF" w:themeFill="background1"/>
          </w:tcPr>
          <w:p w14:paraId="668DC4F3" w14:textId="77777777" w:rsidR="00FA5B8C" w:rsidRPr="0071628F" w:rsidRDefault="64D17480"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Visiting Fellows</w:t>
            </w:r>
          </w:p>
        </w:tc>
        <w:tc>
          <w:tcPr>
            <w:tcW w:w="806" w:type="dxa"/>
            <w:shd w:val="clear" w:color="auto" w:fill="FFFFFF" w:themeFill="background1"/>
          </w:tcPr>
          <w:p w14:paraId="67C988D3"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w:t>
            </w:r>
          </w:p>
        </w:tc>
        <w:tc>
          <w:tcPr>
            <w:tcW w:w="850" w:type="dxa"/>
            <w:shd w:val="clear" w:color="auto" w:fill="FFFFFF" w:themeFill="background1"/>
          </w:tcPr>
          <w:p w14:paraId="3992EBBB"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c>
          <w:tcPr>
            <w:tcW w:w="850" w:type="dxa"/>
            <w:shd w:val="clear" w:color="auto" w:fill="FFFFFF" w:themeFill="background1"/>
          </w:tcPr>
          <w:p w14:paraId="546A400C"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w:t>
            </w:r>
          </w:p>
        </w:tc>
        <w:tc>
          <w:tcPr>
            <w:tcW w:w="823" w:type="dxa"/>
            <w:shd w:val="clear" w:color="auto" w:fill="FFFFFF" w:themeFill="background1"/>
          </w:tcPr>
          <w:p w14:paraId="0B27E168"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w:t>
            </w:r>
          </w:p>
        </w:tc>
        <w:tc>
          <w:tcPr>
            <w:tcW w:w="917" w:type="dxa"/>
            <w:shd w:val="clear" w:color="auto" w:fill="FFFFFF" w:themeFill="background1"/>
          </w:tcPr>
          <w:p w14:paraId="13FF0C7B" w14:textId="77777777"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w:t>
            </w:r>
          </w:p>
        </w:tc>
        <w:tc>
          <w:tcPr>
            <w:tcW w:w="971" w:type="dxa"/>
            <w:shd w:val="clear" w:color="auto" w:fill="FFFFFF" w:themeFill="background1"/>
          </w:tcPr>
          <w:p w14:paraId="3A8E78EA" w14:textId="45480D15"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1</w:t>
            </w:r>
          </w:p>
        </w:tc>
        <w:tc>
          <w:tcPr>
            <w:tcW w:w="1012" w:type="dxa"/>
            <w:shd w:val="clear" w:color="auto" w:fill="FFFFFF" w:themeFill="background1"/>
          </w:tcPr>
          <w:p w14:paraId="06C1859F" w14:textId="4FB8586C" w:rsidR="00FA5B8C" w:rsidRPr="0071628F"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0</w:t>
            </w:r>
          </w:p>
        </w:tc>
        <w:tc>
          <w:tcPr>
            <w:tcW w:w="975" w:type="dxa"/>
            <w:shd w:val="clear" w:color="auto" w:fill="FFFFFF" w:themeFill="background1"/>
          </w:tcPr>
          <w:p w14:paraId="3615CA26" w14:textId="6E251A19" w:rsidR="00FA5B8C" w:rsidRDefault="64D17480"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w:t>
            </w:r>
          </w:p>
        </w:tc>
      </w:tr>
      <w:tr w:rsidR="00FA5B8C" w:rsidRPr="00200E93" w14:paraId="4B79CE11" w14:textId="7CF8F38F" w:rsidTr="001F290C">
        <w:tc>
          <w:tcPr>
            <w:tcW w:w="1812" w:type="dxa"/>
            <w:shd w:val="clear" w:color="auto" w:fill="FFFFFF" w:themeFill="background1"/>
          </w:tcPr>
          <w:p w14:paraId="4E72CC35" w14:textId="77777777" w:rsidR="00FA5B8C" w:rsidRPr="0071628F" w:rsidRDefault="64D17480" w:rsidP="5AB46587">
            <w:pPr>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Total</w:t>
            </w:r>
          </w:p>
        </w:tc>
        <w:tc>
          <w:tcPr>
            <w:tcW w:w="806" w:type="dxa"/>
            <w:shd w:val="clear" w:color="auto" w:fill="FFFFFF" w:themeFill="background1"/>
          </w:tcPr>
          <w:p w14:paraId="2510E958" w14:textId="77777777"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28</w:t>
            </w:r>
          </w:p>
        </w:tc>
        <w:tc>
          <w:tcPr>
            <w:tcW w:w="850" w:type="dxa"/>
            <w:shd w:val="clear" w:color="auto" w:fill="FFFFFF" w:themeFill="background1"/>
          </w:tcPr>
          <w:p w14:paraId="14D49184" w14:textId="77777777"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16</w:t>
            </w:r>
          </w:p>
        </w:tc>
        <w:tc>
          <w:tcPr>
            <w:tcW w:w="850" w:type="dxa"/>
            <w:shd w:val="clear" w:color="auto" w:fill="FFFFFF" w:themeFill="background1"/>
          </w:tcPr>
          <w:p w14:paraId="39DF1F70" w14:textId="77777777"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11</w:t>
            </w:r>
          </w:p>
        </w:tc>
        <w:tc>
          <w:tcPr>
            <w:tcW w:w="823" w:type="dxa"/>
            <w:shd w:val="clear" w:color="auto" w:fill="FFFFFF" w:themeFill="background1"/>
          </w:tcPr>
          <w:p w14:paraId="3FC5E527" w14:textId="77777777"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14</w:t>
            </w:r>
          </w:p>
        </w:tc>
        <w:tc>
          <w:tcPr>
            <w:tcW w:w="917" w:type="dxa"/>
            <w:shd w:val="clear" w:color="auto" w:fill="FFFFFF" w:themeFill="background1"/>
          </w:tcPr>
          <w:p w14:paraId="25F4DE5D" w14:textId="77777777"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8</w:t>
            </w:r>
          </w:p>
        </w:tc>
        <w:tc>
          <w:tcPr>
            <w:tcW w:w="971" w:type="dxa"/>
            <w:shd w:val="clear" w:color="auto" w:fill="FFFFFF" w:themeFill="background1"/>
          </w:tcPr>
          <w:p w14:paraId="3E035D6B" w14:textId="782AAC2D"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4</w:t>
            </w:r>
          </w:p>
        </w:tc>
        <w:tc>
          <w:tcPr>
            <w:tcW w:w="1012" w:type="dxa"/>
            <w:shd w:val="clear" w:color="auto" w:fill="FFFFFF" w:themeFill="background1"/>
          </w:tcPr>
          <w:p w14:paraId="22239E3A" w14:textId="2EB89346" w:rsidR="00FA5B8C" w:rsidRPr="0071628F"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12</w:t>
            </w:r>
          </w:p>
        </w:tc>
        <w:tc>
          <w:tcPr>
            <w:tcW w:w="975" w:type="dxa"/>
            <w:shd w:val="clear" w:color="auto" w:fill="FFFFFF" w:themeFill="background1"/>
          </w:tcPr>
          <w:p w14:paraId="75A4BA65" w14:textId="79F6BCB1" w:rsidR="00FA5B8C" w:rsidRDefault="64D17480" w:rsidP="5AB46587">
            <w:pPr>
              <w:jc w:val="center"/>
              <w:rPr>
                <w:rFonts w:asciiTheme="minorHAnsi" w:eastAsiaTheme="minorEastAsia" w:hAnsiTheme="minorHAnsi" w:cstheme="minorBidi"/>
                <w:b/>
                <w:bCs/>
                <w:sz w:val="18"/>
                <w:szCs w:val="18"/>
                <w:lang w:val="en-GB"/>
              </w:rPr>
            </w:pPr>
            <w:r w:rsidRPr="5AB46587">
              <w:rPr>
                <w:rFonts w:asciiTheme="minorHAnsi" w:eastAsiaTheme="minorEastAsia" w:hAnsiTheme="minorHAnsi" w:cstheme="minorBidi"/>
                <w:b/>
                <w:bCs/>
                <w:sz w:val="18"/>
                <w:szCs w:val="18"/>
                <w:lang w:val="en-GB"/>
              </w:rPr>
              <w:t>16</w:t>
            </w:r>
          </w:p>
        </w:tc>
      </w:tr>
    </w:tbl>
    <w:p w14:paraId="14BE1468" w14:textId="1071EA37" w:rsidR="0047308C" w:rsidRPr="007322F8" w:rsidRDefault="0047308C" w:rsidP="5AB46587">
      <w:pPr>
        <w:widowControl w:val="0"/>
        <w:autoSpaceDE w:val="0"/>
        <w:autoSpaceDN w:val="0"/>
        <w:spacing w:before="120" w:after="120"/>
        <w:ind w:right="386"/>
        <w:rPr>
          <w:rFonts w:asciiTheme="minorHAnsi" w:eastAsiaTheme="minorEastAsia" w:hAnsiTheme="minorHAnsi" w:cstheme="minorBidi"/>
          <w:b/>
          <w:bCs/>
          <w:sz w:val="10"/>
          <w:szCs w:val="10"/>
          <w:lang w:val="en-GB"/>
        </w:rPr>
      </w:pPr>
    </w:p>
    <w:p w14:paraId="553D0C8D" w14:textId="7945C875" w:rsidR="00C042DE" w:rsidRPr="002368A7" w:rsidRDefault="00C042DE" w:rsidP="002368A7">
      <w:r>
        <w:rPr>
          <w:i/>
          <w:iCs/>
        </w:rPr>
        <w:br w:type="page"/>
      </w:r>
    </w:p>
    <w:p w14:paraId="53259EF4" w14:textId="77777777" w:rsidR="00634397" w:rsidRDefault="00634397" w:rsidP="00634397">
      <w:pPr>
        <w:pStyle w:val="Heading4"/>
      </w:pPr>
      <w:r w:rsidRPr="5AB46587">
        <w:lastRenderedPageBreak/>
        <w:t>Decline of Indonesian studies in Australia</w:t>
      </w:r>
    </w:p>
    <w:p w14:paraId="654FE30F" w14:textId="77777777" w:rsidR="00634397" w:rsidRPr="00EE4E00" w:rsidRDefault="00634397" w:rsidP="00634397">
      <w:pPr>
        <w:widowControl w:val="0"/>
        <w:autoSpaceDE w:val="0"/>
        <w:autoSpaceDN w:val="0"/>
        <w:spacing w:before="120" w:after="120"/>
        <w:ind w:right="38"/>
        <w:rPr>
          <w:rFonts w:asciiTheme="minorHAnsi" w:eastAsiaTheme="minorEastAsia" w:hAnsiTheme="minorHAnsi" w:cstheme="minorBidi"/>
          <w:lang w:val="en-GB"/>
        </w:rPr>
      </w:pPr>
      <w:r w:rsidRPr="5AB46587">
        <w:rPr>
          <w:rFonts w:asciiTheme="minorHAnsi" w:eastAsiaTheme="minorEastAsia" w:hAnsiTheme="minorHAnsi" w:cstheme="minorBidi"/>
          <w:sz w:val="22"/>
          <w:szCs w:val="22"/>
        </w:rPr>
        <w:t xml:space="preserve">A significant challenge facing the Project is the engagement of early career Australian economists and researchers. </w:t>
      </w:r>
      <w:r w:rsidRPr="5AB46587">
        <w:rPr>
          <w:rFonts w:asciiTheme="minorHAnsi" w:eastAsiaTheme="minorEastAsia" w:hAnsiTheme="minorHAnsi" w:cstheme="minorBidi"/>
          <w:sz w:val="22"/>
          <w:szCs w:val="22"/>
          <w:lang w:val="en-GB"/>
        </w:rPr>
        <w:t xml:space="preserve">This is partly a broader contextual project challenge based on the general decline of Indonesian studies in Australia. The evaluation team notes this challenge was also identified in the </w:t>
      </w:r>
      <w:r w:rsidRPr="5AB46587">
        <w:rPr>
          <w:rStyle w:val="normaltextrun"/>
          <w:rFonts w:asciiTheme="minorHAnsi" w:eastAsiaTheme="minorEastAsia" w:hAnsiTheme="minorHAnsi" w:cstheme="minorBidi"/>
          <w:sz w:val="22"/>
          <w:szCs w:val="22"/>
        </w:rPr>
        <w:t xml:space="preserve">Phase IV ICR, with the report stating that </w:t>
      </w:r>
      <w:r w:rsidRPr="5AB46587">
        <w:rPr>
          <w:rFonts w:asciiTheme="minorHAnsi" w:eastAsiaTheme="minorEastAsia" w:hAnsiTheme="minorHAnsi" w:cstheme="minorBidi"/>
          <w:sz w:val="22"/>
          <w:szCs w:val="22"/>
          <w:lang w:val="en-GB"/>
        </w:rPr>
        <w:t xml:space="preserve">the “last Australian student to come through the Indonesia Project and complete a PhD on the Indonesian economy graduated in 1994”. </w:t>
      </w:r>
      <w:r w:rsidRPr="5AB46587">
        <w:rPr>
          <w:rStyle w:val="normaltextrun"/>
          <w:rFonts w:asciiTheme="minorHAnsi" w:eastAsiaTheme="minorEastAsia" w:hAnsiTheme="minorHAnsi" w:cstheme="minorBidi"/>
          <w:sz w:val="22"/>
          <w:szCs w:val="22"/>
        </w:rPr>
        <w:t xml:space="preserve">A recommendation to establish </w:t>
      </w:r>
      <w:proofErr w:type="gramStart"/>
      <w:r w:rsidRPr="5AB46587">
        <w:rPr>
          <w:rStyle w:val="normaltextrun"/>
          <w:rFonts w:asciiTheme="minorHAnsi" w:eastAsiaTheme="minorEastAsia" w:hAnsiTheme="minorHAnsi" w:cstheme="minorBidi"/>
          <w:sz w:val="22"/>
          <w:szCs w:val="22"/>
        </w:rPr>
        <w:t>a number of</w:t>
      </w:r>
      <w:proofErr w:type="gramEnd"/>
      <w:r w:rsidRPr="5AB46587">
        <w:rPr>
          <w:rStyle w:val="normaltextrun"/>
          <w:rFonts w:asciiTheme="minorHAnsi" w:eastAsiaTheme="minorEastAsia" w:hAnsiTheme="minorHAnsi" w:cstheme="minorBidi"/>
          <w:sz w:val="22"/>
          <w:szCs w:val="22"/>
        </w:rPr>
        <w:t xml:space="preserve"> dedicated PhD scholarships for Australian students studying the Indonesian economy was included in the </w:t>
      </w:r>
      <w:proofErr w:type="gramStart"/>
      <w:r w:rsidRPr="5AB46587">
        <w:rPr>
          <w:rStyle w:val="normaltextrun"/>
          <w:rFonts w:asciiTheme="minorHAnsi" w:eastAsiaTheme="minorEastAsia" w:hAnsiTheme="minorHAnsi" w:cstheme="minorBidi"/>
          <w:sz w:val="22"/>
          <w:szCs w:val="22"/>
        </w:rPr>
        <w:t>ICR, but</w:t>
      </w:r>
      <w:proofErr w:type="gramEnd"/>
      <w:r w:rsidRPr="5AB46587">
        <w:rPr>
          <w:rStyle w:val="normaltextrun"/>
          <w:rFonts w:asciiTheme="minorHAnsi" w:eastAsiaTheme="minorEastAsia" w:hAnsiTheme="minorHAnsi" w:cstheme="minorBidi"/>
          <w:sz w:val="22"/>
          <w:szCs w:val="22"/>
        </w:rPr>
        <w:t xml:space="preserve"> does not appear to have been implemented. </w:t>
      </w:r>
      <w:r w:rsidRPr="5AB46587">
        <w:rPr>
          <w:rFonts w:asciiTheme="minorHAnsi" w:eastAsiaTheme="minorEastAsia" w:hAnsiTheme="minorHAnsi" w:cstheme="minorBidi"/>
          <w:sz w:val="22"/>
          <w:szCs w:val="22"/>
        </w:rPr>
        <w:t>T</w:t>
      </w:r>
      <w:r w:rsidRPr="5AB46587">
        <w:rPr>
          <w:rFonts w:asciiTheme="minorHAnsi" w:eastAsiaTheme="minorEastAsia" w:hAnsiTheme="minorHAnsi" w:cstheme="minorBidi"/>
          <w:sz w:val="22"/>
          <w:szCs w:val="22"/>
          <w:lang w:val="en-GB"/>
        </w:rPr>
        <w:t xml:space="preserve">his lack of engagement with Australian students is reflected in the number of PhD and postgraduate researchers supported by the Project. Indonesian students represent 63% (61 out of 96) of all early career researchers supported and being supervised by Indonesia Project academics between 2023–2025, with Australian students comprising only 23% (22 out of 96). Research grants such as travel grants for honours and </w:t>
      </w:r>
      <w:proofErr w:type="gramStart"/>
      <w:r w:rsidRPr="5AB46587">
        <w:rPr>
          <w:rFonts w:asciiTheme="minorHAnsi" w:eastAsiaTheme="minorEastAsia" w:hAnsiTheme="minorHAnsi" w:cstheme="minorBidi"/>
          <w:sz w:val="22"/>
          <w:szCs w:val="22"/>
          <w:lang w:val="en-GB"/>
        </w:rPr>
        <w:t>masters</w:t>
      </w:r>
      <w:proofErr w:type="gramEnd"/>
      <w:r w:rsidRPr="5AB46587">
        <w:rPr>
          <w:rFonts w:asciiTheme="minorHAnsi" w:eastAsiaTheme="minorEastAsia" w:hAnsiTheme="minorHAnsi" w:cstheme="minorBidi"/>
          <w:sz w:val="22"/>
          <w:szCs w:val="22"/>
          <w:lang w:val="en-GB"/>
        </w:rPr>
        <w:t xml:space="preserve"> students, and Collaborative Research Grants have been a more effective way of engaging Australian students, however these are limited to a small number of grants per Phase. For example, in the last round of Collaborative Research Grants, the project received approximately 260 applications for a pool of five grants worth AUD8,000 each. This application response indicates that while the engagement of Australian students is a larger contextual issue, there are mechanisms and levers the Project can pull to engage students. However, such mechanisms and levers are dependent on funding, and increased funding for project activities which engage Australian </w:t>
      </w:r>
      <w:proofErr w:type="gramStart"/>
      <w:r w:rsidRPr="5AB46587">
        <w:rPr>
          <w:rFonts w:asciiTheme="minorHAnsi" w:eastAsiaTheme="minorEastAsia" w:hAnsiTheme="minorHAnsi" w:cstheme="minorBidi"/>
          <w:sz w:val="22"/>
          <w:szCs w:val="22"/>
          <w:lang w:val="en-GB"/>
        </w:rPr>
        <w:t>students in particular</w:t>
      </w:r>
      <w:proofErr w:type="gramEnd"/>
      <w:r w:rsidRPr="5AB46587">
        <w:rPr>
          <w:rFonts w:asciiTheme="minorHAnsi" w:eastAsiaTheme="minorEastAsia" w:hAnsiTheme="minorHAnsi" w:cstheme="minorBidi"/>
          <w:sz w:val="22"/>
          <w:szCs w:val="22"/>
          <w:lang w:val="en-GB"/>
        </w:rPr>
        <w:t>.</w:t>
      </w:r>
      <w:r w:rsidRPr="5AB46587">
        <w:rPr>
          <w:rFonts w:asciiTheme="minorHAnsi" w:eastAsiaTheme="minorEastAsia" w:hAnsiTheme="minorHAnsi" w:cstheme="minorBidi"/>
          <w:lang w:val="en-GB"/>
        </w:rPr>
        <w:t xml:space="preserve"> </w:t>
      </w:r>
    </w:p>
    <w:p w14:paraId="44C6B048" w14:textId="77777777" w:rsidR="00634397" w:rsidRDefault="00634397" w:rsidP="00634397">
      <w:pPr>
        <w:widowControl w:val="0"/>
        <w:spacing w:before="120" w:after="120"/>
        <w:ind w:right="35"/>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t>Project partner</w:t>
      </w:r>
      <w:r w:rsidRPr="5AB46587">
        <w:rPr>
          <w:rFonts w:asciiTheme="minorHAnsi" w:eastAsiaTheme="minorEastAsia" w:hAnsiTheme="minorHAnsi" w:cstheme="minorBidi"/>
          <w:i/>
          <w:iCs/>
          <w:sz w:val="20"/>
          <w:szCs w:val="20"/>
          <w:lang w:val="en-GB"/>
        </w:rPr>
        <w:t xml:space="preserve"> </w:t>
      </w:r>
      <w:r w:rsidRPr="5AB46587">
        <w:rPr>
          <w:rFonts w:asciiTheme="minorHAnsi" w:eastAsiaTheme="minorEastAsia" w:hAnsiTheme="minorHAnsi" w:cstheme="minorBidi"/>
          <w:b/>
          <w:bCs/>
          <w:i/>
          <w:iCs/>
          <w:sz w:val="20"/>
          <w:szCs w:val="20"/>
          <w:lang w:val="en-GB"/>
        </w:rPr>
        <w:t xml:space="preserve">comment: </w:t>
      </w:r>
      <w:r w:rsidRPr="5AB46587">
        <w:rPr>
          <w:rFonts w:asciiTheme="minorHAnsi" w:eastAsiaTheme="minorEastAsia" w:hAnsiTheme="minorHAnsi" w:cstheme="minorBidi"/>
          <w:i/>
          <w:iCs/>
          <w:sz w:val="20"/>
          <w:szCs w:val="20"/>
          <w:lang w:val="en-GB"/>
        </w:rPr>
        <w:t>"Our capacity for building the next gen of “</w:t>
      </w:r>
      <w:proofErr w:type="spellStart"/>
      <w:r w:rsidRPr="5AB46587">
        <w:rPr>
          <w:rFonts w:asciiTheme="minorHAnsi" w:eastAsiaTheme="minorEastAsia" w:hAnsiTheme="minorHAnsi" w:cstheme="minorBidi"/>
          <w:i/>
          <w:iCs/>
          <w:sz w:val="20"/>
          <w:szCs w:val="20"/>
          <w:lang w:val="en-GB"/>
        </w:rPr>
        <w:t>Indonesianists</w:t>
      </w:r>
      <w:proofErr w:type="spellEnd"/>
      <w:r w:rsidRPr="5AB46587">
        <w:rPr>
          <w:rFonts w:asciiTheme="minorHAnsi" w:eastAsiaTheme="minorEastAsia" w:hAnsiTheme="minorHAnsi" w:cstheme="minorBidi"/>
          <w:i/>
          <w:iCs/>
          <w:sz w:val="20"/>
          <w:szCs w:val="20"/>
          <w:lang w:val="en-GB"/>
        </w:rPr>
        <w:t xml:space="preserve">” is much stronger with emerging Indonesian academics, whereas … in </w:t>
      </w:r>
      <w:proofErr w:type="gramStart"/>
      <w:r w:rsidRPr="5AB46587">
        <w:rPr>
          <w:rFonts w:asciiTheme="minorHAnsi" w:eastAsiaTheme="minorEastAsia" w:hAnsiTheme="minorHAnsi" w:cstheme="minorBidi"/>
          <w:i/>
          <w:iCs/>
          <w:sz w:val="20"/>
          <w:szCs w:val="20"/>
          <w:lang w:val="en-GB"/>
        </w:rPr>
        <w:t>Australia  it's</w:t>
      </w:r>
      <w:proofErr w:type="gramEnd"/>
      <w:r w:rsidRPr="5AB46587">
        <w:rPr>
          <w:rFonts w:asciiTheme="minorHAnsi" w:eastAsiaTheme="minorEastAsia" w:hAnsiTheme="minorHAnsi" w:cstheme="minorBidi"/>
          <w:i/>
          <w:iCs/>
          <w:sz w:val="20"/>
          <w:szCs w:val="20"/>
          <w:lang w:val="en-GB"/>
        </w:rPr>
        <w:t xml:space="preserve"> a really tough gig, and we see things like Bahasa Indonesia language disappearing at the school level." </w:t>
      </w:r>
    </w:p>
    <w:p w14:paraId="2EF9FFC9" w14:textId="77777777" w:rsidR="002368A7" w:rsidRDefault="00634397" w:rsidP="002368A7">
      <w:pPr>
        <w:widowControl w:val="0"/>
        <w:spacing w:before="120" w:after="120"/>
        <w:ind w:right="35"/>
        <w:rPr>
          <w:rFonts w:asciiTheme="minorHAnsi" w:eastAsiaTheme="minorEastAsia" w:hAnsiTheme="minorHAnsi" w:cstheme="minorBidi"/>
          <w:b/>
          <w:bCs/>
          <w:i/>
          <w:iCs/>
          <w:sz w:val="20"/>
          <w:szCs w:val="20"/>
          <w:lang w:val="en-GB"/>
        </w:rPr>
      </w:pPr>
      <w:r w:rsidRPr="5AB46587">
        <w:rPr>
          <w:rFonts w:asciiTheme="minorHAnsi" w:eastAsiaTheme="minorEastAsia" w:hAnsiTheme="minorHAnsi" w:cstheme="minorBidi"/>
          <w:b/>
          <w:bCs/>
          <w:i/>
          <w:iCs/>
          <w:sz w:val="20"/>
          <w:szCs w:val="20"/>
          <w:lang w:val="en-GB"/>
        </w:rPr>
        <w:t>Key stakeholder comment:</w:t>
      </w:r>
      <w:r w:rsidRPr="5AB46587">
        <w:rPr>
          <w:rFonts w:asciiTheme="minorHAnsi" w:eastAsiaTheme="minorEastAsia" w:hAnsiTheme="minorHAnsi" w:cstheme="minorBidi"/>
          <w:i/>
          <w:iCs/>
          <w:sz w:val="20"/>
          <w:szCs w:val="20"/>
          <w:lang w:val="en-GB"/>
        </w:rPr>
        <w:t xml:space="preserve"> "It's cheaper to do stuff in Indonesia than is to do stuff in Australia… And </w:t>
      </w:r>
      <w:proofErr w:type="gramStart"/>
      <w:r w:rsidRPr="5AB46587">
        <w:rPr>
          <w:rFonts w:asciiTheme="minorHAnsi" w:eastAsiaTheme="minorEastAsia" w:hAnsiTheme="minorHAnsi" w:cstheme="minorBidi"/>
          <w:i/>
          <w:iCs/>
          <w:sz w:val="20"/>
          <w:szCs w:val="20"/>
          <w:lang w:val="en-GB"/>
        </w:rPr>
        <w:t>so</w:t>
      </w:r>
      <w:proofErr w:type="gramEnd"/>
      <w:r w:rsidRPr="5AB46587">
        <w:rPr>
          <w:rFonts w:asciiTheme="minorHAnsi" w:eastAsiaTheme="minorEastAsia" w:hAnsiTheme="minorHAnsi" w:cstheme="minorBidi"/>
          <w:i/>
          <w:iCs/>
          <w:sz w:val="20"/>
          <w:szCs w:val="20"/>
          <w:lang w:val="en-GB"/>
        </w:rPr>
        <w:t xml:space="preserve"> you </w:t>
      </w:r>
      <w:proofErr w:type="gramStart"/>
      <w:r w:rsidRPr="5AB46587">
        <w:rPr>
          <w:rFonts w:asciiTheme="minorHAnsi" w:eastAsiaTheme="minorEastAsia" w:hAnsiTheme="minorHAnsi" w:cstheme="minorBidi"/>
          <w:i/>
          <w:iCs/>
          <w:sz w:val="20"/>
          <w:szCs w:val="20"/>
          <w:lang w:val="en-GB"/>
        </w:rPr>
        <w:t>have to</w:t>
      </w:r>
      <w:proofErr w:type="gramEnd"/>
      <w:r w:rsidRPr="5AB46587">
        <w:rPr>
          <w:rFonts w:asciiTheme="minorHAnsi" w:eastAsiaTheme="minorEastAsia" w:hAnsiTheme="minorHAnsi" w:cstheme="minorBidi"/>
          <w:i/>
          <w:iCs/>
          <w:sz w:val="20"/>
          <w:szCs w:val="20"/>
          <w:lang w:val="en-GB"/>
        </w:rPr>
        <w:t xml:space="preserve"> make a real decision if you're going to bring people here or engage more here, because that's more expensive to do it… But I would love to keep all the things that [the Project] has got in play in Indonesia and add some additional Australian [activities] to it. But particularly … getting some [Australian] PhDs who focus on the Indonesian economy.”</w:t>
      </w:r>
      <w:r w:rsidRPr="5AB46587">
        <w:rPr>
          <w:rFonts w:asciiTheme="minorHAnsi" w:eastAsiaTheme="minorEastAsia" w:hAnsiTheme="minorHAnsi" w:cstheme="minorBidi"/>
          <w:b/>
          <w:bCs/>
          <w:i/>
          <w:iCs/>
          <w:sz w:val="20"/>
          <w:szCs w:val="20"/>
          <w:lang w:val="en-GB"/>
        </w:rPr>
        <w:t xml:space="preserve"> </w:t>
      </w:r>
    </w:p>
    <w:p w14:paraId="1481D2B8" w14:textId="77777777" w:rsidR="002368A7" w:rsidRPr="00764147" w:rsidRDefault="4C2730EC" w:rsidP="00764147">
      <w:pPr>
        <w:pStyle w:val="Heading3"/>
      </w:pPr>
      <w:r w:rsidRPr="00764147">
        <w:t xml:space="preserve">2.1.3 </w:t>
      </w:r>
      <w:r w:rsidR="007322F8" w:rsidRPr="00764147">
        <w:tab/>
      </w:r>
      <w:r w:rsidR="76CC745F" w:rsidRPr="00764147">
        <w:t xml:space="preserve">EOPO 3: </w:t>
      </w:r>
      <w:r w:rsidR="1F9F9061" w:rsidRPr="00764147">
        <w:t>Communication, outreach and networks</w:t>
      </w:r>
    </w:p>
    <w:p w14:paraId="1375A79F" w14:textId="5C5A6FDA" w:rsidR="002368A7" w:rsidRPr="00764147" w:rsidRDefault="002368A7" w:rsidP="00764147">
      <w:pPr>
        <w:pStyle w:val="Heading4"/>
      </w:pPr>
      <w:r w:rsidRPr="00764147">
        <w:t xml:space="preserve"> An influential, layered network</w:t>
      </w:r>
    </w:p>
    <w:p w14:paraId="23AC3024" w14:textId="77777777" w:rsidR="002368A7" w:rsidRPr="00E168C4" w:rsidRDefault="002368A7" w:rsidP="002368A7">
      <w:pPr>
        <w:widowControl w:val="0"/>
        <w:autoSpaceDE w:val="0"/>
        <w:autoSpaceDN w:val="0"/>
        <w:spacing w:before="120" w:after="120"/>
        <w:ind w:right="38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Indonesia Project has established a layered network</w:t>
      </w:r>
      <w:r w:rsidRPr="5AB46587">
        <w:rPr>
          <w:rFonts w:asciiTheme="minorHAnsi" w:eastAsiaTheme="minorEastAsia" w:hAnsiTheme="minorHAnsi" w:cstheme="minorBidi"/>
          <w:b/>
          <w:bCs/>
          <w:sz w:val="22"/>
          <w:szCs w:val="22"/>
        </w:rPr>
        <w:t xml:space="preserve"> </w:t>
      </w:r>
      <w:r w:rsidRPr="5AB46587">
        <w:rPr>
          <w:rFonts w:asciiTheme="minorHAnsi" w:eastAsiaTheme="minorEastAsia" w:hAnsiTheme="minorHAnsi" w:cstheme="minorBidi"/>
          <w:sz w:val="22"/>
          <w:szCs w:val="22"/>
        </w:rPr>
        <w:t>of students, alumni, academics, bureaucrats and policymakers working on Indonesian economics and social policy. Strong people-to-people connections established through the Project continue long after formal study, creating enduring bilateral links. It is a key asset and channel through which influence is realised both for the Australian Government and ANU officials, as well as for other “</w:t>
      </w:r>
      <w:proofErr w:type="spellStart"/>
      <w:r w:rsidRPr="5AB46587">
        <w:rPr>
          <w:rFonts w:asciiTheme="minorHAnsi" w:eastAsiaTheme="minorEastAsia" w:hAnsiTheme="minorHAnsi" w:cstheme="minorBidi"/>
          <w:sz w:val="22"/>
          <w:szCs w:val="22"/>
        </w:rPr>
        <w:t>Indonesianists</w:t>
      </w:r>
      <w:proofErr w:type="spellEnd"/>
      <w:r w:rsidRPr="5AB46587">
        <w:rPr>
          <w:rFonts w:asciiTheme="minorHAnsi" w:eastAsiaTheme="minorEastAsia" w:hAnsiTheme="minorHAnsi" w:cstheme="minorBidi"/>
          <w:sz w:val="22"/>
          <w:szCs w:val="22"/>
        </w:rPr>
        <w:t>” when engaging with Indonesia. Being based at ANU</w:t>
      </w:r>
      <w:r w:rsidRPr="5AB46587">
        <w:rPr>
          <w:rFonts w:asciiTheme="minorHAnsi" w:eastAsiaTheme="minorEastAsia" w:hAnsiTheme="minorHAnsi" w:cstheme="minorBidi"/>
          <w:b/>
          <w:bCs/>
          <w:sz w:val="22"/>
          <w:szCs w:val="22"/>
        </w:rPr>
        <w:t xml:space="preserve"> </w:t>
      </w:r>
      <w:r w:rsidRPr="5AB46587">
        <w:rPr>
          <w:rFonts w:asciiTheme="minorHAnsi" w:eastAsiaTheme="minorEastAsia" w:hAnsiTheme="minorHAnsi" w:cstheme="minorBidi"/>
          <w:sz w:val="22"/>
          <w:szCs w:val="22"/>
        </w:rPr>
        <w:t xml:space="preserve">in Canberra yet focused on Indonesia allows the Project to connect Australian and Indonesian institutions, while remaining somewhat insulated from day-to-day political shifts. This network is highly trusted and respected due to the longstanding reputation of the Project, academics involved, and quality of research outputs. The value of this network to the Australian Government is addressed further in Section 2.3. Former PhD students from Indonesia consulted reported the value of the network created, both with ANU academics and other ANU graduates. In a recent survey undertaken by ANU with Project alumni, 88% of survey respondents (n=75) stated that engagement with the Project was either important (35%) or very important (53%) in building their professional network. </w:t>
      </w:r>
    </w:p>
    <w:tbl>
      <w:tblPr>
        <w:tblStyle w:val="TableGrid"/>
        <w:tblW w:w="9356"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356"/>
      </w:tblGrid>
      <w:tr w:rsidR="00982F24" w:rsidRPr="00AF6EEB" w14:paraId="25B7C832" w14:textId="77777777" w:rsidTr="5AB46587">
        <w:tc>
          <w:tcPr>
            <w:tcW w:w="9356" w:type="dxa"/>
          </w:tcPr>
          <w:p w14:paraId="6E01BB7E" w14:textId="22853E70" w:rsidR="75031E7B" w:rsidRDefault="75031E7B" w:rsidP="5AB46587">
            <w:pPr>
              <w:widowControl w:val="0"/>
              <w:spacing w:before="120"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i/>
                <w:iCs/>
                <w:sz w:val="20"/>
                <w:szCs w:val="20"/>
              </w:rPr>
              <w:t xml:space="preserve">"In Indonesia, [the] ANU community is quite a big, a big </w:t>
            </w:r>
            <w:proofErr w:type="gramStart"/>
            <w:r w:rsidRPr="5AB46587">
              <w:rPr>
                <w:rFonts w:asciiTheme="minorHAnsi" w:eastAsiaTheme="minorEastAsia" w:hAnsiTheme="minorHAnsi" w:cstheme="minorBidi"/>
                <w:i/>
                <w:iCs/>
                <w:sz w:val="20"/>
                <w:szCs w:val="20"/>
              </w:rPr>
              <w:t>community</w:t>
            </w:r>
            <w:proofErr w:type="gramEnd"/>
            <w:r w:rsidRPr="5AB46587">
              <w:rPr>
                <w:rFonts w:asciiTheme="minorHAnsi" w:eastAsiaTheme="minorEastAsia" w:hAnsiTheme="minorHAnsi" w:cstheme="minorBidi"/>
                <w:i/>
                <w:iCs/>
                <w:sz w:val="20"/>
                <w:szCs w:val="20"/>
              </w:rPr>
              <w:t xml:space="preserve"> right? So just being tapped in into that community, </w:t>
            </w:r>
            <w:proofErr w:type="gramStart"/>
            <w:r w:rsidRPr="5AB46587">
              <w:rPr>
                <w:rFonts w:asciiTheme="minorHAnsi" w:eastAsiaTheme="minorEastAsia" w:hAnsiTheme="minorHAnsi" w:cstheme="minorBidi"/>
                <w:i/>
                <w:iCs/>
                <w:sz w:val="20"/>
                <w:szCs w:val="20"/>
              </w:rPr>
              <w:t>and also</w:t>
            </w:r>
            <w:proofErr w:type="gramEnd"/>
            <w:r w:rsidRPr="5AB46587">
              <w:rPr>
                <w:rFonts w:asciiTheme="minorHAnsi" w:eastAsiaTheme="minorEastAsia" w:hAnsiTheme="minorHAnsi" w:cstheme="minorBidi"/>
                <w:i/>
                <w:iCs/>
                <w:sz w:val="20"/>
                <w:szCs w:val="20"/>
              </w:rPr>
              <w:t xml:space="preserve"> the Indonesia Project in particular, everyone knows what that is in Indonesia</w:t>
            </w:r>
            <w:r w:rsidR="21194470" w:rsidRPr="5AB46587">
              <w:rPr>
                <w:rFonts w:asciiTheme="minorHAnsi" w:eastAsiaTheme="minorEastAsia" w:hAnsiTheme="minorHAnsi" w:cstheme="minorBidi"/>
                <w:i/>
                <w:iCs/>
                <w:sz w:val="20"/>
                <w:szCs w:val="20"/>
              </w:rPr>
              <w:t>.</w:t>
            </w:r>
            <w:r w:rsidRPr="5AB46587">
              <w:rPr>
                <w:rFonts w:asciiTheme="minorHAnsi" w:eastAsiaTheme="minorEastAsia" w:hAnsiTheme="minorHAnsi" w:cstheme="minorBidi"/>
                <w:i/>
                <w:iCs/>
                <w:sz w:val="20"/>
                <w:szCs w:val="20"/>
              </w:rPr>
              <w:t xml:space="preserve"> </w:t>
            </w:r>
            <w:proofErr w:type="gramStart"/>
            <w:r w:rsidRPr="5AB46587">
              <w:rPr>
                <w:rFonts w:asciiTheme="minorHAnsi" w:eastAsiaTheme="minorEastAsia" w:hAnsiTheme="minorHAnsi" w:cstheme="minorBidi"/>
                <w:i/>
                <w:iCs/>
                <w:sz w:val="20"/>
                <w:szCs w:val="20"/>
              </w:rPr>
              <w:t>So</w:t>
            </w:r>
            <w:proofErr w:type="gramEnd"/>
            <w:r w:rsidRPr="5AB46587">
              <w:rPr>
                <w:rFonts w:asciiTheme="minorHAnsi" w:eastAsiaTheme="minorEastAsia" w:hAnsiTheme="minorHAnsi" w:cstheme="minorBidi"/>
                <w:i/>
                <w:iCs/>
                <w:sz w:val="20"/>
                <w:szCs w:val="20"/>
              </w:rPr>
              <w:t xml:space="preserve"> </w:t>
            </w:r>
            <w:r w:rsidR="2F43B700" w:rsidRPr="5AB46587">
              <w:rPr>
                <w:rFonts w:asciiTheme="minorHAnsi" w:eastAsiaTheme="minorEastAsia" w:hAnsiTheme="minorHAnsi" w:cstheme="minorBidi"/>
                <w:i/>
                <w:iCs/>
                <w:sz w:val="20"/>
                <w:szCs w:val="20"/>
              </w:rPr>
              <w:t>it</w:t>
            </w:r>
            <w:r w:rsidRPr="5AB46587">
              <w:rPr>
                <w:rFonts w:asciiTheme="minorHAnsi" w:eastAsiaTheme="minorEastAsia" w:hAnsiTheme="minorHAnsi" w:cstheme="minorBidi"/>
                <w:i/>
                <w:iCs/>
                <w:sz w:val="20"/>
                <w:szCs w:val="20"/>
              </w:rPr>
              <w:t xml:space="preserve"> expand</w:t>
            </w:r>
            <w:r w:rsidR="03E5C35A" w:rsidRPr="5AB46587">
              <w:rPr>
                <w:rFonts w:asciiTheme="minorHAnsi" w:eastAsiaTheme="minorEastAsia" w:hAnsiTheme="minorHAnsi" w:cstheme="minorBidi"/>
                <w:i/>
                <w:iCs/>
                <w:sz w:val="20"/>
                <w:szCs w:val="20"/>
              </w:rPr>
              <w:t>s</w:t>
            </w:r>
            <w:r w:rsidRPr="5AB46587">
              <w:rPr>
                <w:rFonts w:asciiTheme="minorHAnsi" w:eastAsiaTheme="minorEastAsia" w:hAnsiTheme="minorHAnsi" w:cstheme="minorBidi"/>
                <w:i/>
                <w:iCs/>
                <w:sz w:val="20"/>
                <w:szCs w:val="20"/>
              </w:rPr>
              <w:t xml:space="preserve"> my network..."</w:t>
            </w:r>
          </w:p>
          <w:p w14:paraId="471F5E84" w14:textId="77777777" w:rsidR="00385300" w:rsidRDefault="00385300" w:rsidP="5AB46587">
            <w:pPr>
              <w:widowControl w:val="0"/>
              <w:spacing w:before="120" w:after="120"/>
              <w:ind w:right="35"/>
              <w:rPr>
                <w:rFonts w:asciiTheme="minorHAnsi" w:eastAsiaTheme="minorEastAsia" w:hAnsiTheme="minorHAnsi" w:cstheme="minorBidi"/>
                <w:b/>
                <w:bCs/>
                <w:i/>
                <w:iCs/>
                <w:sz w:val="20"/>
                <w:szCs w:val="20"/>
              </w:rPr>
            </w:pPr>
          </w:p>
          <w:p w14:paraId="207D2A47" w14:textId="65B7615F" w:rsidR="21194470" w:rsidRDefault="21194470" w:rsidP="5AB46587">
            <w:pPr>
              <w:widowControl w:val="0"/>
              <w:spacing w:before="120" w:after="120"/>
              <w:ind w:right="35"/>
              <w:rPr>
                <w:rFonts w:asciiTheme="minorHAnsi" w:eastAsiaTheme="minorEastAsia" w:hAnsiTheme="minorHAnsi" w:cstheme="minorBidi"/>
                <w:b/>
                <w:bCs/>
                <w:i/>
                <w:iCs/>
                <w:sz w:val="20"/>
                <w:szCs w:val="20"/>
                <w:lang w:val="en-GB"/>
              </w:rPr>
            </w:pPr>
            <w:r w:rsidRPr="5AB46587">
              <w:rPr>
                <w:rFonts w:asciiTheme="minorHAnsi" w:eastAsiaTheme="minorEastAsia" w:hAnsiTheme="minorHAnsi" w:cstheme="minorBidi"/>
                <w:b/>
                <w:bCs/>
                <w:i/>
                <w:iCs/>
                <w:sz w:val="20"/>
                <w:szCs w:val="20"/>
              </w:rPr>
              <w:lastRenderedPageBreak/>
              <w:t>Alumni</w:t>
            </w:r>
          </w:p>
          <w:p w14:paraId="16814CCC" w14:textId="1EEF1E45" w:rsidR="75031E7B" w:rsidRDefault="75031E7B" w:rsidP="5AB46587">
            <w:pPr>
              <w:widowControl w:val="0"/>
              <w:spacing w:before="120"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i/>
                <w:iCs/>
                <w:sz w:val="20"/>
                <w:szCs w:val="20"/>
              </w:rPr>
              <w:t>"</w:t>
            </w:r>
            <w:r w:rsidR="2F43B700" w:rsidRPr="5AB46587">
              <w:rPr>
                <w:rFonts w:asciiTheme="minorHAnsi" w:eastAsiaTheme="minorEastAsia" w:hAnsiTheme="minorHAnsi" w:cstheme="minorBidi"/>
                <w:i/>
                <w:iCs/>
                <w:sz w:val="20"/>
                <w:szCs w:val="20"/>
              </w:rPr>
              <w:t>I</w:t>
            </w:r>
            <w:r w:rsidRPr="5AB46587">
              <w:rPr>
                <w:rFonts w:asciiTheme="minorHAnsi" w:eastAsiaTheme="minorEastAsia" w:hAnsiTheme="minorHAnsi" w:cstheme="minorBidi"/>
                <w:i/>
                <w:iCs/>
                <w:sz w:val="20"/>
                <w:szCs w:val="20"/>
              </w:rPr>
              <w:t>t has been really important that there was a real pathway of people, particularly coming to ANU and doing their PhDs there and going back to Indonesia</w:t>
            </w:r>
            <w:r w:rsidR="2F43B700" w:rsidRPr="5AB46587">
              <w:rPr>
                <w:rFonts w:asciiTheme="minorHAnsi" w:eastAsiaTheme="minorEastAsia" w:hAnsiTheme="minorHAnsi" w:cstheme="minorBidi"/>
                <w:i/>
                <w:iCs/>
                <w:sz w:val="20"/>
                <w:szCs w:val="20"/>
              </w:rPr>
              <w:t>…</w:t>
            </w:r>
            <w:r w:rsidRPr="5AB46587">
              <w:rPr>
                <w:rFonts w:asciiTheme="minorHAnsi" w:eastAsiaTheme="minorEastAsia" w:hAnsiTheme="minorHAnsi" w:cstheme="minorBidi"/>
                <w:i/>
                <w:iCs/>
                <w:sz w:val="20"/>
                <w:szCs w:val="20"/>
              </w:rPr>
              <w:t xml:space="preserve"> And </w:t>
            </w:r>
            <w:r w:rsidR="2F43B700" w:rsidRPr="5AB46587">
              <w:rPr>
                <w:rFonts w:asciiTheme="minorHAnsi" w:eastAsiaTheme="minorEastAsia" w:hAnsiTheme="minorHAnsi" w:cstheme="minorBidi"/>
                <w:i/>
                <w:iCs/>
                <w:sz w:val="20"/>
                <w:szCs w:val="20"/>
              </w:rPr>
              <w:t>a</w:t>
            </w:r>
            <w:r w:rsidRPr="5AB46587">
              <w:rPr>
                <w:rFonts w:asciiTheme="minorHAnsi" w:eastAsiaTheme="minorEastAsia" w:hAnsiTheme="minorHAnsi" w:cstheme="minorBidi"/>
                <w:i/>
                <w:iCs/>
                <w:sz w:val="20"/>
                <w:szCs w:val="20"/>
              </w:rPr>
              <w:t xml:space="preserve"> lot of them, quite a few ended up migrating into government."</w:t>
            </w:r>
          </w:p>
          <w:p w14:paraId="01EF3392" w14:textId="25051EC3" w:rsidR="21194470" w:rsidRDefault="21194470" w:rsidP="5AB46587">
            <w:pPr>
              <w:widowControl w:val="0"/>
              <w:spacing w:before="120" w:after="120"/>
              <w:ind w:right="35"/>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t>Project partner</w:t>
            </w:r>
          </w:p>
          <w:p w14:paraId="68E104E8" w14:textId="4B89688D" w:rsidR="3625B2D3" w:rsidRPr="00385300" w:rsidRDefault="3625B2D3" w:rsidP="00385300">
            <w:pPr>
              <w:pStyle w:val="Heading4"/>
            </w:pPr>
            <w:r w:rsidRPr="00385300">
              <w:t>Knowledge sharing forums and dialogue</w:t>
            </w:r>
          </w:p>
          <w:p w14:paraId="079CD884" w14:textId="6C04CCB8" w:rsidR="3625B2D3" w:rsidRDefault="3625B2D3" w:rsidP="5AB46587">
            <w:pPr>
              <w:spacing w:before="120" w:after="120"/>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rPr>
              <w:t>Conferences, research seminars and forums are an important channel for sharing and disseminating research. During Phase V the Project has facilitated 179 conferences, seminars and forums (see Appendix 2 for more detail). Of the 85 events which recorded attendance data, there was a total of 24,140 audience members (in person and online). The vast majority (49%) of attendees were from the university sector (academics and students) and 19% from government bodies (see Table 5). Seminars and forums held in Indonesia are highly regarded and well attended by Indonesian academics, policymakers, and civil society. Demographic data</w:t>
            </w:r>
            <w:r w:rsidRPr="5AB46587">
              <w:rPr>
                <w:rStyle w:val="FootnoteReference"/>
                <w:rFonts w:asciiTheme="minorHAnsi" w:eastAsiaTheme="minorEastAsia" w:hAnsiTheme="minorHAnsi" w:cstheme="minorBidi"/>
                <w:sz w:val="22"/>
                <w:szCs w:val="22"/>
              </w:rPr>
              <w:footnoteReference w:id="1"/>
            </w:r>
            <w:r w:rsidRPr="5AB46587">
              <w:rPr>
                <w:rFonts w:asciiTheme="minorHAnsi" w:eastAsiaTheme="minorEastAsia" w:hAnsiTheme="minorHAnsi" w:cstheme="minorBidi"/>
                <w:sz w:val="22"/>
                <w:szCs w:val="22"/>
              </w:rPr>
              <w:t xml:space="preserve"> collected from events indicate that on average 60% of event attendees per event are Indonesians (see Table 6). Stakeholders consulted note that events held in Indonesia are relatively cost-effective to </w:t>
            </w:r>
            <w:proofErr w:type="gramStart"/>
            <w:r w:rsidRPr="5AB46587">
              <w:rPr>
                <w:rFonts w:asciiTheme="minorHAnsi" w:eastAsiaTheme="minorEastAsia" w:hAnsiTheme="minorHAnsi" w:cstheme="minorBidi"/>
                <w:sz w:val="22"/>
                <w:szCs w:val="22"/>
              </w:rPr>
              <w:t>run, and</w:t>
            </w:r>
            <w:proofErr w:type="gramEnd"/>
            <w:r w:rsidRPr="5AB46587">
              <w:rPr>
                <w:rFonts w:asciiTheme="minorHAnsi" w:eastAsiaTheme="minorEastAsia" w:hAnsiTheme="minorHAnsi" w:cstheme="minorBidi"/>
                <w:sz w:val="22"/>
                <w:szCs w:val="22"/>
              </w:rPr>
              <w:t xml:space="preserve"> have become an important social science forum in Indonesia. For example, one </w:t>
            </w:r>
            <w:proofErr w:type="gramStart"/>
            <w:r w:rsidRPr="5AB46587">
              <w:rPr>
                <w:rFonts w:asciiTheme="minorHAnsi" w:eastAsiaTheme="minorEastAsia" w:hAnsiTheme="minorHAnsi" w:cstheme="minorBidi"/>
                <w:sz w:val="22"/>
                <w:szCs w:val="22"/>
              </w:rPr>
              <w:t>alumni</w:t>
            </w:r>
            <w:proofErr w:type="gramEnd"/>
            <w:r w:rsidRPr="5AB46587">
              <w:rPr>
                <w:rFonts w:asciiTheme="minorHAnsi" w:eastAsiaTheme="minorEastAsia" w:hAnsiTheme="minorHAnsi" w:cstheme="minorBidi"/>
                <w:sz w:val="22"/>
                <w:szCs w:val="22"/>
              </w:rPr>
              <w:t xml:space="preserve"> consulted who now works with the Indonesian Government noted that participating in FKP discussions had helped them gather evidence to try and shape local trade policy.</w:t>
            </w:r>
          </w:p>
          <w:p w14:paraId="2B3D9850" w14:textId="4B032D7C" w:rsidR="3625B2D3" w:rsidRDefault="3625B2D3" w:rsidP="5AB46587">
            <w:pPr>
              <w:widowControl w:val="0"/>
              <w:spacing w:before="120"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lang w:val="en-GB"/>
              </w:rPr>
              <w:t xml:space="preserve">Alumni comment: </w:t>
            </w:r>
            <w:r w:rsidRPr="5AB46587">
              <w:rPr>
                <w:rFonts w:asciiTheme="minorHAnsi" w:eastAsiaTheme="minorEastAsia" w:hAnsiTheme="minorHAnsi" w:cstheme="minorBidi"/>
                <w:i/>
                <w:iCs/>
                <w:sz w:val="20"/>
                <w:szCs w:val="20"/>
              </w:rPr>
              <w:t xml:space="preserve">I am part of FKP... initiated by Indonesia Project... It is a routine seminar every month or </w:t>
            </w:r>
            <w:proofErr w:type="gramStart"/>
            <w:r w:rsidRPr="5AB46587">
              <w:rPr>
                <w:rFonts w:asciiTheme="minorHAnsi" w:eastAsiaTheme="minorEastAsia" w:hAnsiTheme="minorHAnsi" w:cstheme="minorBidi"/>
                <w:i/>
                <w:iCs/>
                <w:sz w:val="20"/>
                <w:szCs w:val="20"/>
              </w:rPr>
              <w:t>webinar, but</w:t>
            </w:r>
            <w:proofErr w:type="gramEnd"/>
            <w:r w:rsidRPr="5AB46587">
              <w:rPr>
                <w:rFonts w:asciiTheme="minorHAnsi" w:eastAsiaTheme="minorEastAsia" w:hAnsiTheme="minorHAnsi" w:cstheme="minorBidi"/>
                <w:i/>
                <w:iCs/>
                <w:sz w:val="20"/>
                <w:szCs w:val="20"/>
              </w:rPr>
              <w:t xml:space="preserve"> not only conducted by Indonesia Project. It is a collaboration with many institutions in Indonesia, from universities, research centres, government institutions. </w:t>
            </w:r>
            <w:proofErr w:type="gramStart"/>
            <w:r w:rsidRPr="5AB46587">
              <w:rPr>
                <w:rFonts w:asciiTheme="minorHAnsi" w:eastAsiaTheme="minorEastAsia" w:hAnsiTheme="minorHAnsi" w:cstheme="minorBidi"/>
                <w:i/>
                <w:iCs/>
                <w:sz w:val="20"/>
                <w:szCs w:val="20"/>
              </w:rPr>
              <w:t>So</w:t>
            </w:r>
            <w:proofErr w:type="gramEnd"/>
            <w:r w:rsidRPr="5AB46587">
              <w:rPr>
                <w:rFonts w:asciiTheme="minorHAnsi" w:eastAsiaTheme="minorEastAsia" w:hAnsiTheme="minorHAnsi" w:cstheme="minorBidi"/>
                <w:i/>
                <w:iCs/>
                <w:sz w:val="20"/>
                <w:szCs w:val="20"/>
              </w:rPr>
              <w:t xml:space="preserve"> the Indonesia Project creates and maintains this collaborative discussion and connects people through research and discussion about many things." </w:t>
            </w:r>
          </w:p>
          <w:p w14:paraId="44C3A289" w14:textId="77C44776" w:rsidR="3625B2D3" w:rsidRPr="00385300" w:rsidRDefault="3625B2D3" w:rsidP="00385300">
            <w:pPr>
              <w:pStyle w:val="Heading4"/>
            </w:pPr>
            <w:r w:rsidRPr="00385300">
              <w:t>Communications and engagement</w:t>
            </w:r>
          </w:p>
          <w:p w14:paraId="0937334D" w14:textId="0C72EE88" w:rsidR="3625B2D3" w:rsidRDefault="3625B2D3" w:rsidP="5AB46587">
            <w:pPr>
              <w:widowControl w:val="0"/>
              <w:spacing w:before="120" w:after="120"/>
              <w:ind w:right="35"/>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lang w:val="en-GB"/>
              </w:rPr>
              <w:t xml:space="preserve">In Phase V, the Project has increased online communications and engagement, particularly in Indonesia. This is partly in response to COVD-19 which greatly increased its online offerings. It is also in response to the 2019 ICR which included a recommendation for the Project to systematically reach out to a wider </w:t>
            </w:r>
            <w:proofErr w:type="gramStart"/>
            <w:r w:rsidRPr="5AB46587">
              <w:rPr>
                <w:rFonts w:asciiTheme="minorHAnsi" w:eastAsiaTheme="minorEastAsia" w:hAnsiTheme="minorHAnsi" w:cstheme="minorBidi"/>
                <w:sz w:val="22"/>
                <w:szCs w:val="22"/>
                <w:lang w:val="en-GB"/>
              </w:rPr>
              <w:t>audience, and</w:t>
            </w:r>
            <w:proofErr w:type="gramEnd"/>
            <w:r w:rsidRPr="5AB46587">
              <w:rPr>
                <w:rFonts w:asciiTheme="minorHAnsi" w:eastAsiaTheme="minorEastAsia" w:hAnsiTheme="minorHAnsi" w:cstheme="minorBidi"/>
                <w:sz w:val="22"/>
                <w:szCs w:val="22"/>
                <w:lang w:val="en-GB"/>
              </w:rPr>
              <w:t xml:space="preserve"> improve communication with key partners. In response the Project developed a Communications Strategy for Phase V, however the strategy was beyond the resource means of the Project which only employs a part-time staff member to work on events and communications. </w:t>
            </w:r>
            <w:proofErr w:type="gramStart"/>
            <w:r w:rsidRPr="5AB46587">
              <w:rPr>
                <w:rFonts w:asciiTheme="minorHAnsi" w:eastAsiaTheme="minorEastAsia" w:hAnsiTheme="minorHAnsi" w:cstheme="minorBidi"/>
                <w:sz w:val="22"/>
                <w:szCs w:val="22"/>
                <w:lang w:val="en-GB"/>
              </w:rPr>
              <w:t>Consequently</w:t>
            </w:r>
            <w:proofErr w:type="gramEnd"/>
            <w:r w:rsidRPr="5AB46587">
              <w:rPr>
                <w:rFonts w:asciiTheme="minorHAnsi" w:eastAsiaTheme="minorEastAsia" w:hAnsiTheme="minorHAnsi" w:cstheme="minorBidi"/>
                <w:sz w:val="22"/>
                <w:szCs w:val="22"/>
                <w:lang w:val="en-GB"/>
              </w:rPr>
              <w:t xml:space="preserve"> the Project developed a streamlined communications strategy as a guide. Since this time, the Project has seen a substantial increase in traffic to its website from 5,000 unique visitors in 2022 to almost 30,000 in 2024. The FKP website page views </w:t>
            </w:r>
            <w:proofErr w:type="gramStart"/>
            <w:r w:rsidRPr="5AB46587">
              <w:rPr>
                <w:rFonts w:asciiTheme="minorHAnsi" w:eastAsiaTheme="minorEastAsia" w:hAnsiTheme="minorHAnsi" w:cstheme="minorBidi"/>
                <w:sz w:val="22"/>
                <w:szCs w:val="22"/>
                <w:lang w:val="en-GB"/>
              </w:rPr>
              <w:t>has</w:t>
            </w:r>
            <w:proofErr w:type="gramEnd"/>
            <w:r w:rsidRPr="5AB46587">
              <w:rPr>
                <w:rFonts w:asciiTheme="minorHAnsi" w:eastAsiaTheme="minorEastAsia" w:hAnsiTheme="minorHAnsi" w:cstheme="minorBidi"/>
                <w:sz w:val="22"/>
                <w:szCs w:val="22"/>
                <w:lang w:val="en-GB"/>
              </w:rPr>
              <w:t xml:space="preserve"> also doubled, from 600,000 in 2022 to 1.2 million views in 2024. </w:t>
            </w:r>
            <w:proofErr w:type="gramStart"/>
            <w:r w:rsidRPr="5AB46587">
              <w:rPr>
                <w:rFonts w:asciiTheme="minorHAnsi" w:eastAsiaTheme="minorEastAsia" w:hAnsiTheme="minorHAnsi" w:cstheme="minorBidi"/>
                <w:sz w:val="22"/>
                <w:szCs w:val="22"/>
                <w:lang w:val="en-GB"/>
              </w:rPr>
              <w:t>Again</w:t>
            </w:r>
            <w:proofErr w:type="gramEnd"/>
            <w:r w:rsidRPr="5AB46587">
              <w:rPr>
                <w:rFonts w:asciiTheme="minorHAnsi" w:eastAsiaTheme="minorEastAsia" w:hAnsiTheme="minorHAnsi" w:cstheme="minorBidi"/>
                <w:sz w:val="22"/>
                <w:szCs w:val="22"/>
                <w:lang w:val="en-GB"/>
              </w:rPr>
              <w:t xml:space="preserve"> engagement with Indonesian stakeholders is much higher than Australians, who represent just 40% of event attendees on average (see Table 6). This may be the result of events and forums increasingly being held in Indonesia, </w:t>
            </w:r>
            <w:proofErr w:type="gramStart"/>
            <w:r w:rsidRPr="5AB46587">
              <w:rPr>
                <w:rFonts w:asciiTheme="minorHAnsi" w:eastAsiaTheme="minorEastAsia" w:hAnsiTheme="minorHAnsi" w:cstheme="minorBidi"/>
                <w:sz w:val="22"/>
                <w:szCs w:val="22"/>
                <w:lang w:val="en-GB"/>
              </w:rPr>
              <w:t>which  is</w:t>
            </w:r>
            <w:proofErr w:type="gramEnd"/>
            <w:r w:rsidRPr="5AB46587">
              <w:rPr>
                <w:rFonts w:asciiTheme="minorHAnsi" w:eastAsiaTheme="minorEastAsia" w:hAnsiTheme="minorHAnsi" w:cstheme="minorBidi"/>
                <w:sz w:val="22"/>
                <w:szCs w:val="22"/>
                <w:lang w:val="en-GB"/>
              </w:rPr>
              <w:t xml:space="preserve"> potentially more cost-effective and impactful in terms of influencing local policy decision-making. However further engagement and communication with Australian students, researchers, and economists was an intention of Phase V which has not been fully realised. Key stakeholders consulted reported that the project needed to increase its reach within Australia and to ensure research is communicated in an accessible way to policymakers. However, it is unrealistic to expect more knowledge translation and dissemination within the current budget and without the allocation of additional resources.</w:t>
            </w:r>
          </w:p>
        </w:tc>
      </w:tr>
    </w:tbl>
    <w:p w14:paraId="3B2007D4" w14:textId="7D7807D1" w:rsidR="005A30AD" w:rsidRPr="00C042DE" w:rsidRDefault="3625B2D3" w:rsidP="00C042DE">
      <w:pPr>
        <w:widowControl w:val="0"/>
        <w:spacing w:before="120" w:beforeAutospacing="1"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Key stakeholder comment: </w:t>
      </w:r>
      <w:r w:rsidRPr="5AB46587">
        <w:rPr>
          <w:rFonts w:asciiTheme="minorHAnsi" w:eastAsiaTheme="minorEastAsia" w:hAnsiTheme="minorHAnsi" w:cstheme="minorBidi"/>
          <w:i/>
          <w:iCs/>
          <w:sz w:val="20"/>
          <w:szCs w:val="20"/>
        </w:rPr>
        <w:t xml:space="preserve">“I also feel there needs to be some more progression in understanding how policy makers want to have information presented to them... Because it’s academic, everything </w:t>
      </w:r>
      <w:proofErr w:type="gramStart"/>
      <w:r w:rsidRPr="5AB46587">
        <w:rPr>
          <w:rFonts w:asciiTheme="minorHAnsi" w:eastAsiaTheme="minorEastAsia" w:hAnsiTheme="minorHAnsi" w:cstheme="minorBidi"/>
          <w:i/>
          <w:iCs/>
          <w:sz w:val="20"/>
          <w:szCs w:val="20"/>
        </w:rPr>
        <w:t>has to</w:t>
      </w:r>
      <w:proofErr w:type="gramEnd"/>
      <w:r w:rsidRPr="5AB46587">
        <w:rPr>
          <w:rFonts w:asciiTheme="minorHAnsi" w:eastAsiaTheme="minorEastAsia" w:hAnsiTheme="minorHAnsi" w:cstheme="minorBidi"/>
          <w:i/>
          <w:iCs/>
          <w:sz w:val="20"/>
          <w:szCs w:val="20"/>
        </w:rPr>
        <w:t xml:space="preserve"> be very serious and very detailed and very evidenced. Because this needs to be defensible from an academic perspective, right? But on the other hand, political leaders or policy makers ... need everything concise and sharp and clear. I feel in some areas the Indonesia Project needs to ... compromise a bit, to be able to present information</w:t>
      </w:r>
      <w:r w:rsidR="00030DA1">
        <w:rPr>
          <w:rFonts w:asciiTheme="minorHAnsi" w:eastAsiaTheme="minorEastAsia" w:hAnsiTheme="minorHAnsi" w:cstheme="minorBidi"/>
          <w:i/>
          <w:iCs/>
          <w:sz w:val="20"/>
          <w:szCs w:val="20"/>
        </w:rPr>
        <w:t xml:space="preserve"> </w:t>
      </w:r>
      <w:r w:rsidRPr="5AB46587">
        <w:rPr>
          <w:rFonts w:asciiTheme="minorHAnsi" w:eastAsiaTheme="minorEastAsia" w:hAnsiTheme="minorHAnsi" w:cstheme="minorBidi"/>
          <w:i/>
          <w:iCs/>
          <w:sz w:val="20"/>
          <w:szCs w:val="20"/>
        </w:rPr>
        <w:lastRenderedPageBreak/>
        <w:t>quickly and in a manner that the user themselves prefer.”</w:t>
      </w:r>
    </w:p>
    <w:p w14:paraId="7A84078E" w14:textId="71EF8F96" w:rsidR="005A30AD" w:rsidRDefault="7E9B5E9C" w:rsidP="00385300">
      <w:pPr>
        <w:pStyle w:val="Heading4"/>
      </w:pPr>
      <w:r w:rsidRPr="5AB46587">
        <w:rPr>
          <w:lang w:val="en-GB"/>
        </w:rPr>
        <w:t xml:space="preserve">Table </w:t>
      </w:r>
      <w:r w:rsidR="3020575F" w:rsidRPr="5AB46587">
        <w:rPr>
          <w:lang w:val="en-GB"/>
        </w:rPr>
        <w:t>5</w:t>
      </w:r>
      <w:r w:rsidRPr="5AB46587">
        <w:rPr>
          <w:lang w:val="en-GB"/>
        </w:rPr>
        <w:t xml:space="preserve">: Online communications metrics 2022–2024 </w:t>
      </w: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1984"/>
        <w:gridCol w:w="1843"/>
        <w:gridCol w:w="2126"/>
      </w:tblGrid>
      <w:tr w:rsidR="00FA48EB" w:rsidRPr="0071628F" w14:paraId="45CD09B5" w14:textId="77777777" w:rsidTr="00AF535F">
        <w:trPr>
          <w:tblHeader/>
        </w:trPr>
        <w:tc>
          <w:tcPr>
            <w:tcW w:w="3114" w:type="dxa"/>
            <w:shd w:val="clear" w:color="auto" w:fill="B4C6E7" w:themeFill="accent1" w:themeFillTint="66"/>
          </w:tcPr>
          <w:p w14:paraId="6D959E90" w14:textId="5E955AA8" w:rsidR="00FA48EB" w:rsidRPr="00AF535F" w:rsidRDefault="67812218" w:rsidP="5AB46587">
            <w:pP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Communications metrics</w:t>
            </w:r>
          </w:p>
        </w:tc>
        <w:tc>
          <w:tcPr>
            <w:tcW w:w="1984" w:type="dxa"/>
            <w:shd w:val="clear" w:color="auto" w:fill="B4C6E7" w:themeFill="accent1" w:themeFillTint="66"/>
          </w:tcPr>
          <w:p w14:paraId="1FF0EC35" w14:textId="6805C273" w:rsidR="00FA48EB" w:rsidRPr="00AF535F" w:rsidRDefault="225F9F68"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2022</w:t>
            </w:r>
          </w:p>
        </w:tc>
        <w:tc>
          <w:tcPr>
            <w:tcW w:w="1843" w:type="dxa"/>
            <w:shd w:val="clear" w:color="auto" w:fill="B4C6E7" w:themeFill="accent1" w:themeFillTint="66"/>
          </w:tcPr>
          <w:p w14:paraId="78A26FDD" w14:textId="03D3C80C" w:rsidR="00FA48EB" w:rsidRPr="00AF535F" w:rsidRDefault="47C02A6B"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2023</w:t>
            </w:r>
          </w:p>
        </w:tc>
        <w:tc>
          <w:tcPr>
            <w:tcW w:w="2126" w:type="dxa"/>
            <w:shd w:val="clear" w:color="auto" w:fill="B4C6E7" w:themeFill="accent1" w:themeFillTint="66"/>
          </w:tcPr>
          <w:p w14:paraId="0AAA5D7C" w14:textId="0D1054D0" w:rsidR="00FA48EB" w:rsidRPr="00AF535F" w:rsidRDefault="47C02A6B" w:rsidP="5AB46587">
            <w:pPr>
              <w:autoSpaceDE w:val="0"/>
              <w:autoSpaceDN w:val="0"/>
              <w:adjustRightInd w:val="0"/>
              <w:jc w:val="center"/>
              <w:rPr>
                <w:rFonts w:asciiTheme="minorHAnsi" w:eastAsiaTheme="minorEastAsia" w:hAnsiTheme="minorHAnsi" w:cstheme="minorBidi"/>
                <w:b/>
                <w:bCs/>
                <w:color w:val="1F3864" w:themeColor="accent1" w:themeShade="80"/>
                <w:sz w:val="18"/>
                <w:szCs w:val="18"/>
                <w:lang w:val="en-US"/>
              </w:rPr>
            </w:pPr>
            <w:r w:rsidRPr="00AF535F">
              <w:rPr>
                <w:rFonts w:asciiTheme="minorHAnsi" w:eastAsiaTheme="minorEastAsia" w:hAnsiTheme="minorHAnsi" w:cstheme="minorBidi"/>
                <w:b/>
                <w:bCs/>
                <w:color w:val="1F3864" w:themeColor="accent1" w:themeShade="80"/>
                <w:sz w:val="18"/>
                <w:szCs w:val="18"/>
                <w:lang w:val="en-US"/>
              </w:rPr>
              <w:t>2024</w:t>
            </w:r>
          </w:p>
        </w:tc>
      </w:tr>
      <w:tr w:rsidR="00FA48EB" w:rsidRPr="0071628F" w14:paraId="57385993" w14:textId="77777777" w:rsidTr="5AB46587">
        <w:tc>
          <w:tcPr>
            <w:tcW w:w="3114" w:type="dxa"/>
          </w:tcPr>
          <w:p w14:paraId="0A660C8E" w14:textId="67175FDC" w:rsidR="00FA48EB" w:rsidRPr="0071628F" w:rsidRDefault="47C02A6B"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Website (unique visitors)</w:t>
            </w:r>
          </w:p>
        </w:tc>
        <w:tc>
          <w:tcPr>
            <w:tcW w:w="1984" w:type="dxa"/>
          </w:tcPr>
          <w:p w14:paraId="07FC52A6" w14:textId="432FCEAA" w:rsidR="00FA48EB" w:rsidRPr="0071628F" w:rsidRDefault="47C02A6B"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5,000</w:t>
            </w:r>
          </w:p>
        </w:tc>
        <w:tc>
          <w:tcPr>
            <w:tcW w:w="1843" w:type="dxa"/>
          </w:tcPr>
          <w:p w14:paraId="75FB511B" w14:textId="37361627" w:rsidR="00FA48EB" w:rsidRPr="0071628F" w:rsidRDefault="2701525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Unknown</w:t>
            </w:r>
            <w:r w:rsidR="7E9B5E9C" w:rsidRPr="5AB46587">
              <w:rPr>
                <w:rFonts w:asciiTheme="minorHAnsi" w:eastAsiaTheme="minorEastAsia" w:hAnsiTheme="minorHAnsi" w:cstheme="minorBidi"/>
                <w:sz w:val="18"/>
                <w:szCs w:val="18"/>
                <w:lang w:val="en-GB"/>
              </w:rPr>
              <w:t>*</w:t>
            </w:r>
          </w:p>
        </w:tc>
        <w:tc>
          <w:tcPr>
            <w:tcW w:w="2126" w:type="dxa"/>
          </w:tcPr>
          <w:p w14:paraId="45636D33" w14:textId="4C114C5F" w:rsidR="00FA48EB" w:rsidRPr="0071628F" w:rsidRDefault="47C02A6B"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29,979</w:t>
            </w:r>
          </w:p>
        </w:tc>
      </w:tr>
      <w:tr w:rsidR="00FA48EB" w:rsidRPr="0071628F" w14:paraId="51F86E05" w14:textId="77777777" w:rsidTr="5AB46587">
        <w:tc>
          <w:tcPr>
            <w:tcW w:w="3114" w:type="dxa"/>
          </w:tcPr>
          <w:p w14:paraId="696718A3" w14:textId="6D352783" w:rsidR="00FA48EB" w:rsidRDefault="47C02A6B"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Blog (views)</w:t>
            </w:r>
          </w:p>
        </w:tc>
        <w:tc>
          <w:tcPr>
            <w:tcW w:w="1984" w:type="dxa"/>
          </w:tcPr>
          <w:p w14:paraId="33291023" w14:textId="32F2A923" w:rsidR="00CE65AC" w:rsidRPr="0071628F" w:rsidRDefault="225F9F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9,000</w:t>
            </w:r>
          </w:p>
        </w:tc>
        <w:tc>
          <w:tcPr>
            <w:tcW w:w="1843" w:type="dxa"/>
          </w:tcPr>
          <w:p w14:paraId="495CF045" w14:textId="5904A177" w:rsidR="00FA48EB" w:rsidRPr="0071628F" w:rsidRDefault="6781221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Unknown</w:t>
            </w:r>
          </w:p>
        </w:tc>
        <w:tc>
          <w:tcPr>
            <w:tcW w:w="2126" w:type="dxa"/>
          </w:tcPr>
          <w:p w14:paraId="0D7A73F1" w14:textId="27665E58" w:rsidR="00FA48EB" w:rsidRPr="0071628F" w:rsidRDefault="27015257"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9,300</w:t>
            </w:r>
          </w:p>
        </w:tc>
      </w:tr>
      <w:tr w:rsidR="00173FB0" w:rsidRPr="0071628F" w14:paraId="4C1222D6" w14:textId="77777777" w:rsidTr="5AB46587">
        <w:tc>
          <w:tcPr>
            <w:tcW w:w="3114" w:type="dxa"/>
          </w:tcPr>
          <w:p w14:paraId="52968CF0" w14:textId="06558313" w:rsidR="00173FB0" w:rsidRPr="0071628F" w:rsidRDefault="225F9F68"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FKP website (visitors)</w:t>
            </w:r>
          </w:p>
        </w:tc>
        <w:tc>
          <w:tcPr>
            <w:tcW w:w="1984" w:type="dxa"/>
          </w:tcPr>
          <w:p w14:paraId="74A9C710" w14:textId="15C9ADBD" w:rsidR="00173FB0" w:rsidRPr="0071628F" w:rsidRDefault="225F9F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200,000</w:t>
            </w:r>
          </w:p>
        </w:tc>
        <w:tc>
          <w:tcPr>
            <w:tcW w:w="1843" w:type="dxa"/>
          </w:tcPr>
          <w:p w14:paraId="30469A50" w14:textId="21B33BCE" w:rsidR="00173FB0" w:rsidRPr="0071628F" w:rsidRDefault="6781221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Unknown</w:t>
            </w:r>
          </w:p>
        </w:tc>
        <w:tc>
          <w:tcPr>
            <w:tcW w:w="2126" w:type="dxa"/>
          </w:tcPr>
          <w:p w14:paraId="1F9ABF50" w14:textId="28B85886" w:rsidR="00173FB0" w:rsidRPr="0071628F" w:rsidRDefault="225F9F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200,000</w:t>
            </w:r>
          </w:p>
        </w:tc>
      </w:tr>
      <w:tr w:rsidR="00173FB0" w:rsidRPr="0071628F" w14:paraId="4CD071BB" w14:textId="77777777" w:rsidTr="5AB46587">
        <w:tc>
          <w:tcPr>
            <w:tcW w:w="3114" w:type="dxa"/>
          </w:tcPr>
          <w:p w14:paraId="0F896D72" w14:textId="6EC9A6B8" w:rsidR="00173FB0" w:rsidRPr="00A151EB" w:rsidRDefault="225F9F68"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FKP website (page views)</w:t>
            </w:r>
          </w:p>
        </w:tc>
        <w:tc>
          <w:tcPr>
            <w:tcW w:w="1984" w:type="dxa"/>
          </w:tcPr>
          <w:p w14:paraId="263871DA" w14:textId="751AF4B6" w:rsidR="00173FB0" w:rsidRPr="00A151EB" w:rsidRDefault="225F9F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600,000</w:t>
            </w:r>
          </w:p>
        </w:tc>
        <w:tc>
          <w:tcPr>
            <w:tcW w:w="1843" w:type="dxa"/>
          </w:tcPr>
          <w:p w14:paraId="5E747DF4" w14:textId="740A250D" w:rsidR="00173FB0" w:rsidRPr="00A151EB" w:rsidRDefault="6781221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Unknown</w:t>
            </w:r>
          </w:p>
        </w:tc>
        <w:tc>
          <w:tcPr>
            <w:tcW w:w="2126" w:type="dxa"/>
          </w:tcPr>
          <w:p w14:paraId="3610D79A" w14:textId="652806BC" w:rsidR="00173FB0" w:rsidRPr="00A151EB" w:rsidRDefault="225F9F68" w:rsidP="5AB46587">
            <w:pPr>
              <w:jc w:val="center"/>
              <w:rPr>
                <w:rFonts w:asciiTheme="minorHAnsi" w:eastAsiaTheme="minorEastAsia" w:hAnsiTheme="minorHAnsi" w:cstheme="minorBidi"/>
                <w:sz w:val="18"/>
                <w:szCs w:val="18"/>
                <w:lang w:val="en-GB"/>
              </w:rPr>
            </w:pPr>
            <w:proofErr w:type="gramStart"/>
            <w:r w:rsidRPr="5AB46587">
              <w:rPr>
                <w:rFonts w:asciiTheme="minorHAnsi" w:eastAsiaTheme="minorEastAsia" w:hAnsiTheme="minorHAnsi" w:cstheme="minorBidi"/>
                <w:sz w:val="18"/>
                <w:szCs w:val="18"/>
                <w:lang w:val="en-GB"/>
              </w:rPr>
              <w:t>1.2 million page</w:t>
            </w:r>
            <w:proofErr w:type="gramEnd"/>
            <w:r w:rsidRPr="5AB46587">
              <w:rPr>
                <w:rFonts w:asciiTheme="minorHAnsi" w:eastAsiaTheme="minorEastAsia" w:hAnsiTheme="minorHAnsi" w:cstheme="minorBidi"/>
                <w:sz w:val="18"/>
                <w:szCs w:val="18"/>
                <w:lang w:val="en-GB"/>
              </w:rPr>
              <w:t xml:space="preserve"> views</w:t>
            </w:r>
          </w:p>
        </w:tc>
      </w:tr>
      <w:tr w:rsidR="00FA48EB" w:rsidRPr="0071628F" w14:paraId="4D83DB90" w14:textId="77777777" w:rsidTr="5AB46587">
        <w:tc>
          <w:tcPr>
            <w:tcW w:w="3114" w:type="dxa"/>
          </w:tcPr>
          <w:p w14:paraId="6069FEAF" w14:textId="5B9D668A" w:rsidR="00FA48EB" w:rsidRPr="00A151EB" w:rsidRDefault="47C02A6B"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Mailing list subscribers</w:t>
            </w:r>
          </w:p>
        </w:tc>
        <w:tc>
          <w:tcPr>
            <w:tcW w:w="1984" w:type="dxa"/>
          </w:tcPr>
          <w:p w14:paraId="5D5C5ECE" w14:textId="3F12923E" w:rsidR="00FA48EB" w:rsidRPr="00A151EB" w:rsidRDefault="225F9F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6,874</w:t>
            </w:r>
          </w:p>
        </w:tc>
        <w:tc>
          <w:tcPr>
            <w:tcW w:w="1843" w:type="dxa"/>
          </w:tcPr>
          <w:p w14:paraId="3BADFFDE" w14:textId="268BA1CF" w:rsidR="00FA48EB" w:rsidRPr="00A151EB" w:rsidRDefault="225F9F6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Unknown</w:t>
            </w:r>
          </w:p>
        </w:tc>
        <w:tc>
          <w:tcPr>
            <w:tcW w:w="2126" w:type="dxa"/>
          </w:tcPr>
          <w:p w14:paraId="1D3DCB3B" w14:textId="79CEC19B" w:rsidR="00FA48EB" w:rsidRPr="00A151EB" w:rsidRDefault="47C02A6B"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6,500</w:t>
            </w:r>
          </w:p>
        </w:tc>
      </w:tr>
      <w:tr w:rsidR="00FA48EB" w:rsidRPr="0071628F" w14:paraId="78DD53E7" w14:textId="77777777" w:rsidTr="5AB46587">
        <w:tc>
          <w:tcPr>
            <w:tcW w:w="3114" w:type="dxa"/>
          </w:tcPr>
          <w:p w14:paraId="71D26234" w14:textId="14F80BDF" w:rsidR="00FA48EB" w:rsidRPr="00A151EB" w:rsidRDefault="47C02A6B" w:rsidP="5AB46587">
            <w:pPr>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 xml:space="preserve">Social media followers </w:t>
            </w:r>
            <w:r w:rsidR="67812218" w:rsidRPr="5AB46587">
              <w:rPr>
                <w:rFonts w:asciiTheme="minorHAnsi" w:eastAsiaTheme="minorEastAsia" w:hAnsiTheme="minorHAnsi" w:cstheme="minorBidi"/>
                <w:sz w:val="18"/>
                <w:szCs w:val="18"/>
              </w:rPr>
              <w:t>(total)</w:t>
            </w:r>
          </w:p>
        </w:tc>
        <w:tc>
          <w:tcPr>
            <w:tcW w:w="1984" w:type="dxa"/>
          </w:tcPr>
          <w:p w14:paraId="2F0E5955" w14:textId="7B7A0415" w:rsidR="00FA48EB" w:rsidRPr="00A151EB" w:rsidRDefault="6781221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Unknown</w:t>
            </w:r>
          </w:p>
        </w:tc>
        <w:tc>
          <w:tcPr>
            <w:tcW w:w="1843" w:type="dxa"/>
          </w:tcPr>
          <w:p w14:paraId="5485CFD8" w14:textId="429DFD63" w:rsidR="00FA48EB" w:rsidRPr="00A151EB" w:rsidRDefault="67812218"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~36,308</w:t>
            </w:r>
          </w:p>
        </w:tc>
        <w:tc>
          <w:tcPr>
            <w:tcW w:w="2126" w:type="dxa"/>
          </w:tcPr>
          <w:p w14:paraId="2C8373A0" w14:textId="45AE2A48" w:rsidR="00FA48EB" w:rsidRPr="00A151EB" w:rsidRDefault="47C02A6B" w:rsidP="5AB46587">
            <w:pPr>
              <w:jc w:val="center"/>
              <w:rPr>
                <w:rFonts w:asciiTheme="minorHAnsi" w:eastAsiaTheme="minorEastAsia" w:hAnsiTheme="minorHAnsi" w:cstheme="minorBidi"/>
                <w:sz w:val="18"/>
                <w:szCs w:val="18"/>
                <w:lang w:val="en-GB"/>
              </w:rPr>
            </w:pPr>
            <w:r w:rsidRPr="5AB46587">
              <w:rPr>
                <w:rFonts w:asciiTheme="minorHAnsi" w:eastAsiaTheme="minorEastAsia" w:hAnsiTheme="minorHAnsi" w:cstheme="minorBidi"/>
                <w:sz w:val="18"/>
                <w:szCs w:val="18"/>
                <w:lang w:val="en-GB"/>
              </w:rPr>
              <w:t>41,385</w:t>
            </w:r>
          </w:p>
        </w:tc>
      </w:tr>
    </w:tbl>
    <w:p w14:paraId="725091DE" w14:textId="10C14D86" w:rsidR="005A30AD" w:rsidRDefault="004DB8EB" w:rsidP="5AB46587">
      <w:pPr>
        <w:rPr>
          <w:rFonts w:asciiTheme="minorHAnsi" w:eastAsiaTheme="minorEastAsia" w:hAnsiTheme="minorHAnsi" w:cstheme="minorBidi"/>
          <w:sz w:val="22"/>
          <w:szCs w:val="22"/>
        </w:rPr>
      </w:pPr>
      <w:r w:rsidRPr="5AB46587">
        <w:rPr>
          <w:rFonts w:asciiTheme="minorHAnsi" w:eastAsiaTheme="minorEastAsia" w:hAnsiTheme="minorHAnsi" w:cstheme="minorBidi"/>
          <w:i/>
          <w:iCs/>
          <w:sz w:val="15"/>
          <w:szCs w:val="15"/>
          <w:lang w:val="en-GB"/>
        </w:rPr>
        <w:t>Note:</w:t>
      </w:r>
      <w:r w:rsidR="7E9B5E9C" w:rsidRPr="5AB46587">
        <w:rPr>
          <w:rFonts w:asciiTheme="minorHAnsi" w:eastAsiaTheme="minorEastAsia" w:hAnsiTheme="minorHAnsi" w:cstheme="minorBidi"/>
          <w:i/>
          <w:iCs/>
          <w:sz w:val="15"/>
          <w:szCs w:val="15"/>
          <w:lang w:val="en-GB"/>
        </w:rPr>
        <w:t xml:space="preserve"> This data has been extracted from the Interim Phase (Jan 2021-Nov 2022) Completion Report and the Annual Report 2024</w:t>
      </w:r>
    </w:p>
    <w:p w14:paraId="3BEE360C" w14:textId="77777777" w:rsidR="00891727" w:rsidRDefault="00891727" w:rsidP="5AB46587">
      <w:pPr>
        <w:rPr>
          <w:rFonts w:asciiTheme="minorHAnsi" w:eastAsiaTheme="minorEastAsia" w:hAnsiTheme="minorHAnsi" w:cstheme="minorBidi"/>
          <w:i/>
          <w:iCs/>
          <w:sz w:val="22"/>
          <w:szCs w:val="22"/>
          <w:lang w:val="en-GB"/>
        </w:rPr>
      </w:pPr>
      <w:r w:rsidRPr="5AB46587">
        <w:rPr>
          <w:rFonts w:asciiTheme="minorHAnsi" w:eastAsiaTheme="minorEastAsia" w:hAnsiTheme="minorHAnsi" w:cstheme="minorBidi"/>
          <w:i/>
          <w:iCs/>
          <w:sz w:val="22"/>
          <w:szCs w:val="22"/>
          <w:lang w:val="en-GB"/>
        </w:rPr>
        <w:br w:type="page"/>
      </w:r>
    </w:p>
    <w:p w14:paraId="3CBD21F3" w14:textId="42330FB4" w:rsidR="009247C9" w:rsidRPr="00451C3B" w:rsidRDefault="40CEDA0E" w:rsidP="00385300">
      <w:pPr>
        <w:pStyle w:val="Heading4"/>
        <w:rPr>
          <w:lang w:val="en-GB"/>
        </w:rPr>
      </w:pPr>
      <w:r w:rsidRPr="5AB46587">
        <w:rPr>
          <w:lang w:val="en-GB"/>
        </w:rPr>
        <w:lastRenderedPageBreak/>
        <w:t xml:space="preserve">Table </w:t>
      </w:r>
      <w:r w:rsidR="3020575F" w:rsidRPr="5AB46587">
        <w:rPr>
          <w:lang w:val="en-GB"/>
        </w:rPr>
        <w:t>6</w:t>
      </w:r>
      <w:r w:rsidRPr="5AB46587">
        <w:rPr>
          <w:lang w:val="en-GB"/>
        </w:rPr>
        <w:t>: Events and attendance numbers/breakdown</w:t>
      </w:r>
      <w:r w:rsidR="5DF68F34" w:rsidRPr="5AB46587">
        <w:rPr>
          <w:lang w:val="en-GB"/>
        </w:rPr>
        <w:t xml:space="preserve"> 2023–2025 </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370"/>
        <w:gridCol w:w="1556"/>
      </w:tblGrid>
      <w:tr w:rsidR="5AB46587" w14:paraId="424D3538" w14:textId="77777777" w:rsidTr="001F290C">
        <w:trPr>
          <w:trHeight w:val="300"/>
          <w:tblHeader/>
        </w:trPr>
        <w:tc>
          <w:tcPr>
            <w:tcW w:w="5370" w:type="dxa"/>
            <w:shd w:val="clear" w:color="auto" w:fill="B4C6E7" w:themeFill="accent1" w:themeFillTint="66"/>
            <w:vAlign w:val="center"/>
          </w:tcPr>
          <w:p w14:paraId="4AFB78B4" w14:textId="0DC5F6AF" w:rsidR="5AB46587" w:rsidRPr="00AF535F"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AF535F">
              <w:rPr>
                <w:rFonts w:asciiTheme="minorHAnsi" w:eastAsiaTheme="minorEastAsia" w:hAnsiTheme="minorHAnsi" w:cstheme="minorBidi"/>
                <w:b/>
                <w:bCs/>
                <w:color w:val="1F3864" w:themeColor="accent1" w:themeShade="80"/>
                <w:sz w:val="18"/>
                <w:szCs w:val="18"/>
              </w:rPr>
              <w:t>Demographic category</w:t>
            </w:r>
          </w:p>
        </w:tc>
        <w:tc>
          <w:tcPr>
            <w:tcW w:w="1556" w:type="dxa"/>
            <w:shd w:val="clear" w:color="auto" w:fill="B4C6E7" w:themeFill="accent1" w:themeFillTint="66"/>
            <w:vAlign w:val="center"/>
          </w:tcPr>
          <w:p w14:paraId="4CB919E4" w14:textId="274F432B" w:rsidR="5AB46587" w:rsidRPr="00AF535F"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AF535F">
              <w:rPr>
                <w:rFonts w:asciiTheme="minorHAnsi" w:eastAsiaTheme="minorEastAsia" w:hAnsiTheme="minorHAnsi" w:cstheme="minorBidi"/>
                <w:b/>
                <w:bCs/>
                <w:color w:val="1F3864" w:themeColor="accent1" w:themeShade="80"/>
                <w:sz w:val="18"/>
                <w:szCs w:val="18"/>
              </w:rPr>
              <w:t>Percentage</w:t>
            </w:r>
          </w:p>
        </w:tc>
      </w:tr>
      <w:tr w:rsidR="5AB46587" w14:paraId="2A436469" w14:textId="77777777" w:rsidTr="001F290C">
        <w:trPr>
          <w:trHeight w:val="300"/>
        </w:trPr>
        <w:tc>
          <w:tcPr>
            <w:tcW w:w="5370" w:type="dxa"/>
            <w:shd w:val="clear" w:color="auto" w:fill="FFFFFF" w:themeFill="background1"/>
            <w:vAlign w:val="center"/>
          </w:tcPr>
          <w:p w14:paraId="26ABEED5" w14:textId="12971503" w:rsidR="5AB46587" w:rsidRPr="00AF535F" w:rsidRDefault="5AB46587" w:rsidP="5AB46587">
            <w:pPr>
              <w:spacing w:line="300" w:lineRule="auto"/>
              <w:rPr>
                <w:rFonts w:asciiTheme="minorHAnsi" w:eastAsiaTheme="minorEastAsia" w:hAnsiTheme="minorHAnsi" w:cstheme="minorBidi"/>
                <w:sz w:val="18"/>
                <w:szCs w:val="18"/>
              </w:rPr>
            </w:pPr>
            <w:r w:rsidRPr="00AF535F">
              <w:rPr>
                <w:rFonts w:asciiTheme="minorHAnsi" w:eastAsiaTheme="minorEastAsia" w:hAnsiTheme="minorHAnsi" w:cstheme="minorBidi"/>
                <w:sz w:val="18"/>
                <w:szCs w:val="18"/>
              </w:rPr>
              <w:t>Female attendees</w:t>
            </w:r>
          </w:p>
        </w:tc>
        <w:tc>
          <w:tcPr>
            <w:tcW w:w="1556" w:type="dxa"/>
            <w:shd w:val="clear" w:color="auto" w:fill="FFFFFF" w:themeFill="background1"/>
            <w:vAlign w:val="center"/>
          </w:tcPr>
          <w:p w14:paraId="71E3A6DD" w14:textId="554575FE" w:rsidR="5AB46587" w:rsidRPr="00AF535F" w:rsidRDefault="5AB46587" w:rsidP="5AB46587">
            <w:pPr>
              <w:spacing w:line="300" w:lineRule="auto"/>
              <w:rPr>
                <w:rFonts w:asciiTheme="minorHAnsi" w:eastAsiaTheme="minorEastAsia" w:hAnsiTheme="minorHAnsi" w:cstheme="minorBidi"/>
                <w:sz w:val="18"/>
                <w:szCs w:val="18"/>
              </w:rPr>
            </w:pPr>
            <w:r w:rsidRPr="00AF535F">
              <w:rPr>
                <w:rFonts w:asciiTheme="minorHAnsi" w:eastAsiaTheme="minorEastAsia" w:hAnsiTheme="minorHAnsi" w:cstheme="minorBidi"/>
                <w:sz w:val="18"/>
                <w:szCs w:val="18"/>
              </w:rPr>
              <w:t>49%</w:t>
            </w:r>
          </w:p>
        </w:tc>
      </w:tr>
      <w:tr w:rsidR="5AB46587" w14:paraId="1AB118C4" w14:textId="77777777" w:rsidTr="001F290C">
        <w:trPr>
          <w:trHeight w:val="300"/>
        </w:trPr>
        <w:tc>
          <w:tcPr>
            <w:tcW w:w="5370" w:type="dxa"/>
            <w:vAlign w:val="center"/>
          </w:tcPr>
          <w:p w14:paraId="1BA0E8C7" w14:textId="5CF95FC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Male attendees</w:t>
            </w:r>
          </w:p>
        </w:tc>
        <w:tc>
          <w:tcPr>
            <w:tcW w:w="1556" w:type="dxa"/>
            <w:vAlign w:val="center"/>
          </w:tcPr>
          <w:p w14:paraId="4711F7AE" w14:textId="748B1199"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50%</w:t>
            </w:r>
          </w:p>
        </w:tc>
      </w:tr>
      <w:tr w:rsidR="5AB46587" w14:paraId="51298CC1" w14:textId="77777777" w:rsidTr="001F290C">
        <w:trPr>
          <w:trHeight w:val="300"/>
        </w:trPr>
        <w:tc>
          <w:tcPr>
            <w:tcW w:w="5370" w:type="dxa"/>
            <w:vAlign w:val="center"/>
          </w:tcPr>
          <w:p w14:paraId="7FA035F3" w14:textId="3952645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aged 30 and under</w:t>
            </w:r>
          </w:p>
        </w:tc>
        <w:tc>
          <w:tcPr>
            <w:tcW w:w="1556" w:type="dxa"/>
            <w:vAlign w:val="center"/>
          </w:tcPr>
          <w:p w14:paraId="31521EBB" w14:textId="5DAA7CFA"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26%</w:t>
            </w:r>
          </w:p>
        </w:tc>
      </w:tr>
      <w:tr w:rsidR="5AB46587" w14:paraId="5CBE3177" w14:textId="77777777" w:rsidTr="001F290C">
        <w:trPr>
          <w:trHeight w:val="300"/>
        </w:trPr>
        <w:tc>
          <w:tcPr>
            <w:tcW w:w="5370" w:type="dxa"/>
            <w:vAlign w:val="center"/>
          </w:tcPr>
          <w:p w14:paraId="65BAC3D1" w14:textId="02D880C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aged 30–39</w:t>
            </w:r>
          </w:p>
        </w:tc>
        <w:tc>
          <w:tcPr>
            <w:tcW w:w="1556" w:type="dxa"/>
            <w:vAlign w:val="center"/>
          </w:tcPr>
          <w:p w14:paraId="5DD53100" w14:textId="18B2B77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32%</w:t>
            </w:r>
          </w:p>
        </w:tc>
      </w:tr>
      <w:tr w:rsidR="5AB46587" w14:paraId="13556512" w14:textId="77777777" w:rsidTr="001F290C">
        <w:trPr>
          <w:trHeight w:val="300"/>
        </w:trPr>
        <w:tc>
          <w:tcPr>
            <w:tcW w:w="5370" w:type="dxa"/>
            <w:vAlign w:val="center"/>
          </w:tcPr>
          <w:p w14:paraId="502E2E2A" w14:textId="7CAA244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aged 40–49</w:t>
            </w:r>
          </w:p>
        </w:tc>
        <w:tc>
          <w:tcPr>
            <w:tcW w:w="1556" w:type="dxa"/>
            <w:vAlign w:val="center"/>
          </w:tcPr>
          <w:p w14:paraId="5485BA37" w14:textId="2FE84914"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20%</w:t>
            </w:r>
          </w:p>
        </w:tc>
      </w:tr>
      <w:tr w:rsidR="5AB46587" w14:paraId="4ED650E9" w14:textId="77777777" w:rsidTr="001F290C">
        <w:trPr>
          <w:trHeight w:val="300"/>
        </w:trPr>
        <w:tc>
          <w:tcPr>
            <w:tcW w:w="5370" w:type="dxa"/>
            <w:vAlign w:val="center"/>
          </w:tcPr>
          <w:p w14:paraId="4D7EA2BF" w14:textId="1587D97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aged 50–59</w:t>
            </w:r>
          </w:p>
        </w:tc>
        <w:tc>
          <w:tcPr>
            <w:tcW w:w="1556" w:type="dxa"/>
            <w:vAlign w:val="center"/>
          </w:tcPr>
          <w:p w14:paraId="19FD2E98" w14:textId="5DF9957E"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12%</w:t>
            </w:r>
          </w:p>
        </w:tc>
      </w:tr>
      <w:tr w:rsidR="5AB46587" w14:paraId="00603F33" w14:textId="77777777" w:rsidTr="001F290C">
        <w:trPr>
          <w:trHeight w:val="300"/>
        </w:trPr>
        <w:tc>
          <w:tcPr>
            <w:tcW w:w="5370" w:type="dxa"/>
            <w:vAlign w:val="center"/>
          </w:tcPr>
          <w:p w14:paraId="2E8FF90F" w14:textId="5DDBDAE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aged 60 and above</w:t>
            </w:r>
          </w:p>
        </w:tc>
        <w:tc>
          <w:tcPr>
            <w:tcW w:w="1556" w:type="dxa"/>
            <w:vAlign w:val="center"/>
          </w:tcPr>
          <w:p w14:paraId="4961A944" w14:textId="2010022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10%</w:t>
            </w:r>
          </w:p>
        </w:tc>
      </w:tr>
      <w:tr w:rsidR="5AB46587" w14:paraId="2F546106" w14:textId="77777777" w:rsidTr="001F290C">
        <w:trPr>
          <w:trHeight w:val="300"/>
        </w:trPr>
        <w:tc>
          <w:tcPr>
            <w:tcW w:w="5370" w:type="dxa"/>
            <w:vAlign w:val="center"/>
          </w:tcPr>
          <w:p w14:paraId="5F0B79AE" w14:textId="121D152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universities</w:t>
            </w:r>
          </w:p>
        </w:tc>
        <w:tc>
          <w:tcPr>
            <w:tcW w:w="1556" w:type="dxa"/>
            <w:vAlign w:val="center"/>
          </w:tcPr>
          <w:p w14:paraId="49246A48" w14:textId="1F22815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49%</w:t>
            </w:r>
          </w:p>
        </w:tc>
      </w:tr>
      <w:tr w:rsidR="5AB46587" w14:paraId="0AF51998" w14:textId="77777777" w:rsidTr="001F290C">
        <w:trPr>
          <w:trHeight w:val="300"/>
        </w:trPr>
        <w:tc>
          <w:tcPr>
            <w:tcW w:w="5370" w:type="dxa"/>
            <w:vAlign w:val="center"/>
          </w:tcPr>
          <w:p w14:paraId="08074C35" w14:textId="75470A7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government</w:t>
            </w:r>
          </w:p>
        </w:tc>
        <w:tc>
          <w:tcPr>
            <w:tcW w:w="1556" w:type="dxa"/>
            <w:vAlign w:val="center"/>
          </w:tcPr>
          <w:p w14:paraId="7502A941" w14:textId="3D9C01A6"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19%</w:t>
            </w:r>
          </w:p>
        </w:tc>
      </w:tr>
      <w:tr w:rsidR="5AB46587" w14:paraId="195DA08A" w14:textId="77777777" w:rsidTr="001F290C">
        <w:trPr>
          <w:trHeight w:val="300"/>
        </w:trPr>
        <w:tc>
          <w:tcPr>
            <w:tcW w:w="5370" w:type="dxa"/>
            <w:vAlign w:val="center"/>
          </w:tcPr>
          <w:p w14:paraId="52B1AB3D" w14:textId="461B2839"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research organisations or NGOs</w:t>
            </w:r>
          </w:p>
        </w:tc>
        <w:tc>
          <w:tcPr>
            <w:tcW w:w="1556" w:type="dxa"/>
            <w:vAlign w:val="center"/>
          </w:tcPr>
          <w:p w14:paraId="08600BEA" w14:textId="7B2ED732"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16%</w:t>
            </w:r>
          </w:p>
        </w:tc>
      </w:tr>
      <w:tr w:rsidR="5AB46587" w14:paraId="41F30677" w14:textId="77777777" w:rsidTr="001F290C">
        <w:trPr>
          <w:trHeight w:val="300"/>
        </w:trPr>
        <w:tc>
          <w:tcPr>
            <w:tcW w:w="5370" w:type="dxa"/>
            <w:vAlign w:val="center"/>
          </w:tcPr>
          <w:p w14:paraId="4180E8E7" w14:textId="323691A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the private sector</w:t>
            </w:r>
          </w:p>
        </w:tc>
        <w:tc>
          <w:tcPr>
            <w:tcW w:w="1556" w:type="dxa"/>
            <w:vAlign w:val="center"/>
          </w:tcPr>
          <w:p w14:paraId="3BAA5950" w14:textId="41E31F47"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7%</w:t>
            </w:r>
          </w:p>
        </w:tc>
      </w:tr>
      <w:tr w:rsidR="5AB46587" w14:paraId="20A79430" w14:textId="77777777" w:rsidTr="001F290C">
        <w:trPr>
          <w:trHeight w:val="300"/>
        </w:trPr>
        <w:tc>
          <w:tcPr>
            <w:tcW w:w="5370" w:type="dxa"/>
            <w:vAlign w:val="center"/>
          </w:tcPr>
          <w:p w14:paraId="72950811" w14:textId="3AA9CAB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media</w:t>
            </w:r>
          </w:p>
        </w:tc>
        <w:tc>
          <w:tcPr>
            <w:tcW w:w="1556" w:type="dxa"/>
            <w:vAlign w:val="center"/>
          </w:tcPr>
          <w:p w14:paraId="74F26E15" w14:textId="6B839C94"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2%</w:t>
            </w:r>
          </w:p>
        </w:tc>
      </w:tr>
      <w:tr w:rsidR="5AB46587" w14:paraId="496DEA95" w14:textId="77777777" w:rsidTr="001F290C">
        <w:trPr>
          <w:trHeight w:val="300"/>
        </w:trPr>
        <w:tc>
          <w:tcPr>
            <w:tcW w:w="5370" w:type="dxa"/>
            <w:vAlign w:val="center"/>
          </w:tcPr>
          <w:p w14:paraId="1D6D0515" w14:textId="370451A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Retired attendees</w:t>
            </w:r>
          </w:p>
        </w:tc>
        <w:tc>
          <w:tcPr>
            <w:tcW w:w="1556" w:type="dxa"/>
            <w:vAlign w:val="center"/>
          </w:tcPr>
          <w:p w14:paraId="55A89678" w14:textId="0A0094C3"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3%</w:t>
            </w:r>
          </w:p>
        </w:tc>
      </w:tr>
      <w:tr w:rsidR="5AB46587" w14:paraId="68B1D280" w14:textId="77777777" w:rsidTr="001F290C">
        <w:trPr>
          <w:trHeight w:val="300"/>
        </w:trPr>
        <w:tc>
          <w:tcPr>
            <w:tcW w:w="5370" w:type="dxa"/>
            <w:vAlign w:val="center"/>
          </w:tcPr>
          <w:p w14:paraId="7330BAB1" w14:textId="41A9C56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who are students</w:t>
            </w:r>
          </w:p>
        </w:tc>
        <w:tc>
          <w:tcPr>
            <w:tcW w:w="1556" w:type="dxa"/>
            <w:vAlign w:val="center"/>
          </w:tcPr>
          <w:p w14:paraId="2EC0BBD9" w14:textId="4FDD1887"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31%</w:t>
            </w:r>
          </w:p>
        </w:tc>
      </w:tr>
      <w:tr w:rsidR="5AB46587" w14:paraId="0CA96EE6" w14:textId="77777777" w:rsidTr="001F290C">
        <w:trPr>
          <w:trHeight w:val="300"/>
        </w:trPr>
        <w:tc>
          <w:tcPr>
            <w:tcW w:w="5370" w:type="dxa"/>
            <w:vAlign w:val="center"/>
          </w:tcPr>
          <w:p w14:paraId="63BE0E2A" w14:textId="05C2DA2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Australia</w:t>
            </w:r>
          </w:p>
        </w:tc>
        <w:tc>
          <w:tcPr>
            <w:tcW w:w="1556" w:type="dxa"/>
            <w:vAlign w:val="center"/>
          </w:tcPr>
          <w:p w14:paraId="2DCF2FCA" w14:textId="08AC25EA"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~40%</w:t>
            </w:r>
          </w:p>
        </w:tc>
      </w:tr>
      <w:tr w:rsidR="5AB46587" w14:paraId="2EC5481D" w14:textId="77777777" w:rsidTr="001F290C">
        <w:trPr>
          <w:trHeight w:val="300"/>
        </w:trPr>
        <w:tc>
          <w:tcPr>
            <w:tcW w:w="5370" w:type="dxa"/>
            <w:vAlign w:val="center"/>
          </w:tcPr>
          <w:p w14:paraId="6BC8D62C" w14:textId="20161D07"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Attendees from Indonesia</w:t>
            </w:r>
          </w:p>
        </w:tc>
        <w:tc>
          <w:tcPr>
            <w:tcW w:w="1556" w:type="dxa"/>
            <w:vAlign w:val="center"/>
          </w:tcPr>
          <w:p w14:paraId="776C9E7F" w14:textId="6F64A6A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~60%</w:t>
            </w:r>
          </w:p>
        </w:tc>
      </w:tr>
    </w:tbl>
    <w:p w14:paraId="13A4FDD4" w14:textId="13F37263" w:rsidR="5AB46587" w:rsidRDefault="00030DA1" w:rsidP="5AB46587">
      <w:pPr>
        <w:spacing w:before="120" w:after="120"/>
        <w:rPr>
          <w:rFonts w:asciiTheme="minorHAnsi" w:eastAsiaTheme="minorEastAsia" w:hAnsiTheme="minorHAnsi" w:cstheme="minorBidi"/>
          <w:sz w:val="22"/>
          <w:szCs w:val="22"/>
          <w:lang w:val="en-GB"/>
        </w:rPr>
      </w:pPr>
      <w:r w:rsidRPr="5AB46587">
        <w:rPr>
          <w:rStyle w:val="FootnoteReference"/>
          <w:rFonts w:asciiTheme="majorHAnsi" w:hAnsiTheme="majorHAnsi" w:cstheme="majorBidi"/>
          <w:sz w:val="16"/>
          <w:szCs w:val="16"/>
        </w:rPr>
        <w:footnoteRef/>
      </w:r>
      <w:r w:rsidRPr="5AB46587">
        <w:rPr>
          <w:rFonts w:asciiTheme="majorHAnsi" w:hAnsiTheme="majorHAnsi" w:cstheme="majorBidi"/>
          <w:sz w:val="16"/>
          <w:szCs w:val="16"/>
        </w:rPr>
        <w:t xml:space="preserve"> Please note that demographic data for attendees is incomplete, and country of origin data was only collected from 5,312 attendees out an audience of over 20,000.</w:t>
      </w:r>
    </w:p>
    <w:p w14:paraId="282CB1C0" w14:textId="2C5EEACE" w:rsidR="009D3D4A" w:rsidRPr="00385300" w:rsidRDefault="5C48C428" w:rsidP="00385300">
      <w:pPr>
        <w:pStyle w:val="Heading2"/>
      </w:pPr>
      <w:bookmarkStart w:id="17" w:name="_Toc219232328"/>
      <w:r w:rsidRPr="00385300">
        <w:t xml:space="preserve">2.2 </w:t>
      </w:r>
      <w:r w:rsidR="009D3D4A" w:rsidRPr="00385300">
        <w:tab/>
      </w:r>
      <w:r w:rsidR="3ADBB685" w:rsidRPr="00385300">
        <w:t>Project outcomes and i</w:t>
      </w:r>
      <w:r w:rsidRPr="00385300">
        <w:t>nclusivity (KEQ2)</w:t>
      </w:r>
      <w:bookmarkEnd w:id="17"/>
    </w:p>
    <w:p w14:paraId="5C8041FB" w14:textId="629A9757" w:rsidR="003272E6" w:rsidRDefault="5E27FDF6" w:rsidP="5AB46587">
      <w:pPr>
        <w:widowControl w:val="0"/>
        <w:autoSpaceDE w:val="0"/>
        <w:autoSpaceDN w:val="0"/>
        <w:spacing w:before="120" w:after="120"/>
        <w:ind w:right="38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The evaluation found the Indonesia Project has taken meaningful steps to mainstream gender equality, although additional efforts are required to improve disability and social inclusion. </w:t>
      </w:r>
      <w:r w:rsidR="40D2F700" w:rsidRPr="5AB46587">
        <w:rPr>
          <w:rFonts w:asciiTheme="minorHAnsi" w:eastAsiaTheme="minorEastAsia" w:hAnsiTheme="minorHAnsi" w:cstheme="minorBidi"/>
          <w:sz w:val="22"/>
          <w:szCs w:val="22"/>
          <w:lang w:val="en-GB"/>
        </w:rPr>
        <w:t xml:space="preserve">The Project developed its first gender strategy in 2019, just prior to the previous ICR. The Phase V design included the development of </w:t>
      </w:r>
      <w:r w:rsidR="7B830212" w:rsidRPr="5AB46587">
        <w:rPr>
          <w:rFonts w:asciiTheme="minorHAnsi" w:eastAsiaTheme="minorEastAsia" w:hAnsiTheme="minorHAnsi" w:cstheme="minorBidi"/>
          <w:sz w:val="22"/>
          <w:szCs w:val="22"/>
          <w:lang w:val="en-GB"/>
        </w:rPr>
        <w:t xml:space="preserve">comprehensive </w:t>
      </w:r>
      <w:r w:rsidR="40E2A463" w:rsidRPr="5AB46587">
        <w:rPr>
          <w:rFonts w:asciiTheme="minorHAnsi" w:eastAsiaTheme="minorEastAsia" w:hAnsiTheme="minorHAnsi" w:cstheme="minorBidi"/>
          <w:sz w:val="22"/>
          <w:szCs w:val="22"/>
          <w:lang w:val="en-GB"/>
        </w:rPr>
        <w:t xml:space="preserve">and detailed </w:t>
      </w:r>
      <w:r w:rsidR="59C7B390" w:rsidRPr="5AB46587">
        <w:rPr>
          <w:rFonts w:asciiTheme="minorHAnsi" w:eastAsiaTheme="minorEastAsia" w:hAnsiTheme="minorHAnsi" w:cstheme="minorBidi"/>
          <w:sz w:val="22"/>
          <w:szCs w:val="22"/>
          <w:lang w:val="en-GB"/>
        </w:rPr>
        <w:t>Gender Equality and Social Inclusion (</w:t>
      </w:r>
      <w:r w:rsidR="40D2F700" w:rsidRPr="5AB46587">
        <w:rPr>
          <w:rFonts w:asciiTheme="minorHAnsi" w:eastAsiaTheme="minorEastAsia" w:hAnsiTheme="minorHAnsi" w:cstheme="minorBidi"/>
          <w:sz w:val="22"/>
          <w:szCs w:val="22"/>
          <w:lang w:val="en-GB"/>
        </w:rPr>
        <w:t>GESI</w:t>
      </w:r>
      <w:r w:rsidR="59C7B390" w:rsidRPr="5AB46587">
        <w:rPr>
          <w:rFonts w:asciiTheme="minorHAnsi" w:eastAsiaTheme="minorEastAsia" w:hAnsiTheme="minorHAnsi" w:cstheme="minorBidi"/>
          <w:sz w:val="22"/>
          <w:szCs w:val="22"/>
          <w:lang w:val="en-GB"/>
        </w:rPr>
        <w:t>)</w:t>
      </w:r>
      <w:r w:rsidR="40D2F700" w:rsidRPr="5AB46587">
        <w:rPr>
          <w:rFonts w:asciiTheme="minorHAnsi" w:eastAsiaTheme="minorEastAsia" w:hAnsiTheme="minorHAnsi" w:cstheme="minorBidi"/>
          <w:sz w:val="22"/>
          <w:szCs w:val="22"/>
          <w:lang w:val="en-GB"/>
        </w:rPr>
        <w:t xml:space="preserve"> strategy</w:t>
      </w:r>
      <w:r w:rsidR="40E2A463" w:rsidRPr="5AB46587">
        <w:rPr>
          <w:rFonts w:asciiTheme="minorHAnsi" w:eastAsiaTheme="minorEastAsia" w:hAnsiTheme="minorHAnsi" w:cstheme="minorBidi"/>
          <w:sz w:val="22"/>
          <w:szCs w:val="22"/>
          <w:lang w:val="en-GB"/>
        </w:rPr>
        <w:t xml:space="preserve">. </w:t>
      </w:r>
      <w:r w:rsidRPr="5AB46587">
        <w:rPr>
          <w:rFonts w:asciiTheme="minorHAnsi" w:eastAsiaTheme="minorEastAsia" w:hAnsiTheme="minorHAnsi" w:cstheme="minorBidi"/>
          <w:sz w:val="22"/>
          <w:szCs w:val="22"/>
          <w:lang w:val="en-GB"/>
        </w:rPr>
        <w:t>T</w:t>
      </w:r>
      <w:r w:rsidR="173FE7B5" w:rsidRPr="5AB46587">
        <w:rPr>
          <w:rFonts w:asciiTheme="minorHAnsi" w:eastAsiaTheme="minorEastAsia" w:hAnsiTheme="minorHAnsi" w:cstheme="minorBidi"/>
          <w:sz w:val="22"/>
          <w:szCs w:val="22"/>
          <w:lang w:val="en-GB"/>
        </w:rPr>
        <w:t xml:space="preserve">he GESI strategy </w:t>
      </w:r>
      <w:r w:rsidR="40D2F700" w:rsidRPr="5AB46587">
        <w:rPr>
          <w:rFonts w:asciiTheme="minorHAnsi" w:eastAsiaTheme="minorEastAsia" w:hAnsiTheme="minorHAnsi" w:cstheme="minorBidi"/>
          <w:sz w:val="22"/>
          <w:szCs w:val="22"/>
          <w:lang w:val="en-GB"/>
        </w:rPr>
        <w:t>was</w:t>
      </w:r>
      <w:r w:rsidR="5D6DA3E4" w:rsidRPr="5AB46587">
        <w:rPr>
          <w:rFonts w:asciiTheme="minorHAnsi" w:eastAsiaTheme="minorEastAsia" w:hAnsiTheme="minorHAnsi" w:cstheme="minorBidi"/>
          <w:sz w:val="22"/>
          <w:szCs w:val="22"/>
          <w:lang w:val="en-GB"/>
        </w:rPr>
        <w:t xml:space="preserve"> </w:t>
      </w:r>
      <w:r w:rsidR="173FE7B5" w:rsidRPr="5AB46587">
        <w:rPr>
          <w:rFonts w:asciiTheme="minorHAnsi" w:eastAsiaTheme="minorEastAsia" w:hAnsiTheme="minorHAnsi" w:cstheme="minorBidi"/>
          <w:sz w:val="22"/>
          <w:szCs w:val="22"/>
          <w:lang w:val="en-GB"/>
        </w:rPr>
        <w:t xml:space="preserve">sensibly </w:t>
      </w:r>
      <w:r w:rsidR="40D2F700" w:rsidRPr="5AB46587">
        <w:rPr>
          <w:rFonts w:asciiTheme="minorHAnsi" w:eastAsiaTheme="minorEastAsia" w:hAnsiTheme="minorHAnsi" w:cstheme="minorBidi"/>
          <w:sz w:val="22"/>
          <w:szCs w:val="22"/>
          <w:lang w:val="en-GB"/>
        </w:rPr>
        <w:t xml:space="preserve">streamlined into a quick guide by the </w:t>
      </w:r>
      <w:r w:rsidR="30632A44" w:rsidRPr="5AB46587">
        <w:rPr>
          <w:rFonts w:asciiTheme="minorHAnsi" w:eastAsiaTheme="minorEastAsia" w:hAnsiTheme="minorHAnsi" w:cstheme="minorBidi"/>
          <w:sz w:val="22"/>
          <w:szCs w:val="22"/>
          <w:lang w:val="en-GB"/>
        </w:rPr>
        <w:t>project team.</w:t>
      </w:r>
      <w:r w:rsidR="40D2F700" w:rsidRPr="5AB46587">
        <w:rPr>
          <w:rFonts w:asciiTheme="minorHAnsi" w:eastAsiaTheme="minorEastAsia" w:hAnsiTheme="minorHAnsi" w:cstheme="minorBidi"/>
          <w:sz w:val="22"/>
          <w:szCs w:val="22"/>
          <w:lang w:val="en-GB"/>
        </w:rPr>
        <w:t xml:space="preserve"> </w:t>
      </w:r>
      <w:r w:rsidR="0A552D59" w:rsidRPr="5AB46587">
        <w:rPr>
          <w:rFonts w:asciiTheme="minorHAnsi" w:eastAsiaTheme="minorEastAsia" w:hAnsiTheme="minorHAnsi" w:cstheme="minorBidi"/>
          <w:sz w:val="22"/>
          <w:szCs w:val="22"/>
          <w:lang w:val="en-GB"/>
        </w:rPr>
        <w:t xml:space="preserve">As a result, </w:t>
      </w:r>
      <w:r w:rsidR="7B830212" w:rsidRPr="5AB46587">
        <w:rPr>
          <w:rFonts w:asciiTheme="minorHAnsi" w:eastAsiaTheme="minorEastAsia" w:hAnsiTheme="minorHAnsi" w:cstheme="minorBidi"/>
          <w:sz w:val="22"/>
          <w:szCs w:val="22"/>
          <w:lang w:val="en-GB"/>
        </w:rPr>
        <w:t xml:space="preserve">the </w:t>
      </w:r>
      <w:r w:rsidR="0A552D59" w:rsidRPr="5AB46587">
        <w:rPr>
          <w:rFonts w:asciiTheme="minorHAnsi" w:eastAsiaTheme="minorEastAsia" w:hAnsiTheme="minorHAnsi" w:cstheme="minorBidi"/>
          <w:sz w:val="22"/>
          <w:szCs w:val="22"/>
        </w:rPr>
        <w:t xml:space="preserve">Project has intentionally implemented a range of </w:t>
      </w:r>
      <w:r w:rsidR="173FE7B5" w:rsidRPr="5AB46587">
        <w:rPr>
          <w:rFonts w:asciiTheme="minorHAnsi" w:eastAsiaTheme="minorEastAsia" w:hAnsiTheme="minorHAnsi" w:cstheme="minorBidi"/>
          <w:sz w:val="22"/>
          <w:szCs w:val="22"/>
        </w:rPr>
        <w:t xml:space="preserve">practical </w:t>
      </w:r>
      <w:r w:rsidR="0A552D59" w:rsidRPr="5AB46587">
        <w:rPr>
          <w:rFonts w:asciiTheme="minorHAnsi" w:eastAsiaTheme="minorEastAsia" w:hAnsiTheme="minorHAnsi" w:cstheme="minorBidi"/>
          <w:sz w:val="22"/>
          <w:szCs w:val="22"/>
        </w:rPr>
        <w:t>mechanisms to improve gender and social inclusion in Phase V</w:t>
      </w:r>
      <w:r w:rsidR="63EA8BEF" w:rsidRPr="5AB46587">
        <w:rPr>
          <w:rFonts w:asciiTheme="minorHAnsi" w:eastAsiaTheme="minorEastAsia" w:hAnsiTheme="minorHAnsi" w:cstheme="minorBidi"/>
          <w:sz w:val="22"/>
          <w:szCs w:val="22"/>
        </w:rPr>
        <w:t xml:space="preserve"> which are commensurate to the project’s scale and available resources</w:t>
      </w:r>
      <w:r w:rsidR="0A552D59" w:rsidRPr="5AB46587">
        <w:rPr>
          <w:rFonts w:asciiTheme="minorHAnsi" w:eastAsiaTheme="minorEastAsia" w:hAnsiTheme="minorHAnsi" w:cstheme="minorBidi"/>
          <w:sz w:val="22"/>
          <w:szCs w:val="22"/>
        </w:rPr>
        <w:t xml:space="preserve">. </w:t>
      </w:r>
    </w:p>
    <w:p w14:paraId="18244A2D" w14:textId="5B812783" w:rsidR="00B7278D" w:rsidRPr="00385300" w:rsidRDefault="49E9B8B2" w:rsidP="00385300">
      <w:pPr>
        <w:pStyle w:val="Heading3"/>
      </w:pPr>
      <w:r w:rsidRPr="00385300">
        <w:t>2.2.1</w:t>
      </w:r>
      <w:r w:rsidR="00145937" w:rsidRPr="00385300">
        <w:tab/>
      </w:r>
      <w:r w:rsidR="107482E0" w:rsidRPr="00385300">
        <w:t>Production of gender-sensitive research</w:t>
      </w:r>
    </w:p>
    <w:p w14:paraId="6C537DA5" w14:textId="77777777" w:rsidR="4AEFFB8B" w:rsidRDefault="4AEFFB8B" w:rsidP="5AB46587">
      <w:pPr>
        <w:widowControl w:val="0"/>
        <w:spacing w:before="120" w:after="120"/>
        <w:ind w:left="34" w:right="38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lang w:val="en-GB"/>
        </w:rPr>
        <w:t xml:space="preserve">In Phase V, half of the total grants and fellowships awarded by the Project had a GESI theme; 22 of the 69 PhD and </w:t>
      </w:r>
      <w:proofErr w:type="gramStart"/>
      <w:r w:rsidRPr="5AB46587">
        <w:rPr>
          <w:rFonts w:asciiTheme="minorHAnsi" w:eastAsiaTheme="minorEastAsia" w:hAnsiTheme="minorHAnsi" w:cstheme="minorBidi"/>
          <w:sz w:val="22"/>
          <w:szCs w:val="22"/>
          <w:lang w:val="en-GB"/>
        </w:rPr>
        <w:t>Masters</w:t>
      </w:r>
      <w:proofErr w:type="gramEnd"/>
      <w:r w:rsidRPr="5AB46587">
        <w:rPr>
          <w:rFonts w:asciiTheme="minorHAnsi" w:eastAsiaTheme="minorEastAsia" w:hAnsiTheme="minorHAnsi" w:cstheme="minorBidi"/>
          <w:sz w:val="22"/>
          <w:szCs w:val="22"/>
          <w:lang w:val="en-GB"/>
        </w:rPr>
        <w:t xml:space="preserve"> students’ research included a GESI theme; and one in three travel grants was awarded to GESI research projects. A</w:t>
      </w:r>
      <w:r w:rsidRPr="5AB46587">
        <w:rPr>
          <w:rFonts w:asciiTheme="minorHAnsi" w:eastAsiaTheme="minorEastAsia" w:hAnsiTheme="minorHAnsi" w:cstheme="minorBidi"/>
          <w:sz w:val="22"/>
          <w:szCs w:val="22"/>
        </w:rPr>
        <w:t xml:space="preserve"> </w:t>
      </w:r>
      <w:r w:rsidRPr="5AB46587">
        <w:rPr>
          <w:rFonts w:asciiTheme="minorHAnsi" w:eastAsiaTheme="minorEastAsia" w:hAnsiTheme="minorHAnsi" w:cstheme="minorBidi"/>
          <w:sz w:val="22"/>
          <w:szCs w:val="22"/>
          <w:lang w:val="en-GB"/>
        </w:rPr>
        <w:t>practical step taken by the Project was also to host a dedicated Indonesia Update on the theme of gender in 2022. In addition, the Project has implemented a gender checklist and interview process with academics to ensure production of gender sensitive research. Despite this progress, t</w:t>
      </w:r>
      <w:r w:rsidRPr="5AB46587">
        <w:rPr>
          <w:rFonts w:asciiTheme="minorHAnsi" w:eastAsiaTheme="minorEastAsia" w:hAnsiTheme="minorHAnsi" w:cstheme="minorBidi"/>
          <w:sz w:val="22"/>
          <w:szCs w:val="22"/>
        </w:rPr>
        <w:t xml:space="preserve">here were mixed views from those consulted on the benefit and relevance of gender-equality and other social inclusion measures within the Project, and in particular approaching Gender Equality, Disability and Social Inclusion (GEDSI) as a DFAT compliance requirement. While most respondents noted the relevance of GEDSI in economic and social research and policymaking, the value of checklists and ensuring equal participation was questioned by some stakeholders. It was noted that in some instances the research being undertaken by the Project does not have a GEDSI angle, such as the environmental impact of industrial waste. </w:t>
      </w:r>
      <w:proofErr w:type="gramStart"/>
      <w:r w:rsidRPr="5AB46587">
        <w:rPr>
          <w:rFonts w:asciiTheme="minorHAnsi" w:eastAsiaTheme="minorEastAsia" w:hAnsiTheme="minorHAnsi" w:cstheme="minorBidi"/>
          <w:sz w:val="22"/>
          <w:szCs w:val="22"/>
        </w:rPr>
        <w:t>Therefore</w:t>
      </w:r>
      <w:proofErr w:type="gramEnd"/>
      <w:r w:rsidRPr="5AB46587">
        <w:rPr>
          <w:rFonts w:asciiTheme="minorHAnsi" w:eastAsiaTheme="minorEastAsia" w:hAnsiTheme="minorHAnsi" w:cstheme="minorBidi"/>
          <w:sz w:val="22"/>
          <w:szCs w:val="22"/>
        </w:rPr>
        <w:t xml:space="preserve"> GEDSI should be</w:t>
      </w:r>
      <w:r w:rsidRPr="5AB46587">
        <w:rPr>
          <w:rFonts w:asciiTheme="minorHAnsi" w:eastAsiaTheme="minorEastAsia" w:hAnsiTheme="minorHAnsi" w:cstheme="minorBidi"/>
          <w:sz w:val="22"/>
          <w:szCs w:val="22"/>
          <w:lang w:val="en-GB"/>
        </w:rPr>
        <w:t xml:space="preserve"> </w:t>
      </w:r>
      <w:r w:rsidRPr="5AB46587">
        <w:rPr>
          <w:rFonts w:asciiTheme="minorHAnsi" w:eastAsiaTheme="minorEastAsia" w:hAnsiTheme="minorHAnsi" w:cstheme="minorBidi"/>
          <w:sz w:val="22"/>
          <w:szCs w:val="22"/>
        </w:rPr>
        <w:t>considered in research areas where appropriate and relevant to research topics, including gender-disaggregated data, and obtaining the perspectives of women, people with disability and other disadvantaged groups where relevant, rather than being approached as a compliance requirement to meet DFAT reporting criteria.</w:t>
      </w:r>
    </w:p>
    <w:p w14:paraId="3AF842E5" w14:textId="0E2E44AF" w:rsidR="161E64A5" w:rsidRDefault="161E64A5" w:rsidP="5AB46587">
      <w:pPr>
        <w:widowControl w:val="0"/>
        <w:shd w:val="clear" w:color="auto" w:fill="FFFFFF" w:themeFill="background1"/>
        <w:spacing w:before="120" w:after="120"/>
        <w:ind w:right="35"/>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lastRenderedPageBreak/>
        <w:t xml:space="preserve">Project partner comment: </w:t>
      </w:r>
      <w:r w:rsidRPr="5AB46587">
        <w:rPr>
          <w:rFonts w:asciiTheme="minorHAnsi" w:eastAsiaTheme="minorEastAsia" w:hAnsiTheme="minorHAnsi" w:cstheme="minorBidi"/>
          <w:i/>
          <w:iCs/>
          <w:sz w:val="20"/>
          <w:szCs w:val="20"/>
          <w:lang w:val="en-GB"/>
        </w:rPr>
        <w:t xml:space="preserve">“So the project was born 1965 and it was a very male dominated discipline …. so part of the GESI strategy was explicit in saying the project needs to do better in its representation of women as core members of the team... last year one of the [male academics] retired on the team, which gave probably the first opportunity [in] about eight or nine years to bring a new academic team member on board...  A female who focused on GEDSI in her research [was selected]. So that’s brought a nice balance to the team, but you can’t affect that change until someone leaves or there’s magically more funding for a new position to join the team.” </w:t>
      </w:r>
      <w:r w:rsidRPr="5AB46587">
        <w:rPr>
          <w:rFonts w:asciiTheme="minorHAnsi" w:eastAsiaTheme="minorEastAsia" w:hAnsiTheme="minorHAnsi" w:cstheme="minorBidi"/>
          <w:b/>
          <w:bCs/>
          <w:i/>
          <w:iCs/>
          <w:sz w:val="20"/>
          <w:szCs w:val="20"/>
          <w:lang w:val="en-GB"/>
        </w:rPr>
        <w:t xml:space="preserve"> </w:t>
      </w:r>
    </w:p>
    <w:p w14:paraId="184C4CCF" w14:textId="6BA28A61" w:rsidR="161E64A5" w:rsidRDefault="161E64A5" w:rsidP="5AB46587">
      <w:pPr>
        <w:widowControl w:val="0"/>
        <w:shd w:val="clear" w:color="auto" w:fill="FFFFFF" w:themeFill="background1"/>
        <w:spacing w:before="120" w:after="120"/>
        <w:ind w:right="35"/>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t>Alumni comment:</w:t>
      </w:r>
      <w:r w:rsidRPr="5AB46587">
        <w:rPr>
          <w:rFonts w:asciiTheme="minorHAnsi" w:eastAsiaTheme="minorEastAsia" w:hAnsiTheme="minorHAnsi" w:cstheme="minorBidi"/>
          <w:i/>
          <w:iCs/>
          <w:sz w:val="20"/>
          <w:szCs w:val="20"/>
          <w:lang w:val="en-GB"/>
        </w:rPr>
        <w:t xml:space="preserve"> “Leading up to 2022 they decided the Indonesia Update topic on gender. At that time my research focussed on the labour market, but I wasn’t really focusing much on gender disaggregated data. But when [one of the Project academics] was approached to write a chapter for the Indonesia Update book, they reached out to me to see if I could co-author the chapter, working on the data. So … I’m very grateful [because] until now that was the beginning of me going deeper into the gender aspect of the labour market.” </w:t>
      </w:r>
    </w:p>
    <w:p w14:paraId="20153B12" w14:textId="331CEFED" w:rsidR="161E64A5" w:rsidRDefault="161E64A5" w:rsidP="1053922A">
      <w:pPr>
        <w:widowControl w:val="0"/>
        <w:shd w:val="clear" w:color="auto" w:fill="FFFFFF" w:themeFill="background1"/>
        <w:spacing w:before="120" w:after="120"/>
        <w:ind w:left="34" w:right="386"/>
        <w:rPr>
          <w:rFonts w:asciiTheme="minorHAnsi" w:eastAsiaTheme="minorEastAsia" w:hAnsiTheme="minorHAnsi" w:cstheme="minorBidi"/>
          <w:i/>
          <w:iCs/>
          <w:sz w:val="20"/>
          <w:szCs w:val="20"/>
          <w:lang w:val="en-GB"/>
        </w:rPr>
      </w:pPr>
      <w:r w:rsidRPr="1053922A">
        <w:rPr>
          <w:rFonts w:asciiTheme="minorHAnsi" w:eastAsiaTheme="minorEastAsia" w:hAnsiTheme="minorHAnsi" w:cstheme="minorBidi"/>
          <w:b/>
          <w:bCs/>
          <w:i/>
          <w:iCs/>
          <w:sz w:val="20"/>
          <w:szCs w:val="20"/>
          <w:lang w:val="en-GB"/>
        </w:rPr>
        <w:t xml:space="preserve">Key stakeholder comment: </w:t>
      </w:r>
      <w:r w:rsidRPr="1053922A">
        <w:rPr>
          <w:rFonts w:asciiTheme="minorHAnsi" w:eastAsiaTheme="minorEastAsia" w:hAnsiTheme="minorHAnsi" w:cstheme="minorBidi"/>
          <w:i/>
          <w:iCs/>
          <w:sz w:val="20"/>
          <w:szCs w:val="20"/>
          <w:lang w:val="en-GB"/>
        </w:rPr>
        <w:t xml:space="preserve">“Research that looks at … social programs … there's a gender dimension to that... [and] how do we design a policy that overcomes that, that's </w:t>
      </w:r>
      <w:proofErr w:type="gramStart"/>
      <w:r w:rsidRPr="1053922A">
        <w:rPr>
          <w:rFonts w:asciiTheme="minorHAnsi" w:eastAsiaTheme="minorEastAsia" w:hAnsiTheme="minorHAnsi" w:cstheme="minorBidi"/>
          <w:i/>
          <w:iCs/>
          <w:sz w:val="20"/>
          <w:szCs w:val="20"/>
          <w:lang w:val="en-GB"/>
        </w:rPr>
        <w:t>really important</w:t>
      </w:r>
      <w:proofErr w:type="gramEnd"/>
      <w:r w:rsidRPr="1053922A">
        <w:rPr>
          <w:rFonts w:asciiTheme="minorHAnsi" w:eastAsiaTheme="minorEastAsia" w:hAnsiTheme="minorHAnsi" w:cstheme="minorBidi"/>
          <w:i/>
          <w:iCs/>
          <w:sz w:val="20"/>
          <w:szCs w:val="20"/>
          <w:lang w:val="en-GB"/>
        </w:rPr>
        <w:t xml:space="preserve">… [that] is a really good way to support gender. But having every project </w:t>
      </w:r>
      <w:proofErr w:type="gramStart"/>
      <w:r w:rsidRPr="1053922A">
        <w:rPr>
          <w:rFonts w:asciiTheme="minorHAnsi" w:eastAsiaTheme="minorEastAsia" w:hAnsiTheme="minorHAnsi" w:cstheme="minorBidi"/>
          <w:i/>
          <w:iCs/>
          <w:sz w:val="20"/>
          <w:szCs w:val="20"/>
          <w:lang w:val="en-GB"/>
        </w:rPr>
        <w:t>has to</w:t>
      </w:r>
      <w:proofErr w:type="gramEnd"/>
      <w:r w:rsidRPr="1053922A">
        <w:rPr>
          <w:rFonts w:asciiTheme="minorHAnsi" w:eastAsiaTheme="minorEastAsia" w:hAnsiTheme="minorHAnsi" w:cstheme="minorBidi"/>
          <w:i/>
          <w:iCs/>
          <w:sz w:val="20"/>
          <w:szCs w:val="20"/>
          <w:lang w:val="en-GB"/>
        </w:rPr>
        <w:t xml:space="preserve"> have … your gender balance in participation, or did it have an explicit title called ‘Women in something or other’. I think we're missing the point.”</w:t>
      </w:r>
    </w:p>
    <w:p w14:paraId="3977DAEB" w14:textId="45F198F2" w:rsidR="003750D1" w:rsidRPr="00385300" w:rsidRDefault="0989C915" w:rsidP="00385300">
      <w:pPr>
        <w:pStyle w:val="Heading3"/>
      </w:pPr>
      <w:r w:rsidRPr="00385300">
        <w:t>2.2.2</w:t>
      </w:r>
      <w:r w:rsidR="00793122" w:rsidRPr="00385300">
        <w:tab/>
      </w:r>
      <w:r w:rsidR="30632A44" w:rsidRPr="00385300">
        <w:t>Increased o</w:t>
      </w:r>
      <w:r w:rsidR="6DD9BF4B" w:rsidRPr="00385300">
        <w:t xml:space="preserve">pportunities for </w:t>
      </w:r>
      <w:r w:rsidRPr="00385300">
        <w:t xml:space="preserve">women and </w:t>
      </w:r>
      <w:r w:rsidR="60F4F8DB" w:rsidRPr="00385300">
        <w:t xml:space="preserve">researchers </w:t>
      </w:r>
      <w:r w:rsidRPr="00385300">
        <w:t>with</w:t>
      </w:r>
      <w:r w:rsidR="60F4F8DB" w:rsidRPr="00385300">
        <w:t xml:space="preserve"> diverse backgrounds</w:t>
      </w:r>
      <w:r w:rsidR="53B76073" w:rsidRPr="00385300">
        <w:t xml:space="preserve"> </w:t>
      </w:r>
    </w:p>
    <w:p w14:paraId="0D7C84B2" w14:textId="1739C937" w:rsidR="00420267" w:rsidRPr="00385300" w:rsidRDefault="528A2EF1" w:rsidP="00385300">
      <w:pPr>
        <w:pStyle w:val="Heading4"/>
      </w:pPr>
      <w:r w:rsidRPr="00385300">
        <w:t>Improving gender parity</w:t>
      </w:r>
    </w:p>
    <w:p w14:paraId="3EDEDDD2" w14:textId="3E1882CC" w:rsidR="00420267" w:rsidRPr="00420267" w:rsidRDefault="528A2EF1" w:rsidP="5AB46587">
      <w:pPr>
        <w:widowControl w:val="0"/>
        <w:shd w:val="clear" w:color="auto" w:fill="FFFFFF" w:themeFill="background1"/>
        <w:autoSpaceDE w:val="0"/>
        <w:autoSpaceDN w:val="0"/>
        <w:spacing w:before="120" w:after="120"/>
        <w:ind w:left="34" w:right="38"/>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lang w:val="en-GB"/>
        </w:rPr>
        <w:t xml:space="preserve">During Phase V the project team undertook steps to improve gender parity across the Board, academics staff, and conference/forum speakers. The Board was reformed and currently has a majority of female members on the Board and the Project has a more equitable balance of academic staff. Of the five scholars currently employed in the core academic team, there are now three (3) male academics and two (2) female academics. In the context of the university sector there are also contextual factors which have impacted the pace in which change has occurred, as academics are long-tenured employees. </w:t>
      </w:r>
      <w:proofErr w:type="gramStart"/>
      <w:r w:rsidRPr="5AB46587">
        <w:rPr>
          <w:rFonts w:asciiTheme="minorHAnsi" w:eastAsiaTheme="minorEastAsia" w:hAnsiTheme="minorHAnsi" w:cstheme="minorBidi"/>
          <w:sz w:val="22"/>
          <w:szCs w:val="22"/>
          <w:lang w:val="en-GB"/>
        </w:rPr>
        <w:t>Therefore</w:t>
      </w:r>
      <w:proofErr w:type="gramEnd"/>
      <w:r w:rsidRPr="5AB46587">
        <w:rPr>
          <w:rFonts w:asciiTheme="minorHAnsi" w:eastAsiaTheme="minorEastAsia" w:hAnsiTheme="minorHAnsi" w:cstheme="minorBidi"/>
          <w:sz w:val="22"/>
          <w:szCs w:val="22"/>
          <w:lang w:val="en-GB"/>
        </w:rPr>
        <w:t xml:space="preserve"> without funding to recruit additional staff the Project must wait for an academic to retire to improve gender ratios. In this context, reforming the Board was a strategic way of quickly improving gender parity and influence within the Project. </w:t>
      </w:r>
    </w:p>
    <w:p w14:paraId="05AF523C" w14:textId="399FDAD8" w:rsidR="00420267" w:rsidRPr="00420267" w:rsidRDefault="528A2EF1" w:rsidP="5AB46587">
      <w:pPr>
        <w:widowControl w:val="0"/>
        <w:shd w:val="clear" w:color="auto" w:fill="FFFFFF" w:themeFill="background1"/>
        <w:autoSpaceDE w:val="0"/>
        <w:autoSpaceDN w:val="0"/>
        <w:spacing w:before="120" w:after="120"/>
        <w:ind w:right="386"/>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lang w:val="en-GB"/>
        </w:rPr>
        <w:t xml:space="preserve">While the Project has over recent years had </w:t>
      </w:r>
      <w:proofErr w:type="gramStart"/>
      <w:r w:rsidRPr="5AB46587">
        <w:rPr>
          <w:rFonts w:asciiTheme="minorHAnsi" w:eastAsiaTheme="minorEastAsia" w:hAnsiTheme="minorHAnsi" w:cstheme="minorBidi"/>
          <w:sz w:val="22"/>
          <w:szCs w:val="22"/>
          <w:lang w:val="en-GB"/>
        </w:rPr>
        <w:t>a fairly equal</w:t>
      </w:r>
      <w:proofErr w:type="gramEnd"/>
      <w:r w:rsidRPr="5AB46587">
        <w:rPr>
          <w:rFonts w:asciiTheme="minorHAnsi" w:eastAsiaTheme="minorEastAsia" w:hAnsiTheme="minorHAnsi" w:cstheme="minorBidi"/>
          <w:sz w:val="22"/>
          <w:szCs w:val="22"/>
          <w:lang w:val="en-GB"/>
        </w:rPr>
        <w:t xml:space="preserve"> representation of female (45% or n=31) and male (55% or n=38) PhD and </w:t>
      </w:r>
      <w:proofErr w:type="gramStart"/>
      <w:r w:rsidRPr="5AB46587">
        <w:rPr>
          <w:rFonts w:asciiTheme="minorHAnsi" w:eastAsiaTheme="minorEastAsia" w:hAnsiTheme="minorHAnsi" w:cstheme="minorBidi"/>
          <w:sz w:val="22"/>
          <w:szCs w:val="22"/>
          <w:lang w:val="en-GB"/>
        </w:rPr>
        <w:t>Masters</w:t>
      </w:r>
      <w:proofErr w:type="gramEnd"/>
      <w:r w:rsidRPr="5AB46587">
        <w:rPr>
          <w:rFonts w:asciiTheme="minorHAnsi" w:eastAsiaTheme="minorEastAsia" w:hAnsiTheme="minorHAnsi" w:cstheme="minorBidi"/>
          <w:sz w:val="22"/>
          <w:szCs w:val="22"/>
          <w:lang w:val="en-GB"/>
        </w:rPr>
        <w:t xml:space="preserve"> students (see Table 3 above), this is largely beyond the control of the project as student admittance is centrally controlled by ANU. However, for events held, there was an almost equal number of female (n=62) and male (n=61) speakers across the Project’s events in Phase V. This is a significant improvement from Phase IV, during which women represented between 33-40% of speakers. Female researchers consulted through this evaluation also reported largely positive experiences with the Project, and </w:t>
      </w:r>
      <w:proofErr w:type="gramStart"/>
      <w:r w:rsidRPr="5AB46587">
        <w:rPr>
          <w:rFonts w:asciiTheme="minorHAnsi" w:eastAsiaTheme="minorEastAsia" w:hAnsiTheme="minorHAnsi" w:cstheme="minorBidi"/>
          <w:sz w:val="22"/>
          <w:szCs w:val="22"/>
          <w:lang w:val="en-GB"/>
        </w:rPr>
        <w:t>in particular with</w:t>
      </w:r>
      <w:proofErr w:type="gramEnd"/>
      <w:r w:rsidRPr="5AB46587">
        <w:rPr>
          <w:rFonts w:asciiTheme="minorHAnsi" w:eastAsiaTheme="minorEastAsia" w:hAnsiTheme="minorHAnsi" w:cstheme="minorBidi"/>
          <w:sz w:val="22"/>
          <w:szCs w:val="22"/>
          <w:lang w:val="en-GB"/>
        </w:rPr>
        <w:t xml:space="preserve"> other female academics, again reiterating the importance of good gender representation amongst staff, the Board and the flow on effect this has.</w:t>
      </w:r>
    </w:p>
    <w:p w14:paraId="128A7FC4" w14:textId="398FC248" w:rsidR="00420267" w:rsidRPr="00420267" w:rsidRDefault="2A8503DD" w:rsidP="5AB46587">
      <w:pPr>
        <w:widowControl w:val="0"/>
        <w:shd w:val="clear" w:color="auto" w:fill="FFFFFF" w:themeFill="background1"/>
        <w:autoSpaceDE w:val="0"/>
        <w:autoSpaceDN w:val="0"/>
        <w:spacing w:before="120" w:after="120"/>
        <w:ind w:right="35"/>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t xml:space="preserve">Project partner comment: </w:t>
      </w:r>
      <w:r w:rsidRPr="5AB46587">
        <w:rPr>
          <w:rFonts w:asciiTheme="minorHAnsi" w:eastAsiaTheme="minorEastAsia" w:hAnsiTheme="minorHAnsi" w:cstheme="minorBidi"/>
          <w:i/>
          <w:iCs/>
          <w:sz w:val="20"/>
          <w:szCs w:val="20"/>
          <w:lang w:val="en-GB"/>
        </w:rPr>
        <w:t xml:space="preserve">“So the project was born 1965 and it was a very male dominated discipline …. so part of the GESI strategy was explicit in saying the project needs to do better in its representation of women as core members of the team... last year one of the [male academics] retired on the team, which gave probably the first opportunity [in] about eight or nine years to bring a new academic team member on board...  A female who focused on GEDSI in her research [was selected]. So that’s brought a nice balance to the team, but you can’t affect that change until someone leaves or there’s magically more funding for a new position to join the team.” </w:t>
      </w:r>
      <w:r w:rsidRPr="5AB46587">
        <w:rPr>
          <w:rFonts w:asciiTheme="minorHAnsi" w:eastAsiaTheme="minorEastAsia" w:hAnsiTheme="minorHAnsi" w:cstheme="minorBidi"/>
          <w:b/>
          <w:bCs/>
          <w:i/>
          <w:iCs/>
          <w:sz w:val="20"/>
          <w:szCs w:val="20"/>
          <w:lang w:val="en-GB"/>
        </w:rPr>
        <w:t xml:space="preserve"> </w:t>
      </w:r>
    </w:p>
    <w:p w14:paraId="7D480A33" w14:textId="36E5A25B" w:rsidR="00420267" w:rsidRPr="00385300" w:rsidRDefault="47CB6189" w:rsidP="00385300">
      <w:pPr>
        <w:pStyle w:val="Heading4"/>
      </w:pPr>
      <w:r w:rsidRPr="00385300">
        <w:t>Improving social inclusion</w:t>
      </w:r>
    </w:p>
    <w:p w14:paraId="719E9D37" w14:textId="29C57FE5" w:rsidR="00420267" w:rsidRPr="00420267" w:rsidRDefault="47CB6189" w:rsidP="5AB46587">
      <w:pPr>
        <w:widowControl w:val="0"/>
        <w:shd w:val="clear" w:color="auto" w:fill="FFFFFF" w:themeFill="background1"/>
        <w:autoSpaceDE w:val="0"/>
        <w:autoSpaceDN w:val="0"/>
        <w:spacing w:before="120" w:after="120"/>
        <w:ind w:right="386"/>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rPr>
        <w:t xml:space="preserve">The Project’s collaboration with KONEKSI has also enhanced social inclusion and extended opportunities to researchers outside Java and into eastern Indonesia, although these remain relatively small in scale compared with the Project’s overall reach. This collaboration has been mutually beneficial as KONEKSI has leveraged the Project’s networks and relationship to enhance its work, and the Indonesia Project has been able to engage with researchers directly in </w:t>
      </w:r>
      <w:r w:rsidRPr="5AB46587">
        <w:rPr>
          <w:rFonts w:asciiTheme="minorHAnsi" w:eastAsiaTheme="minorEastAsia" w:hAnsiTheme="minorHAnsi" w:cstheme="minorBidi"/>
          <w:sz w:val="22"/>
          <w:szCs w:val="22"/>
        </w:rPr>
        <w:lastRenderedPageBreak/>
        <w:t xml:space="preserve">eastern Indonesia, supporting a more diverse group of researchers than its base – which has traditionally been researchers from universities and institutes in Java. This collaboration has not been without it challenges, as some of the teaching methods used by Project academics are considered somewhat outdated and there are perhaps unrealistic expectations of a relatively small project team with limited resources. </w:t>
      </w:r>
      <w:proofErr w:type="gramStart"/>
      <w:r w:rsidRPr="5AB46587">
        <w:rPr>
          <w:rFonts w:asciiTheme="minorHAnsi" w:eastAsiaTheme="minorEastAsia" w:hAnsiTheme="minorHAnsi" w:cstheme="minorBidi"/>
          <w:sz w:val="22"/>
          <w:szCs w:val="22"/>
        </w:rPr>
        <w:t>However</w:t>
      </w:r>
      <w:proofErr w:type="gramEnd"/>
      <w:r w:rsidRPr="5AB46587">
        <w:rPr>
          <w:rFonts w:asciiTheme="minorHAnsi" w:eastAsiaTheme="minorEastAsia" w:hAnsiTheme="minorHAnsi" w:cstheme="minorBidi"/>
          <w:sz w:val="22"/>
          <w:szCs w:val="22"/>
        </w:rPr>
        <w:t xml:space="preserve"> there are evident synergies between the two projects and other DFAT initiatives which present mutual benefits. This is discussed further in Section 2.3.</w:t>
      </w:r>
    </w:p>
    <w:p w14:paraId="7AB0086A" w14:textId="4ECFBE5A" w:rsidR="5BD71FE3" w:rsidRDefault="5BD71FE3" w:rsidP="5AB46587">
      <w:pPr>
        <w:widowControl w:val="0"/>
        <w:shd w:val="clear" w:color="auto" w:fill="FFFFFF" w:themeFill="background1"/>
        <w:spacing w:before="120" w:after="120"/>
        <w:ind w:right="386"/>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t xml:space="preserve">Key stakeholder comment: </w:t>
      </w:r>
      <w:r w:rsidRPr="5AB46587">
        <w:rPr>
          <w:rFonts w:asciiTheme="minorHAnsi" w:eastAsiaTheme="minorEastAsia" w:hAnsiTheme="minorHAnsi" w:cstheme="minorBidi"/>
          <w:i/>
          <w:iCs/>
          <w:sz w:val="20"/>
          <w:szCs w:val="20"/>
          <w:lang w:val="en-GB"/>
        </w:rPr>
        <w:t>“With KONEKSI, they implemented a boot camp, which is like a research methodology training session for researchers in eastern Indonesia. Originally, they were sort of looking to us to support their activities that they had already planned, and we were looking to them to say we would like to do something new with you.”</w:t>
      </w:r>
    </w:p>
    <w:p w14:paraId="27F26B4A" w14:textId="46470C42" w:rsidR="00F4732B" w:rsidRPr="00385300" w:rsidRDefault="4E1E1EEA" w:rsidP="00385300">
      <w:pPr>
        <w:pStyle w:val="Heading3"/>
      </w:pPr>
      <w:r w:rsidRPr="00385300">
        <w:t>2.2.3</w:t>
      </w:r>
      <w:r w:rsidR="00420267" w:rsidRPr="00385300">
        <w:tab/>
      </w:r>
      <w:r w:rsidR="6DD9BF4B" w:rsidRPr="00385300">
        <w:t>Areas for improvement</w:t>
      </w:r>
    </w:p>
    <w:p w14:paraId="6AC3E683" w14:textId="2C8275F5" w:rsidR="002B588A" w:rsidRPr="00385300" w:rsidRDefault="350CB227" w:rsidP="00385300">
      <w:pPr>
        <w:pStyle w:val="Heading4"/>
      </w:pPr>
      <w:r w:rsidRPr="00385300">
        <w:t>The missing “D” in the GESI strategy</w:t>
      </w:r>
    </w:p>
    <w:p w14:paraId="3A604E8C" w14:textId="02F7422F" w:rsidR="002B588A" w:rsidRDefault="350CB227" w:rsidP="5AB46587">
      <w:pPr>
        <w:shd w:val="clear" w:color="auto" w:fill="FFFFFF" w:themeFill="background1"/>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While the Project has made efforts to ensure its activities are accessible to researchers with disability, there has been more limited research focus and output on disability. This has not been given priority or clear focus due to the missing “D” representing disability in the Project’s GESI strategy. This was reportedly an intentional strategy to implement a staged approach to inclusivity which is sensible given the small project team responsible for implementation. </w:t>
      </w:r>
      <w:proofErr w:type="gramStart"/>
      <w:r w:rsidRPr="5AB46587">
        <w:rPr>
          <w:rFonts w:asciiTheme="minorHAnsi" w:eastAsiaTheme="minorEastAsia" w:hAnsiTheme="minorHAnsi" w:cstheme="minorBidi"/>
          <w:sz w:val="22"/>
          <w:szCs w:val="22"/>
        </w:rPr>
        <w:t>However</w:t>
      </w:r>
      <w:proofErr w:type="gramEnd"/>
      <w:r w:rsidRPr="5AB46587">
        <w:rPr>
          <w:rFonts w:asciiTheme="minorHAnsi" w:eastAsiaTheme="minorEastAsia" w:hAnsiTheme="minorHAnsi" w:cstheme="minorBidi"/>
          <w:sz w:val="22"/>
          <w:szCs w:val="22"/>
        </w:rPr>
        <w:t xml:space="preserve"> as a result, disability disaggregated data has not been collected, and research outputs have not been systemically assessed for disability in monitoring data. Despite this there is evidence that some research grants, fellowships and PhD/</w:t>
      </w:r>
      <w:proofErr w:type="gramStart"/>
      <w:r w:rsidRPr="5AB46587">
        <w:rPr>
          <w:rFonts w:asciiTheme="minorHAnsi" w:eastAsiaTheme="minorEastAsia" w:hAnsiTheme="minorHAnsi" w:cstheme="minorBidi"/>
          <w:sz w:val="22"/>
          <w:szCs w:val="22"/>
        </w:rPr>
        <w:t>Masters</w:t>
      </w:r>
      <w:proofErr w:type="gramEnd"/>
      <w:r w:rsidRPr="5AB46587">
        <w:rPr>
          <w:rFonts w:asciiTheme="minorHAnsi" w:eastAsiaTheme="minorEastAsia" w:hAnsiTheme="minorHAnsi" w:cstheme="minorBidi"/>
          <w:sz w:val="22"/>
          <w:szCs w:val="22"/>
        </w:rPr>
        <w:t xml:space="preserve"> research projects have included a disability theme (see Tables 3 &amp; 4). </w:t>
      </w:r>
    </w:p>
    <w:p w14:paraId="5492C452" w14:textId="11CFE69E" w:rsidR="002B588A" w:rsidRDefault="350CB227" w:rsidP="5AB46587">
      <w:pPr>
        <w:widowControl w:val="0"/>
        <w:shd w:val="clear" w:color="auto" w:fill="FFFFFF" w:themeFill="background1"/>
        <w:spacing w:before="120" w:after="120"/>
        <w:ind w:right="386"/>
        <w:rPr>
          <w:rFonts w:asciiTheme="minorHAnsi" w:eastAsiaTheme="minorEastAsia" w:hAnsiTheme="minorHAnsi" w:cstheme="minorBidi"/>
          <w:sz w:val="22"/>
          <w:szCs w:val="22"/>
          <w:lang w:val="en-GB"/>
        </w:rPr>
      </w:pPr>
      <w:r w:rsidRPr="5AB46587">
        <w:rPr>
          <w:rFonts w:asciiTheme="minorHAnsi" w:eastAsiaTheme="minorEastAsia" w:hAnsiTheme="minorHAnsi" w:cstheme="minorBidi"/>
          <w:sz w:val="22"/>
          <w:szCs w:val="22"/>
        </w:rPr>
        <w:t>Given the progress made towards gender equality, at this stage ANU could enhance inclusivity by further supporting the participation of researchers with disability and from diverse backgrounds in the Project, and ensuring GEDSI (including the “D”) is considered in research areas where appropriate and relevant to research topics. F</w:t>
      </w:r>
      <w:proofErr w:type="spellStart"/>
      <w:r w:rsidRPr="5AB46587">
        <w:rPr>
          <w:rFonts w:asciiTheme="minorHAnsi" w:eastAsiaTheme="minorEastAsia" w:hAnsiTheme="minorHAnsi" w:cstheme="minorBidi"/>
          <w:sz w:val="22"/>
          <w:szCs w:val="22"/>
          <w:lang w:val="en-GB"/>
        </w:rPr>
        <w:t>urthermore</w:t>
      </w:r>
      <w:proofErr w:type="spellEnd"/>
      <w:r w:rsidRPr="5AB46587">
        <w:rPr>
          <w:rFonts w:asciiTheme="minorHAnsi" w:eastAsiaTheme="minorEastAsia" w:hAnsiTheme="minorHAnsi" w:cstheme="minorBidi"/>
          <w:sz w:val="22"/>
          <w:szCs w:val="22"/>
          <w:lang w:val="en-GB"/>
        </w:rPr>
        <w:t xml:space="preserve">, diversity and social inclusion more broadly </w:t>
      </w:r>
      <w:proofErr w:type="gramStart"/>
      <w:r w:rsidRPr="5AB46587">
        <w:rPr>
          <w:rFonts w:asciiTheme="minorHAnsi" w:eastAsiaTheme="minorEastAsia" w:hAnsiTheme="minorHAnsi" w:cstheme="minorBidi"/>
          <w:sz w:val="22"/>
          <w:szCs w:val="22"/>
          <w:lang w:val="en-GB"/>
        </w:rPr>
        <w:t>needs</w:t>
      </w:r>
      <w:proofErr w:type="gramEnd"/>
      <w:r w:rsidRPr="5AB46587">
        <w:rPr>
          <w:rFonts w:asciiTheme="minorHAnsi" w:eastAsiaTheme="minorEastAsia" w:hAnsiTheme="minorHAnsi" w:cstheme="minorBidi"/>
          <w:sz w:val="22"/>
          <w:szCs w:val="22"/>
          <w:lang w:val="en-GB"/>
        </w:rPr>
        <w:t xml:space="preserve"> to be considered by the Project – attracting researchers from different regions, socioeconomic, ethnic and religious backgrounds across Indonesia in activities where feasible. </w:t>
      </w:r>
      <w:r w:rsidRPr="5AB46587">
        <w:rPr>
          <w:rFonts w:asciiTheme="minorHAnsi" w:eastAsiaTheme="minorEastAsia" w:hAnsiTheme="minorHAnsi" w:cstheme="minorBidi"/>
          <w:sz w:val="22"/>
          <w:szCs w:val="22"/>
        </w:rPr>
        <w:t>Given the very limited project resources available to implement GEDSI actions, this could include developing a streamlined and practical GEDSI strategy (replicating the approach to GESI undertaken by the project team) in a potential Phase VI design that extends existing tools and processes to include disability and other social inclusion measures. DFAT is also encouraged to consider how it can tailor its quality requirements to ensure they are commensurate to the project’s scale and budget. In addition, DFAT could share internal resources and provide technical advice to support the Project with any identified capacity gaps.</w:t>
      </w:r>
    </w:p>
    <w:p w14:paraId="0BF686AC" w14:textId="06AF3DE4" w:rsidR="002B588A" w:rsidRDefault="7DB0DDFC" w:rsidP="5AB46587">
      <w:pPr>
        <w:widowControl w:val="0"/>
        <w:shd w:val="clear" w:color="auto" w:fill="FFFFFF" w:themeFill="background1"/>
        <w:spacing w:before="120" w:after="120"/>
        <w:ind w:right="386"/>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lang w:val="en-GB"/>
        </w:rPr>
        <w:t>Project partner comment</w:t>
      </w:r>
      <w:r w:rsidRPr="5AB46587">
        <w:rPr>
          <w:rFonts w:asciiTheme="minorHAnsi" w:eastAsiaTheme="minorEastAsia" w:hAnsiTheme="minorHAnsi" w:cstheme="minorBidi"/>
          <w:i/>
          <w:iCs/>
          <w:sz w:val="20"/>
          <w:szCs w:val="20"/>
          <w:lang w:val="en-GB"/>
        </w:rPr>
        <w:t>: “I can say for us, disability, when it comes to engagement in our activities, is something I feel comfortable that we can support. Have our academics specifically developed research that focus on disability?... Not that I'm aware of."</w:t>
      </w:r>
    </w:p>
    <w:p w14:paraId="503326FC" w14:textId="57023D4D" w:rsidR="009D3D4A" w:rsidRPr="00385300" w:rsidRDefault="5C48C428" w:rsidP="00385300">
      <w:pPr>
        <w:pStyle w:val="Heading2"/>
      </w:pPr>
      <w:bookmarkStart w:id="18" w:name="_Toc219232329"/>
      <w:r w:rsidRPr="00385300">
        <w:t xml:space="preserve">2.3 </w:t>
      </w:r>
      <w:r w:rsidR="009D3D4A" w:rsidRPr="00385300">
        <w:tab/>
      </w:r>
      <w:r w:rsidR="3ADBB685" w:rsidRPr="00385300">
        <w:t>R</w:t>
      </w:r>
      <w:r w:rsidRPr="00385300">
        <w:t>elevance</w:t>
      </w:r>
      <w:r w:rsidR="3ADBB685" w:rsidRPr="00385300">
        <w:t xml:space="preserve"> and strategic alignment of the project</w:t>
      </w:r>
      <w:r w:rsidRPr="00385300">
        <w:t xml:space="preserve"> (KEQ3)</w:t>
      </w:r>
      <w:bookmarkEnd w:id="18"/>
    </w:p>
    <w:p w14:paraId="2996AAE0" w14:textId="66C1DE17" w:rsidR="00210860" w:rsidRPr="00385300" w:rsidRDefault="5A261C61" w:rsidP="00385300">
      <w:pPr>
        <w:pStyle w:val="Heading3"/>
      </w:pPr>
      <w:r w:rsidRPr="00385300">
        <w:t>2.3.1</w:t>
      </w:r>
      <w:r w:rsidR="0018041C" w:rsidRPr="00385300">
        <w:tab/>
      </w:r>
      <w:r w:rsidR="43D28174" w:rsidRPr="00385300">
        <w:t>Value of Project for the Australian Government and Indonesian stakeholders</w:t>
      </w:r>
    </w:p>
    <w:p w14:paraId="6B845642" w14:textId="31222CBC" w:rsidR="000416B3" w:rsidRPr="00385300" w:rsidRDefault="567A789D" w:rsidP="00385300">
      <w:pPr>
        <w:pStyle w:val="Heading4"/>
      </w:pPr>
      <w:r w:rsidRPr="00385300">
        <w:t xml:space="preserve">Providing critical insights and access for government </w:t>
      </w:r>
    </w:p>
    <w:p w14:paraId="0B5F9177" w14:textId="69FA046D" w:rsidR="000416B3" w:rsidRPr="000416B3" w:rsidRDefault="567A789D" w:rsidP="5AB46587">
      <w:pPr>
        <w:pStyle w:val="Default"/>
        <w:shd w:val="clear" w:color="auto" w:fill="FFFFFF" w:themeFill="background1"/>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The Project remains a highly </w:t>
      </w:r>
      <w:proofErr w:type="gramStart"/>
      <w:r w:rsidRPr="5AB46587">
        <w:rPr>
          <w:rFonts w:asciiTheme="minorHAnsi" w:eastAsiaTheme="minorEastAsia" w:hAnsiTheme="minorHAnsi" w:cstheme="minorBidi"/>
          <w:sz w:val="22"/>
          <w:szCs w:val="22"/>
        </w:rPr>
        <w:t>valuable asset</w:t>
      </w:r>
      <w:proofErr w:type="gramEnd"/>
      <w:r w:rsidRPr="5AB46587">
        <w:rPr>
          <w:rFonts w:asciiTheme="minorHAnsi" w:eastAsiaTheme="minorEastAsia" w:hAnsiTheme="minorHAnsi" w:cstheme="minorBidi"/>
          <w:sz w:val="22"/>
          <w:szCs w:val="22"/>
        </w:rPr>
        <w:t xml:space="preserve"> to the Australian Government. It provides access to a bank of knowledge on current and emerging social and economic issues in Indonesia. The research it produces is contemporary, relevant and independent which can be drawn on by government (both the Australian and Indonesian governments) to test ideas and inform policy decisions. </w:t>
      </w:r>
      <w:proofErr w:type="gramStart"/>
      <w:r w:rsidRPr="5AB46587">
        <w:rPr>
          <w:rFonts w:asciiTheme="minorHAnsi" w:eastAsiaTheme="minorEastAsia" w:hAnsiTheme="minorHAnsi" w:cstheme="minorBidi"/>
          <w:sz w:val="22"/>
          <w:szCs w:val="22"/>
        </w:rPr>
        <w:t>A number of</w:t>
      </w:r>
      <w:proofErr w:type="gramEnd"/>
      <w:r w:rsidRPr="5AB46587">
        <w:rPr>
          <w:rFonts w:asciiTheme="minorHAnsi" w:eastAsiaTheme="minorEastAsia" w:hAnsiTheme="minorHAnsi" w:cstheme="minorBidi"/>
          <w:sz w:val="22"/>
          <w:szCs w:val="22"/>
        </w:rPr>
        <w:t xml:space="preserve"> key stakeholders consulted also noted the Project’s role in undertaking independent research, not driven by political agendas, as one of its key strengths. </w:t>
      </w:r>
    </w:p>
    <w:p w14:paraId="0C1E9C23" w14:textId="2077A231" w:rsidR="000416B3" w:rsidRPr="000416B3" w:rsidRDefault="567A789D" w:rsidP="5AB46587">
      <w:pPr>
        <w:pStyle w:val="Default"/>
        <w:shd w:val="clear" w:color="auto" w:fill="FFFFFF" w:themeFill="background1"/>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lastRenderedPageBreak/>
        <w:t>The Project is also an important access point for the Australian Government. It creates a pipeline of Indonesian researchers who go on to work in government departments and other key roles in Indonesia, supporting bilaterial links and providing DFAT with access to government and influential thinkers in Indonesia.</w:t>
      </w:r>
    </w:p>
    <w:p w14:paraId="45401B78" w14:textId="02B9E813" w:rsidR="000416B3" w:rsidRPr="000416B3" w:rsidRDefault="68AF5CEC" w:rsidP="5AB46587">
      <w:pPr>
        <w:pStyle w:val="Default"/>
        <w:shd w:val="clear" w:color="auto" w:fill="FFFFFF" w:themeFill="background1"/>
        <w:spacing w:before="120" w:after="120"/>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Project partner comment: </w:t>
      </w:r>
      <w:r w:rsidRPr="5AB46587">
        <w:rPr>
          <w:rFonts w:asciiTheme="minorHAnsi" w:eastAsiaTheme="minorEastAsia" w:hAnsiTheme="minorHAnsi" w:cstheme="minorBidi"/>
          <w:i/>
          <w:iCs/>
          <w:sz w:val="20"/>
          <w:szCs w:val="20"/>
        </w:rPr>
        <w:t xml:space="preserve">“It's the access, but also the opportunity to understand Indonesian economic policy making decisions, and [this] is </w:t>
      </w:r>
      <w:proofErr w:type="gramStart"/>
      <w:r w:rsidRPr="5AB46587">
        <w:rPr>
          <w:rFonts w:asciiTheme="minorHAnsi" w:eastAsiaTheme="minorEastAsia" w:hAnsiTheme="minorHAnsi" w:cstheme="minorBidi"/>
          <w:i/>
          <w:iCs/>
          <w:sz w:val="20"/>
          <w:szCs w:val="20"/>
        </w:rPr>
        <w:t>really critically</w:t>
      </w:r>
      <w:proofErr w:type="gramEnd"/>
      <w:r w:rsidRPr="5AB46587">
        <w:rPr>
          <w:rFonts w:asciiTheme="minorHAnsi" w:eastAsiaTheme="minorEastAsia" w:hAnsiTheme="minorHAnsi" w:cstheme="minorBidi"/>
          <w:i/>
          <w:iCs/>
          <w:sz w:val="20"/>
          <w:szCs w:val="20"/>
        </w:rPr>
        <w:t xml:space="preserve"> important for Australia…. </w:t>
      </w:r>
      <w:proofErr w:type="gramStart"/>
      <w:r w:rsidRPr="5AB46587">
        <w:rPr>
          <w:rFonts w:asciiTheme="minorHAnsi" w:eastAsiaTheme="minorEastAsia" w:hAnsiTheme="minorHAnsi" w:cstheme="minorBidi"/>
          <w:i/>
          <w:iCs/>
          <w:sz w:val="20"/>
          <w:szCs w:val="20"/>
        </w:rPr>
        <w:t>So</w:t>
      </w:r>
      <w:proofErr w:type="gramEnd"/>
      <w:r w:rsidRPr="5AB46587">
        <w:rPr>
          <w:rFonts w:asciiTheme="minorHAnsi" w:eastAsiaTheme="minorEastAsia" w:hAnsiTheme="minorHAnsi" w:cstheme="minorBidi"/>
          <w:i/>
          <w:iCs/>
          <w:sz w:val="20"/>
          <w:szCs w:val="20"/>
        </w:rPr>
        <w:t xml:space="preserve"> it's an access thing, but it's also helping to build our understanding, not just from an academic perspective, but from a government perspective. There are insights that we have gained from engaging with some of these senior Indonesians that we would not have been able to get if it wasn't for this investment…  </w:t>
      </w:r>
      <w:proofErr w:type="gramStart"/>
      <w:r w:rsidRPr="5AB46587">
        <w:rPr>
          <w:rFonts w:asciiTheme="minorHAnsi" w:eastAsiaTheme="minorEastAsia" w:hAnsiTheme="minorHAnsi" w:cstheme="minorBidi"/>
          <w:i/>
          <w:iCs/>
          <w:sz w:val="20"/>
          <w:szCs w:val="20"/>
        </w:rPr>
        <w:t>So</w:t>
      </w:r>
      <w:proofErr w:type="gramEnd"/>
      <w:r w:rsidRPr="5AB46587">
        <w:rPr>
          <w:rFonts w:asciiTheme="minorHAnsi" w:eastAsiaTheme="minorEastAsia" w:hAnsiTheme="minorHAnsi" w:cstheme="minorBidi"/>
          <w:i/>
          <w:iCs/>
          <w:sz w:val="20"/>
          <w:szCs w:val="20"/>
        </w:rPr>
        <w:t xml:space="preserve"> from a government perspective, it's a real gift to have that as part of our national capability."</w:t>
      </w:r>
    </w:p>
    <w:p w14:paraId="11E82A75" w14:textId="088B9C4E" w:rsidR="000416B3" w:rsidRPr="00385300" w:rsidRDefault="1EDBAFBA" w:rsidP="00385300">
      <w:pPr>
        <w:pStyle w:val="Heading4"/>
      </w:pPr>
      <w:r w:rsidRPr="00385300">
        <w:t xml:space="preserve">An important asset in DFAT’s Indonesia portfolio </w:t>
      </w:r>
    </w:p>
    <w:p w14:paraId="1540CEA5" w14:textId="0F160054" w:rsidR="000416B3" w:rsidRPr="000416B3" w:rsidRDefault="1EDBAFBA" w:rsidP="5AB46587">
      <w:pPr>
        <w:shd w:val="clear" w:color="auto" w:fill="FFFFFF" w:themeFill="background1"/>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Project is also an important asset within the broader DFAT portfolio. However, while there are connections and examples of collaboration with DFAT initiatives (e.g. with Prospera, SKALA and KONEKSI), engagement does not appear to be linked to clear partnership strategies. Some stakeholders consulted working on DFAT initiatives did not appear to understand the role and value of the Project in the broader context of DFAT’s Indonesia portfolio. This lack of understanding may result in missed opportunities for more strategic linkages based on the role, value and unique contribution of each initiative. DFAT could more actively broker strategic engagement and collaboration to support a more joined up approach across its portfolio in Indonesia.</w:t>
      </w:r>
    </w:p>
    <w:p w14:paraId="65D02140" w14:textId="50B9384D" w:rsidR="42B3E9CA" w:rsidRDefault="42B3E9CA" w:rsidP="5AB46587">
      <w:pPr>
        <w:widowControl w:val="0"/>
        <w:shd w:val="clear" w:color="auto" w:fill="FFFFFF" w:themeFill="background1"/>
        <w:spacing w:before="120" w:after="120"/>
        <w:ind w:right="34"/>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Key stakeholder comment: </w:t>
      </w:r>
      <w:r w:rsidRPr="5AB46587">
        <w:rPr>
          <w:rFonts w:asciiTheme="minorHAnsi" w:eastAsiaTheme="minorEastAsia" w:hAnsiTheme="minorHAnsi" w:cstheme="minorBidi"/>
          <w:i/>
          <w:iCs/>
          <w:sz w:val="20"/>
          <w:szCs w:val="20"/>
        </w:rPr>
        <w:t xml:space="preserve">"if we compare [the Project] with Prospera or with the World Bank, they are more like government arms, to do research for them. But the Indonesia Project, I think it's more independent from the Indonesian government … [so] having someone </w:t>
      </w:r>
      <w:proofErr w:type="gramStart"/>
      <w:r w:rsidRPr="5AB46587">
        <w:rPr>
          <w:rFonts w:asciiTheme="minorHAnsi" w:eastAsiaTheme="minorEastAsia" w:hAnsiTheme="minorHAnsi" w:cstheme="minorBidi"/>
          <w:i/>
          <w:iCs/>
          <w:sz w:val="20"/>
          <w:szCs w:val="20"/>
        </w:rPr>
        <w:t>telling</w:t>
      </w:r>
      <w:proofErr w:type="gramEnd"/>
      <w:r w:rsidRPr="5AB46587">
        <w:rPr>
          <w:rFonts w:asciiTheme="minorHAnsi" w:eastAsiaTheme="minorEastAsia" w:hAnsiTheme="minorHAnsi" w:cstheme="minorBidi"/>
          <w:i/>
          <w:iCs/>
          <w:sz w:val="20"/>
          <w:szCs w:val="20"/>
        </w:rPr>
        <w:t xml:space="preserve"> that you shouldn't do this. You should do this instead. I think that's quite useful also.”</w:t>
      </w:r>
    </w:p>
    <w:p w14:paraId="6ECFF55A" w14:textId="10B2D9BB" w:rsidR="00F4732B" w:rsidRPr="00385300" w:rsidRDefault="5A261C61" w:rsidP="00385300">
      <w:pPr>
        <w:pStyle w:val="Heading3"/>
      </w:pPr>
      <w:r w:rsidRPr="00385300">
        <w:t>2.3.2</w:t>
      </w:r>
      <w:r w:rsidR="0018041C" w:rsidRPr="00385300">
        <w:tab/>
      </w:r>
      <w:r w:rsidR="43D28174" w:rsidRPr="00385300">
        <w:t>Responding to contextual changes in Indonesia</w:t>
      </w:r>
      <w:r w:rsidR="643121EF" w:rsidRPr="00385300">
        <w:t xml:space="preserve"> and Australia</w:t>
      </w:r>
    </w:p>
    <w:p w14:paraId="28B173F4" w14:textId="49F47E92" w:rsidR="402B6A85" w:rsidRPr="00385300" w:rsidRDefault="402B6A85" w:rsidP="00385300">
      <w:pPr>
        <w:pStyle w:val="Heading4"/>
      </w:pPr>
      <w:r w:rsidRPr="00385300">
        <w:t>The importance of an independent voice</w:t>
      </w:r>
    </w:p>
    <w:p w14:paraId="4C84A820" w14:textId="77777777" w:rsidR="402B6A85" w:rsidRDefault="402B6A85" w:rsidP="5AB46587">
      <w:pPr>
        <w:spacing w:before="120" w:after="120"/>
        <w:ind w:left="33"/>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Over recent years, with the change in government in Indonesia, the High-Level Policy Dialogues are no longer being held with the Ministry of Finance, as the current government is more wary of international and foreign influence. Despite this, the Project is seen by many key stakeholders consulted as more relevant and important than ever. With the current political shifts taking place in Indonesia, the value of having an independent Australian research partner with deep knowledge of Indonesia’s economy and institutions is vital. An independent voice is valuable not only to the Australian Government but also to research partners in Indonesia. In response to the political shifts taking place in Indonesia, the Project is increasingly leveraging its existing network at lower levels of government within the bureaucracy and tyring to engage more effectively with provincial governments.</w:t>
      </w:r>
    </w:p>
    <w:p w14:paraId="5A3BD7D9" w14:textId="18527B8F" w:rsidR="402B6A85" w:rsidRDefault="402B6A85" w:rsidP="5AB46587">
      <w:p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Importantly, the Project also supports Indonesian studies in Australia at a time of declining Indonesian language enrolments and shrinking numbers of “</w:t>
      </w:r>
      <w:proofErr w:type="spellStart"/>
      <w:r w:rsidRPr="5AB46587">
        <w:rPr>
          <w:rFonts w:asciiTheme="minorHAnsi" w:eastAsiaTheme="minorEastAsia" w:hAnsiTheme="minorHAnsi" w:cstheme="minorBidi"/>
          <w:sz w:val="22"/>
          <w:szCs w:val="22"/>
        </w:rPr>
        <w:t>Indonesianist</w:t>
      </w:r>
      <w:proofErr w:type="spellEnd"/>
      <w:r w:rsidRPr="5AB46587">
        <w:rPr>
          <w:rFonts w:asciiTheme="minorHAnsi" w:eastAsiaTheme="minorEastAsia" w:hAnsiTheme="minorHAnsi" w:cstheme="minorBidi"/>
          <w:sz w:val="22"/>
          <w:szCs w:val="22"/>
        </w:rPr>
        <w:t>” economists, thereby preserving critical expertise that would be costly to rebuild.</w:t>
      </w:r>
    </w:p>
    <w:tbl>
      <w:tblPr>
        <w:tblStyle w:val="TableGrid"/>
        <w:tblW w:w="9011"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011"/>
      </w:tblGrid>
      <w:tr w:rsidR="00210860" w:rsidRPr="00AF6EEB" w14:paraId="2AA8E310" w14:textId="77777777" w:rsidTr="5AB46587">
        <w:tc>
          <w:tcPr>
            <w:tcW w:w="9011" w:type="dxa"/>
            <w:shd w:val="clear" w:color="auto" w:fill="FFFFFF" w:themeFill="background1"/>
          </w:tcPr>
          <w:p w14:paraId="0973798D" w14:textId="10441A88" w:rsidR="00935DBD" w:rsidRDefault="758E3CC3" w:rsidP="5AB46587">
            <w:pPr>
              <w:widowControl w:val="0"/>
              <w:autoSpaceDE w:val="0"/>
              <w:autoSpaceDN w:val="0"/>
              <w:spacing w:before="120" w:after="120"/>
              <w:ind w:right="35"/>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 xml:space="preserve">Key stakeholder comment: </w:t>
            </w:r>
            <w:r w:rsidR="2A8DBE2E" w:rsidRPr="5AB46587">
              <w:rPr>
                <w:rFonts w:asciiTheme="minorHAnsi" w:eastAsiaTheme="minorEastAsia" w:hAnsiTheme="minorHAnsi" w:cstheme="minorBidi"/>
                <w:b/>
                <w:bCs/>
                <w:i/>
                <w:iCs/>
                <w:sz w:val="20"/>
                <w:szCs w:val="20"/>
              </w:rPr>
              <w:t>"</w:t>
            </w:r>
            <w:r w:rsidR="337B2A98" w:rsidRPr="5AB46587">
              <w:rPr>
                <w:rFonts w:asciiTheme="minorHAnsi" w:eastAsiaTheme="minorEastAsia" w:hAnsiTheme="minorHAnsi" w:cstheme="minorBidi"/>
                <w:i/>
                <w:iCs/>
                <w:sz w:val="20"/>
                <w:szCs w:val="20"/>
              </w:rPr>
              <w:t>A</w:t>
            </w:r>
            <w:r w:rsidR="2A8DBE2E" w:rsidRPr="5AB46587">
              <w:rPr>
                <w:rFonts w:asciiTheme="minorHAnsi" w:eastAsiaTheme="minorEastAsia" w:hAnsiTheme="minorHAnsi" w:cstheme="minorBidi"/>
                <w:i/>
                <w:iCs/>
                <w:sz w:val="20"/>
                <w:szCs w:val="20"/>
              </w:rPr>
              <w:t xml:space="preserve"> strong voice that has a very long track record and established track record on presenting conditions and updates on Indonesia, that's actually also very well respected, I think, becomes suddenly more important </w:t>
            </w:r>
            <w:r w:rsidR="3FFA5917" w:rsidRPr="5AB46587">
              <w:rPr>
                <w:rFonts w:asciiTheme="minorHAnsi" w:eastAsiaTheme="minorEastAsia" w:hAnsiTheme="minorHAnsi" w:cstheme="minorBidi"/>
                <w:i/>
                <w:iCs/>
                <w:sz w:val="20"/>
                <w:szCs w:val="20"/>
              </w:rPr>
              <w:t>i</w:t>
            </w:r>
            <w:r w:rsidR="2A8DBE2E" w:rsidRPr="5AB46587">
              <w:rPr>
                <w:rFonts w:asciiTheme="minorHAnsi" w:eastAsiaTheme="minorEastAsia" w:hAnsiTheme="minorHAnsi" w:cstheme="minorBidi"/>
                <w:i/>
                <w:iCs/>
                <w:sz w:val="20"/>
                <w:szCs w:val="20"/>
              </w:rPr>
              <w:t>n this phase of Indonesia's history.</w:t>
            </w:r>
          </w:p>
          <w:p w14:paraId="14B2CE81" w14:textId="7B8BA375" w:rsidR="00793E8E" w:rsidRPr="00793E8E" w:rsidRDefault="6E2D0AB1" w:rsidP="5AB46587">
            <w:pPr>
              <w:widowControl w:val="0"/>
              <w:autoSpaceDE w:val="0"/>
              <w:autoSpaceDN w:val="0"/>
              <w:spacing w:before="120" w:after="120"/>
              <w:ind w:right="35"/>
              <w:rPr>
                <w:rFonts w:asciiTheme="minorHAnsi" w:eastAsiaTheme="minorEastAsia" w:hAnsiTheme="minorHAnsi" w:cstheme="minorBidi"/>
                <w:i/>
                <w:iCs/>
                <w:sz w:val="20"/>
                <w:szCs w:val="20"/>
                <w:lang w:val="en-GB"/>
              </w:rPr>
            </w:pPr>
            <w:r w:rsidRPr="5AB46587">
              <w:rPr>
                <w:rFonts w:asciiTheme="minorHAnsi" w:eastAsiaTheme="minorEastAsia" w:hAnsiTheme="minorHAnsi" w:cstheme="minorBidi"/>
                <w:b/>
                <w:bCs/>
                <w:i/>
                <w:iCs/>
                <w:sz w:val="20"/>
                <w:szCs w:val="20"/>
              </w:rPr>
              <w:t>Key stakeholder comment:</w:t>
            </w:r>
            <w:r w:rsidRPr="5AB46587">
              <w:rPr>
                <w:rFonts w:asciiTheme="minorHAnsi" w:eastAsiaTheme="minorEastAsia" w:hAnsiTheme="minorHAnsi" w:cstheme="minorBidi"/>
                <w:i/>
                <w:iCs/>
                <w:sz w:val="20"/>
                <w:szCs w:val="20"/>
              </w:rPr>
              <w:t xml:space="preserve"> </w:t>
            </w:r>
            <w:r w:rsidR="337B2A98" w:rsidRPr="5AB46587">
              <w:rPr>
                <w:rFonts w:asciiTheme="minorHAnsi" w:eastAsiaTheme="minorEastAsia" w:hAnsiTheme="minorHAnsi" w:cstheme="minorBidi"/>
                <w:i/>
                <w:iCs/>
                <w:sz w:val="20"/>
                <w:szCs w:val="20"/>
              </w:rPr>
              <w:t>"</w:t>
            </w:r>
            <w:r w:rsidR="367FC3C8" w:rsidRPr="5AB46587">
              <w:rPr>
                <w:rFonts w:asciiTheme="minorHAnsi" w:eastAsiaTheme="minorEastAsia" w:hAnsiTheme="minorHAnsi" w:cstheme="minorBidi"/>
                <w:i/>
                <w:iCs/>
                <w:sz w:val="20"/>
                <w:szCs w:val="20"/>
              </w:rPr>
              <w:t>Y</w:t>
            </w:r>
            <w:r w:rsidR="337B2A98" w:rsidRPr="5AB46587">
              <w:rPr>
                <w:rFonts w:asciiTheme="minorHAnsi" w:eastAsiaTheme="minorEastAsia" w:hAnsiTheme="minorHAnsi" w:cstheme="minorBidi"/>
                <w:i/>
                <w:iCs/>
                <w:sz w:val="20"/>
                <w:szCs w:val="20"/>
              </w:rPr>
              <w:t xml:space="preserve">ou've got to have it sitting there, because unfortunately, politics is like that. ... Sometimes you just need constant bombardment with the good ideas and putting down the bad ideas, or at least saying to people that's not going to work for this reason, and to try and encourage them to do better policy options... "      </w:t>
            </w:r>
          </w:p>
        </w:tc>
      </w:tr>
    </w:tbl>
    <w:p w14:paraId="74E9A7BD" w14:textId="39392A6B" w:rsidR="00FC042E" w:rsidRPr="00385300" w:rsidRDefault="5A261C61" w:rsidP="00385300">
      <w:pPr>
        <w:pStyle w:val="Heading3"/>
      </w:pPr>
      <w:r w:rsidRPr="00385300">
        <w:lastRenderedPageBreak/>
        <w:t>2.3.3</w:t>
      </w:r>
      <w:r w:rsidR="0018041C" w:rsidRPr="00385300">
        <w:tab/>
      </w:r>
      <w:r w:rsidR="617052C8" w:rsidRPr="00385300">
        <w:t>Alignment with key Australian Government strategic documents</w:t>
      </w:r>
    </w:p>
    <w:p w14:paraId="39521E8B" w14:textId="1B056C12" w:rsidR="79D6B177" w:rsidRPr="00385300" w:rsidRDefault="79D6B177" w:rsidP="00385300">
      <w:pPr>
        <w:pStyle w:val="Heading4"/>
      </w:pPr>
      <w:r w:rsidRPr="00385300">
        <w:t xml:space="preserve">Project is closely aligned to Australian Government objectives </w:t>
      </w:r>
    </w:p>
    <w:p w14:paraId="0B152C35" w14:textId="7959B740" w:rsidR="79D6B177" w:rsidRDefault="79D6B177" w:rsidP="5AB46587">
      <w:pPr>
        <w:pStyle w:val="Default"/>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Project remains highly relevant to the Australian Government’s strategic objectives, providing independent, long-term analysis of Indonesia’s economic and social policy landscape. It contributes to the Australia–Indonesia Development Partnership Plan by strengthening knowledge sharing and policy dialogue across research institutions, government and civil society (Objective 3: Strong Institutions); and to DFAT’s International Development Policy through the creation of enduring people-to-people links (Key commitment: “build more genuine and respectful partnerships”). The Project is also aligned with and supports the education sector analysis and strategies outlined in the Australia’s Southeast Asia Economic Strategy to 2040; and is aligned with a pillars one (“enhancing our economic and development partnership”</w:t>
      </w:r>
      <w:r w:rsidRPr="5AB46587">
        <w:rPr>
          <w:rFonts w:asciiTheme="minorHAnsi" w:eastAsiaTheme="minorEastAsia" w:hAnsiTheme="minorHAnsi" w:cstheme="minorBidi"/>
          <w:i/>
          <w:iCs/>
          <w:sz w:val="18"/>
          <w:szCs w:val="18"/>
        </w:rPr>
        <w:t xml:space="preserve">) </w:t>
      </w:r>
      <w:r w:rsidRPr="5AB46587">
        <w:rPr>
          <w:rFonts w:asciiTheme="minorHAnsi" w:eastAsiaTheme="minorEastAsia" w:hAnsiTheme="minorHAnsi" w:cstheme="minorBidi"/>
          <w:sz w:val="22"/>
          <w:szCs w:val="22"/>
        </w:rPr>
        <w:t>and two (“connecting people”) of the Plan of Action for the Indonesia-Australia Comprehensive Strategic Partnership (2025–2029). A full analysis of the Project’s alignment with each of these key strategic documents is presented in Appendix 4.</w:t>
      </w:r>
    </w:p>
    <w:p w14:paraId="3BB55549" w14:textId="734AC01F" w:rsidR="7044DD98" w:rsidRDefault="7044DD98" w:rsidP="5AB46587">
      <w:pPr>
        <w:spacing w:before="120" w:after="120"/>
        <w:rPr>
          <w:rFonts w:ascii="Calibri" w:eastAsia="Calibri" w:hAnsi="Calibri" w:cs="Calibri"/>
          <w:i/>
          <w:iCs/>
          <w:sz w:val="20"/>
          <w:szCs w:val="20"/>
        </w:rPr>
      </w:pPr>
      <w:r w:rsidRPr="5AB46587">
        <w:rPr>
          <w:rFonts w:ascii="Calibri" w:eastAsia="Calibri" w:hAnsi="Calibri" w:cs="Calibri"/>
          <w:b/>
          <w:bCs/>
          <w:i/>
          <w:iCs/>
          <w:sz w:val="20"/>
          <w:szCs w:val="20"/>
        </w:rPr>
        <w:t>Key stakeholder comment:</w:t>
      </w:r>
      <w:r w:rsidRPr="5AB46587">
        <w:rPr>
          <w:rFonts w:ascii="Calibri" w:eastAsia="Calibri" w:hAnsi="Calibri" w:cs="Calibri"/>
          <w:i/>
          <w:iCs/>
          <w:sz w:val="20"/>
          <w:szCs w:val="20"/>
        </w:rPr>
        <w:t xml:space="preserve"> At the Indonesia Update, getting that academic evaluation of research, it's useful for us in DFAT, because it would be ideal if we sat down and read all the latest research about Indonesia, but realistically, it doesn't happen. </w:t>
      </w:r>
      <w:proofErr w:type="gramStart"/>
      <w:r w:rsidRPr="5AB46587">
        <w:rPr>
          <w:rFonts w:ascii="Calibri" w:eastAsia="Calibri" w:hAnsi="Calibri" w:cs="Calibri"/>
          <w:i/>
          <w:iCs/>
          <w:sz w:val="20"/>
          <w:szCs w:val="20"/>
        </w:rPr>
        <w:t>So</w:t>
      </w:r>
      <w:proofErr w:type="gramEnd"/>
      <w:r w:rsidRPr="5AB46587">
        <w:rPr>
          <w:rFonts w:ascii="Calibri" w:eastAsia="Calibri" w:hAnsi="Calibri" w:cs="Calibri"/>
          <w:i/>
          <w:iCs/>
          <w:sz w:val="20"/>
          <w:szCs w:val="20"/>
        </w:rPr>
        <w:t xml:space="preserve"> it's much easier if someone puts us in a room and tells us what the research is. It keeps us current." Key stakeholder</w:t>
      </w:r>
    </w:p>
    <w:p w14:paraId="2AFDFCEC" w14:textId="77777777" w:rsidR="00F51087" w:rsidRDefault="00F51087" w:rsidP="5AB46587">
      <w:pPr>
        <w:pStyle w:val="Heading2"/>
        <w:spacing w:before="120" w:after="120"/>
        <w:rPr>
          <w:rFonts w:asciiTheme="minorHAnsi" w:eastAsiaTheme="minorEastAsia" w:hAnsiTheme="minorHAnsi" w:cstheme="minorBidi"/>
          <w:b/>
          <w:bCs/>
          <w:color w:val="FAAA4C"/>
          <w:sz w:val="24"/>
          <w:szCs w:val="24"/>
          <w:lang w:val="en-GB"/>
        </w:rPr>
      </w:pPr>
      <w:bookmarkStart w:id="19" w:name="_Toc219232330"/>
    </w:p>
    <w:p w14:paraId="68A17A1A" w14:textId="77777777" w:rsidR="00F51087" w:rsidRDefault="00F51087" w:rsidP="5AB46587">
      <w:pPr>
        <w:rPr>
          <w:rFonts w:asciiTheme="minorHAnsi" w:eastAsiaTheme="minorEastAsia" w:hAnsiTheme="minorHAnsi" w:cstheme="minorBidi"/>
          <w:b/>
          <w:bCs/>
          <w:color w:val="FAAA4C"/>
          <w:lang w:val="en-GB"/>
        </w:rPr>
      </w:pPr>
      <w:r w:rsidRPr="5AB46587">
        <w:rPr>
          <w:rFonts w:asciiTheme="minorHAnsi" w:eastAsiaTheme="minorEastAsia" w:hAnsiTheme="minorHAnsi" w:cstheme="minorBidi"/>
          <w:b/>
          <w:bCs/>
          <w:color w:val="FAAA4C"/>
          <w:lang w:val="en-GB"/>
        </w:rPr>
        <w:br w:type="page"/>
      </w:r>
    </w:p>
    <w:p w14:paraId="35779E61" w14:textId="6CDCAB38" w:rsidR="009D3D4A" w:rsidRPr="00385300" w:rsidRDefault="5C48C428" w:rsidP="00385300">
      <w:pPr>
        <w:pStyle w:val="Heading2"/>
      </w:pPr>
      <w:r w:rsidRPr="00385300">
        <w:lastRenderedPageBreak/>
        <w:t xml:space="preserve">2.3 </w:t>
      </w:r>
      <w:r w:rsidR="009D3D4A" w:rsidRPr="00385300">
        <w:tab/>
      </w:r>
      <w:r w:rsidRPr="00385300">
        <w:t>Efficiency</w:t>
      </w:r>
      <w:r w:rsidR="3ADBB685" w:rsidRPr="00385300">
        <w:t xml:space="preserve"> of the project modality</w:t>
      </w:r>
      <w:r w:rsidRPr="00385300">
        <w:t xml:space="preserve"> (KEQ4)</w:t>
      </w:r>
      <w:bookmarkEnd w:id="19"/>
    </w:p>
    <w:p w14:paraId="1CA9CBC3" w14:textId="36C809BF" w:rsidR="009D3D4A" w:rsidRPr="00385300" w:rsidRDefault="16889D38" w:rsidP="00385300">
      <w:pPr>
        <w:pStyle w:val="Heading3"/>
      </w:pPr>
      <w:r w:rsidRPr="00385300">
        <w:t>2.3.1</w:t>
      </w:r>
      <w:r w:rsidR="00F32A96" w:rsidRPr="00385300">
        <w:tab/>
      </w:r>
      <w:r w:rsidR="40D2F700" w:rsidRPr="00385300">
        <w:t xml:space="preserve">Value for Money </w:t>
      </w:r>
    </w:p>
    <w:p w14:paraId="699BFE36" w14:textId="0A454B3A" w:rsidR="05443304" w:rsidRPr="00385300" w:rsidRDefault="05443304" w:rsidP="00385300">
      <w:pPr>
        <w:pStyle w:val="Heading4"/>
      </w:pPr>
      <w:r w:rsidRPr="00385300">
        <w:t>Good value for money</w:t>
      </w:r>
    </w:p>
    <w:p w14:paraId="085B36C3" w14:textId="103AC320" w:rsidR="05443304" w:rsidRDefault="05443304" w:rsidP="5AB46587">
      <w:pPr>
        <w:spacing w:before="120" w:after="120"/>
        <w:ind w:left="33"/>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The Project represents good value for money for DFAT, given its modest investment of an average of AUD1.3 million per year, relative to the breadth of outputs, networks and long-term outcomes it generates. Locating the Project within ANU provides cost-effective access to institutional infrastructure and intellectual capital. For example, The </w:t>
      </w:r>
      <w:r w:rsidRPr="5AB46587">
        <w:rPr>
          <w:rFonts w:asciiTheme="minorHAnsi" w:eastAsiaTheme="minorEastAsia" w:hAnsiTheme="minorHAnsi" w:cstheme="minorBidi"/>
          <w:sz w:val="22"/>
          <w:szCs w:val="22"/>
          <w:lang w:val="en-GB"/>
        </w:rPr>
        <w:t xml:space="preserve">Project contributes to the salaries and overheads of a core team of five academic staff members and a small project management team (~1.5 FTE). Yet it draws on and benefits from the research and willing contribution of a much larger pool of academics, researchers and postgraduate students participating in PhD and </w:t>
      </w:r>
      <w:proofErr w:type="gramStart"/>
      <w:r w:rsidRPr="5AB46587">
        <w:rPr>
          <w:rFonts w:asciiTheme="minorHAnsi" w:eastAsiaTheme="minorEastAsia" w:hAnsiTheme="minorHAnsi" w:cstheme="minorBidi"/>
          <w:sz w:val="22"/>
          <w:szCs w:val="22"/>
          <w:lang w:val="en-GB"/>
        </w:rPr>
        <w:t>masters</w:t>
      </w:r>
      <w:proofErr w:type="gramEnd"/>
      <w:r w:rsidRPr="5AB46587">
        <w:rPr>
          <w:rFonts w:asciiTheme="minorHAnsi" w:eastAsiaTheme="minorEastAsia" w:hAnsiTheme="minorHAnsi" w:cstheme="minorBidi"/>
          <w:sz w:val="22"/>
          <w:szCs w:val="22"/>
          <w:lang w:val="en-GB"/>
        </w:rPr>
        <w:t xml:space="preserve"> programs, undertaking and publishing academic research in BIES, and contributing knowledge and discussion through key conferences, seminars and forums.</w:t>
      </w:r>
      <w:r w:rsidRPr="5AB46587">
        <w:rPr>
          <w:rFonts w:asciiTheme="minorHAnsi" w:eastAsiaTheme="minorEastAsia" w:hAnsiTheme="minorHAnsi" w:cstheme="minorBidi"/>
          <w:sz w:val="22"/>
          <w:szCs w:val="22"/>
        </w:rPr>
        <w:t xml:space="preserve"> </w:t>
      </w:r>
    </w:p>
    <w:p w14:paraId="2596D26D" w14:textId="25CE7484" w:rsidR="05443304" w:rsidRDefault="05443304" w:rsidP="5AB46587">
      <w:pPr>
        <w:widowControl w:val="0"/>
        <w:spacing w:before="120" w:after="120"/>
        <w:ind w:right="38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However, the Project operates with tight resourcing and expectations around collaboration, communications and inclusion have expanded faster than available staff time and budget, posing risks to quality and staff workload. DFAT funds are primarily utilised for staff salaries and overheads, with approximately AUD1.2million allocated to salaries each year. The remaining AUD100,000 is allocated to activities including the Indonesia Update (~AUD45,000), research grants, annual survey, and the production of BIES (writing and proofreading). Operating with an incredibly tight budget means that any additional activities, outreach or communication requirements from DFAT and ANU, should be accompanied with additional funding commitments.</w:t>
      </w:r>
    </w:p>
    <w:p w14:paraId="43A0BD69" w14:textId="6974782F" w:rsidR="05443304" w:rsidRDefault="05443304" w:rsidP="5AB46587">
      <w:pPr>
        <w:widowControl w:val="0"/>
        <w:spacing w:before="120" w:after="120"/>
        <w:ind w:right="386"/>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Key stakeholder comment:</w:t>
      </w:r>
      <w:r w:rsidRPr="5AB46587">
        <w:rPr>
          <w:rFonts w:asciiTheme="minorHAnsi" w:eastAsiaTheme="minorEastAsia" w:hAnsiTheme="minorHAnsi" w:cstheme="minorBidi"/>
          <w:i/>
          <w:iCs/>
          <w:sz w:val="20"/>
          <w:szCs w:val="20"/>
        </w:rPr>
        <w:t xml:space="preserve"> "It's about trying to make sure there's a conduit for good economic policy advice, through to … to decision makers. So in that regard... it's not a huge investment from a dollar point of view in terms of the overall Indonesia program, but it's certainly one that delivers a huge benefit for Australia and for policy… [it] certainly punches above its weight in terms of the access and the influence that it can help deliver, and also the outcomes."  </w:t>
      </w:r>
    </w:p>
    <w:p w14:paraId="01395104" w14:textId="22955B9C" w:rsidR="3EDA5BFF" w:rsidRPr="00385300" w:rsidRDefault="3EDA5BFF" w:rsidP="00385300">
      <w:pPr>
        <w:pStyle w:val="Heading3"/>
      </w:pPr>
      <w:r w:rsidRPr="00385300">
        <w:t>2.3.2 Project management and collaboration</w:t>
      </w:r>
    </w:p>
    <w:p w14:paraId="3DA88A18" w14:textId="6E6EC892" w:rsidR="3EDA5BFF" w:rsidRPr="00385300" w:rsidRDefault="3EDA5BFF" w:rsidP="00385300">
      <w:pPr>
        <w:pStyle w:val="Heading4"/>
      </w:pPr>
      <w:r w:rsidRPr="00385300">
        <w:t>Collaboration with DFAT initiatives</w:t>
      </w:r>
    </w:p>
    <w:p w14:paraId="07232971" w14:textId="0E17B108" w:rsidR="3EDA5BFF" w:rsidRDefault="3EDA5BFF" w:rsidP="5AB46587">
      <w:pPr>
        <w:pStyle w:val="Default"/>
        <w:spacing w:before="120" w:after="120"/>
        <w:ind w:left="33"/>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Collaboration with DFAT initiatives has delivered benefits as documented throughout this report. During Phase V, the Project has collaborated with KONEKSI, SKALA and Prospera through attendance at seminars, co-delivering training, invitations to publish papers in BIES, in high-level policy dialogues, and through the many people-to-people connections that exist between the Project and staff working on these initiatives. Collaboration with </w:t>
      </w:r>
      <w:proofErr w:type="gramStart"/>
      <w:r w:rsidRPr="5AB46587">
        <w:rPr>
          <w:rFonts w:asciiTheme="minorHAnsi" w:eastAsiaTheme="minorEastAsia" w:hAnsiTheme="minorHAnsi" w:cstheme="minorBidi"/>
          <w:sz w:val="22"/>
          <w:szCs w:val="22"/>
        </w:rPr>
        <w:t>KONEKSI in particular, has</w:t>
      </w:r>
      <w:proofErr w:type="gramEnd"/>
      <w:r w:rsidRPr="5AB46587">
        <w:rPr>
          <w:rFonts w:asciiTheme="minorHAnsi" w:eastAsiaTheme="minorEastAsia" w:hAnsiTheme="minorHAnsi" w:cstheme="minorBidi"/>
          <w:sz w:val="22"/>
          <w:szCs w:val="22"/>
        </w:rPr>
        <w:t xml:space="preserve"> enabled the Project to attract and connect with students from eastern Indonesian, and helped to build the capacity of a more diverse cohort of researchers to engage with in Indonesia. While this collaboration is </w:t>
      </w:r>
      <w:proofErr w:type="gramStart"/>
      <w:r w:rsidRPr="5AB46587">
        <w:rPr>
          <w:rFonts w:asciiTheme="minorHAnsi" w:eastAsiaTheme="minorEastAsia" w:hAnsiTheme="minorHAnsi" w:cstheme="minorBidi"/>
          <w:sz w:val="22"/>
          <w:szCs w:val="22"/>
        </w:rPr>
        <w:t>positive, and</w:t>
      </w:r>
      <w:proofErr w:type="gramEnd"/>
      <w:r w:rsidRPr="5AB46587">
        <w:rPr>
          <w:rFonts w:asciiTheme="minorHAnsi" w:eastAsiaTheme="minorEastAsia" w:hAnsiTheme="minorHAnsi" w:cstheme="minorBidi"/>
          <w:sz w:val="22"/>
          <w:szCs w:val="22"/>
        </w:rPr>
        <w:t xml:space="preserve"> contributes to the increased funding and reach of the project, it is viewed by some key stakeholders as a potential burden, creating an administrative burden for ANU which operates under tight resource constraints.</w:t>
      </w:r>
    </w:p>
    <w:p w14:paraId="3748F86B" w14:textId="75D98918" w:rsidR="3EDA5BFF" w:rsidRDefault="3EDA5BFF" w:rsidP="5AB46587">
      <w:pPr>
        <w:widowControl w:val="0"/>
        <w:spacing w:before="120" w:after="120"/>
        <w:ind w:right="38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Collaboration with DFAT initiatives could be strengthened through enhanced coordination efforts from within DFAT, as the transaction costs of collaboration</w:t>
      </w:r>
      <w:r w:rsidRPr="5AB46587">
        <w:rPr>
          <w:rFonts w:asciiTheme="minorHAnsi" w:eastAsiaTheme="minorEastAsia" w:hAnsiTheme="minorHAnsi" w:cstheme="minorBidi"/>
          <w:b/>
          <w:bCs/>
          <w:sz w:val="22"/>
          <w:szCs w:val="22"/>
        </w:rPr>
        <w:t xml:space="preserve"> </w:t>
      </w:r>
      <w:r w:rsidRPr="5AB46587">
        <w:rPr>
          <w:rFonts w:asciiTheme="minorHAnsi" w:eastAsiaTheme="minorEastAsia" w:hAnsiTheme="minorHAnsi" w:cstheme="minorBidi"/>
          <w:sz w:val="22"/>
          <w:szCs w:val="22"/>
        </w:rPr>
        <w:t xml:space="preserve">are not always fully recognised or resourced. Based on feedback from those consulted, on the ground DFAT initiatives appear quite siloed, and there is an identified need for more resources to support strategic engagement and a more joined up portfolio in Indonesia. DFAT is encouraged to facilitate engagement between the Project and other DFAT initiatives (such as Prospera, SKALA, KONEKSI and Australia Awards), through a planned program of briefings, horizon-scanning sessions, and joint events, </w:t>
      </w:r>
      <w:proofErr w:type="gramStart"/>
      <w:r w:rsidRPr="5AB46587">
        <w:rPr>
          <w:rFonts w:asciiTheme="minorHAnsi" w:eastAsiaTheme="minorEastAsia" w:hAnsiTheme="minorHAnsi" w:cstheme="minorBidi"/>
          <w:sz w:val="22"/>
          <w:szCs w:val="22"/>
        </w:rPr>
        <w:t>in order to</w:t>
      </w:r>
      <w:proofErr w:type="gramEnd"/>
      <w:r w:rsidRPr="5AB46587">
        <w:rPr>
          <w:rFonts w:asciiTheme="minorHAnsi" w:eastAsiaTheme="minorEastAsia" w:hAnsiTheme="minorHAnsi" w:cstheme="minorBidi"/>
          <w:sz w:val="22"/>
          <w:szCs w:val="22"/>
        </w:rPr>
        <w:t xml:space="preserve"> enable deeper understanding and structured collaboration.</w:t>
      </w:r>
    </w:p>
    <w:p w14:paraId="5BAAED41" w14:textId="254FF96F" w:rsidR="3EDA5BFF" w:rsidRDefault="3EDA5BFF" w:rsidP="5AB46587">
      <w:pPr>
        <w:widowControl w:val="0"/>
        <w:spacing w:before="120" w:after="120"/>
        <w:ind w:right="386"/>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Key stakeholder comment:</w:t>
      </w:r>
      <w:r w:rsidRPr="5AB46587">
        <w:rPr>
          <w:rFonts w:asciiTheme="minorHAnsi" w:eastAsiaTheme="minorEastAsia" w:hAnsiTheme="minorHAnsi" w:cstheme="minorBidi"/>
          <w:i/>
          <w:iCs/>
          <w:sz w:val="20"/>
          <w:szCs w:val="20"/>
        </w:rPr>
        <w:t xml:space="preserve"> “That's been our engagement to date, sort of coming together over that joint </w:t>
      </w:r>
      <w:r w:rsidRPr="5AB46587">
        <w:rPr>
          <w:rFonts w:asciiTheme="minorHAnsi" w:eastAsiaTheme="minorEastAsia" w:hAnsiTheme="minorHAnsi" w:cstheme="minorBidi"/>
          <w:i/>
          <w:iCs/>
          <w:sz w:val="20"/>
          <w:szCs w:val="20"/>
        </w:rPr>
        <w:lastRenderedPageBreak/>
        <w:t xml:space="preserve">interest in supporting Indonesia-Australia research collaboration and to find ways to leverage their networks and history and relationships to enhance our project."  </w:t>
      </w:r>
    </w:p>
    <w:p w14:paraId="5CD882B4" w14:textId="7A86B65E" w:rsidR="3EDA5BFF" w:rsidRDefault="3EDA5BFF" w:rsidP="5AB46587">
      <w:pPr>
        <w:widowControl w:val="0"/>
        <w:spacing w:before="120" w:after="120"/>
        <w:ind w:right="386"/>
        <w:rPr>
          <w:rFonts w:asciiTheme="minorHAnsi" w:eastAsiaTheme="minorEastAsia" w:hAnsiTheme="minorHAnsi" w:cstheme="minorBidi"/>
          <w:i/>
          <w:iCs/>
          <w:sz w:val="20"/>
          <w:szCs w:val="20"/>
        </w:rPr>
      </w:pPr>
      <w:r w:rsidRPr="5AB46587">
        <w:rPr>
          <w:rFonts w:asciiTheme="minorHAnsi" w:eastAsiaTheme="minorEastAsia" w:hAnsiTheme="minorHAnsi" w:cstheme="minorBidi"/>
          <w:b/>
          <w:bCs/>
          <w:i/>
          <w:iCs/>
          <w:sz w:val="20"/>
          <w:szCs w:val="20"/>
        </w:rPr>
        <w:t>Key stakeholder comment:</w:t>
      </w:r>
      <w:r w:rsidRPr="5AB46587">
        <w:rPr>
          <w:rFonts w:asciiTheme="minorHAnsi" w:eastAsiaTheme="minorEastAsia" w:hAnsiTheme="minorHAnsi" w:cstheme="minorBidi"/>
          <w:i/>
          <w:iCs/>
          <w:sz w:val="20"/>
          <w:szCs w:val="20"/>
        </w:rPr>
        <w:t xml:space="preserve"> "I think from my experience [the DFAT initiatives] seem quite separate. Whether there's kind of strategic conversations happening much higher, I'm sure that we would say that there was, but how that looks on the ground, mostly, it seems quite separate. Except where working level staff know each other … and have those conversations."  </w:t>
      </w:r>
    </w:p>
    <w:p w14:paraId="0BCFFE97" w14:textId="5A0D5C5F" w:rsidR="005F6329" w:rsidRPr="00385300" w:rsidRDefault="3ADBB685" w:rsidP="00385300">
      <w:pPr>
        <w:pStyle w:val="Heading1"/>
      </w:pPr>
      <w:bookmarkStart w:id="20" w:name="_Toc219232331"/>
      <w:r w:rsidRPr="00385300">
        <w:t xml:space="preserve">3. </w:t>
      </w:r>
      <w:r w:rsidR="005F6329" w:rsidRPr="00385300">
        <w:tab/>
      </w:r>
      <w:r w:rsidRPr="00385300">
        <w:t xml:space="preserve">Key </w:t>
      </w:r>
      <w:r w:rsidR="0FECCC18" w:rsidRPr="00385300">
        <w:t>s</w:t>
      </w:r>
      <w:r w:rsidRPr="00385300">
        <w:t xml:space="preserve">trengths </w:t>
      </w:r>
      <w:r w:rsidR="340B69D5" w:rsidRPr="00385300">
        <w:t>and challenges</w:t>
      </w:r>
      <w:bookmarkEnd w:id="20"/>
    </w:p>
    <w:p w14:paraId="6605172A" w14:textId="58F6003A" w:rsidR="005F6329" w:rsidRDefault="340B69D5" w:rsidP="5AB46587">
      <w:p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Based on the analysis </w:t>
      </w:r>
      <w:r w:rsidR="16EAEDC4" w:rsidRPr="5AB46587">
        <w:rPr>
          <w:rFonts w:asciiTheme="minorHAnsi" w:eastAsiaTheme="minorEastAsia" w:hAnsiTheme="minorHAnsi" w:cstheme="minorBidi"/>
          <w:sz w:val="22"/>
          <w:szCs w:val="22"/>
        </w:rPr>
        <w:t xml:space="preserve">of evaluation data and key findings presented above, the evaluation team has identified </w:t>
      </w:r>
      <w:proofErr w:type="gramStart"/>
      <w:r w:rsidR="16EAEDC4" w:rsidRPr="5AB46587">
        <w:rPr>
          <w:rFonts w:asciiTheme="minorHAnsi" w:eastAsiaTheme="minorEastAsia" w:hAnsiTheme="minorHAnsi" w:cstheme="minorBidi"/>
          <w:sz w:val="22"/>
          <w:szCs w:val="22"/>
        </w:rPr>
        <w:t>a number of</w:t>
      </w:r>
      <w:proofErr w:type="gramEnd"/>
      <w:r w:rsidR="16EAEDC4" w:rsidRPr="5AB46587">
        <w:rPr>
          <w:rFonts w:asciiTheme="minorHAnsi" w:eastAsiaTheme="minorEastAsia" w:hAnsiTheme="minorHAnsi" w:cstheme="minorBidi"/>
          <w:sz w:val="22"/>
          <w:szCs w:val="22"/>
        </w:rPr>
        <w:t xml:space="preserve"> key project strengths and success factors, and key challenges and lessons learned. </w:t>
      </w:r>
    </w:p>
    <w:p w14:paraId="04176354" w14:textId="37199DCD" w:rsidR="00A37649" w:rsidRPr="00385300" w:rsidRDefault="16EAEDC4" w:rsidP="00385300">
      <w:pPr>
        <w:pStyle w:val="Heading2"/>
      </w:pPr>
      <w:r w:rsidRPr="00385300">
        <w:t>Key strengths and success factors</w:t>
      </w:r>
    </w:p>
    <w:p w14:paraId="6C569A52" w14:textId="77777777" w:rsidR="005F632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Longevity and reputation:</w:t>
      </w:r>
      <w:r w:rsidRPr="5AB46587">
        <w:rPr>
          <w:rFonts w:asciiTheme="minorHAnsi" w:eastAsiaTheme="minorEastAsia" w:hAnsiTheme="minorHAnsi" w:cstheme="minorBidi"/>
          <w:sz w:val="22"/>
          <w:szCs w:val="22"/>
        </w:rPr>
        <w:t xml:space="preserve"> 60 years of continuous activity has created deep trust, brand recognition and continuity of relationships, making the Project a cornerstone of Indonesia-focused research in Australia.</w:t>
      </w:r>
    </w:p>
    <w:p w14:paraId="516B237D" w14:textId="77777777" w:rsidR="005F632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Sustained capacity building of Indonesian researchers:</w:t>
      </w:r>
      <w:r w:rsidRPr="5AB46587">
        <w:rPr>
          <w:rFonts w:asciiTheme="minorHAnsi" w:eastAsiaTheme="minorEastAsia" w:hAnsiTheme="minorHAnsi" w:cstheme="minorBidi"/>
          <w:sz w:val="22"/>
          <w:szCs w:val="22"/>
        </w:rPr>
        <w:t xml:space="preserve"> generations of Indonesian researchers have been trained by the Project, building local capacity in high quality applied research. Ultimately this increased knowledge and capacity supports evidence-based </w:t>
      </w:r>
      <w:proofErr w:type="gramStart"/>
      <w:r w:rsidRPr="5AB46587">
        <w:rPr>
          <w:rFonts w:asciiTheme="minorHAnsi" w:eastAsiaTheme="minorEastAsia" w:hAnsiTheme="minorHAnsi" w:cstheme="minorBidi"/>
          <w:sz w:val="22"/>
          <w:szCs w:val="22"/>
        </w:rPr>
        <w:t>policy-making</w:t>
      </w:r>
      <w:proofErr w:type="gramEnd"/>
      <w:r w:rsidRPr="5AB46587">
        <w:rPr>
          <w:rFonts w:asciiTheme="minorHAnsi" w:eastAsiaTheme="minorEastAsia" w:hAnsiTheme="minorHAnsi" w:cstheme="minorBidi"/>
          <w:sz w:val="22"/>
          <w:szCs w:val="22"/>
        </w:rPr>
        <w:t xml:space="preserve"> in Indonesia, strengthening the Indonesian Government’s ability to identify and solve its own economic and social policy priorities. </w:t>
      </w:r>
    </w:p>
    <w:p w14:paraId="163D5B3D" w14:textId="77777777" w:rsidR="005F632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Quality, rigour and independence:</w:t>
      </w:r>
      <w:r w:rsidRPr="5AB46587">
        <w:rPr>
          <w:rFonts w:asciiTheme="minorHAnsi" w:eastAsiaTheme="minorEastAsia" w:hAnsiTheme="minorHAnsi" w:cstheme="minorBidi"/>
          <w:sz w:val="22"/>
          <w:szCs w:val="22"/>
        </w:rPr>
        <w:t xml:space="preserve"> the Project is seen as intellectually rigorous, politically independent and academically credible, which is highly valued by Indonesian and Australian partners/alumni. </w:t>
      </w:r>
    </w:p>
    <w:p w14:paraId="4AE1EB0E" w14:textId="77777777" w:rsidR="005F632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Networks and people-to-people links:</w:t>
      </w:r>
      <w:r w:rsidRPr="5AB46587">
        <w:rPr>
          <w:rFonts w:asciiTheme="minorHAnsi" w:eastAsiaTheme="minorEastAsia" w:hAnsiTheme="minorHAnsi" w:cstheme="minorBidi"/>
          <w:sz w:val="22"/>
          <w:szCs w:val="22"/>
        </w:rPr>
        <w:t xml:space="preserve"> the layered network of students, alumni, academics, bureaucrats and policymakers is arguably the Project’s most important asset and a key channel through which influence is realised.</w:t>
      </w:r>
    </w:p>
    <w:p w14:paraId="58036541" w14:textId="77777777" w:rsidR="005F632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Location within ANU:</w:t>
      </w:r>
      <w:r w:rsidRPr="5AB46587">
        <w:rPr>
          <w:rFonts w:asciiTheme="minorHAnsi" w:eastAsiaTheme="minorEastAsia" w:hAnsiTheme="minorHAnsi" w:cstheme="minorBidi"/>
          <w:sz w:val="22"/>
          <w:szCs w:val="22"/>
        </w:rPr>
        <w:t xml:space="preserve"> being based in Canberra yet focused on Indonesia allows the Project to connect Australian and Indonesian institutions, while remaining somewhat insulated from day-to-day political shifts.</w:t>
      </w:r>
    </w:p>
    <w:p w14:paraId="15506168" w14:textId="77777777" w:rsidR="005F632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Evolving attention to GEDSI:</w:t>
      </w:r>
      <w:r w:rsidRPr="5AB46587">
        <w:rPr>
          <w:rFonts w:asciiTheme="minorHAnsi" w:eastAsiaTheme="minorEastAsia" w:hAnsiTheme="minorHAnsi" w:cstheme="minorBidi"/>
          <w:sz w:val="22"/>
          <w:szCs w:val="22"/>
        </w:rPr>
        <w:t xml:space="preserve"> external reviews and DFAT priorities have prompted genuine progress on gender equality within staffing, governance and research areas.</w:t>
      </w:r>
    </w:p>
    <w:p w14:paraId="05223145" w14:textId="0BC8DFF0" w:rsidR="00A37649" w:rsidRPr="00C90385" w:rsidRDefault="3ADBB685" w:rsidP="007B461C">
      <w:pPr>
        <w:pStyle w:val="ListParagraph"/>
        <w:numPr>
          <w:ilvl w:val="0"/>
          <w:numId w:val="5"/>
        </w:num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Flexibility and responsiveness:</w:t>
      </w:r>
      <w:r w:rsidRPr="5AB46587">
        <w:rPr>
          <w:rFonts w:asciiTheme="minorHAnsi" w:eastAsiaTheme="minorEastAsia" w:hAnsiTheme="minorHAnsi" w:cstheme="minorBidi"/>
          <w:sz w:val="22"/>
          <w:szCs w:val="22"/>
        </w:rPr>
        <w:t xml:space="preserve"> the project team has shown agility in responding to contextual change (e.g. COVID-19, political shifts, new DFAT priorities) within tight resource constraints.</w:t>
      </w:r>
    </w:p>
    <w:p w14:paraId="47D6D355" w14:textId="77777777" w:rsidR="00A37649" w:rsidRPr="00A37649" w:rsidRDefault="00A37649" w:rsidP="5AB46587">
      <w:pPr>
        <w:spacing w:before="120" w:after="120"/>
        <w:rPr>
          <w:rFonts w:asciiTheme="minorHAnsi" w:eastAsiaTheme="minorEastAsia" w:hAnsiTheme="minorHAnsi" w:cstheme="minorBidi"/>
          <w:sz w:val="10"/>
          <w:szCs w:val="10"/>
        </w:rPr>
      </w:pPr>
    </w:p>
    <w:p w14:paraId="501BCF38" w14:textId="77777777" w:rsidR="001A10F1" w:rsidRDefault="001A10F1" w:rsidP="5AB46587">
      <w:pPr>
        <w:rPr>
          <w:rFonts w:asciiTheme="minorHAnsi" w:eastAsiaTheme="minorEastAsia" w:hAnsiTheme="minorHAnsi" w:cstheme="minorBidi"/>
          <w:b/>
          <w:bCs/>
          <w:sz w:val="22"/>
          <w:szCs w:val="22"/>
        </w:rPr>
      </w:pPr>
      <w:bookmarkStart w:id="21" w:name="_Toc218593474"/>
      <w:r w:rsidRPr="5AB46587">
        <w:rPr>
          <w:rFonts w:asciiTheme="minorHAnsi" w:eastAsiaTheme="minorEastAsia" w:hAnsiTheme="minorHAnsi" w:cstheme="minorBidi"/>
          <w:b/>
          <w:bCs/>
          <w:sz w:val="22"/>
          <w:szCs w:val="22"/>
        </w:rPr>
        <w:br w:type="page"/>
      </w:r>
    </w:p>
    <w:p w14:paraId="2A34BC78" w14:textId="1FD882BA" w:rsidR="00200E93" w:rsidRPr="00385300" w:rsidRDefault="0FECCC18" w:rsidP="00385300">
      <w:pPr>
        <w:pStyle w:val="Heading2"/>
      </w:pPr>
      <w:r w:rsidRPr="00385300">
        <w:lastRenderedPageBreak/>
        <w:t>Key c</w:t>
      </w:r>
      <w:r w:rsidR="5C48C428" w:rsidRPr="00385300">
        <w:t>hallenges</w:t>
      </w:r>
      <w:bookmarkEnd w:id="21"/>
      <w:r w:rsidR="5C48C428" w:rsidRPr="00385300">
        <w:t xml:space="preserve"> </w:t>
      </w:r>
      <w:r w:rsidRPr="00385300">
        <w:t>and lessons</w:t>
      </w:r>
    </w:p>
    <w:p w14:paraId="2BDF7F98" w14:textId="382EC2A3" w:rsidR="00520954" w:rsidRPr="000728B8" w:rsidRDefault="3ADBB685" w:rsidP="5AB46587">
      <w:p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evaluation identified the following key challenges and lessons:</w:t>
      </w:r>
    </w:p>
    <w:p w14:paraId="5C42B3BA" w14:textId="1EA47250" w:rsidR="00520954"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Succession planning and sustainability:</w:t>
      </w:r>
      <w:r w:rsidRPr="5AB46587">
        <w:rPr>
          <w:rFonts w:asciiTheme="minorHAnsi" w:eastAsiaTheme="minorEastAsia" w:hAnsiTheme="minorHAnsi" w:cstheme="minorBidi"/>
          <w:sz w:val="22"/>
          <w:szCs w:val="22"/>
        </w:rPr>
        <w:t xml:space="preserve"> there is concern about declining numbers of “</w:t>
      </w:r>
      <w:proofErr w:type="spellStart"/>
      <w:r w:rsidRPr="5AB46587">
        <w:rPr>
          <w:rFonts w:asciiTheme="minorHAnsi" w:eastAsiaTheme="minorEastAsia" w:hAnsiTheme="minorHAnsi" w:cstheme="minorBidi"/>
          <w:sz w:val="22"/>
          <w:szCs w:val="22"/>
        </w:rPr>
        <w:t>Indonesianists</w:t>
      </w:r>
      <w:proofErr w:type="spellEnd"/>
      <w:r w:rsidRPr="5AB46587">
        <w:rPr>
          <w:rFonts w:asciiTheme="minorHAnsi" w:eastAsiaTheme="minorEastAsia" w:hAnsiTheme="minorHAnsi" w:cstheme="minorBidi"/>
          <w:sz w:val="22"/>
          <w:szCs w:val="22"/>
        </w:rPr>
        <w:t>” in Australia, the ageing of some senior academics, and the need for clearer succession planning and longer-term funding certainty.</w:t>
      </w:r>
    </w:p>
    <w:p w14:paraId="3905698A" w14:textId="77777777" w:rsidR="005F6329"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Engagement with Australian students:</w:t>
      </w:r>
      <w:r w:rsidRPr="5AB46587">
        <w:rPr>
          <w:rFonts w:asciiTheme="minorHAnsi" w:eastAsiaTheme="minorEastAsia" w:hAnsiTheme="minorHAnsi" w:cstheme="minorBidi"/>
          <w:sz w:val="22"/>
          <w:szCs w:val="22"/>
        </w:rPr>
        <w:t xml:space="preserve"> the Project has successfully engaged Indonesian researchers and there is a vibrant academic and research community connected through the Project in Indonesia. </w:t>
      </w:r>
      <w:proofErr w:type="gramStart"/>
      <w:r w:rsidRPr="5AB46587">
        <w:rPr>
          <w:rFonts w:asciiTheme="minorHAnsi" w:eastAsiaTheme="minorEastAsia" w:hAnsiTheme="minorHAnsi" w:cstheme="minorBidi"/>
          <w:sz w:val="22"/>
          <w:szCs w:val="22"/>
        </w:rPr>
        <w:t>However</w:t>
      </w:r>
      <w:proofErr w:type="gramEnd"/>
      <w:r w:rsidRPr="5AB46587">
        <w:rPr>
          <w:rFonts w:asciiTheme="minorHAnsi" w:eastAsiaTheme="minorEastAsia" w:hAnsiTheme="minorHAnsi" w:cstheme="minorBidi"/>
          <w:sz w:val="22"/>
          <w:szCs w:val="22"/>
        </w:rPr>
        <w:t xml:space="preserve"> resource limitations and declining Indonesian language studies in Australia pose a significant challenge to the project.  </w:t>
      </w:r>
    </w:p>
    <w:p w14:paraId="1FAE97B2" w14:textId="77777777" w:rsidR="005F6329"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Strategic focus and scope:</w:t>
      </w:r>
      <w:r w:rsidRPr="5AB46587">
        <w:rPr>
          <w:rFonts w:asciiTheme="minorHAnsi" w:eastAsiaTheme="minorEastAsia" w:hAnsiTheme="minorHAnsi" w:cstheme="minorBidi"/>
          <w:sz w:val="22"/>
          <w:szCs w:val="22"/>
        </w:rPr>
        <w:t xml:space="preserve"> there is a risk of dilution if the Project attempts to cover too many themes, audiences and functions (private sector outreach for example) which may be out of project </w:t>
      </w:r>
      <w:proofErr w:type="gramStart"/>
      <w:r w:rsidRPr="5AB46587">
        <w:rPr>
          <w:rFonts w:asciiTheme="minorHAnsi" w:eastAsiaTheme="minorEastAsia" w:hAnsiTheme="minorHAnsi" w:cstheme="minorBidi"/>
          <w:sz w:val="22"/>
          <w:szCs w:val="22"/>
        </w:rPr>
        <w:t>scope, or</w:t>
      </w:r>
      <w:proofErr w:type="gramEnd"/>
      <w:r w:rsidRPr="5AB46587">
        <w:rPr>
          <w:rFonts w:asciiTheme="minorHAnsi" w:eastAsiaTheme="minorEastAsia" w:hAnsiTheme="minorHAnsi" w:cstheme="minorBidi"/>
          <w:sz w:val="22"/>
          <w:szCs w:val="22"/>
        </w:rPr>
        <w:t xml:space="preserve"> not have sufficient resourcing. </w:t>
      </w:r>
    </w:p>
    <w:p w14:paraId="07FE42DC" w14:textId="77777777" w:rsidR="005F6329"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Project activities and communications efforts are under-resourced:</w:t>
      </w:r>
      <w:r w:rsidRPr="5AB46587">
        <w:rPr>
          <w:rFonts w:asciiTheme="minorHAnsi" w:eastAsiaTheme="minorEastAsia" w:hAnsiTheme="minorHAnsi" w:cstheme="minorBidi"/>
          <w:sz w:val="22"/>
          <w:szCs w:val="22"/>
        </w:rPr>
        <w:t xml:space="preserve"> while the Project coordinates and manages various events, seminars and forums, it does so on a very limited budget. Staffing constraints also limit communications and reduce the ability of the Project to engage with students, researchers, and policymakers, particularly in Australia.  </w:t>
      </w:r>
    </w:p>
    <w:p w14:paraId="4057B86E" w14:textId="77777777" w:rsidR="005F6329"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Under-utilised potential within DFAT:</w:t>
      </w:r>
      <w:r w:rsidRPr="5AB46587">
        <w:rPr>
          <w:rFonts w:asciiTheme="minorHAnsi" w:eastAsiaTheme="minorEastAsia" w:hAnsiTheme="minorHAnsi" w:cstheme="minorBidi"/>
          <w:sz w:val="22"/>
          <w:szCs w:val="22"/>
        </w:rPr>
        <w:t xml:space="preserve"> there is a lack of clarity of the role and value of the project amongst some DFAT staff and initiatives, leading to missed opportunities for structured collaboration, briefings and joint agenda-setting.</w:t>
      </w:r>
    </w:p>
    <w:p w14:paraId="004B2AE2" w14:textId="469CBDBC" w:rsidR="005F6329"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Depth and breadth of inclusivity:</w:t>
      </w:r>
      <w:r w:rsidRPr="5AB46587">
        <w:rPr>
          <w:rFonts w:asciiTheme="minorHAnsi" w:eastAsiaTheme="minorEastAsia" w:hAnsiTheme="minorHAnsi" w:cstheme="minorBidi"/>
          <w:sz w:val="22"/>
          <w:szCs w:val="22"/>
        </w:rPr>
        <w:t xml:space="preserve"> despite significant progress, disability and broader social inclusion remain under-developed. This is largely due to the staged approach to inclusivity applied in the Project’s GESI strategy, and a result of existing partnerships with prestigious universities and research institutes which are predominantly based in Jakarta. </w:t>
      </w:r>
      <w:r w:rsidR="3B1A658D" w:rsidRPr="5AB46587">
        <w:rPr>
          <w:rFonts w:asciiTheme="minorHAnsi" w:eastAsiaTheme="minorEastAsia" w:hAnsiTheme="minorHAnsi" w:cstheme="minorBidi"/>
          <w:sz w:val="22"/>
          <w:szCs w:val="22"/>
        </w:rPr>
        <w:t>I</w:t>
      </w:r>
      <w:r w:rsidRPr="5AB46587">
        <w:rPr>
          <w:rFonts w:asciiTheme="minorHAnsi" w:eastAsiaTheme="minorEastAsia" w:hAnsiTheme="minorHAnsi" w:cstheme="minorBidi"/>
          <w:sz w:val="22"/>
          <w:szCs w:val="22"/>
        </w:rPr>
        <w:t xml:space="preserve"> </w:t>
      </w:r>
    </w:p>
    <w:p w14:paraId="5EB8C830" w14:textId="7EBF2FD6" w:rsidR="005F6329"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Administrative and collaboration burden:</w:t>
      </w:r>
      <w:r w:rsidRPr="5AB46587">
        <w:rPr>
          <w:rFonts w:asciiTheme="minorHAnsi" w:eastAsiaTheme="minorEastAsia" w:hAnsiTheme="minorHAnsi" w:cstheme="minorBidi"/>
          <w:sz w:val="22"/>
          <w:szCs w:val="22"/>
        </w:rPr>
        <w:t xml:space="preserve"> collaborative activities with DFAT initiatives, while valuable, can impose significant administrative costs on a small team.</w:t>
      </w:r>
      <w:r w:rsidR="5E59F951" w:rsidRPr="5AB46587">
        <w:rPr>
          <w:rFonts w:asciiTheme="minorHAnsi" w:eastAsiaTheme="minorEastAsia" w:hAnsiTheme="minorHAnsi" w:cstheme="minorBidi"/>
          <w:sz w:val="22"/>
          <w:szCs w:val="22"/>
        </w:rPr>
        <w:t xml:space="preserve"> In addition, DFAT quality requirements, such as GEDSI analysis and reporting, need to be commensurate to the size and </w:t>
      </w:r>
      <w:r w:rsidR="2908D133" w:rsidRPr="5AB46587">
        <w:rPr>
          <w:rFonts w:asciiTheme="minorHAnsi" w:eastAsiaTheme="minorEastAsia" w:hAnsiTheme="minorHAnsi" w:cstheme="minorBidi"/>
          <w:sz w:val="22"/>
          <w:szCs w:val="22"/>
        </w:rPr>
        <w:t xml:space="preserve">administrative capacity of the investment. </w:t>
      </w:r>
    </w:p>
    <w:p w14:paraId="71E4BA18" w14:textId="77777777" w:rsidR="005F6329" w:rsidRPr="00C90385" w:rsidRDefault="3ADBB685" w:rsidP="007B461C">
      <w:pPr>
        <w:pStyle w:val="ListParagraph"/>
        <w:numPr>
          <w:ilvl w:val="0"/>
          <w:numId w:val="7"/>
        </w:numPr>
        <w:spacing w:before="120" w:after="120"/>
        <w:ind w:left="426" w:hanging="426"/>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u w:val="single"/>
        </w:rPr>
        <w:t>ANU/university sector constraints:</w:t>
      </w:r>
      <w:r w:rsidRPr="5AB46587">
        <w:rPr>
          <w:rFonts w:asciiTheme="minorHAnsi" w:eastAsiaTheme="minorEastAsia" w:hAnsiTheme="minorHAnsi" w:cstheme="minorBidi"/>
          <w:sz w:val="22"/>
          <w:szCs w:val="22"/>
        </w:rPr>
        <w:t xml:space="preserve"> while having the project based within an academic institution provides many benefits, it also comes with fixed constraints. Designing the project, and managing DFAT expectations, within these limitations is pertinent. </w:t>
      </w:r>
    </w:p>
    <w:p w14:paraId="77F8661F" w14:textId="77777777" w:rsidR="001A10F1" w:rsidRDefault="001A10F1" w:rsidP="5AB46587">
      <w:pPr>
        <w:rPr>
          <w:rFonts w:asciiTheme="minorHAnsi" w:eastAsiaTheme="minorEastAsia" w:hAnsiTheme="minorHAnsi" w:cstheme="minorBidi"/>
          <w:b/>
          <w:bCs/>
          <w:color w:val="F9A94A"/>
          <w:sz w:val="32"/>
          <w:szCs w:val="32"/>
          <w:lang w:val="en-GB"/>
        </w:rPr>
      </w:pPr>
      <w:bookmarkStart w:id="22" w:name="_Toc219232332"/>
      <w:bookmarkStart w:id="23" w:name="_Toc218593475"/>
      <w:r w:rsidRPr="5AB46587">
        <w:rPr>
          <w:rFonts w:asciiTheme="minorHAnsi" w:eastAsiaTheme="minorEastAsia" w:hAnsiTheme="minorHAnsi" w:cstheme="minorBidi"/>
          <w:b/>
          <w:bCs/>
          <w:color w:val="F9A94A"/>
          <w:lang w:val="en-GB"/>
        </w:rPr>
        <w:br w:type="page"/>
      </w:r>
    </w:p>
    <w:p w14:paraId="4DF0A1D0" w14:textId="55E97348" w:rsidR="006D3D5F" w:rsidRPr="00385300" w:rsidRDefault="14087C8A" w:rsidP="00385300">
      <w:pPr>
        <w:pStyle w:val="Heading1"/>
      </w:pPr>
      <w:r w:rsidRPr="00385300">
        <w:lastRenderedPageBreak/>
        <w:t>4</w:t>
      </w:r>
      <w:r w:rsidR="14A07681" w:rsidRPr="00385300">
        <w:t xml:space="preserve">. </w:t>
      </w:r>
      <w:r w:rsidR="00C90385" w:rsidRPr="00385300">
        <w:tab/>
      </w:r>
      <w:r w:rsidR="1F57EB87" w:rsidRPr="00385300">
        <w:t>Conclusion</w:t>
      </w:r>
      <w:bookmarkEnd w:id="22"/>
      <w:r w:rsidR="1F57EB87" w:rsidRPr="00385300">
        <w:t xml:space="preserve"> </w:t>
      </w:r>
      <w:bookmarkEnd w:id="23"/>
    </w:p>
    <w:p w14:paraId="7F14E848" w14:textId="2606C939" w:rsidR="003E3238" w:rsidRPr="00A6752B" w:rsidRDefault="340B69D5" w:rsidP="5AB46587">
      <w:p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evaluation finds that the ANU Indonesia Project Phase V is a high-performing, strategically significant investment that delivers strong value for money and remains highly relevant to both Australia and Indonesia. It has shaped generations of economists and policymakers, sustained a unique knowledge ecosystem, and provided the Australian Government with trusted analysis and networks.</w:t>
      </w:r>
    </w:p>
    <w:p w14:paraId="10E8C068" w14:textId="1C8EE243" w:rsidR="00C90385" w:rsidRDefault="340B69D5" w:rsidP="5AB46587">
      <w:p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At the same time, changing regional dynamics, domestic shifts in higher education, </w:t>
      </w:r>
      <w:r w:rsidR="370539ED" w:rsidRPr="5AB46587">
        <w:rPr>
          <w:rFonts w:asciiTheme="minorHAnsi" w:eastAsiaTheme="minorEastAsia" w:hAnsiTheme="minorHAnsi" w:cstheme="minorBidi"/>
          <w:sz w:val="22"/>
          <w:szCs w:val="22"/>
        </w:rPr>
        <w:t xml:space="preserve">a decline in Indonesian studies in Australia, </w:t>
      </w:r>
      <w:r w:rsidRPr="5AB46587">
        <w:rPr>
          <w:rFonts w:asciiTheme="minorHAnsi" w:eastAsiaTheme="minorEastAsia" w:hAnsiTheme="minorHAnsi" w:cstheme="minorBidi"/>
          <w:sz w:val="22"/>
          <w:szCs w:val="22"/>
        </w:rPr>
        <w:t xml:space="preserve">and </w:t>
      </w:r>
      <w:r w:rsidR="370539ED" w:rsidRPr="5AB46587">
        <w:rPr>
          <w:rFonts w:asciiTheme="minorHAnsi" w:eastAsiaTheme="minorEastAsia" w:hAnsiTheme="minorHAnsi" w:cstheme="minorBidi"/>
          <w:sz w:val="22"/>
          <w:szCs w:val="22"/>
        </w:rPr>
        <w:t xml:space="preserve">advances in digital communication tools and expectations </w:t>
      </w:r>
      <w:r w:rsidRPr="5AB46587">
        <w:rPr>
          <w:rFonts w:asciiTheme="minorHAnsi" w:eastAsiaTheme="minorEastAsia" w:hAnsiTheme="minorHAnsi" w:cstheme="minorBidi"/>
          <w:sz w:val="22"/>
          <w:szCs w:val="22"/>
        </w:rPr>
        <w:t xml:space="preserve">call for a refresh in engagement modalities </w:t>
      </w:r>
      <w:r w:rsidR="20E1E5BB" w:rsidRPr="5AB46587">
        <w:rPr>
          <w:rFonts w:asciiTheme="minorHAnsi" w:eastAsiaTheme="minorEastAsia" w:hAnsiTheme="minorHAnsi" w:cstheme="minorBidi"/>
          <w:sz w:val="22"/>
          <w:szCs w:val="22"/>
        </w:rPr>
        <w:t>across the Project</w:t>
      </w:r>
      <w:r w:rsidRPr="5AB46587">
        <w:rPr>
          <w:rFonts w:asciiTheme="minorHAnsi" w:eastAsiaTheme="minorEastAsia" w:hAnsiTheme="minorHAnsi" w:cstheme="minorBidi"/>
          <w:sz w:val="22"/>
          <w:szCs w:val="22"/>
        </w:rPr>
        <w:t>. With a modest extension to Phase V and a well-designed Phase VI that implements the recommendations below, DFAT has an opportunity to secure and modernise a 60-year asset that underpins Australia’s understanding of, and partnership with, Indonesia.</w:t>
      </w:r>
    </w:p>
    <w:p w14:paraId="6730E5DA" w14:textId="7ED06A67" w:rsidR="0020673E" w:rsidRPr="00385300" w:rsidRDefault="14087C8A" w:rsidP="00385300">
      <w:pPr>
        <w:pStyle w:val="Heading1"/>
      </w:pPr>
      <w:bookmarkStart w:id="24" w:name="_Toc219232333"/>
      <w:r w:rsidRPr="00385300">
        <w:t xml:space="preserve">5. </w:t>
      </w:r>
      <w:r w:rsidR="00C90385" w:rsidRPr="00385300">
        <w:tab/>
      </w:r>
      <w:r w:rsidR="13AFB013" w:rsidRPr="00385300">
        <w:t>Recommendations</w:t>
      </w:r>
      <w:bookmarkEnd w:id="24"/>
    </w:p>
    <w:p w14:paraId="6430BA16" w14:textId="656FEE2C" w:rsidR="00B10203" w:rsidRPr="000728B8" w:rsidRDefault="14087C8A" w:rsidP="5AB46587">
      <w:pPr>
        <w:spacing w:before="120" w:after="120"/>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The evaluation team recommends DFAT funds a Phase VI of the Project</w:t>
      </w:r>
      <w:r w:rsidR="3B1A658D" w:rsidRPr="5AB46587">
        <w:rPr>
          <w:rFonts w:asciiTheme="minorHAnsi" w:eastAsiaTheme="minorEastAsia" w:hAnsiTheme="minorHAnsi" w:cstheme="minorBidi"/>
          <w:sz w:val="22"/>
          <w:szCs w:val="22"/>
        </w:rPr>
        <w:t>. T</w:t>
      </w:r>
      <w:r w:rsidRPr="5AB46587">
        <w:rPr>
          <w:rFonts w:asciiTheme="minorHAnsi" w:eastAsiaTheme="minorEastAsia" w:hAnsiTheme="minorHAnsi" w:cstheme="minorBidi"/>
          <w:sz w:val="22"/>
          <w:szCs w:val="22"/>
        </w:rPr>
        <w:t xml:space="preserve">he following recommendations are proposed to guide a potential future design process: </w:t>
      </w:r>
    </w:p>
    <w:p w14:paraId="7939360D" w14:textId="77777777" w:rsidR="00F72302" w:rsidRDefault="3A46093A" w:rsidP="5AB46587">
      <w:pPr>
        <w:spacing w:before="100" w:beforeAutospacing="1"/>
        <w:rPr>
          <w:rFonts w:asciiTheme="minorHAnsi" w:eastAsiaTheme="minorEastAsia" w:hAnsiTheme="minorHAnsi" w:cstheme="minorBidi"/>
          <w:i/>
          <w:iCs/>
          <w:sz w:val="22"/>
          <w:szCs w:val="22"/>
          <w:u w:val="single"/>
        </w:rPr>
      </w:pPr>
      <w:r w:rsidRPr="5AB46587">
        <w:rPr>
          <w:rFonts w:asciiTheme="minorHAnsi" w:eastAsiaTheme="minorEastAsia" w:hAnsiTheme="minorHAnsi" w:cstheme="minorBidi"/>
          <w:i/>
          <w:iCs/>
          <w:sz w:val="22"/>
          <w:szCs w:val="22"/>
          <w:u w:val="single"/>
        </w:rPr>
        <w:t xml:space="preserve">Recommendation </w:t>
      </w:r>
      <w:r w:rsidR="50B01692" w:rsidRPr="5AB46587">
        <w:rPr>
          <w:rFonts w:asciiTheme="minorHAnsi" w:eastAsiaTheme="minorEastAsia" w:hAnsiTheme="minorHAnsi" w:cstheme="minorBidi"/>
          <w:i/>
          <w:iCs/>
          <w:sz w:val="22"/>
          <w:szCs w:val="22"/>
          <w:u w:val="single"/>
        </w:rPr>
        <w:t>1</w:t>
      </w:r>
      <w:r w:rsidRPr="5AB46587">
        <w:rPr>
          <w:rFonts w:asciiTheme="minorHAnsi" w:eastAsiaTheme="minorEastAsia" w:hAnsiTheme="minorHAnsi" w:cstheme="minorBidi"/>
          <w:i/>
          <w:iCs/>
          <w:sz w:val="22"/>
          <w:szCs w:val="22"/>
          <w:u w:val="single"/>
        </w:rPr>
        <w:t>:</w:t>
      </w:r>
      <w:r w:rsidR="50B01692" w:rsidRPr="5AB46587">
        <w:rPr>
          <w:rFonts w:asciiTheme="minorHAnsi" w:eastAsiaTheme="minorEastAsia" w:hAnsiTheme="minorHAnsi" w:cstheme="minorBidi"/>
          <w:i/>
          <w:iCs/>
          <w:sz w:val="22"/>
          <w:szCs w:val="22"/>
          <w:u w:val="single"/>
        </w:rPr>
        <w:t xml:space="preserve"> Maintain the strategic focus of the Project in Phase VI</w:t>
      </w:r>
    </w:p>
    <w:p w14:paraId="3723344C" w14:textId="1A1D43B4" w:rsidR="00FE1292" w:rsidRPr="000728B8" w:rsidRDefault="3A46093A"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M</w:t>
      </w:r>
      <w:r w:rsidR="50B01692" w:rsidRPr="5AB46587">
        <w:rPr>
          <w:rFonts w:asciiTheme="minorHAnsi" w:eastAsiaTheme="minorEastAsia" w:hAnsiTheme="minorHAnsi" w:cstheme="minorBidi"/>
          <w:sz w:val="22"/>
          <w:szCs w:val="22"/>
        </w:rPr>
        <w:t xml:space="preserve">aintain the Project’s research focus on contemporary social and economic issues and policy making so as not to dilute the niche benefit it provides to both the Australian Government and to policy dialogue in Indonesia. Reconsider the focus on private sector outreach, which would be better served by </w:t>
      </w:r>
      <w:proofErr w:type="spellStart"/>
      <w:r w:rsidR="50B01692" w:rsidRPr="5AB46587">
        <w:rPr>
          <w:rFonts w:asciiTheme="minorHAnsi" w:eastAsiaTheme="minorEastAsia" w:hAnsiTheme="minorHAnsi" w:cstheme="minorBidi"/>
          <w:sz w:val="22"/>
          <w:szCs w:val="22"/>
        </w:rPr>
        <w:t>AusTrade</w:t>
      </w:r>
      <w:proofErr w:type="spellEnd"/>
      <w:r w:rsidR="50B01692" w:rsidRPr="5AB46587">
        <w:rPr>
          <w:rFonts w:asciiTheme="minorHAnsi" w:eastAsiaTheme="minorEastAsia" w:hAnsiTheme="minorHAnsi" w:cstheme="minorBidi"/>
          <w:sz w:val="22"/>
          <w:szCs w:val="22"/>
        </w:rPr>
        <w:t xml:space="preserve"> or another DFAT initiative. </w:t>
      </w:r>
    </w:p>
    <w:p w14:paraId="69D1930C" w14:textId="7FF8ABB3" w:rsidR="00F72302" w:rsidRDefault="3A46093A" w:rsidP="5AB46587">
      <w:pPr>
        <w:spacing w:before="100" w:beforeAutospacing="1"/>
        <w:rPr>
          <w:rFonts w:asciiTheme="minorHAnsi" w:eastAsiaTheme="minorEastAsia" w:hAnsiTheme="minorHAnsi" w:cstheme="minorBidi"/>
          <w:sz w:val="22"/>
          <w:szCs w:val="22"/>
        </w:rPr>
      </w:pPr>
      <w:r w:rsidRPr="5AB46587">
        <w:rPr>
          <w:rFonts w:asciiTheme="minorHAnsi" w:eastAsiaTheme="minorEastAsia" w:hAnsiTheme="minorHAnsi" w:cstheme="minorBidi"/>
          <w:i/>
          <w:iCs/>
          <w:sz w:val="22"/>
          <w:szCs w:val="22"/>
          <w:u w:val="single"/>
        </w:rPr>
        <w:t xml:space="preserve">Recommendation </w:t>
      </w:r>
      <w:r w:rsidR="50B01692" w:rsidRPr="5AB46587">
        <w:rPr>
          <w:rFonts w:asciiTheme="minorHAnsi" w:eastAsiaTheme="minorEastAsia" w:hAnsiTheme="minorHAnsi" w:cstheme="minorBidi"/>
          <w:i/>
          <w:iCs/>
          <w:sz w:val="22"/>
          <w:szCs w:val="22"/>
          <w:u w:val="single"/>
        </w:rPr>
        <w:t>2</w:t>
      </w:r>
      <w:r w:rsidRPr="5AB46587">
        <w:rPr>
          <w:rFonts w:asciiTheme="minorHAnsi" w:eastAsiaTheme="minorEastAsia" w:hAnsiTheme="minorHAnsi" w:cstheme="minorBidi"/>
          <w:i/>
          <w:iCs/>
          <w:sz w:val="22"/>
          <w:szCs w:val="22"/>
          <w:u w:val="single"/>
        </w:rPr>
        <w:t xml:space="preserve">: </w:t>
      </w:r>
      <w:r w:rsidR="50B01692" w:rsidRPr="5AB46587">
        <w:rPr>
          <w:rFonts w:asciiTheme="minorHAnsi" w:eastAsiaTheme="minorEastAsia" w:hAnsiTheme="minorHAnsi" w:cstheme="minorBidi"/>
          <w:i/>
          <w:iCs/>
          <w:sz w:val="22"/>
          <w:szCs w:val="22"/>
          <w:u w:val="single"/>
        </w:rPr>
        <w:t>Develop structured engagement between DFAT Initiatives and the Project</w:t>
      </w:r>
    </w:p>
    <w:p w14:paraId="5C9A2B43" w14:textId="68C1B1DE" w:rsidR="00FE1292" w:rsidRDefault="50B01692"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DFAT to facilitate engagement between the Project and other DFAT initiatives (such as Prospera, SKALA, KONEKSI and Australia Awards), through a planned program of briefings, horizon-scanning sessions, and joint events, </w:t>
      </w:r>
      <w:proofErr w:type="gramStart"/>
      <w:r w:rsidRPr="5AB46587">
        <w:rPr>
          <w:rFonts w:asciiTheme="minorHAnsi" w:eastAsiaTheme="minorEastAsia" w:hAnsiTheme="minorHAnsi" w:cstheme="minorBidi"/>
          <w:sz w:val="22"/>
          <w:szCs w:val="22"/>
        </w:rPr>
        <w:t>in order to</w:t>
      </w:r>
      <w:proofErr w:type="gramEnd"/>
      <w:r w:rsidRPr="5AB46587">
        <w:rPr>
          <w:rFonts w:asciiTheme="minorHAnsi" w:eastAsiaTheme="minorEastAsia" w:hAnsiTheme="minorHAnsi" w:cstheme="minorBidi"/>
          <w:sz w:val="22"/>
          <w:szCs w:val="22"/>
        </w:rPr>
        <w:t xml:space="preserve"> enable deeper understanding and structured collaboration. </w:t>
      </w:r>
    </w:p>
    <w:p w14:paraId="007FF987" w14:textId="77777777" w:rsidR="00F72302" w:rsidRPr="00F72302" w:rsidRDefault="3A46093A" w:rsidP="5AB46587">
      <w:pPr>
        <w:spacing w:before="100" w:beforeAutospacing="1"/>
        <w:rPr>
          <w:rFonts w:asciiTheme="minorHAnsi" w:eastAsiaTheme="minorEastAsia" w:hAnsiTheme="minorHAnsi" w:cstheme="minorBidi"/>
          <w:i/>
          <w:iCs/>
          <w:sz w:val="22"/>
          <w:szCs w:val="22"/>
          <w:u w:val="single"/>
        </w:rPr>
      </w:pPr>
      <w:r w:rsidRPr="5AB46587">
        <w:rPr>
          <w:rFonts w:asciiTheme="minorHAnsi" w:eastAsiaTheme="minorEastAsia" w:hAnsiTheme="minorHAnsi" w:cstheme="minorBidi"/>
          <w:i/>
          <w:iCs/>
          <w:sz w:val="22"/>
          <w:szCs w:val="22"/>
          <w:u w:val="single"/>
        </w:rPr>
        <w:t>Recommendation 3: Resource collaboration commensurate with expectations</w:t>
      </w:r>
    </w:p>
    <w:p w14:paraId="3385D42E" w14:textId="2BF974E6" w:rsidR="00F72302" w:rsidRPr="000728B8" w:rsidRDefault="3A46093A"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When designing collaborations with DFAT initiatives (e.g. Prospera, SKALA, KONEKSI), ensure that additional activities are accompanied by appropriate resources and clear incentives for all parties, so that the Project’s core research and capacity-building functions are not undermined. </w:t>
      </w:r>
    </w:p>
    <w:p w14:paraId="10B71D5C" w14:textId="546265DD" w:rsidR="003E3238" w:rsidRPr="003E3238" w:rsidRDefault="3A46093A" w:rsidP="5AB46587">
      <w:pPr>
        <w:spacing w:before="100" w:beforeAutospacing="1"/>
        <w:rPr>
          <w:rFonts w:asciiTheme="minorHAnsi" w:eastAsiaTheme="minorEastAsia" w:hAnsiTheme="minorHAnsi" w:cstheme="minorBidi"/>
          <w:b/>
          <w:bCs/>
          <w:i/>
          <w:iCs/>
          <w:sz w:val="22"/>
          <w:szCs w:val="22"/>
        </w:rPr>
      </w:pPr>
      <w:r w:rsidRPr="5AB46587">
        <w:rPr>
          <w:rFonts w:asciiTheme="minorHAnsi" w:eastAsiaTheme="minorEastAsia" w:hAnsiTheme="minorHAnsi" w:cstheme="minorBidi"/>
          <w:i/>
          <w:iCs/>
          <w:sz w:val="22"/>
          <w:szCs w:val="22"/>
          <w:u w:val="single"/>
        </w:rPr>
        <w:t>Recommendation 4</w:t>
      </w:r>
      <w:r w:rsidR="340B69D5" w:rsidRPr="5AB46587">
        <w:rPr>
          <w:rFonts w:asciiTheme="minorHAnsi" w:eastAsiaTheme="minorEastAsia" w:hAnsiTheme="minorHAnsi" w:cstheme="minorBidi"/>
          <w:i/>
          <w:iCs/>
          <w:sz w:val="22"/>
          <w:szCs w:val="22"/>
          <w:u w:val="single"/>
        </w:rPr>
        <w:t>:</w:t>
      </w:r>
      <w:r w:rsidR="50B01692" w:rsidRPr="5AB46587">
        <w:rPr>
          <w:rFonts w:asciiTheme="minorHAnsi" w:eastAsiaTheme="minorEastAsia" w:hAnsiTheme="minorHAnsi" w:cstheme="minorBidi"/>
          <w:i/>
          <w:iCs/>
          <w:sz w:val="22"/>
          <w:szCs w:val="22"/>
          <w:u w:val="single"/>
        </w:rPr>
        <w:t xml:space="preserve"> Further strengthen the Project’s approach to inclusivity</w:t>
      </w:r>
    </w:p>
    <w:p w14:paraId="217A9982" w14:textId="4661A4FB" w:rsidR="00FE1292" w:rsidRPr="000728B8" w:rsidRDefault="340B69D5"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B</w:t>
      </w:r>
      <w:r w:rsidR="50B01692" w:rsidRPr="5AB46587">
        <w:rPr>
          <w:rFonts w:asciiTheme="minorHAnsi" w:eastAsiaTheme="minorEastAsia" w:hAnsiTheme="minorHAnsi" w:cstheme="minorBidi"/>
          <w:sz w:val="22"/>
          <w:szCs w:val="22"/>
        </w:rPr>
        <w:t>uild on current progress and success by</w:t>
      </w:r>
      <w:r w:rsidR="3B1A658D" w:rsidRPr="5AB46587">
        <w:rPr>
          <w:rFonts w:asciiTheme="minorHAnsi" w:eastAsiaTheme="minorEastAsia" w:hAnsiTheme="minorHAnsi" w:cstheme="minorBidi"/>
          <w:sz w:val="22"/>
          <w:szCs w:val="22"/>
        </w:rPr>
        <w:t xml:space="preserve"> developing a streamlined, practical GEDSI strategy commensurate to the scale of the project and resources available. With this in mind, the GEDSI strategy could</w:t>
      </w:r>
      <w:r w:rsidR="50B01692" w:rsidRPr="5AB46587">
        <w:rPr>
          <w:rFonts w:asciiTheme="minorHAnsi" w:eastAsiaTheme="minorEastAsia" w:hAnsiTheme="minorHAnsi" w:cstheme="minorBidi"/>
          <w:sz w:val="22"/>
          <w:szCs w:val="22"/>
        </w:rPr>
        <w:t>: (i) adopt a stronger approach to disability inclusion consistent with internationally recognised standards relevant to the tertiary sector and project context; (ii) proactively supporting researchers with disability and diverse backgrounds to engage with the Project</w:t>
      </w:r>
      <w:r w:rsidR="3B1A658D" w:rsidRPr="5AB46587">
        <w:rPr>
          <w:rFonts w:asciiTheme="minorHAnsi" w:eastAsiaTheme="minorEastAsia" w:hAnsiTheme="minorHAnsi" w:cstheme="minorBidi"/>
          <w:sz w:val="22"/>
          <w:szCs w:val="22"/>
        </w:rPr>
        <w:t xml:space="preserve"> where feasible</w:t>
      </w:r>
      <w:r w:rsidR="50B01692" w:rsidRPr="5AB46587">
        <w:rPr>
          <w:rFonts w:asciiTheme="minorHAnsi" w:eastAsiaTheme="minorEastAsia" w:hAnsiTheme="minorHAnsi" w:cstheme="minorBidi"/>
          <w:sz w:val="22"/>
          <w:szCs w:val="22"/>
        </w:rPr>
        <w:t>; and (iii) ensuring disability inclusion analysis (and broader GEDSI analysis) is substantively connected to core economic and policy debates (e.g. ensuring that people with disability are engaged as respondents in research, sharing their lived experience, perspective and voices where appropriate and relevant to specific research topics).</w:t>
      </w:r>
      <w:r w:rsidR="3B1A658D" w:rsidRPr="5AB46587">
        <w:rPr>
          <w:rFonts w:asciiTheme="minorHAnsi" w:eastAsiaTheme="minorEastAsia" w:hAnsiTheme="minorHAnsi" w:cstheme="minorBidi"/>
          <w:sz w:val="22"/>
          <w:szCs w:val="22"/>
        </w:rPr>
        <w:t xml:space="preserve"> Given resource limitations, DFAT is encouraged to consider internal resources and technical advice which can be shared with and utilised by the Project to support its GEDSI approach.   </w:t>
      </w:r>
    </w:p>
    <w:p w14:paraId="1416B77A" w14:textId="1A3BD86E" w:rsidR="003E3238" w:rsidRPr="003E3238" w:rsidRDefault="340B69D5" w:rsidP="5AB46587">
      <w:pPr>
        <w:spacing w:before="100" w:beforeAutospacing="1"/>
        <w:rPr>
          <w:rFonts w:asciiTheme="minorHAnsi" w:eastAsiaTheme="minorEastAsia" w:hAnsiTheme="minorHAnsi" w:cstheme="minorBidi"/>
          <w:i/>
          <w:iCs/>
          <w:sz w:val="22"/>
          <w:szCs w:val="22"/>
          <w:u w:val="single"/>
        </w:rPr>
      </w:pPr>
      <w:r w:rsidRPr="5AB46587">
        <w:rPr>
          <w:rFonts w:asciiTheme="minorHAnsi" w:eastAsiaTheme="minorEastAsia" w:hAnsiTheme="minorHAnsi" w:cstheme="minorBidi"/>
          <w:i/>
          <w:iCs/>
          <w:sz w:val="22"/>
          <w:szCs w:val="22"/>
          <w:u w:val="single"/>
        </w:rPr>
        <w:t>Recommendation 5:</w:t>
      </w:r>
      <w:r w:rsidR="50B01692" w:rsidRPr="5AB46587">
        <w:rPr>
          <w:rFonts w:asciiTheme="minorHAnsi" w:eastAsiaTheme="minorEastAsia" w:hAnsiTheme="minorHAnsi" w:cstheme="minorBidi"/>
          <w:i/>
          <w:iCs/>
          <w:sz w:val="22"/>
          <w:szCs w:val="22"/>
          <w:u w:val="single"/>
        </w:rPr>
        <w:t xml:space="preserve"> Invest in communications and knowledge translation </w:t>
      </w:r>
    </w:p>
    <w:p w14:paraId="775FE6D7" w14:textId="2F51CD8A" w:rsidR="00FE1292" w:rsidRPr="000728B8" w:rsidRDefault="340B69D5" w:rsidP="5AB46587">
      <w:pPr>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A</w:t>
      </w:r>
      <w:r w:rsidR="50B01692" w:rsidRPr="5AB46587">
        <w:rPr>
          <w:rFonts w:asciiTheme="minorHAnsi" w:eastAsiaTheme="minorEastAsia" w:hAnsiTheme="minorHAnsi" w:cstheme="minorBidi"/>
          <w:sz w:val="22"/>
          <w:szCs w:val="22"/>
        </w:rPr>
        <w:t xml:space="preserve">llocate dedicated resources (e.g. a fulltime communications/events role) to: (i) translate research into accessible formats and communicate results in a way that enables policymakers to translate </w:t>
      </w:r>
      <w:r w:rsidR="50B01692" w:rsidRPr="5AB46587">
        <w:rPr>
          <w:rFonts w:asciiTheme="minorHAnsi" w:eastAsiaTheme="minorEastAsia" w:hAnsiTheme="minorHAnsi" w:cstheme="minorBidi"/>
          <w:sz w:val="22"/>
          <w:szCs w:val="22"/>
        </w:rPr>
        <w:lastRenderedPageBreak/>
        <w:t xml:space="preserve">evidence-based research into decision making; (ii) enhance the Project’s digital presence; and (iii) better engage Australian students, researchers and government officials in events, seminars and policy dialogue. </w:t>
      </w:r>
    </w:p>
    <w:p w14:paraId="07168CDF" w14:textId="65B6E3D2" w:rsidR="003E3238" w:rsidRPr="003E3238" w:rsidRDefault="340B69D5" w:rsidP="5AB46587">
      <w:pPr>
        <w:spacing w:before="100" w:beforeAutospacing="1"/>
        <w:rPr>
          <w:rFonts w:asciiTheme="minorHAnsi" w:eastAsiaTheme="minorEastAsia" w:hAnsiTheme="minorHAnsi" w:cstheme="minorBidi"/>
          <w:i/>
          <w:iCs/>
          <w:sz w:val="22"/>
          <w:szCs w:val="22"/>
        </w:rPr>
      </w:pPr>
      <w:r w:rsidRPr="5AB46587">
        <w:rPr>
          <w:rFonts w:asciiTheme="minorHAnsi" w:eastAsiaTheme="minorEastAsia" w:hAnsiTheme="minorHAnsi" w:cstheme="minorBidi"/>
          <w:i/>
          <w:iCs/>
          <w:sz w:val="22"/>
          <w:szCs w:val="22"/>
          <w:u w:val="single"/>
        </w:rPr>
        <w:t>Recommendation 6:</w:t>
      </w:r>
      <w:r w:rsidR="50B01692" w:rsidRPr="5AB46587">
        <w:rPr>
          <w:rFonts w:asciiTheme="minorHAnsi" w:eastAsiaTheme="minorEastAsia" w:hAnsiTheme="minorHAnsi" w:cstheme="minorBidi"/>
          <w:i/>
          <w:iCs/>
          <w:sz w:val="22"/>
          <w:szCs w:val="22"/>
          <w:u w:val="single"/>
        </w:rPr>
        <w:t xml:space="preserve"> Address succession planning and long-term sustainability</w:t>
      </w:r>
      <w:r w:rsidR="50B01692" w:rsidRPr="5AB46587">
        <w:rPr>
          <w:rFonts w:asciiTheme="minorHAnsi" w:eastAsiaTheme="minorEastAsia" w:hAnsiTheme="minorHAnsi" w:cstheme="minorBidi"/>
          <w:i/>
          <w:iCs/>
          <w:sz w:val="22"/>
          <w:szCs w:val="22"/>
        </w:rPr>
        <w:t xml:space="preserve"> </w:t>
      </w:r>
    </w:p>
    <w:p w14:paraId="3527C569" w14:textId="7ABDFD9A" w:rsidR="00FE1292" w:rsidRPr="000728B8" w:rsidRDefault="340B69D5"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C</w:t>
      </w:r>
      <w:r w:rsidR="50B01692" w:rsidRPr="5AB46587">
        <w:rPr>
          <w:rFonts w:asciiTheme="minorHAnsi" w:eastAsiaTheme="minorEastAsia" w:hAnsiTheme="minorHAnsi" w:cstheme="minorBidi"/>
          <w:sz w:val="22"/>
          <w:szCs w:val="22"/>
        </w:rPr>
        <w:t xml:space="preserve">onsider options for generational renewal and succession planning. This could include going out to market to recruit scholars into key academic roles when positions become available; while at the same time continuing to foster the development of early-career academics through targeted scholarships and research opportunities to ensure a pipeline of Indonesia-focused scholars and researchers into the future.  </w:t>
      </w:r>
    </w:p>
    <w:p w14:paraId="7A87A0CB" w14:textId="0A315299" w:rsidR="003E3238" w:rsidRPr="003E3238" w:rsidRDefault="340B69D5" w:rsidP="5AB46587">
      <w:pPr>
        <w:spacing w:before="100" w:beforeAutospacing="1"/>
        <w:rPr>
          <w:rFonts w:asciiTheme="minorHAnsi" w:eastAsiaTheme="minorEastAsia" w:hAnsiTheme="minorHAnsi" w:cstheme="minorBidi"/>
          <w:b/>
          <w:bCs/>
          <w:i/>
          <w:iCs/>
          <w:sz w:val="22"/>
          <w:szCs w:val="22"/>
        </w:rPr>
      </w:pPr>
      <w:r w:rsidRPr="5AB46587">
        <w:rPr>
          <w:rFonts w:asciiTheme="minorHAnsi" w:eastAsiaTheme="minorEastAsia" w:hAnsiTheme="minorHAnsi" w:cstheme="minorBidi"/>
          <w:i/>
          <w:iCs/>
          <w:sz w:val="22"/>
          <w:szCs w:val="22"/>
          <w:u w:val="single"/>
        </w:rPr>
        <w:t>Recommendation 7:</w:t>
      </w:r>
      <w:r w:rsidR="50B01692" w:rsidRPr="5AB46587">
        <w:rPr>
          <w:rFonts w:asciiTheme="minorHAnsi" w:eastAsiaTheme="minorEastAsia" w:hAnsiTheme="minorHAnsi" w:cstheme="minorBidi"/>
          <w:i/>
          <w:iCs/>
          <w:sz w:val="22"/>
          <w:szCs w:val="22"/>
          <w:u w:val="single"/>
        </w:rPr>
        <w:t xml:space="preserve"> Increase investment allocation and </w:t>
      </w:r>
      <w:r w:rsidRPr="5AB46587">
        <w:rPr>
          <w:rFonts w:asciiTheme="minorHAnsi" w:eastAsiaTheme="minorEastAsia" w:hAnsiTheme="minorHAnsi" w:cstheme="minorBidi"/>
          <w:i/>
          <w:iCs/>
          <w:sz w:val="22"/>
          <w:szCs w:val="22"/>
          <w:u w:val="single"/>
        </w:rPr>
        <w:t>period of</w:t>
      </w:r>
      <w:r w:rsidR="50B01692" w:rsidRPr="5AB46587">
        <w:rPr>
          <w:rFonts w:asciiTheme="minorHAnsi" w:eastAsiaTheme="minorEastAsia" w:hAnsiTheme="minorHAnsi" w:cstheme="minorBidi"/>
          <w:i/>
          <w:iCs/>
          <w:sz w:val="22"/>
          <w:szCs w:val="22"/>
          <w:u w:val="single"/>
        </w:rPr>
        <w:t xml:space="preserve"> funding commitment</w:t>
      </w:r>
    </w:p>
    <w:p w14:paraId="51CD17FF" w14:textId="6F5EF9CD" w:rsidR="00FE1292" w:rsidRPr="000728B8" w:rsidRDefault="5C2777D3"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 xml:space="preserve">DFAT to consider longer term funding phases or a commitment to multiple phases to enable strategic staffing and planning. At the same time, DFAT and ANU are encourage to consider increasing the overall investment commitment to: </w:t>
      </w:r>
      <w:r w:rsidR="50B01692" w:rsidRPr="5AB46587">
        <w:rPr>
          <w:rFonts w:asciiTheme="minorHAnsi" w:eastAsiaTheme="minorEastAsia" w:hAnsiTheme="minorHAnsi" w:cstheme="minorBidi"/>
          <w:sz w:val="22"/>
          <w:szCs w:val="22"/>
        </w:rPr>
        <w:t xml:space="preserve">(i) enable the engagement of a fulltime communications/events role; (ii) ensure sufficient funding for project activities (training, events and seminars); and (iii) to increase the number of travel grants and PhD scholarship opportunities for Australian students. </w:t>
      </w:r>
    </w:p>
    <w:p w14:paraId="3FEA1C8C" w14:textId="175E0F92" w:rsidR="003E3238" w:rsidRPr="003E3238" w:rsidRDefault="340B69D5" w:rsidP="5AB46587">
      <w:pPr>
        <w:spacing w:before="100" w:beforeAutospacing="1"/>
        <w:rPr>
          <w:rFonts w:asciiTheme="minorHAnsi" w:eastAsiaTheme="minorEastAsia" w:hAnsiTheme="minorHAnsi" w:cstheme="minorBidi"/>
          <w:i/>
          <w:iCs/>
          <w:sz w:val="22"/>
          <w:szCs w:val="22"/>
        </w:rPr>
      </w:pPr>
      <w:r w:rsidRPr="5AB46587">
        <w:rPr>
          <w:rFonts w:asciiTheme="minorHAnsi" w:eastAsiaTheme="minorEastAsia" w:hAnsiTheme="minorHAnsi" w:cstheme="minorBidi"/>
          <w:i/>
          <w:iCs/>
          <w:sz w:val="22"/>
          <w:szCs w:val="22"/>
          <w:u w:val="single"/>
        </w:rPr>
        <w:t>Recommendation 8:</w:t>
      </w:r>
      <w:r w:rsidR="50B01692" w:rsidRPr="5AB46587">
        <w:rPr>
          <w:rFonts w:asciiTheme="minorHAnsi" w:eastAsiaTheme="minorEastAsia" w:hAnsiTheme="minorHAnsi" w:cstheme="minorBidi"/>
          <w:i/>
          <w:iCs/>
          <w:sz w:val="22"/>
          <w:szCs w:val="22"/>
          <w:u w:val="single"/>
        </w:rPr>
        <w:t xml:space="preserve"> Broaden and deepen inclusion of Indonesian alumni</w:t>
      </w:r>
    </w:p>
    <w:p w14:paraId="441E7D15" w14:textId="1355F90F" w:rsidR="00FE1292" w:rsidRPr="000728B8" w:rsidRDefault="340B69D5"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S</w:t>
      </w:r>
      <w:r w:rsidR="50B01692" w:rsidRPr="5AB46587">
        <w:rPr>
          <w:rFonts w:asciiTheme="minorHAnsi" w:eastAsiaTheme="minorEastAsia" w:hAnsiTheme="minorHAnsi" w:cstheme="minorBidi"/>
          <w:sz w:val="22"/>
          <w:szCs w:val="22"/>
        </w:rPr>
        <w:t xml:space="preserve">trengthen outreach beyond Jakarta by expanding collaborative research, fellowships and training with institutions in Eastern Indonesia and other under-represented regions. Consider a scholarship or other mechanism to support Indonesian PhD students to publish their research before returning to Indonesia and/or work. </w:t>
      </w:r>
    </w:p>
    <w:p w14:paraId="7EDD6F17" w14:textId="47C89CDA" w:rsidR="003E3238" w:rsidRPr="003E3238" w:rsidRDefault="340B69D5" w:rsidP="5AB46587">
      <w:pPr>
        <w:spacing w:before="100" w:beforeAutospacing="1"/>
        <w:rPr>
          <w:rFonts w:asciiTheme="minorHAnsi" w:eastAsiaTheme="minorEastAsia" w:hAnsiTheme="minorHAnsi" w:cstheme="minorBidi"/>
          <w:i/>
          <w:iCs/>
          <w:sz w:val="22"/>
          <w:szCs w:val="22"/>
        </w:rPr>
      </w:pPr>
      <w:r w:rsidRPr="5AB46587">
        <w:rPr>
          <w:rFonts w:asciiTheme="minorHAnsi" w:eastAsiaTheme="minorEastAsia" w:hAnsiTheme="minorHAnsi" w:cstheme="minorBidi"/>
          <w:i/>
          <w:iCs/>
          <w:sz w:val="22"/>
          <w:szCs w:val="22"/>
          <w:u w:val="single"/>
        </w:rPr>
        <w:t>Recommendation 9:</w:t>
      </w:r>
      <w:r w:rsidR="50B01692" w:rsidRPr="5AB46587">
        <w:rPr>
          <w:rFonts w:asciiTheme="minorHAnsi" w:eastAsiaTheme="minorEastAsia" w:hAnsiTheme="minorHAnsi" w:cstheme="minorBidi"/>
          <w:i/>
          <w:iCs/>
          <w:sz w:val="22"/>
          <w:szCs w:val="22"/>
          <w:u w:val="single"/>
        </w:rPr>
        <w:t xml:space="preserve"> Broaden and deepen engagement with Australian students</w:t>
      </w:r>
      <w:r w:rsidR="50B01692" w:rsidRPr="5AB46587">
        <w:rPr>
          <w:rFonts w:asciiTheme="minorHAnsi" w:eastAsiaTheme="minorEastAsia" w:hAnsiTheme="minorHAnsi" w:cstheme="minorBidi"/>
          <w:b/>
          <w:bCs/>
          <w:i/>
          <w:iCs/>
          <w:sz w:val="22"/>
          <w:szCs w:val="22"/>
        </w:rPr>
        <w:t xml:space="preserve"> </w:t>
      </w:r>
    </w:p>
    <w:p w14:paraId="6E5E872B" w14:textId="77777777" w:rsidR="008226ED" w:rsidRDefault="340B69D5" w:rsidP="5AB46587">
      <w:pPr>
        <w:spacing w:after="100" w:afterAutospacing="1"/>
        <w:rPr>
          <w:rFonts w:asciiTheme="minorHAnsi" w:eastAsiaTheme="minorEastAsia" w:hAnsiTheme="minorHAnsi" w:cstheme="minorBidi"/>
          <w:sz w:val="22"/>
          <w:szCs w:val="22"/>
        </w:rPr>
      </w:pPr>
      <w:r w:rsidRPr="5AB46587">
        <w:rPr>
          <w:rFonts w:asciiTheme="minorHAnsi" w:eastAsiaTheme="minorEastAsia" w:hAnsiTheme="minorHAnsi" w:cstheme="minorBidi"/>
          <w:sz w:val="22"/>
          <w:szCs w:val="22"/>
        </w:rPr>
        <w:t>C</w:t>
      </w:r>
      <w:r w:rsidR="50B01692" w:rsidRPr="5AB46587">
        <w:rPr>
          <w:rFonts w:asciiTheme="minorHAnsi" w:eastAsiaTheme="minorEastAsia" w:hAnsiTheme="minorHAnsi" w:cstheme="minorBidi"/>
          <w:sz w:val="22"/>
          <w:szCs w:val="22"/>
        </w:rPr>
        <w:t xml:space="preserve">onsider expanding the number of travel grants for Australian students undertaking research in </w:t>
      </w:r>
      <w:proofErr w:type="gramStart"/>
      <w:r w:rsidR="50B01692" w:rsidRPr="5AB46587">
        <w:rPr>
          <w:rFonts w:asciiTheme="minorHAnsi" w:eastAsiaTheme="minorEastAsia" w:hAnsiTheme="minorHAnsi" w:cstheme="minorBidi"/>
          <w:sz w:val="22"/>
          <w:szCs w:val="22"/>
        </w:rPr>
        <w:t>Indonesia, and</w:t>
      </w:r>
      <w:proofErr w:type="gramEnd"/>
      <w:r w:rsidR="50B01692" w:rsidRPr="5AB46587">
        <w:rPr>
          <w:rFonts w:asciiTheme="minorHAnsi" w:eastAsiaTheme="minorEastAsia" w:hAnsiTheme="minorHAnsi" w:cstheme="minorBidi"/>
          <w:sz w:val="22"/>
          <w:szCs w:val="22"/>
        </w:rPr>
        <w:t xml:space="preserve"> adopting other mechanisms for Australian student and research engagement such as the provision of a DFAT-funded PhD scholarship within the Project.</w:t>
      </w:r>
    </w:p>
    <w:p w14:paraId="1A682E59" w14:textId="77777777" w:rsidR="008226ED" w:rsidRPr="00FE1292" w:rsidRDefault="008226ED" w:rsidP="5AB46587">
      <w:pPr>
        <w:rPr>
          <w:rFonts w:asciiTheme="minorHAnsi" w:eastAsiaTheme="minorEastAsia" w:hAnsiTheme="minorHAnsi" w:cstheme="minorBidi"/>
          <w:lang w:val="en-GB"/>
        </w:rPr>
        <w:sectPr w:rsidR="008226ED" w:rsidRPr="00FE1292" w:rsidSect="006C7801">
          <w:pgSz w:w="11906" w:h="16838"/>
          <w:pgMar w:top="1440" w:right="1440" w:bottom="1440" w:left="1440" w:header="709" w:footer="709" w:gutter="0"/>
          <w:cols w:space="565"/>
          <w:docGrid w:linePitch="360"/>
        </w:sectPr>
      </w:pPr>
    </w:p>
    <w:p w14:paraId="5861CE05" w14:textId="10E2B909" w:rsidR="00FE1292" w:rsidRPr="00385300" w:rsidRDefault="00FE1292" w:rsidP="00385300">
      <w:pPr>
        <w:pStyle w:val="Heading1"/>
      </w:pPr>
      <w:bookmarkStart w:id="25" w:name="_Toc218593476"/>
      <w:bookmarkStart w:id="26" w:name="_Toc219232334"/>
      <w:r w:rsidRPr="00385300">
        <w:lastRenderedPageBreak/>
        <w:t xml:space="preserve">Appendix 1: Project </w:t>
      </w:r>
      <w:r w:rsidR="00454BB2" w:rsidRPr="00385300">
        <w:t>l</w:t>
      </w:r>
      <w:r w:rsidRPr="00385300">
        <w:t>ogic</w:t>
      </w:r>
      <w:bookmarkEnd w:id="25"/>
      <w:bookmarkEnd w:id="26"/>
      <w:r w:rsidRPr="00385300">
        <w:t xml:space="preserve"> </w:t>
      </w:r>
    </w:p>
    <w:p w14:paraId="57946733" w14:textId="1AD59F12" w:rsidR="00454BB2" w:rsidRDefault="00FE1292" w:rsidP="00FE0449">
      <w:pPr>
        <w:pStyle w:val="Heading1"/>
        <w:rPr>
          <w:lang w:val="en-GB"/>
        </w:rPr>
      </w:pPr>
      <w:r>
        <w:rPr>
          <w:noProof/>
          <w:lang w:eastAsia="en-AU"/>
        </w:rPr>
        <w:drawing>
          <wp:inline distT="0" distB="0" distL="0" distR="0" wp14:anchorId="5E83ADBD" wp14:editId="664BC187">
            <wp:extent cx="8492565" cy="5019675"/>
            <wp:effectExtent l="0" t="0" r="3810" b="0"/>
            <wp:docPr id="1529719434" name="Picture 1529719434" descr="Diagram illustrating ANU Indonesia Project Phase V outcomes logic. See Annex 1 for writte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19434" name="Picture 1529719434" descr="Diagram illustrating ANU Indonesia Project Phase V outcomes logic. See Annex 1 for written vers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69713" cy="5065274"/>
                    </a:xfrm>
                    <a:prstGeom prst="rect">
                      <a:avLst/>
                    </a:prstGeom>
                    <a:noFill/>
                    <a:ln>
                      <a:noFill/>
                    </a:ln>
                  </pic:spPr>
                </pic:pic>
              </a:graphicData>
            </a:graphic>
          </wp:inline>
        </w:drawing>
      </w:r>
      <w:r w:rsidR="00454BB2">
        <w:rPr>
          <w:lang w:val="en-GB"/>
        </w:rPr>
        <w:br w:type="page"/>
      </w:r>
    </w:p>
    <w:p w14:paraId="677A1CD4" w14:textId="19C7CC85" w:rsidR="00454BB2" w:rsidRPr="00385300" w:rsidRDefault="00454BB2" w:rsidP="00385300">
      <w:pPr>
        <w:pStyle w:val="Heading1"/>
      </w:pPr>
      <w:bookmarkStart w:id="27" w:name="_Toc219232335"/>
      <w:r w:rsidRPr="00385300">
        <w:lastRenderedPageBreak/>
        <w:t xml:space="preserve">Appendix 2: </w:t>
      </w:r>
      <w:r w:rsidR="000B4582" w:rsidRPr="00385300">
        <w:t>Analysis of P</w:t>
      </w:r>
      <w:r w:rsidR="00A275E5" w:rsidRPr="00385300">
        <w:t xml:space="preserve">hase </w:t>
      </w:r>
      <w:r w:rsidR="00B623EA" w:rsidRPr="00385300">
        <w:t xml:space="preserve">V </w:t>
      </w:r>
      <w:r w:rsidR="000B4582" w:rsidRPr="00385300">
        <w:t>monitoring data</w:t>
      </w:r>
      <w:r w:rsidR="00B623EA" w:rsidRPr="00385300">
        <w:t xml:space="preserve"> (2023–2025)</w:t>
      </w:r>
      <w:bookmarkEnd w:id="27"/>
    </w:p>
    <w:p w14:paraId="7C539997" w14:textId="7B6D57C7" w:rsidR="000E7876" w:rsidRPr="00E66DA0" w:rsidRDefault="00E66DA0" w:rsidP="00385300">
      <w:pPr>
        <w:pStyle w:val="Heading2"/>
        <w:rPr>
          <w:lang w:val="en-GB"/>
        </w:rPr>
      </w:pPr>
      <w:r>
        <w:rPr>
          <w:lang w:val="en-GB"/>
        </w:rPr>
        <w:t>G</w:t>
      </w:r>
      <w:r w:rsidR="000E7876" w:rsidRPr="00E66DA0">
        <w:rPr>
          <w:lang w:val="en-GB"/>
        </w:rPr>
        <w:t>rant</w:t>
      </w:r>
      <w:r>
        <w:rPr>
          <w:lang w:val="en-GB"/>
        </w:rPr>
        <w:t xml:space="preserve"> and f</w:t>
      </w:r>
      <w:r w:rsidR="000E7876" w:rsidRPr="00E66DA0">
        <w:rPr>
          <w:lang w:val="en-GB"/>
        </w:rPr>
        <w:t>ellowship recipients</w:t>
      </w:r>
    </w:p>
    <w:tbl>
      <w:tblPr>
        <w:tblStyle w:val="TableGrid"/>
        <w:tblW w:w="138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1418"/>
        <w:gridCol w:w="1417"/>
        <w:gridCol w:w="1418"/>
        <w:gridCol w:w="1559"/>
        <w:gridCol w:w="1559"/>
        <w:gridCol w:w="1276"/>
        <w:gridCol w:w="1417"/>
        <w:gridCol w:w="1418"/>
      </w:tblGrid>
      <w:tr w:rsidR="00E66DA0" w:rsidRPr="00200E93" w14:paraId="0E9BBF9A" w14:textId="77777777" w:rsidTr="009C4D2C">
        <w:trPr>
          <w:tblHeader/>
        </w:trPr>
        <w:tc>
          <w:tcPr>
            <w:tcW w:w="2405" w:type="dxa"/>
            <w:shd w:val="clear" w:color="auto" w:fill="B4C6E7" w:themeFill="accent1" w:themeFillTint="66"/>
          </w:tcPr>
          <w:p w14:paraId="2E3827AC" w14:textId="77777777" w:rsidR="000E7876" w:rsidRPr="00150284" w:rsidRDefault="000E7876" w:rsidP="000E7876">
            <w:pP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Grant/Fellowship</w:t>
            </w:r>
          </w:p>
        </w:tc>
        <w:tc>
          <w:tcPr>
            <w:tcW w:w="1418" w:type="dxa"/>
            <w:shd w:val="clear" w:color="auto" w:fill="B4C6E7" w:themeFill="accent1" w:themeFillTint="66"/>
          </w:tcPr>
          <w:p w14:paraId="3B56C807" w14:textId="77777777"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Total Awards</w:t>
            </w:r>
          </w:p>
        </w:tc>
        <w:tc>
          <w:tcPr>
            <w:tcW w:w="1417" w:type="dxa"/>
            <w:shd w:val="clear" w:color="auto" w:fill="B4C6E7" w:themeFill="accent1" w:themeFillTint="66"/>
          </w:tcPr>
          <w:p w14:paraId="0B448685" w14:textId="77777777"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Female grantees</w:t>
            </w:r>
          </w:p>
        </w:tc>
        <w:tc>
          <w:tcPr>
            <w:tcW w:w="1418" w:type="dxa"/>
            <w:shd w:val="clear" w:color="auto" w:fill="B4C6E7" w:themeFill="accent1" w:themeFillTint="66"/>
          </w:tcPr>
          <w:p w14:paraId="5EE944DA" w14:textId="77777777"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Male grantees</w:t>
            </w:r>
          </w:p>
        </w:tc>
        <w:tc>
          <w:tcPr>
            <w:tcW w:w="1559" w:type="dxa"/>
            <w:shd w:val="clear" w:color="auto" w:fill="B4C6E7" w:themeFill="accent1" w:themeFillTint="66"/>
          </w:tcPr>
          <w:p w14:paraId="6F66BC72" w14:textId="5F37A487"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GESI theme</w:t>
            </w:r>
          </w:p>
        </w:tc>
        <w:tc>
          <w:tcPr>
            <w:tcW w:w="1559" w:type="dxa"/>
            <w:shd w:val="clear" w:color="auto" w:fill="B4C6E7" w:themeFill="accent1" w:themeFillTint="66"/>
          </w:tcPr>
          <w:p w14:paraId="3603434D" w14:textId="7474EE9C"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Climate theme</w:t>
            </w:r>
          </w:p>
        </w:tc>
        <w:tc>
          <w:tcPr>
            <w:tcW w:w="1276" w:type="dxa"/>
            <w:shd w:val="clear" w:color="auto" w:fill="B4C6E7" w:themeFill="accent1" w:themeFillTint="66"/>
          </w:tcPr>
          <w:p w14:paraId="3639AE3A" w14:textId="5187BBAC"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Disability theme</w:t>
            </w:r>
          </w:p>
        </w:tc>
        <w:tc>
          <w:tcPr>
            <w:tcW w:w="1417" w:type="dxa"/>
            <w:shd w:val="clear" w:color="auto" w:fill="B4C6E7" w:themeFill="accent1" w:themeFillTint="66"/>
          </w:tcPr>
          <w:p w14:paraId="5DDDA4F6" w14:textId="77777777"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Australian</w:t>
            </w:r>
          </w:p>
        </w:tc>
        <w:tc>
          <w:tcPr>
            <w:tcW w:w="1418" w:type="dxa"/>
            <w:shd w:val="clear" w:color="auto" w:fill="B4C6E7" w:themeFill="accent1" w:themeFillTint="66"/>
          </w:tcPr>
          <w:p w14:paraId="1B0E4C8F" w14:textId="77777777" w:rsidR="000E7876" w:rsidRPr="00150284" w:rsidRDefault="000E7876" w:rsidP="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Indonesian</w:t>
            </w:r>
          </w:p>
        </w:tc>
      </w:tr>
      <w:tr w:rsidR="00E66DA0" w:rsidRPr="00200E93" w14:paraId="52F7B4AF" w14:textId="77777777" w:rsidTr="00E66DA0">
        <w:tc>
          <w:tcPr>
            <w:tcW w:w="2405" w:type="dxa"/>
          </w:tcPr>
          <w:p w14:paraId="08122C86" w14:textId="77777777" w:rsidR="000E7876" w:rsidRPr="0071628F" w:rsidRDefault="000E7876" w:rsidP="000E7876">
            <w:pPr>
              <w:rPr>
                <w:rFonts w:asciiTheme="majorHAnsi" w:hAnsiTheme="majorHAnsi" w:cstheme="majorHAnsi"/>
                <w:sz w:val="18"/>
                <w:szCs w:val="18"/>
              </w:rPr>
            </w:pPr>
            <w:r w:rsidRPr="0071628F">
              <w:rPr>
                <w:rFonts w:asciiTheme="majorHAnsi" w:hAnsiTheme="majorHAnsi" w:cstheme="majorHAnsi"/>
                <w:sz w:val="18"/>
                <w:szCs w:val="18"/>
              </w:rPr>
              <w:t>Student research Grants</w:t>
            </w:r>
          </w:p>
        </w:tc>
        <w:tc>
          <w:tcPr>
            <w:tcW w:w="1418" w:type="dxa"/>
          </w:tcPr>
          <w:p w14:paraId="3C42BF49"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10</w:t>
            </w:r>
          </w:p>
        </w:tc>
        <w:tc>
          <w:tcPr>
            <w:tcW w:w="1417" w:type="dxa"/>
          </w:tcPr>
          <w:p w14:paraId="67B12C9B"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w:t>
            </w:r>
          </w:p>
        </w:tc>
        <w:tc>
          <w:tcPr>
            <w:tcW w:w="1418" w:type="dxa"/>
          </w:tcPr>
          <w:p w14:paraId="13093564"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4</w:t>
            </w:r>
          </w:p>
        </w:tc>
        <w:tc>
          <w:tcPr>
            <w:tcW w:w="1559" w:type="dxa"/>
          </w:tcPr>
          <w:p w14:paraId="7C3C0F0B" w14:textId="44F2CBEF" w:rsidR="000E7876"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w:t>
            </w:r>
          </w:p>
        </w:tc>
        <w:tc>
          <w:tcPr>
            <w:tcW w:w="1559" w:type="dxa"/>
          </w:tcPr>
          <w:p w14:paraId="6351F333" w14:textId="0E1D1E96"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w:t>
            </w:r>
          </w:p>
        </w:tc>
        <w:tc>
          <w:tcPr>
            <w:tcW w:w="1276" w:type="dxa"/>
          </w:tcPr>
          <w:p w14:paraId="59EBDC5E" w14:textId="62B3889D" w:rsidR="000E7876" w:rsidRPr="0071628F" w:rsidRDefault="5A785BE5" w:rsidP="000E7876">
            <w:pPr>
              <w:jc w:val="center"/>
              <w:rPr>
                <w:rFonts w:asciiTheme="majorHAnsi" w:eastAsiaTheme="minorEastAsia" w:hAnsiTheme="majorHAnsi" w:cstheme="majorBidi"/>
                <w:sz w:val="18"/>
                <w:szCs w:val="18"/>
                <w:lang w:val="en-GB"/>
              </w:rPr>
            </w:pPr>
            <w:r w:rsidRPr="77B8EF7D">
              <w:rPr>
                <w:rFonts w:asciiTheme="majorHAnsi" w:eastAsiaTheme="minorEastAsia" w:hAnsiTheme="majorHAnsi" w:cstheme="majorBidi"/>
                <w:sz w:val="18"/>
                <w:szCs w:val="18"/>
                <w:lang w:val="en-GB"/>
              </w:rPr>
              <w:t>0</w:t>
            </w:r>
          </w:p>
        </w:tc>
        <w:tc>
          <w:tcPr>
            <w:tcW w:w="1417" w:type="dxa"/>
          </w:tcPr>
          <w:p w14:paraId="4871F11E"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10</w:t>
            </w:r>
          </w:p>
        </w:tc>
        <w:tc>
          <w:tcPr>
            <w:tcW w:w="1418" w:type="dxa"/>
          </w:tcPr>
          <w:p w14:paraId="563BE61C"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0</w:t>
            </w:r>
          </w:p>
        </w:tc>
      </w:tr>
      <w:tr w:rsidR="00E66DA0" w:rsidRPr="00200E93" w14:paraId="5D7FA976" w14:textId="77777777" w:rsidTr="00E66DA0">
        <w:tc>
          <w:tcPr>
            <w:tcW w:w="2405" w:type="dxa"/>
          </w:tcPr>
          <w:p w14:paraId="03DB88BA" w14:textId="77777777" w:rsidR="000E7876" w:rsidRPr="0071628F" w:rsidRDefault="000E7876" w:rsidP="000E7876">
            <w:pPr>
              <w:rPr>
                <w:rFonts w:asciiTheme="majorHAnsi" w:hAnsiTheme="majorHAnsi" w:cstheme="majorHAnsi"/>
                <w:sz w:val="18"/>
                <w:szCs w:val="18"/>
              </w:rPr>
            </w:pPr>
            <w:r w:rsidRPr="0071628F">
              <w:rPr>
                <w:rFonts w:asciiTheme="majorHAnsi" w:hAnsiTheme="majorHAnsi" w:cstheme="majorHAnsi"/>
                <w:sz w:val="18"/>
                <w:szCs w:val="18"/>
              </w:rPr>
              <w:t>Ruth Daroesman Grants</w:t>
            </w:r>
          </w:p>
        </w:tc>
        <w:tc>
          <w:tcPr>
            <w:tcW w:w="1418" w:type="dxa"/>
          </w:tcPr>
          <w:p w14:paraId="1818F14F"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8</w:t>
            </w:r>
          </w:p>
        </w:tc>
        <w:tc>
          <w:tcPr>
            <w:tcW w:w="1417" w:type="dxa"/>
          </w:tcPr>
          <w:p w14:paraId="0FEE1DD9"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w:t>
            </w:r>
          </w:p>
        </w:tc>
        <w:tc>
          <w:tcPr>
            <w:tcW w:w="1418" w:type="dxa"/>
          </w:tcPr>
          <w:p w14:paraId="3CFBBF83"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w:t>
            </w:r>
          </w:p>
        </w:tc>
        <w:tc>
          <w:tcPr>
            <w:tcW w:w="1559" w:type="dxa"/>
          </w:tcPr>
          <w:p w14:paraId="2CCA47EE" w14:textId="0E2B1A44" w:rsidR="000E7876"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w:t>
            </w:r>
          </w:p>
        </w:tc>
        <w:tc>
          <w:tcPr>
            <w:tcW w:w="1559" w:type="dxa"/>
          </w:tcPr>
          <w:p w14:paraId="20EEC87A" w14:textId="30881169"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w:t>
            </w:r>
          </w:p>
        </w:tc>
        <w:tc>
          <w:tcPr>
            <w:tcW w:w="1276" w:type="dxa"/>
          </w:tcPr>
          <w:p w14:paraId="038DB987" w14:textId="21699337" w:rsidR="000E7876" w:rsidRPr="0071628F" w:rsidRDefault="5BE8B52F" w:rsidP="000E7876">
            <w:pPr>
              <w:jc w:val="center"/>
              <w:rPr>
                <w:rFonts w:asciiTheme="majorHAnsi" w:eastAsiaTheme="minorEastAsia" w:hAnsiTheme="majorHAnsi" w:cstheme="majorBidi"/>
                <w:sz w:val="18"/>
                <w:szCs w:val="18"/>
                <w:lang w:val="en-GB"/>
              </w:rPr>
            </w:pPr>
            <w:r w:rsidRPr="790A5175">
              <w:rPr>
                <w:rFonts w:asciiTheme="majorHAnsi" w:eastAsiaTheme="minorEastAsia" w:hAnsiTheme="majorHAnsi" w:cstheme="majorBidi"/>
                <w:sz w:val="18"/>
                <w:szCs w:val="18"/>
                <w:lang w:val="en-GB"/>
              </w:rPr>
              <w:t>0</w:t>
            </w:r>
          </w:p>
        </w:tc>
        <w:tc>
          <w:tcPr>
            <w:tcW w:w="1417" w:type="dxa"/>
          </w:tcPr>
          <w:p w14:paraId="6F133546"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w:t>
            </w:r>
          </w:p>
        </w:tc>
        <w:tc>
          <w:tcPr>
            <w:tcW w:w="1418" w:type="dxa"/>
          </w:tcPr>
          <w:p w14:paraId="4EEFB856"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w:t>
            </w:r>
          </w:p>
        </w:tc>
      </w:tr>
      <w:tr w:rsidR="00E66DA0" w:rsidRPr="00200E93" w14:paraId="1ABD3964" w14:textId="77777777" w:rsidTr="00E66DA0">
        <w:tc>
          <w:tcPr>
            <w:tcW w:w="2405" w:type="dxa"/>
          </w:tcPr>
          <w:p w14:paraId="0594F521" w14:textId="77777777" w:rsidR="000E7876" w:rsidRPr="0071628F" w:rsidRDefault="000E7876" w:rsidP="000E7876">
            <w:pPr>
              <w:rPr>
                <w:rFonts w:asciiTheme="majorHAnsi" w:hAnsiTheme="majorHAnsi" w:cstheme="majorHAnsi"/>
                <w:sz w:val="18"/>
                <w:szCs w:val="18"/>
              </w:rPr>
            </w:pPr>
            <w:r w:rsidRPr="0071628F">
              <w:rPr>
                <w:rFonts w:asciiTheme="majorHAnsi" w:hAnsiTheme="majorHAnsi" w:cstheme="majorHAnsi"/>
                <w:sz w:val="18"/>
                <w:szCs w:val="18"/>
              </w:rPr>
              <w:t>Collaborative Research Grants</w:t>
            </w:r>
          </w:p>
        </w:tc>
        <w:tc>
          <w:tcPr>
            <w:tcW w:w="1418" w:type="dxa"/>
          </w:tcPr>
          <w:p w14:paraId="3E8C9D9F"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w:t>
            </w:r>
          </w:p>
        </w:tc>
        <w:tc>
          <w:tcPr>
            <w:tcW w:w="1417" w:type="dxa"/>
          </w:tcPr>
          <w:p w14:paraId="3387C42A"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w:t>
            </w:r>
          </w:p>
        </w:tc>
        <w:tc>
          <w:tcPr>
            <w:tcW w:w="1418" w:type="dxa"/>
          </w:tcPr>
          <w:p w14:paraId="7A7D4C35"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w:t>
            </w:r>
          </w:p>
        </w:tc>
        <w:tc>
          <w:tcPr>
            <w:tcW w:w="1559" w:type="dxa"/>
          </w:tcPr>
          <w:p w14:paraId="2A142891" w14:textId="6F10B079" w:rsidR="000E7876"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w:t>
            </w:r>
          </w:p>
        </w:tc>
        <w:tc>
          <w:tcPr>
            <w:tcW w:w="1559" w:type="dxa"/>
          </w:tcPr>
          <w:p w14:paraId="33E17C00" w14:textId="6A0585D0"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w:t>
            </w:r>
          </w:p>
        </w:tc>
        <w:tc>
          <w:tcPr>
            <w:tcW w:w="1276" w:type="dxa"/>
          </w:tcPr>
          <w:p w14:paraId="6C5ED175" w14:textId="1C9FD96A" w:rsidR="000E7876" w:rsidRPr="0071628F" w:rsidRDefault="5BE8B52F" w:rsidP="000E7876">
            <w:pPr>
              <w:jc w:val="center"/>
              <w:rPr>
                <w:rFonts w:asciiTheme="majorHAnsi" w:eastAsiaTheme="minorEastAsia" w:hAnsiTheme="majorHAnsi" w:cstheme="majorBidi"/>
                <w:sz w:val="18"/>
                <w:szCs w:val="18"/>
                <w:lang w:val="en-GB"/>
              </w:rPr>
            </w:pPr>
            <w:r w:rsidRPr="790A5175">
              <w:rPr>
                <w:rFonts w:asciiTheme="majorHAnsi" w:eastAsiaTheme="minorEastAsia" w:hAnsiTheme="majorHAnsi" w:cstheme="majorBidi"/>
                <w:sz w:val="18"/>
                <w:szCs w:val="18"/>
                <w:lang w:val="en-GB"/>
              </w:rPr>
              <w:t>0</w:t>
            </w:r>
          </w:p>
        </w:tc>
        <w:tc>
          <w:tcPr>
            <w:tcW w:w="1417" w:type="dxa"/>
          </w:tcPr>
          <w:p w14:paraId="0C965DF5"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0</w:t>
            </w:r>
          </w:p>
        </w:tc>
        <w:tc>
          <w:tcPr>
            <w:tcW w:w="1418" w:type="dxa"/>
          </w:tcPr>
          <w:p w14:paraId="7F9F3B91"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w:t>
            </w:r>
          </w:p>
        </w:tc>
      </w:tr>
      <w:tr w:rsidR="00E66DA0" w:rsidRPr="00200E93" w14:paraId="0B38818C" w14:textId="77777777" w:rsidTr="00E66DA0">
        <w:tc>
          <w:tcPr>
            <w:tcW w:w="2405" w:type="dxa"/>
          </w:tcPr>
          <w:p w14:paraId="684F73CA" w14:textId="77777777" w:rsidR="000E7876" w:rsidRPr="0071628F" w:rsidRDefault="000E7876" w:rsidP="000E7876">
            <w:pPr>
              <w:rPr>
                <w:rFonts w:asciiTheme="majorHAnsi" w:hAnsiTheme="majorHAnsi" w:cstheme="majorHAnsi"/>
                <w:sz w:val="18"/>
                <w:szCs w:val="18"/>
              </w:rPr>
            </w:pPr>
            <w:r w:rsidRPr="0071628F">
              <w:rPr>
                <w:rFonts w:asciiTheme="majorHAnsi" w:hAnsiTheme="majorHAnsi" w:cstheme="majorHAnsi"/>
                <w:sz w:val="18"/>
                <w:szCs w:val="18"/>
              </w:rPr>
              <w:t>Visiting Fellows</w:t>
            </w:r>
          </w:p>
        </w:tc>
        <w:tc>
          <w:tcPr>
            <w:tcW w:w="1418" w:type="dxa"/>
          </w:tcPr>
          <w:p w14:paraId="4B19EAA4"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w:t>
            </w:r>
          </w:p>
        </w:tc>
        <w:tc>
          <w:tcPr>
            <w:tcW w:w="1417" w:type="dxa"/>
          </w:tcPr>
          <w:p w14:paraId="3C4B82C0"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w:t>
            </w:r>
          </w:p>
        </w:tc>
        <w:tc>
          <w:tcPr>
            <w:tcW w:w="1418" w:type="dxa"/>
          </w:tcPr>
          <w:p w14:paraId="37E3CC2D"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w:t>
            </w:r>
          </w:p>
        </w:tc>
        <w:tc>
          <w:tcPr>
            <w:tcW w:w="1559" w:type="dxa"/>
          </w:tcPr>
          <w:p w14:paraId="5BAAA9A2" w14:textId="70EB6862" w:rsidR="000E7876"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w:t>
            </w:r>
          </w:p>
        </w:tc>
        <w:tc>
          <w:tcPr>
            <w:tcW w:w="1559" w:type="dxa"/>
          </w:tcPr>
          <w:p w14:paraId="391CBEAD" w14:textId="1941B4A8"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w:t>
            </w:r>
          </w:p>
        </w:tc>
        <w:tc>
          <w:tcPr>
            <w:tcW w:w="1276" w:type="dxa"/>
          </w:tcPr>
          <w:p w14:paraId="1ECBD502" w14:textId="497631BE" w:rsidR="000E7876" w:rsidRPr="0071628F" w:rsidRDefault="5C2AE4B9" w:rsidP="000E7876">
            <w:pPr>
              <w:jc w:val="center"/>
              <w:rPr>
                <w:rFonts w:asciiTheme="majorHAnsi" w:eastAsiaTheme="minorEastAsia" w:hAnsiTheme="majorHAnsi" w:cstheme="majorBidi"/>
                <w:sz w:val="18"/>
                <w:szCs w:val="18"/>
                <w:lang w:val="en-GB"/>
              </w:rPr>
            </w:pPr>
            <w:r w:rsidRPr="790A5175">
              <w:rPr>
                <w:rFonts w:asciiTheme="majorHAnsi" w:eastAsiaTheme="minorEastAsia" w:hAnsiTheme="majorHAnsi" w:cstheme="majorBidi"/>
                <w:sz w:val="18"/>
                <w:szCs w:val="18"/>
                <w:lang w:val="en-GB"/>
              </w:rPr>
              <w:t>0</w:t>
            </w:r>
          </w:p>
        </w:tc>
        <w:tc>
          <w:tcPr>
            <w:tcW w:w="1417" w:type="dxa"/>
          </w:tcPr>
          <w:p w14:paraId="0CB75F42"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0</w:t>
            </w:r>
          </w:p>
        </w:tc>
        <w:tc>
          <w:tcPr>
            <w:tcW w:w="1418" w:type="dxa"/>
          </w:tcPr>
          <w:p w14:paraId="71CE1CEC" w14:textId="77777777" w:rsidR="000E7876" w:rsidRPr="0071628F" w:rsidRDefault="000E7876" w:rsidP="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w:t>
            </w:r>
          </w:p>
        </w:tc>
      </w:tr>
      <w:tr w:rsidR="00E66DA0" w:rsidRPr="00200E93" w14:paraId="74239F6A" w14:textId="77777777" w:rsidTr="00E66DA0">
        <w:tc>
          <w:tcPr>
            <w:tcW w:w="2405" w:type="dxa"/>
          </w:tcPr>
          <w:p w14:paraId="11CE9C6C" w14:textId="77777777" w:rsidR="000E7876" w:rsidRPr="0071628F" w:rsidRDefault="000E7876" w:rsidP="000E7876">
            <w:pPr>
              <w:rPr>
                <w:rFonts w:asciiTheme="majorHAnsi" w:hAnsiTheme="majorHAnsi" w:cstheme="majorHAnsi"/>
                <w:b/>
                <w:bCs/>
                <w:sz w:val="18"/>
                <w:szCs w:val="18"/>
              </w:rPr>
            </w:pPr>
            <w:r w:rsidRPr="0071628F">
              <w:rPr>
                <w:rFonts w:asciiTheme="majorHAnsi" w:hAnsiTheme="majorHAnsi" w:cstheme="majorHAnsi"/>
                <w:b/>
                <w:bCs/>
                <w:sz w:val="18"/>
                <w:szCs w:val="18"/>
              </w:rPr>
              <w:t>Total</w:t>
            </w:r>
          </w:p>
        </w:tc>
        <w:tc>
          <w:tcPr>
            <w:tcW w:w="1418" w:type="dxa"/>
          </w:tcPr>
          <w:p w14:paraId="3E53966E" w14:textId="77777777" w:rsidR="000E7876" w:rsidRPr="0071628F"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28</w:t>
            </w:r>
          </w:p>
        </w:tc>
        <w:tc>
          <w:tcPr>
            <w:tcW w:w="1417" w:type="dxa"/>
          </w:tcPr>
          <w:p w14:paraId="27BEC078" w14:textId="77777777" w:rsidR="000E7876" w:rsidRPr="0071628F"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16</w:t>
            </w:r>
          </w:p>
        </w:tc>
        <w:tc>
          <w:tcPr>
            <w:tcW w:w="1418" w:type="dxa"/>
          </w:tcPr>
          <w:p w14:paraId="5BEA9282" w14:textId="77777777" w:rsidR="000E7876" w:rsidRPr="0071628F"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11</w:t>
            </w:r>
          </w:p>
        </w:tc>
        <w:tc>
          <w:tcPr>
            <w:tcW w:w="1559" w:type="dxa"/>
          </w:tcPr>
          <w:p w14:paraId="0AFC33E5" w14:textId="08BC5405" w:rsidR="000E7876"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14</w:t>
            </w:r>
          </w:p>
        </w:tc>
        <w:tc>
          <w:tcPr>
            <w:tcW w:w="1559" w:type="dxa"/>
          </w:tcPr>
          <w:p w14:paraId="51037A0A" w14:textId="0227F051" w:rsidR="000E7876" w:rsidRPr="0071628F"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8</w:t>
            </w:r>
          </w:p>
        </w:tc>
        <w:tc>
          <w:tcPr>
            <w:tcW w:w="1276" w:type="dxa"/>
          </w:tcPr>
          <w:p w14:paraId="0D6DB24B" w14:textId="00253FB8" w:rsidR="000E7876" w:rsidRPr="0071628F" w:rsidRDefault="5C2AE4B9" w:rsidP="000E7876">
            <w:pPr>
              <w:jc w:val="center"/>
              <w:rPr>
                <w:rFonts w:asciiTheme="majorHAnsi" w:eastAsiaTheme="minorEastAsia" w:hAnsiTheme="majorHAnsi" w:cstheme="majorBidi"/>
                <w:b/>
                <w:sz w:val="18"/>
                <w:szCs w:val="18"/>
                <w:lang w:val="en-GB"/>
              </w:rPr>
            </w:pPr>
            <w:r w:rsidRPr="790A5175">
              <w:rPr>
                <w:rFonts w:asciiTheme="majorHAnsi" w:eastAsiaTheme="minorEastAsia" w:hAnsiTheme="majorHAnsi" w:cstheme="majorBidi"/>
                <w:b/>
                <w:bCs/>
                <w:sz w:val="18"/>
                <w:szCs w:val="18"/>
                <w:lang w:val="en-GB"/>
              </w:rPr>
              <w:t>0</w:t>
            </w:r>
          </w:p>
        </w:tc>
        <w:tc>
          <w:tcPr>
            <w:tcW w:w="1417" w:type="dxa"/>
          </w:tcPr>
          <w:p w14:paraId="445DA6DC" w14:textId="77777777" w:rsidR="000E7876" w:rsidRPr="0071628F"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12</w:t>
            </w:r>
          </w:p>
        </w:tc>
        <w:tc>
          <w:tcPr>
            <w:tcW w:w="1418" w:type="dxa"/>
          </w:tcPr>
          <w:p w14:paraId="57D727ED" w14:textId="77777777" w:rsidR="000E7876" w:rsidRPr="0071628F" w:rsidRDefault="000E7876" w:rsidP="000E7876">
            <w:pPr>
              <w:jc w:val="center"/>
              <w:rPr>
                <w:rFonts w:asciiTheme="majorHAnsi" w:eastAsiaTheme="minorHAnsi" w:hAnsiTheme="majorHAnsi" w:cstheme="majorHAnsi"/>
                <w:b/>
                <w:bCs/>
                <w:sz w:val="18"/>
                <w:szCs w:val="18"/>
                <w:lang w:val="en-GB"/>
              </w:rPr>
            </w:pPr>
            <w:r>
              <w:rPr>
                <w:rFonts w:asciiTheme="majorHAnsi" w:eastAsiaTheme="minorHAnsi" w:hAnsiTheme="majorHAnsi" w:cstheme="majorHAnsi"/>
                <w:b/>
                <w:bCs/>
                <w:sz w:val="18"/>
                <w:szCs w:val="18"/>
                <w:lang w:val="en-GB"/>
              </w:rPr>
              <w:t>16</w:t>
            </w:r>
          </w:p>
        </w:tc>
      </w:tr>
    </w:tbl>
    <w:p w14:paraId="15A78A11" w14:textId="77777777" w:rsidR="000E7876" w:rsidRDefault="000E7876" w:rsidP="000E7876">
      <w:pPr>
        <w:autoSpaceDE w:val="0"/>
        <w:autoSpaceDN w:val="0"/>
        <w:adjustRightInd w:val="0"/>
        <w:spacing w:after="120"/>
        <w:rPr>
          <w:rFonts w:asciiTheme="majorHAnsi" w:hAnsiTheme="majorHAnsi" w:cstheme="majorHAnsi"/>
          <w:sz w:val="10"/>
          <w:szCs w:val="10"/>
          <w:lang w:val="en-GB"/>
        </w:rPr>
      </w:pPr>
    </w:p>
    <w:p w14:paraId="576858A9" w14:textId="2CCD6B2D" w:rsidR="000E7876" w:rsidRPr="00E66DA0" w:rsidRDefault="000E7876" w:rsidP="008A3E71">
      <w:pPr>
        <w:pStyle w:val="Heading5"/>
        <w:rPr>
          <w:lang w:val="en-GB"/>
        </w:rPr>
      </w:pPr>
      <w:r w:rsidRPr="00E66DA0">
        <w:rPr>
          <w:lang w:val="en-GB"/>
        </w:rPr>
        <w:t xml:space="preserve">PhD and </w:t>
      </w:r>
      <w:proofErr w:type="gramStart"/>
      <w:r w:rsidRPr="00E66DA0">
        <w:rPr>
          <w:lang w:val="en-GB"/>
        </w:rPr>
        <w:t>Masters</w:t>
      </w:r>
      <w:proofErr w:type="gramEnd"/>
      <w:r w:rsidRPr="00E66DA0">
        <w:rPr>
          <w:lang w:val="en-GB"/>
        </w:rPr>
        <w:t xml:space="preserve"> students supervised* </w:t>
      </w:r>
    </w:p>
    <w:tbl>
      <w:tblPr>
        <w:tblStyle w:val="TableGrid"/>
        <w:tblW w:w="1388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1418"/>
        <w:gridCol w:w="1417"/>
        <w:gridCol w:w="1418"/>
        <w:gridCol w:w="1559"/>
        <w:gridCol w:w="1559"/>
        <w:gridCol w:w="1276"/>
        <w:gridCol w:w="1417"/>
        <w:gridCol w:w="1418"/>
      </w:tblGrid>
      <w:tr w:rsidR="00E66DA0" w:rsidRPr="00200E93" w14:paraId="2576522C" w14:textId="77777777" w:rsidTr="009C4D2C">
        <w:trPr>
          <w:tblHeader/>
        </w:trPr>
        <w:tc>
          <w:tcPr>
            <w:tcW w:w="2405" w:type="dxa"/>
            <w:shd w:val="clear" w:color="auto" w:fill="B4C6E7" w:themeFill="accent1" w:themeFillTint="66"/>
          </w:tcPr>
          <w:p w14:paraId="591E24DC" w14:textId="77777777" w:rsidR="00E66DA0" w:rsidRPr="00150284" w:rsidRDefault="00E66DA0">
            <w:pP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Supervisions</w:t>
            </w:r>
          </w:p>
        </w:tc>
        <w:tc>
          <w:tcPr>
            <w:tcW w:w="1418" w:type="dxa"/>
            <w:shd w:val="clear" w:color="auto" w:fill="B4C6E7" w:themeFill="accent1" w:themeFillTint="66"/>
          </w:tcPr>
          <w:p w14:paraId="7478E11D"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 xml:space="preserve">Total </w:t>
            </w:r>
          </w:p>
        </w:tc>
        <w:tc>
          <w:tcPr>
            <w:tcW w:w="1417" w:type="dxa"/>
            <w:shd w:val="clear" w:color="auto" w:fill="B4C6E7" w:themeFill="accent1" w:themeFillTint="66"/>
          </w:tcPr>
          <w:p w14:paraId="5C610387"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 xml:space="preserve">Female </w:t>
            </w:r>
          </w:p>
        </w:tc>
        <w:tc>
          <w:tcPr>
            <w:tcW w:w="1418" w:type="dxa"/>
            <w:shd w:val="clear" w:color="auto" w:fill="B4C6E7" w:themeFill="accent1" w:themeFillTint="66"/>
          </w:tcPr>
          <w:p w14:paraId="10D144C3"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 xml:space="preserve">Male </w:t>
            </w:r>
          </w:p>
        </w:tc>
        <w:tc>
          <w:tcPr>
            <w:tcW w:w="1559" w:type="dxa"/>
            <w:shd w:val="clear" w:color="auto" w:fill="B4C6E7" w:themeFill="accent1" w:themeFillTint="66"/>
          </w:tcPr>
          <w:p w14:paraId="4747A3D6"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GEDSI theme</w:t>
            </w:r>
          </w:p>
        </w:tc>
        <w:tc>
          <w:tcPr>
            <w:tcW w:w="1559" w:type="dxa"/>
            <w:shd w:val="clear" w:color="auto" w:fill="B4C6E7" w:themeFill="accent1" w:themeFillTint="66"/>
          </w:tcPr>
          <w:p w14:paraId="0471647A"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Climate theme</w:t>
            </w:r>
          </w:p>
        </w:tc>
        <w:tc>
          <w:tcPr>
            <w:tcW w:w="1276" w:type="dxa"/>
            <w:shd w:val="clear" w:color="auto" w:fill="B4C6E7" w:themeFill="accent1" w:themeFillTint="66"/>
          </w:tcPr>
          <w:p w14:paraId="22652F05" w14:textId="3EC05B41"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Disability theme</w:t>
            </w:r>
          </w:p>
        </w:tc>
        <w:tc>
          <w:tcPr>
            <w:tcW w:w="1417" w:type="dxa"/>
            <w:shd w:val="clear" w:color="auto" w:fill="B4C6E7" w:themeFill="accent1" w:themeFillTint="66"/>
          </w:tcPr>
          <w:p w14:paraId="1EC9AA56"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Australian</w:t>
            </w:r>
          </w:p>
        </w:tc>
        <w:tc>
          <w:tcPr>
            <w:tcW w:w="1418" w:type="dxa"/>
            <w:shd w:val="clear" w:color="auto" w:fill="B4C6E7" w:themeFill="accent1" w:themeFillTint="66"/>
          </w:tcPr>
          <w:p w14:paraId="39985EB7" w14:textId="77777777" w:rsidR="00E66DA0" w:rsidRPr="00150284" w:rsidRDefault="00E66DA0">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Indonesian</w:t>
            </w:r>
          </w:p>
        </w:tc>
      </w:tr>
      <w:tr w:rsidR="00E66DA0" w:rsidRPr="00200E93" w14:paraId="0DA226F3" w14:textId="77777777" w:rsidTr="00E66DA0">
        <w:tc>
          <w:tcPr>
            <w:tcW w:w="2405" w:type="dxa"/>
          </w:tcPr>
          <w:p w14:paraId="473B2498" w14:textId="77777777" w:rsidR="00E66DA0" w:rsidRPr="0071628F" w:rsidRDefault="00E66DA0">
            <w:pPr>
              <w:rPr>
                <w:rFonts w:asciiTheme="majorHAnsi" w:hAnsiTheme="majorHAnsi" w:cstheme="majorHAnsi"/>
                <w:sz w:val="18"/>
                <w:szCs w:val="18"/>
              </w:rPr>
            </w:pPr>
            <w:r>
              <w:rPr>
                <w:rFonts w:asciiTheme="majorHAnsi" w:hAnsiTheme="majorHAnsi" w:cstheme="majorHAnsi"/>
                <w:sz w:val="18"/>
                <w:szCs w:val="18"/>
              </w:rPr>
              <w:t xml:space="preserve">PhD and </w:t>
            </w:r>
            <w:proofErr w:type="gramStart"/>
            <w:r>
              <w:rPr>
                <w:rFonts w:asciiTheme="majorHAnsi" w:hAnsiTheme="majorHAnsi" w:cstheme="majorHAnsi"/>
                <w:sz w:val="18"/>
                <w:szCs w:val="18"/>
              </w:rPr>
              <w:t>Masters</w:t>
            </w:r>
            <w:proofErr w:type="gramEnd"/>
            <w:r>
              <w:rPr>
                <w:rFonts w:asciiTheme="majorHAnsi" w:hAnsiTheme="majorHAnsi" w:cstheme="majorHAnsi"/>
                <w:sz w:val="18"/>
                <w:szCs w:val="18"/>
              </w:rPr>
              <w:t xml:space="preserve"> students</w:t>
            </w:r>
          </w:p>
        </w:tc>
        <w:tc>
          <w:tcPr>
            <w:tcW w:w="1418" w:type="dxa"/>
          </w:tcPr>
          <w:p w14:paraId="43EB4694" w14:textId="77777777" w:rsidR="00E66DA0"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69</w:t>
            </w:r>
          </w:p>
          <w:p w14:paraId="42F7C76A" w14:textId="77777777" w:rsidR="002F695B" w:rsidRPr="0071628F" w:rsidRDefault="002F695B">
            <w:pPr>
              <w:jc w:val="center"/>
              <w:rPr>
                <w:rFonts w:asciiTheme="majorHAnsi" w:eastAsiaTheme="minorHAnsi" w:hAnsiTheme="majorHAnsi" w:cstheme="majorHAnsi"/>
                <w:sz w:val="18"/>
                <w:szCs w:val="18"/>
                <w:lang w:val="en-GB"/>
              </w:rPr>
            </w:pPr>
          </w:p>
        </w:tc>
        <w:tc>
          <w:tcPr>
            <w:tcW w:w="1417" w:type="dxa"/>
          </w:tcPr>
          <w:p w14:paraId="36AA1270" w14:textId="77777777" w:rsidR="00E66DA0" w:rsidRPr="0071628F"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31</w:t>
            </w:r>
          </w:p>
        </w:tc>
        <w:tc>
          <w:tcPr>
            <w:tcW w:w="1418" w:type="dxa"/>
          </w:tcPr>
          <w:p w14:paraId="35921FDD" w14:textId="77777777" w:rsidR="00E66DA0" w:rsidRPr="0071628F"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38</w:t>
            </w:r>
          </w:p>
        </w:tc>
        <w:tc>
          <w:tcPr>
            <w:tcW w:w="1559" w:type="dxa"/>
          </w:tcPr>
          <w:p w14:paraId="41DD3E92" w14:textId="77777777" w:rsidR="00E66DA0" w:rsidRPr="0071628F"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22</w:t>
            </w:r>
          </w:p>
        </w:tc>
        <w:tc>
          <w:tcPr>
            <w:tcW w:w="1559" w:type="dxa"/>
          </w:tcPr>
          <w:p w14:paraId="2B8FE406" w14:textId="77777777" w:rsidR="00E66DA0" w:rsidRPr="0071628F"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4</w:t>
            </w:r>
          </w:p>
        </w:tc>
        <w:tc>
          <w:tcPr>
            <w:tcW w:w="1276" w:type="dxa"/>
          </w:tcPr>
          <w:p w14:paraId="5FB64659" w14:textId="77D80FEB" w:rsidR="00E66DA0" w:rsidRPr="0071628F" w:rsidRDefault="0DEF615D">
            <w:pPr>
              <w:jc w:val="center"/>
              <w:rPr>
                <w:rFonts w:asciiTheme="majorHAnsi" w:eastAsiaTheme="minorEastAsia" w:hAnsiTheme="majorHAnsi" w:cstheme="majorBidi"/>
                <w:sz w:val="18"/>
                <w:szCs w:val="18"/>
                <w:lang w:val="en-GB"/>
              </w:rPr>
            </w:pPr>
            <w:r w:rsidRPr="790A5175">
              <w:rPr>
                <w:rFonts w:asciiTheme="majorHAnsi" w:eastAsiaTheme="minorEastAsia" w:hAnsiTheme="majorHAnsi" w:cstheme="majorBidi"/>
                <w:sz w:val="18"/>
                <w:szCs w:val="18"/>
                <w:lang w:val="en-GB"/>
              </w:rPr>
              <w:t>0</w:t>
            </w:r>
          </w:p>
        </w:tc>
        <w:tc>
          <w:tcPr>
            <w:tcW w:w="1417" w:type="dxa"/>
          </w:tcPr>
          <w:p w14:paraId="6EB59FF8" w14:textId="77777777" w:rsidR="00E66DA0" w:rsidRPr="0071628F"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10</w:t>
            </w:r>
          </w:p>
        </w:tc>
        <w:tc>
          <w:tcPr>
            <w:tcW w:w="1418" w:type="dxa"/>
          </w:tcPr>
          <w:p w14:paraId="48C6CC8D" w14:textId="77777777" w:rsidR="00E66DA0" w:rsidRPr="0071628F" w:rsidRDefault="00E66DA0">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45</w:t>
            </w:r>
          </w:p>
        </w:tc>
      </w:tr>
    </w:tbl>
    <w:p w14:paraId="20BCF712" w14:textId="77777777" w:rsidR="000E7876" w:rsidRDefault="000E7876" w:rsidP="00E66DA0">
      <w:pPr>
        <w:autoSpaceDE w:val="0"/>
        <w:autoSpaceDN w:val="0"/>
        <w:adjustRightInd w:val="0"/>
        <w:rPr>
          <w:rFonts w:asciiTheme="majorHAnsi" w:hAnsiTheme="majorHAnsi" w:cstheme="majorHAnsi"/>
          <w:i/>
          <w:iCs/>
          <w:sz w:val="15"/>
          <w:szCs w:val="15"/>
          <w:lang w:val="en-GB"/>
        </w:rPr>
      </w:pPr>
      <w:r w:rsidRPr="00190CA5">
        <w:rPr>
          <w:rFonts w:asciiTheme="majorHAnsi" w:hAnsiTheme="majorHAnsi" w:cstheme="majorHAnsi"/>
          <w:sz w:val="15"/>
          <w:szCs w:val="15"/>
          <w:lang w:val="en-GB"/>
        </w:rPr>
        <w:t>*</w:t>
      </w:r>
      <w:r w:rsidRPr="00190CA5">
        <w:rPr>
          <w:rFonts w:asciiTheme="majorHAnsi" w:hAnsiTheme="majorHAnsi" w:cstheme="majorHAnsi"/>
          <w:i/>
          <w:iCs/>
          <w:sz w:val="15"/>
          <w:szCs w:val="15"/>
          <w:lang w:val="en-GB"/>
        </w:rPr>
        <w:t xml:space="preserve"> </w:t>
      </w:r>
      <w:r>
        <w:rPr>
          <w:rFonts w:asciiTheme="majorHAnsi" w:hAnsiTheme="majorHAnsi" w:cstheme="majorHAnsi"/>
          <w:i/>
          <w:iCs/>
          <w:sz w:val="15"/>
          <w:szCs w:val="15"/>
          <w:lang w:val="en-GB"/>
        </w:rPr>
        <w:t xml:space="preserve">Of the total students 14 were from countries other than Australia or Indonesia, or their nationality has not been disclosed. In addition, not all students declare a research topic, and therefore alignment to DFAT themes (such as GEDSI and Climate Change) is not consistently recorded.  </w:t>
      </w:r>
      <w:r w:rsidRPr="00190CA5">
        <w:rPr>
          <w:rFonts w:asciiTheme="majorHAnsi" w:hAnsiTheme="majorHAnsi" w:cstheme="majorHAnsi"/>
          <w:i/>
          <w:iCs/>
          <w:sz w:val="15"/>
          <w:szCs w:val="15"/>
          <w:lang w:val="en-GB"/>
        </w:rPr>
        <w:t xml:space="preserve"> </w:t>
      </w:r>
    </w:p>
    <w:p w14:paraId="37FD3476" w14:textId="77777777" w:rsidR="00E66DA0" w:rsidRPr="00E66DA0" w:rsidRDefault="00E66DA0" w:rsidP="00E66DA0">
      <w:pPr>
        <w:autoSpaceDE w:val="0"/>
        <w:autoSpaceDN w:val="0"/>
        <w:adjustRightInd w:val="0"/>
        <w:rPr>
          <w:rFonts w:asciiTheme="majorHAnsi" w:hAnsiTheme="majorHAnsi" w:cstheme="majorHAnsi"/>
          <w:i/>
          <w:iCs/>
          <w:sz w:val="10"/>
          <w:szCs w:val="10"/>
          <w:lang w:val="en-GB"/>
        </w:rPr>
      </w:pPr>
    </w:p>
    <w:p w14:paraId="53E24B08" w14:textId="413EEDCE" w:rsidR="000B4582" w:rsidRPr="008A3E71" w:rsidRDefault="1FF226A3" w:rsidP="00385300">
      <w:pPr>
        <w:pStyle w:val="Heading2"/>
      </w:pPr>
      <w:r w:rsidRPr="008A3E71">
        <w:t>Activities delivered under each End of Program Outcome and summarised in Tables below</w:t>
      </w:r>
    </w:p>
    <w:p w14:paraId="37E2013F" w14:textId="276F2F6B" w:rsidR="000B4582" w:rsidRDefault="17420074" w:rsidP="00385300">
      <w:pPr>
        <w:pStyle w:val="Heading3"/>
        <w:rPr>
          <w:lang w:val="en-GB"/>
        </w:rPr>
      </w:pPr>
      <w:r w:rsidRPr="5AB46587">
        <w:rPr>
          <w:lang w:val="en-GB"/>
        </w:rPr>
        <w:t>End of Program Outcome</w:t>
      </w:r>
      <w:r w:rsidR="6701C27B" w:rsidRPr="5AB46587">
        <w:rPr>
          <w:lang w:val="en-GB"/>
        </w:rPr>
        <w:t xml:space="preserve"> 1</w:t>
      </w:r>
      <w:r w:rsidRPr="5AB46587">
        <w:rPr>
          <w:lang w:val="en-GB"/>
        </w:rPr>
        <w:t xml:space="preserve">: </w:t>
      </w:r>
      <w:r w:rsidR="1FF226A3" w:rsidRPr="5AB46587">
        <w:rPr>
          <w:lang w:val="en-GB"/>
        </w:rPr>
        <w:t>Applied Teaching and Research</w:t>
      </w:r>
    </w:p>
    <w:tbl>
      <w:tblPr>
        <w:tblW w:w="0" w:type="auto"/>
        <w:tblLook w:val="04A0" w:firstRow="1" w:lastRow="0" w:firstColumn="1" w:lastColumn="0" w:noHBand="0" w:noVBand="1"/>
      </w:tblPr>
      <w:tblGrid>
        <w:gridCol w:w="1219"/>
        <w:gridCol w:w="1062"/>
        <w:gridCol w:w="3745"/>
        <w:gridCol w:w="3400"/>
        <w:gridCol w:w="1506"/>
        <w:gridCol w:w="1313"/>
        <w:gridCol w:w="1697"/>
      </w:tblGrid>
      <w:tr w:rsidR="5AB46587" w14:paraId="4A6B34B5" w14:textId="77777777" w:rsidTr="001F290C">
        <w:trPr>
          <w:trHeight w:val="300"/>
          <w:tblHeader/>
        </w:trPr>
        <w:tc>
          <w:tcPr>
            <w:tcW w:w="1219"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04EB9586" w14:textId="0AF3E581"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Output type</w:t>
            </w:r>
          </w:p>
        </w:tc>
        <w:tc>
          <w:tcPr>
            <w:tcW w:w="1062"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26DFD13D" w14:textId="2DFC745C"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Number of outputs</w:t>
            </w:r>
          </w:p>
        </w:tc>
        <w:tc>
          <w:tcPr>
            <w:tcW w:w="3745"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2B4C6C4F" w14:textId="3A583C95"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Key activities</w:t>
            </w:r>
          </w:p>
        </w:tc>
        <w:tc>
          <w:tcPr>
            <w:tcW w:w="3400"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7A40C89E" w14:textId="286C8F48"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Main themes</w:t>
            </w:r>
          </w:p>
        </w:tc>
        <w:tc>
          <w:tcPr>
            <w:tcW w:w="1506"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3DDF62B9" w14:textId="75208393"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DFAT priorities</w:t>
            </w:r>
          </w:p>
        </w:tc>
        <w:tc>
          <w:tcPr>
            <w:tcW w:w="1313"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2A1471FF" w14:textId="239CCCCE"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Gender breakdown</w:t>
            </w:r>
          </w:p>
        </w:tc>
        <w:tc>
          <w:tcPr>
            <w:tcW w:w="1697"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tcMar>
              <w:left w:w="105" w:type="dxa"/>
              <w:right w:w="105" w:type="dxa"/>
            </w:tcMar>
            <w:vAlign w:val="center"/>
          </w:tcPr>
          <w:p w14:paraId="2274CB96" w14:textId="51F23367" w:rsidR="5AB46587" w:rsidRPr="009C4D2C" w:rsidRDefault="5AB46587" w:rsidP="5AB46587">
            <w:pPr>
              <w:spacing w:line="300" w:lineRule="auto"/>
              <w:jc w:val="center"/>
              <w:rPr>
                <w:rFonts w:asciiTheme="minorHAnsi" w:eastAsiaTheme="minorEastAsia" w:hAnsiTheme="minorHAnsi" w:cstheme="minorBidi"/>
                <w:color w:val="1F3864" w:themeColor="accent1" w:themeShade="80"/>
                <w:sz w:val="18"/>
                <w:szCs w:val="18"/>
                <w:lang w:val="en-GB"/>
              </w:rPr>
            </w:pPr>
            <w:r w:rsidRPr="009C4D2C">
              <w:rPr>
                <w:rFonts w:asciiTheme="minorHAnsi" w:eastAsiaTheme="minorEastAsia" w:hAnsiTheme="minorHAnsi" w:cstheme="minorBidi"/>
                <w:b/>
                <w:bCs/>
                <w:color w:val="1F3864" w:themeColor="accent1" w:themeShade="80"/>
                <w:sz w:val="18"/>
                <w:szCs w:val="18"/>
                <w:lang w:val="en-GB"/>
              </w:rPr>
              <w:t>Other demographics</w:t>
            </w:r>
          </w:p>
        </w:tc>
      </w:tr>
      <w:tr w:rsidR="5AB46587" w14:paraId="00974269"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08C8BBAE" w14:textId="4D38B20C"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Conferences</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378EECE" w14:textId="1210F43A"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24</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D0D0CC0" w14:textId="187DDAAF"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14 conference presentations; 3 keynote speaking engagements; 6 Indonesia Update conferences</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89FE4B2" w14:textId="6B4E3164"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Trade and development (6); politics and governance (6); agriculture and environment (6); social policy (7)</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5E4A20E" w14:textId="69D880AC"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Climate change (8); GEDSI (7); disability (1)</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644340D" w14:textId="74F1380E"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81 speakers: 41 male, 40 female</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1BDB490D" w14:textId="3DC7FDBB"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Not recorded</w:t>
            </w:r>
          </w:p>
        </w:tc>
      </w:tr>
      <w:tr w:rsidR="5AB46587" w14:paraId="31C47A18"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0D754EB7" w14:textId="0E9885E4"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Presentations</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B71C06C" w14:textId="0207AEDD"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35</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4ED5E36" w14:textId="4C704C02"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35 presentations and guest lectures</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79B65B2" w14:textId="0A3DED96"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Trade and development (7); politics and governance (1); agriculture and environment (8); social policy (5)</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C42F6CF" w14:textId="09C5424F"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Climate change (9); GEDSI (1); disability (0)</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0937EE34" w14:textId="255D05D1"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Not recorded</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116BDF21" w14:textId="1D2001A6"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Not recorded</w:t>
            </w:r>
          </w:p>
        </w:tc>
      </w:tr>
      <w:tr w:rsidR="5AB46587" w14:paraId="0ED7ED3E"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ECE76DB" w14:textId="30E9F84D"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Seminars and forums</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76458DA9" w14:textId="2FEBC09B"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155</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78FD720" w14:textId="0C0D1CC8"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109 Development Studies Forum sessions; 11 global seminars; 33 Indonesia Study Group sessions; 1 seminar</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3D5A3F7A" w14:textId="040A1F08"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Trade and development (46); politics and governance (42); agriculture and environment (64); social policy (95)</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F516970" w14:textId="1E159F90"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Climate change (55); GEDSI (83); disability (2)</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265D20D" w14:textId="5EE225EE"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411 speakers: 241 male, 171 female</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3DBBC163" w14:textId="17CDBB5A"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Not recorded</w:t>
            </w:r>
          </w:p>
        </w:tc>
      </w:tr>
      <w:tr w:rsidR="5AB46587" w14:paraId="2BAF2E9F"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B1E14AC" w14:textId="389C4416"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Grants and awards</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6AFA9B0" w14:textId="733C15AE"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34</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29513D6" w14:textId="7E9D62BE"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Student Research Grants (10); Ruth Daroesman Grants (8); Collaborative Research Grants (5); Visiting Fellows (5); other awards (8)</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335DC31" w14:textId="571ED9EB"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Trade and development (4); politics and governance (7); agriculture and environment (11); social policy (17)</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F287A5D" w14:textId="1623298D"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Climate change (9); GEDSI (14); disability (4)</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9236D5B" w14:textId="43F5E23A"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Awardees: 16 female, 11 male</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148A11E" w14:textId="7F4863A3"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Country of origin: 12 Australian, 16 Indonesian</w:t>
            </w:r>
          </w:p>
        </w:tc>
      </w:tr>
      <w:tr w:rsidR="5AB46587" w14:paraId="19B95217"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E8BB9F2" w14:textId="32752574"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lastRenderedPageBreak/>
              <w:t>Teaching</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885998A" w14:textId="3E7F9C38"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153</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34A6C9D9" w14:textId="2C49355F"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Semester teaching (13); supervision (140) including PhD (69), Masters (10), Visiting Fellows (5)</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B89988F" w14:textId="0B24A879"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Trade and development (50); politics and governance (17); agriculture and environment (19); social policy (69)</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3608387" w14:textId="28903657"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Climate change (10); GEDSI (51); disability (3)</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1614D977" w14:textId="401A5183"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PhD students: 31 male, 38 female</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792C282D" w14:textId="6E19AE96"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Country of origin: 10 Australian, 45 Indonesian</w:t>
            </w:r>
          </w:p>
        </w:tc>
      </w:tr>
      <w:tr w:rsidR="5AB46587" w14:paraId="635F1E2B"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78864C9A" w14:textId="5C6FF5C4"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Publications</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A15E4B5" w14:textId="4920D9CF"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122</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3DE6320" w14:textId="6DF02CB3"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BIES editions (11); BIES articles (29); books (7); chapters (10); journal articles (74); working papers (2)</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F5B2063" w14:textId="05992336"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Trade and development (73); politics and governance (28); agriculture and environment (34); social policy (63)</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606A93C2" w14:textId="616DF5D4"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Climate change (16); GEDSI (29); disability (0)</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381F0FB" w14:textId="17046208"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Not recorded</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5468836" w14:textId="30856995" w:rsidR="5AB46587" w:rsidRDefault="5AB46587" w:rsidP="5AB46587">
            <w:pPr>
              <w:spacing w:line="300" w:lineRule="auto"/>
              <w:rPr>
                <w:rFonts w:asciiTheme="minorHAnsi" w:eastAsiaTheme="minorEastAsia" w:hAnsiTheme="minorHAnsi" w:cstheme="minorBidi"/>
                <w:color w:val="000000" w:themeColor="text1"/>
                <w:sz w:val="18"/>
                <w:szCs w:val="18"/>
                <w:lang w:val="en-GB"/>
              </w:rPr>
            </w:pPr>
            <w:r w:rsidRPr="5AB46587">
              <w:rPr>
                <w:rFonts w:asciiTheme="minorHAnsi" w:eastAsiaTheme="minorEastAsia" w:hAnsiTheme="minorHAnsi" w:cstheme="minorBidi"/>
                <w:color w:val="000000" w:themeColor="text1"/>
                <w:sz w:val="18"/>
                <w:szCs w:val="18"/>
                <w:lang w:val="en-GB"/>
              </w:rPr>
              <w:t>Not recorded</w:t>
            </w:r>
          </w:p>
        </w:tc>
      </w:tr>
      <w:tr w:rsidR="0077158C" w14:paraId="6AAC23BD" w14:textId="77777777" w:rsidTr="001F290C">
        <w:trPr>
          <w:trHeight w:val="300"/>
        </w:trPr>
        <w:tc>
          <w:tcPr>
            <w:tcW w:w="1219"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0F98B46F" w14:textId="16AC24CD" w:rsidR="0077158C" w:rsidRDefault="0077158C" w:rsidP="0077158C">
            <w:pPr>
              <w:spacing w:line="300" w:lineRule="auto"/>
              <w:rPr>
                <w:rFonts w:asciiTheme="minorHAnsi" w:eastAsiaTheme="minorEastAsia" w:hAnsiTheme="minorHAnsi" w:cstheme="minorBidi"/>
                <w:b/>
                <w:bCs/>
                <w:color w:val="000000" w:themeColor="text1"/>
                <w:sz w:val="18"/>
                <w:szCs w:val="18"/>
                <w:lang w:val="en-GB"/>
              </w:rPr>
            </w:pPr>
            <w:r w:rsidRPr="5AB46587">
              <w:rPr>
                <w:rFonts w:asciiTheme="minorHAnsi" w:eastAsiaTheme="minorEastAsia" w:hAnsiTheme="minorHAnsi" w:cstheme="minorBidi"/>
                <w:b/>
                <w:bCs/>
                <w:color w:val="000000" w:themeColor="text1"/>
                <w:sz w:val="18"/>
                <w:szCs w:val="18"/>
                <w:lang w:val="en-GB"/>
              </w:rPr>
              <w:t>Total Outputs</w:t>
            </w:r>
          </w:p>
        </w:tc>
        <w:tc>
          <w:tcPr>
            <w:tcW w:w="1062"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481DF642" w14:textId="01DA700E" w:rsidR="0077158C" w:rsidRDefault="0077158C" w:rsidP="0077158C">
            <w:pPr>
              <w:spacing w:line="300" w:lineRule="auto"/>
              <w:rPr>
                <w:rFonts w:asciiTheme="minorHAnsi" w:eastAsiaTheme="minorEastAsia" w:hAnsiTheme="minorHAnsi" w:cstheme="minorBidi"/>
                <w:b/>
                <w:bCs/>
                <w:color w:val="000000" w:themeColor="text1"/>
                <w:sz w:val="18"/>
                <w:szCs w:val="18"/>
                <w:lang w:val="en-GB"/>
              </w:rPr>
            </w:pPr>
            <w:r w:rsidRPr="5AB46587">
              <w:rPr>
                <w:rFonts w:asciiTheme="minorHAnsi" w:eastAsiaTheme="minorEastAsia" w:hAnsiTheme="minorHAnsi" w:cstheme="minorBidi"/>
                <w:b/>
                <w:bCs/>
                <w:color w:val="000000" w:themeColor="text1"/>
                <w:sz w:val="18"/>
                <w:szCs w:val="18"/>
                <w:lang w:val="en-GB"/>
              </w:rPr>
              <w:t>523</w:t>
            </w:r>
          </w:p>
        </w:tc>
        <w:tc>
          <w:tcPr>
            <w:tcW w:w="3745"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2A4EBB3D" w14:textId="37E8A8B6" w:rsidR="0077158C" w:rsidRDefault="0077158C" w:rsidP="0077158C">
            <w:pPr>
              <w:spacing w:line="300" w:lineRule="auto"/>
              <w:rPr>
                <w:rFonts w:asciiTheme="minorHAnsi" w:eastAsiaTheme="minorEastAsia" w:hAnsiTheme="minorHAnsi" w:cstheme="minorBidi"/>
                <w:color w:val="000000" w:themeColor="text1"/>
                <w:sz w:val="18"/>
                <w:szCs w:val="18"/>
                <w:lang w:val="en-GB"/>
              </w:rPr>
            </w:pPr>
            <w:r>
              <w:rPr>
                <w:rFonts w:asciiTheme="minorHAnsi" w:eastAsiaTheme="minorEastAsia" w:hAnsiTheme="minorHAnsi" w:cstheme="minorBidi"/>
                <w:sz w:val="18"/>
                <w:szCs w:val="18"/>
              </w:rPr>
              <w:t>Not applicable</w:t>
            </w:r>
          </w:p>
        </w:tc>
        <w:tc>
          <w:tcPr>
            <w:tcW w:w="3400"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775790F" w14:textId="739D2914" w:rsidR="0077158C" w:rsidRDefault="0077158C" w:rsidP="0077158C">
            <w:pPr>
              <w:spacing w:line="300" w:lineRule="auto"/>
              <w:rPr>
                <w:rFonts w:asciiTheme="minorHAnsi" w:eastAsiaTheme="minorEastAsia" w:hAnsiTheme="minorHAnsi" w:cstheme="minorBidi"/>
                <w:color w:val="000000" w:themeColor="text1"/>
                <w:sz w:val="18"/>
                <w:szCs w:val="18"/>
                <w:lang w:val="en-GB"/>
              </w:rPr>
            </w:pPr>
            <w:r>
              <w:rPr>
                <w:rFonts w:asciiTheme="minorHAnsi" w:eastAsiaTheme="minorEastAsia" w:hAnsiTheme="minorHAnsi" w:cstheme="minorBidi"/>
                <w:sz w:val="18"/>
                <w:szCs w:val="18"/>
              </w:rPr>
              <w:t>Not applicable</w:t>
            </w:r>
          </w:p>
        </w:tc>
        <w:tc>
          <w:tcPr>
            <w:tcW w:w="1506"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089B34E1" w14:textId="6F3DD1BC" w:rsidR="0077158C" w:rsidRDefault="0077158C" w:rsidP="0077158C">
            <w:pPr>
              <w:spacing w:line="300" w:lineRule="auto"/>
              <w:rPr>
                <w:rFonts w:asciiTheme="minorHAnsi" w:eastAsiaTheme="minorEastAsia" w:hAnsiTheme="minorHAnsi" w:cstheme="minorBidi"/>
                <w:color w:val="000000" w:themeColor="text1"/>
                <w:sz w:val="18"/>
                <w:szCs w:val="18"/>
                <w:lang w:val="en-GB"/>
              </w:rPr>
            </w:pPr>
            <w:r>
              <w:rPr>
                <w:rFonts w:asciiTheme="minorHAnsi" w:eastAsiaTheme="minorEastAsia" w:hAnsiTheme="minorHAnsi" w:cstheme="minorBidi"/>
                <w:sz w:val="18"/>
                <w:szCs w:val="18"/>
              </w:rPr>
              <w:t>Not applicable</w:t>
            </w:r>
          </w:p>
        </w:tc>
        <w:tc>
          <w:tcPr>
            <w:tcW w:w="1313"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57415E6F" w14:textId="31A401AC" w:rsidR="0077158C" w:rsidRDefault="0077158C" w:rsidP="0077158C">
            <w:pPr>
              <w:spacing w:line="300" w:lineRule="auto"/>
              <w:rPr>
                <w:rFonts w:asciiTheme="minorHAnsi" w:eastAsiaTheme="minorEastAsia" w:hAnsiTheme="minorHAnsi" w:cstheme="minorBidi"/>
                <w:color w:val="000000" w:themeColor="text1"/>
                <w:sz w:val="18"/>
                <w:szCs w:val="18"/>
                <w:lang w:val="en-GB"/>
              </w:rPr>
            </w:pPr>
            <w:r>
              <w:rPr>
                <w:rFonts w:asciiTheme="minorHAnsi" w:eastAsiaTheme="minorEastAsia" w:hAnsiTheme="minorHAnsi" w:cstheme="minorBidi"/>
                <w:sz w:val="18"/>
                <w:szCs w:val="18"/>
              </w:rPr>
              <w:t>Not applicable</w:t>
            </w:r>
          </w:p>
        </w:tc>
        <w:tc>
          <w:tcPr>
            <w:tcW w:w="1697" w:type="dxa"/>
            <w:tcBorders>
              <w:top w:val="single" w:sz="6" w:space="0" w:color="E6E6E6"/>
              <w:left w:val="single" w:sz="6" w:space="0" w:color="E6E6E6"/>
              <w:bottom w:val="single" w:sz="6" w:space="0" w:color="E6E6E6"/>
              <w:right w:val="single" w:sz="6" w:space="0" w:color="E6E6E6"/>
            </w:tcBorders>
            <w:tcMar>
              <w:left w:w="105" w:type="dxa"/>
              <w:right w:w="105" w:type="dxa"/>
            </w:tcMar>
            <w:vAlign w:val="center"/>
          </w:tcPr>
          <w:p w14:paraId="3B4749D2" w14:textId="7BE0FE5E" w:rsidR="0077158C" w:rsidRDefault="0077158C" w:rsidP="0077158C">
            <w:pPr>
              <w:spacing w:line="300" w:lineRule="auto"/>
              <w:rPr>
                <w:rFonts w:asciiTheme="minorHAnsi" w:eastAsiaTheme="minorEastAsia" w:hAnsiTheme="minorHAnsi" w:cstheme="minorBidi"/>
                <w:color w:val="000000" w:themeColor="text1"/>
                <w:sz w:val="18"/>
                <w:szCs w:val="18"/>
                <w:lang w:val="en-GB"/>
              </w:rPr>
            </w:pPr>
            <w:r>
              <w:rPr>
                <w:rFonts w:asciiTheme="minorHAnsi" w:eastAsiaTheme="minorEastAsia" w:hAnsiTheme="minorHAnsi" w:cstheme="minorBidi"/>
                <w:sz w:val="18"/>
                <w:szCs w:val="18"/>
              </w:rPr>
              <w:t>Not applicable</w:t>
            </w:r>
          </w:p>
        </w:tc>
      </w:tr>
    </w:tbl>
    <w:p w14:paraId="49BAD14D" w14:textId="50DE7BCD" w:rsidR="000B4582" w:rsidRDefault="366B5A64" w:rsidP="00385300">
      <w:pPr>
        <w:pStyle w:val="Heading2"/>
        <w:rPr>
          <w:lang w:val="en-GB"/>
        </w:rPr>
      </w:pPr>
      <w:r w:rsidRPr="5AB46587">
        <w:rPr>
          <w:lang w:val="en-GB"/>
        </w:rPr>
        <w:t>End of Program Outcome</w:t>
      </w:r>
      <w:r w:rsidR="24CD3918" w:rsidRPr="5AB46587">
        <w:rPr>
          <w:lang w:val="en-GB"/>
        </w:rPr>
        <w:t xml:space="preserve"> 2</w:t>
      </w:r>
      <w:r w:rsidRPr="5AB46587">
        <w:rPr>
          <w:lang w:val="en-GB"/>
        </w:rPr>
        <w:t>: Capacity Building</w:t>
      </w:r>
    </w:p>
    <w:tbl>
      <w:tblPr>
        <w:tblW w:w="0" w:type="auto"/>
        <w:tblLook w:val="04A0" w:firstRow="1" w:lastRow="0" w:firstColumn="1" w:lastColumn="0" w:noHBand="0" w:noVBand="1"/>
      </w:tblPr>
      <w:tblGrid>
        <w:gridCol w:w="944"/>
        <w:gridCol w:w="1050"/>
        <w:gridCol w:w="3882"/>
        <w:gridCol w:w="3552"/>
        <w:gridCol w:w="1499"/>
        <w:gridCol w:w="1410"/>
        <w:gridCol w:w="1605"/>
      </w:tblGrid>
      <w:tr w:rsidR="5AB46587" w14:paraId="744096E6" w14:textId="77777777" w:rsidTr="001F290C">
        <w:trPr>
          <w:trHeight w:val="300"/>
          <w:tblHeader/>
        </w:trPr>
        <w:tc>
          <w:tcPr>
            <w:tcW w:w="944"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49CC64EF" w14:textId="16FE7DB5"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Output type</w:t>
            </w:r>
          </w:p>
        </w:tc>
        <w:tc>
          <w:tcPr>
            <w:tcW w:w="1050"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5B70D0C4" w14:textId="3DABD4CE"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Number of outputs</w:t>
            </w:r>
          </w:p>
        </w:tc>
        <w:tc>
          <w:tcPr>
            <w:tcW w:w="3882"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00700114" w14:textId="61D80B10"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Key activities</w:t>
            </w:r>
          </w:p>
        </w:tc>
        <w:tc>
          <w:tcPr>
            <w:tcW w:w="3552"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60385F3A" w14:textId="13AD02E6"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Main themes</w:t>
            </w:r>
          </w:p>
        </w:tc>
        <w:tc>
          <w:tcPr>
            <w:tcW w:w="1499"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6B4EBA3A" w14:textId="13527077"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DFAT priorities</w:t>
            </w:r>
          </w:p>
        </w:tc>
        <w:tc>
          <w:tcPr>
            <w:tcW w:w="1410"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107351A2" w14:textId="35587068"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Gender breakdown</w:t>
            </w:r>
          </w:p>
        </w:tc>
        <w:tc>
          <w:tcPr>
            <w:tcW w:w="1605"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2260C744" w14:textId="71D2DF20"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Other demographics</w:t>
            </w:r>
          </w:p>
        </w:tc>
      </w:tr>
      <w:tr w:rsidR="5AB46587" w14:paraId="3BD7D9D9" w14:textId="77777777" w:rsidTr="001F290C">
        <w:trPr>
          <w:trHeight w:val="300"/>
        </w:trPr>
        <w:tc>
          <w:tcPr>
            <w:tcW w:w="944" w:type="dxa"/>
            <w:tcBorders>
              <w:top w:val="single" w:sz="6" w:space="0" w:color="E6E6E6"/>
              <w:left w:val="single" w:sz="6" w:space="0" w:color="E6E6E6"/>
              <w:bottom w:val="single" w:sz="6" w:space="0" w:color="E6E6E6"/>
              <w:right w:val="single" w:sz="6" w:space="0" w:color="E6E6E6"/>
            </w:tcBorders>
            <w:vAlign w:val="center"/>
          </w:tcPr>
          <w:p w14:paraId="5DBB800B" w14:textId="411B557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Training</w:t>
            </w:r>
          </w:p>
        </w:tc>
        <w:tc>
          <w:tcPr>
            <w:tcW w:w="1050" w:type="dxa"/>
            <w:tcBorders>
              <w:top w:val="single" w:sz="6" w:space="0" w:color="E6E6E6"/>
              <w:left w:val="single" w:sz="6" w:space="0" w:color="E6E6E6"/>
              <w:bottom w:val="single" w:sz="6" w:space="0" w:color="E6E6E6"/>
              <w:right w:val="single" w:sz="6" w:space="0" w:color="E6E6E6"/>
            </w:tcBorders>
            <w:vAlign w:val="center"/>
          </w:tcPr>
          <w:p w14:paraId="23BB9A6B" w14:textId="5BBAAB99"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6</w:t>
            </w:r>
          </w:p>
        </w:tc>
        <w:tc>
          <w:tcPr>
            <w:tcW w:w="3882" w:type="dxa"/>
            <w:tcBorders>
              <w:top w:val="single" w:sz="6" w:space="0" w:color="E6E6E6"/>
              <w:left w:val="single" w:sz="6" w:space="0" w:color="E6E6E6"/>
              <w:bottom w:val="single" w:sz="6" w:space="0" w:color="E6E6E6"/>
              <w:right w:val="single" w:sz="6" w:space="0" w:color="E6E6E6"/>
            </w:tcBorders>
            <w:vAlign w:val="center"/>
          </w:tcPr>
          <w:p w14:paraId="2607B645" w14:textId="0683A12B"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Policy bootcamps (4); executive development programs (6)</w:t>
            </w:r>
          </w:p>
        </w:tc>
        <w:tc>
          <w:tcPr>
            <w:tcW w:w="3552" w:type="dxa"/>
            <w:tcBorders>
              <w:top w:val="single" w:sz="6" w:space="0" w:color="E6E6E6"/>
              <w:left w:val="single" w:sz="6" w:space="0" w:color="E6E6E6"/>
              <w:bottom w:val="single" w:sz="6" w:space="0" w:color="E6E6E6"/>
              <w:right w:val="single" w:sz="6" w:space="0" w:color="E6E6E6"/>
            </w:tcBorders>
            <w:vAlign w:val="center"/>
          </w:tcPr>
          <w:p w14:paraId="4B158286" w14:textId="1432BD93"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Agriculture and environment (4); social policy (4)</w:t>
            </w:r>
          </w:p>
        </w:tc>
        <w:tc>
          <w:tcPr>
            <w:tcW w:w="1499" w:type="dxa"/>
            <w:tcBorders>
              <w:top w:val="single" w:sz="6" w:space="0" w:color="E6E6E6"/>
              <w:left w:val="single" w:sz="6" w:space="0" w:color="E6E6E6"/>
              <w:bottom w:val="single" w:sz="6" w:space="0" w:color="E6E6E6"/>
              <w:right w:val="single" w:sz="6" w:space="0" w:color="E6E6E6"/>
            </w:tcBorders>
            <w:vAlign w:val="center"/>
          </w:tcPr>
          <w:p w14:paraId="758E5055" w14:textId="517B498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Climate change (4); GEDSI (4); disability (4)</w:t>
            </w:r>
          </w:p>
        </w:tc>
        <w:tc>
          <w:tcPr>
            <w:tcW w:w="1410" w:type="dxa"/>
            <w:tcBorders>
              <w:top w:val="single" w:sz="6" w:space="0" w:color="E6E6E6"/>
              <w:left w:val="single" w:sz="6" w:space="0" w:color="E6E6E6"/>
              <w:bottom w:val="single" w:sz="6" w:space="0" w:color="E6E6E6"/>
              <w:right w:val="single" w:sz="6" w:space="0" w:color="E6E6E6"/>
            </w:tcBorders>
            <w:vAlign w:val="center"/>
          </w:tcPr>
          <w:p w14:paraId="1F9B0B34" w14:textId="4C3A38E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605" w:type="dxa"/>
            <w:tcBorders>
              <w:top w:val="single" w:sz="6" w:space="0" w:color="E6E6E6"/>
              <w:left w:val="single" w:sz="6" w:space="0" w:color="E6E6E6"/>
              <w:bottom w:val="single" w:sz="6" w:space="0" w:color="E6E6E6"/>
              <w:right w:val="single" w:sz="6" w:space="0" w:color="E6E6E6"/>
            </w:tcBorders>
            <w:vAlign w:val="center"/>
          </w:tcPr>
          <w:p w14:paraId="6BA5087D" w14:textId="52F95BF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r>
      <w:tr w:rsidR="5AB46587" w14:paraId="05C1F6B3" w14:textId="77777777" w:rsidTr="001F290C">
        <w:trPr>
          <w:trHeight w:val="300"/>
        </w:trPr>
        <w:tc>
          <w:tcPr>
            <w:tcW w:w="944" w:type="dxa"/>
            <w:tcBorders>
              <w:top w:val="single" w:sz="6" w:space="0" w:color="E6E6E6"/>
              <w:left w:val="single" w:sz="6" w:space="0" w:color="E6E6E6"/>
              <w:bottom w:val="single" w:sz="6" w:space="0" w:color="E6E6E6"/>
              <w:right w:val="single" w:sz="6" w:space="0" w:color="E6E6E6"/>
            </w:tcBorders>
            <w:vAlign w:val="center"/>
          </w:tcPr>
          <w:p w14:paraId="53B64630" w14:textId="6CAAA54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Teaching</w:t>
            </w:r>
          </w:p>
        </w:tc>
        <w:tc>
          <w:tcPr>
            <w:tcW w:w="1050" w:type="dxa"/>
            <w:tcBorders>
              <w:top w:val="single" w:sz="6" w:space="0" w:color="E6E6E6"/>
              <w:left w:val="single" w:sz="6" w:space="0" w:color="E6E6E6"/>
              <w:bottom w:val="single" w:sz="6" w:space="0" w:color="E6E6E6"/>
              <w:right w:val="single" w:sz="6" w:space="0" w:color="E6E6E6"/>
            </w:tcBorders>
            <w:vAlign w:val="center"/>
          </w:tcPr>
          <w:p w14:paraId="719C37FB" w14:textId="62B4CE57"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153</w:t>
            </w:r>
          </w:p>
        </w:tc>
        <w:tc>
          <w:tcPr>
            <w:tcW w:w="3882" w:type="dxa"/>
            <w:tcBorders>
              <w:top w:val="single" w:sz="6" w:space="0" w:color="E6E6E6"/>
              <w:left w:val="single" w:sz="6" w:space="0" w:color="E6E6E6"/>
              <w:bottom w:val="single" w:sz="6" w:space="0" w:color="E6E6E6"/>
              <w:right w:val="single" w:sz="6" w:space="0" w:color="E6E6E6"/>
            </w:tcBorders>
            <w:vAlign w:val="center"/>
          </w:tcPr>
          <w:p w14:paraId="2079FDA7" w14:textId="5D93D4A6"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 xml:space="preserve">Semester teaching (13); supervision (140) including PhD and </w:t>
            </w:r>
            <w:proofErr w:type="gramStart"/>
            <w:r w:rsidRPr="5AB46587">
              <w:rPr>
                <w:rFonts w:asciiTheme="minorHAnsi" w:eastAsiaTheme="minorEastAsia" w:hAnsiTheme="minorHAnsi" w:cstheme="minorBidi"/>
                <w:sz w:val="18"/>
                <w:szCs w:val="18"/>
              </w:rPr>
              <w:t>Masters</w:t>
            </w:r>
            <w:proofErr w:type="gramEnd"/>
            <w:r w:rsidRPr="5AB46587">
              <w:rPr>
                <w:rFonts w:asciiTheme="minorHAnsi" w:eastAsiaTheme="minorEastAsia" w:hAnsiTheme="minorHAnsi" w:cstheme="minorBidi"/>
                <w:sz w:val="18"/>
                <w:szCs w:val="18"/>
              </w:rPr>
              <w:t xml:space="preserve"> students (69) and Visiting Fellows (5)</w:t>
            </w:r>
          </w:p>
        </w:tc>
        <w:tc>
          <w:tcPr>
            <w:tcW w:w="3552" w:type="dxa"/>
            <w:tcBorders>
              <w:top w:val="single" w:sz="6" w:space="0" w:color="E6E6E6"/>
              <w:left w:val="single" w:sz="6" w:space="0" w:color="E6E6E6"/>
              <w:bottom w:val="single" w:sz="6" w:space="0" w:color="E6E6E6"/>
              <w:right w:val="single" w:sz="6" w:space="0" w:color="E6E6E6"/>
            </w:tcBorders>
            <w:vAlign w:val="center"/>
          </w:tcPr>
          <w:p w14:paraId="56E1E269" w14:textId="34DDCC83"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Trade and development (50); politics and governance (17); agriculture and environment (19); social policy (69)</w:t>
            </w:r>
          </w:p>
        </w:tc>
        <w:tc>
          <w:tcPr>
            <w:tcW w:w="1499" w:type="dxa"/>
            <w:tcBorders>
              <w:top w:val="single" w:sz="6" w:space="0" w:color="E6E6E6"/>
              <w:left w:val="single" w:sz="6" w:space="0" w:color="E6E6E6"/>
              <w:bottom w:val="single" w:sz="6" w:space="0" w:color="E6E6E6"/>
              <w:right w:val="single" w:sz="6" w:space="0" w:color="E6E6E6"/>
            </w:tcBorders>
            <w:vAlign w:val="center"/>
          </w:tcPr>
          <w:p w14:paraId="3897E833" w14:textId="4FA8284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Climate change (10); GEDSI (51); disability (3)</w:t>
            </w:r>
          </w:p>
        </w:tc>
        <w:tc>
          <w:tcPr>
            <w:tcW w:w="1410" w:type="dxa"/>
            <w:tcBorders>
              <w:top w:val="single" w:sz="6" w:space="0" w:color="E6E6E6"/>
              <w:left w:val="single" w:sz="6" w:space="0" w:color="E6E6E6"/>
              <w:bottom w:val="single" w:sz="6" w:space="0" w:color="E6E6E6"/>
              <w:right w:val="single" w:sz="6" w:space="0" w:color="E6E6E6"/>
            </w:tcBorders>
            <w:vAlign w:val="center"/>
          </w:tcPr>
          <w:p w14:paraId="1F5A5E77" w14:textId="7D62BB6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PhD students: 31 male, 38 female</w:t>
            </w:r>
          </w:p>
        </w:tc>
        <w:tc>
          <w:tcPr>
            <w:tcW w:w="1605" w:type="dxa"/>
            <w:tcBorders>
              <w:top w:val="single" w:sz="6" w:space="0" w:color="E6E6E6"/>
              <w:left w:val="single" w:sz="6" w:space="0" w:color="E6E6E6"/>
              <w:bottom w:val="single" w:sz="6" w:space="0" w:color="E6E6E6"/>
              <w:right w:val="single" w:sz="6" w:space="0" w:color="E6E6E6"/>
            </w:tcBorders>
            <w:vAlign w:val="center"/>
          </w:tcPr>
          <w:p w14:paraId="3F62A651" w14:textId="1BBCAE40"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Country of origin: 10 Australian, 45 Indonesian</w:t>
            </w:r>
          </w:p>
        </w:tc>
      </w:tr>
      <w:tr w:rsidR="0077158C" w14:paraId="673C029A" w14:textId="77777777" w:rsidTr="001F290C">
        <w:trPr>
          <w:trHeight w:val="300"/>
        </w:trPr>
        <w:tc>
          <w:tcPr>
            <w:tcW w:w="944" w:type="dxa"/>
            <w:tcBorders>
              <w:top w:val="single" w:sz="6" w:space="0" w:color="E6E6E6"/>
              <w:left w:val="single" w:sz="6" w:space="0" w:color="E6E6E6"/>
              <w:bottom w:val="single" w:sz="6" w:space="0" w:color="E6E6E6"/>
              <w:right w:val="single" w:sz="6" w:space="0" w:color="E6E6E6"/>
            </w:tcBorders>
            <w:vAlign w:val="center"/>
          </w:tcPr>
          <w:p w14:paraId="699AF0B2" w14:textId="7A841D9F" w:rsidR="0077158C" w:rsidRDefault="0077158C" w:rsidP="0077158C">
            <w:pPr>
              <w:spacing w:line="300" w:lineRule="auto"/>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Total Outputs</w:t>
            </w:r>
          </w:p>
        </w:tc>
        <w:tc>
          <w:tcPr>
            <w:tcW w:w="1050" w:type="dxa"/>
            <w:tcBorders>
              <w:top w:val="single" w:sz="6" w:space="0" w:color="E6E6E6"/>
              <w:left w:val="single" w:sz="6" w:space="0" w:color="E6E6E6"/>
              <w:bottom w:val="single" w:sz="6" w:space="0" w:color="E6E6E6"/>
              <w:right w:val="single" w:sz="6" w:space="0" w:color="E6E6E6"/>
            </w:tcBorders>
            <w:vAlign w:val="center"/>
          </w:tcPr>
          <w:p w14:paraId="6422F183" w14:textId="23362A42" w:rsidR="0077158C" w:rsidRDefault="0077158C" w:rsidP="0077158C">
            <w:pPr>
              <w:spacing w:line="300" w:lineRule="auto"/>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159</w:t>
            </w:r>
          </w:p>
        </w:tc>
        <w:tc>
          <w:tcPr>
            <w:tcW w:w="3882" w:type="dxa"/>
            <w:tcBorders>
              <w:top w:val="single" w:sz="6" w:space="0" w:color="E6E6E6"/>
              <w:left w:val="single" w:sz="6" w:space="0" w:color="E6E6E6"/>
              <w:bottom w:val="single" w:sz="6" w:space="0" w:color="E6E6E6"/>
              <w:right w:val="single" w:sz="6" w:space="0" w:color="E6E6E6"/>
            </w:tcBorders>
            <w:vAlign w:val="center"/>
          </w:tcPr>
          <w:p w14:paraId="43F719E0" w14:textId="44E07AFB"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3552" w:type="dxa"/>
            <w:tcBorders>
              <w:top w:val="single" w:sz="6" w:space="0" w:color="E6E6E6"/>
              <w:left w:val="single" w:sz="6" w:space="0" w:color="E6E6E6"/>
              <w:bottom w:val="single" w:sz="6" w:space="0" w:color="E6E6E6"/>
              <w:right w:val="single" w:sz="6" w:space="0" w:color="E6E6E6"/>
            </w:tcBorders>
            <w:vAlign w:val="center"/>
          </w:tcPr>
          <w:p w14:paraId="0AE3659D" w14:textId="72DAD575"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499" w:type="dxa"/>
            <w:tcBorders>
              <w:top w:val="single" w:sz="6" w:space="0" w:color="E6E6E6"/>
              <w:left w:val="single" w:sz="6" w:space="0" w:color="E6E6E6"/>
              <w:bottom w:val="single" w:sz="6" w:space="0" w:color="E6E6E6"/>
              <w:right w:val="single" w:sz="6" w:space="0" w:color="E6E6E6"/>
            </w:tcBorders>
            <w:vAlign w:val="center"/>
          </w:tcPr>
          <w:p w14:paraId="1ACEDA42" w14:textId="503BE762"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410" w:type="dxa"/>
            <w:tcBorders>
              <w:top w:val="single" w:sz="6" w:space="0" w:color="E6E6E6"/>
              <w:left w:val="single" w:sz="6" w:space="0" w:color="E6E6E6"/>
              <w:bottom w:val="single" w:sz="6" w:space="0" w:color="E6E6E6"/>
              <w:right w:val="single" w:sz="6" w:space="0" w:color="E6E6E6"/>
            </w:tcBorders>
            <w:vAlign w:val="center"/>
          </w:tcPr>
          <w:p w14:paraId="58BE1015" w14:textId="25287A70"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605" w:type="dxa"/>
            <w:tcBorders>
              <w:top w:val="single" w:sz="6" w:space="0" w:color="E6E6E6"/>
              <w:left w:val="single" w:sz="6" w:space="0" w:color="E6E6E6"/>
              <w:bottom w:val="single" w:sz="6" w:space="0" w:color="E6E6E6"/>
              <w:right w:val="single" w:sz="6" w:space="0" w:color="E6E6E6"/>
            </w:tcBorders>
            <w:vAlign w:val="center"/>
          </w:tcPr>
          <w:p w14:paraId="290C2D89" w14:textId="1CEDDA61"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r>
    </w:tbl>
    <w:p w14:paraId="051C80FE" w14:textId="0C374104" w:rsidR="000B4582" w:rsidRDefault="13B06419" w:rsidP="00385300">
      <w:pPr>
        <w:pStyle w:val="Heading2"/>
        <w:rPr>
          <w:lang w:val="en-GB"/>
        </w:rPr>
      </w:pPr>
      <w:r w:rsidRPr="5AB46587">
        <w:rPr>
          <w:lang w:val="en-GB"/>
        </w:rPr>
        <w:t>End of Program Outcome</w:t>
      </w:r>
      <w:r w:rsidR="6C3314ED" w:rsidRPr="5AB46587">
        <w:rPr>
          <w:lang w:val="en-GB"/>
        </w:rPr>
        <w:t xml:space="preserve"> 3</w:t>
      </w:r>
      <w:r w:rsidRPr="5AB46587">
        <w:rPr>
          <w:lang w:val="en-GB"/>
        </w:rPr>
        <w:t>: Communication, outreach and networks</w:t>
      </w:r>
    </w:p>
    <w:tbl>
      <w:tblPr>
        <w:tblW w:w="0" w:type="auto"/>
        <w:tblLook w:val="04A0" w:firstRow="1" w:lastRow="0" w:firstColumn="1" w:lastColumn="0" w:noHBand="0" w:noVBand="1"/>
      </w:tblPr>
      <w:tblGrid>
        <w:gridCol w:w="1133"/>
        <w:gridCol w:w="1015"/>
        <w:gridCol w:w="3848"/>
        <w:gridCol w:w="3447"/>
        <w:gridCol w:w="1544"/>
        <w:gridCol w:w="1402"/>
        <w:gridCol w:w="1553"/>
      </w:tblGrid>
      <w:tr w:rsidR="5AB46587" w14:paraId="4105CC67" w14:textId="77777777" w:rsidTr="001F290C">
        <w:trPr>
          <w:trHeight w:val="300"/>
          <w:tblHeader/>
        </w:trPr>
        <w:tc>
          <w:tcPr>
            <w:tcW w:w="1133"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01482F77" w14:textId="750BC188"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Output type</w:t>
            </w:r>
          </w:p>
        </w:tc>
        <w:tc>
          <w:tcPr>
            <w:tcW w:w="1015"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3E39F806" w14:textId="2ACCA6B1"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Number of outputs</w:t>
            </w:r>
          </w:p>
        </w:tc>
        <w:tc>
          <w:tcPr>
            <w:tcW w:w="3848"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69C37A04" w14:textId="526E53C4"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Key activities</w:t>
            </w:r>
          </w:p>
        </w:tc>
        <w:tc>
          <w:tcPr>
            <w:tcW w:w="3447"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531FCE31" w14:textId="33F11321"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Main themes</w:t>
            </w:r>
          </w:p>
        </w:tc>
        <w:tc>
          <w:tcPr>
            <w:tcW w:w="1544"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544C8D50" w14:textId="7F9DFC56"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DFAT priorities</w:t>
            </w:r>
          </w:p>
        </w:tc>
        <w:tc>
          <w:tcPr>
            <w:tcW w:w="1402"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5CC8A59A" w14:textId="4C0019DD"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Gender breakdown</w:t>
            </w:r>
          </w:p>
        </w:tc>
        <w:tc>
          <w:tcPr>
            <w:tcW w:w="1553"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20352801" w14:textId="6051FC3D"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Other demographics</w:t>
            </w:r>
          </w:p>
        </w:tc>
      </w:tr>
      <w:tr w:rsidR="5AB46587" w14:paraId="6FCCFAE0" w14:textId="77777777" w:rsidTr="001F290C">
        <w:trPr>
          <w:trHeight w:val="300"/>
        </w:trPr>
        <w:tc>
          <w:tcPr>
            <w:tcW w:w="1133" w:type="dxa"/>
            <w:tcBorders>
              <w:top w:val="single" w:sz="6" w:space="0" w:color="E6E6E6"/>
              <w:left w:val="single" w:sz="6" w:space="0" w:color="E6E6E6"/>
              <w:bottom w:val="single" w:sz="6" w:space="0" w:color="E6E6E6"/>
              <w:right w:val="single" w:sz="6" w:space="0" w:color="E6E6E6"/>
            </w:tcBorders>
            <w:vAlign w:val="center"/>
          </w:tcPr>
          <w:p w14:paraId="6487E801" w14:textId="72144952"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Engagement</w:t>
            </w:r>
          </w:p>
        </w:tc>
        <w:tc>
          <w:tcPr>
            <w:tcW w:w="1015" w:type="dxa"/>
            <w:tcBorders>
              <w:top w:val="single" w:sz="6" w:space="0" w:color="E6E6E6"/>
              <w:left w:val="single" w:sz="6" w:space="0" w:color="E6E6E6"/>
              <w:bottom w:val="single" w:sz="6" w:space="0" w:color="E6E6E6"/>
              <w:right w:val="single" w:sz="6" w:space="0" w:color="E6E6E6"/>
            </w:tcBorders>
            <w:vAlign w:val="center"/>
          </w:tcPr>
          <w:p w14:paraId="4E9917E8" w14:textId="0F473A94"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6</w:t>
            </w:r>
          </w:p>
        </w:tc>
        <w:tc>
          <w:tcPr>
            <w:tcW w:w="3848" w:type="dxa"/>
            <w:tcBorders>
              <w:top w:val="single" w:sz="6" w:space="0" w:color="E6E6E6"/>
              <w:left w:val="single" w:sz="6" w:space="0" w:color="E6E6E6"/>
              <w:bottom w:val="single" w:sz="6" w:space="0" w:color="E6E6E6"/>
              <w:right w:val="single" w:sz="6" w:space="0" w:color="E6E6E6"/>
            </w:tcBorders>
            <w:vAlign w:val="center"/>
          </w:tcPr>
          <w:p w14:paraId="46B75BCF" w14:textId="4A127A3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Student engagement (5); alumni engagement (1)</w:t>
            </w:r>
          </w:p>
        </w:tc>
        <w:tc>
          <w:tcPr>
            <w:tcW w:w="3447" w:type="dxa"/>
            <w:tcBorders>
              <w:top w:val="single" w:sz="6" w:space="0" w:color="E6E6E6"/>
              <w:left w:val="single" w:sz="6" w:space="0" w:color="E6E6E6"/>
              <w:bottom w:val="single" w:sz="6" w:space="0" w:color="E6E6E6"/>
              <w:right w:val="single" w:sz="6" w:space="0" w:color="E6E6E6"/>
            </w:tcBorders>
            <w:vAlign w:val="center"/>
          </w:tcPr>
          <w:p w14:paraId="5D7EB6E1" w14:textId="0B531D1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544" w:type="dxa"/>
            <w:tcBorders>
              <w:top w:val="single" w:sz="6" w:space="0" w:color="E6E6E6"/>
              <w:left w:val="single" w:sz="6" w:space="0" w:color="E6E6E6"/>
              <w:bottom w:val="single" w:sz="6" w:space="0" w:color="E6E6E6"/>
              <w:right w:val="single" w:sz="6" w:space="0" w:color="E6E6E6"/>
            </w:tcBorders>
            <w:vAlign w:val="center"/>
          </w:tcPr>
          <w:p w14:paraId="4F74DA52" w14:textId="043924C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402" w:type="dxa"/>
            <w:tcBorders>
              <w:top w:val="single" w:sz="6" w:space="0" w:color="E6E6E6"/>
              <w:left w:val="single" w:sz="6" w:space="0" w:color="E6E6E6"/>
              <w:bottom w:val="single" w:sz="6" w:space="0" w:color="E6E6E6"/>
              <w:right w:val="single" w:sz="6" w:space="0" w:color="E6E6E6"/>
            </w:tcBorders>
            <w:vAlign w:val="center"/>
          </w:tcPr>
          <w:p w14:paraId="71B7D539" w14:textId="77FF933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553" w:type="dxa"/>
            <w:tcBorders>
              <w:top w:val="single" w:sz="6" w:space="0" w:color="E6E6E6"/>
              <w:left w:val="single" w:sz="6" w:space="0" w:color="E6E6E6"/>
              <w:bottom w:val="single" w:sz="6" w:space="0" w:color="E6E6E6"/>
              <w:right w:val="single" w:sz="6" w:space="0" w:color="E6E6E6"/>
            </w:tcBorders>
            <w:vAlign w:val="center"/>
          </w:tcPr>
          <w:p w14:paraId="7B8294B8" w14:textId="2FFCAA2A"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r>
      <w:tr w:rsidR="5AB46587" w14:paraId="556FB732" w14:textId="77777777" w:rsidTr="001F290C">
        <w:trPr>
          <w:trHeight w:val="300"/>
        </w:trPr>
        <w:tc>
          <w:tcPr>
            <w:tcW w:w="1133" w:type="dxa"/>
            <w:tcBorders>
              <w:top w:val="single" w:sz="6" w:space="0" w:color="E6E6E6"/>
              <w:left w:val="single" w:sz="6" w:space="0" w:color="E6E6E6"/>
              <w:bottom w:val="single" w:sz="6" w:space="0" w:color="E6E6E6"/>
              <w:right w:val="single" w:sz="6" w:space="0" w:color="E6E6E6"/>
            </w:tcBorders>
            <w:vAlign w:val="center"/>
          </w:tcPr>
          <w:p w14:paraId="4B7383A6" w14:textId="18336BD3"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Media</w:t>
            </w:r>
          </w:p>
        </w:tc>
        <w:tc>
          <w:tcPr>
            <w:tcW w:w="1015" w:type="dxa"/>
            <w:tcBorders>
              <w:top w:val="single" w:sz="6" w:space="0" w:color="E6E6E6"/>
              <w:left w:val="single" w:sz="6" w:space="0" w:color="E6E6E6"/>
              <w:bottom w:val="single" w:sz="6" w:space="0" w:color="E6E6E6"/>
              <w:right w:val="single" w:sz="6" w:space="0" w:color="E6E6E6"/>
            </w:tcBorders>
            <w:vAlign w:val="center"/>
          </w:tcPr>
          <w:p w14:paraId="1B0DA73E" w14:textId="6F12B63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77</w:t>
            </w:r>
          </w:p>
        </w:tc>
        <w:tc>
          <w:tcPr>
            <w:tcW w:w="3848" w:type="dxa"/>
            <w:tcBorders>
              <w:top w:val="single" w:sz="6" w:space="0" w:color="E6E6E6"/>
              <w:left w:val="single" w:sz="6" w:space="0" w:color="E6E6E6"/>
              <w:bottom w:val="single" w:sz="6" w:space="0" w:color="E6E6E6"/>
              <w:right w:val="single" w:sz="6" w:space="0" w:color="E6E6E6"/>
            </w:tcBorders>
            <w:vAlign w:val="center"/>
          </w:tcPr>
          <w:p w14:paraId="765C9158" w14:textId="4C413D70"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Mentions (47); interviews (4); op‑eds (17); reporting (7)</w:t>
            </w:r>
          </w:p>
        </w:tc>
        <w:tc>
          <w:tcPr>
            <w:tcW w:w="3447" w:type="dxa"/>
            <w:tcBorders>
              <w:top w:val="single" w:sz="6" w:space="0" w:color="E6E6E6"/>
              <w:left w:val="single" w:sz="6" w:space="0" w:color="E6E6E6"/>
              <w:bottom w:val="single" w:sz="6" w:space="0" w:color="E6E6E6"/>
              <w:right w:val="single" w:sz="6" w:space="0" w:color="E6E6E6"/>
            </w:tcBorders>
            <w:vAlign w:val="center"/>
          </w:tcPr>
          <w:p w14:paraId="5AA15611" w14:textId="14713F0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544" w:type="dxa"/>
            <w:tcBorders>
              <w:top w:val="single" w:sz="6" w:space="0" w:color="E6E6E6"/>
              <w:left w:val="single" w:sz="6" w:space="0" w:color="E6E6E6"/>
              <w:bottom w:val="single" w:sz="6" w:space="0" w:color="E6E6E6"/>
              <w:right w:val="single" w:sz="6" w:space="0" w:color="E6E6E6"/>
            </w:tcBorders>
            <w:vAlign w:val="center"/>
          </w:tcPr>
          <w:p w14:paraId="7577027E" w14:textId="62CDCB8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402" w:type="dxa"/>
            <w:tcBorders>
              <w:top w:val="single" w:sz="6" w:space="0" w:color="E6E6E6"/>
              <w:left w:val="single" w:sz="6" w:space="0" w:color="E6E6E6"/>
              <w:bottom w:val="single" w:sz="6" w:space="0" w:color="E6E6E6"/>
              <w:right w:val="single" w:sz="6" w:space="0" w:color="E6E6E6"/>
            </w:tcBorders>
            <w:vAlign w:val="center"/>
          </w:tcPr>
          <w:p w14:paraId="73F212EF" w14:textId="7EE9CCB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c>
          <w:tcPr>
            <w:tcW w:w="1553" w:type="dxa"/>
            <w:tcBorders>
              <w:top w:val="single" w:sz="6" w:space="0" w:color="E6E6E6"/>
              <w:left w:val="single" w:sz="6" w:space="0" w:color="E6E6E6"/>
              <w:bottom w:val="single" w:sz="6" w:space="0" w:color="E6E6E6"/>
              <w:right w:val="single" w:sz="6" w:space="0" w:color="E6E6E6"/>
            </w:tcBorders>
            <w:vAlign w:val="center"/>
          </w:tcPr>
          <w:p w14:paraId="0A58CCAD" w14:textId="77D56B02"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r>
      <w:tr w:rsidR="0077158C" w14:paraId="359CDC34" w14:textId="77777777" w:rsidTr="001F290C">
        <w:trPr>
          <w:trHeight w:val="300"/>
        </w:trPr>
        <w:tc>
          <w:tcPr>
            <w:tcW w:w="1133" w:type="dxa"/>
            <w:tcBorders>
              <w:top w:val="single" w:sz="6" w:space="0" w:color="E6E6E6"/>
              <w:left w:val="single" w:sz="6" w:space="0" w:color="E6E6E6"/>
              <w:bottom w:val="single" w:sz="6" w:space="0" w:color="E6E6E6"/>
              <w:right w:val="single" w:sz="6" w:space="0" w:color="E6E6E6"/>
            </w:tcBorders>
            <w:vAlign w:val="center"/>
          </w:tcPr>
          <w:p w14:paraId="4AEF810F" w14:textId="6ABCC0E8" w:rsidR="0077158C" w:rsidRDefault="0077158C" w:rsidP="0077158C">
            <w:pPr>
              <w:spacing w:line="300" w:lineRule="auto"/>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Total Outputs</w:t>
            </w:r>
          </w:p>
        </w:tc>
        <w:tc>
          <w:tcPr>
            <w:tcW w:w="1015" w:type="dxa"/>
            <w:tcBorders>
              <w:top w:val="single" w:sz="6" w:space="0" w:color="E6E6E6"/>
              <w:left w:val="single" w:sz="6" w:space="0" w:color="E6E6E6"/>
              <w:bottom w:val="single" w:sz="6" w:space="0" w:color="E6E6E6"/>
              <w:right w:val="single" w:sz="6" w:space="0" w:color="E6E6E6"/>
            </w:tcBorders>
            <w:vAlign w:val="center"/>
          </w:tcPr>
          <w:p w14:paraId="067F85C7" w14:textId="400BC84F" w:rsidR="0077158C" w:rsidRDefault="0077158C" w:rsidP="0077158C">
            <w:pPr>
              <w:spacing w:line="300" w:lineRule="auto"/>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262</w:t>
            </w:r>
          </w:p>
        </w:tc>
        <w:tc>
          <w:tcPr>
            <w:tcW w:w="3848" w:type="dxa"/>
            <w:tcBorders>
              <w:top w:val="single" w:sz="6" w:space="0" w:color="E6E6E6"/>
              <w:left w:val="single" w:sz="6" w:space="0" w:color="E6E6E6"/>
              <w:bottom w:val="single" w:sz="6" w:space="0" w:color="E6E6E6"/>
              <w:right w:val="single" w:sz="6" w:space="0" w:color="E6E6E6"/>
            </w:tcBorders>
            <w:vAlign w:val="center"/>
          </w:tcPr>
          <w:p w14:paraId="1884F3B3" w14:textId="5CA2886C"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3447" w:type="dxa"/>
            <w:tcBorders>
              <w:top w:val="single" w:sz="6" w:space="0" w:color="E6E6E6"/>
              <w:left w:val="single" w:sz="6" w:space="0" w:color="E6E6E6"/>
              <w:bottom w:val="single" w:sz="6" w:space="0" w:color="E6E6E6"/>
              <w:right w:val="single" w:sz="6" w:space="0" w:color="E6E6E6"/>
            </w:tcBorders>
            <w:vAlign w:val="center"/>
          </w:tcPr>
          <w:p w14:paraId="384716D4" w14:textId="625873FE"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544" w:type="dxa"/>
            <w:tcBorders>
              <w:top w:val="single" w:sz="6" w:space="0" w:color="E6E6E6"/>
              <w:left w:val="single" w:sz="6" w:space="0" w:color="E6E6E6"/>
              <w:bottom w:val="single" w:sz="6" w:space="0" w:color="E6E6E6"/>
              <w:right w:val="single" w:sz="6" w:space="0" w:color="E6E6E6"/>
            </w:tcBorders>
            <w:vAlign w:val="center"/>
          </w:tcPr>
          <w:p w14:paraId="259B9DCB" w14:textId="7666D287"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402" w:type="dxa"/>
            <w:tcBorders>
              <w:top w:val="single" w:sz="6" w:space="0" w:color="E6E6E6"/>
              <w:left w:val="single" w:sz="6" w:space="0" w:color="E6E6E6"/>
              <w:bottom w:val="single" w:sz="6" w:space="0" w:color="E6E6E6"/>
              <w:right w:val="single" w:sz="6" w:space="0" w:color="E6E6E6"/>
            </w:tcBorders>
            <w:vAlign w:val="center"/>
          </w:tcPr>
          <w:p w14:paraId="1F7005A4" w14:textId="61A77D87"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553" w:type="dxa"/>
            <w:tcBorders>
              <w:top w:val="single" w:sz="6" w:space="0" w:color="E6E6E6"/>
              <w:left w:val="single" w:sz="6" w:space="0" w:color="E6E6E6"/>
              <w:bottom w:val="single" w:sz="6" w:space="0" w:color="E6E6E6"/>
              <w:right w:val="single" w:sz="6" w:space="0" w:color="E6E6E6"/>
            </w:tcBorders>
            <w:vAlign w:val="center"/>
          </w:tcPr>
          <w:p w14:paraId="7F0559CF" w14:textId="718780E0"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r>
    </w:tbl>
    <w:p w14:paraId="2C731604" w14:textId="06B9389F" w:rsidR="000B4582" w:rsidRPr="001F290C" w:rsidRDefault="037A6580" w:rsidP="00385300">
      <w:pPr>
        <w:pStyle w:val="Heading2"/>
        <w:rPr>
          <w:lang w:val="en-GB"/>
        </w:rPr>
      </w:pPr>
      <w:r w:rsidRPr="001F290C">
        <w:rPr>
          <w:lang w:val="en-GB"/>
        </w:rPr>
        <w:lastRenderedPageBreak/>
        <w:t>End of Program Outcome</w:t>
      </w:r>
      <w:r w:rsidR="6B5AB66F" w:rsidRPr="001F290C">
        <w:rPr>
          <w:lang w:val="en-GB"/>
        </w:rPr>
        <w:t xml:space="preserve"> 4</w:t>
      </w:r>
      <w:r w:rsidRPr="001F290C">
        <w:rPr>
          <w:lang w:val="en-GB"/>
        </w:rPr>
        <w:t>: Equity and inclusion</w:t>
      </w:r>
    </w:p>
    <w:tbl>
      <w:tblPr>
        <w:tblW w:w="0" w:type="auto"/>
        <w:tblLook w:val="04A0" w:firstRow="1" w:lastRow="0" w:firstColumn="1" w:lastColumn="0" w:noHBand="0" w:noVBand="1"/>
      </w:tblPr>
      <w:tblGrid>
        <w:gridCol w:w="1059"/>
        <w:gridCol w:w="1005"/>
        <w:gridCol w:w="3602"/>
        <w:gridCol w:w="3680"/>
        <w:gridCol w:w="1593"/>
        <w:gridCol w:w="1709"/>
        <w:gridCol w:w="1294"/>
      </w:tblGrid>
      <w:tr w:rsidR="5AB46587" w14:paraId="4DEF78AC" w14:textId="77777777" w:rsidTr="008274E7">
        <w:trPr>
          <w:trHeight w:val="300"/>
          <w:tblHeader/>
        </w:trPr>
        <w:tc>
          <w:tcPr>
            <w:tcW w:w="1059"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12EBFB16" w14:textId="56D0E1B0"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Output type</w:t>
            </w:r>
          </w:p>
        </w:tc>
        <w:tc>
          <w:tcPr>
            <w:tcW w:w="1005"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3323A496" w14:textId="4CB45CE5"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Number of outputs</w:t>
            </w:r>
          </w:p>
        </w:tc>
        <w:tc>
          <w:tcPr>
            <w:tcW w:w="3602"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3F3B657D" w14:textId="3FCF969B"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Key activities and events</w:t>
            </w:r>
          </w:p>
        </w:tc>
        <w:tc>
          <w:tcPr>
            <w:tcW w:w="3680"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151394E7" w14:textId="16265BE8"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Main themes</w:t>
            </w:r>
          </w:p>
        </w:tc>
        <w:tc>
          <w:tcPr>
            <w:tcW w:w="1593"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371C6C91" w14:textId="4EE4553C"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DFAT priorities</w:t>
            </w:r>
          </w:p>
        </w:tc>
        <w:tc>
          <w:tcPr>
            <w:tcW w:w="1709"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0D3D449E" w14:textId="3C59AB5F"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Gender breakdown</w:t>
            </w:r>
          </w:p>
        </w:tc>
        <w:tc>
          <w:tcPr>
            <w:tcW w:w="1294" w:type="dxa"/>
            <w:tcBorders>
              <w:top w:val="single" w:sz="6" w:space="0" w:color="E6E6E6"/>
              <w:left w:val="single" w:sz="6" w:space="0" w:color="E6E6E6"/>
              <w:bottom w:val="single" w:sz="6" w:space="0" w:color="E6E6E6"/>
              <w:right w:val="single" w:sz="6" w:space="0" w:color="E6E6E6"/>
            </w:tcBorders>
            <w:shd w:val="clear" w:color="auto" w:fill="B4C6E7" w:themeFill="accent1" w:themeFillTint="66"/>
            <w:vAlign w:val="center"/>
          </w:tcPr>
          <w:p w14:paraId="0D1ECD8C" w14:textId="021808B6" w:rsidR="5AB46587" w:rsidRPr="009C4D2C" w:rsidRDefault="5AB46587" w:rsidP="5AB46587">
            <w:pPr>
              <w:spacing w:line="300" w:lineRule="auto"/>
              <w:jc w:val="center"/>
              <w:rPr>
                <w:rFonts w:asciiTheme="minorHAnsi" w:eastAsiaTheme="minorEastAsia" w:hAnsiTheme="minorHAnsi" w:cstheme="minorBidi"/>
                <w:b/>
                <w:bCs/>
                <w:color w:val="1F3864" w:themeColor="accent1" w:themeShade="80"/>
                <w:sz w:val="18"/>
                <w:szCs w:val="18"/>
              </w:rPr>
            </w:pPr>
            <w:r w:rsidRPr="009C4D2C">
              <w:rPr>
                <w:rFonts w:asciiTheme="minorHAnsi" w:eastAsiaTheme="minorEastAsia" w:hAnsiTheme="minorHAnsi" w:cstheme="minorBidi"/>
                <w:b/>
                <w:bCs/>
                <w:color w:val="1F3864" w:themeColor="accent1" w:themeShade="80"/>
                <w:sz w:val="18"/>
                <w:szCs w:val="18"/>
              </w:rPr>
              <w:t>Other demographics</w:t>
            </w:r>
          </w:p>
        </w:tc>
      </w:tr>
      <w:tr w:rsidR="5AB46587" w14:paraId="455BAFA0" w14:textId="77777777" w:rsidTr="008274E7">
        <w:trPr>
          <w:trHeight w:val="300"/>
        </w:trPr>
        <w:tc>
          <w:tcPr>
            <w:tcW w:w="1059" w:type="dxa"/>
            <w:tcBorders>
              <w:top w:val="single" w:sz="6" w:space="0" w:color="E6E6E6"/>
              <w:left w:val="single" w:sz="6" w:space="0" w:color="E6E6E6"/>
              <w:bottom w:val="single" w:sz="6" w:space="0" w:color="E6E6E6"/>
              <w:right w:val="single" w:sz="6" w:space="0" w:color="E6E6E6"/>
            </w:tcBorders>
            <w:vAlign w:val="center"/>
          </w:tcPr>
          <w:p w14:paraId="21AE1A6F" w14:textId="3EF4F45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GEDSI lectures</w:t>
            </w:r>
          </w:p>
        </w:tc>
        <w:tc>
          <w:tcPr>
            <w:tcW w:w="1005" w:type="dxa"/>
            <w:tcBorders>
              <w:top w:val="single" w:sz="6" w:space="0" w:color="E6E6E6"/>
              <w:left w:val="single" w:sz="6" w:space="0" w:color="E6E6E6"/>
              <w:bottom w:val="single" w:sz="6" w:space="0" w:color="E6E6E6"/>
              <w:right w:val="single" w:sz="6" w:space="0" w:color="E6E6E6"/>
            </w:tcBorders>
            <w:vAlign w:val="center"/>
          </w:tcPr>
          <w:p w14:paraId="6AAEE622" w14:textId="7AA9C742"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8</w:t>
            </w:r>
          </w:p>
        </w:tc>
        <w:tc>
          <w:tcPr>
            <w:tcW w:w="3602" w:type="dxa"/>
            <w:tcBorders>
              <w:top w:val="single" w:sz="6" w:space="0" w:color="E6E6E6"/>
              <w:left w:val="single" w:sz="6" w:space="0" w:color="E6E6E6"/>
              <w:bottom w:val="single" w:sz="6" w:space="0" w:color="E6E6E6"/>
              <w:right w:val="single" w:sz="6" w:space="0" w:color="E6E6E6"/>
            </w:tcBorders>
            <w:vAlign w:val="center"/>
          </w:tcPr>
          <w:p w14:paraId="23C74CC3" w14:textId="0A690037"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 xml:space="preserve">Sadil Lectures (4); </w:t>
            </w:r>
            <w:proofErr w:type="spellStart"/>
            <w:r w:rsidRPr="5AB46587">
              <w:rPr>
                <w:rFonts w:asciiTheme="minorHAnsi" w:eastAsiaTheme="minorEastAsia" w:hAnsiTheme="minorHAnsi" w:cstheme="minorBidi"/>
                <w:sz w:val="18"/>
                <w:szCs w:val="18"/>
              </w:rPr>
              <w:t>Mubyarto</w:t>
            </w:r>
            <w:proofErr w:type="spellEnd"/>
            <w:r w:rsidRPr="5AB46587">
              <w:rPr>
                <w:rFonts w:asciiTheme="minorHAnsi" w:eastAsiaTheme="minorEastAsia" w:hAnsiTheme="minorHAnsi" w:cstheme="minorBidi"/>
                <w:sz w:val="18"/>
                <w:szCs w:val="18"/>
              </w:rPr>
              <w:t xml:space="preserve"> Forums (4)</w:t>
            </w:r>
          </w:p>
        </w:tc>
        <w:tc>
          <w:tcPr>
            <w:tcW w:w="3680" w:type="dxa"/>
            <w:tcBorders>
              <w:top w:val="single" w:sz="6" w:space="0" w:color="E6E6E6"/>
              <w:left w:val="single" w:sz="6" w:space="0" w:color="E6E6E6"/>
              <w:bottom w:val="single" w:sz="6" w:space="0" w:color="E6E6E6"/>
              <w:right w:val="single" w:sz="6" w:space="0" w:color="E6E6E6"/>
            </w:tcBorders>
            <w:vAlign w:val="center"/>
          </w:tcPr>
          <w:p w14:paraId="4EC307FD" w14:textId="0693FD9E"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Trade and development (3); politics and governance (5); agriculture and environment (2); social policy (8)</w:t>
            </w:r>
          </w:p>
        </w:tc>
        <w:tc>
          <w:tcPr>
            <w:tcW w:w="1593" w:type="dxa"/>
            <w:tcBorders>
              <w:top w:val="single" w:sz="6" w:space="0" w:color="E6E6E6"/>
              <w:left w:val="single" w:sz="6" w:space="0" w:color="E6E6E6"/>
              <w:bottom w:val="single" w:sz="6" w:space="0" w:color="E6E6E6"/>
              <w:right w:val="single" w:sz="6" w:space="0" w:color="E6E6E6"/>
            </w:tcBorders>
            <w:vAlign w:val="center"/>
          </w:tcPr>
          <w:p w14:paraId="3BF82362" w14:textId="4EC2B21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Climate change (2); GEDSI (6); disability (0)</w:t>
            </w:r>
          </w:p>
        </w:tc>
        <w:tc>
          <w:tcPr>
            <w:tcW w:w="1709" w:type="dxa"/>
            <w:tcBorders>
              <w:top w:val="single" w:sz="6" w:space="0" w:color="E6E6E6"/>
              <w:left w:val="single" w:sz="6" w:space="0" w:color="E6E6E6"/>
              <w:bottom w:val="single" w:sz="6" w:space="0" w:color="E6E6E6"/>
              <w:right w:val="single" w:sz="6" w:space="0" w:color="E6E6E6"/>
            </w:tcBorders>
            <w:vAlign w:val="center"/>
          </w:tcPr>
          <w:p w14:paraId="7F4A7769" w14:textId="15098B40"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Speakers: 30 total (18 male, 12 female)</w:t>
            </w:r>
          </w:p>
        </w:tc>
        <w:tc>
          <w:tcPr>
            <w:tcW w:w="1294" w:type="dxa"/>
            <w:tcBorders>
              <w:top w:val="single" w:sz="6" w:space="0" w:color="E6E6E6"/>
              <w:left w:val="single" w:sz="6" w:space="0" w:color="E6E6E6"/>
              <w:bottom w:val="single" w:sz="6" w:space="0" w:color="E6E6E6"/>
              <w:right w:val="single" w:sz="6" w:space="0" w:color="E6E6E6"/>
            </w:tcBorders>
            <w:vAlign w:val="center"/>
          </w:tcPr>
          <w:p w14:paraId="1D3A44AF" w14:textId="487A44D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r>
      <w:tr w:rsidR="5AB46587" w14:paraId="5EFD0B13" w14:textId="77777777" w:rsidTr="008274E7">
        <w:trPr>
          <w:trHeight w:val="300"/>
        </w:trPr>
        <w:tc>
          <w:tcPr>
            <w:tcW w:w="1059" w:type="dxa"/>
            <w:tcBorders>
              <w:top w:val="single" w:sz="6" w:space="0" w:color="E6E6E6"/>
              <w:left w:val="single" w:sz="6" w:space="0" w:color="E6E6E6"/>
              <w:bottom w:val="single" w:sz="6" w:space="0" w:color="E6E6E6"/>
              <w:right w:val="single" w:sz="6" w:space="0" w:color="E6E6E6"/>
            </w:tcBorders>
            <w:vAlign w:val="center"/>
          </w:tcPr>
          <w:p w14:paraId="120A6A03" w14:textId="3C0B00E5"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GEDSI lecture attendance</w:t>
            </w:r>
          </w:p>
        </w:tc>
        <w:tc>
          <w:tcPr>
            <w:tcW w:w="1005" w:type="dxa"/>
            <w:tcBorders>
              <w:top w:val="single" w:sz="6" w:space="0" w:color="E6E6E6"/>
              <w:left w:val="single" w:sz="6" w:space="0" w:color="E6E6E6"/>
              <w:bottom w:val="single" w:sz="6" w:space="0" w:color="E6E6E6"/>
              <w:right w:val="single" w:sz="6" w:space="0" w:color="E6E6E6"/>
            </w:tcBorders>
            <w:vAlign w:val="center"/>
          </w:tcPr>
          <w:p w14:paraId="1F40E370" w14:textId="0BB1FF79"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n/a</w:t>
            </w:r>
          </w:p>
        </w:tc>
        <w:tc>
          <w:tcPr>
            <w:tcW w:w="3602" w:type="dxa"/>
            <w:tcBorders>
              <w:top w:val="single" w:sz="6" w:space="0" w:color="E6E6E6"/>
              <w:left w:val="single" w:sz="6" w:space="0" w:color="E6E6E6"/>
              <w:bottom w:val="single" w:sz="6" w:space="0" w:color="E6E6E6"/>
              <w:right w:val="single" w:sz="6" w:space="0" w:color="E6E6E6"/>
            </w:tcBorders>
            <w:vAlign w:val="center"/>
          </w:tcPr>
          <w:p w14:paraId="6877EDAA" w14:textId="0C18A22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Average attendance per event: in person (158); Zoom (201); livestream (106); total average attendance (465)</w:t>
            </w:r>
          </w:p>
        </w:tc>
        <w:tc>
          <w:tcPr>
            <w:tcW w:w="3680" w:type="dxa"/>
            <w:tcBorders>
              <w:top w:val="single" w:sz="6" w:space="0" w:color="E6E6E6"/>
              <w:left w:val="single" w:sz="6" w:space="0" w:color="E6E6E6"/>
              <w:bottom w:val="single" w:sz="6" w:space="0" w:color="E6E6E6"/>
              <w:right w:val="single" w:sz="6" w:space="0" w:color="E6E6E6"/>
            </w:tcBorders>
            <w:vAlign w:val="center"/>
          </w:tcPr>
          <w:p w14:paraId="0A50ECB3" w14:textId="19135FF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applicable</w:t>
            </w:r>
          </w:p>
        </w:tc>
        <w:tc>
          <w:tcPr>
            <w:tcW w:w="1593" w:type="dxa"/>
            <w:tcBorders>
              <w:top w:val="single" w:sz="6" w:space="0" w:color="E6E6E6"/>
              <w:left w:val="single" w:sz="6" w:space="0" w:color="E6E6E6"/>
              <w:bottom w:val="single" w:sz="6" w:space="0" w:color="E6E6E6"/>
              <w:right w:val="single" w:sz="6" w:space="0" w:color="E6E6E6"/>
            </w:tcBorders>
            <w:vAlign w:val="center"/>
          </w:tcPr>
          <w:p w14:paraId="25314BE4" w14:textId="7DFDDDE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applicable</w:t>
            </w:r>
          </w:p>
        </w:tc>
        <w:tc>
          <w:tcPr>
            <w:tcW w:w="1709" w:type="dxa"/>
            <w:tcBorders>
              <w:top w:val="single" w:sz="6" w:space="0" w:color="E6E6E6"/>
              <w:left w:val="single" w:sz="6" w:space="0" w:color="E6E6E6"/>
              <w:bottom w:val="single" w:sz="6" w:space="0" w:color="E6E6E6"/>
              <w:right w:val="single" w:sz="6" w:space="0" w:color="E6E6E6"/>
            </w:tcBorders>
            <w:vAlign w:val="center"/>
          </w:tcPr>
          <w:p w14:paraId="68D452D9" w14:textId="01AB743D"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Audience: 54% female, 46% male</w:t>
            </w:r>
          </w:p>
        </w:tc>
        <w:tc>
          <w:tcPr>
            <w:tcW w:w="1294" w:type="dxa"/>
            <w:tcBorders>
              <w:top w:val="single" w:sz="6" w:space="0" w:color="E6E6E6"/>
              <w:left w:val="single" w:sz="6" w:space="0" w:color="E6E6E6"/>
              <w:bottom w:val="single" w:sz="6" w:space="0" w:color="E6E6E6"/>
              <w:right w:val="single" w:sz="6" w:space="0" w:color="E6E6E6"/>
            </w:tcBorders>
            <w:vAlign w:val="center"/>
          </w:tcPr>
          <w:p w14:paraId="561D3C07" w14:textId="1AE86400"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r>
      <w:tr w:rsidR="5AB46587" w14:paraId="036254AD" w14:textId="77777777" w:rsidTr="008274E7">
        <w:trPr>
          <w:trHeight w:val="300"/>
        </w:trPr>
        <w:tc>
          <w:tcPr>
            <w:tcW w:w="1059" w:type="dxa"/>
            <w:tcBorders>
              <w:top w:val="single" w:sz="6" w:space="0" w:color="E6E6E6"/>
              <w:left w:val="single" w:sz="6" w:space="0" w:color="E6E6E6"/>
              <w:bottom w:val="single" w:sz="6" w:space="0" w:color="E6E6E6"/>
              <w:right w:val="single" w:sz="6" w:space="0" w:color="E6E6E6"/>
            </w:tcBorders>
            <w:vAlign w:val="center"/>
          </w:tcPr>
          <w:p w14:paraId="731AF7CB" w14:textId="1CB80A9F"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GEDSI lecture feedback</w:t>
            </w:r>
          </w:p>
        </w:tc>
        <w:tc>
          <w:tcPr>
            <w:tcW w:w="1005" w:type="dxa"/>
            <w:tcBorders>
              <w:top w:val="single" w:sz="6" w:space="0" w:color="E6E6E6"/>
              <w:left w:val="single" w:sz="6" w:space="0" w:color="E6E6E6"/>
              <w:bottom w:val="single" w:sz="6" w:space="0" w:color="E6E6E6"/>
              <w:right w:val="single" w:sz="6" w:space="0" w:color="E6E6E6"/>
            </w:tcBorders>
            <w:vAlign w:val="center"/>
          </w:tcPr>
          <w:p w14:paraId="16522C24" w14:textId="3D9B3FA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n/a</w:t>
            </w:r>
          </w:p>
        </w:tc>
        <w:tc>
          <w:tcPr>
            <w:tcW w:w="3602" w:type="dxa"/>
            <w:tcBorders>
              <w:top w:val="single" w:sz="6" w:space="0" w:color="E6E6E6"/>
              <w:left w:val="single" w:sz="6" w:space="0" w:color="E6E6E6"/>
              <w:bottom w:val="single" w:sz="6" w:space="0" w:color="E6E6E6"/>
              <w:right w:val="single" w:sz="6" w:space="0" w:color="E6E6E6"/>
            </w:tcBorders>
            <w:vAlign w:val="center"/>
          </w:tcPr>
          <w:p w14:paraId="243C3BB1" w14:textId="58C738EB"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Topic rated important by participants (average): 97%</w:t>
            </w:r>
          </w:p>
        </w:tc>
        <w:tc>
          <w:tcPr>
            <w:tcW w:w="3680" w:type="dxa"/>
            <w:tcBorders>
              <w:top w:val="single" w:sz="6" w:space="0" w:color="E6E6E6"/>
              <w:left w:val="single" w:sz="6" w:space="0" w:color="E6E6E6"/>
              <w:bottom w:val="single" w:sz="6" w:space="0" w:color="E6E6E6"/>
              <w:right w:val="single" w:sz="6" w:space="0" w:color="E6E6E6"/>
            </w:tcBorders>
            <w:vAlign w:val="center"/>
          </w:tcPr>
          <w:p w14:paraId="3DC0027E" w14:textId="632BC38C"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applicable</w:t>
            </w:r>
          </w:p>
        </w:tc>
        <w:tc>
          <w:tcPr>
            <w:tcW w:w="1593" w:type="dxa"/>
            <w:tcBorders>
              <w:top w:val="single" w:sz="6" w:space="0" w:color="E6E6E6"/>
              <w:left w:val="single" w:sz="6" w:space="0" w:color="E6E6E6"/>
              <w:bottom w:val="single" w:sz="6" w:space="0" w:color="E6E6E6"/>
              <w:right w:val="single" w:sz="6" w:space="0" w:color="E6E6E6"/>
            </w:tcBorders>
            <w:vAlign w:val="center"/>
          </w:tcPr>
          <w:p w14:paraId="0EF39A42" w14:textId="1D5EA984"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applicable</w:t>
            </w:r>
          </w:p>
        </w:tc>
        <w:tc>
          <w:tcPr>
            <w:tcW w:w="1709" w:type="dxa"/>
            <w:tcBorders>
              <w:top w:val="single" w:sz="6" w:space="0" w:color="E6E6E6"/>
              <w:left w:val="single" w:sz="6" w:space="0" w:color="E6E6E6"/>
              <w:bottom w:val="single" w:sz="6" w:space="0" w:color="E6E6E6"/>
              <w:right w:val="single" w:sz="6" w:space="0" w:color="E6E6E6"/>
            </w:tcBorders>
            <w:vAlign w:val="center"/>
          </w:tcPr>
          <w:p w14:paraId="387AB8CA" w14:textId="4B352E01"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Event rating (average): 51% excellent; 33% very good</w:t>
            </w:r>
          </w:p>
        </w:tc>
        <w:tc>
          <w:tcPr>
            <w:tcW w:w="1294" w:type="dxa"/>
            <w:tcBorders>
              <w:top w:val="single" w:sz="6" w:space="0" w:color="E6E6E6"/>
              <w:left w:val="single" w:sz="6" w:space="0" w:color="E6E6E6"/>
              <w:bottom w:val="single" w:sz="6" w:space="0" w:color="E6E6E6"/>
              <w:right w:val="single" w:sz="6" w:space="0" w:color="E6E6E6"/>
            </w:tcBorders>
            <w:vAlign w:val="center"/>
          </w:tcPr>
          <w:p w14:paraId="259105A6" w14:textId="4DC43818" w:rsidR="5AB46587" w:rsidRDefault="5AB46587" w:rsidP="5AB46587">
            <w:pPr>
              <w:spacing w:line="300" w:lineRule="auto"/>
              <w:rPr>
                <w:rFonts w:asciiTheme="minorHAnsi" w:eastAsiaTheme="minorEastAsia" w:hAnsiTheme="minorHAnsi" w:cstheme="minorBidi"/>
                <w:sz w:val="18"/>
                <w:szCs w:val="18"/>
              </w:rPr>
            </w:pPr>
            <w:r w:rsidRPr="5AB46587">
              <w:rPr>
                <w:rFonts w:asciiTheme="minorHAnsi" w:eastAsiaTheme="minorEastAsia" w:hAnsiTheme="minorHAnsi" w:cstheme="minorBidi"/>
                <w:sz w:val="18"/>
                <w:szCs w:val="18"/>
              </w:rPr>
              <w:t>Not recorded</w:t>
            </w:r>
          </w:p>
        </w:tc>
      </w:tr>
      <w:tr w:rsidR="0077158C" w14:paraId="050A4A8B" w14:textId="77777777" w:rsidTr="008274E7">
        <w:trPr>
          <w:trHeight w:val="300"/>
        </w:trPr>
        <w:tc>
          <w:tcPr>
            <w:tcW w:w="1059" w:type="dxa"/>
            <w:tcBorders>
              <w:top w:val="single" w:sz="6" w:space="0" w:color="E6E6E6"/>
              <w:left w:val="single" w:sz="6" w:space="0" w:color="E6E6E6"/>
              <w:bottom w:val="single" w:sz="6" w:space="0" w:color="E6E6E6"/>
              <w:right w:val="single" w:sz="6" w:space="0" w:color="E6E6E6"/>
            </w:tcBorders>
            <w:vAlign w:val="center"/>
          </w:tcPr>
          <w:p w14:paraId="1D5EBAFC" w14:textId="1799287B" w:rsidR="0077158C" w:rsidRDefault="0077158C" w:rsidP="0077158C">
            <w:pPr>
              <w:spacing w:line="300" w:lineRule="auto"/>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Total Outputs</w:t>
            </w:r>
          </w:p>
        </w:tc>
        <w:tc>
          <w:tcPr>
            <w:tcW w:w="1005" w:type="dxa"/>
            <w:tcBorders>
              <w:top w:val="single" w:sz="6" w:space="0" w:color="E6E6E6"/>
              <w:left w:val="single" w:sz="6" w:space="0" w:color="E6E6E6"/>
              <w:bottom w:val="single" w:sz="6" w:space="0" w:color="E6E6E6"/>
              <w:right w:val="single" w:sz="6" w:space="0" w:color="E6E6E6"/>
            </w:tcBorders>
            <w:vAlign w:val="center"/>
          </w:tcPr>
          <w:p w14:paraId="2293E3C8" w14:textId="4E5408B1" w:rsidR="0077158C" w:rsidRDefault="0077158C" w:rsidP="0077158C">
            <w:pPr>
              <w:spacing w:line="300" w:lineRule="auto"/>
              <w:rPr>
                <w:rFonts w:asciiTheme="minorHAnsi" w:eastAsiaTheme="minorEastAsia" w:hAnsiTheme="minorHAnsi" w:cstheme="minorBidi"/>
                <w:b/>
                <w:bCs/>
                <w:sz w:val="18"/>
                <w:szCs w:val="18"/>
              </w:rPr>
            </w:pPr>
            <w:r w:rsidRPr="5AB46587">
              <w:rPr>
                <w:rFonts w:asciiTheme="minorHAnsi" w:eastAsiaTheme="minorEastAsia" w:hAnsiTheme="minorHAnsi" w:cstheme="minorBidi"/>
                <w:b/>
                <w:bCs/>
                <w:sz w:val="18"/>
                <w:szCs w:val="18"/>
              </w:rPr>
              <w:t>8</w:t>
            </w:r>
          </w:p>
        </w:tc>
        <w:tc>
          <w:tcPr>
            <w:tcW w:w="3602" w:type="dxa"/>
            <w:tcBorders>
              <w:top w:val="single" w:sz="6" w:space="0" w:color="E6E6E6"/>
              <w:left w:val="single" w:sz="6" w:space="0" w:color="E6E6E6"/>
              <w:bottom w:val="single" w:sz="6" w:space="0" w:color="E6E6E6"/>
              <w:right w:val="single" w:sz="6" w:space="0" w:color="E6E6E6"/>
            </w:tcBorders>
            <w:vAlign w:val="center"/>
          </w:tcPr>
          <w:p w14:paraId="6ADD3936" w14:textId="793F2F87"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3680" w:type="dxa"/>
            <w:tcBorders>
              <w:top w:val="single" w:sz="6" w:space="0" w:color="E6E6E6"/>
              <w:left w:val="single" w:sz="6" w:space="0" w:color="E6E6E6"/>
              <w:bottom w:val="single" w:sz="6" w:space="0" w:color="E6E6E6"/>
              <w:right w:val="single" w:sz="6" w:space="0" w:color="E6E6E6"/>
            </w:tcBorders>
            <w:vAlign w:val="center"/>
          </w:tcPr>
          <w:p w14:paraId="18AE8A3C" w14:textId="080F5524"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593" w:type="dxa"/>
            <w:tcBorders>
              <w:top w:val="single" w:sz="6" w:space="0" w:color="E6E6E6"/>
              <w:left w:val="single" w:sz="6" w:space="0" w:color="E6E6E6"/>
              <w:bottom w:val="single" w:sz="6" w:space="0" w:color="E6E6E6"/>
              <w:right w:val="single" w:sz="6" w:space="0" w:color="E6E6E6"/>
            </w:tcBorders>
            <w:vAlign w:val="center"/>
          </w:tcPr>
          <w:p w14:paraId="45D3841A" w14:textId="4F420CBC"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709" w:type="dxa"/>
            <w:tcBorders>
              <w:top w:val="single" w:sz="6" w:space="0" w:color="E6E6E6"/>
              <w:left w:val="single" w:sz="6" w:space="0" w:color="E6E6E6"/>
              <w:bottom w:val="single" w:sz="6" w:space="0" w:color="E6E6E6"/>
              <w:right w:val="single" w:sz="6" w:space="0" w:color="E6E6E6"/>
            </w:tcBorders>
            <w:vAlign w:val="center"/>
          </w:tcPr>
          <w:p w14:paraId="4ABC566E" w14:textId="33EF6D27"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c>
          <w:tcPr>
            <w:tcW w:w="1294" w:type="dxa"/>
            <w:tcBorders>
              <w:top w:val="single" w:sz="6" w:space="0" w:color="E6E6E6"/>
              <w:left w:val="single" w:sz="6" w:space="0" w:color="E6E6E6"/>
              <w:bottom w:val="single" w:sz="6" w:space="0" w:color="E6E6E6"/>
              <w:right w:val="single" w:sz="6" w:space="0" w:color="E6E6E6"/>
            </w:tcBorders>
            <w:vAlign w:val="center"/>
          </w:tcPr>
          <w:p w14:paraId="6AEAA4A9" w14:textId="033B3761" w:rsidR="0077158C" w:rsidRDefault="0077158C" w:rsidP="0077158C">
            <w:pPr>
              <w:spacing w:line="300" w:lineRule="auto"/>
              <w:rPr>
                <w:rFonts w:asciiTheme="minorHAnsi" w:eastAsiaTheme="minorEastAsia" w:hAnsiTheme="minorHAnsi" w:cstheme="minorBidi"/>
                <w:sz w:val="18"/>
                <w:szCs w:val="18"/>
              </w:rPr>
            </w:pPr>
            <w:r>
              <w:rPr>
                <w:rFonts w:asciiTheme="minorHAnsi" w:eastAsiaTheme="minorEastAsia" w:hAnsiTheme="minorHAnsi" w:cstheme="minorBidi"/>
                <w:sz w:val="18"/>
                <w:szCs w:val="18"/>
              </w:rPr>
              <w:t>Not applicable</w:t>
            </w:r>
          </w:p>
        </w:tc>
      </w:tr>
    </w:tbl>
    <w:p w14:paraId="32E23A6A" w14:textId="12F7E9BC" w:rsidR="000B4582" w:rsidRDefault="000B4582" w:rsidP="5AB46587">
      <w:pPr>
        <w:spacing w:before="120" w:after="120" w:line="280" w:lineRule="atLeast"/>
        <w:rPr>
          <w:rFonts w:asciiTheme="majorHAnsi" w:eastAsiaTheme="minorEastAsia" w:hAnsiTheme="majorHAnsi" w:cstheme="majorBidi"/>
          <w:b/>
          <w:bCs/>
          <w:sz w:val="20"/>
          <w:szCs w:val="20"/>
          <w:lang w:val="en-GB"/>
        </w:rPr>
      </w:pPr>
    </w:p>
    <w:p w14:paraId="13480D4D" w14:textId="4FCDFD6A" w:rsidR="00201347" w:rsidRDefault="00201347" w:rsidP="5AB46587">
      <w:pPr>
        <w:rPr>
          <w:rFonts w:asciiTheme="majorHAnsi" w:eastAsiaTheme="minorEastAsia" w:hAnsiTheme="majorHAnsi" w:cstheme="majorBidi"/>
          <w:b/>
          <w:bCs/>
          <w:sz w:val="20"/>
          <w:szCs w:val="20"/>
          <w:lang w:val="en-GB"/>
        </w:rPr>
      </w:pPr>
      <w:r w:rsidRPr="5AB46587">
        <w:rPr>
          <w:rFonts w:asciiTheme="majorHAnsi" w:eastAsiaTheme="minorEastAsia" w:hAnsiTheme="majorHAnsi" w:cstheme="majorBidi"/>
          <w:b/>
          <w:bCs/>
          <w:sz w:val="20"/>
          <w:szCs w:val="20"/>
          <w:lang w:val="en-GB"/>
        </w:rPr>
        <w:br w:type="page"/>
      </w:r>
    </w:p>
    <w:p w14:paraId="1795347C" w14:textId="186FC793" w:rsidR="00E66DA0" w:rsidRPr="00201347" w:rsidRDefault="00E66DA0" w:rsidP="00385300">
      <w:pPr>
        <w:pStyle w:val="Heading2"/>
        <w:rPr>
          <w:rFonts w:eastAsiaTheme="minorHAnsi"/>
          <w:b/>
          <w:bCs/>
          <w:sz w:val="20"/>
          <w:szCs w:val="20"/>
          <w:lang w:val="en-GB"/>
        </w:rPr>
      </w:pPr>
      <w:r w:rsidRPr="008A3E71">
        <w:rPr>
          <w:rStyle w:val="Heading5Char"/>
        </w:rPr>
        <w:lastRenderedPageBreak/>
        <w:t>Attendance data</w:t>
      </w:r>
      <w:r w:rsidRPr="00E66DA0">
        <w:rPr>
          <w:rFonts w:eastAsiaTheme="minorHAnsi"/>
          <w:b/>
          <w:bCs/>
          <w:sz w:val="20"/>
          <w:szCs w:val="20"/>
          <w:lang w:val="en-GB"/>
        </w:rPr>
        <w:t xml:space="preserve"> </w:t>
      </w:r>
      <w:r w:rsidR="00201347" w:rsidRPr="00201347">
        <w:rPr>
          <w:lang w:val="en-GB"/>
        </w:rPr>
        <w:t>(u</w:t>
      </w:r>
      <w:r w:rsidRPr="00E66DA0">
        <w:rPr>
          <w:lang w:val="en-GB"/>
        </w:rPr>
        <w:t xml:space="preserve">nless otherwise indicated, data is the average across all events </w:t>
      </w:r>
      <w:r w:rsidR="00201347">
        <w:rPr>
          <w:lang w:val="en-GB"/>
        </w:rPr>
        <w:t>(per cent)</w:t>
      </w:r>
    </w:p>
    <w:tbl>
      <w:tblPr>
        <w:tblStyle w:val="TableGrid"/>
        <w:tblW w:w="1402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
        <w:gridCol w:w="1393"/>
        <w:gridCol w:w="844"/>
        <w:gridCol w:w="942"/>
        <w:gridCol w:w="1660"/>
        <w:gridCol w:w="1681"/>
        <w:gridCol w:w="918"/>
        <w:gridCol w:w="1837"/>
        <w:gridCol w:w="1225"/>
        <w:gridCol w:w="950"/>
        <w:gridCol w:w="1616"/>
      </w:tblGrid>
      <w:tr w:rsidR="00201347" w:rsidRPr="00E66DA0" w14:paraId="41F3C8A3" w14:textId="77777777" w:rsidTr="009C4D2C">
        <w:trPr>
          <w:tblHeader/>
        </w:trPr>
        <w:tc>
          <w:tcPr>
            <w:tcW w:w="968" w:type="dxa"/>
            <w:shd w:val="clear" w:color="auto" w:fill="B4C6E7" w:themeFill="accent1" w:themeFillTint="66"/>
          </w:tcPr>
          <w:p w14:paraId="520B331E" w14:textId="77777777"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Event</w:t>
            </w:r>
          </w:p>
        </w:tc>
        <w:tc>
          <w:tcPr>
            <w:tcW w:w="1435" w:type="dxa"/>
            <w:shd w:val="clear" w:color="auto" w:fill="B4C6E7" w:themeFill="accent1" w:themeFillTint="66"/>
          </w:tcPr>
          <w:p w14:paraId="6BF957A5" w14:textId="77777777" w:rsidR="00201347"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 xml:space="preserve">Attendees </w:t>
            </w:r>
          </w:p>
          <w:p w14:paraId="12B4D6F9" w14:textId="3B815727" w:rsidR="00E66DA0" w:rsidRPr="00150284" w:rsidRDefault="00E66DA0" w:rsidP="00E66DA0">
            <w:pPr>
              <w:rPr>
                <w:rFonts w:asciiTheme="majorHAnsi" w:hAnsiTheme="majorHAnsi" w:cstheme="majorHAnsi"/>
                <w:b/>
                <w:bCs/>
                <w:color w:val="1F3864" w:themeColor="accent1" w:themeShade="80"/>
                <w:sz w:val="13"/>
                <w:szCs w:val="13"/>
                <w:lang w:val="en-GB"/>
              </w:rPr>
            </w:pPr>
            <w:r w:rsidRPr="00150284">
              <w:rPr>
                <w:rFonts w:asciiTheme="majorHAnsi" w:hAnsiTheme="majorHAnsi" w:cstheme="majorHAnsi"/>
                <w:b/>
                <w:bCs/>
                <w:color w:val="1F3864" w:themeColor="accent1" w:themeShade="80"/>
                <w:sz w:val="13"/>
                <w:szCs w:val="13"/>
                <w:lang w:val="en-GB"/>
              </w:rPr>
              <w:t xml:space="preserve">(average </w:t>
            </w:r>
            <w:r w:rsidR="00201347" w:rsidRPr="00150284">
              <w:rPr>
                <w:rFonts w:asciiTheme="majorHAnsi" w:hAnsiTheme="majorHAnsi" w:cstheme="majorHAnsi"/>
                <w:b/>
                <w:bCs/>
                <w:color w:val="1F3864" w:themeColor="accent1" w:themeShade="80"/>
                <w:sz w:val="13"/>
                <w:szCs w:val="13"/>
                <w:lang w:val="en-GB"/>
              </w:rPr>
              <w:t>#</w:t>
            </w:r>
            <w:r w:rsidRPr="00150284">
              <w:rPr>
                <w:rFonts w:asciiTheme="majorHAnsi" w:hAnsiTheme="majorHAnsi" w:cstheme="majorHAnsi"/>
                <w:b/>
                <w:bCs/>
                <w:color w:val="1F3864" w:themeColor="accent1" w:themeShade="80"/>
                <w:sz w:val="13"/>
                <w:szCs w:val="13"/>
                <w:lang w:val="en-GB"/>
              </w:rPr>
              <w:t xml:space="preserve"> per session)</w:t>
            </w:r>
          </w:p>
        </w:tc>
        <w:tc>
          <w:tcPr>
            <w:tcW w:w="853" w:type="dxa"/>
            <w:shd w:val="clear" w:color="auto" w:fill="B4C6E7" w:themeFill="accent1" w:themeFillTint="66"/>
          </w:tcPr>
          <w:p w14:paraId="3EA7D677" w14:textId="62946118"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Gender (%)</w:t>
            </w:r>
          </w:p>
        </w:tc>
        <w:tc>
          <w:tcPr>
            <w:tcW w:w="991" w:type="dxa"/>
            <w:shd w:val="clear" w:color="auto" w:fill="B4C6E7" w:themeFill="accent1" w:themeFillTint="66"/>
          </w:tcPr>
          <w:p w14:paraId="47DB5C10" w14:textId="50B0F5F2"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Age (%)</w:t>
            </w:r>
          </w:p>
        </w:tc>
        <w:tc>
          <w:tcPr>
            <w:tcW w:w="1700" w:type="dxa"/>
            <w:shd w:val="clear" w:color="auto" w:fill="B4C6E7" w:themeFill="accent1" w:themeFillTint="66"/>
          </w:tcPr>
          <w:p w14:paraId="45679A91" w14:textId="13C42566"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Type of organisation (%)</w:t>
            </w:r>
          </w:p>
        </w:tc>
        <w:tc>
          <w:tcPr>
            <w:tcW w:w="1770" w:type="dxa"/>
            <w:shd w:val="clear" w:color="auto" w:fill="B4C6E7" w:themeFill="accent1" w:themeFillTint="66"/>
          </w:tcPr>
          <w:p w14:paraId="32A194D4" w14:textId="098D3D06"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Students (%)</w:t>
            </w:r>
          </w:p>
        </w:tc>
        <w:tc>
          <w:tcPr>
            <w:tcW w:w="500" w:type="dxa"/>
            <w:shd w:val="clear" w:color="auto" w:fill="B4C6E7" w:themeFill="accent1" w:themeFillTint="66"/>
          </w:tcPr>
          <w:p w14:paraId="7BD74EEC" w14:textId="333C3D64"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Country (%)</w:t>
            </w:r>
          </w:p>
        </w:tc>
        <w:tc>
          <w:tcPr>
            <w:tcW w:w="1913" w:type="dxa"/>
            <w:shd w:val="clear" w:color="auto" w:fill="B4C6E7" w:themeFill="accent1" w:themeFillTint="66"/>
          </w:tcPr>
          <w:p w14:paraId="0DFB9FA2" w14:textId="4C48E64B"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Reason (%)</w:t>
            </w:r>
          </w:p>
        </w:tc>
        <w:tc>
          <w:tcPr>
            <w:tcW w:w="1264" w:type="dxa"/>
            <w:shd w:val="clear" w:color="auto" w:fill="B4C6E7" w:themeFill="accent1" w:themeFillTint="66"/>
          </w:tcPr>
          <w:p w14:paraId="0927D2E9" w14:textId="5733CF70"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Rating (%)</w:t>
            </w:r>
          </w:p>
        </w:tc>
        <w:tc>
          <w:tcPr>
            <w:tcW w:w="950" w:type="dxa"/>
            <w:shd w:val="clear" w:color="auto" w:fill="B4C6E7" w:themeFill="accent1" w:themeFillTint="66"/>
          </w:tcPr>
          <w:p w14:paraId="57D2EBF1" w14:textId="0714C3D1"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Important topic (%)</w:t>
            </w:r>
          </w:p>
        </w:tc>
        <w:tc>
          <w:tcPr>
            <w:tcW w:w="1685" w:type="dxa"/>
            <w:shd w:val="clear" w:color="auto" w:fill="B4C6E7" w:themeFill="accent1" w:themeFillTint="66"/>
          </w:tcPr>
          <w:p w14:paraId="51B25856" w14:textId="392C61B2" w:rsidR="00E66DA0" w:rsidRPr="00150284" w:rsidRDefault="00E66DA0" w:rsidP="00E66DA0">
            <w:pPr>
              <w:rPr>
                <w:rFonts w:asciiTheme="majorHAnsi" w:hAnsiTheme="majorHAnsi" w:cstheme="majorHAnsi"/>
                <w:b/>
                <w:bCs/>
                <w:color w:val="1F3864" w:themeColor="accent1" w:themeShade="80"/>
                <w:sz w:val="18"/>
                <w:szCs w:val="18"/>
                <w:lang w:val="en-GB"/>
              </w:rPr>
            </w:pPr>
            <w:r w:rsidRPr="00150284">
              <w:rPr>
                <w:rFonts w:asciiTheme="majorHAnsi" w:hAnsiTheme="majorHAnsi" w:cstheme="majorHAnsi"/>
                <w:b/>
                <w:bCs/>
                <w:color w:val="1F3864" w:themeColor="accent1" w:themeShade="80"/>
                <w:sz w:val="18"/>
                <w:szCs w:val="18"/>
                <w:lang w:val="en-GB"/>
              </w:rPr>
              <w:t>How they heard about it (%)</w:t>
            </w:r>
          </w:p>
        </w:tc>
      </w:tr>
      <w:tr w:rsidR="00201347" w:rsidRPr="00E66DA0" w14:paraId="0498739B" w14:textId="77777777" w:rsidTr="5AB46587">
        <w:tc>
          <w:tcPr>
            <w:tcW w:w="968" w:type="dxa"/>
          </w:tcPr>
          <w:p w14:paraId="7C5330D2" w14:textId="31594CF1" w:rsidR="00E66DA0" w:rsidRPr="00E66DA0" w:rsidRDefault="00E66DA0" w:rsidP="002504DF">
            <w:pPr>
              <w:rPr>
                <w:rFonts w:asciiTheme="majorHAnsi" w:hAnsiTheme="majorHAnsi" w:cstheme="majorHAnsi"/>
                <w:sz w:val="18"/>
                <w:szCs w:val="18"/>
                <w:lang w:val="en-GB"/>
              </w:rPr>
            </w:pPr>
            <w:r w:rsidRPr="00E66DA0">
              <w:rPr>
                <w:rFonts w:asciiTheme="majorHAnsi" w:hAnsiTheme="majorHAnsi" w:cstheme="majorHAnsi"/>
                <w:sz w:val="18"/>
                <w:szCs w:val="18"/>
                <w:lang w:val="en-GB"/>
              </w:rPr>
              <w:t>Total 85</w:t>
            </w:r>
          </w:p>
        </w:tc>
        <w:tc>
          <w:tcPr>
            <w:tcW w:w="1435" w:type="dxa"/>
          </w:tcPr>
          <w:p w14:paraId="1E84F1E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 person - 84</w:t>
            </w:r>
          </w:p>
          <w:p w14:paraId="6D422B3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Zoom - 104</w:t>
            </w:r>
          </w:p>
          <w:p w14:paraId="1E811BE6"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Livestream – 276</w:t>
            </w:r>
          </w:p>
          <w:p w14:paraId="5A18198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Total - 216</w:t>
            </w:r>
          </w:p>
        </w:tc>
        <w:tc>
          <w:tcPr>
            <w:tcW w:w="853" w:type="dxa"/>
          </w:tcPr>
          <w:p w14:paraId="69972042" w14:textId="0718F396"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 - 49</w:t>
            </w:r>
          </w:p>
          <w:p w14:paraId="65BD7F3B" w14:textId="63456E26"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 xml:space="preserve">M </w:t>
            </w:r>
            <w:r>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50</w:t>
            </w:r>
          </w:p>
        </w:tc>
        <w:tc>
          <w:tcPr>
            <w:tcW w:w="991" w:type="dxa"/>
          </w:tcPr>
          <w:p w14:paraId="31C6F2EB" w14:textId="36D80B46" w:rsidR="00E66DA0" w:rsidRPr="00E66DA0" w:rsidRDefault="00201347" w:rsidP="00E66DA0">
            <w:pPr>
              <w:rPr>
                <w:rFonts w:asciiTheme="majorHAnsi" w:hAnsiTheme="majorHAnsi" w:cstheme="majorHAnsi"/>
                <w:sz w:val="18"/>
                <w:szCs w:val="18"/>
                <w:lang w:val="en-GB"/>
              </w:rPr>
            </w:pPr>
            <w:r>
              <w:rPr>
                <w:rFonts w:asciiTheme="majorHAnsi" w:hAnsiTheme="majorHAnsi" w:cstheme="majorHAnsi"/>
                <w:sz w:val="18"/>
                <w:szCs w:val="18"/>
                <w:lang w:val="en-GB"/>
              </w:rPr>
              <w:t>&lt;</w:t>
            </w:r>
            <w:r w:rsidR="00E66DA0" w:rsidRPr="00E66DA0">
              <w:rPr>
                <w:rFonts w:asciiTheme="majorHAnsi" w:hAnsiTheme="majorHAnsi" w:cstheme="majorHAnsi"/>
                <w:sz w:val="18"/>
                <w:szCs w:val="18"/>
                <w:lang w:val="en-GB"/>
              </w:rPr>
              <w:t>30 - 26</w:t>
            </w:r>
          </w:p>
          <w:p w14:paraId="3861FE3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30-39 - 32</w:t>
            </w:r>
          </w:p>
          <w:p w14:paraId="2262131E"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40-49 - 20</w:t>
            </w:r>
          </w:p>
          <w:p w14:paraId="278433E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50-59 - 12</w:t>
            </w:r>
          </w:p>
          <w:p w14:paraId="15C7DBC5" w14:textId="6BDF5AB4"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60</w:t>
            </w:r>
            <w:r>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 10</w:t>
            </w:r>
          </w:p>
        </w:tc>
        <w:tc>
          <w:tcPr>
            <w:tcW w:w="1700" w:type="dxa"/>
          </w:tcPr>
          <w:p w14:paraId="2F46C68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University - 49</w:t>
            </w:r>
          </w:p>
          <w:p w14:paraId="493BA24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Government - 19</w:t>
            </w:r>
          </w:p>
          <w:p w14:paraId="0FCC76B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Research/NGO - 16</w:t>
            </w:r>
          </w:p>
          <w:p w14:paraId="31F277C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Private sector - 7</w:t>
            </w:r>
          </w:p>
          <w:p w14:paraId="3DE9394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Media - 2</w:t>
            </w:r>
          </w:p>
          <w:p w14:paraId="3748010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Retiree - 3</w:t>
            </w:r>
          </w:p>
        </w:tc>
        <w:tc>
          <w:tcPr>
            <w:tcW w:w="1770" w:type="dxa"/>
          </w:tcPr>
          <w:p w14:paraId="605D7E3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31%</w:t>
            </w:r>
          </w:p>
        </w:tc>
        <w:tc>
          <w:tcPr>
            <w:tcW w:w="500" w:type="dxa"/>
          </w:tcPr>
          <w:p w14:paraId="7DC078D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Australia – 41</w:t>
            </w:r>
          </w:p>
          <w:p w14:paraId="5BE8E76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- 62</w:t>
            </w:r>
          </w:p>
          <w:p w14:paraId="1101909E" w14:textId="77777777" w:rsidR="00E66DA0" w:rsidRPr="00E66DA0" w:rsidRDefault="00E66DA0" w:rsidP="00E66DA0">
            <w:pPr>
              <w:rPr>
                <w:rFonts w:asciiTheme="majorHAnsi" w:hAnsiTheme="majorHAnsi" w:cstheme="majorHAnsi"/>
                <w:sz w:val="18"/>
                <w:szCs w:val="18"/>
                <w:lang w:val="en-GB"/>
              </w:rPr>
            </w:pPr>
          </w:p>
        </w:tc>
        <w:tc>
          <w:tcPr>
            <w:tcW w:w="1913" w:type="dxa"/>
          </w:tcPr>
          <w:p w14:paraId="0415B41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Knowledge - 88</w:t>
            </w:r>
          </w:p>
          <w:p w14:paraId="4FAAED7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Speakers - 21</w:t>
            </w:r>
          </w:p>
          <w:p w14:paraId="6B65960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Networking - 14</w:t>
            </w:r>
          </w:p>
          <w:p w14:paraId="333A28B2" w14:textId="4D44F249"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Work requirement - 9</w:t>
            </w:r>
          </w:p>
        </w:tc>
        <w:tc>
          <w:tcPr>
            <w:tcW w:w="1264" w:type="dxa"/>
          </w:tcPr>
          <w:p w14:paraId="5938028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Excellent - 44</w:t>
            </w:r>
          </w:p>
          <w:p w14:paraId="54C5513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Very good - 41</w:t>
            </w:r>
          </w:p>
        </w:tc>
        <w:tc>
          <w:tcPr>
            <w:tcW w:w="950" w:type="dxa"/>
          </w:tcPr>
          <w:p w14:paraId="30C9FEA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Yes - 94</w:t>
            </w:r>
          </w:p>
          <w:p w14:paraId="503B2BAD" w14:textId="77777777" w:rsidR="00E66DA0" w:rsidRPr="00E66DA0" w:rsidRDefault="00E66DA0" w:rsidP="00E66DA0">
            <w:pPr>
              <w:pStyle w:val="ListParagraph"/>
              <w:ind w:left="360"/>
              <w:rPr>
                <w:rFonts w:asciiTheme="majorHAnsi" w:hAnsiTheme="majorHAnsi" w:cstheme="majorHAnsi"/>
                <w:sz w:val="18"/>
                <w:szCs w:val="18"/>
                <w:lang w:val="en-GB"/>
              </w:rPr>
            </w:pPr>
          </w:p>
        </w:tc>
        <w:tc>
          <w:tcPr>
            <w:tcW w:w="1685" w:type="dxa"/>
          </w:tcPr>
          <w:p w14:paraId="090771F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Mailing list - 47</w:t>
            </w:r>
          </w:p>
          <w:p w14:paraId="7DAC4D6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Facebook - 4</w:t>
            </w:r>
          </w:p>
          <w:p w14:paraId="56222A2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Twitter - 8</w:t>
            </w:r>
          </w:p>
          <w:p w14:paraId="77B7195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Instagram - 11</w:t>
            </w:r>
          </w:p>
          <w:p w14:paraId="4654FBC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Website - 5</w:t>
            </w:r>
          </w:p>
          <w:p w14:paraId="454B9F7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WhatsApp - 22</w:t>
            </w:r>
          </w:p>
          <w:p w14:paraId="01325FF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Word of mouth - 10</w:t>
            </w:r>
          </w:p>
        </w:tc>
      </w:tr>
      <w:tr w:rsidR="00201347" w:rsidRPr="00E66DA0" w14:paraId="4765E78A" w14:textId="77777777" w:rsidTr="5AB46587">
        <w:tc>
          <w:tcPr>
            <w:tcW w:w="968" w:type="dxa"/>
          </w:tcPr>
          <w:p w14:paraId="418F453B" w14:textId="41121C99" w:rsidR="00E66DA0" w:rsidRPr="00E66DA0" w:rsidRDefault="00E66DA0" w:rsidP="002504DF">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Study Group</w:t>
            </w:r>
            <w:r w:rsidR="002504DF">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34</w:t>
            </w:r>
          </w:p>
        </w:tc>
        <w:tc>
          <w:tcPr>
            <w:tcW w:w="1435" w:type="dxa"/>
          </w:tcPr>
          <w:p w14:paraId="305FD02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 person - 48</w:t>
            </w:r>
          </w:p>
          <w:p w14:paraId="66C0912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Zoom - 71</w:t>
            </w:r>
          </w:p>
          <w:p w14:paraId="048E499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Livestream - 393</w:t>
            </w:r>
          </w:p>
          <w:p w14:paraId="61AAAC7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Total - 131</w:t>
            </w:r>
          </w:p>
        </w:tc>
        <w:tc>
          <w:tcPr>
            <w:tcW w:w="853" w:type="dxa"/>
          </w:tcPr>
          <w:p w14:paraId="6BA7B71C" w14:textId="799F8B88"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 - 47</w:t>
            </w:r>
          </w:p>
          <w:p w14:paraId="1C289181" w14:textId="78B8D78A"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 xml:space="preserve">M </w:t>
            </w:r>
            <w:r>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50</w:t>
            </w:r>
          </w:p>
        </w:tc>
        <w:tc>
          <w:tcPr>
            <w:tcW w:w="991" w:type="dxa"/>
          </w:tcPr>
          <w:p w14:paraId="5B62BDBB" w14:textId="756C1496" w:rsidR="00E66DA0" w:rsidRPr="00E66DA0" w:rsidRDefault="00201347" w:rsidP="00E66DA0">
            <w:pPr>
              <w:rPr>
                <w:rFonts w:asciiTheme="majorHAnsi" w:hAnsiTheme="majorHAnsi" w:cstheme="majorHAnsi"/>
                <w:sz w:val="18"/>
                <w:szCs w:val="18"/>
                <w:lang w:val="en-GB"/>
              </w:rPr>
            </w:pPr>
            <w:r>
              <w:rPr>
                <w:rFonts w:asciiTheme="majorHAnsi" w:hAnsiTheme="majorHAnsi" w:cstheme="majorHAnsi"/>
                <w:sz w:val="18"/>
                <w:szCs w:val="18"/>
                <w:lang w:val="en-GB"/>
              </w:rPr>
              <w:t>&lt;</w:t>
            </w:r>
            <w:r w:rsidRPr="00E66DA0">
              <w:rPr>
                <w:rFonts w:asciiTheme="majorHAnsi" w:hAnsiTheme="majorHAnsi" w:cstheme="majorHAnsi"/>
                <w:sz w:val="18"/>
                <w:szCs w:val="18"/>
                <w:lang w:val="en-GB"/>
              </w:rPr>
              <w:t xml:space="preserve">30 </w:t>
            </w:r>
            <w:r w:rsidR="00E66DA0" w:rsidRPr="00E66DA0">
              <w:rPr>
                <w:rFonts w:asciiTheme="majorHAnsi" w:hAnsiTheme="majorHAnsi" w:cstheme="majorHAnsi"/>
                <w:sz w:val="18"/>
                <w:szCs w:val="18"/>
                <w:lang w:val="en-GB"/>
              </w:rPr>
              <w:t>- 24</w:t>
            </w:r>
          </w:p>
          <w:p w14:paraId="76158DC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30-39 - 31</w:t>
            </w:r>
          </w:p>
          <w:p w14:paraId="33ED7CF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40-49 - 21</w:t>
            </w:r>
          </w:p>
          <w:p w14:paraId="38DED516"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50-59 - 12</w:t>
            </w:r>
          </w:p>
          <w:p w14:paraId="57A174EC" w14:textId="21DD808D"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60</w:t>
            </w:r>
            <w:r>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- 12</w:t>
            </w:r>
          </w:p>
        </w:tc>
        <w:tc>
          <w:tcPr>
            <w:tcW w:w="1700" w:type="dxa"/>
          </w:tcPr>
          <w:p w14:paraId="680F69F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University - 55</w:t>
            </w:r>
          </w:p>
          <w:p w14:paraId="3260CF3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Government - 15</w:t>
            </w:r>
          </w:p>
          <w:p w14:paraId="46FB654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Research/NGO - 13</w:t>
            </w:r>
          </w:p>
          <w:p w14:paraId="356A046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Private sector - 8</w:t>
            </w:r>
          </w:p>
          <w:p w14:paraId="3F37BD8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Media - 2</w:t>
            </w:r>
          </w:p>
          <w:p w14:paraId="586FDE21" w14:textId="77777777" w:rsidR="00E66DA0" w:rsidRPr="00E66DA0" w:rsidRDefault="00E66DA0" w:rsidP="00E66DA0">
            <w:pPr>
              <w:rPr>
                <w:rFonts w:asciiTheme="majorHAnsi" w:hAnsiTheme="majorHAnsi" w:cstheme="majorHAnsi"/>
                <w:sz w:val="18"/>
                <w:szCs w:val="18"/>
                <w:lang w:val="en-GB"/>
              </w:rPr>
            </w:pPr>
          </w:p>
        </w:tc>
        <w:tc>
          <w:tcPr>
            <w:tcW w:w="1770" w:type="dxa"/>
          </w:tcPr>
          <w:p w14:paraId="56A9874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26%</w:t>
            </w:r>
          </w:p>
        </w:tc>
        <w:tc>
          <w:tcPr>
            <w:tcW w:w="500" w:type="dxa"/>
          </w:tcPr>
          <w:p w14:paraId="40B6BEB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Australia - 49</w:t>
            </w:r>
          </w:p>
          <w:p w14:paraId="3DBEBD0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- 46</w:t>
            </w:r>
          </w:p>
          <w:p w14:paraId="5967AEB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Rest of world - 15</w:t>
            </w:r>
          </w:p>
        </w:tc>
        <w:tc>
          <w:tcPr>
            <w:tcW w:w="1913" w:type="dxa"/>
          </w:tcPr>
          <w:p w14:paraId="79A7244E"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Knowledge - 88</w:t>
            </w:r>
          </w:p>
          <w:p w14:paraId="1C28C584"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Speakers - 18</w:t>
            </w:r>
          </w:p>
          <w:p w14:paraId="632E121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Networking - 11</w:t>
            </w:r>
          </w:p>
          <w:p w14:paraId="797A1FC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Work requirement - 9</w:t>
            </w:r>
          </w:p>
        </w:tc>
        <w:tc>
          <w:tcPr>
            <w:tcW w:w="1264" w:type="dxa"/>
          </w:tcPr>
          <w:p w14:paraId="14068596" w14:textId="76D3C0C9"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Excellent – 40</w:t>
            </w:r>
          </w:p>
          <w:p w14:paraId="211B393C" w14:textId="5BD4F6A2"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Very good - 44</w:t>
            </w:r>
          </w:p>
        </w:tc>
        <w:tc>
          <w:tcPr>
            <w:tcW w:w="950" w:type="dxa"/>
          </w:tcPr>
          <w:p w14:paraId="2C6F866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Yes - 93</w:t>
            </w:r>
          </w:p>
          <w:p w14:paraId="4D84859F" w14:textId="77777777" w:rsidR="00E66DA0" w:rsidRPr="00E66DA0" w:rsidRDefault="00E66DA0" w:rsidP="00E66DA0">
            <w:pPr>
              <w:pStyle w:val="ListParagraph"/>
              <w:ind w:left="360"/>
              <w:rPr>
                <w:rFonts w:asciiTheme="majorHAnsi" w:hAnsiTheme="majorHAnsi" w:cstheme="majorHAnsi"/>
                <w:sz w:val="18"/>
                <w:szCs w:val="18"/>
                <w:lang w:val="en-GB"/>
              </w:rPr>
            </w:pPr>
          </w:p>
        </w:tc>
        <w:tc>
          <w:tcPr>
            <w:tcW w:w="1685" w:type="dxa"/>
          </w:tcPr>
          <w:p w14:paraId="7006FAE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Mailing list - 52</w:t>
            </w:r>
          </w:p>
          <w:p w14:paraId="56D551F4"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Facebook - 6</w:t>
            </w:r>
          </w:p>
          <w:p w14:paraId="50B5E13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Twitter - 9</w:t>
            </w:r>
          </w:p>
          <w:p w14:paraId="6C8E0A8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Instagram - 12</w:t>
            </w:r>
          </w:p>
          <w:p w14:paraId="2037513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Website - 7</w:t>
            </w:r>
          </w:p>
          <w:p w14:paraId="0534437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WhatsApp - 21</w:t>
            </w:r>
          </w:p>
          <w:p w14:paraId="02C1299C" w14:textId="7B1E3A05"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Word of mouth - 12</w:t>
            </w:r>
          </w:p>
        </w:tc>
      </w:tr>
      <w:tr w:rsidR="00201347" w:rsidRPr="00E66DA0" w14:paraId="0CA52A84" w14:textId="77777777" w:rsidTr="5AB46587">
        <w:tc>
          <w:tcPr>
            <w:tcW w:w="968" w:type="dxa"/>
          </w:tcPr>
          <w:p w14:paraId="148D1C69" w14:textId="151A740D" w:rsidR="00E66DA0" w:rsidRPr="00E66DA0" w:rsidRDefault="00E66DA0" w:rsidP="002504DF">
            <w:pPr>
              <w:rPr>
                <w:rFonts w:asciiTheme="majorHAnsi" w:hAnsiTheme="majorHAnsi" w:cstheme="majorHAnsi"/>
                <w:sz w:val="18"/>
                <w:szCs w:val="18"/>
                <w:lang w:val="en-GB"/>
              </w:rPr>
            </w:pPr>
            <w:r w:rsidRPr="00E66DA0">
              <w:rPr>
                <w:rFonts w:asciiTheme="majorHAnsi" w:hAnsiTheme="majorHAnsi" w:cstheme="majorHAnsi"/>
                <w:sz w:val="18"/>
                <w:szCs w:val="18"/>
                <w:lang w:val="en-GB"/>
              </w:rPr>
              <w:t>Global Seminar</w:t>
            </w:r>
            <w:r w:rsidR="002504DF">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10</w:t>
            </w:r>
          </w:p>
        </w:tc>
        <w:tc>
          <w:tcPr>
            <w:tcW w:w="1435" w:type="dxa"/>
          </w:tcPr>
          <w:p w14:paraId="0487A1FE"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Zoom - 122</w:t>
            </w:r>
          </w:p>
          <w:p w14:paraId="625E497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Livestream – 14</w:t>
            </w:r>
          </w:p>
          <w:p w14:paraId="5634486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Total - 123</w:t>
            </w:r>
          </w:p>
        </w:tc>
        <w:tc>
          <w:tcPr>
            <w:tcW w:w="853" w:type="dxa"/>
          </w:tcPr>
          <w:p w14:paraId="2ECB1EF1" w14:textId="6631C224"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 – 44</w:t>
            </w:r>
          </w:p>
          <w:p w14:paraId="416ED6DF" w14:textId="1DF1C668"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 - 55</w:t>
            </w:r>
          </w:p>
        </w:tc>
        <w:tc>
          <w:tcPr>
            <w:tcW w:w="991" w:type="dxa"/>
          </w:tcPr>
          <w:p w14:paraId="54360240" w14:textId="21BE3BE5" w:rsidR="00E66DA0" w:rsidRPr="00E66DA0" w:rsidRDefault="00201347" w:rsidP="00E66DA0">
            <w:pPr>
              <w:rPr>
                <w:rFonts w:asciiTheme="majorHAnsi" w:hAnsiTheme="majorHAnsi" w:cstheme="majorHAnsi"/>
                <w:sz w:val="18"/>
                <w:szCs w:val="18"/>
                <w:lang w:val="en-GB"/>
              </w:rPr>
            </w:pPr>
            <w:r>
              <w:rPr>
                <w:rFonts w:asciiTheme="majorHAnsi" w:hAnsiTheme="majorHAnsi" w:cstheme="majorHAnsi"/>
                <w:sz w:val="18"/>
                <w:szCs w:val="18"/>
                <w:lang w:val="en-GB"/>
              </w:rPr>
              <w:t>&lt;</w:t>
            </w:r>
            <w:r w:rsidRPr="00E66DA0">
              <w:rPr>
                <w:rFonts w:asciiTheme="majorHAnsi" w:hAnsiTheme="majorHAnsi" w:cstheme="majorHAnsi"/>
                <w:sz w:val="18"/>
                <w:szCs w:val="18"/>
                <w:lang w:val="en-GB"/>
              </w:rPr>
              <w:t xml:space="preserve">30 </w:t>
            </w:r>
            <w:r w:rsidR="00E66DA0" w:rsidRPr="00E66DA0">
              <w:rPr>
                <w:rFonts w:asciiTheme="majorHAnsi" w:hAnsiTheme="majorHAnsi" w:cstheme="majorHAnsi"/>
                <w:sz w:val="18"/>
                <w:szCs w:val="18"/>
                <w:lang w:val="en-GB"/>
              </w:rPr>
              <w:t>- 22</w:t>
            </w:r>
          </w:p>
          <w:p w14:paraId="370137E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30-39 - 34</w:t>
            </w:r>
          </w:p>
          <w:p w14:paraId="44CA6CE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40-49 - 22</w:t>
            </w:r>
          </w:p>
          <w:p w14:paraId="24C1183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50-59 – 12</w:t>
            </w:r>
          </w:p>
          <w:p w14:paraId="1ECB9DBA" w14:textId="1A3C29BD"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60</w:t>
            </w:r>
            <w:r>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- 10</w:t>
            </w:r>
          </w:p>
        </w:tc>
        <w:tc>
          <w:tcPr>
            <w:tcW w:w="1700" w:type="dxa"/>
          </w:tcPr>
          <w:p w14:paraId="046E9994"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University - 41</w:t>
            </w:r>
          </w:p>
          <w:p w14:paraId="22066E4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Government - 24</w:t>
            </w:r>
          </w:p>
          <w:p w14:paraId="6BC247E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Research/NGO - 19</w:t>
            </w:r>
          </w:p>
          <w:p w14:paraId="174D512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Private sector - 7</w:t>
            </w:r>
          </w:p>
          <w:p w14:paraId="0C2EC56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Media – 1</w:t>
            </w:r>
          </w:p>
          <w:p w14:paraId="79577C1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Retiree - 7</w:t>
            </w:r>
          </w:p>
        </w:tc>
        <w:tc>
          <w:tcPr>
            <w:tcW w:w="1770" w:type="dxa"/>
          </w:tcPr>
          <w:p w14:paraId="2C3FAA36"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25%</w:t>
            </w:r>
          </w:p>
        </w:tc>
        <w:tc>
          <w:tcPr>
            <w:tcW w:w="500" w:type="dxa"/>
          </w:tcPr>
          <w:p w14:paraId="2171B43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Australia - 23</w:t>
            </w:r>
          </w:p>
          <w:p w14:paraId="221B1FE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 7</w:t>
            </w:r>
          </w:p>
          <w:p w14:paraId="05A2F7A6"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Rest of world - 11</w:t>
            </w:r>
          </w:p>
        </w:tc>
        <w:tc>
          <w:tcPr>
            <w:tcW w:w="1913" w:type="dxa"/>
          </w:tcPr>
          <w:p w14:paraId="580346E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Knowledge - 92</w:t>
            </w:r>
          </w:p>
          <w:p w14:paraId="10C44DE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Speakers - 21</w:t>
            </w:r>
          </w:p>
          <w:p w14:paraId="55EDA16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Networking – 12</w:t>
            </w:r>
          </w:p>
          <w:p w14:paraId="1855203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Work requirement - 8</w:t>
            </w:r>
          </w:p>
        </w:tc>
        <w:tc>
          <w:tcPr>
            <w:tcW w:w="1264" w:type="dxa"/>
          </w:tcPr>
          <w:p w14:paraId="14C1C23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Excellent - 40</w:t>
            </w:r>
          </w:p>
          <w:p w14:paraId="684552F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Very good - 47</w:t>
            </w:r>
          </w:p>
        </w:tc>
        <w:tc>
          <w:tcPr>
            <w:tcW w:w="950" w:type="dxa"/>
          </w:tcPr>
          <w:p w14:paraId="468D698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Yes - 95</w:t>
            </w:r>
          </w:p>
          <w:p w14:paraId="3A176EE3" w14:textId="77777777" w:rsidR="00E66DA0" w:rsidRPr="00E66DA0" w:rsidRDefault="00E66DA0" w:rsidP="00E66DA0">
            <w:pPr>
              <w:rPr>
                <w:rFonts w:asciiTheme="majorHAnsi" w:hAnsiTheme="majorHAnsi" w:cstheme="majorHAnsi"/>
                <w:sz w:val="18"/>
                <w:szCs w:val="18"/>
                <w:lang w:val="en-GB"/>
              </w:rPr>
            </w:pPr>
          </w:p>
        </w:tc>
        <w:tc>
          <w:tcPr>
            <w:tcW w:w="1685" w:type="dxa"/>
          </w:tcPr>
          <w:p w14:paraId="3005CF6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Mailing list - 47</w:t>
            </w:r>
          </w:p>
          <w:p w14:paraId="69F3AE6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Facebook - 4</w:t>
            </w:r>
          </w:p>
          <w:p w14:paraId="4476F13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Twitter - 13</w:t>
            </w:r>
          </w:p>
          <w:p w14:paraId="2210F3F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Instagram - 6</w:t>
            </w:r>
          </w:p>
          <w:p w14:paraId="7F6B5564"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Website - 2</w:t>
            </w:r>
          </w:p>
          <w:p w14:paraId="53B7CC4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WhatsApp - 22</w:t>
            </w:r>
          </w:p>
          <w:p w14:paraId="2CF6A1AD" w14:textId="208DCDD5"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Word of mouth - 5</w:t>
            </w:r>
          </w:p>
        </w:tc>
      </w:tr>
      <w:tr w:rsidR="00201347" w:rsidRPr="00E66DA0" w14:paraId="1A19F44E" w14:textId="77777777" w:rsidTr="5AB46587">
        <w:tc>
          <w:tcPr>
            <w:tcW w:w="968" w:type="dxa"/>
          </w:tcPr>
          <w:p w14:paraId="7A74A6CC" w14:textId="5495C97B" w:rsidR="00E66DA0" w:rsidRPr="00E66DA0" w:rsidRDefault="00E66DA0" w:rsidP="002504DF">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Update</w:t>
            </w:r>
            <w:r w:rsidR="002504DF">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5</w:t>
            </w:r>
          </w:p>
        </w:tc>
        <w:tc>
          <w:tcPr>
            <w:tcW w:w="1435" w:type="dxa"/>
          </w:tcPr>
          <w:p w14:paraId="682FC9E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 person - 244</w:t>
            </w:r>
          </w:p>
          <w:p w14:paraId="0C61B56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Zoom - 266</w:t>
            </w:r>
          </w:p>
          <w:p w14:paraId="1B790E6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Livestream – 561</w:t>
            </w:r>
          </w:p>
          <w:p w14:paraId="0E29708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Total - 846</w:t>
            </w:r>
          </w:p>
        </w:tc>
        <w:tc>
          <w:tcPr>
            <w:tcW w:w="853" w:type="dxa"/>
          </w:tcPr>
          <w:p w14:paraId="66CF14AE" w14:textId="5F5549C3"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 - 50</w:t>
            </w:r>
          </w:p>
          <w:p w14:paraId="31593A0B" w14:textId="65FBB0B4"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 - 49</w:t>
            </w:r>
          </w:p>
        </w:tc>
        <w:tc>
          <w:tcPr>
            <w:tcW w:w="991" w:type="dxa"/>
          </w:tcPr>
          <w:p w14:paraId="471481E0" w14:textId="6F502428" w:rsidR="00E66DA0" w:rsidRPr="00E66DA0" w:rsidRDefault="00201347" w:rsidP="00E66DA0">
            <w:pPr>
              <w:rPr>
                <w:rFonts w:asciiTheme="majorHAnsi" w:hAnsiTheme="majorHAnsi" w:cstheme="majorHAnsi"/>
                <w:sz w:val="18"/>
                <w:szCs w:val="18"/>
                <w:lang w:val="en-GB"/>
              </w:rPr>
            </w:pPr>
            <w:r>
              <w:rPr>
                <w:rFonts w:asciiTheme="majorHAnsi" w:hAnsiTheme="majorHAnsi" w:cstheme="majorHAnsi"/>
                <w:sz w:val="18"/>
                <w:szCs w:val="18"/>
                <w:lang w:val="en-GB"/>
              </w:rPr>
              <w:t>&lt;</w:t>
            </w:r>
            <w:r w:rsidRPr="00E66DA0">
              <w:rPr>
                <w:rFonts w:asciiTheme="majorHAnsi" w:hAnsiTheme="majorHAnsi" w:cstheme="majorHAnsi"/>
                <w:sz w:val="18"/>
                <w:szCs w:val="18"/>
                <w:lang w:val="en-GB"/>
              </w:rPr>
              <w:t xml:space="preserve">30 </w:t>
            </w:r>
            <w:r w:rsidR="00E66DA0" w:rsidRPr="00E66DA0">
              <w:rPr>
                <w:rFonts w:asciiTheme="majorHAnsi" w:hAnsiTheme="majorHAnsi" w:cstheme="majorHAnsi"/>
                <w:sz w:val="18"/>
                <w:szCs w:val="18"/>
                <w:lang w:val="en-GB"/>
              </w:rPr>
              <w:t>- 23</w:t>
            </w:r>
          </w:p>
          <w:p w14:paraId="78C74BF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30-39 - 30</w:t>
            </w:r>
          </w:p>
          <w:p w14:paraId="10B9F13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40-49 - 22</w:t>
            </w:r>
          </w:p>
          <w:p w14:paraId="4866899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50-59 – 14</w:t>
            </w:r>
          </w:p>
          <w:p w14:paraId="20B946D1" w14:textId="297E397A"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60</w:t>
            </w:r>
            <w:r>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 xml:space="preserve">– 12 </w:t>
            </w:r>
          </w:p>
        </w:tc>
        <w:tc>
          <w:tcPr>
            <w:tcW w:w="1700" w:type="dxa"/>
          </w:tcPr>
          <w:p w14:paraId="7EDE750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University - 44</w:t>
            </w:r>
          </w:p>
          <w:p w14:paraId="373D453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Government - 16</w:t>
            </w:r>
          </w:p>
          <w:p w14:paraId="44964D5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Research/NGO - 20</w:t>
            </w:r>
          </w:p>
          <w:p w14:paraId="5521D91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Private sector - 11</w:t>
            </w:r>
          </w:p>
          <w:p w14:paraId="0E9178E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Media - 1</w:t>
            </w:r>
          </w:p>
          <w:p w14:paraId="7DD82F4C" w14:textId="77777777" w:rsidR="00E66DA0" w:rsidRPr="00E66DA0" w:rsidRDefault="00E66DA0" w:rsidP="00E66DA0">
            <w:pPr>
              <w:rPr>
                <w:rFonts w:asciiTheme="majorHAnsi" w:hAnsiTheme="majorHAnsi" w:cstheme="majorHAnsi"/>
                <w:sz w:val="18"/>
                <w:szCs w:val="18"/>
                <w:lang w:val="en-GB"/>
              </w:rPr>
            </w:pPr>
          </w:p>
        </w:tc>
        <w:tc>
          <w:tcPr>
            <w:tcW w:w="1770" w:type="dxa"/>
          </w:tcPr>
          <w:p w14:paraId="699B80B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27%</w:t>
            </w:r>
          </w:p>
        </w:tc>
        <w:tc>
          <w:tcPr>
            <w:tcW w:w="500" w:type="dxa"/>
          </w:tcPr>
          <w:p w14:paraId="0DA54A3E"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Australia - 18</w:t>
            </w:r>
          </w:p>
          <w:p w14:paraId="191DDFA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 75</w:t>
            </w:r>
          </w:p>
          <w:p w14:paraId="2A18D25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Rest of world - 8</w:t>
            </w:r>
          </w:p>
        </w:tc>
        <w:tc>
          <w:tcPr>
            <w:tcW w:w="1913" w:type="dxa"/>
          </w:tcPr>
          <w:p w14:paraId="15495B6C"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Knowledge - 83</w:t>
            </w:r>
          </w:p>
          <w:p w14:paraId="3A450A96"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Speakers - 24</w:t>
            </w:r>
          </w:p>
          <w:p w14:paraId="05B3F9D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Networking – 14</w:t>
            </w:r>
          </w:p>
          <w:p w14:paraId="6485067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Work requirement – 15</w:t>
            </w:r>
          </w:p>
          <w:p w14:paraId="5E562779" w14:textId="77777777" w:rsidR="00E66DA0" w:rsidRPr="00E66DA0" w:rsidRDefault="00E66DA0" w:rsidP="00E66DA0">
            <w:pPr>
              <w:rPr>
                <w:rFonts w:asciiTheme="majorHAnsi" w:hAnsiTheme="majorHAnsi" w:cstheme="majorHAnsi"/>
                <w:sz w:val="18"/>
                <w:szCs w:val="18"/>
                <w:lang w:val="en-GB"/>
              </w:rPr>
            </w:pPr>
          </w:p>
        </w:tc>
        <w:tc>
          <w:tcPr>
            <w:tcW w:w="1264" w:type="dxa"/>
          </w:tcPr>
          <w:p w14:paraId="2A352CCB"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Excellent – 55</w:t>
            </w:r>
          </w:p>
          <w:p w14:paraId="5504276F"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Very good - 45</w:t>
            </w:r>
          </w:p>
        </w:tc>
        <w:tc>
          <w:tcPr>
            <w:tcW w:w="950" w:type="dxa"/>
          </w:tcPr>
          <w:p w14:paraId="1B69B64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Yes - 95</w:t>
            </w:r>
          </w:p>
          <w:p w14:paraId="41836DCE" w14:textId="77777777" w:rsidR="00E66DA0" w:rsidRPr="00E66DA0" w:rsidRDefault="00E66DA0" w:rsidP="00E66DA0">
            <w:pPr>
              <w:rPr>
                <w:rFonts w:asciiTheme="majorHAnsi" w:hAnsiTheme="majorHAnsi" w:cstheme="majorHAnsi"/>
                <w:sz w:val="18"/>
                <w:szCs w:val="18"/>
                <w:lang w:val="en-GB"/>
              </w:rPr>
            </w:pPr>
          </w:p>
        </w:tc>
        <w:tc>
          <w:tcPr>
            <w:tcW w:w="1685" w:type="dxa"/>
          </w:tcPr>
          <w:p w14:paraId="6A185CC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Mailing list - 36</w:t>
            </w:r>
          </w:p>
          <w:p w14:paraId="43AB986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Facebook - 2</w:t>
            </w:r>
          </w:p>
          <w:p w14:paraId="29019E8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Twitter - 6</w:t>
            </w:r>
          </w:p>
          <w:p w14:paraId="3E2B59F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Instagram - 9</w:t>
            </w:r>
          </w:p>
          <w:p w14:paraId="20281A8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Website - 5</w:t>
            </w:r>
          </w:p>
          <w:p w14:paraId="3D8F4C5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WhatsApp - 20</w:t>
            </w:r>
          </w:p>
          <w:p w14:paraId="7FB33C37" w14:textId="2AF8A990"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Word of mouth - 12</w:t>
            </w:r>
          </w:p>
        </w:tc>
      </w:tr>
      <w:tr w:rsidR="00201347" w:rsidRPr="00E66DA0" w14:paraId="5316DEC3" w14:textId="77777777" w:rsidTr="5AB46587">
        <w:tc>
          <w:tcPr>
            <w:tcW w:w="968" w:type="dxa"/>
          </w:tcPr>
          <w:p w14:paraId="498E5693" w14:textId="0EACB0AF" w:rsidR="00E66DA0" w:rsidRPr="00E66DA0" w:rsidRDefault="00E66DA0" w:rsidP="002504DF">
            <w:pPr>
              <w:rPr>
                <w:rFonts w:asciiTheme="majorHAnsi" w:hAnsiTheme="majorHAnsi" w:cstheme="majorHAnsi"/>
                <w:sz w:val="18"/>
                <w:szCs w:val="18"/>
                <w:lang w:val="en-GB"/>
              </w:rPr>
            </w:pPr>
            <w:r w:rsidRPr="00E66DA0">
              <w:rPr>
                <w:rFonts w:asciiTheme="majorHAnsi" w:hAnsiTheme="majorHAnsi" w:cstheme="majorHAnsi"/>
                <w:sz w:val="18"/>
                <w:szCs w:val="18"/>
                <w:lang w:val="en-GB"/>
              </w:rPr>
              <w:t>GEDSI lectures</w:t>
            </w:r>
            <w:r w:rsidR="002504DF">
              <w:rPr>
                <w:rFonts w:asciiTheme="majorHAnsi" w:hAnsiTheme="majorHAnsi" w:cstheme="majorHAnsi"/>
                <w:sz w:val="18"/>
                <w:szCs w:val="18"/>
                <w:lang w:val="en-GB"/>
              </w:rPr>
              <w:t xml:space="preserve"> </w:t>
            </w:r>
            <w:r w:rsidRPr="00E66DA0">
              <w:rPr>
                <w:rFonts w:asciiTheme="majorHAnsi" w:hAnsiTheme="majorHAnsi" w:cstheme="majorHAnsi"/>
                <w:sz w:val="18"/>
                <w:szCs w:val="18"/>
                <w:lang w:val="en-GB"/>
              </w:rPr>
              <w:t>6</w:t>
            </w:r>
          </w:p>
        </w:tc>
        <w:tc>
          <w:tcPr>
            <w:tcW w:w="1435" w:type="dxa"/>
          </w:tcPr>
          <w:p w14:paraId="749C155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 person - 158</w:t>
            </w:r>
          </w:p>
          <w:p w14:paraId="22EBF04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Zoom - 201</w:t>
            </w:r>
          </w:p>
          <w:p w14:paraId="506D412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Livestream – 106</w:t>
            </w:r>
          </w:p>
          <w:p w14:paraId="0A68ACC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Total - 465</w:t>
            </w:r>
          </w:p>
        </w:tc>
        <w:tc>
          <w:tcPr>
            <w:tcW w:w="853" w:type="dxa"/>
          </w:tcPr>
          <w:p w14:paraId="6CB98963" w14:textId="180A41FA"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F – 54</w:t>
            </w:r>
          </w:p>
          <w:p w14:paraId="24D88A29" w14:textId="7763934E"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w:t>
            </w:r>
            <w:r w:rsidR="00201347">
              <w:rPr>
                <w:rFonts w:asciiTheme="majorHAnsi" w:hAnsiTheme="majorHAnsi" w:cstheme="majorHAnsi"/>
                <w:sz w:val="18"/>
                <w:szCs w:val="18"/>
                <w:lang w:val="en-GB"/>
              </w:rPr>
              <w:t xml:space="preserve"> – </w:t>
            </w:r>
            <w:r w:rsidRPr="00E66DA0">
              <w:rPr>
                <w:rFonts w:asciiTheme="majorHAnsi" w:hAnsiTheme="majorHAnsi" w:cstheme="majorHAnsi"/>
                <w:sz w:val="18"/>
                <w:szCs w:val="18"/>
                <w:lang w:val="en-GB"/>
              </w:rPr>
              <w:t>46</w:t>
            </w:r>
          </w:p>
        </w:tc>
        <w:tc>
          <w:tcPr>
            <w:tcW w:w="991" w:type="dxa"/>
          </w:tcPr>
          <w:p w14:paraId="22390FA7" w14:textId="2B0D9878" w:rsidR="00E66DA0" w:rsidRPr="00E66DA0" w:rsidRDefault="00201347" w:rsidP="00E66DA0">
            <w:pPr>
              <w:rPr>
                <w:rFonts w:asciiTheme="majorHAnsi" w:hAnsiTheme="majorHAnsi" w:cstheme="majorHAnsi"/>
                <w:sz w:val="18"/>
                <w:szCs w:val="18"/>
                <w:lang w:val="en-GB"/>
              </w:rPr>
            </w:pPr>
            <w:r>
              <w:rPr>
                <w:rFonts w:asciiTheme="majorHAnsi" w:hAnsiTheme="majorHAnsi" w:cstheme="majorHAnsi"/>
                <w:sz w:val="18"/>
                <w:szCs w:val="18"/>
                <w:lang w:val="en-GB"/>
              </w:rPr>
              <w:t>&lt;</w:t>
            </w:r>
            <w:r w:rsidRPr="00E66DA0">
              <w:rPr>
                <w:rFonts w:asciiTheme="majorHAnsi" w:hAnsiTheme="majorHAnsi" w:cstheme="majorHAnsi"/>
                <w:sz w:val="18"/>
                <w:szCs w:val="18"/>
                <w:lang w:val="en-GB"/>
              </w:rPr>
              <w:t xml:space="preserve">30 </w:t>
            </w:r>
            <w:r w:rsidR="00E66DA0" w:rsidRPr="00E66DA0">
              <w:rPr>
                <w:rFonts w:asciiTheme="majorHAnsi" w:hAnsiTheme="majorHAnsi" w:cstheme="majorHAnsi"/>
                <w:sz w:val="18"/>
                <w:szCs w:val="18"/>
                <w:lang w:val="en-GB"/>
              </w:rPr>
              <w:t>- 31</w:t>
            </w:r>
          </w:p>
          <w:p w14:paraId="021A3B76"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30-39 - 34</w:t>
            </w:r>
          </w:p>
          <w:p w14:paraId="4367BD6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40-49 - 19</w:t>
            </w:r>
          </w:p>
          <w:p w14:paraId="7DDA510A"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50-59 - 10</w:t>
            </w:r>
          </w:p>
          <w:p w14:paraId="3B63F30E" w14:textId="6151AF92" w:rsidR="00E66DA0" w:rsidRPr="00E66DA0" w:rsidRDefault="00201347" w:rsidP="00E66DA0">
            <w:pPr>
              <w:rPr>
                <w:rFonts w:asciiTheme="majorHAnsi" w:hAnsiTheme="majorHAnsi" w:cstheme="majorHAnsi"/>
                <w:sz w:val="18"/>
                <w:szCs w:val="18"/>
                <w:lang w:val="en-GB"/>
              </w:rPr>
            </w:pPr>
            <w:r>
              <w:rPr>
                <w:rFonts w:asciiTheme="majorHAnsi" w:hAnsiTheme="majorHAnsi" w:cstheme="majorHAnsi"/>
                <w:sz w:val="18"/>
                <w:szCs w:val="18"/>
                <w:lang w:val="en-GB"/>
              </w:rPr>
              <w:t>60+</w:t>
            </w:r>
            <w:r w:rsidR="00E66DA0" w:rsidRPr="00E66DA0">
              <w:rPr>
                <w:rFonts w:asciiTheme="majorHAnsi" w:hAnsiTheme="majorHAnsi" w:cstheme="majorHAnsi"/>
                <w:sz w:val="18"/>
                <w:szCs w:val="18"/>
                <w:lang w:val="en-GB"/>
              </w:rPr>
              <w:t xml:space="preserve"> - 7</w:t>
            </w:r>
          </w:p>
        </w:tc>
        <w:tc>
          <w:tcPr>
            <w:tcW w:w="1700" w:type="dxa"/>
          </w:tcPr>
          <w:p w14:paraId="047034D5"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University - 46</w:t>
            </w:r>
          </w:p>
          <w:p w14:paraId="5FA7939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Government - 25</w:t>
            </w:r>
          </w:p>
          <w:p w14:paraId="3AD4E064"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Research/NGO - 18</w:t>
            </w:r>
          </w:p>
          <w:p w14:paraId="13B1377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Private sector - 5</w:t>
            </w:r>
          </w:p>
          <w:p w14:paraId="10A8BF1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Media – 3</w:t>
            </w:r>
          </w:p>
          <w:p w14:paraId="0C7735E4" w14:textId="2F306852"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Retiree - 2</w:t>
            </w:r>
          </w:p>
        </w:tc>
        <w:tc>
          <w:tcPr>
            <w:tcW w:w="1770" w:type="dxa"/>
          </w:tcPr>
          <w:p w14:paraId="545B221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30%</w:t>
            </w:r>
          </w:p>
        </w:tc>
        <w:tc>
          <w:tcPr>
            <w:tcW w:w="500" w:type="dxa"/>
          </w:tcPr>
          <w:p w14:paraId="4737203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Australia - 10</w:t>
            </w:r>
          </w:p>
          <w:p w14:paraId="28DC051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Indonesia – 84</w:t>
            </w:r>
          </w:p>
          <w:p w14:paraId="1BBB5FA1"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Rest of world - 6</w:t>
            </w:r>
          </w:p>
        </w:tc>
        <w:tc>
          <w:tcPr>
            <w:tcW w:w="1913" w:type="dxa"/>
          </w:tcPr>
          <w:p w14:paraId="7E50600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Knowledge - 85</w:t>
            </w:r>
          </w:p>
          <w:p w14:paraId="6C80E3C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Speakers - 27</w:t>
            </w:r>
          </w:p>
          <w:p w14:paraId="27AE3CA8"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Networking – 117</w:t>
            </w:r>
          </w:p>
          <w:p w14:paraId="6259AEE7"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Work requirement - 12</w:t>
            </w:r>
          </w:p>
        </w:tc>
        <w:tc>
          <w:tcPr>
            <w:tcW w:w="1264" w:type="dxa"/>
          </w:tcPr>
          <w:p w14:paraId="2597C4C3" w14:textId="77777777" w:rsidR="00E66DA0" w:rsidRPr="00E66DA0" w:rsidRDefault="00E66DA0" w:rsidP="00E66DA0">
            <w:pPr>
              <w:rPr>
                <w:rFonts w:asciiTheme="majorHAnsi" w:hAnsiTheme="majorHAnsi" w:cstheme="majorHAnsi"/>
                <w:sz w:val="18"/>
                <w:szCs w:val="18"/>
                <w:lang w:val="en-GB"/>
              </w:rPr>
            </w:pPr>
            <w:proofErr w:type="gramStart"/>
            <w:r w:rsidRPr="00E66DA0">
              <w:rPr>
                <w:rFonts w:asciiTheme="majorHAnsi" w:hAnsiTheme="majorHAnsi" w:cstheme="majorHAnsi"/>
                <w:sz w:val="18"/>
                <w:szCs w:val="18"/>
                <w:lang w:val="en-GB"/>
              </w:rPr>
              <w:lastRenderedPageBreak/>
              <w:t>Excellent  -</w:t>
            </w:r>
            <w:proofErr w:type="gramEnd"/>
            <w:r w:rsidRPr="00E66DA0">
              <w:rPr>
                <w:rFonts w:asciiTheme="majorHAnsi" w:hAnsiTheme="majorHAnsi" w:cstheme="majorHAnsi"/>
                <w:sz w:val="18"/>
                <w:szCs w:val="18"/>
                <w:lang w:val="en-GB"/>
              </w:rPr>
              <w:t xml:space="preserve"> 51</w:t>
            </w:r>
          </w:p>
          <w:p w14:paraId="4A64357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Very good - 33</w:t>
            </w:r>
          </w:p>
        </w:tc>
        <w:tc>
          <w:tcPr>
            <w:tcW w:w="950" w:type="dxa"/>
          </w:tcPr>
          <w:p w14:paraId="016330A2"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Yes - 97</w:t>
            </w:r>
          </w:p>
          <w:p w14:paraId="554D5EA3" w14:textId="77777777" w:rsidR="00E66DA0" w:rsidRPr="00E66DA0" w:rsidRDefault="00E66DA0" w:rsidP="00E66DA0">
            <w:pPr>
              <w:rPr>
                <w:rFonts w:asciiTheme="majorHAnsi" w:hAnsiTheme="majorHAnsi" w:cstheme="majorHAnsi"/>
                <w:sz w:val="18"/>
                <w:szCs w:val="18"/>
                <w:lang w:val="en-GB"/>
              </w:rPr>
            </w:pPr>
          </w:p>
        </w:tc>
        <w:tc>
          <w:tcPr>
            <w:tcW w:w="1685" w:type="dxa"/>
          </w:tcPr>
          <w:p w14:paraId="14347E5E"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Mailing list - 42</w:t>
            </w:r>
          </w:p>
          <w:p w14:paraId="3CE09159"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Facebook - 2</w:t>
            </w:r>
          </w:p>
          <w:p w14:paraId="0E34DBD3"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Twitter - 4</w:t>
            </w:r>
          </w:p>
          <w:p w14:paraId="1CE1F4FD"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Instagram - 18</w:t>
            </w:r>
          </w:p>
          <w:p w14:paraId="23803E64"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lastRenderedPageBreak/>
              <w:t>Website - 3</w:t>
            </w:r>
          </w:p>
          <w:p w14:paraId="09E649D0" w14:textId="77777777"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 xml:space="preserve">WhatsApp – 21 </w:t>
            </w:r>
          </w:p>
          <w:p w14:paraId="3F70526C" w14:textId="51A4C342" w:rsidR="00E66DA0" w:rsidRPr="00E66DA0" w:rsidRDefault="00E66DA0" w:rsidP="00E66DA0">
            <w:pPr>
              <w:rPr>
                <w:rFonts w:asciiTheme="majorHAnsi" w:hAnsiTheme="majorHAnsi" w:cstheme="majorHAnsi"/>
                <w:sz w:val="18"/>
                <w:szCs w:val="18"/>
                <w:lang w:val="en-GB"/>
              </w:rPr>
            </w:pPr>
            <w:r w:rsidRPr="00E66DA0">
              <w:rPr>
                <w:rFonts w:asciiTheme="majorHAnsi" w:hAnsiTheme="majorHAnsi" w:cstheme="majorHAnsi"/>
                <w:sz w:val="18"/>
                <w:szCs w:val="18"/>
                <w:lang w:val="en-GB"/>
              </w:rPr>
              <w:t>Word of mouth - 8</w:t>
            </w:r>
          </w:p>
        </w:tc>
      </w:tr>
    </w:tbl>
    <w:p w14:paraId="1CB89506" w14:textId="77777777" w:rsidR="000E7876" w:rsidRDefault="000E7876" w:rsidP="00FE1292">
      <w:pPr>
        <w:rPr>
          <w:rFonts w:eastAsiaTheme="minorHAnsi"/>
          <w:lang w:val="en-GB"/>
        </w:rPr>
      </w:pPr>
    </w:p>
    <w:p w14:paraId="4F9C5FDC" w14:textId="77777777" w:rsidR="000E7876" w:rsidRDefault="000E7876" w:rsidP="00FE1292">
      <w:pPr>
        <w:rPr>
          <w:rFonts w:eastAsiaTheme="minorHAnsi"/>
          <w:lang w:val="en-GB"/>
        </w:rPr>
        <w:sectPr w:rsidR="000E7876" w:rsidSect="00624CE6">
          <w:type w:val="continuous"/>
          <w:pgSz w:w="16838" w:h="11906" w:orient="landscape"/>
          <w:pgMar w:top="1440" w:right="1440" w:bottom="1440" w:left="1440" w:header="709" w:footer="709" w:gutter="0"/>
          <w:cols w:space="565"/>
          <w:docGrid w:linePitch="360"/>
        </w:sectPr>
      </w:pPr>
    </w:p>
    <w:p w14:paraId="45E07E7C" w14:textId="2D5F06CA" w:rsidR="002E7105" w:rsidRPr="00FE0449" w:rsidRDefault="002E7105" w:rsidP="00FE0449">
      <w:pPr>
        <w:pStyle w:val="Heading1"/>
      </w:pPr>
      <w:bookmarkStart w:id="28" w:name="_Toc219232336"/>
      <w:r w:rsidRPr="00FE0449">
        <w:lastRenderedPageBreak/>
        <w:t xml:space="preserve">Appendix 3: </w:t>
      </w:r>
      <w:r w:rsidR="000E7876" w:rsidRPr="00FE0449">
        <w:t>Journal and communications</w:t>
      </w:r>
      <w:r w:rsidRPr="00FE0449">
        <w:t xml:space="preserve"> </w:t>
      </w:r>
      <w:r w:rsidR="00A37649" w:rsidRPr="00FE0449">
        <w:t>m</w:t>
      </w:r>
      <w:r w:rsidRPr="00FE0449">
        <w:t>etrics</w:t>
      </w:r>
      <w:bookmarkEnd w:id="28"/>
      <w:r w:rsidRPr="00FE0449">
        <w:t xml:space="preserve"> </w:t>
      </w:r>
    </w:p>
    <w:p w14:paraId="61BCE704" w14:textId="77777777" w:rsidR="002E7105" w:rsidRPr="002F695B" w:rsidRDefault="002E7105" w:rsidP="00385300">
      <w:pPr>
        <w:pStyle w:val="Heading2"/>
        <w:rPr>
          <w:lang w:val="en-GB"/>
        </w:rPr>
      </w:pPr>
      <w:r w:rsidRPr="002F695B">
        <w:rPr>
          <w:lang w:val="en-GB"/>
        </w:rPr>
        <w:t xml:space="preserve">BIES journal metrics 2018–2024 </w:t>
      </w: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03"/>
        <w:gridCol w:w="1027"/>
        <w:gridCol w:w="993"/>
        <w:gridCol w:w="992"/>
        <w:gridCol w:w="1134"/>
        <w:gridCol w:w="992"/>
        <w:gridCol w:w="992"/>
        <w:gridCol w:w="1134"/>
      </w:tblGrid>
      <w:tr w:rsidR="002E7105" w14:paraId="06B4F9D4" w14:textId="77777777" w:rsidTr="008274E7">
        <w:trPr>
          <w:tblHeader/>
        </w:trPr>
        <w:tc>
          <w:tcPr>
            <w:tcW w:w="1803" w:type="dxa"/>
            <w:shd w:val="clear" w:color="auto" w:fill="B4C6E7" w:themeFill="accent1" w:themeFillTint="66"/>
          </w:tcPr>
          <w:p w14:paraId="26F7815C"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Journal metric</w:t>
            </w:r>
          </w:p>
        </w:tc>
        <w:tc>
          <w:tcPr>
            <w:tcW w:w="1027" w:type="dxa"/>
            <w:shd w:val="clear" w:color="auto" w:fill="B4C6E7" w:themeFill="accent1" w:themeFillTint="66"/>
          </w:tcPr>
          <w:p w14:paraId="002A7866"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2018</w:t>
            </w:r>
          </w:p>
        </w:tc>
        <w:tc>
          <w:tcPr>
            <w:tcW w:w="993" w:type="dxa"/>
            <w:shd w:val="clear" w:color="auto" w:fill="B4C6E7" w:themeFill="accent1" w:themeFillTint="66"/>
          </w:tcPr>
          <w:p w14:paraId="78598996"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2019</w:t>
            </w:r>
          </w:p>
        </w:tc>
        <w:tc>
          <w:tcPr>
            <w:tcW w:w="992" w:type="dxa"/>
            <w:shd w:val="clear" w:color="auto" w:fill="B4C6E7" w:themeFill="accent1" w:themeFillTint="66"/>
          </w:tcPr>
          <w:p w14:paraId="1E0049F7"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2020</w:t>
            </w:r>
          </w:p>
        </w:tc>
        <w:tc>
          <w:tcPr>
            <w:tcW w:w="1134" w:type="dxa"/>
            <w:shd w:val="clear" w:color="auto" w:fill="B4C6E7" w:themeFill="accent1" w:themeFillTint="66"/>
          </w:tcPr>
          <w:p w14:paraId="0C223E02"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2021</w:t>
            </w:r>
          </w:p>
        </w:tc>
        <w:tc>
          <w:tcPr>
            <w:tcW w:w="992" w:type="dxa"/>
            <w:shd w:val="clear" w:color="auto" w:fill="B4C6E7" w:themeFill="accent1" w:themeFillTint="66"/>
          </w:tcPr>
          <w:p w14:paraId="18B18BD3"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2022</w:t>
            </w:r>
          </w:p>
        </w:tc>
        <w:tc>
          <w:tcPr>
            <w:tcW w:w="992" w:type="dxa"/>
            <w:shd w:val="clear" w:color="auto" w:fill="B4C6E7" w:themeFill="accent1" w:themeFillTint="66"/>
          </w:tcPr>
          <w:p w14:paraId="6E4DE0DC"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2023</w:t>
            </w:r>
          </w:p>
        </w:tc>
        <w:tc>
          <w:tcPr>
            <w:tcW w:w="1134" w:type="dxa"/>
            <w:shd w:val="clear" w:color="auto" w:fill="B4C6E7" w:themeFill="accent1" w:themeFillTint="66"/>
          </w:tcPr>
          <w:p w14:paraId="3CB85581" w14:textId="77777777" w:rsidR="002E7105" w:rsidRPr="00150284" w:rsidRDefault="002E7105">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2024</w:t>
            </w:r>
          </w:p>
        </w:tc>
      </w:tr>
      <w:tr w:rsidR="002E7105" w14:paraId="16E0A4C0" w14:textId="77777777">
        <w:tc>
          <w:tcPr>
            <w:tcW w:w="1803" w:type="dxa"/>
          </w:tcPr>
          <w:p w14:paraId="67E0E3D3"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Article download</w:t>
            </w:r>
          </w:p>
        </w:tc>
        <w:tc>
          <w:tcPr>
            <w:tcW w:w="1027" w:type="dxa"/>
          </w:tcPr>
          <w:p w14:paraId="3990FD21"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60,738</w:t>
            </w:r>
          </w:p>
        </w:tc>
        <w:tc>
          <w:tcPr>
            <w:tcW w:w="993" w:type="dxa"/>
          </w:tcPr>
          <w:p w14:paraId="0A4BAEE9"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1481E4E8"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1134" w:type="dxa"/>
          </w:tcPr>
          <w:p w14:paraId="56375DF7"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251CA3B9"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56C1C5A0" w14:textId="25CFD5B5" w:rsidR="002E7105" w:rsidRPr="00AD6949" w:rsidRDefault="00B7494C">
            <w:pPr>
              <w:rPr>
                <w:rFonts w:asciiTheme="majorHAnsi" w:hAnsiTheme="majorHAnsi" w:cstheme="majorHAnsi"/>
                <w:sz w:val="18"/>
                <w:szCs w:val="18"/>
              </w:rPr>
            </w:pPr>
            <w:r>
              <w:rPr>
                <w:rFonts w:asciiTheme="majorHAnsi" w:hAnsiTheme="majorHAnsi" w:cstheme="majorHAnsi"/>
                <w:sz w:val="18"/>
                <w:szCs w:val="18"/>
              </w:rPr>
              <w:t>112,239</w:t>
            </w:r>
          </w:p>
        </w:tc>
        <w:tc>
          <w:tcPr>
            <w:tcW w:w="1134" w:type="dxa"/>
          </w:tcPr>
          <w:p w14:paraId="62C767A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125,000</w:t>
            </w:r>
          </w:p>
        </w:tc>
      </w:tr>
      <w:tr w:rsidR="00CE65AC" w14:paraId="091B9755" w14:textId="77777777">
        <w:tc>
          <w:tcPr>
            <w:tcW w:w="1803" w:type="dxa"/>
          </w:tcPr>
          <w:p w14:paraId="24879A57" w14:textId="08DA2AA6" w:rsidR="00CE65AC" w:rsidRPr="00AD6949" w:rsidRDefault="00CE65AC" w:rsidP="00CE65AC">
            <w:pPr>
              <w:rPr>
                <w:rFonts w:asciiTheme="majorHAnsi" w:hAnsiTheme="majorHAnsi" w:cstheme="majorHAnsi"/>
                <w:sz w:val="18"/>
                <w:szCs w:val="18"/>
              </w:rPr>
            </w:pPr>
            <w:r>
              <w:rPr>
                <w:rFonts w:asciiTheme="majorHAnsi" w:hAnsiTheme="majorHAnsi" w:cstheme="majorHAnsi"/>
                <w:sz w:val="18"/>
                <w:szCs w:val="18"/>
              </w:rPr>
              <w:t>Subscriptions</w:t>
            </w:r>
          </w:p>
        </w:tc>
        <w:tc>
          <w:tcPr>
            <w:tcW w:w="1027" w:type="dxa"/>
          </w:tcPr>
          <w:p w14:paraId="0138CF74" w14:textId="134E63BB" w:rsidR="00CE65AC" w:rsidRPr="00AD6949" w:rsidRDefault="00CE65AC" w:rsidP="00CE65AC">
            <w:pPr>
              <w:rPr>
                <w:rFonts w:asciiTheme="majorHAnsi" w:hAnsiTheme="majorHAnsi" w:cstheme="majorHAnsi"/>
                <w:sz w:val="18"/>
                <w:szCs w:val="18"/>
              </w:rPr>
            </w:pPr>
            <w:r w:rsidRPr="00F2394F">
              <w:rPr>
                <w:rFonts w:asciiTheme="majorHAnsi" w:hAnsiTheme="majorHAnsi" w:cstheme="majorHAnsi"/>
                <w:sz w:val="18"/>
                <w:szCs w:val="18"/>
              </w:rPr>
              <w:t>N/A</w:t>
            </w:r>
          </w:p>
        </w:tc>
        <w:tc>
          <w:tcPr>
            <w:tcW w:w="993" w:type="dxa"/>
          </w:tcPr>
          <w:p w14:paraId="7B7B526E" w14:textId="4154C8E9" w:rsidR="00CE65AC" w:rsidRPr="00C345A2" w:rsidRDefault="00CE65AC" w:rsidP="00CE65AC">
            <w:pPr>
              <w:rPr>
                <w:rFonts w:asciiTheme="majorHAnsi" w:hAnsiTheme="majorHAnsi" w:cstheme="majorHAnsi"/>
                <w:sz w:val="18"/>
                <w:szCs w:val="18"/>
              </w:rPr>
            </w:pPr>
            <w:r w:rsidRPr="00F2394F">
              <w:rPr>
                <w:rFonts w:asciiTheme="majorHAnsi" w:hAnsiTheme="majorHAnsi" w:cstheme="majorHAnsi"/>
                <w:sz w:val="18"/>
                <w:szCs w:val="18"/>
              </w:rPr>
              <w:t>N/A</w:t>
            </w:r>
          </w:p>
        </w:tc>
        <w:tc>
          <w:tcPr>
            <w:tcW w:w="992" w:type="dxa"/>
          </w:tcPr>
          <w:p w14:paraId="45163621" w14:textId="4483F251" w:rsidR="00CE65AC" w:rsidRPr="00C345A2" w:rsidRDefault="00CE65AC" w:rsidP="00CE65AC">
            <w:pPr>
              <w:rPr>
                <w:rFonts w:asciiTheme="majorHAnsi" w:hAnsiTheme="majorHAnsi" w:cstheme="majorHAnsi"/>
                <w:sz w:val="18"/>
                <w:szCs w:val="18"/>
              </w:rPr>
            </w:pPr>
            <w:r>
              <w:rPr>
                <w:rFonts w:asciiTheme="majorHAnsi" w:hAnsiTheme="majorHAnsi" w:cstheme="majorHAnsi"/>
                <w:sz w:val="18"/>
                <w:szCs w:val="18"/>
              </w:rPr>
              <w:t>2,991</w:t>
            </w:r>
          </w:p>
        </w:tc>
        <w:tc>
          <w:tcPr>
            <w:tcW w:w="1134" w:type="dxa"/>
          </w:tcPr>
          <w:p w14:paraId="00277239" w14:textId="506A3DEE" w:rsidR="00CE65AC" w:rsidRDefault="00CE65AC" w:rsidP="00CE65AC">
            <w:pPr>
              <w:rPr>
                <w:rFonts w:asciiTheme="majorHAnsi" w:hAnsiTheme="majorHAnsi" w:cstheme="majorHAnsi"/>
                <w:sz w:val="18"/>
                <w:szCs w:val="18"/>
              </w:rPr>
            </w:pPr>
            <w:r>
              <w:rPr>
                <w:rFonts w:asciiTheme="majorHAnsi" w:hAnsiTheme="majorHAnsi" w:cstheme="majorHAnsi"/>
                <w:sz w:val="18"/>
                <w:szCs w:val="18"/>
              </w:rPr>
              <w:t>3,121</w:t>
            </w:r>
          </w:p>
        </w:tc>
        <w:tc>
          <w:tcPr>
            <w:tcW w:w="992" w:type="dxa"/>
          </w:tcPr>
          <w:p w14:paraId="0455AD35" w14:textId="6C826F24" w:rsidR="00CE65AC" w:rsidRDefault="00CE65AC" w:rsidP="00CE65AC">
            <w:pPr>
              <w:rPr>
                <w:rFonts w:asciiTheme="majorHAnsi" w:hAnsiTheme="majorHAnsi" w:cstheme="majorHAnsi"/>
                <w:sz w:val="18"/>
                <w:szCs w:val="18"/>
              </w:rPr>
            </w:pPr>
            <w:r w:rsidRPr="004E2874">
              <w:rPr>
                <w:rFonts w:asciiTheme="majorHAnsi" w:hAnsiTheme="majorHAnsi" w:cstheme="majorHAnsi"/>
                <w:sz w:val="18"/>
                <w:szCs w:val="18"/>
              </w:rPr>
              <w:t>N/A</w:t>
            </w:r>
          </w:p>
        </w:tc>
        <w:tc>
          <w:tcPr>
            <w:tcW w:w="992" w:type="dxa"/>
          </w:tcPr>
          <w:p w14:paraId="65E27C15" w14:textId="62EEA34C" w:rsidR="00CE65AC" w:rsidRPr="00C345A2" w:rsidRDefault="00CE65AC" w:rsidP="00CE65AC">
            <w:pPr>
              <w:rPr>
                <w:rFonts w:asciiTheme="majorHAnsi" w:hAnsiTheme="majorHAnsi" w:cstheme="majorHAnsi"/>
                <w:sz w:val="18"/>
                <w:szCs w:val="18"/>
              </w:rPr>
            </w:pPr>
            <w:r w:rsidRPr="004E2874">
              <w:rPr>
                <w:rFonts w:asciiTheme="majorHAnsi" w:hAnsiTheme="majorHAnsi" w:cstheme="majorHAnsi"/>
                <w:sz w:val="18"/>
                <w:szCs w:val="18"/>
              </w:rPr>
              <w:t>N/A</w:t>
            </w:r>
          </w:p>
        </w:tc>
        <w:tc>
          <w:tcPr>
            <w:tcW w:w="1134" w:type="dxa"/>
          </w:tcPr>
          <w:p w14:paraId="3CBF11D3" w14:textId="77FB981C" w:rsidR="00CE65AC" w:rsidRPr="00AD6949" w:rsidRDefault="00CE65AC" w:rsidP="00CE65AC">
            <w:pPr>
              <w:rPr>
                <w:rFonts w:asciiTheme="majorHAnsi" w:hAnsiTheme="majorHAnsi" w:cstheme="majorHAnsi"/>
                <w:sz w:val="18"/>
                <w:szCs w:val="18"/>
              </w:rPr>
            </w:pPr>
            <w:r w:rsidRPr="004E2874">
              <w:rPr>
                <w:rFonts w:asciiTheme="majorHAnsi" w:hAnsiTheme="majorHAnsi" w:cstheme="majorHAnsi"/>
                <w:sz w:val="18"/>
                <w:szCs w:val="18"/>
              </w:rPr>
              <w:t>N/A</w:t>
            </w:r>
          </w:p>
        </w:tc>
      </w:tr>
      <w:tr w:rsidR="002E7105" w14:paraId="2C22AD5E" w14:textId="77777777">
        <w:tc>
          <w:tcPr>
            <w:tcW w:w="1803" w:type="dxa"/>
          </w:tcPr>
          <w:p w14:paraId="431D11DF"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Cite Score</w:t>
            </w:r>
          </w:p>
        </w:tc>
        <w:tc>
          <w:tcPr>
            <w:tcW w:w="1027" w:type="dxa"/>
          </w:tcPr>
          <w:p w14:paraId="4D4373B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w:t>
            </w:r>
          </w:p>
        </w:tc>
        <w:tc>
          <w:tcPr>
            <w:tcW w:w="993" w:type="dxa"/>
          </w:tcPr>
          <w:p w14:paraId="2FBB66A3"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435D3A4E"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1134" w:type="dxa"/>
          </w:tcPr>
          <w:p w14:paraId="6A9299ED" w14:textId="4E3C5DBB" w:rsidR="002E7105" w:rsidRPr="00AD6949" w:rsidRDefault="00B7494C">
            <w:pPr>
              <w:rPr>
                <w:rFonts w:asciiTheme="majorHAnsi" w:hAnsiTheme="majorHAnsi" w:cstheme="majorHAnsi"/>
                <w:sz w:val="18"/>
                <w:szCs w:val="18"/>
              </w:rPr>
            </w:pPr>
            <w:r>
              <w:rPr>
                <w:rFonts w:asciiTheme="majorHAnsi" w:hAnsiTheme="majorHAnsi" w:cstheme="majorHAnsi"/>
                <w:sz w:val="18"/>
                <w:szCs w:val="18"/>
              </w:rPr>
              <w:t>3.2</w:t>
            </w:r>
          </w:p>
        </w:tc>
        <w:tc>
          <w:tcPr>
            <w:tcW w:w="992" w:type="dxa"/>
          </w:tcPr>
          <w:p w14:paraId="1527FFE7" w14:textId="03195292" w:rsidR="002E7105" w:rsidRPr="00AD6949" w:rsidRDefault="00B7494C">
            <w:pPr>
              <w:rPr>
                <w:rFonts w:asciiTheme="majorHAnsi" w:hAnsiTheme="majorHAnsi" w:cstheme="majorHAnsi"/>
                <w:sz w:val="18"/>
                <w:szCs w:val="18"/>
              </w:rPr>
            </w:pPr>
            <w:r>
              <w:rPr>
                <w:rFonts w:asciiTheme="majorHAnsi" w:hAnsiTheme="majorHAnsi" w:cstheme="majorHAnsi"/>
                <w:sz w:val="18"/>
                <w:szCs w:val="18"/>
              </w:rPr>
              <w:t>4.6</w:t>
            </w:r>
          </w:p>
        </w:tc>
        <w:tc>
          <w:tcPr>
            <w:tcW w:w="992" w:type="dxa"/>
          </w:tcPr>
          <w:p w14:paraId="3A90FC7D"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1134" w:type="dxa"/>
          </w:tcPr>
          <w:p w14:paraId="67330A65"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5.7</w:t>
            </w:r>
          </w:p>
        </w:tc>
      </w:tr>
      <w:tr w:rsidR="002E7105" w14:paraId="71450D1A" w14:textId="77777777">
        <w:tc>
          <w:tcPr>
            <w:tcW w:w="1803" w:type="dxa"/>
          </w:tcPr>
          <w:p w14:paraId="4961BF7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Total Cites</w:t>
            </w:r>
          </w:p>
        </w:tc>
        <w:tc>
          <w:tcPr>
            <w:tcW w:w="1027" w:type="dxa"/>
          </w:tcPr>
          <w:p w14:paraId="45FB5402"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105</w:t>
            </w:r>
          </w:p>
        </w:tc>
        <w:tc>
          <w:tcPr>
            <w:tcW w:w="993" w:type="dxa"/>
          </w:tcPr>
          <w:p w14:paraId="55D29C67"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0BC706CB"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1134" w:type="dxa"/>
          </w:tcPr>
          <w:p w14:paraId="6D5C5862"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0AB7A21D"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992" w:type="dxa"/>
          </w:tcPr>
          <w:p w14:paraId="41D2E569" w14:textId="77777777" w:rsidR="002E7105" w:rsidRPr="00AD6949" w:rsidRDefault="002E7105">
            <w:pPr>
              <w:rPr>
                <w:rFonts w:asciiTheme="majorHAnsi" w:hAnsiTheme="majorHAnsi" w:cstheme="majorHAnsi"/>
                <w:sz w:val="18"/>
                <w:szCs w:val="18"/>
              </w:rPr>
            </w:pPr>
            <w:r w:rsidRPr="00C345A2">
              <w:rPr>
                <w:rFonts w:asciiTheme="majorHAnsi" w:hAnsiTheme="majorHAnsi" w:cstheme="majorHAnsi"/>
                <w:sz w:val="18"/>
                <w:szCs w:val="18"/>
              </w:rPr>
              <w:t>N/A</w:t>
            </w:r>
          </w:p>
        </w:tc>
        <w:tc>
          <w:tcPr>
            <w:tcW w:w="1134" w:type="dxa"/>
          </w:tcPr>
          <w:p w14:paraId="52B7D3CC"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170</w:t>
            </w:r>
          </w:p>
        </w:tc>
      </w:tr>
      <w:tr w:rsidR="002E7105" w14:paraId="4E12203F" w14:textId="77777777">
        <w:tc>
          <w:tcPr>
            <w:tcW w:w="1803" w:type="dxa"/>
          </w:tcPr>
          <w:p w14:paraId="0114900A"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Citable documents</w:t>
            </w:r>
          </w:p>
        </w:tc>
        <w:tc>
          <w:tcPr>
            <w:tcW w:w="1027" w:type="dxa"/>
          </w:tcPr>
          <w:p w14:paraId="0CE69133"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49</w:t>
            </w:r>
          </w:p>
        </w:tc>
        <w:tc>
          <w:tcPr>
            <w:tcW w:w="993" w:type="dxa"/>
          </w:tcPr>
          <w:p w14:paraId="045D028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43</w:t>
            </w:r>
          </w:p>
        </w:tc>
        <w:tc>
          <w:tcPr>
            <w:tcW w:w="992" w:type="dxa"/>
          </w:tcPr>
          <w:p w14:paraId="7F36F8CD"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42</w:t>
            </w:r>
          </w:p>
        </w:tc>
        <w:tc>
          <w:tcPr>
            <w:tcW w:w="1134" w:type="dxa"/>
          </w:tcPr>
          <w:p w14:paraId="7AF3CD6A"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41</w:t>
            </w:r>
          </w:p>
        </w:tc>
        <w:tc>
          <w:tcPr>
            <w:tcW w:w="992" w:type="dxa"/>
          </w:tcPr>
          <w:p w14:paraId="761C442E"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39</w:t>
            </w:r>
          </w:p>
        </w:tc>
        <w:tc>
          <w:tcPr>
            <w:tcW w:w="992" w:type="dxa"/>
          </w:tcPr>
          <w:p w14:paraId="35708F7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36</w:t>
            </w:r>
          </w:p>
        </w:tc>
        <w:tc>
          <w:tcPr>
            <w:tcW w:w="1134" w:type="dxa"/>
          </w:tcPr>
          <w:p w14:paraId="3A3CEB0D"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39</w:t>
            </w:r>
          </w:p>
        </w:tc>
      </w:tr>
      <w:tr w:rsidR="002E7105" w14:paraId="7CF83871" w14:textId="77777777">
        <w:tc>
          <w:tcPr>
            <w:tcW w:w="1803" w:type="dxa"/>
          </w:tcPr>
          <w:p w14:paraId="286BF884"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Cites per document</w:t>
            </w:r>
          </w:p>
        </w:tc>
        <w:tc>
          <w:tcPr>
            <w:tcW w:w="1027" w:type="dxa"/>
          </w:tcPr>
          <w:p w14:paraId="51299B72"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2.043</w:t>
            </w:r>
          </w:p>
        </w:tc>
        <w:tc>
          <w:tcPr>
            <w:tcW w:w="993" w:type="dxa"/>
          </w:tcPr>
          <w:p w14:paraId="443D46CC"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2.000</w:t>
            </w:r>
          </w:p>
        </w:tc>
        <w:tc>
          <w:tcPr>
            <w:tcW w:w="992" w:type="dxa"/>
          </w:tcPr>
          <w:p w14:paraId="7DD1C68A"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2.033</w:t>
            </w:r>
          </w:p>
        </w:tc>
        <w:tc>
          <w:tcPr>
            <w:tcW w:w="1134" w:type="dxa"/>
          </w:tcPr>
          <w:p w14:paraId="73BA9271"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3.923</w:t>
            </w:r>
          </w:p>
        </w:tc>
        <w:tc>
          <w:tcPr>
            <w:tcW w:w="992" w:type="dxa"/>
          </w:tcPr>
          <w:p w14:paraId="5790F20F"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6.240</w:t>
            </w:r>
          </w:p>
        </w:tc>
        <w:tc>
          <w:tcPr>
            <w:tcW w:w="992" w:type="dxa"/>
          </w:tcPr>
          <w:p w14:paraId="6EA310C6"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2.793</w:t>
            </w:r>
          </w:p>
        </w:tc>
        <w:tc>
          <w:tcPr>
            <w:tcW w:w="1134" w:type="dxa"/>
          </w:tcPr>
          <w:p w14:paraId="00C76848"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3.385</w:t>
            </w:r>
          </w:p>
        </w:tc>
      </w:tr>
      <w:tr w:rsidR="002E7105" w14:paraId="6D18CEA1" w14:textId="77777777">
        <w:tc>
          <w:tcPr>
            <w:tcW w:w="1803" w:type="dxa"/>
          </w:tcPr>
          <w:p w14:paraId="599A404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Impact factor</w:t>
            </w:r>
          </w:p>
        </w:tc>
        <w:tc>
          <w:tcPr>
            <w:tcW w:w="1027" w:type="dxa"/>
          </w:tcPr>
          <w:p w14:paraId="0DA111DB"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1.540</w:t>
            </w:r>
          </w:p>
        </w:tc>
        <w:tc>
          <w:tcPr>
            <w:tcW w:w="993" w:type="dxa"/>
          </w:tcPr>
          <w:p w14:paraId="7736B028"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992" w:type="dxa"/>
          </w:tcPr>
          <w:p w14:paraId="0810F82E"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1134" w:type="dxa"/>
          </w:tcPr>
          <w:p w14:paraId="0E0DA3C1" w14:textId="7AA2B0F7" w:rsidR="002E7105" w:rsidRPr="00AD6949" w:rsidRDefault="00B7494C">
            <w:pPr>
              <w:rPr>
                <w:rFonts w:asciiTheme="majorHAnsi" w:hAnsiTheme="majorHAnsi" w:cstheme="majorHAnsi"/>
                <w:sz w:val="18"/>
                <w:szCs w:val="18"/>
              </w:rPr>
            </w:pPr>
            <w:r>
              <w:rPr>
                <w:rFonts w:asciiTheme="majorHAnsi" w:hAnsiTheme="majorHAnsi" w:cstheme="majorHAnsi"/>
                <w:sz w:val="18"/>
                <w:szCs w:val="18"/>
              </w:rPr>
              <w:t>1.552</w:t>
            </w:r>
          </w:p>
        </w:tc>
        <w:tc>
          <w:tcPr>
            <w:tcW w:w="992" w:type="dxa"/>
          </w:tcPr>
          <w:p w14:paraId="3C4FC894" w14:textId="296E0E02" w:rsidR="002E7105" w:rsidRPr="00AD6949" w:rsidRDefault="00B7494C">
            <w:pPr>
              <w:rPr>
                <w:rFonts w:asciiTheme="majorHAnsi" w:hAnsiTheme="majorHAnsi" w:cstheme="majorHAnsi"/>
                <w:sz w:val="18"/>
                <w:szCs w:val="18"/>
              </w:rPr>
            </w:pPr>
            <w:r>
              <w:rPr>
                <w:rFonts w:asciiTheme="majorHAnsi" w:hAnsiTheme="majorHAnsi" w:cstheme="majorHAnsi"/>
                <w:sz w:val="18"/>
                <w:szCs w:val="18"/>
              </w:rPr>
              <w:t>4.1</w:t>
            </w:r>
          </w:p>
        </w:tc>
        <w:tc>
          <w:tcPr>
            <w:tcW w:w="992" w:type="dxa"/>
          </w:tcPr>
          <w:p w14:paraId="5BCEA8B6" w14:textId="465B6248" w:rsidR="002E7105" w:rsidRPr="00AD6949" w:rsidRDefault="00B7494C">
            <w:pPr>
              <w:rPr>
                <w:rFonts w:asciiTheme="majorHAnsi" w:hAnsiTheme="majorHAnsi" w:cstheme="majorHAnsi"/>
                <w:sz w:val="18"/>
                <w:szCs w:val="18"/>
              </w:rPr>
            </w:pPr>
            <w:r>
              <w:rPr>
                <w:rFonts w:asciiTheme="majorHAnsi" w:hAnsiTheme="majorHAnsi" w:cstheme="majorHAnsi"/>
                <w:sz w:val="18"/>
                <w:szCs w:val="18"/>
              </w:rPr>
              <w:t>2</w:t>
            </w:r>
          </w:p>
        </w:tc>
        <w:tc>
          <w:tcPr>
            <w:tcW w:w="1134" w:type="dxa"/>
          </w:tcPr>
          <w:p w14:paraId="222B2AE1"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2.3</w:t>
            </w:r>
          </w:p>
        </w:tc>
      </w:tr>
      <w:tr w:rsidR="002E7105" w14:paraId="27A38CB8" w14:textId="77777777">
        <w:tc>
          <w:tcPr>
            <w:tcW w:w="1803" w:type="dxa"/>
          </w:tcPr>
          <w:p w14:paraId="6BBBEEF8"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SNIP</w:t>
            </w:r>
          </w:p>
        </w:tc>
        <w:tc>
          <w:tcPr>
            <w:tcW w:w="1027" w:type="dxa"/>
          </w:tcPr>
          <w:p w14:paraId="23CBA34C"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1.161</w:t>
            </w:r>
          </w:p>
        </w:tc>
        <w:tc>
          <w:tcPr>
            <w:tcW w:w="993" w:type="dxa"/>
          </w:tcPr>
          <w:p w14:paraId="5644502F"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992" w:type="dxa"/>
          </w:tcPr>
          <w:p w14:paraId="15C4F00C"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1134" w:type="dxa"/>
          </w:tcPr>
          <w:p w14:paraId="3F39AF16"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992" w:type="dxa"/>
          </w:tcPr>
          <w:p w14:paraId="22FEB7B6"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992" w:type="dxa"/>
          </w:tcPr>
          <w:p w14:paraId="20DA76FE" w14:textId="77777777" w:rsidR="002E7105" w:rsidRPr="00AD6949" w:rsidRDefault="002E7105">
            <w:pPr>
              <w:rPr>
                <w:rFonts w:asciiTheme="majorHAnsi" w:hAnsiTheme="majorHAnsi" w:cstheme="majorHAnsi"/>
                <w:sz w:val="18"/>
                <w:szCs w:val="18"/>
              </w:rPr>
            </w:pPr>
            <w:r w:rsidRPr="00056035">
              <w:rPr>
                <w:rFonts w:asciiTheme="majorHAnsi" w:hAnsiTheme="majorHAnsi" w:cstheme="majorHAnsi"/>
                <w:sz w:val="18"/>
                <w:szCs w:val="18"/>
              </w:rPr>
              <w:t>N/A</w:t>
            </w:r>
          </w:p>
        </w:tc>
        <w:tc>
          <w:tcPr>
            <w:tcW w:w="1134" w:type="dxa"/>
          </w:tcPr>
          <w:p w14:paraId="7813B8C0"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1.914</w:t>
            </w:r>
          </w:p>
        </w:tc>
      </w:tr>
      <w:tr w:rsidR="002E7105" w14:paraId="2AE94DC5" w14:textId="77777777">
        <w:tc>
          <w:tcPr>
            <w:tcW w:w="1803" w:type="dxa"/>
          </w:tcPr>
          <w:p w14:paraId="485A4922"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SJR</w:t>
            </w:r>
          </w:p>
        </w:tc>
        <w:tc>
          <w:tcPr>
            <w:tcW w:w="1027" w:type="dxa"/>
          </w:tcPr>
          <w:p w14:paraId="4AB47278"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0.733</w:t>
            </w:r>
          </w:p>
        </w:tc>
        <w:tc>
          <w:tcPr>
            <w:tcW w:w="993" w:type="dxa"/>
          </w:tcPr>
          <w:p w14:paraId="07984CA0"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0.885</w:t>
            </w:r>
          </w:p>
        </w:tc>
        <w:tc>
          <w:tcPr>
            <w:tcW w:w="992" w:type="dxa"/>
          </w:tcPr>
          <w:p w14:paraId="78C0403B"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0.924</w:t>
            </w:r>
          </w:p>
        </w:tc>
        <w:tc>
          <w:tcPr>
            <w:tcW w:w="1134" w:type="dxa"/>
          </w:tcPr>
          <w:p w14:paraId="026D1AC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0.922</w:t>
            </w:r>
          </w:p>
        </w:tc>
        <w:tc>
          <w:tcPr>
            <w:tcW w:w="992" w:type="dxa"/>
          </w:tcPr>
          <w:p w14:paraId="2EA95488"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0.918</w:t>
            </w:r>
          </w:p>
        </w:tc>
        <w:tc>
          <w:tcPr>
            <w:tcW w:w="992" w:type="dxa"/>
          </w:tcPr>
          <w:p w14:paraId="311CB223"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1.482</w:t>
            </w:r>
          </w:p>
        </w:tc>
        <w:tc>
          <w:tcPr>
            <w:tcW w:w="1134" w:type="dxa"/>
          </w:tcPr>
          <w:p w14:paraId="34EAB332"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0.758</w:t>
            </w:r>
          </w:p>
        </w:tc>
      </w:tr>
      <w:tr w:rsidR="002E7105" w14:paraId="09CB9AD3" w14:textId="77777777">
        <w:tc>
          <w:tcPr>
            <w:tcW w:w="1803" w:type="dxa"/>
          </w:tcPr>
          <w:p w14:paraId="535958C7"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 International collaboration</w:t>
            </w:r>
          </w:p>
        </w:tc>
        <w:tc>
          <w:tcPr>
            <w:tcW w:w="1027" w:type="dxa"/>
          </w:tcPr>
          <w:p w14:paraId="25AFBECF"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43.75</w:t>
            </w:r>
          </w:p>
        </w:tc>
        <w:tc>
          <w:tcPr>
            <w:tcW w:w="993" w:type="dxa"/>
          </w:tcPr>
          <w:p w14:paraId="6237CFFB"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42.86</w:t>
            </w:r>
          </w:p>
        </w:tc>
        <w:tc>
          <w:tcPr>
            <w:tcW w:w="992" w:type="dxa"/>
          </w:tcPr>
          <w:p w14:paraId="1232C6A6"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33.33</w:t>
            </w:r>
          </w:p>
        </w:tc>
        <w:tc>
          <w:tcPr>
            <w:tcW w:w="1134" w:type="dxa"/>
          </w:tcPr>
          <w:p w14:paraId="40FB8873"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30.77</w:t>
            </w:r>
          </w:p>
        </w:tc>
        <w:tc>
          <w:tcPr>
            <w:tcW w:w="992" w:type="dxa"/>
          </w:tcPr>
          <w:p w14:paraId="0CAE7BD2"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54.55</w:t>
            </w:r>
          </w:p>
        </w:tc>
        <w:tc>
          <w:tcPr>
            <w:tcW w:w="992" w:type="dxa"/>
          </w:tcPr>
          <w:p w14:paraId="1CD0EB2D"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26.67</w:t>
            </w:r>
          </w:p>
        </w:tc>
        <w:tc>
          <w:tcPr>
            <w:tcW w:w="1134" w:type="dxa"/>
          </w:tcPr>
          <w:p w14:paraId="15DAE68E"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50.00</w:t>
            </w:r>
          </w:p>
        </w:tc>
      </w:tr>
      <w:tr w:rsidR="002E7105" w14:paraId="0A745112" w14:textId="77777777">
        <w:tc>
          <w:tcPr>
            <w:tcW w:w="1803" w:type="dxa"/>
          </w:tcPr>
          <w:p w14:paraId="62FF3DD5"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 female authorship of articles</w:t>
            </w:r>
          </w:p>
        </w:tc>
        <w:tc>
          <w:tcPr>
            <w:tcW w:w="1027" w:type="dxa"/>
          </w:tcPr>
          <w:p w14:paraId="74F40285"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17.24</w:t>
            </w:r>
          </w:p>
        </w:tc>
        <w:tc>
          <w:tcPr>
            <w:tcW w:w="993" w:type="dxa"/>
          </w:tcPr>
          <w:p w14:paraId="5011A8F8"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26.47</w:t>
            </w:r>
          </w:p>
        </w:tc>
        <w:tc>
          <w:tcPr>
            <w:tcW w:w="992" w:type="dxa"/>
          </w:tcPr>
          <w:p w14:paraId="508C0749"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23.81</w:t>
            </w:r>
          </w:p>
        </w:tc>
        <w:tc>
          <w:tcPr>
            <w:tcW w:w="1134" w:type="dxa"/>
          </w:tcPr>
          <w:p w14:paraId="27006984"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26.92</w:t>
            </w:r>
          </w:p>
        </w:tc>
        <w:tc>
          <w:tcPr>
            <w:tcW w:w="992" w:type="dxa"/>
          </w:tcPr>
          <w:p w14:paraId="55DCB94E"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36.00</w:t>
            </w:r>
          </w:p>
        </w:tc>
        <w:tc>
          <w:tcPr>
            <w:tcW w:w="992" w:type="dxa"/>
          </w:tcPr>
          <w:p w14:paraId="0FBDC2B3"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29.17</w:t>
            </w:r>
          </w:p>
        </w:tc>
        <w:tc>
          <w:tcPr>
            <w:tcW w:w="1134" w:type="dxa"/>
          </w:tcPr>
          <w:p w14:paraId="7DE30CF0" w14:textId="77777777" w:rsidR="002E7105" w:rsidRPr="00AD6949" w:rsidRDefault="002E7105">
            <w:pPr>
              <w:rPr>
                <w:rFonts w:asciiTheme="majorHAnsi" w:hAnsiTheme="majorHAnsi" w:cstheme="majorHAnsi"/>
                <w:sz w:val="18"/>
                <w:szCs w:val="18"/>
              </w:rPr>
            </w:pPr>
            <w:r w:rsidRPr="00AD6949">
              <w:rPr>
                <w:rFonts w:asciiTheme="majorHAnsi" w:hAnsiTheme="majorHAnsi" w:cstheme="majorHAnsi"/>
                <w:sz w:val="18"/>
                <w:szCs w:val="18"/>
              </w:rPr>
              <w:t>31.03</w:t>
            </w:r>
          </w:p>
        </w:tc>
      </w:tr>
    </w:tbl>
    <w:p w14:paraId="2B56D903" w14:textId="77777777" w:rsidR="002E7105" w:rsidRDefault="002E7105" w:rsidP="002E7105">
      <w:pPr>
        <w:rPr>
          <w:rFonts w:eastAsiaTheme="minorHAnsi"/>
          <w:lang w:val="en-GB"/>
        </w:rPr>
      </w:pPr>
    </w:p>
    <w:p w14:paraId="7625F389" w14:textId="6ACF5913" w:rsidR="000E7876" w:rsidRPr="002F695B" w:rsidRDefault="000E7876" w:rsidP="008A3E71">
      <w:pPr>
        <w:pStyle w:val="Heading5"/>
        <w:rPr>
          <w:lang w:val="en-GB"/>
        </w:rPr>
      </w:pPr>
      <w:r w:rsidRPr="002F695B">
        <w:rPr>
          <w:lang w:val="en-GB"/>
        </w:rPr>
        <w:t xml:space="preserve">Communications metrics 2022–2024 </w:t>
      </w: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1984"/>
        <w:gridCol w:w="1843"/>
        <w:gridCol w:w="2126"/>
      </w:tblGrid>
      <w:tr w:rsidR="000E7876" w:rsidRPr="0071628F" w14:paraId="2CCED4D7" w14:textId="77777777" w:rsidTr="009C4D2C">
        <w:trPr>
          <w:tblHeader/>
        </w:trPr>
        <w:tc>
          <w:tcPr>
            <w:tcW w:w="3114" w:type="dxa"/>
            <w:shd w:val="clear" w:color="auto" w:fill="B4C6E7" w:themeFill="accent1" w:themeFillTint="66"/>
          </w:tcPr>
          <w:p w14:paraId="08CC48FE" w14:textId="291D8D12" w:rsidR="000E7876" w:rsidRPr="00150284" w:rsidRDefault="002E7105">
            <w:pPr>
              <w:rPr>
                <w:rFonts w:asciiTheme="majorHAnsi" w:hAnsiTheme="majorHAnsi" w:cstheme="majorHAnsi"/>
                <w:b/>
                <w:bCs/>
                <w:color w:val="1F3864" w:themeColor="accent1" w:themeShade="80"/>
                <w:sz w:val="18"/>
                <w:szCs w:val="18"/>
                <w:lang w:val="en-US"/>
              </w:rPr>
            </w:pPr>
            <w:r w:rsidRPr="00150284">
              <w:rPr>
                <w:rFonts w:eastAsiaTheme="minorHAnsi"/>
                <w:color w:val="1F3864" w:themeColor="accent1" w:themeShade="80"/>
                <w:lang w:val="en-GB"/>
              </w:rPr>
              <w:br w:type="page"/>
            </w:r>
            <w:r w:rsidR="000E7876" w:rsidRPr="00150284">
              <w:rPr>
                <w:rFonts w:asciiTheme="majorHAnsi" w:hAnsiTheme="majorHAnsi" w:cstheme="majorHAnsi"/>
                <w:b/>
                <w:bCs/>
                <w:color w:val="1F3864" w:themeColor="accent1" w:themeShade="80"/>
                <w:sz w:val="18"/>
                <w:szCs w:val="18"/>
                <w:lang w:val="en-US"/>
              </w:rPr>
              <w:t>Communications metric</w:t>
            </w:r>
          </w:p>
        </w:tc>
        <w:tc>
          <w:tcPr>
            <w:tcW w:w="1984" w:type="dxa"/>
            <w:shd w:val="clear" w:color="auto" w:fill="B4C6E7" w:themeFill="accent1" w:themeFillTint="66"/>
          </w:tcPr>
          <w:p w14:paraId="2018F6FE" w14:textId="77777777" w:rsidR="000E7876" w:rsidRPr="00150284" w:rsidRDefault="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2022</w:t>
            </w:r>
          </w:p>
        </w:tc>
        <w:tc>
          <w:tcPr>
            <w:tcW w:w="1843" w:type="dxa"/>
            <w:shd w:val="clear" w:color="auto" w:fill="B4C6E7" w:themeFill="accent1" w:themeFillTint="66"/>
          </w:tcPr>
          <w:p w14:paraId="78C82305" w14:textId="77777777" w:rsidR="000E7876" w:rsidRPr="00150284" w:rsidRDefault="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2023</w:t>
            </w:r>
          </w:p>
        </w:tc>
        <w:tc>
          <w:tcPr>
            <w:tcW w:w="2126" w:type="dxa"/>
            <w:shd w:val="clear" w:color="auto" w:fill="B4C6E7" w:themeFill="accent1" w:themeFillTint="66"/>
          </w:tcPr>
          <w:p w14:paraId="30F47239" w14:textId="77777777" w:rsidR="000E7876" w:rsidRPr="00150284" w:rsidRDefault="000E7876">
            <w:pPr>
              <w:autoSpaceDE w:val="0"/>
              <w:autoSpaceDN w:val="0"/>
              <w:adjustRightInd w:val="0"/>
              <w:jc w:val="center"/>
              <w:rPr>
                <w:rFonts w:asciiTheme="majorHAnsi" w:hAnsiTheme="majorHAnsi" w:cstheme="majorHAnsi"/>
                <w:b/>
                <w:bCs/>
                <w:color w:val="1F3864" w:themeColor="accent1" w:themeShade="80"/>
                <w:sz w:val="18"/>
                <w:szCs w:val="18"/>
                <w:lang w:val="en-US"/>
              </w:rPr>
            </w:pPr>
            <w:r w:rsidRPr="00150284">
              <w:rPr>
                <w:rFonts w:asciiTheme="majorHAnsi" w:hAnsiTheme="majorHAnsi" w:cstheme="majorHAnsi"/>
                <w:b/>
                <w:bCs/>
                <w:color w:val="1F3864" w:themeColor="accent1" w:themeShade="80"/>
                <w:sz w:val="18"/>
                <w:szCs w:val="18"/>
                <w:lang w:val="en-US"/>
              </w:rPr>
              <w:t>2024</w:t>
            </w:r>
          </w:p>
        </w:tc>
      </w:tr>
      <w:tr w:rsidR="000E7876" w:rsidRPr="0071628F" w14:paraId="6935F0C1" w14:textId="77777777">
        <w:tc>
          <w:tcPr>
            <w:tcW w:w="3114" w:type="dxa"/>
          </w:tcPr>
          <w:p w14:paraId="15C817AC" w14:textId="77777777" w:rsidR="000E7876" w:rsidRDefault="000E7876">
            <w:pPr>
              <w:rPr>
                <w:rFonts w:asciiTheme="majorHAnsi" w:hAnsiTheme="majorHAnsi" w:cstheme="majorHAnsi"/>
                <w:sz w:val="18"/>
                <w:szCs w:val="18"/>
              </w:rPr>
            </w:pPr>
            <w:r>
              <w:rPr>
                <w:rFonts w:asciiTheme="majorHAnsi" w:hAnsiTheme="majorHAnsi" w:cstheme="majorHAnsi"/>
                <w:sz w:val="18"/>
                <w:szCs w:val="18"/>
              </w:rPr>
              <w:t>Media interactions</w:t>
            </w:r>
          </w:p>
        </w:tc>
        <w:tc>
          <w:tcPr>
            <w:tcW w:w="1984" w:type="dxa"/>
          </w:tcPr>
          <w:p w14:paraId="3840D39D" w14:textId="77777777" w:rsidR="000E7876"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1843" w:type="dxa"/>
          </w:tcPr>
          <w:p w14:paraId="2A02F55E"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2126" w:type="dxa"/>
          </w:tcPr>
          <w:p w14:paraId="4E8BEDFD" w14:textId="77777777" w:rsidR="000E7876"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30</w:t>
            </w:r>
          </w:p>
        </w:tc>
      </w:tr>
      <w:tr w:rsidR="000E7876" w:rsidRPr="0071628F" w14:paraId="1F7E1AC7" w14:textId="77777777">
        <w:tc>
          <w:tcPr>
            <w:tcW w:w="3114" w:type="dxa"/>
          </w:tcPr>
          <w:p w14:paraId="556200E4" w14:textId="77777777" w:rsidR="000E7876" w:rsidRPr="0071628F" w:rsidRDefault="000E7876">
            <w:pPr>
              <w:rPr>
                <w:rFonts w:asciiTheme="majorHAnsi" w:hAnsiTheme="majorHAnsi" w:cstheme="majorHAnsi"/>
                <w:sz w:val="18"/>
                <w:szCs w:val="18"/>
              </w:rPr>
            </w:pPr>
            <w:r>
              <w:rPr>
                <w:rFonts w:asciiTheme="majorHAnsi" w:hAnsiTheme="majorHAnsi" w:cstheme="majorHAnsi"/>
                <w:sz w:val="18"/>
                <w:szCs w:val="18"/>
              </w:rPr>
              <w:t>Website (unique visitors)</w:t>
            </w:r>
          </w:p>
        </w:tc>
        <w:tc>
          <w:tcPr>
            <w:tcW w:w="1984" w:type="dxa"/>
          </w:tcPr>
          <w:p w14:paraId="2BC9106F"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5,000</w:t>
            </w:r>
          </w:p>
        </w:tc>
        <w:tc>
          <w:tcPr>
            <w:tcW w:w="1843" w:type="dxa"/>
          </w:tcPr>
          <w:p w14:paraId="5B88317D"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2126" w:type="dxa"/>
          </w:tcPr>
          <w:p w14:paraId="12DF66F9"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29,979</w:t>
            </w:r>
          </w:p>
        </w:tc>
      </w:tr>
      <w:tr w:rsidR="000E7876" w:rsidRPr="0071628F" w14:paraId="58D2EA4D" w14:textId="77777777">
        <w:tc>
          <w:tcPr>
            <w:tcW w:w="3114" w:type="dxa"/>
          </w:tcPr>
          <w:p w14:paraId="43D6003C" w14:textId="77777777" w:rsidR="000E7876" w:rsidRDefault="000E7876">
            <w:pPr>
              <w:rPr>
                <w:rFonts w:asciiTheme="majorHAnsi" w:hAnsiTheme="majorHAnsi" w:cstheme="majorHAnsi"/>
                <w:sz w:val="18"/>
                <w:szCs w:val="18"/>
              </w:rPr>
            </w:pPr>
            <w:r>
              <w:rPr>
                <w:rFonts w:asciiTheme="majorHAnsi" w:hAnsiTheme="majorHAnsi" w:cstheme="majorHAnsi"/>
                <w:sz w:val="18"/>
                <w:szCs w:val="18"/>
              </w:rPr>
              <w:t>Blog (views)</w:t>
            </w:r>
          </w:p>
        </w:tc>
        <w:tc>
          <w:tcPr>
            <w:tcW w:w="1984" w:type="dxa"/>
          </w:tcPr>
          <w:p w14:paraId="03D3E3A1"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9,000</w:t>
            </w:r>
          </w:p>
        </w:tc>
        <w:tc>
          <w:tcPr>
            <w:tcW w:w="1843" w:type="dxa"/>
          </w:tcPr>
          <w:p w14:paraId="72D04531"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2126" w:type="dxa"/>
          </w:tcPr>
          <w:p w14:paraId="3AFB615C"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9,300</w:t>
            </w:r>
          </w:p>
        </w:tc>
      </w:tr>
      <w:tr w:rsidR="000E7876" w:rsidRPr="0071628F" w14:paraId="4B57CC7F" w14:textId="77777777">
        <w:tc>
          <w:tcPr>
            <w:tcW w:w="3114" w:type="dxa"/>
          </w:tcPr>
          <w:p w14:paraId="2E736AAF" w14:textId="77777777" w:rsidR="000E7876" w:rsidRPr="0071628F" w:rsidRDefault="000E7876">
            <w:pPr>
              <w:rPr>
                <w:rFonts w:asciiTheme="majorHAnsi" w:hAnsiTheme="majorHAnsi" w:cstheme="majorHAnsi"/>
                <w:sz w:val="18"/>
                <w:szCs w:val="18"/>
              </w:rPr>
            </w:pPr>
            <w:r>
              <w:rPr>
                <w:rFonts w:asciiTheme="majorHAnsi" w:hAnsiTheme="majorHAnsi" w:cstheme="majorHAnsi"/>
                <w:sz w:val="18"/>
                <w:szCs w:val="18"/>
              </w:rPr>
              <w:t>FKP website (visitors)</w:t>
            </w:r>
          </w:p>
        </w:tc>
        <w:tc>
          <w:tcPr>
            <w:tcW w:w="1984" w:type="dxa"/>
          </w:tcPr>
          <w:p w14:paraId="1CD085D5"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200,000</w:t>
            </w:r>
          </w:p>
        </w:tc>
        <w:tc>
          <w:tcPr>
            <w:tcW w:w="1843" w:type="dxa"/>
          </w:tcPr>
          <w:p w14:paraId="06AAF015"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2126" w:type="dxa"/>
          </w:tcPr>
          <w:p w14:paraId="66C915D7" w14:textId="77777777" w:rsidR="000E7876" w:rsidRPr="0071628F"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200,000</w:t>
            </w:r>
          </w:p>
        </w:tc>
      </w:tr>
      <w:tr w:rsidR="000E7876" w:rsidRPr="0071628F" w14:paraId="0B1BEE71" w14:textId="77777777">
        <w:tc>
          <w:tcPr>
            <w:tcW w:w="3114" w:type="dxa"/>
          </w:tcPr>
          <w:p w14:paraId="024CF37D" w14:textId="77777777" w:rsidR="000E7876" w:rsidRPr="00A151EB" w:rsidRDefault="000E7876">
            <w:pPr>
              <w:rPr>
                <w:rFonts w:asciiTheme="majorHAnsi" w:hAnsiTheme="majorHAnsi" w:cstheme="majorHAnsi"/>
                <w:sz w:val="18"/>
                <w:szCs w:val="18"/>
              </w:rPr>
            </w:pPr>
            <w:r w:rsidRPr="00A151EB">
              <w:rPr>
                <w:rFonts w:asciiTheme="majorHAnsi" w:hAnsiTheme="majorHAnsi" w:cstheme="majorHAnsi"/>
                <w:sz w:val="18"/>
                <w:szCs w:val="18"/>
              </w:rPr>
              <w:t>FKP website (page views)</w:t>
            </w:r>
          </w:p>
        </w:tc>
        <w:tc>
          <w:tcPr>
            <w:tcW w:w="1984" w:type="dxa"/>
          </w:tcPr>
          <w:p w14:paraId="5D25C399"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600,000</w:t>
            </w:r>
          </w:p>
        </w:tc>
        <w:tc>
          <w:tcPr>
            <w:tcW w:w="1843" w:type="dxa"/>
          </w:tcPr>
          <w:p w14:paraId="0CCD9F7A"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2126" w:type="dxa"/>
          </w:tcPr>
          <w:p w14:paraId="476BBC19" w14:textId="06A2DC48" w:rsidR="000E7876" w:rsidRPr="00A151EB" w:rsidRDefault="000E7876">
            <w:pPr>
              <w:jc w:val="center"/>
              <w:rPr>
                <w:rFonts w:asciiTheme="majorHAnsi" w:eastAsiaTheme="minorHAnsi" w:hAnsiTheme="majorHAnsi" w:cstheme="majorHAnsi"/>
                <w:sz w:val="18"/>
                <w:szCs w:val="18"/>
                <w:lang w:val="en-GB"/>
              </w:rPr>
            </w:pPr>
            <w:r w:rsidRPr="00A151EB">
              <w:rPr>
                <w:rFonts w:asciiTheme="majorHAnsi" w:eastAsiaTheme="minorHAnsi" w:hAnsiTheme="majorHAnsi" w:cstheme="majorHAnsi"/>
                <w:sz w:val="18"/>
                <w:szCs w:val="18"/>
                <w:lang w:val="en-GB"/>
              </w:rPr>
              <w:t>1.2 million</w:t>
            </w:r>
          </w:p>
        </w:tc>
      </w:tr>
      <w:tr w:rsidR="000E7876" w:rsidRPr="0071628F" w14:paraId="116F649C" w14:textId="77777777">
        <w:tc>
          <w:tcPr>
            <w:tcW w:w="3114" w:type="dxa"/>
          </w:tcPr>
          <w:p w14:paraId="499712FB"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Mailing list subscribers</w:t>
            </w:r>
          </w:p>
        </w:tc>
        <w:tc>
          <w:tcPr>
            <w:tcW w:w="1984" w:type="dxa"/>
          </w:tcPr>
          <w:p w14:paraId="43C00E49"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6,874</w:t>
            </w:r>
          </w:p>
        </w:tc>
        <w:tc>
          <w:tcPr>
            <w:tcW w:w="1843" w:type="dxa"/>
          </w:tcPr>
          <w:p w14:paraId="39F0DDF6"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2126" w:type="dxa"/>
          </w:tcPr>
          <w:p w14:paraId="687FFF3B"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6,500</w:t>
            </w:r>
          </w:p>
        </w:tc>
      </w:tr>
      <w:tr w:rsidR="000E7876" w:rsidRPr="0071628F" w14:paraId="663FC54D" w14:textId="77777777">
        <w:tc>
          <w:tcPr>
            <w:tcW w:w="3114" w:type="dxa"/>
          </w:tcPr>
          <w:p w14:paraId="797376E8"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Social media followers (total)</w:t>
            </w:r>
          </w:p>
        </w:tc>
        <w:tc>
          <w:tcPr>
            <w:tcW w:w="1984" w:type="dxa"/>
          </w:tcPr>
          <w:p w14:paraId="5DA591FF" w14:textId="77777777" w:rsidR="000E7876" w:rsidRPr="00A151EB" w:rsidRDefault="000E7876">
            <w:pPr>
              <w:jc w:val="center"/>
              <w:rPr>
                <w:rFonts w:asciiTheme="majorHAnsi" w:eastAsiaTheme="minorHAnsi" w:hAnsiTheme="majorHAnsi" w:cstheme="majorHAnsi"/>
                <w:sz w:val="18"/>
                <w:szCs w:val="18"/>
                <w:lang w:val="en-GB"/>
              </w:rPr>
            </w:pPr>
            <w:r w:rsidRPr="00535318">
              <w:rPr>
                <w:rFonts w:asciiTheme="majorHAnsi" w:eastAsiaTheme="minorHAnsi" w:hAnsiTheme="majorHAnsi" w:cstheme="majorHAnsi"/>
                <w:sz w:val="18"/>
                <w:szCs w:val="18"/>
                <w:lang w:val="en-GB"/>
              </w:rPr>
              <w:t>Unknown</w:t>
            </w:r>
          </w:p>
        </w:tc>
        <w:tc>
          <w:tcPr>
            <w:tcW w:w="1843" w:type="dxa"/>
          </w:tcPr>
          <w:p w14:paraId="33DEDD3F"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~36,308</w:t>
            </w:r>
          </w:p>
        </w:tc>
        <w:tc>
          <w:tcPr>
            <w:tcW w:w="2126" w:type="dxa"/>
          </w:tcPr>
          <w:p w14:paraId="07DA8C29" w14:textId="77777777" w:rsidR="000E7876" w:rsidRPr="00A151EB" w:rsidRDefault="000E7876">
            <w:pPr>
              <w:jc w:val="center"/>
              <w:rPr>
                <w:rFonts w:asciiTheme="majorHAnsi" w:eastAsiaTheme="minorHAnsi" w:hAnsiTheme="majorHAnsi" w:cstheme="majorHAnsi"/>
                <w:sz w:val="18"/>
                <w:szCs w:val="18"/>
                <w:lang w:val="en-GB"/>
              </w:rPr>
            </w:pPr>
            <w:r w:rsidRPr="00FA48EB">
              <w:rPr>
                <w:rFonts w:asciiTheme="majorHAnsi" w:eastAsiaTheme="minorHAnsi" w:hAnsiTheme="majorHAnsi" w:cstheme="majorHAnsi"/>
                <w:sz w:val="18"/>
                <w:szCs w:val="18"/>
                <w:lang w:val="en-GB"/>
              </w:rPr>
              <w:t>41,385</w:t>
            </w:r>
          </w:p>
        </w:tc>
      </w:tr>
      <w:tr w:rsidR="000E7876" w:rsidRPr="0071628F" w14:paraId="70AA858C" w14:textId="77777777">
        <w:tc>
          <w:tcPr>
            <w:tcW w:w="3114" w:type="dxa"/>
          </w:tcPr>
          <w:p w14:paraId="378114F5" w14:textId="77777777" w:rsidR="000E7876" w:rsidRPr="00A151EB" w:rsidRDefault="000E7876">
            <w:pPr>
              <w:rPr>
                <w:rFonts w:asciiTheme="majorHAnsi" w:hAnsiTheme="majorHAnsi" w:cstheme="majorHAnsi"/>
                <w:sz w:val="18"/>
                <w:szCs w:val="18"/>
              </w:rPr>
            </w:pPr>
            <w:r w:rsidRPr="00A151EB">
              <w:rPr>
                <w:rFonts w:asciiTheme="majorHAnsi" w:hAnsiTheme="majorHAnsi" w:cstheme="majorHAnsi"/>
                <w:sz w:val="18"/>
                <w:szCs w:val="18"/>
              </w:rPr>
              <w:t>Instagram followers</w:t>
            </w:r>
            <w:r>
              <w:rPr>
                <w:rFonts w:asciiTheme="majorHAnsi" w:hAnsiTheme="majorHAnsi" w:cstheme="majorHAnsi"/>
                <w:sz w:val="18"/>
                <w:szCs w:val="18"/>
              </w:rPr>
              <w:t xml:space="preserve"> – IP </w:t>
            </w:r>
          </w:p>
        </w:tc>
        <w:tc>
          <w:tcPr>
            <w:tcW w:w="1984" w:type="dxa"/>
          </w:tcPr>
          <w:p w14:paraId="6E0DC9C0" w14:textId="77777777" w:rsidR="000E7876" w:rsidRPr="00A151EB" w:rsidRDefault="000E7876">
            <w:pPr>
              <w:jc w:val="center"/>
              <w:rPr>
                <w:rFonts w:asciiTheme="majorHAnsi" w:eastAsiaTheme="minorHAnsi" w:hAnsiTheme="majorHAnsi" w:cstheme="majorHAnsi"/>
                <w:sz w:val="18"/>
                <w:szCs w:val="18"/>
                <w:lang w:val="en-GB"/>
              </w:rPr>
            </w:pPr>
            <w:r w:rsidRPr="00535318">
              <w:rPr>
                <w:rFonts w:asciiTheme="majorHAnsi" w:eastAsiaTheme="minorHAnsi" w:hAnsiTheme="majorHAnsi" w:cstheme="majorHAnsi"/>
                <w:sz w:val="18"/>
                <w:szCs w:val="18"/>
                <w:lang w:val="en-GB"/>
              </w:rPr>
              <w:t>Unknown</w:t>
            </w:r>
          </w:p>
        </w:tc>
        <w:tc>
          <w:tcPr>
            <w:tcW w:w="1843" w:type="dxa"/>
          </w:tcPr>
          <w:p w14:paraId="2201C748"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1,607</w:t>
            </w:r>
          </w:p>
        </w:tc>
        <w:tc>
          <w:tcPr>
            <w:tcW w:w="2126" w:type="dxa"/>
          </w:tcPr>
          <w:p w14:paraId="3946EACD" w14:textId="77777777" w:rsidR="000E7876" w:rsidRPr="00A151EB" w:rsidRDefault="000E7876">
            <w:pPr>
              <w:jc w:val="center"/>
              <w:rPr>
                <w:rFonts w:asciiTheme="majorHAnsi" w:eastAsiaTheme="minorHAnsi" w:hAnsiTheme="majorHAnsi" w:cstheme="majorHAnsi"/>
                <w:sz w:val="18"/>
                <w:szCs w:val="18"/>
                <w:lang w:val="en-GB"/>
              </w:rPr>
            </w:pPr>
            <w:r w:rsidRPr="00A151EB">
              <w:rPr>
                <w:rFonts w:asciiTheme="majorHAnsi" w:eastAsiaTheme="minorHAnsi" w:hAnsiTheme="majorHAnsi" w:cstheme="majorHAnsi"/>
                <w:sz w:val="18"/>
                <w:szCs w:val="18"/>
                <w:lang w:val="en-GB"/>
              </w:rPr>
              <w:t>2,554</w:t>
            </w:r>
          </w:p>
        </w:tc>
      </w:tr>
      <w:tr w:rsidR="000E7876" w:rsidRPr="0071628F" w14:paraId="5B2CD6B3" w14:textId="77777777">
        <w:tc>
          <w:tcPr>
            <w:tcW w:w="3114" w:type="dxa"/>
          </w:tcPr>
          <w:p w14:paraId="58D24C36"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 xml:space="preserve">Instagram followers – FKP </w:t>
            </w:r>
          </w:p>
        </w:tc>
        <w:tc>
          <w:tcPr>
            <w:tcW w:w="1984" w:type="dxa"/>
          </w:tcPr>
          <w:p w14:paraId="16C2934E" w14:textId="77777777" w:rsidR="000E7876" w:rsidRPr="00A151EB" w:rsidRDefault="000E7876">
            <w:pPr>
              <w:jc w:val="center"/>
              <w:rPr>
                <w:rFonts w:asciiTheme="majorHAnsi" w:eastAsiaTheme="minorHAnsi" w:hAnsiTheme="majorHAnsi" w:cstheme="majorHAnsi"/>
                <w:sz w:val="18"/>
                <w:szCs w:val="18"/>
                <w:lang w:val="en-GB"/>
              </w:rPr>
            </w:pPr>
            <w:r w:rsidRPr="00535318">
              <w:rPr>
                <w:rFonts w:asciiTheme="majorHAnsi" w:eastAsiaTheme="minorHAnsi" w:hAnsiTheme="majorHAnsi" w:cstheme="majorHAnsi"/>
                <w:sz w:val="18"/>
                <w:szCs w:val="18"/>
                <w:lang w:val="en-GB"/>
              </w:rPr>
              <w:t>Unknown</w:t>
            </w:r>
          </w:p>
        </w:tc>
        <w:tc>
          <w:tcPr>
            <w:tcW w:w="1843" w:type="dxa"/>
          </w:tcPr>
          <w:p w14:paraId="4199C917"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1,753</w:t>
            </w:r>
          </w:p>
        </w:tc>
        <w:tc>
          <w:tcPr>
            <w:tcW w:w="2126" w:type="dxa"/>
          </w:tcPr>
          <w:p w14:paraId="43C44235"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2,413</w:t>
            </w:r>
          </w:p>
        </w:tc>
      </w:tr>
      <w:tr w:rsidR="000E7876" w:rsidRPr="0071628F" w14:paraId="2ABB773D" w14:textId="77777777">
        <w:tc>
          <w:tcPr>
            <w:tcW w:w="3114" w:type="dxa"/>
          </w:tcPr>
          <w:p w14:paraId="62357CFF" w14:textId="77777777" w:rsidR="000E7876" w:rsidRPr="00A151EB" w:rsidRDefault="000E7876">
            <w:pPr>
              <w:rPr>
                <w:rFonts w:asciiTheme="majorHAnsi" w:hAnsiTheme="majorHAnsi" w:cstheme="majorHAnsi"/>
                <w:sz w:val="18"/>
                <w:szCs w:val="18"/>
              </w:rPr>
            </w:pPr>
            <w:r w:rsidRPr="00A151EB">
              <w:rPr>
                <w:rFonts w:asciiTheme="majorHAnsi" w:hAnsiTheme="majorHAnsi" w:cstheme="majorHAnsi"/>
                <w:sz w:val="18"/>
                <w:szCs w:val="18"/>
              </w:rPr>
              <w:t>Facebook followers</w:t>
            </w:r>
            <w:r>
              <w:rPr>
                <w:rFonts w:asciiTheme="majorHAnsi" w:hAnsiTheme="majorHAnsi" w:cstheme="majorHAnsi"/>
                <w:sz w:val="18"/>
                <w:szCs w:val="18"/>
              </w:rPr>
              <w:t xml:space="preserve"> – IP </w:t>
            </w:r>
          </w:p>
        </w:tc>
        <w:tc>
          <w:tcPr>
            <w:tcW w:w="1984" w:type="dxa"/>
          </w:tcPr>
          <w:p w14:paraId="39093906"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6,879</w:t>
            </w:r>
          </w:p>
        </w:tc>
        <w:tc>
          <w:tcPr>
            <w:tcW w:w="1843" w:type="dxa"/>
          </w:tcPr>
          <w:p w14:paraId="31DD74B8"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6,950</w:t>
            </w:r>
          </w:p>
        </w:tc>
        <w:tc>
          <w:tcPr>
            <w:tcW w:w="2126" w:type="dxa"/>
          </w:tcPr>
          <w:p w14:paraId="17D39302" w14:textId="77777777" w:rsidR="000E7876" w:rsidRPr="00A151EB" w:rsidRDefault="000E7876">
            <w:pPr>
              <w:jc w:val="center"/>
              <w:rPr>
                <w:rFonts w:asciiTheme="majorHAnsi" w:eastAsiaTheme="minorHAnsi" w:hAnsiTheme="majorHAnsi" w:cstheme="majorHAnsi"/>
                <w:sz w:val="18"/>
                <w:szCs w:val="18"/>
                <w:lang w:val="en-GB"/>
              </w:rPr>
            </w:pPr>
            <w:r w:rsidRPr="00A151EB">
              <w:rPr>
                <w:rFonts w:asciiTheme="majorHAnsi" w:eastAsiaTheme="minorHAnsi" w:hAnsiTheme="majorHAnsi" w:cstheme="majorHAnsi"/>
                <w:sz w:val="18"/>
                <w:szCs w:val="18"/>
                <w:lang w:val="en-GB"/>
              </w:rPr>
              <w:t>7,065</w:t>
            </w:r>
          </w:p>
        </w:tc>
      </w:tr>
      <w:tr w:rsidR="000E7876" w:rsidRPr="0071628F" w14:paraId="59C1E7E2" w14:textId="77777777">
        <w:tc>
          <w:tcPr>
            <w:tcW w:w="3114" w:type="dxa"/>
          </w:tcPr>
          <w:p w14:paraId="74DA2BE2"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Facebook followers – FKP</w:t>
            </w:r>
          </w:p>
        </w:tc>
        <w:tc>
          <w:tcPr>
            <w:tcW w:w="1984" w:type="dxa"/>
          </w:tcPr>
          <w:p w14:paraId="70D27D4D"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1843" w:type="dxa"/>
          </w:tcPr>
          <w:p w14:paraId="561DEB15"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2,545</w:t>
            </w:r>
          </w:p>
        </w:tc>
        <w:tc>
          <w:tcPr>
            <w:tcW w:w="2126" w:type="dxa"/>
          </w:tcPr>
          <w:p w14:paraId="54D06510"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2,545</w:t>
            </w:r>
          </w:p>
        </w:tc>
      </w:tr>
      <w:tr w:rsidR="000E7876" w:rsidRPr="0071628F" w14:paraId="4467CF8E" w14:textId="77777777">
        <w:tc>
          <w:tcPr>
            <w:tcW w:w="3114" w:type="dxa"/>
          </w:tcPr>
          <w:p w14:paraId="7EE9B778" w14:textId="77777777" w:rsidR="000E7876" w:rsidRDefault="000E7876">
            <w:pPr>
              <w:rPr>
                <w:rFonts w:asciiTheme="majorHAnsi" w:hAnsiTheme="majorHAnsi" w:cstheme="majorHAnsi"/>
                <w:sz w:val="18"/>
                <w:szCs w:val="18"/>
              </w:rPr>
            </w:pPr>
            <w:r>
              <w:rPr>
                <w:rFonts w:asciiTheme="majorHAnsi" w:hAnsiTheme="majorHAnsi" w:cstheme="majorHAnsi"/>
                <w:sz w:val="18"/>
                <w:szCs w:val="18"/>
              </w:rPr>
              <w:t xml:space="preserve">Facebook followers – BIES </w:t>
            </w:r>
          </w:p>
        </w:tc>
        <w:tc>
          <w:tcPr>
            <w:tcW w:w="1984" w:type="dxa"/>
          </w:tcPr>
          <w:p w14:paraId="673065C9"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1843" w:type="dxa"/>
          </w:tcPr>
          <w:p w14:paraId="46BDBF23"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2,000</w:t>
            </w:r>
          </w:p>
        </w:tc>
        <w:tc>
          <w:tcPr>
            <w:tcW w:w="2126" w:type="dxa"/>
          </w:tcPr>
          <w:p w14:paraId="785A89DD" w14:textId="77777777" w:rsidR="000E7876"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2,000</w:t>
            </w:r>
          </w:p>
        </w:tc>
      </w:tr>
      <w:tr w:rsidR="000E7876" w:rsidRPr="0071628F" w14:paraId="24EEADFC" w14:textId="77777777">
        <w:tc>
          <w:tcPr>
            <w:tcW w:w="3114" w:type="dxa"/>
          </w:tcPr>
          <w:p w14:paraId="5D92668E" w14:textId="77777777" w:rsidR="000E7876" w:rsidRPr="00A151EB" w:rsidRDefault="000E7876">
            <w:pPr>
              <w:rPr>
                <w:rFonts w:asciiTheme="majorHAnsi" w:hAnsiTheme="majorHAnsi" w:cstheme="majorHAnsi"/>
                <w:sz w:val="18"/>
                <w:szCs w:val="18"/>
              </w:rPr>
            </w:pPr>
            <w:r w:rsidRPr="00A151EB">
              <w:rPr>
                <w:rFonts w:asciiTheme="majorHAnsi" w:hAnsiTheme="majorHAnsi" w:cstheme="majorHAnsi"/>
                <w:sz w:val="18"/>
                <w:szCs w:val="18"/>
              </w:rPr>
              <w:t>X followers</w:t>
            </w:r>
            <w:r>
              <w:rPr>
                <w:rFonts w:asciiTheme="majorHAnsi" w:hAnsiTheme="majorHAnsi" w:cstheme="majorHAnsi"/>
                <w:sz w:val="18"/>
                <w:szCs w:val="18"/>
              </w:rPr>
              <w:t xml:space="preserve"> – IP </w:t>
            </w:r>
          </w:p>
        </w:tc>
        <w:tc>
          <w:tcPr>
            <w:tcW w:w="1984" w:type="dxa"/>
          </w:tcPr>
          <w:p w14:paraId="54754BF9"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9,800</w:t>
            </w:r>
          </w:p>
        </w:tc>
        <w:tc>
          <w:tcPr>
            <w:tcW w:w="1843" w:type="dxa"/>
          </w:tcPr>
          <w:p w14:paraId="32F068FF"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10,682</w:t>
            </w:r>
          </w:p>
        </w:tc>
        <w:tc>
          <w:tcPr>
            <w:tcW w:w="2126" w:type="dxa"/>
          </w:tcPr>
          <w:p w14:paraId="4BF8DACC" w14:textId="77777777" w:rsidR="000E7876" w:rsidRPr="00A151EB" w:rsidRDefault="000E7876">
            <w:pPr>
              <w:jc w:val="center"/>
              <w:rPr>
                <w:rFonts w:asciiTheme="majorHAnsi" w:eastAsiaTheme="minorHAnsi" w:hAnsiTheme="majorHAnsi" w:cstheme="majorHAnsi"/>
                <w:sz w:val="18"/>
                <w:szCs w:val="18"/>
                <w:lang w:val="en-GB"/>
              </w:rPr>
            </w:pPr>
            <w:r w:rsidRPr="00A151EB">
              <w:rPr>
                <w:rFonts w:asciiTheme="majorHAnsi" w:eastAsiaTheme="minorHAnsi" w:hAnsiTheme="majorHAnsi" w:cstheme="majorHAnsi"/>
                <w:sz w:val="18"/>
                <w:szCs w:val="18"/>
                <w:lang w:val="en-GB"/>
              </w:rPr>
              <w:t>11,104</w:t>
            </w:r>
          </w:p>
        </w:tc>
      </w:tr>
      <w:tr w:rsidR="000E7876" w:rsidRPr="0071628F" w14:paraId="4C2EFAD7" w14:textId="77777777">
        <w:tc>
          <w:tcPr>
            <w:tcW w:w="3114" w:type="dxa"/>
          </w:tcPr>
          <w:p w14:paraId="73956945"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 xml:space="preserve">X followers – FKP </w:t>
            </w:r>
          </w:p>
        </w:tc>
        <w:tc>
          <w:tcPr>
            <w:tcW w:w="1984" w:type="dxa"/>
          </w:tcPr>
          <w:p w14:paraId="45F47C45"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3,500</w:t>
            </w:r>
          </w:p>
        </w:tc>
        <w:tc>
          <w:tcPr>
            <w:tcW w:w="1843" w:type="dxa"/>
          </w:tcPr>
          <w:p w14:paraId="4F5034D0"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4,120</w:t>
            </w:r>
          </w:p>
        </w:tc>
        <w:tc>
          <w:tcPr>
            <w:tcW w:w="2126" w:type="dxa"/>
          </w:tcPr>
          <w:p w14:paraId="5306EFEB"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4,620</w:t>
            </w:r>
          </w:p>
        </w:tc>
      </w:tr>
      <w:tr w:rsidR="000E7876" w:rsidRPr="0071628F" w14:paraId="0FB3D0D2" w14:textId="77777777">
        <w:tc>
          <w:tcPr>
            <w:tcW w:w="3114" w:type="dxa"/>
          </w:tcPr>
          <w:p w14:paraId="4159D63C"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X followers – BIES</w:t>
            </w:r>
          </w:p>
        </w:tc>
        <w:tc>
          <w:tcPr>
            <w:tcW w:w="1984" w:type="dxa"/>
          </w:tcPr>
          <w:p w14:paraId="2E7C8441"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Unknown</w:t>
            </w:r>
          </w:p>
        </w:tc>
        <w:tc>
          <w:tcPr>
            <w:tcW w:w="1843" w:type="dxa"/>
          </w:tcPr>
          <w:p w14:paraId="79EA7DE3"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~3,328</w:t>
            </w:r>
          </w:p>
        </w:tc>
        <w:tc>
          <w:tcPr>
            <w:tcW w:w="2126" w:type="dxa"/>
          </w:tcPr>
          <w:p w14:paraId="33EC6A39"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3,328</w:t>
            </w:r>
          </w:p>
        </w:tc>
      </w:tr>
      <w:tr w:rsidR="000E7876" w:rsidRPr="0071628F" w14:paraId="41AF50EA" w14:textId="77777777">
        <w:tc>
          <w:tcPr>
            <w:tcW w:w="3114" w:type="dxa"/>
          </w:tcPr>
          <w:p w14:paraId="005EC00A" w14:textId="77777777" w:rsidR="000E7876" w:rsidRPr="00A151EB" w:rsidRDefault="000E7876">
            <w:pPr>
              <w:rPr>
                <w:rFonts w:asciiTheme="majorHAnsi" w:hAnsiTheme="majorHAnsi" w:cstheme="majorHAnsi"/>
                <w:sz w:val="18"/>
                <w:szCs w:val="18"/>
              </w:rPr>
            </w:pPr>
            <w:r>
              <w:rPr>
                <w:rFonts w:asciiTheme="majorHAnsi" w:hAnsiTheme="majorHAnsi" w:cstheme="majorHAnsi"/>
                <w:sz w:val="18"/>
                <w:szCs w:val="18"/>
              </w:rPr>
              <w:t xml:space="preserve">YouTube subscribers – IP </w:t>
            </w:r>
          </w:p>
        </w:tc>
        <w:tc>
          <w:tcPr>
            <w:tcW w:w="1984" w:type="dxa"/>
          </w:tcPr>
          <w:p w14:paraId="4DF9F881"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2,870</w:t>
            </w:r>
          </w:p>
        </w:tc>
        <w:tc>
          <w:tcPr>
            <w:tcW w:w="1843" w:type="dxa"/>
          </w:tcPr>
          <w:p w14:paraId="09BF418A"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3,323</w:t>
            </w:r>
          </w:p>
        </w:tc>
        <w:tc>
          <w:tcPr>
            <w:tcW w:w="2126" w:type="dxa"/>
          </w:tcPr>
          <w:p w14:paraId="0941F060"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3,938</w:t>
            </w:r>
          </w:p>
        </w:tc>
      </w:tr>
      <w:tr w:rsidR="000E7876" w:rsidRPr="0071628F" w14:paraId="4C55DBEA" w14:textId="77777777">
        <w:tc>
          <w:tcPr>
            <w:tcW w:w="3114" w:type="dxa"/>
          </w:tcPr>
          <w:p w14:paraId="7DC00A21" w14:textId="77777777" w:rsidR="000E7876" w:rsidRDefault="000E7876">
            <w:pPr>
              <w:rPr>
                <w:rFonts w:asciiTheme="majorHAnsi" w:hAnsiTheme="majorHAnsi" w:cstheme="majorHAnsi"/>
                <w:sz w:val="18"/>
                <w:szCs w:val="18"/>
              </w:rPr>
            </w:pPr>
            <w:r>
              <w:rPr>
                <w:rFonts w:asciiTheme="majorHAnsi" w:hAnsiTheme="majorHAnsi" w:cstheme="majorHAnsi"/>
                <w:sz w:val="18"/>
                <w:szCs w:val="18"/>
              </w:rPr>
              <w:t xml:space="preserve">LinkedIn followers – IP </w:t>
            </w:r>
          </w:p>
        </w:tc>
        <w:tc>
          <w:tcPr>
            <w:tcW w:w="1984" w:type="dxa"/>
          </w:tcPr>
          <w:p w14:paraId="4B518E1F"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N/A</w:t>
            </w:r>
          </w:p>
        </w:tc>
        <w:tc>
          <w:tcPr>
            <w:tcW w:w="1843" w:type="dxa"/>
          </w:tcPr>
          <w:p w14:paraId="12C6181A" w14:textId="77777777" w:rsidR="000E7876" w:rsidRPr="00A151EB"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N/A</w:t>
            </w:r>
          </w:p>
        </w:tc>
        <w:tc>
          <w:tcPr>
            <w:tcW w:w="2126" w:type="dxa"/>
          </w:tcPr>
          <w:p w14:paraId="549752F1" w14:textId="77777777" w:rsidR="000E7876" w:rsidRDefault="000E7876">
            <w:pPr>
              <w:jc w:val="center"/>
              <w:rPr>
                <w:rFonts w:asciiTheme="majorHAnsi" w:eastAsiaTheme="minorHAnsi" w:hAnsiTheme="majorHAnsi" w:cstheme="majorHAnsi"/>
                <w:sz w:val="18"/>
                <w:szCs w:val="18"/>
                <w:lang w:val="en-GB"/>
              </w:rPr>
            </w:pPr>
            <w:r>
              <w:rPr>
                <w:rFonts w:asciiTheme="majorHAnsi" w:eastAsiaTheme="minorHAnsi" w:hAnsiTheme="majorHAnsi" w:cstheme="majorHAnsi"/>
                <w:sz w:val="18"/>
                <w:szCs w:val="18"/>
                <w:lang w:val="en-GB"/>
              </w:rPr>
              <w:t>1,818</w:t>
            </w:r>
          </w:p>
        </w:tc>
      </w:tr>
    </w:tbl>
    <w:p w14:paraId="22260F16" w14:textId="77777777" w:rsidR="000E7876" w:rsidRDefault="000E7876">
      <w:pPr>
        <w:rPr>
          <w:rFonts w:asciiTheme="majorHAnsi" w:eastAsiaTheme="minorHAnsi" w:hAnsiTheme="majorHAnsi" w:cstheme="majorHAnsi"/>
          <w:b/>
          <w:bCs/>
          <w:color w:val="F9A94A"/>
          <w:sz w:val="32"/>
          <w:szCs w:val="32"/>
          <w:lang w:val="en-GB"/>
        </w:rPr>
      </w:pPr>
      <w:r>
        <w:rPr>
          <w:rFonts w:eastAsiaTheme="minorHAnsi" w:cstheme="majorHAnsi"/>
          <w:b/>
          <w:bCs/>
          <w:color w:val="F9A94A"/>
          <w:lang w:val="en-GB"/>
        </w:rPr>
        <w:br w:type="page"/>
      </w:r>
    </w:p>
    <w:p w14:paraId="5A41AC00" w14:textId="66155E1B" w:rsidR="00FD208C" w:rsidRPr="00385300" w:rsidRDefault="002E7105" w:rsidP="00385300">
      <w:pPr>
        <w:pStyle w:val="Heading1"/>
      </w:pPr>
      <w:bookmarkStart w:id="29" w:name="_Toc219232337"/>
      <w:r w:rsidRPr="00385300">
        <w:lastRenderedPageBreak/>
        <w:t xml:space="preserve">Appendix 4: </w:t>
      </w:r>
      <w:r w:rsidR="00FD208C" w:rsidRPr="00385300">
        <w:t>Assessment against key strategic documents</w:t>
      </w:r>
      <w:bookmarkEnd w:id="29"/>
    </w:p>
    <w:p w14:paraId="04FA485F" w14:textId="77777777" w:rsidR="00FD208C" w:rsidRPr="00FD208C" w:rsidRDefault="00FD208C" w:rsidP="00FD208C">
      <w:pPr>
        <w:rPr>
          <w:rFonts w:asciiTheme="majorHAnsi" w:hAnsiTheme="majorHAnsi" w:cstheme="majorHAnsi"/>
          <w:sz w:val="22"/>
          <w:szCs w:val="22"/>
          <w:lang w:val="en-GB"/>
        </w:rPr>
      </w:pP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0"/>
        <w:gridCol w:w="6237"/>
      </w:tblGrid>
      <w:tr w:rsidR="00FD208C" w:rsidRPr="00AD6949" w14:paraId="000C2C7D" w14:textId="77777777" w:rsidTr="009A0B34">
        <w:trPr>
          <w:tblHeader/>
        </w:trPr>
        <w:tc>
          <w:tcPr>
            <w:tcW w:w="2830" w:type="dxa"/>
            <w:shd w:val="clear" w:color="auto" w:fill="B4C6E7" w:themeFill="accent1" w:themeFillTint="66"/>
          </w:tcPr>
          <w:p w14:paraId="24706042" w14:textId="77777777" w:rsidR="00FD208C" w:rsidRPr="00150284" w:rsidRDefault="00FD208C">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Strategic Document</w:t>
            </w:r>
          </w:p>
        </w:tc>
        <w:tc>
          <w:tcPr>
            <w:tcW w:w="6237" w:type="dxa"/>
            <w:shd w:val="clear" w:color="auto" w:fill="B4C6E7" w:themeFill="accent1" w:themeFillTint="66"/>
          </w:tcPr>
          <w:p w14:paraId="062978CE" w14:textId="77777777" w:rsidR="00FD208C" w:rsidRPr="00150284" w:rsidRDefault="00FD208C">
            <w:pPr>
              <w:rPr>
                <w:rFonts w:asciiTheme="majorHAnsi" w:hAnsiTheme="majorHAnsi" w:cstheme="majorHAnsi"/>
                <w:b/>
                <w:bCs/>
                <w:color w:val="1F3864" w:themeColor="accent1" w:themeShade="80"/>
                <w:sz w:val="18"/>
                <w:szCs w:val="18"/>
              </w:rPr>
            </w:pPr>
            <w:r w:rsidRPr="00150284">
              <w:rPr>
                <w:rFonts w:asciiTheme="majorHAnsi" w:hAnsiTheme="majorHAnsi" w:cstheme="majorHAnsi"/>
                <w:b/>
                <w:bCs/>
                <w:color w:val="1F3864" w:themeColor="accent1" w:themeShade="80"/>
                <w:sz w:val="18"/>
                <w:szCs w:val="18"/>
              </w:rPr>
              <w:t xml:space="preserve">Areas of alignment </w:t>
            </w:r>
          </w:p>
        </w:tc>
      </w:tr>
      <w:tr w:rsidR="00FD208C" w:rsidRPr="00AD6949" w14:paraId="6CF3B150" w14:textId="77777777">
        <w:tc>
          <w:tcPr>
            <w:tcW w:w="2830" w:type="dxa"/>
          </w:tcPr>
          <w:p w14:paraId="6E136CFB" w14:textId="77777777" w:rsidR="00FD208C" w:rsidRPr="0058329D" w:rsidRDefault="00FD208C">
            <w:pPr>
              <w:rPr>
                <w:rFonts w:asciiTheme="majorHAnsi" w:hAnsiTheme="majorHAnsi" w:cstheme="majorHAnsi"/>
                <w:sz w:val="18"/>
                <w:szCs w:val="18"/>
              </w:rPr>
            </w:pPr>
            <w:r>
              <w:rPr>
                <w:rFonts w:asciiTheme="majorHAnsi" w:hAnsiTheme="majorHAnsi" w:cstheme="majorHAnsi"/>
                <w:sz w:val="18"/>
                <w:szCs w:val="18"/>
              </w:rPr>
              <w:t>Australia-Indonesia Development Partnership Plan (2024–2028)</w:t>
            </w:r>
          </w:p>
        </w:tc>
        <w:tc>
          <w:tcPr>
            <w:tcW w:w="6237" w:type="dxa"/>
          </w:tcPr>
          <w:p w14:paraId="7A48D484" w14:textId="77777777" w:rsidR="00FD208C" w:rsidRDefault="00FD208C">
            <w:pPr>
              <w:rPr>
                <w:rFonts w:asciiTheme="majorHAnsi" w:hAnsiTheme="majorHAnsi" w:cstheme="majorHAnsi"/>
                <w:sz w:val="18"/>
                <w:szCs w:val="18"/>
              </w:rPr>
            </w:pPr>
            <w:r>
              <w:rPr>
                <w:rFonts w:asciiTheme="majorHAnsi" w:hAnsiTheme="majorHAnsi" w:cstheme="majorHAnsi"/>
                <w:sz w:val="18"/>
                <w:szCs w:val="18"/>
              </w:rPr>
              <w:t xml:space="preserve">The Project is aligned with and supports two objectives of DFAT’s Australia-Indonesia Development Partnership Plan. The Project directly responds to Objective 3, which has a focus on policy dialogue and knowledge sharing. The Project is also strategically aligned with Objective 1 through the production of Indonesia focussed research.  </w:t>
            </w:r>
          </w:p>
          <w:p w14:paraId="570DB2D4" w14:textId="77777777" w:rsidR="00FD208C" w:rsidRDefault="00FD208C">
            <w:pPr>
              <w:rPr>
                <w:rFonts w:asciiTheme="majorHAnsi" w:hAnsiTheme="majorHAnsi" w:cstheme="majorHAnsi"/>
                <w:sz w:val="18"/>
                <w:szCs w:val="18"/>
                <w:u w:val="single"/>
              </w:rPr>
            </w:pPr>
          </w:p>
          <w:p w14:paraId="439257FE" w14:textId="77777777" w:rsidR="00FD208C" w:rsidRPr="00FD208C" w:rsidRDefault="00FD208C">
            <w:pPr>
              <w:rPr>
                <w:rFonts w:asciiTheme="majorHAnsi" w:hAnsiTheme="majorHAnsi" w:cstheme="majorHAnsi"/>
                <w:i/>
                <w:iCs/>
                <w:sz w:val="18"/>
                <w:szCs w:val="18"/>
              </w:rPr>
            </w:pPr>
            <w:r w:rsidRPr="00FD208C">
              <w:rPr>
                <w:rFonts w:asciiTheme="majorHAnsi" w:hAnsiTheme="majorHAnsi" w:cstheme="majorHAnsi"/>
                <w:i/>
                <w:iCs/>
                <w:sz w:val="18"/>
                <w:szCs w:val="18"/>
              </w:rPr>
              <w:t>Objective 3: Strong institutions</w:t>
            </w:r>
          </w:p>
          <w:p w14:paraId="6046711B" w14:textId="77777777" w:rsidR="00FD208C" w:rsidRPr="00FD208C" w:rsidRDefault="00FD208C">
            <w:pPr>
              <w:rPr>
                <w:rFonts w:asciiTheme="majorHAnsi" w:hAnsiTheme="majorHAnsi" w:cstheme="majorHAnsi"/>
                <w:sz w:val="18"/>
                <w:szCs w:val="18"/>
              </w:rPr>
            </w:pPr>
            <w:r w:rsidRPr="00FD208C">
              <w:rPr>
                <w:rFonts w:asciiTheme="majorHAnsi" w:hAnsiTheme="majorHAnsi" w:cstheme="majorHAnsi"/>
                <w:sz w:val="18"/>
                <w:szCs w:val="18"/>
              </w:rPr>
              <w:t xml:space="preserve">Outcome 3.2: Indonesia’s democracy is supported, including through constructive engagement, policy dialogue and knowledge sharing across government, communities, civil society, research organisations and media </w:t>
            </w:r>
          </w:p>
          <w:p w14:paraId="096DFDBE" w14:textId="77777777" w:rsidR="00FD208C" w:rsidRDefault="00FD208C">
            <w:pPr>
              <w:rPr>
                <w:rFonts w:asciiTheme="majorHAnsi" w:hAnsiTheme="majorHAnsi" w:cstheme="majorHAnsi"/>
                <w:sz w:val="18"/>
                <w:szCs w:val="18"/>
              </w:rPr>
            </w:pPr>
            <w:r w:rsidRPr="00FD208C">
              <w:rPr>
                <w:rFonts w:asciiTheme="majorHAnsi" w:hAnsiTheme="majorHAnsi" w:cstheme="majorHAnsi"/>
                <w:sz w:val="18"/>
                <w:szCs w:val="18"/>
              </w:rPr>
              <w:t>Focus area: research, innovation and scholarships</w:t>
            </w:r>
          </w:p>
          <w:p w14:paraId="5BAC08D6" w14:textId="77777777" w:rsidR="00FD208C" w:rsidRDefault="00FD208C">
            <w:pPr>
              <w:rPr>
                <w:rFonts w:asciiTheme="majorHAnsi" w:hAnsiTheme="majorHAnsi" w:cstheme="majorHAnsi"/>
                <w:sz w:val="18"/>
                <w:szCs w:val="18"/>
              </w:rPr>
            </w:pPr>
          </w:p>
          <w:p w14:paraId="71DBD706" w14:textId="77777777" w:rsidR="00FD208C" w:rsidRPr="00FD208C" w:rsidRDefault="00FD208C">
            <w:pPr>
              <w:rPr>
                <w:rFonts w:asciiTheme="majorHAnsi" w:hAnsiTheme="majorHAnsi" w:cstheme="majorHAnsi"/>
                <w:i/>
                <w:iCs/>
                <w:sz w:val="18"/>
                <w:szCs w:val="18"/>
              </w:rPr>
            </w:pPr>
            <w:r w:rsidRPr="00FD208C">
              <w:rPr>
                <w:rFonts w:asciiTheme="majorHAnsi" w:hAnsiTheme="majorHAnsi" w:cstheme="majorHAnsi"/>
                <w:i/>
                <w:iCs/>
                <w:sz w:val="18"/>
                <w:szCs w:val="18"/>
              </w:rPr>
              <w:t>Objective 1: Equitable and sustainable economic transformation</w:t>
            </w:r>
          </w:p>
          <w:p w14:paraId="19D506DB" w14:textId="77777777" w:rsidR="00FD208C" w:rsidRPr="00FD208C" w:rsidRDefault="00FD208C">
            <w:pPr>
              <w:rPr>
                <w:rFonts w:asciiTheme="majorHAnsi" w:hAnsiTheme="majorHAnsi" w:cstheme="majorHAnsi"/>
                <w:sz w:val="18"/>
                <w:szCs w:val="18"/>
              </w:rPr>
            </w:pPr>
            <w:r w:rsidRPr="00FD208C">
              <w:rPr>
                <w:rFonts w:asciiTheme="majorHAnsi" w:hAnsiTheme="majorHAnsi" w:cstheme="majorHAnsi"/>
                <w:sz w:val="18"/>
                <w:szCs w:val="18"/>
              </w:rPr>
              <w:t>Outcome 1.1: Sustainable and equitable economic growth is supported, including in trade, investment and innovation</w:t>
            </w:r>
          </w:p>
          <w:p w14:paraId="444A2ED6" w14:textId="11A63F24" w:rsidR="00FD208C" w:rsidRPr="00FD208C" w:rsidRDefault="00FD208C" w:rsidP="00FD208C">
            <w:pPr>
              <w:rPr>
                <w:rFonts w:asciiTheme="majorHAnsi" w:hAnsiTheme="majorHAnsi" w:cstheme="majorHAnsi"/>
                <w:sz w:val="18"/>
                <w:szCs w:val="18"/>
              </w:rPr>
            </w:pPr>
            <w:r w:rsidRPr="00FD208C">
              <w:rPr>
                <w:rFonts w:asciiTheme="majorHAnsi" w:hAnsiTheme="majorHAnsi" w:cstheme="majorHAnsi"/>
                <w:sz w:val="18"/>
                <w:szCs w:val="18"/>
              </w:rPr>
              <w:t>Focus area: research and innovation.</w:t>
            </w:r>
          </w:p>
        </w:tc>
      </w:tr>
      <w:tr w:rsidR="00FD208C" w:rsidRPr="00AD6949" w14:paraId="7E4ED7D4" w14:textId="77777777">
        <w:tc>
          <w:tcPr>
            <w:tcW w:w="2830" w:type="dxa"/>
          </w:tcPr>
          <w:p w14:paraId="5BE647A4" w14:textId="77777777" w:rsidR="00FD208C" w:rsidRPr="00960C3E" w:rsidRDefault="00FD208C">
            <w:pPr>
              <w:rPr>
                <w:rFonts w:asciiTheme="majorHAnsi" w:hAnsiTheme="majorHAnsi" w:cstheme="majorHAnsi"/>
                <w:sz w:val="18"/>
                <w:szCs w:val="18"/>
              </w:rPr>
            </w:pPr>
            <w:r>
              <w:rPr>
                <w:rFonts w:asciiTheme="majorHAnsi" w:hAnsiTheme="majorHAnsi" w:cstheme="majorHAnsi"/>
                <w:sz w:val="18"/>
                <w:szCs w:val="18"/>
              </w:rPr>
              <w:t>Australia’s International Development Policy (2023)</w:t>
            </w:r>
          </w:p>
        </w:tc>
        <w:tc>
          <w:tcPr>
            <w:tcW w:w="6237" w:type="dxa"/>
          </w:tcPr>
          <w:p w14:paraId="2B949618" w14:textId="65B823A0" w:rsidR="00FD208C" w:rsidRPr="00960C3E" w:rsidRDefault="00FD208C">
            <w:pPr>
              <w:rPr>
                <w:rFonts w:asciiTheme="majorHAnsi" w:hAnsiTheme="majorHAnsi" w:cstheme="majorHAnsi"/>
                <w:sz w:val="18"/>
                <w:szCs w:val="18"/>
              </w:rPr>
            </w:pPr>
            <w:r>
              <w:rPr>
                <w:rFonts w:asciiTheme="majorHAnsi" w:hAnsiTheme="majorHAnsi" w:cstheme="majorHAnsi"/>
                <w:sz w:val="18"/>
                <w:szCs w:val="18"/>
              </w:rPr>
              <w:t xml:space="preserve">The Indonesia Project is aligned with Australia’s International Development Policy (2023) through the creation of people-to-people links, and intuitional links with a key regional neighbour. This creation of people-to-people links supports one of the Policy’s key commitments which is to “build more genuine and respectful partnerships”. Given the aim/goal of the project is to improve social and economic policy making in Indonesia, it also supports the Australian Government’s approach of supporting partners to “build effective, accountable states that drive their own development”.  </w:t>
            </w:r>
          </w:p>
        </w:tc>
      </w:tr>
      <w:tr w:rsidR="00FD208C" w:rsidRPr="00AD6949" w14:paraId="379A9CAD" w14:textId="77777777">
        <w:tc>
          <w:tcPr>
            <w:tcW w:w="2830" w:type="dxa"/>
          </w:tcPr>
          <w:p w14:paraId="31BADA4D" w14:textId="77777777" w:rsidR="00FD208C" w:rsidRPr="00960C3E" w:rsidRDefault="00FD208C">
            <w:pPr>
              <w:rPr>
                <w:rFonts w:asciiTheme="majorHAnsi" w:hAnsiTheme="majorHAnsi" w:cstheme="majorHAnsi"/>
                <w:sz w:val="18"/>
                <w:szCs w:val="18"/>
              </w:rPr>
            </w:pPr>
            <w:r>
              <w:rPr>
                <w:rFonts w:asciiTheme="majorHAnsi" w:hAnsiTheme="majorHAnsi" w:cstheme="majorHAnsi"/>
                <w:sz w:val="18"/>
                <w:szCs w:val="18"/>
              </w:rPr>
              <w:t>Invested: Australia’s Southeast Asia Economic Strategy to 2040</w:t>
            </w:r>
          </w:p>
        </w:tc>
        <w:tc>
          <w:tcPr>
            <w:tcW w:w="6237" w:type="dxa"/>
          </w:tcPr>
          <w:p w14:paraId="3325437B" w14:textId="59031136" w:rsidR="00FD208C" w:rsidRPr="00960C3E" w:rsidRDefault="00FD208C">
            <w:pPr>
              <w:rPr>
                <w:rFonts w:asciiTheme="majorHAnsi" w:hAnsiTheme="majorHAnsi" w:cstheme="majorHAnsi"/>
                <w:sz w:val="18"/>
                <w:szCs w:val="18"/>
              </w:rPr>
            </w:pPr>
            <w:r>
              <w:rPr>
                <w:rFonts w:asciiTheme="majorHAnsi" w:hAnsiTheme="majorHAnsi" w:cstheme="majorHAnsi"/>
                <w:sz w:val="18"/>
                <w:szCs w:val="18"/>
              </w:rPr>
              <w:t xml:space="preserve">The higher education sector is identified in this report as a national asset for Australia’s engagement with Southeast Asia, and Indonesia in particular which the report states </w:t>
            </w:r>
            <w:proofErr w:type="gramStart"/>
            <w:r>
              <w:rPr>
                <w:rFonts w:asciiTheme="majorHAnsi" w:hAnsiTheme="majorHAnsi" w:cstheme="majorHAnsi"/>
                <w:sz w:val="18"/>
                <w:szCs w:val="18"/>
              </w:rPr>
              <w:t>plans</w:t>
            </w:r>
            <w:proofErr w:type="gramEnd"/>
            <w:r>
              <w:rPr>
                <w:rFonts w:asciiTheme="majorHAnsi" w:hAnsiTheme="majorHAnsi" w:cstheme="majorHAnsi"/>
                <w:sz w:val="18"/>
                <w:szCs w:val="18"/>
              </w:rPr>
              <w:t xml:space="preserve"> to add 57 million skilled workers to its economy by 2030. The report notes the important role of international alumni networks in providing longstanding benefits for people-to-people links with the region. The report also recommends the Australian Government to seek opportunities for co-financing scholarships for Southeast Asian students; and to engage more effectively with international alumni to establish links between Australian and Southeast Asian businesses. The Indonesia Project significantly contributes to people-to-people links through its extensive network of economists, researchers and policymakers in Indonesia; provides scholarships for Indonesian PhD students through the </w:t>
            </w:r>
            <w:r w:rsidRPr="003A331F">
              <w:rPr>
                <w:rFonts w:asciiTheme="majorHAnsi" w:hAnsiTheme="majorHAnsi" w:cstheme="majorHAnsi"/>
                <w:sz w:val="18"/>
                <w:szCs w:val="18"/>
              </w:rPr>
              <w:t xml:space="preserve">Ruth </w:t>
            </w:r>
            <w:proofErr w:type="spellStart"/>
            <w:r w:rsidRPr="003A331F">
              <w:rPr>
                <w:rFonts w:asciiTheme="majorHAnsi" w:hAnsiTheme="majorHAnsi" w:cstheme="majorHAnsi"/>
                <w:sz w:val="18"/>
                <w:szCs w:val="18"/>
              </w:rPr>
              <w:t>Daroesman</w:t>
            </w:r>
            <w:proofErr w:type="spellEnd"/>
            <w:r w:rsidRPr="003A331F">
              <w:rPr>
                <w:rFonts w:asciiTheme="majorHAnsi" w:hAnsiTheme="majorHAnsi" w:cstheme="majorHAnsi"/>
                <w:sz w:val="18"/>
                <w:szCs w:val="18"/>
              </w:rPr>
              <w:t xml:space="preserve"> Grant</w:t>
            </w:r>
            <w:r>
              <w:rPr>
                <w:rFonts w:asciiTheme="majorHAnsi" w:hAnsiTheme="majorHAnsi" w:cstheme="majorHAnsi"/>
                <w:sz w:val="18"/>
                <w:szCs w:val="18"/>
              </w:rPr>
              <w:t xml:space="preserve">; and connects student alumni with Australian academics, institutions and businesses through conferences, seminars and forums which are important networking events. </w:t>
            </w:r>
          </w:p>
        </w:tc>
      </w:tr>
      <w:tr w:rsidR="00FD208C" w:rsidRPr="00AD6949" w14:paraId="5A1281AF" w14:textId="77777777">
        <w:tc>
          <w:tcPr>
            <w:tcW w:w="2830" w:type="dxa"/>
          </w:tcPr>
          <w:p w14:paraId="41796E44" w14:textId="77777777" w:rsidR="00FD208C" w:rsidRDefault="00FD208C">
            <w:pPr>
              <w:pStyle w:val="Default"/>
              <w:rPr>
                <w:rFonts w:eastAsia="Times New Roman"/>
                <w:sz w:val="18"/>
                <w:szCs w:val="18"/>
                <w:lang w:eastAsia="en-GB"/>
              </w:rPr>
            </w:pPr>
            <w:r>
              <w:rPr>
                <w:rFonts w:eastAsia="Times New Roman"/>
                <w:sz w:val="18"/>
                <w:szCs w:val="18"/>
                <w:lang w:eastAsia="en-GB"/>
              </w:rPr>
              <w:t xml:space="preserve">Plan of Action for the Indonesia-Australia Comprehensive Strategic Partnership (2025–2029) </w:t>
            </w:r>
          </w:p>
          <w:p w14:paraId="6A88033D" w14:textId="77777777" w:rsidR="00FD208C" w:rsidRPr="00960C3E" w:rsidRDefault="00FD208C">
            <w:pPr>
              <w:rPr>
                <w:rFonts w:asciiTheme="majorHAnsi" w:hAnsiTheme="majorHAnsi" w:cstheme="majorHAnsi"/>
                <w:sz w:val="18"/>
                <w:szCs w:val="18"/>
              </w:rPr>
            </w:pPr>
          </w:p>
        </w:tc>
        <w:tc>
          <w:tcPr>
            <w:tcW w:w="6237" w:type="dxa"/>
          </w:tcPr>
          <w:p w14:paraId="7EF12182" w14:textId="77777777" w:rsidR="00FD208C" w:rsidRDefault="00FD208C">
            <w:pPr>
              <w:pStyle w:val="Default"/>
              <w:rPr>
                <w:rFonts w:eastAsia="Times New Roman"/>
                <w:sz w:val="18"/>
                <w:szCs w:val="18"/>
                <w:lang w:eastAsia="en-GB"/>
              </w:rPr>
            </w:pPr>
            <w:r>
              <w:rPr>
                <w:rFonts w:asciiTheme="majorHAnsi" w:hAnsiTheme="majorHAnsi" w:cstheme="majorHAnsi"/>
                <w:sz w:val="18"/>
                <w:szCs w:val="18"/>
              </w:rPr>
              <w:t xml:space="preserve">The Project is aligned with </w:t>
            </w:r>
            <w:proofErr w:type="gramStart"/>
            <w:r>
              <w:rPr>
                <w:rFonts w:asciiTheme="majorHAnsi" w:hAnsiTheme="majorHAnsi" w:cstheme="majorHAnsi"/>
                <w:sz w:val="18"/>
                <w:szCs w:val="18"/>
              </w:rPr>
              <w:t>a number of</w:t>
            </w:r>
            <w:proofErr w:type="gramEnd"/>
            <w:r>
              <w:rPr>
                <w:rFonts w:asciiTheme="majorHAnsi" w:hAnsiTheme="majorHAnsi" w:cstheme="majorHAnsi"/>
                <w:sz w:val="18"/>
                <w:szCs w:val="18"/>
              </w:rPr>
              <w:t xml:space="preserve"> pillars in the </w:t>
            </w:r>
            <w:r>
              <w:rPr>
                <w:rFonts w:eastAsia="Times New Roman"/>
                <w:sz w:val="18"/>
                <w:szCs w:val="18"/>
                <w:lang w:eastAsia="en-GB"/>
              </w:rPr>
              <w:t xml:space="preserve">Plan of Action for the Indonesia-Australia Comprehensive Strategic Partnership (2025–2029): </w:t>
            </w:r>
          </w:p>
          <w:p w14:paraId="039F7D14" w14:textId="77777777" w:rsidR="00FD208C" w:rsidRDefault="00FD208C">
            <w:pPr>
              <w:pStyle w:val="Default"/>
              <w:rPr>
                <w:rFonts w:asciiTheme="majorHAnsi" w:hAnsiTheme="majorHAnsi" w:cstheme="majorHAnsi"/>
                <w:sz w:val="18"/>
                <w:szCs w:val="18"/>
              </w:rPr>
            </w:pPr>
          </w:p>
          <w:p w14:paraId="188E1DB1" w14:textId="77777777" w:rsidR="00FD208C" w:rsidRPr="003A331F" w:rsidRDefault="00FD208C">
            <w:pPr>
              <w:pStyle w:val="Default"/>
              <w:rPr>
                <w:rFonts w:asciiTheme="majorHAnsi" w:hAnsiTheme="majorHAnsi" w:cstheme="majorHAnsi"/>
                <w:i/>
                <w:iCs/>
                <w:sz w:val="18"/>
                <w:szCs w:val="18"/>
              </w:rPr>
            </w:pPr>
            <w:r w:rsidRPr="003A331F">
              <w:rPr>
                <w:rFonts w:asciiTheme="majorHAnsi" w:hAnsiTheme="majorHAnsi" w:cstheme="majorHAnsi"/>
                <w:i/>
                <w:iCs/>
                <w:sz w:val="18"/>
                <w:szCs w:val="18"/>
              </w:rPr>
              <w:t xml:space="preserve">Pillar One: Enhancing Our Economic and Development Partnership </w:t>
            </w:r>
          </w:p>
          <w:p w14:paraId="1F15D656" w14:textId="77777777" w:rsidR="00FD208C" w:rsidRDefault="00FD208C">
            <w:pPr>
              <w:pStyle w:val="Default"/>
              <w:rPr>
                <w:rFonts w:asciiTheme="majorHAnsi" w:hAnsiTheme="majorHAnsi" w:cstheme="majorHAnsi"/>
                <w:sz w:val="18"/>
                <w:szCs w:val="18"/>
              </w:rPr>
            </w:pPr>
            <w:r>
              <w:rPr>
                <w:rFonts w:asciiTheme="majorHAnsi" w:hAnsiTheme="majorHAnsi" w:cstheme="majorHAnsi"/>
                <w:sz w:val="18"/>
                <w:szCs w:val="18"/>
              </w:rPr>
              <w:t xml:space="preserve">Under the ‘economic cooperation’ action, the Plan notes that both countries will hold meetings to “enhance dialogue </w:t>
            </w:r>
            <w:r w:rsidRPr="00AA7F4F">
              <w:rPr>
                <w:rFonts w:asciiTheme="majorHAnsi" w:hAnsiTheme="majorHAnsi" w:cstheme="majorHAnsi"/>
                <w:sz w:val="18"/>
                <w:szCs w:val="18"/>
              </w:rPr>
              <w:t>and deepen engagement on bilateral and international trade, investment, and economic policy</w:t>
            </w:r>
            <w:r>
              <w:rPr>
                <w:rFonts w:asciiTheme="majorHAnsi" w:hAnsiTheme="majorHAnsi" w:cstheme="majorHAnsi"/>
                <w:sz w:val="18"/>
                <w:szCs w:val="18"/>
              </w:rPr>
              <w:t xml:space="preserve">”. It also aims to enhance information and knowledge exchange and to strengthen capacity in the economic sector through conferences, workshops and joint research. Both these actions are directly aligned with the Indonesia Project. </w:t>
            </w:r>
          </w:p>
          <w:p w14:paraId="23CC5C36" w14:textId="77777777" w:rsidR="00FD208C" w:rsidRDefault="00FD208C">
            <w:pPr>
              <w:pStyle w:val="Default"/>
              <w:rPr>
                <w:rFonts w:asciiTheme="majorHAnsi" w:eastAsia="Times New Roman" w:hAnsiTheme="majorHAnsi" w:cstheme="majorHAnsi"/>
                <w:i/>
                <w:iCs/>
                <w:color w:val="auto"/>
                <w:sz w:val="18"/>
                <w:szCs w:val="18"/>
                <w:lang w:val="en-AU" w:eastAsia="en-GB"/>
              </w:rPr>
            </w:pPr>
          </w:p>
          <w:p w14:paraId="71FA5B95" w14:textId="77777777" w:rsidR="00FD208C" w:rsidRDefault="00FD208C">
            <w:pPr>
              <w:pStyle w:val="Default"/>
              <w:rPr>
                <w:rFonts w:asciiTheme="majorHAnsi" w:eastAsia="Times New Roman" w:hAnsiTheme="majorHAnsi" w:cstheme="majorHAnsi"/>
                <w:i/>
                <w:iCs/>
                <w:color w:val="auto"/>
                <w:sz w:val="18"/>
                <w:szCs w:val="18"/>
                <w:lang w:val="en-AU" w:eastAsia="en-GB"/>
              </w:rPr>
            </w:pPr>
            <w:r w:rsidRPr="003A331F">
              <w:rPr>
                <w:rFonts w:asciiTheme="majorHAnsi" w:eastAsia="Times New Roman" w:hAnsiTheme="majorHAnsi" w:cstheme="majorHAnsi"/>
                <w:i/>
                <w:iCs/>
                <w:color w:val="auto"/>
                <w:sz w:val="18"/>
                <w:szCs w:val="18"/>
                <w:lang w:val="en-AU" w:eastAsia="en-GB"/>
              </w:rPr>
              <w:t>Pillar Two: Connecting People</w:t>
            </w:r>
          </w:p>
          <w:p w14:paraId="68D1F78B" w14:textId="45188715" w:rsidR="00FD208C" w:rsidRPr="00FD208C" w:rsidRDefault="00FD208C">
            <w:pPr>
              <w:pStyle w:val="Default"/>
              <w:rPr>
                <w:rFonts w:asciiTheme="majorHAnsi" w:eastAsia="Times New Roman" w:hAnsiTheme="majorHAnsi" w:cstheme="majorHAnsi"/>
                <w:color w:val="auto"/>
                <w:sz w:val="18"/>
                <w:szCs w:val="18"/>
                <w:lang w:val="en-AU" w:eastAsia="en-GB"/>
              </w:rPr>
            </w:pPr>
            <w:r w:rsidRPr="003A331F">
              <w:rPr>
                <w:rFonts w:asciiTheme="majorHAnsi" w:eastAsia="Times New Roman" w:hAnsiTheme="majorHAnsi" w:cstheme="majorHAnsi"/>
                <w:color w:val="auto"/>
                <w:sz w:val="18"/>
                <w:szCs w:val="18"/>
                <w:lang w:val="en-AU" w:eastAsia="en-GB"/>
              </w:rPr>
              <w:t xml:space="preserve">Under </w:t>
            </w:r>
            <w:r>
              <w:rPr>
                <w:rFonts w:asciiTheme="majorHAnsi" w:eastAsia="Times New Roman" w:hAnsiTheme="majorHAnsi" w:cstheme="majorHAnsi"/>
                <w:color w:val="auto"/>
                <w:sz w:val="18"/>
                <w:szCs w:val="18"/>
                <w:lang w:val="en-AU" w:eastAsia="en-GB"/>
              </w:rPr>
              <w:t>the ‘e</w:t>
            </w:r>
            <w:r w:rsidRPr="003A331F">
              <w:rPr>
                <w:rFonts w:asciiTheme="majorHAnsi" w:eastAsia="Times New Roman" w:hAnsiTheme="majorHAnsi" w:cstheme="majorHAnsi"/>
                <w:color w:val="auto"/>
                <w:sz w:val="18"/>
                <w:szCs w:val="18"/>
                <w:lang w:val="en-AU" w:eastAsia="en-GB"/>
              </w:rPr>
              <w:t>ducation, research and science cooperation</w:t>
            </w:r>
            <w:r>
              <w:rPr>
                <w:rFonts w:asciiTheme="majorHAnsi" w:eastAsia="Times New Roman" w:hAnsiTheme="majorHAnsi" w:cstheme="majorHAnsi"/>
                <w:color w:val="auto"/>
                <w:sz w:val="18"/>
                <w:szCs w:val="18"/>
                <w:lang w:val="en-AU" w:eastAsia="en-GB"/>
              </w:rPr>
              <w:t>’ action, the Plan</w:t>
            </w:r>
            <w:r w:rsidRPr="00AA7F4F">
              <w:rPr>
                <w:rFonts w:asciiTheme="majorHAnsi" w:eastAsia="Times New Roman" w:hAnsiTheme="majorHAnsi" w:cstheme="majorHAnsi"/>
                <w:color w:val="auto"/>
                <w:sz w:val="18"/>
                <w:szCs w:val="18"/>
                <w:lang w:val="en-AU" w:eastAsia="en-GB"/>
              </w:rPr>
              <w:t xml:space="preserve"> also specifically refers to providing opportunities for Australia</w:t>
            </w:r>
            <w:r>
              <w:rPr>
                <w:rFonts w:asciiTheme="majorHAnsi" w:eastAsia="Times New Roman" w:hAnsiTheme="majorHAnsi" w:cstheme="majorHAnsi"/>
                <w:color w:val="auto"/>
                <w:sz w:val="18"/>
                <w:szCs w:val="18"/>
                <w:lang w:val="en-AU" w:eastAsia="en-GB"/>
              </w:rPr>
              <w:t>n</w:t>
            </w:r>
            <w:r w:rsidRPr="00AA7F4F">
              <w:rPr>
                <w:rFonts w:asciiTheme="majorHAnsi" w:eastAsia="Times New Roman" w:hAnsiTheme="majorHAnsi" w:cstheme="majorHAnsi"/>
                <w:color w:val="auto"/>
                <w:sz w:val="18"/>
                <w:szCs w:val="18"/>
                <w:lang w:val="en-AU" w:eastAsia="en-GB"/>
              </w:rPr>
              <w:t xml:space="preserve"> students to visit Indonesia. This pillar also emphas</w:t>
            </w:r>
            <w:r>
              <w:rPr>
                <w:rFonts w:asciiTheme="majorHAnsi" w:eastAsia="Times New Roman" w:hAnsiTheme="majorHAnsi" w:cstheme="majorHAnsi"/>
                <w:color w:val="auto"/>
                <w:sz w:val="18"/>
                <w:szCs w:val="18"/>
                <w:lang w:val="en-AU" w:eastAsia="en-GB"/>
              </w:rPr>
              <w:t>ises</w:t>
            </w:r>
            <w:r w:rsidRPr="00AA7F4F">
              <w:rPr>
                <w:rFonts w:asciiTheme="majorHAnsi" w:eastAsia="Times New Roman" w:hAnsiTheme="majorHAnsi" w:cstheme="majorHAnsi"/>
                <w:color w:val="auto"/>
                <w:sz w:val="18"/>
                <w:szCs w:val="18"/>
                <w:lang w:val="en-AU" w:eastAsia="en-GB"/>
              </w:rPr>
              <w:t xml:space="preserve"> academic collaboration, networking events, seminars and conferences, as well as joint research programs and engagement between academics. It </w:t>
            </w:r>
            <w:r>
              <w:rPr>
                <w:rFonts w:asciiTheme="majorHAnsi" w:eastAsia="Times New Roman" w:hAnsiTheme="majorHAnsi" w:cstheme="majorHAnsi"/>
                <w:color w:val="auto"/>
                <w:sz w:val="18"/>
                <w:szCs w:val="18"/>
                <w:lang w:val="en-AU" w:eastAsia="en-GB"/>
              </w:rPr>
              <w:t xml:space="preserve">also </w:t>
            </w:r>
            <w:r w:rsidRPr="00AA7F4F">
              <w:rPr>
                <w:rFonts w:asciiTheme="majorHAnsi" w:eastAsia="Times New Roman" w:hAnsiTheme="majorHAnsi" w:cstheme="majorHAnsi"/>
                <w:color w:val="auto"/>
                <w:sz w:val="18"/>
                <w:szCs w:val="18"/>
                <w:lang w:val="en-AU" w:eastAsia="en-GB"/>
              </w:rPr>
              <w:t xml:space="preserve">replicates the </w:t>
            </w:r>
            <w:r>
              <w:rPr>
                <w:rFonts w:asciiTheme="majorHAnsi" w:eastAsia="Times New Roman" w:hAnsiTheme="majorHAnsi" w:cstheme="majorHAnsi"/>
                <w:color w:val="auto"/>
                <w:sz w:val="18"/>
                <w:szCs w:val="18"/>
                <w:lang w:val="en-AU" w:eastAsia="en-GB"/>
              </w:rPr>
              <w:t xml:space="preserve">Indonesia Project </w:t>
            </w:r>
            <w:r w:rsidRPr="00AA7F4F">
              <w:rPr>
                <w:rFonts w:asciiTheme="majorHAnsi" w:eastAsia="Times New Roman" w:hAnsiTheme="majorHAnsi" w:cstheme="majorHAnsi"/>
                <w:color w:val="auto"/>
                <w:sz w:val="18"/>
                <w:szCs w:val="18"/>
                <w:lang w:val="en-AU" w:eastAsia="en-GB"/>
              </w:rPr>
              <w:t>HLPD in the field</w:t>
            </w:r>
            <w:r>
              <w:rPr>
                <w:rFonts w:asciiTheme="majorHAnsi" w:eastAsia="Times New Roman" w:hAnsiTheme="majorHAnsi" w:cstheme="majorHAnsi"/>
                <w:color w:val="auto"/>
                <w:sz w:val="18"/>
                <w:szCs w:val="18"/>
                <w:lang w:val="en-AU" w:eastAsia="en-GB"/>
              </w:rPr>
              <w:t>s</w:t>
            </w:r>
            <w:r w:rsidRPr="00AA7F4F">
              <w:rPr>
                <w:rFonts w:asciiTheme="majorHAnsi" w:eastAsia="Times New Roman" w:hAnsiTheme="majorHAnsi" w:cstheme="majorHAnsi"/>
                <w:color w:val="auto"/>
                <w:sz w:val="18"/>
                <w:szCs w:val="18"/>
                <w:lang w:val="en-AU" w:eastAsia="en-GB"/>
              </w:rPr>
              <w:t xml:space="preserve"> of higher education</w:t>
            </w:r>
            <w:r>
              <w:rPr>
                <w:rFonts w:asciiTheme="majorHAnsi" w:eastAsia="Times New Roman" w:hAnsiTheme="majorHAnsi" w:cstheme="majorHAnsi"/>
                <w:color w:val="auto"/>
                <w:sz w:val="18"/>
                <w:szCs w:val="18"/>
                <w:lang w:val="en-AU" w:eastAsia="en-GB"/>
              </w:rPr>
              <w:t>,</w:t>
            </w:r>
            <w:r w:rsidRPr="00AA7F4F">
              <w:rPr>
                <w:rFonts w:asciiTheme="majorHAnsi" w:eastAsia="Times New Roman" w:hAnsiTheme="majorHAnsi" w:cstheme="majorHAnsi"/>
                <w:color w:val="auto"/>
                <w:sz w:val="18"/>
                <w:szCs w:val="18"/>
                <w:lang w:val="en-AU" w:eastAsia="en-GB"/>
              </w:rPr>
              <w:t xml:space="preserve"> science and research. </w:t>
            </w:r>
          </w:p>
        </w:tc>
      </w:tr>
    </w:tbl>
    <w:p w14:paraId="13060FE3" w14:textId="77777777" w:rsidR="00FD208C" w:rsidRDefault="00FD208C" w:rsidP="00FD208C">
      <w:pPr>
        <w:spacing w:before="120" w:after="120"/>
        <w:rPr>
          <w:rFonts w:asciiTheme="majorHAnsi" w:eastAsiaTheme="minorHAnsi" w:hAnsiTheme="majorHAnsi" w:cstheme="majorHAnsi"/>
          <w:sz w:val="22"/>
          <w:szCs w:val="22"/>
          <w:lang w:val="en-GB"/>
        </w:rPr>
      </w:pPr>
    </w:p>
    <w:p w14:paraId="3D06BD74" w14:textId="56ECEDA6" w:rsidR="00FD208C" w:rsidRPr="00FE0449" w:rsidRDefault="00FD208C" w:rsidP="00FE0449">
      <w:pPr>
        <w:pStyle w:val="Heading1"/>
      </w:pPr>
      <w:bookmarkStart w:id="30" w:name="_Toc219232338"/>
      <w:r w:rsidRPr="00FE0449">
        <w:lastRenderedPageBreak/>
        <w:t>Appendix 5: List of key documents reviewed</w:t>
      </w:r>
      <w:bookmarkEnd w:id="30"/>
    </w:p>
    <w:p w14:paraId="674E41A6" w14:textId="77777777" w:rsidR="00C1663A" w:rsidRPr="00FD7A68" w:rsidRDefault="00C1663A" w:rsidP="00C1663A">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ANU Indonesia Project (2024), </w:t>
      </w:r>
      <w:r>
        <w:rPr>
          <w:rFonts w:asciiTheme="majorHAnsi" w:hAnsiTheme="majorHAnsi" w:cstheme="majorHAnsi"/>
          <w:i/>
          <w:iCs/>
          <w:sz w:val="22"/>
          <w:szCs w:val="22"/>
        </w:rPr>
        <w:t xml:space="preserve">ANU Indonesia Project: Annual Report 2024, </w:t>
      </w:r>
      <w:r>
        <w:rPr>
          <w:rFonts w:asciiTheme="majorHAnsi" w:hAnsiTheme="majorHAnsi" w:cstheme="majorHAnsi"/>
          <w:sz w:val="22"/>
          <w:szCs w:val="22"/>
        </w:rPr>
        <w:t xml:space="preserve">ANU. </w:t>
      </w:r>
    </w:p>
    <w:p w14:paraId="21FA4397" w14:textId="2DECE8FC" w:rsidR="00FD7A68" w:rsidRDefault="00FD7A68" w:rsidP="00FD7A68">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ANU Indonesia Project (2024), </w:t>
      </w:r>
      <w:r>
        <w:rPr>
          <w:rFonts w:asciiTheme="majorHAnsi" w:hAnsiTheme="majorHAnsi" w:cstheme="majorHAnsi"/>
          <w:i/>
          <w:iCs/>
          <w:sz w:val="22"/>
          <w:szCs w:val="22"/>
        </w:rPr>
        <w:t xml:space="preserve">ANU Indonesia Project: Quick Reference Communication Strategy &amp; Action Plan (February 2024), </w:t>
      </w:r>
      <w:r>
        <w:rPr>
          <w:rFonts w:asciiTheme="majorHAnsi" w:hAnsiTheme="majorHAnsi" w:cstheme="majorHAnsi"/>
          <w:sz w:val="22"/>
          <w:szCs w:val="22"/>
        </w:rPr>
        <w:t xml:space="preserve">ANU. </w:t>
      </w:r>
    </w:p>
    <w:p w14:paraId="0E4A9650" w14:textId="7435A98A" w:rsidR="00FD7A68" w:rsidRDefault="00FD7A68" w:rsidP="00FD7A68">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ANU Indonesia Project (2022), </w:t>
      </w:r>
      <w:r>
        <w:rPr>
          <w:rFonts w:asciiTheme="majorHAnsi" w:hAnsiTheme="majorHAnsi" w:cstheme="majorHAnsi"/>
          <w:i/>
          <w:iCs/>
          <w:sz w:val="22"/>
          <w:szCs w:val="22"/>
        </w:rPr>
        <w:t xml:space="preserve">Indonesia Project: Gender Equality and Social Inclusion Strategy (February 2022), </w:t>
      </w:r>
      <w:r>
        <w:rPr>
          <w:rFonts w:asciiTheme="majorHAnsi" w:hAnsiTheme="majorHAnsi" w:cstheme="majorHAnsi"/>
          <w:sz w:val="22"/>
          <w:szCs w:val="22"/>
        </w:rPr>
        <w:t xml:space="preserve">ANU. </w:t>
      </w:r>
    </w:p>
    <w:p w14:paraId="20BFCEB2" w14:textId="77777777" w:rsidR="00FD7A68" w:rsidRDefault="00FD7A68" w:rsidP="00FD7A68">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ANU Indonesia Project (2022), </w:t>
      </w:r>
      <w:r>
        <w:rPr>
          <w:rFonts w:asciiTheme="majorHAnsi" w:hAnsiTheme="majorHAnsi" w:cstheme="majorHAnsi"/>
          <w:i/>
          <w:iCs/>
          <w:sz w:val="22"/>
          <w:szCs w:val="22"/>
        </w:rPr>
        <w:t>Indonesia Project: Interim Phase (Jan 2021–Nov 2022) Completion Report</w:t>
      </w:r>
      <w:r>
        <w:rPr>
          <w:rFonts w:asciiTheme="majorHAnsi" w:hAnsiTheme="majorHAnsi" w:cstheme="majorHAnsi"/>
          <w:sz w:val="22"/>
          <w:szCs w:val="22"/>
        </w:rPr>
        <w:t xml:space="preserve">, ANU. </w:t>
      </w:r>
    </w:p>
    <w:p w14:paraId="750F2F1F" w14:textId="3FFA8FAA" w:rsidR="001B3FA7" w:rsidRDefault="001B3FA7" w:rsidP="001B3FA7">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DFAT (2023), </w:t>
      </w:r>
      <w:r w:rsidRPr="00F96708">
        <w:rPr>
          <w:rFonts w:asciiTheme="majorHAnsi" w:hAnsiTheme="majorHAnsi" w:cstheme="majorHAnsi"/>
          <w:i/>
          <w:iCs/>
          <w:sz w:val="22"/>
          <w:szCs w:val="22"/>
        </w:rPr>
        <w:t>Australia-Indonesia Development Partnership Plan (2024–2028)</w:t>
      </w:r>
      <w:r>
        <w:rPr>
          <w:rFonts w:asciiTheme="majorHAnsi" w:hAnsiTheme="majorHAnsi" w:cstheme="majorHAnsi"/>
          <w:sz w:val="22"/>
          <w:szCs w:val="22"/>
        </w:rPr>
        <w:t>. Online available:</w:t>
      </w:r>
      <w:r w:rsidRPr="00F30CBE">
        <w:t xml:space="preserve"> </w:t>
      </w:r>
      <w:hyperlink r:id="rId24" w:history="1">
        <w:r w:rsidRPr="00B52DF4">
          <w:rPr>
            <w:rStyle w:val="Hyperlink"/>
            <w:rFonts w:asciiTheme="majorHAnsi" w:hAnsiTheme="majorHAnsi" w:cstheme="majorHAnsi"/>
            <w:sz w:val="22"/>
            <w:szCs w:val="22"/>
          </w:rPr>
          <w:t>https://www.dfat.gov.au/publications/development/australia-indonesia-development-partnership-plan-2024-2028</w:t>
        </w:r>
      </w:hyperlink>
      <w:r>
        <w:rPr>
          <w:rFonts w:asciiTheme="majorHAnsi" w:hAnsiTheme="majorHAnsi" w:cstheme="majorHAnsi"/>
          <w:sz w:val="22"/>
          <w:szCs w:val="22"/>
        </w:rPr>
        <w:t xml:space="preserve">. Accessed Dec 2025. </w:t>
      </w:r>
    </w:p>
    <w:p w14:paraId="789E862A" w14:textId="03019424" w:rsidR="001B3FA7" w:rsidRDefault="001B3FA7" w:rsidP="001B3FA7">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DFAT (2023), </w:t>
      </w:r>
      <w:r w:rsidRPr="00F96708">
        <w:rPr>
          <w:rFonts w:asciiTheme="majorHAnsi" w:hAnsiTheme="majorHAnsi" w:cstheme="majorHAnsi"/>
          <w:i/>
          <w:iCs/>
          <w:sz w:val="22"/>
          <w:szCs w:val="22"/>
        </w:rPr>
        <w:t>Australia’s International Development Policy</w:t>
      </w:r>
      <w:r>
        <w:rPr>
          <w:rFonts w:asciiTheme="majorHAnsi" w:hAnsiTheme="majorHAnsi" w:cstheme="majorHAnsi"/>
          <w:sz w:val="22"/>
          <w:szCs w:val="22"/>
        </w:rPr>
        <w:t xml:space="preserve">. Online available: </w:t>
      </w:r>
      <w:hyperlink r:id="rId25" w:history="1">
        <w:r w:rsidRPr="00B52DF4">
          <w:rPr>
            <w:rStyle w:val="Hyperlink"/>
            <w:rFonts w:asciiTheme="majorHAnsi" w:hAnsiTheme="majorHAnsi" w:cstheme="majorHAnsi"/>
            <w:sz w:val="22"/>
            <w:szCs w:val="22"/>
          </w:rPr>
          <w:t>https://www.dfat.gov.au/publications/development/australias-international-development-policy</w:t>
        </w:r>
      </w:hyperlink>
      <w:r>
        <w:rPr>
          <w:rFonts w:asciiTheme="majorHAnsi" w:hAnsiTheme="majorHAnsi" w:cstheme="majorHAnsi"/>
          <w:sz w:val="22"/>
          <w:szCs w:val="22"/>
        </w:rPr>
        <w:t xml:space="preserve">. Accessed Dec 2025. </w:t>
      </w:r>
    </w:p>
    <w:p w14:paraId="37FA8CD9" w14:textId="69A16D4C" w:rsidR="00FD7A68" w:rsidRDefault="008978C3" w:rsidP="00F96708">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DFAT (2022), </w:t>
      </w:r>
      <w:r>
        <w:rPr>
          <w:rFonts w:asciiTheme="majorHAnsi" w:hAnsiTheme="majorHAnsi" w:cstheme="majorHAnsi"/>
          <w:i/>
          <w:iCs/>
          <w:sz w:val="22"/>
          <w:szCs w:val="22"/>
        </w:rPr>
        <w:t>The ANU Indonesia Project, Phase V Design (July 2022–June 2026): Design Document</w:t>
      </w:r>
      <w:r>
        <w:rPr>
          <w:rFonts w:asciiTheme="majorHAnsi" w:hAnsiTheme="majorHAnsi" w:cstheme="majorHAnsi"/>
          <w:sz w:val="22"/>
          <w:szCs w:val="22"/>
        </w:rPr>
        <w:t xml:space="preserve">, DFAT. </w:t>
      </w:r>
    </w:p>
    <w:p w14:paraId="1C7434B9" w14:textId="2F8DD749" w:rsidR="008978C3" w:rsidRDefault="008978C3" w:rsidP="008978C3">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DFAT (2022), </w:t>
      </w:r>
      <w:r>
        <w:rPr>
          <w:rFonts w:asciiTheme="majorHAnsi" w:hAnsiTheme="majorHAnsi" w:cstheme="majorHAnsi"/>
          <w:i/>
          <w:iCs/>
          <w:sz w:val="22"/>
          <w:szCs w:val="22"/>
        </w:rPr>
        <w:t>The ANU Indonesia Project, Phase V Design (July 2022–June 2026): Part B – Annexes</w:t>
      </w:r>
      <w:r>
        <w:rPr>
          <w:rFonts w:asciiTheme="majorHAnsi" w:hAnsiTheme="majorHAnsi" w:cstheme="majorHAnsi"/>
          <w:sz w:val="22"/>
          <w:szCs w:val="22"/>
        </w:rPr>
        <w:t xml:space="preserve">, DFAT. </w:t>
      </w:r>
    </w:p>
    <w:p w14:paraId="7CBA6265" w14:textId="231CD7C2" w:rsidR="008978C3" w:rsidRDefault="008978C3" w:rsidP="008978C3">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DFAT (2024), </w:t>
      </w:r>
      <w:r>
        <w:rPr>
          <w:rFonts w:asciiTheme="majorHAnsi" w:hAnsiTheme="majorHAnsi" w:cstheme="majorHAnsi"/>
          <w:i/>
          <w:iCs/>
          <w:sz w:val="22"/>
          <w:szCs w:val="22"/>
        </w:rPr>
        <w:t>Indonesia Project – Phase 5, Annual Investment Monitoring Report 2024</w:t>
      </w:r>
      <w:r>
        <w:rPr>
          <w:rFonts w:asciiTheme="majorHAnsi" w:hAnsiTheme="majorHAnsi" w:cstheme="majorHAnsi"/>
          <w:sz w:val="22"/>
          <w:szCs w:val="22"/>
        </w:rPr>
        <w:t xml:space="preserve">, DFAT. </w:t>
      </w:r>
    </w:p>
    <w:p w14:paraId="2E64E681" w14:textId="795B27C2" w:rsidR="008978C3" w:rsidRPr="008978C3" w:rsidRDefault="008978C3" w:rsidP="008978C3">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DFAT (2025), </w:t>
      </w:r>
      <w:r>
        <w:rPr>
          <w:rFonts w:asciiTheme="majorHAnsi" w:hAnsiTheme="majorHAnsi" w:cstheme="majorHAnsi"/>
          <w:i/>
          <w:iCs/>
          <w:sz w:val="22"/>
          <w:szCs w:val="22"/>
        </w:rPr>
        <w:t>Indonesia Project – Phase 5, Annual Investment Monitoring Report 2025</w:t>
      </w:r>
      <w:r>
        <w:rPr>
          <w:rFonts w:asciiTheme="majorHAnsi" w:hAnsiTheme="majorHAnsi" w:cstheme="majorHAnsi"/>
          <w:sz w:val="22"/>
          <w:szCs w:val="22"/>
        </w:rPr>
        <w:t xml:space="preserve">, DFAT. </w:t>
      </w:r>
    </w:p>
    <w:p w14:paraId="00B771BF" w14:textId="77777777" w:rsidR="00F96708" w:rsidRDefault="00A3784C" w:rsidP="00F96708">
      <w:pPr>
        <w:pStyle w:val="Default"/>
        <w:spacing w:before="120" w:after="120"/>
        <w:ind w:left="720" w:hanging="720"/>
        <w:rPr>
          <w:rFonts w:asciiTheme="majorHAnsi" w:eastAsia="Times New Roman" w:hAnsiTheme="majorHAnsi" w:cstheme="majorHAnsi"/>
          <w:sz w:val="22"/>
          <w:szCs w:val="22"/>
          <w:lang w:eastAsia="en-GB"/>
        </w:rPr>
      </w:pPr>
      <w:r w:rsidRPr="00A3784C">
        <w:rPr>
          <w:rFonts w:asciiTheme="majorHAnsi" w:eastAsia="Times New Roman" w:hAnsiTheme="majorHAnsi" w:cstheme="majorHAnsi"/>
          <w:sz w:val="22"/>
          <w:szCs w:val="22"/>
          <w:lang w:eastAsia="en-GB"/>
        </w:rPr>
        <w:t>DFAT</w:t>
      </w:r>
      <w:r>
        <w:rPr>
          <w:rFonts w:asciiTheme="majorHAnsi" w:eastAsia="Times New Roman" w:hAnsiTheme="majorHAnsi" w:cstheme="majorHAnsi"/>
          <w:sz w:val="22"/>
          <w:szCs w:val="22"/>
          <w:lang w:eastAsia="en-GB"/>
        </w:rPr>
        <w:t xml:space="preserve"> (2024)</w:t>
      </w:r>
      <w:r w:rsidRPr="00A3784C">
        <w:rPr>
          <w:rFonts w:asciiTheme="majorHAnsi" w:eastAsia="Times New Roman" w:hAnsiTheme="majorHAnsi" w:cstheme="majorHAnsi"/>
          <w:sz w:val="22"/>
          <w:szCs w:val="22"/>
          <w:lang w:eastAsia="en-GB"/>
        </w:rPr>
        <w:t xml:space="preserve">, </w:t>
      </w:r>
      <w:r w:rsidRPr="00F96708">
        <w:rPr>
          <w:rFonts w:asciiTheme="majorHAnsi" w:eastAsia="Times New Roman" w:hAnsiTheme="majorHAnsi" w:cstheme="majorHAnsi"/>
          <w:i/>
          <w:iCs/>
          <w:sz w:val="22"/>
          <w:szCs w:val="22"/>
          <w:lang w:eastAsia="en-GB"/>
        </w:rPr>
        <w:t>Plan of Action for the Indonesia-Australia Comprehensive Strategic Partnership (2025–2029)</w:t>
      </w:r>
      <w:r w:rsidRPr="00A3784C">
        <w:rPr>
          <w:rFonts w:asciiTheme="majorHAnsi" w:eastAsia="Times New Roman" w:hAnsiTheme="majorHAnsi" w:cstheme="majorHAnsi"/>
          <w:sz w:val="22"/>
          <w:szCs w:val="22"/>
          <w:lang w:eastAsia="en-GB"/>
        </w:rPr>
        <w:t>. Online available</w:t>
      </w:r>
      <w:r w:rsidR="00F96708">
        <w:rPr>
          <w:rFonts w:asciiTheme="majorHAnsi" w:eastAsia="Times New Roman" w:hAnsiTheme="majorHAnsi" w:cstheme="majorHAnsi"/>
          <w:sz w:val="22"/>
          <w:szCs w:val="22"/>
          <w:lang w:eastAsia="en-GB"/>
        </w:rPr>
        <w:t>:</w:t>
      </w:r>
      <w:r w:rsidRPr="00A3784C">
        <w:rPr>
          <w:rFonts w:asciiTheme="majorHAnsi" w:eastAsia="Times New Roman" w:hAnsiTheme="majorHAnsi" w:cstheme="majorHAnsi"/>
          <w:sz w:val="22"/>
          <w:szCs w:val="22"/>
          <w:lang w:eastAsia="en-GB"/>
        </w:rPr>
        <w:t xml:space="preserve"> </w:t>
      </w:r>
      <w:hyperlink r:id="rId26" w:history="1">
        <w:r w:rsidRPr="00A3784C">
          <w:rPr>
            <w:rStyle w:val="Hyperlink"/>
            <w:rFonts w:asciiTheme="majorHAnsi" w:eastAsia="Times New Roman" w:hAnsiTheme="majorHAnsi" w:cstheme="majorHAnsi"/>
            <w:sz w:val="22"/>
            <w:szCs w:val="22"/>
            <w:lang w:eastAsia="en-GB"/>
          </w:rPr>
          <w:t>https://www.dfat.gov.au/geo/indonesia/plan-of-action-for-the-indonesia-australia-comprehensive-strategic-partnership-2025-2029</w:t>
        </w:r>
      </w:hyperlink>
      <w:r w:rsidRPr="00A3784C">
        <w:rPr>
          <w:rFonts w:asciiTheme="majorHAnsi" w:eastAsia="Times New Roman" w:hAnsiTheme="majorHAnsi" w:cstheme="majorHAnsi"/>
          <w:sz w:val="22"/>
          <w:szCs w:val="22"/>
          <w:lang w:eastAsia="en-GB"/>
        </w:rPr>
        <w:t>. Accessed Dec 2025.</w:t>
      </w:r>
    </w:p>
    <w:p w14:paraId="57535547" w14:textId="5B0C44C7" w:rsidR="00F96708" w:rsidRDefault="00F96708" w:rsidP="00F96708">
      <w:pPr>
        <w:pStyle w:val="Default"/>
        <w:spacing w:before="120" w:after="120"/>
        <w:ind w:left="720" w:hanging="720"/>
        <w:rPr>
          <w:rFonts w:asciiTheme="majorHAnsi" w:hAnsiTheme="majorHAnsi" w:cstheme="majorHAnsi"/>
          <w:sz w:val="22"/>
          <w:szCs w:val="22"/>
        </w:rPr>
      </w:pPr>
      <w:r w:rsidRPr="00F96708">
        <w:rPr>
          <w:rFonts w:asciiTheme="majorHAnsi" w:eastAsia="Times New Roman" w:hAnsiTheme="majorHAnsi" w:cstheme="majorHAnsi"/>
          <w:sz w:val="22"/>
          <w:szCs w:val="22"/>
          <w:lang w:eastAsia="en-GB"/>
        </w:rPr>
        <w:t xml:space="preserve">Moore, N. (2023), </w:t>
      </w:r>
      <w:r w:rsidRPr="00F96708">
        <w:rPr>
          <w:rFonts w:asciiTheme="majorHAnsi" w:hAnsiTheme="majorHAnsi" w:cstheme="majorHAnsi"/>
          <w:i/>
          <w:iCs/>
          <w:sz w:val="22"/>
          <w:szCs w:val="22"/>
        </w:rPr>
        <w:t>Invested: Australia’s Southeast Asia Economic Strategy to 2040</w:t>
      </w:r>
      <w:r w:rsidRPr="00F96708">
        <w:rPr>
          <w:rFonts w:asciiTheme="majorHAnsi" w:hAnsiTheme="majorHAnsi" w:cstheme="majorHAnsi"/>
          <w:sz w:val="22"/>
          <w:szCs w:val="22"/>
        </w:rPr>
        <w:t xml:space="preserve">. Online available: </w:t>
      </w:r>
      <w:hyperlink r:id="rId27" w:history="1">
        <w:r w:rsidRPr="00F96708">
          <w:rPr>
            <w:rStyle w:val="Hyperlink"/>
            <w:rFonts w:asciiTheme="majorHAnsi" w:hAnsiTheme="majorHAnsi" w:cstheme="majorHAnsi"/>
            <w:sz w:val="22"/>
            <w:szCs w:val="22"/>
          </w:rPr>
          <w:t>https://www.dfat.gov.au/southeastasiaeconomicstrategy</w:t>
        </w:r>
      </w:hyperlink>
      <w:r w:rsidRPr="00F96708">
        <w:rPr>
          <w:rFonts w:asciiTheme="majorHAnsi" w:hAnsiTheme="majorHAnsi" w:cstheme="majorHAnsi"/>
          <w:sz w:val="22"/>
          <w:szCs w:val="22"/>
        </w:rPr>
        <w:t xml:space="preserve">. Accessed Dec 2025. </w:t>
      </w:r>
    </w:p>
    <w:p w14:paraId="43CF0A49" w14:textId="77777777" w:rsidR="008978C3" w:rsidRPr="008978C3" w:rsidRDefault="008978C3" w:rsidP="008978C3">
      <w:pPr>
        <w:spacing w:before="120" w:after="120"/>
        <w:ind w:left="720" w:hanging="720"/>
        <w:rPr>
          <w:rFonts w:asciiTheme="majorHAnsi" w:hAnsiTheme="majorHAnsi" w:cstheme="majorHAnsi"/>
          <w:sz w:val="22"/>
          <w:szCs w:val="22"/>
        </w:rPr>
      </w:pPr>
      <w:r>
        <w:rPr>
          <w:rFonts w:asciiTheme="majorHAnsi" w:hAnsiTheme="majorHAnsi" w:cstheme="majorHAnsi"/>
          <w:sz w:val="22"/>
          <w:szCs w:val="22"/>
        </w:rPr>
        <w:t xml:space="preserve">Ninti One Limited (2019), </w:t>
      </w:r>
      <w:r w:rsidRPr="008978C3">
        <w:rPr>
          <w:rFonts w:asciiTheme="majorHAnsi" w:hAnsiTheme="majorHAnsi" w:cstheme="majorHAnsi"/>
          <w:i/>
          <w:iCs/>
          <w:sz w:val="22"/>
          <w:szCs w:val="22"/>
        </w:rPr>
        <w:t>Independent Completion Review of the Indonesia Project, Phase IV</w:t>
      </w:r>
      <w:r>
        <w:rPr>
          <w:rFonts w:asciiTheme="majorHAnsi" w:hAnsiTheme="majorHAnsi" w:cstheme="majorHAnsi"/>
          <w:sz w:val="22"/>
          <w:szCs w:val="22"/>
        </w:rPr>
        <w:t xml:space="preserve">. DFAT. </w:t>
      </w:r>
    </w:p>
    <w:p w14:paraId="2DDFEA7B" w14:textId="4F0F26E6" w:rsidR="00A3784C" w:rsidRDefault="00BC522C" w:rsidP="00BC522C">
      <w:pPr>
        <w:pStyle w:val="Heading1"/>
        <w:rPr>
          <w:lang w:val="en-GB"/>
        </w:rPr>
      </w:pPr>
      <w:r>
        <w:rPr>
          <w:lang w:val="en-GB"/>
        </w:rPr>
        <w:t>A</w:t>
      </w:r>
      <w:r w:rsidR="00761F2A">
        <w:rPr>
          <w:lang w:val="en-GB"/>
        </w:rPr>
        <w:t xml:space="preserve">nnex </w:t>
      </w:r>
      <w:r w:rsidR="00351057">
        <w:rPr>
          <w:lang w:val="en-GB"/>
        </w:rPr>
        <w:t xml:space="preserve">1: Written </w:t>
      </w:r>
      <w:r w:rsidR="00264693">
        <w:rPr>
          <w:lang w:val="en-GB"/>
        </w:rPr>
        <w:t>explanation of Pro</w:t>
      </w:r>
      <w:r w:rsidR="0056713B">
        <w:rPr>
          <w:lang w:val="en-GB"/>
        </w:rPr>
        <w:t>ject</w:t>
      </w:r>
      <w:r w:rsidR="00264693">
        <w:rPr>
          <w:lang w:val="en-GB"/>
        </w:rPr>
        <w:t xml:space="preserve"> Logic</w:t>
      </w:r>
    </w:p>
    <w:p w14:paraId="4AD5CFC5"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Logic diagram titled ‘ANU Indonesia Project (IP) – Phase V Outcomes logic diagram’.</w:t>
      </w:r>
    </w:p>
    <w:p w14:paraId="07909FAC"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The diagram is structured in horizontal layers from top to bottom.</w:t>
      </w:r>
    </w:p>
    <w:p w14:paraId="524A3A90"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At the top, the Goal is: ‘Sustainable and inclusive social development and economic growth through education and research</w:t>
      </w:r>
      <w:r w:rsidRPr="00B53388">
        <w:rPr>
          <w:rFonts w:ascii="Cambria Math" w:eastAsiaTheme="minorHAnsi" w:hAnsi="Cambria Math" w:cs="Cambria Math"/>
          <w:sz w:val="22"/>
          <w:szCs w:val="22"/>
          <w:lang w:val="en-GB"/>
        </w:rPr>
        <w:t>‑</w:t>
      </w:r>
      <w:r w:rsidRPr="00B53388">
        <w:rPr>
          <w:rFonts w:asciiTheme="majorHAnsi" w:eastAsiaTheme="minorHAnsi" w:hAnsiTheme="majorHAnsi" w:cstheme="majorHAnsi"/>
          <w:sz w:val="22"/>
          <w:szCs w:val="22"/>
          <w:lang w:val="en-GB"/>
        </w:rPr>
        <w:t>based public policies.</w:t>
      </w:r>
      <w:r w:rsidRPr="00B53388">
        <w:rPr>
          <w:rFonts w:ascii="Calibri Light" w:eastAsiaTheme="minorHAnsi" w:hAnsi="Calibri Light" w:cs="Calibri Light"/>
          <w:sz w:val="22"/>
          <w:szCs w:val="22"/>
          <w:lang w:val="en-GB"/>
        </w:rPr>
        <w:t>’</w:t>
      </w:r>
    </w:p>
    <w:p w14:paraId="04B57F2E"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Below the goal, the Purpose is: ‘High</w:t>
      </w:r>
      <w:r w:rsidRPr="00B53388">
        <w:rPr>
          <w:rFonts w:ascii="Cambria Math" w:eastAsiaTheme="minorHAnsi" w:hAnsi="Cambria Math" w:cs="Cambria Math"/>
          <w:sz w:val="22"/>
          <w:szCs w:val="22"/>
          <w:lang w:val="en-GB"/>
        </w:rPr>
        <w:t>‑</w:t>
      </w:r>
      <w:r w:rsidRPr="00B53388">
        <w:rPr>
          <w:rFonts w:asciiTheme="majorHAnsi" w:eastAsiaTheme="minorHAnsi" w:hAnsiTheme="majorHAnsi" w:cstheme="majorHAnsi"/>
          <w:sz w:val="22"/>
          <w:szCs w:val="22"/>
          <w:lang w:val="en-GB"/>
        </w:rPr>
        <w:t>quality Indonesian economic and development policy research, education, and partnership links that benefit both countries.</w:t>
      </w:r>
      <w:r w:rsidRPr="00B53388">
        <w:rPr>
          <w:rFonts w:ascii="Calibri Light" w:eastAsiaTheme="minorHAnsi" w:hAnsi="Calibri Light" w:cs="Calibri Light"/>
          <w:sz w:val="22"/>
          <w:szCs w:val="22"/>
          <w:lang w:val="en-GB"/>
        </w:rPr>
        <w:t>’</w:t>
      </w:r>
    </w:p>
    <w:p w14:paraId="41DCCB85"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Below a divider, four End of Project Outcomes (</w:t>
      </w:r>
      <w:proofErr w:type="spellStart"/>
      <w:r w:rsidRPr="00B53388">
        <w:rPr>
          <w:rFonts w:asciiTheme="majorHAnsi" w:eastAsiaTheme="minorHAnsi" w:hAnsiTheme="majorHAnsi" w:cstheme="majorHAnsi"/>
          <w:sz w:val="22"/>
          <w:szCs w:val="22"/>
          <w:lang w:val="en-GB"/>
        </w:rPr>
        <w:t>EoPo</w:t>
      </w:r>
      <w:proofErr w:type="spellEnd"/>
      <w:r w:rsidRPr="00B53388">
        <w:rPr>
          <w:rFonts w:asciiTheme="majorHAnsi" w:eastAsiaTheme="minorHAnsi" w:hAnsiTheme="majorHAnsi" w:cstheme="majorHAnsi"/>
          <w:sz w:val="22"/>
          <w:szCs w:val="22"/>
          <w:lang w:val="en-GB"/>
        </w:rPr>
        <w:t>) are shown:</w:t>
      </w:r>
    </w:p>
    <w:p w14:paraId="4E7895EA" w14:textId="77777777" w:rsidR="00B53388" w:rsidRPr="00B53388" w:rsidRDefault="00B53388" w:rsidP="00B53388">
      <w:pPr>
        <w:rPr>
          <w:rFonts w:asciiTheme="majorHAnsi" w:eastAsiaTheme="minorHAnsi" w:hAnsiTheme="majorHAnsi" w:cstheme="majorHAnsi"/>
          <w:sz w:val="22"/>
          <w:szCs w:val="22"/>
          <w:lang w:val="en-GB"/>
        </w:rPr>
      </w:pPr>
      <w:proofErr w:type="spellStart"/>
      <w:r w:rsidRPr="00B53388">
        <w:rPr>
          <w:rFonts w:asciiTheme="majorHAnsi" w:eastAsiaTheme="minorHAnsi" w:hAnsiTheme="majorHAnsi" w:cstheme="majorHAnsi"/>
          <w:sz w:val="22"/>
          <w:szCs w:val="22"/>
          <w:lang w:val="en-GB"/>
        </w:rPr>
        <w:t>EoPo</w:t>
      </w:r>
      <w:proofErr w:type="spellEnd"/>
      <w:r w:rsidRPr="00B53388">
        <w:rPr>
          <w:rFonts w:asciiTheme="majorHAnsi" w:eastAsiaTheme="minorHAnsi" w:hAnsiTheme="majorHAnsi" w:cstheme="majorHAnsi"/>
          <w:sz w:val="22"/>
          <w:szCs w:val="22"/>
          <w:lang w:val="en-GB"/>
        </w:rPr>
        <w:t xml:space="preserve"> 1: Applied research and teaching producing high</w:t>
      </w:r>
      <w:r w:rsidRPr="00B53388">
        <w:rPr>
          <w:rFonts w:ascii="Cambria Math" w:eastAsiaTheme="minorHAnsi" w:hAnsi="Cambria Math" w:cs="Cambria Math"/>
          <w:sz w:val="22"/>
          <w:szCs w:val="22"/>
          <w:lang w:val="en-GB"/>
        </w:rPr>
        <w:t>‑</w:t>
      </w:r>
      <w:r w:rsidRPr="00B53388">
        <w:rPr>
          <w:rFonts w:asciiTheme="majorHAnsi" w:eastAsiaTheme="minorHAnsi" w:hAnsiTheme="majorHAnsi" w:cstheme="majorHAnsi"/>
          <w:sz w:val="22"/>
          <w:szCs w:val="22"/>
          <w:lang w:val="en-GB"/>
        </w:rPr>
        <w:t>quality, independent research to strengthen inclusive social and economic policy making.</w:t>
      </w:r>
    </w:p>
    <w:p w14:paraId="031C21BB" w14:textId="77777777" w:rsidR="00B53388" w:rsidRPr="00B53388" w:rsidRDefault="00B53388" w:rsidP="00B53388">
      <w:pPr>
        <w:rPr>
          <w:rFonts w:asciiTheme="majorHAnsi" w:eastAsiaTheme="minorHAnsi" w:hAnsiTheme="majorHAnsi" w:cstheme="majorHAnsi"/>
          <w:sz w:val="22"/>
          <w:szCs w:val="22"/>
          <w:lang w:val="en-GB"/>
        </w:rPr>
      </w:pPr>
      <w:proofErr w:type="spellStart"/>
      <w:r w:rsidRPr="00B53388">
        <w:rPr>
          <w:rFonts w:asciiTheme="majorHAnsi" w:eastAsiaTheme="minorHAnsi" w:hAnsiTheme="majorHAnsi" w:cstheme="majorHAnsi"/>
          <w:sz w:val="22"/>
          <w:szCs w:val="22"/>
          <w:lang w:val="en-GB"/>
        </w:rPr>
        <w:t>EoPo</w:t>
      </w:r>
      <w:proofErr w:type="spellEnd"/>
      <w:r w:rsidRPr="00B53388">
        <w:rPr>
          <w:rFonts w:asciiTheme="majorHAnsi" w:eastAsiaTheme="minorHAnsi" w:hAnsiTheme="majorHAnsi" w:cstheme="majorHAnsi"/>
          <w:sz w:val="22"/>
          <w:szCs w:val="22"/>
          <w:lang w:val="en-GB"/>
        </w:rPr>
        <w:t xml:space="preserve"> 2: Capacity building to enhance the capability and expanded cohort of Indonesian and Australian researchers.</w:t>
      </w:r>
    </w:p>
    <w:p w14:paraId="6946AFBD" w14:textId="77777777" w:rsidR="00B53388" w:rsidRPr="00B53388" w:rsidRDefault="00B53388" w:rsidP="00B53388">
      <w:pPr>
        <w:rPr>
          <w:rFonts w:asciiTheme="majorHAnsi" w:eastAsiaTheme="minorHAnsi" w:hAnsiTheme="majorHAnsi" w:cstheme="majorHAnsi"/>
          <w:sz w:val="22"/>
          <w:szCs w:val="22"/>
          <w:lang w:val="en-GB"/>
        </w:rPr>
      </w:pPr>
      <w:proofErr w:type="spellStart"/>
      <w:r w:rsidRPr="00B53388">
        <w:rPr>
          <w:rFonts w:asciiTheme="majorHAnsi" w:eastAsiaTheme="minorHAnsi" w:hAnsiTheme="majorHAnsi" w:cstheme="majorHAnsi"/>
          <w:sz w:val="22"/>
          <w:szCs w:val="22"/>
          <w:lang w:val="en-GB"/>
        </w:rPr>
        <w:t>EoPo</w:t>
      </w:r>
      <w:proofErr w:type="spellEnd"/>
      <w:r w:rsidRPr="00B53388">
        <w:rPr>
          <w:rFonts w:asciiTheme="majorHAnsi" w:eastAsiaTheme="minorHAnsi" w:hAnsiTheme="majorHAnsi" w:cstheme="majorHAnsi"/>
          <w:sz w:val="22"/>
          <w:szCs w:val="22"/>
          <w:lang w:val="en-GB"/>
        </w:rPr>
        <w:t xml:space="preserve"> 3: Communication, outreach and networks to increase knowledge about Indonesia and strengthen Australia–Indonesia networks and people</w:t>
      </w:r>
      <w:r w:rsidRPr="00B53388">
        <w:rPr>
          <w:rFonts w:ascii="Cambria Math" w:eastAsiaTheme="minorHAnsi" w:hAnsi="Cambria Math" w:cs="Cambria Math"/>
          <w:sz w:val="22"/>
          <w:szCs w:val="22"/>
          <w:lang w:val="en-GB"/>
        </w:rPr>
        <w:t>‑</w:t>
      </w:r>
      <w:r w:rsidRPr="00B53388">
        <w:rPr>
          <w:rFonts w:asciiTheme="majorHAnsi" w:eastAsiaTheme="minorHAnsi" w:hAnsiTheme="majorHAnsi" w:cstheme="majorHAnsi"/>
          <w:sz w:val="22"/>
          <w:szCs w:val="22"/>
          <w:lang w:val="en-GB"/>
        </w:rPr>
        <w:t>to</w:t>
      </w:r>
      <w:r w:rsidRPr="00B53388">
        <w:rPr>
          <w:rFonts w:ascii="Cambria Math" w:eastAsiaTheme="minorHAnsi" w:hAnsi="Cambria Math" w:cs="Cambria Math"/>
          <w:sz w:val="22"/>
          <w:szCs w:val="22"/>
          <w:lang w:val="en-GB"/>
        </w:rPr>
        <w:t>‑</w:t>
      </w:r>
      <w:r w:rsidRPr="00B53388">
        <w:rPr>
          <w:rFonts w:asciiTheme="majorHAnsi" w:eastAsiaTheme="minorHAnsi" w:hAnsiTheme="majorHAnsi" w:cstheme="majorHAnsi"/>
          <w:sz w:val="22"/>
          <w:szCs w:val="22"/>
          <w:lang w:val="en-GB"/>
        </w:rPr>
        <w:t>people links.</w:t>
      </w:r>
    </w:p>
    <w:p w14:paraId="57D0D754" w14:textId="77777777" w:rsidR="00B53388" w:rsidRPr="00B53388" w:rsidRDefault="00B53388" w:rsidP="00B53388">
      <w:pPr>
        <w:rPr>
          <w:rFonts w:asciiTheme="majorHAnsi" w:eastAsiaTheme="minorHAnsi" w:hAnsiTheme="majorHAnsi" w:cstheme="majorHAnsi"/>
          <w:sz w:val="22"/>
          <w:szCs w:val="22"/>
          <w:lang w:val="en-GB"/>
        </w:rPr>
      </w:pPr>
      <w:proofErr w:type="spellStart"/>
      <w:r w:rsidRPr="00B53388">
        <w:rPr>
          <w:rFonts w:asciiTheme="majorHAnsi" w:eastAsiaTheme="minorHAnsi" w:hAnsiTheme="majorHAnsi" w:cstheme="majorHAnsi"/>
          <w:sz w:val="22"/>
          <w:szCs w:val="22"/>
          <w:lang w:val="en-GB"/>
        </w:rPr>
        <w:t>EoPo</w:t>
      </w:r>
      <w:proofErr w:type="spellEnd"/>
      <w:r w:rsidRPr="00B53388">
        <w:rPr>
          <w:rFonts w:asciiTheme="majorHAnsi" w:eastAsiaTheme="minorHAnsi" w:hAnsiTheme="majorHAnsi" w:cstheme="majorHAnsi"/>
          <w:sz w:val="22"/>
          <w:szCs w:val="22"/>
          <w:lang w:val="en-GB"/>
        </w:rPr>
        <w:t xml:space="preserve"> 4: Equity and inclusion, increasing gender equality and social inclusion.</w:t>
      </w:r>
    </w:p>
    <w:p w14:paraId="01E1910E"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 xml:space="preserve">Each End of Project Outcome links to multiple Intermediate Outcomes (IOs). These include policymakers and academics drawing on IP research; improved academic reputation; improved research capacity; nurturing Indonesian and Australian researchers; collaborative partnerships and </w:t>
      </w:r>
      <w:r w:rsidRPr="00B53388">
        <w:rPr>
          <w:rFonts w:asciiTheme="majorHAnsi" w:eastAsiaTheme="minorHAnsi" w:hAnsiTheme="majorHAnsi" w:cstheme="majorHAnsi"/>
          <w:sz w:val="22"/>
          <w:szCs w:val="22"/>
          <w:lang w:val="en-GB"/>
        </w:rPr>
        <w:lastRenderedPageBreak/>
        <w:t>targeted communication; and increased participation of women and people with diverse backgrounds in research, leadership, and policy roles.</w:t>
      </w:r>
    </w:p>
    <w:p w14:paraId="458669E7" w14:textId="77777777" w:rsidR="00B53388"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Below this, a single row lists Key Activities, including academic research, training and PhD supervision, publications, conferences, seminars, policy dialogue, grants, capacity building, partnerships, communications and outreach.</w:t>
      </w:r>
    </w:p>
    <w:p w14:paraId="0F54C5E3" w14:textId="50999604" w:rsidR="00A3161F" w:rsidRPr="00B53388" w:rsidRDefault="00B53388" w:rsidP="00B53388">
      <w:pPr>
        <w:rPr>
          <w:rFonts w:asciiTheme="majorHAnsi" w:eastAsiaTheme="minorHAnsi" w:hAnsiTheme="majorHAnsi" w:cstheme="majorHAnsi"/>
          <w:sz w:val="22"/>
          <w:szCs w:val="22"/>
          <w:lang w:val="en-GB"/>
        </w:rPr>
      </w:pPr>
      <w:r w:rsidRPr="00B53388">
        <w:rPr>
          <w:rFonts w:asciiTheme="majorHAnsi" w:eastAsiaTheme="minorHAnsi" w:hAnsiTheme="majorHAnsi" w:cstheme="majorHAnsi"/>
          <w:sz w:val="22"/>
          <w:szCs w:val="22"/>
          <w:lang w:val="en-GB"/>
        </w:rPr>
        <w:t>At the bottom, Engagement principles are listed, including independent academic integrity, gender, disability and social inclusion, alignment with Government of Indonesia priorities, Australian policy alignment, climate and safeguarding considerations, and complementarity with DFAT and ANU priorities.”</w:t>
      </w:r>
    </w:p>
    <w:sectPr w:rsidR="00A3161F" w:rsidRPr="00B53388" w:rsidSect="000B4582">
      <w:pgSz w:w="11906" w:h="16838"/>
      <w:pgMar w:top="1440" w:right="1440" w:bottom="1440" w:left="1440" w:header="709" w:footer="709" w:gutter="0"/>
      <w:cols w:space="5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B889" w14:textId="77777777" w:rsidR="00071038" w:rsidRDefault="00071038" w:rsidP="008E2C2E">
      <w:r>
        <w:separator/>
      </w:r>
    </w:p>
  </w:endnote>
  <w:endnote w:type="continuationSeparator" w:id="0">
    <w:p w14:paraId="39B887FB" w14:textId="77777777" w:rsidR="00071038" w:rsidRDefault="00071038" w:rsidP="008E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swald Light">
    <w:charset w:val="00"/>
    <w:family w:val="auto"/>
    <w:pitch w:val="variable"/>
    <w:sig w:usb0="2000020F" w:usb1="00000000" w:usb2="00000000" w:usb3="00000000" w:csb0="00000197" w:csb1="00000000"/>
  </w:font>
  <w:font w:name="Times New Roman (Body CS)">
    <w:altName w:val="Times New Roman"/>
    <w:charset w:val="00"/>
    <w:family w:val="roman"/>
    <w:pitch w:val="variable"/>
    <w:sig w:usb0="E0002AEF" w:usb1="C0007841" w:usb2="00000009" w:usb3="00000000" w:csb0="000001FF" w:csb1="00000000"/>
  </w:font>
  <w:font w:name="Space Grotesk">
    <w:altName w:val="Calibri"/>
    <w:charset w:val="4D"/>
    <w:family w:val="auto"/>
    <w:pitch w:val="variable"/>
    <w:sig w:usb0="A10000FF" w:usb1="5000207B" w:usb2="00000000" w:usb3="00000000" w:csb0="00000193" w:csb1="00000000"/>
  </w:font>
  <w:font w:name="Ü-ôu'3">
    <w:altName w:val="Calibri"/>
    <w:charset w:val="4D"/>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Ü=Ëe'3">
    <w:altName w:val="Calibri"/>
    <w:charset w:val="4D"/>
    <w:family w:val="auto"/>
    <w:pitch w:val="default"/>
    <w:sig w:usb0="00000003" w:usb1="00000000" w:usb2="00000000" w:usb3="00000000" w:csb0="00000001" w:csb1="00000000"/>
  </w:font>
  <w:font w:name="TiemposHeadline">
    <w:altName w:val="Cambria"/>
    <w:charset w:val="00"/>
    <w:family w:val="roman"/>
    <w:pitch w:val="default"/>
  </w:font>
  <w:font w:name="Gujarati MT">
    <w:charset w:val="00"/>
    <w:family w:val="auto"/>
    <w:pitch w:val="variable"/>
    <w:sig w:usb0="80048003" w:usb1="1000C0C1"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DFD4" w14:textId="1493E53A" w:rsidR="006E6D4A" w:rsidRDefault="00EB01E8" w:rsidP="008E3DCB">
    <w:pPr>
      <w:pStyle w:val="Footer"/>
      <w:framePr w:wrap="none" w:vAnchor="text" w:hAnchor="margin" w:xAlign="right" w:y="1"/>
      <w:rPr>
        <w:rStyle w:val="PageNumber"/>
      </w:rPr>
    </w:pPr>
    <w:r>
      <w:rPr>
        <w:noProof/>
      </w:rPr>
      <mc:AlternateContent>
        <mc:Choice Requires="wps">
          <w:drawing>
            <wp:anchor distT="0" distB="0" distL="0" distR="0" simplePos="0" relativeHeight="251658248" behindDoc="0" locked="0" layoutInCell="1" allowOverlap="1" wp14:anchorId="08CD8F68" wp14:editId="7DE8C948">
              <wp:simplePos x="635" y="635"/>
              <wp:positionH relativeFrom="page">
                <wp:align>center</wp:align>
              </wp:positionH>
              <wp:positionV relativeFrom="page">
                <wp:align>bottom</wp:align>
              </wp:positionV>
              <wp:extent cx="609600" cy="381000"/>
              <wp:effectExtent l="0" t="0" r="0" b="0"/>
              <wp:wrapNone/>
              <wp:docPr id="26043304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2F8D6B5" w14:textId="7F51BDBC"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08CD8F68" id="_x0000_t202" coordsize="21600,21600" o:spt="202" path="m,l,21600r21600,l21600,xe">
              <v:stroke joinstyle="miter"/>
              <v:path gradientshapeok="t" o:connecttype="rect"/>
            </v:shapetype>
            <v:shape id="Text Box 7" o:spid="_x0000_s1028" type="#_x0000_t202" alt="OFFICIAL" style="position:absolute;margin-left:0;margin-top:0;width:48pt;height:30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62F8D6B5" w14:textId="7F51BDBC"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sdt>
    <w:sdtPr>
      <w:rPr>
        <w:rStyle w:val="PageNumber"/>
      </w:rPr>
      <w:id w:val="251244317"/>
      <w:docPartObj>
        <w:docPartGallery w:val="Page Numbers (Bottom of Page)"/>
        <w:docPartUnique/>
      </w:docPartObj>
    </w:sdtPr>
    <w:sdtEndPr>
      <w:rPr>
        <w:rStyle w:val="PageNumber"/>
      </w:rPr>
    </w:sdtEndPr>
    <w:sdtContent>
      <w:p w14:paraId="0FF776FE" w14:textId="1493E53A" w:rsidR="006E6D4A" w:rsidRDefault="006E6D4A" w:rsidP="008E3D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95B0549" w14:textId="77777777" w:rsidR="006E6D4A" w:rsidRDefault="006E6D4A" w:rsidP="006E6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F249" w14:textId="2AEE4246" w:rsidR="008E3DCB" w:rsidRPr="008E3DCB" w:rsidRDefault="00EB01E8">
    <w:pPr>
      <w:pStyle w:val="Footer"/>
      <w:framePr w:wrap="none" w:vAnchor="text" w:hAnchor="margin" w:xAlign="right" w:y="1"/>
      <w:rPr>
        <w:rStyle w:val="PageNumber"/>
        <w:rFonts w:asciiTheme="majorHAnsi" w:hAnsiTheme="majorHAnsi" w:cstheme="majorHAnsi"/>
        <w:sz w:val="20"/>
        <w:szCs w:val="20"/>
      </w:rPr>
    </w:pPr>
    <w:r>
      <w:rPr>
        <w:noProof/>
      </w:rPr>
      <mc:AlternateContent>
        <mc:Choice Requires="wps">
          <w:drawing>
            <wp:anchor distT="0" distB="0" distL="0" distR="0" simplePos="0" relativeHeight="251658249" behindDoc="0" locked="0" layoutInCell="1" allowOverlap="1" wp14:anchorId="117135EC" wp14:editId="430E58E7">
              <wp:simplePos x="635" y="635"/>
              <wp:positionH relativeFrom="page">
                <wp:align>center</wp:align>
              </wp:positionH>
              <wp:positionV relativeFrom="page">
                <wp:align>bottom</wp:align>
              </wp:positionV>
              <wp:extent cx="609600" cy="381000"/>
              <wp:effectExtent l="0" t="0" r="0" b="0"/>
              <wp:wrapNone/>
              <wp:docPr id="3204216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8F25FF0" w14:textId="4557596C"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117135EC" id="_x0000_t202" coordsize="21600,21600" o:spt="202" path="m,l,21600r21600,l21600,xe">
              <v:stroke joinstyle="miter"/>
              <v:path gradientshapeok="t" o:connecttype="rect"/>
            </v:shapetype>
            <v:shape id="Text Box 8" o:spid="_x0000_s1029" type="#_x0000_t202" alt="OFFICIAL" style="position:absolute;margin-left:0;margin-top:0;width:48pt;height:30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38F25FF0" w14:textId="4557596C"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sdt>
    <w:sdtPr>
      <w:rPr>
        <w:rStyle w:val="PageNumber"/>
      </w:rPr>
      <w:id w:val="1281376922"/>
      <w:docPartObj>
        <w:docPartGallery w:val="Page Numbers (Bottom of Page)"/>
        <w:docPartUnique/>
      </w:docPartObj>
    </w:sdtPr>
    <w:sdtEndPr>
      <w:rPr>
        <w:rStyle w:val="PageNumber"/>
        <w:rFonts w:asciiTheme="majorHAnsi" w:hAnsiTheme="majorHAnsi" w:cstheme="majorBidi"/>
        <w:sz w:val="20"/>
        <w:szCs w:val="20"/>
      </w:rPr>
    </w:sdtEndPr>
    <w:sdtContent>
      <w:p w14:paraId="1E7E8978" w14:textId="2AEE4246" w:rsidR="008E3DCB" w:rsidRPr="008E3DCB" w:rsidRDefault="008E3DCB">
        <w:pPr>
          <w:pStyle w:val="Footer"/>
          <w:framePr w:wrap="none" w:vAnchor="text" w:hAnchor="margin" w:xAlign="right" w:y="1"/>
          <w:rPr>
            <w:rStyle w:val="PageNumber"/>
            <w:rFonts w:asciiTheme="majorHAnsi" w:hAnsiTheme="majorHAnsi" w:cstheme="majorHAnsi"/>
            <w:sz w:val="20"/>
            <w:szCs w:val="20"/>
          </w:rPr>
        </w:pPr>
        <w:r w:rsidRPr="008E3DCB">
          <w:rPr>
            <w:rStyle w:val="PageNumber"/>
            <w:rFonts w:asciiTheme="majorHAnsi" w:hAnsiTheme="majorHAnsi" w:cstheme="majorHAnsi"/>
            <w:sz w:val="20"/>
            <w:szCs w:val="20"/>
          </w:rPr>
          <w:fldChar w:fldCharType="begin"/>
        </w:r>
        <w:r w:rsidRPr="008E3DCB">
          <w:rPr>
            <w:rStyle w:val="PageNumber"/>
            <w:rFonts w:asciiTheme="majorHAnsi" w:hAnsiTheme="majorHAnsi" w:cstheme="majorHAnsi"/>
            <w:sz w:val="20"/>
            <w:szCs w:val="20"/>
          </w:rPr>
          <w:instrText xml:space="preserve"> PAGE </w:instrText>
        </w:r>
        <w:r w:rsidRPr="008E3DCB">
          <w:rPr>
            <w:rStyle w:val="PageNumber"/>
            <w:rFonts w:asciiTheme="majorHAnsi" w:hAnsiTheme="majorHAnsi" w:cstheme="majorHAnsi"/>
            <w:sz w:val="20"/>
            <w:szCs w:val="20"/>
          </w:rPr>
          <w:fldChar w:fldCharType="separate"/>
        </w:r>
        <w:r w:rsidRPr="008E3DCB">
          <w:rPr>
            <w:rStyle w:val="PageNumber"/>
            <w:rFonts w:asciiTheme="majorHAnsi" w:hAnsiTheme="majorHAnsi" w:cstheme="majorHAnsi"/>
            <w:noProof/>
            <w:sz w:val="20"/>
            <w:szCs w:val="20"/>
          </w:rPr>
          <w:t>2</w:t>
        </w:r>
        <w:r w:rsidRPr="008E3DCB">
          <w:rPr>
            <w:rStyle w:val="PageNumber"/>
            <w:rFonts w:asciiTheme="majorHAnsi" w:hAnsiTheme="majorHAnsi" w:cstheme="majorHAnsi"/>
            <w:sz w:val="20"/>
            <w:szCs w:val="20"/>
          </w:rPr>
          <w:fldChar w:fldCharType="end"/>
        </w:r>
      </w:p>
    </w:sdtContent>
  </w:sdt>
  <w:p w14:paraId="300E804C" w14:textId="03E57E47" w:rsidR="00200E93" w:rsidRPr="008E3DCB" w:rsidRDefault="008E3DCB" w:rsidP="008E3DCB">
    <w:pPr>
      <w:pStyle w:val="Footer"/>
      <w:ind w:right="360"/>
      <w:rPr>
        <w:rFonts w:asciiTheme="majorHAnsi" w:hAnsiTheme="majorHAnsi" w:cstheme="majorHAnsi"/>
        <w:sz w:val="20"/>
        <w:szCs w:val="20"/>
      </w:rPr>
    </w:pPr>
    <w:r w:rsidRPr="008E3DCB">
      <w:rPr>
        <w:rFonts w:asciiTheme="majorHAnsi" w:hAnsiTheme="majorHAnsi" w:cstheme="majorHAnsi"/>
        <w:sz w:val="20"/>
        <w:szCs w:val="20"/>
      </w:rPr>
      <w:t xml:space="preserve">Indonesia Project Phase V – Evaluation </w:t>
    </w:r>
    <w:r w:rsidR="00D169DE">
      <w:rPr>
        <w:rFonts w:asciiTheme="majorHAnsi" w:hAnsiTheme="majorHAnsi" w:cstheme="majorHAnsi"/>
        <w:sz w:val="20"/>
        <w:szCs w:val="20"/>
      </w:rPr>
      <w:t>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EB4D" w14:textId="0A5CDCDB" w:rsidR="00EB01E8" w:rsidRDefault="00EB01E8">
    <w:pPr>
      <w:pStyle w:val="Footer"/>
    </w:pPr>
    <w:r>
      <w:rPr>
        <w:noProof/>
      </w:rPr>
      <mc:AlternateContent>
        <mc:Choice Requires="wps">
          <w:drawing>
            <wp:anchor distT="0" distB="0" distL="0" distR="0" simplePos="0" relativeHeight="251658247" behindDoc="0" locked="0" layoutInCell="1" allowOverlap="1" wp14:anchorId="279173E2" wp14:editId="2A5024C8">
              <wp:simplePos x="635" y="635"/>
              <wp:positionH relativeFrom="page">
                <wp:align>center</wp:align>
              </wp:positionH>
              <wp:positionV relativeFrom="page">
                <wp:align>bottom</wp:align>
              </wp:positionV>
              <wp:extent cx="609600" cy="381000"/>
              <wp:effectExtent l="0" t="0" r="0" b="0"/>
              <wp:wrapNone/>
              <wp:docPr id="17063285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012607B" w14:textId="6C0C2E11"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279173E2" id="_x0000_t202" coordsize="21600,21600" o:spt="202" path="m,l,21600r21600,l21600,xe">
              <v:stroke joinstyle="miter"/>
              <v:path gradientshapeok="t" o:connecttype="rect"/>
            </v:shapetype>
            <v:shape id="Text Box 6" o:spid="_x0000_s1031" type="#_x0000_t202" alt="OFFICIAL" style="position:absolute;margin-left:0;margin-top:0;width:48pt;height:30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5012607B" w14:textId="6C0C2E11"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A60D" w14:textId="6DC2E655" w:rsidR="006E6D4A" w:rsidRPr="006E6D4A" w:rsidRDefault="00EB01E8">
    <w:pPr>
      <w:pStyle w:val="Footer"/>
      <w:framePr w:wrap="none" w:vAnchor="text" w:hAnchor="margin" w:xAlign="right" w:y="1"/>
      <w:rPr>
        <w:rStyle w:val="PageNumber"/>
        <w:sz w:val="20"/>
        <w:szCs w:val="20"/>
      </w:rPr>
    </w:pPr>
    <w:r>
      <w:rPr>
        <w:noProof/>
      </w:rPr>
      <mc:AlternateContent>
        <mc:Choice Requires="wps">
          <w:drawing>
            <wp:anchor distT="0" distB="0" distL="0" distR="0" simplePos="0" relativeHeight="251658250" behindDoc="0" locked="0" layoutInCell="1" allowOverlap="1" wp14:anchorId="690B4BFA" wp14:editId="0D32B17A">
              <wp:simplePos x="635" y="635"/>
              <wp:positionH relativeFrom="page">
                <wp:align>center</wp:align>
              </wp:positionH>
              <wp:positionV relativeFrom="page">
                <wp:align>bottom</wp:align>
              </wp:positionV>
              <wp:extent cx="609600" cy="381000"/>
              <wp:effectExtent l="0" t="0" r="0" b="0"/>
              <wp:wrapNone/>
              <wp:docPr id="88120822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A37477C" w14:textId="25BE3637"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cei="http://schemas.microsoft.com/office/word/2026/wordml/cei">
          <w:pict>
            <v:shapetype w14:anchorId="690B4BFA" id="_x0000_t202" coordsize="21600,21600" o:spt="202" path="m,l,21600r21600,l21600,xe">
              <v:stroke joinstyle="miter"/>
              <v:path gradientshapeok="t" o:connecttype="rect"/>
            </v:shapetype>
            <v:shape id="Text Box 9" o:spid="_x0000_s1033" type="#_x0000_t202" alt="OFFICIAL" style="position:absolute;margin-left:0;margin-top:0;width:48pt;height:30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xbDAIAABwEAAAOAAAAZHJzL2Uyb0RvYy54bWysU01v2zAMvQ/YfxB0X+x0WNYacYqsRYYB&#10;QVsgHXpWZCk2YIkCpcTOfv0oOU62rqdiF/mZpPjx+DS/7U3LDgp9A7bk00nOmbISqsbuSv7zefXp&#10;mjMfhK1EC1aV/Kg8v118/DDvXKGuoIa2UsgoifVF50peh+CKLPOyVkb4CThlyakBjQj0i7usQtFR&#10;dtNmV3k+yzrAyiFI5T1Z7wcnX6T8WisZHrX2KrC25NRbSCemcxvPbDEXxQ6Fqxt5akO8owsjGktF&#10;z6nuRRBsj80/qUwjETzoMJFgMtC6kSrNQNNM81fTbGrhVJqFyPHuTJP/f2nlw2HjnpCF/hv0tMBI&#10;SOd84ckY5+k1mvilThn5icLjmTbVBybJOMtvZjl5JLk+X09zwpQlu1x26MN3BYZFUHKkrSSyxGHt&#10;wxA6hsRaFlZN26bNtPYvA+WMluzSYUSh3/asqUr+dex+C9WRhkIY9u2dXDVUei18eBJIC6ZuSbTh&#10;kQ7dQldyOCHOasBfb9ljPPFOXs46EkzJLSmas/aHpX1EbY0AR7BNYHqTf4n02L25A5LhlF6EkwmS&#10;FUM7Qo1gXkjOy1iIXMJKKlfy7QjvwqBceg5SLZcpiGTkRFjbjZMxdaQrcvncvwh0J8IDbeoBRjWJ&#10;4hXvQ2y86d1yH4j9tJRI7UDkiXGSYFrr6blEjf/5n6Iuj3rxGw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dY0cWwwCAAAcBAAA&#10;DgAAAAAAAAAAAAAAAAAuAgAAZHJzL2Uyb0RvYy54bWxQSwECLQAUAAYACAAAACEAcYc8J9oAAAAD&#10;AQAADwAAAAAAAAAAAAAAAABmBAAAZHJzL2Rvd25yZXYueG1sUEsFBgAAAAAEAAQA8wAAAG0FAAAA&#10;AA==&#10;" filled="f" stroked="f">
              <v:textbox style="mso-fit-shape-to-text:t" inset="0,0,0,15pt">
                <w:txbxContent>
                  <w:p w14:paraId="2A37477C" w14:textId="25BE3637"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sdt>
    <w:sdtPr>
      <w:rPr>
        <w:rStyle w:val="PageNumber"/>
      </w:rPr>
      <w:id w:val="-1222524458"/>
      <w:docPartObj>
        <w:docPartGallery w:val="Page Numbers (Bottom of Page)"/>
        <w:docPartUnique/>
      </w:docPartObj>
    </w:sdtPr>
    <w:sdtEndPr>
      <w:rPr>
        <w:rStyle w:val="PageNumber"/>
        <w:sz w:val="20"/>
        <w:szCs w:val="20"/>
      </w:rPr>
    </w:sdtEndPr>
    <w:sdtContent>
      <w:p w14:paraId="4590CB77" w14:textId="6DC2E655" w:rsidR="006E6D4A" w:rsidRPr="006E6D4A" w:rsidRDefault="006E6D4A">
        <w:pPr>
          <w:pStyle w:val="Footer"/>
          <w:framePr w:wrap="none" w:vAnchor="text" w:hAnchor="margin" w:xAlign="right" w:y="1"/>
          <w:rPr>
            <w:rStyle w:val="PageNumber"/>
            <w:sz w:val="20"/>
            <w:szCs w:val="20"/>
          </w:rPr>
        </w:pPr>
        <w:r w:rsidRPr="006E6D4A">
          <w:rPr>
            <w:rStyle w:val="PageNumber"/>
            <w:rFonts w:asciiTheme="majorHAnsi" w:hAnsiTheme="majorHAnsi" w:cstheme="majorHAnsi"/>
            <w:sz w:val="20"/>
            <w:szCs w:val="20"/>
          </w:rPr>
          <w:fldChar w:fldCharType="begin"/>
        </w:r>
        <w:r w:rsidRPr="006E6D4A">
          <w:rPr>
            <w:rStyle w:val="PageNumber"/>
            <w:rFonts w:asciiTheme="majorHAnsi" w:hAnsiTheme="majorHAnsi" w:cstheme="majorHAnsi"/>
            <w:sz w:val="20"/>
            <w:szCs w:val="20"/>
          </w:rPr>
          <w:instrText xml:space="preserve"> PAGE </w:instrText>
        </w:r>
        <w:r w:rsidRPr="006E6D4A">
          <w:rPr>
            <w:rStyle w:val="PageNumber"/>
            <w:rFonts w:asciiTheme="majorHAnsi" w:hAnsiTheme="majorHAnsi" w:cstheme="majorHAnsi"/>
            <w:sz w:val="20"/>
            <w:szCs w:val="20"/>
          </w:rPr>
          <w:fldChar w:fldCharType="separate"/>
        </w:r>
        <w:r w:rsidRPr="006E6D4A">
          <w:rPr>
            <w:rStyle w:val="PageNumber"/>
            <w:rFonts w:asciiTheme="majorHAnsi" w:hAnsiTheme="majorHAnsi" w:cstheme="majorHAnsi"/>
            <w:noProof/>
            <w:sz w:val="20"/>
            <w:szCs w:val="20"/>
          </w:rPr>
          <w:t>1</w:t>
        </w:r>
        <w:r w:rsidRPr="006E6D4A">
          <w:rPr>
            <w:rStyle w:val="PageNumber"/>
            <w:rFonts w:asciiTheme="majorHAnsi" w:hAnsiTheme="majorHAnsi" w:cstheme="majorHAnsi"/>
            <w:sz w:val="20"/>
            <w:szCs w:val="20"/>
          </w:rPr>
          <w:fldChar w:fldCharType="end"/>
        </w:r>
      </w:p>
    </w:sdtContent>
  </w:sdt>
  <w:p w14:paraId="63DD6AA3" w14:textId="4D82955C" w:rsidR="002242A9" w:rsidRPr="006E6D4A" w:rsidRDefault="006E6D4A" w:rsidP="006E6D4A">
    <w:pPr>
      <w:pStyle w:val="Footer"/>
      <w:ind w:right="360"/>
      <w:rPr>
        <w:rFonts w:asciiTheme="majorHAnsi" w:hAnsiTheme="majorHAnsi" w:cstheme="majorHAnsi"/>
        <w:sz w:val="20"/>
        <w:szCs w:val="20"/>
      </w:rPr>
    </w:pPr>
    <w:r w:rsidRPr="006E6D4A">
      <w:rPr>
        <w:rFonts w:asciiTheme="majorHAnsi" w:hAnsiTheme="majorHAnsi" w:cstheme="majorHAnsi"/>
        <w:sz w:val="20"/>
        <w:szCs w:val="20"/>
      </w:rPr>
      <w:t xml:space="preserve">Indonesia Project Phase V – Evaluation </w:t>
    </w:r>
    <w:r w:rsidR="008772D8">
      <w:rPr>
        <w:rFonts w:asciiTheme="majorHAnsi" w:hAnsiTheme="majorHAnsi" w:cstheme="majorHAnsi"/>
        <w:sz w:val="20"/>
        <w:szCs w:val="20"/>
      </w:rPr>
      <w:t>Report (</w:t>
    </w:r>
    <w:r w:rsidR="00804DE6">
      <w:rPr>
        <w:rFonts w:asciiTheme="majorHAnsi" w:hAnsiTheme="majorHAnsi" w:cstheme="majorHAnsi"/>
        <w:sz w:val="20"/>
        <w:szCs w:val="20"/>
      </w:rPr>
      <w:t>final</w:t>
    </w:r>
    <w:r w:rsidR="008772D8">
      <w:rPr>
        <w:rFonts w:asciiTheme="majorHAnsi" w:hAnsiTheme="majorHAnsi" w:cstheme="maj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F0BF" w14:textId="77777777" w:rsidR="00071038" w:rsidRDefault="00071038" w:rsidP="008E2C2E">
      <w:r>
        <w:separator/>
      </w:r>
    </w:p>
  </w:footnote>
  <w:footnote w:type="continuationSeparator" w:id="0">
    <w:p w14:paraId="0175BE4E" w14:textId="77777777" w:rsidR="00071038" w:rsidRDefault="00071038" w:rsidP="008E2C2E">
      <w:r>
        <w:continuationSeparator/>
      </w:r>
    </w:p>
  </w:footnote>
  <w:footnote w:id="1">
    <w:p w14:paraId="0412287E" w14:textId="3EF68FB2" w:rsidR="5AB46587" w:rsidRPr="00030DA1" w:rsidRDefault="5AB46587" w:rsidP="5AB46587">
      <w:pPr>
        <w:pStyle w:val="FootnoteText"/>
        <w:rPr>
          <w:rFonts w:asciiTheme="majorHAnsi" w:hAnsiTheme="majorHAnsi" w:cstheme="majorBidi"/>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FB29" w14:textId="375F493C" w:rsidR="002242A9" w:rsidRDefault="00EB01E8" w:rsidP="00D847AA">
    <w:pPr>
      <w:pStyle w:val="Head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5D895C2F" wp14:editId="6B39445B">
              <wp:simplePos x="635" y="635"/>
              <wp:positionH relativeFrom="page">
                <wp:align>center</wp:align>
              </wp:positionH>
              <wp:positionV relativeFrom="page">
                <wp:align>top</wp:align>
              </wp:positionV>
              <wp:extent cx="609600" cy="381000"/>
              <wp:effectExtent l="0" t="0" r="0" b="0"/>
              <wp:wrapNone/>
              <wp:docPr id="3870994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4CA81A4" w14:textId="47DC586E"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5D895C2F"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64CA81A4" w14:textId="47DC586E"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sdt>
    <w:sdtPr>
      <w:rPr>
        <w:rStyle w:val="PageNumber"/>
      </w:rPr>
      <w:id w:val="1184864892"/>
      <w:docPartObj>
        <w:docPartGallery w:val="Page Numbers (Top of Page)"/>
        <w:docPartUnique/>
      </w:docPartObj>
    </w:sdtPr>
    <w:sdtEndPr>
      <w:rPr>
        <w:rStyle w:val="PageNumber"/>
      </w:rPr>
    </w:sdtEndPr>
    <w:sdtContent>
      <w:p w14:paraId="1C36B14E" w14:textId="7CD76E16" w:rsidR="002242A9" w:rsidRDefault="002242A9" w:rsidP="00D847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1B3">
          <w:rPr>
            <w:rStyle w:val="PageNumber"/>
            <w:noProof/>
          </w:rPr>
          <w:t>1</w:t>
        </w:r>
        <w:r>
          <w:rPr>
            <w:rStyle w:val="PageNumber"/>
          </w:rPr>
          <w:fldChar w:fldCharType="end"/>
        </w:r>
      </w:p>
    </w:sdtContent>
  </w:sdt>
  <w:p w14:paraId="1D1A170F" w14:textId="77777777" w:rsidR="002242A9" w:rsidRDefault="002242A9" w:rsidP="00832D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CF67" w14:textId="1A8DDD9C" w:rsidR="002242A9" w:rsidRDefault="00EB01E8" w:rsidP="00832DE4">
    <w:pPr>
      <w:pStyle w:val="Header"/>
      <w:tabs>
        <w:tab w:val="clear" w:pos="4513"/>
        <w:tab w:val="clear" w:pos="9026"/>
        <w:tab w:val="left" w:pos="6653"/>
      </w:tabs>
      <w:ind w:right="360"/>
    </w:pPr>
    <w:r>
      <w:rPr>
        <w:noProof/>
      </w:rPr>
      <mc:AlternateContent>
        <mc:Choice Requires="wps">
          <w:drawing>
            <wp:anchor distT="0" distB="0" distL="0" distR="0" simplePos="0" relativeHeight="251658244" behindDoc="0" locked="0" layoutInCell="1" allowOverlap="1" wp14:anchorId="4F7B6F0E" wp14:editId="1845A6D4">
              <wp:simplePos x="635" y="635"/>
              <wp:positionH relativeFrom="page">
                <wp:align>center</wp:align>
              </wp:positionH>
              <wp:positionV relativeFrom="page">
                <wp:align>top</wp:align>
              </wp:positionV>
              <wp:extent cx="609600" cy="381000"/>
              <wp:effectExtent l="0" t="0" r="0" b="0"/>
              <wp:wrapNone/>
              <wp:docPr id="10027361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6EC9DCD" w14:textId="1E6EB5EA"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4F7B6F0E"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66EC9DCD" w14:textId="1E6EB5EA"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r w:rsidR="002242A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6B" w14:textId="551CA711" w:rsidR="002242A9" w:rsidRDefault="00EB01E8" w:rsidP="00832DE4">
    <w:pPr>
      <w:pStyle w:val="Header"/>
      <w:ind w:right="360"/>
    </w:pPr>
    <w:r>
      <w:rPr>
        <w:noProof/>
      </w:rPr>
      <mc:AlternateContent>
        <mc:Choice Requires="wps">
          <w:drawing>
            <wp:anchor distT="0" distB="0" distL="0" distR="0" simplePos="0" relativeHeight="251658242" behindDoc="0" locked="0" layoutInCell="1" allowOverlap="1" wp14:anchorId="47421F8E" wp14:editId="3F1D9FD7">
              <wp:simplePos x="635" y="635"/>
              <wp:positionH relativeFrom="page">
                <wp:align>center</wp:align>
              </wp:positionH>
              <wp:positionV relativeFrom="page">
                <wp:align>top</wp:align>
              </wp:positionV>
              <wp:extent cx="609600" cy="381000"/>
              <wp:effectExtent l="0" t="0" r="0" b="0"/>
              <wp:wrapNone/>
              <wp:docPr id="13520306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C547473" w14:textId="5F0432CC"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47421F8E"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4C547473" w14:textId="5F0432CC"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14F1" w14:textId="571E86C9" w:rsidR="002242A9" w:rsidRDefault="00EB01E8" w:rsidP="00832DE4">
    <w:pPr>
      <w:pStyle w:val="Header"/>
      <w:tabs>
        <w:tab w:val="clear" w:pos="4513"/>
        <w:tab w:val="clear" w:pos="9026"/>
        <w:tab w:val="left" w:pos="6653"/>
      </w:tabs>
      <w:ind w:right="360"/>
    </w:pPr>
    <w:r>
      <w:rPr>
        <w:noProof/>
      </w:rPr>
      <mc:AlternateContent>
        <mc:Choice Requires="wps">
          <w:drawing>
            <wp:anchor distT="0" distB="0" distL="0" distR="0" simplePos="0" relativeHeight="251658246" behindDoc="0" locked="0" layoutInCell="1" allowOverlap="1" wp14:anchorId="4925B0C0" wp14:editId="56037E53">
              <wp:simplePos x="635" y="635"/>
              <wp:positionH relativeFrom="page">
                <wp:align>center</wp:align>
              </wp:positionH>
              <wp:positionV relativeFrom="page">
                <wp:align>top</wp:align>
              </wp:positionV>
              <wp:extent cx="609600" cy="381000"/>
              <wp:effectExtent l="0" t="0" r="0" b="0"/>
              <wp:wrapNone/>
              <wp:docPr id="19579616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8F2B8AA" w14:textId="52A31904"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4925B0C0" id="_x0000_t202" coordsize="21600,21600" o:spt="202" path="m,l,21600r21600,l21600,xe">
              <v:stroke joinstyle="miter"/>
              <v:path gradientshapeok="t" o:connecttype="rect"/>
            </v:shapetype>
            <v:shape id="Text Box 5" o:spid="_x0000_s1032" type="#_x0000_t202" alt="OFFICIAL" style="position:absolute;margin-left:0;margin-top:0;width:48pt;height:30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SCwIAABwEAAAOAAAAZHJzL2Uyb0RvYy54bWysU8Fu2zAMvQ/YPwi6L3Y6LGiNOEXWIsOA&#10;oC2QDj0rshQbkEVBYmJnXz9KjpOu26noRaZJ6pF8fJrf9q1hB+VDA7bk00nOmbISqsbuSv7refXl&#10;mrOAwlbCgFUlP6rAbxefP807V6grqMFUyjMCsaHoXMlrRFdkWZC1akWYgFOWghp8K5B+/S6rvOgI&#10;vTXZVZ7Psg585TxIFQJ574cgXyR8rZXER62DQmZKTr1hOn06t/HMFnNR7LxwdSNPbYh3dNGKxlLR&#10;M9S9QMH2vvkHqm2khwAaJxLaDLRupEoz0DTT/M00m1o4lWYhcoI70xQ+DlY+HDbuyTPsv0NPC4yE&#10;dC4UgZxxnl77Nn6pU0ZxovB4pk31yCQ5Z/nNLKeIpNDX62lONqFkl8vOB/yhoGXRKLmnrSSyxGEd&#10;cEgdU2ItC6vGmLQZY/9yEGb0ZJcOo4X9tmdNRY2M3W+hOtJQHoZ9BydXDZVei4BPwtOCqVsSLT7S&#10;oQ10JYeTxVkN/vf//DGfeKcoZx0JpuSWFM2Z+WlpH1FbyZje5N8iGX50b0fD7ts7IBlO6UU4mcyY&#10;h2Y0tYf2heS8jIUoJKykciXH0bzDQbn0HKRaLlMSycgJXNuNkxE60hW5fO5fhHcnwpE29QCjmkTx&#10;hvchN94MbrlHYj8tJVI7EHlinCSY1np6LlHjr/9T1uVRL/4AAAD//wMAUEsDBBQABgAIAAAAIQCS&#10;dOCY2QAAAAMBAAAPAAAAZHJzL2Rvd25yZXYueG1sTI/NTsMwEITvSLyDtUjcqB2kRhDiVBVSD72V&#10;8nN2422SEu9GsduGPj0LF7iMNJrVzLflYgq9OuEYOyYL2cyAQqrZd9RYeHtd3T2AismRdz0TWvjC&#10;CIvq+qp0heczveBpmxolJRQLZ6FNaSi0jnWLwcUZD0iS7XkMLokdG+1Hd5by0Ot7Y3IdXEey0LoB&#10;n1usP7fHYKGbLzll+L5eHT5Cxtlls55fNtbe3kzLJ1AJp/R3DD/4gg6VMO34SD6q3oI8kn5Vssdc&#10;3M5CbgzoqtT/2atvAAAA//8DAFBLAQItABQABgAIAAAAIQC2gziS/gAAAOEBAAATAAAAAAAAAAAA&#10;AAAAAAAAAABbQ29udGVudF9UeXBlc10ueG1sUEsBAi0AFAAGAAgAAAAhADj9If/WAAAAlAEAAAsA&#10;AAAAAAAAAAAAAAAALwEAAF9yZWxzLy5yZWxzUEsBAi0AFAAGAAgAAAAhAIb1/9ILAgAAHAQAAA4A&#10;AAAAAAAAAAAAAAAALgIAAGRycy9lMm9Eb2MueG1sUEsBAi0AFAAGAAgAAAAhAJJ04JjZAAAAAwEA&#10;AA8AAAAAAAAAAAAAAAAAZQQAAGRycy9kb3ducmV2LnhtbFBLBQYAAAAABAAEAPMAAABrBQAAAAA=&#10;" filled="f" stroked="f">
              <v:textbox style="mso-fit-shape-to-text:t" inset="0,15pt,0,0">
                <w:txbxContent>
                  <w:p w14:paraId="38F2B8AA" w14:textId="52A31904"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r w:rsidR="002242A9">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C1CC" w14:textId="6BE0F893" w:rsidR="002242A9" w:rsidRDefault="00EB01E8" w:rsidP="00D847AA">
    <w:pPr>
      <w:pStyle w:val="Head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0AD2141" wp14:editId="269F82AF">
              <wp:simplePos x="635" y="635"/>
              <wp:positionH relativeFrom="page">
                <wp:align>center</wp:align>
              </wp:positionH>
              <wp:positionV relativeFrom="page">
                <wp:align>top</wp:align>
              </wp:positionV>
              <wp:extent cx="609600" cy="381000"/>
              <wp:effectExtent l="0" t="0" r="0" b="0"/>
              <wp:wrapNone/>
              <wp:docPr id="15732204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1D63FFB" w14:textId="63614BA2"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cei="http://schemas.microsoft.com/office/word/2026/wordml/cei">
          <w:pict>
            <v:shapetype w14:anchorId="30AD2141" id="_x0000_t202" coordsize="21600,21600" o:spt="202" path="m,l,21600r21600,l21600,xe">
              <v:stroke joinstyle="miter"/>
              <v:path gradientshapeok="t" o:connecttype="rect"/>
            </v:shapetype>
            <v:shape id="Text Box 4" o:spid="_x0000_s1034"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RpDAIAABwEAAAOAAAAZHJzL2Uyb0RvYy54bWysU8Fu2zAMvQ/YPwi6L3Y6LEiNOEXWIsOA&#10;oC2QDj0rshQbkEVBYmJnXz9KjpOu22nYRaZJ6pF8fFrc9a1hR+VDA7bk00nOmbISqsbuS/7jZf1p&#10;zllAYSthwKqSn1Tgd8uPHxadK9QN1GAq5RmB2FB0ruQ1oiuyLMhatSJMwClLQQ2+FUi/fp9VXnSE&#10;3prsJs9nWQe+ch6kCoG8D0OQLxO+1krik9ZBITMlp94wnT6du3hmy4Uo9l64upHnNsQ/dNGKxlLR&#10;C9SDQMEOvvkDqm2khwAaJxLaDLRupEoz0DTT/N0021o4lWYhcoK70BT+H6x8PG7ds2fYf4WeFhgJ&#10;6VwoAjnjPL32bfxSp4ziROHpQpvqkUlyzvLbWU4RSaHP82lONqFk18vOB/ymoGXRKLmnrSSyxHET&#10;cEgdU2ItC+vGmLQZY39zEGb0ZNcOo4X9rmdNVfL52P0OqhMN5WHYd3By3VDpjQj4LDwtmLol0eIT&#10;HdpAV3I4W5zV4H/+zR/ziXeKctaRYEpuSdGcme+W9hG1lYzpbf4lkuFH92407KG9B5LhlF6Ek8mM&#10;eWhGU3toX0nOq1iIQsJKKldyHM17HJRLz0Gq1SolkYycwI3dOhmhI12Ry5f+VXh3JhxpU48wqkkU&#10;73gfcuPN4FYHJPbTUiK1A5FnxkmCaa3n5xI1/vY/ZV0f9fIXAA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DBi7RpDAIAABwEAAAO&#10;AAAAAAAAAAAAAAAAAC4CAABkcnMvZTJvRG9jLnhtbFBLAQItABQABgAIAAAAIQCSdOCY2QAAAAMB&#10;AAAPAAAAAAAAAAAAAAAAAGYEAABkcnMvZG93bnJldi54bWxQSwUGAAAAAAQABADzAAAAbAUAAAAA&#10;" filled="f" stroked="f">
              <v:textbox style="mso-fit-shape-to-text:t" inset="0,15pt,0,0">
                <w:txbxContent>
                  <w:p w14:paraId="11D63FFB" w14:textId="63614BA2" w:rsidR="00EB01E8" w:rsidRPr="00EB01E8" w:rsidRDefault="00EB01E8" w:rsidP="00EB01E8">
                    <w:pPr>
                      <w:rPr>
                        <w:rFonts w:ascii="Aptos" w:eastAsia="Aptos" w:hAnsi="Aptos" w:cs="Aptos"/>
                        <w:noProof/>
                        <w:color w:val="FF0000"/>
                      </w:rPr>
                    </w:pPr>
                    <w:r w:rsidRPr="00EB01E8">
                      <w:rPr>
                        <w:rFonts w:ascii="Aptos" w:eastAsia="Aptos" w:hAnsi="Aptos" w:cs="Aptos"/>
                        <w:noProof/>
                        <w:color w:val="FF0000"/>
                      </w:rPr>
                      <w:t>OFFICIAL</w:t>
                    </w:r>
                  </w:p>
                </w:txbxContent>
              </v:textbox>
              <w10:wrap anchorx="page" anchory="page"/>
            </v:shape>
          </w:pict>
        </mc:Fallback>
      </mc:AlternateContent>
    </w:r>
  </w:p>
  <w:sdt>
    <w:sdtPr>
      <w:rPr>
        <w:rStyle w:val="PageNumber"/>
      </w:rPr>
      <w:id w:val="1319691263"/>
      <w:docPartObj>
        <w:docPartGallery w:val="Page Numbers (Top of Page)"/>
        <w:docPartUnique/>
      </w:docPartObj>
    </w:sdtPr>
    <w:sdtEndPr>
      <w:rPr>
        <w:rStyle w:val="PageNumber"/>
      </w:rPr>
    </w:sdtEndPr>
    <w:sdtContent>
      <w:p w14:paraId="74E21C83" w14:textId="6BE0F893" w:rsidR="002242A9" w:rsidRDefault="002242A9" w:rsidP="00D847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D39B4F" w14:textId="77777777" w:rsidR="002242A9" w:rsidRDefault="002242A9" w:rsidP="00832DE4">
    <w:pPr>
      <w:pStyle w:val="Header"/>
      <w:ind w:right="360"/>
    </w:pPr>
    <w:r>
      <w:rPr>
        <w:noProof/>
      </w:rPr>
      <mc:AlternateContent>
        <mc:Choice Requires="wps">
          <w:drawing>
            <wp:anchor distT="0" distB="0" distL="114300" distR="114300" simplePos="0" relativeHeight="251658240" behindDoc="0" locked="0" layoutInCell="1" allowOverlap="1" wp14:anchorId="06F9E445" wp14:editId="3BB6D1E1">
              <wp:simplePos x="0" y="0"/>
              <wp:positionH relativeFrom="column">
                <wp:posOffset>2331653</wp:posOffset>
              </wp:positionH>
              <wp:positionV relativeFrom="paragraph">
                <wp:posOffset>-121352</wp:posOffset>
              </wp:positionV>
              <wp:extent cx="2598420" cy="2269958"/>
              <wp:effectExtent l="0" t="0" r="0" b="0"/>
              <wp:wrapNone/>
              <wp:docPr id="8" name="Text Box 8"/>
              <wp:cNvGraphicFramePr/>
              <a:graphic xmlns:a="http://schemas.openxmlformats.org/drawingml/2006/main">
                <a:graphicData uri="http://schemas.microsoft.com/office/word/2010/wordprocessingShape">
                  <wps:wsp>
                    <wps:cNvSpPr txBox="1"/>
                    <wps:spPr>
                      <a:xfrm>
                        <a:off x="0" y="0"/>
                        <a:ext cx="2598420" cy="2269958"/>
                      </a:xfrm>
                      <a:prstGeom prst="rect">
                        <a:avLst/>
                      </a:prstGeom>
                      <a:noFill/>
                      <a:ln w="6350">
                        <a:noFill/>
                      </a:ln>
                    </wps:spPr>
                    <wps:txbx>
                      <w:txbxContent>
                        <w:p w14:paraId="0C525FDF" w14:textId="77777777" w:rsidR="002242A9" w:rsidRPr="00E15749" w:rsidRDefault="002242A9" w:rsidP="00500BDB">
                          <w:pPr>
                            <w:autoSpaceDE w:val="0"/>
                            <w:autoSpaceDN w:val="0"/>
                            <w:adjustRightInd w:val="0"/>
                            <w:spacing w:line="260" w:lineRule="atLeast"/>
                            <w:rPr>
                              <w:rFonts w:ascii="Space Grotesk" w:eastAsiaTheme="minorHAnsi" w:hAnsi="Space Grotesk" w:cs="Gujarati MT"/>
                              <w:b/>
                              <w:bCs/>
                              <w:color w:val="000000" w:themeColor="text1"/>
                              <w:sz w:val="19"/>
                              <w:szCs w:val="19"/>
                              <w:lang w:val="en-GB"/>
                            </w:rPr>
                          </w:pP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color w:val="000000" w:themeColor="text1"/>
                              <w:sz w:val="19"/>
                              <w:szCs w:val="19"/>
                              <w:lang w:val="en-GB"/>
                            </w:rPr>
                            <w:t>To:</w:t>
                          </w: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b/>
                              <w:bCs/>
                              <w:color w:val="000000" w:themeColor="text1"/>
                              <w:sz w:val="19"/>
                              <w:szCs w:val="19"/>
                              <w:lang w:val="en-GB"/>
                            </w:rPr>
                            <w:tab/>
                          </w:r>
                          <w:r>
                            <w:rPr>
                              <w:rFonts w:ascii="Space Grotesk" w:eastAsiaTheme="minorHAnsi" w:hAnsi="Space Grotesk" w:cs="Gujarati MT"/>
                              <w:b/>
                              <w:bCs/>
                              <w:color w:val="000000" w:themeColor="text1"/>
                              <w:sz w:val="19"/>
                              <w:szCs w:val="19"/>
                              <w:lang w:val="en-GB"/>
                            </w:rPr>
                            <w:t>…</w:t>
                          </w:r>
                        </w:p>
                        <w:p w14:paraId="4F34A3BC"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Sight for All</w:t>
                          </w:r>
                        </w:p>
                        <w:p w14:paraId="317A4634"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Email address</w:t>
                          </w:r>
                        </w:p>
                        <w:p w14:paraId="3AE409BD"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Phone number</w:t>
                          </w:r>
                        </w:p>
                        <w:p w14:paraId="59567120"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p>
                        <w:p w14:paraId="643EADD1" w14:textId="77777777" w:rsidR="002242A9" w:rsidRPr="00E15749" w:rsidRDefault="002242A9" w:rsidP="00500BDB">
                          <w:pPr>
                            <w:autoSpaceDE w:val="0"/>
                            <w:autoSpaceDN w:val="0"/>
                            <w:adjustRightInd w:val="0"/>
                            <w:spacing w:line="260" w:lineRule="atLeast"/>
                            <w:rPr>
                              <w:rFonts w:ascii="Space Grotesk" w:eastAsiaTheme="minorHAnsi" w:hAnsi="Space Grotesk" w:cs="Gujarati MT"/>
                              <w:b/>
                              <w:bCs/>
                              <w:color w:val="000000" w:themeColor="text1"/>
                              <w:sz w:val="19"/>
                              <w:szCs w:val="19"/>
                              <w:lang w:val="en-GB"/>
                            </w:rPr>
                          </w:pP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color w:val="000000" w:themeColor="text1"/>
                              <w:sz w:val="19"/>
                              <w:szCs w:val="19"/>
                              <w:lang w:val="en-GB"/>
                            </w:rPr>
                            <w:t>By:</w:t>
                          </w: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b/>
                              <w:bCs/>
                              <w:color w:val="000000" w:themeColor="text1"/>
                              <w:sz w:val="19"/>
                              <w:szCs w:val="19"/>
                              <w:lang w:val="en-GB"/>
                            </w:rPr>
                            <w:tab/>
                            <w:t>Zo</w:t>
                          </w:r>
                          <w:r w:rsidRPr="00E15749">
                            <w:rPr>
                              <w:rFonts w:ascii="Space Grotesk" w:eastAsiaTheme="minorHAnsi" w:hAnsi="Space Grotesk" w:cs="Cambria"/>
                              <w:b/>
                              <w:bCs/>
                              <w:color w:val="000000" w:themeColor="text1"/>
                              <w:sz w:val="19"/>
                              <w:szCs w:val="19"/>
                              <w:lang w:val="en-GB"/>
                            </w:rPr>
                            <w:t>ë</w:t>
                          </w:r>
                          <w:r w:rsidRPr="00E15749">
                            <w:rPr>
                              <w:rFonts w:ascii="Space Grotesk" w:eastAsiaTheme="minorHAnsi" w:hAnsi="Space Grotesk" w:cs="Gujarati MT"/>
                              <w:b/>
                              <w:bCs/>
                              <w:color w:val="000000" w:themeColor="text1"/>
                              <w:sz w:val="19"/>
                              <w:szCs w:val="19"/>
                              <w:lang w:val="en-GB"/>
                            </w:rPr>
                            <w:t xml:space="preserve"> Dawkins</w:t>
                          </w:r>
                        </w:p>
                        <w:p w14:paraId="539F18EB"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proofErr w:type="spellStart"/>
                          <w:r w:rsidRPr="00E15749">
                            <w:rPr>
                              <w:rFonts w:ascii="Space Grotesk" w:eastAsiaTheme="minorHAnsi" w:hAnsi="Space Grotesk" w:cs="Gujarati MT"/>
                              <w:color w:val="000000" w:themeColor="text1"/>
                              <w:sz w:val="17"/>
                              <w:szCs w:val="17"/>
                              <w:lang w:val="en-GB"/>
                            </w:rPr>
                            <w:t>Storyscape</w:t>
                          </w:r>
                          <w:proofErr w:type="spellEnd"/>
                        </w:p>
                        <w:p w14:paraId="198BE217"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sidRPr="00E15749">
                            <w:rPr>
                              <w:rFonts w:ascii="Space Grotesk" w:eastAsiaTheme="minorHAnsi" w:hAnsi="Space Grotesk" w:cs="Gujarati MT"/>
                              <w:color w:val="000000" w:themeColor="text1"/>
                              <w:sz w:val="17"/>
                              <w:szCs w:val="17"/>
                              <w:lang w:val="en-GB"/>
                            </w:rPr>
                            <w:t>Unit 4A, 104 Johnston Street</w:t>
                          </w:r>
                        </w:p>
                        <w:p w14:paraId="266D435B"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sidRPr="00E15749">
                            <w:rPr>
                              <w:rFonts w:ascii="Space Grotesk" w:eastAsiaTheme="minorHAnsi" w:hAnsi="Space Grotesk" w:cs="Gujarati MT"/>
                              <w:color w:val="000000" w:themeColor="text1"/>
                              <w:sz w:val="17"/>
                              <w:szCs w:val="17"/>
                              <w:lang w:val="en-GB"/>
                            </w:rPr>
                            <w:t>Fitzroy VIC 3065</w:t>
                          </w:r>
                        </w:p>
                        <w:p w14:paraId="48BDB9F9"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sidRPr="00E15749">
                            <w:rPr>
                              <w:rFonts w:ascii="Space Grotesk" w:eastAsiaTheme="minorHAnsi" w:hAnsi="Space Grotesk" w:cs="Gujarati MT"/>
                              <w:color w:val="000000" w:themeColor="text1"/>
                              <w:sz w:val="17"/>
                              <w:szCs w:val="17"/>
                              <w:lang w:val="en-GB"/>
                            </w:rPr>
                            <w:t xml:space="preserve">+61 (0) </w:t>
                          </w:r>
                          <w:r>
                            <w:rPr>
                              <w:rFonts w:ascii="Space Grotesk" w:eastAsiaTheme="minorHAnsi" w:hAnsi="Space Grotesk" w:cs="Gujarati MT"/>
                              <w:color w:val="000000" w:themeColor="text1"/>
                              <w:sz w:val="17"/>
                              <w:szCs w:val="17"/>
                              <w:lang w:val="en-GB"/>
                            </w:rPr>
                            <w:t>434 104 942</w:t>
                          </w:r>
                        </w:p>
                        <w:p w14:paraId="31945CF9"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zoe</w:t>
                          </w:r>
                          <w:r w:rsidRPr="00E15749">
                            <w:rPr>
                              <w:rFonts w:ascii="Space Grotesk" w:eastAsiaTheme="minorHAnsi" w:hAnsi="Space Grotesk" w:cs="Gujarati MT"/>
                              <w:color w:val="000000" w:themeColor="text1"/>
                              <w:sz w:val="17"/>
                              <w:szCs w:val="17"/>
                              <w:lang w:val="en-GB"/>
                            </w:rPr>
                            <w:t>@storyscape.com.au</w:t>
                          </w:r>
                        </w:p>
                        <w:p w14:paraId="23BF9C4B" w14:textId="77777777" w:rsidR="002242A9" w:rsidRPr="00E15749" w:rsidRDefault="002242A9" w:rsidP="00500BDB">
                          <w:pPr>
                            <w:spacing w:line="260" w:lineRule="atLeast"/>
                            <w:ind w:left="720"/>
                            <w:rPr>
                              <w:rFonts w:ascii="Space Grotesk" w:hAnsi="Space Grotesk" w:cs="Gujarati MT"/>
                              <w:color w:val="000000" w:themeColor="text1"/>
                              <w:sz w:val="17"/>
                              <w:szCs w:val="17"/>
                            </w:rPr>
                          </w:pPr>
                          <w:r w:rsidRPr="00E15749">
                            <w:rPr>
                              <w:rFonts w:ascii="Space Grotesk" w:eastAsiaTheme="minorHAnsi" w:hAnsi="Space Grotesk" w:cs="Gujarati MT"/>
                              <w:color w:val="000000" w:themeColor="text1"/>
                              <w:sz w:val="17"/>
                              <w:szCs w:val="17"/>
                              <w:lang w:val="en-GB"/>
                            </w:rPr>
                            <w:t>ABN: 52 078 998 160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i="http://schemas.microsoft.com/office/word/2026/wordml/cei">
          <w:pict>
            <v:shape w14:anchorId="06F9E445" id="_x0000_s1035" type="#_x0000_t202" style="position:absolute;margin-left:183.6pt;margin-top:-9.55pt;width:204.6pt;height:1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rHAIAADQEAAAOAAAAZHJzL2Uyb0RvYy54bWysU02P2jAQvVfqf7B8L4EUKESEFd0VVaXV&#10;7kpstWfj2CSS7XFtQ0J/fccOX9r2VPUyGXsm8/He8+Ku04ochPMNmJKOBkNKhOFQNWZX0h+v608z&#10;SnxgpmIKjCjpUXh6t/z4YdHaQuRQg6qEI1jE+KK1Ja1DsEWWeV4LzfwArDAYlOA0C3h0u6xyrMXq&#10;WmX5cDjNWnCVdcCF93j70AfpMtWXUvDwLKUXgaiS4mwhWZfsNtpsuWDFzjFbN/w0BvuHKTRrDDa9&#10;lHpggZG9a/4opRvuwIMMAw46AykbLtIOuM1o+G6bTc2sSLsgON5eYPL/ryx/OmzsiyOh+wodEhgB&#10;aa0vPF7GfTrpdPzipATjCOHxApvoAuF4mU/ms3GOIY6xPJ/O55NZrJNdf7fOh28CNIlOSR3ykuBi&#10;h0cf+tRzSuxmYN0olbhRhrQlnX6eDNMPlwgWVwZ7XIeNXui2HWmqks7Pi2yhOuJ+DnrqveXrBmd4&#10;ZD68MIdc49yo3/CMRirAXnDyKKnB/frbfcxHCjBKSYvaKan/uWdOUKK+GyRnPhqPo9jSYTz5ErFx&#10;t5HtbcTs9T2gPEf4UixPbswP6uxKB/oNZb6KXTHEDMfeJQ1n9z70isZnwsVqlZJQXpaFR7OxPJaO&#10;qEaEX7s35uyJhoAMPsFZZax4x0af2/Ox2geQTaIq4tyjeoIfpZnIPj2jqP3bc8q6PvblbwAAAP//&#10;AwBQSwMEFAAGAAgAAAAhAAoAN6fjAAAACwEAAA8AAABkcnMvZG93bnJldi54bWxMj0FPg0AQhe8m&#10;/ofNmHhrF2gFSlmahqQxMfbQ2ou3gd0CkZ1Fdtuiv971pMfJ+/LeN/lm0j27qtF2hgSE8wCYotrI&#10;jhoBp7fdLAVmHZLE3pAS8KUsbIr7uxwzaW50UNeja5gvIZuhgNa5IePc1q3SaOdmUOSzsxk1On+O&#10;DZcj3ny57nkUBDHX2JFfaHFQZavqj+NFC3gpd3s8VJFOv/vy+fW8HT5P709CPD5M2zUwpyb3B8Ov&#10;vleHwjtV5kLSsl7AIk4ijwqYhasQmCeSJF4Cq3y0SJfAi5z//6H4AQAA//8DAFBLAQItABQABgAI&#10;AAAAIQC2gziS/gAAAOEBAAATAAAAAAAAAAAAAAAAAAAAAABbQ29udGVudF9UeXBlc10ueG1sUEsB&#10;Ai0AFAAGAAgAAAAhADj9If/WAAAAlAEAAAsAAAAAAAAAAAAAAAAALwEAAF9yZWxzLy5yZWxzUEsB&#10;Ai0AFAAGAAgAAAAhAFj7GuscAgAANAQAAA4AAAAAAAAAAAAAAAAALgIAAGRycy9lMm9Eb2MueG1s&#10;UEsBAi0AFAAGAAgAAAAhAAoAN6fjAAAACwEAAA8AAAAAAAAAAAAAAAAAdgQAAGRycy9kb3ducmV2&#10;LnhtbFBLBQYAAAAABAAEAPMAAACGBQAAAAA=&#10;" filled="f" stroked="f" strokeweight=".5pt">
              <v:textbox>
                <w:txbxContent>
                  <w:p w14:paraId="0C525FDF" w14:textId="77777777" w:rsidR="002242A9" w:rsidRPr="00E15749" w:rsidRDefault="002242A9" w:rsidP="00500BDB">
                    <w:pPr>
                      <w:autoSpaceDE w:val="0"/>
                      <w:autoSpaceDN w:val="0"/>
                      <w:adjustRightInd w:val="0"/>
                      <w:spacing w:line="260" w:lineRule="atLeast"/>
                      <w:rPr>
                        <w:rFonts w:ascii="Space Grotesk" w:eastAsiaTheme="minorHAnsi" w:hAnsi="Space Grotesk" w:cs="Gujarati MT"/>
                        <w:b/>
                        <w:bCs/>
                        <w:color w:val="000000" w:themeColor="text1"/>
                        <w:sz w:val="19"/>
                        <w:szCs w:val="19"/>
                        <w:lang w:val="en-GB"/>
                      </w:rPr>
                    </w:pP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color w:val="000000" w:themeColor="text1"/>
                        <w:sz w:val="19"/>
                        <w:szCs w:val="19"/>
                        <w:lang w:val="en-GB"/>
                      </w:rPr>
                      <w:t>To:</w:t>
                    </w: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b/>
                        <w:bCs/>
                        <w:color w:val="000000" w:themeColor="text1"/>
                        <w:sz w:val="19"/>
                        <w:szCs w:val="19"/>
                        <w:lang w:val="en-GB"/>
                      </w:rPr>
                      <w:tab/>
                    </w:r>
                    <w:r>
                      <w:rPr>
                        <w:rFonts w:ascii="Space Grotesk" w:eastAsiaTheme="minorHAnsi" w:hAnsi="Space Grotesk" w:cs="Gujarati MT"/>
                        <w:b/>
                        <w:bCs/>
                        <w:color w:val="000000" w:themeColor="text1"/>
                        <w:sz w:val="19"/>
                        <w:szCs w:val="19"/>
                        <w:lang w:val="en-GB"/>
                      </w:rPr>
                      <w:t>…</w:t>
                    </w:r>
                  </w:p>
                  <w:p w14:paraId="4F34A3BC"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Sight for All</w:t>
                    </w:r>
                  </w:p>
                  <w:p w14:paraId="317A4634"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Email address</w:t>
                    </w:r>
                  </w:p>
                  <w:p w14:paraId="3AE409BD"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Phone number</w:t>
                    </w:r>
                  </w:p>
                  <w:p w14:paraId="59567120"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p>
                  <w:p w14:paraId="643EADD1" w14:textId="77777777" w:rsidR="002242A9" w:rsidRPr="00E15749" w:rsidRDefault="002242A9" w:rsidP="00500BDB">
                    <w:pPr>
                      <w:autoSpaceDE w:val="0"/>
                      <w:autoSpaceDN w:val="0"/>
                      <w:adjustRightInd w:val="0"/>
                      <w:spacing w:line="260" w:lineRule="atLeast"/>
                      <w:rPr>
                        <w:rFonts w:ascii="Space Grotesk" w:eastAsiaTheme="minorHAnsi" w:hAnsi="Space Grotesk" w:cs="Gujarati MT"/>
                        <w:b/>
                        <w:bCs/>
                        <w:color w:val="000000" w:themeColor="text1"/>
                        <w:sz w:val="19"/>
                        <w:szCs w:val="19"/>
                        <w:lang w:val="en-GB"/>
                      </w:rPr>
                    </w:pP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color w:val="000000" w:themeColor="text1"/>
                        <w:sz w:val="19"/>
                        <w:szCs w:val="19"/>
                        <w:lang w:val="en-GB"/>
                      </w:rPr>
                      <w:t>By:</w:t>
                    </w:r>
                    <w:r w:rsidRPr="00E15749">
                      <w:rPr>
                        <w:rFonts w:ascii="Space Grotesk" w:eastAsiaTheme="minorHAnsi" w:hAnsi="Space Grotesk" w:cs="Gujarati MT"/>
                        <w:b/>
                        <w:bCs/>
                        <w:color w:val="000000" w:themeColor="text1"/>
                        <w:sz w:val="19"/>
                        <w:szCs w:val="19"/>
                        <w:lang w:val="en-GB"/>
                      </w:rPr>
                      <w:t xml:space="preserve"> </w:t>
                    </w:r>
                    <w:r w:rsidRPr="00E15749">
                      <w:rPr>
                        <w:rFonts w:ascii="Space Grotesk" w:eastAsiaTheme="minorHAnsi" w:hAnsi="Space Grotesk" w:cs="Gujarati MT"/>
                        <w:b/>
                        <w:bCs/>
                        <w:color w:val="000000" w:themeColor="text1"/>
                        <w:sz w:val="19"/>
                        <w:szCs w:val="19"/>
                        <w:lang w:val="en-GB"/>
                      </w:rPr>
                      <w:tab/>
                      <w:t>Zo</w:t>
                    </w:r>
                    <w:r w:rsidRPr="00E15749">
                      <w:rPr>
                        <w:rFonts w:ascii="Space Grotesk" w:eastAsiaTheme="minorHAnsi" w:hAnsi="Space Grotesk" w:cs="Cambria"/>
                        <w:b/>
                        <w:bCs/>
                        <w:color w:val="000000" w:themeColor="text1"/>
                        <w:sz w:val="19"/>
                        <w:szCs w:val="19"/>
                        <w:lang w:val="en-GB"/>
                      </w:rPr>
                      <w:t>ë</w:t>
                    </w:r>
                    <w:r w:rsidRPr="00E15749">
                      <w:rPr>
                        <w:rFonts w:ascii="Space Grotesk" w:eastAsiaTheme="minorHAnsi" w:hAnsi="Space Grotesk" w:cs="Gujarati MT"/>
                        <w:b/>
                        <w:bCs/>
                        <w:color w:val="000000" w:themeColor="text1"/>
                        <w:sz w:val="19"/>
                        <w:szCs w:val="19"/>
                        <w:lang w:val="en-GB"/>
                      </w:rPr>
                      <w:t xml:space="preserve"> Dawkins</w:t>
                    </w:r>
                  </w:p>
                  <w:p w14:paraId="539F18EB"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proofErr w:type="spellStart"/>
                    <w:r w:rsidRPr="00E15749">
                      <w:rPr>
                        <w:rFonts w:ascii="Space Grotesk" w:eastAsiaTheme="minorHAnsi" w:hAnsi="Space Grotesk" w:cs="Gujarati MT"/>
                        <w:color w:val="000000" w:themeColor="text1"/>
                        <w:sz w:val="17"/>
                        <w:szCs w:val="17"/>
                        <w:lang w:val="en-GB"/>
                      </w:rPr>
                      <w:t>Storyscape</w:t>
                    </w:r>
                    <w:proofErr w:type="spellEnd"/>
                  </w:p>
                  <w:p w14:paraId="198BE217"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sidRPr="00E15749">
                      <w:rPr>
                        <w:rFonts w:ascii="Space Grotesk" w:eastAsiaTheme="minorHAnsi" w:hAnsi="Space Grotesk" w:cs="Gujarati MT"/>
                        <w:color w:val="000000" w:themeColor="text1"/>
                        <w:sz w:val="17"/>
                        <w:szCs w:val="17"/>
                        <w:lang w:val="en-GB"/>
                      </w:rPr>
                      <w:t>Unit 4A, 104 Johnston Street</w:t>
                    </w:r>
                  </w:p>
                  <w:p w14:paraId="266D435B"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sidRPr="00E15749">
                      <w:rPr>
                        <w:rFonts w:ascii="Space Grotesk" w:eastAsiaTheme="minorHAnsi" w:hAnsi="Space Grotesk" w:cs="Gujarati MT"/>
                        <w:color w:val="000000" w:themeColor="text1"/>
                        <w:sz w:val="17"/>
                        <w:szCs w:val="17"/>
                        <w:lang w:val="en-GB"/>
                      </w:rPr>
                      <w:t>Fitzroy VIC 3065</w:t>
                    </w:r>
                  </w:p>
                  <w:p w14:paraId="48BDB9F9"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sidRPr="00E15749">
                      <w:rPr>
                        <w:rFonts w:ascii="Space Grotesk" w:eastAsiaTheme="minorHAnsi" w:hAnsi="Space Grotesk" w:cs="Gujarati MT"/>
                        <w:color w:val="000000" w:themeColor="text1"/>
                        <w:sz w:val="17"/>
                        <w:szCs w:val="17"/>
                        <w:lang w:val="en-GB"/>
                      </w:rPr>
                      <w:t xml:space="preserve">+61 (0) </w:t>
                    </w:r>
                    <w:r>
                      <w:rPr>
                        <w:rFonts w:ascii="Space Grotesk" w:eastAsiaTheme="minorHAnsi" w:hAnsi="Space Grotesk" w:cs="Gujarati MT"/>
                        <w:color w:val="000000" w:themeColor="text1"/>
                        <w:sz w:val="17"/>
                        <w:szCs w:val="17"/>
                        <w:lang w:val="en-GB"/>
                      </w:rPr>
                      <w:t>434 104 942</w:t>
                    </w:r>
                  </w:p>
                  <w:p w14:paraId="31945CF9" w14:textId="77777777" w:rsidR="002242A9" w:rsidRPr="00E15749" w:rsidRDefault="002242A9" w:rsidP="00500BDB">
                    <w:pPr>
                      <w:autoSpaceDE w:val="0"/>
                      <w:autoSpaceDN w:val="0"/>
                      <w:adjustRightInd w:val="0"/>
                      <w:spacing w:line="260" w:lineRule="atLeast"/>
                      <w:ind w:left="720"/>
                      <w:rPr>
                        <w:rFonts w:ascii="Space Grotesk" w:eastAsiaTheme="minorHAnsi" w:hAnsi="Space Grotesk" w:cs="Gujarati MT"/>
                        <w:color w:val="000000" w:themeColor="text1"/>
                        <w:sz w:val="17"/>
                        <w:szCs w:val="17"/>
                        <w:lang w:val="en-GB"/>
                      </w:rPr>
                    </w:pPr>
                    <w:r>
                      <w:rPr>
                        <w:rFonts w:ascii="Space Grotesk" w:eastAsiaTheme="minorHAnsi" w:hAnsi="Space Grotesk" w:cs="Gujarati MT"/>
                        <w:color w:val="000000" w:themeColor="text1"/>
                        <w:sz w:val="17"/>
                        <w:szCs w:val="17"/>
                        <w:lang w:val="en-GB"/>
                      </w:rPr>
                      <w:t>zoe</w:t>
                    </w:r>
                    <w:r w:rsidRPr="00E15749">
                      <w:rPr>
                        <w:rFonts w:ascii="Space Grotesk" w:eastAsiaTheme="minorHAnsi" w:hAnsi="Space Grotesk" w:cs="Gujarati MT"/>
                        <w:color w:val="000000" w:themeColor="text1"/>
                        <w:sz w:val="17"/>
                        <w:szCs w:val="17"/>
                        <w:lang w:val="en-GB"/>
                      </w:rPr>
                      <w:t>@storyscape.com.au</w:t>
                    </w:r>
                  </w:p>
                  <w:p w14:paraId="23BF9C4B" w14:textId="77777777" w:rsidR="002242A9" w:rsidRPr="00E15749" w:rsidRDefault="002242A9" w:rsidP="00500BDB">
                    <w:pPr>
                      <w:spacing w:line="260" w:lineRule="atLeast"/>
                      <w:ind w:left="720"/>
                      <w:rPr>
                        <w:rFonts w:ascii="Space Grotesk" w:hAnsi="Space Grotesk" w:cs="Gujarati MT"/>
                        <w:color w:val="000000" w:themeColor="text1"/>
                        <w:sz w:val="17"/>
                        <w:szCs w:val="17"/>
                      </w:rPr>
                    </w:pPr>
                    <w:r w:rsidRPr="00E15749">
                      <w:rPr>
                        <w:rFonts w:ascii="Space Grotesk" w:eastAsiaTheme="minorHAnsi" w:hAnsi="Space Grotesk" w:cs="Gujarati MT"/>
                        <w:color w:val="000000" w:themeColor="text1"/>
                        <w:sz w:val="17"/>
                        <w:szCs w:val="17"/>
                        <w:lang w:val="en-GB"/>
                      </w:rPr>
                      <w:t>ABN: 52 078 998 160</w:t>
                    </w:r>
                  </w:p>
                </w:txbxContent>
              </v:textbox>
            </v:shape>
          </w:pict>
        </mc:Fallback>
      </mc:AlternateContent>
    </w:r>
    <w:r>
      <w:rPr>
        <w:noProof/>
      </w:rPr>
      <w:drawing>
        <wp:anchor distT="0" distB="0" distL="114300" distR="114300" simplePos="0" relativeHeight="251658241" behindDoc="0" locked="0" layoutInCell="1" allowOverlap="1" wp14:anchorId="6F9E8205" wp14:editId="2EEEFF7D">
          <wp:simplePos x="0" y="0"/>
          <wp:positionH relativeFrom="margin">
            <wp:posOffset>-909320</wp:posOffset>
          </wp:positionH>
          <wp:positionV relativeFrom="margin">
            <wp:posOffset>-1351280</wp:posOffset>
          </wp:positionV>
          <wp:extent cx="2191385" cy="1291590"/>
          <wp:effectExtent l="0" t="0" r="5715" b="3810"/>
          <wp:wrapSquare wrapText="bothSides"/>
          <wp:docPr id="1489077262" name="Picture 148907726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385" cy="1291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B88"/>
    <w:multiLevelType w:val="hybridMultilevel"/>
    <w:tmpl w:val="528EA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9F435F"/>
    <w:multiLevelType w:val="hybridMultilevel"/>
    <w:tmpl w:val="7FF2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2139E"/>
    <w:multiLevelType w:val="hybridMultilevel"/>
    <w:tmpl w:val="7056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03E66"/>
    <w:multiLevelType w:val="multilevel"/>
    <w:tmpl w:val="9E36297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35AD8"/>
    <w:multiLevelType w:val="multilevel"/>
    <w:tmpl w:val="923A1FC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6E5F40"/>
    <w:multiLevelType w:val="hybridMultilevel"/>
    <w:tmpl w:val="E502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B49B5"/>
    <w:multiLevelType w:val="hybridMultilevel"/>
    <w:tmpl w:val="B9E65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9326383">
    <w:abstractNumId w:val="4"/>
  </w:num>
  <w:num w:numId="2" w16cid:durableId="400375289">
    <w:abstractNumId w:val="1"/>
  </w:num>
  <w:num w:numId="3" w16cid:durableId="1134064260">
    <w:abstractNumId w:val="3"/>
  </w:num>
  <w:num w:numId="4" w16cid:durableId="1775906850">
    <w:abstractNumId w:val="2"/>
  </w:num>
  <w:num w:numId="5" w16cid:durableId="538665817">
    <w:abstractNumId w:val="0"/>
  </w:num>
  <w:num w:numId="6" w16cid:durableId="692147391">
    <w:abstractNumId w:val="5"/>
  </w:num>
  <w:num w:numId="7" w16cid:durableId="14752154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C9"/>
    <w:rsid w:val="000004FA"/>
    <w:rsid w:val="0000208F"/>
    <w:rsid w:val="00002309"/>
    <w:rsid w:val="00002D53"/>
    <w:rsid w:val="000049D5"/>
    <w:rsid w:val="00010C02"/>
    <w:rsid w:val="00015743"/>
    <w:rsid w:val="00017CBA"/>
    <w:rsid w:val="000208C6"/>
    <w:rsid w:val="00020D6C"/>
    <w:rsid w:val="00022F0F"/>
    <w:rsid w:val="00030DA1"/>
    <w:rsid w:val="000350AB"/>
    <w:rsid w:val="000416B3"/>
    <w:rsid w:val="00041854"/>
    <w:rsid w:val="00047DFD"/>
    <w:rsid w:val="00047E22"/>
    <w:rsid w:val="00053EEC"/>
    <w:rsid w:val="000657F6"/>
    <w:rsid w:val="00066756"/>
    <w:rsid w:val="00066E23"/>
    <w:rsid w:val="00071038"/>
    <w:rsid w:val="00071D23"/>
    <w:rsid w:val="000728B8"/>
    <w:rsid w:val="000744A6"/>
    <w:rsid w:val="000754BA"/>
    <w:rsid w:val="00085FAE"/>
    <w:rsid w:val="00086C0C"/>
    <w:rsid w:val="00086CB3"/>
    <w:rsid w:val="000870CC"/>
    <w:rsid w:val="00090139"/>
    <w:rsid w:val="00097B70"/>
    <w:rsid w:val="000A1AD2"/>
    <w:rsid w:val="000A291B"/>
    <w:rsid w:val="000A424B"/>
    <w:rsid w:val="000A5DF3"/>
    <w:rsid w:val="000A7D7D"/>
    <w:rsid w:val="000B4582"/>
    <w:rsid w:val="000B5B33"/>
    <w:rsid w:val="000B61D9"/>
    <w:rsid w:val="000B7519"/>
    <w:rsid w:val="000C1AA7"/>
    <w:rsid w:val="000C227B"/>
    <w:rsid w:val="000C5120"/>
    <w:rsid w:val="000C51ED"/>
    <w:rsid w:val="000C5F3A"/>
    <w:rsid w:val="000D4238"/>
    <w:rsid w:val="000E77E2"/>
    <w:rsid w:val="000E7876"/>
    <w:rsid w:val="000F48D1"/>
    <w:rsid w:val="000F5918"/>
    <w:rsid w:val="000F5E37"/>
    <w:rsid w:val="000F6F8F"/>
    <w:rsid w:val="00100C78"/>
    <w:rsid w:val="00102527"/>
    <w:rsid w:val="001078BB"/>
    <w:rsid w:val="0011047F"/>
    <w:rsid w:val="001149A3"/>
    <w:rsid w:val="00115D53"/>
    <w:rsid w:val="0011653F"/>
    <w:rsid w:val="001266F7"/>
    <w:rsid w:val="00133494"/>
    <w:rsid w:val="00133DCC"/>
    <w:rsid w:val="0014054C"/>
    <w:rsid w:val="00141313"/>
    <w:rsid w:val="00141D5C"/>
    <w:rsid w:val="001433B6"/>
    <w:rsid w:val="00145937"/>
    <w:rsid w:val="00150284"/>
    <w:rsid w:val="00151C9D"/>
    <w:rsid w:val="001537AF"/>
    <w:rsid w:val="001621E7"/>
    <w:rsid w:val="00164594"/>
    <w:rsid w:val="0017112F"/>
    <w:rsid w:val="00171BF9"/>
    <w:rsid w:val="00173082"/>
    <w:rsid w:val="001733E3"/>
    <w:rsid w:val="00173FB0"/>
    <w:rsid w:val="0017495B"/>
    <w:rsid w:val="00174DA6"/>
    <w:rsid w:val="00176633"/>
    <w:rsid w:val="0017774E"/>
    <w:rsid w:val="0018041C"/>
    <w:rsid w:val="0018139D"/>
    <w:rsid w:val="00184BD1"/>
    <w:rsid w:val="00190CA5"/>
    <w:rsid w:val="00190E0A"/>
    <w:rsid w:val="00192FE3"/>
    <w:rsid w:val="00193C3F"/>
    <w:rsid w:val="001A10F1"/>
    <w:rsid w:val="001A6C7E"/>
    <w:rsid w:val="001A7B7F"/>
    <w:rsid w:val="001B1180"/>
    <w:rsid w:val="001B2CCF"/>
    <w:rsid w:val="001B3FA7"/>
    <w:rsid w:val="001B4098"/>
    <w:rsid w:val="001B6340"/>
    <w:rsid w:val="001C0F64"/>
    <w:rsid w:val="001C3579"/>
    <w:rsid w:val="001C4461"/>
    <w:rsid w:val="001C7A9E"/>
    <w:rsid w:val="001D1224"/>
    <w:rsid w:val="001D2799"/>
    <w:rsid w:val="001D5098"/>
    <w:rsid w:val="001E5976"/>
    <w:rsid w:val="001E61CC"/>
    <w:rsid w:val="001F0C90"/>
    <w:rsid w:val="001F1B2D"/>
    <w:rsid w:val="001F290C"/>
    <w:rsid w:val="001F2D87"/>
    <w:rsid w:val="001F3910"/>
    <w:rsid w:val="001F7081"/>
    <w:rsid w:val="001F7B5D"/>
    <w:rsid w:val="00200E93"/>
    <w:rsid w:val="00201347"/>
    <w:rsid w:val="00201EE7"/>
    <w:rsid w:val="002061FC"/>
    <w:rsid w:val="0020673E"/>
    <w:rsid w:val="00210860"/>
    <w:rsid w:val="00211081"/>
    <w:rsid w:val="00216BE3"/>
    <w:rsid w:val="00223483"/>
    <w:rsid w:val="002238B4"/>
    <w:rsid w:val="002242A9"/>
    <w:rsid w:val="00225A92"/>
    <w:rsid w:val="00226EAB"/>
    <w:rsid w:val="00227B72"/>
    <w:rsid w:val="00230140"/>
    <w:rsid w:val="00230950"/>
    <w:rsid w:val="00230C59"/>
    <w:rsid w:val="00234F24"/>
    <w:rsid w:val="0023557C"/>
    <w:rsid w:val="00235750"/>
    <w:rsid w:val="0023673B"/>
    <w:rsid w:val="002368A7"/>
    <w:rsid w:val="0023785E"/>
    <w:rsid w:val="0024485D"/>
    <w:rsid w:val="00247AF1"/>
    <w:rsid w:val="002504DF"/>
    <w:rsid w:val="00250DE1"/>
    <w:rsid w:val="00254205"/>
    <w:rsid w:val="0025479E"/>
    <w:rsid w:val="002550FB"/>
    <w:rsid w:val="002561C8"/>
    <w:rsid w:val="0026070B"/>
    <w:rsid w:val="0026388C"/>
    <w:rsid w:val="00264693"/>
    <w:rsid w:val="0026592E"/>
    <w:rsid w:val="00271393"/>
    <w:rsid w:val="0027233E"/>
    <w:rsid w:val="00273B78"/>
    <w:rsid w:val="00277609"/>
    <w:rsid w:val="0028134C"/>
    <w:rsid w:val="00282EDD"/>
    <w:rsid w:val="00283245"/>
    <w:rsid w:val="002833A3"/>
    <w:rsid w:val="002853E5"/>
    <w:rsid w:val="0028559E"/>
    <w:rsid w:val="00287E0E"/>
    <w:rsid w:val="0029375B"/>
    <w:rsid w:val="002A3AF7"/>
    <w:rsid w:val="002B0447"/>
    <w:rsid w:val="002B2277"/>
    <w:rsid w:val="002B28F2"/>
    <w:rsid w:val="002B588A"/>
    <w:rsid w:val="002B59AB"/>
    <w:rsid w:val="002B5A41"/>
    <w:rsid w:val="002B653D"/>
    <w:rsid w:val="002B7A38"/>
    <w:rsid w:val="002C533D"/>
    <w:rsid w:val="002C7BE6"/>
    <w:rsid w:val="002D31CB"/>
    <w:rsid w:val="002E3EC6"/>
    <w:rsid w:val="002E5491"/>
    <w:rsid w:val="002E7105"/>
    <w:rsid w:val="002E7527"/>
    <w:rsid w:val="002F2DB4"/>
    <w:rsid w:val="002F4692"/>
    <w:rsid w:val="002F695B"/>
    <w:rsid w:val="003022C6"/>
    <w:rsid w:val="003023E1"/>
    <w:rsid w:val="00302582"/>
    <w:rsid w:val="0030760B"/>
    <w:rsid w:val="00314D65"/>
    <w:rsid w:val="0032047E"/>
    <w:rsid w:val="00320B6F"/>
    <w:rsid w:val="003272E6"/>
    <w:rsid w:val="003317E8"/>
    <w:rsid w:val="00334DC3"/>
    <w:rsid w:val="003352CC"/>
    <w:rsid w:val="0034089F"/>
    <w:rsid w:val="00346647"/>
    <w:rsid w:val="00351057"/>
    <w:rsid w:val="00351281"/>
    <w:rsid w:val="00352924"/>
    <w:rsid w:val="00355DF5"/>
    <w:rsid w:val="003622EA"/>
    <w:rsid w:val="00363029"/>
    <w:rsid w:val="0036558A"/>
    <w:rsid w:val="003711FE"/>
    <w:rsid w:val="003750D1"/>
    <w:rsid w:val="003832B3"/>
    <w:rsid w:val="00385300"/>
    <w:rsid w:val="003913E3"/>
    <w:rsid w:val="00397B1B"/>
    <w:rsid w:val="003A29DE"/>
    <w:rsid w:val="003A331F"/>
    <w:rsid w:val="003A54CB"/>
    <w:rsid w:val="003A5C14"/>
    <w:rsid w:val="003A6841"/>
    <w:rsid w:val="003B5078"/>
    <w:rsid w:val="003C3F6A"/>
    <w:rsid w:val="003D2318"/>
    <w:rsid w:val="003D65F7"/>
    <w:rsid w:val="003E3238"/>
    <w:rsid w:val="003E3B7F"/>
    <w:rsid w:val="003E3BD4"/>
    <w:rsid w:val="003E42F5"/>
    <w:rsid w:val="003E4448"/>
    <w:rsid w:val="003E6E6D"/>
    <w:rsid w:val="003F14CD"/>
    <w:rsid w:val="003F5B40"/>
    <w:rsid w:val="00404827"/>
    <w:rsid w:val="0040704F"/>
    <w:rsid w:val="0040768E"/>
    <w:rsid w:val="00407FB1"/>
    <w:rsid w:val="0041029B"/>
    <w:rsid w:val="00411C24"/>
    <w:rsid w:val="00412BE6"/>
    <w:rsid w:val="0041329A"/>
    <w:rsid w:val="00416280"/>
    <w:rsid w:val="00416A6F"/>
    <w:rsid w:val="00420267"/>
    <w:rsid w:val="00424EF4"/>
    <w:rsid w:val="00427930"/>
    <w:rsid w:val="0043207B"/>
    <w:rsid w:val="0043430E"/>
    <w:rsid w:val="00437B4E"/>
    <w:rsid w:val="00443B4D"/>
    <w:rsid w:val="00445F94"/>
    <w:rsid w:val="00447034"/>
    <w:rsid w:val="004479A8"/>
    <w:rsid w:val="00451C3B"/>
    <w:rsid w:val="00453446"/>
    <w:rsid w:val="00454BB2"/>
    <w:rsid w:val="00456A28"/>
    <w:rsid w:val="00464CD1"/>
    <w:rsid w:val="00466389"/>
    <w:rsid w:val="004702BA"/>
    <w:rsid w:val="0047308C"/>
    <w:rsid w:val="004748BF"/>
    <w:rsid w:val="00475634"/>
    <w:rsid w:val="00476DC4"/>
    <w:rsid w:val="00482E65"/>
    <w:rsid w:val="00486E50"/>
    <w:rsid w:val="00491CB0"/>
    <w:rsid w:val="00493950"/>
    <w:rsid w:val="004A0395"/>
    <w:rsid w:val="004A4623"/>
    <w:rsid w:val="004A4C5D"/>
    <w:rsid w:val="004A574E"/>
    <w:rsid w:val="004A6D3A"/>
    <w:rsid w:val="004B16DD"/>
    <w:rsid w:val="004B1A0C"/>
    <w:rsid w:val="004B4F8B"/>
    <w:rsid w:val="004C24C4"/>
    <w:rsid w:val="004C2EEB"/>
    <w:rsid w:val="004C3377"/>
    <w:rsid w:val="004C45D7"/>
    <w:rsid w:val="004C4FC3"/>
    <w:rsid w:val="004C594E"/>
    <w:rsid w:val="004C7F24"/>
    <w:rsid w:val="004D13C6"/>
    <w:rsid w:val="004D2972"/>
    <w:rsid w:val="004D34F5"/>
    <w:rsid w:val="004D4572"/>
    <w:rsid w:val="004D752E"/>
    <w:rsid w:val="004DB8EB"/>
    <w:rsid w:val="004E247C"/>
    <w:rsid w:val="004F129E"/>
    <w:rsid w:val="004F1C74"/>
    <w:rsid w:val="004F29DA"/>
    <w:rsid w:val="004F5881"/>
    <w:rsid w:val="004F7088"/>
    <w:rsid w:val="00500461"/>
    <w:rsid w:val="00500BDB"/>
    <w:rsid w:val="005012E2"/>
    <w:rsid w:val="005019FF"/>
    <w:rsid w:val="00505198"/>
    <w:rsid w:val="005057E0"/>
    <w:rsid w:val="00512577"/>
    <w:rsid w:val="00514348"/>
    <w:rsid w:val="00520954"/>
    <w:rsid w:val="005271F7"/>
    <w:rsid w:val="00531A7A"/>
    <w:rsid w:val="00534C69"/>
    <w:rsid w:val="005363EE"/>
    <w:rsid w:val="00536621"/>
    <w:rsid w:val="00542455"/>
    <w:rsid w:val="00543FC7"/>
    <w:rsid w:val="00544C47"/>
    <w:rsid w:val="00545999"/>
    <w:rsid w:val="00560E18"/>
    <w:rsid w:val="005641B3"/>
    <w:rsid w:val="00564BCB"/>
    <w:rsid w:val="00564C8A"/>
    <w:rsid w:val="00564CAF"/>
    <w:rsid w:val="00564D9D"/>
    <w:rsid w:val="0056713B"/>
    <w:rsid w:val="0057279B"/>
    <w:rsid w:val="00576E3A"/>
    <w:rsid w:val="005778DA"/>
    <w:rsid w:val="005778F6"/>
    <w:rsid w:val="00581B81"/>
    <w:rsid w:val="00582169"/>
    <w:rsid w:val="005825DE"/>
    <w:rsid w:val="00582955"/>
    <w:rsid w:val="0058329D"/>
    <w:rsid w:val="005873DE"/>
    <w:rsid w:val="0058782F"/>
    <w:rsid w:val="005879A8"/>
    <w:rsid w:val="0059060F"/>
    <w:rsid w:val="00591329"/>
    <w:rsid w:val="00593A32"/>
    <w:rsid w:val="005A30AD"/>
    <w:rsid w:val="005B6047"/>
    <w:rsid w:val="005B60D7"/>
    <w:rsid w:val="005C0884"/>
    <w:rsid w:val="005C1FD3"/>
    <w:rsid w:val="005C3852"/>
    <w:rsid w:val="005C6B3F"/>
    <w:rsid w:val="005D34F3"/>
    <w:rsid w:val="005D7B17"/>
    <w:rsid w:val="005E1031"/>
    <w:rsid w:val="005E11CC"/>
    <w:rsid w:val="005E11F4"/>
    <w:rsid w:val="005E3D30"/>
    <w:rsid w:val="005E7653"/>
    <w:rsid w:val="005E7BED"/>
    <w:rsid w:val="005E7F13"/>
    <w:rsid w:val="005F3621"/>
    <w:rsid w:val="005F455B"/>
    <w:rsid w:val="005F6329"/>
    <w:rsid w:val="00601630"/>
    <w:rsid w:val="00602837"/>
    <w:rsid w:val="00603447"/>
    <w:rsid w:val="0060482B"/>
    <w:rsid w:val="00606701"/>
    <w:rsid w:val="00610E82"/>
    <w:rsid w:val="006134AC"/>
    <w:rsid w:val="006167EA"/>
    <w:rsid w:val="00622078"/>
    <w:rsid w:val="00623098"/>
    <w:rsid w:val="006243FD"/>
    <w:rsid w:val="006248A9"/>
    <w:rsid w:val="00624CE6"/>
    <w:rsid w:val="006256CF"/>
    <w:rsid w:val="00634071"/>
    <w:rsid w:val="00634397"/>
    <w:rsid w:val="00635106"/>
    <w:rsid w:val="006425B1"/>
    <w:rsid w:val="006433B2"/>
    <w:rsid w:val="00643F9A"/>
    <w:rsid w:val="0064721F"/>
    <w:rsid w:val="006475BC"/>
    <w:rsid w:val="00654678"/>
    <w:rsid w:val="00654E67"/>
    <w:rsid w:val="00655CAD"/>
    <w:rsid w:val="006601DC"/>
    <w:rsid w:val="0066215C"/>
    <w:rsid w:val="006701D9"/>
    <w:rsid w:val="00675727"/>
    <w:rsid w:val="006758DF"/>
    <w:rsid w:val="00675BEE"/>
    <w:rsid w:val="0067727B"/>
    <w:rsid w:val="00681E2C"/>
    <w:rsid w:val="00683A3A"/>
    <w:rsid w:val="006865FF"/>
    <w:rsid w:val="006938A4"/>
    <w:rsid w:val="0069692C"/>
    <w:rsid w:val="006A0D04"/>
    <w:rsid w:val="006A4284"/>
    <w:rsid w:val="006A4D40"/>
    <w:rsid w:val="006A5346"/>
    <w:rsid w:val="006A6299"/>
    <w:rsid w:val="006B612C"/>
    <w:rsid w:val="006B68F5"/>
    <w:rsid w:val="006C1946"/>
    <w:rsid w:val="006C247E"/>
    <w:rsid w:val="006C5BF3"/>
    <w:rsid w:val="006C669E"/>
    <w:rsid w:val="006C7801"/>
    <w:rsid w:val="006D19CF"/>
    <w:rsid w:val="006D2CDA"/>
    <w:rsid w:val="006D3D5F"/>
    <w:rsid w:val="006D3DFB"/>
    <w:rsid w:val="006D5CA0"/>
    <w:rsid w:val="006D718B"/>
    <w:rsid w:val="006E16F7"/>
    <w:rsid w:val="006E325A"/>
    <w:rsid w:val="006E6AAC"/>
    <w:rsid w:val="006E6D4A"/>
    <w:rsid w:val="006E7A85"/>
    <w:rsid w:val="006F7F9A"/>
    <w:rsid w:val="007010AB"/>
    <w:rsid w:val="00701287"/>
    <w:rsid w:val="00705111"/>
    <w:rsid w:val="007058A0"/>
    <w:rsid w:val="007131CE"/>
    <w:rsid w:val="00714D2F"/>
    <w:rsid w:val="0071628F"/>
    <w:rsid w:val="007229D1"/>
    <w:rsid w:val="007232AA"/>
    <w:rsid w:val="00723F13"/>
    <w:rsid w:val="007269DE"/>
    <w:rsid w:val="007316A2"/>
    <w:rsid w:val="00731E16"/>
    <w:rsid w:val="007322F8"/>
    <w:rsid w:val="0073399E"/>
    <w:rsid w:val="007339F1"/>
    <w:rsid w:val="00736B80"/>
    <w:rsid w:val="00742E48"/>
    <w:rsid w:val="00746DB1"/>
    <w:rsid w:val="00746DE4"/>
    <w:rsid w:val="007550F5"/>
    <w:rsid w:val="00757CCB"/>
    <w:rsid w:val="0076004C"/>
    <w:rsid w:val="00761F2A"/>
    <w:rsid w:val="007629D6"/>
    <w:rsid w:val="00762F1C"/>
    <w:rsid w:val="00764147"/>
    <w:rsid w:val="00764546"/>
    <w:rsid w:val="00766A72"/>
    <w:rsid w:val="0077158C"/>
    <w:rsid w:val="00776B9A"/>
    <w:rsid w:val="0079016F"/>
    <w:rsid w:val="007903B7"/>
    <w:rsid w:val="00793122"/>
    <w:rsid w:val="00793E8E"/>
    <w:rsid w:val="00794A3A"/>
    <w:rsid w:val="00797FD9"/>
    <w:rsid w:val="007A15B3"/>
    <w:rsid w:val="007A3051"/>
    <w:rsid w:val="007A4E6D"/>
    <w:rsid w:val="007A4FBB"/>
    <w:rsid w:val="007A58D9"/>
    <w:rsid w:val="007B06DC"/>
    <w:rsid w:val="007B1C07"/>
    <w:rsid w:val="007B3320"/>
    <w:rsid w:val="007B461C"/>
    <w:rsid w:val="007B60F5"/>
    <w:rsid w:val="007C0761"/>
    <w:rsid w:val="007C0C8C"/>
    <w:rsid w:val="007C253D"/>
    <w:rsid w:val="007C34E1"/>
    <w:rsid w:val="007C68C8"/>
    <w:rsid w:val="007C78B6"/>
    <w:rsid w:val="007D0F20"/>
    <w:rsid w:val="007D2401"/>
    <w:rsid w:val="007D3570"/>
    <w:rsid w:val="007D35EA"/>
    <w:rsid w:val="007D4C48"/>
    <w:rsid w:val="007D5887"/>
    <w:rsid w:val="007E498B"/>
    <w:rsid w:val="007E726F"/>
    <w:rsid w:val="007E78D2"/>
    <w:rsid w:val="007E7A68"/>
    <w:rsid w:val="007F0681"/>
    <w:rsid w:val="007F0B56"/>
    <w:rsid w:val="007F0C91"/>
    <w:rsid w:val="007F5571"/>
    <w:rsid w:val="008029B1"/>
    <w:rsid w:val="00804DE6"/>
    <w:rsid w:val="008052D3"/>
    <w:rsid w:val="008059C8"/>
    <w:rsid w:val="008115B8"/>
    <w:rsid w:val="00812277"/>
    <w:rsid w:val="008205AD"/>
    <w:rsid w:val="008208E9"/>
    <w:rsid w:val="008226ED"/>
    <w:rsid w:val="008274E7"/>
    <w:rsid w:val="008323DB"/>
    <w:rsid w:val="00832DE4"/>
    <w:rsid w:val="0083377A"/>
    <w:rsid w:val="008407BF"/>
    <w:rsid w:val="0084268E"/>
    <w:rsid w:val="00842EF6"/>
    <w:rsid w:val="00844791"/>
    <w:rsid w:val="00844980"/>
    <w:rsid w:val="00844BC2"/>
    <w:rsid w:val="00852C4B"/>
    <w:rsid w:val="008540DC"/>
    <w:rsid w:val="00855F8E"/>
    <w:rsid w:val="00856E49"/>
    <w:rsid w:val="008570E9"/>
    <w:rsid w:val="00861611"/>
    <w:rsid w:val="00863F8E"/>
    <w:rsid w:val="00866F8B"/>
    <w:rsid w:val="0087039C"/>
    <w:rsid w:val="00870EEF"/>
    <w:rsid w:val="00876687"/>
    <w:rsid w:val="008772D8"/>
    <w:rsid w:val="00877380"/>
    <w:rsid w:val="008804AD"/>
    <w:rsid w:val="0088139C"/>
    <w:rsid w:val="008817A8"/>
    <w:rsid w:val="00884049"/>
    <w:rsid w:val="0088761C"/>
    <w:rsid w:val="00887F1E"/>
    <w:rsid w:val="008911D4"/>
    <w:rsid w:val="00891727"/>
    <w:rsid w:val="008959DD"/>
    <w:rsid w:val="008966C9"/>
    <w:rsid w:val="0089754F"/>
    <w:rsid w:val="008978C3"/>
    <w:rsid w:val="008A3E71"/>
    <w:rsid w:val="008A7C53"/>
    <w:rsid w:val="008B141A"/>
    <w:rsid w:val="008B1B6F"/>
    <w:rsid w:val="008B1DA6"/>
    <w:rsid w:val="008B4385"/>
    <w:rsid w:val="008B4FC6"/>
    <w:rsid w:val="008C16B7"/>
    <w:rsid w:val="008C174A"/>
    <w:rsid w:val="008C59B5"/>
    <w:rsid w:val="008C7F37"/>
    <w:rsid w:val="008D20E3"/>
    <w:rsid w:val="008D2119"/>
    <w:rsid w:val="008D2B33"/>
    <w:rsid w:val="008D312A"/>
    <w:rsid w:val="008D4AE1"/>
    <w:rsid w:val="008D4C9A"/>
    <w:rsid w:val="008D5B43"/>
    <w:rsid w:val="008E2C2E"/>
    <w:rsid w:val="008E2F79"/>
    <w:rsid w:val="008E3DCB"/>
    <w:rsid w:val="008E68D4"/>
    <w:rsid w:val="008E7E11"/>
    <w:rsid w:val="008F06BE"/>
    <w:rsid w:val="008F1E9C"/>
    <w:rsid w:val="008F4B3D"/>
    <w:rsid w:val="008F6203"/>
    <w:rsid w:val="00905F71"/>
    <w:rsid w:val="009064B0"/>
    <w:rsid w:val="0090750A"/>
    <w:rsid w:val="00910D2F"/>
    <w:rsid w:val="009154FC"/>
    <w:rsid w:val="009247C9"/>
    <w:rsid w:val="00926B14"/>
    <w:rsid w:val="00926DAE"/>
    <w:rsid w:val="00927729"/>
    <w:rsid w:val="00932E4D"/>
    <w:rsid w:val="00933C0C"/>
    <w:rsid w:val="00934376"/>
    <w:rsid w:val="00935DBD"/>
    <w:rsid w:val="0094082C"/>
    <w:rsid w:val="00940840"/>
    <w:rsid w:val="00940D75"/>
    <w:rsid w:val="00940F80"/>
    <w:rsid w:val="00943737"/>
    <w:rsid w:val="00944CA6"/>
    <w:rsid w:val="00950DEB"/>
    <w:rsid w:val="00951ED3"/>
    <w:rsid w:val="00955F60"/>
    <w:rsid w:val="009566E7"/>
    <w:rsid w:val="00956A2C"/>
    <w:rsid w:val="0095729F"/>
    <w:rsid w:val="009607D8"/>
    <w:rsid w:val="00960C3E"/>
    <w:rsid w:val="00963348"/>
    <w:rsid w:val="00970CED"/>
    <w:rsid w:val="00981F0A"/>
    <w:rsid w:val="00982F24"/>
    <w:rsid w:val="0098636B"/>
    <w:rsid w:val="0098672B"/>
    <w:rsid w:val="009912FB"/>
    <w:rsid w:val="00991BC7"/>
    <w:rsid w:val="00991EF6"/>
    <w:rsid w:val="009A0B34"/>
    <w:rsid w:val="009A4323"/>
    <w:rsid w:val="009B2B26"/>
    <w:rsid w:val="009C05CC"/>
    <w:rsid w:val="009C150A"/>
    <w:rsid w:val="009C1FE6"/>
    <w:rsid w:val="009C32DF"/>
    <w:rsid w:val="009C4D2C"/>
    <w:rsid w:val="009C7316"/>
    <w:rsid w:val="009C7B1A"/>
    <w:rsid w:val="009D3D4A"/>
    <w:rsid w:val="009D5599"/>
    <w:rsid w:val="009D7567"/>
    <w:rsid w:val="009E5CA8"/>
    <w:rsid w:val="009E7742"/>
    <w:rsid w:val="009F2F16"/>
    <w:rsid w:val="009F36B6"/>
    <w:rsid w:val="009F4506"/>
    <w:rsid w:val="009F5358"/>
    <w:rsid w:val="009F6CBB"/>
    <w:rsid w:val="00A00509"/>
    <w:rsid w:val="00A00D6D"/>
    <w:rsid w:val="00A05D37"/>
    <w:rsid w:val="00A13C71"/>
    <w:rsid w:val="00A151EB"/>
    <w:rsid w:val="00A16121"/>
    <w:rsid w:val="00A21793"/>
    <w:rsid w:val="00A23E08"/>
    <w:rsid w:val="00A258C8"/>
    <w:rsid w:val="00A270AD"/>
    <w:rsid w:val="00A275E5"/>
    <w:rsid w:val="00A30ED7"/>
    <w:rsid w:val="00A312A6"/>
    <w:rsid w:val="00A3161F"/>
    <w:rsid w:val="00A34B8A"/>
    <w:rsid w:val="00A37649"/>
    <w:rsid w:val="00A3784C"/>
    <w:rsid w:val="00A4009E"/>
    <w:rsid w:val="00A42944"/>
    <w:rsid w:val="00A42C53"/>
    <w:rsid w:val="00A44760"/>
    <w:rsid w:val="00A5264D"/>
    <w:rsid w:val="00A52A5A"/>
    <w:rsid w:val="00A53AE1"/>
    <w:rsid w:val="00A66F0C"/>
    <w:rsid w:val="00A6752B"/>
    <w:rsid w:val="00A70087"/>
    <w:rsid w:val="00A71C14"/>
    <w:rsid w:val="00A72F3F"/>
    <w:rsid w:val="00A73687"/>
    <w:rsid w:val="00A7385E"/>
    <w:rsid w:val="00A74384"/>
    <w:rsid w:val="00A75418"/>
    <w:rsid w:val="00A80A43"/>
    <w:rsid w:val="00A813B3"/>
    <w:rsid w:val="00A8282C"/>
    <w:rsid w:val="00A8300D"/>
    <w:rsid w:val="00A83012"/>
    <w:rsid w:val="00A862D4"/>
    <w:rsid w:val="00A8791D"/>
    <w:rsid w:val="00A92F5C"/>
    <w:rsid w:val="00A94D27"/>
    <w:rsid w:val="00A95A11"/>
    <w:rsid w:val="00A977C1"/>
    <w:rsid w:val="00AA05BB"/>
    <w:rsid w:val="00AA7F4F"/>
    <w:rsid w:val="00AB3420"/>
    <w:rsid w:val="00AB53CC"/>
    <w:rsid w:val="00AB5459"/>
    <w:rsid w:val="00AC0D51"/>
    <w:rsid w:val="00AC491F"/>
    <w:rsid w:val="00AC5414"/>
    <w:rsid w:val="00AC69FB"/>
    <w:rsid w:val="00AD05B9"/>
    <w:rsid w:val="00AD1CEA"/>
    <w:rsid w:val="00AD4929"/>
    <w:rsid w:val="00AD6949"/>
    <w:rsid w:val="00AE080C"/>
    <w:rsid w:val="00AE56C0"/>
    <w:rsid w:val="00AE644D"/>
    <w:rsid w:val="00AF535F"/>
    <w:rsid w:val="00AF6EEB"/>
    <w:rsid w:val="00B00EFF"/>
    <w:rsid w:val="00B10203"/>
    <w:rsid w:val="00B13A42"/>
    <w:rsid w:val="00B1536D"/>
    <w:rsid w:val="00B158D1"/>
    <w:rsid w:val="00B20ADB"/>
    <w:rsid w:val="00B271F0"/>
    <w:rsid w:val="00B32F2F"/>
    <w:rsid w:val="00B341F8"/>
    <w:rsid w:val="00B3622D"/>
    <w:rsid w:val="00B41F37"/>
    <w:rsid w:val="00B41F94"/>
    <w:rsid w:val="00B448FC"/>
    <w:rsid w:val="00B511CB"/>
    <w:rsid w:val="00B51210"/>
    <w:rsid w:val="00B53388"/>
    <w:rsid w:val="00B53F90"/>
    <w:rsid w:val="00B571A7"/>
    <w:rsid w:val="00B612C0"/>
    <w:rsid w:val="00B619B7"/>
    <w:rsid w:val="00B61ABA"/>
    <w:rsid w:val="00B623EA"/>
    <w:rsid w:val="00B7278D"/>
    <w:rsid w:val="00B7494C"/>
    <w:rsid w:val="00B84866"/>
    <w:rsid w:val="00B941C7"/>
    <w:rsid w:val="00BA178B"/>
    <w:rsid w:val="00BA48ED"/>
    <w:rsid w:val="00BA5F9C"/>
    <w:rsid w:val="00BC157C"/>
    <w:rsid w:val="00BC2703"/>
    <w:rsid w:val="00BC2BDF"/>
    <w:rsid w:val="00BC522C"/>
    <w:rsid w:val="00BD3E61"/>
    <w:rsid w:val="00BD416C"/>
    <w:rsid w:val="00BE0514"/>
    <w:rsid w:val="00BE73A5"/>
    <w:rsid w:val="00BF017A"/>
    <w:rsid w:val="00BF0E47"/>
    <w:rsid w:val="00BF3783"/>
    <w:rsid w:val="00BF458A"/>
    <w:rsid w:val="00BF7EDB"/>
    <w:rsid w:val="00C032BD"/>
    <w:rsid w:val="00C042DE"/>
    <w:rsid w:val="00C070F0"/>
    <w:rsid w:val="00C13E1B"/>
    <w:rsid w:val="00C14580"/>
    <w:rsid w:val="00C1663A"/>
    <w:rsid w:val="00C16A9B"/>
    <w:rsid w:val="00C17583"/>
    <w:rsid w:val="00C2020E"/>
    <w:rsid w:val="00C22A78"/>
    <w:rsid w:val="00C24A03"/>
    <w:rsid w:val="00C25C23"/>
    <w:rsid w:val="00C26DA6"/>
    <w:rsid w:val="00C27AC6"/>
    <w:rsid w:val="00C309D2"/>
    <w:rsid w:val="00C32BC9"/>
    <w:rsid w:val="00C35EBE"/>
    <w:rsid w:val="00C36887"/>
    <w:rsid w:val="00C41099"/>
    <w:rsid w:val="00C4582F"/>
    <w:rsid w:val="00C45BD2"/>
    <w:rsid w:val="00C471F3"/>
    <w:rsid w:val="00C53C80"/>
    <w:rsid w:val="00C543B8"/>
    <w:rsid w:val="00C55279"/>
    <w:rsid w:val="00C57374"/>
    <w:rsid w:val="00C57915"/>
    <w:rsid w:val="00C626D0"/>
    <w:rsid w:val="00C63A41"/>
    <w:rsid w:val="00C66A90"/>
    <w:rsid w:val="00C70F0E"/>
    <w:rsid w:val="00C750FE"/>
    <w:rsid w:val="00C82454"/>
    <w:rsid w:val="00C84503"/>
    <w:rsid w:val="00C86BFF"/>
    <w:rsid w:val="00C90385"/>
    <w:rsid w:val="00C91204"/>
    <w:rsid w:val="00C9784F"/>
    <w:rsid w:val="00CA1CF0"/>
    <w:rsid w:val="00CA6183"/>
    <w:rsid w:val="00CB2438"/>
    <w:rsid w:val="00CB389E"/>
    <w:rsid w:val="00CB55B6"/>
    <w:rsid w:val="00CB79AE"/>
    <w:rsid w:val="00CC3A43"/>
    <w:rsid w:val="00CC6E70"/>
    <w:rsid w:val="00CD42F7"/>
    <w:rsid w:val="00CD6330"/>
    <w:rsid w:val="00CD66B3"/>
    <w:rsid w:val="00CE0472"/>
    <w:rsid w:val="00CE2E2D"/>
    <w:rsid w:val="00CE65AC"/>
    <w:rsid w:val="00CE6733"/>
    <w:rsid w:val="00CF6C77"/>
    <w:rsid w:val="00CF714B"/>
    <w:rsid w:val="00CF74BB"/>
    <w:rsid w:val="00D02C36"/>
    <w:rsid w:val="00D0434A"/>
    <w:rsid w:val="00D07C69"/>
    <w:rsid w:val="00D11500"/>
    <w:rsid w:val="00D12592"/>
    <w:rsid w:val="00D15FC6"/>
    <w:rsid w:val="00D169DE"/>
    <w:rsid w:val="00D16B76"/>
    <w:rsid w:val="00D243DF"/>
    <w:rsid w:val="00D275CA"/>
    <w:rsid w:val="00D27950"/>
    <w:rsid w:val="00D314EA"/>
    <w:rsid w:val="00D34E72"/>
    <w:rsid w:val="00D3701F"/>
    <w:rsid w:val="00D40C8C"/>
    <w:rsid w:val="00D418A0"/>
    <w:rsid w:val="00D41C29"/>
    <w:rsid w:val="00D44464"/>
    <w:rsid w:val="00D4752A"/>
    <w:rsid w:val="00D50BF3"/>
    <w:rsid w:val="00D55152"/>
    <w:rsid w:val="00D60CC7"/>
    <w:rsid w:val="00D65B02"/>
    <w:rsid w:val="00D71A24"/>
    <w:rsid w:val="00D71DB9"/>
    <w:rsid w:val="00D74434"/>
    <w:rsid w:val="00D75C18"/>
    <w:rsid w:val="00D847AA"/>
    <w:rsid w:val="00D8793E"/>
    <w:rsid w:val="00D90974"/>
    <w:rsid w:val="00D91023"/>
    <w:rsid w:val="00D91347"/>
    <w:rsid w:val="00D9359D"/>
    <w:rsid w:val="00D93D16"/>
    <w:rsid w:val="00D96904"/>
    <w:rsid w:val="00DA0E4D"/>
    <w:rsid w:val="00DA0F26"/>
    <w:rsid w:val="00DA113B"/>
    <w:rsid w:val="00DA3D9E"/>
    <w:rsid w:val="00DA4129"/>
    <w:rsid w:val="00DB0EDD"/>
    <w:rsid w:val="00DB15F5"/>
    <w:rsid w:val="00DB52C2"/>
    <w:rsid w:val="00DB5E18"/>
    <w:rsid w:val="00DB7FDB"/>
    <w:rsid w:val="00DC1DBB"/>
    <w:rsid w:val="00DC222A"/>
    <w:rsid w:val="00DC42B0"/>
    <w:rsid w:val="00DD5B1E"/>
    <w:rsid w:val="00DD6A64"/>
    <w:rsid w:val="00DD7125"/>
    <w:rsid w:val="00DE063E"/>
    <w:rsid w:val="00DE15AC"/>
    <w:rsid w:val="00DF2B32"/>
    <w:rsid w:val="00DF446F"/>
    <w:rsid w:val="00DF5169"/>
    <w:rsid w:val="00DF634F"/>
    <w:rsid w:val="00E04E20"/>
    <w:rsid w:val="00E04E4D"/>
    <w:rsid w:val="00E06D21"/>
    <w:rsid w:val="00E11F86"/>
    <w:rsid w:val="00E127E6"/>
    <w:rsid w:val="00E15749"/>
    <w:rsid w:val="00E168C4"/>
    <w:rsid w:val="00E22018"/>
    <w:rsid w:val="00E23A4A"/>
    <w:rsid w:val="00E25C27"/>
    <w:rsid w:val="00E261FC"/>
    <w:rsid w:val="00E3248F"/>
    <w:rsid w:val="00E37772"/>
    <w:rsid w:val="00E405E3"/>
    <w:rsid w:val="00E470A0"/>
    <w:rsid w:val="00E533E9"/>
    <w:rsid w:val="00E5388A"/>
    <w:rsid w:val="00E5432E"/>
    <w:rsid w:val="00E56697"/>
    <w:rsid w:val="00E61AE3"/>
    <w:rsid w:val="00E64F68"/>
    <w:rsid w:val="00E66502"/>
    <w:rsid w:val="00E66DA0"/>
    <w:rsid w:val="00E67E6F"/>
    <w:rsid w:val="00E70413"/>
    <w:rsid w:val="00E715C3"/>
    <w:rsid w:val="00E72594"/>
    <w:rsid w:val="00E74738"/>
    <w:rsid w:val="00E8505A"/>
    <w:rsid w:val="00E929CA"/>
    <w:rsid w:val="00E9324F"/>
    <w:rsid w:val="00E94A1E"/>
    <w:rsid w:val="00E96000"/>
    <w:rsid w:val="00E963C7"/>
    <w:rsid w:val="00E96561"/>
    <w:rsid w:val="00E97A3A"/>
    <w:rsid w:val="00EA0962"/>
    <w:rsid w:val="00EA711E"/>
    <w:rsid w:val="00EB01E8"/>
    <w:rsid w:val="00EB1DE6"/>
    <w:rsid w:val="00EB4199"/>
    <w:rsid w:val="00EC0113"/>
    <w:rsid w:val="00ED12F6"/>
    <w:rsid w:val="00ED1C70"/>
    <w:rsid w:val="00EE051C"/>
    <w:rsid w:val="00EE1B45"/>
    <w:rsid w:val="00EE4E00"/>
    <w:rsid w:val="00EF6CB8"/>
    <w:rsid w:val="00EF7D45"/>
    <w:rsid w:val="00F001EF"/>
    <w:rsid w:val="00F021B5"/>
    <w:rsid w:val="00F027E0"/>
    <w:rsid w:val="00F05D0A"/>
    <w:rsid w:val="00F1587E"/>
    <w:rsid w:val="00F16CE3"/>
    <w:rsid w:val="00F23809"/>
    <w:rsid w:val="00F244F3"/>
    <w:rsid w:val="00F256F4"/>
    <w:rsid w:val="00F26BB6"/>
    <w:rsid w:val="00F30CBE"/>
    <w:rsid w:val="00F32A96"/>
    <w:rsid w:val="00F3332F"/>
    <w:rsid w:val="00F34957"/>
    <w:rsid w:val="00F36C53"/>
    <w:rsid w:val="00F400D6"/>
    <w:rsid w:val="00F44CAF"/>
    <w:rsid w:val="00F4732B"/>
    <w:rsid w:val="00F50185"/>
    <w:rsid w:val="00F51087"/>
    <w:rsid w:val="00F53AB6"/>
    <w:rsid w:val="00F541B7"/>
    <w:rsid w:val="00F5727F"/>
    <w:rsid w:val="00F61192"/>
    <w:rsid w:val="00F61F79"/>
    <w:rsid w:val="00F62FE0"/>
    <w:rsid w:val="00F63D19"/>
    <w:rsid w:val="00F651F8"/>
    <w:rsid w:val="00F67CB6"/>
    <w:rsid w:val="00F7228A"/>
    <w:rsid w:val="00F72302"/>
    <w:rsid w:val="00F76D96"/>
    <w:rsid w:val="00F82D51"/>
    <w:rsid w:val="00F8650D"/>
    <w:rsid w:val="00F93BE8"/>
    <w:rsid w:val="00F96708"/>
    <w:rsid w:val="00FA0A13"/>
    <w:rsid w:val="00FA10AD"/>
    <w:rsid w:val="00FA3E4C"/>
    <w:rsid w:val="00FA4477"/>
    <w:rsid w:val="00FA48EB"/>
    <w:rsid w:val="00FA5B8C"/>
    <w:rsid w:val="00FB29E0"/>
    <w:rsid w:val="00FB3368"/>
    <w:rsid w:val="00FB3B3C"/>
    <w:rsid w:val="00FC042E"/>
    <w:rsid w:val="00FC351A"/>
    <w:rsid w:val="00FC4806"/>
    <w:rsid w:val="00FC5CE6"/>
    <w:rsid w:val="00FC74CA"/>
    <w:rsid w:val="00FD208C"/>
    <w:rsid w:val="00FD372A"/>
    <w:rsid w:val="00FD3752"/>
    <w:rsid w:val="00FD7A68"/>
    <w:rsid w:val="00FE0449"/>
    <w:rsid w:val="00FE1292"/>
    <w:rsid w:val="00FF3137"/>
    <w:rsid w:val="00FF5311"/>
    <w:rsid w:val="0163DB7B"/>
    <w:rsid w:val="02D74524"/>
    <w:rsid w:val="0329CEDF"/>
    <w:rsid w:val="037A6580"/>
    <w:rsid w:val="03E5C35A"/>
    <w:rsid w:val="03F96112"/>
    <w:rsid w:val="04338360"/>
    <w:rsid w:val="0448FCF9"/>
    <w:rsid w:val="0483164C"/>
    <w:rsid w:val="05443304"/>
    <w:rsid w:val="056E6626"/>
    <w:rsid w:val="0686AC42"/>
    <w:rsid w:val="07845B57"/>
    <w:rsid w:val="080E0EEE"/>
    <w:rsid w:val="08B4D435"/>
    <w:rsid w:val="092DE852"/>
    <w:rsid w:val="0989C915"/>
    <w:rsid w:val="0A552D59"/>
    <w:rsid w:val="0A7EA1EA"/>
    <w:rsid w:val="0C814B11"/>
    <w:rsid w:val="0C9C9954"/>
    <w:rsid w:val="0D38A86B"/>
    <w:rsid w:val="0D5D911B"/>
    <w:rsid w:val="0D91EF0E"/>
    <w:rsid w:val="0DEF615D"/>
    <w:rsid w:val="0ED8D2F3"/>
    <w:rsid w:val="0F0C324C"/>
    <w:rsid w:val="0FECCC18"/>
    <w:rsid w:val="1053922A"/>
    <w:rsid w:val="107482E0"/>
    <w:rsid w:val="10AC4C86"/>
    <w:rsid w:val="11A9EB23"/>
    <w:rsid w:val="11EECC33"/>
    <w:rsid w:val="12391279"/>
    <w:rsid w:val="1243AD56"/>
    <w:rsid w:val="126F77F4"/>
    <w:rsid w:val="13AFB013"/>
    <w:rsid w:val="13B06419"/>
    <w:rsid w:val="14087C8A"/>
    <w:rsid w:val="14A07681"/>
    <w:rsid w:val="151EC509"/>
    <w:rsid w:val="15ACB10A"/>
    <w:rsid w:val="161E64A5"/>
    <w:rsid w:val="16889D38"/>
    <w:rsid w:val="16BC91C4"/>
    <w:rsid w:val="16EAEDC4"/>
    <w:rsid w:val="1730E692"/>
    <w:rsid w:val="173FE7B5"/>
    <w:rsid w:val="17420074"/>
    <w:rsid w:val="18246B3F"/>
    <w:rsid w:val="1A804D4B"/>
    <w:rsid w:val="1B9FA445"/>
    <w:rsid w:val="1BA33B72"/>
    <w:rsid w:val="1C72DCC7"/>
    <w:rsid w:val="1CD326E2"/>
    <w:rsid w:val="1E2B4810"/>
    <w:rsid w:val="1E68735E"/>
    <w:rsid w:val="1EABCE1C"/>
    <w:rsid w:val="1EC1E147"/>
    <w:rsid w:val="1EDBAFBA"/>
    <w:rsid w:val="1EE9C867"/>
    <w:rsid w:val="1F57EB87"/>
    <w:rsid w:val="1F7326E2"/>
    <w:rsid w:val="1F88186D"/>
    <w:rsid w:val="1F9F9061"/>
    <w:rsid w:val="1FF226A3"/>
    <w:rsid w:val="1FF912C6"/>
    <w:rsid w:val="20B21955"/>
    <w:rsid w:val="20E1E5BB"/>
    <w:rsid w:val="21194470"/>
    <w:rsid w:val="225F9F68"/>
    <w:rsid w:val="232B9F99"/>
    <w:rsid w:val="23D8FD8E"/>
    <w:rsid w:val="23F17762"/>
    <w:rsid w:val="2411D0E0"/>
    <w:rsid w:val="2428C058"/>
    <w:rsid w:val="2477FAEB"/>
    <w:rsid w:val="2487819F"/>
    <w:rsid w:val="24CD3918"/>
    <w:rsid w:val="25419078"/>
    <w:rsid w:val="254FEF52"/>
    <w:rsid w:val="27015257"/>
    <w:rsid w:val="27491CB9"/>
    <w:rsid w:val="28A3CEF7"/>
    <w:rsid w:val="28B103AD"/>
    <w:rsid w:val="2908D133"/>
    <w:rsid w:val="29E05A6E"/>
    <w:rsid w:val="29ECF453"/>
    <w:rsid w:val="2A8503DD"/>
    <w:rsid w:val="2A8DBE2E"/>
    <w:rsid w:val="2AC08986"/>
    <w:rsid w:val="2AD874FA"/>
    <w:rsid w:val="2B906724"/>
    <w:rsid w:val="2D3AA5EB"/>
    <w:rsid w:val="2D73201F"/>
    <w:rsid w:val="2F43B700"/>
    <w:rsid w:val="2F8EA841"/>
    <w:rsid w:val="2FB9A55B"/>
    <w:rsid w:val="2FC893B4"/>
    <w:rsid w:val="3020575F"/>
    <w:rsid w:val="30632A44"/>
    <w:rsid w:val="30AA3071"/>
    <w:rsid w:val="30E0DA91"/>
    <w:rsid w:val="3171C53E"/>
    <w:rsid w:val="328775F3"/>
    <w:rsid w:val="33021485"/>
    <w:rsid w:val="330F4705"/>
    <w:rsid w:val="337B2A98"/>
    <w:rsid w:val="33E83A23"/>
    <w:rsid w:val="340B69D5"/>
    <w:rsid w:val="345DCAC8"/>
    <w:rsid w:val="34FB8E91"/>
    <w:rsid w:val="350CB227"/>
    <w:rsid w:val="352806F0"/>
    <w:rsid w:val="354D1D12"/>
    <w:rsid w:val="3579D06B"/>
    <w:rsid w:val="3581E1C8"/>
    <w:rsid w:val="35A88F9B"/>
    <w:rsid w:val="35ACC7F0"/>
    <w:rsid w:val="3606C129"/>
    <w:rsid w:val="3625B2D3"/>
    <w:rsid w:val="366B5A64"/>
    <w:rsid w:val="367FC3C8"/>
    <w:rsid w:val="370539ED"/>
    <w:rsid w:val="377D43C6"/>
    <w:rsid w:val="377EFA7E"/>
    <w:rsid w:val="37A50E2E"/>
    <w:rsid w:val="37B7FFCC"/>
    <w:rsid w:val="37C6B0BB"/>
    <w:rsid w:val="37EE9C17"/>
    <w:rsid w:val="37F9E6E9"/>
    <w:rsid w:val="383B131A"/>
    <w:rsid w:val="394E961A"/>
    <w:rsid w:val="399B14F4"/>
    <w:rsid w:val="3A327261"/>
    <w:rsid w:val="3A46093A"/>
    <w:rsid w:val="3ADBB685"/>
    <w:rsid w:val="3B1A658D"/>
    <w:rsid w:val="3B58A419"/>
    <w:rsid w:val="3C74AA52"/>
    <w:rsid w:val="3DDE8F19"/>
    <w:rsid w:val="3EDA5BFF"/>
    <w:rsid w:val="3F16B933"/>
    <w:rsid w:val="3FD25931"/>
    <w:rsid w:val="3FDCB8A7"/>
    <w:rsid w:val="3FFA5917"/>
    <w:rsid w:val="402A0D4B"/>
    <w:rsid w:val="402B6A85"/>
    <w:rsid w:val="40CEDA0E"/>
    <w:rsid w:val="40D2F700"/>
    <w:rsid w:val="40E2A463"/>
    <w:rsid w:val="41D5005F"/>
    <w:rsid w:val="41EA85A5"/>
    <w:rsid w:val="42176237"/>
    <w:rsid w:val="42B3E9CA"/>
    <w:rsid w:val="42CA87AD"/>
    <w:rsid w:val="433122FB"/>
    <w:rsid w:val="4388B5C3"/>
    <w:rsid w:val="43D28174"/>
    <w:rsid w:val="454A2F64"/>
    <w:rsid w:val="45799C24"/>
    <w:rsid w:val="459A351E"/>
    <w:rsid w:val="459D24CC"/>
    <w:rsid w:val="46DEF2FB"/>
    <w:rsid w:val="47C02A6B"/>
    <w:rsid w:val="47CB6189"/>
    <w:rsid w:val="4942D856"/>
    <w:rsid w:val="49C1F4F0"/>
    <w:rsid w:val="49E9B8B2"/>
    <w:rsid w:val="4A0AB350"/>
    <w:rsid w:val="4A760B94"/>
    <w:rsid w:val="4AEFFB8B"/>
    <w:rsid w:val="4C2730EC"/>
    <w:rsid w:val="4CFDB8BB"/>
    <w:rsid w:val="4D6B9277"/>
    <w:rsid w:val="4DA0DC78"/>
    <w:rsid w:val="4E1E1EEA"/>
    <w:rsid w:val="4E91BEDD"/>
    <w:rsid w:val="4FBC258A"/>
    <w:rsid w:val="50270441"/>
    <w:rsid w:val="50B01692"/>
    <w:rsid w:val="51CD4C45"/>
    <w:rsid w:val="528A2EF1"/>
    <w:rsid w:val="52B40314"/>
    <w:rsid w:val="53B76073"/>
    <w:rsid w:val="54ADD297"/>
    <w:rsid w:val="54DB5827"/>
    <w:rsid w:val="55C3F877"/>
    <w:rsid w:val="55C921F1"/>
    <w:rsid w:val="55D94DB8"/>
    <w:rsid w:val="567A789D"/>
    <w:rsid w:val="56A3EE5F"/>
    <w:rsid w:val="56FF22E3"/>
    <w:rsid w:val="574C6F41"/>
    <w:rsid w:val="57519163"/>
    <w:rsid w:val="58011F16"/>
    <w:rsid w:val="58079F66"/>
    <w:rsid w:val="5865C768"/>
    <w:rsid w:val="58B4F31D"/>
    <w:rsid w:val="596ED5F2"/>
    <w:rsid w:val="59C7B390"/>
    <w:rsid w:val="5A261C61"/>
    <w:rsid w:val="5A6A1C44"/>
    <w:rsid w:val="5A785BE5"/>
    <w:rsid w:val="5A9C481D"/>
    <w:rsid w:val="5AB46587"/>
    <w:rsid w:val="5AEAC9AB"/>
    <w:rsid w:val="5AF2CE18"/>
    <w:rsid w:val="5AFE4B93"/>
    <w:rsid w:val="5B072EED"/>
    <w:rsid w:val="5B0D60B7"/>
    <w:rsid w:val="5B164223"/>
    <w:rsid w:val="5B9E3366"/>
    <w:rsid w:val="5BD71FE3"/>
    <w:rsid w:val="5BE8B52F"/>
    <w:rsid w:val="5BFA7280"/>
    <w:rsid w:val="5C01B284"/>
    <w:rsid w:val="5C2777D3"/>
    <w:rsid w:val="5C2AE4B9"/>
    <w:rsid w:val="5C48C428"/>
    <w:rsid w:val="5CC41E91"/>
    <w:rsid w:val="5D6DA3E4"/>
    <w:rsid w:val="5DF68F34"/>
    <w:rsid w:val="5E14A1FA"/>
    <w:rsid w:val="5E27FDF6"/>
    <w:rsid w:val="5E59F951"/>
    <w:rsid w:val="5FD75349"/>
    <w:rsid w:val="5FFF6742"/>
    <w:rsid w:val="6089D6BC"/>
    <w:rsid w:val="60992335"/>
    <w:rsid w:val="60F4F8DB"/>
    <w:rsid w:val="61629B05"/>
    <w:rsid w:val="617052C8"/>
    <w:rsid w:val="61BB905B"/>
    <w:rsid w:val="61BEBB7C"/>
    <w:rsid w:val="6213DDEC"/>
    <w:rsid w:val="6230247F"/>
    <w:rsid w:val="62D976BA"/>
    <w:rsid w:val="63EA8BEF"/>
    <w:rsid w:val="642416BB"/>
    <w:rsid w:val="643121EF"/>
    <w:rsid w:val="644B19FF"/>
    <w:rsid w:val="64D17480"/>
    <w:rsid w:val="6509D00B"/>
    <w:rsid w:val="65379DB1"/>
    <w:rsid w:val="6693BE58"/>
    <w:rsid w:val="66D424D8"/>
    <w:rsid w:val="66D805ED"/>
    <w:rsid w:val="6701C27B"/>
    <w:rsid w:val="671C10F7"/>
    <w:rsid w:val="675EB0C3"/>
    <w:rsid w:val="67812218"/>
    <w:rsid w:val="67E310EB"/>
    <w:rsid w:val="6807C98E"/>
    <w:rsid w:val="68AF5CEC"/>
    <w:rsid w:val="68D389DE"/>
    <w:rsid w:val="6B5AB66F"/>
    <w:rsid w:val="6B92A188"/>
    <w:rsid w:val="6BAFF921"/>
    <w:rsid w:val="6C3314ED"/>
    <w:rsid w:val="6D6495C0"/>
    <w:rsid w:val="6DBEB663"/>
    <w:rsid w:val="6DD9BF4B"/>
    <w:rsid w:val="6E2D0AB1"/>
    <w:rsid w:val="6F96CDC7"/>
    <w:rsid w:val="7044DD98"/>
    <w:rsid w:val="704FC09D"/>
    <w:rsid w:val="71B0C86C"/>
    <w:rsid w:val="7244A898"/>
    <w:rsid w:val="728086FF"/>
    <w:rsid w:val="72810C8C"/>
    <w:rsid w:val="7282B20A"/>
    <w:rsid w:val="729A2995"/>
    <w:rsid w:val="72C51E71"/>
    <w:rsid w:val="7354FC4D"/>
    <w:rsid w:val="73E7433B"/>
    <w:rsid w:val="747A995E"/>
    <w:rsid w:val="749FD7E7"/>
    <w:rsid w:val="75031E7B"/>
    <w:rsid w:val="75128765"/>
    <w:rsid w:val="758E3CC3"/>
    <w:rsid w:val="76CC745F"/>
    <w:rsid w:val="77485330"/>
    <w:rsid w:val="77ACFAEA"/>
    <w:rsid w:val="77B69096"/>
    <w:rsid w:val="77B8EF7D"/>
    <w:rsid w:val="77E0E679"/>
    <w:rsid w:val="790A5175"/>
    <w:rsid w:val="79792A7D"/>
    <w:rsid w:val="79D6B177"/>
    <w:rsid w:val="7A10D26A"/>
    <w:rsid w:val="7A22A5C4"/>
    <w:rsid w:val="7A6ECF07"/>
    <w:rsid w:val="7B2E2707"/>
    <w:rsid w:val="7B830212"/>
    <w:rsid w:val="7C0DDCA0"/>
    <w:rsid w:val="7CCB6B56"/>
    <w:rsid w:val="7D3DCE58"/>
    <w:rsid w:val="7DB0DDFC"/>
    <w:rsid w:val="7E9B5E9C"/>
    <w:rsid w:val="7EC3753D"/>
    <w:rsid w:val="7F315DAD"/>
    <w:rsid w:val="7F67A0B8"/>
    <w:rsid w:val="7F8BF66D"/>
    <w:rsid w:val="7FF0CF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2065"/>
  <w15:chartTrackingRefBased/>
  <w15:docId w15:val="{E54D5569-9D41-496B-A421-55C40770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04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D84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12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F8B"/>
    <w:pPr>
      <w:keepNext/>
      <w:keepLines/>
      <w:spacing w:before="40" w:line="259" w:lineRule="auto"/>
      <w:outlineLvl w:val="2"/>
    </w:pPr>
    <w:rPr>
      <w:rFonts w:asciiTheme="majorHAnsi" w:eastAsiaTheme="majorEastAsia" w:hAnsiTheme="majorHAnsi" w:cstheme="majorBidi"/>
      <w:color w:val="1F3763" w:themeColor="accent1" w:themeShade="7F"/>
      <w:kern w:val="2"/>
      <w14:ligatures w14:val="standardContextual"/>
    </w:rPr>
  </w:style>
  <w:style w:type="paragraph" w:styleId="Heading4">
    <w:name w:val="heading 4"/>
    <w:basedOn w:val="Normal"/>
    <w:next w:val="Normal"/>
    <w:uiPriority w:val="9"/>
    <w:unhideWhenUsed/>
    <w:qFormat/>
    <w:rsid w:val="5AB46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F0B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C2E"/>
    <w:pPr>
      <w:tabs>
        <w:tab w:val="center" w:pos="4513"/>
        <w:tab w:val="right" w:pos="9026"/>
      </w:tabs>
    </w:pPr>
  </w:style>
  <w:style w:type="character" w:customStyle="1" w:styleId="HeaderChar">
    <w:name w:val="Header Char"/>
    <w:basedOn w:val="DefaultParagraphFont"/>
    <w:link w:val="Header"/>
    <w:uiPriority w:val="99"/>
    <w:rsid w:val="008E2C2E"/>
    <w:rPr>
      <w:rFonts w:eastAsiaTheme="minorEastAsia"/>
    </w:rPr>
  </w:style>
  <w:style w:type="paragraph" w:styleId="Footer">
    <w:name w:val="footer"/>
    <w:basedOn w:val="Normal"/>
    <w:link w:val="FooterChar"/>
    <w:uiPriority w:val="99"/>
    <w:unhideWhenUsed/>
    <w:rsid w:val="008E2C2E"/>
    <w:pPr>
      <w:tabs>
        <w:tab w:val="center" w:pos="4513"/>
        <w:tab w:val="right" w:pos="9026"/>
      </w:tabs>
    </w:pPr>
  </w:style>
  <w:style w:type="character" w:customStyle="1" w:styleId="FooterChar">
    <w:name w:val="Footer Char"/>
    <w:basedOn w:val="DefaultParagraphFont"/>
    <w:link w:val="Footer"/>
    <w:uiPriority w:val="99"/>
    <w:rsid w:val="008E2C2E"/>
    <w:rPr>
      <w:rFonts w:eastAsiaTheme="minorEastAsia"/>
    </w:rPr>
  </w:style>
  <w:style w:type="paragraph" w:styleId="ListParagraph">
    <w:name w:val="List Paragraph"/>
    <w:aliases w:val="References,List Paragraph1,Recommendation,List Paragraph11,L,CV text,Table text,F5 List Paragraph,Dot pt,Medium Grid 1 - Accent 21,Numbered Paragraph,List Paragraph111,List Paragraph2,Bulleted Para,NFP GP Bulleted List,FooterText,numbered"/>
    <w:basedOn w:val="Normal"/>
    <w:link w:val="ListParagraphChar"/>
    <w:uiPriority w:val="34"/>
    <w:qFormat/>
    <w:rsid w:val="0030760B"/>
    <w:pPr>
      <w:ind w:left="720"/>
      <w:contextualSpacing/>
    </w:pPr>
  </w:style>
  <w:style w:type="numbering" w:customStyle="1" w:styleId="CurrentList1">
    <w:name w:val="Current List1"/>
    <w:uiPriority w:val="99"/>
    <w:rsid w:val="00427930"/>
    <w:pPr>
      <w:numPr>
        <w:numId w:val="1"/>
      </w:numPr>
    </w:pPr>
  </w:style>
  <w:style w:type="character" w:styleId="PageNumber">
    <w:name w:val="page number"/>
    <w:basedOn w:val="DefaultParagraphFont"/>
    <w:uiPriority w:val="99"/>
    <w:semiHidden/>
    <w:unhideWhenUsed/>
    <w:rsid w:val="00832DE4"/>
  </w:style>
  <w:style w:type="table" w:styleId="TableGrid">
    <w:name w:val="Table Grid"/>
    <w:basedOn w:val="TableNormal"/>
    <w:uiPriority w:val="39"/>
    <w:rsid w:val="00C47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9CA"/>
    <w:rPr>
      <w:color w:val="0563C1" w:themeColor="hyperlink"/>
      <w:u w:val="single"/>
    </w:rPr>
  </w:style>
  <w:style w:type="character" w:styleId="UnresolvedMention">
    <w:name w:val="Unresolved Mention"/>
    <w:basedOn w:val="DefaultParagraphFont"/>
    <w:uiPriority w:val="99"/>
    <w:semiHidden/>
    <w:unhideWhenUsed/>
    <w:rsid w:val="00E929CA"/>
    <w:rPr>
      <w:color w:val="605E5C"/>
      <w:shd w:val="clear" w:color="auto" w:fill="E1DFDD"/>
    </w:rPr>
  </w:style>
  <w:style w:type="character" w:styleId="FollowedHyperlink">
    <w:name w:val="FollowedHyperlink"/>
    <w:basedOn w:val="DefaultParagraphFont"/>
    <w:uiPriority w:val="99"/>
    <w:semiHidden/>
    <w:unhideWhenUsed/>
    <w:rsid w:val="007F0681"/>
    <w:rPr>
      <w:color w:val="954F72" w:themeColor="followedHyperlink"/>
      <w:u w:val="single"/>
    </w:rPr>
  </w:style>
  <w:style w:type="character" w:customStyle="1" w:styleId="ListParagraphChar">
    <w:name w:val="List Paragraph Char"/>
    <w:aliases w:val="References Char,List Paragraph1 Char,Recommendation Char,List Paragraph11 Char,L Char,CV text Char,Table text Char,F5 List Paragraph Char,Dot pt Char,Medium Grid 1 - Accent 21 Char,Numbered Paragraph Char,List Paragraph111 Char"/>
    <w:link w:val="ListParagraph"/>
    <w:uiPriority w:val="34"/>
    <w:qFormat/>
    <w:locked/>
    <w:rsid w:val="004C594E"/>
    <w:rPr>
      <w:rFonts w:eastAsiaTheme="minorEastAsia"/>
    </w:rPr>
  </w:style>
  <w:style w:type="table" w:customStyle="1" w:styleId="TableGrid2">
    <w:name w:val="Table Grid2"/>
    <w:basedOn w:val="TableNormal"/>
    <w:next w:val="TableGrid"/>
    <w:uiPriority w:val="59"/>
    <w:rsid w:val="004C594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36B6"/>
    <w:pPr>
      <w:widowControl w:val="0"/>
      <w:autoSpaceDE w:val="0"/>
      <w:autoSpaceDN w:val="0"/>
      <w:spacing w:before="200"/>
      <w:ind w:right="181"/>
    </w:pPr>
    <w:rPr>
      <w:rFonts w:ascii="Calibri" w:eastAsia="Calibri" w:hAnsi="Calibri" w:cs="Calibri"/>
      <w:color w:val="231F20"/>
      <w:lang w:val="en-US"/>
    </w:rPr>
  </w:style>
  <w:style w:type="character" w:customStyle="1" w:styleId="BodyTextChar">
    <w:name w:val="Body Text Char"/>
    <w:basedOn w:val="DefaultParagraphFont"/>
    <w:link w:val="BodyText"/>
    <w:uiPriority w:val="1"/>
    <w:rsid w:val="009F36B6"/>
    <w:rPr>
      <w:rFonts w:ascii="Calibri" w:eastAsia="Calibri" w:hAnsi="Calibri" w:cs="Calibri"/>
      <w:color w:val="231F20"/>
      <w:lang w:val="en-US"/>
    </w:rPr>
  </w:style>
  <w:style w:type="paragraph" w:customStyle="1" w:styleId="LastBulletPoint">
    <w:name w:val="Last Bullet Point"/>
    <w:basedOn w:val="ListParagraph"/>
    <w:link w:val="LastBulletPointChar"/>
    <w:qFormat/>
    <w:rsid w:val="009F36B6"/>
    <w:pPr>
      <w:widowControl w:val="0"/>
      <w:autoSpaceDE w:val="0"/>
      <w:autoSpaceDN w:val="0"/>
      <w:spacing w:before="120" w:after="240"/>
      <w:ind w:left="567" w:right="386" w:hanging="283"/>
      <w:contextualSpacing w:val="0"/>
    </w:pPr>
    <w:rPr>
      <w:rFonts w:ascii="Calibri" w:eastAsia="Calibri" w:hAnsi="Calibri" w:cs="Calibri"/>
      <w:color w:val="231F20"/>
      <w:szCs w:val="22"/>
      <w:lang w:val="en-US"/>
    </w:rPr>
  </w:style>
  <w:style w:type="character" w:customStyle="1" w:styleId="LastBulletPointChar">
    <w:name w:val="Last Bullet Point Char"/>
    <w:basedOn w:val="DefaultParagraphFont"/>
    <w:link w:val="LastBulletPoint"/>
    <w:rsid w:val="009F36B6"/>
    <w:rPr>
      <w:rFonts w:ascii="Calibri" w:eastAsia="Calibri" w:hAnsi="Calibri" w:cs="Calibri"/>
      <w:color w:val="231F20"/>
      <w:szCs w:val="22"/>
      <w:lang w:val="en-US"/>
    </w:rPr>
  </w:style>
  <w:style w:type="character" w:customStyle="1" w:styleId="Heading1Char">
    <w:name w:val="Heading 1 Char"/>
    <w:basedOn w:val="DefaultParagraphFont"/>
    <w:link w:val="Heading1"/>
    <w:uiPriority w:val="9"/>
    <w:rsid w:val="00D847AA"/>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D847AA"/>
    <w:pPr>
      <w:spacing w:after="100"/>
    </w:pPr>
  </w:style>
  <w:style w:type="character" w:customStyle="1" w:styleId="Heading">
    <w:name w:val="Heading"/>
    <w:basedOn w:val="DefaultParagraphFont"/>
    <w:uiPriority w:val="1"/>
    <w:qFormat/>
    <w:rsid w:val="00AA05BB"/>
    <w:rPr>
      <w:rFonts w:ascii="Oswald Light" w:hAnsi="Oswald Light" w:cs="Times New Roman (Body CS)"/>
      <w:color w:val="0E1428"/>
      <w:sz w:val="36"/>
      <w:szCs w:val="36"/>
    </w:rPr>
  </w:style>
  <w:style w:type="table" w:customStyle="1" w:styleId="TableGrid5">
    <w:name w:val="Table Grid5"/>
    <w:basedOn w:val="TableNormal"/>
    <w:next w:val="TableGrid"/>
    <w:uiPriority w:val="59"/>
    <w:rsid w:val="00AA05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363EE"/>
    <w:rPr>
      <w:i/>
      <w:iCs/>
      <w:color w:val="595959" w:themeColor="text1" w:themeTint="A6"/>
    </w:rPr>
  </w:style>
  <w:style w:type="paragraph" w:styleId="FootnoteText">
    <w:name w:val="footnote text"/>
    <w:basedOn w:val="Normal"/>
    <w:link w:val="FootnoteTextChar"/>
    <w:uiPriority w:val="99"/>
    <w:semiHidden/>
    <w:unhideWhenUsed/>
    <w:rsid w:val="003A6841"/>
    <w:rPr>
      <w:rFonts w:eastAsiaTheme="minorHAnsi"/>
      <w:sz w:val="20"/>
      <w:szCs w:val="20"/>
    </w:rPr>
  </w:style>
  <w:style w:type="character" w:customStyle="1" w:styleId="FootnoteTextChar">
    <w:name w:val="Footnote Text Char"/>
    <w:basedOn w:val="DefaultParagraphFont"/>
    <w:link w:val="FootnoteText"/>
    <w:uiPriority w:val="99"/>
    <w:semiHidden/>
    <w:rsid w:val="003A6841"/>
    <w:rPr>
      <w:sz w:val="20"/>
      <w:szCs w:val="20"/>
    </w:rPr>
  </w:style>
  <w:style w:type="character" w:styleId="FootnoteReference">
    <w:name w:val="footnote reference"/>
    <w:basedOn w:val="DefaultParagraphFont"/>
    <w:uiPriority w:val="99"/>
    <w:semiHidden/>
    <w:unhideWhenUsed/>
    <w:rsid w:val="003A6841"/>
    <w:rPr>
      <w:vertAlign w:val="superscript"/>
    </w:rPr>
  </w:style>
  <w:style w:type="paragraph" w:styleId="BalloonText">
    <w:name w:val="Balloon Text"/>
    <w:basedOn w:val="Normal"/>
    <w:link w:val="BalloonTextChar"/>
    <w:uiPriority w:val="99"/>
    <w:semiHidden/>
    <w:unhideWhenUsed/>
    <w:rsid w:val="00F36C53"/>
    <w:rPr>
      <w:sz w:val="18"/>
      <w:szCs w:val="18"/>
    </w:rPr>
  </w:style>
  <w:style w:type="character" w:customStyle="1" w:styleId="BalloonTextChar">
    <w:name w:val="Balloon Text Char"/>
    <w:basedOn w:val="DefaultParagraphFont"/>
    <w:link w:val="BalloonText"/>
    <w:uiPriority w:val="99"/>
    <w:semiHidden/>
    <w:rsid w:val="00F36C53"/>
    <w:rPr>
      <w:rFonts w:ascii="Times New Roman" w:eastAsiaTheme="minorEastAsia" w:hAnsi="Times New Roman" w:cs="Times New Roman"/>
      <w:sz w:val="18"/>
      <w:szCs w:val="18"/>
    </w:rPr>
  </w:style>
  <w:style w:type="character" w:customStyle="1" w:styleId="Heading3Char">
    <w:name w:val="Heading 3 Char"/>
    <w:basedOn w:val="DefaultParagraphFont"/>
    <w:link w:val="Heading3"/>
    <w:uiPriority w:val="9"/>
    <w:rsid w:val="00866F8B"/>
    <w:rPr>
      <w:rFonts w:asciiTheme="majorHAnsi" w:eastAsiaTheme="majorEastAsia" w:hAnsiTheme="majorHAnsi" w:cstheme="majorBidi"/>
      <w:color w:val="1F3763" w:themeColor="accent1" w:themeShade="7F"/>
      <w:kern w:val="2"/>
      <w14:ligatures w14:val="standardContextual"/>
    </w:rPr>
  </w:style>
  <w:style w:type="character" w:customStyle="1" w:styleId="normaltextrun">
    <w:name w:val="normaltextrun"/>
    <w:basedOn w:val="DefaultParagraphFont"/>
    <w:rsid w:val="00C57915"/>
  </w:style>
  <w:style w:type="paragraph" w:customStyle="1" w:styleId="paragraph">
    <w:name w:val="paragraph"/>
    <w:basedOn w:val="Normal"/>
    <w:rsid w:val="00C57915"/>
    <w:pPr>
      <w:spacing w:before="100" w:beforeAutospacing="1" w:after="100" w:afterAutospacing="1"/>
    </w:pPr>
    <w:rPr>
      <w:lang w:eastAsia="en-AU"/>
    </w:rPr>
  </w:style>
  <w:style w:type="character" w:styleId="CommentReference">
    <w:name w:val="annotation reference"/>
    <w:basedOn w:val="DefaultParagraphFont"/>
    <w:uiPriority w:val="99"/>
    <w:semiHidden/>
    <w:unhideWhenUsed/>
    <w:rsid w:val="009C150A"/>
    <w:rPr>
      <w:sz w:val="16"/>
      <w:szCs w:val="16"/>
    </w:rPr>
  </w:style>
  <w:style w:type="paragraph" w:styleId="CommentText">
    <w:name w:val="annotation text"/>
    <w:basedOn w:val="Normal"/>
    <w:link w:val="CommentTextChar"/>
    <w:uiPriority w:val="99"/>
    <w:unhideWhenUsed/>
    <w:rsid w:val="009C150A"/>
    <w:rPr>
      <w:sz w:val="20"/>
      <w:szCs w:val="20"/>
    </w:rPr>
  </w:style>
  <w:style w:type="character" w:customStyle="1" w:styleId="CommentTextChar">
    <w:name w:val="Comment Text Char"/>
    <w:basedOn w:val="DefaultParagraphFont"/>
    <w:link w:val="CommentText"/>
    <w:uiPriority w:val="99"/>
    <w:rsid w:val="009C150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50A"/>
    <w:rPr>
      <w:b/>
      <w:bCs/>
    </w:rPr>
  </w:style>
  <w:style w:type="character" w:customStyle="1" w:styleId="CommentSubjectChar">
    <w:name w:val="Comment Subject Char"/>
    <w:basedOn w:val="CommentTextChar"/>
    <w:link w:val="CommentSubject"/>
    <w:uiPriority w:val="99"/>
    <w:semiHidden/>
    <w:rsid w:val="009C150A"/>
    <w:rPr>
      <w:rFonts w:ascii="Times New Roman" w:eastAsia="Times New Roman" w:hAnsi="Times New Roman" w:cs="Times New Roman"/>
      <w:b/>
      <w:bCs/>
      <w:sz w:val="20"/>
      <w:szCs w:val="20"/>
      <w:lang w:eastAsia="en-GB"/>
    </w:rPr>
  </w:style>
  <w:style w:type="paragraph" w:styleId="Revision">
    <w:name w:val="Revision"/>
    <w:hidden/>
    <w:uiPriority w:val="99"/>
    <w:semiHidden/>
    <w:rsid w:val="00A52A5A"/>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FE1292"/>
    <w:rPr>
      <w:rFonts w:asciiTheme="majorHAnsi" w:eastAsiaTheme="majorEastAsia" w:hAnsiTheme="majorHAnsi" w:cstheme="majorBidi"/>
      <w:color w:val="2F5496" w:themeColor="accent1" w:themeShade="BF"/>
      <w:sz w:val="26"/>
      <w:szCs w:val="26"/>
      <w:lang w:eastAsia="en-GB"/>
    </w:rPr>
  </w:style>
  <w:style w:type="paragraph" w:styleId="TOC2">
    <w:name w:val="toc 2"/>
    <w:basedOn w:val="Normal"/>
    <w:next w:val="Normal"/>
    <w:autoRedefine/>
    <w:uiPriority w:val="39"/>
    <w:unhideWhenUsed/>
    <w:rsid w:val="00762F1C"/>
    <w:pPr>
      <w:spacing w:after="100"/>
      <w:ind w:left="240"/>
    </w:pPr>
  </w:style>
  <w:style w:type="character" w:customStyle="1" w:styleId="ct-span">
    <w:name w:val="ct-span"/>
    <w:basedOn w:val="DefaultParagraphFont"/>
    <w:rsid w:val="00454BB2"/>
  </w:style>
  <w:style w:type="paragraph" w:customStyle="1" w:styleId="m4169117956743424125msolistparagraph">
    <w:name w:val="m_4169117956743424125msolistparagraph"/>
    <w:basedOn w:val="Normal"/>
    <w:rsid w:val="00190CA5"/>
    <w:pPr>
      <w:spacing w:before="100" w:beforeAutospacing="1" w:after="100" w:afterAutospacing="1"/>
    </w:pPr>
  </w:style>
  <w:style w:type="paragraph" w:customStyle="1" w:styleId="Default">
    <w:name w:val="Default"/>
    <w:rsid w:val="0058329D"/>
    <w:pPr>
      <w:autoSpaceDE w:val="0"/>
      <w:autoSpaceDN w:val="0"/>
      <w:adjustRightInd w:val="0"/>
    </w:pPr>
    <w:rPr>
      <w:rFonts w:ascii="Calibri Light" w:hAnsi="Calibri Light" w:cs="Calibri Light"/>
      <w:color w:val="000000"/>
      <w:lang w:val="en-GB"/>
    </w:rPr>
  </w:style>
  <w:style w:type="paragraph" w:styleId="Title">
    <w:name w:val="Title"/>
    <w:basedOn w:val="Normal"/>
    <w:next w:val="Normal"/>
    <w:link w:val="TitleChar"/>
    <w:uiPriority w:val="10"/>
    <w:qFormat/>
    <w:rsid w:val="00BE05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514"/>
    <w:rPr>
      <w:rFonts w:asciiTheme="majorHAnsi" w:eastAsiaTheme="majorEastAsia" w:hAnsiTheme="majorHAnsi" w:cstheme="majorBidi"/>
      <w:spacing w:val="-10"/>
      <w:kern w:val="28"/>
      <w:sz w:val="56"/>
      <w:szCs w:val="56"/>
      <w:lang w:eastAsia="en-GB"/>
    </w:rPr>
  </w:style>
  <w:style w:type="character" w:customStyle="1" w:styleId="Heading5Char">
    <w:name w:val="Heading 5 Char"/>
    <w:basedOn w:val="DefaultParagraphFont"/>
    <w:link w:val="Heading5"/>
    <w:uiPriority w:val="9"/>
    <w:rsid w:val="007F0B56"/>
    <w:rPr>
      <w:rFonts w:asciiTheme="majorHAnsi" w:eastAsiaTheme="majorEastAsia" w:hAnsiTheme="majorHAnsi" w:cstheme="majorBidi"/>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1574">
      <w:bodyDiv w:val="1"/>
      <w:marLeft w:val="0"/>
      <w:marRight w:val="0"/>
      <w:marTop w:val="0"/>
      <w:marBottom w:val="0"/>
      <w:divBdr>
        <w:top w:val="none" w:sz="0" w:space="0" w:color="auto"/>
        <w:left w:val="none" w:sz="0" w:space="0" w:color="auto"/>
        <w:bottom w:val="none" w:sz="0" w:space="0" w:color="auto"/>
        <w:right w:val="none" w:sz="0" w:space="0" w:color="auto"/>
      </w:divBdr>
    </w:div>
    <w:div w:id="23409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fat.gov.au/geo/indonesia/plan-of-action-for-the-indonesia-australia-comprehensive-strategic-partnership-2025-2029"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dfat.gov.au/publications/development/australias-international-development-poli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fat.gov.au/publications/development/australia-indonesia-development-partnership-plan-2024-2028"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dfat.gov.au/southeastasiaeconomicstrategy"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6183277E134E9915F59669268432" ma:contentTypeVersion="15" ma:contentTypeDescription="Create a new document." ma:contentTypeScope="" ma:versionID="560e3d8a9dd0386547e7d8f0770f2ba5">
  <xsd:schema xmlns:xsd="http://www.w3.org/2001/XMLSchema" xmlns:xs="http://www.w3.org/2001/XMLSchema" xmlns:p="http://schemas.microsoft.com/office/2006/metadata/properties" xmlns:ns2="94957f58-8c9b-48f1-9a23-72185527d8a2" xmlns:ns3="46a9ee1c-e9d7-4c33-a893-a1e31be4ca82" targetNamespace="http://schemas.microsoft.com/office/2006/metadata/properties" ma:root="true" ma:fieldsID="5f4eec7dc4404204e73cbb8e6d3da4c0" ns2:_="" ns3:_="">
    <xsd:import namespace="94957f58-8c9b-48f1-9a23-72185527d8a2"/>
    <xsd:import namespace="46a9ee1c-e9d7-4c33-a893-a1e31be4ca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57f58-8c9b-48f1-9a23-72185527d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9ee1c-e9d7-4c33-a893-a1e31be4ca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3a6b59-bf40-4580-85e0-5f5503e96093}" ma:internalName="TaxCatchAll" ma:showField="CatchAllData" ma:web="46a9ee1c-e9d7-4c33-a893-a1e31be4c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a9ee1c-e9d7-4c33-a893-a1e31be4ca82" xsi:nil="true"/>
    <lcf76f155ced4ddcb4097134ff3c332f xmlns="94957f58-8c9b-48f1-9a23-72185527d8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953E3-A724-AC4E-A4AF-0D493FA8A18A}">
  <ds:schemaRefs>
    <ds:schemaRef ds:uri="http://schemas.openxmlformats.org/officeDocument/2006/bibliography"/>
  </ds:schemaRefs>
</ds:datastoreItem>
</file>

<file path=customXml/itemProps2.xml><?xml version="1.0" encoding="utf-8"?>
<ds:datastoreItem xmlns:ds="http://schemas.openxmlformats.org/officeDocument/2006/customXml" ds:itemID="{7433056B-7133-4A1F-A6B4-1DEE230BAB35}">
  <ds:schemaRefs>
    <ds:schemaRef ds:uri="http://schemas.microsoft.com/sharepoint/v3/contenttype/forms"/>
  </ds:schemaRefs>
</ds:datastoreItem>
</file>

<file path=customXml/itemProps3.xml><?xml version="1.0" encoding="utf-8"?>
<ds:datastoreItem xmlns:ds="http://schemas.openxmlformats.org/officeDocument/2006/customXml" ds:itemID="{E07D170A-DB9E-435A-947E-311BD8D22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57f58-8c9b-48f1-9a23-72185527d8a2"/>
    <ds:schemaRef ds:uri="46a9ee1c-e9d7-4c33-a893-a1e31be4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29399-AA20-46F8-8428-22D0C2006782}">
  <ds:schemaRefs>
    <ds:schemaRef ds:uri="http://schemas.microsoft.com/office/2006/metadata/properties"/>
    <ds:schemaRef ds:uri="http://schemas.microsoft.com/office/infopath/2007/PartnerControls"/>
    <ds:schemaRef ds:uri="46a9ee1c-e9d7-4c33-a893-a1e31be4ca82"/>
    <ds:schemaRef ds:uri="94957f58-8c9b-48f1-9a23-72185527d8a2"/>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37</Pages>
  <Words>14306</Words>
  <Characters>82548</Characters>
  <Application>Microsoft Office Word</Application>
  <DocSecurity>4</DocSecurity>
  <Lines>2231</Lines>
  <Paragraphs>1383</Paragraphs>
  <ScaleCrop>false</ScaleCrop>
  <HeadingPairs>
    <vt:vector size="2" baseType="variant">
      <vt:variant>
        <vt:lpstr>Title</vt:lpstr>
      </vt:variant>
      <vt:variant>
        <vt:i4>1</vt:i4>
      </vt:variant>
    </vt:vector>
  </HeadingPairs>
  <TitlesOfParts>
    <vt:vector size="1" baseType="lpstr">
      <vt:lpstr>Indonesia Project Phase 5 Evaluation Report</vt:lpstr>
    </vt:vector>
  </TitlesOfParts>
  <Company/>
  <LinksUpToDate>false</LinksUpToDate>
  <CharactersWithSpaces>95471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National University Indonesia Project Phase V (July 2022–June 2026) - Final Evaluation Report</dc:title>
  <dc:subject/>
  <dc:creator>Georgia Raynes-Greenow;Collective Insights Consulting</dc:creator>
  <cp:keywords>[SEC=OFFICIAL]</cp:keywords>
  <dc:description/>
  <cp:revision>2</cp:revision>
  <cp:lastPrinted>2026-01-07T18:46:00Z</cp:lastPrinted>
  <dcterms:created xsi:type="dcterms:W3CDTF">2026-07-03T03:48:00Z</dcterms:created>
  <dcterms:modified xsi:type="dcterms:W3CDTF">2026-07-03T03:48:00Z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v=2022.1;a=SHA256;h=57A7DC96C1ADAF6DFBFB237243ED600B10E268156FBA968B643119783315CD65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2025-11-16T23:43:08Z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4F3E58EEEE7E3D84F3EBDBA3E1213298810CBF6A</vt:lpwstr>
  </property>
  <property fmtid="{D5CDD505-2E9C-101B-9397-08002B2CF9AE}" pid="17" name="PM_Originating_FileId">
    <vt:lpwstr>C409AD44C8684ABC8AA8528CFB20673D</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93BEA433BF23209C8A1A35DB92CBCD88B0EA07122F2061FC705F7A6B6E83D4AB</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6F62227FEDF31B58AE97507B814FAD99</vt:lpwstr>
  </property>
  <property fmtid="{D5CDD505-2E9C-101B-9397-08002B2CF9AE}" pid="25" name="PM_Hash_Salt">
    <vt:lpwstr>473A65CE3B5FF6FB39A91FC47EDF893B</vt:lpwstr>
  </property>
  <property fmtid="{D5CDD505-2E9C-101B-9397-08002B2CF9AE}" pid="26" name="PM_Hash_SHA1">
    <vt:lpwstr>D460262440621B8AF3BF834FB56AFE526E86E4E2</vt:lpwstr>
  </property>
  <property fmtid="{D5CDD505-2E9C-101B-9397-08002B2CF9AE}" pid="27" name="ContentTypeId">
    <vt:lpwstr>0x010100F4136183277E134E9915F59669268432</vt:lpwstr>
  </property>
  <property fmtid="{D5CDD505-2E9C-101B-9397-08002B2CF9AE}" pid="28" name="ClassificationContentMarkingHeaderShapeIds">
    <vt:lpwstr>509659a6,1712ab58,3bc48a07,5dc57041,74b41fa7</vt:lpwstr>
  </property>
  <property fmtid="{D5CDD505-2E9C-101B-9397-08002B2CF9AE}" pid="29" name="ClassificationContentMarkingHeaderFontProps">
    <vt:lpwstr>#ff0000,12,Aptos</vt:lpwstr>
  </property>
  <property fmtid="{D5CDD505-2E9C-101B-9397-08002B2CF9AE}" pid="30" name="ClassificationContentMarkingHeaderText">
    <vt:lpwstr>OFFICIAL</vt:lpwstr>
  </property>
  <property fmtid="{D5CDD505-2E9C-101B-9397-08002B2CF9AE}" pid="31" name="ClassificationContentMarkingFooterShapeIds">
    <vt:lpwstr>65b481b5,f85e494,1e8ecb5,34862b9d</vt:lpwstr>
  </property>
  <property fmtid="{D5CDD505-2E9C-101B-9397-08002B2CF9AE}" pid="32" name="ClassificationContentMarkingFooterFontProps">
    <vt:lpwstr>#ff0000,12,Aptos</vt:lpwstr>
  </property>
  <property fmtid="{D5CDD505-2E9C-101B-9397-08002B2CF9AE}" pid="33" name="ClassificationContentMarkingFooterText">
    <vt:lpwstr>OFFICIAL</vt:lpwstr>
  </property>
  <property fmtid="{D5CDD505-2E9C-101B-9397-08002B2CF9AE}" pid="34" name="MediaServiceImageTags">
    <vt:lpwstr/>
  </property>
</Properties>
</file>