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A018" w14:textId="77777777" w:rsidR="009136DC" w:rsidRPr="00083464" w:rsidRDefault="009136DC" w:rsidP="00083464">
      <w:pPr>
        <w:pStyle w:val="Heading1"/>
      </w:pPr>
      <w:r w:rsidRPr="004368EF">
        <w:t>UNDP Final Evaluation of the 'Anti-Corrupt</w:t>
      </w:r>
      <w:r w:rsidRPr="00083464">
        <w:t>ion for Peaceful and Inclusive Societies (ACPIS)' global project</w:t>
      </w:r>
    </w:p>
    <w:p w14:paraId="5ECED04A" w14:textId="18679F3A" w:rsidR="009136DC" w:rsidRPr="00083464" w:rsidRDefault="009136DC" w:rsidP="00083464">
      <w:pPr>
        <w:pStyle w:val="Heading1"/>
      </w:pPr>
      <w:r w:rsidRPr="00083464">
        <w:t>Recommendations and DFAT Response</w:t>
      </w:r>
      <w:r w:rsidR="001F36E2" w:rsidRPr="00083464">
        <w:t xml:space="preserve"> - </w:t>
      </w:r>
      <w:r w:rsidRPr="00083464">
        <w:t>December 2021</w:t>
      </w:r>
    </w:p>
    <w:p w14:paraId="3F1984D8" w14:textId="77777777" w:rsidR="009136DC" w:rsidRPr="00083464" w:rsidRDefault="009136DC" w:rsidP="00083464">
      <w:pPr>
        <w:pStyle w:val="Heading2"/>
      </w:pPr>
      <w:r w:rsidRPr="00083464">
        <w:t>Program Summary</w:t>
      </w:r>
    </w:p>
    <w:p w14:paraId="510A23C4" w14:textId="77777777" w:rsidR="009136DC" w:rsidRPr="0037704E" w:rsidRDefault="009136DC" w:rsidP="009136DC">
      <w:pPr>
        <w:rPr>
          <w:rFonts w:ascii="Calibri" w:hAnsi="Calibri"/>
          <w:color w:val="333333"/>
          <w:u w:val="single"/>
          <w:shd w:val="clear" w:color="auto" w:fill="FFFFFF"/>
        </w:rPr>
      </w:pP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 xml:space="preserve">The UNDP 'Anti-Corruption for Peaceful and Inclusive Societies in the Asia-Pacific' project (2016 – 2021) (ACPIS) was a </w:t>
      </w:r>
      <w:r w:rsidRPr="00902E87">
        <w:rPr>
          <w:rFonts w:ascii="Calibri" w:hAnsi="Calibri"/>
          <w:i w:val="0"/>
          <w:iCs w:val="0"/>
          <w:color w:val="333333"/>
          <w:shd w:val="clear" w:color="auto" w:fill="FFFFFF"/>
        </w:rPr>
        <w:t>$6.5m</w:t>
      </w: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 xml:space="preserve"> project funded by DFAT and delivered by UNDP Advisors based in Singap</w:t>
      </w:r>
      <w:r>
        <w:rPr>
          <w:rFonts w:ascii="Calibri" w:hAnsi="Calibri"/>
          <w:i w:val="0"/>
          <w:iCs w:val="0"/>
          <w:color w:val="333333"/>
          <w:shd w:val="clear" w:color="auto" w:fill="FFFFFF"/>
        </w:rPr>
        <w:t>o</w:t>
      </w: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 xml:space="preserve">re. </w:t>
      </w:r>
    </w:p>
    <w:p w14:paraId="0D0AF31E" w14:textId="77777777" w:rsidR="009136DC" w:rsidRPr="004368EF" w:rsidRDefault="009136DC" w:rsidP="009136DC">
      <w:pPr>
        <w:spacing w:after="0" w:line="240" w:lineRule="auto"/>
        <w:rPr>
          <w:rFonts w:ascii="Calibri" w:eastAsia="Calibri" w:hAnsi="Calibri" w:cs="Calibri"/>
          <w:i w:val="0"/>
          <w:iCs w:val="0"/>
          <w:color w:val="000000"/>
        </w:rPr>
      </w:pP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>ACPIS aims to mitigate corruption risks and enhance social accountability in service delivery sectors; strengthen state and institutional capacity to implement the UN Convention against Corruption (UNCAC) (particularly in relation to corruption prevention); and promote knowledge and advocacy to support anti-corruption efforts</w:t>
      </w:r>
      <w:r w:rsidRPr="004368EF">
        <w:rPr>
          <w:rFonts w:ascii="Calibri" w:eastAsia="Calibri" w:hAnsi="Calibri" w:cs="Calibri"/>
          <w:i w:val="0"/>
          <w:iCs w:val="0"/>
          <w:color w:val="000000"/>
        </w:rPr>
        <w:t>, including a better understanding of the link between violent extremism and corruption.</w:t>
      </w:r>
    </w:p>
    <w:p w14:paraId="781D825D" w14:textId="77777777" w:rsidR="009136DC" w:rsidRPr="004368EF" w:rsidRDefault="009136DC" w:rsidP="009136DC">
      <w:pPr>
        <w:spacing w:after="0" w:line="240" w:lineRule="auto"/>
        <w:rPr>
          <w:rFonts w:ascii="Calibri" w:hAnsi="Calibri"/>
          <w:i w:val="0"/>
          <w:iCs w:val="0"/>
          <w:color w:val="333333"/>
          <w:shd w:val="clear" w:color="auto" w:fill="FFFFFF"/>
        </w:rPr>
      </w:pPr>
    </w:p>
    <w:p w14:paraId="1F1F1A08" w14:textId="0D4358BC" w:rsidR="009136DC" w:rsidRPr="004368EF" w:rsidRDefault="009136DC" w:rsidP="009136DC">
      <w:pPr>
        <w:spacing w:after="0" w:line="240" w:lineRule="auto"/>
        <w:rPr>
          <w:rFonts w:ascii="Calibri" w:hAnsi="Calibri"/>
          <w:i w:val="0"/>
          <w:iCs w:val="0"/>
        </w:rPr>
      </w:pP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>DFAT's funding was largely directed towards supporting activities including pilots of innovative anti-corruption approaches in six countries: Bhutan</w:t>
      </w:r>
      <w:r w:rsidR="001F36E2">
        <w:rPr>
          <w:rFonts w:ascii="Calibri" w:hAnsi="Calibri"/>
          <w:i w:val="0"/>
          <w:iCs w:val="0"/>
          <w:color w:val="333333"/>
          <w:shd w:val="clear" w:color="auto" w:fill="FFFFFF"/>
        </w:rPr>
        <w:t>,</w:t>
      </w:r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 xml:space="preserve"> Indonesia, Myanmar, Papua New Guinea, the </w:t>
      </w:r>
      <w:proofErr w:type="gramStart"/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>Philippines</w:t>
      </w:r>
      <w:proofErr w:type="gramEnd"/>
      <w:r w:rsidRPr="004368EF">
        <w:rPr>
          <w:rFonts w:ascii="Calibri" w:hAnsi="Calibri"/>
          <w:i w:val="0"/>
          <w:iCs w:val="0"/>
          <w:color w:val="333333"/>
          <w:shd w:val="clear" w:color="auto" w:fill="FFFFFF"/>
        </w:rPr>
        <w:t xml:space="preserve"> and Thailand.</w:t>
      </w:r>
    </w:p>
    <w:p w14:paraId="07365C48" w14:textId="77777777" w:rsidR="009136DC" w:rsidRPr="004368EF" w:rsidRDefault="009136DC" w:rsidP="009136DC">
      <w:pPr>
        <w:spacing w:after="0" w:line="240" w:lineRule="auto"/>
        <w:rPr>
          <w:rFonts w:ascii="Calibri" w:eastAsiaTheme="minorHAnsi" w:hAnsi="Calibri"/>
          <w:i w:val="0"/>
          <w:iCs w:val="0"/>
        </w:rPr>
      </w:pPr>
    </w:p>
    <w:p w14:paraId="4B7EF28C" w14:textId="77777777" w:rsidR="009136DC" w:rsidRPr="004368EF" w:rsidRDefault="009136DC" w:rsidP="009136DC">
      <w:pPr>
        <w:spacing w:after="0" w:line="240" w:lineRule="auto"/>
        <w:rPr>
          <w:rFonts w:ascii="Calibri" w:eastAsiaTheme="minorHAnsi" w:hAnsi="Calibri"/>
          <w:i w:val="0"/>
          <w:iCs w:val="0"/>
        </w:rPr>
      </w:pPr>
      <w:r w:rsidRPr="004368EF">
        <w:rPr>
          <w:rFonts w:ascii="Calibri" w:eastAsiaTheme="minorHAnsi" w:hAnsi="Calibri"/>
          <w:i w:val="0"/>
          <w:iCs w:val="0"/>
        </w:rPr>
        <w:t xml:space="preserve">In the last quarter of 2020, as part of the monitoring and evaluation of the </w:t>
      </w:r>
      <w:proofErr w:type="spellStart"/>
      <w:r w:rsidRPr="004368EF">
        <w:rPr>
          <w:rFonts w:ascii="Calibri" w:eastAsiaTheme="minorHAnsi" w:hAnsi="Calibri"/>
          <w:i w:val="0"/>
          <w:iCs w:val="0"/>
        </w:rPr>
        <w:t>programme</w:t>
      </w:r>
      <w:proofErr w:type="spellEnd"/>
      <w:r w:rsidRPr="004368EF">
        <w:rPr>
          <w:rFonts w:ascii="Calibri" w:eastAsiaTheme="minorHAnsi" w:hAnsi="Calibri"/>
          <w:i w:val="0"/>
          <w:iCs w:val="0"/>
        </w:rPr>
        <w:t xml:space="preserve">, UNDP commissioned an independent final evaluation of ACPIS. The Final Evaluation (FE), which </w:t>
      </w:r>
      <w:proofErr w:type="gramStart"/>
      <w:r w:rsidRPr="004368EF">
        <w:rPr>
          <w:rFonts w:ascii="Calibri" w:eastAsiaTheme="minorHAnsi" w:hAnsi="Calibri"/>
          <w:i w:val="0"/>
          <w:iCs w:val="0"/>
        </w:rPr>
        <w:t>looks into</w:t>
      </w:r>
      <w:proofErr w:type="gramEnd"/>
      <w:r w:rsidRPr="004368EF">
        <w:rPr>
          <w:rFonts w:ascii="Calibri" w:eastAsiaTheme="minorHAnsi" w:hAnsi="Calibri"/>
          <w:i w:val="0"/>
          <w:iCs w:val="0"/>
        </w:rPr>
        <w:t xml:space="preserve"> the DFAT-funded components of ACPIS global project, considered what has (and has not) been working effectively with regard to the delivery of the outputs and objectives noted above.</w:t>
      </w:r>
    </w:p>
    <w:p w14:paraId="602BCE22" w14:textId="77777777" w:rsidR="009136DC" w:rsidRDefault="009136DC" w:rsidP="009136DC">
      <w:pPr>
        <w:spacing w:after="0" w:line="240" w:lineRule="auto"/>
        <w:rPr>
          <w:rFonts w:ascii="Calibri" w:eastAsiaTheme="minorHAnsi" w:hAnsi="Calibri"/>
          <w:i w:val="0"/>
          <w:iCs w:val="0"/>
        </w:rPr>
      </w:pPr>
      <w:r w:rsidRPr="00606096">
        <w:rPr>
          <w:rFonts w:ascii="Calibri" w:eastAsiaTheme="minorHAnsi" w:hAnsi="Calibri"/>
          <w:i w:val="0"/>
          <w:iCs w:val="0"/>
        </w:rPr>
        <w:t xml:space="preserve"> </w:t>
      </w:r>
    </w:p>
    <w:p w14:paraId="0B8FD010" w14:textId="77777777" w:rsidR="009136DC" w:rsidRPr="00DD07C1" w:rsidRDefault="009136DC" w:rsidP="009136DC">
      <w:pPr>
        <w:spacing w:after="0" w:line="240" w:lineRule="auto"/>
        <w:rPr>
          <w:rFonts w:ascii="Calibri" w:hAnsi="Calibri" w:cs="Calibri"/>
          <w:i w:val="0"/>
          <w:iCs w:val="0"/>
        </w:rPr>
      </w:pPr>
      <w:r>
        <w:rPr>
          <w:rFonts w:ascii="Calibri" w:hAnsi="Calibri" w:cstheme="minorHAnsi"/>
          <w:i w:val="0"/>
          <w:iCs w:val="0"/>
        </w:rPr>
        <w:t xml:space="preserve">Given </w:t>
      </w:r>
      <w:r w:rsidRPr="00606096">
        <w:rPr>
          <w:rFonts w:ascii="Calibri" w:hAnsi="Calibri" w:cstheme="minorHAnsi"/>
          <w:i w:val="0"/>
          <w:iCs w:val="0"/>
        </w:rPr>
        <w:t>the remote nature of the F</w:t>
      </w:r>
      <w:r>
        <w:rPr>
          <w:rFonts w:ascii="Calibri" w:hAnsi="Calibri" w:cstheme="minorHAnsi"/>
          <w:i w:val="0"/>
          <w:iCs w:val="0"/>
        </w:rPr>
        <w:t xml:space="preserve">inal </w:t>
      </w:r>
      <w:r w:rsidRPr="00606096">
        <w:rPr>
          <w:rFonts w:ascii="Calibri" w:hAnsi="Calibri" w:cstheme="minorHAnsi"/>
          <w:i w:val="0"/>
          <w:iCs w:val="0"/>
        </w:rPr>
        <w:t>E</w:t>
      </w:r>
      <w:r>
        <w:rPr>
          <w:rFonts w:ascii="Calibri" w:hAnsi="Calibri" w:cstheme="minorHAnsi"/>
          <w:i w:val="0"/>
          <w:iCs w:val="0"/>
        </w:rPr>
        <w:t>valuation</w:t>
      </w:r>
      <w:r w:rsidRPr="00606096">
        <w:rPr>
          <w:rFonts w:ascii="Calibri" w:hAnsi="Calibri" w:cstheme="minorHAnsi"/>
          <w:i w:val="0"/>
          <w:iCs w:val="0"/>
        </w:rPr>
        <w:t>, it was decided that the review would focus on semi-</w:t>
      </w:r>
      <w:r w:rsidRPr="00DD07C1">
        <w:rPr>
          <w:rFonts w:ascii="Calibri" w:hAnsi="Calibri" w:cs="Calibri"/>
          <w:i w:val="0"/>
          <w:iCs w:val="0"/>
        </w:rPr>
        <w:t>structured interviews via video platform. The Evaluation Team conducted approximately 20 interviews over a three-week period in January 2021.</w:t>
      </w:r>
    </w:p>
    <w:p w14:paraId="272DA3E5" w14:textId="77777777" w:rsidR="009136DC" w:rsidRPr="00DD07C1" w:rsidRDefault="009136DC" w:rsidP="009136DC">
      <w:pPr>
        <w:spacing w:after="0" w:line="240" w:lineRule="auto"/>
        <w:rPr>
          <w:rFonts w:ascii="Calibri" w:hAnsi="Calibri" w:cs="Calibri"/>
          <w:i w:val="0"/>
          <w:iCs w:val="0"/>
        </w:rPr>
      </w:pPr>
    </w:p>
    <w:p w14:paraId="024F9D6C" w14:textId="77777777" w:rsidR="001F36E2" w:rsidRDefault="009136DC" w:rsidP="001F36E2">
      <w:pPr>
        <w:spacing w:after="0" w:line="240" w:lineRule="auto"/>
        <w:rPr>
          <w:rFonts w:ascii="Calibri" w:hAnsi="Calibri" w:cs="Calibri"/>
          <w:i w:val="0"/>
          <w:iCs w:val="0"/>
        </w:rPr>
      </w:pPr>
      <w:r w:rsidRPr="00DD07C1">
        <w:rPr>
          <w:rFonts w:ascii="Calibri" w:hAnsi="Calibri" w:cs="Calibri"/>
          <w:i w:val="0"/>
          <w:iCs w:val="0"/>
        </w:rPr>
        <w:t xml:space="preserve">The Final Evaluation concluded that the </w:t>
      </w:r>
      <w:proofErr w:type="spellStart"/>
      <w:r w:rsidRPr="00DD07C1">
        <w:rPr>
          <w:rFonts w:ascii="Calibri" w:hAnsi="Calibri" w:cs="Calibri"/>
          <w:i w:val="0"/>
          <w:iCs w:val="0"/>
        </w:rPr>
        <w:t>programme</w:t>
      </w:r>
      <w:proofErr w:type="spellEnd"/>
      <w:r w:rsidRPr="00DD07C1">
        <w:rPr>
          <w:rFonts w:ascii="Calibri" w:hAnsi="Calibri" w:cs="Calibri"/>
          <w:i w:val="0"/>
          <w:iCs w:val="0"/>
        </w:rPr>
        <w:t xml:space="preserve"> had achieved almost all the objectives and outputs it set out to achieve. </w:t>
      </w:r>
    </w:p>
    <w:p w14:paraId="76DD0AF7" w14:textId="77777777" w:rsidR="001F36E2" w:rsidRDefault="001F36E2" w:rsidP="001F36E2">
      <w:pPr>
        <w:spacing w:after="0" w:line="240" w:lineRule="auto"/>
        <w:rPr>
          <w:rFonts w:ascii="Calibri" w:hAnsi="Calibri" w:cs="Calibri"/>
          <w:i w:val="0"/>
          <w:iCs w:val="0"/>
        </w:rPr>
      </w:pPr>
    </w:p>
    <w:p w14:paraId="287D3540" w14:textId="18FA8CD6" w:rsidR="009136DC" w:rsidRPr="001F36E2" w:rsidRDefault="001F36E2" w:rsidP="009136DC">
      <w:pPr>
        <w:spacing w:after="0" w:line="240" w:lineRule="auto"/>
        <w:rPr>
          <w:rFonts w:ascii="Calibri" w:hAnsi="Calibri"/>
          <w:b/>
          <w:bCs/>
          <w:i w:val="0"/>
          <w:iCs w:val="0"/>
        </w:rPr>
      </w:pPr>
      <w:r w:rsidRPr="00B95FF9">
        <w:rPr>
          <w:rFonts w:ascii="Calibri" w:hAnsi="Calibri"/>
          <w:b/>
          <w:bCs/>
          <w:i w:val="0"/>
          <w:iCs w:val="0"/>
        </w:rPr>
        <w:t xml:space="preserve">All </w:t>
      </w:r>
      <w:r>
        <w:rPr>
          <w:rFonts w:ascii="Calibri" w:hAnsi="Calibri"/>
          <w:b/>
          <w:bCs/>
          <w:i w:val="0"/>
          <w:iCs w:val="0"/>
        </w:rPr>
        <w:t xml:space="preserve">evaluation </w:t>
      </w:r>
      <w:r w:rsidRPr="00B95FF9">
        <w:rPr>
          <w:rFonts w:ascii="Calibri" w:hAnsi="Calibri"/>
          <w:b/>
          <w:bCs/>
          <w:i w:val="0"/>
          <w:iCs w:val="0"/>
        </w:rPr>
        <w:t xml:space="preserve">recommendations are supported by DFAT, noting that the implementation of these will be carried forward by UNDP. </w:t>
      </w:r>
      <w:r>
        <w:rPr>
          <w:rFonts w:ascii="Calibri" w:hAnsi="Calibri"/>
          <w:b/>
          <w:bCs/>
          <w:i w:val="0"/>
          <w:iCs w:val="0"/>
        </w:rPr>
        <w:t xml:space="preserve">The program itself and DFAT’s funding have concluded. </w:t>
      </w:r>
      <w:r w:rsidRPr="00B95FF9">
        <w:rPr>
          <w:rFonts w:ascii="Calibri" w:hAnsi="Calibri"/>
          <w:b/>
          <w:bCs/>
          <w:i w:val="0"/>
          <w:iCs w:val="0"/>
        </w:rPr>
        <w:t>DFAT’s management response to the Final Evaluation recommendations, follows:</w:t>
      </w:r>
    </w:p>
    <w:tbl>
      <w:tblPr>
        <w:tblStyle w:val="TableGrid"/>
        <w:tblpPr w:leftFromText="180" w:rightFromText="180" w:vertAnchor="page" w:horzAnchor="margin" w:tblpY="8471"/>
        <w:tblW w:w="9634" w:type="dxa"/>
        <w:tblLook w:val="04A0" w:firstRow="1" w:lastRow="0" w:firstColumn="1" w:lastColumn="0" w:noHBand="0" w:noVBand="1"/>
      </w:tblPr>
      <w:tblGrid>
        <w:gridCol w:w="5807"/>
        <w:gridCol w:w="992"/>
        <w:gridCol w:w="2835"/>
      </w:tblGrid>
      <w:tr w:rsidR="001F36E2" w:rsidRPr="001F36E2" w14:paraId="30E9487A" w14:textId="77777777" w:rsidTr="001F36E2">
        <w:tc>
          <w:tcPr>
            <w:tcW w:w="5807" w:type="dxa"/>
          </w:tcPr>
          <w:p w14:paraId="46F597F7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  <w:u w:val="single"/>
              </w:rPr>
              <w:t>Recommendation</w:t>
            </w:r>
          </w:p>
        </w:tc>
        <w:tc>
          <w:tcPr>
            <w:tcW w:w="992" w:type="dxa"/>
          </w:tcPr>
          <w:p w14:paraId="56D3BC04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  <w:u w:val="single"/>
              </w:rPr>
              <w:t xml:space="preserve">Response </w:t>
            </w:r>
          </w:p>
        </w:tc>
        <w:tc>
          <w:tcPr>
            <w:tcW w:w="2835" w:type="dxa"/>
          </w:tcPr>
          <w:p w14:paraId="13E0C4C4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  <w:u w:val="single"/>
              </w:rPr>
              <w:t>DFAT Comment</w:t>
            </w:r>
          </w:p>
        </w:tc>
      </w:tr>
      <w:tr w:rsidR="001F36E2" w:rsidRPr="001F36E2" w14:paraId="060B4127" w14:textId="77777777" w:rsidTr="001F36E2">
        <w:trPr>
          <w:trHeight w:val="932"/>
        </w:trPr>
        <w:tc>
          <w:tcPr>
            <w:tcW w:w="5807" w:type="dxa"/>
          </w:tcPr>
          <w:p w14:paraId="008E4FC8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Recommendation: Establish a Global Integrity Fund, managed by UNDP, that will be a facility for supporting innovative ideas on integration of anti-corruption into development objectives and SDG implementation. </w:t>
            </w:r>
            <w:r w:rsidRPr="00083464">
              <w:rPr>
                <w:bCs/>
                <w:color w:val="538135" w:themeColor="accent6" w:themeShade="BF"/>
                <w:sz w:val="18"/>
                <w:szCs w:val="18"/>
                <w:lang w:val="en-CA"/>
              </w:rPr>
              <w:t>MEDIUM-TERM</w:t>
            </w:r>
          </w:p>
        </w:tc>
        <w:tc>
          <w:tcPr>
            <w:tcW w:w="992" w:type="dxa"/>
          </w:tcPr>
          <w:p w14:paraId="6E976EDD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428511DE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6E5B01B2" w14:textId="77777777" w:rsidTr="001F36E2">
        <w:tc>
          <w:tcPr>
            <w:tcW w:w="5807" w:type="dxa"/>
          </w:tcPr>
          <w:p w14:paraId="78CF1DED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Recommendation: Continue to identify cutting edge ideas and approaches to anti-corruption work that can be piloted for real world application, but with the intent of identifying those that can be scaled up/replicated. </w:t>
            </w:r>
            <w:r w:rsidRPr="00083464">
              <w:rPr>
                <w:bCs/>
                <w:color w:val="2F5496" w:themeColor="accent1" w:themeShade="BF"/>
                <w:sz w:val="18"/>
                <w:szCs w:val="18"/>
                <w:lang w:val="en-CA"/>
              </w:rPr>
              <w:t>IMMEDIATE</w:t>
            </w:r>
          </w:p>
        </w:tc>
        <w:tc>
          <w:tcPr>
            <w:tcW w:w="992" w:type="dxa"/>
          </w:tcPr>
          <w:p w14:paraId="3CBC061B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14432123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38E482BC" w14:textId="77777777" w:rsidTr="001F36E2">
        <w:tc>
          <w:tcPr>
            <w:tcW w:w="5807" w:type="dxa"/>
          </w:tcPr>
          <w:p w14:paraId="345CFC88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Invest in a robust UNDP internal Community of Practice to support, inform and link anti-corruption expertise within the organisation. </w:t>
            </w:r>
            <w:r w:rsidRPr="00083464">
              <w:rPr>
                <w:bCs/>
                <w:color w:val="2F5496" w:themeColor="accent1" w:themeShade="BF"/>
                <w:sz w:val="18"/>
                <w:szCs w:val="18"/>
                <w:lang w:val="en-CA"/>
              </w:rPr>
              <w:t>IMMEDIATE</w:t>
            </w:r>
          </w:p>
        </w:tc>
        <w:tc>
          <w:tcPr>
            <w:tcW w:w="992" w:type="dxa"/>
          </w:tcPr>
          <w:p w14:paraId="6E50B26A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28D97183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22CC0276" w14:textId="77777777" w:rsidTr="001F36E2">
        <w:tc>
          <w:tcPr>
            <w:tcW w:w="5807" w:type="dxa"/>
          </w:tcPr>
          <w:p w14:paraId="31783F76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Continue to integrate anti-corruption principles and approaches into the broader UN development agenda. </w:t>
            </w:r>
            <w:r w:rsidRPr="00083464">
              <w:rPr>
                <w:bCs/>
                <w:color w:val="2F5496" w:themeColor="accent1" w:themeShade="BF"/>
                <w:sz w:val="18"/>
                <w:szCs w:val="18"/>
                <w:lang w:val="en-CA"/>
              </w:rPr>
              <w:t>IMMEDIATE</w:t>
            </w:r>
          </w:p>
        </w:tc>
        <w:tc>
          <w:tcPr>
            <w:tcW w:w="992" w:type="dxa"/>
          </w:tcPr>
          <w:p w14:paraId="6D27718C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1D3C0657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0D8B28F9" w14:textId="77777777" w:rsidTr="001F36E2">
        <w:tc>
          <w:tcPr>
            <w:tcW w:w="5807" w:type="dxa"/>
          </w:tcPr>
          <w:p w14:paraId="07872DF4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Expand UNDP support of integrity in public services to include new areas of work. </w:t>
            </w:r>
            <w:r w:rsidRPr="00083464">
              <w:rPr>
                <w:bCs/>
                <w:color w:val="538135" w:themeColor="accent6" w:themeShade="BF"/>
                <w:sz w:val="18"/>
                <w:szCs w:val="18"/>
                <w:lang w:val="en-CA"/>
              </w:rPr>
              <w:t>MEDIUM-TERM</w:t>
            </w:r>
          </w:p>
        </w:tc>
        <w:tc>
          <w:tcPr>
            <w:tcW w:w="992" w:type="dxa"/>
          </w:tcPr>
          <w:p w14:paraId="67FAAF3F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1721FA47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5528658E" w14:textId="77777777" w:rsidTr="001F36E2">
        <w:tc>
          <w:tcPr>
            <w:tcW w:w="5807" w:type="dxa"/>
          </w:tcPr>
          <w:p w14:paraId="2EAF8E42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>UNDP should expand outreach to corporations that have a proven commitment to business integrity and have already put in place corporate training and engagement departments in line with global anti-corruption priorities</w:t>
            </w:r>
            <w:r w:rsidRPr="00083464">
              <w:rPr>
                <w:bCs/>
                <w:color w:val="538135" w:themeColor="accent6" w:themeShade="BF"/>
                <w:sz w:val="18"/>
                <w:szCs w:val="18"/>
                <w:lang w:val="en-CA"/>
              </w:rPr>
              <w:t>. MEDIUM-TERM</w:t>
            </w:r>
          </w:p>
        </w:tc>
        <w:tc>
          <w:tcPr>
            <w:tcW w:w="992" w:type="dxa"/>
          </w:tcPr>
          <w:p w14:paraId="1FF13D7D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04D0B124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72DA418A" w14:textId="77777777" w:rsidTr="001F36E2">
        <w:tc>
          <w:tcPr>
            <w:tcW w:w="5807" w:type="dxa"/>
          </w:tcPr>
          <w:p w14:paraId="09CCCA43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>Position UNDP as the focal point for integrating anti-corruption in the UN development agenda.</w:t>
            </w:r>
          </w:p>
          <w:p w14:paraId="10781F5F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083464">
              <w:rPr>
                <w:bCs/>
                <w:color w:val="2F5496" w:themeColor="accent1" w:themeShade="BF"/>
                <w:sz w:val="18"/>
                <w:szCs w:val="18"/>
                <w:lang w:val="en-CA"/>
              </w:rPr>
              <w:t>IMMEDIATE</w:t>
            </w:r>
          </w:p>
        </w:tc>
        <w:tc>
          <w:tcPr>
            <w:tcW w:w="992" w:type="dxa"/>
          </w:tcPr>
          <w:p w14:paraId="6B58275F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2FEB59A1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will be implemented by UNDP</w:t>
            </w:r>
          </w:p>
        </w:tc>
      </w:tr>
      <w:tr w:rsidR="001F36E2" w:rsidRPr="001F36E2" w14:paraId="47EBE629" w14:textId="77777777" w:rsidTr="001F36E2">
        <w:tc>
          <w:tcPr>
            <w:tcW w:w="5807" w:type="dxa"/>
          </w:tcPr>
          <w:p w14:paraId="3A1132FC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Explore how digitalisation has positively impacted the role of women in the fight against corruption. </w:t>
            </w:r>
            <w:r w:rsidRPr="00083464">
              <w:rPr>
                <w:bCs/>
                <w:color w:val="538135" w:themeColor="accent6" w:themeShade="BF"/>
                <w:sz w:val="18"/>
                <w:szCs w:val="18"/>
                <w:lang w:val="en-CA"/>
              </w:rPr>
              <w:t>MEDIUM-TERM</w:t>
            </w:r>
          </w:p>
        </w:tc>
        <w:tc>
          <w:tcPr>
            <w:tcW w:w="992" w:type="dxa"/>
          </w:tcPr>
          <w:p w14:paraId="40DDBE18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15D282AD" w14:textId="77777777" w:rsidR="001F36E2" w:rsidRPr="001F36E2" w:rsidRDefault="001F36E2" w:rsidP="001F36E2">
            <w:pPr>
              <w:spacing w:after="0"/>
              <w:rPr>
                <w:sz w:val="18"/>
                <w:szCs w:val="18"/>
              </w:rPr>
            </w:pPr>
            <w:r w:rsidRPr="001F36E2">
              <w:rPr>
                <w:sz w:val="18"/>
                <w:szCs w:val="18"/>
              </w:rPr>
              <w:t>This recommendation and will be implemented by UNDP</w:t>
            </w:r>
          </w:p>
        </w:tc>
      </w:tr>
      <w:tr w:rsidR="001F36E2" w:rsidRPr="001F36E2" w14:paraId="0FDDDDC4" w14:textId="77777777" w:rsidTr="001F36E2">
        <w:tc>
          <w:tcPr>
            <w:tcW w:w="5807" w:type="dxa"/>
          </w:tcPr>
          <w:p w14:paraId="3FE99F64" w14:textId="77777777" w:rsidR="001F36E2" w:rsidRPr="001F36E2" w:rsidRDefault="001F36E2" w:rsidP="001F36E2">
            <w:pPr>
              <w:spacing w:after="0"/>
              <w:rPr>
                <w:bCs/>
                <w:sz w:val="18"/>
                <w:szCs w:val="18"/>
                <w:lang w:val="en-CA"/>
              </w:rPr>
            </w:pPr>
            <w:r w:rsidRPr="001F36E2">
              <w:rPr>
                <w:bCs/>
                <w:sz w:val="18"/>
                <w:szCs w:val="18"/>
                <w:lang w:val="en-CA"/>
              </w:rPr>
              <w:t xml:space="preserve">Promote the adoption of national rules and systems to ensure Beneficial Ownership and transparency in corporate filings. </w:t>
            </w:r>
            <w:r w:rsidRPr="00083464">
              <w:rPr>
                <w:bCs/>
                <w:color w:val="538135" w:themeColor="accent6" w:themeShade="BF"/>
                <w:sz w:val="18"/>
                <w:szCs w:val="18"/>
                <w:lang w:val="en-CA"/>
              </w:rPr>
              <w:t>MEDIUM-TERM</w:t>
            </w:r>
          </w:p>
        </w:tc>
        <w:tc>
          <w:tcPr>
            <w:tcW w:w="992" w:type="dxa"/>
          </w:tcPr>
          <w:p w14:paraId="009499C5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bCs/>
                <w:sz w:val="18"/>
                <w:szCs w:val="18"/>
              </w:rPr>
              <w:t>Agree</w:t>
            </w:r>
          </w:p>
        </w:tc>
        <w:tc>
          <w:tcPr>
            <w:tcW w:w="2835" w:type="dxa"/>
          </w:tcPr>
          <w:p w14:paraId="5FDBD742" w14:textId="77777777" w:rsidR="001F36E2" w:rsidRPr="001F36E2" w:rsidRDefault="001F36E2" w:rsidP="001F36E2">
            <w:pPr>
              <w:rPr>
                <w:bCs/>
                <w:sz w:val="18"/>
                <w:szCs w:val="18"/>
                <w:u w:val="single"/>
              </w:rPr>
            </w:pPr>
            <w:r w:rsidRPr="001F36E2">
              <w:rPr>
                <w:sz w:val="18"/>
                <w:szCs w:val="18"/>
              </w:rPr>
              <w:t>This recommendation and will be implemented by UNDP</w:t>
            </w:r>
          </w:p>
        </w:tc>
      </w:tr>
    </w:tbl>
    <w:p w14:paraId="5CE42EF8" w14:textId="77777777" w:rsidR="001F36E2" w:rsidRPr="001F36E2" w:rsidRDefault="001F36E2">
      <w:pPr>
        <w:spacing w:after="0" w:line="240" w:lineRule="auto"/>
        <w:rPr>
          <w:rFonts w:ascii="Calibri" w:hAnsi="Calibri"/>
          <w:b/>
          <w:bCs/>
          <w:i w:val="0"/>
          <w:iCs w:val="0"/>
        </w:rPr>
      </w:pPr>
    </w:p>
    <w:sectPr w:rsidR="001F36E2" w:rsidRPr="001F36E2" w:rsidSect="001F36E2">
      <w:pgSz w:w="11906" w:h="16838"/>
      <w:pgMar w:top="1135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CB7D" w14:textId="77777777" w:rsidR="00786905" w:rsidRDefault="00786905" w:rsidP="009136DC">
      <w:pPr>
        <w:spacing w:after="0" w:line="240" w:lineRule="auto"/>
      </w:pPr>
      <w:r>
        <w:separator/>
      </w:r>
    </w:p>
  </w:endnote>
  <w:endnote w:type="continuationSeparator" w:id="0">
    <w:p w14:paraId="624CC7E1" w14:textId="77777777" w:rsidR="00786905" w:rsidRDefault="00786905" w:rsidP="0091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176D7" w14:textId="77777777" w:rsidR="00786905" w:rsidRDefault="00786905" w:rsidP="009136DC">
      <w:pPr>
        <w:spacing w:after="0" w:line="240" w:lineRule="auto"/>
      </w:pPr>
      <w:r>
        <w:separator/>
      </w:r>
    </w:p>
  </w:footnote>
  <w:footnote w:type="continuationSeparator" w:id="0">
    <w:p w14:paraId="6BD69CE3" w14:textId="77777777" w:rsidR="00786905" w:rsidRDefault="00786905" w:rsidP="0091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C"/>
    <w:rsid w:val="00014ABD"/>
    <w:rsid w:val="00083464"/>
    <w:rsid w:val="00184EF3"/>
    <w:rsid w:val="001F36E2"/>
    <w:rsid w:val="00786905"/>
    <w:rsid w:val="009136DC"/>
    <w:rsid w:val="00A57820"/>
    <w:rsid w:val="00D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BFA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DC"/>
    <w:pPr>
      <w:spacing w:after="200" w:line="288" w:lineRule="auto"/>
    </w:pPr>
    <w:rPr>
      <w:rFonts w:eastAsiaTheme="minorEastAsia"/>
      <w:i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464"/>
    <w:pPr>
      <w:spacing w:after="0" w:line="240" w:lineRule="auto"/>
      <w:outlineLvl w:val="0"/>
    </w:pPr>
    <w:rPr>
      <w:rFonts w:ascii="Calibri" w:hAnsi="Calibri" w:cstheme="minorHAnsi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64"/>
    <w:pPr>
      <w:spacing w:after="0"/>
      <w:outlineLvl w:val="1"/>
    </w:pPr>
    <w:rPr>
      <w:rFonts w:ascii="Calibri" w:hAnsi="Calibri"/>
      <w:color w:val="333333"/>
      <w:u w:val="single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464"/>
    <w:rPr>
      <w:rFonts w:ascii="Calibri" w:eastAsiaTheme="minorEastAsia" w:hAnsi="Calibri" w:cstheme="minorHAnsi"/>
      <w:b/>
      <w:bCs/>
      <w:i/>
      <w:iCs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3464"/>
    <w:rPr>
      <w:rFonts w:ascii="Calibri" w:eastAsiaTheme="minorEastAsia" w:hAnsi="Calibri"/>
      <w:i/>
      <w:iCs/>
      <w:color w:val="333333"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409"/>
    <w:rPr>
      <w:rFonts w:eastAsiaTheme="minorEastAsia"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409"/>
    <w:rPr>
      <w:rFonts w:eastAsiaTheme="minorEastAsia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3384</Characters>
  <Application>Microsoft Office Word</Application>
  <DocSecurity>0</DocSecurity>
  <Lines>82</Lines>
  <Paragraphs>47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Final Evaluation DFAT Response</dc:title>
  <dc:subject/>
  <dc:creator/>
  <cp:keywords/>
  <dc:description/>
  <cp:lastModifiedBy/>
  <cp:revision>1</cp:revision>
  <dcterms:created xsi:type="dcterms:W3CDTF">2022-03-25T01:19:00Z</dcterms:created>
  <dcterms:modified xsi:type="dcterms:W3CDTF">2022-03-25T01:19:00Z</dcterms:modified>
  <cp:category/>
</cp:coreProperties>
</file>