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DA9" w:rsidRPr="00655862" w:rsidRDefault="00F93DA9" w:rsidP="00655862">
      <w:pPr>
        <w:jc w:val="center"/>
        <w:rPr>
          <w:rFonts w:cs="Arial"/>
          <w:b/>
          <w:sz w:val="28"/>
          <w:szCs w:val="22"/>
        </w:rPr>
      </w:pPr>
      <w:bookmarkStart w:id="0" w:name="_GoBack"/>
      <w:bookmarkEnd w:id="0"/>
      <w:r w:rsidRPr="00B21C54">
        <w:rPr>
          <w:rFonts w:cs="Arial"/>
          <w:b/>
          <w:sz w:val="28"/>
          <w:szCs w:val="22"/>
        </w:rPr>
        <w:t>Annual Review</w:t>
      </w:r>
      <w:r>
        <w:rPr>
          <w:rFonts w:cs="Arial"/>
          <w:b/>
          <w:sz w:val="28"/>
          <w:szCs w:val="22"/>
        </w:rPr>
        <w:t xml:space="preserve"> </w:t>
      </w:r>
      <w:r w:rsidRPr="00B21C54">
        <w:rPr>
          <w:rFonts w:cs="Arial"/>
          <w:b/>
          <w:sz w:val="28"/>
          <w:szCs w:val="22"/>
        </w:rPr>
        <w:t>- Summary Sheet</w:t>
      </w:r>
    </w:p>
    <w:p w:rsidR="00F93DA9" w:rsidRPr="00B21C54" w:rsidRDefault="00F93DA9" w:rsidP="00F93DA9">
      <w:pPr>
        <w:rPr>
          <w:b/>
          <w:sz w:val="6"/>
          <w:szCs w:val="22"/>
        </w:rPr>
      </w:pPr>
    </w:p>
    <w:tbl>
      <w:tblPr>
        <w:tblW w:w="10463" w:type="dxa"/>
        <w:tblBorders>
          <w:top w:val="single" w:sz="18" w:space="0" w:color="auto"/>
          <w:left w:val="single" w:sz="18" w:space="0" w:color="auto"/>
          <w:bottom w:val="single" w:sz="18" w:space="0" w:color="auto"/>
          <w:right w:val="single" w:sz="18" w:space="0" w:color="auto"/>
          <w:insideH w:val="dotted" w:sz="2" w:space="0" w:color="000000"/>
          <w:insideV w:val="dotted" w:sz="2" w:space="0" w:color="000000"/>
        </w:tblBorders>
        <w:tblCellMar>
          <w:top w:w="29" w:type="dxa"/>
          <w:left w:w="115" w:type="dxa"/>
          <w:bottom w:w="29" w:type="dxa"/>
          <w:right w:w="115" w:type="dxa"/>
        </w:tblCellMar>
        <w:tblLook w:val="04A0" w:firstRow="1" w:lastRow="0" w:firstColumn="1" w:lastColumn="0" w:noHBand="0" w:noVBand="1"/>
      </w:tblPr>
      <w:tblGrid>
        <w:gridCol w:w="3570"/>
        <w:gridCol w:w="3349"/>
        <w:gridCol w:w="3544"/>
      </w:tblGrid>
      <w:tr w:rsidR="00F93DA9" w:rsidRPr="00B21C54" w:rsidTr="0011578C">
        <w:trPr>
          <w:trHeight w:val="422"/>
        </w:trPr>
        <w:tc>
          <w:tcPr>
            <w:tcW w:w="10463" w:type="dxa"/>
            <w:gridSpan w:val="3"/>
            <w:shd w:val="clear" w:color="auto" w:fill="D1DFEF"/>
            <w:vAlign w:val="center"/>
          </w:tcPr>
          <w:p w:rsidR="00F93DA9" w:rsidRPr="00B21C54" w:rsidRDefault="00F93DA9" w:rsidP="00F93DA9">
            <w:pPr>
              <w:rPr>
                <w:b/>
                <w:sz w:val="22"/>
                <w:szCs w:val="22"/>
              </w:rPr>
            </w:pPr>
            <w:r w:rsidRPr="00B21C54">
              <w:rPr>
                <w:b/>
                <w:sz w:val="22"/>
                <w:szCs w:val="22"/>
              </w:rPr>
              <w:t xml:space="preserve">Title:  </w:t>
            </w:r>
            <w:r w:rsidR="0055212D" w:rsidRPr="0055212D">
              <w:rPr>
                <w:b/>
              </w:rPr>
              <w:t>Chars Livelihoods Programme Phase II (CLP-2)</w:t>
            </w:r>
          </w:p>
        </w:tc>
      </w:tr>
      <w:tr w:rsidR="00F93DA9" w:rsidRPr="00B21C54" w:rsidTr="005E2ED8">
        <w:trPr>
          <w:trHeight w:val="413"/>
        </w:trPr>
        <w:tc>
          <w:tcPr>
            <w:tcW w:w="6919" w:type="dxa"/>
            <w:gridSpan w:val="2"/>
            <w:shd w:val="clear" w:color="auto" w:fill="D1DFEF"/>
            <w:vAlign w:val="center"/>
          </w:tcPr>
          <w:p w:rsidR="00F93DA9" w:rsidRPr="00B21C54" w:rsidRDefault="00F93DA9" w:rsidP="0011578C">
            <w:pPr>
              <w:rPr>
                <w:b/>
                <w:sz w:val="22"/>
                <w:szCs w:val="22"/>
              </w:rPr>
            </w:pPr>
            <w:r w:rsidRPr="00B21C54">
              <w:rPr>
                <w:b/>
                <w:sz w:val="22"/>
                <w:szCs w:val="22"/>
              </w:rPr>
              <w:t xml:space="preserve">Programme Value: </w:t>
            </w:r>
            <w:r w:rsidRPr="00351DD0">
              <w:rPr>
                <w:b/>
                <w:sz w:val="22"/>
                <w:szCs w:val="22"/>
              </w:rPr>
              <w:t>£</w:t>
            </w:r>
            <w:r w:rsidR="0011578C">
              <w:rPr>
                <w:b/>
                <w:sz w:val="22"/>
                <w:szCs w:val="22"/>
              </w:rPr>
              <w:t xml:space="preserve">81.7 </w:t>
            </w:r>
            <w:r w:rsidRPr="00B21C54">
              <w:rPr>
                <w:sz w:val="22"/>
                <w:szCs w:val="22"/>
              </w:rPr>
              <w:t>(including £</w:t>
            </w:r>
            <w:r w:rsidR="0011578C">
              <w:rPr>
                <w:sz w:val="22"/>
                <w:szCs w:val="22"/>
              </w:rPr>
              <w:t>9.1</w:t>
            </w:r>
            <w:r w:rsidRPr="00B21C54">
              <w:rPr>
                <w:sz w:val="22"/>
                <w:szCs w:val="22"/>
              </w:rPr>
              <w:t xml:space="preserve">m from </w:t>
            </w:r>
            <w:r>
              <w:rPr>
                <w:sz w:val="22"/>
                <w:szCs w:val="22"/>
              </w:rPr>
              <w:t>DFAT Australia)</w:t>
            </w:r>
          </w:p>
        </w:tc>
        <w:tc>
          <w:tcPr>
            <w:tcW w:w="3544" w:type="dxa"/>
            <w:shd w:val="clear" w:color="auto" w:fill="D1DFEF"/>
            <w:vAlign w:val="center"/>
          </w:tcPr>
          <w:p w:rsidR="00F93DA9" w:rsidRPr="00B21C54" w:rsidRDefault="00F93DA9" w:rsidP="00AD689D">
            <w:pPr>
              <w:rPr>
                <w:b/>
                <w:sz w:val="22"/>
                <w:szCs w:val="22"/>
              </w:rPr>
            </w:pPr>
            <w:r w:rsidRPr="00B21C54">
              <w:rPr>
                <w:b/>
                <w:sz w:val="22"/>
                <w:szCs w:val="22"/>
              </w:rPr>
              <w:t>Review Date:</w:t>
            </w:r>
            <w:r>
              <w:rPr>
                <w:b/>
                <w:sz w:val="22"/>
                <w:szCs w:val="22"/>
              </w:rPr>
              <w:t xml:space="preserve"> </w:t>
            </w:r>
            <w:r w:rsidR="00AB11CD">
              <w:rPr>
                <w:sz w:val="22"/>
                <w:szCs w:val="22"/>
              </w:rPr>
              <w:t xml:space="preserve"> </w:t>
            </w:r>
            <w:r w:rsidR="005E2ED8">
              <w:rPr>
                <w:sz w:val="22"/>
                <w:szCs w:val="22"/>
              </w:rPr>
              <w:t>17 February</w:t>
            </w:r>
            <w:r>
              <w:rPr>
                <w:sz w:val="22"/>
                <w:szCs w:val="22"/>
              </w:rPr>
              <w:t xml:space="preserve"> 2015</w:t>
            </w:r>
          </w:p>
        </w:tc>
      </w:tr>
      <w:tr w:rsidR="00F93DA9" w:rsidRPr="00B21C54" w:rsidTr="007A5BBD">
        <w:trPr>
          <w:trHeight w:val="136"/>
        </w:trPr>
        <w:tc>
          <w:tcPr>
            <w:tcW w:w="3570" w:type="dxa"/>
            <w:shd w:val="clear" w:color="auto" w:fill="D1DFEF"/>
            <w:vAlign w:val="center"/>
          </w:tcPr>
          <w:p w:rsidR="00F93DA9" w:rsidRPr="00B21C54" w:rsidRDefault="00F93DA9" w:rsidP="00F93DA9">
            <w:pPr>
              <w:rPr>
                <w:b/>
                <w:sz w:val="22"/>
                <w:szCs w:val="22"/>
              </w:rPr>
            </w:pPr>
            <w:r w:rsidRPr="00B21C54">
              <w:rPr>
                <w:b/>
                <w:sz w:val="22"/>
                <w:szCs w:val="22"/>
              </w:rPr>
              <w:t>Programme Code:</w:t>
            </w:r>
            <w:r>
              <w:rPr>
                <w:b/>
                <w:sz w:val="22"/>
                <w:szCs w:val="22"/>
              </w:rPr>
              <w:t xml:space="preserve">  </w:t>
            </w:r>
            <w:r w:rsidR="0011578C" w:rsidRPr="003E113B">
              <w:rPr>
                <w:sz w:val="22"/>
                <w:szCs w:val="22"/>
              </w:rPr>
              <w:t>114175</w:t>
            </w:r>
          </w:p>
        </w:tc>
        <w:tc>
          <w:tcPr>
            <w:tcW w:w="3349" w:type="dxa"/>
            <w:shd w:val="clear" w:color="auto" w:fill="D1DFEF"/>
            <w:vAlign w:val="center"/>
          </w:tcPr>
          <w:p w:rsidR="00F93DA9" w:rsidRPr="00B21C54" w:rsidRDefault="00F93DA9" w:rsidP="00F93DA9">
            <w:pPr>
              <w:rPr>
                <w:b/>
                <w:sz w:val="22"/>
                <w:szCs w:val="22"/>
              </w:rPr>
            </w:pPr>
            <w:r w:rsidRPr="00B21C54">
              <w:rPr>
                <w:b/>
                <w:sz w:val="22"/>
                <w:szCs w:val="22"/>
              </w:rPr>
              <w:t>Start Date:</w:t>
            </w:r>
            <w:r>
              <w:rPr>
                <w:b/>
                <w:sz w:val="22"/>
                <w:szCs w:val="22"/>
              </w:rPr>
              <w:t xml:space="preserve">  </w:t>
            </w:r>
            <w:r w:rsidR="0055212D" w:rsidRPr="0055212D">
              <w:rPr>
                <w:sz w:val="22"/>
                <w:szCs w:val="22"/>
              </w:rPr>
              <w:t>1 April 2010</w:t>
            </w:r>
          </w:p>
        </w:tc>
        <w:tc>
          <w:tcPr>
            <w:tcW w:w="3544" w:type="dxa"/>
            <w:shd w:val="clear" w:color="auto" w:fill="D1DFEF"/>
            <w:vAlign w:val="center"/>
          </w:tcPr>
          <w:p w:rsidR="00F93DA9" w:rsidRPr="00B21C54" w:rsidRDefault="00F93DA9" w:rsidP="00C6093D">
            <w:pPr>
              <w:rPr>
                <w:b/>
                <w:sz w:val="22"/>
                <w:szCs w:val="22"/>
              </w:rPr>
            </w:pPr>
            <w:r w:rsidRPr="00B21C54">
              <w:rPr>
                <w:b/>
                <w:sz w:val="22"/>
                <w:szCs w:val="22"/>
              </w:rPr>
              <w:t>End Date:</w:t>
            </w:r>
            <w:r>
              <w:rPr>
                <w:b/>
                <w:sz w:val="22"/>
                <w:szCs w:val="22"/>
              </w:rPr>
              <w:t xml:space="preserve">  </w:t>
            </w:r>
            <w:r w:rsidR="00C6093D">
              <w:rPr>
                <w:sz w:val="22"/>
                <w:szCs w:val="22"/>
              </w:rPr>
              <w:t>31</w:t>
            </w:r>
            <w:r w:rsidR="0011578C">
              <w:rPr>
                <w:sz w:val="22"/>
                <w:szCs w:val="22"/>
              </w:rPr>
              <w:t xml:space="preserve"> </w:t>
            </w:r>
            <w:r w:rsidR="00C6093D">
              <w:rPr>
                <w:sz w:val="22"/>
                <w:szCs w:val="22"/>
              </w:rPr>
              <w:t>March</w:t>
            </w:r>
            <w:r w:rsidR="0011578C" w:rsidRPr="002801EE">
              <w:rPr>
                <w:sz w:val="22"/>
                <w:szCs w:val="22"/>
              </w:rPr>
              <w:t xml:space="preserve"> </w:t>
            </w:r>
            <w:r w:rsidR="0011578C">
              <w:rPr>
                <w:sz w:val="22"/>
                <w:szCs w:val="22"/>
              </w:rPr>
              <w:t>2016</w:t>
            </w:r>
          </w:p>
        </w:tc>
      </w:tr>
    </w:tbl>
    <w:p w:rsidR="00F93DA9" w:rsidRPr="00B21C54" w:rsidRDefault="00F93DA9" w:rsidP="00F93DA9">
      <w:pPr>
        <w:pStyle w:val="Heading2"/>
      </w:pPr>
      <w:r w:rsidRPr="00B21C54">
        <w:t xml:space="preserve">Summary of Programme Performance </w:t>
      </w:r>
    </w:p>
    <w:tbl>
      <w:tblPr>
        <w:tblW w:w="1046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675"/>
        <w:gridCol w:w="1013"/>
        <w:gridCol w:w="1396"/>
        <w:gridCol w:w="2268"/>
        <w:gridCol w:w="2410"/>
        <w:gridCol w:w="1701"/>
      </w:tblGrid>
      <w:tr w:rsidR="00AE6AA8" w:rsidRPr="00B21C54" w:rsidTr="00526634">
        <w:tc>
          <w:tcPr>
            <w:tcW w:w="1675" w:type="dxa"/>
            <w:shd w:val="clear" w:color="auto" w:fill="D1DFEF"/>
            <w:vAlign w:val="center"/>
          </w:tcPr>
          <w:p w:rsidR="0090784B" w:rsidRPr="00B21C54" w:rsidRDefault="0090784B" w:rsidP="00F93DA9">
            <w:pPr>
              <w:rPr>
                <w:b/>
                <w:sz w:val="22"/>
                <w:szCs w:val="22"/>
              </w:rPr>
            </w:pPr>
            <w:r w:rsidRPr="00B21C54">
              <w:rPr>
                <w:b/>
                <w:sz w:val="22"/>
                <w:szCs w:val="22"/>
              </w:rPr>
              <w:t>Year</w:t>
            </w:r>
          </w:p>
        </w:tc>
        <w:tc>
          <w:tcPr>
            <w:tcW w:w="1013" w:type="dxa"/>
            <w:shd w:val="clear" w:color="auto" w:fill="D1DFEF"/>
          </w:tcPr>
          <w:p w:rsidR="0090784B" w:rsidRPr="00D35D85" w:rsidRDefault="0090784B" w:rsidP="00F93DA9">
            <w:pPr>
              <w:jc w:val="center"/>
              <w:rPr>
                <w:sz w:val="22"/>
                <w:szCs w:val="22"/>
              </w:rPr>
            </w:pPr>
            <w:r>
              <w:rPr>
                <w:sz w:val="22"/>
                <w:szCs w:val="22"/>
              </w:rPr>
              <w:t>2011</w:t>
            </w:r>
          </w:p>
        </w:tc>
        <w:tc>
          <w:tcPr>
            <w:tcW w:w="1396" w:type="dxa"/>
            <w:shd w:val="clear" w:color="auto" w:fill="D1DFEF"/>
            <w:vAlign w:val="center"/>
          </w:tcPr>
          <w:p w:rsidR="0090784B" w:rsidRPr="00D35D85" w:rsidRDefault="0090784B" w:rsidP="00F93DA9">
            <w:pPr>
              <w:jc w:val="center"/>
              <w:rPr>
                <w:sz w:val="22"/>
                <w:szCs w:val="22"/>
              </w:rPr>
            </w:pPr>
            <w:r w:rsidRPr="00D35D85">
              <w:rPr>
                <w:sz w:val="22"/>
                <w:szCs w:val="22"/>
              </w:rPr>
              <w:t>2012</w:t>
            </w:r>
          </w:p>
        </w:tc>
        <w:tc>
          <w:tcPr>
            <w:tcW w:w="2268" w:type="dxa"/>
            <w:shd w:val="clear" w:color="auto" w:fill="D1DFEF"/>
            <w:vAlign w:val="center"/>
          </w:tcPr>
          <w:p w:rsidR="0090784B" w:rsidRPr="00D35D85" w:rsidRDefault="0090784B" w:rsidP="00F93DA9">
            <w:pPr>
              <w:jc w:val="center"/>
              <w:rPr>
                <w:sz w:val="22"/>
                <w:szCs w:val="22"/>
              </w:rPr>
            </w:pPr>
            <w:r w:rsidRPr="00D35D85">
              <w:rPr>
                <w:sz w:val="22"/>
                <w:szCs w:val="22"/>
              </w:rPr>
              <w:t>2013</w:t>
            </w:r>
          </w:p>
        </w:tc>
        <w:tc>
          <w:tcPr>
            <w:tcW w:w="2410" w:type="dxa"/>
            <w:tcBorders>
              <w:right w:val="single" w:sz="18" w:space="0" w:color="auto"/>
            </w:tcBorders>
            <w:shd w:val="clear" w:color="auto" w:fill="D1DFEF"/>
            <w:vAlign w:val="center"/>
          </w:tcPr>
          <w:p w:rsidR="0090784B" w:rsidRPr="00D35D85" w:rsidRDefault="0090784B" w:rsidP="00F93DA9">
            <w:pPr>
              <w:jc w:val="center"/>
              <w:rPr>
                <w:sz w:val="22"/>
                <w:szCs w:val="22"/>
              </w:rPr>
            </w:pPr>
            <w:r w:rsidRPr="00D35D85">
              <w:rPr>
                <w:sz w:val="22"/>
                <w:szCs w:val="22"/>
              </w:rPr>
              <w:t>2014</w:t>
            </w:r>
          </w:p>
        </w:tc>
        <w:tc>
          <w:tcPr>
            <w:tcW w:w="1701" w:type="dxa"/>
            <w:tcBorders>
              <w:top w:val="single" w:sz="18" w:space="0" w:color="auto"/>
              <w:left w:val="single" w:sz="18" w:space="0" w:color="auto"/>
              <w:bottom w:val="single" w:sz="4" w:space="0" w:color="auto"/>
              <w:right w:val="single" w:sz="18" w:space="0" w:color="auto"/>
            </w:tcBorders>
            <w:shd w:val="clear" w:color="auto" w:fill="D1DFEF"/>
            <w:vAlign w:val="center"/>
          </w:tcPr>
          <w:p w:rsidR="0090784B" w:rsidRPr="00B21C54" w:rsidRDefault="0090784B" w:rsidP="00F93DA9">
            <w:pPr>
              <w:jc w:val="center"/>
              <w:rPr>
                <w:b/>
                <w:sz w:val="22"/>
                <w:szCs w:val="22"/>
              </w:rPr>
            </w:pPr>
            <w:r w:rsidRPr="00B21C54">
              <w:rPr>
                <w:b/>
                <w:sz w:val="22"/>
                <w:szCs w:val="22"/>
              </w:rPr>
              <w:t>201</w:t>
            </w:r>
            <w:r>
              <w:rPr>
                <w:b/>
                <w:sz w:val="22"/>
                <w:szCs w:val="22"/>
              </w:rPr>
              <w:t>5</w:t>
            </w:r>
          </w:p>
        </w:tc>
      </w:tr>
      <w:tr w:rsidR="00AE6AA8" w:rsidRPr="00B21C54" w:rsidTr="007A5BBD">
        <w:trPr>
          <w:trHeight w:val="873"/>
        </w:trPr>
        <w:tc>
          <w:tcPr>
            <w:tcW w:w="1675" w:type="dxa"/>
            <w:shd w:val="clear" w:color="auto" w:fill="D1DFEF"/>
            <w:vAlign w:val="center"/>
          </w:tcPr>
          <w:p w:rsidR="0090784B" w:rsidRPr="00B21C54" w:rsidRDefault="0090784B" w:rsidP="00F93DA9">
            <w:pPr>
              <w:rPr>
                <w:b/>
                <w:sz w:val="22"/>
                <w:szCs w:val="22"/>
              </w:rPr>
            </w:pPr>
            <w:r w:rsidRPr="00B21C54">
              <w:rPr>
                <w:b/>
                <w:sz w:val="22"/>
                <w:szCs w:val="22"/>
              </w:rPr>
              <w:t>Programme Score</w:t>
            </w:r>
          </w:p>
        </w:tc>
        <w:tc>
          <w:tcPr>
            <w:tcW w:w="1013" w:type="dxa"/>
            <w:shd w:val="clear" w:color="auto" w:fill="D1DFEF"/>
          </w:tcPr>
          <w:p w:rsidR="0090784B" w:rsidRPr="00D35D85" w:rsidRDefault="0090784B" w:rsidP="0055212D">
            <w:pPr>
              <w:jc w:val="center"/>
              <w:rPr>
                <w:sz w:val="22"/>
                <w:szCs w:val="22"/>
              </w:rPr>
            </w:pPr>
            <w:r>
              <w:rPr>
                <w:sz w:val="22"/>
                <w:szCs w:val="22"/>
              </w:rPr>
              <w:t>2</w:t>
            </w:r>
          </w:p>
        </w:tc>
        <w:tc>
          <w:tcPr>
            <w:tcW w:w="1396" w:type="dxa"/>
            <w:shd w:val="clear" w:color="auto" w:fill="D1DFEF"/>
            <w:vAlign w:val="center"/>
          </w:tcPr>
          <w:p w:rsidR="0090784B" w:rsidRPr="00D35D85" w:rsidRDefault="0090784B" w:rsidP="0055212D">
            <w:pPr>
              <w:jc w:val="center"/>
              <w:rPr>
                <w:bCs/>
                <w:sz w:val="22"/>
                <w:szCs w:val="22"/>
              </w:rPr>
            </w:pPr>
            <w:r w:rsidRPr="00D35D85">
              <w:rPr>
                <w:sz w:val="22"/>
                <w:szCs w:val="22"/>
              </w:rPr>
              <w:t xml:space="preserve"> </w:t>
            </w:r>
            <w:r w:rsidRPr="00D35D85">
              <w:rPr>
                <w:bCs/>
                <w:sz w:val="22"/>
                <w:szCs w:val="22"/>
                <w:u w:val="single"/>
              </w:rPr>
              <w:t xml:space="preserve">A </w:t>
            </w:r>
            <w:r w:rsidRPr="00D35D85">
              <w:rPr>
                <w:bCs/>
                <w:sz w:val="22"/>
                <w:szCs w:val="22"/>
              </w:rPr>
              <w:t xml:space="preserve">: </w:t>
            </w:r>
            <w:r w:rsidRPr="00D35D85">
              <w:rPr>
                <w:rFonts w:cs="Arial"/>
                <w:bCs/>
                <w:sz w:val="22"/>
                <w:szCs w:val="22"/>
              </w:rPr>
              <w:t>Outputs</w:t>
            </w:r>
            <w:r w:rsidRPr="00D35D85">
              <w:rPr>
                <w:bCs/>
                <w:sz w:val="22"/>
                <w:szCs w:val="22"/>
              </w:rPr>
              <w:t xml:space="preserve"> met expectation</w:t>
            </w:r>
          </w:p>
          <w:p w:rsidR="0090784B" w:rsidRPr="00D35D85" w:rsidRDefault="0090784B" w:rsidP="00F93DA9">
            <w:pPr>
              <w:jc w:val="center"/>
              <w:rPr>
                <w:sz w:val="22"/>
                <w:szCs w:val="22"/>
              </w:rPr>
            </w:pPr>
          </w:p>
        </w:tc>
        <w:tc>
          <w:tcPr>
            <w:tcW w:w="2268" w:type="dxa"/>
            <w:shd w:val="clear" w:color="auto" w:fill="D1DFEF"/>
            <w:vAlign w:val="center"/>
          </w:tcPr>
          <w:p w:rsidR="0090784B" w:rsidRPr="00D35D85" w:rsidRDefault="0090784B" w:rsidP="00F93DA9">
            <w:pPr>
              <w:jc w:val="center"/>
              <w:rPr>
                <w:sz w:val="22"/>
                <w:szCs w:val="22"/>
              </w:rPr>
            </w:pPr>
            <w:r w:rsidRPr="00D35D85">
              <w:rPr>
                <w:rFonts w:cs="Arial"/>
                <w:bCs/>
                <w:sz w:val="22"/>
                <w:szCs w:val="22"/>
                <w:u w:val="single"/>
              </w:rPr>
              <w:t>A+</w:t>
            </w:r>
            <w:r w:rsidRPr="00D35D85">
              <w:rPr>
                <w:rFonts w:cs="Arial"/>
                <w:bCs/>
                <w:sz w:val="22"/>
                <w:szCs w:val="22"/>
              </w:rPr>
              <w:t xml:space="preserve"> - Outputs moderately exceeded expectation</w:t>
            </w:r>
            <w:r w:rsidRPr="00D35D85">
              <w:rPr>
                <w:sz w:val="22"/>
                <w:szCs w:val="22"/>
              </w:rPr>
              <w:t xml:space="preserve"> </w:t>
            </w:r>
          </w:p>
        </w:tc>
        <w:tc>
          <w:tcPr>
            <w:tcW w:w="2410" w:type="dxa"/>
            <w:tcBorders>
              <w:right w:val="single" w:sz="18" w:space="0" w:color="auto"/>
            </w:tcBorders>
            <w:shd w:val="clear" w:color="auto" w:fill="D1DFEF"/>
            <w:vAlign w:val="center"/>
          </w:tcPr>
          <w:p w:rsidR="0090784B" w:rsidRPr="00D35D85" w:rsidRDefault="0090784B" w:rsidP="00F93DA9">
            <w:pPr>
              <w:jc w:val="center"/>
              <w:rPr>
                <w:sz w:val="22"/>
                <w:szCs w:val="22"/>
              </w:rPr>
            </w:pPr>
            <w:r w:rsidRPr="00D35D85">
              <w:rPr>
                <w:rFonts w:cs="Arial"/>
                <w:bCs/>
                <w:sz w:val="22"/>
                <w:szCs w:val="22"/>
                <w:u w:val="single"/>
              </w:rPr>
              <w:t>A+</w:t>
            </w:r>
            <w:r w:rsidRPr="00D35D85">
              <w:rPr>
                <w:rFonts w:cs="Arial"/>
                <w:bCs/>
                <w:sz w:val="22"/>
                <w:szCs w:val="22"/>
              </w:rPr>
              <w:t xml:space="preserve"> - Outputs moderately exceeded expectation</w:t>
            </w:r>
            <w:r w:rsidRPr="00D35D85">
              <w:rPr>
                <w:sz w:val="22"/>
                <w:szCs w:val="22"/>
              </w:rPr>
              <w:t xml:space="preserve"> </w:t>
            </w:r>
          </w:p>
        </w:tc>
        <w:tc>
          <w:tcPr>
            <w:tcW w:w="1701" w:type="dxa"/>
            <w:tcBorders>
              <w:top w:val="single" w:sz="4" w:space="0" w:color="auto"/>
              <w:left w:val="single" w:sz="18" w:space="0" w:color="auto"/>
              <w:bottom w:val="single" w:sz="4" w:space="0" w:color="auto"/>
              <w:right w:val="single" w:sz="18" w:space="0" w:color="auto"/>
            </w:tcBorders>
            <w:shd w:val="clear" w:color="auto" w:fill="D1DFEF"/>
            <w:vAlign w:val="center"/>
          </w:tcPr>
          <w:p w:rsidR="0090784B" w:rsidRPr="00D227EF" w:rsidRDefault="00D227EF" w:rsidP="009D0947">
            <w:pPr>
              <w:jc w:val="center"/>
              <w:rPr>
                <w:b/>
                <w:bCs/>
                <w:sz w:val="22"/>
                <w:szCs w:val="22"/>
              </w:rPr>
            </w:pPr>
            <w:r w:rsidRPr="00D227EF">
              <w:rPr>
                <w:b/>
                <w:bCs/>
                <w:sz w:val="22"/>
                <w:szCs w:val="22"/>
                <w:u w:val="single"/>
              </w:rPr>
              <w:t xml:space="preserve">A </w:t>
            </w:r>
            <w:r w:rsidRPr="00D227EF">
              <w:rPr>
                <w:b/>
                <w:bCs/>
                <w:sz w:val="22"/>
                <w:szCs w:val="22"/>
              </w:rPr>
              <w:t xml:space="preserve">: </w:t>
            </w:r>
            <w:r w:rsidRPr="00D227EF">
              <w:rPr>
                <w:rFonts w:cs="Arial"/>
                <w:b/>
                <w:bCs/>
                <w:sz w:val="22"/>
                <w:szCs w:val="22"/>
              </w:rPr>
              <w:t>Outputs</w:t>
            </w:r>
            <w:r w:rsidRPr="00D227EF">
              <w:rPr>
                <w:b/>
                <w:bCs/>
                <w:sz w:val="22"/>
                <w:szCs w:val="22"/>
              </w:rPr>
              <w:t xml:space="preserve"> met expectation</w:t>
            </w:r>
          </w:p>
        </w:tc>
      </w:tr>
      <w:tr w:rsidR="00AE6AA8" w:rsidRPr="00B21C54" w:rsidTr="009D0947">
        <w:trPr>
          <w:trHeight w:val="24"/>
        </w:trPr>
        <w:tc>
          <w:tcPr>
            <w:tcW w:w="1675" w:type="dxa"/>
            <w:shd w:val="clear" w:color="auto" w:fill="D1DFEF"/>
            <w:vAlign w:val="center"/>
          </w:tcPr>
          <w:p w:rsidR="0090784B" w:rsidRPr="00B21C54" w:rsidRDefault="0090784B" w:rsidP="00F93DA9">
            <w:pPr>
              <w:rPr>
                <w:b/>
                <w:sz w:val="22"/>
                <w:szCs w:val="22"/>
              </w:rPr>
            </w:pPr>
            <w:r w:rsidRPr="00B21C54">
              <w:rPr>
                <w:b/>
                <w:sz w:val="22"/>
                <w:szCs w:val="22"/>
              </w:rPr>
              <w:t>Risk Rating</w:t>
            </w:r>
          </w:p>
        </w:tc>
        <w:tc>
          <w:tcPr>
            <w:tcW w:w="1013" w:type="dxa"/>
            <w:shd w:val="clear" w:color="auto" w:fill="D1DFEF"/>
          </w:tcPr>
          <w:p w:rsidR="0090784B" w:rsidRPr="00D35D85" w:rsidRDefault="0090784B" w:rsidP="00F93DA9">
            <w:pPr>
              <w:jc w:val="center"/>
              <w:rPr>
                <w:sz w:val="22"/>
                <w:szCs w:val="22"/>
              </w:rPr>
            </w:pPr>
            <w:r>
              <w:rPr>
                <w:sz w:val="22"/>
                <w:szCs w:val="22"/>
              </w:rPr>
              <w:t>Medium</w:t>
            </w:r>
          </w:p>
        </w:tc>
        <w:tc>
          <w:tcPr>
            <w:tcW w:w="1396" w:type="dxa"/>
            <w:shd w:val="clear" w:color="auto" w:fill="D1DFEF"/>
            <w:vAlign w:val="center"/>
          </w:tcPr>
          <w:p w:rsidR="0090784B" w:rsidRPr="00D35D85" w:rsidRDefault="0090784B" w:rsidP="00F93DA9">
            <w:pPr>
              <w:jc w:val="center"/>
              <w:rPr>
                <w:sz w:val="22"/>
                <w:szCs w:val="22"/>
              </w:rPr>
            </w:pPr>
            <w:r w:rsidRPr="00D35D85">
              <w:rPr>
                <w:sz w:val="22"/>
                <w:szCs w:val="22"/>
              </w:rPr>
              <w:t xml:space="preserve"> Low</w:t>
            </w:r>
          </w:p>
        </w:tc>
        <w:tc>
          <w:tcPr>
            <w:tcW w:w="2268" w:type="dxa"/>
            <w:shd w:val="clear" w:color="auto" w:fill="D1DFEF"/>
            <w:vAlign w:val="center"/>
          </w:tcPr>
          <w:p w:rsidR="0090784B" w:rsidRPr="00D35D85" w:rsidRDefault="0090784B" w:rsidP="00F93DA9">
            <w:pPr>
              <w:jc w:val="center"/>
              <w:rPr>
                <w:sz w:val="22"/>
                <w:szCs w:val="22"/>
              </w:rPr>
            </w:pPr>
            <w:r w:rsidRPr="00D35D85">
              <w:rPr>
                <w:sz w:val="22"/>
                <w:szCs w:val="22"/>
              </w:rPr>
              <w:t xml:space="preserve">Low </w:t>
            </w:r>
          </w:p>
        </w:tc>
        <w:tc>
          <w:tcPr>
            <w:tcW w:w="2410" w:type="dxa"/>
            <w:tcBorders>
              <w:right w:val="single" w:sz="18" w:space="0" w:color="auto"/>
            </w:tcBorders>
            <w:shd w:val="clear" w:color="auto" w:fill="D1DFEF"/>
            <w:vAlign w:val="center"/>
          </w:tcPr>
          <w:p w:rsidR="0090784B" w:rsidRPr="00D35D85" w:rsidRDefault="0090784B" w:rsidP="00F93DA9">
            <w:pPr>
              <w:jc w:val="center"/>
              <w:rPr>
                <w:sz w:val="22"/>
                <w:szCs w:val="22"/>
              </w:rPr>
            </w:pPr>
            <w:r w:rsidRPr="00D35D85">
              <w:rPr>
                <w:rFonts w:cs="Arial"/>
                <w:bCs/>
                <w:sz w:val="22"/>
                <w:szCs w:val="22"/>
              </w:rPr>
              <w:t>Medium</w:t>
            </w:r>
            <w:r w:rsidRPr="00D35D85">
              <w:rPr>
                <w:sz w:val="22"/>
                <w:szCs w:val="22"/>
              </w:rPr>
              <w:t xml:space="preserve"> </w:t>
            </w:r>
          </w:p>
        </w:tc>
        <w:tc>
          <w:tcPr>
            <w:tcW w:w="1701" w:type="dxa"/>
            <w:tcBorders>
              <w:top w:val="single" w:sz="4" w:space="0" w:color="auto"/>
              <w:left w:val="single" w:sz="18" w:space="0" w:color="auto"/>
              <w:bottom w:val="single" w:sz="18" w:space="0" w:color="auto"/>
              <w:right w:val="single" w:sz="18" w:space="0" w:color="auto"/>
            </w:tcBorders>
            <w:shd w:val="clear" w:color="auto" w:fill="D1DFEF"/>
            <w:vAlign w:val="center"/>
          </w:tcPr>
          <w:p w:rsidR="0090784B" w:rsidRPr="00D35D85" w:rsidRDefault="0090784B" w:rsidP="003E113B">
            <w:pPr>
              <w:jc w:val="center"/>
              <w:rPr>
                <w:b/>
                <w:sz w:val="22"/>
                <w:szCs w:val="22"/>
              </w:rPr>
            </w:pPr>
            <w:r>
              <w:rPr>
                <w:b/>
                <w:sz w:val="22"/>
                <w:szCs w:val="22"/>
              </w:rPr>
              <w:t xml:space="preserve">High </w:t>
            </w:r>
          </w:p>
        </w:tc>
      </w:tr>
    </w:tbl>
    <w:p w:rsidR="0055212D" w:rsidRPr="00872AA1" w:rsidRDefault="0055212D" w:rsidP="00F93DA9">
      <w:pPr>
        <w:tabs>
          <w:tab w:val="left" w:pos="6915"/>
          <w:tab w:val="left" w:pos="9495"/>
        </w:tabs>
        <w:jc w:val="both"/>
        <w:rPr>
          <w:b/>
          <w:sz w:val="12"/>
          <w:szCs w:val="22"/>
        </w:rPr>
      </w:pPr>
    </w:p>
    <w:p w:rsidR="00F93DA9" w:rsidRPr="00F93DA9" w:rsidRDefault="00F93DA9" w:rsidP="00265145">
      <w:pPr>
        <w:tabs>
          <w:tab w:val="left" w:pos="6915"/>
          <w:tab w:val="left" w:pos="9495"/>
        </w:tabs>
        <w:spacing w:before="120" w:after="120"/>
        <w:jc w:val="both"/>
        <w:rPr>
          <w:b/>
          <w:sz w:val="22"/>
          <w:szCs w:val="22"/>
        </w:rPr>
      </w:pPr>
      <w:r w:rsidRPr="00F93DA9">
        <w:rPr>
          <w:b/>
          <w:sz w:val="22"/>
          <w:szCs w:val="22"/>
        </w:rPr>
        <w:t>Summary of Progress and Lessons Learnt since Last Review</w:t>
      </w:r>
    </w:p>
    <w:p w:rsidR="00B274AC" w:rsidRPr="00265145" w:rsidRDefault="0090796F" w:rsidP="004C2C4B">
      <w:pPr>
        <w:tabs>
          <w:tab w:val="left" w:pos="6915"/>
          <w:tab w:val="left" w:pos="9495"/>
        </w:tabs>
        <w:spacing w:before="120" w:after="60"/>
        <w:jc w:val="both"/>
        <w:rPr>
          <w:b/>
          <w:sz w:val="22"/>
          <w:szCs w:val="22"/>
        </w:rPr>
      </w:pPr>
      <w:r w:rsidRPr="00265145">
        <w:rPr>
          <w:b/>
          <w:sz w:val="22"/>
          <w:szCs w:val="22"/>
        </w:rPr>
        <w:t>Progress:</w:t>
      </w:r>
    </w:p>
    <w:p w:rsidR="00B274AC" w:rsidRDefault="0052544A" w:rsidP="00641A4E">
      <w:pPr>
        <w:pStyle w:val="ListParagraph"/>
        <w:numPr>
          <w:ilvl w:val="0"/>
          <w:numId w:val="5"/>
        </w:numPr>
        <w:tabs>
          <w:tab w:val="left" w:pos="6915"/>
          <w:tab w:val="left" w:pos="9495"/>
        </w:tabs>
        <w:ind w:left="284" w:hanging="284"/>
        <w:jc w:val="both"/>
        <w:rPr>
          <w:sz w:val="22"/>
          <w:szCs w:val="22"/>
        </w:rPr>
      </w:pPr>
      <w:r>
        <w:rPr>
          <w:sz w:val="22"/>
          <w:szCs w:val="22"/>
        </w:rPr>
        <w:t xml:space="preserve">Over the last year, CLP raised </w:t>
      </w:r>
      <w:r w:rsidRPr="00D778EF">
        <w:rPr>
          <w:rFonts w:cs="Arial"/>
          <w:sz w:val="21"/>
          <w:szCs w:val="21"/>
        </w:rPr>
        <w:t>1</w:t>
      </w:r>
      <w:r>
        <w:rPr>
          <w:rFonts w:cs="Arial"/>
          <w:sz w:val="21"/>
          <w:szCs w:val="21"/>
        </w:rPr>
        <w:t>5</w:t>
      </w:r>
      <w:r w:rsidRPr="00D778EF">
        <w:rPr>
          <w:rFonts w:cs="Arial"/>
          <w:sz w:val="21"/>
          <w:szCs w:val="21"/>
        </w:rPr>
        <w:t>,</w:t>
      </w:r>
      <w:r>
        <w:rPr>
          <w:rFonts w:cs="Arial"/>
          <w:sz w:val="21"/>
          <w:szCs w:val="21"/>
        </w:rPr>
        <w:t>652</w:t>
      </w:r>
      <w:r w:rsidRPr="00D778EF">
        <w:rPr>
          <w:rFonts w:cs="Arial"/>
          <w:sz w:val="21"/>
          <w:szCs w:val="21"/>
        </w:rPr>
        <w:t xml:space="preserve"> </w:t>
      </w:r>
      <w:r>
        <w:rPr>
          <w:rFonts w:cs="Arial"/>
          <w:sz w:val="21"/>
          <w:szCs w:val="21"/>
        </w:rPr>
        <w:t>households on plinths; provided 42,811 households with sanitation and 44,342</w:t>
      </w:r>
      <w:r w:rsidRPr="00D778EF">
        <w:rPr>
          <w:rFonts w:cs="Arial"/>
          <w:sz w:val="21"/>
          <w:szCs w:val="21"/>
        </w:rPr>
        <w:t xml:space="preserve"> with </w:t>
      </w:r>
      <w:r w:rsidR="001C632E">
        <w:rPr>
          <w:rFonts w:cs="Arial"/>
          <w:sz w:val="21"/>
          <w:szCs w:val="21"/>
        </w:rPr>
        <w:t xml:space="preserve">improved </w:t>
      </w:r>
      <w:r w:rsidRPr="00D778EF">
        <w:rPr>
          <w:rFonts w:cs="Arial"/>
          <w:sz w:val="21"/>
          <w:szCs w:val="21"/>
        </w:rPr>
        <w:t>water</w:t>
      </w:r>
      <w:r w:rsidR="001C632E">
        <w:rPr>
          <w:rFonts w:cs="Arial"/>
          <w:sz w:val="21"/>
          <w:szCs w:val="21"/>
        </w:rPr>
        <w:t xml:space="preserve"> supplies</w:t>
      </w:r>
      <w:r>
        <w:rPr>
          <w:rFonts w:cs="Arial"/>
          <w:sz w:val="21"/>
          <w:szCs w:val="21"/>
        </w:rPr>
        <w:t xml:space="preserve">, and delivered productive assets to </w:t>
      </w:r>
      <w:r w:rsidRPr="004277CA">
        <w:rPr>
          <w:rFonts w:cs="Arial"/>
          <w:color w:val="000000"/>
          <w:sz w:val="21"/>
          <w:szCs w:val="21"/>
        </w:rPr>
        <w:t>1</w:t>
      </w:r>
      <w:r>
        <w:rPr>
          <w:rFonts w:cs="Arial"/>
          <w:color w:val="000000"/>
          <w:sz w:val="21"/>
          <w:szCs w:val="21"/>
        </w:rPr>
        <w:t>7,520</w:t>
      </w:r>
      <w:r w:rsidRPr="004277CA">
        <w:rPr>
          <w:rFonts w:cs="Arial"/>
          <w:color w:val="000000"/>
          <w:sz w:val="21"/>
          <w:szCs w:val="21"/>
        </w:rPr>
        <w:t xml:space="preserve"> </w:t>
      </w:r>
      <w:r>
        <w:rPr>
          <w:rFonts w:cs="Arial"/>
          <w:color w:val="000000"/>
          <w:sz w:val="21"/>
          <w:szCs w:val="21"/>
        </w:rPr>
        <w:t xml:space="preserve">households, </w:t>
      </w:r>
      <w:r w:rsidRPr="004277CA">
        <w:rPr>
          <w:rFonts w:cs="Arial"/>
          <w:bCs/>
          <w:sz w:val="21"/>
          <w:szCs w:val="21"/>
        </w:rPr>
        <w:t xml:space="preserve">benefitting </w:t>
      </w:r>
      <w:r>
        <w:rPr>
          <w:rFonts w:cs="Arial"/>
          <w:bCs/>
          <w:sz w:val="21"/>
          <w:szCs w:val="21"/>
        </w:rPr>
        <w:t xml:space="preserve">68,153 </w:t>
      </w:r>
      <w:r w:rsidRPr="004277CA">
        <w:rPr>
          <w:rFonts w:cs="Arial"/>
          <w:bCs/>
          <w:sz w:val="21"/>
          <w:szCs w:val="21"/>
        </w:rPr>
        <w:t>people</w:t>
      </w:r>
      <w:r>
        <w:rPr>
          <w:rFonts w:cs="Arial"/>
          <w:bCs/>
          <w:sz w:val="21"/>
          <w:szCs w:val="21"/>
        </w:rPr>
        <w:t>. To date the project has provided productive assets to a total of 74,729</w:t>
      </w:r>
      <w:r w:rsidRPr="004277CA">
        <w:rPr>
          <w:rFonts w:cs="Arial"/>
          <w:bCs/>
          <w:sz w:val="21"/>
          <w:szCs w:val="21"/>
        </w:rPr>
        <w:t xml:space="preserve"> </w:t>
      </w:r>
      <w:r>
        <w:rPr>
          <w:rFonts w:cs="Arial"/>
          <w:bCs/>
          <w:sz w:val="21"/>
          <w:szCs w:val="21"/>
        </w:rPr>
        <w:t>households</w:t>
      </w:r>
      <w:r w:rsidR="0090784B">
        <w:rPr>
          <w:rFonts w:cs="Arial"/>
          <w:bCs/>
          <w:sz w:val="21"/>
          <w:szCs w:val="21"/>
        </w:rPr>
        <w:t>, benefitting over 290,000 people</w:t>
      </w:r>
      <w:r w:rsidR="005849E9">
        <w:rPr>
          <w:rFonts w:cs="Arial"/>
          <w:bCs/>
          <w:sz w:val="21"/>
          <w:szCs w:val="21"/>
        </w:rPr>
        <w:t xml:space="preserve"> (9</w:t>
      </w:r>
      <w:r w:rsidR="0090784B">
        <w:rPr>
          <w:rFonts w:cs="Arial"/>
          <w:bCs/>
          <w:sz w:val="21"/>
          <w:szCs w:val="21"/>
        </w:rPr>
        <w:t>5%</w:t>
      </w:r>
      <w:r w:rsidR="005849E9">
        <w:rPr>
          <w:rFonts w:cs="Arial"/>
          <w:bCs/>
          <w:sz w:val="21"/>
          <w:szCs w:val="21"/>
        </w:rPr>
        <w:t xml:space="preserve"> of total target)</w:t>
      </w:r>
      <w:r>
        <w:rPr>
          <w:rFonts w:cs="Arial"/>
          <w:bCs/>
          <w:sz w:val="21"/>
          <w:szCs w:val="21"/>
        </w:rPr>
        <w:t>.</w:t>
      </w:r>
    </w:p>
    <w:p w:rsidR="0090796F" w:rsidRPr="0052544A" w:rsidRDefault="0052544A" w:rsidP="00641A4E">
      <w:pPr>
        <w:pStyle w:val="ListParagraph"/>
        <w:numPr>
          <w:ilvl w:val="0"/>
          <w:numId w:val="5"/>
        </w:numPr>
        <w:tabs>
          <w:tab w:val="left" w:pos="6915"/>
          <w:tab w:val="left" w:pos="9495"/>
        </w:tabs>
        <w:ind w:left="284" w:hanging="284"/>
        <w:jc w:val="both"/>
        <w:rPr>
          <w:sz w:val="22"/>
          <w:szCs w:val="22"/>
        </w:rPr>
      </w:pPr>
      <w:r>
        <w:rPr>
          <w:rFonts w:cs="Arial"/>
          <w:sz w:val="22"/>
          <w:szCs w:val="22"/>
        </w:rPr>
        <w:t xml:space="preserve">So far, 43,156 core participant households have </w:t>
      </w:r>
      <w:r w:rsidR="001E39A7">
        <w:rPr>
          <w:rFonts w:cs="Arial"/>
          <w:sz w:val="22"/>
          <w:szCs w:val="22"/>
        </w:rPr>
        <w:t>‘</w:t>
      </w:r>
      <w:r>
        <w:rPr>
          <w:rFonts w:cs="Arial"/>
          <w:sz w:val="22"/>
          <w:szCs w:val="22"/>
        </w:rPr>
        <w:t>graduated</w:t>
      </w:r>
      <w:r w:rsidR="001E39A7">
        <w:rPr>
          <w:rFonts w:cs="Arial"/>
          <w:sz w:val="22"/>
          <w:szCs w:val="22"/>
        </w:rPr>
        <w:t>’</w:t>
      </w:r>
      <w:r>
        <w:rPr>
          <w:rFonts w:cs="Arial"/>
          <w:sz w:val="22"/>
          <w:szCs w:val="22"/>
        </w:rPr>
        <w:t xml:space="preserve"> from extreme poverty, meeting 6 </w:t>
      </w:r>
      <w:r w:rsidR="001E39A7">
        <w:rPr>
          <w:rFonts w:cs="Arial"/>
          <w:sz w:val="22"/>
          <w:szCs w:val="22"/>
        </w:rPr>
        <w:t xml:space="preserve">out </w:t>
      </w:r>
      <w:r>
        <w:rPr>
          <w:rFonts w:cs="Arial"/>
          <w:sz w:val="22"/>
          <w:szCs w:val="22"/>
        </w:rPr>
        <w:t>of 10 graduation criteria within 3 months of the end of the intervention period</w:t>
      </w:r>
      <w:r w:rsidR="009A107A">
        <w:rPr>
          <w:rFonts w:cs="Arial"/>
          <w:sz w:val="22"/>
          <w:szCs w:val="22"/>
        </w:rPr>
        <w:t xml:space="preserve"> (this does not include cohorts 2.5 and 2.6)</w:t>
      </w:r>
      <w:r>
        <w:rPr>
          <w:rFonts w:cs="Arial"/>
          <w:sz w:val="22"/>
          <w:szCs w:val="22"/>
        </w:rPr>
        <w:t xml:space="preserve">. </w:t>
      </w:r>
      <w:r w:rsidR="006A403D">
        <w:rPr>
          <w:rFonts w:cs="Arial"/>
          <w:sz w:val="22"/>
          <w:szCs w:val="22"/>
        </w:rPr>
        <w:t xml:space="preserve">CLP </w:t>
      </w:r>
      <w:r>
        <w:rPr>
          <w:rFonts w:cs="Arial"/>
          <w:sz w:val="22"/>
          <w:szCs w:val="22"/>
        </w:rPr>
        <w:t>is on course to meet</w:t>
      </w:r>
      <w:r w:rsidR="006A403D">
        <w:rPr>
          <w:rFonts w:cs="Arial"/>
          <w:sz w:val="22"/>
          <w:szCs w:val="22"/>
        </w:rPr>
        <w:t>,</w:t>
      </w:r>
      <w:r>
        <w:rPr>
          <w:rFonts w:cs="Arial"/>
          <w:sz w:val="22"/>
          <w:szCs w:val="22"/>
        </w:rPr>
        <w:t xml:space="preserve"> if not moderately exceed</w:t>
      </w:r>
      <w:r w:rsidR="006A403D">
        <w:rPr>
          <w:rFonts w:cs="Arial"/>
          <w:sz w:val="22"/>
          <w:szCs w:val="22"/>
        </w:rPr>
        <w:t>,</w:t>
      </w:r>
      <w:r>
        <w:rPr>
          <w:rFonts w:cs="Arial"/>
          <w:sz w:val="22"/>
          <w:szCs w:val="22"/>
        </w:rPr>
        <w:t xml:space="preserve"> the overall target of 66,300 households graduated by </w:t>
      </w:r>
      <w:r w:rsidR="005849E9">
        <w:rPr>
          <w:rFonts w:cs="Arial"/>
          <w:sz w:val="22"/>
          <w:szCs w:val="22"/>
        </w:rPr>
        <w:t xml:space="preserve">the end of the </w:t>
      </w:r>
      <w:r w:rsidR="00633430">
        <w:rPr>
          <w:rFonts w:cs="Arial"/>
          <w:sz w:val="22"/>
          <w:szCs w:val="22"/>
        </w:rPr>
        <w:t>project.</w:t>
      </w:r>
    </w:p>
    <w:p w:rsidR="001E39A7" w:rsidRPr="009D0947" w:rsidRDefault="0052544A" w:rsidP="00641A4E">
      <w:pPr>
        <w:pStyle w:val="ListParagraph"/>
        <w:numPr>
          <w:ilvl w:val="0"/>
          <w:numId w:val="5"/>
        </w:numPr>
        <w:tabs>
          <w:tab w:val="left" w:pos="6915"/>
          <w:tab w:val="left" w:pos="9495"/>
        </w:tabs>
        <w:ind w:left="284" w:hanging="284"/>
        <w:jc w:val="both"/>
        <w:rPr>
          <w:sz w:val="22"/>
          <w:szCs w:val="22"/>
        </w:rPr>
      </w:pPr>
      <w:r w:rsidRPr="009D0947">
        <w:rPr>
          <w:rFonts w:cs="Arial"/>
          <w:sz w:val="22"/>
          <w:szCs w:val="22"/>
        </w:rPr>
        <w:t xml:space="preserve">The project has made significant progress on the market development work and </w:t>
      </w:r>
      <w:r w:rsidR="001E39A7" w:rsidRPr="009D0947">
        <w:rPr>
          <w:rFonts w:cs="Arial"/>
          <w:sz w:val="22"/>
          <w:szCs w:val="22"/>
        </w:rPr>
        <w:t xml:space="preserve">the </w:t>
      </w:r>
      <w:r w:rsidRPr="009D0947">
        <w:rPr>
          <w:rFonts w:cs="Arial"/>
          <w:sz w:val="22"/>
          <w:szCs w:val="22"/>
        </w:rPr>
        <w:t>direct nutrition interventions</w:t>
      </w:r>
      <w:r w:rsidR="002C13E0" w:rsidRPr="009D0947">
        <w:rPr>
          <w:rFonts w:cs="Arial"/>
          <w:sz w:val="22"/>
          <w:szCs w:val="22"/>
        </w:rPr>
        <w:t>, with outputs now back on track</w:t>
      </w:r>
      <w:r w:rsidR="00526634" w:rsidRPr="009D0947">
        <w:rPr>
          <w:rFonts w:cs="Arial"/>
          <w:sz w:val="22"/>
          <w:szCs w:val="22"/>
        </w:rPr>
        <w:t xml:space="preserve"> after a delayed start</w:t>
      </w:r>
      <w:r w:rsidR="002C13E0" w:rsidRPr="009D0947">
        <w:rPr>
          <w:rFonts w:cs="Arial"/>
          <w:sz w:val="22"/>
          <w:szCs w:val="22"/>
        </w:rPr>
        <w:t xml:space="preserve">. There are </w:t>
      </w:r>
      <w:r w:rsidR="001E39A7" w:rsidRPr="009D0947">
        <w:rPr>
          <w:rFonts w:cs="Arial"/>
          <w:sz w:val="22"/>
          <w:szCs w:val="22"/>
        </w:rPr>
        <w:t xml:space="preserve">signs that the market development work is </w:t>
      </w:r>
      <w:r w:rsidR="006A403D" w:rsidRPr="009D0947">
        <w:rPr>
          <w:rFonts w:cs="Arial"/>
          <w:sz w:val="22"/>
          <w:szCs w:val="22"/>
        </w:rPr>
        <w:t>delivering results</w:t>
      </w:r>
      <w:r w:rsidR="00526634" w:rsidRPr="009D0947">
        <w:rPr>
          <w:rFonts w:cs="Arial"/>
          <w:sz w:val="22"/>
          <w:szCs w:val="22"/>
        </w:rPr>
        <w:t xml:space="preserve">, </w:t>
      </w:r>
      <w:r w:rsidR="002C13E0" w:rsidRPr="009D0947">
        <w:rPr>
          <w:rFonts w:cs="Arial"/>
          <w:sz w:val="22"/>
          <w:szCs w:val="22"/>
        </w:rPr>
        <w:t xml:space="preserve">with input dealers and buyers expanding activities on the chars and Business Group members raising </w:t>
      </w:r>
      <w:r w:rsidR="006D0320" w:rsidRPr="009D0947">
        <w:rPr>
          <w:rFonts w:cs="Arial"/>
          <w:sz w:val="22"/>
          <w:szCs w:val="22"/>
        </w:rPr>
        <w:t>productivity</w:t>
      </w:r>
      <w:r w:rsidR="002C13E0" w:rsidRPr="009D0947">
        <w:rPr>
          <w:rFonts w:cs="Arial"/>
          <w:sz w:val="22"/>
          <w:szCs w:val="22"/>
        </w:rPr>
        <w:t xml:space="preserve"> and profits.</w:t>
      </w:r>
      <w:r w:rsidR="003F65EE" w:rsidRPr="009D0947">
        <w:rPr>
          <w:rFonts w:cs="Arial"/>
          <w:sz w:val="22"/>
          <w:szCs w:val="22"/>
        </w:rPr>
        <w:t xml:space="preserve">The nutrition component stepped up to </w:t>
      </w:r>
      <w:r w:rsidR="002C13E0" w:rsidRPr="009D0947">
        <w:rPr>
          <w:rFonts w:cs="Arial"/>
          <w:sz w:val="22"/>
          <w:szCs w:val="22"/>
        </w:rPr>
        <w:t xml:space="preserve">deliver services to many more beneficiaries and the breastfeeding counselling appears to be working with 96% of all target mothers practicing exclusive breastfeeding.  </w:t>
      </w:r>
    </w:p>
    <w:p w:rsidR="00B274AC" w:rsidRPr="004C2C4B" w:rsidRDefault="0052544A" w:rsidP="0046232B">
      <w:pPr>
        <w:pStyle w:val="ListParagraph"/>
        <w:numPr>
          <w:ilvl w:val="0"/>
          <w:numId w:val="5"/>
        </w:numPr>
        <w:tabs>
          <w:tab w:val="left" w:pos="6915"/>
          <w:tab w:val="left" w:pos="9495"/>
        </w:tabs>
        <w:ind w:left="284" w:hanging="284"/>
        <w:jc w:val="both"/>
        <w:rPr>
          <w:sz w:val="22"/>
          <w:szCs w:val="22"/>
        </w:rPr>
      </w:pPr>
      <w:r w:rsidRPr="00071892">
        <w:rPr>
          <w:rFonts w:cs="Arial"/>
          <w:sz w:val="22"/>
          <w:szCs w:val="22"/>
        </w:rPr>
        <w:t>Women’s Empowerment Scorecard</w:t>
      </w:r>
      <w:r w:rsidR="009D0947">
        <w:rPr>
          <w:rFonts w:cs="Arial"/>
          <w:sz w:val="22"/>
          <w:szCs w:val="22"/>
        </w:rPr>
        <w:t xml:space="preserve"> </w:t>
      </w:r>
      <w:r>
        <w:rPr>
          <w:rFonts w:cs="Arial"/>
          <w:sz w:val="22"/>
          <w:szCs w:val="22"/>
        </w:rPr>
        <w:t>results suggest the project has contributed to an important step forward in women’s perceived confidence, economic independence and freedom.</w:t>
      </w:r>
    </w:p>
    <w:p w:rsidR="00B274AC" w:rsidRPr="00265145" w:rsidRDefault="0090796F" w:rsidP="004C2C4B">
      <w:pPr>
        <w:tabs>
          <w:tab w:val="left" w:pos="6915"/>
          <w:tab w:val="left" w:pos="9495"/>
        </w:tabs>
        <w:spacing w:before="120" w:after="60"/>
        <w:jc w:val="both"/>
        <w:rPr>
          <w:b/>
          <w:sz w:val="22"/>
          <w:szCs w:val="22"/>
        </w:rPr>
      </w:pPr>
      <w:r w:rsidRPr="00265145">
        <w:rPr>
          <w:b/>
          <w:sz w:val="22"/>
          <w:szCs w:val="22"/>
        </w:rPr>
        <w:t>Lessons:</w:t>
      </w:r>
    </w:p>
    <w:p w:rsidR="00035CBC" w:rsidRDefault="00526634" w:rsidP="00152F32">
      <w:pPr>
        <w:pStyle w:val="ListParagraph"/>
        <w:numPr>
          <w:ilvl w:val="0"/>
          <w:numId w:val="5"/>
        </w:numPr>
        <w:tabs>
          <w:tab w:val="left" w:pos="6915"/>
          <w:tab w:val="left" w:pos="9495"/>
        </w:tabs>
        <w:ind w:left="284" w:hanging="284"/>
        <w:jc w:val="both"/>
        <w:rPr>
          <w:sz w:val="22"/>
          <w:szCs w:val="22"/>
        </w:rPr>
      </w:pPr>
      <w:r w:rsidRPr="00035CBC">
        <w:rPr>
          <w:sz w:val="22"/>
          <w:szCs w:val="22"/>
        </w:rPr>
        <w:t xml:space="preserve">CLP has </w:t>
      </w:r>
      <w:r w:rsidR="00035CBC" w:rsidRPr="00035CBC">
        <w:rPr>
          <w:sz w:val="22"/>
          <w:szCs w:val="22"/>
        </w:rPr>
        <w:t>adapted and refined the asset tr</w:t>
      </w:r>
      <w:r w:rsidR="00903929">
        <w:rPr>
          <w:sz w:val="22"/>
          <w:szCs w:val="22"/>
        </w:rPr>
        <w:t>ansfer model in a very challenging</w:t>
      </w:r>
      <w:r w:rsidR="00035CBC" w:rsidRPr="00035CBC">
        <w:rPr>
          <w:sz w:val="22"/>
          <w:szCs w:val="22"/>
        </w:rPr>
        <w:t xml:space="preserve"> context</w:t>
      </w:r>
      <w:r w:rsidR="000D72B2">
        <w:rPr>
          <w:sz w:val="22"/>
          <w:szCs w:val="22"/>
        </w:rPr>
        <w:t>. L</w:t>
      </w:r>
      <w:r w:rsidR="00FA32BB">
        <w:rPr>
          <w:sz w:val="22"/>
          <w:szCs w:val="22"/>
        </w:rPr>
        <w:t>ooking back</w:t>
      </w:r>
      <w:r w:rsidR="006A403D">
        <w:rPr>
          <w:sz w:val="22"/>
          <w:szCs w:val="22"/>
        </w:rPr>
        <w:t xml:space="preserve">, </w:t>
      </w:r>
      <w:r w:rsidR="0023662A">
        <w:rPr>
          <w:sz w:val="22"/>
          <w:szCs w:val="22"/>
        </w:rPr>
        <w:t xml:space="preserve">it is possible to </w:t>
      </w:r>
      <w:r w:rsidR="00FA32BB">
        <w:rPr>
          <w:sz w:val="22"/>
          <w:szCs w:val="22"/>
        </w:rPr>
        <w:t>question some of the apparent assumptions underlying the original project</w:t>
      </w:r>
      <w:r w:rsidR="0043177A">
        <w:rPr>
          <w:sz w:val="22"/>
          <w:szCs w:val="22"/>
        </w:rPr>
        <w:t xml:space="preserve"> design</w:t>
      </w:r>
      <w:r w:rsidR="006A403D">
        <w:rPr>
          <w:sz w:val="22"/>
          <w:szCs w:val="22"/>
        </w:rPr>
        <w:t xml:space="preserve">. Particular attention should be paid to the balance of interventions between </w:t>
      </w:r>
      <w:r w:rsidR="00FA32BB">
        <w:rPr>
          <w:sz w:val="22"/>
          <w:szCs w:val="22"/>
        </w:rPr>
        <w:t xml:space="preserve">investments in extreme poor households </w:t>
      </w:r>
      <w:r w:rsidR="006A403D">
        <w:rPr>
          <w:sz w:val="22"/>
          <w:szCs w:val="22"/>
        </w:rPr>
        <w:t xml:space="preserve">and </w:t>
      </w:r>
      <w:r w:rsidR="00FA32BB">
        <w:rPr>
          <w:sz w:val="22"/>
          <w:szCs w:val="22"/>
        </w:rPr>
        <w:t>a more comprehensive approach to sustain</w:t>
      </w:r>
      <w:r w:rsidR="003072A1">
        <w:rPr>
          <w:sz w:val="22"/>
          <w:szCs w:val="22"/>
        </w:rPr>
        <w:t>able development of communities.</w:t>
      </w:r>
      <w:r w:rsidR="00756665">
        <w:rPr>
          <w:sz w:val="22"/>
          <w:szCs w:val="22"/>
        </w:rPr>
        <w:t xml:space="preserve"> This</w:t>
      </w:r>
      <w:r w:rsidR="006A403D">
        <w:rPr>
          <w:sz w:val="22"/>
          <w:szCs w:val="22"/>
        </w:rPr>
        <w:t xml:space="preserve"> </w:t>
      </w:r>
      <w:r w:rsidR="00756665">
        <w:rPr>
          <w:sz w:val="22"/>
          <w:szCs w:val="22"/>
        </w:rPr>
        <w:t>includes</w:t>
      </w:r>
      <w:r w:rsidR="00FA32BB">
        <w:rPr>
          <w:sz w:val="22"/>
          <w:szCs w:val="22"/>
        </w:rPr>
        <w:t xml:space="preserve"> </w:t>
      </w:r>
      <w:r w:rsidR="006A403D">
        <w:rPr>
          <w:sz w:val="22"/>
          <w:szCs w:val="22"/>
        </w:rPr>
        <w:t xml:space="preserve">more focus on creating bottom-up demand from communities for services and influencing </w:t>
      </w:r>
      <w:r w:rsidR="00FA32BB">
        <w:rPr>
          <w:sz w:val="22"/>
          <w:szCs w:val="22"/>
        </w:rPr>
        <w:t>government</w:t>
      </w:r>
      <w:r w:rsidR="00756665">
        <w:rPr>
          <w:sz w:val="22"/>
          <w:szCs w:val="22"/>
        </w:rPr>
        <w:t xml:space="preserve"> and large NGOs and private sector</w:t>
      </w:r>
      <w:r w:rsidR="00FA32BB">
        <w:rPr>
          <w:sz w:val="22"/>
          <w:szCs w:val="22"/>
        </w:rPr>
        <w:t xml:space="preserve"> to </w:t>
      </w:r>
      <w:r w:rsidR="006A403D">
        <w:rPr>
          <w:sz w:val="22"/>
          <w:szCs w:val="22"/>
        </w:rPr>
        <w:t xml:space="preserve">deliver </w:t>
      </w:r>
      <w:r w:rsidR="00FA32BB">
        <w:rPr>
          <w:sz w:val="22"/>
          <w:szCs w:val="22"/>
        </w:rPr>
        <w:t xml:space="preserve">services where feasible. </w:t>
      </w:r>
      <w:r w:rsidR="006A403D">
        <w:rPr>
          <w:sz w:val="22"/>
          <w:szCs w:val="22"/>
        </w:rPr>
        <w:t>Future projects should set out these assumptions more clearly and revisit them, especially in the early years.</w:t>
      </w:r>
    </w:p>
    <w:p w:rsidR="00B274AC" w:rsidRPr="004C2C4B" w:rsidRDefault="000D72B2" w:rsidP="004C2C4B">
      <w:pPr>
        <w:pStyle w:val="ListParagraph"/>
        <w:numPr>
          <w:ilvl w:val="0"/>
          <w:numId w:val="5"/>
        </w:numPr>
        <w:tabs>
          <w:tab w:val="left" w:pos="6915"/>
          <w:tab w:val="left" w:pos="9495"/>
        </w:tabs>
        <w:ind w:left="284" w:hanging="284"/>
        <w:jc w:val="both"/>
        <w:rPr>
          <w:sz w:val="22"/>
          <w:szCs w:val="22"/>
        </w:rPr>
      </w:pPr>
      <w:r>
        <w:rPr>
          <w:sz w:val="22"/>
          <w:szCs w:val="22"/>
        </w:rPr>
        <w:t xml:space="preserve">While averages and aggregate measures provide a useful means to track progress, </w:t>
      </w:r>
      <w:r w:rsidR="00A3640C">
        <w:rPr>
          <w:sz w:val="22"/>
          <w:szCs w:val="22"/>
        </w:rPr>
        <w:t>these needs</w:t>
      </w:r>
      <w:r w:rsidR="00DE0073" w:rsidRPr="00DE0073">
        <w:rPr>
          <w:sz w:val="22"/>
          <w:szCs w:val="22"/>
        </w:rPr>
        <w:t xml:space="preserve"> to be supplemented regularly with analysis</w:t>
      </w:r>
      <w:r>
        <w:rPr>
          <w:sz w:val="22"/>
          <w:szCs w:val="22"/>
        </w:rPr>
        <w:t xml:space="preserve"> on the </w:t>
      </w:r>
      <w:r w:rsidR="00DE0073" w:rsidRPr="00DE0073">
        <w:rPr>
          <w:sz w:val="22"/>
          <w:szCs w:val="22"/>
        </w:rPr>
        <w:t>variance behind averages</w:t>
      </w:r>
      <w:r>
        <w:rPr>
          <w:sz w:val="22"/>
          <w:szCs w:val="22"/>
        </w:rPr>
        <w:t xml:space="preserve">, </w:t>
      </w:r>
      <w:r w:rsidR="00DE0073" w:rsidRPr="00DE0073">
        <w:rPr>
          <w:sz w:val="22"/>
          <w:szCs w:val="22"/>
        </w:rPr>
        <w:t>focusing particularly on the performance of marginalised groups</w:t>
      </w:r>
      <w:r>
        <w:rPr>
          <w:sz w:val="22"/>
          <w:szCs w:val="22"/>
        </w:rPr>
        <w:t xml:space="preserve">, and on what is going on within </w:t>
      </w:r>
      <w:r w:rsidR="00DE0073" w:rsidRPr="00DE0073">
        <w:rPr>
          <w:sz w:val="22"/>
          <w:szCs w:val="22"/>
        </w:rPr>
        <w:t>household.</w:t>
      </w:r>
      <w:r>
        <w:rPr>
          <w:sz w:val="22"/>
          <w:szCs w:val="22"/>
        </w:rPr>
        <w:t xml:space="preserve">  </w:t>
      </w:r>
    </w:p>
    <w:p w:rsidR="00B274AC" w:rsidRDefault="007D0BE4" w:rsidP="004C2C4B">
      <w:pPr>
        <w:tabs>
          <w:tab w:val="left" w:pos="6915"/>
          <w:tab w:val="left" w:pos="9495"/>
        </w:tabs>
        <w:spacing w:before="240" w:after="120"/>
        <w:jc w:val="both"/>
        <w:rPr>
          <w:b/>
          <w:sz w:val="22"/>
          <w:szCs w:val="22"/>
        </w:rPr>
      </w:pPr>
      <w:r w:rsidRPr="007D0BE4">
        <w:rPr>
          <w:b/>
          <w:sz w:val="22"/>
          <w:szCs w:val="22"/>
        </w:rPr>
        <w:t xml:space="preserve">Summary of </w:t>
      </w:r>
      <w:r w:rsidR="00B91F28">
        <w:rPr>
          <w:b/>
          <w:sz w:val="22"/>
          <w:szCs w:val="22"/>
        </w:rPr>
        <w:t>priority</w:t>
      </w:r>
      <w:r w:rsidR="007514DE">
        <w:rPr>
          <w:b/>
          <w:sz w:val="22"/>
          <w:szCs w:val="22"/>
        </w:rPr>
        <w:t xml:space="preserve"> </w:t>
      </w:r>
      <w:r w:rsidRPr="007D0BE4">
        <w:rPr>
          <w:b/>
          <w:sz w:val="22"/>
          <w:szCs w:val="22"/>
        </w:rPr>
        <w:t>recommendations for the next year</w:t>
      </w:r>
      <w:r w:rsidR="00B91F28">
        <w:rPr>
          <w:b/>
          <w:sz w:val="22"/>
          <w:szCs w:val="22"/>
        </w:rPr>
        <w:t xml:space="preserve"> </w:t>
      </w:r>
      <w:r w:rsidR="009D2CE9">
        <w:rPr>
          <w:b/>
          <w:sz w:val="22"/>
          <w:szCs w:val="22"/>
        </w:rPr>
        <w:t>(a</w:t>
      </w:r>
      <w:r w:rsidR="00E33673">
        <w:rPr>
          <w:b/>
          <w:sz w:val="22"/>
          <w:szCs w:val="22"/>
        </w:rPr>
        <w:t xml:space="preserve"> </w:t>
      </w:r>
      <w:r w:rsidR="00B91F28">
        <w:rPr>
          <w:b/>
          <w:sz w:val="22"/>
          <w:szCs w:val="22"/>
        </w:rPr>
        <w:t>detail</w:t>
      </w:r>
      <w:r w:rsidR="00E33673">
        <w:rPr>
          <w:b/>
          <w:sz w:val="22"/>
          <w:szCs w:val="22"/>
        </w:rPr>
        <w:t xml:space="preserve"> list</w:t>
      </w:r>
      <w:r w:rsidR="00B91F28">
        <w:rPr>
          <w:b/>
          <w:sz w:val="22"/>
          <w:szCs w:val="22"/>
        </w:rPr>
        <w:t xml:space="preserve"> in Section B)</w:t>
      </w:r>
    </w:p>
    <w:p w:rsidR="00B91F28" w:rsidRDefault="00872AA1" w:rsidP="000D72B2">
      <w:pPr>
        <w:pStyle w:val="ListParagraph"/>
        <w:numPr>
          <w:ilvl w:val="0"/>
          <w:numId w:val="5"/>
        </w:numPr>
        <w:tabs>
          <w:tab w:val="left" w:pos="6915"/>
          <w:tab w:val="left" w:pos="9495"/>
        </w:tabs>
        <w:spacing w:after="60"/>
        <w:ind w:left="284" w:hanging="284"/>
        <w:contextualSpacing w:val="0"/>
        <w:jc w:val="both"/>
        <w:rPr>
          <w:sz w:val="22"/>
          <w:szCs w:val="22"/>
        </w:rPr>
      </w:pPr>
      <w:r>
        <w:rPr>
          <w:sz w:val="22"/>
          <w:szCs w:val="22"/>
        </w:rPr>
        <w:t>CLP with DFID to i</w:t>
      </w:r>
      <w:r w:rsidR="00DE0073">
        <w:rPr>
          <w:sz w:val="22"/>
          <w:szCs w:val="22"/>
        </w:rPr>
        <w:t>dentify priority actions</w:t>
      </w:r>
      <w:r>
        <w:rPr>
          <w:sz w:val="22"/>
          <w:szCs w:val="22"/>
        </w:rPr>
        <w:t>, by May 2015,</w:t>
      </w:r>
      <w:r w:rsidR="00DE0073">
        <w:rPr>
          <w:sz w:val="22"/>
          <w:szCs w:val="22"/>
        </w:rPr>
        <w:t xml:space="preserve"> to enhance the sustainability of outputs where this is still possible in the final year, focusing particularly on infrastructure maintenance, community institutions, market development</w:t>
      </w:r>
      <w:r w:rsidR="00655862">
        <w:rPr>
          <w:sz w:val="22"/>
          <w:szCs w:val="22"/>
        </w:rPr>
        <w:t xml:space="preserve"> and securing partnerships for basic services</w:t>
      </w:r>
      <w:r w:rsidR="00DE0073">
        <w:rPr>
          <w:sz w:val="22"/>
          <w:szCs w:val="22"/>
        </w:rPr>
        <w:t>.</w:t>
      </w:r>
      <w:r w:rsidR="00655862">
        <w:rPr>
          <w:sz w:val="22"/>
          <w:szCs w:val="22"/>
        </w:rPr>
        <w:t xml:space="preserve"> </w:t>
      </w:r>
    </w:p>
    <w:p w:rsidR="00A70707" w:rsidRPr="00A70707" w:rsidRDefault="00974AC4" w:rsidP="00A70707">
      <w:pPr>
        <w:pStyle w:val="ListParagraph"/>
        <w:numPr>
          <w:ilvl w:val="0"/>
          <w:numId w:val="5"/>
        </w:numPr>
        <w:tabs>
          <w:tab w:val="left" w:pos="6915"/>
          <w:tab w:val="left" w:pos="9495"/>
        </w:tabs>
        <w:spacing w:after="60"/>
        <w:ind w:left="284" w:hanging="284"/>
        <w:contextualSpacing w:val="0"/>
        <w:jc w:val="both"/>
        <w:rPr>
          <w:sz w:val="22"/>
          <w:szCs w:val="22"/>
        </w:rPr>
      </w:pPr>
      <w:r>
        <w:rPr>
          <w:sz w:val="22"/>
          <w:szCs w:val="22"/>
        </w:rPr>
        <w:t xml:space="preserve">CLP to </w:t>
      </w:r>
      <w:r w:rsidR="000D72B2">
        <w:rPr>
          <w:sz w:val="22"/>
          <w:szCs w:val="22"/>
        </w:rPr>
        <w:t>i</w:t>
      </w:r>
      <w:r w:rsidR="004C2C4B" w:rsidRPr="000D72B2">
        <w:rPr>
          <w:rFonts w:cs="Arial"/>
          <w:sz w:val="22"/>
          <w:szCs w:val="22"/>
        </w:rPr>
        <w:t xml:space="preserve">dentify key measures to manage and mitigate </w:t>
      </w:r>
      <w:r w:rsidR="00872AA1">
        <w:rPr>
          <w:rFonts w:cs="Arial"/>
          <w:sz w:val="22"/>
          <w:szCs w:val="22"/>
        </w:rPr>
        <w:t>end of project r</w:t>
      </w:r>
      <w:r w:rsidR="004C2C4B" w:rsidRPr="000D72B2">
        <w:rPr>
          <w:rFonts w:cs="Arial"/>
          <w:sz w:val="22"/>
          <w:szCs w:val="22"/>
        </w:rPr>
        <w:t xml:space="preserve">isks, including incentives to retain key staff and continued </w:t>
      </w:r>
      <w:r w:rsidR="00872AA1">
        <w:rPr>
          <w:rFonts w:cs="Arial"/>
          <w:bCs/>
          <w:sz w:val="22"/>
          <w:szCs w:val="22"/>
        </w:rPr>
        <w:t>fraud risk mitigation, by June 2015.</w:t>
      </w:r>
      <w:r w:rsidR="00B91F28">
        <w:rPr>
          <w:rFonts w:cs="Arial"/>
          <w:bCs/>
          <w:sz w:val="22"/>
          <w:szCs w:val="22"/>
        </w:rPr>
        <w:t xml:space="preserve"> </w:t>
      </w:r>
    </w:p>
    <w:p w:rsidR="00B91F28" w:rsidRPr="00A70707" w:rsidRDefault="00A3640C" w:rsidP="00A70707">
      <w:pPr>
        <w:pStyle w:val="ListParagraph"/>
        <w:numPr>
          <w:ilvl w:val="0"/>
          <w:numId w:val="5"/>
        </w:numPr>
        <w:tabs>
          <w:tab w:val="left" w:pos="6915"/>
          <w:tab w:val="left" w:pos="9495"/>
        </w:tabs>
        <w:spacing w:after="60"/>
        <w:ind w:left="284" w:hanging="284"/>
        <w:contextualSpacing w:val="0"/>
        <w:jc w:val="both"/>
        <w:rPr>
          <w:sz w:val="22"/>
          <w:szCs w:val="22"/>
        </w:rPr>
      </w:pPr>
      <w:r w:rsidRPr="00222C68">
        <w:rPr>
          <w:sz w:val="22"/>
          <w:szCs w:val="22"/>
        </w:rPr>
        <w:lastRenderedPageBreak/>
        <w:t>DFID</w:t>
      </w:r>
      <w:r>
        <w:rPr>
          <w:sz w:val="22"/>
          <w:szCs w:val="22"/>
        </w:rPr>
        <w:t xml:space="preserve"> </w:t>
      </w:r>
      <w:r w:rsidRPr="00222C68">
        <w:rPr>
          <w:sz w:val="22"/>
          <w:szCs w:val="22"/>
        </w:rPr>
        <w:t>to</w:t>
      </w:r>
      <w:r w:rsidR="00B91F28" w:rsidRPr="00222C68">
        <w:rPr>
          <w:sz w:val="22"/>
          <w:szCs w:val="22"/>
        </w:rPr>
        <w:t xml:space="preserve"> </w:t>
      </w:r>
      <w:r w:rsidR="00222C68" w:rsidRPr="00B353DC">
        <w:rPr>
          <w:sz w:val="22"/>
          <w:szCs w:val="22"/>
        </w:rPr>
        <w:t>explore the possibility of a three month no-cost extension</w:t>
      </w:r>
      <w:r w:rsidR="00222C68" w:rsidRPr="0032795B">
        <w:rPr>
          <w:color w:val="1F497D"/>
          <w:sz w:val="22"/>
          <w:szCs w:val="22"/>
        </w:rPr>
        <w:t xml:space="preserve"> </w:t>
      </w:r>
      <w:r w:rsidR="00B91F28" w:rsidRPr="00A70707">
        <w:rPr>
          <w:sz w:val="22"/>
          <w:szCs w:val="22"/>
        </w:rPr>
        <w:t xml:space="preserve">till June 2016 to </w:t>
      </w:r>
      <w:r w:rsidR="00F5256F">
        <w:rPr>
          <w:sz w:val="22"/>
          <w:szCs w:val="22"/>
        </w:rPr>
        <w:t xml:space="preserve">enhance sustainability of impact and to </w:t>
      </w:r>
      <w:r w:rsidR="00B91F28" w:rsidRPr="00A70707">
        <w:rPr>
          <w:sz w:val="22"/>
          <w:szCs w:val="22"/>
        </w:rPr>
        <w:t xml:space="preserve">allow a smooth wrap-up of the </w:t>
      </w:r>
      <w:r w:rsidR="009D2CE9" w:rsidRPr="00A70707">
        <w:rPr>
          <w:sz w:val="22"/>
          <w:szCs w:val="22"/>
        </w:rPr>
        <w:t>project,</w:t>
      </w:r>
      <w:r w:rsidR="00D205F7" w:rsidRPr="00A70707">
        <w:rPr>
          <w:sz w:val="22"/>
          <w:szCs w:val="22"/>
        </w:rPr>
        <w:t xml:space="preserve"> by June 2015</w:t>
      </w:r>
      <w:r w:rsidR="00953023">
        <w:rPr>
          <w:sz w:val="22"/>
          <w:szCs w:val="22"/>
        </w:rPr>
        <w:t>.</w:t>
      </w:r>
    </w:p>
    <w:p w:rsidR="003C6438" w:rsidRPr="00B274AC" w:rsidRDefault="001E30A4" w:rsidP="00A4556C">
      <w:pPr>
        <w:pBdr>
          <w:top w:val="single" w:sz="4" w:space="1" w:color="auto"/>
          <w:left w:val="single" w:sz="4" w:space="4" w:color="auto"/>
          <w:bottom w:val="single" w:sz="4" w:space="1" w:color="auto"/>
          <w:right w:val="single" w:sz="4" w:space="4" w:color="auto"/>
        </w:pBdr>
        <w:shd w:val="clear" w:color="auto" w:fill="DBE5F1" w:themeFill="accent1" w:themeFillTint="33"/>
      </w:pPr>
      <w:r w:rsidRPr="0046232B">
        <w:rPr>
          <w:b/>
          <w:sz w:val="28"/>
        </w:rPr>
        <w:t xml:space="preserve">A. </w:t>
      </w:r>
      <w:r w:rsidR="00144C58" w:rsidRPr="0046232B">
        <w:rPr>
          <w:b/>
          <w:sz w:val="28"/>
        </w:rPr>
        <w:t>Introduction and Context</w:t>
      </w:r>
      <w:r w:rsidR="004D47A2" w:rsidRPr="0046232B">
        <w:rPr>
          <w:b/>
          <w:sz w:val="28"/>
        </w:rPr>
        <w:t xml:space="preserve"> </w:t>
      </w:r>
      <w:r w:rsidR="004D47A2" w:rsidRPr="00B274AC">
        <w:rPr>
          <w:sz w:val="20"/>
          <w:szCs w:val="20"/>
        </w:rPr>
        <w:t xml:space="preserve">(1 </w:t>
      </w:r>
      <w:r w:rsidR="00B274AC">
        <w:rPr>
          <w:sz w:val="20"/>
          <w:szCs w:val="20"/>
        </w:rPr>
        <w:t>p</w:t>
      </w:r>
      <w:r w:rsidR="004D47A2" w:rsidRPr="00B274AC">
        <w:rPr>
          <w:sz w:val="20"/>
          <w:szCs w:val="20"/>
        </w:rPr>
        <w:t>age)</w:t>
      </w:r>
    </w:p>
    <w:p w:rsidR="00C821A4" w:rsidRPr="00265145" w:rsidRDefault="00C821A4" w:rsidP="00C821A4">
      <w:pPr>
        <w:spacing w:before="120" w:after="120"/>
        <w:rPr>
          <w:b/>
          <w:sz w:val="22"/>
          <w:szCs w:val="22"/>
        </w:rPr>
      </w:pPr>
    </w:p>
    <w:tbl>
      <w:tblPr>
        <w:tblStyle w:val="TableGrid"/>
        <w:tblW w:w="0" w:type="auto"/>
        <w:tblInd w:w="392" w:type="dxa"/>
        <w:tblLook w:val="04A0" w:firstRow="1" w:lastRow="0" w:firstColumn="1" w:lastColumn="0" w:noHBand="0" w:noVBand="1"/>
      </w:tblPr>
      <w:tblGrid>
        <w:gridCol w:w="3685"/>
        <w:gridCol w:w="6096"/>
      </w:tblGrid>
      <w:tr w:rsidR="00A4556C" w:rsidRPr="00FF2E02" w:rsidTr="00C821A4">
        <w:tc>
          <w:tcPr>
            <w:tcW w:w="3685" w:type="dxa"/>
            <w:shd w:val="clear" w:color="auto" w:fill="DBE5F1" w:themeFill="accent1" w:themeFillTint="33"/>
          </w:tcPr>
          <w:p w:rsidR="00A4556C" w:rsidRPr="0046232B" w:rsidRDefault="00A4556C" w:rsidP="0046232B">
            <w:pPr>
              <w:jc w:val="both"/>
              <w:rPr>
                <w:rFonts w:cs="Arial"/>
                <w:sz w:val="20"/>
                <w:szCs w:val="20"/>
              </w:rPr>
            </w:pPr>
            <w:r w:rsidRPr="0046232B">
              <w:rPr>
                <w:rFonts w:cs="Arial"/>
                <w:bCs/>
                <w:sz w:val="20"/>
                <w:szCs w:val="20"/>
              </w:rPr>
              <w:t xml:space="preserve">DevTracker Link to Business Case: </w:t>
            </w:r>
          </w:p>
        </w:tc>
        <w:tc>
          <w:tcPr>
            <w:tcW w:w="6096" w:type="dxa"/>
          </w:tcPr>
          <w:p w:rsidR="00A4556C" w:rsidRPr="00C821A4" w:rsidRDefault="00C821A4" w:rsidP="00C821A4">
            <w:pPr>
              <w:rPr>
                <w:rFonts w:cs="Arial"/>
                <w:sz w:val="22"/>
                <w:szCs w:val="22"/>
              </w:rPr>
            </w:pPr>
            <w:r w:rsidRPr="00C821A4">
              <w:rPr>
                <w:rFonts w:cs="Arial"/>
                <w:sz w:val="22"/>
                <w:szCs w:val="22"/>
              </w:rPr>
              <w:t xml:space="preserve">N/A – project commenced prior </w:t>
            </w:r>
            <w:r w:rsidR="0019210F">
              <w:rPr>
                <w:rFonts w:cs="Arial"/>
                <w:sz w:val="22"/>
                <w:szCs w:val="22"/>
              </w:rPr>
              <w:t xml:space="preserve">to </w:t>
            </w:r>
            <w:r w:rsidRPr="00C821A4">
              <w:rPr>
                <w:rFonts w:cs="Arial"/>
                <w:sz w:val="22"/>
                <w:szCs w:val="22"/>
              </w:rPr>
              <w:t>Business Case process</w:t>
            </w:r>
          </w:p>
        </w:tc>
      </w:tr>
      <w:tr w:rsidR="00A4556C" w:rsidRPr="00FF2E02" w:rsidTr="00C821A4">
        <w:tc>
          <w:tcPr>
            <w:tcW w:w="3685" w:type="dxa"/>
            <w:shd w:val="clear" w:color="auto" w:fill="DBE5F1" w:themeFill="accent1" w:themeFillTint="33"/>
          </w:tcPr>
          <w:p w:rsidR="00A4556C" w:rsidRPr="0046232B" w:rsidRDefault="00A4556C" w:rsidP="0046232B">
            <w:pPr>
              <w:jc w:val="both"/>
              <w:rPr>
                <w:rFonts w:cs="Arial"/>
                <w:bCs/>
                <w:i/>
                <w:sz w:val="20"/>
                <w:szCs w:val="20"/>
              </w:rPr>
            </w:pPr>
            <w:r w:rsidRPr="0046232B">
              <w:rPr>
                <w:rFonts w:cs="Arial"/>
                <w:bCs/>
                <w:sz w:val="20"/>
                <w:szCs w:val="20"/>
              </w:rPr>
              <w:t xml:space="preserve">DevTracker Link to Log frame: </w:t>
            </w:r>
          </w:p>
        </w:tc>
        <w:tc>
          <w:tcPr>
            <w:tcW w:w="6096" w:type="dxa"/>
          </w:tcPr>
          <w:p w:rsidR="00A4556C" w:rsidRPr="00C821A4" w:rsidRDefault="00D20ADC" w:rsidP="00A4556C">
            <w:pPr>
              <w:rPr>
                <w:rFonts w:cs="Arial"/>
                <w:sz w:val="22"/>
                <w:szCs w:val="22"/>
              </w:rPr>
            </w:pPr>
            <w:hyperlink r:id="rId9" w:history="1">
              <w:r w:rsidR="00C821A4" w:rsidRPr="00C821A4">
                <w:rPr>
                  <w:rStyle w:val="Hyperlink"/>
                  <w:rFonts w:cs="Arial"/>
                  <w:sz w:val="22"/>
                  <w:szCs w:val="22"/>
                </w:rPr>
                <w:t>http://iati.dfid.gov.uk/iati_documents/4344105.xlsx</w:t>
              </w:r>
            </w:hyperlink>
            <w:r w:rsidR="00C821A4" w:rsidRPr="00C821A4">
              <w:rPr>
                <w:rFonts w:cs="Arial"/>
                <w:sz w:val="22"/>
                <w:szCs w:val="22"/>
              </w:rPr>
              <w:t xml:space="preserve"> </w:t>
            </w:r>
          </w:p>
        </w:tc>
      </w:tr>
    </w:tbl>
    <w:p w:rsidR="00265145" w:rsidRDefault="00265145" w:rsidP="00265145">
      <w:pPr>
        <w:rPr>
          <w:b/>
          <w:sz w:val="22"/>
          <w:szCs w:val="22"/>
        </w:rPr>
      </w:pPr>
    </w:p>
    <w:p w:rsidR="005C3C5A" w:rsidRPr="0046232B" w:rsidRDefault="00BD38CF" w:rsidP="00C821A4">
      <w:pPr>
        <w:spacing w:before="240" w:after="120"/>
        <w:rPr>
          <w:b/>
          <w:sz w:val="22"/>
          <w:szCs w:val="22"/>
        </w:rPr>
      </w:pPr>
      <w:r>
        <w:rPr>
          <w:b/>
          <w:sz w:val="22"/>
          <w:szCs w:val="22"/>
        </w:rPr>
        <w:t>Outline of the p</w:t>
      </w:r>
      <w:r w:rsidR="00583E29" w:rsidRPr="0046232B">
        <w:rPr>
          <w:b/>
          <w:sz w:val="22"/>
          <w:szCs w:val="22"/>
        </w:rPr>
        <w:t>rogramme</w:t>
      </w:r>
    </w:p>
    <w:p w:rsidR="00D971C1" w:rsidRDefault="00F93DA9" w:rsidP="00D971C1">
      <w:pPr>
        <w:spacing w:after="120"/>
        <w:rPr>
          <w:rFonts w:cs="Arial"/>
          <w:bCs/>
          <w:sz w:val="22"/>
          <w:szCs w:val="22"/>
        </w:rPr>
      </w:pPr>
      <w:r w:rsidRPr="00B64687">
        <w:rPr>
          <w:rFonts w:cs="Arial"/>
          <w:bCs/>
          <w:sz w:val="22"/>
          <w:szCs w:val="22"/>
        </w:rPr>
        <w:t xml:space="preserve">The UK is investing £70 million </w:t>
      </w:r>
      <w:r w:rsidRPr="00B64687">
        <w:rPr>
          <w:rFonts w:cs="Arial"/>
          <w:color w:val="000000"/>
          <w:sz w:val="22"/>
          <w:szCs w:val="22"/>
        </w:rPr>
        <w:t xml:space="preserve">over 6 years (2010-16) in the second phase of the </w:t>
      </w:r>
      <w:r w:rsidRPr="00B64687">
        <w:rPr>
          <w:rFonts w:cs="Arial"/>
          <w:bCs/>
          <w:sz w:val="22"/>
          <w:szCs w:val="22"/>
        </w:rPr>
        <w:t>Chars Livelihoods Programme (</w:t>
      </w:r>
      <w:r w:rsidRPr="00B64687">
        <w:rPr>
          <w:rFonts w:cs="Arial"/>
          <w:color w:val="000000"/>
          <w:sz w:val="22"/>
          <w:szCs w:val="22"/>
        </w:rPr>
        <w:t>CLP-2).</w:t>
      </w:r>
      <w:r w:rsidRPr="00B64687">
        <w:rPr>
          <w:rFonts w:cs="Arial"/>
          <w:bCs/>
          <w:sz w:val="22"/>
          <w:szCs w:val="22"/>
        </w:rPr>
        <w:t xml:space="preserve"> Australia’s Department of Foreign Affairs and Trade (DFAT) provides an additional £9.1 million. A component to provide direct nutrition support to the programme’s beneficiaries (at a cost of £2.6 million) commenced in 2013.</w:t>
      </w:r>
    </w:p>
    <w:p w:rsidR="006E4277" w:rsidRPr="00D971C1" w:rsidRDefault="006E4277" w:rsidP="00655862">
      <w:pPr>
        <w:spacing w:after="120"/>
        <w:rPr>
          <w:rFonts w:cs="Arial"/>
          <w:bCs/>
          <w:sz w:val="22"/>
          <w:szCs w:val="22"/>
        </w:rPr>
      </w:pPr>
      <w:r w:rsidRPr="00B64687">
        <w:rPr>
          <w:rFonts w:cs="Arial"/>
          <w:bCs/>
          <w:sz w:val="22"/>
          <w:szCs w:val="22"/>
        </w:rPr>
        <w:t xml:space="preserve">Almost 2.5 million people live on the remote and isolated island </w:t>
      </w:r>
      <w:r w:rsidRPr="00B64687">
        <w:rPr>
          <w:rFonts w:cs="Arial"/>
          <w:bCs/>
          <w:i/>
          <w:sz w:val="22"/>
          <w:szCs w:val="22"/>
        </w:rPr>
        <w:t xml:space="preserve">chars </w:t>
      </w:r>
      <w:r w:rsidRPr="00B64687">
        <w:rPr>
          <w:rFonts w:cs="Arial"/>
          <w:bCs/>
          <w:sz w:val="22"/>
          <w:szCs w:val="22"/>
        </w:rPr>
        <w:t xml:space="preserve">in the north-west of Bangladesh. These are some of the poorest people in the country, many living on less than </w:t>
      </w:r>
      <w:r w:rsidR="00872AA1">
        <w:rPr>
          <w:rFonts w:cs="Arial"/>
          <w:bCs/>
          <w:sz w:val="22"/>
          <w:szCs w:val="22"/>
        </w:rPr>
        <w:t>30</w:t>
      </w:r>
      <w:r w:rsidRPr="00B64687">
        <w:rPr>
          <w:rFonts w:cs="Arial"/>
          <w:bCs/>
          <w:sz w:val="22"/>
          <w:szCs w:val="22"/>
        </w:rPr>
        <w:t xml:space="preserve"> pence a day. Most are landless, with few possessions or opportunities to earn income</w:t>
      </w:r>
      <w:r w:rsidR="006D0320" w:rsidRPr="00B64687">
        <w:rPr>
          <w:rFonts w:cs="Arial"/>
          <w:bCs/>
          <w:sz w:val="22"/>
          <w:szCs w:val="22"/>
        </w:rPr>
        <w:t>.</w:t>
      </w:r>
      <w:r w:rsidRPr="00B64687">
        <w:rPr>
          <w:rFonts w:cs="Arial"/>
          <w:bCs/>
          <w:sz w:val="22"/>
          <w:szCs w:val="22"/>
        </w:rPr>
        <w:t xml:space="preserve"> Char dwellers frequently go hungry and half of all children under the age of five are stunted - a sign of long-term </w:t>
      </w:r>
      <w:r w:rsidR="009D2CE9" w:rsidRPr="00B64687">
        <w:rPr>
          <w:rFonts w:cs="Arial"/>
          <w:bCs/>
          <w:sz w:val="22"/>
          <w:szCs w:val="22"/>
        </w:rPr>
        <w:t>under nutrition</w:t>
      </w:r>
      <w:r w:rsidRPr="00B64687">
        <w:rPr>
          <w:rFonts w:cs="Arial"/>
          <w:bCs/>
          <w:sz w:val="22"/>
          <w:szCs w:val="22"/>
        </w:rPr>
        <w:t xml:space="preserve">. Access to basic services - schools and clinics - as well as microfinance and markets is extremely limited because of the </w:t>
      </w:r>
      <w:r w:rsidRPr="00B64687">
        <w:rPr>
          <w:rFonts w:cs="Arial"/>
          <w:bCs/>
          <w:i/>
          <w:sz w:val="22"/>
          <w:szCs w:val="22"/>
        </w:rPr>
        <w:t>chars</w:t>
      </w:r>
      <w:r w:rsidRPr="00B64687">
        <w:rPr>
          <w:rFonts w:cs="Arial"/>
          <w:bCs/>
          <w:sz w:val="22"/>
          <w:szCs w:val="22"/>
        </w:rPr>
        <w:t>’ isolation from the mainland. The Bangladesh Government’s poverty reduction strategy and plan highlights the need to pay special attention to the “</w:t>
      </w:r>
      <w:r w:rsidR="00EA4026">
        <w:rPr>
          <w:rFonts w:cs="Arial"/>
          <w:bCs/>
          <w:sz w:val="22"/>
          <w:szCs w:val="22"/>
        </w:rPr>
        <w:t>20</w:t>
      </w:r>
      <w:r w:rsidR="006D56EC">
        <w:rPr>
          <w:rFonts w:cs="Arial"/>
          <w:bCs/>
          <w:sz w:val="22"/>
          <w:szCs w:val="22"/>
        </w:rPr>
        <w:t>-25</w:t>
      </w:r>
      <w:r w:rsidRPr="00B64687">
        <w:rPr>
          <w:rFonts w:cs="Arial"/>
          <w:bCs/>
          <w:sz w:val="22"/>
          <w:szCs w:val="22"/>
        </w:rPr>
        <w:t xml:space="preserve"> million people who live in chronic and extreme poverty.” It identifies the </w:t>
      </w:r>
      <w:r w:rsidRPr="00B64687">
        <w:rPr>
          <w:rFonts w:cs="Arial"/>
          <w:bCs/>
          <w:i/>
          <w:sz w:val="22"/>
          <w:szCs w:val="22"/>
        </w:rPr>
        <w:t>chars</w:t>
      </w:r>
      <w:r w:rsidRPr="00B64687">
        <w:rPr>
          <w:rFonts w:cs="Arial"/>
          <w:bCs/>
          <w:sz w:val="22"/>
          <w:szCs w:val="22"/>
        </w:rPr>
        <w:t xml:space="preserve"> as special </w:t>
      </w:r>
      <w:r w:rsidR="00D971C1">
        <w:rPr>
          <w:rFonts w:cs="Arial"/>
          <w:bCs/>
          <w:sz w:val="22"/>
          <w:szCs w:val="22"/>
        </w:rPr>
        <w:t>‘</w:t>
      </w:r>
      <w:r w:rsidRPr="00B64687">
        <w:rPr>
          <w:rFonts w:cs="Arial"/>
          <w:bCs/>
          <w:sz w:val="22"/>
          <w:szCs w:val="22"/>
        </w:rPr>
        <w:t>pockets</w:t>
      </w:r>
      <w:r w:rsidR="00D971C1">
        <w:rPr>
          <w:rFonts w:cs="Arial"/>
          <w:bCs/>
          <w:sz w:val="22"/>
          <w:szCs w:val="22"/>
        </w:rPr>
        <w:t>’</w:t>
      </w:r>
      <w:r w:rsidRPr="00B64687">
        <w:rPr>
          <w:rFonts w:cs="Arial"/>
          <w:bCs/>
          <w:sz w:val="22"/>
          <w:szCs w:val="22"/>
        </w:rPr>
        <w:t xml:space="preserve"> of extreme poverty. </w:t>
      </w:r>
      <w:r>
        <w:rPr>
          <w:rFonts w:cs="Arial"/>
          <w:bCs/>
          <w:sz w:val="22"/>
          <w:szCs w:val="22"/>
        </w:rPr>
        <w:t xml:space="preserve"> </w:t>
      </w:r>
    </w:p>
    <w:p w:rsidR="00F93DA9" w:rsidRDefault="0011578C" w:rsidP="00655862">
      <w:pPr>
        <w:spacing w:after="120"/>
        <w:rPr>
          <w:rFonts w:cs="Arial"/>
          <w:bCs/>
          <w:sz w:val="22"/>
          <w:szCs w:val="22"/>
        </w:rPr>
      </w:pPr>
      <w:r>
        <w:rPr>
          <w:rFonts w:cs="Arial"/>
          <w:bCs/>
          <w:sz w:val="22"/>
          <w:szCs w:val="22"/>
        </w:rPr>
        <w:t>C</w:t>
      </w:r>
      <w:r w:rsidRPr="00B64687">
        <w:rPr>
          <w:rFonts w:cs="Arial"/>
          <w:bCs/>
          <w:sz w:val="22"/>
          <w:szCs w:val="22"/>
        </w:rPr>
        <w:t xml:space="preserve">LP-2’s purpose is to improve the livelihoods, incomes and food security of up to one million extremely poor people (including the non-core participants) living on the remote </w:t>
      </w:r>
      <w:r w:rsidRPr="00B64687">
        <w:rPr>
          <w:rFonts w:cs="Arial"/>
          <w:bCs/>
          <w:i/>
          <w:sz w:val="22"/>
          <w:szCs w:val="22"/>
        </w:rPr>
        <w:t>chars</w:t>
      </w:r>
      <w:r w:rsidRPr="00B64687">
        <w:rPr>
          <w:rFonts w:cs="Arial"/>
          <w:bCs/>
          <w:sz w:val="22"/>
          <w:szCs w:val="22"/>
        </w:rPr>
        <w:t xml:space="preserve"> (sandbank islands) in the Jamuna and Teesta river of north-western Bangladesh.</w:t>
      </w:r>
      <w:r>
        <w:rPr>
          <w:rFonts w:cs="Arial"/>
          <w:bCs/>
          <w:sz w:val="22"/>
          <w:szCs w:val="22"/>
        </w:rPr>
        <w:t xml:space="preserve"> A comprehensive package of support aims to </w:t>
      </w:r>
      <w:r w:rsidRPr="00B64687">
        <w:rPr>
          <w:rFonts w:cs="Arial"/>
          <w:bCs/>
          <w:sz w:val="22"/>
          <w:szCs w:val="22"/>
        </w:rPr>
        <w:t xml:space="preserve">help </w:t>
      </w:r>
      <w:r>
        <w:rPr>
          <w:rFonts w:cs="Arial"/>
          <w:bCs/>
          <w:sz w:val="22"/>
          <w:szCs w:val="22"/>
        </w:rPr>
        <w:t xml:space="preserve">targeted </w:t>
      </w:r>
      <w:r w:rsidRPr="00B64687">
        <w:rPr>
          <w:rFonts w:cs="Arial"/>
          <w:bCs/>
          <w:sz w:val="22"/>
          <w:szCs w:val="22"/>
        </w:rPr>
        <w:t>families and communities lift themselves out of extreme poverty.</w:t>
      </w:r>
      <w:r>
        <w:rPr>
          <w:rFonts w:cs="Arial"/>
          <w:bCs/>
          <w:sz w:val="22"/>
          <w:szCs w:val="22"/>
        </w:rPr>
        <w:t xml:space="preserve"> </w:t>
      </w:r>
      <w:r w:rsidR="00F93DA9" w:rsidRPr="00B64687">
        <w:rPr>
          <w:rFonts w:cs="Arial"/>
          <w:bCs/>
          <w:sz w:val="22"/>
          <w:szCs w:val="22"/>
        </w:rPr>
        <w:t xml:space="preserve">The package is provided over an 18 month period. Typically it includes: (i) raising homesteads onto plinths 2 feet above the high flood level and ensuring access to clean water and a hygienic toilet; (ii) financing a productive asset (people usually decide to buy livestock, particularly cattle) and a small cash stipend; (iii) training in health, household financial management and nutrition (complemented by a direct nutrition supplement); and (iv) ensuring access to basic health care and to markets for selling their produce. After 18 months, </w:t>
      </w:r>
      <w:r>
        <w:rPr>
          <w:rFonts w:cs="Arial"/>
          <w:bCs/>
          <w:sz w:val="22"/>
          <w:szCs w:val="22"/>
        </w:rPr>
        <w:t xml:space="preserve">the aim is that </w:t>
      </w:r>
      <w:r w:rsidR="00F93DA9" w:rsidRPr="00B64687">
        <w:rPr>
          <w:rFonts w:cs="Arial"/>
          <w:bCs/>
          <w:sz w:val="22"/>
          <w:szCs w:val="22"/>
        </w:rPr>
        <w:t xml:space="preserve">most participants are able to sustain and improve their livelihoods with limited further support. </w:t>
      </w:r>
      <w:r w:rsidR="00507983" w:rsidRPr="00B64687">
        <w:rPr>
          <w:rFonts w:cs="Arial"/>
          <w:bCs/>
          <w:sz w:val="22"/>
          <w:szCs w:val="22"/>
        </w:rPr>
        <w:t>The programme then moves on to target other extremely poor households.</w:t>
      </w:r>
      <w:r w:rsidR="00507983">
        <w:rPr>
          <w:rFonts w:cs="Arial"/>
          <w:bCs/>
          <w:sz w:val="22"/>
          <w:szCs w:val="22"/>
        </w:rPr>
        <w:t xml:space="preserve"> </w:t>
      </w:r>
      <w:r w:rsidR="00507983" w:rsidRPr="00B64687">
        <w:rPr>
          <w:rFonts w:cs="Arial"/>
          <w:bCs/>
          <w:sz w:val="22"/>
          <w:szCs w:val="22"/>
        </w:rPr>
        <w:t>The programme also allows for other households living close by to be included in some aspects of the programme, helping to spread benefits and build community support for the programme.</w:t>
      </w:r>
    </w:p>
    <w:p w:rsidR="00D971C1" w:rsidRPr="00B64687" w:rsidRDefault="00D971C1" w:rsidP="00655862">
      <w:pPr>
        <w:rPr>
          <w:rFonts w:cs="Arial"/>
          <w:bCs/>
          <w:sz w:val="22"/>
          <w:szCs w:val="22"/>
        </w:rPr>
      </w:pPr>
      <w:r>
        <w:rPr>
          <w:rFonts w:cs="Arial"/>
          <w:bCs/>
          <w:sz w:val="22"/>
          <w:szCs w:val="22"/>
        </w:rPr>
        <w:t xml:space="preserve">Key results include: </w:t>
      </w:r>
      <w:r w:rsidRPr="00B64687">
        <w:rPr>
          <w:rFonts w:cs="Arial"/>
          <w:sz w:val="22"/>
          <w:szCs w:val="22"/>
        </w:rPr>
        <w:t xml:space="preserve">lifting about </w:t>
      </w:r>
      <w:r w:rsidR="00BC490D">
        <w:rPr>
          <w:rFonts w:cs="Arial"/>
          <w:sz w:val="22"/>
          <w:szCs w:val="22"/>
        </w:rPr>
        <w:t>65</w:t>
      </w:r>
      <w:r w:rsidRPr="00B64687">
        <w:rPr>
          <w:rFonts w:cs="Arial"/>
          <w:sz w:val="22"/>
          <w:szCs w:val="22"/>
        </w:rPr>
        <w:t>,000 families (</w:t>
      </w:r>
      <w:r w:rsidR="00BC490D">
        <w:rPr>
          <w:rFonts w:cs="Arial"/>
          <w:sz w:val="22"/>
          <w:szCs w:val="22"/>
        </w:rPr>
        <w:t xml:space="preserve">about </w:t>
      </w:r>
      <w:r w:rsidRPr="00B64687">
        <w:rPr>
          <w:rFonts w:cs="Arial"/>
          <w:sz w:val="22"/>
          <w:szCs w:val="22"/>
        </w:rPr>
        <w:t>2</w:t>
      </w:r>
      <w:r w:rsidR="00BC490D">
        <w:rPr>
          <w:rFonts w:cs="Arial"/>
          <w:sz w:val="22"/>
          <w:szCs w:val="22"/>
        </w:rPr>
        <w:t>55</w:t>
      </w:r>
      <w:r w:rsidRPr="00B64687">
        <w:rPr>
          <w:rFonts w:cs="Arial"/>
          <w:sz w:val="22"/>
          <w:szCs w:val="22"/>
        </w:rPr>
        <w:t>,000 people) out of extreme poverty;</w:t>
      </w:r>
      <w:r w:rsidRPr="00B64687">
        <w:rPr>
          <w:rFonts w:cs="Arial"/>
          <w:bCs/>
          <w:sz w:val="22"/>
          <w:szCs w:val="22"/>
        </w:rPr>
        <w:t xml:space="preserve"> protect </w:t>
      </w:r>
      <w:r w:rsidR="00BC490D">
        <w:rPr>
          <w:rFonts w:cs="Arial"/>
          <w:bCs/>
          <w:sz w:val="22"/>
          <w:szCs w:val="22"/>
        </w:rPr>
        <w:t>about 30</w:t>
      </w:r>
      <w:r w:rsidR="00BC490D" w:rsidRPr="00B64687">
        <w:rPr>
          <w:rFonts w:cs="Arial"/>
          <w:bCs/>
          <w:sz w:val="22"/>
          <w:szCs w:val="22"/>
        </w:rPr>
        <w:t>0</w:t>
      </w:r>
      <w:r w:rsidRPr="00B64687">
        <w:rPr>
          <w:rFonts w:cs="Arial"/>
          <w:bCs/>
          <w:sz w:val="22"/>
          <w:szCs w:val="22"/>
        </w:rPr>
        <w:t xml:space="preserve">,000 people from flooding by raising their homes on earth plinths; provide more than </w:t>
      </w:r>
      <w:r w:rsidR="00BC490D">
        <w:rPr>
          <w:rFonts w:cs="Arial"/>
          <w:bCs/>
          <w:sz w:val="22"/>
          <w:szCs w:val="22"/>
        </w:rPr>
        <w:t>580</w:t>
      </w:r>
      <w:r w:rsidRPr="00B64687">
        <w:rPr>
          <w:rFonts w:cs="Arial"/>
          <w:bCs/>
          <w:sz w:val="22"/>
          <w:szCs w:val="22"/>
        </w:rPr>
        <w:t xml:space="preserve">,000 people with access to a sanitary toilet; and improve incomes and assets for </w:t>
      </w:r>
      <w:r w:rsidR="00BC490D">
        <w:rPr>
          <w:rFonts w:cs="Arial"/>
          <w:bCs/>
          <w:sz w:val="22"/>
          <w:szCs w:val="22"/>
        </w:rPr>
        <w:t>about</w:t>
      </w:r>
      <w:r w:rsidRPr="00B64687">
        <w:rPr>
          <w:rFonts w:cs="Arial"/>
          <w:bCs/>
          <w:sz w:val="22"/>
          <w:szCs w:val="22"/>
        </w:rPr>
        <w:t xml:space="preserve"> </w:t>
      </w:r>
      <w:r w:rsidR="00BC490D" w:rsidRPr="00B64687">
        <w:rPr>
          <w:rFonts w:cs="Arial"/>
          <w:bCs/>
          <w:sz w:val="22"/>
          <w:szCs w:val="22"/>
        </w:rPr>
        <w:t>2</w:t>
      </w:r>
      <w:r w:rsidR="00BC490D">
        <w:rPr>
          <w:rFonts w:cs="Arial"/>
          <w:bCs/>
          <w:sz w:val="22"/>
          <w:szCs w:val="22"/>
        </w:rPr>
        <w:t>55</w:t>
      </w:r>
      <w:r w:rsidRPr="00B64687">
        <w:rPr>
          <w:rFonts w:cs="Arial"/>
          <w:bCs/>
          <w:sz w:val="22"/>
          <w:szCs w:val="22"/>
        </w:rPr>
        <w:t>,000 people.</w:t>
      </w:r>
    </w:p>
    <w:p w:rsidR="00F93DA9" w:rsidRPr="00B64687" w:rsidRDefault="00F93DA9" w:rsidP="00F93DA9">
      <w:pPr>
        <w:rPr>
          <w:rFonts w:cs="Arial"/>
          <w:bCs/>
          <w:sz w:val="22"/>
          <w:szCs w:val="22"/>
        </w:rPr>
      </w:pPr>
    </w:p>
    <w:p w:rsidR="00583E29" w:rsidRPr="00D971C1" w:rsidRDefault="0090796F" w:rsidP="00C821A4">
      <w:pPr>
        <w:spacing w:before="120" w:after="120"/>
        <w:rPr>
          <w:b/>
          <w:bCs/>
          <w:sz w:val="22"/>
          <w:szCs w:val="22"/>
        </w:rPr>
      </w:pPr>
      <w:r w:rsidRPr="00D971C1">
        <w:rPr>
          <w:b/>
          <w:bCs/>
          <w:sz w:val="22"/>
          <w:szCs w:val="22"/>
        </w:rPr>
        <w:t>Summary of Programme Objectives</w:t>
      </w:r>
    </w:p>
    <w:p w:rsidR="00885398" w:rsidRPr="00885398" w:rsidRDefault="00885398" w:rsidP="00885398">
      <w:pPr>
        <w:spacing w:after="80"/>
        <w:jc w:val="both"/>
        <w:rPr>
          <w:bCs/>
          <w:sz w:val="22"/>
          <w:szCs w:val="22"/>
        </w:rPr>
      </w:pPr>
      <w:r>
        <w:rPr>
          <w:bCs/>
          <w:sz w:val="22"/>
          <w:szCs w:val="22"/>
        </w:rPr>
        <w:t>Based on the available logframe outcome statements the project’s main objectives are</w:t>
      </w:r>
      <w:r w:rsidR="004C2C4B">
        <w:rPr>
          <w:bCs/>
          <w:sz w:val="22"/>
          <w:szCs w:val="22"/>
        </w:rPr>
        <w:t xml:space="preserve"> to</w:t>
      </w:r>
      <w:r>
        <w:rPr>
          <w:bCs/>
          <w:sz w:val="22"/>
          <w:szCs w:val="22"/>
        </w:rPr>
        <w:t>:</w:t>
      </w:r>
    </w:p>
    <w:p w:rsidR="00D971C1" w:rsidRPr="00D971C1" w:rsidRDefault="004C2C4B" w:rsidP="00641A4E">
      <w:pPr>
        <w:pStyle w:val="ListParagraph"/>
        <w:numPr>
          <w:ilvl w:val="0"/>
          <w:numId w:val="7"/>
        </w:numPr>
        <w:spacing w:after="80"/>
        <w:ind w:left="357" w:hanging="357"/>
        <w:contextualSpacing w:val="0"/>
        <w:jc w:val="both"/>
        <w:rPr>
          <w:bCs/>
          <w:sz w:val="22"/>
          <w:szCs w:val="22"/>
        </w:rPr>
      </w:pPr>
      <w:r>
        <w:rPr>
          <w:bCs/>
          <w:sz w:val="22"/>
          <w:szCs w:val="22"/>
        </w:rPr>
        <w:t>i</w:t>
      </w:r>
      <w:r w:rsidR="00D971C1" w:rsidRPr="00D971C1">
        <w:rPr>
          <w:bCs/>
          <w:sz w:val="22"/>
          <w:szCs w:val="22"/>
        </w:rPr>
        <w:t>mprove the livelihoods, incomes and food security  of at least 1 million extremely poor and vulnerable women and girls,  men and boys living on remote isolated riverine char islands of North Western Bangladesh</w:t>
      </w:r>
      <w:r>
        <w:rPr>
          <w:bCs/>
          <w:sz w:val="22"/>
          <w:szCs w:val="22"/>
        </w:rPr>
        <w:t>;</w:t>
      </w:r>
    </w:p>
    <w:p w:rsidR="00D971C1" w:rsidRPr="00D971C1" w:rsidRDefault="004C2C4B" w:rsidP="00641A4E">
      <w:pPr>
        <w:pStyle w:val="ListParagraph"/>
        <w:numPr>
          <w:ilvl w:val="0"/>
          <w:numId w:val="7"/>
        </w:numPr>
        <w:spacing w:after="80"/>
        <w:ind w:left="357" w:hanging="357"/>
        <w:contextualSpacing w:val="0"/>
        <w:jc w:val="both"/>
        <w:rPr>
          <w:bCs/>
          <w:sz w:val="22"/>
          <w:szCs w:val="22"/>
        </w:rPr>
      </w:pPr>
      <w:r>
        <w:rPr>
          <w:bCs/>
          <w:sz w:val="22"/>
          <w:szCs w:val="22"/>
        </w:rPr>
        <w:t>i</w:t>
      </w:r>
      <w:r w:rsidR="00D971C1" w:rsidRPr="00D971C1">
        <w:rPr>
          <w:bCs/>
          <w:sz w:val="22"/>
          <w:szCs w:val="22"/>
        </w:rPr>
        <w:t>mprove nutrition practices among targeted mothers and adolescent girls</w:t>
      </w:r>
      <w:r>
        <w:rPr>
          <w:bCs/>
          <w:sz w:val="22"/>
          <w:szCs w:val="22"/>
        </w:rPr>
        <w:t>;</w:t>
      </w:r>
    </w:p>
    <w:p w:rsidR="00D971C1" w:rsidRPr="00D971C1" w:rsidRDefault="004C2C4B" w:rsidP="00641A4E">
      <w:pPr>
        <w:pStyle w:val="ListParagraph"/>
        <w:numPr>
          <w:ilvl w:val="0"/>
          <w:numId w:val="7"/>
        </w:numPr>
        <w:spacing w:after="80"/>
        <w:ind w:left="357" w:hanging="357"/>
        <w:contextualSpacing w:val="0"/>
        <w:jc w:val="both"/>
        <w:rPr>
          <w:bCs/>
          <w:sz w:val="22"/>
          <w:szCs w:val="22"/>
        </w:rPr>
      </w:pPr>
      <w:r>
        <w:rPr>
          <w:bCs/>
          <w:sz w:val="22"/>
          <w:szCs w:val="22"/>
        </w:rPr>
        <w:t>e</w:t>
      </w:r>
      <w:r w:rsidR="00D971C1" w:rsidRPr="00D971C1">
        <w:rPr>
          <w:bCs/>
          <w:sz w:val="22"/>
          <w:szCs w:val="22"/>
        </w:rPr>
        <w:t xml:space="preserve">nhance </w:t>
      </w:r>
      <w:r>
        <w:rPr>
          <w:bCs/>
          <w:sz w:val="22"/>
          <w:szCs w:val="22"/>
        </w:rPr>
        <w:t xml:space="preserve">the </w:t>
      </w:r>
      <w:r w:rsidR="00D971C1" w:rsidRPr="00D971C1">
        <w:rPr>
          <w:bCs/>
          <w:sz w:val="22"/>
          <w:szCs w:val="22"/>
        </w:rPr>
        <w:t>status of women and girls</w:t>
      </w:r>
      <w:r>
        <w:rPr>
          <w:bCs/>
          <w:sz w:val="22"/>
          <w:szCs w:val="22"/>
        </w:rPr>
        <w:t>.</w:t>
      </w:r>
    </w:p>
    <w:p w:rsidR="00D971C1" w:rsidRPr="00B274AC" w:rsidRDefault="00D971C1" w:rsidP="00A4556C">
      <w:pPr>
        <w:jc w:val="both"/>
        <w:rPr>
          <w:b/>
          <w:bCs/>
        </w:rPr>
      </w:pPr>
    </w:p>
    <w:p w:rsidR="00BE7AF0" w:rsidRPr="00B274AC" w:rsidRDefault="00BE7AF0" w:rsidP="00A4556C">
      <w:pPr>
        <w:jc w:val="both"/>
        <w:rPr>
          <w:b/>
          <w:bCs/>
        </w:rPr>
      </w:pPr>
    </w:p>
    <w:p w:rsidR="00BE7AF0" w:rsidRPr="00B274AC" w:rsidRDefault="00BE7AF0" w:rsidP="00A4556C">
      <w:pPr>
        <w:jc w:val="both"/>
        <w:rPr>
          <w:b/>
          <w:bCs/>
        </w:rPr>
      </w:pPr>
    </w:p>
    <w:p w:rsidR="00067681" w:rsidRPr="00B274AC" w:rsidRDefault="00067681" w:rsidP="000D72B2">
      <w:pPr>
        <w:rPr>
          <w:bCs/>
          <w:i/>
        </w:rPr>
      </w:pPr>
      <w:r w:rsidRPr="00B274AC">
        <w:rPr>
          <w:bCs/>
          <w:i/>
        </w:rPr>
        <w:br w:type="page"/>
      </w:r>
    </w:p>
    <w:p w:rsidR="00A449FC" w:rsidRPr="00655862" w:rsidRDefault="001E30A4" w:rsidP="00F564E8">
      <w:pPr>
        <w:pStyle w:val="Heading2"/>
        <w:pBdr>
          <w:top w:val="single" w:sz="4" w:space="1" w:color="auto"/>
          <w:left w:val="single" w:sz="4" w:space="4" w:color="auto"/>
          <w:bottom w:val="single" w:sz="4" w:space="3" w:color="auto"/>
          <w:right w:val="single" w:sz="4" w:space="4" w:color="auto"/>
        </w:pBdr>
        <w:shd w:val="clear" w:color="auto" w:fill="DBE5F1" w:themeFill="accent1" w:themeFillTint="33"/>
        <w:spacing w:before="0" w:after="0"/>
        <w:rPr>
          <w:b w:val="0"/>
          <w:i w:val="0"/>
          <w:sz w:val="20"/>
          <w:szCs w:val="20"/>
        </w:rPr>
      </w:pPr>
      <w:r>
        <w:rPr>
          <w:i w:val="0"/>
        </w:rPr>
        <w:lastRenderedPageBreak/>
        <w:t>B</w:t>
      </w:r>
      <w:r w:rsidR="00A449FC">
        <w:rPr>
          <w:i w:val="0"/>
        </w:rPr>
        <w:t xml:space="preserve">: </w:t>
      </w:r>
      <w:r w:rsidR="00702FB2">
        <w:rPr>
          <w:i w:val="0"/>
        </w:rPr>
        <w:t>P</w:t>
      </w:r>
      <w:r w:rsidR="00144C58">
        <w:rPr>
          <w:i w:val="0"/>
        </w:rPr>
        <w:t xml:space="preserve">ERFORMANCE AND CONCLUSIONS </w:t>
      </w:r>
    </w:p>
    <w:p w:rsidR="00A449FC" w:rsidRPr="0046232B" w:rsidRDefault="004B5652" w:rsidP="00655862">
      <w:pPr>
        <w:spacing w:before="240" w:after="120"/>
        <w:rPr>
          <w:rFonts w:cs="Arial"/>
          <w:b/>
          <w:sz w:val="22"/>
          <w:szCs w:val="22"/>
        </w:rPr>
      </w:pPr>
      <w:r>
        <w:rPr>
          <w:rFonts w:cs="Arial"/>
          <w:b/>
          <w:bCs/>
          <w:sz w:val="22"/>
          <w:szCs w:val="22"/>
        </w:rPr>
        <w:t xml:space="preserve">Annual </w:t>
      </w:r>
      <w:r w:rsidRPr="00707228">
        <w:rPr>
          <w:rFonts w:cs="Arial"/>
          <w:b/>
          <w:sz w:val="22"/>
          <w:szCs w:val="22"/>
        </w:rPr>
        <w:t>o</w:t>
      </w:r>
      <w:r w:rsidR="00144C58" w:rsidRPr="00707228">
        <w:rPr>
          <w:rFonts w:cs="Arial"/>
          <w:b/>
          <w:sz w:val="22"/>
          <w:szCs w:val="22"/>
        </w:rPr>
        <w:t>utcome</w:t>
      </w:r>
      <w:r w:rsidR="00144C58" w:rsidRPr="0046232B">
        <w:rPr>
          <w:rFonts w:cs="Arial"/>
          <w:b/>
          <w:bCs/>
          <w:sz w:val="22"/>
          <w:szCs w:val="22"/>
        </w:rPr>
        <w:t xml:space="preserve"> </w:t>
      </w:r>
      <w:r>
        <w:rPr>
          <w:rFonts w:cs="Arial"/>
          <w:b/>
          <w:bCs/>
          <w:sz w:val="22"/>
          <w:szCs w:val="22"/>
        </w:rPr>
        <w:t>a</w:t>
      </w:r>
      <w:r w:rsidR="00144C58" w:rsidRPr="0046232B">
        <w:rPr>
          <w:rFonts w:cs="Arial"/>
          <w:b/>
          <w:bCs/>
          <w:sz w:val="22"/>
          <w:szCs w:val="22"/>
        </w:rPr>
        <w:t xml:space="preserve">ssessment </w:t>
      </w:r>
    </w:p>
    <w:p w:rsidR="00DF4F72" w:rsidRPr="00E814DC" w:rsidRDefault="00DF4F72" w:rsidP="002135D0">
      <w:pPr>
        <w:spacing w:after="120"/>
        <w:rPr>
          <w:rFonts w:cs="Arial"/>
          <w:sz w:val="22"/>
          <w:szCs w:val="22"/>
        </w:rPr>
      </w:pPr>
      <w:r w:rsidRPr="00E814DC">
        <w:rPr>
          <w:rFonts w:cs="Arial"/>
          <w:sz w:val="22"/>
          <w:szCs w:val="22"/>
        </w:rPr>
        <w:t xml:space="preserve">The project is on track to achieve, or nearly achieve, 12 out of 14 outcome indicator targets by 2016. Of the remaining two, one </w:t>
      </w:r>
      <w:r w:rsidR="0055505D" w:rsidRPr="00E814DC">
        <w:rPr>
          <w:rFonts w:cs="Arial"/>
          <w:sz w:val="22"/>
          <w:szCs w:val="22"/>
        </w:rPr>
        <w:t xml:space="preserve">(4.1 on asset increase) </w:t>
      </w:r>
      <w:r w:rsidRPr="00E814DC">
        <w:rPr>
          <w:rFonts w:cs="Arial"/>
          <w:sz w:val="22"/>
          <w:szCs w:val="22"/>
        </w:rPr>
        <w:t xml:space="preserve">is unlikely to be achieved </w:t>
      </w:r>
      <w:r w:rsidR="00106B37">
        <w:rPr>
          <w:rFonts w:cs="Arial"/>
          <w:sz w:val="22"/>
          <w:szCs w:val="22"/>
        </w:rPr>
        <w:t xml:space="preserve">as some </w:t>
      </w:r>
      <w:r w:rsidR="00A3640C">
        <w:rPr>
          <w:rFonts w:cs="Arial"/>
          <w:sz w:val="22"/>
          <w:szCs w:val="22"/>
        </w:rPr>
        <w:t>beneficiaries</w:t>
      </w:r>
      <w:r w:rsidR="00106B37">
        <w:rPr>
          <w:rFonts w:cs="Arial"/>
          <w:sz w:val="22"/>
          <w:szCs w:val="22"/>
        </w:rPr>
        <w:t xml:space="preserve"> ( 15-20%) would require more time to build their asset base </w:t>
      </w:r>
      <w:r w:rsidRPr="00E814DC">
        <w:rPr>
          <w:rFonts w:cs="Arial"/>
          <w:sz w:val="22"/>
          <w:szCs w:val="22"/>
        </w:rPr>
        <w:t xml:space="preserve">and the other one is slightly off-track (2.1 on income increase). Overall this is a strong performance against the defined targets.  Some of these targets </w:t>
      </w:r>
      <w:r w:rsidR="00633430" w:rsidRPr="00E814DC">
        <w:rPr>
          <w:rFonts w:cs="Arial"/>
          <w:sz w:val="22"/>
          <w:szCs w:val="22"/>
        </w:rPr>
        <w:t>(e.g.</w:t>
      </w:r>
      <w:r w:rsidRPr="00E814DC">
        <w:rPr>
          <w:rFonts w:cs="Arial"/>
          <w:sz w:val="22"/>
          <w:szCs w:val="22"/>
        </w:rPr>
        <w:t xml:space="preserve"> nutrition, income, expenditure and savings growth) could have been more stretching. Future programmes </w:t>
      </w:r>
      <w:r w:rsidR="00633430" w:rsidRPr="00E814DC">
        <w:rPr>
          <w:rFonts w:cs="Arial"/>
          <w:sz w:val="22"/>
          <w:szCs w:val="22"/>
        </w:rPr>
        <w:t>also need</w:t>
      </w:r>
      <w:r w:rsidRPr="00E814DC">
        <w:rPr>
          <w:rFonts w:cs="Arial"/>
          <w:sz w:val="22"/>
          <w:szCs w:val="22"/>
        </w:rPr>
        <w:t xml:space="preserve"> to revisit the approach to defining and measuring graduation to ensure a more sustainable and dynamic perspective.</w:t>
      </w:r>
    </w:p>
    <w:p w:rsidR="00265248" w:rsidRPr="00554103" w:rsidRDefault="00265248" w:rsidP="00265248">
      <w:pPr>
        <w:spacing w:before="240" w:after="60"/>
        <w:rPr>
          <w:b/>
          <w:bCs/>
        </w:rPr>
      </w:pPr>
      <w:r w:rsidRPr="00554103">
        <w:rPr>
          <w:b/>
          <w:bCs/>
        </w:rPr>
        <w:t>Specific out</w:t>
      </w:r>
      <w:r>
        <w:rPr>
          <w:b/>
          <w:bCs/>
        </w:rPr>
        <w:t>come milestones (by January 2015</w:t>
      </w:r>
      <w:r w:rsidRPr="00554103">
        <w:rPr>
          <w:b/>
          <w:bCs/>
        </w:rPr>
        <w:t>):</w:t>
      </w:r>
    </w:p>
    <w:p w:rsidR="00265248" w:rsidRPr="004C0068" w:rsidRDefault="00265248" w:rsidP="002135D0">
      <w:pPr>
        <w:spacing w:after="120"/>
        <w:rPr>
          <w:rFonts w:cs="Arial"/>
          <w:sz w:val="6"/>
          <w:szCs w:val="22"/>
        </w:rPr>
      </w:pPr>
    </w:p>
    <w:tbl>
      <w:tblPr>
        <w:tblStyle w:val="TableGrid"/>
        <w:tblW w:w="0" w:type="auto"/>
        <w:tblLayout w:type="fixed"/>
        <w:tblLook w:val="04A0" w:firstRow="1" w:lastRow="0" w:firstColumn="1" w:lastColumn="0" w:noHBand="0" w:noVBand="1"/>
      </w:tblPr>
      <w:tblGrid>
        <w:gridCol w:w="250"/>
        <w:gridCol w:w="3736"/>
        <w:gridCol w:w="2454"/>
        <w:gridCol w:w="3980"/>
      </w:tblGrid>
      <w:tr w:rsidR="00785D5B" w:rsidTr="00785D5B">
        <w:tc>
          <w:tcPr>
            <w:tcW w:w="250" w:type="dxa"/>
          </w:tcPr>
          <w:p w:rsidR="00785D5B" w:rsidRPr="000C7FC9" w:rsidRDefault="00785D5B" w:rsidP="000C7FC9">
            <w:pPr>
              <w:spacing w:after="120"/>
              <w:rPr>
                <w:rFonts w:cs="Arial"/>
                <w:b/>
                <w:sz w:val="22"/>
                <w:szCs w:val="22"/>
              </w:rPr>
            </w:pPr>
          </w:p>
        </w:tc>
        <w:tc>
          <w:tcPr>
            <w:tcW w:w="3736" w:type="dxa"/>
          </w:tcPr>
          <w:p w:rsidR="00785D5B" w:rsidRPr="000C7FC9" w:rsidRDefault="00785D5B" w:rsidP="000C7FC9">
            <w:pPr>
              <w:spacing w:after="120"/>
              <w:rPr>
                <w:rFonts w:cs="Arial"/>
                <w:b/>
                <w:sz w:val="22"/>
                <w:szCs w:val="22"/>
              </w:rPr>
            </w:pPr>
            <w:r w:rsidRPr="000C7FC9">
              <w:rPr>
                <w:rFonts w:cs="Arial"/>
                <w:b/>
                <w:sz w:val="22"/>
                <w:szCs w:val="22"/>
              </w:rPr>
              <w:t xml:space="preserve">Target </w:t>
            </w:r>
            <w:r>
              <w:rPr>
                <w:rFonts w:cs="Arial"/>
                <w:b/>
                <w:sz w:val="22"/>
                <w:szCs w:val="22"/>
              </w:rPr>
              <w:t>(cumulative)</w:t>
            </w:r>
          </w:p>
        </w:tc>
        <w:tc>
          <w:tcPr>
            <w:tcW w:w="2454" w:type="dxa"/>
          </w:tcPr>
          <w:p w:rsidR="00785D5B" w:rsidRPr="000C7FC9" w:rsidRDefault="00785D5B" w:rsidP="00A35350">
            <w:pPr>
              <w:spacing w:after="120"/>
              <w:rPr>
                <w:rFonts w:cs="Arial"/>
                <w:b/>
                <w:sz w:val="22"/>
                <w:szCs w:val="22"/>
              </w:rPr>
            </w:pPr>
            <w:r w:rsidRPr="000C7FC9">
              <w:rPr>
                <w:rFonts w:cs="Arial"/>
                <w:b/>
                <w:sz w:val="22"/>
                <w:szCs w:val="22"/>
              </w:rPr>
              <w:t xml:space="preserve">Achievement </w:t>
            </w:r>
          </w:p>
        </w:tc>
        <w:tc>
          <w:tcPr>
            <w:tcW w:w="3980" w:type="dxa"/>
          </w:tcPr>
          <w:p w:rsidR="00785D5B" w:rsidRPr="000C7FC9" w:rsidRDefault="00785D5B" w:rsidP="00974AC4">
            <w:pPr>
              <w:spacing w:after="120"/>
              <w:rPr>
                <w:rFonts w:cs="Arial"/>
                <w:b/>
                <w:sz w:val="22"/>
                <w:szCs w:val="22"/>
              </w:rPr>
            </w:pPr>
            <w:r w:rsidRPr="000C7FC9">
              <w:rPr>
                <w:rFonts w:cs="Arial"/>
                <w:b/>
                <w:sz w:val="22"/>
                <w:szCs w:val="22"/>
              </w:rPr>
              <w:t xml:space="preserve">Description </w:t>
            </w:r>
          </w:p>
        </w:tc>
      </w:tr>
      <w:tr w:rsidR="00785D5B" w:rsidTr="00785D5B">
        <w:tc>
          <w:tcPr>
            <w:tcW w:w="250" w:type="dxa"/>
          </w:tcPr>
          <w:p w:rsidR="00785D5B" w:rsidRPr="005E693E" w:rsidRDefault="00785D5B" w:rsidP="002135D0">
            <w:pPr>
              <w:spacing w:after="120"/>
              <w:rPr>
                <w:rFonts w:cs="Arial"/>
                <w:sz w:val="22"/>
                <w:szCs w:val="22"/>
              </w:rPr>
            </w:pPr>
            <w:r>
              <w:rPr>
                <w:rFonts w:cs="Arial"/>
                <w:sz w:val="22"/>
                <w:szCs w:val="22"/>
              </w:rPr>
              <w:t>1</w:t>
            </w:r>
          </w:p>
        </w:tc>
        <w:tc>
          <w:tcPr>
            <w:tcW w:w="3736" w:type="dxa"/>
          </w:tcPr>
          <w:p w:rsidR="00785D5B" w:rsidRPr="00B1519F" w:rsidRDefault="00785D5B" w:rsidP="002135D0">
            <w:pPr>
              <w:spacing w:after="120"/>
              <w:rPr>
                <w:rFonts w:cs="Arial"/>
                <w:sz w:val="22"/>
                <w:szCs w:val="22"/>
              </w:rPr>
            </w:pPr>
            <w:r w:rsidRPr="00235CF9">
              <w:rPr>
                <w:rFonts w:cs="Arial"/>
                <w:sz w:val="22"/>
                <w:szCs w:val="22"/>
              </w:rPr>
              <w:t>43,228 households (168,156 people) graduate out of extreme poverty (Cohorts 2.1 to 2.4)</w:t>
            </w:r>
          </w:p>
        </w:tc>
        <w:tc>
          <w:tcPr>
            <w:tcW w:w="2454" w:type="dxa"/>
          </w:tcPr>
          <w:p w:rsidR="00785D5B" w:rsidRDefault="00785D5B" w:rsidP="00974AC4">
            <w:pPr>
              <w:spacing w:after="120"/>
              <w:rPr>
                <w:rFonts w:cs="Arial"/>
                <w:sz w:val="22"/>
                <w:szCs w:val="22"/>
              </w:rPr>
            </w:pPr>
            <w:r w:rsidRPr="00A35350">
              <w:rPr>
                <w:rFonts w:cs="Arial"/>
                <w:b/>
                <w:sz w:val="22"/>
                <w:szCs w:val="22"/>
                <w:u w:val="single"/>
              </w:rPr>
              <w:t>Achieved:</w:t>
            </w:r>
            <w:r>
              <w:rPr>
                <w:rFonts w:cs="Arial"/>
                <w:sz w:val="22"/>
                <w:szCs w:val="22"/>
              </w:rPr>
              <w:t xml:space="preserve"> 43,156 CPHHs (core participant households)</w:t>
            </w:r>
            <w:r w:rsidR="00CF42ED">
              <w:rPr>
                <w:rFonts w:cs="Arial"/>
                <w:sz w:val="22"/>
                <w:szCs w:val="22"/>
              </w:rPr>
              <w:t xml:space="preserve"> (167,877 people)</w:t>
            </w:r>
            <w:r>
              <w:rPr>
                <w:rFonts w:cs="Arial"/>
                <w:sz w:val="22"/>
                <w:szCs w:val="22"/>
              </w:rPr>
              <w:t xml:space="preserve"> have graduated based on achieving 6 out of the 10 graduation criteria within 3 months of the end of the intervention period. </w:t>
            </w:r>
          </w:p>
        </w:tc>
        <w:tc>
          <w:tcPr>
            <w:tcW w:w="3980" w:type="dxa"/>
          </w:tcPr>
          <w:p w:rsidR="00785D5B" w:rsidRDefault="00785D5B" w:rsidP="0055505D">
            <w:pPr>
              <w:spacing w:after="120"/>
              <w:rPr>
                <w:rFonts w:cs="Arial"/>
                <w:sz w:val="22"/>
                <w:szCs w:val="22"/>
              </w:rPr>
            </w:pPr>
            <w:r>
              <w:rPr>
                <w:rFonts w:cs="Arial"/>
                <w:sz w:val="22"/>
                <w:szCs w:val="22"/>
              </w:rPr>
              <w:t xml:space="preserve">The project is on course to meet and even moderately exceed the overall target of 66,300 households graduated by January 2016, assuming the higher graduation percentage achieved in recent cohorts (e.g. 91.1% for 2.4) can be sustained for cohort 2.5 and </w:t>
            </w:r>
            <w:r w:rsidR="00A3640C">
              <w:rPr>
                <w:rFonts w:cs="Arial"/>
                <w:sz w:val="22"/>
                <w:szCs w:val="22"/>
              </w:rPr>
              <w:t xml:space="preserve">2.6. </w:t>
            </w:r>
          </w:p>
        </w:tc>
      </w:tr>
      <w:tr w:rsidR="00785D5B" w:rsidTr="00E814DC">
        <w:trPr>
          <w:trHeight w:val="2697"/>
        </w:trPr>
        <w:tc>
          <w:tcPr>
            <w:tcW w:w="250" w:type="dxa"/>
          </w:tcPr>
          <w:p w:rsidR="00785D5B" w:rsidRPr="00F075F9" w:rsidRDefault="00785D5B" w:rsidP="002135D0">
            <w:pPr>
              <w:spacing w:after="120"/>
              <w:rPr>
                <w:rFonts w:cs="Arial"/>
                <w:sz w:val="22"/>
                <w:szCs w:val="22"/>
              </w:rPr>
            </w:pPr>
            <w:r>
              <w:rPr>
                <w:rFonts w:cs="Arial"/>
                <w:sz w:val="22"/>
                <w:szCs w:val="22"/>
              </w:rPr>
              <w:t>2</w:t>
            </w:r>
          </w:p>
        </w:tc>
        <w:tc>
          <w:tcPr>
            <w:tcW w:w="3736" w:type="dxa"/>
          </w:tcPr>
          <w:p w:rsidR="00785D5B" w:rsidRDefault="00785D5B" w:rsidP="002135D0">
            <w:pPr>
              <w:spacing w:after="120"/>
              <w:rPr>
                <w:rFonts w:cs="Arial"/>
                <w:sz w:val="22"/>
                <w:szCs w:val="22"/>
              </w:rPr>
            </w:pPr>
            <w:r w:rsidRPr="00F075F9">
              <w:rPr>
                <w:rFonts w:cs="Arial"/>
                <w:sz w:val="22"/>
                <w:szCs w:val="22"/>
              </w:rPr>
              <w:t>For those who received assets 36 months previously, mean household per capita income,  expenditure and  cash savings increase by 50% (in real terms) for 85 % of targeted core households</w:t>
            </w:r>
          </w:p>
        </w:tc>
        <w:tc>
          <w:tcPr>
            <w:tcW w:w="2454" w:type="dxa"/>
          </w:tcPr>
          <w:p w:rsidR="00785D5B" w:rsidRDefault="00785D5B" w:rsidP="00F075F9">
            <w:pPr>
              <w:spacing w:after="120"/>
              <w:rPr>
                <w:rFonts w:cs="Arial"/>
                <w:sz w:val="22"/>
                <w:szCs w:val="22"/>
              </w:rPr>
            </w:pPr>
            <w:r>
              <w:rPr>
                <w:rFonts w:cs="Arial"/>
                <w:b/>
                <w:sz w:val="22"/>
                <w:szCs w:val="22"/>
                <w:u w:val="single"/>
              </w:rPr>
              <w:t>Partially Achieved</w:t>
            </w:r>
            <w:r w:rsidRPr="00780F40">
              <w:rPr>
                <w:rFonts w:cs="Arial"/>
                <w:b/>
                <w:sz w:val="22"/>
                <w:szCs w:val="22"/>
                <w:u w:val="single"/>
              </w:rPr>
              <w:t>:</w:t>
            </w:r>
            <w:r>
              <w:rPr>
                <w:rFonts w:cs="Arial"/>
                <w:sz w:val="22"/>
                <w:szCs w:val="22"/>
              </w:rPr>
              <w:t xml:space="preserve"> 76% have increased their income by 50% or more,</w:t>
            </w:r>
          </w:p>
          <w:p w:rsidR="00785D5B" w:rsidRDefault="00785D5B" w:rsidP="002135D0">
            <w:pPr>
              <w:spacing w:after="120"/>
              <w:rPr>
                <w:rFonts w:cs="Arial"/>
                <w:sz w:val="22"/>
                <w:szCs w:val="22"/>
              </w:rPr>
            </w:pPr>
            <w:r>
              <w:rPr>
                <w:rFonts w:cs="Arial"/>
                <w:sz w:val="22"/>
                <w:szCs w:val="22"/>
              </w:rPr>
              <w:t>95% have increased their expenditure by 50% or more and 99.9% have increased their savings by 50% or more.</w:t>
            </w:r>
            <w:r w:rsidRPr="005E693E">
              <w:rPr>
                <w:rFonts w:cs="Arial"/>
                <w:sz w:val="22"/>
                <w:szCs w:val="22"/>
              </w:rPr>
              <w:t xml:space="preserve">  </w:t>
            </w:r>
          </w:p>
        </w:tc>
        <w:tc>
          <w:tcPr>
            <w:tcW w:w="3980" w:type="dxa"/>
          </w:tcPr>
          <w:p w:rsidR="00785D5B" w:rsidRPr="00707228" w:rsidDel="00974AC4" w:rsidRDefault="00785D5B" w:rsidP="00F075F9">
            <w:pPr>
              <w:spacing w:after="120"/>
              <w:rPr>
                <w:rFonts w:cs="Arial"/>
                <w:b/>
                <w:sz w:val="22"/>
                <w:szCs w:val="22"/>
              </w:rPr>
            </w:pPr>
            <w:r w:rsidRPr="005E693E">
              <w:rPr>
                <w:rFonts w:cs="Arial"/>
                <w:sz w:val="22"/>
                <w:szCs w:val="22"/>
              </w:rPr>
              <w:t xml:space="preserve">So while two of the three milestones were achieved, the high percentages achieved are </w:t>
            </w:r>
            <w:r>
              <w:rPr>
                <w:rFonts w:cs="Arial"/>
                <w:sz w:val="22"/>
                <w:szCs w:val="22"/>
              </w:rPr>
              <w:t>based on low base</w:t>
            </w:r>
            <w:r w:rsidRPr="005E693E">
              <w:rPr>
                <w:rFonts w:cs="Arial"/>
                <w:sz w:val="22"/>
                <w:szCs w:val="22"/>
              </w:rPr>
              <w:t xml:space="preserve">. </w:t>
            </w:r>
            <w:r>
              <w:rPr>
                <w:rFonts w:cs="Arial"/>
                <w:sz w:val="22"/>
                <w:szCs w:val="22"/>
              </w:rPr>
              <w:t>This is an area of further review whether the targets are low as well.</w:t>
            </w:r>
            <w:r w:rsidRPr="005E693E">
              <w:rPr>
                <w:rFonts w:cs="Arial"/>
                <w:sz w:val="22"/>
                <w:szCs w:val="22"/>
              </w:rPr>
              <w:t>The wording of the 2016 target should be clarified to provide a baseline against which the avoided drop in income, expenditure and savings can be measured.</w:t>
            </w:r>
          </w:p>
        </w:tc>
      </w:tr>
      <w:tr w:rsidR="00785D5B" w:rsidTr="00785D5B">
        <w:tc>
          <w:tcPr>
            <w:tcW w:w="250" w:type="dxa"/>
          </w:tcPr>
          <w:p w:rsidR="00785D5B" w:rsidRPr="00F075F9" w:rsidRDefault="00785D5B" w:rsidP="002135D0">
            <w:pPr>
              <w:spacing w:after="120"/>
              <w:rPr>
                <w:rFonts w:cs="Arial"/>
                <w:sz w:val="22"/>
                <w:szCs w:val="22"/>
              </w:rPr>
            </w:pPr>
            <w:r>
              <w:rPr>
                <w:rFonts w:cs="Arial"/>
                <w:sz w:val="22"/>
                <w:szCs w:val="22"/>
              </w:rPr>
              <w:t>3</w:t>
            </w:r>
          </w:p>
        </w:tc>
        <w:tc>
          <w:tcPr>
            <w:tcW w:w="3736" w:type="dxa"/>
          </w:tcPr>
          <w:p w:rsidR="00785D5B" w:rsidRDefault="00785D5B" w:rsidP="002135D0">
            <w:pPr>
              <w:spacing w:after="120"/>
              <w:rPr>
                <w:rFonts w:cs="Arial"/>
                <w:sz w:val="22"/>
                <w:szCs w:val="22"/>
              </w:rPr>
            </w:pPr>
            <w:r w:rsidRPr="00F075F9">
              <w:rPr>
                <w:rFonts w:cs="Arial"/>
                <w:sz w:val="22"/>
                <w:szCs w:val="22"/>
              </w:rPr>
              <w:t xml:space="preserve">80% of targeted lactating mothers practicing </w:t>
            </w:r>
            <w:r>
              <w:rPr>
                <w:rFonts w:cs="Arial"/>
                <w:sz w:val="22"/>
                <w:szCs w:val="22"/>
              </w:rPr>
              <w:t>Exclusive Breast Feeding (EBF)</w:t>
            </w:r>
            <w:r w:rsidRPr="00F075F9">
              <w:rPr>
                <w:rFonts w:cs="Arial"/>
                <w:sz w:val="22"/>
                <w:szCs w:val="22"/>
              </w:rPr>
              <w:t xml:space="preserve"> (2,599 targeted mothers practicing out of 3,249).</w:t>
            </w:r>
          </w:p>
          <w:p w:rsidR="00785D5B" w:rsidRPr="00C22DDE" w:rsidRDefault="00785D5B" w:rsidP="002135D0">
            <w:pPr>
              <w:spacing w:after="120"/>
              <w:rPr>
                <w:rFonts w:cs="Arial"/>
                <w:sz w:val="2"/>
                <w:szCs w:val="22"/>
              </w:rPr>
            </w:pPr>
          </w:p>
          <w:p w:rsidR="00785D5B" w:rsidRDefault="00785D5B" w:rsidP="002135D0">
            <w:pPr>
              <w:spacing w:after="120"/>
              <w:rPr>
                <w:rFonts w:cs="Arial"/>
                <w:sz w:val="22"/>
                <w:szCs w:val="22"/>
              </w:rPr>
            </w:pPr>
            <w:r w:rsidRPr="00F075F9">
              <w:rPr>
                <w:rFonts w:cs="Arial"/>
                <w:sz w:val="22"/>
                <w:szCs w:val="22"/>
              </w:rPr>
              <w:t>80% of targeted children consuming MNPs (6,623 of 8,279)</w:t>
            </w:r>
          </w:p>
        </w:tc>
        <w:tc>
          <w:tcPr>
            <w:tcW w:w="2454" w:type="dxa"/>
          </w:tcPr>
          <w:p w:rsidR="00785D5B" w:rsidRDefault="00785D5B" w:rsidP="00974AC4">
            <w:pPr>
              <w:spacing w:after="120"/>
              <w:rPr>
                <w:rFonts w:cs="Arial"/>
                <w:sz w:val="22"/>
                <w:szCs w:val="22"/>
              </w:rPr>
            </w:pPr>
            <w:r w:rsidRPr="00A35350">
              <w:rPr>
                <w:rFonts w:cs="Arial"/>
                <w:b/>
                <w:sz w:val="22"/>
                <w:szCs w:val="22"/>
                <w:u w:val="single"/>
              </w:rPr>
              <w:t>Achieved:</w:t>
            </w:r>
            <w:r>
              <w:rPr>
                <w:rFonts w:cs="Arial"/>
                <w:sz w:val="22"/>
                <w:szCs w:val="22"/>
              </w:rPr>
              <w:t xml:space="preserve"> </w:t>
            </w:r>
            <w:r w:rsidRPr="005E693E">
              <w:rPr>
                <w:rFonts w:cs="Arial"/>
                <w:sz w:val="22"/>
                <w:szCs w:val="22"/>
              </w:rPr>
              <w:t>96%</w:t>
            </w:r>
            <w:r w:rsidRPr="008B5C29">
              <w:rPr>
                <w:rFonts w:cs="Arial"/>
                <w:sz w:val="22"/>
                <w:szCs w:val="22"/>
              </w:rPr>
              <w:t xml:space="preserve"> or </w:t>
            </w:r>
            <w:r>
              <w:rPr>
                <w:rFonts w:cs="Arial"/>
                <w:sz w:val="22"/>
                <w:szCs w:val="22"/>
              </w:rPr>
              <w:t xml:space="preserve">6,795 </w:t>
            </w:r>
            <w:r w:rsidRPr="008B5C29">
              <w:rPr>
                <w:rFonts w:cs="Arial"/>
                <w:sz w:val="22"/>
                <w:szCs w:val="22"/>
              </w:rPr>
              <w:t xml:space="preserve">out of </w:t>
            </w:r>
            <w:r>
              <w:rPr>
                <w:rFonts w:cs="Arial"/>
                <w:sz w:val="22"/>
                <w:szCs w:val="22"/>
              </w:rPr>
              <w:t xml:space="preserve">7,029 </w:t>
            </w:r>
            <w:r w:rsidRPr="008B5C29">
              <w:rPr>
                <w:rFonts w:cs="Arial"/>
                <w:sz w:val="22"/>
                <w:szCs w:val="22"/>
              </w:rPr>
              <w:t xml:space="preserve">targeted lactating mothers practiced EBF </w:t>
            </w:r>
            <w:r>
              <w:rPr>
                <w:rFonts w:cs="Arial"/>
                <w:sz w:val="22"/>
                <w:szCs w:val="22"/>
              </w:rPr>
              <w:t xml:space="preserve">against a target of 80%. </w:t>
            </w:r>
          </w:p>
          <w:p w:rsidR="00785D5B" w:rsidRDefault="00785D5B" w:rsidP="00974AC4">
            <w:pPr>
              <w:spacing w:after="120"/>
              <w:rPr>
                <w:rFonts w:cs="Arial"/>
                <w:sz w:val="22"/>
                <w:szCs w:val="22"/>
              </w:rPr>
            </w:pPr>
          </w:p>
          <w:p w:rsidR="00785D5B" w:rsidRPr="00D17B4A" w:rsidRDefault="00785D5B" w:rsidP="00974AC4">
            <w:pPr>
              <w:spacing w:after="120"/>
              <w:rPr>
                <w:rFonts w:cs="Arial"/>
                <w:sz w:val="10"/>
                <w:szCs w:val="22"/>
              </w:rPr>
            </w:pPr>
          </w:p>
          <w:p w:rsidR="00785D5B" w:rsidRDefault="00785D5B" w:rsidP="00974AC4">
            <w:pPr>
              <w:spacing w:after="120"/>
              <w:rPr>
                <w:rFonts w:cs="Arial"/>
                <w:sz w:val="22"/>
                <w:szCs w:val="22"/>
              </w:rPr>
            </w:pPr>
            <w:r>
              <w:rPr>
                <w:rFonts w:cs="Arial"/>
                <w:sz w:val="22"/>
                <w:szCs w:val="22"/>
              </w:rPr>
              <w:t xml:space="preserve">81% (7,445 out of 9,149) of targeted children reported consuming MNPs (target: 80%). </w:t>
            </w:r>
          </w:p>
        </w:tc>
        <w:tc>
          <w:tcPr>
            <w:tcW w:w="3980" w:type="dxa"/>
          </w:tcPr>
          <w:p w:rsidR="00785D5B" w:rsidRPr="00707228" w:rsidDel="00974AC4" w:rsidRDefault="00785D5B" w:rsidP="00A35350">
            <w:pPr>
              <w:spacing w:after="120"/>
              <w:rPr>
                <w:rFonts w:cs="Arial"/>
                <w:b/>
                <w:sz w:val="22"/>
                <w:szCs w:val="22"/>
              </w:rPr>
            </w:pPr>
            <w:r>
              <w:rPr>
                <w:rFonts w:cs="Arial"/>
                <w:sz w:val="22"/>
                <w:szCs w:val="22"/>
              </w:rPr>
              <w:t>The EBF rates achieved are impressive in the context of Bangladesh and warrant further validation. While improved Infant and Young Child Feeding (IYCF) practices, at least for EBF, are an important determinant of improved nutrition neither of these indicators track nutrition outcomes. The latest results from the CLP nutrition survey suggest an overall improvement in chronic under nutrition among children but deteriorating results for underweight, acute malnutrition and anaemia in mothers and children. These results are concerning as they are puzzling and require further investigation.</w:t>
            </w:r>
          </w:p>
        </w:tc>
      </w:tr>
      <w:tr w:rsidR="00785D5B" w:rsidTr="00B353DC">
        <w:trPr>
          <w:trHeight w:val="4818"/>
        </w:trPr>
        <w:tc>
          <w:tcPr>
            <w:tcW w:w="250" w:type="dxa"/>
          </w:tcPr>
          <w:p w:rsidR="00785D5B" w:rsidRPr="00F075F9" w:rsidRDefault="00785D5B" w:rsidP="00F075F9">
            <w:pPr>
              <w:spacing w:after="120"/>
              <w:rPr>
                <w:rFonts w:cs="Arial"/>
                <w:sz w:val="22"/>
                <w:szCs w:val="22"/>
              </w:rPr>
            </w:pPr>
            <w:r>
              <w:rPr>
                <w:rFonts w:cs="Arial"/>
                <w:sz w:val="22"/>
                <w:szCs w:val="22"/>
              </w:rPr>
              <w:lastRenderedPageBreak/>
              <w:t>4</w:t>
            </w:r>
          </w:p>
        </w:tc>
        <w:tc>
          <w:tcPr>
            <w:tcW w:w="3736" w:type="dxa"/>
          </w:tcPr>
          <w:p w:rsidR="00785D5B" w:rsidRDefault="00785D5B" w:rsidP="00F075F9">
            <w:pPr>
              <w:spacing w:after="120"/>
              <w:rPr>
                <w:rFonts w:cs="Arial"/>
                <w:sz w:val="22"/>
                <w:szCs w:val="22"/>
              </w:rPr>
            </w:pPr>
            <w:r w:rsidRPr="00F075F9">
              <w:rPr>
                <w:rFonts w:cs="Arial"/>
                <w:sz w:val="22"/>
                <w:szCs w:val="22"/>
              </w:rPr>
              <w:t>43,228 households with assets doubled in value benefiting 168,157 people</w:t>
            </w:r>
          </w:p>
          <w:p w:rsidR="00785D5B" w:rsidRPr="00F075F9" w:rsidRDefault="00785D5B" w:rsidP="00F075F9">
            <w:pPr>
              <w:spacing w:after="120"/>
              <w:rPr>
                <w:rFonts w:cs="Arial"/>
                <w:sz w:val="22"/>
                <w:szCs w:val="22"/>
              </w:rPr>
            </w:pPr>
          </w:p>
          <w:p w:rsidR="00785D5B" w:rsidRPr="00F075F9" w:rsidRDefault="00785D5B" w:rsidP="00F075F9">
            <w:pPr>
              <w:spacing w:after="120"/>
              <w:rPr>
                <w:rFonts w:cs="Arial"/>
                <w:sz w:val="22"/>
                <w:szCs w:val="22"/>
              </w:rPr>
            </w:pPr>
            <w:r w:rsidRPr="00F075F9">
              <w:rPr>
                <w:rFonts w:cs="Arial"/>
                <w:sz w:val="22"/>
                <w:szCs w:val="22"/>
              </w:rPr>
              <w:t>85% of CPHH receiving a raised plinth continue to reside there</w:t>
            </w:r>
          </w:p>
          <w:p w:rsidR="00785D5B" w:rsidRPr="00FC6BE7" w:rsidRDefault="00785D5B" w:rsidP="00F075F9">
            <w:pPr>
              <w:spacing w:after="120"/>
              <w:rPr>
                <w:rFonts w:cs="Arial"/>
                <w:sz w:val="6"/>
                <w:szCs w:val="22"/>
              </w:rPr>
            </w:pPr>
          </w:p>
          <w:p w:rsidR="00785D5B" w:rsidRDefault="00785D5B" w:rsidP="00F075F9">
            <w:pPr>
              <w:spacing w:after="120"/>
              <w:rPr>
                <w:rFonts w:cs="Arial"/>
                <w:sz w:val="22"/>
                <w:szCs w:val="22"/>
              </w:rPr>
            </w:pPr>
            <w:r w:rsidRPr="00F075F9">
              <w:rPr>
                <w:rFonts w:cs="Arial"/>
                <w:sz w:val="22"/>
                <w:szCs w:val="22"/>
              </w:rPr>
              <w:t>85% of CPHH receiving a sanitary latrine continue to use the latrine</w:t>
            </w:r>
          </w:p>
        </w:tc>
        <w:tc>
          <w:tcPr>
            <w:tcW w:w="2454" w:type="dxa"/>
          </w:tcPr>
          <w:p w:rsidR="00936D71" w:rsidRDefault="00785D5B" w:rsidP="00715123">
            <w:pPr>
              <w:spacing w:after="120"/>
              <w:rPr>
                <w:rFonts w:cs="Arial"/>
                <w:b/>
                <w:sz w:val="22"/>
                <w:szCs w:val="22"/>
                <w:u w:val="single"/>
              </w:rPr>
            </w:pPr>
            <w:r w:rsidRPr="00936D71">
              <w:rPr>
                <w:rFonts w:cs="Arial"/>
                <w:b/>
                <w:sz w:val="22"/>
                <w:szCs w:val="22"/>
                <w:u w:val="single"/>
              </w:rPr>
              <w:t>Partially Achieved:</w:t>
            </w:r>
          </w:p>
          <w:p w:rsidR="00936D71" w:rsidRDefault="00785D5B" w:rsidP="00715123">
            <w:pPr>
              <w:spacing w:after="120"/>
              <w:rPr>
                <w:rFonts w:cs="Arial"/>
                <w:color w:val="FF0000"/>
                <w:sz w:val="22"/>
                <w:szCs w:val="22"/>
              </w:rPr>
            </w:pPr>
            <w:r w:rsidRPr="00715123">
              <w:rPr>
                <w:rFonts w:cs="Arial"/>
                <w:sz w:val="22"/>
                <w:szCs w:val="22"/>
              </w:rPr>
              <w:t xml:space="preserve">31,375 or 61% of all core households in cohorts 2.1-2.4 have been able to double the value of their productive assets after receiving the asset </w:t>
            </w:r>
            <w:r w:rsidR="00633430" w:rsidRPr="00715123">
              <w:rPr>
                <w:rFonts w:cs="Arial"/>
                <w:sz w:val="22"/>
                <w:szCs w:val="22"/>
              </w:rPr>
              <w:t xml:space="preserve">transfer. </w:t>
            </w:r>
          </w:p>
          <w:p w:rsidR="00936D71" w:rsidRPr="00936D71" w:rsidRDefault="00936D71" w:rsidP="00715123">
            <w:pPr>
              <w:spacing w:after="120"/>
              <w:rPr>
                <w:rFonts w:cs="Arial"/>
                <w:color w:val="FF0000"/>
                <w:sz w:val="6"/>
                <w:szCs w:val="22"/>
              </w:rPr>
            </w:pPr>
          </w:p>
          <w:p w:rsidR="00785D5B" w:rsidRPr="00715123" w:rsidRDefault="00785D5B" w:rsidP="00715123">
            <w:pPr>
              <w:spacing w:after="120"/>
              <w:rPr>
                <w:rFonts w:cs="Arial"/>
                <w:sz w:val="22"/>
                <w:szCs w:val="22"/>
              </w:rPr>
            </w:pPr>
            <w:r w:rsidRPr="00715123">
              <w:rPr>
                <w:rFonts w:cs="Arial"/>
                <w:sz w:val="22"/>
                <w:szCs w:val="22"/>
              </w:rPr>
              <w:t>83.3% of CPHHs who have received a raised plinth continue to reside there and</w:t>
            </w:r>
          </w:p>
          <w:p w:rsidR="00785D5B" w:rsidRPr="00715123" w:rsidRDefault="00785D5B" w:rsidP="00715123">
            <w:pPr>
              <w:spacing w:after="120"/>
              <w:rPr>
                <w:rFonts w:cs="Arial"/>
                <w:sz w:val="22"/>
                <w:szCs w:val="22"/>
              </w:rPr>
            </w:pPr>
            <w:r w:rsidRPr="00715123">
              <w:rPr>
                <w:rFonts w:cs="Arial"/>
                <w:sz w:val="22"/>
                <w:szCs w:val="22"/>
              </w:rPr>
              <w:t xml:space="preserve">87.7% of all CPHHs continue to use the sanitary latrine received from the project. </w:t>
            </w:r>
          </w:p>
        </w:tc>
        <w:tc>
          <w:tcPr>
            <w:tcW w:w="3980" w:type="dxa"/>
          </w:tcPr>
          <w:p w:rsidR="00E814DC" w:rsidRDefault="00E814DC" w:rsidP="000B6F9F">
            <w:pPr>
              <w:spacing w:after="120"/>
              <w:rPr>
                <w:rFonts w:cs="Arial"/>
                <w:sz w:val="22"/>
                <w:szCs w:val="22"/>
              </w:rPr>
            </w:pPr>
            <w:r w:rsidRPr="00E814DC">
              <w:rPr>
                <w:rFonts w:cs="Arial"/>
                <w:b/>
                <w:sz w:val="22"/>
                <w:szCs w:val="22"/>
              </w:rPr>
              <w:t>Doubling the value of productive assets</w:t>
            </w:r>
            <w:r>
              <w:rPr>
                <w:rFonts w:cs="Arial"/>
                <w:sz w:val="22"/>
                <w:szCs w:val="22"/>
              </w:rPr>
              <w:t>:</w:t>
            </w:r>
            <w:r w:rsidRPr="00715123">
              <w:rPr>
                <w:rFonts w:cs="Arial"/>
                <w:sz w:val="22"/>
                <w:szCs w:val="22"/>
              </w:rPr>
              <w:t xml:space="preserve"> </w:t>
            </w:r>
            <w:r>
              <w:rPr>
                <w:rFonts w:cs="Arial"/>
                <w:sz w:val="22"/>
                <w:szCs w:val="22"/>
              </w:rPr>
              <w:t>t</w:t>
            </w:r>
            <w:r w:rsidR="00785D5B">
              <w:rPr>
                <w:rFonts w:cs="Arial"/>
                <w:sz w:val="22"/>
                <w:szCs w:val="22"/>
              </w:rPr>
              <w:t xml:space="preserve">his is significantly off-track but </w:t>
            </w:r>
            <w:r w:rsidR="00785D5B" w:rsidRPr="00936D71">
              <w:rPr>
                <w:rFonts w:cs="Arial"/>
                <w:sz w:val="22"/>
                <w:szCs w:val="22"/>
              </w:rPr>
              <w:t xml:space="preserve">may be </w:t>
            </w:r>
            <w:r w:rsidR="00785D5B">
              <w:rPr>
                <w:rFonts w:cs="Arial"/>
                <w:sz w:val="22"/>
                <w:szCs w:val="22"/>
              </w:rPr>
              <w:t xml:space="preserve">achieved, a year late, by early 2016. </w:t>
            </w:r>
            <w:r w:rsidR="00106B37">
              <w:rPr>
                <w:rFonts w:cs="Arial"/>
                <w:sz w:val="22"/>
                <w:szCs w:val="22"/>
              </w:rPr>
              <w:t xml:space="preserve">Some </w:t>
            </w:r>
            <w:r w:rsidR="00A3640C">
              <w:rPr>
                <w:rFonts w:cs="Arial"/>
                <w:sz w:val="22"/>
                <w:szCs w:val="22"/>
              </w:rPr>
              <w:t>beneficiaries</w:t>
            </w:r>
            <w:r w:rsidR="00106B37">
              <w:rPr>
                <w:rFonts w:cs="Arial"/>
                <w:sz w:val="22"/>
                <w:szCs w:val="22"/>
              </w:rPr>
              <w:t xml:space="preserve"> </w:t>
            </w:r>
            <w:r w:rsidR="00A3640C">
              <w:rPr>
                <w:rFonts w:cs="Arial"/>
                <w:sz w:val="22"/>
                <w:szCs w:val="22"/>
              </w:rPr>
              <w:t>(15</w:t>
            </w:r>
            <w:r w:rsidR="00106B37">
              <w:rPr>
                <w:rFonts w:cs="Arial"/>
                <w:sz w:val="22"/>
                <w:szCs w:val="22"/>
              </w:rPr>
              <w:t xml:space="preserve">-20%) will require more time to build their asset base due to lack of skills </w:t>
            </w:r>
            <w:r w:rsidR="00A3640C">
              <w:rPr>
                <w:rFonts w:cs="Arial"/>
                <w:sz w:val="22"/>
                <w:szCs w:val="22"/>
              </w:rPr>
              <w:t>(in</w:t>
            </w:r>
            <w:r w:rsidR="00106B37">
              <w:rPr>
                <w:rFonts w:cs="Arial"/>
                <w:sz w:val="22"/>
                <w:szCs w:val="22"/>
              </w:rPr>
              <w:t xml:space="preserve"> terms of investment decision) and weak coping capacities to shocks (natural or personal).</w:t>
            </w:r>
            <w:r w:rsidR="00106B37" w:rsidRPr="00E814DC">
              <w:rPr>
                <w:rFonts w:cs="Arial"/>
                <w:sz w:val="22"/>
                <w:szCs w:val="22"/>
              </w:rPr>
              <w:t xml:space="preserve"> </w:t>
            </w:r>
            <w:r w:rsidR="00785D5B">
              <w:rPr>
                <w:rFonts w:cs="Arial"/>
                <w:sz w:val="22"/>
                <w:szCs w:val="22"/>
              </w:rPr>
              <w:t xml:space="preserve">This would still represent a significant achievement, pointing to the sustainability of the value and benefits derived from the asset for a majority of households. </w:t>
            </w:r>
          </w:p>
          <w:p w:rsidR="00785D5B" w:rsidRPr="00707228" w:rsidRDefault="00785D5B" w:rsidP="000B6F9F">
            <w:pPr>
              <w:spacing w:after="120"/>
              <w:rPr>
                <w:rFonts w:cs="Arial"/>
                <w:sz w:val="22"/>
                <w:szCs w:val="22"/>
              </w:rPr>
            </w:pPr>
            <w:r>
              <w:rPr>
                <w:rFonts w:cs="Arial"/>
                <w:sz w:val="22"/>
                <w:szCs w:val="22"/>
              </w:rPr>
              <w:t xml:space="preserve">It should also be noted that only 48% of households are able to meet the BDT 30,000 asset threshold set as one of the graduation criteria, suggesting growing inequality in the asset value and incomes of CLP core households over time.  </w:t>
            </w:r>
          </w:p>
          <w:p w:rsidR="00785D5B" w:rsidRPr="000B6F9F" w:rsidRDefault="00785D5B" w:rsidP="000B6F9F">
            <w:pPr>
              <w:spacing w:after="120"/>
              <w:rPr>
                <w:rFonts w:cs="Arial"/>
                <w:sz w:val="22"/>
                <w:szCs w:val="22"/>
              </w:rPr>
            </w:pPr>
          </w:p>
        </w:tc>
      </w:tr>
      <w:tr w:rsidR="00785D5B" w:rsidTr="00B353DC">
        <w:trPr>
          <w:trHeight w:val="5302"/>
        </w:trPr>
        <w:tc>
          <w:tcPr>
            <w:tcW w:w="250" w:type="dxa"/>
          </w:tcPr>
          <w:p w:rsidR="00785D5B" w:rsidRPr="00F075F9" w:rsidRDefault="00785D5B" w:rsidP="00F075F9">
            <w:pPr>
              <w:spacing w:after="120"/>
              <w:rPr>
                <w:rFonts w:cs="Arial"/>
                <w:sz w:val="22"/>
                <w:szCs w:val="22"/>
              </w:rPr>
            </w:pPr>
            <w:r>
              <w:rPr>
                <w:rFonts w:cs="Arial"/>
                <w:sz w:val="22"/>
                <w:szCs w:val="22"/>
              </w:rPr>
              <w:t>5</w:t>
            </w:r>
          </w:p>
        </w:tc>
        <w:tc>
          <w:tcPr>
            <w:tcW w:w="3736" w:type="dxa"/>
          </w:tcPr>
          <w:p w:rsidR="00785D5B" w:rsidRPr="00F075F9" w:rsidRDefault="00785D5B" w:rsidP="00F075F9">
            <w:pPr>
              <w:spacing w:after="120"/>
              <w:rPr>
                <w:rFonts w:cs="Arial"/>
                <w:sz w:val="22"/>
                <w:szCs w:val="22"/>
              </w:rPr>
            </w:pPr>
            <w:r w:rsidRPr="00F075F9">
              <w:rPr>
                <w:rFonts w:cs="Arial"/>
                <w:sz w:val="22"/>
                <w:szCs w:val="22"/>
              </w:rPr>
              <w:t>Average profits: Milk Group members Tk 942 per cow per month), Meat Group members (Tk 1,872 per cow per month)</w:t>
            </w:r>
          </w:p>
          <w:p w:rsidR="00785D5B" w:rsidRPr="00F075F9" w:rsidRDefault="00785D5B" w:rsidP="00F075F9">
            <w:pPr>
              <w:spacing w:after="120"/>
              <w:rPr>
                <w:rFonts w:cs="Arial"/>
                <w:sz w:val="22"/>
                <w:szCs w:val="22"/>
              </w:rPr>
            </w:pPr>
          </w:p>
          <w:p w:rsidR="00785D5B" w:rsidRDefault="00785D5B" w:rsidP="000B6F9F">
            <w:pPr>
              <w:spacing w:after="120"/>
              <w:rPr>
                <w:rFonts w:cs="Arial"/>
                <w:sz w:val="22"/>
                <w:szCs w:val="22"/>
              </w:rPr>
            </w:pPr>
            <w:r w:rsidRPr="00F075F9">
              <w:rPr>
                <w:rFonts w:cs="Arial"/>
                <w:sz w:val="22"/>
                <w:szCs w:val="22"/>
              </w:rPr>
              <w:t>Of a total of 8,066 B</w:t>
            </w:r>
            <w:r>
              <w:rPr>
                <w:rFonts w:cs="Arial"/>
                <w:sz w:val="22"/>
                <w:szCs w:val="22"/>
              </w:rPr>
              <w:t xml:space="preserve">usiness Group (BG) </w:t>
            </w:r>
            <w:r w:rsidRPr="00F075F9">
              <w:rPr>
                <w:rFonts w:cs="Arial"/>
                <w:sz w:val="22"/>
                <w:szCs w:val="22"/>
              </w:rPr>
              <w:t>members, 1,802 (22.3%) will achieve a profit increase percentage appropriate for the BG area (average of 28.3% increase ov</w:t>
            </w:r>
            <w:r>
              <w:rPr>
                <w:rFonts w:cs="Arial"/>
                <w:sz w:val="22"/>
                <w:szCs w:val="22"/>
              </w:rPr>
              <w:t>er baseline, varying by BG area)</w:t>
            </w:r>
            <w:r w:rsidRPr="00F075F9">
              <w:rPr>
                <w:rFonts w:cs="Arial"/>
                <w:sz w:val="22"/>
                <w:szCs w:val="22"/>
              </w:rPr>
              <w:t>.</w:t>
            </w:r>
          </w:p>
        </w:tc>
        <w:tc>
          <w:tcPr>
            <w:tcW w:w="2454" w:type="dxa"/>
          </w:tcPr>
          <w:p w:rsidR="00785D5B" w:rsidRPr="00D45361" w:rsidRDefault="00785D5B" w:rsidP="00D45361">
            <w:pPr>
              <w:spacing w:after="120"/>
              <w:rPr>
                <w:rFonts w:cs="Arial"/>
                <w:sz w:val="22"/>
                <w:szCs w:val="22"/>
              </w:rPr>
            </w:pPr>
            <w:r w:rsidRPr="00A35350">
              <w:rPr>
                <w:rFonts w:cs="Arial"/>
                <w:b/>
                <w:sz w:val="22"/>
                <w:szCs w:val="22"/>
                <w:u w:val="single"/>
              </w:rPr>
              <w:t>Achieved:</w:t>
            </w:r>
            <w:r>
              <w:rPr>
                <w:rFonts w:cs="Arial"/>
                <w:sz w:val="22"/>
                <w:szCs w:val="22"/>
              </w:rPr>
              <w:t xml:space="preserve"> </w:t>
            </w:r>
            <w:r w:rsidRPr="00D45361">
              <w:rPr>
                <w:rFonts w:cs="Arial"/>
                <w:sz w:val="22"/>
                <w:szCs w:val="22"/>
              </w:rPr>
              <w:t xml:space="preserve">Average profits for Milk Group members were BDT 870 per cow per month (compared to BDT 598 last year) against the revised 2015 milestone of BDT 942 while average profits for Meat Group members were slightly lower than last year at BDT 1,749 per cow per month, against a target of BDT 1,872. </w:t>
            </w:r>
          </w:p>
          <w:p w:rsidR="00785D5B" w:rsidRPr="00D45361" w:rsidRDefault="00785D5B" w:rsidP="000B6F9F">
            <w:pPr>
              <w:spacing w:after="120"/>
              <w:rPr>
                <w:rFonts w:cs="Arial"/>
                <w:sz w:val="22"/>
                <w:szCs w:val="22"/>
              </w:rPr>
            </w:pPr>
            <w:r w:rsidRPr="00D45361">
              <w:rPr>
                <w:rFonts w:cs="Arial"/>
                <w:sz w:val="22"/>
                <w:szCs w:val="22"/>
              </w:rPr>
              <w:t xml:space="preserve">34% of Business Group (BG) members increased their profits by an average of 30% over the baseline. </w:t>
            </w:r>
          </w:p>
        </w:tc>
        <w:tc>
          <w:tcPr>
            <w:tcW w:w="3980" w:type="dxa"/>
          </w:tcPr>
          <w:p w:rsidR="00785D5B" w:rsidRDefault="00785D5B" w:rsidP="000B6F9F">
            <w:pPr>
              <w:spacing w:after="120"/>
              <w:rPr>
                <w:rFonts w:cs="Arial"/>
                <w:sz w:val="22"/>
                <w:szCs w:val="22"/>
              </w:rPr>
            </w:pPr>
            <w:r>
              <w:rPr>
                <w:rFonts w:cs="Arial"/>
                <w:sz w:val="22"/>
                <w:szCs w:val="22"/>
              </w:rPr>
              <w:t>Overall these figures suggest a significant step forward over the last year and suggest the market development work in these sectors is beginning to develop some momentum. The 2016 target is likely to be reached providing the Meat Group Members can reverse the slight dip in profit increased this year</w:t>
            </w:r>
            <w:r w:rsidR="00053BF4">
              <w:rPr>
                <w:rFonts w:cs="Arial"/>
                <w:sz w:val="22"/>
                <w:szCs w:val="22"/>
              </w:rPr>
              <w:t xml:space="preserve"> due to market price fluctuation</w:t>
            </w:r>
            <w:r>
              <w:rPr>
                <w:rFonts w:cs="Arial"/>
                <w:sz w:val="22"/>
                <w:szCs w:val="22"/>
              </w:rPr>
              <w:t>.</w:t>
            </w:r>
            <w:r w:rsidR="00C255EE">
              <w:rPr>
                <w:rFonts w:cs="Arial"/>
                <w:sz w:val="22"/>
                <w:szCs w:val="22"/>
              </w:rPr>
              <w:t>The overall trend is still upward from a baseline of 1,387 Taka.</w:t>
            </w:r>
            <w:r>
              <w:rPr>
                <w:rFonts w:cs="Arial"/>
                <w:sz w:val="22"/>
                <w:szCs w:val="22"/>
              </w:rPr>
              <w:t xml:space="preserve"> It should</w:t>
            </w:r>
            <w:r w:rsidR="00C255EE">
              <w:rPr>
                <w:rFonts w:cs="Arial"/>
                <w:sz w:val="22"/>
                <w:szCs w:val="22"/>
              </w:rPr>
              <w:t xml:space="preserve"> however</w:t>
            </w:r>
            <w:r>
              <w:rPr>
                <w:rFonts w:cs="Arial"/>
                <w:sz w:val="22"/>
                <w:szCs w:val="22"/>
              </w:rPr>
              <w:t xml:space="preserve"> be noted that only around 40% of BG members are CPHH graduates so these benefits to do map directly onto the majority of CPHHs. </w:t>
            </w:r>
          </w:p>
          <w:p w:rsidR="00785D5B" w:rsidRPr="00E814DC" w:rsidRDefault="00785D5B" w:rsidP="000B6F9F">
            <w:pPr>
              <w:spacing w:after="120"/>
              <w:rPr>
                <w:rFonts w:cs="Arial"/>
                <w:sz w:val="22"/>
                <w:szCs w:val="22"/>
              </w:rPr>
            </w:pPr>
            <w:r w:rsidRPr="00E814DC">
              <w:rPr>
                <w:rFonts w:cs="Arial"/>
                <w:sz w:val="22"/>
                <w:szCs w:val="22"/>
              </w:rPr>
              <w:t>The latter results exclude the Fodder Group members as these have been phased out.</w:t>
            </w:r>
          </w:p>
          <w:p w:rsidR="00785D5B" w:rsidRPr="000B6F9F" w:rsidRDefault="00785D5B" w:rsidP="000B6F9F">
            <w:pPr>
              <w:spacing w:after="120"/>
              <w:rPr>
                <w:rFonts w:cs="Arial"/>
                <w:sz w:val="22"/>
                <w:szCs w:val="22"/>
              </w:rPr>
            </w:pPr>
          </w:p>
        </w:tc>
      </w:tr>
      <w:tr w:rsidR="00785D5B" w:rsidTr="00785D5B">
        <w:tc>
          <w:tcPr>
            <w:tcW w:w="250" w:type="dxa"/>
          </w:tcPr>
          <w:p w:rsidR="00785D5B" w:rsidRPr="00F075F9" w:rsidRDefault="00785D5B" w:rsidP="002135D0">
            <w:pPr>
              <w:spacing w:after="120"/>
              <w:rPr>
                <w:rFonts w:cs="Arial"/>
                <w:sz w:val="22"/>
                <w:szCs w:val="22"/>
              </w:rPr>
            </w:pPr>
            <w:r>
              <w:rPr>
                <w:rFonts w:cs="Arial"/>
                <w:sz w:val="22"/>
                <w:szCs w:val="22"/>
              </w:rPr>
              <w:t>6</w:t>
            </w:r>
          </w:p>
        </w:tc>
        <w:tc>
          <w:tcPr>
            <w:tcW w:w="3736" w:type="dxa"/>
          </w:tcPr>
          <w:p w:rsidR="00785D5B" w:rsidRDefault="00785D5B" w:rsidP="002135D0">
            <w:pPr>
              <w:spacing w:after="120"/>
              <w:rPr>
                <w:rFonts w:cs="Arial"/>
                <w:sz w:val="22"/>
                <w:szCs w:val="22"/>
              </w:rPr>
            </w:pPr>
            <w:r w:rsidRPr="00F075F9">
              <w:rPr>
                <w:rFonts w:cs="Arial"/>
                <w:sz w:val="22"/>
                <w:szCs w:val="22"/>
              </w:rPr>
              <w:t>At least 74% of Cohort 2.4 (12,069 of 16,309 CPHHs) and Cohort 2.5 CPs (10,048 of 13,579) report being empowered, for a total of 22,117 out of 29,888 participants.</w:t>
            </w:r>
          </w:p>
        </w:tc>
        <w:tc>
          <w:tcPr>
            <w:tcW w:w="2454" w:type="dxa"/>
          </w:tcPr>
          <w:p w:rsidR="00785D5B" w:rsidRDefault="00785D5B" w:rsidP="002135D0">
            <w:pPr>
              <w:spacing w:after="120"/>
              <w:rPr>
                <w:rFonts w:cs="Arial"/>
                <w:sz w:val="22"/>
                <w:szCs w:val="22"/>
              </w:rPr>
            </w:pPr>
            <w:r w:rsidRPr="00A35350">
              <w:rPr>
                <w:rFonts w:cs="Arial"/>
                <w:b/>
                <w:sz w:val="22"/>
                <w:szCs w:val="22"/>
                <w:u w:val="single"/>
              </w:rPr>
              <w:t>Achieved:</w:t>
            </w:r>
            <w:r>
              <w:rPr>
                <w:rFonts w:cs="Arial"/>
                <w:sz w:val="22"/>
                <w:szCs w:val="22"/>
              </w:rPr>
              <w:t xml:space="preserve"> </w:t>
            </w:r>
            <w:r w:rsidRPr="00071892">
              <w:rPr>
                <w:rFonts w:cs="Arial"/>
                <w:sz w:val="22"/>
                <w:szCs w:val="22"/>
              </w:rPr>
              <w:t>96.1% of women surveyed in cohort 2.4 and 100% of cohort 2.5 reported meeting 5 or more out of 10 criteria of a Women’s Empowerment Scorecard</w:t>
            </w:r>
            <w:r>
              <w:rPr>
                <w:rFonts w:cs="Arial"/>
                <w:sz w:val="22"/>
                <w:szCs w:val="22"/>
              </w:rPr>
              <w:t xml:space="preserve">, compared to only </w:t>
            </w:r>
            <w:r w:rsidRPr="005F7FB5">
              <w:rPr>
                <w:rFonts w:cs="Arial"/>
                <w:sz w:val="22"/>
                <w:szCs w:val="22"/>
              </w:rPr>
              <w:t xml:space="preserve">11.5% of </w:t>
            </w:r>
            <w:r>
              <w:rPr>
                <w:rFonts w:cs="Arial"/>
                <w:sz w:val="22"/>
                <w:szCs w:val="22"/>
              </w:rPr>
              <w:t xml:space="preserve">women in </w:t>
            </w:r>
            <w:r w:rsidRPr="005F7FB5">
              <w:rPr>
                <w:rFonts w:cs="Arial"/>
                <w:sz w:val="22"/>
                <w:szCs w:val="22"/>
              </w:rPr>
              <w:t xml:space="preserve">the </w:t>
            </w:r>
            <w:r>
              <w:rPr>
                <w:rFonts w:cs="Arial"/>
                <w:sz w:val="22"/>
                <w:szCs w:val="22"/>
              </w:rPr>
              <w:t xml:space="preserve">rolling baseline (cohort 2.6). </w:t>
            </w:r>
          </w:p>
        </w:tc>
        <w:tc>
          <w:tcPr>
            <w:tcW w:w="3980" w:type="dxa"/>
          </w:tcPr>
          <w:p w:rsidR="00785D5B" w:rsidRPr="00707228" w:rsidDel="00974AC4" w:rsidRDefault="00785D5B" w:rsidP="004C0068">
            <w:pPr>
              <w:spacing w:after="120"/>
              <w:rPr>
                <w:rFonts w:cs="Arial"/>
                <w:b/>
                <w:sz w:val="22"/>
                <w:szCs w:val="22"/>
              </w:rPr>
            </w:pPr>
            <w:r>
              <w:rPr>
                <w:rFonts w:cs="Arial"/>
                <w:sz w:val="22"/>
                <w:szCs w:val="22"/>
              </w:rPr>
              <w:t xml:space="preserve">These </w:t>
            </w:r>
            <w:r w:rsidRPr="002646CA">
              <w:rPr>
                <w:rFonts w:cs="Arial"/>
                <w:sz w:val="22"/>
                <w:szCs w:val="22"/>
              </w:rPr>
              <w:t xml:space="preserve">scorecard </w:t>
            </w:r>
            <w:r>
              <w:rPr>
                <w:rFonts w:cs="Arial"/>
                <w:sz w:val="22"/>
                <w:szCs w:val="22"/>
              </w:rPr>
              <w:t xml:space="preserve">results suggests the project has contributed to an important step forward in women’s perceived confidence, economic independence and freedom. However the scorecard should </w:t>
            </w:r>
            <w:r w:rsidRPr="002646CA">
              <w:rPr>
                <w:rFonts w:cs="Arial"/>
                <w:sz w:val="22"/>
                <w:szCs w:val="22"/>
              </w:rPr>
              <w:t>be used and interpreted with some caution</w:t>
            </w:r>
            <w:r>
              <w:rPr>
                <w:rFonts w:cs="Arial"/>
                <w:sz w:val="22"/>
                <w:szCs w:val="22"/>
              </w:rPr>
              <w:t xml:space="preserve"> as it does not capture the empowerment status of </w:t>
            </w:r>
            <w:r w:rsidRPr="005F7FB5">
              <w:rPr>
                <w:rFonts w:cs="Arial"/>
                <w:sz w:val="22"/>
                <w:szCs w:val="22"/>
              </w:rPr>
              <w:t xml:space="preserve">socially disadvantaged </w:t>
            </w:r>
            <w:r>
              <w:rPr>
                <w:rFonts w:cs="Arial"/>
                <w:sz w:val="22"/>
                <w:szCs w:val="22"/>
              </w:rPr>
              <w:t xml:space="preserve">women, in particular of </w:t>
            </w:r>
            <w:r w:rsidRPr="005F7FB5">
              <w:rPr>
                <w:rFonts w:cs="Arial"/>
                <w:sz w:val="22"/>
                <w:szCs w:val="22"/>
              </w:rPr>
              <w:t>female headed household</w:t>
            </w:r>
            <w:r w:rsidRPr="002646CA">
              <w:rPr>
                <w:rFonts w:cs="Arial"/>
                <w:sz w:val="22"/>
                <w:szCs w:val="22"/>
              </w:rPr>
              <w:t>.</w:t>
            </w:r>
          </w:p>
        </w:tc>
      </w:tr>
    </w:tbl>
    <w:p w:rsidR="00C3024A" w:rsidRDefault="00C3024A" w:rsidP="00C81F2D">
      <w:pPr>
        <w:spacing w:before="240" w:after="60"/>
        <w:rPr>
          <w:rFonts w:cs="Arial"/>
          <w:b/>
          <w:sz w:val="22"/>
          <w:szCs w:val="22"/>
        </w:rPr>
      </w:pPr>
    </w:p>
    <w:p w:rsidR="00A449FC" w:rsidRPr="0046232B" w:rsidRDefault="004B5652" w:rsidP="00265145">
      <w:pPr>
        <w:spacing w:before="240" w:after="120"/>
        <w:rPr>
          <w:rFonts w:cs="Arial"/>
          <w:b/>
          <w:sz w:val="22"/>
          <w:szCs w:val="22"/>
        </w:rPr>
      </w:pPr>
      <w:r>
        <w:rPr>
          <w:rFonts w:cs="Arial"/>
          <w:b/>
          <w:sz w:val="22"/>
          <w:szCs w:val="22"/>
        </w:rPr>
        <w:t>Overall o</w:t>
      </w:r>
      <w:r w:rsidR="00144C58" w:rsidRPr="0046232B">
        <w:rPr>
          <w:rFonts w:cs="Arial"/>
          <w:b/>
          <w:sz w:val="22"/>
          <w:szCs w:val="22"/>
        </w:rPr>
        <w:t xml:space="preserve">utput </w:t>
      </w:r>
      <w:r>
        <w:rPr>
          <w:rFonts w:cs="Arial"/>
          <w:b/>
          <w:sz w:val="22"/>
          <w:szCs w:val="22"/>
        </w:rPr>
        <w:t>s</w:t>
      </w:r>
      <w:r w:rsidR="00144C58" w:rsidRPr="0046232B">
        <w:rPr>
          <w:rFonts w:cs="Arial"/>
          <w:b/>
          <w:sz w:val="22"/>
          <w:szCs w:val="22"/>
        </w:rPr>
        <w:t xml:space="preserve">core and </w:t>
      </w:r>
      <w:r>
        <w:rPr>
          <w:rFonts w:cs="Arial"/>
          <w:b/>
          <w:sz w:val="22"/>
          <w:szCs w:val="22"/>
        </w:rPr>
        <w:t>d</w:t>
      </w:r>
      <w:r w:rsidR="00144C58" w:rsidRPr="0046232B">
        <w:rPr>
          <w:rFonts w:cs="Arial"/>
          <w:b/>
          <w:sz w:val="22"/>
          <w:szCs w:val="22"/>
        </w:rPr>
        <w:t>escription</w:t>
      </w:r>
      <w:r w:rsidR="00707228">
        <w:rPr>
          <w:rFonts w:cs="Arial"/>
          <w:b/>
          <w:sz w:val="22"/>
          <w:szCs w:val="22"/>
        </w:rPr>
        <w:t xml:space="preserve">: </w:t>
      </w:r>
      <w:r w:rsidR="00707228" w:rsidRPr="00BD6760">
        <w:rPr>
          <w:rFonts w:cs="Arial"/>
          <w:b/>
          <w:color w:val="FF0000"/>
          <w:sz w:val="28"/>
          <w:szCs w:val="28"/>
        </w:rPr>
        <w:t>A</w:t>
      </w:r>
      <w:r w:rsidR="00C81F2D" w:rsidRPr="00BD6760">
        <w:rPr>
          <w:rFonts w:cs="Arial"/>
          <w:b/>
          <w:color w:val="FF0000"/>
          <w:sz w:val="28"/>
          <w:szCs w:val="28"/>
        </w:rPr>
        <w:t xml:space="preserve"> </w:t>
      </w:r>
      <w:r w:rsidR="00C81F2D" w:rsidRPr="00C81F2D">
        <w:rPr>
          <w:rFonts w:cs="Arial"/>
          <w:b/>
          <w:sz w:val="22"/>
          <w:szCs w:val="22"/>
        </w:rPr>
        <w:t xml:space="preserve">(Outputs </w:t>
      </w:r>
      <w:r w:rsidR="00644A5D">
        <w:rPr>
          <w:rFonts w:cs="Arial"/>
          <w:b/>
          <w:sz w:val="22"/>
          <w:szCs w:val="22"/>
        </w:rPr>
        <w:t>met</w:t>
      </w:r>
      <w:r w:rsidR="00BC15D1">
        <w:rPr>
          <w:rFonts w:cs="Arial"/>
          <w:b/>
          <w:sz w:val="22"/>
          <w:szCs w:val="22"/>
        </w:rPr>
        <w:t xml:space="preserve"> </w:t>
      </w:r>
      <w:r w:rsidR="00C81F2D" w:rsidRPr="00C81F2D">
        <w:rPr>
          <w:rFonts w:cs="Arial"/>
          <w:b/>
          <w:sz w:val="22"/>
          <w:szCs w:val="22"/>
        </w:rPr>
        <w:t xml:space="preserve">expectation) </w:t>
      </w:r>
    </w:p>
    <w:p w:rsidR="00DE152B" w:rsidRDefault="00E229B9" w:rsidP="00DE152B">
      <w:pPr>
        <w:spacing w:after="80"/>
        <w:rPr>
          <w:rFonts w:cs="Arial"/>
          <w:sz w:val="22"/>
          <w:szCs w:val="22"/>
        </w:rPr>
      </w:pPr>
      <w:r>
        <w:rPr>
          <w:rFonts w:cs="Arial"/>
          <w:sz w:val="22"/>
          <w:szCs w:val="22"/>
        </w:rPr>
        <w:t>Th</w:t>
      </w:r>
      <w:r w:rsidR="004D35FA">
        <w:rPr>
          <w:rFonts w:cs="Arial"/>
          <w:sz w:val="22"/>
          <w:szCs w:val="22"/>
        </w:rPr>
        <w:t xml:space="preserve">is </w:t>
      </w:r>
      <w:r>
        <w:rPr>
          <w:rFonts w:cs="Arial"/>
          <w:sz w:val="22"/>
          <w:szCs w:val="22"/>
        </w:rPr>
        <w:t>overall output score reflects solid performance in the context of a</w:t>
      </w:r>
      <w:r w:rsidR="00847936">
        <w:rPr>
          <w:rFonts w:cs="Arial"/>
          <w:sz w:val="22"/>
          <w:szCs w:val="22"/>
        </w:rPr>
        <w:t>n increasingly</w:t>
      </w:r>
      <w:r>
        <w:rPr>
          <w:rFonts w:cs="Arial"/>
          <w:sz w:val="22"/>
          <w:szCs w:val="22"/>
        </w:rPr>
        <w:t xml:space="preserve"> difficult </w:t>
      </w:r>
      <w:r w:rsidR="00FF1C31">
        <w:rPr>
          <w:rFonts w:cs="Arial"/>
          <w:sz w:val="22"/>
          <w:szCs w:val="22"/>
        </w:rPr>
        <w:t xml:space="preserve">operating </w:t>
      </w:r>
      <w:r>
        <w:rPr>
          <w:rFonts w:cs="Arial"/>
          <w:sz w:val="22"/>
          <w:szCs w:val="22"/>
        </w:rPr>
        <w:t xml:space="preserve">environment towards the end of the year. </w:t>
      </w:r>
      <w:r w:rsidR="00A67B2B">
        <w:rPr>
          <w:rFonts w:cs="Arial"/>
          <w:sz w:val="22"/>
          <w:szCs w:val="22"/>
        </w:rPr>
        <w:t xml:space="preserve">This includes a moderate flood during July-September 2015 and the ongoing mobility constraint due to </w:t>
      </w:r>
      <w:r w:rsidR="009D2CE9">
        <w:rPr>
          <w:rFonts w:cs="Arial"/>
          <w:sz w:val="22"/>
          <w:szCs w:val="22"/>
        </w:rPr>
        <w:t>political</w:t>
      </w:r>
      <w:r w:rsidR="00A67B2B">
        <w:rPr>
          <w:rFonts w:cs="Arial"/>
          <w:sz w:val="22"/>
          <w:szCs w:val="22"/>
        </w:rPr>
        <w:t xml:space="preserve"> unrest </w:t>
      </w:r>
      <w:r w:rsidR="00A3640C">
        <w:rPr>
          <w:rFonts w:cs="Arial"/>
          <w:sz w:val="22"/>
          <w:szCs w:val="22"/>
        </w:rPr>
        <w:t>(blockade</w:t>
      </w:r>
      <w:r w:rsidR="00A67B2B">
        <w:rPr>
          <w:rFonts w:cs="Arial"/>
          <w:sz w:val="22"/>
          <w:szCs w:val="22"/>
        </w:rPr>
        <w:t xml:space="preserve"> and strikes) since Dec 2014. </w:t>
      </w:r>
      <w:r w:rsidR="0076753D">
        <w:rPr>
          <w:rFonts w:cs="Arial"/>
          <w:sz w:val="22"/>
          <w:szCs w:val="22"/>
        </w:rPr>
        <w:t xml:space="preserve">These external factors likely to have some impact on the delivery of interventions, monitoring and supervision as well as smooth closure of the project in March 2016. Moreover, </w:t>
      </w:r>
      <w:r w:rsidR="00DE152B">
        <w:rPr>
          <w:rFonts w:cs="Arial"/>
          <w:sz w:val="22"/>
          <w:szCs w:val="22"/>
        </w:rPr>
        <w:t xml:space="preserve">the belated emphasis placed on sustainability of outputs also needs to be considered given the </w:t>
      </w:r>
      <w:r w:rsidR="00DE152B" w:rsidRPr="00DE152B">
        <w:rPr>
          <w:rFonts w:cs="Arial"/>
          <w:sz w:val="22"/>
          <w:szCs w:val="22"/>
        </w:rPr>
        <w:t xml:space="preserve">negative implications this </w:t>
      </w:r>
      <w:r w:rsidR="00DE152B">
        <w:rPr>
          <w:rFonts w:cs="Arial"/>
          <w:sz w:val="22"/>
          <w:szCs w:val="22"/>
        </w:rPr>
        <w:t xml:space="preserve">may </w:t>
      </w:r>
      <w:r w:rsidR="00DE152B" w:rsidRPr="00DE152B">
        <w:rPr>
          <w:rFonts w:cs="Arial"/>
          <w:sz w:val="22"/>
          <w:szCs w:val="22"/>
        </w:rPr>
        <w:t xml:space="preserve">have on </w:t>
      </w:r>
      <w:r w:rsidR="00DE152B">
        <w:rPr>
          <w:rFonts w:cs="Arial"/>
          <w:sz w:val="22"/>
          <w:szCs w:val="22"/>
        </w:rPr>
        <w:t xml:space="preserve">the link between </w:t>
      </w:r>
      <w:r w:rsidR="00DE152B" w:rsidRPr="00DE152B">
        <w:rPr>
          <w:rFonts w:cs="Arial"/>
          <w:sz w:val="22"/>
          <w:szCs w:val="22"/>
        </w:rPr>
        <w:t xml:space="preserve">outputs </w:t>
      </w:r>
      <w:r w:rsidR="00DE152B">
        <w:rPr>
          <w:rFonts w:cs="Arial"/>
          <w:sz w:val="22"/>
          <w:szCs w:val="22"/>
        </w:rPr>
        <w:t xml:space="preserve">and </w:t>
      </w:r>
      <w:r w:rsidR="00DE152B" w:rsidRPr="00DE152B">
        <w:rPr>
          <w:rFonts w:cs="Arial"/>
          <w:sz w:val="22"/>
          <w:szCs w:val="22"/>
        </w:rPr>
        <w:t>outcomes</w:t>
      </w:r>
      <w:r w:rsidR="00DE152B">
        <w:rPr>
          <w:rFonts w:cs="Arial"/>
          <w:sz w:val="22"/>
          <w:szCs w:val="22"/>
        </w:rPr>
        <w:t>.</w:t>
      </w:r>
    </w:p>
    <w:p w:rsidR="00F74EEB" w:rsidRPr="00B353DC" w:rsidRDefault="00F74EEB" w:rsidP="00DE152B">
      <w:pPr>
        <w:spacing w:after="80"/>
        <w:rPr>
          <w:rFonts w:cs="Arial"/>
          <w:sz w:val="2"/>
          <w:szCs w:val="22"/>
        </w:rPr>
      </w:pPr>
    </w:p>
    <w:p w:rsidR="00A4556C" w:rsidRDefault="00847936" w:rsidP="00707228">
      <w:pPr>
        <w:rPr>
          <w:rFonts w:cs="Arial"/>
          <w:sz w:val="22"/>
          <w:szCs w:val="22"/>
        </w:rPr>
      </w:pPr>
      <w:r>
        <w:rPr>
          <w:rFonts w:cs="Arial"/>
          <w:sz w:val="22"/>
          <w:szCs w:val="22"/>
        </w:rPr>
        <w:t xml:space="preserve">The performance on the asset transfer and plinth, water and sanitation outputs is impressive given the increase in political unrest and restricted movement in the last quarter of the review period. The project has been able to turn around the underperforming outputs on market development (3) and the direct nutrition interventions (6) over the last year and is now broadly on track for both outputs which is a significant achievement. Progress on outputs 4 and 5, on enhancing women’s status and on partnership and </w:t>
      </w:r>
      <w:r w:rsidR="006D0320">
        <w:rPr>
          <w:rFonts w:cs="Arial"/>
          <w:sz w:val="22"/>
          <w:szCs w:val="22"/>
        </w:rPr>
        <w:t>communication to</w:t>
      </w:r>
      <w:r>
        <w:rPr>
          <w:rFonts w:cs="Arial"/>
          <w:sz w:val="22"/>
          <w:szCs w:val="22"/>
        </w:rPr>
        <w:t xml:space="preserve"> influence government policy, is more mixed. The </w:t>
      </w:r>
      <w:r w:rsidRPr="00E814DC">
        <w:rPr>
          <w:rFonts w:cs="Arial"/>
          <w:sz w:val="22"/>
          <w:szCs w:val="22"/>
        </w:rPr>
        <w:t xml:space="preserve">B score </w:t>
      </w:r>
      <w:r>
        <w:rPr>
          <w:rFonts w:cs="Arial"/>
          <w:sz w:val="22"/>
          <w:szCs w:val="22"/>
        </w:rPr>
        <w:t xml:space="preserve">for output 4 is due to the delay in training adolescent girls and boys in the new vocational training </w:t>
      </w:r>
      <w:r w:rsidR="00507983">
        <w:rPr>
          <w:rFonts w:cs="Arial"/>
          <w:sz w:val="22"/>
          <w:szCs w:val="22"/>
        </w:rPr>
        <w:t>initiative</w:t>
      </w:r>
      <w:r>
        <w:rPr>
          <w:rFonts w:cs="Arial"/>
          <w:sz w:val="22"/>
          <w:szCs w:val="22"/>
        </w:rPr>
        <w:t xml:space="preserve">. Performance on the partnership and communications output </w:t>
      </w:r>
      <w:r w:rsidR="00644A5D">
        <w:rPr>
          <w:rFonts w:cs="Arial"/>
          <w:sz w:val="22"/>
          <w:szCs w:val="22"/>
        </w:rPr>
        <w:t xml:space="preserve">( output 5) </w:t>
      </w:r>
      <w:r>
        <w:rPr>
          <w:rFonts w:cs="Arial"/>
          <w:sz w:val="22"/>
          <w:szCs w:val="22"/>
        </w:rPr>
        <w:t>has met</w:t>
      </w:r>
      <w:r w:rsidR="004D35FA">
        <w:rPr>
          <w:rFonts w:cs="Arial"/>
          <w:sz w:val="22"/>
          <w:szCs w:val="22"/>
        </w:rPr>
        <w:t xml:space="preserve"> or exceeded </w:t>
      </w:r>
      <w:r w:rsidR="004D35FA" w:rsidRPr="00CA6142">
        <w:rPr>
          <w:rFonts w:cs="Arial"/>
          <w:sz w:val="22"/>
          <w:szCs w:val="22"/>
        </w:rPr>
        <w:t xml:space="preserve">three of the four </w:t>
      </w:r>
      <w:r w:rsidR="004D35FA">
        <w:rPr>
          <w:rFonts w:cs="Arial"/>
          <w:sz w:val="22"/>
          <w:szCs w:val="22"/>
        </w:rPr>
        <w:t xml:space="preserve">milestones </w:t>
      </w:r>
      <w:r>
        <w:rPr>
          <w:rFonts w:cs="Arial"/>
          <w:sz w:val="22"/>
          <w:szCs w:val="22"/>
        </w:rPr>
        <w:t xml:space="preserve">but </w:t>
      </w:r>
      <w:r w:rsidR="00CE161C">
        <w:rPr>
          <w:rFonts w:cs="Arial"/>
          <w:sz w:val="22"/>
          <w:szCs w:val="22"/>
        </w:rPr>
        <w:t xml:space="preserve">overall performance in this area has lacked strategic focus to </w:t>
      </w:r>
      <w:r w:rsidR="00FE4AF9">
        <w:rPr>
          <w:rFonts w:cs="Arial"/>
          <w:sz w:val="22"/>
          <w:szCs w:val="22"/>
        </w:rPr>
        <w:t>influence</w:t>
      </w:r>
      <w:r w:rsidR="00CE161C">
        <w:rPr>
          <w:rFonts w:cs="Arial"/>
          <w:sz w:val="22"/>
          <w:szCs w:val="22"/>
        </w:rPr>
        <w:t xml:space="preserve"> government policy. </w:t>
      </w:r>
    </w:p>
    <w:p w:rsidR="00A449FC" w:rsidRDefault="004B5652" w:rsidP="00265145">
      <w:pPr>
        <w:spacing w:before="240" w:after="120"/>
        <w:rPr>
          <w:rFonts w:cs="Arial"/>
          <w:b/>
          <w:sz w:val="22"/>
          <w:szCs w:val="22"/>
        </w:rPr>
      </w:pPr>
      <w:r>
        <w:rPr>
          <w:rFonts w:cs="Arial"/>
          <w:b/>
          <w:sz w:val="22"/>
          <w:szCs w:val="22"/>
        </w:rPr>
        <w:t>Key l</w:t>
      </w:r>
      <w:r w:rsidR="00144C58" w:rsidRPr="0046232B">
        <w:rPr>
          <w:rFonts w:cs="Arial"/>
          <w:b/>
          <w:sz w:val="22"/>
          <w:szCs w:val="22"/>
        </w:rPr>
        <w:t>essons</w:t>
      </w:r>
    </w:p>
    <w:p w:rsidR="00EE4744" w:rsidRPr="00BD6760" w:rsidRDefault="00624585" w:rsidP="00EE4744">
      <w:pPr>
        <w:pStyle w:val="ListParagraph"/>
        <w:numPr>
          <w:ilvl w:val="0"/>
          <w:numId w:val="6"/>
        </w:numPr>
        <w:ind w:left="284" w:hanging="284"/>
        <w:rPr>
          <w:rFonts w:cs="Arial"/>
          <w:bCs/>
          <w:sz w:val="22"/>
          <w:szCs w:val="22"/>
        </w:rPr>
      </w:pPr>
      <w:r w:rsidRPr="00BD6760">
        <w:rPr>
          <w:rFonts w:cs="Arial"/>
          <w:bCs/>
          <w:sz w:val="22"/>
          <w:szCs w:val="22"/>
        </w:rPr>
        <w:t>As this was the final A</w:t>
      </w:r>
      <w:r w:rsidR="001D7ABB">
        <w:rPr>
          <w:rFonts w:cs="Arial"/>
          <w:bCs/>
          <w:sz w:val="22"/>
          <w:szCs w:val="22"/>
        </w:rPr>
        <w:t xml:space="preserve">nnual </w:t>
      </w:r>
      <w:r w:rsidRPr="00BD6760">
        <w:rPr>
          <w:rFonts w:cs="Arial"/>
          <w:bCs/>
          <w:sz w:val="22"/>
          <w:szCs w:val="22"/>
        </w:rPr>
        <w:t>R</w:t>
      </w:r>
      <w:r w:rsidR="001D7ABB">
        <w:rPr>
          <w:rFonts w:cs="Arial"/>
          <w:bCs/>
          <w:sz w:val="22"/>
          <w:szCs w:val="22"/>
        </w:rPr>
        <w:t>eview</w:t>
      </w:r>
      <w:r w:rsidRPr="00BD6760">
        <w:rPr>
          <w:rFonts w:cs="Arial"/>
          <w:bCs/>
          <w:sz w:val="22"/>
          <w:szCs w:val="22"/>
        </w:rPr>
        <w:t xml:space="preserve"> </w:t>
      </w:r>
      <w:r w:rsidR="00CC7C76">
        <w:rPr>
          <w:rFonts w:cs="Arial"/>
          <w:bCs/>
          <w:sz w:val="22"/>
          <w:szCs w:val="22"/>
        </w:rPr>
        <w:t xml:space="preserve">(AR) </w:t>
      </w:r>
      <w:r w:rsidRPr="00BD6760">
        <w:rPr>
          <w:rFonts w:cs="Arial"/>
          <w:bCs/>
          <w:sz w:val="22"/>
          <w:szCs w:val="22"/>
        </w:rPr>
        <w:t xml:space="preserve">before the project ends in early 2016, the review </w:t>
      </w:r>
      <w:r w:rsidR="00C9732F" w:rsidRPr="00BD6760">
        <w:rPr>
          <w:rFonts w:cs="Arial"/>
          <w:bCs/>
          <w:sz w:val="22"/>
          <w:szCs w:val="22"/>
        </w:rPr>
        <w:t xml:space="preserve">tried to identify key lessons from CLP as a whole to inform the design of future livelihood programming in Bangladesh. Key issues identified include: </w:t>
      </w:r>
      <w:r w:rsidR="00BE2FB1" w:rsidRPr="00BD6760">
        <w:rPr>
          <w:rFonts w:cs="Arial"/>
          <w:bCs/>
          <w:sz w:val="22"/>
          <w:szCs w:val="22"/>
        </w:rPr>
        <w:t xml:space="preserve">the transformative </w:t>
      </w:r>
      <w:r w:rsidR="00E77CD9" w:rsidRPr="00BD6760">
        <w:rPr>
          <w:rFonts w:cs="Arial"/>
          <w:bCs/>
          <w:sz w:val="22"/>
          <w:szCs w:val="22"/>
        </w:rPr>
        <w:t xml:space="preserve">impact of the basic asset transfer model at the heart of CLP and similar programmes that should be preserved in future programmes; </w:t>
      </w:r>
      <w:r w:rsidR="00BE2FB1" w:rsidRPr="00BD6760">
        <w:rPr>
          <w:rFonts w:cs="Arial"/>
          <w:bCs/>
          <w:sz w:val="22"/>
          <w:szCs w:val="22"/>
        </w:rPr>
        <w:t xml:space="preserve"> </w:t>
      </w:r>
      <w:r w:rsidR="00C9732F" w:rsidRPr="00BD6760">
        <w:rPr>
          <w:rFonts w:cs="Arial"/>
          <w:bCs/>
          <w:sz w:val="22"/>
          <w:szCs w:val="22"/>
        </w:rPr>
        <w:t>the need for a stronger focus on facilitating sustained pathways out of poverty</w:t>
      </w:r>
      <w:r w:rsidR="00BE2FB1" w:rsidRPr="00BD6760">
        <w:rPr>
          <w:rFonts w:cs="Arial"/>
          <w:bCs/>
          <w:sz w:val="22"/>
          <w:szCs w:val="22"/>
        </w:rPr>
        <w:t>; the need to balance investment in individual households with a stronger emphasis on facilitating sustainable markets and basic service provision from the start, where th</w:t>
      </w:r>
      <w:r w:rsidR="00682767" w:rsidRPr="00BD6760">
        <w:rPr>
          <w:rFonts w:cs="Arial"/>
          <w:bCs/>
          <w:sz w:val="22"/>
          <w:szCs w:val="22"/>
        </w:rPr>
        <w:t xml:space="preserve">is is </w:t>
      </w:r>
      <w:r w:rsidR="00BE2FB1" w:rsidRPr="00BD6760">
        <w:rPr>
          <w:rFonts w:cs="Arial"/>
          <w:bCs/>
          <w:sz w:val="22"/>
          <w:szCs w:val="22"/>
        </w:rPr>
        <w:t xml:space="preserve">viable; a clearer focus on the structural causes of extreme poverty, marginalisation and inequality within households and communities, including </w:t>
      </w:r>
      <w:r w:rsidR="00CC7C76">
        <w:rPr>
          <w:rFonts w:cs="Arial"/>
          <w:bCs/>
          <w:sz w:val="22"/>
          <w:szCs w:val="22"/>
        </w:rPr>
        <w:t xml:space="preserve">a focus on </w:t>
      </w:r>
      <w:r w:rsidR="00BE2FB1" w:rsidRPr="00BD6760">
        <w:rPr>
          <w:rFonts w:cs="Arial"/>
          <w:bCs/>
          <w:sz w:val="22"/>
          <w:szCs w:val="22"/>
        </w:rPr>
        <w:t xml:space="preserve">gender relations </w:t>
      </w:r>
      <w:r w:rsidR="00BE2FB1" w:rsidRPr="00CC7C76">
        <w:rPr>
          <w:rFonts w:cs="Arial"/>
          <w:bCs/>
          <w:sz w:val="22"/>
          <w:szCs w:val="22"/>
        </w:rPr>
        <w:t xml:space="preserve">rather than </w:t>
      </w:r>
      <w:r w:rsidR="00682767" w:rsidRPr="00CC7C76">
        <w:rPr>
          <w:rFonts w:cs="Arial"/>
          <w:bCs/>
          <w:sz w:val="22"/>
          <w:szCs w:val="22"/>
        </w:rPr>
        <w:t xml:space="preserve">working </w:t>
      </w:r>
      <w:r w:rsidR="00CC7C76" w:rsidRPr="00FE4AF9">
        <w:rPr>
          <w:rFonts w:cs="Arial"/>
          <w:bCs/>
          <w:sz w:val="22"/>
          <w:szCs w:val="22"/>
        </w:rPr>
        <w:t xml:space="preserve">primarily </w:t>
      </w:r>
      <w:r w:rsidR="00682767" w:rsidRPr="00FE4AF9">
        <w:rPr>
          <w:rFonts w:cs="Arial"/>
          <w:bCs/>
          <w:sz w:val="22"/>
          <w:szCs w:val="22"/>
        </w:rPr>
        <w:t>with women</w:t>
      </w:r>
      <w:r w:rsidR="00CC7C76" w:rsidRPr="00FE4AF9">
        <w:rPr>
          <w:rFonts w:cs="Arial"/>
          <w:bCs/>
          <w:sz w:val="22"/>
          <w:szCs w:val="22"/>
        </w:rPr>
        <w:t>;</w:t>
      </w:r>
      <w:r w:rsidR="00BE2FB1" w:rsidRPr="00BD6760">
        <w:rPr>
          <w:rFonts w:cs="Arial"/>
          <w:bCs/>
          <w:sz w:val="22"/>
          <w:szCs w:val="22"/>
        </w:rPr>
        <w:t xml:space="preserve"> and lastly, considering how best to structure a programme with government and implementers so there is sufficient space and capacity to influence government.  </w:t>
      </w:r>
      <w:r w:rsidR="00C9732F" w:rsidRPr="00BD6760">
        <w:rPr>
          <w:rFonts w:cs="Arial"/>
          <w:bCs/>
          <w:sz w:val="22"/>
          <w:szCs w:val="22"/>
        </w:rPr>
        <w:t xml:space="preserve"> </w:t>
      </w:r>
    </w:p>
    <w:p w:rsidR="00955492" w:rsidRDefault="00682767" w:rsidP="00BD6760">
      <w:pPr>
        <w:pStyle w:val="ListParagraph"/>
        <w:numPr>
          <w:ilvl w:val="0"/>
          <w:numId w:val="6"/>
        </w:numPr>
        <w:ind w:left="284" w:hanging="284"/>
        <w:rPr>
          <w:rFonts w:cs="Arial"/>
          <w:bCs/>
          <w:sz w:val="22"/>
          <w:szCs w:val="22"/>
        </w:rPr>
      </w:pPr>
      <w:r w:rsidRPr="00955492">
        <w:rPr>
          <w:rFonts w:cs="Arial"/>
          <w:bCs/>
          <w:sz w:val="22"/>
          <w:szCs w:val="22"/>
        </w:rPr>
        <w:t xml:space="preserve">The programmes recent focus on sustainability </w:t>
      </w:r>
      <w:r w:rsidR="00CC7C76" w:rsidRPr="00955492">
        <w:rPr>
          <w:rFonts w:cs="Arial"/>
          <w:bCs/>
          <w:sz w:val="22"/>
          <w:szCs w:val="22"/>
        </w:rPr>
        <w:t xml:space="preserve">for some outputs </w:t>
      </w:r>
      <w:r w:rsidR="00633430" w:rsidRPr="00955492">
        <w:rPr>
          <w:rFonts w:cs="Arial"/>
          <w:bCs/>
          <w:sz w:val="22"/>
          <w:szCs w:val="22"/>
        </w:rPr>
        <w:t>(e.g</w:t>
      </w:r>
      <w:r w:rsidR="00955492" w:rsidRPr="00955492">
        <w:rPr>
          <w:rFonts w:cs="Arial"/>
          <w:bCs/>
          <w:sz w:val="22"/>
          <w:szCs w:val="22"/>
        </w:rPr>
        <w:t xml:space="preserve">. community institutions) </w:t>
      </w:r>
      <w:r w:rsidRPr="00955492">
        <w:rPr>
          <w:rFonts w:cs="Arial"/>
          <w:bCs/>
          <w:sz w:val="22"/>
          <w:szCs w:val="22"/>
        </w:rPr>
        <w:t>is welcome</w:t>
      </w:r>
      <w:r w:rsidR="003B450E" w:rsidRPr="00955492">
        <w:rPr>
          <w:rFonts w:cs="Arial"/>
          <w:bCs/>
          <w:sz w:val="22"/>
          <w:szCs w:val="22"/>
        </w:rPr>
        <w:t xml:space="preserve"> </w:t>
      </w:r>
      <w:r w:rsidRPr="00955492">
        <w:rPr>
          <w:rFonts w:cs="Arial"/>
          <w:bCs/>
          <w:sz w:val="22"/>
          <w:szCs w:val="22"/>
        </w:rPr>
        <w:t xml:space="preserve">but </w:t>
      </w:r>
      <w:r w:rsidR="00CC7C76" w:rsidRPr="00955492">
        <w:rPr>
          <w:rFonts w:cs="Arial"/>
          <w:bCs/>
          <w:sz w:val="22"/>
          <w:szCs w:val="22"/>
        </w:rPr>
        <w:t xml:space="preserve">more attention could and should have been placed on </w:t>
      </w:r>
      <w:r w:rsidRPr="00955492">
        <w:rPr>
          <w:rFonts w:cs="Arial"/>
          <w:bCs/>
          <w:sz w:val="22"/>
          <w:szCs w:val="22"/>
        </w:rPr>
        <w:t xml:space="preserve">sustainability </w:t>
      </w:r>
      <w:r w:rsidR="00CC7C76" w:rsidRPr="00955492">
        <w:rPr>
          <w:rFonts w:cs="Arial"/>
          <w:bCs/>
          <w:sz w:val="22"/>
          <w:szCs w:val="22"/>
        </w:rPr>
        <w:t xml:space="preserve">of outputs and outcomes both at the design stage and </w:t>
      </w:r>
      <w:r w:rsidR="003B450E" w:rsidRPr="00955492">
        <w:rPr>
          <w:rFonts w:cs="Arial"/>
          <w:bCs/>
          <w:sz w:val="22"/>
          <w:szCs w:val="22"/>
        </w:rPr>
        <w:t xml:space="preserve">throughout </w:t>
      </w:r>
      <w:r w:rsidR="00CC7C76" w:rsidRPr="00955492">
        <w:rPr>
          <w:rFonts w:cs="Arial"/>
          <w:bCs/>
          <w:sz w:val="22"/>
          <w:szCs w:val="22"/>
        </w:rPr>
        <w:t>implementation.</w:t>
      </w:r>
    </w:p>
    <w:p w:rsidR="00BD6760" w:rsidRPr="00955492" w:rsidRDefault="00BD6760" w:rsidP="00BD6760">
      <w:pPr>
        <w:pStyle w:val="ListParagraph"/>
        <w:numPr>
          <w:ilvl w:val="0"/>
          <w:numId w:val="6"/>
        </w:numPr>
        <w:ind w:left="284" w:hanging="284"/>
        <w:rPr>
          <w:rFonts w:cs="Arial"/>
          <w:bCs/>
          <w:sz w:val="22"/>
          <w:szCs w:val="22"/>
        </w:rPr>
      </w:pPr>
      <w:r w:rsidRPr="00955492">
        <w:rPr>
          <w:rFonts w:cs="Arial"/>
          <w:bCs/>
          <w:sz w:val="22"/>
          <w:szCs w:val="22"/>
        </w:rPr>
        <w:t xml:space="preserve">The current Exit Strategy covers important operational issues but needs to be supplemented with an action plan to maximise sustainability of the project as far as possible, including the future of infrastructure and institutions established by the programme.  </w:t>
      </w:r>
    </w:p>
    <w:p w:rsidR="00EE4744" w:rsidRPr="00BD6760" w:rsidRDefault="00EE4744" w:rsidP="00BD6760">
      <w:pPr>
        <w:pStyle w:val="ListParagraph"/>
        <w:numPr>
          <w:ilvl w:val="0"/>
          <w:numId w:val="6"/>
        </w:numPr>
        <w:ind w:left="284" w:hanging="284"/>
        <w:rPr>
          <w:rFonts w:cs="Arial"/>
          <w:bCs/>
          <w:sz w:val="22"/>
          <w:szCs w:val="22"/>
        </w:rPr>
      </w:pPr>
      <w:r w:rsidRPr="00BD6760">
        <w:rPr>
          <w:rFonts w:cs="Arial"/>
          <w:bCs/>
          <w:sz w:val="22"/>
          <w:szCs w:val="22"/>
        </w:rPr>
        <w:t>Long term data storage and management needs to be considered</w:t>
      </w:r>
      <w:r w:rsidR="003434E8" w:rsidRPr="00BD6760">
        <w:rPr>
          <w:rFonts w:cs="Arial"/>
          <w:bCs/>
          <w:sz w:val="22"/>
          <w:szCs w:val="22"/>
        </w:rPr>
        <w:t>. T</w:t>
      </w:r>
      <w:r w:rsidRPr="00BD6760">
        <w:rPr>
          <w:rFonts w:cs="Arial"/>
          <w:bCs/>
          <w:sz w:val="22"/>
          <w:szCs w:val="22"/>
        </w:rPr>
        <w:t>here is data related to disaster management and flood information which would be useful to look at and see how it could link in to other nationwide databases</w:t>
      </w:r>
      <w:r w:rsidR="00263D8F">
        <w:rPr>
          <w:rFonts w:cs="Arial"/>
          <w:bCs/>
          <w:sz w:val="22"/>
          <w:szCs w:val="22"/>
        </w:rPr>
        <w:t xml:space="preserve"> (</w:t>
      </w:r>
      <w:r w:rsidR="00A3640C">
        <w:rPr>
          <w:rFonts w:cs="Arial"/>
          <w:bCs/>
          <w:sz w:val="22"/>
          <w:szCs w:val="22"/>
        </w:rPr>
        <w:t>e.g.</w:t>
      </w:r>
      <w:r w:rsidR="00263D8F">
        <w:rPr>
          <w:rFonts w:cs="Arial"/>
          <w:bCs/>
          <w:sz w:val="22"/>
          <w:szCs w:val="22"/>
        </w:rPr>
        <w:t>, Comprehensive Disaster Management Programme /CDMP)</w:t>
      </w:r>
      <w:r w:rsidRPr="00BD6760">
        <w:rPr>
          <w:rFonts w:cs="Arial"/>
          <w:bCs/>
          <w:sz w:val="22"/>
          <w:szCs w:val="22"/>
        </w:rPr>
        <w:t xml:space="preserve">.  </w:t>
      </w:r>
    </w:p>
    <w:p w:rsidR="00A449FC" w:rsidRPr="00B55BED" w:rsidRDefault="004B5652" w:rsidP="00265145">
      <w:pPr>
        <w:spacing w:before="240" w:after="120"/>
        <w:rPr>
          <w:rFonts w:cs="Arial"/>
          <w:b/>
          <w:sz w:val="22"/>
          <w:szCs w:val="22"/>
        </w:rPr>
      </w:pPr>
      <w:r>
        <w:rPr>
          <w:rFonts w:cs="Arial"/>
          <w:b/>
          <w:sz w:val="22"/>
          <w:szCs w:val="22"/>
        </w:rPr>
        <w:t>Key a</w:t>
      </w:r>
      <w:r w:rsidR="00144C58" w:rsidRPr="0046232B">
        <w:rPr>
          <w:rFonts w:cs="Arial"/>
          <w:b/>
          <w:sz w:val="22"/>
          <w:szCs w:val="22"/>
        </w:rPr>
        <w:t>ctions</w:t>
      </w:r>
      <w:r w:rsidR="001D5B68">
        <w:rPr>
          <w:rFonts w:cs="Arial"/>
          <w:b/>
          <w:sz w:val="22"/>
          <w:szCs w:val="22"/>
        </w:rPr>
        <w:t xml:space="preserve"> </w:t>
      </w:r>
    </w:p>
    <w:p w:rsidR="00D205F7" w:rsidRPr="00D205F7" w:rsidRDefault="00FB66CB" w:rsidP="00080FCE">
      <w:pPr>
        <w:pStyle w:val="ListParagraph"/>
        <w:numPr>
          <w:ilvl w:val="0"/>
          <w:numId w:val="33"/>
        </w:numPr>
        <w:spacing w:after="60"/>
        <w:rPr>
          <w:rFonts w:cs="Arial"/>
          <w:sz w:val="22"/>
          <w:szCs w:val="22"/>
        </w:rPr>
      </w:pPr>
      <w:r w:rsidRPr="00D205F7">
        <w:rPr>
          <w:rFonts w:cs="Arial"/>
          <w:sz w:val="22"/>
          <w:szCs w:val="22"/>
        </w:rPr>
        <w:t>CLP to develop a d</w:t>
      </w:r>
      <w:r w:rsidR="002E37D5" w:rsidRPr="00D205F7">
        <w:rPr>
          <w:rFonts w:cs="Arial"/>
          <w:sz w:val="22"/>
          <w:szCs w:val="22"/>
        </w:rPr>
        <w:t xml:space="preserve">raft action plan </w:t>
      </w:r>
      <w:r w:rsidRPr="00D205F7">
        <w:rPr>
          <w:rFonts w:cs="Arial"/>
          <w:sz w:val="22"/>
          <w:szCs w:val="22"/>
        </w:rPr>
        <w:t xml:space="preserve">by April 2015 </w:t>
      </w:r>
      <w:r w:rsidR="002E37D5" w:rsidRPr="00D205F7">
        <w:rPr>
          <w:rFonts w:cs="Arial"/>
          <w:sz w:val="22"/>
          <w:szCs w:val="22"/>
        </w:rPr>
        <w:t>to accompany Exit Strategy</w:t>
      </w:r>
      <w:r w:rsidR="00D74911" w:rsidRPr="00D205F7">
        <w:rPr>
          <w:rFonts w:cs="Arial"/>
          <w:sz w:val="22"/>
          <w:szCs w:val="22"/>
        </w:rPr>
        <w:t xml:space="preserve"> </w:t>
      </w:r>
      <w:r w:rsidR="006D0320" w:rsidRPr="00D205F7">
        <w:rPr>
          <w:rFonts w:cs="Arial"/>
          <w:sz w:val="22"/>
          <w:szCs w:val="22"/>
        </w:rPr>
        <w:t>(to</w:t>
      </w:r>
      <w:r w:rsidR="00D74911" w:rsidRPr="00D205F7">
        <w:rPr>
          <w:rFonts w:cs="Arial"/>
          <w:sz w:val="22"/>
          <w:szCs w:val="22"/>
        </w:rPr>
        <w:t xml:space="preserve"> be finalised in June 2015</w:t>
      </w:r>
      <w:r w:rsidR="006D0320" w:rsidRPr="00D205F7">
        <w:rPr>
          <w:rFonts w:cs="Arial"/>
          <w:sz w:val="22"/>
          <w:szCs w:val="22"/>
        </w:rPr>
        <w:t>) setting</w:t>
      </w:r>
      <w:r w:rsidR="002E37D5" w:rsidRPr="00D205F7">
        <w:rPr>
          <w:rFonts w:cs="Arial"/>
          <w:sz w:val="22"/>
          <w:szCs w:val="22"/>
        </w:rPr>
        <w:t xml:space="preserve"> out realistic actions and any additional associated costs to enhance sustainability under each output within final year of project. </w:t>
      </w:r>
    </w:p>
    <w:p w:rsidR="00D205F7" w:rsidRPr="00D205F7" w:rsidRDefault="00D205F7" w:rsidP="00080FCE">
      <w:pPr>
        <w:pStyle w:val="ListParagraph"/>
        <w:numPr>
          <w:ilvl w:val="0"/>
          <w:numId w:val="33"/>
        </w:numPr>
        <w:spacing w:after="60"/>
        <w:rPr>
          <w:rFonts w:cs="Arial"/>
          <w:sz w:val="22"/>
          <w:szCs w:val="22"/>
        </w:rPr>
      </w:pPr>
      <w:r w:rsidRPr="00D205F7">
        <w:rPr>
          <w:sz w:val="22"/>
          <w:szCs w:val="22"/>
        </w:rPr>
        <w:t xml:space="preserve">DFID to </w:t>
      </w:r>
      <w:r w:rsidR="00263D8F" w:rsidRPr="00B353DC">
        <w:rPr>
          <w:sz w:val="22"/>
          <w:szCs w:val="22"/>
        </w:rPr>
        <w:t>explore the possibility of</w:t>
      </w:r>
      <w:r w:rsidR="00B353DC" w:rsidRPr="00B353DC">
        <w:rPr>
          <w:sz w:val="22"/>
          <w:szCs w:val="22"/>
        </w:rPr>
        <w:t xml:space="preserve"> </w:t>
      </w:r>
      <w:r w:rsidRPr="00D205F7">
        <w:rPr>
          <w:sz w:val="22"/>
          <w:szCs w:val="22"/>
        </w:rPr>
        <w:t xml:space="preserve">a three month no-cost </w:t>
      </w:r>
      <w:r w:rsidR="009D2CE9" w:rsidRPr="00D205F7">
        <w:rPr>
          <w:sz w:val="22"/>
          <w:szCs w:val="22"/>
        </w:rPr>
        <w:t>extension</w:t>
      </w:r>
      <w:r w:rsidRPr="00D205F7">
        <w:rPr>
          <w:sz w:val="22"/>
          <w:szCs w:val="22"/>
        </w:rPr>
        <w:t xml:space="preserve"> till June 2016 to </w:t>
      </w:r>
      <w:r w:rsidR="0076753D">
        <w:rPr>
          <w:sz w:val="22"/>
          <w:szCs w:val="22"/>
        </w:rPr>
        <w:t xml:space="preserve">enhance sustainability of impact and also to </w:t>
      </w:r>
      <w:r w:rsidRPr="00D205F7">
        <w:rPr>
          <w:sz w:val="22"/>
          <w:szCs w:val="22"/>
        </w:rPr>
        <w:t xml:space="preserve">allow a smooth wrap-up of the </w:t>
      </w:r>
      <w:r w:rsidR="00633430" w:rsidRPr="00D205F7">
        <w:rPr>
          <w:sz w:val="22"/>
          <w:szCs w:val="22"/>
        </w:rPr>
        <w:t>project,</w:t>
      </w:r>
      <w:r w:rsidRPr="00D205F7">
        <w:rPr>
          <w:sz w:val="22"/>
          <w:szCs w:val="22"/>
        </w:rPr>
        <w:t xml:space="preserve"> by June 2015. </w:t>
      </w:r>
    </w:p>
    <w:p w:rsidR="00FF4AC7" w:rsidRPr="00BD6760" w:rsidRDefault="00FB66CB" w:rsidP="00080FCE">
      <w:pPr>
        <w:pStyle w:val="ListParagraph"/>
        <w:numPr>
          <w:ilvl w:val="0"/>
          <w:numId w:val="33"/>
        </w:numPr>
        <w:spacing w:after="60"/>
        <w:contextualSpacing w:val="0"/>
        <w:rPr>
          <w:rFonts w:cs="Arial"/>
          <w:bCs/>
          <w:sz w:val="22"/>
          <w:szCs w:val="22"/>
        </w:rPr>
      </w:pPr>
      <w:r>
        <w:rPr>
          <w:rFonts w:cs="Arial"/>
          <w:sz w:val="22"/>
          <w:szCs w:val="22"/>
        </w:rPr>
        <w:t>CLP</w:t>
      </w:r>
      <w:r w:rsidR="0080562E">
        <w:rPr>
          <w:rFonts w:cs="Arial"/>
          <w:sz w:val="22"/>
          <w:szCs w:val="22"/>
        </w:rPr>
        <w:t>,</w:t>
      </w:r>
      <w:r>
        <w:rPr>
          <w:rFonts w:cs="Arial"/>
          <w:sz w:val="22"/>
          <w:szCs w:val="22"/>
        </w:rPr>
        <w:t xml:space="preserve"> in consultation with DFID</w:t>
      </w:r>
      <w:r w:rsidR="0080562E">
        <w:rPr>
          <w:rFonts w:cs="Arial"/>
          <w:sz w:val="22"/>
          <w:szCs w:val="22"/>
        </w:rPr>
        <w:t>,</w:t>
      </w:r>
      <w:r>
        <w:rPr>
          <w:rFonts w:cs="Arial"/>
          <w:sz w:val="22"/>
          <w:szCs w:val="22"/>
        </w:rPr>
        <w:t xml:space="preserve"> to i</w:t>
      </w:r>
      <w:r w:rsidR="00BD6760" w:rsidRPr="00BD6760">
        <w:rPr>
          <w:rFonts w:cs="Arial"/>
          <w:sz w:val="22"/>
          <w:szCs w:val="22"/>
        </w:rPr>
        <w:t xml:space="preserve">dentify key measures </w:t>
      </w:r>
      <w:r w:rsidR="00FF4AC7" w:rsidRPr="00BD6760">
        <w:rPr>
          <w:rFonts w:cs="Arial"/>
          <w:sz w:val="22"/>
          <w:szCs w:val="22"/>
        </w:rPr>
        <w:t xml:space="preserve">to manage and mitigate </w:t>
      </w:r>
      <w:r w:rsidR="00AE238C">
        <w:rPr>
          <w:rFonts w:cs="Arial"/>
          <w:sz w:val="22"/>
          <w:szCs w:val="22"/>
        </w:rPr>
        <w:t>end of p</w:t>
      </w:r>
      <w:r w:rsidR="00C57BB2">
        <w:rPr>
          <w:rFonts w:cs="Arial"/>
          <w:sz w:val="22"/>
          <w:szCs w:val="22"/>
        </w:rPr>
        <w:t>roject (E</w:t>
      </w:r>
      <w:r w:rsidR="00FF4AC7" w:rsidRPr="00BD6760">
        <w:rPr>
          <w:rFonts w:cs="Arial"/>
          <w:sz w:val="22"/>
          <w:szCs w:val="22"/>
        </w:rPr>
        <w:t>OP</w:t>
      </w:r>
      <w:r w:rsidR="00C57BB2">
        <w:rPr>
          <w:rFonts w:cs="Arial"/>
          <w:sz w:val="22"/>
          <w:szCs w:val="22"/>
        </w:rPr>
        <w:t>)</w:t>
      </w:r>
      <w:r w:rsidR="00AE238C">
        <w:rPr>
          <w:rFonts w:cs="Arial"/>
          <w:sz w:val="22"/>
          <w:szCs w:val="22"/>
        </w:rPr>
        <w:t xml:space="preserve"> risks</w:t>
      </w:r>
      <w:r w:rsidR="00AE238C">
        <w:rPr>
          <w:rFonts w:cs="Arial"/>
          <w:bCs/>
          <w:sz w:val="22"/>
          <w:szCs w:val="22"/>
        </w:rPr>
        <w:t xml:space="preserve">- </w:t>
      </w:r>
      <w:r w:rsidR="00D74911">
        <w:rPr>
          <w:rFonts w:cs="Arial"/>
          <w:bCs/>
          <w:sz w:val="22"/>
          <w:szCs w:val="22"/>
        </w:rPr>
        <w:t>agreed by April 2015 under Ex</w:t>
      </w:r>
      <w:r w:rsidR="0080562E">
        <w:rPr>
          <w:rFonts w:cs="Arial"/>
          <w:bCs/>
          <w:sz w:val="22"/>
          <w:szCs w:val="22"/>
        </w:rPr>
        <w:t>it Strateg</w:t>
      </w:r>
      <w:r w:rsidR="00D74911">
        <w:rPr>
          <w:rFonts w:cs="Arial"/>
          <w:bCs/>
          <w:sz w:val="22"/>
          <w:szCs w:val="22"/>
        </w:rPr>
        <w:t>y and Risk Mitigation Plan</w:t>
      </w:r>
      <w:r w:rsidR="00AE238C">
        <w:rPr>
          <w:rFonts w:cs="Arial"/>
          <w:bCs/>
          <w:sz w:val="22"/>
          <w:szCs w:val="22"/>
        </w:rPr>
        <w:t>.</w:t>
      </w:r>
    </w:p>
    <w:p w:rsidR="005F7FB5" w:rsidRPr="00BD6760" w:rsidRDefault="00D74911" w:rsidP="00080FCE">
      <w:pPr>
        <w:pStyle w:val="ListParagraph"/>
        <w:numPr>
          <w:ilvl w:val="0"/>
          <w:numId w:val="33"/>
        </w:numPr>
        <w:spacing w:after="60"/>
        <w:contextualSpacing w:val="0"/>
        <w:rPr>
          <w:rFonts w:cs="Arial"/>
          <w:sz w:val="22"/>
          <w:szCs w:val="22"/>
        </w:rPr>
      </w:pPr>
      <w:r w:rsidRPr="00AE238C">
        <w:rPr>
          <w:rFonts w:cs="Arial"/>
          <w:sz w:val="22"/>
          <w:szCs w:val="22"/>
        </w:rPr>
        <w:t>CLP</w:t>
      </w:r>
      <w:r w:rsidR="0080562E" w:rsidRPr="00AE238C">
        <w:rPr>
          <w:rFonts w:cs="Arial"/>
          <w:sz w:val="22"/>
          <w:szCs w:val="22"/>
        </w:rPr>
        <w:t>,</w:t>
      </w:r>
      <w:r w:rsidRPr="00AE238C">
        <w:rPr>
          <w:rFonts w:cs="Arial"/>
          <w:sz w:val="22"/>
          <w:szCs w:val="22"/>
        </w:rPr>
        <w:t xml:space="preserve"> in consultation with DFID</w:t>
      </w:r>
      <w:r w:rsidR="0080562E" w:rsidRPr="00AE238C">
        <w:rPr>
          <w:rFonts w:cs="Arial"/>
          <w:sz w:val="22"/>
          <w:szCs w:val="22"/>
        </w:rPr>
        <w:t>,</w:t>
      </w:r>
      <w:r w:rsidRPr="00AE238C">
        <w:rPr>
          <w:rFonts w:cs="Arial"/>
          <w:sz w:val="22"/>
          <w:szCs w:val="22"/>
        </w:rPr>
        <w:t xml:space="preserve"> to d</w:t>
      </w:r>
      <w:r w:rsidR="002E37D5" w:rsidRPr="00AE238C">
        <w:rPr>
          <w:rFonts w:cs="Arial"/>
          <w:sz w:val="22"/>
          <w:szCs w:val="22"/>
        </w:rPr>
        <w:t xml:space="preserve">evelop </w:t>
      </w:r>
      <w:r w:rsidRPr="00AE238C">
        <w:rPr>
          <w:rFonts w:cs="Arial"/>
          <w:sz w:val="22"/>
          <w:szCs w:val="22"/>
        </w:rPr>
        <w:t xml:space="preserve">a strategic communication </w:t>
      </w:r>
      <w:r w:rsidR="0080562E" w:rsidRPr="00AE238C">
        <w:rPr>
          <w:rFonts w:cs="Arial"/>
          <w:sz w:val="22"/>
          <w:szCs w:val="22"/>
        </w:rPr>
        <w:t xml:space="preserve">plan </w:t>
      </w:r>
      <w:r w:rsidRPr="00AE238C">
        <w:rPr>
          <w:rFonts w:cs="Arial"/>
          <w:sz w:val="22"/>
          <w:szCs w:val="22"/>
        </w:rPr>
        <w:t xml:space="preserve">by April 2015 </w:t>
      </w:r>
      <w:r w:rsidR="001F5CB8" w:rsidRPr="00AE238C">
        <w:rPr>
          <w:rFonts w:cs="Arial"/>
          <w:sz w:val="22"/>
          <w:szCs w:val="22"/>
        </w:rPr>
        <w:t>laying out</w:t>
      </w:r>
      <w:r w:rsidR="00BD6760" w:rsidRPr="00AE238C">
        <w:rPr>
          <w:rFonts w:cs="Arial"/>
          <w:sz w:val="22"/>
          <w:szCs w:val="22"/>
        </w:rPr>
        <w:t xml:space="preserve"> </w:t>
      </w:r>
      <w:r w:rsidR="002E37D5" w:rsidRPr="00AE238C">
        <w:rPr>
          <w:rFonts w:cs="Arial"/>
          <w:sz w:val="22"/>
          <w:szCs w:val="22"/>
        </w:rPr>
        <w:t xml:space="preserve">options for </w:t>
      </w:r>
      <w:r w:rsidR="0080562E" w:rsidRPr="00AE238C">
        <w:rPr>
          <w:rFonts w:cs="Arial"/>
          <w:sz w:val="22"/>
          <w:szCs w:val="22"/>
        </w:rPr>
        <w:t xml:space="preserve">discrete </w:t>
      </w:r>
      <w:r w:rsidR="002E37D5" w:rsidRPr="00AE238C">
        <w:rPr>
          <w:rFonts w:cs="Arial"/>
          <w:sz w:val="22"/>
          <w:szCs w:val="22"/>
        </w:rPr>
        <w:t>research and policy</w:t>
      </w:r>
      <w:r w:rsidR="00B55BED" w:rsidRPr="00AE238C">
        <w:rPr>
          <w:rFonts w:cs="Arial"/>
          <w:sz w:val="22"/>
          <w:szCs w:val="22"/>
        </w:rPr>
        <w:t xml:space="preserve"> work in final year of project</w:t>
      </w:r>
      <w:r w:rsidR="0027531A" w:rsidRPr="00F55714">
        <w:rPr>
          <w:rFonts w:cs="Arial"/>
          <w:color w:val="FF0000"/>
          <w:sz w:val="22"/>
          <w:szCs w:val="22"/>
        </w:rPr>
        <w:t>.</w:t>
      </w:r>
      <w:r w:rsidR="00AE238C">
        <w:rPr>
          <w:rFonts w:cs="Arial"/>
          <w:color w:val="FF0000"/>
          <w:sz w:val="22"/>
          <w:szCs w:val="22"/>
        </w:rPr>
        <w:t xml:space="preserve"> </w:t>
      </w:r>
      <w:r w:rsidR="00AE238C" w:rsidRPr="00B83D67">
        <w:rPr>
          <w:rFonts w:cs="Arial"/>
          <w:sz w:val="22"/>
          <w:szCs w:val="22"/>
        </w:rPr>
        <w:t xml:space="preserve">Priority </w:t>
      </w:r>
      <w:r w:rsidR="00B83D67">
        <w:rPr>
          <w:rFonts w:cs="Arial"/>
          <w:sz w:val="22"/>
          <w:szCs w:val="22"/>
        </w:rPr>
        <w:t xml:space="preserve">areas </w:t>
      </w:r>
      <w:r w:rsidR="00AE238C" w:rsidRPr="00B83D67">
        <w:rPr>
          <w:rFonts w:cs="Arial"/>
          <w:sz w:val="22"/>
          <w:szCs w:val="22"/>
        </w:rPr>
        <w:t xml:space="preserve">should </w:t>
      </w:r>
      <w:r w:rsidR="00B83D67">
        <w:rPr>
          <w:rFonts w:cs="Arial"/>
          <w:sz w:val="22"/>
          <w:szCs w:val="22"/>
        </w:rPr>
        <w:t>include:</w:t>
      </w:r>
      <w:r w:rsidR="00D315B8" w:rsidRPr="00B83D67">
        <w:rPr>
          <w:rFonts w:cs="Arial"/>
          <w:sz w:val="22"/>
          <w:szCs w:val="22"/>
        </w:rPr>
        <w:t xml:space="preserve"> </w:t>
      </w:r>
      <w:r w:rsidR="00AE238C">
        <w:rPr>
          <w:rFonts w:cs="Arial"/>
          <w:sz w:val="22"/>
          <w:szCs w:val="22"/>
        </w:rPr>
        <w:t>improved</w:t>
      </w:r>
      <w:r w:rsidR="00C57BB2" w:rsidRPr="00AE238C">
        <w:rPr>
          <w:rFonts w:cs="Arial"/>
          <w:sz w:val="22"/>
          <w:szCs w:val="22"/>
        </w:rPr>
        <w:t xml:space="preserve"> access to education, </w:t>
      </w:r>
      <w:r w:rsidR="00AE238C">
        <w:rPr>
          <w:rFonts w:cs="Arial"/>
          <w:sz w:val="22"/>
          <w:szCs w:val="22"/>
        </w:rPr>
        <w:t xml:space="preserve">khas land, </w:t>
      </w:r>
      <w:r w:rsidR="00507983" w:rsidRPr="00AE238C">
        <w:rPr>
          <w:rFonts w:cs="Arial"/>
          <w:sz w:val="22"/>
          <w:szCs w:val="22"/>
        </w:rPr>
        <w:t>analysis</w:t>
      </w:r>
      <w:r w:rsidR="0027531A" w:rsidRPr="00AE238C">
        <w:rPr>
          <w:rFonts w:cs="Arial"/>
          <w:sz w:val="22"/>
          <w:szCs w:val="22"/>
        </w:rPr>
        <w:t xml:space="preserve"> of variance on key outcome indicators</w:t>
      </w:r>
      <w:r w:rsidR="00B83D67">
        <w:rPr>
          <w:rFonts w:cs="Arial"/>
          <w:sz w:val="22"/>
          <w:szCs w:val="22"/>
        </w:rPr>
        <w:t xml:space="preserve"> and </w:t>
      </w:r>
      <w:r w:rsidR="00633430">
        <w:rPr>
          <w:rFonts w:cs="Arial"/>
          <w:sz w:val="22"/>
          <w:szCs w:val="22"/>
        </w:rPr>
        <w:t>sustainability</w:t>
      </w:r>
      <w:r w:rsidR="00B83D67">
        <w:rPr>
          <w:rFonts w:cs="Arial"/>
          <w:sz w:val="22"/>
          <w:szCs w:val="22"/>
        </w:rPr>
        <w:t xml:space="preserve"> of impact. </w:t>
      </w:r>
      <w:r w:rsidR="00D315B8">
        <w:rPr>
          <w:rFonts w:cs="Arial"/>
          <w:sz w:val="22"/>
          <w:szCs w:val="22"/>
        </w:rPr>
        <w:t xml:space="preserve"> </w:t>
      </w:r>
    </w:p>
    <w:p w:rsidR="00BD6760" w:rsidRPr="00BD6760" w:rsidRDefault="00BD6760" w:rsidP="00080FCE">
      <w:pPr>
        <w:pStyle w:val="ListParagraph"/>
        <w:numPr>
          <w:ilvl w:val="0"/>
          <w:numId w:val="33"/>
        </w:numPr>
        <w:spacing w:after="60"/>
        <w:contextualSpacing w:val="0"/>
        <w:rPr>
          <w:rFonts w:cs="Arial"/>
          <w:sz w:val="22"/>
          <w:szCs w:val="22"/>
        </w:rPr>
      </w:pPr>
      <w:r w:rsidRPr="00BD6760">
        <w:rPr>
          <w:rFonts w:cs="Arial"/>
          <w:sz w:val="22"/>
          <w:szCs w:val="22"/>
        </w:rPr>
        <w:lastRenderedPageBreak/>
        <w:t xml:space="preserve">Based on </w:t>
      </w:r>
      <w:r w:rsidR="002444EA">
        <w:rPr>
          <w:rFonts w:cs="Arial"/>
          <w:sz w:val="22"/>
          <w:szCs w:val="22"/>
        </w:rPr>
        <w:t xml:space="preserve">the </w:t>
      </w:r>
      <w:r w:rsidRPr="00BD6760">
        <w:rPr>
          <w:rFonts w:cs="Arial"/>
          <w:sz w:val="22"/>
          <w:szCs w:val="22"/>
        </w:rPr>
        <w:t xml:space="preserve">above, develop range of </w:t>
      </w:r>
      <w:r w:rsidR="00ED1CC0" w:rsidRPr="00BD6760">
        <w:rPr>
          <w:rFonts w:cs="Arial"/>
          <w:sz w:val="22"/>
          <w:szCs w:val="22"/>
        </w:rPr>
        <w:t>costed</w:t>
      </w:r>
      <w:r w:rsidRPr="00BD6760">
        <w:rPr>
          <w:rFonts w:cs="Arial"/>
          <w:sz w:val="22"/>
          <w:szCs w:val="22"/>
        </w:rPr>
        <w:t xml:space="preserve"> options for utilising underspend for DFID to review and prioritise by [June 2015]</w:t>
      </w:r>
      <w:r w:rsidR="001F5CB8">
        <w:rPr>
          <w:rFonts w:cs="Arial"/>
          <w:sz w:val="22"/>
          <w:szCs w:val="22"/>
        </w:rPr>
        <w:t xml:space="preserve"> under exit strategy</w:t>
      </w:r>
      <w:r w:rsidRPr="00BD6760">
        <w:rPr>
          <w:rFonts w:cs="Arial"/>
          <w:sz w:val="22"/>
          <w:szCs w:val="22"/>
        </w:rPr>
        <w:t xml:space="preserve">. </w:t>
      </w:r>
    </w:p>
    <w:p w:rsidR="0001043E" w:rsidRPr="0032795B" w:rsidRDefault="00494546" w:rsidP="0001043E">
      <w:pPr>
        <w:pStyle w:val="ListParagraph"/>
        <w:numPr>
          <w:ilvl w:val="0"/>
          <w:numId w:val="33"/>
        </w:numPr>
        <w:spacing w:after="60"/>
        <w:contextualSpacing w:val="0"/>
        <w:rPr>
          <w:rFonts w:cs="Arial"/>
          <w:sz w:val="22"/>
          <w:szCs w:val="22"/>
        </w:rPr>
      </w:pPr>
      <w:r w:rsidRPr="0080562E">
        <w:rPr>
          <w:rFonts w:cs="Arial"/>
          <w:sz w:val="22"/>
          <w:szCs w:val="22"/>
        </w:rPr>
        <w:t xml:space="preserve">CLP should </w:t>
      </w:r>
      <w:r w:rsidR="0080562E" w:rsidRPr="0080562E">
        <w:rPr>
          <w:rFonts w:cs="Arial"/>
          <w:sz w:val="22"/>
          <w:szCs w:val="22"/>
        </w:rPr>
        <w:t>explore options</w:t>
      </w:r>
      <w:r w:rsidR="0080562E">
        <w:rPr>
          <w:rFonts w:cs="Arial"/>
          <w:sz w:val="22"/>
          <w:szCs w:val="22"/>
        </w:rPr>
        <w:t xml:space="preserve"> </w:t>
      </w:r>
      <w:r w:rsidRPr="00BD6760">
        <w:rPr>
          <w:rFonts w:cs="Arial"/>
          <w:sz w:val="22"/>
          <w:szCs w:val="22"/>
        </w:rPr>
        <w:t>to ensure that CLP households are not left behind during future flood response actions</w:t>
      </w:r>
      <w:r w:rsidR="00C32433">
        <w:rPr>
          <w:rFonts w:cs="Arial"/>
          <w:sz w:val="22"/>
          <w:szCs w:val="22"/>
        </w:rPr>
        <w:t xml:space="preserve"> after the project ends</w:t>
      </w:r>
      <w:r w:rsidRPr="00BD6760">
        <w:rPr>
          <w:rFonts w:cs="Arial"/>
          <w:sz w:val="22"/>
          <w:szCs w:val="22"/>
        </w:rPr>
        <w:t>.</w:t>
      </w:r>
      <w:r w:rsidR="00C32433">
        <w:rPr>
          <w:rFonts w:cs="Arial"/>
          <w:sz w:val="22"/>
          <w:szCs w:val="22"/>
        </w:rPr>
        <w:t>This can be part of the sustainability</w:t>
      </w:r>
      <w:r w:rsidR="00C32433" w:rsidRPr="00C32433">
        <w:rPr>
          <w:rFonts w:cs="Arial"/>
          <w:sz w:val="22"/>
          <w:szCs w:val="22"/>
        </w:rPr>
        <w:t xml:space="preserve"> </w:t>
      </w:r>
      <w:r w:rsidR="00C32433">
        <w:rPr>
          <w:rFonts w:cs="Arial"/>
          <w:sz w:val="22"/>
          <w:szCs w:val="22"/>
        </w:rPr>
        <w:t>action plan.</w:t>
      </w:r>
    </w:p>
    <w:p w:rsidR="00080FCE" w:rsidRPr="00080FCE" w:rsidRDefault="001F5CB8" w:rsidP="00265145">
      <w:pPr>
        <w:spacing w:before="240" w:after="120"/>
        <w:rPr>
          <w:rFonts w:cs="Arial"/>
          <w:sz w:val="22"/>
          <w:szCs w:val="22"/>
        </w:rPr>
      </w:pPr>
      <w:r w:rsidRPr="00080FCE">
        <w:rPr>
          <w:rFonts w:cs="Arial"/>
          <w:b/>
          <w:sz w:val="22"/>
          <w:szCs w:val="22"/>
        </w:rPr>
        <w:t xml:space="preserve">Logframe </w:t>
      </w:r>
      <w:r w:rsidR="006D0320" w:rsidRPr="00080FCE">
        <w:rPr>
          <w:rFonts w:cs="Arial"/>
          <w:b/>
          <w:sz w:val="22"/>
          <w:szCs w:val="22"/>
        </w:rPr>
        <w:t>Recommendations:</w:t>
      </w:r>
      <w:r w:rsidRPr="00080FCE">
        <w:rPr>
          <w:rFonts w:cs="Arial"/>
          <w:sz w:val="22"/>
          <w:szCs w:val="22"/>
        </w:rPr>
        <w:t xml:space="preserve"> </w:t>
      </w:r>
    </w:p>
    <w:p w:rsidR="00D205F7" w:rsidRDefault="0027531A" w:rsidP="00080FCE">
      <w:pPr>
        <w:pStyle w:val="ListParagraph"/>
        <w:numPr>
          <w:ilvl w:val="0"/>
          <w:numId w:val="33"/>
        </w:numPr>
        <w:spacing w:after="60"/>
        <w:contextualSpacing w:val="0"/>
        <w:rPr>
          <w:rFonts w:cs="Arial"/>
          <w:sz w:val="22"/>
          <w:szCs w:val="22"/>
        </w:rPr>
      </w:pPr>
      <w:r w:rsidRPr="00C32433">
        <w:rPr>
          <w:rFonts w:cs="Arial"/>
          <w:sz w:val="22"/>
          <w:szCs w:val="22"/>
        </w:rPr>
        <w:t>Clarify the baseline for the 2016 outcome 2 target</w:t>
      </w:r>
      <w:r w:rsidR="001F5CB8" w:rsidRPr="00C32433">
        <w:rPr>
          <w:rFonts w:cs="Arial"/>
          <w:sz w:val="22"/>
          <w:szCs w:val="22"/>
        </w:rPr>
        <w:t xml:space="preserve"> </w:t>
      </w:r>
      <w:r w:rsidR="0080562E" w:rsidRPr="00C32433">
        <w:rPr>
          <w:rFonts w:cs="Arial"/>
          <w:sz w:val="22"/>
          <w:szCs w:val="22"/>
        </w:rPr>
        <w:t>(85% of targeted core households’ per capita income, expenditure and savings do not drop in real terms)</w:t>
      </w:r>
      <w:r w:rsidRPr="00C32433">
        <w:rPr>
          <w:rFonts w:cs="Arial"/>
          <w:sz w:val="22"/>
          <w:szCs w:val="22"/>
        </w:rPr>
        <w:t>, which should be an appropriate point after the transfer of the productive asset.</w:t>
      </w:r>
    </w:p>
    <w:p w:rsidR="0032795B" w:rsidRPr="0032795B" w:rsidRDefault="00161167" w:rsidP="0032795B">
      <w:pPr>
        <w:pStyle w:val="ListParagraph"/>
        <w:numPr>
          <w:ilvl w:val="0"/>
          <w:numId w:val="33"/>
        </w:numPr>
        <w:spacing w:after="60"/>
        <w:contextualSpacing w:val="0"/>
        <w:rPr>
          <w:rFonts w:cs="Arial"/>
          <w:sz w:val="22"/>
          <w:szCs w:val="22"/>
          <w:u w:val="single"/>
        </w:rPr>
      </w:pPr>
      <w:r w:rsidRPr="00F41A5A">
        <w:rPr>
          <w:bCs/>
          <w:sz w:val="22"/>
          <w:szCs w:val="22"/>
        </w:rPr>
        <w:t xml:space="preserve">CLP in agreement with DFID to change the output statement </w:t>
      </w:r>
      <w:r w:rsidR="00080FCE">
        <w:rPr>
          <w:bCs/>
          <w:sz w:val="22"/>
          <w:szCs w:val="22"/>
        </w:rPr>
        <w:t xml:space="preserve">4 </w:t>
      </w:r>
      <w:r w:rsidRPr="00F41A5A">
        <w:rPr>
          <w:bCs/>
          <w:sz w:val="22"/>
          <w:szCs w:val="22"/>
        </w:rPr>
        <w:t>that better reflects the indicators (i.e.: improved skills of women and girls)</w:t>
      </w:r>
      <w:r w:rsidR="00080FCE">
        <w:rPr>
          <w:bCs/>
          <w:sz w:val="22"/>
          <w:szCs w:val="22"/>
        </w:rPr>
        <w:t>,</w:t>
      </w:r>
      <w:r w:rsidRPr="00F41A5A">
        <w:rPr>
          <w:bCs/>
          <w:sz w:val="22"/>
          <w:szCs w:val="22"/>
        </w:rPr>
        <w:t xml:space="preserve"> by June 2015</w:t>
      </w:r>
      <w:r>
        <w:rPr>
          <w:bCs/>
          <w:sz w:val="22"/>
          <w:szCs w:val="22"/>
        </w:rPr>
        <w:t>.</w:t>
      </w:r>
    </w:p>
    <w:p w:rsidR="0032795B" w:rsidRPr="0032795B" w:rsidRDefault="0001043E" w:rsidP="0032795B">
      <w:pPr>
        <w:pStyle w:val="ListParagraph"/>
        <w:numPr>
          <w:ilvl w:val="0"/>
          <w:numId w:val="33"/>
        </w:numPr>
        <w:spacing w:after="60"/>
        <w:contextualSpacing w:val="0"/>
        <w:rPr>
          <w:rFonts w:cs="Arial"/>
          <w:sz w:val="22"/>
          <w:szCs w:val="22"/>
          <w:u w:val="single"/>
        </w:rPr>
      </w:pPr>
      <w:r w:rsidRPr="0032795B">
        <w:rPr>
          <w:sz w:val="22"/>
          <w:szCs w:val="22"/>
        </w:rPr>
        <w:t xml:space="preserve">CLP to review the scope for reporting further disaggregated findings of key results ( </w:t>
      </w:r>
      <w:r w:rsidR="00A3640C" w:rsidRPr="0032795B">
        <w:rPr>
          <w:sz w:val="22"/>
          <w:szCs w:val="22"/>
        </w:rPr>
        <w:t>e.g.</w:t>
      </w:r>
      <w:r w:rsidR="006A364D" w:rsidRPr="0032795B">
        <w:rPr>
          <w:sz w:val="22"/>
          <w:szCs w:val="22"/>
        </w:rPr>
        <w:t xml:space="preserve"> </w:t>
      </w:r>
      <w:r w:rsidR="00A3640C" w:rsidRPr="0032795B">
        <w:rPr>
          <w:sz w:val="22"/>
          <w:szCs w:val="22"/>
        </w:rPr>
        <w:t>asset, income</w:t>
      </w:r>
      <w:r w:rsidRPr="0032795B">
        <w:rPr>
          <w:sz w:val="22"/>
          <w:szCs w:val="22"/>
        </w:rPr>
        <w:t>) to capture variance against target indicators</w:t>
      </w:r>
      <w:r w:rsidR="007779AC" w:rsidRPr="0032795B">
        <w:rPr>
          <w:sz w:val="22"/>
          <w:szCs w:val="22"/>
        </w:rPr>
        <w:t xml:space="preserve"> ( not just average)</w:t>
      </w:r>
      <w:r w:rsidR="00E717BA" w:rsidRPr="0032795B">
        <w:rPr>
          <w:sz w:val="22"/>
          <w:szCs w:val="22"/>
        </w:rPr>
        <w:t>, by June 2015.</w:t>
      </w:r>
    </w:p>
    <w:p w:rsidR="00A449FC" w:rsidRPr="0032795B" w:rsidRDefault="00144C58" w:rsidP="00265145">
      <w:pPr>
        <w:spacing w:before="240" w:after="120"/>
        <w:rPr>
          <w:rFonts w:cs="Arial"/>
          <w:sz w:val="22"/>
          <w:szCs w:val="22"/>
          <w:u w:val="single"/>
        </w:rPr>
      </w:pPr>
      <w:r w:rsidRPr="0032795B">
        <w:rPr>
          <w:rFonts w:cs="Arial"/>
          <w:b/>
          <w:sz w:val="22"/>
          <w:szCs w:val="22"/>
        </w:rPr>
        <w:t>Has the logframe been updated since the last review?</w:t>
      </w:r>
    </w:p>
    <w:p w:rsidR="00F82D5D" w:rsidRDefault="00707228" w:rsidP="00BC15D1">
      <w:pPr>
        <w:spacing w:after="120"/>
        <w:jc w:val="both"/>
        <w:rPr>
          <w:sz w:val="22"/>
          <w:szCs w:val="22"/>
        </w:rPr>
      </w:pPr>
      <w:r w:rsidRPr="005323D4">
        <w:rPr>
          <w:sz w:val="22"/>
          <w:szCs w:val="22"/>
        </w:rPr>
        <w:t>Yes</w:t>
      </w:r>
      <w:r w:rsidR="00D315B8" w:rsidRPr="005323D4">
        <w:rPr>
          <w:sz w:val="22"/>
          <w:szCs w:val="22"/>
        </w:rPr>
        <w:t>. A number of changes were made in June 2014 in response to the previous AR. Key changes include consolidation of impact indicators 2 and 3 into a single indicator; the rearrangement of nutrition indicators with the creation of two new outcome and new output indicators</w:t>
      </w:r>
      <w:r w:rsidR="00034CFB" w:rsidRPr="005323D4">
        <w:rPr>
          <w:sz w:val="22"/>
          <w:szCs w:val="22"/>
        </w:rPr>
        <w:t>; the creation of a new outcome indicator on women empowerment</w:t>
      </w:r>
      <w:r w:rsidR="00D315B8" w:rsidRPr="005323D4">
        <w:rPr>
          <w:sz w:val="22"/>
          <w:szCs w:val="22"/>
        </w:rPr>
        <w:t xml:space="preserve"> and </w:t>
      </w:r>
      <w:r w:rsidR="00034CFB" w:rsidRPr="005323D4">
        <w:rPr>
          <w:sz w:val="22"/>
          <w:szCs w:val="22"/>
        </w:rPr>
        <w:t xml:space="preserve">a </w:t>
      </w:r>
      <w:r w:rsidR="00D315B8" w:rsidRPr="005323D4">
        <w:rPr>
          <w:sz w:val="22"/>
          <w:szCs w:val="22"/>
        </w:rPr>
        <w:t xml:space="preserve">new </w:t>
      </w:r>
      <w:r w:rsidR="00034CFB" w:rsidRPr="005323D4">
        <w:rPr>
          <w:sz w:val="22"/>
          <w:szCs w:val="22"/>
        </w:rPr>
        <w:t>output indicator linked to the vocational training work</w:t>
      </w:r>
      <w:r w:rsidR="00C32433">
        <w:rPr>
          <w:sz w:val="22"/>
          <w:szCs w:val="22"/>
        </w:rPr>
        <w:t xml:space="preserve"> primarily targeting the </w:t>
      </w:r>
      <w:r w:rsidR="006D0320">
        <w:rPr>
          <w:sz w:val="22"/>
          <w:szCs w:val="22"/>
        </w:rPr>
        <w:t>adolescent</w:t>
      </w:r>
      <w:r w:rsidR="00C32433">
        <w:rPr>
          <w:sz w:val="22"/>
          <w:szCs w:val="22"/>
        </w:rPr>
        <w:t xml:space="preserve"> girls</w:t>
      </w:r>
      <w:r w:rsidR="00034CFB" w:rsidRPr="005323D4">
        <w:rPr>
          <w:sz w:val="22"/>
          <w:szCs w:val="22"/>
        </w:rPr>
        <w:t xml:space="preserve">. </w:t>
      </w:r>
    </w:p>
    <w:p w:rsidR="00265145" w:rsidRDefault="00265145" w:rsidP="00BC15D1">
      <w:pPr>
        <w:spacing w:after="120"/>
        <w:jc w:val="both"/>
        <w:rPr>
          <w:sz w:val="22"/>
          <w:szCs w:val="22"/>
        </w:rPr>
      </w:pPr>
    </w:p>
    <w:p w:rsidR="00C32045" w:rsidRPr="00B274AC" w:rsidRDefault="00C32045" w:rsidP="00C32045">
      <w:pPr>
        <w:pStyle w:val="Heading2"/>
        <w:pBdr>
          <w:top w:val="single" w:sz="4" w:space="1" w:color="auto"/>
          <w:left w:val="single" w:sz="4" w:space="5" w:color="auto"/>
          <w:bottom w:val="single" w:sz="4" w:space="1" w:color="auto"/>
          <w:right w:val="single" w:sz="4" w:space="4" w:color="auto"/>
        </w:pBdr>
        <w:shd w:val="clear" w:color="auto" w:fill="DBE5F1" w:themeFill="accent1" w:themeFillTint="33"/>
        <w:spacing w:before="0" w:after="0"/>
        <w:rPr>
          <w:b w:val="0"/>
          <w:i w:val="0"/>
          <w:sz w:val="20"/>
          <w:szCs w:val="20"/>
        </w:rPr>
      </w:pPr>
      <w:r w:rsidRPr="0046232B">
        <w:rPr>
          <w:i w:val="0"/>
        </w:rPr>
        <w:t>C: DETAILED OUTPUT SCORING</w:t>
      </w:r>
    </w:p>
    <w:p w:rsidR="00C32045" w:rsidRPr="002139A7" w:rsidRDefault="00C32045" w:rsidP="00C32045">
      <w:pPr>
        <w:rPr>
          <w:sz w:val="8"/>
          <w:szCs w:val="22"/>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514"/>
        <w:gridCol w:w="1977"/>
        <w:gridCol w:w="2660"/>
        <w:gridCol w:w="2520"/>
      </w:tblGrid>
      <w:tr w:rsidR="00494546" w:rsidRPr="00B21C54" w:rsidTr="00494546">
        <w:trPr>
          <w:trHeight w:val="405"/>
        </w:trPr>
        <w:tc>
          <w:tcPr>
            <w:tcW w:w="1769" w:type="dxa"/>
            <w:shd w:val="clear" w:color="auto" w:fill="DBE5F1"/>
            <w:vAlign w:val="center"/>
          </w:tcPr>
          <w:p w:rsidR="00494546" w:rsidRPr="00B21C54" w:rsidRDefault="00494546" w:rsidP="00494546">
            <w:pPr>
              <w:rPr>
                <w:rFonts w:cs="Arial"/>
                <w:b/>
                <w:bCs/>
                <w:sz w:val="22"/>
                <w:szCs w:val="22"/>
              </w:rPr>
            </w:pPr>
            <w:r w:rsidRPr="00B21C54">
              <w:rPr>
                <w:rFonts w:cs="Arial"/>
                <w:b/>
                <w:bCs/>
                <w:sz w:val="22"/>
                <w:szCs w:val="22"/>
              </w:rPr>
              <w:t xml:space="preserve">Output Title </w:t>
            </w:r>
          </w:p>
        </w:tc>
        <w:tc>
          <w:tcPr>
            <w:tcW w:w="8671" w:type="dxa"/>
            <w:gridSpan w:val="4"/>
            <w:shd w:val="clear" w:color="auto" w:fill="FFFFFF"/>
            <w:vAlign w:val="center"/>
          </w:tcPr>
          <w:p w:rsidR="00494546" w:rsidRPr="00990F0B" w:rsidRDefault="00494546" w:rsidP="00494546">
            <w:pPr>
              <w:rPr>
                <w:rFonts w:cs="Arial"/>
                <w:b/>
                <w:sz w:val="22"/>
                <w:szCs w:val="22"/>
              </w:rPr>
            </w:pPr>
            <w:r>
              <w:rPr>
                <w:rFonts w:cs="Arial"/>
                <w:b/>
                <w:sz w:val="22"/>
                <w:szCs w:val="22"/>
              </w:rPr>
              <w:t>Reduced environmental and economic risks for families and communities</w:t>
            </w:r>
          </w:p>
        </w:tc>
      </w:tr>
      <w:tr w:rsidR="00494546" w:rsidRPr="00B21C54" w:rsidTr="00494546">
        <w:trPr>
          <w:trHeight w:val="405"/>
        </w:trPr>
        <w:tc>
          <w:tcPr>
            <w:tcW w:w="3283" w:type="dxa"/>
            <w:gridSpan w:val="2"/>
            <w:shd w:val="clear" w:color="auto" w:fill="D1DFEF"/>
            <w:vAlign w:val="center"/>
          </w:tcPr>
          <w:p w:rsidR="00494546" w:rsidRPr="00B21C54" w:rsidRDefault="00494546" w:rsidP="00494546">
            <w:pPr>
              <w:rPr>
                <w:rFonts w:cs="Arial"/>
                <w:b/>
                <w:bCs/>
                <w:sz w:val="22"/>
                <w:szCs w:val="22"/>
              </w:rPr>
            </w:pPr>
            <w:r w:rsidRPr="00B21C54">
              <w:rPr>
                <w:rFonts w:cs="Arial"/>
                <w:b/>
                <w:bCs/>
                <w:sz w:val="22"/>
                <w:szCs w:val="22"/>
              </w:rPr>
              <w:t>Output number per LF:</w:t>
            </w:r>
          </w:p>
        </w:tc>
        <w:tc>
          <w:tcPr>
            <w:tcW w:w="1977" w:type="dxa"/>
            <w:vAlign w:val="center"/>
          </w:tcPr>
          <w:p w:rsidR="00494546" w:rsidRPr="00B21C54" w:rsidRDefault="00494546" w:rsidP="00494546">
            <w:pPr>
              <w:rPr>
                <w:rFonts w:cs="Arial"/>
                <w:sz w:val="22"/>
                <w:szCs w:val="22"/>
              </w:rPr>
            </w:pPr>
            <w:r w:rsidRPr="00B21C54">
              <w:rPr>
                <w:rFonts w:cs="Arial"/>
                <w:sz w:val="22"/>
                <w:szCs w:val="22"/>
              </w:rPr>
              <w:t>1</w:t>
            </w:r>
          </w:p>
        </w:tc>
        <w:tc>
          <w:tcPr>
            <w:tcW w:w="2660" w:type="dxa"/>
            <w:shd w:val="clear" w:color="auto" w:fill="D1DFEF"/>
            <w:vAlign w:val="center"/>
          </w:tcPr>
          <w:p w:rsidR="00494546" w:rsidRPr="00B21C54" w:rsidRDefault="00494546" w:rsidP="00494546">
            <w:pPr>
              <w:rPr>
                <w:rFonts w:cs="Arial"/>
                <w:b/>
                <w:sz w:val="22"/>
                <w:szCs w:val="22"/>
              </w:rPr>
            </w:pPr>
            <w:r w:rsidRPr="00B21C54">
              <w:rPr>
                <w:rFonts w:cs="Arial"/>
                <w:b/>
                <w:bCs/>
                <w:sz w:val="22"/>
                <w:szCs w:val="22"/>
              </w:rPr>
              <w:t>Output Score:</w:t>
            </w:r>
          </w:p>
        </w:tc>
        <w:tc>
          <w:tcPr>
            <w:tcW w:w="2520" w:type="dxa"/>
            <w:vAlign w:val="center"/>
          </w:tcPr>
          <w:p w:rsidR="00494546" w:rsidRPr="00B55BED" w:rsidRDefault="00494546" w:rsidP="00494546">
            <w:pPr>
              <w:rPr>
                <w:rFonts w:cs="Arial"/>
                <w:b/>
                <w:bCs/>
                <w:sz w:val="22"/>
                <w:szCs w:val="22"/>
              </w:rPr>
            </w:pPr>
            <w:r w:rsidRPr="003434E8">
              <w:rPr>
                <w:rFonts w:cs="Arial"/>
                <w:b/>
                <w:bCs/>
                <w:color w:val="FF0000"/>
              </w:rPr>
              <w:t>A+</w:t>
            </w:r>
            <w:r w:rsidRPr="00B55BED">
              <w:rPr>
                <w:rFonts w:cs="Arial"/>
                <w:b/>
                <w:bCs/>
                <w:sz w:val="22"/>
                <w:szCs w:val="22"/>
              </w:rPr>
              <w:t xml:space="preserve">  </w:t>
            </w:r>
          </w:p>
        </w:tc>
      </w:tr>
      <w:tr w:rsidR="00494546" w:rsidRPr="00B21C54" w:rsidTr="00494546">
        <w:trPr>
          <w:trHeight w:val="405"/>
        </w:trPr>
        <w:tc>
          <w:tcPr>
            <w:tcW w:w="3283" w:type="dxa"/>
            <w:gridSpan w:val="2"/>
            <w:shd w:val="clear" w:color="auto" w:fill="D1DFEF"/>
            <w:vAlign w:val="center"/>
          </w:tcPr>
          <w:p w:rsidR="00494546" w:rsidRPr="00B21C54" w:rsidRDefault="00494546" w:rsidP="00494546">
            <w:pPr>
              <w:rPr>
                <w:rFonts w:cs="Arial"/>
                <w:b/>
                <w:sz w:val="22"/>
                <w:szCs w:val="22"/>
              </w:rPr>
            </w:pPr>
            <w:r w:rsidRPr="00B21C54">
              <w:rPr>
                <w:rFonts w:cs="Arial"/>
                <w:b/>
                <w:bCs/>
                <w:sz w:val="22"/>
                <w:szCs w:val="22"/>
              </w:rPr>
              <w:t xml:space="preserve">Risk:  </w:t>
            </w:r>
          </w:p>
        </w:tc>
        <w:tc>
          <w:tcPr>
            <w:tcW w:w="1977" w:type="dxa"/>
            <w:vAlign w:val="center"/>
          </w:tcPr>
          <w:p w:rsidR="00494546" w:rsidRPr="00B21C54" w:rsidRDefault="00F0399D" w:rsidP="00494546">
            <w:pPr>
              <w:rPr>
                <w:rFonts w:cs="Arial"/>
                <w:bCs/>
                <w:sz w:val="22"/>
                <w:szCs w:val="22"/>
              </w:rPr>
            </w:pPr>
            <w:r>
              <w:rPr>
                <w:rFonts w:cs="Arial"/>
                <w:bCs/>
                <w:sz w:val="22"/>
                <w:szCs w:val="22"/>
              </w:rPr>
              <w:t>High</w:t>
            </w:r>
          </w:p>
        </w:tc>
        <w:tc>
          <w:tcPr>
            <w:tcW w:w="2660" w:type="dxa"/>
            <w:shd w:val="clear" w:color="auto" w:fill="D1DFEF"/>
            <w:vAlign w:val="center"/>
          </w:tcPr>
          <w:p w:rsidR="00494546" w:rsidRPr="00B21C54" w:rsidRDefault="00494546" w:rsidP="00494546">
            <w:pPr>
              <w:rPr>
                <w:rFonts w:cs="Arial"/>
                <w:b/>
                <w:bCs/>
                <w:sz w:val="22"/>
                <w:szCs w:val="22"/>
              </w:rPr>
            </w:pPr>
            <w:r w:rsidRPr="00B21C54">
              <w:rPr>
                <w:rFonts w:cs="Arial"/>
                <w:b/>
                <w:bCs/>
                <w:sz w:val="22"/>
                <w:szCs w:val="22"/>
              </w:rPr>
              <w:t>Impact weighting (%):</w:t>
            </w:r>
          </w:p>
        </w:tc>
        <w:tc>
          <w:tcPr>
            <w:tcW w:w="2520" w:type="dxa"/>
            <w:vAlign w:val="center"/>
          </w:tcPr>
          <w:p w:rsidR="00494546" w:rsidRPr="00B21C54" w:rsidRDefault="00494546" w:rsidP="00494546">
            <w:pPr>
              <w:rPr>
                <w:rFonts w:cs="Arial"/>
                <w:sz w:val="22"/>
                <w:szCs w:val="22"/>
              </w:rPr>
            </w:pPr>
            <w:r>
              <w:rPr>
                <w:rFonts w:cs="Arial"/>
                <w:sz w:val="22"/>
                <w:szCs w:val="22"/>
              </w:rPr>
              <w:t>2</w:t>
            </w:r>
            <w:r w:rsidRPr="00B21C54">
              <w:rPr>
                <w:rFonts w:cs="Arial"/>
                <w:sz w:val="22"/>
                <w:szCs w:val="22"/>
              </w:rPr>
              <w:t>5%</w:t>
            </w:r>
          </w:p>
        </w:tc>
      </w:tr>
      <w:tr w:rsidR="00494546" w:rsidRPr="00B21C54" w:rsidTr="00494546">
        <w:tc>
          <w:tcPr>
            <w:tcW w:w="3283" w:type="dxa"/>
            <w:gridSpan w:val="2"/>
            <w:shd w:val="clear" w:color="auto" w:fill="D1DFEF"/>
            <w:vAlign w:val="center"/>
          </w:tcPr>
          <w:p w:rsidR="00494546" w:rsidRPr="00B21C54" w:rsidRDefault="00494546" w:rsidP="00494546">
            <w:pPr>
              <w:rPr>
                <w:rFonts w:cs="Arial"/>
                <w:b/>
                <w:sz w:val="22"/>
                <w:szCs w:val="22"/>
              </w:rPr>
            </w:pPr>
            <w:r w:rsidRPr="00B21C54">
              <w:rPr>
                <w:rFonts w:cs="Arial"/>
                <w:b/>
                <w:bCs/>
                <w:sz w:val="22"/>
                <w:szCs w:val="22"/>
              </w:rPr>
              <w:t xml:space="preserve">Risk revised since last AR? </w:t>
            </w:r>
          </w:p>
        </w:tc>
        <w:tc>
          <w:tcPr>
            <w:tcW w:w="1977" w:type="dxa"/>
            <w:vAlign w:val="center"/>
          </w:tcPr>
          <w:p w:rsidR="00494546" w:rsidRPr="00B21C54" w:rsidRDefault="00902E01" w:rsidP="00494546">
            <w:pPr>
              <w:rPr>
                <w:rFonts w:cs="Arial"/>
                <w:sz w:val="22"/>
                <w:szCs w:val="22"/>
              </w:rPr>
            </w:pPr>
            <w:r w:rsidRPr="00902E01">
              <w:rPr>
                <w:rFonts w:cs="Arial"/>
                <w:bCs/>
                <w:sz w:val="22"/>
                <w:szCs w:val="22"/>
              </w:rPr>
              <w:t>Y (</w:t>
            </w:r>
            <w:r w:rsidR="00F0399D" w:rsidRPr="00902E01">
              <w:rPr>
                <w:rFonts w:cs="Arial"/>
                <w:bCs/>
                <w:sz w:val="22"/>
                <w:szCs w:val="22"/>
              </w:rPr>
              <w:t>increased from medium)</w:t>
            </w:r>
          </w:p>
        </w:tc>
        <w:tc>
          <w:tcPr>
            <w:tcW w:w="2660" w:type="dxa"/>
            <w:shd w:val="clear" w:color="auto" w:fill="D1DFEF"/>
            <w:vAlign w:val="center"/>
          </w:tcPr>
          <w:p w:rsidR="00494546" w:rsidRPr="00B21C54" w:rsidRDefault="00494546" w:rsidP="00494546">
            <w:pPr>
              <w:rPr>
                <w:rFonts w:cs="Arial"/>
                <w:b/>
                <w:bCs/>
                <w:sz w:val="22"/>
                <w:szCs w:val="22"/>
              </w:rPr>
            </w:pPr>
            <w:r w:rsidRPr="00B21C54">
              <w:rPr>
                <w:rFonts w:cs="Arial"/>
                <w:b/>
                <w:bCs/>
                <w:sz w:val="22"/>
                <w:szCs w:val="22"/>
              </w:rPr>
              <w:t xml:space="preserve">Impact weighting % revised since last AR? </w:t>
            </w:r>
          </w:p>
        </w:tc>
        <w:tc>
          <w:tcPr>
            <w:tcW w:w="2520" w:type="dxa"/>
            <w:vAlign w:val="center"/>
          </w:tcPr>
          <w:p w:rsidR="00494546" w:rsidRPr="00B21C54" w:rsidRDefault="00494546" w:rsidP="00494546">
            <w:pPr>
              <w:rPr>
                <w:rFonts w:cs="Arial"/>
                <w:sz w:val="22"/>
                <w:szCs w:val="22"/>
              </w:rPr>
            </w:pPr>
            <w:r w:rsidRPr="00C32FAD">
              <w:rPr>
                <w:rFonts w:cs="Arial"/>
                <w:bCs/>
                <w:sz w:val="22"/>
                <w:szCs w:val="22"/>
              </w:rPr>
              <w:t>Y</w:t>
            </w:r>
            <w:r>
              <w:rPr>
                <w:rFonts w:cs="Arial"/>
                <w:bCs/>
                <w:sz w:val="22"/>
                <w:szCs w:val="22"/>
              </w:rPr>
              <w:t xml:space="preserve"> (down from 30%)</w:t>
            </w:r>
          </w:p>
        </w:tc>
      </w:tr>
    </w:tbl>
    <w:tbl>
      <w:tblPr>
        <w:tblpPr w:leftFromText="180" w:rightFromText="180" w:vertAnchor="text" w:horzAnchor="margin" w:tblpY="278"/>
        <w:tblOverlap w:val="neve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3543"/>
        <w:gridCol w:w="3544"/>
      </w:tblGrid>
      <w:tr w:rsidR="00494546" w:rsidRPr="00B21C54" w:rsidTr="00494546">
        <w:trPr>
          <w:trHeight w:val="273"/>
        </w:trPr>
        <w:tc>
          <w:tcPr>
            <w:tcW w:w="3318" w:type="dxa"/>
            <w:shd w:val="clear" w:color="auto" w:fill="D1DFEF"/>
            <w:tcMar>
              <w:top w:w="57" w:type="dxa"/>
              <w:left w:w="57" w:type="dxa"/>
              <w:bottom w:w="57" w:type="dxa"/>
              <w:right w:w="57" w:type="dxa"/>
            </w:tcMar>
            <w:vAlign w:val="center"/>
          </w:tcPr>
          <w:p w:rsidR="00494546" w:rsidRPr="00D778EF" w:rsidRDefault="00494546" w:rsidP="00494546">
            <w:pPr>
              <w:rPr>
                <w:rFonts w:cs="Arial"/>
                <w:b/>
                <w:bCs/>
                <w:sz w:val="21"/>
                <w:szCs w:val="21"/>
              </w:rPr>
            </w:pPr>
            <w:r w:rsidRPr="00D778EF">
              <w:rPr>
                <w:rFonts w:cs="Arial"/>
                <w:b/>
                <w:bCs/>
                <w:sz w:val="21"/>
                <w:szCs w:val="21"/>
              </w:rPr>
              <w:t>Indicator(s)</w:t>
            </w:r>
          </w:p>
        </w:tc>
        <w:tc>
          <w:tcPr>
            <w:tcW w:w="3543" w:type="dxa"/>
            <w:shd w:val="clear" w:color="auto" w:fill="D1DFEF"/>
            <w:tcMar>
              <w:top w:w="57" w:type="dxa"/>
              <w:left w:w="57" w:type="dxa"/>
              <w:bottom w:w="57" w:type="dxa"/>
              <w:right w:w="57" w:type="dxa"/>
            </w:tcMar>
            <w:vAlign w:val="center"/>
          </w:tcPr>
          <w:p w:rsidR="00494546" w:rsidRPr="00D778EF" w:rsidRDefault="00494546" w:rsidP="00494546">
            <w:pPr>
              <w:rPr>
                <w:rFonts w:cs="Arial"/>
                <w:b/>
                <w:bCs/>
                <w:sz w:val="21"/>
                <w:szCs w:val="21"/>
              </w:rPr>
            </w:pPr>
            <w:r w:rsidRPr="00D778EF">
              <w:rPr>
                <w:rFonts w:cs="Arial"/>
                <w:b/>
                <w:bCs/>
                <w:sz w:val="21"/>
                <w:szCs w:val="21"/>
              </w:rPr>
              <w:t>Milestones</w:t>
            </w:r>
          </w:p>
        </w:tc>
        <w:tc>
          <w:tcPr>
            <w:tcW w:w="3544" w:type="dxa"/>
            <w:shd w:val="clear" w:color="auto" w:fill="D1DFEF"/>
            <w:tcMar>
              <w:top w:w="57" w:type="dxa"/>
              <w:left w:w="57" w:type="dxa"/>
              <w:bottom w:w="57" w:type="dxa"/>
              <w:right w:w="57" w:type="dxa"/>
            </w:tcMar>
            <w:vAlign w:val="center"/>
          </w:tcPr>
          <w:p w:rsidR="00494546" w:rsidRPr="00D778EF" w:rsidRDefault="00494546" w:rsidP="00494546">
            <w:pPr>
              <w:rPr>
                <w:rFonts w:cs="Arial"/>
                <w:b/>
                <w:bCs/>
                <w:sz w:val="21"/>
                <w:szCs w:val="21"/>
              </w:rPr>
            </w:pPr>
            <w:r w:rsidRPr="00D778EF">
              <w:rPr>
                <w:rFonts w:cs="Arial"/>
                <w:b/>
                <w:bCs/>
                <w:sz w:val="21"/>
                <w:szCs w:val="21"/>
              </w:rPr>
              <w:t>Progress (%)</w:t>
            </w:r>
          </w:p>
        </w:tc>
      </w:tr>
      <w:tr w:rsidR="00494546" w:rsidRPr="00B21C54" w:rsidTr="00494546">
        <w:trPr>
          <w:trHeight w:val="518"/>
        </w:trPr>
        <w:tc>
          <w:tcPr>
            <w:tcW w:w="3318" w:type="dxa"/>
            <w:tcMar>
              <w:top w:w="57" w:type="dxa"/>
              <w:left w:w="57" w:type="dxa"/>
              <w:bottom w:w="57" w:type="dxa"/>
              <w:right w:w="57" w:type="dxa"/>
            </w:tcMar>
          </w:tcPr>
          <w:p w:rsidR="00494546" w:rsidRPr="00D778EF" w:rsidRDefault="00494546" w:rsidP="00494546">
            <w:pPr>
              <w:rPr>
                <w:rFonts w:cs="Arial"/>
                <w:sz w:val="21"/>
                <w:szCs w:val="21"/>
              </w:rPr>
            </w:pPr>
            <w:r w:rsidRPr="00D778EF">
              <w:rPr>
                <w:rFonts w:cs="Arial"/>
                <w:sz w:val="21"/>
                <w:szCs w:val="21"/>
              </w:rPr>
              <w:t xml:space="preserve">1.1 Number of households raised on plinths 60cm above highest recorded flood </w:t>
            </w:r>
            <w:r w:rsidRPr="00E229B9">
              <w:rPr>
                <w:rFonts w:cs="Arial"/>
                <w:bCs/>
                <w:color w:val="FF0000"/>
                <w:sz w:val="21"/>
                <w:szCs w:val="21"/>
              </w:rPr>
              <w:t>[A+]</w:t>
            </w:r>
          </w:p>
        </w:tc>
        <w:tc>
          <w:tcPr>
            <w:tcW w:w="3543" w:type="dxa"/>
            <w:tcMar>
              <w:top w:w="57" w:type="dxa"/>
              <w:left w:w="57" w:type="dxa"/>
              <w:bottom w:w="57" w:type="dxa"/>
              <w:right w:w="57" w:type="dxa"/>
            </w:tcMar>
          </w:tcPr>
          <w:p w:rsidR="00C00E40" w:rsidRDefault="00C00E40" w:rsidP="00494546">
            <w:pPr>
              <w:rPr>
                <w:rFonts w:cs="Arial"/>
                <w:sz w:val="21"/>
                <w:szCs w:val="21"/>
              </w:rPr>
            </w:pPr>
            <w:r w:rsidRPr="00D778EF">
              <w:rPr>
                <w:rFonts w:cs="Arial"/>
                <w:sz w:val="21"/>
                <w:szCs w:val="21"/>
              </w:rPr>
              <w:t xml:space="preserve">Cum: 62,336 HHs </w:t>
            </w:r>
          </w:p>
          <w:p w:rsidR="00494546" w:rsidRPr="00D778EF" w:rsidRDefault="00494546" w:rsidP="00494546">
            <w:pPr>
              <w:rPr>
                <w:rFonts w:cs="Arial"/>
                <w:sz w:val="21"/>
                <w:szCs w:val="21"/>
              </w:rPr>
            </w:pPr>
            <w:r w:rsidRPr="00D778EF">
              <w:rPr>
                <w:rFonts w:cs="Arial"/>
                <w:sz w:val="21"/>
                <w:szCs w:val="21"/>
              </w:rPr>
              <w:t>Annual: 14,052 HHs</w:t>
            </w:r>
          </w:p>
          <w:p w:rsidR="00494546" w:rsidRPr="00D778EF" w:rsidRDefault="00494546" w:rsidP="00494546">
            <w:pPr>
              <w:rPr>
                <w:rFonts w:cs="Arial"/>
                <w:sz w:val="21"/>
                <w:szCs w:val="21"/>
              </w:rPr>
            </w:pPr>
          </w:p>
        </w:tc>
        <w:tc>
          <w:tcPr>
            <w:tcW w:w="3544" w:type="dxa"/>
            <w:tcMar>
              <w:top w:w="57" w:type="dxa"/>
              <w:left w:w="57" w:type="dxa"/>
              <w:bottom w:w="57" w:type="dxa"/>
              <w:right w:w="57" w:type="dxa"/>
            </w:tcMar>
          </w:tcPr>
          <w:p w:rsidR="00C00E40" w:rsidRDefault="00C00E40" w:rsidP="00494546">
            <w:pPr>
              <w:rPr>
                <w:rFonts w:cs="Arial"/>
                <w:sz w:val="21"/>
                <w:szCs w:val="21"/>
              </w:rPr>
            </w:pPr>
            <w:r>
              <w:rPr>
                <w:rFonts w:cs="Arial"/>
                <w:sz w:val="21"/>
                <w:szCs w:val="21"/>
              </w:rPr>
              <w:t>Cum: 63,876</w:t>
            </w:r>
            <w:r w:rsidRPr="00D778EF">
              <w:rPr>
                <w:rFonts w:cs="Arial"/>
                <w:sz w:val="21"/>
                <w:szCs w:val="21"/>
              </w:rPr>
              <w:t xml:space="preserve"> HHs </w:t>
            </w:r>
          </w:p>
          <w:p w:rsidR="00494546" w:rsidRPr="00D778EF" w:rsidRDefault="00494546" w:rsidP="00494546">
            <w:pPr>
              <w:rPr>
                <w:rFonts w:cs="Arial"/>
                <w:sz w:val="21"/>
                <w:szCs w:val="21"/>
              </w:rPr>
            </w:pPr>
            <w:r w:rsidRPr="00D778EF">
              <w:rPr>
                <w:rFonts w:cs="Arial"/>
                <w:sz w:val="21"/>
                <w:szCs w:val="21"/>
              </w:rPr>
              <w:t>Annual: 1</w:t>
            </w:r>
            <w:r w:rsidR="00C00E40">
              <w:rPr>
                <w:rFonts w:cs="Arial"/>
                <w:sz w:val="21"/>
                <w:szCs w:val="21"/>
              </w:rPr>
              <w:t>5</w:t>
            </w:r>
            <w:r w:rsidRPr="00D778EF">
              <w:rPr>
                <w:rFonts w:cs="Arial"/>
                <w:sz w:val="21"/>
                <w:szCs w:val="21"/>
              </w:rPr>
              <w:t>,</w:t>
            </w:r>
            <w:r w:rsidR="00C00E40">
              <w:rPr>
                <w:rFonts w:cs="Arial"/>
                <w:sz w:val="21"/>
                <w:szCs w:val="21"/>
              </w:rPr>
              <w:t>652</w:t>
            </w:r>
            <w:r w:rsidRPr="00D778EF">
              <w:rPr>
                <w:rFonts w:cs="Arial"/>
                <w:sz w:val="21"/>
                <w:szCs w:val="21"/>
              </w:rPr>
              <w:t xml:space="preserve"> HHs</w:t>
            </w:r>
          </w:p>
          <w:p w:rsidR="00494546" w:rsidRPr="00D778EF" w:rsidRDefault="00494546" w:rsidP="00494546">
            <w:pPr>
              <w:rPr>
                <w:rFonts w:cs="Arial"/>
                <w:sz w:val="21"/>
                <w:szCs w:val="21"/>
              </w:rPr>
            </w:pPr>
          </w:p>
        </w:tc>
      </w:tr>
      <w:tr w:rsidR="00494546" w:rsidRPr="00B21C54" w:rsidTr="00C00E40">
        <w:trPr>
          <w:trHeight w:val="1105"/>
        </w:trPr>
        <w:tc>
          <w:tcPr>
            <w:tcW w:w="3318" w:type="dxa"/>
            <w:tcMar>
              <w:top w:w="57" w:type="dxa"/>
              <w:left w:w="57" w:type="dxa"/>
              <w:bottom w:w="57" w:type="dxa"/>
              <w:right w:w="57" w:type="dxa"/>
            </w:tcMar>
          </w:tcPr>
          <w:p w:rsidR="00494546" w:rsidRPr="00D778EF" w:rsidRDefault="00494546" w:rsidP="00494546">
            <w:pPr>
              <w:rPr>
                <w:rFonts w:cs="Arial"/>
                <w:sz w:val="21"/>
                <w:szCs w:val="21"/>
              </w:rPr>
            </w:pPr>
            <w:r w:rsidRPr="00D778EF">
              <w:rPr>
                <w:rFonts w:cs="Arial"/>
                <w:sz w:val="21"/>
                <w:szCs w:val="21"/>
              </w:rPr>
              <w:t xml:space="preserve">1.2 Number of persons accessing an improved water source and new/improved sanitation facilities </w:t>
            </w:r>
            <w:r w:rsidRPr="00D778EF">
              <w:rPr>
                <w:rFonts w:cs="Arial"/>
                <w:b/>
                <w:i/>
                <w:color w:val="FF0000"/>
                <w:sz w:val="21"/>
                <w:szCs w:val="21"/>
              </w:rPr>
              <w:t xml:space="preserve"> </w:t>
            </w:r>
            <w:r w:rsidRPr="00E229B9">
              <w:rPr>
                <w:rFonts w:cs="Arial"/>
                <w:bCs/>
                <w:color w:val="FF0000"/>
                <w:sz w:val="21"/>
                <w:szCs w:val="21"/>
              </w:rPr>
              <w:t>[A+</w:t>
            </w:r>
            <w:r w:rsidR="00CE0312">
              <w:rPr>
                <w:rFonts w:cs="Arial"/>
                <w:bCs/>
                <w:color w:val="FF0000"/>
                <w:sz w:val="21"/>
                <w:szCs w:val="21"/>
              </w:rPr>
              <w:t>+</w:t>
            </w:r>
            <w:r w:rsidRPr="00E229B9">
              <w:rPr>
                <w:rFonts w:cs="Arial"/>
                <w:bCs/>
                <w:color w:val="FF0000"/>
                <w:sz w:val="21"/>
                <w:szCs w:val="21"/>
              </w:rPr>
              <w:t>]</w:t>
            </w:r>
          </w:p>
        </w:tc>
        <w:tc>
          <w:tcPr>
            <w:tcW w:w="3543" w:type="dxa"/>
            <w:tcMar>
              <w:top w:w="57" w:type="dxa"/>
              <w:left w:w="57" w:type="dxa"/>
              <w:bottom w:w="57" w:type="dxa"/>
              <w:right w:w="57" w:type="dxa"/>
            </w:tcMar>
          </w:tcPr>
          <w:p w:rsidR="00C00E40" w:rsidRDefault="00C00E40" w:rsidP="00494546">
            <w:pPr>
              <w:spacing w:after="80"/>
              <w:rPr>
                <w:rFonts w:cs="Arial"/>
                <w:sz w:val="21"/>
                <w:szCs w:val="21"/>
              </w:rPr>
            </w:pPr>
            <w:r w:rsidRPr="00D778EF">
              <w:rPr>
                <w:rFonts w:cs="Arial"/>
                <w:sz w:val="21"/>
                <w:szCs w:val="21"/>
              </w:rPr>
              <w:t xml:space="preserve">Cum:114,484 </w:t>
            </w:r>
            <w:r w:rsidR="00507983" w:rsidRPr="00D778EF">
              <w:rPr>
                <w:rFonts w:cs="Arial"/>
                <w:sz w:val="21"/>
                <w:szCs w:val="21"/>
              </w:rPr>
              <w:t>HH</w:t>
            </w:r>
            <w:r w:rsidR="00507983">
              <w:rPr>
                <w:rFonts w:cs="Arial"/>
                <w:sz w:val="21"/>
                <w:szCs w:val="21"/>
              </w:rPr>
              <w:t>s</w:t>
            </w:r>
            <w:r w:rsidRPr="00D778EF">
              <w:rPr>
                <w:rFonts w:cs="Arial"/>
                <w:sz w:val="21"/>
                <w:szCs w:val="21"/>
              </w:rPr>
              <w:t xml:space="preserve"> with sanitation and 79,376 </w:t>
            </w:r>
            <w:r w:rsidR="00507983" w:rsidRPr="00D778EF">
              <w:rPr>
                <w:rFonts w:cs="Arial"/>
                <w:sz w:val="21"/>
                <w:szCs w:val="21"/>
              </w:rPr>
              <w:t>HH</w:t>
            </w:r>
            <w:r w:rsidR="00507983">
              <w:rPr>
                <w:rFonts w:cs="Arial"/>
                <w:sz w:val="21"/>
                <w:szCs w:val="21"/>
              </w:rPr>
              <w:t>s</w:t>
            </w:r>
            <w:r w:rsidRPr="00D778EF">
              <w:rPr>
                <w:rFonts w:cs="Arial"/>
                <w:sz w:val="21"/>
                <w:szCs w:val="21"/>
              </w:rPr>
              <w:t xml:space="preserve"> with water </w:t>
            </w:r>
          </w:p>
          <w:p w:rsidR="00494546" w:rsidRPr="00D778EF" w:rsidRDefault="00494546" w:rsidP="00C00E40">
            <w:pPr>
              <w:spacing w:after="80"/>
              <w:rPr>
                <w:rFonts w:cs="Arial"/>
                <w:sz w:val="21"/>
                <w:szCs w:val="21"/>
              </w:rPr>
            </w:pPr>
            <w:r w:rsidRPr="00D778EF">
              <w:rPr>
                <w:rFonts w:cs="Arial"/>
                <w:sz w:val="21"/>
                <w:szCs w:val="21"/>
              </w:rPr>
              <w:t xml:space="preserve">Annual: 30,000 HHs with sanitation and 30,000 </w:t>
            </w:r>
            <w:r w:rsidR="00507983" w:rsidRPr="00D778EF">
              <w:rPr>
                <w:rFonts w:cs="Arial"/>
                <w:sz w:val="21"/>
                <w:szCs w:val="21"/>
              </w:rPr>
              <w:t>HH</w:t>
            </w:r>
            <w:r w:rsidR="00507983">
              <w:rPr>
                <w:rFonts w:cs="Arial"/>
                <w:sz w:val="21"/>
                <w:szCs w:val="21"/>
              </w:rPr>
              <w:t>s</w:t>
            </w:r>
            <w:r w:rsidRPr="00D778EF">
              <w:rPr>
                <w:rFonts w:cs="Arial"/>
                <w:sz w:val="21"/>
                <w:szCs w:val="21"/>
              </w:rPr>
              <w:t xml:space="preserve"> with water</w:t>
            </w:r>
          </w:p>
        </w:tc>
        <w:tc>
          <w:tcPr>
            <w:tcW w:w="3544" w:type="dxa"/>
            <w:tcMar>
              <w:top w:w="57" w:type="dxa"/>
              <w:left w:w="57" w:type="dxa"/>
              <w:bottom w:w="57" w:type="dxa"/>
              <w:right w:w="57" w:type="dxa"/>
            </w:tcMar>
          </w:tcPr>
          <w:p w:rsidR="00C00E40" w:rsidRDefault="00494546" w:rsidP="00C00E40">
            <w:pPr>
              <w:spacing w:after="80"/>
              <w:rPr>
                <w:rFonts w:cs="Arial"/>
                <w:sz w:val="21"/>
                <w:szCs w:val="21"/>
              </w:rPr>
            </w:pPr>
            <w:r w:rsidRPr="00D778EF">
              <w:rPr>
                <w:rFonts w:cs="Arial"/>
                <w:sz w:val="21"/>
                <w:szCs w:val="21"/>
              </w:rPr>
              <w:t>Cum: 12</w:t>
            </w:r>
            <w:r w:rsidR="00C00E40">
              <w:rPr>
                <w:rFonts w:cs="Arial"/>
                <w:sz w:val="21"/>
                <w:szCs w:val="21"/>
              </w:rPr>
              <w:t>5</w:t>
            </w:r>
            <w:r w:rsidRPr="00D778EF">
              <w:rPr>
                <w:rFonts w:cs="Arial"/>
                <w:sz w:val="21"/>
                <w:szCs w:val="21"/>
              </w:rPr>
              <w:t>,</w:t>
            </w:r>
            <w:r w:rsidR="00C00E40">
              <w:rPr>
                <w:rFonts w:cs="Arial"/>
                <w:sz w:val="21"/>
                <w:szCs w:val="21"/>
              </w:rPr>
              <w:t xml:space="preserve">497 </w:t>
            </w:r>
            <w:r w:rsidR="00507983">
              <w:rPr>
                <w:rFonts w:cs="Arial"/>
                <w:sz w:val="21"/>
                <w:szCs w:val="21"/>
              </w:rPr>
              <w:t>HHs</w:t>
            </w:r>
            <w:r w:rsidR="00C00E40">
              <w:rPr>
                <w:rFonts w:cs="Arial"/>
                <w:sz w:val="21"/>
                <w:szCs w:val="21"/>
              </w:rPr>
              <w:t xml:space="preserve"> with sanitation and 93,718</w:t>
            </w:r>
            <w:r w:rsidRPr="00D778EF">
              <w:rPr>
                <w:rFonts w:cs="Arial"/>
                <w:sz w:val="21"/>
                <w:szCs w:val="21"/>
              </w:rPr>
              <w:t xml:space="preserve"> </w:t>
            </w:r>
            <w:r w:rsidR="00507983" w:rsidRPr="00D778EF">
              <w:rPr>
                <w:rFonts w:cs="Arial"/>
                <w:sz w:val="21"/>
                <w:szCs w:val="21"/>
              </w:rPr>
              <w:t>HH</w:t>
            </w:r>
            <w:r w:rsidR="00507983">
              <w:rPr>
                <w:rFonts w:cs="Arial"/>
                <w:sz w:val="21"/>
                <w:szCs w:val="21"/>
              </w:rPr>
              <w:t>s</w:t>
            </w:r>
            <w:r w:rsidRPr="00D778EF">
              <w:rPr>
                <w:rFonts w:cs="Arial"/>
                <w:sz w:val="21"/>
                <w:szCs w:val="21"/>
              </w:rPr>
              <w:t xml:space="preserve"> with water</w:t>
            </w:r>
            <w:r w:rsidR="00C00E40" w:rsidRPr="00D778EF">
              <w:rPr>
                <w:rFonts w:cs="Arial"/>
                <w:sz w:val="21"/>
                <w:szCs w:val="21"/>
              </w:rPr>
              <w:t xml:space="preserve"> </w:t>
            </w:r>
          </w:p>
          <w:p w:rsidR="00494546" w:rsidRPr="00D778EF" w:rsidRDefault="00C00E40" w:rsidP="00C00E40">
            <w:pPr>
              <w:spacing w:after="80"/>
              <w:rPr>
                <w:rFonts w:cs="Arial"/>
                <w:sz w:val="21"/>
                <w:szCs w:val="21"/>
              </w:rPr>
            </w:pPr>
            <w:r w:rsidRPr="00D778EF">
              <w:rPr>
                <w:rFonts w:cs="Arial"/>
                <w:sz w:val="21"/>
                <w:szCs w:val="21"/>
              </w:rPr>
              <w:t xml:space="preserve">Annual: </w:t>
            </w:r>
            <w:r>
              <w:rPr>
                <w:rFonts w:cs="Arial"/>
                <w:sz w:val="21"/>
                <w:szCs w:val="21"/>
              </w:rPr>
              <w:t xml:space="preserve">42,811 </w:t>
            </w:r>
            <w:r w:rsidR="00507983">
              <w:rPr>
                <w:rFonts w:cs="Arial"/>
                <w:sz w:val="21"/>
                <w:szCs w:val="21"/>
              </w:rPr>
              <w:t>HHs</w:t>
            </w:r>
            <w:r>
              <w:rPr>
                <w:rFonts w:cs="Arial"/>
                <w:sz w:val="21"/>
                <w:szCs w:val="21"/>
              </w:rPr>
              <w:t xml:space="preserve"> with sanitation and 44,342</w:t>
            </w:r>
            <w:r w:rsidRPr="00D778EF">
              <w:rPr>
                <w:rFonts w:cs="Arial"/>
                <w:sz w:val="21"/>
                <w:szCs w:val="21"/>
              </w:rPr>
              <w:t xml:space="preserve"> with water</w:t>
            </w:r>
          </w:p>
        </w:tc>
      </w:tr>
      <w:tr w:rsidR="00494546" w:rsidRPr="00B21C54" w:rsidTr="00B353DC">
        <w:trPr>
          <w:trHeight w:val="1555"/>
        </w:trPr>
        <w:tc>
          <w:tcPr>
            <w:tcW w:w="3318" w:type="dxa"/>
            <w:tcMar>
              <w:top w:w="57" w:type="dxa"/>
              <w:left w:w="57" w:type="dxa"/>
              <w:bottom w:w="57" w:type="dxa"/>
              <w:right w:w="57" w:type="dxa"/>
            </w:tcMar>
          </w:tcPr>
          <w:p w:rsidR="00494546" w:rsidRPr="00D778EF" w:rsidRDefault="00494546" w:rsidP="00494546">
            <w:pPr>
              <w:rPr>
                <w:rFonts w:cs="Arial"/>
                <w:i/>
                <w:sz w:val="21"/>
                <w:szCs w:val="21"/>
              </w:rPr>
            </w:pPr>
            <w:r w:rsidRPr="00D778EF">
              <w:rPr>
                <w:rFonts w:cs="Arial"/>
                <w:sz w:val="21"/>
                <w:szCs w:val="21"/>
              </w:rPr>
              <w:t xml:space="preserve">1.3 Number of Infrastructure Employment Project (IEP) person days during the lean season (Sept – December) – 15% for women and girls minimum </w:t>
            </w:r>
            <w:r w:rsidRPr="00D778EF">
              <w:rPr>
                <w:rFonts w:cs="Arial"/>
                <w:b/>
                <w:i/>
                <w:color w:val="FF0000"/>
                <w:sz w:val="21"/>
                <w:szCs w:val="21"/>
              </w:rPr>
              <w:t xml:space="preserve"> </w:t>
            </w:r>
            <w:r w:rsidRPr="00644A5D">
              <w:rPr>
                <w:rFonts w:cs="Arial"/>
                <w:bCs/>
                <w:color w:val="FF0000"/>
                <w:sz w:val="21"/>
                <w:szCs w:val="21"/>
              </w:rPr>
              <w:t>[</w:t>
            </w:r>
            <w:r w:rsidR="00730155" w:rsidRPr="00644A5D">
              <w:rPr>
                <w:rFonts w:cs="Arial"/>
                <w:bCs/>
                <w:color w:val="FF0000"/>
                <w:sz w:val="21"/>
                <w:szCs w:val="21"/>
              </w:rPr>
              <w:t>A</w:t>
            </w:r>
            <w:r w:rsidRPr="00644A5D">
              <w:rPr>
                <w:rFonts w:cs="Arial"/>
                <w:bCs/>
                <w:color w:val="FF0000"/>
                <w:sz w:val="21"/>
                <w:szCs w:val="21"/>
              </w:rPr>
              <w:t>]</w:t>
            </w:r>
          </w:p>
        </w:tc>
        <w:tc>
          <w:tcPr>
            <w:tcW w:w="3543" w:type="dxa"/>
            <w:tcMar>
              <w:top w:w="57" w:type="dxa"/>
              <w:left w:w="57" w:type="dxa"/>
              <w:bottom w:w="57" w:type="dxa"/>
              <w:right w:w="57" w:type="dxa"/>
            </w:tcMar>
          </w:tcPr>
          <w:p w:rsidR="00C00E40" w:rsidRDefault="00494546" w:rsidP="00C00E40">
            <w:pPr>
              <w:spacing w:after="80"/>
              <w:rPr>
                <w:rFonts w:cs="Arial"/>
                <w:sz w:val="21"/>
                <w:szCs w:val="21"/>
              </w:rPr>
            </w:pPr>
            <w:r w:rsidRPr="00D778EF">
              <w:rPr>
                <w:rFonts w:cs="Arial"/>
                <w:sz w:val="21"/>
                <w:szCs w:val="21"/>
              </w:rPr>
              <w:t>Cum: 1,688,548 person days worked and 54,978 persons employed</w:t>
            </w:r>
            <w:r w:rsidR="00C00E40" w:rsidRPr="00D778EF">
              <w:rPr>
                <w:rFonts w:cs="Arial"/>
                <w:sz w:val="21"/>
                <w:szCs w:val="21"/>
              </w:rPr>
              <w:t xml:space="preserve"> </w:t>
            </w:r>
          </w:p>
          <w:p w:rsidR="00494546" w:rsidRPr="00D778EF" w:rsidRDefault="00C00E40" w:rsidP="00C00E40">
            <w:pPr>
              <w:spacing w:after="80"/>
              <w:rPr>
                <w:rFonts w:cs="Arial"/>
                <w:sz w:val="21"/>
                <w:szCs w:val="21"/>
              </w:rPr>
            </w:pPr>
            <w:r w:rsidRPr="00D778EF">
              <w:rPr>
                <w:rFonts w:cs="Arial"/>
                <w:sz w:val="21"/>
                <w:szCs w:val="21"/>
              </w:rPr>
              <w:t>Annual: 249,000 person days worked and 6,800 persons employed</w:t>
            </w:r>
          </w:p>
        </w:tc>
        <w:tc>
          <w:tcPr>
            <w:tcW w:w="3544" w:type="dxa"/>
            <w:tcMar>
              <w:top w:w="57" w:type="dxa"/>
              <w:left w:w="57" w:type="dxa"/>
              <w:bottom w:w="57" w:type="dxa"/>
              <w:right w:w="57" w:type="dxa"/>
            </w:tcMar>
          </w:tcPr>
          <w:p w:rsidR="00C00E40" w:rsidRDefault="00C00E40" w:rsidP="00494546">
            <w:pPr>
              <w:spacing w:after="80"/>
              <w:rPr>
                <w:rFonts w:cs="Arial"/>
                <w:bCs/>
                <w:sz w:val="21"/>
                <w:szCs w:val="21"/>
              </w:rPr>
            </w:pPr>
            <w:r w:rsidRPr="00D778EF">
              <w:rPr>
                <w:rFonts w:cs="Arial"/>
                <w:bCs/>
                <w:sz w:val="21"/>
                <w:szCs w:val="21"/>
              </w:rPr>
              <w:t>Cum: 1,766,377 person days and 57,914 employed (13.66% women and girls)</w:t>
            </w:r>
          </w:p>
          <w:p w:rsidR="00494546" w:rsidRPr="00C00E40" w:rsidRDefault="00494546" w:rsidP="00B353DC">
            <w:pPr>
              <w:spacing w:after="80"/>
              <w:rPr>
                <w:rFonts w:cs="Arial"/>
                <w:bCs/>
                <w:sz w:val="21"/>
                <w:szCs w:val="21"/>
              </w:rPr>
            </w:pPr>
            <w:r w:rsidRPr="00D778EF">
              <w:rPr>
                <w:rFonts w:cs="Arial"/>
                <w:bCs/>
                <w:sz w:val="21"/>
                <w:szCs w:val="21"/>
              </w:rPr>
              <w:t xml:space="preserve">Annual: 326,829 person days and 9,735 </w:t>
            </w:r>
            <w:r w:rsidRPr="00D778EF">
              <w:rPr>
                <w:rFonts w:cs="Arial"/>
                <w:sz w:val="21"/>
                <w:szCs w:val="21"/>
              </w:rPr>
              <w:t>employed</w:t>
            </w:r>
            <w:r w:rsidRPr="00D778EF">
              <w:rPr>
                <w:rFonts w:cs="Arial"/>
                <w:bCs/>
                <w:sz w:val="21"/>
                <w:szCs w:val="21"/>
              </w:rPr>
              <w:t xml:space="preserve"> (2.24% women and girls)</w:t>
            </w:r>
          </w:p>
        </w:tc>
      </w:tr>
    </w:tbl>
    <w:p w:rsidR="00494546" w:rsidRPr="00265145" w:rsidRDefault="00494546" w:rsidP="00494546">
      <w:pPr>
        <w:rPr>
          <w:rFonts w:cs="Arial"/>
          <w:sz w:val="12"/>
        </w:rPr>
      </w:pPr>
    </w:p>
    <w:p w:rsidR="00494546" w:rsidRPr="00D778EF" w:rsidRDefault="00494546" w:rsidP="00265145">
      <w:pPr>
        <w:pStyle w:val="Heading2"/>
        <w:keepNext w:val="0"/>
        <w:spacing w:after="120"/>
        <w:rPr>
          <w:i w:val="0"/>
          <w:sz w:val="22"/>
          <w:szCs w:val="22"/>
        </w:rPr>
      </w:pPr>
      <w:r w:rsidRPr="00D778EF">
        <w:rPr>
          <w:i w:val="0"/>
          <w:sz w:val="22"/>
          <w:szCs w:val="22"/>
        </w:rPr>
        <w:t>Key Points:</w:t>
      </w:r>
    </w:p>
    <w:p w:rsidR="00494546" w:rsidRPr="002609F8" w:rsidRDefault="00494546" w:rsidP="005323D4">
      <w:pPr>
        <w:pStyle w:val="ListBullet"/>
        <w:tabs>
          <w:tab w:val="clear" w:pos="360"/>
        </w:tabs>
        <w:ind w:left="284" w:hanging="284"/>
        <w:jc w:val="left"/>
        <w:rPr>
          <w:rFonts w:cs="Arial"/>
          <w:szCs w:val="22"/>
        </w:rPr>
      </w:pPr>
      <w:r>
        <w:t>There has been some delay due to the late monsoon floods (September 2014) which has slowed progress at the end of the year</w:t>
      </w:r>
      <w:r w:rsidR="005323D4">
        <w:t xml:space="preserve"> while the national blockade and hartals have </w:t>
      </w:r>
      <w:r>
        <w:t xml:space="preserve">also </w:t>
      </w:r>
      <w:r w:rsidR="005323D4">
        <w:t>affected implementation</w:t>
      </w:r>
      <w:r>
        <w:t xml:space="preserve">. </w:t>
      </w:r>
      <w:r w:rsidR="005323D4">
        <w:t xml:space="preserve">Flooding in </w:t>
      </w:r>
      <w:r>
        <w:t xml:space="preserve">September 2014 </w:t>
      </w:r>
      <w:r w:rsidR="005323D4">
        <w:t xml:space="preserve">suggested </w:t>
      </w:r>
      <w:r>
        <w:t>that 2% of plinths were below the water level.</w:t>
      </w:r>
    </w:p>
    <w:p w:rsidR="003A3BB9" w:rsidRDefault="00902E01" w:rsidP="003A3BB9">
      <w:pPr>
        <w:pStyle w:val="ListBullet"/>
        <w:tabs>
          <w:tab w:val="clear" w:pos="360"/>
        </w:tabs>
        <w:ind w:left="284" w:hanging="284"/>
        <w:jc w:val="left"/>
        <w:rPr>
          <w:szCs w:val="22"/>
        </w:rPr>
      </w:pPr>
      <w:r>
        <w:lastRenderedPageBreak/>
        <w:t>CLP</w:t>
      </w:r>
      <w:r w:rsidR="00494546">
        <w:t xml:space="preserve"> WASH report in 2013 and review of graduation criteria led to</w:t>
      </w:r>
      <w:r w:rsidR="005323D4">
        <w:t xml:space="preserve"> a </w:t>
      </w:r>
      <w:r w:rsidR="00494546">
        <w:t>change in policy</w:t>
      </w:r>
      <w:r w:rsidR="005323D4">
        <w:t xml:space="preserve">, with </w:t>
      </w:r>
      <w:r w:rsidR="00494546">
        <w:t xml:space="preserve">all core households </w:t>
      </w:r>
      <w:r w:rsidR="005323D4">
        <w:t xml:space="preserve">now </w:t>
      </w:r>
      <w:r w:rsidR="00494546">
        <w:t>having</w:t>
      </w:r>
      <w:r w:rsidR="00CC5D56">
        <w:t xml:space="preserve"> direct/proprietary </w:t>
      </w:r>
      <w:r w:rsidR="00494546">
        <w:t xml:space="preserve">access to a water pump. </w:t>
      </w:r>
      <w:r w:rsidR="00CC5D56">
        <w:t xml:space="preserve">In response the proportion of CPHHs meeting the corresponding graduation criterion now appear to </w:t>
      </w:r>
      <w:r w:rsidR="00392219">
        <w:t xml:space="preserve">be </w:t>
      </w:r>
      <w:r w:rsidR="00CC5D56">
        <w:t xml:space="preserve">increasing. It is not clear </w:t>
      </w:r>
      <w:r w:rsidR="00DF1189">
        <w:t xml:space="preserve">if or </w:t>
      </w:r>
      <w:r w:rsidR="00CC5D56">
        <w:t>how this change has affected dynamics within communities</w:t>
      </w:r>
      <w:r w:rsidR="00DF1189">
        <w:t xml:space="preserve"> – the CLP team did not believe it had led to any tensions but this could not be verified.  </w:t>
      </w:r>
    </w:p>
    <w:p w:rsidR="00730155" w:rsidRPr="00735121" w:rsidRDefault="00855A3D" w:rsidP="003A3BB9">
      <w:pPr>
        <w:pStyle w:val="ListBullet"/>
        <w:tabs>
          <w:tab w:val="clear" w:pos="360"/>
        </w:tabs>
        <w:ind w:left="284" w:hanging="284"/>
        <w:jc w:val="left"/>
        <w:rPr>
          <w:szCs w:val="22"/>
        </w:rPr>
      </w:pPr>
      <w:r w:rsidRPr="00730155">
        <w:t xml:space="preserve">IEP: annual targets </w:t>
      </w:r>
      <w:r w:rsidR="004605C3" w:rsidRPr="00730155">
        <w:t xml:space="preserve">for numbers employed have been significantly </w:t>
      </w:r>
      <w:r w:rsidRPr="00730155">
        <w:t>over</w:t>
      </w:r>
      <w:r w:rsidR="004605C3" w:rsidRPr="00730155">
        <w:t>-</w:t>
      </w:r>
      <w:r w:rsidRPr="00730155">
        <w:t>achieved but women</w:t>
      </w:r>
      <w:r w:rsidR="004605C3" w:rsidRPr="00730155">
        <w:t xml:space="preserve"> and girl’s participation was only a fraction of the </w:t>
      </w:r>
      <w:r w:rsidR="00A3640C" w:rsidRPr="00730155">
        <w:t>target.</w:t>
      </w:r>
      <w:r w:rsidR="00A3640C" w:rsidRPr="003A3BB9">
        <w:rPr>
          <w:rFonts w:cs="Arial"/>
          <w:szCs w:val="22"/>
        </w:rPr>
        <w:t xml:space="preserve"> Key</w:t>
      </w:r>
      <w:r w:rsidR="00092793" w:rsidRPr="003A3BB9">
        <w:rPr>
          <w:rFonts w:cs="Arial"/>
          <w:szCs w:val="22"/>
        </w:rPr>
        <w:t xml:space="preserve"> rea</w:t>
      </w:r>
      <w:r w:rsidR="004605C3" w:rsidRPr="003A3BB9">
        <w:rPr>
          <w:rFonts w:cs="Arial"/>
          <w:szCs w:val="22"/>
        </w:rPr>
        <w:t>s</w:t>
      </w:r>
      <w:r w:rsidR="00092793" w:rsidRPr="003A3BB9">
        <w:rPr>
          <w:rFonts w:cs="Arial"/>
          <w:szCs w:val="22"/>
        </w:rPr>
        <w:t xml:space="preserve">ons </w:t>
      </w:r>
      <w:r w:rsidR="004605C3" w:rsidRPr="003A3BB9">
        <w:rPr>
          <w:rFonts w:cs="Arial"/>
          <w:szCs w:val="22"/>
        </w:rPr>
        <w:t xml:space="preserve">for the </w:t>
      </w:r>
      <w:r w:rsidR="00092793" w:rsidRPr="003A3BB9">
        <w:rPr>
          <w:rFonts w:cs="Arial"/>
          <w:szCs w:val="22"/>
        </w:rPr>
        <w:t xml:space="preserve">low </w:t>
      </w:r>
      <w:r w:rsidR="004605C3" w:rsidRPr="003A3BB9">
        <w:rPr>
          <w:rFonts w:cs="Arial"/>
          <w:szCs w:val="22"/>
        </w:rPr>
        <w:t xml:space="preserve">proportion of women participating </w:t>
      </w:r>
      <w:r w:rsidR="00092793" w:rsidRPr="003A3BB9">
        <w:rPr>
          <w:rFonts w:cs="Arial"/>
          <w:szCs w:val="22"/>
        </w:rPr>
        <w:t xml:space="preserve">include </w:t>
      </w:r>
      <w:r w:rsidR="004605C3" w:rsidRPr="003A3BB9">
        <w:rPr>
          <w:rFonts w:cs="Arial"/>
          <w:szCs w:val="22"/>
        </w:rPr>
        <w:t xml:space="preserve">a significant reduction in the </w:t>
      </w:r>
      <w:r w:rsidRPr="00730155">
        <w:t>t</w:t>
      </w:r>
      <w:r w:rsidR="00494546" w:rsidRPr="003A3BB9">
        <w:rPr>
          <w:rFonts w:cs="Arial"/>
          <w:szCs w:val="22"/>
        </w:rPr>
        <w:t xml:space="preserve">emporary migration of adult </w:t>
      </w:r>
      <w:r w:rsidR="00092793" w:rsidRPr="003A3BB9">
        <w:rPr>
          <w:rFonts w:cs="Arial"/>
          <w:szCs w:val="22"/>
        </w:rPr>
        <w:t xml:space="preserve">men </w:t>
      </w:r>
      <w:r w:rsidR="00494546" w:rsidRPr="003A3BB9">
        <w:rPr>
          <w:rFonts w:cs="Arial"/>
          <w:szCs w:val="22"/>
        </w:rPr>
        <w:t xml:space="preserve">during </w:t>
      </w:r>
      <w:r w:rsidR="004605C3" w:rsidRPr="003A3BB9">
        <w:rPr>
          <w:rFonts w:cs="Arial"/>
          <w:szCs w:val="22"/>
        </w:rPr>
        <w:t xml:space="preserve">the </w:t>
      </w:r>
      <w:r w:rsidR="00494546" w:rsidRPr="003A3BB9">
        <w:rPr>
          <w:rFonts w:cs="Arial"/>
          <w:szCs w:val="22"/>
        </w:rPr>
        <w:t xml:space="preserve">lean </w:t>
      </w:r>
      <w:r w:rsidR="005323D4" w:rsidRPr="003A3BB9">
        <w:rPr>
          <w:rFonts w:cs="Arial"/>
          <w:szCs w:val="22"/>
        </w:rPr>
        <w:t xml:space="preserve">season </w:t>
      </w:r>
      <w:r w:rsidR="00494546" w:rsidRPr="003A3BB9">
        <w:rPr>
          <w:rFonts w:cs="Arial"/>
          <w:szCs w:val="22"/>
        </w:rPr>
        <w:t xml:space="preserve">due to a combination of factors </w:t>
      </w:r>
      <w:r w:rsidR="00A3640C" w:rsidRPr="003A3BB9">
        <w:rPr>
          <w:rFonts w:cs="Arial"/>
          <w:szCs w:val="22"/>
        </w:rPr>
        <w:t xml:space="preserve">including </w:t>
      </w:r>
      <w:r w:rsidR="00973BA8">
        <w:rPr>
          <w:rFonts w:cs="Arial"/>
          <w:szCs w:val="22"/>
        </w:rPr>
        <w:t xml:space="preserve">continuous </w:t>
      </w:r>
      <w:r w:rsidR="00A3640C" w:rsidRPr="003A3BB9">
        <w:rPr>
          <w:rFonts w:cs="Arial"/>
          <w:szCs w:val="22"/>
        </w:rPr>
        <w:t>political</w:t>
      </w:r>
      <w:r w:rsidR="00092793" w:rsidRPr="003A3BB9">
        <w:rPr>
          <w:rFonts w:cs="Arial"/>
          <w:szCs w:val="22"/>
        </w:rPr>
        <w:t xml:space="preserve"> unrest</w:t>
      </w:r>
      <w:r w:rsidR="00151A1C">
        <w:rPr>
          <w:rFonts w:cs="Arial"/>
          <w:szCs w:val="22"/>
        </w:rPr>
        <w:t>,</w:t>
      </w:r>
      <w:r w:rsidR="00266CD6" w:rsidRPr="00266CD6">
        <w:rPr>
          <w:rFonts w:cs="Arial"/>
          <w:szCs w:val="22"/>
        </w:rPr>
        <w:t xml:space="preserve"> </w:t>
      </w:r>
      <w:r w:rsidR="00266CD6" w:rsidRPr="00973BA8">
        <w:rPr>
          <w:rFonts w:cs="Arial"/>
          <w:szCs w:val="22"/>
        </w:rPr>
        <w:t xml:space="preserve">IEP employment opportunities and also more conservative social norm in </w:t>
      </w:r>
      <w:r w:rsidR="00973BA8" w:rsidRPr="00973BA8">
        <w:rPr>
          <w:rFonts w:cs="Arial"/>
          <w:szCs w:val="22"/>
        </w:rPr>
        <w:t xml:space="preserve">the </w:t>
      </w:r>
      <w:r w:rsidR="00266CD6" w:rsidRPr="00973BA8">
        <w:rPr>
          <w:rFonts w:cs="Arial"/>
          <w:szCs w:val="22"/>
        </w:rPr>
        <w:t>target areas affecting women’s ability to participate</w:t>
      </w:r>
      <w:r w:rsidR="00973BA8" w:rsidRPr="00973BA8">
        <w:rPr>
          <w:rFonts w:cs="Arial"/>
          <w:szCs w:val="22"/>
        </w:rPr>
        <w:t xml:space="preserve">. </w:t>
      </w:r>
      <w:r w:rsidR="00973BA8" w:rsidRPr="004E3E9B">
        <w:rPr>
          <w:rFonts w:cs="Arial"/>
          <w:szCs w:val="22"/>
        </w:rPr>
        <w:t>T</w:t>
      </w:r>
      <w:r w:rsidR="00973BA8" w:rsidRPr="004E3E9B">
        <w:rPr>
          <w:rFonts w:cs="Arial"/>
          <w:sz w:val="20"/>
        </w:rPr>
        <w:t xml:space="preserve">he IEP Cash for work is self-selection basis and payment is based on </w:t>
      </w:r>
      <w:r w:rsidR="00973BA8" w:rsidRPr="004E3E9B">
        <w:rPr>
          <w:rFonts w:cs="Arial"/>
          <w:bCs/>
          <w:sz w:val="20"/>
        </w:rPr>
        <w:t>piece-rate system</w:t>
      </w:r>
      <w:r w:rsidR="00973BA8" w:rsidRPr="004E3E9B">
        <w:rPr>
          <w:rFonts w:cs="Arial"/>
          <w:szCs w:val="22"/>
        </w:rPr>
        <w:t xml:space="preserve"> –so </w:t>
      </w:r>
      <w:r w:rsidR="005942AD" w:rsidRPr="004E3E9B">
        <w:rPr>
          <w:rFonts w:cs="Arial"/>
          <w:szCs w:val="22"/>
        </w:rPr>
        <w:t xml:space="preserve">more men were </w:t>
      </w:r>
      <w:r w:rsidR="00973BA8" w:rsidRPr="004E3E9B">
        <w:rPr>
          <w:rFonts w:cs="Arial"/>
          <w:szCs w:val="22"/>
        </w:rPr>
        <w:t>employed</w:t>
      </w:r>
      <w:r w:rsidR="005942AD" w:rsidRPr="004E3E9B">
        <w:rPr>
          <w:rFonts w:cs="Arial"/>
          <w:szCs w:val="22"/>
        </w:rPr>
        <w:t xml:space="preserve"> than women</w:t>
      </w:r>
      <w:r w:rsidR="00973BA8" w:rsidRPr="004E3E9B">
        <w:rPr>
          <w:rFonts w:cs="Arial"/>
          <w:szCs w:val="22"/>
        </w:rPr>
        <w:t xml:space="preserve">. CLP should review the trend and take positive actions towards increasing women’s participation in the IEP cash for work in the final year of the project. </w:t>
      </w:r>
      <w:r w:rsidR="005942AD" w:rsidRPr="004E3E9B">
        <w:rPr>
          <w:rFonts w:cs="Arial"/>
          <w:szCs w:val="22"/>
        </w:rPr>
        <w:t xml:space="preserve"> </w:t>
      </w:r>
    </w:p>
    <w:p w:rsidR="00735121" w:rsidRPr="0032795B" w:rsidRDefault="00735121" w:rsidP="0032795B">
      <w:pPr>
        <w:pStyle w:val="ListBullet"/>
        <w:numPr>
          <w:ilvl w:val="0"/>
          <w:numId w:val="0"/>
        </w:numPr>
        <w:ind w:left="284"/>
        <w:jc w:val="left"/>
        <w:rPr>
          <w:sz w:val="2"/>
          <w:szCs w:val="22"/>
        </w:rPr>
      </w:pPr>
    </w:p>
    <w:p w:rsidR="00494546" w:rsidRPr="00730155" w:rsidRDefault="00494546" w:rsidP="00C821A4">
      <w:pPr>
        <w:pStyle w:val="ListBullet"/>
        <w:numPr>
          <w:ilvl w:val="0"/>
          <w:numId w:val="0"/>
        </w:numPr>
        <w:spacing w:before="240" w:after="120"/>
        <w:jc w:val="left"/>
        <w:outlineLvl w:val="1"/>
        <w:rPr>
          <w:szCs w:val="22"/>
        </w:rPr>
      </w:pPr>
      <w:r w:rsidRPr="00730155">
        <w:rPr>
          <w:b/>
          <w:szCs w:val="22"/>
        </w:rPr>
        <w:t>Summary of Responses to Issues Raised in Previous Annual Reviews:</w:t>
      </w:r>
    </w:p>
    <w:p w:rsidR="00494546" w:rsidRDefault="00494546" w:rsidP="003434E8">
      <w:pPr>
        <w:pStyle w:val="ListBullet"/>
        <w:tabs>
          <w:tab w:val="clear" w:pos="360"/>
        </w:tabs>
        <w:ind w:left="284" w:hanging="284"/>
        <w:jc w:val="left"/>
      </w:pPr>
      <w:r>
        <w:t>IMO and CLP staff have had training on communication and monitoring of hygiene behaviour change.  This seems to have been translated into communications materials which are provided to the field.  Without talking to beneficiaries, it is not clear as to the extent to which this is making a difference and the messages are being taken up and acted on – however, evidence is that CLP have taken steps to improve their work in this area.</w:t>
      </w:r>
    </w:p>
    <w:p w:rsidR="00494546" w:rsidRPr="00D778EF" w:rsidRDefault="00494546" w:rsidP="00C821A4">
      <w:pPr>
        <w:pStyle w:val="Heading2"/>
        <w:keepNext w:val="0"/>
        <w:spacing w:after="120"/>
        <w:rPr>
          <w:i w:val="0"/>
          <w:sz w:val="22"/>
          <w:szCs w:val="22"/>
        </w:rPr>
      </w:pPr>
      <w:r w:rsidRPr="00D778EF">
        <w:rPr>
          <w:i w:val="0"/>
          <w:sz w:val="22"/>
          <w:szCs w:val="22"/>
        </w:rPr>
        <w:t>Recommendations:</w:t>
      </w:r>
    </w:p>
    <w:p w:rsidR="00AC1B3A" w:rsidRDefault="00040FC0" w:rsidP="00AC1B3A">
      <w:pPr>
        <w:pStyle w:val="ListParagraph"/>
        <w:numPr>
          <w:ilvl w:val="0"/>
          <w:numId w:val="21"/>
        </w:numPr>
        <w:spacing w:after="60"/>
        <w:ind w:left="510" w:hanging="510"/>
        <w:contextualSpacing w:val="0"/>
        <w:rPr>
          <w:sz w:val="22"/>
          <w:szCs w:val="22"/>
        </w:rPr>
      </w:pPr>
      <w:r>
        <w:rPr>
          <w:sz w:val="22"/>
          <w:szCs w:val="22"/>
        </w:rPr>
        <w:t>DFID should endorse t</w:t>
      </w:r>
      <w:r w:rsidR="00DF1189" w:rsidRPr="00DE152B">
        <w:rPr>
          <w:sz w:val="22"/>
          <w:szCs w:val="22"/>
        </w:rPr>
        <w:t xml:space="preserve">he CLP proposal to raise community plinths </w:t>
      </w:r>
      <w:r w:rsidR="009F7B80">
        <w:rPr>
          <w:sz w:val="22"/>
          <w:szCs w:val="22"/>
        </w:rPr>
        <w:t xml:space="preserve">and establish school water points and latrines </w:t>
      </w:r>
      <w:r>
        <w:rPr>
          <w:sz w:val="22"/>
          <w:szCs w:val="22"/>
        </w:rPr>
        <w:t>, by April 2015</w:t>
      </w:r>
      <w:r w:rsidR="00B87F29">
        <w:rPr>
          <w:sz w:val="22"/>
          <w:szCs w:val="22"/>
        </w:rPr>
        <w:t xml:space="preserve"> from the savings generated, primarily from the market component.</w:t>
      </w:r>
      <w:r w:rsidR="00DF1189" w:rsidRPr="00DE152B">
        <w:rPr>
          <w:sz w:val="22"/>
          <w:szCs w:val="22"/>
        </w:rPr>
        <w:t xml:space="preserve"> </w:t>
      </w:r>
    </w:p>
    <w:p w:rsidR="004E3E9B" w:rsidRDefault="004605C3" w:rsidP="00AC1B3A">
      <w:pPr>
        <w:pStyle w:val="ListParagraph"/>
        <w:numPr>
          <w:ilvl w:val="0"/>
          <w:numId w:val="21"/>
        </w:numPr>
        <w:spacing w:after="60"/>
        <w:ind w:left="510" w:hanging="510"/>
        <w:contextualSpacing w:val="0"/>
        <w:rPr>
          <w:sz w:val="22"/>
          <w:szCs w:val="22"/>
        </w:rPr>
      </w:pPr>
      <w:r w:rsidRPr="00AC1B3A">
        <w:rPr>
          <w:sz w:val="22"/>
          <w:szCs w:val="22"/>
        </w:rPr>
        <w:t>Where feasible at this stage</w:t>
      </w:r>
      <w:r w:rsidR="00967E7A" w:rsidRPr="00AC1B3A">
        <w:rPr>
          <w:sz w:val="22"/>
          <w:szCs w:val="22"/>
        </w:rPr>
        <w:t xml:space="preserve"> </w:t>
      </w:r>
      <w:r w:rsidR="006D0320" w:rsidRPr="00AC1B3A">
        <w:rPr>
          <w:sz w:val="22"/>
          <w:szCs w:val="22"/>
        </w:rPr>
        <w:t>(e.g.</w:t>
      </w:r>
      <w:r w:rsidR="00967E7A" w:rsidRPr="00AC1B3A">
        <w:rPr>
          <w:sz w:val="22"/>
          <w:szCs w:val="22"/>
        </w:rPr>
        <w:t xml:space="preserve"> cohorts 2.6</w:t>
      </w:r>
      <w:r w:rsidR="006D0320" w:rsidRPr="00AC1B3A">
        <w:rPr>
          <w:sz w:val="22"/>
          <w:szCs w:val="22"/>
        </w:rPr>
        <w:t>),</w:t>
      </w:r>
      <w:r w:rsidR="00967E7A" w:rsidRPr="00AC1B3A">
        <w:rPr>
          <w:sz w:val="22"/>
          <w:szCs w:val="22"/>
        </w:rPr>
        <w:t xml:space="preserve"> CLP to</w:t>
      </w:r>
      <w:r w:rsidRPr="00AC1B3A">
        <w:rPr>
          <w:sz w:val="22"/>
          <w:szCs w:val="22"/>
        </w:rPr>
        <w:t xml:space="preserve"> p</w:t>
      </w:r>
      <w:r w:rsidR="00DE152B" w:rsidRPr="00AC1B3A">
        <w:rPr>
          <w:sz w:val="22"/>
          <w:szCs w:val="22"/>
        </w:rPr>
        <w:t xml:space="preserve">rioritise activities to enhance </w:t>
      </w:r>
      <w:r w:rsidR="00494546" w:rsidRPr="00AC1B3A">
        <w:rPr>
          <w:sz w:val="22"/>
          <w:szCs w:val="22"/>
        </w:rPr>
        <w:t>sustainability of WASH and plinth interventions</w:t>
      </w:r>
      <w:r w:rsidR="00DE152B" w:rsidRPr="00AC1B3A">
        <w:rPr>
          <w:sz w:val="22"/>
          <w:szCs w:val="22"/>
        </w:rPr>
        <w:t xml:space="preserve">, including </w:t>
      </w:r>
      <w:r w:rsidR="00DE152B" w:rsidRPr="00AC1B3A">
        <w:rPr>
          <w:rFonts w:cs="Arial"/>
          <w:bCs/>
          <w:sz w:val="22"/>
          <w:szCs w:val="22"/>
        </w:rPr>
        <w:t>maintenance</w:t>
      </w:r>
      <w:r w:rsidR="00DE152B" w:rsidRPr="00AC1B3A">
        <w:rPr>
          <w:sz w:val="22"/>
          <w:szCs w:val="22"/>
        </w:rPr>
        <w:t xml:space="preserve"> of water pumps</w:t>
      </w:r>
      <w:r w:rsidR="002139A7" w:rsidRPr="00AC1B3A">
        <w:rPr>
          <w:sz w:val="22"/>
          <w:szCs w:val="22"/>
        </w:rPr>
        <w:t>, agreed with DFID under a sustainability action plan by April 2015</w:t>
      </w:r>
      <w:r w:rsidR="00494546" w:rsidRPr="00AC1B3A">
        <w:rPr>
          <w:sz w:val="22"/>
          <w:szCs w:val="22"/>
        </w:rPr>
        <w:t>.</w:t>
      </w:r>
    </w:p>
    <w:p w:rsidR="00C32045" w:rsidRDefault="004E3E9B" w:rsidP="00AC1B3A">
      <w:pPr>
        <w:pStyle w:val="ListParagraph"/>
        <w:numPr>
          <w:ilvl w:val="0"/>
          <w:numId w:val="21"/>
        </w:numPr>
        <w:spacing w:after="60"/>
        <w:ind w:left="510" w:hanging="510"/>
        <w:contextualSpacing w:val="0"/>
        <w:rPr>
          <w:sz w:val="22"/>
          <w:szCs w:val="22"/>
        </w:rPr>
      </w:pPr>
      <w:r w:rsidRPr="004E3E9B">
        <w:rPr>
          <w:rFonts w:cs="Arial"/>
          <w:sz w:val="22"/>
          <w:szCs w:val="22"/>
        </w:rPr>
        <w:t xml:space="preserve">CLP </w:t>
      </w:r>
      <w:r>
        <w:rPr>
          <w:rFonts w:cs="Arial"/>
          <w:sz w:val="22"/>
          <w:szCs w:val="22"/>
        </w:rPr>
        <w:t>to</w:t>
      </w:r>
      <w:r w:rsidRPr="004E3E9B">
        <w:rPr>
          <w:rFonts w:cs="Arial"/>
          <w:sz w:val="22"/>
          <w:szCs w:val="22"/>
        </w:rPr>
        <w:t xml:space="preserve"> take </w:t>
      </w:r>
      <w:r>
        <w:rPr>
          <w:rFonts w:cs="Arial"/>
          <w:sz w:val="22"/>
          <w:szCs w:val="22"/>
        </w:rPr>
        <w:t xml:space="preserve">some </w:t>
      </w:r>
      <w:r w:rsidRPr="004E3E9B">
        <w:rPr>
          <w:rFonts w:cs="Arial"/>
          <w:sz w:val="22"/>
          <w:szCs w:val="22"/>
        </w:rPr>
        <w:t>positive actions towards increasing women’s participation in the IEP cash for work in the final year of the project</w:t>
      </w:r>
      <w:r>
        <w:rPr>
          <w:rFonts w:cs="Arial"/>
          <w:sz w:val="22"/>
          <w:szCs w:val="22"/>
        </w:rPr>
        <w:t xml:space="preserve"> </w:t>
      </w:r>
      <w:r w:rsidR="00EE0CF5">
        <w:rPr>
          <w:rFonts w:cs="Arial"/>
          <w:sz w:val="22"/>
          <w:szCs w:val="22"/>
        </w:rPr>
        <w:t>(2015</w:t>
      </w:r>
      <w:r>
        <w:rPr>
          <w:rFonts w:cs="Arial"/>
          <w:sz w:val="22"/>
          <w:szCs w:val="22"/>
        </w:rPr>
        <w:t>/16)</w:t>
      </w:r>
      <w:r w:rsidRPr="004E3E9B">
        <w:rPr>
          <w:rFonts w:cs="Arial"/>
          <w:sz w:val="22"/>
          <w:szCs w:val="22"/>
        </w:rPr>
        <w:t xml:space="preserve">.  </w:t>
      </w:r>
      <w:r w:rsidR="00494546" w:rsidRPr="004E3E9B">
        <w:rPr>
          <w:sz w:val="22"/>
          <w:szCs w:val="22"/>
        </w:rPr>
        <w:t xml:space="preserve"> </w:t>
      </w:r>
    </w:p>
    <w:p w:rsidR="00265145" w:rsidRPr="00265145" w:rsidRDefault="00265145" w:rsidP="00265145">
      <w:pPr>
        <w:spacing w:after="60"/>
        <w:rPr>
          <w:sz w:val="22"/>
          <w:szCs w:val="22"/>
        </w:rPr>
      </w:pPr>
    </w:p>
    <w:p w:rsidR="00230B2D" w:rsidRPr="00230B2D" w:rsidRDefault="00230B2D" w:rsidP="00230B2D">
      <w:pPr>
        <w:pStyle w:val="ListParagraph"/>
        <w:spacing w:after="60"/>
        <w:ind w:left="510"/>
        <w:contextualSpacing w:val="0"/>
        <w:rPr>
          <w:sz w:val="6"/>
          <w:szCs w:val="22"/>
        </w:rPr>
      </w:pPr>
    </w:p>
    <w:tbl>
      <w:tblPr>
        <w:tblStyle w:val="TableGrid"/>
        <w:tblW w:w="10411" w:type="dxa"/>
        <w:tblLayout w:type="fixed"/>
        <w:tblLook w:val="04A0" w:firstRow="1" w:lastRow="0" w:firstColumn="1" w:lastColumn="0" w:noHBand="0" w:noVBand="1"/>
      </w:tblPr>
      <w:tblGrid>
        <w:gridCol w:w="1679"/>
        <w:gridCol w:w="1514"/>
        <w:gridCol w:w="1977"/>
        <w:gridCol w:w="3055"/>
        <w:gridCol w:w="2186"/>
      </w:tblGrid>
      <w:tr w:rsidR="004619B9" w:rsidRPr="00F82D5D" w:rsidTr="004277CA">
        <w:trPr>
          <w:trHeight w:val="291"/>
        </w:trPr>
        <w:tc>
          <w:tcPr>
            <w:tcW w:w="1679" w:type="dxa"/>
            <w:shd w:val="clear" w:color="auto" w:fill="DBE5F1" w:themeFill="accent1" w:themeFillTint="33"/>
            <w:tcMar>
              <w:top w:w="57" w:type="dxa"/>
              <w:left w:w="57" w:type="dxa"/>
              <w:bottom w:w="57" w:type="dxa"/>
              <w:right w:w="57" w:type="dxa"/>
            </w:tcMar>
          </w:tcPr>
          <w:p w:rsidR="004619B9" w:rsidRPr="00F82D5D" w:rsidRDefault="004619B9" w:rsidP="00F50263">
            <w:pPr>
              <w:rPr>
                <w:b/>
                <w:bCs/>
                <w:sz w:val="22"/>
                <w:szCs w:val="22"/>
              </w:rPr>
            </w:pPr>
            <w:r w:rsidRPr="00F82D5D">
              <w:rPr>
                <w:b/>
                <w:bCs/>
                <w:sz w:val="22"/>
                <w:szCs w:val="22"/>
              </w:rPr>
              <w:t xml:space="preserve">Output Title </w:t>
            </w:r>
          </w:p>
        </w:tc>
        <w:tc>
          <w:tcPr>
            <w:tcW w:w="8732" w:type="dxa"/>
            <w:gridSpan w:val="4"/>
            <w:shd w:val="clear" w:color="auto" w:fill="FFFFFF" w:themeFill="background1"/>
            <w:tcMar>
              <w:top w:w="57" w:type="dxa"/>
              <w:left w:w="57" w:type="dxa"/>
              <w:bottom w:w="57" w:type="dxa"/>
              <w:right w:w="57" w:type="dxa"/>
            </w:tcMar>
          </w:tcPr>
          <w:p w:rsidR="004619B9" w:rsidRPr="00905C05" w:rsidRDefault="004619B9" w:rsidP="00F50263">
            <w:pPr>
              <w:rPr>
                <w:bCs/>
                <w:color w:val="FF0000"/>
                <w:sz w:val="22"/>
                <w:szCs w:val="22"/>
              </w:rPr>
            </w:pPr>
            <w:r w:rsidRPr="00905C05">
              <w:rPr>
                <w:rFonts w:cs="Arial"/>
                <w:b/>
                <w:sz w:val="22"/>
                <w:szCs w:val="22"/>
              </w:rPr>
              <w:t>Improved family assets (physical, productive, political and social)</w:t>
            </w:r>
          </w:p>
        </w:tc>
      </w:tr>
      <w:tr w:rsidR="004619B9" w:rsidRPr="00F82D5D" w:rsidTr="004277CA">
        <w:trPr>
          <w:trHeight w:val="154"/>
        </w:trPr>
        <w:tc>
          <w:tcPr>
            <w:tcW w:w="3193" w:type="dxa"/>
            <w:gridSpan w:val="2"/>
            <w:shd w:val="clear" w:color="auto" w:fill="DBE5F1" w:themeFill="accent1" w:themeFillTint="33"/>
            <w:tcMar>
              <w:top w:w="57" w:type="dxa"/>
              <w:left w:w="57" w:type="dxa"/>
              <w:bottom w:w="57" w:type="dxa"/>
              <w:right w:w="57" w:type="dxa"/>
            </w:tcMar>
          </w:tcPr>
          <w:p w:rsidR="004619B9" w:rsidRPr="00F82D5D" w:rsidRDefault="004619B9" w:rsidP="00F50263">
            <w:pPr>
              <w:rPr>
                <w:bCs/>
                <w:sz w:val="22"/>
                <w:szCs w:val="22"/>
              </w:rPr>
            </w:pPr>
            <w:r w:rsidRPr="00F82D5D">
              <w:rPr>
                <w:bCs/>
                <w:sz w:val="22"/>
                <w:szCs w:val="22"/>
              </w:rPr>
              <w:t>Output number per LF</w:t>
            </w:r>
          </w:p>
        </w:tc>
        <w:tc>
          <w:tcPr>
            <w:tcW w:w="1977" w:type="dxa"/>
            <w:tcMar>
              <w:top w:w="57" w:type="dxa"/>
              <w:left w:w="57" w:type="dxa"/>
              <w:bottom w:w="57" w:type="dxa"/>
              <w:right w:w="57" w:type="dxa"/>
            </w:tcMar>
          </w:tcPr>
          <w:p w:rsidR="004619B9" w:rsidRPr="0046232B" w:rsidRDefault="004619B9" w:rsidP="00F50263">
            <w:pPr>
              <w:rPr>
                <w:sz w:val="22"/>
                <w:szCs w:val="22"/>
              </w:rPr>
            </w:pPr>
            <w:r>
              <w:rPr>
                <w:sz w:val="22"/>
                <w:szCs w:val="22"/>
              </w:rPr>
              <w:t>2</w:t>
            </w:r>
          </w:p>
        </w:tc>
        <w:tc>
          <w:tcPr>
            <w:tcW w:w="3055" w:type="dxa"/>
            <w:shd w:val="clear" w:color="auto" w:fill="DBE5F1" w:themeFill="accent1" w:themeFillTint="33"/>
            <w:tcMar>
              <w:top w:w="57" w:type="dxa"/>
              <w:left w:w="57" w:type="dxa"/>
              <w:bottom w:w="57" w:type="dxa"/>
              <w:right w:w="57" w:type="dxa"/>
            </w:tcMar>
          </w:tcPr>
          <w:p w:rsidR="004619B9" w:rsidRPr="0046232B" w:rsidRDefault="004619B9" w:rsidP="00F50263">
            <w:pPr>
              <w:rPr>
                <w:b/>
                <w:sz w:val="22"/>
                <w:szCs w:val="22"/>
              </w:rPr>
            </w:pPr>
            <w:r w:rsidRPr="00F82D5D">
              <w:rPr>
                <w:b/>
                <w:bCs/>
                <w:sz w:val="22"/>
                <w:szCs w:val="22"/>
              </w:rPr>
              <w:t xml:space="preserve">Output Score </w:t>
            </w:r>
          </w:p>
        </w:tc>
        <w:tc>
          <w:tcPr>
            <w:tcW w:w="2186" w:type="dxa"/>
            <w:tcMar>
              <w:top w:w="57" w:type="dxa"/>
              <w:left w:w="57" w:type="dxa"/>
              <w:bottom w:w="57" w:type="dxa"/>
              <w:right w:w="57" w:type="dxa"/>
            </w:tcMar>
          </w:tcPr>
          <w:p w:rsidR="004619B9" w:rsidRPr="003434E8" w:rsidRDefault="004619B9" w:rsidP="00F50263">
            <w:pPr>
              <w:rPr>
                <w:b/>
                <w:bCs/>
                <w:color w:val="FF0000"/>
              </w:rPr>
            </w:pPr>
            <w:r w:rsidRPr="003434E8">
              <w:rPr>
                <w:b/>
                <w:bCs/>
                <w:color w:val="FF0000"/>
              </w:rPr>
              <w:t>A</w:t>
            </w:r>
          </w:p>
        </w:tc>
      </w:tr>
      <w:tr w:rsidR="004619B9" w:rsidRPr="00F82D5D" w:rsidTr="004277CA">
        <w:trPr>
          <w:trHeight w:val="202"/>
        </w:trPr>
        <w:tc>
          <w:tcPr>
            <w:tcW w:w="3193" w:type="dxa"/>
            <w:gridSpan w:val="2"/>
            <w:shd w:val="clear" w:color="auto" w:fill="DBE5F1" w:themeFill="accent1" w:themeFillTint="33"/>
            <w:tcMar>
              <w:top w:w="57" w:type="dxa"/>
              <w:left w:w="57" w:type="dxa"/>
              <w:bottom w:w="57" w:type="dxa"/>
              <w:right w:w="57" w:type="dxa"/>
            </w:tcMar>
          </w:tcPr>
          <w:p w:rsidR="004619B9" w:rsidRPr="0046232B" w:rsidRDefault="004619B9" w:rsidP="00F50263">
            <w:pPr>
              <w:rPr>
                <w:sz w:val="22"/>
                <w:szCs w:val="22"/>
              </w:rPr>
            </w:pPr>
            <w:r w:rsidRPr="00F82D5D">
              <w:rPr>
                <w:bCs/>
                <w:sz w:val="22"/>
                <w:szCs w:val="22"/>
              </w:rPr>
              <w:t xml:space="preserve">Risk:  </w:t>
            </w:r>
          </w:p>
        </w:tc>
        <w:tc>
          <w:tcPr>
            <w:tcW w:w="1977" w:type="dxa"/>
            <w:tcMar>
              <w:top w:w="57" w:type="dxa"/>
              <w:left w:w="57" w:type="dxa"/>
              <w:bottom w:w="57" w:type="dxa"/>
              <w:right w:w="57" w:type="dxa"/>
            </w:tcMar>
          </w:tcPr>
          <w:p w:rsidR="004619B9" w:rsidRPr="003434E8" w:rsidRDefault="00F0399D" w:rsidP="00F50263">
            <w:pPr>
              <w:rPr>
                <w:bCs/>
                <w:color w:val="FF0000"/>
                <w:sz w:val="22"/>
                <w:szCs w:val="22"/>
              </w:rPr>
            </w:pPr>
            <w:r>
              <w:rPr>
                <w:bCs/>
                <w:sz w:val="22"/>
                <w:szCs w:val="22"/>
              </w:rPr>
              <w:t>High</w:t>
            </w:r>
          </w:p>
        </w:tc>
        <w:tc>
          <w:tcPr>
            <w:tcW w:w="3055" w:type="dxa"/>
            <w:shd w:val="clear" w:color="auto" w:fill="DBE5F1" w:themeFill="accent1" w:themeFillTint="33"/>
            <w:tcMar>
              <w:top w:w="57" w:type="dxa"/>
              <w:left w:w="57" w:type="dxa"/>
              <w:bottom w:w="57" w:type="dxa"/>
              <w:right w:w="57" w:type="dxa"/>
            </w:tcMar>
          </w:tcPr>
          <w:p w:rsidR="004619B9" w:rsidRPr="00F82D5D" w:rsidRDefault="004619B9" w:rsidP="00F50263">
            <w:pPr>
              <w:rPr>
                <w:bCs/>
                <w:sz w:val="22"/>
                <w:szCs w:val="22"/>
              </w:rPr>
            </w:pPr>
            <w:r w:rsidRPr="00F82D5D">
              <w:rPr>
                <w:bCs/>
                <w:sz w:val="22"/>
                <w:szCs w:val="22"/>
              </w:rPr>
              <w:t>Impact weighting (%):</w:t>
            </w:r>
          </w:p>
        </w:tc>
        <w:tc>
          <w:tcPr>
            <w:tcW w:w="2186" w:type="dxa"/>
            <w:tcMar>
              <w:top w:w="57" w:type="dxa"/>
              <w:left w:w="57" w:type="dxa"/>
              <w:bottom w:w="57" w:type="dxa"/>
              <w:right w:w="57" w:type="dxa"/>
            </w:tcMar>
          </w:tcPr>
          <w:p w:rsidR="004619B9" w:rsidRPr="0046232B" w:rsidRDefault="004619B9" w:rsidP="00F50263">
            <w:pPr>
              <w:rPr>
                <w:sz w:val="22"/>
                <w:szCs w:val="22"/>
              </w:rPr>
            </w:pPr>
            <w:r>
              <w:rPr>
                <w:sz w:val="22"/>
                <w:szCs w:val="22"/>
              </w:rPr>
              <w:t>25%</w:t>
            </w:r>
          </w:p>
        </w:tc>
      </w:tr>
      <w:tr w:rsidR="004619B9" w:rsidRPr="00F82D5D" w:rsidTr="004277CA">
        <w:tc>
          <w:tcPr>
            <w:tcW w:w="3193" w:type="dxa"/>
            <w:gridSpan w:val="2"/>
            <w:shd w:val="clear" w:color="auto" w:fill="DBE5F1" w:themeFill="accent1" w:themeFillTint="33"/>
            <w:tcMar>
              <w:top w:w="57" w:type="dxa"/>
              <w:left w:w="57" w:type="dxa"/>
              <w:bottom w:w="57" w:type="dxa"/>
              <w:right w:w="57" w:type="dxa"/>
            </w:tcMar>
          </w:tcPr>
          <w:p w:rsidR="004619B9" w:rsidRPr="0046232B" w:rsidRDefault="004619B9" w:rsidP="00F50263">
            <w:pPr>
              <w:rPr>
                <w:sz w:val="22"/>
                <w:szCs w:val="22"/>
              </w:rPr>
            </w:pPr>
            <w:r w:rsidRPr="00F82D5D">
              <w:rPr>
                <w:bCs/>
                <w:sz w:val="22"/>
                <w:szCs w:val="22"/>
              </w:rPr>
              <w:t xml:space="preserve">Risk revised since last AR? </w:t>
            </w:r>
          </w:p>
        </w:tc>
        <w:tc>
          <w:tcPr>
            <w:tcW w:w="1977" w:type="dxa"/>
            <w:tcMar>
              <w:top w:w="57" w:type="dxa"/>
              <w:left w:w="57" w:type="dxa"/>
              <w:bottom w:w="57" w:type="dxa"/>
              <w:right w:w="57" w:type="dxa"/>
            </w:tcMar>
          </w:tcPr>
          <w:p w:rsidR="004619B9" w:rsidRPr="003434E8" w:rsidRDefault="00F0399D" w:rsidP="00F50263">
            <w:pPr>
              <w:rPr>
                <w:b/>
                <w:sz w:val="22"/>
                <w:szCs w:val="22"/>
              </w:rPr>
            </w:pPr>
            <w:r>
              <w:rPr>
                <w:bCs/>
                <w:sz w:val="22"/>
                <w:szCs w:val="22"/>
              </w:rPr>
              <w:t>Y ( increased from medium)</w:t>
            </w:r>
          </w:p>
          <w:p w:rsidR="004619B9" w:rsidRPr="0046232B" w:rsidRDefault="004619B9" w:rsidP="00F50263">
            <w:pPr>
              <w:rPr>
                <w:b/>
                <w:sz w:val="22"/>
                <w:szCs w:val="22"/>
              </w:rPr>
            </w:pPr>
          </w:p>
        </w:tc>
        <w:tc>
          <w:tcPr>
            <w:tcW w:w="3055" w:type="dxa"/>
            <w:shd w:val="clear" w:color="auto" w:fill="DBE5F1" w:themeFill="accent1" w:themeFillTint="33"/>
            <w:tcMar>
              <w:top w:w="57" w:type="dxa"/>
              <w:left w:w="57" w:type="dxa"/>
              <w:bottom w:w="57" w:type="dxa"/>
              <w:right w:w="57" w:type="dxa"/>
            </w:tcMar>
          </w:tcPr>
          <w:p w:rsidR="004619B9" w:rsidRPr="00F82D5D" w:rsidRDefault="004619B9" w:rsidP="00F50263">
            <w:pPr>
              <w:rPr>
                <w:bCs/>
                <w:sz w:val="22"/>
                <w:szCs w:val="22"/>
              </w:rPr>
            </w:pPr>
            <w:r w:rsidRPr="00F82D5D">
              <w:rPr>
                <w:bCs/>
                <w:sz w:val="22"/>
                <w:szCs w:val="22"/>
              </w:rPr>
              <w:t xml:space="preserve">Impact weighting % revised since last AR? </w:t>
            </w:r>
          </w:p>
        </w:tc>
        <w:tc>
          <w:tcPr>
            <w:tcW w:w="2186" w:type="dxa"/>
            <w:tcMar>
              <w:top w:w="57" w:type="dxa"/>
              <w:left w:w="57" w:type="dxa"/>
              <w:bottom w:w="57" w:type="dxa"/>
              <w:right w:w="57" w:type="dxa"/>
            </w:tcMar>
          </w:tcPr>
          <w:p w:rsidR="004619B9" w:rsidRPr="00B55BED" w:rsidRDefault="00B55BED" w:rsidP="00F50263">
            <w:pPr>
              <w:rPr>
                <w:bCs/>
                <w:sz w:val="22"/>
                <w:szCs w:val="22"/>
              </w:rPr>
            </w:pPr>
            <w:r w:rsidRPr="00B55BED">
              <w:rPr>
                <w:bCs/>
                <w:sz w:val="22"/>
                <w:szCs w:val="22"/>
              </w:rPr>
              <w:t>Y (from 30%)</w:t>
            </w:r>
          </w:p>
          <w:p w:rsidR="004619B9" w:rsidRPr="0046232B" w:rsidRDefault="004619B9" w:rsidP="00F50263">
            <w:pPr>
              <w:rPr>
                <w:sz w:val="22"/>
                <w:szCs w:val="22"/>
              </w:rPr>
            </w:pPr>
          </w:p>
        </w:tc>
      </w:tr>
    </w:tbl>
    <w:p w:rsidR="004619B9" w:rsidRPr="00265145" w:rsidRDefault="004619B9" w:rsidP="004619B9">
      <w:pPr>
        <w:rPr>
          <w:bCs/>
          <w:sz w:val="14"/>
          <w:szCs w:val="10"/>
        </w:rPr>
      </w:pPr>
    </w:p>
    <w:tbl>
      <w:tblPr>
        <w:tblStyle w:val="TableGrid"/>
        <w:tblpPr w:leftFromText="180" w:rightFromText="180" w:vertAnchor="text" w:horzAnchor="margin" w:tblpY="95"/>
        <w:tblOverlap w:val="never"/>
        <w:tblW w:w="10376" w:type="dxa"/>
        <w:tblLook w:val="04A0" w:firstRow="1" w:lastRow="0" w:firstColumn="1" w:lastColumn="0" w:noHBand="0" w:noVBand="1"/>
      </w:tblPr>
      <w:tblGrid>
        <w:gridCol w:w="2902"/>
        <w:gridCol w:w="3737"/>
        <w:gridCol w:w="3737"/>
      </w:tblGrid>
      <w:tr w:rsidR="004619B9" w:rsidRPr="00905C05" w:rsidTr="00B55BED">
        <w:trPr>
          <w:trHeight w:val="273"/>
        </w:trPr>
        <w:tc>
          <w:tcPr>
            <w:tcW w:w="2902" w:type="dxa"/>
            <w:shd w:val="clear" w:color="auto" w:fill="DBE5F1" w:themeFill="accent1" w:themeFillTint="33"/>
            <w:tcMar>
              <w:top w:w="57" w:type="dxa"/>
              <w:left w:w="57" w:type="dxa"/>
              <w:bottom w:w="57" w:type="dxa"/>
              <w:right w:w="57" w:type="dxa"/>
            </w:tcMar>
          </w:tcPr>
          <w:p w:rsidR="004619B9" w:rsidRPr="004277CA" w:rsidRDefault="004619B9" w:rsidP="00B55BED">
            <w:pPr>
              <w:rPr>
                <w:rFonts w:cs="Arial"/>
                <w:b/>
                <w:bCs/>
                <w:sz w:val="21"/>
                <w:szCs w:val="21"/>
              </w:rPr>
            </w:pPr>
            <w:r w:rsidRPr="004277CA">
              <w:rPr>
                <w:rFonts w:cs="Arial"/>
                <w:b/>
                <w:bCs/>
                <w:sz w:val="21"/>
                <w:szCs w:val="21"/>
              </w:rPr>
              <w:t>Indicator(s)</w:t>
            </w:r>
          </w:p>
        </w:tc>
        <w:tc>
          <w:tcPr>
            <w:tcW w:w="3737" w:type="dxa"/>
            <w:shd w:val="clear" w:color="auto" w:fill="DBE5F1" w:themeFill="accent1" w:themeFillTint="33"/>
            <w:tcMar>
              <w:top w:w="57" w:type="dxa"/>
              <w:left w:w="57" w:type="dxa"/>
              <w:bottom w:w="57" w:type="dxa"/>
              <w:right w:w="57" w:type="dxa"/>
            </w:tcMar>
          </w:tcPr>
          <w:p w:rsidR="004619B9" w:rsidRPr="004277CA" w:rsidRDefault="004619B9" w:rsidP="00B55BED">
            <w:pPr>
              <w:rPr>
                <w:rFonts w:cs="Arial"/>
                <w:b/>
                <w:bCs/>
                <w:sz w:val="21"/>
                <w:szCs w:val="21"/>
              </w:rPr>
            </w:pPr>
            <w:r w:rsidRPr="004277CA">
              <w:rPr>
                <w:rFonts w:cs="Arial"/>
                <w:b/>
                <w:bCs/>
                <w:sz w:val="21"/>
                <w:szCs w:val="21"/>
              </w:rPr>
              <w:t>Milestones</w:t>
            </w:r>
          </w:p>
        </w:tc>
        <w:tc>
          <w:tcPr>
            <w:tcW w:w="3737" w:type="dxa"/>
            <w:shd w:val="clear" w:color="auto" w:fill="DBE5F1" w:themeFill="accent1" w:themeFillTint="33"/>
            <w:tcMar>
              <w:top w:w="57" w:type="dxa"/>
              <w:left w:w="57" w:type="dxa"/>
              <w:bottom w:w="57" w:type="dxa"/>
              <w:right w:w="57" w:type="dxa"/>
            </w:tcMar>
          </w:tcPr>
          <w:p w:rsidR="004619B9" w:rsidRPr="004277CA" w:rsidRDefault="004619B9" w:rsidP="00B55BED">
            <w:pPr>
              <w:rPr>
                <w:rFonts w:cs="Arial"/>
                <w:b/>
                <w:bCs/>
                <w:sz w:val="21"/>
                <w:szCs w:val="21"/>
              </w:rPr>
            </w:pPr>
            <w:r w:rsidRPr="004277CA">
              <w:rPr>
                <w:rFonts w:cs="Arial"/>
                <w:b/>
                <w:bCs/>
                <w:sz w:val="21"/>
                <w:szCs w:val="21"/>
              </w:rPr>
              <w:t>Progress (as at 31/12/14)</w:t>
            </w:r>
          </w:p>
        </w:tc>
      </w:tr>
      <w:tr w:rsidR="004619B9" w:rsidRPr="00905C05" w:rsidTr="00B55BED">
        <w:tc>
          <w:tcPr>
            <w:tcW w:w="2902" w:type="dxa"/>
            <w:tcMar>
              <w:top w:w="57" w:type="dxa"/>
              <w:left w:w="57" w:type="dxa"/>
              <w:bottom w:w="57" w:type="dxa"/>
              <w:right w:w="57" w:type="dxa"/>
            </w:tcMar>
          </w:tcPr>
          <w:p w:rsidR="004619B9" w:rsidRPr="004277CA" w:rsidRDefault="004619B9" w:rsidP="00B55BED">
            <w:pPr>
              <w:rPr>
                <w:rFonts w:cs="Arial"/>
                <w:bCs/>
                <w:sz w:val="21"/>
                <w:szCs w:val="21"/>
              </w:rPr>
            </w:pPr>
            <w:r w:rsidRPr="004277CA">
              <w:rPr>
                <w:rFonts w:cs="Arial"/>
                <w:bCs/>
                <w:sz w:val="21"/>
                <w:szCs w:val="21"/>
              </w:rPr>
              <w:t xml:space="preserve">2.1 </w:t>
            </w:r>
            <w:r w:rsidRPr="004277CA">
              <w:rPr>
                <w:rFonts w:cs="Arial"/>
                <w:sz w:val="21"/>
                <w:szCs w:val="21"/>
              </w:rPr>
              <w:t xml:space="preserve"> </w:t>
            </w:r>
            <w:r w:rsidRPr="004277CA">
              <w:rPr>
                <w:rFonts w:cs="Arial"/>
                <w:bCs/>
                <w:sz w:val="21"/>
                <w:szCs w:val="21"/>
              </w:rPr>
              <w:t>Number of households receiving productive assets</w:t>
            </w:r>
            <w:r w:rsidR="00EF02D3">
              <w:rPr>
                <w:rFonts w:cs="Arial"/>
                <w:bCs/>
                <w:sz w:val="21"/>
                <w:szCs w:val="21"/>
              </w:rPr>
              <w:t xml:space="preserve"> </w:t>
            </w:r>
            <w:r w:rsidR="00E229B9" w:rsidRPr="00E229B9">
              <w:rPr>
                <w:rFonts w:cs="Arial"/>
                <w:bCs/>
                <w:color w:val="FF0000"/>
                <w:sz w:val="21"/>
                <w:szCs w:val="21"/>
              </w:rPr>
              <w:t>[</w:t>
            </w:r>
            <w:r w:rsidR="00220AB8">
              <w:rPr>
                <w:rFonts w:cs="Arial"/>
                <w:bCs/>
                <w:color w:val="FF0000"/>
                <w:sz w:val="21"/>
                <w:szCs w:val="21"/>
              </w:rPr>
              <w:t>A</w:t>
            </w:r>
            <w:r w:rsidR="00E229B9" w:rsidRPr="00E229B9">
              <w:rPr>
                <w:rFonts w:cs="Arial"/>
                <w:bCs/>
                <w:color w:val="FF0000"/>
                <w:sz w:val="21"/>
                <w:szCs w:val="21"/>
              </w:rPr>
              <w:t>]</w:t>
            </w:r>
          </w:p>
        </w:tc>
        <w:tc>
          <w:tcPr>
            <w:tcW w:w="3737" w:type="dxa"/>
            <w:tcMar>
              <w:top w:w="57" w:type="dxa"/>
              <w:left w:w="57" w:type="dxa"/>
              <w:bottom w:w="57" w:type="dxa"/>
              <w:right w:w="57" w:type="dxa"/>
            </w:tcMar>
          </w:tcPr>
          <w:p w:rsidR="004619B9" w:rsidRPr="004277CA" w:rsidRDefault="004619B9" w:rsidP="00B55BED">
            <w:pPr>
              <w:spacing w:after="80"/>
              <w:rPr>
                <w:rFonts w:cs="Arial"/>
                <w:bCs/>
                <w:sz w:val="21"/>
                <w:szCs w:val="21"/>
              </w:rPr>
            </w:pPr>
            <w:r w:rsidRPr="004277CA">
              <w:rPr>
                <w:rFonts w:cs="Arial"/>
                <w:bCs/>
                <w:sz w:val="21"/>
                <w:szCs w:val="21"/>
                <w:u w:val="single"/>
              </w:rPr>
              <w:t>Cum</w:t>
            </w:r>
            <w:r w:rsidR="00905C05" w:rsidRPr="004277CA">
              <w:rPr>
                <w:rFonts w:cs="Arial"/>
                <w:bCs/>
                <w:sz w:val="21"/>
                <w:szCs w:val="21"/>
                <w:u w:val="single"/>
              </w:rPr>
              <w:t>:</w:t>
            </w:r>
            <w:r w:rsidR="00905C05" w:rsidRPr="00EF02D3">
              <w:rPr>
                <w:rFonts w:cs="Arial"/>
                <w:bCs/>
                <w:sz w:val="21"/>
                <w:szCs w:val="21"/>
              </w:rPr>
              <w:t xml:space="preserve"> </w:t>
            </w:r>
            <w:r w:rsidRPr="004277CA">
              <w:rPr>
                <w:rFonts w:cs="Arial"/>
                <w:bCs/>
                <w:sz w:val="21"/>
                <w:szCs w:val="21"/>
              </w:rPr>
              <w:t>75,000 CPHHs have received productive/ IGAs benefiting 291,750 people (145,787 men and boys/ 145,963 women and girls)</w:t>
            </w:r>
          </w:p>
          <w:p w:rsidR="004619B9" w:rsidRPr="004277CA" w:rsidRDefault="004619B9" w:rsidP="00B55BED">
            <w:pPr>
              <w:rPr>
                <w:rFonts w:cs="Arial"/>
                <w:bCs/>
                <w:sz w:val="21"/>
                <w:szCs w:val="21"/>
              </w:rPr>
            </w:pPr>
            <w:r w:rsidRPr="004277CA">
              <w:rPr>
                <w:rFonts w:cs="Arial"/>
                <w:bCs/>
                <w:sz w:val="21"/>
                <w:szCs w:val="21"/>
                <w:u w:val="single"/>
              </w:rPr>
              <w:t>Annual</w:t>
            </w:r>
            <w:r w:rsidR="00905C05" w:rsidRPr="004277CA">
              <w:rPr>
                <w:rFonts w:cs="Arial"/>
                <w:bCs/>
                <w:sz w:val="21"/>
                <w:szCs w:val="21"/>
                <w:u w:val="single"/>
              </w:rPr>
              <w:t>:</w:t>
            </w:r>
            <w:r w:rsidR="00905C05" w:rsidRPr="004277CA">
              <w:rPr>
                <w:rFonts w:cs="Arial"/>
                <w:bCs/>
                <w:i/>
                <w:sz w:val="21"/>
                <w:szCs w:val="21"/>
              </w:rPr>
              <w:t xml:space="preserve"> </w:t>
            </w:r>
            <w:r w:rsidRPr="004277CA">
              <w:rPr>
                <w:rFonts w:cs="Arial"/>
                <w:bCs/>
                <w:sz w:val="21"/>
                <w:szCs w:val="21"/>
              </w:rPr>
              <w:t>17,791 CPHHs have received productive/ IGAs benefitting 69,207 people (34,583 men and boys/ 34,624 women and girls)</w:t>
            </w:r>
          </w:p>
        </w:tc>
        <w:tc>
          <w:tcPr>
            <w:tcW w:w="3737" w:type="dxa"/>
            <w:tcMar>
              <w:top w:w="57" w:type="dxa"/>
              <w:left w:w="57" w:type="dxa"/>
              <w:bottom w:w="57" w:type="dxa"/>
              <w:right w:w="57" w:type="dxa"/>
            </w:tcMar>
          </w:tcPr>
          <w:p w:rsidR="004619B9" w:rsidRPr="004277CA" w:rsidRDefault="004619B9" w:rsidP="00B55BED">
            <w:pPr>
              <w:spacing w:after="80"/>
              <w:rPr>
                <w:rFonts w:cs="Arial"/>
                <w:bCs/>
                <w:sz w:val="21"/>
                <w:szCs w:val="21"/>
                <w:u w:val="single"/>
              </w:rPr>
            </w:pPr>
            <w:r w:rsidRPr="004277CA">
              <w:rPr>
                <w:rFonts w:cs="Arial"/>
                <w:bCs/>
                <w:sz w:val="21"/>
                <w:szCs w:val="21"/>
                <w:u w:val="single"/>
              </w:rPr>
              <w:t>Cum</w:t>
            </w:r>
            <w:r w:rsidR="00905C05" w:rsidRPr="004277CA">
              <w:rPr>
                <w:rFonts w:cs="Arial"/>
                <w:bCs/>
                <w:sz w:val="21"/>
                <w:szCs w:val="21"/>
                <w:u w:val="single"/>
              </w:rPr>
              <w:t>:</w:t>
            </w:r>
            <w:r w:rsidR="00905C05" w:rsidRPr="00EF02D3">
              <w:rPr>
                <w:rFonts w:cs="Arial"/>
                <w:bCs/>
                <w:i/>
                <w:sz w:val="21"/>
                <w:szCs w:val="21"/>
              </w:rPr>
              <w:t xml:space="preserve"> </w:t>
            </w:r>
            <w:r w:rsidR="00C00E40">
              <w:rPr>
                <w:rFonts w:cs="Arial"/>
                <w:bCs/>
                <w:sz w:val="21"/>
                <w:szCs w:val="21"/>
              </w:rPr>
              <w:t>74,729</w:t>
            </w:r>
            <w:r w:rsidRPr="004277CA">
              <w:rPr>
                <w:rFonts w:cs="Arial"/>
                <w:bCs/>
                <w:sz w:val="21"/>
                <w:szCs w:val="21"/>
              </w:rPr>
              <w:t xml:space="preserve"> CPHHs have received productive/ IGAs benefiting </w:t>
            </w:r>
            <w:r w:rsidRPr="004277CA">
              <w:rPr>
                <w:rFonts w:cs="Arial"/>
                <w:color w:val="000000"/>
                <w:sz w:val="21"/>
                <w:szCs w:val="21"/>
              </w:rPr>
              <w:t>2</w:t>
            </w:r>
            <w:r w:rsidR="00C00E40">
              <w:rPr>
                <w:rFonts w:cs="Arial"/>
                <w:color w:val="000000"/>
                <w:sz w:val="21"/>
                <w:szCs w:val="21"/>
              </w:rPr>
              <w:t>90,696</w:t>
            </w:r>
            <w:r w:rsidR="00C00E40">
              <w:rPr>
                <w:rFonts w:cs="Arial"/>
                <w:bCs/>
                <w:sz w:val="21"/>
                <w:szCs w:val="21"/>
              </w:rPr>
              <w:t xml:space="preserve"> people (145,261</w:t>
            </w:r>
            <w:r w:rsidRPr="004277CA">
              <w:rPr>
                <w:rFonts w:cs="Arial"/>
                <w:bCs/>
                <w:sz w:val="21"/>
                <w:szCs w:val="21"/>
              </w:rPr>
              <w:t xml:space="preserve"> men and boys/ 14</w:t>
            </w:r>
            <w:r w:rsidR="00C00E40">
              <w:rPr>
                <w:rFonts w:cs="Arial"/>
                <w:bCs/>
                <w:sz w:val="21"/>
                <w:szCs w:val="21"/>
              </w:rPr>
              <w:t>5,435</w:t>
            </w:r>
            <w:r w:rsidRPr="004277CA">
              <w:rPr>
                <w:rFonts w:cs="Arial"/>
                <w:bCs/>
                <w:sz w:val="21"/>
                <w:szCs w:val="21"/>
              </w:rPr>
              <w:t xml:space="preserve"> women and girls)</w:t>
            </w:r>
          </w:p>
          <w:p w:rsidR="004619B9" w:rsidRPr="004277CA" w:rsidRDefault="004619B9" w:rsidP="00C00E40">
            <w:pPr>
              <w:rPr>
                <w:rFonts w:cs="Arial"/>
                <w:bCs/>
                <w:sz w:val="21"/>
                <w:szCs w:val="21"/>
              </w:rPr>
            </w:pPr>
            <w:r w:rsidRPr="004277CA">
              <w:rPr>
                <w:rFonts w:cs="Arial"/>
                <w:bCs/>
                <w:sz w:val="21"/>
                <w:szCs w:val="21"/>
                <w:u w:val="single"/>
              </w:rPr>
              <w:t>Annua</w:t>
            </w:r>
            <w:r w:rsidR="00905C05" w:rsidRPr="004277CA">
              <w:rPr>
                <w:rFonts w:cs="Arial"/>
                <w:bCs/>
                <w:sz w:val="21"/>
                <w:szCs w:val="21"/>
                <w:u w:val="single"/>
              </w:rPr>
              <w:t>l:</w:t>
            </w:r>
            <w:r w:rsidR="00905C05" w:rsidRPr="004277CA">
              <w:rPr>
                <w:rFonts w:cs="Arial"/>
                <w:bCs/>
                <w:sz w:val="21"/>
                <w:szCs w:val="21"/>
              </w:rPr>
              <w:t xml:space="preserve"> </w:t>
            </w:r>
            <w:r w:rsidRPr="004277CA">
              <w:rPr>
                <w:rFonts w:cs="Arial"/>
                <w:color w:val="000000"/>
                <w:sz w:val="21"/>
                <w:szCs w:val="21"/>
              </w:rPr>
              <w:t>1</w:t>
            </w:r>
            <w:r w:rsidR="00C00E40">
              <w:rPr>
                <w:rFonts w:cs="Arial"/>
                <w:color w:val="000000"/>
                <w:sz w:val="21"/>
                <w:szCs w:val="21"/>
              </w:rPr>
              <w:t>7,520</w:t>
            </w:r>
            <w:r w:rsidRPr="004277CA">
              <w:rPr>
                <w:rFonts w:cs="Arial"/>
                <w:color w:val="000000"/>
                <w:sz w:val="21"/>
                <w:szCs w:val="21"/>
              </w:rPr>
              <w:t xml:space="preserve"> </w:t>
            </w:r>
            <w:r w:rsidRPr="004277CA">
              <w:rPr>
                <w:rFonts w:cs="Arial"/>
                <w:bCs/>
                <w:sz w:val="21"/>
                <w:szCs w:val="21"/>
              </w:rPr>
              <w:t xml:space="preserve">CPHHs have received productive/ IGAs benefitting </w:t>
            </w:r>
            <w:r w:rsidR="00C00E40">
              <w:rPr>
                <w:rFonts w:cs="Arial"/>
                <w:bCs/>
                <w:sz w:val="21"/>
                <w:szCs w:val="21"/>
              </w:rPr>
              <w:t xml:space="preserve">68,153 </w:t>
            </w:r>
            <w:r w:rsidRPr="004277CA">
              <w:rPr>
                <w:rFonts w:cs="Arial"/>
                <w:bCs/>
                <w:sz w:val="21"/>
                <w:szCs w:val="21"/>
              </w:rPr>
              <w:t>people (</w:t>
            </w:r>
            <w:r w:rsidR="00C00E40">
              <w:rPr>
                <w:rFonts w:cs="Arial"/>
                <w:bCs/>
                <w:sz w:val="21"/>
                <w:szCs w:val="21"/>
              </w:rPr>
              <w:t xml:space="preserve">34,056 </w:t>
            </w:r>
            <w:r w:rsidRPr="004277CA">
              <w:rPr>
                <w:rFonts w:cs="Arial"/>
                <w:bCs/>
                <w:sz w:val="21"/>
                <w:szCs w:val="21"/>
              </w:rPr>
              <w:t>men and boys/</w:t>
            </w:r>
            <w:r w:rsidR="00065F33">
              <w:rPr>
                <w:rFonts w:cs="Arial"/>
                <w:bCs/>
                <w:sz w:val="21"/>
                <w:szCs w:val="21"/>
              </w:rPr>
              <w:t>34,097</w:t>
            </w:r>
            <w:r w:rsidRPr="004277CA">
              <w:rPr>
                <w:rFonts w:cs="Arial"/>
                <w:color w:val="000000"/>
                <w:sz w:val="21"/>
                <w:szCs w:val="21"/>
              </w:rPr>
              <w:t xml:space="preserve"> </w:t>
            </w:r>
            <w:r w:rsidRPr="004277CA">
              <w:rPr>
                <w:rFonts w:cs="Arial"/>
                <w:bCs/>
                <w:sz w:val="21"/>
                <w:szCs w:val="21"/>
              </w:rPr>
              <w:t>women and girls)</w:t>
            </w:r>
          </w:p>
        </w:tc>
      </w:tr>
      <w:tr w:rsidR="004619B9" w:rsidRPr="00905C05" w:rsidTr="00B55BED">
        <w:tc>
          <w:tcPr>
            <w:tcW w:w="2902" w:type="dxa"/>
            <w:tcMar>
              <w:top w:w="57" w:type="dxa"/>
              <w:left w:w="57" w:type="dxa"/>
              <w:bottom w:w="57" w:type="dxa"/>
              <w:right w:w="57" w:type="dxa"/>
            </w:tcMar>
          </w:tcPr>
          <w:p w:rsidR="004619B9" w:rsidRPr="004277CA" w:rsidRDefault="004619B9" w:rsidP="00B55BED">
            <w:pPr>
              <w:rPr>
                <w:rFonts w:cs="Arial"/>
                <w:bCs/>
                <w:sz w:val="21"/>
                <w:szCs w:val="21"/>
              </w:rPr>
            </w:pPr>
            <w:r w:rsidRPr="004277CA">
              <w:rPr>
                <w:rFonts w:cs="Arial"/>
                <w:bCs/>
                <w:sz w:val="21"/>
                <w:szCs w:val="21"/>
              </w:rPr>
              <w:t xml:space="preserve">2.2 </w:t>
            </w:r>
            <w:r w:rsidRPr="004277CA">
              <w:rPr>
                <w:rFonts w:cs="Arial"/>
                <w:sz w:val="21"/>
                <w:szCs w:val="21"/>
              </w:rPr>
              <w:t xml:space="preserve"> </w:t>
            </w:r>
            <w:r w:rsidRPr="004277CA">
              <w:rPr>
                <w:rFonts w:cs="Arial"/>
                <w:bCs/>
                <w:sz w:val="21"/>
                <w:szCs w:val="21"/>
              </w:rPr>
              <w:t>Number of core participants (CPs) ever enrolled in social development (SD) groups</w:t>
            </w:r>
            <w:r w:rsidR="00EF02D3">
              <w:rPr>
                <w:rFonts w:cs="Arial"/>
                <w:bCs/>
                <w:sz w:val="21"/>
                <w:szCs w:val="21"/>
              </w:rPr>
              <w:t xml:space="preserve"> </w:t>
            </w:r>
            <w:r w:rsidR="00E229B9" w:rsidRPr="00E229B9">
              <w:rPr>
                <w:rFonts w:cs="Arial"/>
                <w:bCs/>
                <w:color w:val="FF0000"/>
                <w:sz w:val="21"/>
                <w:szCs w:val="21"/>
              </w:rPr>
              <w:t>[A]</w:t>
            </w:r>
          </w:p>
        </w:tc>
        <w:tc>
          <w:tcPr>
            <w:tcW w:w="3737" w:type="dxa"/>
            <w:tcMar>
              <w:top w:w="57" w:type="dxa"/>
              <w:left w:w="57" w:type="dxa"/>
              <w:bottom w:w="57" w:type="dxa"/>
              <w:right w:w="57" w:type="dxa"/>
            </w:tcMar>
          </w:tcPr>
          <w:p w:rsidR="004619B9" w:rsidRPr="004277CA" w:rsidRDefault="004619B9" w:rsidP="00B55BED">
            <w:pPr>
              <w:spacing w:after="80"/>
              <w:rPr>
                <w:rFonts w:cs="Arial"/>
                <w:bCs/>
                <w:sz w:val="21"/>
                <w:szCs w:val="21"/>
              </w:rPr>
            </w:pPr>
            <w:r w:rsidRPr="004277CA">
              <w:rPr>
                <w:rFonts w:cs="Arial"/>
                <w:bCs/>
                <w:sz w:val="21"/>
                <w:szCs w:val="21"/>
                <w:u w:val="single"/>
              </w:rPr>
              <w:t>Cum:</w:t>
            </w:r>
            <w:r w:rsidR="00905C05" w:rsidRPr="004277CA">
              <w:rPr>
                <w:rFonts w:cs="Arial"/>
                <w:bCs/>
                <w:sz w:val="21"/>
                <w:szCs w:val="21"/>
              </w:rPr>
              <w:t xml:space="preserve"> </w:t>
            </w:r>
            <w:r w:rsidRPr="004277CA">
              <w:rPr>
                <w:rFonts w:cs="Arial"/>
                <w:bCs/>
                <w:sz w:val="21"/>
                <w:szCs w:val="21"/>
              </w:rPr>
              <w:t>78,000 CPs are enrolled in a SD group.</w:t>
            </w:r>
            <w:r w:rsidR="00905C05" w:rsidRPr="004277CA">
              <w:rPr>
                <w:rFonts w:cs="Arial"/>
                <w:bCs/>
                <w:sz w:val="21"/>
                <w:szCs w:val="21"/>
              </w:rPr>
              <w:t xml:space="preserve"> </w:t>
            </w:r>
            <w:r w:rsidRPr="004277CA">
              <w:rPr>
                <w:rFonts w:cs="Arial"/>
                <w:bCs/>
                <w:sz w:val="21"/>
                <w:szCs w:val="21"/>
              </w:rPr>
              <w:t xml:space="preserve">95% of these CPs are a member of at least one other group </w:t>
            </w:r>
            <w:r w:rsidRPr="004277CA">
              <w:rPr>
                <w:rFonts w:cs="Arial"/>
                <w:bCs/>
                <w:sz w:val="21"/>
                <w:szCs w:val="21"/>
              </w:rPr>
              <w:lastRenderedPageBreak/>
              <w:t>(e.g. VSL)</w:t>
            </w:r>
          </w:p>
          <w:p w:rsidR="004619B9" w:rsidRPr="004277CA" w:rsidRDefault="004619B9" w:rsidP="00B55BED">
            <w:pPr>
              <w:rPr>
                <w:rFonts w:cs="Arial"/>
                <w:bCs/>
                <w:sz w:val="21"/>
                <w:szCs w:val="21"/>
              </w:rPr>
            </w:pPr>
            <w:r w:rsidRPr="004277CA">
              <w:rPr>
                <w:rFonts w:cs="Arial"/>
                <w:bCs/>
                <w:sz w:val="21"/>
                <w:szCs w:val="21"/>
                <w:u w:val="single"/>
              </w:rPr>
              <w:t>Annual</w:t>
            </w:r>
            <w:r w:rsidR="00905C05" w:rsidRPr="004277CA">
              <w:rPr>
                <w:rFonts w:cs="Arial"/>
                <w:bCs/>
                <w:sz w:val="21"/>
                <w:szCs w:val="21"/>
                <w:u w:val="single"/>
              </w:rPr>
              <w:t>:</w:t>
            </w:r>
            <w:r w:rsidR="00905C05" w:rsidRPr="004277CA">
              <w:rPr>
                <w:rFonts w:cs="Arial"/>
                <w:bCs/>
                <w:sz w:val="21"/>
                <w:szCs w:val="21"/>
              </w:rPr>
              <w:t xml:space="preserve"> </w:t>
            </w:r>
            <w:r w:rsidRPr="004277CA">
              <w:rPr>
                <w:rFonts w:cs="Arial"/>
                <w:bCs/>
                <w:sz w:val="21"/>
                <w:szCs w:val="21"/>
              </w:rPr>
              <w:t>13,440 CPs are enrolled in a SD group.</w:t>
            </w:r>
            <w:r w:rsidR="00905C05" w:rsidRPr="004277CA">
              <w:rPr>
                <w:rFonts w:cs="Arial"/>
                <w:bCs/>
                <w:sz w:val="21"/>
                <w:szCs w:val="21"/>
              </w:rPr>
              <w:t xml:space="preserve"> </w:t>
            </w:r>
            <w:r w:rsidRPr="004277CA">
              <w:rPr>
                <w:rFonts w:cs="Arial"/>
                <w:bCs/>
                <w:sz w:val="21"/>
                <w:szCs w:val="21"/>
              </w:rPr>
              <w:t>95% of these CPs a member of at least one other group (e.g. VSL)</w:t>
            </w:r>
          </w:p>
        </w:tc>
        <w:tc>
          <w:tcPr>
            <w:tcW w:w="3737" w:type="dxa"/>
            <w:tcMar>
              <w:top w:w="57" w:type="dxa"/>
              <w:left w:w="57" w:type="dxa"/>
              <w:bottom w:w="57" w:type="dxa"/>
              <w:right w:w="57" w:type="dxa"/>
            </w:tcMar>
          </w:tcPr>
          <w:p w:rsidR="004619B9" w:rsidRPr="004277CA" w:rsidRDefault="00905C05" w:rsidP="00065F33">
            <w:pPr>
              <w:spacing w:after="80"/>
              <w:rPr>
                <w:rFonts w:cs="Arial"/>
                <w:bCs/>
                <w:sz w:val="21"/>
                <w:szCs w:val="21"/>
              </w:rPr>
            </w:pPr>
            <w:r w:rsidRPr="004277CA">
              <w:rPr>
                <w:rFonts w:cs="Arial"/>
                <w:bCs/>
                <w:sz w:val="21"/>
                <w:szCs w:val="21"/>
                <w:u w:val="single"/>
              </w:rPr>
              <w:lastRenderedPageBreak/>
              <w:t>Cum:</w:t>
            </w:r>
            <w:r w:rsidRPr="004277CA">
              <w:rPr>
                <w:rFonts w:cs="Arial"/>
                <w:bCs/>
                <w:sz w:val="21"/>
                <w:szCs w:val="21"/>
              </w:rPr>
              <w:t xml:space="preserve"> </w:t>
            </w:r>
            <w:r w:rsidR="004619B9" w:rsidRPr="004277CA">
              <w:rPr>
                <w:rFonts w:cs="Arial"/>
                <w:color w:val="000000"/>
                <w:sz w:val="21"/>
                <w:szCs w:val="21"/>
              </w:rPr>
              <w:t xml:space="preserve">77,974 </w:t>
            </w:r>
            <w:r w:rsidR="004619B9" w:rsidRPr="004277CA">
              <w:rPr>
                <w:rFonts w:cs="Arial"/>
                <w:bCs/>
                <w:sz w:val="21"/>
                <w:szCs w:val="21"/>
              </w:rPr>
              <w:t>CPs are enrolled in a SD group.</w:t>
            </w:r>
            <w:r w:rsidRPr="004277CA">
              <w:rPr>
                <w:rFonts w:cs="Arial"/>
                <w:bCs/>
                <w:sz w:val="21"/>
                <w:szCs w:val="21"/>
              </w:rPr>
              <w:t xml:space="preserve"> </w:t>
            </w:r>
            <w:r w:rsidR="004619B9" w:rsidRPr="004277CA">
              <w:rPr>
                <w:rFonts w:cs="Arial"/>
                <w:bCs/>
                <w:sz w:val="21"/>
                <w:szCs w:val="21"/>
              </w:rPr>
              <w:t xml:space="preserve">100% of these CPs are a member of at least one other group </w:t>
            </w:r>
            <w:r w:rsidR="004619B9" w:rsidRPr="004277CA">
              <w:rPr>
                <w:rFonts w:cs="Arial"/>
                <w:bCs/>
                <w:sz w:val="21"/>
                <w:szCs w:val="21"/>
              </w:rPr>
              <w:lastRenderedPageBreak/>
              <w:t>(e.g. VSL)</w:t>
            </w:r>
          </w:p>
          <w:p w:rsidR="004619B9" w:rsidRPr="004277CA" w:rsidRDefault="00905C05" w:rsidP="00B55BED">
            <w:pPr>
              <w:rPr>
                <w:rFonts w:cs="Arial"/>
                <w:bCs/>
                <w:sz w:val="21"/>
                <w:szCs w:val="21"/>
              </w:rPr>
            </w:pPr>
            <w:r w:rsidRPr="004277CA">
              <w:rPr>
                <w:rFonts w:cs="Arial"/>
                <w:bCs/>
                <w:sz w:val="21"/>
                <w:szCs w:val="21"/>
                <w:u w:val="single"/>
              </w:rPr>
              <w:t>Annual</w:t>
            </w:r>
            <w:r w:rsidR="004619B9" w:rsidRPr="004277CA">
              <w:rPr>
                <w:rFonts w:cs="Arial"/>
                <w:bCs/>
                <w:sz w:val="21"/>
                <w:szCs w:val="21"/>
                <w:u w:val="single"/>
              </w:rPr>
              <w:t>:</w:t>
            </w:r>
            <w:r w:rsidRPr="004277CA">
              <w:rPr>
                <w:rFonts w:cs="Arial"/>
                <w:bCs/>
                <w:sz w:val="21"/>
                <w:szCs w:val="21"/>
              </w:rPr>
              <w:t xml:space="preserve"> </w:t>
            </w:r>
            <w:r w:rsidR="004619B9" w:rsidRPr="004277CA">
              <w:rPr>
                <w:rFonts w:cs="Arial"/>
                <w:bCs/>
                <w:sz w:val="21"/>
                <w:szCs w:val="21"/>
              </w:rPr>
              <w:t>13,538 CPs are enrolled in a SD group. 100% of these CPs a member of at least one other group (e.g. VSL)</w:t>
            </w:r>
          </w:p>
        </w:tc>
      </w:tr>
      <w:tr w:rsidR="004619B9" w:rsidRPr="00905C05" w:rsidTr="00B55BED">
        <w:tc>
          <w:tcPr>
            <w:tcW w:w="2902" w:type="dxa"/>
            <w:tcMar>
              <w:top w:w="57" w:type="dxa"/>
              <w:left w:w="57" w:type="dxa"/>
              <w:bottom w:w="57" w:type="dxa"/>
              <w:right w:w="57" w:type="dxa"/>
            </w:tcMar>
          </w:tcPr>
          <w:p w:rsidR="004619B9" w:rsidRPr="004277CA" w:rsidRDefault="004619B9" w:rsidP="00B55BED">
            <w:pPr>
              <w:rPr>
                <w:rFonts w:cs="Arial"/>
                <w:bCs/>
                <w:sz w:val="21"/>
                <w:szCs w:val="21"/>
              </w:rPr>
            </w:pPr>
            <w:r w:rsidRPr="004277CA">
              <w:rPr>
                <w:rFonts w:cs="Arial"/>
                <w:bCs/>
                <w:sz w:val="21"/>
                <w:szCs w:val="21"/>
              </w:rPr>
              <w:lastRenderedPageBreak/>
              <w:t xml:space="preserve">2.3 </w:t>
            </w:r>
            <w:r w:rsidRPr="004277CA">
              <w:rPr>
                <w:rFonts w:cs="Arial"/>
                <w:sz w:val="21"/>
                <w:szCs w:val="21"/>
              </w:rPr>
              <w:t xml:space="preserve"> </w:t>
            </w:r>
            <w:r w:rsidRPr="004277CA">
              <w:rPr>
                <w:rFonts w:cs="Arial"/>
                <w:bCs/>
                <w:sz w:val="21"/>
                <w:szCs w:val="21"/>
              </w:rPr>
              <w:t>Number of hhs receiving homestead gardening inputs and advice</w:t>
            </w:r>
            <w:r w:rsidR="00EF02D3">
              <w:rPr>
                <w:rFonts w:cs="Arial"/>
                <w:bCs/>
                <w:sz w:val="21"/>
                <w:szCs w:val="21"/>
              </w:rPr>
              <w:t xml:space="preserve"> </w:t>
            </w:r>
            <w:r w:rsidR="00E229B9" w:rsidRPr="00E229B9">
              <w:rPr>
                <w:rFonts w:cs="Arial"/>
                <w:bCs/>
                <w:color w:val="FF0000"/>
                <w:sz w:val="21"/>
                <w:szCs w:val="21"/>
              </w:rPr>
              <w:t>[A</w:t>
            </w:r>
            <w:r w:rsidR="004605C3">
              <w:rPr>
                <w:rFonts w:cs="Arial"/>
                <w:bCs/>
                <w:color w:val="FF0000"/>
                <w:sz w:val="21"/>
                <w:szCs w:val="21"/>
              </w:rPr>
              <w:t>+</w:t>
            </w:r>
            <w:r w:rsidR="00E229B9" w:rsidRPr="00E229B9">
              <w:rPr>
                <w:rFonts w:cs="Arial"/>
                <w:bCs/>
                <w:color w:val="FF0000"/>
                <w:sz w:val="21"/>
                <w:szCs w:val="21"/>
              </w:rPr>
              <w:t>]</w:t>
            </w:r>
          </w:p>
        </w:tc>
        <w:tc>
          <w:tcPr>
            <w:tcW w:w="3737" w:type="dxa"/>
            <w:tcMar>
              <w:top w:w="57" w:type="dxa"/>
              <w:left w:w="57" w:type="dxa"/>
              <w:bottom w:w="57" w:type="dxa"/>
              <w:right w:w="57" w:type="dxa"/>
            </w:tcMar>
          </w:tcPr>
          <w:p w:rsidR="004619B9" w:rsidRPr="004277CA" w:rsidRDefault="004277CA" w:rsidP="00B55BED">
            <w:pPr>
              <w:spacing w:after="80"/>
              <w:rPr>
                <w:rFonts w:cs="Arial"/>
                <w:bCs/>
                <w:sz w:val="21"/>
                <w:szCs w:val="21"/>
                <w:u w:val="single"/>
              </w:rPr>
            </w:pPr>
            <w:r w:rsidRPr="004277CA">
              <w:rPr>
                <w:rFonts w:cs="Arial"/>
                <w:bCs/>
                <w:sz w:val="21"/>
                <w:szCs w:val="21"/>
                <w:u w:val="single"/>
              </w:rPr>
              <w:t>Cum</w:t>
            </w:r>
            <w:r w:rsidR="004619B9" w:rsidRPr="004277CA">
              <w:rPr>
                <w:rFonts w:cs="Arial"/>
                <w:bCs/>
                <w:sz w:val="21"/>
                <w:szCs w:val="21"/>
                <w:u w:val="single"/>
              </w:rPr>
              <w:t>:</w:t>
            </w:r>
            <w:r w:rsidR="004619B9" w:rsidRPr="004277CA">
              <w:rPr>
                <w:rFonts w:cs="Arial"/>
                <w:bCs/>
                <w:sz w:val="21"/>
                <w:szCs w:val="21"/>
              </w:rPr>
              <w:t xml:space="preserve"> 63,127 </w:t>
            </w:r>
            <w:r w:rsidR="00507983" w:rsidRPr="004277CA">
              <w:rPr>
                <w:rFonts w:cs="Arial"/>
                <w:bCs/>
                <w:sz w:val="21"/>
                <w:szCs w:val="21"/>
              </w:rPr>
              <w:t>HHs</w:t>
            </w:r>
            <w:r w:rsidR="004619B9" w:rsidRPr="004277CA">
              <w:rPr>
                <w:rFonts w:cs="Arial"/>
                <w:bCs/>
                <w:sz w:val="21"/>
                <w:szCs w:val="21"/>
              </w:rPr>
              <w:t xml:space="preserve"> received homestead garden inputs and complete all training</w:t>
            </w:r>
          </w:p>
          <w:p w:rsidR="004619B9" w:rsidRPr="004277CA" w:rsidRDefault="004619B9" w:rsidP="00B55BED">
            <w:pPr>
              <w:rPr>
                <w:rFonts w:cs="Arial"/>
                <w:bCs/>
                <w:sz w:val="21"/>
                <w:szCs w:val="21"/>
                <w:u w:val="single"/>
              </w:rPr>
            </w:pPr>
            <w:r w:rsidRPr="004277CA">
              <w:rPr>
                <w:rFonts w:cs="Arial"/>
                <w:bCs/>
                <w:sz w:val="21"/>
                <w:szCs w:val="21"/>
                <w:u w:val="single"/>
              </w:rPr>
              <w:t>Annual:</w:t>
            </w:r>
            <w:r w:rsidR="004277CA" w:rsidRPr="004277CA">
              <w:rPr>
                <w:rFonts w:cs="Arial"/>
                <w:bCs/>
                <w:sz w:val="21"/>
                <w:szCs w:val="21"/>
              </w:rPr>
              <w:t xml:space="preserve"> </w:t>
            </w:r>
            <w:r w:rsidRPr="004277CA">
              <w:rPr>
                <w:rFonts w:cs="Arial"/>
                <w:bCs/>
                <w:sz w:val="21"/>
                <w:szCs w:val="21"/>
              </w:rPr>
              <w:t xml:space="preserve">12,640 </w:t>
            </w:r>
            <w:r w:rsidR="00507983" w:rsidRPr="004277CA">
              <w:rPr>
                <w:rFonts w:cs="Arial"/>
                <w:bCs/>
                <w:sz w:val="21"/>
                <w:szCs w:val="21"/>
              </w:rPr>
              <w:t>HHs</w:t>
            </w:r>
            <w:r w:rsidRPr="004277CA">
              <w:rPr>
                <w:rFonts w:cs="Arial"/>
                <w:bCs/>
                <w:sz w:val="21"/>
                <w:szCs w:val="21"/>
              </w:rPr>
              <w:t xml:space="preserve"> received homestead garden inputs and complete all training</w:t>
            </w:r>
          </w:p>
        </w:tc>
        <w:tc>
          <w:tcPr>
            <w:tcW w:w="3737" w:type="dxa"/>
            <w:tcMar>
              <w:top w:w="57" w:type="dxa"/>
              <w:left w:w="57" w:type="dxa"/>
              <w:bottom w:w="57" w:type="dxa"/>
              <w:right w:w="57" w:type="dxa"/>
            </w:tcMar>
          </w:tcPr>
          <w:p w:rsidR="004619B9" w:rsidRPr="004277CA" w:rsidRDefault="004277CA" w:rsidP="00B55BED">
            <w:pPr>
              <w:spacing w:after="80"/>
              <w:rPr>
                <w:rFonts w:cs="Arial"/>
                <w:color w:val="000000"/>
                <w:sz w:val="21"/>
                <w:szCs w:val="21"/>
              </w:rPr>
            </w:pPr>
            <w:r w:rsidRPr="004277CA">
              <w:rPr>
                <w:rFonts w:cs="Arial"/>
                <w:bCs/>
                <w:sz w:val="21"/>
                <w:szCs w:val="21"/>
                <w:u w:val="single"/>
              </w:rPr>
              <w:t>Cum</w:t>
            </w:r>
            <w:r w:rsidR="004619B9" w:rsidRPr="004277CA">
              <w:rPr>
                <w:rFonts w:cs="Arial"/>
                <w:bCs/>
                <w:sz w:val="21"/>
                <w:szCs w:val="21"/>
                <w:u w:val="single"/>
              </w:rPr>
              <w:t>:</w:t>
            </w:r>
            <w:r w:rsidRPr="004277CA">
              <w:rPr>
                <w:rFonts w:cs="Arial"/>
                <w:bCs/>
                <w:sz w:val="21"/>
                <w:szCs w:val="21"/>
              </w:rPr>
              <w:t xml:space="preserve"> </w:t>
            </w:r>
            <w:r w:rsidR="004619B9" w:rsidRPr="004277CA">
              <w:rPr>
                <w:rFonts w:cs="Arial"/>
                <w:color w:val="000000"/>
                <w:sz w:val="21"/>
                <w:szCs w:val="21"/>
              </w:rPr>
              <w:t>6</w:t>
            </w:r>
            <w:r w:rsidR="00065F33">
              <w:rPr>
                <w:rFonts w:cs="Arial"/>
                <w:color w:val="000000"/>
                <w:sz w:val="21"/>
                <w:szCs w:val="21"/>
              </w:rPr>
              <w:t>4,752</w:t>
            </w:r>
            <w:r w:rsidR="004619B9" w:rsidRPr="004277CA">
              <w:rPr>
                <w:rFonts w:cs="Arial"/>
                <w:color w:val="000000"/>
                <w:sz w:val="21"/>
                <w:szCs w:val="21"/>
              </w:rPr>
              <w:t xml:space="preserve"> </w:t>
            </w:r>
            <w:r w:rsidR="00507983" w:rsidRPr="004277CA">
              <w:rPr>
                <w:rFonts w:cs="Arial"/>
                <w:bCs/>
                <w:sz w:val="21"/>
                <w:szCs w:val="21"/>
              </w:rPr>
              <w:t>HHs</w:t>
            </w:r>
            <w:r w:rsidR="004619B9" w:rsidRPr="004277CA">
              <w:rPr>
                <w:rFonts w:cs="Arial"/>
                <w:bCs/>
                <w:sz w:val="21"/>
                <w:szCs w:val="21"/>
              </w:rPr>
              <w:t xml:space="preserve"> received homestead garden inputs and complete all training</w:t>
            </w:r>
          </w:p>
          <w:p w:rsidR="004619B9" w:rsidRPr="004277CA" w:rsidRDefault="004619B9" w:rsidP="00065F33">
            <w:pPr>
              <w:rPr>
                <w:rFonts w:cs="Arial"/>
                <w:bCs/>
                <w:sz w:val="21"/>
                <w:szCs w:val="21"/>
              </w:rPr>
            </w:pPr>
            <w:r w:rsidRPr="004277CA">
              <w:rPr>
                <w:rFonts w:cs="Arial"/>
                <w:bCs/>
                <w:sz w:val="21"/>
                <w:szCs w:val="21"/>
                <w:u w:val="single"/>
              </w:rPr>
              <w:t>Annual:</w:t>
            </w:r>
            <w:r w:rsidR="004277CA" w:rsidRPr="004277CA">
              <w:rPr>
                <w:rFonts w:cs="Arial"/>
                <w:bCs/>
                <w:sz w:val="21"/>
                <w:szCs w:val="21"/>
              </w:rPr>
              <w:t xml:space="preserve"> </w:t>
            </w:r>
            <w:r w:rsidRPr="004277CA">
              <w:rPr>
                <w:rFonts w:cs="Arial"/>
                <w:color w:val="000000"/>
                <w:sz w:val="21"/>
                <w:szCs w:val="21"/>
              </w:rPr>
              <w:t>1</w:t>
            </w:r>
            <w:r w:rsidR="00065F33">
              <w:rPr>
                <w:rFonts w:cs="Arial"/>
                <w:color w:val="000000"/>
                <w:sz w:val="21"/>
                <w:szCs w:val="21"/>
              </w:rPr>
              <w:t>4,265</w:t>
            </w:r>
            <w:r w:rsidRPr="004277CA">
              <w:rPr>
                <w:rFonts w:cs="Arial"/>
                <w:color w:val="000000"/>
                <w:sz w:val="21"/>
                <w:szCs w:val="21"/>
                <w:lang w:val="en-US"/>
              </w:rPr>
              <w:t xml:space="preserve"> </w:t>
            </w:r>
            <w:r w:rsidR="00507983" w:rsidRPr="004277CA">
              <w:rPr>
                <w:rFonts w:cs="Arial"/>
                <w:bCs/>
                <w:sz w:val="21"/>
                <w:szCs w:val="21"/>
              </w:rPr>
              <w:t>HHs</w:t>
            </w:r>
            <w:r w:rsidRPr="004277CA">
              <w:rPr>
                <w:rFonts w:cs="Arial"/>
                <w:bCs/>
                <w:sz w:val="21"/>
                <w:szCs w:val="21"/>
              </w:rPr>
              <w:t xml:space="preserve"> received homestead garden inputs and complete</w:t>
            </w:r>
            <w:r w:rsidR="00065F33">
              <w:rPr>
                <w:rFonts w:cs="Arial"/>
                <w:bCs/>
                <w:sz w:val="21"/>
                <w:szCs w:val="21"/>
              </w:rPr>
              <w:t>d</w:t>
            </w:r>
            <w:r w:rsidRPr="004277CA">
              <w:rPr>
                <w:rFonts w:cs="Arial"/>
                <w:bCs/>
                <w:sz w:val="21"/>
                <w:szCs w:val="21"/>
              </w:rPr>
              <w:t xml:space="preserve"> all training</w:t>
            </w:r>
          </w:p>
        </w:tc>
      </w:tr>
      <w:tr w:rsidR="004619B9" w:rsidRPr="00905C05" w:rsidTr="00B55BED">
        <w:tc>
          <w:tcPr>
            <w:tcW w:w="2902" w:type="dxa"/>
            <w:tcMar>
              <w:top w:w="57" w:type="dxa"/>
              <w:left w:w="57" w:type="dxa"/>
              <w:bottom w:w="57" w:type="dxa"/>
              <w:right w:w="57" w:type="dxa"/>
            </w:tcMar>
          </w:tcPr>
          <w:p w:rsidR="004619B9" w:rsidRPr="004277CA" w:rsidRDefault="004619B9" w:rsidP="00B55BED">
            <w:pPr>
              <w:rPr>
                <w:rFonts w:cs="Arial"/>
                <w:bCs/>
                <w:sz w:val="21"/>
                <w:szCs w:val="21"/>
              </w:rPr>
            </w:pPr>
            <w:r w:rsidRPr="004277CA">
              <w:rPr>
                <w:rFonts w:cs="Arial"/>
                <w:bCs/>
                <w:sz w:val="21"/>
                <w:szCs w:val="21"/>
              </w:rPr>
              <w:t xml:space="preserve">2.4 </w:t>
            </w:r>
            <w:r w:rsidRPr="004277CA">
              <w:rPr>
                <w:rFonts w:cs="Arial"/>
                <w:sz w:val="21"/>
                <w:szCs w:val="21"/>
              </w:rPr>
              <w:t xml:space="preserve"> </w:t>
            </w:r>
            <w:r w:rsidRPr="004277CA">
              <w:rPr>
                <w:rFonts w:cs="Arial"/>
                <w:bCs/>
                <w:sz w:val="21"/>
                <w:szCs w:val="21"/>
              </w:rPr>
              <w:t>Number of Village Development Committees (VDC) established and operational</w:t>
            </w:r>
            <w:r w:rsidR="00EF02D3">
              <w:rPr>
                <w:rFonts w:cs="Arial"/>
                <w:bCs/>
                <w:sz w:val="21"/>
                <w:szCs w:val="21"/>
              </w:rPr>
              <w:t xml:space="preserve"> </w:t>
            </w:r>
            <w:r w:rsidR="00220AB8">
              <w:rPr>
                <w:rFonts w:cs="Arial"/>
                <w:bCs/>
                <w:color w:val="FF0000"/>
                <w:sz w:val="21"/>
                <w:szCs w:val="21"/>
              </w:rPr>
              <w:t>[A</w:t>
            </w:r>
            <w:r w:rsidR="00E229B9" w:rsidRPr="00E229B9">
              <w:rPr>
                <w:rFonts w:cs="Arial"/>
                <w:bCs/>
                <w:color w:val="FF0000"/>
                <w:sz w:val="21"/>
                <w:szCs w:val="21"/>
              </w:rPr>
              <w:t>]</w:t>
            </w:r>
          </w:p>
        </w:tc>
        <w:tc>
          <w:tcPr>
            <w:tcW w:w="3737" w:type="dxa"/>
            <w:tcMar>
              <w:top w:w="57" w:type="dxa"/>
              <w:left w:w="57" w:type="dxa"/>
              <w:bottom w:w="57" w:type="dxa"/>
              <w:right w:w="57" w:type="dxa"/>
            </w:tcMar>
          </w:tcPr>
          <w:p w:rsidR="004619B9" w:rsidRPr="004277CA" w:rsidRDefault="004619B9" w:rsidP="00B55BED">
            <w:pPr>
              <w:spacing w:after="80"/>
              <w:rPr>
                <w:rFonts w:cs="Arial"/>
                <w:bCs/>
                <w:sz w:val="21"/>
                <w:szCs w:val="21"/>
              </w:rPr>
            </w:pPr>
            <w:r w:rsidRPr="004277CA">
              <w:rPr>
                <w:rFonts w:cs="Arial"/>
                <w:bCs/>
                <w:sz w:val="21"/>
                <w:szCs w:val="21"/>
                <w:u w:val="single"/>
              </w:rPr>
              <w:t>Cum:</w:t>
            </w:r>
            <w:r w:rsidR="004277CA" w:rsidRPr="004277CA">
              <w:rPr>
                <w:rFonts w:cs="Arial"/>
                <w:bCs/>
                <w:sz w:val="21"/>
                <w:szCs w:val="21"/>
                <w:u w:val="single"/>
              </w:rPr>
              <w:t xml:space="preserve"> </w:t>
            </w:r>
            <w:r w:rsidRPr="004277CA">
              <w:rPr>
                <w:rFonts w:cs="Arial"/>
                <w:bCs/>
                <w:sz w:val="21"/>
                <w:szCs w:val="21"/>
              </w:rPr>
              <w:t>465 VDCs formed</w:t>
            </w:r>
          </w:p>
          <w:p w:rsidR="004619B9" w:rsidRPr="004277CA" w:rsidRDefault="004619B9" w:rsidP="00B55BED">
            <w:pPr>
              <w:rPr>
                <w:rFonts w:cs="Arial"/>
                <w:bCs/>
                <w:sz w:val="21"/>
                <w:szCs w:val="21"/>
              </w:rPr>
            </w:pPr>
            <w:r w:rsidRPr="004277CA">
              <w:rPr>
                <w:rFonts w:cs="Arial"/>
                <w:bCs/>
                <w:sz w:val="21"/>
                <w:szCs w:val="21"/>
                <w:u w:val="single"/>
              </w:rPr>
              <w:t>Annual:</w:t>
            </w:r>
            <w:r w:rsidRPr="004277CA">
              <w:rPr>
                <w:rFonts w:cs="Arial"/>
                <w:bCs/>
                <w:sz w:val="21"/>
                <w:szCs w:val="21"/>
              </w:rPr>
              <w:t xml:space="preserve"> 71 VDCs formed</w:t>
            </w:r>
          </w:p>
        </w:tc>
        <w:tc>
          <w:tcPr>
            <w:tcW w:w="3737" w:type="dxa"/>
            <w:tcMar>
              <w:top w:w="57" w:type="dxa"/>
              <w:left w:w="57" w:type="dxa"/>
              <w:bottom w:w="57" w:type="dxa"/>
              <w:right w:w="57" w:type="dxa"/>
            </w:tcMar>
          </w:tcPr>
          <w:p w:rsidR="004619B9" w:rsidRPr="004277CA" w:rsidRDefault="004619B9" w:rsidP="00B55BED">
            <w:pPr>
              <w:spacing w:after="80"/>
              <w:rPr>
                <w:rFonts w:cs="Arial"/>
                <w:bCs/>
                <w:sz w:val="21"/>
                <w:szCs w:val="21"/>
              </w:rPr>
            </w:pPr>
            <w:r w:rsidRPr="004277CA">
              <w:rPr>
                <w:rFonts w:cs="Arial"/>
                <w:bCs/>
                <w:sz w:val="21"/>
                <w:szCs w:val="21"/>
                <w:u w:val="single"/>
              </w:rPr>
              <w:t>Cum:</w:t>
            </w:r>
            <w:r w:rsidR="004277CA" w:rsidRPr="004277CA">
              <w:rPr>
                <w:rFonts w:cs="Arial"/>
                <w:bCs/>
                <w:sz w:val="21"/>
                <w:szCs w:val="21"/>
              </w:rPr>
              <w:t xml:space="preserve"> </w:t>
            </w:r>
            <w:r w:rsidRPr="004277CA">
              <w:rPr>
                <w:rFonts w:cs="Arial"/>
                <w:bCs/>
                <w:sz w:val="21"/>
                <w:szCs w:val="21"/>
              </w:rPr>
              <w:t>465 VDCs formed</w:t>
            </w:r>
          </w:p>
          <w:p w:rsidR="004619B9" w:rsidRPr="004277CA" w:rsidRDefault="004619B9" w:rsidP="00B55BED">
            <w:pPr>
              <w:rPr>
                <w:rFonts w:cs="Arial"/>
                <w:bCs/>
                <w:sz w:val="21"/>
                <w:szCs w:val="21"/>
              </w:rPr>
            </w:pPr>
            <w:r w:rsidRPr="004277CA">
              <w:rPr>
                <w:rFonts w:cs="Arial"/>
                <w:bCs/>
                <w:sz w:val="21"/>
                <w:szCs w:val="21"/>
                <w:u w:val="single"/>
              </w:rPr>
              <w:t>Annua</w:t>
            </w:r>
            <w:r w:rsidR="004277CA" w:rsidRPr="004277CA">
              <w:rPr>
                <w:rFonts w:cs="Arial"/>
                <w:bCs/>
                <w:sz w:val="21"/>
                <w:szCs w:val="21"/>
                <w:u w:val="single"/>
              </w:rPr>
              <w:t>l</w:t>
            </w:r>
            <w:r w:rsidRPr="004277CA">
              <w:rPr>
                <w:rFonts w:cs="Arial"/>
                <w:bCs/>
                <w:sz w:val="21"/>
                <w:szCs w:val="21"/>
                <w:u w:val="single"/>
              </w:rPr>
              <w:t>:</w:t>
            </w:r>
            <w:r w:rsidR="004277CA" w:rsidRPr="004277CA">
              <w:rPr>
                <w:rFonts w:cs="Arial"/>
                <w:bCs/>
                <w:sz w:val="21"/>
                <w:szCs w:val="21"/>
              </w:rPr>
              <w:t xml:space="preserve"> </w:t>
            </w:r>
            <w:r w:rsidRPr="004277CA">
              <w:rPr>
                <w:rFonts w:cs="Arial"/>
                <w:bCs/>
                <w:sz w:val="21"/>
                <w:szCs w:val="21"/>
              </w:rPr>
              <w:t>71 VDCs formed</w:t>
            </w:r>
          </w:p>
        </w:tc>
      </w:tr>
    </w:tbl>
    <w:p w:rsidR="001248D5" w:rsidRPr="00D778EF" w:rsidRDefault="001248D5" w:rsidP="00265145">
      <w:pPr>
        <w:pStyle w:val="Heading2"/>
        <w:spacing w:after="120"/>
        <w:rPr>
          <w:i w:val="0"/>
          <w:sz w:val="22"/>
          <w:szCs w:val="22"/>
        </w:rPr>
      </w:pPr>
      <w:r w:rsidRPr="00D778EF">
        <w:rPr>
          <w:i w:val="0"/>
          <w:sz w:val="22"/>
          <w:szCs w:val="22"/>
        </w:rPr>
        <w:t>Key Points</w:t>
      </w:r>
    </w:p>
    <w:p w:rsidR="001248D5" w:rsidRPr="0027531A" w:rsidRDefault="001248D5" w:rsidP="00641A4E">
      <w:pPr>
        <w:pStyle w:val="ListParagraph"/>
        <w:numPr>
          <w:ilvl w:val="0"/>
          <w:numId w:val="3"/>
        </w:numPr>
        <w:ind w:left="284" w:hanging="284"/>
        <w:jc w:val="both"/>
        <w:rPr>
          <w:rFonts w:cs="Arial"/>
          <w:bCs/>
          <w:sz w:val="22"/>
          <w:szCs w:val="22"/>
        </w:rPr>
      </w:pPr>
      <w:r w:rsidRPr="0027531A">
        <w:rPr>
          <w:rFonts w:cs="Arial"/>
          <w:bCs/>
          <w:sz w:val="22"/>
          <w:szCs w:val="22"/>
        </w:rPr>
        <w:t xml:space="preserve">Milestones for all four indicators under this output have been met in the past 12 months, in spite of challenges resulting from political disturbances (blockades and hartals) at both the beginning and end of the reporting period. </w:t>
      </w:r>
      <w:r w:rsidRPr="00977245">
        <w:rPr>
          <w:rFonts w:cs="Arial"/>
          <w:bCs/>
          <w:sz w:val="22"/>
          <w:szCs w:val="22"/>
        </w:rPr>
        <w:t xml:space="preserve">The sustainability of </w:t>
      </w:r>
      <w:r w:rsidR="0027531A" w:rsidRPr="00977245">
        <w:rPr>
          <w:rFonts w:cs="Arial"/>
          <w:bCs/>
          <w:sz w:val="22"/>
          <w:szCs w:val="22"/>
        </w:rPr>
        <w:t xml:space="preserve">some of </w:t>
      </w:r>
      <w:r w:rsidRPr="00977245">
        <w:rPr>
          <w:rFonts w:cs="Arial"/>
          <w:bCs/>
          <w:sz w:val="22"/>
          <w:szCs w:val="22"/>
        </w:rPr>
        <w:t xml:space="preserve">these outputs, however, and their ability to contribute to </w:t>
      </w:r>
      <w:r w:rsidR="00B55BED" w:rsidRPr="00977245">
        <w:rPr>
          <w:rFonts w:cs="Arial"/>
          <w:bCs/>
          <w:sz w:val="22"/>
          <w:szCs w:val="22"/>
        </w:rPr>
        <w:t xml:space="preserve">the </w:t>
      </w:r>
      <w:r w:rsidRPr="00977245">
        <w:rPr>
          <w:rFonts w:cs="Arial"/>
          <w:bCs/>
          <w:sz w:val="22"/>
          <w:szCs w:val="22"/>
        </w:rPr>
        <w:t xml:space="preserve">intended outcomes </w:t>
      </w:r>
      <w:r w:rsidR="00B55BED" w:rsidRPr="00977245">
        <w:rPr>
          <w:rFonts w:cs="Arial"/>
          <w:bCs/>
          <w:sz w:val="22"/>
          <w:szCs w:val="22"/>
        </w:rPr>
        <w:t xml:space="preserve">is less </w:t>
      </w:r>
      <w:r w:rsidR="0027531A" w:rsidRPr="00977245">
        <w:rPr>
          <w:rFonts w:cs="Arial"/>
          <w:bCs/>
          <w:sz w:val="22"/>
          <w:szCs w:val="22"/>
        </w:rPr>
        <w:t xml:space="preserve">clear </w:t>
      </w:r>
      <w:r w:rsidR="00B55BED" w:rsidRPr="00977245">
        <w:rPr>
          <w:rFonts w:cs="Arial"/>
          <w:bCs/>
          <w:sz w:val="22"/>
          <w:szCs w:val="22"/>
        </w:rPr>
        <w:t xml:space="preserve">and requires a strong focus </w:t>
      </w:r>
      <w:r w:rsidRPr="00977245">
        <w:rPr>
          <w:rFonts w:cs="Arial"/>
          <w:bCs/>
          <w:sz w:val="22"/>
          <w:szCs w:val="22"/>
        </w:rPr>
        <w:t xml:space="preserve">in the remaining period. </w:t>
      </w:r>
    </w:p>
    <w:p w:rsidR="001248D5" w:rsidRPr="00B55BED" w:rsidRDefault="001248D5" w:rsidP="00B55BED">
      <w:pPr>
        <w:pStyle w:val="ListParagraph"/>
        <w:numPr>
          <w:ilvl w:val="0"/>
          <w:numId w:val="3"/>
        </w:numPr>
        <w:ind w:left="284" w:hanging="284"/>
        <w:jc w:val="both"/>
        <w:rPr>
          <w:rFonts w:cs="Arial"/>
          <w:bCs/>
          <w:sz w:val="22"/>
          <w:szCs w:val="22"/>
        </w:rPr>
      </w:pPr>
      <w:r w:rsidRPr="00B55BED">
        <w:rPr>
          <w:rFonts w:cs="Arial"/>
          <w:bCs/>
          <w:sz w:val="22"/>
          <w:szCs w:val="22"/>
        </w:rPr>
        <w:t>While average asset productivity remains high, this masks significant variance among CPHH</w:t>
      </w:r>
      <w:r w:rsidR="00230B2D">
        <w:rPr>
          <w:rFonts w:cs="Arial"/>
          <w:bCs/>
          <w:sz w:val="22"/>
          <w:szCs w:val="22"/>
        </w:rPr>
        <w:t>s</w:t>
      </w:r>
      <w:r w:rsidRPr="00B55BED">
        <w:rPr>
          <w:rFonts w:cs="Arial"/>
          <w:bCs/>
          <w:sz w:val="22"/>
          <w:szCs w:val="22"/>
        </w:rPr>
        <w:t>. Village level demonstration of good practice in key livelihoods areas – notably cattle husbandry – is viewed to be one approach that has a positive impact on understanding and adoption of appropriate techniques, leading to improved asset productivity.</w:t>
      </w:r>
    </w:p>
    <w:p w:rsidR="001248D5" w:rsidRPr="00230B2D" w:rsidRDefault="00B55BED" w:rsidP="001248D5">
      <w:pPr>
        <w:pStyle w:val="ListParagraph"/>
        <w:numPr>
          <w:ilvl w:val="0"/>
          <w:numId w:val="3"/>
        </w:numPr>
        <w:ind w:left="284" w:hanging="284"/>
        <w:jc w:val="both"/>
        <w:rPr>
          <w:rFonts w:cs="Arial"/>
          <w:b/>
          <w:bCs/>
          <w:sz w:val="22"/>
          <w:szCs w:val="22"/>
        </w:rPr>
      </w:pPr>
      <w:r w:rsidRPr="00FF3FE3">
        <w:rPr>
          <w:rFonts w:cs="Arial"/>
          <w:bCs/>
          <w:sz w:val="22"/>
          <w:szCs w:val="22"/>
        </w:rPr>
        <w:t>T</w:t>
      </w:r>
      <w:r w:rsidR="001248D5" w:rsidRPr="00FF3FE3">
        <w:rPr>
          <w:rFonts w:cs="Arial"/>
          <w:bCs/>
          <w:sz w:val="22"/>
          <w:szCs w:val="22"/>
        </w:rPr>
        <w:t xml:space="preserve">he milestones </w:t>
      </w:r>
      <w:r w:rsidR="00AC24A5" w:rsidRPr="00FF3FE3">
        <w:rPr>
          <w:rFonts w:cs="Arial"/>
          <w:bCs/>
          <w:sz w:val="22"/>
          <w:szCs w:val="22"/>
        </w:rPr>
        <w:t xml:space="preserve">for indicator 2.4 track </w:t>
      </w:r>
      <w:r w:rsidR="00A66751" w:rsidRPr="00FF3FE3">
        <w:rPr>
          <w:rFonts w:cs="Arial"/>
          <w:bCs/>
          <w:sz w:val="22"/>
          <w:szCs w:val="22"/>
        </w:rPr>
        <w:t xml:space="preserve">the </w:t>
      </w:r>
      <w:r w:rsidR="00AC24A5" w:rsidRPr="00FF3FE3">
        <w:rPr>
          <w:rFonts w:cs="Arial"/>
          <w:bCs/>
          <w:sz w:val="22"/>
          <w:szCs w:val="22"/>
        </w:rPr>
        <w:t xml:space="preserve">number of </w:t>
      </w:r>
      <w:r w:rsidR="001248D5" w:rsidRPr="00FF3FE3">
        <w:rPr>
          <w:rFonts w:cs="Arial"/>
          <w:bCs/>
          <w:sz w:val="22"/>
          <w:szCs w:val="22"/>
        </w:rPr>
        <w:t xml:space="preserve">VDCs </w:t>
      </w:r>
      <w:r w:rsidR="00AC24A5" w:rsidRPr="00FF3FE3">
        <w:rPr>
          <w:rFonts w:cs="Arial"/>
          <w:bCs/>
          <w:sz w:val="22"/>
          <w:szCs w:val="22"/>
        </w:rPr>
        <w:t xml:space="preserve">formed but </w:t>
      </w:r>
      <w:r w:rsidR="00392219">
        <w:rPr>
          <w:rFonts w:cs="Arial"/>
          <w:bCs/>
          <w:sz w:val="22"/>
          <w:szCs w:val="22"/>
        </w:rPr>
        <w:t xml:space="preserve">do </w:t>
      </w:r>
      <w:r w:rsidR="00AC24A5" w:rsidRPr="00FF3FE3">
        <w:rPr>
          <w:rFonts w:cs="Arial"/>
          <w:bCs/>
          <w:sz w:val="22"/>
          <w:szCs w:val="22"/>
        </w:rPr>
        <w:t xml:space="preserve">not </w:t>
      </w:r>
      <w:r w:rsidR="00392219">
        <w:rPr>
          <w:rFonts w:cs="Arial"/>
          <w:bCs/>
          <w:sz w:val="22"/>
          <w:szCs w:val="22"/>
        </w:rPr>
        <w:t xml:space="preserve">tell us </w:t>
      </w:r>
      <w:r w:rsidR="00AC1B3A">
        <w:rPr>
          <w:rFonts w:cs="Arial"/>
          <w:bCs/>
          <w:sz w:val="22"/>
          <w:szCs w:val="22"/>
        </w:rPr>
        <w:t xml:space="preserve">much </w:t>
      </w:r>
      <w:r w:rsidR="00392219">
        <w:rPr>
          <w:rFonts w:cs="Arial"/>
          <w:bCs/>
          <w:sz w:val="22"/>
          <w:szCs w:val="22"/>
        </w:rPr>
        <w:t xml:space="preserve">about </w:t>
      </w:r>
      <w:r w:rsidR="001248D5" w:rsidRPr="00FF3FE3">
        <w:rPr>
          <w:rFonts w:cs="Arial"/>
          <w:bCs/>
          <w:sz w:val="22"/>
          <w:szCs w:val="22"/>
        </w:rPr>
        <w:t xml:space="preserve">whether they </w:t>
      </w:r>
      <w:r w:rsidR="00AC24A5" w:rsidRPr="00FF3FE3">
        <w:rPr>
          <w:rFonts w:cs="Arial"/>
          <w:bCs/>
          <w:sz w:val="22"/>
          <w:szCs w:val="22"/>
        </w:rPr>
        <w:t>are operational</w:t>
      </w:r>
      <w:r w:rsidR="00AC1B3A">
        <w:rPr>
          <w:rFonts w:cs="Arial"/>
          <w:bCs/>
          <w:sz w:val="22"/>
          <w:szCs w:val="22"/>
        </w:rPr>
        <w:t xml:space="preserve"> and</w:t>
      </w:r>
      <w:r w:rsidR="00AC24A5" w:rsidRPr="00FF3FE3">
        <w:rPr>
          <w:rFonts w:cs="Arial"/>
          <w:bCs/>
          <w:sz w:val="22"/>
          <w:szCs w:val="22"/>
        </w:rPr>
        <w:t xml:space="preserve"> sustainable. </w:t>
      </w:r>
      <w:r w:rsidR="001248D5" w:rsidRPr="00FF3FE3">
        <w:rPr>
          <w:rFonts w:cs="Arial"/>
          <w:bCs/>
          <w:sz w:val="22"/>
          <w:szCs w:val="22"/>
        </w:rPr>
        <w:t>From January 2015 efforts are underway to institutionalise the VDCs</w:t>
      </w:r>
      <w:r w:rsidR="00350F69" w:rsidRPr="00FF3FE3">
        <w:rPr>
          <w:rFonts w:cs="Arial"/>
          <w:bCs/>
          <w:sz w:val="22"/>
          <w:szCs w:val="22"/>
        </w:rPr>
        <w:t xml:space="preserve"> and make them more sustainable beyond the end of the project. A consultant repo</w:t>
      </w:r>
      <w:r w:rsidR="008C7A79">
        <w:rPr>
          <w:rFonts w:cs="Arial"/>
          <w:bCs/>
          <w:sz w:val="22"/>
          <w:szCs w:val="22"/>
        </w:rPr>
        <w:t>rt has proposed a range of acti</w:t>
      </w:r>
      <w:r w:rsidR="00350F69" w:rsidRPr="00FF3FE3">
        <w:rPr>
          <w:rFonts w:cs="Arial"/>
          <w:bCs/>
          <w:sz w:val="22"/>
          <w:szCs w:val="22"/>
        </w:rPr>
        <w:t>v</w:t>
      </w:r>
      <w:r w:rsidR="008C7A79">
        <w:rPr>
          <w:rFonts w:cs="Arial"/>
          <w:bCs/>
          <w:sz w:val="22"/>
          <w:szCs w:val="22"/>
        </w:rPr>
        <w:t>i</w:t>
      </w:r>
      <w:r w:rsidR="00350F69" w:rsidRPr="00FF3FE3">
        <w:rPr>
          <w:rFonts w:cs="Arial"/>
          <w:bCs/>
          <w:sz w:val="22"/>
          <w:szCs w:val="22"/>
        </w:rPr>
        <w:t>ties to achieve this</w:t>
      </w:r>
      <w:r w:rsidR="008C7A79">
        <w:rPr>
          <w:rFonts w:cs="Arial"/>
          <w:bCs/>
          <w:sz w:val="22"/>
          <w:szCs w:val="22"/>
        </w:rPr>
        <w:t>,</w:t>
      </w:r>
      <w:r w:rsidR="00350F69" w:rsidRPr="00FF3FE3">
        <w:rPr>
          <w:rFonts w:cs="Arial"/>
          <w:bCs/>
          <w:sz w:val="22"/>
          <w:szCs w:val="22"/>
        </w:rPr>
        <w:t xml:space="preserve"> including registration as a trust, </w:t>
      </w:r>
      <w:r w:rsidR="009F7B80">
        <w:rPr>
          <w:rFonts w:cs="Arial"/>
          <w:bCs/>
          <w:sz w:val="22"/>
          <w:szCs w:val="22"/>
        </w:rPr>
        <w:t>‘</w:t>
      </w:r>
      <w:r w:rsidR="00350F69" w:rsidRPr="00FF3FE3">
        <w:rPr>
          <w:rFonts w:cs="Arial"/>
          <w:bCs/>
          <w:sz w:val="22"/>
          <w:szCs w:val="22"/>
        </w:rPr>
        <w:t>choosing</w:t>
      </w:r>
      <w:r w:rsidR="009F7B80">
        <w:rPr>
          <w:rFonts w:cs="Arial"/>
          <w:bCs/>
          <w:sz w:val="22"/>
          <w:szCs w:val="22"/>
        </w:rPr>
        <w:t>’</w:t>
      </w:r>
      <w:r w:rsidR="00350F69" w:rsidRPr="00FF3FE3">
        <w:rPr>
          <w:rFonts w:cs="Arial"/>
          <w:bCs/>
          <w:sz w:val="22"/>
          <w:szCs w:val="22"/>
        </w:rPr>
        <w:t xml:space="preserve"> appropriate activities for VDCs</w:t>
      </w:r>
      <w:r w:rsidR="008C7A79">
        <w:rPr>
          <w:rFonts w:cs="Arial"/>
          <w:bCs/>
          <w:sz w:val="22"/>
          <w:szCs w:val="22"/>
        </w:rPr>
        <w:t xml:space="preserve">, </w:t>
      </w:r>
      <w:r w:rsidR="00507983">
        <w:rPr>
          <w:rFonts w:cs="Arial"/>
          <w:bCs/>
          <w:sz w:val="22"/>
          <w:szCs w:val="22"/>
        </w:rPr>
        <w:t>establishing</w:t>
      </w:r>
      <w:r w:rsidR="008C7A79">
        <w:rPr>
          <w:rFonts w:cs="Arial"/>
          <w:bCs/>
          <w:sz w:val="22"/>
          <w:szCs w:val="22"/>
        </w:rPr>
        <w:t xml:space="preserve"> </w:t>
      </w:r>
      <w:r w:rsidR="00350F69" w:rsidRPr="00FF3FE3">
        <w:rPr>
          <w:rFonts w:cs="Arial"/>
          <w:bCs/>
          <w:sz w:val="22"/>
          <w:szCs w:val="22"/>
        </w:rPr>
        <w:t>collective enterprise</w:t>
      </w:r>
      <w:r w:rsidR="008C7A79">
        <w:rPr>
          <w:rFonts w:cs="Arial"/>
          <w:bCs/>
          <w:sz w:val="22"/>
          <w:szCs w:val="22"/>
        </w:rPr>
        <w:t>s</w:t>
      </w:r>
      <w:r w:rsidR="00350F69" w:rsidRPr="00FF3FE3">
        <w:rPr>
          <w:rFonts w:cs="Arial"/>
          <w:bCs/>
          <w:sz w:val="22"/>
          <w:szCs w:val="22"/>
        </w:rPr>
        <w:t xml:space="preserve"> to cover VDC running costs, and creating linkages to government and NGOs. Some of </w:t>
      </w:r>
      <w:r w:rsidR="00A3640C" w:rsidRPr="00FF3FE3">
        <w:rPr>
          <w:rFonts w:cs="Arial"/>
          <w:bCs/>
          <w:sz w:val="22"/>
          <w:szCs w:val="22"/>
        </w:rPr>
        <w:t xml:space="preserve">these </w:t>
      </w:r>
      <w:r w:rsidR="00A3640C">
        <w:rPr>
          <w:rFonts w:cs="Arial"/>
          <w:bCs/>
          <w:sz w:val="22"/>
          <w:szCs w:val="22"/>
        </w:rPr>
        <w:t>sounds</w:t>
      </w:r>
      <w:r w:rsidR="009F7B80">
        <w:rPr>
          <w:rFonts w:cs="Arial"/>
          <w:bCs/>
          <w:sz w:val="22"/>
          <w:szCs w:val="22"/>
        </w:rPr>
        <w:t xml:space="preserve"> sensible but others, such as the creation of collective enterprises and choosing set activities for VDCs, are unlikely to succeed or yield the desired effect. </w:t>
      </w:r>
    </w:p>
    <w:p w:rsidR="00230B2D" w:rsidRPr="00147154" w:rsidRDefault="00230B2D" w:rsidP="00230B2D">
      <w:pPr>
        <w:pStyle w:val="ListParagraph"/>
        <w:ind w:left="284"/>
        <w:jc w:val="both"/>
        <w:rPr>
          <w:rFonts w:cs="Arial"/>
          <w:b/>
          <w:bCs/>
          <w:sz w:val="4"/>
          <w:szCs w:val="22"/>
        </w:rPr>
      </w:pPr>
    </w:p>
    <w:p w:rsidR="001248D5" w:rsidRPr="00F82D5D" w:rsidRDefault="001248D5" w:rsidP="00265145">
      <w:pPr>
        <w:keepNext/>
        <w:spacing w:before="240" w:after="120"/>
        <w:outlineLvl w:val="1"/>
        <w:rPr>
          <w:rFonts w:cs="Arial"/>
          <w:b/>
          <w:bCs/>
          <w:sz w:val="22"/>
          <w:szCs w:val="22"/>
        </w:rPr>
      </w:pPr>
      <w:r w:rsidRPr="00F82D5D">
        <w:rPr>
          <w:rFonts w:cs="Arial"/>
          <w:b/>
          <w:bCs/>
          <w:sz w:val="22"/>
          <w:szCs w:val="22"/>
        </w:rPr>
        <w:t xml:space="preserve">Summary of responses to issues raised in previous annual reviews (where relevant)  </w:t>
      </w:r>
    </w:p>
    <w:p w:rsidR="001248D5" w:rsidRDefault="00B55BED" w:rsidP="00B55BED">
      <w:pPr>
        <w:pStyle w:val="ListParagraph"/>
        <w:numPr>
          <w:ilvl w:val="0"/>
          <w:numId w:val="3"/>
        </w:numPr>
        <w:ind w:left="284" w:hanging="284"/>
        <w:jc w:val="both"/>
        <w:rPr>
          <w:rFonts w:cs="Arial"/>
          <w:bCs/>
          <w:sz w:val="22"/>
          <w:szCs w:val="22"/>
        </w:rPr>
      </w:pPr>
      <w:r w:rsidRPr="00FF4AC7">
        <w:rPr>
          <w:rFonts w:cs="Arial"/>
          <w:bCs/>
          <w:sz w:val="22"/>
          <w:szCs w:val="22"/>
        </w:rPr>
        <w:t xml:space="preserve">Structured phase-out plan for VDCs has been developed with the support of an external consultant. From January 2015, CLP has begun to implement new activities for strengthening and smooth phase-out of VDCs as recommended in Consultants Report.   </w:t>
      </w:r>
    </w:p>
    <w:p w:rsidR="00230B2D" w:rsidRPr="00147154" w:rsidRDefault="00230B2D" w:rsidP="00230B2D">
      <w:pPr>
        <w:pStyle w:val="ListParagraph"/>
        <w:ind w:left="284"/>
        <w:jc w:val="both"/>
        <w:rPr>
          <w:rFonts w:cs="Arial"/>
          <w:bCs/>
          <w:sz w:val="4"/>
          <w:szCs w:val="22"/>
        </w:rPr>
      </w:pPr>
    </w:p>
    <w:p w:rsidR="001248D5" w:rsidRPr="006A2C51" w:rsidRDefault="001248D5" w:rsidP="00265145">
      <w:pPr>
        <w:keepNext/>
        <w:spacing w:before="240" w:after="120"/>
        <w:outlineLvl w:val="1"/>
        <w:rPr>
          <w:rFonts w:cs="Arial"/>
          <w:b/>
          <w:bCs/>
          <w:sz w:val="22"/>
          <w:szCs w:val="22"/>
        </w:rPr>
      </w:pPr>
      <w:r w:rsidRPr="006A2C51">
        <w:rPr>
          <w:rFonts w:cs="Arial"/>
          <w:b/>
          <w:bCs/>
          <w:sz w:val="22"/>
          <w:szCs w:val="22"/>
        </w:rPr>
        <w:t>Recommendations</w:t>
      </w:r>
    </w:p>
    <w:p w:rsidR="00BF7016" w:rsidRDefault="00F97875" w:rsidP="00FF4AC7">
      <w:pPr>
        <w:pStyle w:val="ListParagraph"/>
        <w:numPr>
          <w:ilvl w:val="0"/>
          <w:numId w:val="21"/>
        </w:numPr>
        <w:spacing w:after="60"/>
        <w:ind w:left="510" w:hanging="510"/>
        <w:contextualSpacing w:val="0"/>
        <w:rPr>
          <w:rFonts w:cs="Arial"/>
          <w:bCs/>
          <w:sz w:val="22"/>
          <w:szCs w:val="22"/>
        </w:rPr>
      </w:pPr>
      <w:r>
        <w:rPr>
          <w:rFonts w:cs="Arial"/>
          <w:bCs/>
          <w:sz w:val="22"/>
          <w:szCs w:val="22"/>
        </w:rPr>
        <w:t>CLP to r</w:t>
      </w:r>
      <w:r w:rsidR="00BF7016">
        <w:rPr>
          <w:rFonts w:cs="Arial"/>
          <w:bCs/>
          <w:sz w:val="22"/>
          <w:szCs w:val="22"/>
        </w:rPr>
        <w:t>eview</w:t>
      </w:r>
      <w:r w:rsidR="00F036AE">
        <w:rPr>
          <w:rFonts w:cs="Arial"/>
          <w:bCs/>
          <w:sz w:val="22"/>
          <w:szCs w:val="22"/>
        </w:rPr>
        <w:t xml:space="preserve"> recommendations of the study on VDC sustainability </w:t>
      </w:r>
      <w:r w:rsidR="004605C3">
        <w:rPr>
          <w:rFonts w:cs="Arial"/>
          <w:bCs/>
          <w:sz w:val="22"/>
          <w:szCs w:val="22"/>
        </w:rPr>
        <w:t xml:space="preserve">and </w:t>
      </w:r>
      <w:r w:rsidR="00595659">
        <w:rPr>
          <w:rFonts w:cs="Arial"/>
          <w:bCs/>
          <w:sz w:val="22"/>
          <w:szCs w:val="22"/>
        </w:rPr>
        <w:t>agree with DFID on prioritised actions</w:t>
      </w:r>
      <w:r>
        <w:rPr>
          <w:rFonts w:cs="Arial"/>
          <w:bCs/>
          <w:sz w:val="22"/>
          <w:szCs w:val="22"/>
        </w:rPr>
        <w:t>,</w:t>
      </w:r>
      <w:r w:rsidR="00595659">
        <w:rPr>
          <w:rFonts w:cs="Arial"/>
          <w:bCs/>
          <w:sz w:val="22"/>
          <w:szCs w:val="22"/>
        </w:rPr>
        <w:t xml:space="preserve"> </w:t>
      </w:r>
      <w:r w:rsidR="00EB52AA">
        <w:rPr>
          <w:rFonts w:cs="Arial"/>
          <w:bCs/>
          <w:sz w:val="22"/>
          <w:szCs w:val="22"/>
        </w:rPr>
        <w:t xml:space="preserve">by </w:t>
      </w:r>
      <w:r w:rsidR="00595659">
        <w:rPr>
          <w:rFonts w:cs="Arial"/>
          <w:bCs/>
          <w:sz w:val="22"/>
          <w:szCs w:val="22"/>
        </w:rPr>
        <w:t>April 2015</w:t>
      </w:r>
      <w:r w:rsidR="004605C3">
        <w:rPr>
          <w:rFonts w:cs="Arial"/>
          <w:bCs/>
          <w:sz w:val="22"/>
          <w:szCs w:val="22"/>
        </w:rPr>
        <w:t xml:space="preserve">. </w:t>
      </w:r>
    </w:p>
    <w:p w:rsidR="001248D5" w:rsidRPr="00FF4AC7" w:rsidRDefault="005B7EE2" w:rsidP="00FF4AC7">
      <w:pPr>
        <w:pStyle w:val="ListParagraph"/>
        <w:numPr>
          <w:ilvl w:val="0"/>
          <w:numId w:val="21"/>
        </w:numPr>
        <w:spacing w:after="60"/>
        <w:ind w:left="510" w:hanging="510"/>
        <w:contextualSpacing w:val="0"/>
        <w:rPr>
          <w:rFonts w:cs="Arial"/>
          <w:bCs/>
          <w:sz w:val="22"/>
          <w:szCs w:val="22"/>
        </w:rPr>
      </w:pPr>
      <w:r>
        <w:rPr>
          <w:rFonts w:cs="Arial"/>
          <w:bCs/>
          <w:sz w:val="22"/>
          <w:szCs w:val="22"/>
        </w:rPr>
        <w:t>CLP to agree with DFID on prioritised role</w:t>
      </w:r>
      <w:r w:rsidR="00FF3FE3">
        <w:rPr>
          <w:rFonts w:cs="Arial"/>
          <w:bCs/>
          <w:sz w:val="22"/>
          <w:szCs w:val="22"/>
        </w:rPr>
        <w:t xml:space="preserve"> for new </w:t>
      </w:r>
      <w:r w:rsidR="00BF7016">
        <w:rPr>
          <w:rFonts w:cs="Arial"/>
          <w:bCs/>
          <w:sz w:val="22"/>
          <w:szCs w:val="22"/>
        </w:rPr>
        <w:t xml:space="preserve">Partnership </w:t>
      </w:r>
      <w:r w:rsidR="00633430">
        <w:rPr>
          <w:rFonts w:cs="Arial"/>
          <w:bCs/>
          <w:sz w:val="22"/>
          <w:szCs w:val="22"/>
        </w:rPr>
        <w:t>Director,</w:t>
      </w:r>
      <w:r>
        <w:rPr>
          <w:rFonts w:cs="Arial"/>
          <w:bCs/>
          <w:sz w:val="22"/>
          <w:szCs w:val="22"/>
        </w:rPr>
        <w:t xml:space="preserve"> to </w:t>
      </w:r>
      <w:r w:rsidR="00BF7016">
        <w:rPr>
          <w:rFonts w:cs="Arial"/>
          <w:bCs/>
          <w:sz w:val="22"/>
          <w:szCs w:val="22"/>
        </w:rPr>
        <w:t xml:space="preserve">develop </w:t>
      </w:r>
      <w:r w:rsidR="00FF3FE3">
        <w:rPr>
          <w:rFonts w:cs="Arial"/>
          <w:bCs/>
          <w:sz w:val="22"/>
          <w:szCs w:val="22"/>
        </w:rPr>
        <w:t xml:space="preserve">closer </w:t>
      </w:r>
      <w:r w:rsidR="00BF7016">
        <w:rPr>
          <w:rFonts w:cs="Arial"/>
          <w:bCs/>
          <w:sz w:val="22"/>
          <w:szCs w:val="22"/>
        </w:rPr>
        <w:t xml:space="preserve">linkages </w:t>
      </w:r>
      <w:r w:rsidR="00FF3FE3">
        <w:rPr>
          <w:rFonts w:cs="Arial"/>
          <w:bCs/>
          <w:sz w:val="22"/>
          <w:szCs w:val="22"/>
        </w:rPr>
        <w:t xml:space="preserve">between CLP </w:t>
      </w:r>
      <w:r w:rsidR="00B34D3B">
        <w:rPr>
          <w:rFonts w:cs="Arial"/>
          <w:bCs/>
          <w:sz w:val="22"/>
          <w:szCs w:val="22"/>
        </w:rPr>
        <w:t>(</w:t>
      </w:r>
      <w:r w:rsidR="00FF3FE3">
        <w:rPr>
          <w:rFonts w:cs="Arial"/>
          <w:bCs/>
          <w:sz w:val="22"/>
          <w:szCs w:val="22"/>
        </w:rPr>
        <w:t>and its C</w:t>
      </w:r>
      <w:r w:rsidR="0032475F">
        <w:rPr>
          <w:rFonts w:cs="Arial"/>
          <w:bCs/>
          <w:sz w:val="22"/>
          <w:szCs w:val="22"/>
        </w:rPr>
        <w:t>ommunity Based Organisations</w:t>
      </w:r>
      <w:r w:rsidR="00B34D3B">
        <w:rPr>
          <w:rFonts w:cs="Arial"/>
          <w:bCs/>
          <w:sz w:val="22"/>
          <w:szCs w:val="22"/>
        </w:rPr>
        <w:t>)</w:t>
      </w:r>
      <w:r w:rsidR="00FF3FE3">
        <w:rPr>
          <w:rFonts w:cs="Arial"/>
          <w:bCs/>
          <w:sz w:val="22"/>
          <w:szCs w:val="22"/>
        </w:rPr>
        <w:t xml:space="preserve"> </w:t>
      </w:r>
      <w:r w:rsidR="0094674D">
        <w:rPr>
          <w:rFonts w:cs="Arial"/>
          <w:bCs/>
          <w:sz w:val="22"/>
          <w:szCs w:val="22"/>
        </w:rPr>
        <w:t xml:space="preserve">, </w:t>
      </w:r>
      <w:r>
        <w:rPr>
          <w:rFonts w:cs="Arial"/>
          <w:bCs/>
          <w:sz w:val="22"/>
          <w:szCs w:val="22"/>
        </w:rPr>
        <w:t>other NGO</w:t>
      </w:r>
      <w:r w:rsidR="00BF7016">
        <w:rPr>
          <w:rFonts w:cs="Arial"/>
          <w:bCs/>
          <w:sz w:val="22"/>
          <w:szCs w:val="22"/>
        </w:rPr>
        <w:t xml:space="preserve"> </w:t>
      </w:r>
      <w:r>
        <w:rPr>
          <w:rFonts w:cs="Arial"/>
          <w:bCs/>
          <w:sz w:val="22"/>
          <w:szCs w:val="22"/>
        </w:rPr>
        <w:t>projects working in the chars</w:t>
      </w:r>
      <w:r w:rsidR="0094674D">
        <w:rPr>
          <w:rFonts w:cs="Arial"/>
          <w:bCs/>
          <w:sz w:val="22"/>
          <w:szCs w:val="22"/>
        </w:rPr>
        <w:t xml:space="preserve"> and other livelihoods and food security projects more generally</w:t>
      </w:r>
      <w:r>
        <w:rPr>
          <w:rFonts w:cs="Arial"/>
          <w:bCs/>
          <w:sz w:val="22"/>
          <w:szCs w:val="22"/>
        </w:rPr>
        <w:t xml:space="preserve"> </w:t>
      </w:r>
      <w:r w:rsidR="00B34D3B">
        <w:rPr>
          <w:rFonts w:cs="Arial"/>
          <w:bCs/>
          <w:sz w:val="22"/>
          <w:szCs w:val="22"/>
        </w:rPr>
        <w:t xml:space="preserve">(see also </w:t>
      </w:r>
      <w:r w:rsidR="00B34D3B" w:rsidRPr="0012571E">
        <w:rPr>
          <w:rFonts w:cs="Arial"/>
          <w:bCs/>
          <w:sz w:val="22"/>
          <w:szCs w:val="22"/>
        </w:rPr>
        <w:t>R1</w:t>
      </w:r>
      <w:r w:rsidR="0085496C" w:rsidRPr="0012571E">
        <w:rPr>
          <w:rFonts w:cs="Arial"/>
          <w:bCs/>
          <w:sz w:val="22"/>
          <w:szCs w:val="22"/>
        </w:rPr>
        <w:t>1</w:t>
      </w:r>
      <w:r w:rsidR="00AC1B3A" w:rsidRPr="0085496C">
        <w:rPr>
          <w:rFonts w:cs="Arial"/>
          <w:bCs/>
          <w:sz w:val="22"/>
          <w:szCs w:val="22"/>
        </w:rPr>
        <w:t xml:space="preserve"> </w:t>
      </w:r>
      <w:r w:rsidR="00B34D3B">
        <w:rPr>
          <w:rFonts w:cs="Arial"/>
          <w:bCs/>
          <w:sz w:val="22"/>
          <w:szCs w:val="22"/>
        </w:rPr>
        <w:t>under Output 5)</w:t>
      </w:r>
      <w:r w:rsidR="00BF7016">
        <w:rPr>
          <w:rFonts w:cs="Arial"/>
          <w:bCs/>
          <w:sz w:val="22"/>
          <w:szCs w:val="22"/>
        </w:rPr>
        <w:t>.</w:t>
      </w:r>
      <w:r w:rsidR="00494546" w:rsidRPr="00FF4AC7">
        <w:rPr>
          <w:rFonts w:cs="Arial"/>
          <w:bCs/>
          <w:sz w:val="22"/>
          <w:szCs w:val="22"/>
        </w:rPr>
        <w:t xml:space="preserve"> </w:t>
      </w:r>
      <w:r w:rsidR="00BF7016">
        <w:rPr>
          <w:rFonts w:cs="Arial"/>
          <w:bCs/>
          <w:sz w:val="22"/>
          <w:szCs w:val="22"/>
        </w:rPr>
        <w:t xml:space="preserve"> </w:t>
      </w:r>
    </w:p>
    <w:p w:rsidR="001248D5" w:rsidRPr="00A10A42" w:rsidRDefault="001248D5" w:rsidP="001248D5">
      <w:pPr>
        <w:jc w:val="both"/>
        <w:rPr>
          <w:rFonts w:cs="Arial"/>
          <w:bCs/>
          <w:sz w:val="2"/>
          <w:szCs w:val="22"/>
        </w:rPr>
      </w:pPr>
    </w:p>
    <w:p w:rsidR="005323D4" w:rsidRPr="00AC1B3A" w:rsidRDefault="005323D4" w:rsidP="001248D5">
      <w:pPr>
        <w:jc w:val="both"/>
        <w:rPr>
          <w:rFonts w:cs="Arial"/>
          <w:bCs/>
          <w:sz w:val="6"/>
          <w:szCs w:val="22"/>
        </w:rPr>
      </w:pPr>
    </w:p>
    <w:tbl>
      <w:tblPr>
        <w:tblW w:w="10440" w:type="dxa"/>
        <w:tblInd w:w="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69"/>
        <w:gridCol w:w="1514"/>
        <w:gridCol w:w="1977"/>
        <w:gridCol w:w="2660"/>
        <w:gridCol w:w="2520"/>
      </w:tblGrid>
      <w:tr w:rsidR="00E476EB" w:rsidRPr="00B21C54" w:rsidTr="00B20290">
        <w:trPr>
          <w:trHeight w:val="343"/>
        </w:trPr>
        <w:tc>
          <w:tcPr>
            <w:tcW w:w="1769" w:type="dxa"/>
            <w:shd w:val="clear" w:color="auto" w:fill="DBE5F1"/>
            <w:tcMar>
              <w:top w:w="57" w:type="dxa"/>
              <w:left w:w="57" w:type="dxa"/>
              <w:bottom w:w="57" w:type="dxa"/>
              <w:right w:w="57" w:type="dxa"/>
            </w:tcMar>
            <w:vAlign w:val="center"/>
          </w:tcPr>
          <w:p w:rsidR="00E476EB" w:rsidRPr="00B21C54" w:rsidRDefault="00E476EB" w:rsidP="00F50263">
            <w:pPr>
              <w:rPr>
                <w:rFonts w:cs="Arial"/>
                <w:b/>
                <w:bCs/>
                <w:sz w:val="22"/>
                <w:szCs w:val="22"/>
              </w:rPr>
            </w:pPr>
            <w:r w:rsidRPr="00B21C54">
              <w:rPr>
                <w:rFonts w:cs="Arial"/>
                <w:b/>
                <w:bCs/>
                <w:sz w:val="22"/>
                <w:szCs w:val="22"/>
              </w:rPr>
              <w:t xml:space="preserve">Output Title </w:t>
            </w:r>
          </w:p>
        </w:tc>
        <w:tc>
          <w:tcPr>
            <w:tcW w:w="8671" w:type="dxa"/>
            <w:gridSpan w:val="4"/>
            <w:shd w:val="clear" w:color="auto" w:fill="FFFFFF"/>
            <w:tcMar>
              <w:top w:w="57" w:type="dxa"/>
              <w:left w:w="57" w:type="dxa"/>
              <w:bottom w:w="57" w:type="dxa"/>
              <w:right w:w="57" w:type="dxa"/>
            </w:tcMar>
            <w:vAlign w:val="center"/>
          </w:tcPr>
          <w:p w:rsidR="00E476EB" w:rsidRPr="00EF02D3" w:rsidRDefault="00E476EB" w:rsidP="00F50263">
            <w:pPr>
              <w:rPr>
                <w:rFonts w:cs="Arial"/>
                <w:b/>
                <w:color w:val="FF0000"/>
                <w:sz w:val="22"/>
                <w:szCs w:val="22"/>
              </w:rPr>
            </w:pPr>
            <w:r w:rsidRPr="00EF02D3">
              <w:rPr>
                <w:rFonts w:cs="Arial"/>
                <w:b/>
                <w:sz w:val="22"/>
                <w:szCs w:val="22"/>
              </w:rPr>
              <w:t>Market systems offering greater opportunities and benefits and increased access to poor char communities</w:t>
            </w:r>
          </w:p>
        </w:tc>
      </w:tr>
      <w:tr w:rsidR="00E476EB" w:rsidRPr="00B21C54" w:rsidTr="00B20290">
        <w:trPr>
          <w:trHeight w:val="277"/>
        </w:trPr>
        <w:tc>
          <w:tcPr>
            <w:tcW w:w="3283" w:type="dxa"/>
            <w:gridSpan w:val="2"/>
            <w:shd w:val="clear" w:color="auto" w:fill="D1DFEF"/>
            <w:tcMar>
              <w:top w:w="57" w:type="dxa"/>
              <w:left w:w="57" w:type="dxa"/>
              <w:bottom w:w="57" w:type="dxa"/>
              <w:right w:w="57" w:type="dxa"/>
            </w:tcMar>
            <w:vAlign w:val="center"/>
          </w:tcPr>
          <w:p w:rsidR="00E476EB" w:rsidRPr="00B21C54" w:rsidRDefault="00E476EB" w:rsidP="00F50263">
            <w:pPr>
              <w:rPr>
                <w:rFonts w:cs="Arial"/>
                <w:b/>
                <w:bCs/>
                <w:sz w:val="22"/>
                <w:szCs w:val="22"/>
              </w:rPr>
            </w:pPr>
            <w:r w:rsidRPr="00B21C54">
              <w:rPr>
                <w:rFonts w:cs="Arial"/>
                <w:b/>
                <w:bCs/>
                <w:sz w:val="22"/>
                <w:szCs w:val="22"/>
              </w:rPr>
              <w:t>Output number per LF:</w:t>
            </w:r>
          </w:p>
        </w:tc>
        <w:tc>
          <w:tcPr>
            <w:tcW w:w="1977" w:type="dxa"/>
            <w:tcMar>
              <w:top w:w="57" w:type="dxa"/>
              <w:left w:w="57" w:type="dxa"/>
              <w:bottom w:w="57" w:type="dxa"/>
              <w:right w:w="57" w:type="dxa"/>
            </w:tcMar>
          </w:tcPr>
          <w:p w:rsidR="00E476EB" w:rsidRPr="00B21C54" w:rsidRDefault="00E476EB" w:rsidP="00F50263">
            <w:pPr>
              <w:rPr>
                <w:rFonts w:cs="Arial"/>
                <w:sz w:val="22"/>
                <w:szCs w:val="22"/>
              </w:rPr>
            </w:pPr>
            <w:r w:rsidRPr="00077F26">
              <w:t>3</w:t>
            </w:r>
          </w:p>
        </w:tc>
        <w:tc>
          <w:tcPr>
            <w:tcW w:w="2660" w:type="dxa"/>
            <w:shd w:val="clear" w:color="auto" w:fill="D1DFEF"/>
            <w:tcMar>
              <w:top w:w="57" w:type="dxa"/>
              <w:left w:w="57" w:type="dxa"/>
              <w:bottom w:w="57" w:type="dxa"/>
              <w:right w:w="57" w:type="dxa"/>
            </w:tcMar>
            <w:vAlign w:val="center"/>
          </w:tcPr>
          <w:p w:rsidR="00E476EB" w:rsidRPr="00B21C54" w:rsidRDefault="00E476EB" w:rsidP="00F50263">
            <w:pPr>
              <w:rPr>
                <w:rFonts w:cs="Arial"/>
                <w:b/>
                <w:sz w:val="22"/>
                <w:szCs w:val="22"/>
              </w:rPr>
            </w:pPr>
            <w:r w:rsidRPr="00B21C54">
              <w:rPr>
                <w:rFonts w:cs="Arial"/>
                <w:b/>
                <w:bCs/>
                <w:sz w:val="22"/>
                <w:szCs w:val="22"/>
              </w:rPr>
              <w:t>Output Score:</w:t>
            </w:r>
          </w:p>
        </w:tc>
        <w:tc>
          <w:tcPr>
            <w:tcW w:w="2520" w:type="dxa"/>
            <w:tcMar>
              <w:top w:w="57" w:type="dxa"/>
              <w:left w:w="57" w:type="dxa"/>
              <w:bottom w:w="57" w:type="dxa"/>
              <w:right w:w="57" w:type="dxa"/>
            </w:tcMar>
          </w:tcPr>
          <w:p w:rsidR="00E476EB" w:rsidRPr="00B20290" w:rsidRDefault="00E476EB" w:rsidP="00F50263">
            <w:pPr>
              <w:rPr>
                <w:rFonts w:cs="Arial"/>
                <w:b/>
                <w:bCs/>
                <w:i/>
                <w:sz w:val="22"/>
                <w:szCs w:val="22"/>
              </w:rPr>
            </w:pPr>
            <w:r w:rsidRPr="00B20290">
              <w:rPr>
                <w:b/>
                <w:i/>
                <w:color w:val="FF0000"/>
              </w:rPr>
              <w:t>A+</w:t>
            </w:r>
          </w:p>
        </w:tc>
      </w:tr>
      <w:tr w:rsidR="00E476EB" w:rsidRPr="00B21C54" w:rsidTr="00B20290">
        <w:trPr>
          <w:trHeight w:val="310"/>
        </w:trPr>
        <w:tc>
          <w:tcPr>
            <w:tcW w:w="3283" w:type="dxa"/>
            <w:gridSpan w:val="2"/>
            <w:shd w:val="clear" w:color="auto" w:fill="D1DFEF"/>
            <w:tcMar>
              <w:top w:w="57" w:type="dxa"/>
              <w:left w:w="57" w:type="dxa"/>
              <w:bottom w:w="57" w:type="dxa"/>
              <w:right w:w="57" w:type="dxa"/>
            </w:tcMar>
            <w:vAlign w:val="center"/>
          </w:tcPr>
          <w:p w:rsidR="00E476EB" w:rsidRPr="00B21C54" w:rsidRDefault="00E476EB" w:rsidP="00F50263">
            <w:pPr>
              <w:rPr>
                <w:rFonts w:cs="Arial"/>
                <w:b/>
                <w:sz w:val="22"/>
                <w:szCs w:val="22"/>
              </w:rPr>
            </w:pPr>
            <w:r w:rsidRPr="00B21C54">
              <w:rPr>
                <w:rFonts w:cs="Arial"/>
                <w:b/>
                <w:bCs/>
                <w:sz w:val="22"/>
                <w:szCs w:val="22"/>
              </w:rPr>
              <w:t xml:space="preserve">Risk:  </w:t>
            </w:r>
          </w:p>
        </w:tc>
        <w:tc>
          <w:tcPr>
            <w:tcW w:w="1977" w:type="dxa"/>
            <w:tcMar>
              <w:top w:w="57" w:type="dxa"/>
              <w:left w:w="57" w:type="dxa"/>
              <w:bottom w:w="57" w:type="dxa"/>
              <w:right w:w="57" w:type="dxa"/>
            </w:tcMar>
          </w:tcPr>
          <w:p w:rsidR="00E476EB" w:rsidRPr="0032475F" w:rsidRDefault="005C3168" w:rsidP="00F50263">
            <w:pPr>
              <w:rPr>
                <w:rFonts w:cs="Arial"/>
                <w:bCs/>
                <w:sz w:val="22"/>
                <w:szCs w:val="22"/>
              </w:rPr>
            </w:pPr>
            <w:r w:rsidRPr="0032475F">
              <w:t>High</w:t>
            </w:r>
          </w:p>
        </w:tc>
        <w:tc>
          <w:tcPr>
            <w:tcW w:w="2660" w:type="dxa"/>
            <w:shd w:val="clear" w:color="auto" w:fill="D1DFEF"/>
            <w:tcMar>
              <w:top w:w="57" w:type="dxa"/>
              <w:left w:w="57" w:type="dxa"/>
              <w:bottom w:w="57" w:type="dxa"/>
              <w:right w:w="57" w:type="dxa"/>
            </w:tcMar>
            <w:vAlign w:val="center"/>
          </w:tcPr>
          <w:p w:rsidR="00E476EB" w:rsidRPr="00B21C54" w:rsidRDefault="00E476EB" w:rsidP="00F50263">
            <w:pPr>
              <w:rPr>
                <w:rFonts w:cs="Arial"/>
                <w:b/>
                <w:bCs/>
                <w:sz w:val="22"/>
                <w:szCs w:val="22"/>
              </w:rPr>
            </w:pPr>
            <w:r w:rsidRPr="00B21C54">
              <w:rPr>
                <w:rFonts w:cs="Arial"/>
                <w:b/>
                <w:bCs/>
                <w:sz w:val="22"/>
                <w:szCs w:val="22"/>
              </w:rPr>
              <w:t>Impact weighting (%):</w:t>
            </w:r>
          </w:p>
        </w:tc>
        <w:tc>
          <w:tcPr>
            <w:tcW w:w="2520" w:type="dxa"/>
            <w:tcMar>
              <w:top w:w="57" w:type="dxa"/>
              <w:left w:w="57" w:type="dxa"/>
              <w:bottom w:w="57" w:type="dxa"/>
              <w:right w:w="57" w:type="dxa"/>
            </w:tcMar>
          </w:tcPr>
          <w:p w:rsidR="00E476EB" w:rsidRPr="00B21C54" w:rsidRDefault="00E476EB" w:rsidP="00F50263">
            <w:pPr>
              <w:rPr>
                <w:rFonts w:cs="Arial"/>
                <w:sz w:val="22"/>
                <w:szCs w:val="22"/>
              </w:rPr>
            </w:pPr>
            <w:r w:rsidRPr="00B47DF4">
              <w:t>15%</w:t>
            </w:r>
          </w:p>
        </w:tc>
      </w:tr>
      <w:tr w:rsidR="00E476EB" w:rsidRPr="00B21C54" w:rsidTr="00655862">
        <w:trPr>
          <w:trHeight w:val="376"/>
        </w:trPr>
        <w:tc>
          <w:tcPr>
            <w:tcW w:w="3283" w:type="dxa"/>
            <w:gridSpan w:val="2"/>
            <w:shd w:val="clear" w:color="auto" w:fill="D1DFEF"/>
            <w:tcMar>
              <w:top w:w="57" w:type="dxa"/>
              <w:left w:w="57" w:type="dxa"/>
              <w:bottom w:w="57" w:type="dxa"/>
              <w:right w:w="57" w:type="dxa"/>
            </w:tcMar>
            <w:vAlign w:val="center"/>
          </w:tcPr>
          <w:p w:rsidR="00E476EB" w:rsidRPr="00B21C54" w:rsidRDefault="00E476EB" w:rsidP="00F50263">
            <w:pPr>
              <w:rPr>
                <w:rFonts w:cs="Arial"/>
                <w:b/>
                <w:sz w:val="22"/>
                <w:szCs w:val="22"/>
              </w:rPr>
            </w:pPr>
            <w:r w:rsidRPr="00B21C54">
              <w:rPr>
                <w:rFonts w:cs="Arial"/>
                <w:b/>
                <w:bCs/>
                <w:sz w:val="22"/>
                <w:szCs w:val="22"/>
              </w:rPr>
              <w:t xml:space="preserve">Risk revised since last AR? </w:t>
            </w:r>
          </w:p>
        </w:tc>
        <w:tc>
          <w:tcPr>
            <w:tcW w:w="1977" w:type="dxa"/>
            <w:tcMar>
              <w:top w:w="57" w:type="dxa"/>
              <w:left w:w="57" w:type="dxa"/>
              <w:bottom w:w="57" w:type="dxa"/>
              <w:right w:w="57" w:type="dxa"/>
            </w:tcMar>
          </w:tcPr>
          <w:p w:rsidR="00E476EB" w:rsidRPr="0032475F" w:rsidRDefault="005C3168" w:rsidP="00893DBA">
            <w:pPr>
              <w:rPr>
                <w:rFonts w:cs="Arial"/>
                <w:sz w:val="22"/>
                <w:szCs w:val="22"/>
              </w:rPr>
            </w:pPr>
            <w:r w:rsidRPr="0032475F">
              <w:t>Y ( increased from medium)</w:t>
            </w:r>
          </w:p>
        </w:tc>
        <w:tc>
          <w:tcPr>
            <w:tcW w:w="2660" w:type="dxa"/>
            <w:shd w:val="clear" w:color="auto" w:fill="D1DFEF"/>
            <w:tcMar>
              <w:top w:w="57" w:type="dxa"/>
              <w:left w:w="57" w:type="dxa"/>
              <w:bottom w:w="57" w:type="dxa"/>
              <w:right w:w="57" w:type="dxa"/>
            </w:tcMar>
            <w:vAlign w:val="center"/>
          </w:tcPr>
          <w:p w:rsidR="00E476EB" w:rsidRPr="00B21C54" w:rsidRDefault="00E476EB" w:rsidP="00F50263">
            <w:pPr>
              <w:rPr>
                <w:rFonts w:cs="Arial"/>
                <w:b/>
                <w:bCs/>
                <w:sz w:val="22"/>
                <w:szCs w:val="22"/>
              </w:rPr>
            </w:pPr>
            <w:r w:rsidRPr="00B21C54">
              <w:rPr>
                <w:rFonts w:cs="Arial"/>
                <w:b/>
                <w:bCs/>
                <w:sz w:val="22"/>
                <w:szCs w:val="22"/>
              </w:rPr>
              <w:t xml:space="preserve">Impact weighting % revised since last AR? </w:t>
            </w:r>
          </w:p>
        </w:tc>
        <w:tc>
          <w:tcPr>
            <w:tcW w:w="2520" w:type="dxa"/>
            <w:tcMar>
              <w:top w:w="57" w:type="dxa"/>
              <w:left w:w="57" w:type="dxa"/>
              <w:bottom w:w="57" w:type="dxa"/>
              <w:right w:w="57" w:type="dxa"/>
            </w:tcMar>
          </w:tcPr>
          <w:p w:rsidR="00E476EB" w:rsidRPr="00B21C54" w:rsidRDefault="00E476EB" w:rsidP="00655862">
            <w:pPr>
              <w:rPr>
                <w:rFonts w:cs="Arial"/>
                <w:sz w:val="22"/>
                <w:szCs w:val="22"/>
              </w:rPr>
            </w:pPr>
            <w:r w:rsidRPr="00B47DF4">
              <w:t>Y</w:t>
            </w:r>
            <w:r w:rsidR="00893DBA">
              <w:t xml:space="preserve"> (from 10%)</w:t>
            </w:r>
          </w:p>
        </w:tc>
      </w:tr>
    </w:tbl>
    <w:p w:rsidR="00E476EB" w:rsidRPr="007A6FDB" w:rsidRDefault="00E476EB" w:rsidP="00E476EB">
      <w:pPr>
        <w:rPr>
          <w:rFonts w:cs="Arial"/>
          <w:sz w:val="2"/>
          <w:szCs w:val="22"/>
        </w:rPr>
      </w:pPr>
    </w:p>
    <w:tbl>
      <w:tblPr>
        <w:tblpPr w:leftFromText="180" w:rightFromText="180" w:vertAnchor="text" w:horzAnchor="margin" w:tblpY="165"/>
        <w:tblOverlap w:val="never"/>
        <w:tblW w:w="104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18"/>
        <w:gridCol w:w="3543"/>
        <w:gridCol w:w="3544"/>
      </w:tblGrid>
      <w:tr w:rsidR="004277CA" w:rsidRPr="00B21C54" w:rsidTr="004277CA">
        <w:trPr>
          <w:trHeight w:val="273"/>
        </w:trPr>
        <w:tc>
          <w:tcPr>
            <w:tcW w:w="3318" w:type="dxa"/>
            <w:shd w:val="clear" w:color="auto" w:fill="D1DFEF"/>
            <w:tcMar>
              <w:top w:w="57" w:type="dxa"/>
              <w:left w:w="57" w:type="dxa"/>
              <w:bottom w:w="57" w:type="dxa"/>
              <w:right w:w="57" w:type="dxa"/>
            </w:tcMar>
            <w:vAlign w:val="center"/>
          </w:tcPr>
          <w:p w:rsidR="004277CA" w:rsidRPr="004277CA" w:rsidRDefault="004277CA" w:rsidP="004277CA">
            <w:pPr>
              <w:rPr>
                <w:rFonts w:cs="Arial"/>
                <w:b/>
                <w:bCs/>
                <w:sz w:val="21"/>
                <w:szCs w:val="21"/>
              </w:rPr>
            </w:pPr>
            <w:r w:rsidRPr="004277CA">
              <w:rPr>
                <w:rFonts w:cs="Arial"/>
                <w:b/>
                <w:bCs/>
                <w:sz w:val="21"/>
                <w:szCs w:val="21"/>
              </w:rPr>
              <w:lastRenderedPageBreak/>
              <w:t>Indicator(s)</w:t>
            </w:r>
          </w:p>
        </w:tc>
        <w:tc>
          <w:tcPr>
            <w:tcW w:w="3543" w:type="dxa"/>
            <w:shd w:val="clear" w:color="auto" w:fill="D1DFEF"/>
            <w:tcMar>
              <w:top w:w="57" w:type="dxa"/>
              <w:left w:w="57" w:type="dxa"/>
              <w:bottom w:w="57" w:type="dxa"/>
              <w:right w:w="57" w:type="dxa"/>
            </w:tcMar>
            <w:vAlign w:val="center"/>
          </w:tcPr>
          <w:p w:rsidR="004277CA" w:rsidRPr="004277CA" w:rsidRDefault="004277CA" w:rsidP="004277CA">
            <w:pPr>
              <w:rPr>
                <w:rFonts w:cs="Arial"/>
                <w:b/>
                <w:bCs/>
                <w:sz w:val="21"/>
                <w:szCs w:val="21"/>
              </w:rPr>
            </w:pPr>
            <w:r w:rsidRPr="004277CA">
              <w:rPr>
                <w:rFonts w:cs="Arial"/>
                <w:b/>
                <w:bCs/>
                <w:sz w:val="21"/>
                <w:szCs w:val="21"/>
              </w:rPr>
              <w:t>Milestones</w:t>
            </w:r>
          </w:p>
        </w:tc>
        <w:tc>
          <w:tcPr>
            <w:tcW w:w="3544" w:type="dxa"/>
            <w:shd w:val="clear" w:color="auto" w:fill="D1DFEF"/>
            <w:tcMar>
              <w:top w:w="57" w:type="dxa"/>
              <w:left w:w="57" w:type="dxa"/>
              <w:bottom w:w="57" w:type="dxa"/>
              <w:right w:w="57" w:type="dxa"/>
            </w:tcMar>
            <w:vAlign w:val="center"/>
          </w:tcPr>
          <w:p w:rsidR="004277CA" w:rsidRPr="004277CA" w:rsidRDefault="004277CA" w:rsidP="004277CA">
            <w:pPr>
              <w:rPr>
                <w:rFonts w:cs="Arial"/>
                <w:b/>
                <w:bCs/>
                <w:sz w:val="21"/>
                <w:szCs w:val="21"/>
              </w:rPr>
            </w:pPr>
            <w:r w:rsidRPr="004277CA">
              <w:rPr>
                <w:rFonts w:cs="Arial"/>
                <w:b/>
                <w:bCs/>
                <w:sz w:val="21"/>
                <w:szCs w:val="21"/>
              </w:rPr>
              <w:t>Progress (%)</w:t>
            </w:r>
          </w:p>
        </w:tc>
      </w:tr>
      <w:tr w:rsidR="004277CA" w:rsidRPr="00B21C54" w:rsidTr="004277CA">
        <w:trPr>
          <w:trHeight w:val="1030"/>
        </w:trPr>
        <w:tc>
          <w:tcPr>
            <w:tcW w:w="3318" w:type="dxa"/>
            <w:tcMar>
              <w:top w:w="57" w:type="dxa"/>
              <w:left w:w="57" w:type="dxa"/>
              <w:bottom w:w="57" w:type="dxa"/>
              <w:right w:w="57" w:type="dxa"/>
            </w:tcMar>
          </w:tcPr>
          <w:p w:rsidR="004277CA" w:rsidRPr="004277CA" w:rsidRDefault="004277CA" w:rsidP="004277CA">
            <w:pPr>
              <w:rPr>
                <w:rFonts w:cs="Arial"/>
                <w:sz w:val="21"/>
                <w:szCs w:val="21"/>
              </w:rPr>
            </w:pPr>
            <w:r w:rsidRPr="004277CA">
              <w:rPr>
                <w:bCs/>
                <w:sz w:val="21"/>
                <w:szCs w:val="21"/>
              </w:rPr>
              <w:t xml:space="preserve">3.1 </w:t>
            </w:r>
            <w:r w:rsidRPr="004277CA">
              <w:rPr>
                <w:sz w:val="21"/>
                <w:szCs w:val="21"/>
              </w:rPr>
              <w:t xml:space="preserve"> </w:t>
            </w:r>
            <w:r w:rsidRPr="004277CA">
              <w:rPr>
                <w:bCs/>
                <w:sz w:val="21"/>
                <w:szCs w:val="21"/>
              </w:rPr>
              <w:t>Improved knowledge among farmers and other market actors within common interest business groups (milk and meat)</w:t>
            </w:r>
            <w:r w:rsidR="00EF02D3">
              <w:rPr>
                <w:bCs/>
                <w:sz w:val="21"/>
                <w:szCs w:val="21"/>
              </w:rPr>
              <w:t xml:space="preserve"> </w:t>
            </w:r>
            <w:r w:rsidR="00E229B9" w:rsidRPr="00E229B9">
              <w:rPr>
                <w:rFonts w:cs="Arial"/>
                <w:bCs/>
                <w:color w:val="FF0000"/>
                <w:sz w:val="21"/>
                <w:szCs w:val="21"/>
              </w:rPr>
              <w:t>[A+</w:t>
            </w:r>
            <w:r w:rsidR="00637DF6">
              <w:rPr>
                <w:rFonts w:cs="Arial"/>
                <w:bCs/>
                <w:color w:val="FF0000"/>
                <w:sz w:val="21"/>
                <w:szCs w:val="21"/>
              </w:rPr>
              <w:t>+</w:t>
            </w:r>
            <w:r w:rsidR="00E229B9" w:rsidRPr="00E229B9">
              <w:rPr>
                <w:rFonts w:cs="Arial"/>
                <w:bCs/>
                <w:color w:val="FF0000"/>
                <w:sz w:val="21"/>
                <w:szCs w:val="21"/>
              </w:rPr>
              <w:t>]</w:t>
            </w:r>
          </w:p>
        </w:tc>
        <w:tc>
          <w:tcPr>
            <w:tcW w:w="3543" w:type="dxa"/>
            <w:tcMar>
              <w:top w:w="57" w:type="dxa"/>
              <w:left w:w="57" w:type="dxa"/>
              <w:bottom w:w="57" w:type="dxa"/>
              <w:right w:w="57" w:type="dxa"/>
            </w:tcMar>
          </w:tcPr>
          <w:p w:rsidR="004277CA" w:rsidRPr="004277CA" w:rsidRDefault="004277CA" w:rsidP="004277CA">
            <w:pPr>
              <w:rPr>
                <w:bCs/>
                <w:sz w:val="21"/>
                <w:szCs w:val="21"/>
              </w:rPr>
            </w:pPr>
            <w:r w:rsidRPr="004277CA">
              <w:rPr>
                <w:bCs/>
                <w:sz w:val="21"/>
                <w:szCs w:val="21"/>
              </w:rPr>
              <w:t>Milk: 2,434 B</w:t>
            </w:r>
            <w:r w:rsidR="0032475F">
              <w:rPr>
                <w:bCs/>
                <w:sz w:val="21"/>
                <w:szCs w:val="21"/>
              </w:rPr>
              <w:t xml:space="preserve">usiness Group (BG) </w:t>
            </w:r>
            <w:r w:rsidRPr="004277CA">
              <w:rPr>
                <w:bCs/>
                <w:sz w:val="21"/>
                <w:szCs w:val="21"/>
              </w:rPr>
              <w:t xml:space="preserve">participants trained.  </w:t>
            </w:r>
          </w:p>
          <w:p w:rsidR="004277CA" w:rsidRPr="004277CA" w:rsidRDefault="004277CA" w:rsidP="004277CA">
            <w:pPr>
              <w:rPr>
                <w:bCs/>
                <w:sz w:val="21"/>
                <w:szCs w:val="21"/>
              </w:rPr>
            </w:pPr>
            <w:r w:rsidRPr="004277CA">
              <w:rPr>
                <w:bCs/>
                <w:sz w:val="21"/>
                <w:szCs w:val="21"/>
              </w:rPr>
              <w:t>Meat: 2,122 BG participants trained.</w:t>
            </w:r>
          </w:p>
          <w:p w:rsidR="004277CA" w:rsidRPr="004277CA" w:rsidRDefault="004277CA" w:rsidP="004277CA">
            <w:pPr>
              <w:rPr>
                <w:rFonts w:cs="Arial"/>
                <w:sz w:val="21"/>
                <w:szCs w:val="21"/>
              </w:rPr>
            </w:pPr>
            <w:r w:rsidRPr="004277CA">
              <w:rPr>
                <w:bCs/>
                <w:sz w:val="21"/>
                <w:szCs w:val="21"/>
              </w:rPr>
              <w:t>Fodder: 1,898 BG participants trained.</w:t>
            </w:r>
          </w:p>
        </w:tc>
        <w:tc>
          <w:tcPr>
            <w:tcW w:w="3544" w:type="dxa"/>
            <w:tcMar>
              <w:top w:w="57" w:type="dxa"/>
              <w:left w:w="57" w:type="dxa"/>
              <w:bottom w:w="57" w:type="dxa"/>
              <w:right w:w="57" w:type="dxa"/>
            </w:tcMar>
          </w:tcPr>
          <w:p w:rsidR="004277CA" w:rsidRPr="004277CA" w:rsidRDefault="004277CA" w:rsidP="004277CA">
            <w:pPr>
              <w:rPr>
                <w:bCs/>
                <w:sz w:val="21"/>
                <w:szCs w:val="21"/>
              </w:rPr>
            </w:pPr>
            <w:r w:rsidRPr="004277CA">
              <w:rPr>
                <w:bCs/>
                <w:sz w:val="21"/>
                <w:szCs w:val="21"/>
              </w:rPr>
              <w:t xml:space="preserve">Milk: </w:t>
            </w:r>
            <w:r w:rsidRPr="004277CA">
              <w:rPr>
                <w:rFonts w:cs="Arial"/>
                <w:color w:val="000000"/>
                <w:sz w:val="21"/>
                <w:szCs w:val="21"/>
              </w:rPr>
              <w:t>3,0</w:t>
            </w:r>
            <w:r w:rsidR="00065F33">
              <w:rPr>
                <w:rFonts w:cs="Arial"/>
                <w:color w:val="000000"/>
                <w:sz w:val="21"/>
                <w:szCs w:val="21"/>
              </w:rPr>
              <w:t>15</w:t>
            </w:r>
            <w:r w:rsidRPr="004277CA">
              <w:rPr>
                <w:bCs/>
                <w:sz w:val="21"/>
                <w:szCs w:val="21"/>
              </w:rPr>
              <w:t xml:space="preserve"> BG participants trained.</w:t>
            </w:r>
          </w:p>
          <w:p w:rsidR="004277CA" w:rsidRPr="004277CA" w:rsidRDefault="004277CA" w:rsidP="004277CA">
            <w:pPr>
              <w:rPr>
                <w:bCs/>
                <w:sz w:val="21"/>
                <w:szCs w:val="21"/>
              </w:rPr>
            </w:pPr>
            <w:r w:rsidRPr="004277CA">
              <w:rPr>
                <w:bCs/>
                <w:sz w:val="21"/>
                <w:szCs w:val="21"/>
              </w:rPr>
              <w:t xml:space="preserve">Meat: </w:t>
            </w:r>
            <w:r w:rsidRPr="004277CA">
              <w:rPr>
                <w:rFonts w:cs="Arial"/>
                <w:color w:val="000000"/>
                <w:sz w:val="21"/>
                <w:szCs w:val="21"/>
              </w:rPr>
              <w:t xml:space="preserve">2,450 </w:t>
            </w:r>
            <w:r w:rsidRPr="004277CA">
              <w:rPr>
                <w:bCs/>
                <w:sz w:val="21"/>
                <w:szCs w:val="21"/>
              </w:rPr>
              <w:t>BG participants trained.</w:t>
            </w:r>
          </w:p>
          <w:p w:rsidR="004277CA" w:rsidRPr="004277CA" w:rsidRDefault="004277CA" w:rsidP="004277CA">
            <w:pPr>
              <w:rPr>
                <w:rFonts w:cs="Arial"/>
                <w:i/>
                <w:sz w:val="21"/>
                <w:szCs w:val="21"/>
                <w:u w:val="single"/>
              </w:rPr>
            </w:pPr>
            <w:r w:rsidRPr="004277CA">
              <w:rPr>
                <w:bCs/>
                <w:sz w:val="21"/>
                <w:szCs w:val="21"/>
              </w:rPr>
              <w:t xml:space="preserve">Fodder: </w:t>
            </w:r>
            <w:r w:rsidRPr="004277CA">
              <w:rPr>
                <w:rFonts w:cs="Arial"/>
                <w:color w:val="000000"/>
                <w:sz w:val="21"/>
                <w:szCs w:val="21"/>
              </w:rPr>
              <w:t>2,112</w:t>
            </w:r>
            <w:r w:rsidRPr="004277CA">
              <w:rPr>
                <w:bCs/>
                <w:color w:val="FF0000"/>
                <w:sz w:val="21"/>
                <w:szCs w:val="21"/>
              </w:rPr>
              <w:t xml:space="preserve"> </w:t>
            </w:r>
            <w:r w:rsidRPr="004277CA">
              <w:rPr>
                <w:bCs/>
                <w:sz w:val="21"/>
                <w:szCs w:val="21"/>
              </w:rPr>
              <w:t>BG participants trained.</w:t>
            </w:r>
          </w:p>
        </w:tc>
      </w:tr>
      <w:tr w:rsidR="004277CA" w:rsidRPr="00B21C54" w:rsidTr="004277CA">
        <w:trPr>
          <w:trHeight w:val="1281"/>
        </w:trPr>
        <w:tc>
          <w:tcPr>
            <w:tcW w:w="3318" w:type="dxa"/>
            <w:tcMar>
              <w:top w:w="57" w:type="dxa"/>
              <w:left w:w="57" w:type="dxa"/>
              <w:bottom w:w="57" w:type="dxa"/>
              <w:right w:w="57" w:type="dxa"/>
            </w:tcMar>
          </w:tcPr>
          <w:p w:rsidR="004277CA" w:rsidRPr="004277CA" w:rsidRDefault="004277CA" w:rsidP="004277CA">
            <w:pPr>
              <w:rPr>
                <w:rFonts w:cs="Arial"/>
                <w:sz w:val="21"/>
                <w:szCs w:val="21"/>
              </w:rPr>
            </w:pPr>
            <w:r w:rsidRPr="004277CA">
              <w:rPr>
                <w:bCs/>
                <w:sz w:val="21"/>
                <w:szCs w:val="21"/>
              </w:rPr>
              <w:t xml:space="preserve">3.2 </w:t>
            </w:r>
            <w:r w:rsidRPr="004277CA">
              <w:rPr>
                <w:sz w:val="21"/>
                <w:szCs w:val="21"/>
              </w:rPr>
              <w:t xml:space="preserve"> </w:t>
            </w:r>
            <w:r w:rsidRPr="004277CA">
              <w:rPr>
                <w:bCs/>
                <w:sz w:val="21"/>
                <w:szCs w:val="21"/>
              </w:rPr>
              <w:t>Increased access to relevant financial services for households investing in animal health, productivity and production quality</w:t>
            </w:r>
            <w:r w:rsidR="00B20290">
              <w:rPr>
                <w:bCs/>
                <w:sz w:val="21"/>
                <w:szCs w:val="21"/>
              </w:rPr>
              <w:t xml:space="preserve"> </w:t>
            </w:r>
            <w:r w:rsidR="00E229B9" w:rsidRPr="00E229B9">
              <w:rPr>
                <w:rFonts w:cs="Arial"/>
                <w:bCs/>
                <w:color w:val="FF0000"/>
                <w:sz w:val="21"/>
                <w:szCs w:val="21"/>
              </w:rPr>
              <w:t>[A+</w:t>
            </w:r>
            <w:r w:rsidR="00637DF6">
              <w:rPr>
                <w:rFonts w:cs="Arial"/>
                <w:bCs/>
                <w:color w:val="FF0000"/>
                <w:sz w:val="21"/>
                <w:szCs w:val="21"/>
              </w:rPr>
              <w:t>+</w:t>
            </w:r>
            <w:r w:rsidR="00E229B9" w:rsidRPr="00E229B9">
              <w:rPr>
                <w:rFonts w:cs="Arial"/>
                <w:bCs/>
                <w:color w:val="FF0000"/>
                <w:sz w:val="21"/>
                <w:szCs w:val="21"/>
              </w:rPr>
              <w:t>]</w:t>
            </w:r>
          </w:p>
        </w:tc>
        <w:tc>
          <w:tcPr>
            <w:tcW w:w="3543" w:type="dxa"/>
            <w:tcMar>
              <w:top w:w="57" w:type="dxa"/>
              <w:left w:w="57" w:type="dxa"/>
              <w:bottom w:w="57" w:type="dxa"/>
              <w:right w:w="57" w:type="dxa"/>
            </w:tcMar>
          </w:tcPr>
          <w:p w:rsidR="004277CA" w:rsidRPr="004277CA" w:rsidRDefault="004277CA" w:rsidP="004277CA">
            <w:pPr>
              <w:spacing w:after="120"/>
              <w:rPr>
                <w:bCs/>
                <w:sz w:val="21"/>
                <w:szCs w:val="21"/>
              </w:rPr>
            </w:pPr>
            <w:r w:rsidRPr="004277CA">
              <w:rPr>
                <w:bCs/>
                <w:sz w:val="21"/>
                <w:szCs w:val="21"/>
                <w:u w:val="single"/>
              </w:rPr>
              <w:t>Cum:</w:t>
            </w:r>
            <w:r w:rsidR="00EF02D3" w:rsidRPr="00EF02D3">
              <w:rPr>
                <w:bCs/>
                <w:sz w:val="21"/>
                <w:szCs w:val="21"/>
              </w:rPr>
              <w:t xml:space="preserve"> </w:t>
            </w:r>
            <w:r w:rsidRPr="004277CA">
              <w:rPr>
                <w:bCs/>
                <w:sz w:val="21"/>
                <w:szCs w:val="21"/>
              </w:rPr>
              <w:t>887 households in business groups have loans for milk, meat or fodder production</w:t>
            </w:r>
          </w:p>
          <w:p w:rsidR="004277CA" w:rsidRPr="004277CA" w:rsidRDefault="004277CA" w:rsidP="004277CA">
            <w:pPr>
              <w:rPr>
                <w:rFonts w:cs="Arial"/>
                <w:sz w:val="21"/>
                <w:szCs w:val="21"/>
              </w:rPr>
            </w:pPr>
            <w:r w:rsidRPr="004277CA">
              <w:rPr>
                <w:bCs/>
                <w:sz w:val="21"/>
                <w:szCs w:val="21"/>
                <w:u w:val="single"/>
              </w:rPr>
              <w:t>Annual:</w:t>
            </w:r>
            <w:r w:rsidRPr="00EF02D3">
              <w:rPr>
                <w:bCs/>
                <w:sz w:val="21"/>
                <w:szCs w:val="21"/>
              </w:rPr>
              <w:t xml:space="preserve"> </w:t>
            </w:r>
            <w:r w:rsidRPr="004277CA">
              <w:rPr>
                <w:bCs/>
                <w:sz w:val="21"/>
                <w:szCs w:val="21"/>
              </w:rPr>
              <w:t>400 new households in business groups have loans for milk, meat and fodder production</w:t>
            </w:r>
          </w:p>
        </w:tc>
        <w:tc>
          <w:tcPr>
            <w:tcW w:w="3544" w:type="dxa"/>
            <w:tcMar>
              <w:top w:w="57" w:type="dxa"/>
              <w:left w:w="57" w:type="dxa"/>
              <w:bottom w:w="57" w:type="dxa"/>
              <w:right w:w="57" w:type="dxa"/>
            </w:tcMar>
          </w:tcPr>
          <w:p w:rsidR="004277CA" w:rsidRPr="004277CA" w:rsidRDefault="004277CA" w:rsidP="004277CA">
            <w:pPr>
              <w:spacing w:after="120"/>
              <w:rPr>
                <w:bCs/>
                <w:sz w:val="21"/>
                <w:szCs w:val="21"/>
              </w:rPr>
            </w:pPr>
            <w:r w:rsidRPr="004277CA">
              <w:rPr>
                <w:bCs/>
                <w:sz w:val="21"/>
                <w:szCs w:val="21"/>
                <w:u w:val="single"/>
              </w:rPr>
              <w:t>Cum:</w:t>
            </w:r>
            <w:r w:rsidRPr="004277CA">
              <w:rPr>
                <w:bCs/>
                <w:sz w:val="21"/>
                <w:szCs w:val="21"/>
              </w:rPr>
              <w:t xml:space="preserve"> 1,</w:t>
            </w:r>
            <w:r w:rsidR="00065F33">
              <w:rPr>
                <w:bCs/>
                <w:sz w:val="21"/>
                <w:szCs w:val="21"/>
              </w:rPr>
              <w:t>120</w:t>
            </w:r>
            <w:r w:rsidRPr="004277CA">
              <w:rPr>
                <w:bCs/>
                <w:sz w:val="21"/>
                <w:szCs w:val="21"/>
              </w:rPr>
              <w:t xml:space="preserve"> households in business groups have loans for milk, meat or fodder production</w:t>
            </w:r>
          </w:p>
          <w:p w:rsidR="004277CA" w:rsidRPr="004277CA" w:rsidRDefault="004277CA" w:rsidP="00065F33">
            <w:pPr>
              <w:rPr>
                <w:rFonts w:cs="Arial"/>
                <w:sz w:val="21"/>
                <w:szCs w:val="21"/>
              </w:rPr>
            </w:pPr>
            <w:r w:rsidRPr="004277CA">
              <w:rPr>
                <w:bCs/>
                <w:sz w:val="21"/>
                <w:szCs w:val="21"/>
                <w:u w:val="single"/>
              </w:rPr>
              <w:t>Annual:</w:t>
            </w:r>
            <w:r w:rsidRPr="004277CA">
              <w:rPr>
                <w:bCs/>
                <w:sz w:val="21"/>
                <w:szCs w:val="21"/>
              </w:rPr>
              <w:t xml:space="preserve"> </w:t>
            </w:r>
            <w:r w:rsidR="00065F33">
              <w:rPr>
                <w:bCs/>
                <w:sz w:val="21"/>
                <w:szCs w:val="21"/>
              </w:rPr>
              <w:t>633</w:t>
            </w:r>
            <w:r w:rsidRPr="004277CA">
              <w:rPr>
                <w:bCs/>
                <w:sz w:val="21"/>
                <w:szCs w:val="21"/>
              </w:rPr>
              <w:t xml:space="preserve"> new households in business groups have loans for milk, meat and fodder production</w:t>
            </w:r>
          </w:p>
        </w:tc>
      </w:tr>
      <w:tr w:rsidR="004277CA" w:rsidRPr="00B21C54" w:rsidTr="004277CA">
        <w:trPr>
          <w:trHeight w:val="669"/>
        </w:trPr>
        <w:tc>
          <w:tcPr>
            <w:tcW w:w="3318" w:type="dxa"/>
            <w:tcMar>
              <w:top w:w="57" w:type="dxa"/>
              <w:left w:w="57" w:type="dxa"/>
              <w:bottom w:w="57" w:type="dxa"/>
              <w:right w:w="57" w:type="dxa"/>
            </w:tcMar>
          </w:tcPr>
          <w:p w:rsidR="004277CA" w:rsidRPr="004277CA" w:rsidRDefault="004277CA" w:rsidP="00E229B9">
            <w:pPr>
              <w:rPr>
                <w:rFonts w:cs="Arial"/>
                <w:i/>
                <w:sz w:val="21"/>
                <w:szCs w:val="21"/>
              </w:rPr>
            </w:pPr>
            <w:r w:rsidRPr="004277CA">
              <w:rPr>
                <w:bCs/>
                <w:sz w:val="21"/>
                <w:szCs w:val="21"/>
              </w:rPr>
              <w:t>3.3 Relationships established between business groups, buyers (meat &amp; milk products) and input suppliers</w:t>
            </w:r>
            <w:r w:rsidR="00557986">
              <w:rPr>
                <w:bCs/>
                <w:sz w:val="21"/>
                <w:szCs w:val="21"/>
              </w:rPr>
              <w:t xml:space="preserve"> </w:t>
            </w:r>
            <w:r w:rsidR="00E229B9" w:rsidRPr="00E229B9">
              <w:rPr>
                <w:rFonts w:cs="Arial"/>
                <w:bCs/>
                <w:color w:val="FF0000"/>
                <w:sz w:val="21"/>
                <w:szCs w:val="21"/>
              </w:rPr>
              <w:t>[A</w:t>
            </w:r>
            <w:r w:rsidR="00637DF6">
              <w:rPr>
                <w:rFonts w:cs="Arial"/>
                <w:bCs/>
                <w:color w:val="FF0000"/>
                <w:sz w:val="21"/>
                <w:szCs w:val="21"/>
              </w:rPr>
              <w:t>+</w:t>
            </w:r>
            <w:r w:rsidR="00E229B9" w:rsidRPr="00E229B9">
              <w:rPr>
                <w:rFonts w:cs="Arial"/>
                <w:bCs/>
                <w:color w:val="FF0000"/>
                <w:sz w:val="21"/>
                <w:szCs w:val="21"/>
              </w:rPr>
              <w:t>]</w:t>
            </w:r>
          </w:p>
        </w:tc>
        <w:tc>
          <w:tcPr>
            <w:tcW w:w="3543" w:type="dxa"/>
            <w:tcMar>
              <w:top w:w="57" w:type="dxa"/>
              <w:left w:w="57" w:type="dxa"/>
              <w:bottom w:w="57" w:type="dxa"/>
              <w:right w:w="57" w:type="dxa"/>
            </w:tcMar>
          </w:tcPr>
          <w:p w:rsidR="004277CA" w:rsidRPr="004277CA" w:rsidRDefault="004277CA" w:rsidP="004277CA">
            <w:pPr>
              <w:spacing w:after="120"/>
              <w:rPr>
                <w:bCs/>
                <w:sz w:val="21"/>
                <w:szCs w:val="21"/>
              </w:rPr>
            </w:pPr>
            <w:r w:rsidRPr="004277CA">
              <w:rPr>
                <w:bCs/>
                <w:sz w:val="21"/>
                <w:szCs w:val="21"/>
              </w:rPr>
              <w:t>90% of C</w:t>
            </w:r>
            <w:r w:rsidR="0032475F">
              <w:rPr>
                <w:bCs/>
                <w:sz w:val="21"/>
                <w:szCs w:val="21"/>
              </w:rPr>
              <w:t>har Business Centres (C</w:t>
            </w:r>
            <w:r w:rsidRPr="004277CA">
              <w:rPr>
                <w:bCs/>
                <w:sz w:val="21"/>
                <w:szCs w:val="21"/>
              </w:rPr>
              <w:t>BCs</w:t>
            </w:r>
            <w:r w:rsidR="0032475F">
              <w:rPr>
                <w:bCs/>
                <w:sz w:val="21"/>
                <w:szCs w:val="21"/>
              </w:rPr>
              <w:t>)</w:t>
            </w:r>
            <w:r w:rsidRPr="004277CA">
              <w:rPr>
                <w:bCs/>
                <w:sz w:val="21"/>
                <w:szCs w:val="21"/>
              </w:rPr>
              <w:t xml:space="preserve"> meet attendance criteria.</w:t>
            </w:r>
          </w:p>
          <w:p w:rsidR="004277CA" w:rsidRPr="004277CA" w:rsidRDefault="00485E20" w:rsidP="004277CA">
            <w:pPr>
              <w:spacing w:after="120"/>
              <w:rPr>
                <w:bCs/>
                <w:sz w:val="21"/>
                <w:szCs w:val="21"/>
              </w:rPr>
            </w:pPr>
            <w:r>
              <w:rPr>
                <w:bCs/>
                <w:sz w:val="21"/>
                <w:szCs w:val="21"/>
                <w:u w:val="single"/>
              </w:rPr>
              <w:t>Cum</w:t>
            </w:r>
            <w:r w:rsidR="004277CA" w:rsidRPr="004277CA">
              <w:rPr>
                <w:bCs/>
                <w:sz w:val="21"/>
                <w:szCs w:val="21"/>
                <w:u w:val="single"/>
              </w:rPr>
              <w:t>:</w:t>
            </w:r>
            <w:r w:rsidR="004277CA" w:rsidRPr="004277CA">
              <w:rPr>
                <w:bCs/>
                <w:sz w:val="21"/>
                <w:szCs w:val="21"/>
              </w:rPr>
              <w:t xml:space="preserve"> 1,650 linkage meetings carried out between business groups and buyer</w:t>
            </w:r>
          </w:p>
          <w:p w:rsidR="004277CA" w:rsidRPr="004277CA" w:rsidRDefault="004277CA" w:rsidP="004277CA">
            <w:pPr>
              <w:rPr>
                <w:bCs/>
                <w:sz w:val="21"/>
                <w:szCs w:val="21"/>
                <w:u w:val="single"/>
              </w:rPr>
            </w:pPr>
            <w:r w:rsidRPr="004277CA">
              <w:rPr>
                <w:bCs/>
                <w:sz w:val="21"/>
                <w:szCs w:val="21"/>
                <w:u w:val="single"/>
              </w:rPr>
              <w:t>Annual:</w:t>
            </w:r>
            <w:r w:rsidRPr="004277CA">
              <w:rPr>
                <w:bCs/>
                <w:sz w:val="21"/>
                <w:szCs w:val="21"/>
              </w:rPr>
              <w:t xml:space="preserve"> 693 linkage meetings carried out between business groups and buyers</w:t>
            </w:r>
          </w:p>
        </w:tc>
        <w:tc>
          <w:tcPr>
            <w:tcW w:w="3544" w:type="dxa"/>
            <w:tcMar>
              <w:top w:w="57" w:type="dxa"/>
              <w:left w:w="57" w:type="dxa"/>
              <w:bottom w:w="57" w:type="dxa"/>
              <w:right w:w="57" w:type="dxa"/>
            </w:tcMar>
          </w:tcPr>
          <w:p w:rsidR="004277CA" w:rsidRPr="004277CA" w:rsidRDefault="00065F33" w:rsidP="004277CA">
            <w:pPr>
              <w:spacing w:after="120"/>
              <w:rPr>
                <w:bCs/>
                <w:sz w:val="21"/>
                <w:szCs w:val="21"/>
              </w:rPr>
            </w:pPr>
            <w:r>
              <w:rPr>
                <w:bCs/>
                <w:sz w:val="21"/>
                <w:szCs w:val="21"/>
              </w:rPr>
              <w:t>94</w:t>
            </w:r>
            <w:r w:rsidR="004277CA" w:rsidRPr="004277CA">
              <w:rPr>
                <w:bCs/>
                <w:sz w:val="21"/>
                <w:szCs w:val="21"/>
              </w:rPr>
              <w:t>% of CBCs meet attendance criteria.</w:t>
            </w:r>
          </w:p>
          <w:p w:rsidR="004277CA" w:rsidRPr="004277CA" w:rsidRDefault="004277CA" w:rsidP="004277CA">
            <w:pPr>
              <w:spacing w:after="120"/>
              <w:rPr>
                <w:bCs/>
                <w:sz w:val="21"/>
                <w:szCs w:val="21"/>
                <w:u w:val="single"/>
              </w:rPr>
            </w:pPr>
            <w:r w:rsidRPr="004277CA">
              <w:rPr>
                <w:bCs/>
                <w:sz w:val="21"/>
                <w:szCs w:val="21"/>
                <w:u w:val="single"/>
              </w:rPr>
              <w:t>Cum.:</w:t>
            </w:r>
            <w:r w:rsidR="00065F33">
              <w:rPr>
                <w:bCs/>
                <w:sz w:val="21"/>
                <w:szCs w:val="21"/>
              </w:rPr>
              <w:t xml:space="preserve"> 1,696</w:t>
            </w:r>
            <w:r w:rsidRPr="004277CA">
              <w:rPr>
                <w:bCs/>
                <w:sz w:val="21"/>
                <w:szCs w:val="21"/>
              </w:rPr>
              <w:t xml:space="preserve"> linkage meetings carried out between business groups and buyer</w:t>
            </w:r>
          </w:p>
          <w:p w:rsidR="004277CA" w:rsidRPr="004277CA" w:rsidRDefault="004277CA" w:rsidP="00065F33">
            <w:pPr>
              <w:rPr>
                <w:bCs/>
                <w:sz w:val="21"/>
                <w:szCs w:val="21"/>
                <w:u w:val="single"/>
              </w:rPr>
            </w:pPr>
            <w:r w:rsidRPr="004277CA">
              <w:rPr>
                <w:bCs/>
                <w:sz w:val="21"/>
                <w:szCs w:val="21"/>
                <w:u w:val="single"/>
              </w:rPr>
              <w:t>Annual:</w:t>
            </w:r>
            <w:r w:rsidRPr="004277CA">
              <w:rPr>
                <w:bCs/>
                <w:sz w:val="21"/>
                <w:szCs w:val="21"/>
              </w:rPr>
              <w:t xml:space="preserve"> 7</w:t>
            </w:r>
            <w:r w:rsidR="00065F33">
              <w:rPr>
                <w:bCs/>
                <w:sz w:val="21"/>
                <w:szCs w:val="21"/>
              </w:rPr>
              <w:t>39</w:t>
            </w:r>
            <w:r w:rsidRPr="004277CA">
              <w:rPr>
                <w:bCs/>
                <w:sz w:val="21"/>
                <w:szCs w:val="21"/>
              </w:rPr>
              <w:t xml:space="preserve"> linkage meetings carried out between business groups and buyers</w:t>
            </w:r>
          </w:p>
        </w:tc>
      </w:tr>
    </w:tbl>
    <w:p w:rsidR="004277CA" w:rsidRPr="00C32FAD" w:rsidRDefault="004277CA" w:rsidP="00A10A42">
      <w:pPr>
        <w:rPr>
          <w:rFonts w:cs="Arial"/>
          <w:sz w:val="10"/>
          <w:szCs w:val="22"/>
        </w:rPr>
      </w:pPr>
    </w:p>
    <w:p w:rsidR="00E476EB" w:rsidRPr="00C00E40" w:rsidRDefault="00E476EB" w:rsidP="00265145">
      <w:pPr>
        <w:pStyle w:val="Heading2"/>
        <w:spacing w:after="120"/>
        <w:rPr>
          <w:i w:val="0"/>
          <w:sz w:val="22"/>
          <w:szCs w:val="22"/>
        </w:rPr>
      </w:pPr>
      <w:r w:rsidRPr="00C00E40">
        <w:rPr>
          <w:i w:val="0"/>
          <w:sz w:val="22"/>
          <w:szCs w:val="22"/>
        </w:rPr>
        <w:t>Key Points:</w:t>
      </w:r>
    </w:p>
    <w:p w:rsidR="00932D95" w:rsidRPr="007834C2" w:rsidRDefault="00BF7016" w:rsidP="00641A4E">
      <w:pPr>
        <w:pStyle w:val="ListParagraph"/>
        <w:numPr>
          <w:ilvl w:val="0"/>
          <w:numId w:val="3"/>
        </w:numPr>
        <w:ind w:left="284" w:hanging="284"/>
        <w:jc w:val="both"/>
        <w:rPr>
          <w:rFonts w:cs="Arial"/>
          <w:bCs/>
          <w:sz w:val="22"/>
          <w:szCs w:val="22"/>
        </w:rPr>
      </w:pPr>
      <w:r w:rsidRPr="007834C2">
        <w:rPr>
          <w:rFonts w:cs="Arial"/>
          <w:bCs/>
          <w:sz w:val="22"/>
          <w:szCs w:val="22"/>
        </w:rPr>
        <w:t xml:space="preserve">The market development work now seems to be building some momentum after a delayed start and slow progress over </w:t>
      </w:r>
      <w:r w:rsidR="00FF3FE3" w:rsidRPr="007834C2">
        <w:rPr>
          <w:rFonts w:cs="Arial"/>
          <w:bCs/>
          <w:sz w:val="22"/>
          <w:szCs w:val="22"/>
        </w:rPr>
        <w:t xml:space="preserve">the </w:t>
      </w:r>
      <w:r w:rsidRPr="007834C2">
        <w:rPr>
          <w:rFonts w:cs="Arial"/>
          <w:bCs/>
          <w:sz w:val="22"/>
          <w:szCs w:val="22"/>
        </w:rPr>
        <w:t>first two years. The h</w:t>
      </w:r>
      <w:r w:rsidR="00E65AD4" w:rsidRPr="007834C2">
        <w:rPr>
          <w:rFonts w:cs="Arial"/>
          <w:bCs/>
          <w:sz w:val="22"/>
          <w:szCs w:val="22"/>
        </w:rPr>
        <w:t>ybrid approach</w:t>
      </w:r>
      <w:r w:rsidRPr="007834C2">
        <w:rPr>
          <w:rFonts w:cs="Arial"/>
          <w:bCs/>
          <w:sz w:val="22"/>
          <w:szCs w:val="22"/>
        </w:rPr>
        <w:t xml:space="preserve">, linking </w:t>
      </w:r>
      <w:r w:rsidR="0032475F">
        <w:rPr>
          <w:rFonts w:cs="Arial"/>
          <w:bCs/>
          <w:sz w:val="22"/>
          <w:szCs w:val="22"/>
        </w:rPr>
        <w:t>‘Making Market Work for the Poor’ (</w:t>
      </w:r>
      <w:r w:rsidRPr="007834C2">
        <w:rPr>
          <w:rFonts w:cs="Arial"/>
          <w:bCs/>
          <w:sz w:val="22"/>
          <w:szCs w:val="22"/>
        </w:rPr>
        <w:t>M4P</w:t>
      </w:r>
      <w:r w:rsidR="0032475F">
        <w:rPr>
          <w:rFonts w:cs="Arial"/>
          <w:bCs/>
          <w:sz w:val="22"/>
          <w:szCs w:val="22"/>
        </w:rPr>
        <w:t>)</w:t>
      </w:r>
      <w:r w:rsidRPr="007834C2">
        <w:rPr>
          <w:rFonts w:cs="Arial"/>
          <w:bCs/>
          <w:sz w:val="22"/>
          <w:szCs w:val="22"/>
        </w:rPr>
        <w:t xml:space="preserve"> with a livelihoods model</w:t>
      </w:r>
      <w:r w:rsidR="006D0320" w:rsidRPr="007834C2">
        <w:rPr>
          <w:rFonts w:cs="Arial"/>
          <w:bCs/>
          <w:sz w:val="22"/>
          <w:szCs w:val="22"/>
        </w:rPr>
        <w:t>, appears</w:t>
      </w:r>
      <w:r w:rsidR="00E65AD4" w:rsidRPr="007834C2">
        <w:rPr>
          <w:rFonts w:cs="Arial"/>
          <w:bCs/>
          <w:sz w:val="22"/>
          <w:szCs w:val="22"/>
        </w:rPr>
        <w:t xml:space="preserve"> to be </w:t>
      </w:r>
      <w:r w:rsidR="009D47FC">
        <w:rPr>
          <w:rFonts w:cs="Arial"/>
          <w:bCs/>
          <w:sz w:val="22"/>
          <w:szCs w:val="22"/>
        </w:rPr>
        <w:t>working. T</w:t>
      </w:r>
      <w:r w:rsidR="00FF3FE3" w:rsidRPr="007834C2">
        <w:rPr>
          <w:rFonts w:cs="Arial"/>
          <w:bCs/>
          <w:sz w:val="22"/>
          <w:szCs w:val="22"/>
        </w:rPr>
        <w:t xml:space="preserve">he </w:t>
      </w:r>
      <w:r w:rsidR="00D739EF" w:rsidRPr="007834C2">
        <w:rPr>
          <w:rFonts w:cs="Arial"/>
          <w:bCs/>
          <w:sz w:val="22"/>
          <w:szCs w:val="22"/>
        </w:rPr>
        <w:t>s</w:t>
      </w:r>
      <w:r w:rsidR="00E65AD4" w:rsidRPr="007834C2">
        <w:rPr>
          <w:rFonts w:cs="Arial"/>
          <w:bCs/>
          <w:sz w:val="22"/>
          <w:szCs w:val="22"/>
        </w:rPr>
        <w:t xml:space="preserve">ustained investment in supply side constraints </w:t>
      </w:r>
      <w:r w:rsidR="00386A5B" w:rsidRPr="007834C2">
        <w:rPr>
          <w:rFonts w:cs="Arial"/>
          <w:bCs/>
          <w:sz w:val="22"/>
          <w:szCs w:val="22"/>
        </w:rPr>
        <w:t xml:space="preserve">as well as </w:t>
      </w:r>
      <w:r w:rsidR="00E65AD4" w:rsidRPr="007834C2">
        <w:rPr>
          <w:rFonts w:cs="Arial"/>
          <w:bCs/>
          <w:sz w:val="22"/>
          <w:szCs w:val="22"/>
        </w:rPr>
        <w:t xml:space="preserve">institutions </w:t>
      </w:r>
      <w:r w:rsidR="00386A5B" w:rsidRPr="007834C2">
        <w:rPr>
          <w:rFonts w:cs="Arial"/>
          <w:bCs/>
          <w:sz w:val="22"/>
          <w:szCs w:val="22"/>
        </w:rPr>
        <w:t>to facilitate market coordination now showing results</w:t>
      </w:r>
      <w:r w:rsidR="007834C2">
        <w:rPr>
          <w:rFonts w:cs="Arial"/>
          <w:bCs/>
          <w:sz w:val="22"/>
          <w:szCs w:val="22"/>
        </w:rPr>
        <w:t xml:space="preserve"> and some markets possibly reaching a tipping point</w:t>
      </w:r>
      <w:r w:rsidR="00386A5B" w:rsidRPr="007834C2">
        <w:rPr>
          <w:rFonts w:cs="Arial"/>
          <w:bCs/>
          <w:sz w:val="22"/>
          <w:szCs w:val="22"/>
        </w:rPr>
        <w:t xml:space="preserve">. </w:t>
      </w:r>
    </w:p>
    <w:p w:rsidR="00386A5B" w:rsidRDefault="00932D95" w:rsidP="00386A5B">
      <w:pPr>
        <w:pStyle w:val="ListParagraph"/>
        <w:numPr>
          <w:ilvl w:val="0"/>
          <w:numId w:val="3"/>
        </w:numPr>
        <w:ind w:left="284" w:hanging="284"/>
        <w:jc w:val="both"/>
        <w:rPr>
          <w:rFonts w:cs="Arial"/>
          <w:bCs/>
          <w:sz w:val="22"/>
          <w:szCs w:val="22"/>
        </w:rPr>
      </w:pPr>
      <w:r w:rsidRPr="00C00E40">
        <w:rPr>
          <w:rFonts w:cs="Arial"/>
          <w:bCs/>
          <w:sz w:val="22"/>
          <w:szCs w:val="22"/>
        </w:rPr>
        <w:t xml:space="preserve">CBCs </w:t>
      </w:r>
      <w:r w:rsidR="00386A5B" w:rsidRPr="00C00E40">
        <w:rPr>
          <w:rFonts w:cs="Arial"/>
          <w:bCs/>
          <w:sz w:val="22"/>
          <w:szCs w:val="22"/>
        </w:rPr>
        <w:t xml:space="preserve">appear to </w:t>
      </w:r>
      <w:r w:rsidRPr="00C00E40">
        <w:rPr>
          <w:rFonts w:cs="Arial"/>
          <w:bCs/>
          <w:sz w:val="22"/>
          <w:szCs w:val="22"/>
        </w:rPr>
        <w:t xml:space="preserve">have played </w:t>
      </w:r>
      <w:r w:rsidR="00386A5B" w:rsidRPr="00C00E40">
        <w:rPr>
          <w:rFonts w:cs="Arial"/>
          <w:bCs/>
          <w:sz w:val="22"/>
          <w:szCs w:val="22"/>
        </w:rPr>
        <w:t xml:space="preserve">a </w:t>
      </w:r>
      <w:r w:rsidRPr="00C00E40">
        <w:rPr>
          <w:rFonts w:cs="Arial"/>
          <w:bCs/>
          <w:sz w:val="22"/>
          <w:szCs w:val="22"/>
        </w:rPr>
        <w:t xml:space="preserve">valuable role </w:t>
      </w:r>
      <w:r w:rsidR="007834C2">
        <w:rPr>
          <w:rFonts w:cs="Arial"/>
          <w:bCs/>
          <w:sz w:val="22"/>
          <w:szCs w:val="22"/>
        </w:rPr>
        <w:t xml:space="preserve">facilitating market linkages </w:t>
      </w:r>
      <w:r w:rsidRPr="00C00E40">
        <w:rPr>
          <w:rFonts w:cs="Arial"/>
          <w:bCs/>
          <w:sz w:val="22"/>
          <w:szCs w:val="22"/>
        </w:rPr>
        <w:t xml:space="preserve">to date but </w:t>
      </w:r>
      <w:r w:rsidR="009D47FC">
        <w:rPr>
          <w:rFonts w:cs="Arial"/>
          <w:bCs/>
          <w:sz w:val="22"/>
          <w:szCs w:val="22"/>
        </w:rPr>
        <w:t>sustainability question remains</w:t>
      </w:r>
      <w:r w:rsidR="00386A5B" w:rsidRPr="00C00E40">
        <w:rPr>
          <w:rFonts w:cs="Arial"/>
          <w:bCs/>
          <w:sz w:val="22"/>
          <w:szCs w:val="22"/>
        </w:rPr>
        <w:t xml:space="preserve">. </w:t>
      </w:r>
      <w:r w:rsidR="00D739EF" w:rsidRPr="00C00E40">
        <w:rPr>
          <w:rFonts w:cs="Arial"/>
          <w:bCs/>
          <w:sz w:val="22"/>
          <w:szCs w:val="22"/>
        </w:rPr>
        <w:t xml:space="preserve">The rationale and incentives for </w:t>
      </w:r>
      <w:r w:rsidR="008A51A6">
        <w:rPr>
          <w:rFonts w:cs="Arial"/>
          <w:bCs/>
          <w:sz w:val="22"/>
          <w:szCs w:val="22"/>
        </w:rPr>
        <w:t xml:space="preserve">sustained </w:t>
      </w:r>
      <w:r w:rsidR="00D739EF" w:rsidRPr="00C00E40">
        <w:rPr>
          <w:rFonts w:cs="Arial"/>
          <w:bCs/>
          <w:sz w:val="22"/>
          <w:szCs w:val="22"/>
        </w:rPr>
        <w:t>coll</w:t>
      </w:r>
      <w:r w:rsidR="008A51A6">
        <w:rPr>
          <w:rFonts w:cs="Arial"/>
          <w:bCs/>
          <w:sz w:val="22"/>
          <w:szCs w:val="22"/>
        </w:rPr>
        <w:t xml:space="preserve">ective action is </w:t>
      </w:r>
      <w:r w:rsidR="0057253A">
        <w:rPr>
          <w:rFonts w:cs="Arial"/>
          <w:bCs/>
          <w:sz w:val="22"/>
          <w:szCs w:val="22"/>
        </w:rPr>
        <w:t>not very</w:t>
      </w:r>
      <w:r w:rsidR="008A51A6">
        <w:rPr>
          <w:rFonts w:cs="Arial"/>
          <w:bCs/>
          <w:sz w:val="22"/>
          <w:szCs w:val="22"/>
        </w:rPr>
        <w:t xml:space="preserve"> </w:t>
      </w:r>
      <w:r w:rsidR="006D0320">
        <w:rPr>
          <w:rFonts w:cs="Arial"/>
          <w:bCs/>
          <w:sz w:val="22"/>
          <w:szCs w:val="22"/>
        </w:rPr>
        <w:t xml:space="preserve">clear. </w:t>
      </w:r>
      <w:r w:rsidR="008A51A6">
        <w:rPr>
          <w:rFonts w:cs="Arial"/>
          <w:bCs/>
          <w:sz w:val="22"/>
          <w:szCs w:val="22"/>
        </w:rPr>
        <w:t>G</w:t>
      </w:r>
      <w:r w:rsidR="007834C2">
        <w:rPr>
          <w:rFonts w:cs="Arial"/>
          <w:bCs/>
          <w:sz w:val="22"/>
          <w:szCs w:val="22"/>
        </w:rPr>
        <w:t xml:space="preserve">lobal </w:t>
      </w:r>
      <w:r w:rsidR="00D739EF" w:rsidRPr="00C00E40">
        <w:rPr>
          <w:rFonts w:cs="Arial"/>
          <w:bCs/>
          <w:sz w:val="22"/>
          <w:szCs w:val="22"/>
        </w:rPr>
        <w:t>evidence suggest</w:t>
      </w:r>
      <w:r w:rsidR="008A51A6">
        <w:rPr>
          <w:rFonts w:cs="Arial"/>
          <w:bCs/>
          <w:sz w:val="22"/>
          <w:szCs w:val="22"/>
        </w:rPr>
        <w:t xml:space="preserve">s </w:t>
      </w:r>
      <w:r w:rsidR="007834C2">
        <w:rPr>
          <w:rFonts w:cs="Arial"/>
          <w:bCs/>
          <w:sz w:val="22"/>
          <w:szCs w:val="22"/>
        </w:rPr>
        <w:t xml:space="preserve">it is hard to sustain </w:t>
      </w:r>
      <w:r w:rsidR="008A51A6">
        <w:rPr>
          <w:rFonts w:cs="Arial"/>
          <w:bCs/>
          <w:sz w:val="22"/>
          <w:szCs w:val="22"/>
        </w:rPr>
        <w:t xml:space="preserve">collective action where the objectives and incentives for collaboration are not clear and meetings are infrequent. </w:t>
      </w:r>
    </w:p>
    <w:p w:rsidR="008C71E1" w:rsidRPr="008C71E1" w:rsidRDefault="008C71E1" w:rsidP="008C71E1">
      <w:pPr>
        <w:pStyle w:val="ListParagraph"/>
        <w:numPr>
          <w:ilvl w:val="0"/>
          <w:numId w:val="3"/>
        </w:numPr>
        <w:ind w:left="284" w:hanging="284"/>
        <w:jc w:val="both"/>
        <w:rPr>
          <w:rFonts w:cs="Arial"/>
          <w:bCs/>
          <w:sz w:val="22"/>
          <w:szCs w:val="22"/>
        </w:rPr>
      </w:pPr>
      <w:r w:rsidRPr="00C00E40">
        <w:rPr>
          <w:rFonts w:cs="Arial"/>
          <w:bCs/>
          <w:sz w:val="22"/>
          <w:szCs w:val="22"/>
        </w:rPr>
        <w:t>Despite positive progress on access to financial services</w:t>
      </w:r>
      <w:r w:rsidR="00F33DD3">
        <w:rPr>
          <w:rFonts w:cs="Arial"/>
          <w:bCs/>
          <w:sz w:val="22"/>
          <w:szCs w:val="22"/>
        </w:rPr>
        <w:t xml:space="preserve"> (A2F)</w:t>
      </w:r>
      <w:r w:rsidRPr="00C00E40">
        <w:rPr>
          <w:rFonts w:cs="Arial"/>
          <w:bCs/>
          <w:sz w:val="22"/>
          <w:szCs w:val="22"/>
        </w:rPr>
        <w:t xml:space="preserve"> for business group members, CLP has yet to </w:t>
      </w:r>
      <w:r w:rsidR="00F33DD3">
        <w:rPr>
          <w:rFonts w:cs="Arial"/>
          <w:bCs/>
          <w:sz w:val="22"/>
          <w:szCs w:val="22"/>
        </w:rPr>
        <w:t>finalise</w:t>
      </w:r>
      <w:r w:rsidRPr="00C00E40">
        <w:rPr>
          <w:rFonts w:cs="Arial"/>
          <w:bCs/>
          <w:sz w:val="22"/>
          <w:szCs w:val="22"/>
        </w:rPr>
        <w:t xml:space="preserve"> a clear strategy on A2F</w:t>
      </w:r>
      <w:r w:rsidR="00392219">
        <w:rPr>
          <w:rFonts w:cs="Arial"/>
          <w:bCs/>
          <w:sz w:val="22"/>
          <w:szCs w:val="22"/>
        </w:rPr>
        <w:t>. T</w:t>
      </w:r>
      <w:r w:rsidRPr="00C00E40">
        <w:rPr>
          <w:rFonts w:cs="Arial"/>
          <w:bCs/>
          <w:sz w:val="22"/>
          <w:szCs w:val="22"/>
        </w:rPr>
        <w:t xml:space="preserve">his </w:t>
      </w:r>
      <w:r w:rsidR="00392219">
        <w:rPr>
          <w:rFonts w:cs="Arial"/>
          <w:bCs/>
          <w:sz w:val="22"/>
          <w:szCs w:val="22"/>
        </w:rPr>
        <w:t xml:space="preserve">is </w:t>
      </w:r>
      <w:r w:rsidRPr="00C00E40">
        <w:rPr>
          <w:rFonts w:cs="Arial"/>
          <w:bCs/>
          <w:sz w:val="22"/>
          <w:szCs w:val="22"/>
        </w:rPr>
        <w:t xml:space="preserve">a critical supporting market. </w:t>
      </w:r>
      <w:r>
        <w:rPr>
          <w:rFonts w:cs="Arial"/>
          <w:bCs/>
          <w:sz w:val="22"/>
          <w:szCs w:val="22"/>
        </w:rPr>
        <w:t>I</w:t>
      </w:r>
      <w:r w:rsidRPr="00C00E40">
        <w:rPr>
          <w:rFonts w:cs="Arial"/>
          <w:bCs/>
          <w:sz w:val="22"/>
          <w:szCs w:val="22"/>
        </w:rPr>
        <w:t>n the final year the priority should be to scale up access to new products tailored to the needs of BG members</w:t>
      </w:r>
      <w:r w:rsidR="00B3787D">
        <w:rPr>
          <w:rFonts w:cs="Arial"/>
          <w:bCs/>
          <w:sz w:val="22"/>
          <w:szCs w:val="22"/>
        </w:rPr>
        <w:t xml:space="preserve"> </w:t>
      </w:r>
      <w:r w:rsidR="00903DAE">
        <w:rPr>
          <w:rFonts w:cs="Arial"/>
          <w:bCs/>
          <w:sz w:val="22"/>
          <w:szCs w:val="22"/>
        </w:rPr>
        <w:t>b</w:t>
      </w:r>
      <w:r w:rsidR="00C3618D">
        <w:rPr>
          <w:rFonts w:cs="Arial"/>
          <w:bCs/>
          <w:sz w:val="22"/>
          <w:szCs w:val="22"/>
        </w:rPr>
        <w:t xml:space="preserve">y </w:t>
      </w:r>
      <w:r w:rsidR="00903DAE">
        <w:rPr>
          <w:rFonts w:cs="Arial"/>
          <w:bCs/>
          <w:sz w:val="22"/>
          <w:szCs w:val="22"/>
        </w:rPr>
        <w:t>linking</w:t>
      </w:r>
      <w:r w:rsidR="00C3618D">
        <w:rPr>
          <w:rFonts w:cs="Arial"/>
          <w:bCs/>
          <w:sz w:val="22"/>
          <w:szCs w:val="22"/>
        </w:rPr>
        <w:t xml:space="preserve"> with others</w:t>
      </w:r>
      <w:r w:rsidR="00903DAE">
        <w:rPr>
          <w:rFonts w:cs="Arial"/>
          <w:bCs/>
          <w:sz w:val="22"/>
          <w:szCs w:val="22"/>
        </w:rPr>
        <w:t xml:space="preserve"> </w:t>
      </w:r>
      <w:r w:rsidRPr="00C00E40">
        <w:rPr>
          <w:rFonts w:cs="Arial"/>
          <w:bCs/>
          <w:sz w:val="22"/>
          <w:szCs w:val="22"/>
        </w:rPr>
        <w:t xml:space="preserve">.  </w:t>
      </w:r>
    </w:p>
    <w:p w:rsidR="00C32045" w:rsidRPr="00C00E40" w:rsidRDefault="00C32045" w:rsidP="00265145">
      <w:pPr>
        <w:pStyle w:val="Heading2"/>
        <w:spacing w:after="120"/>
        <w:rPr>
          <w:i w:val="0"/>
          <w:sz w:val="22"/>
          <w:szCs w:val="22"/>
        </w:rPr>
      </w:pPr>
      <w:r w:rsidRPr="00C00E40">
        <w:rPr>
          <w:i w:val="0"/>
          <w:sz w:val="22"/>
          <w:szCs w:val="22"/>
        </w:rPr>
        <w:t xml:space="preserve">Summary of responses to issues raised in previous annual reviews (where relevant)  </w:t>
      </w:r>
    </w:p>
    <w:p w:rsidR="00E65AD4" w:rsidRPr="00C00E40" w:rsidRDefault="007834C2" w:rsidP="00641A4E">
      <w:pPr>
        <w:pStyle w:val="ListParagraph"/>
        <w:numPr>
          <w:ilvl w:val="0"/>
          <w:numId w:val="3"/>
        </w:numPr>
        <w:ind w:left="284" w:hanging="284"/>
        <w:jc w:val="both"/>
        <w:rPr>
          <w:rFonts w:cs="Arial"/>
          <w:bCs/>
          <w:sz w:val="22"/>
          <w:szCs w:val="22"/>
        </w:rPr>
      </w:pPr>
      <w:r>
        <w:rPr>
          <w:rFonts w:cs="Arial"/>
          <w:bCs/>
          <w:sz w:val="22"/>
          <w:szCs w:val="22"/>
        </w:rPr>
        <w:t>The mil</w:t>
      </w:r>
      <w:r w:rsidR="008C71E1">
        <w:rPr>
          <w:rFonts w:cs="Arial"/>
          <w:bCs/>
          <w:sz w:val="22"/>
          <w:szCs w:val="22"/>
        </w:rPr>
        <w:t>k</w:t>
      </w:r>
      <w:r>
        <w:rPr>
          <w:rFonts w:cs="Arial"/>
          <w:bCs/>
          <w:sz w:val="22"/>
          <w:szCs w:val="22"/>
        </w:rPr>
        <w:t xml:space="preserve"> </w:t>
      </w:r>
      <w:r w:rsidR="00E65AD4" w:rsidRPr="00C00E40">
        <w:rPr>
          <w:rFonts w:cs="Arial"/>
          <w:bCs/>
          <w:sz w:val="22"/>
          <w:szCs w:val="22"/>
        </w:rPr>
        <w:t xml:space="preserve">project focus on increasing yields/profits </w:t>
      </w:r>
      <w:r>
        <w:rPr>
          <w:rFonts w:cs="Arial"/>
          <w:bCs/>
          <w:sz w:val="22"/>
          <w:szCs w:val="22"/>
        </w:rPr>
        <w:t>w</w:t>
      </w:r>
      <w:r w:rsidR="00E65AD4" w:rsidRPr="00C00E40">
        <w:rPr>
          <w:rFonts w:cs="Arial"/>
          <w:bCs/>
          <w:sz w:val="22"/>
          <w:szCs w:val="22"/>
        </w:rPr>
        <w:t>as intensified</w:t>
      </w:r>
      <w:r>
        <w:rPr>
          <w:rFonts w:cs="Arial"/>
          <w:bCs/>
          <w:sz w:val="22"/>
          <w:szCs w:val="22"/>
        </w:rPr>
        <w:t xml:space="preserve"> and the t</w:t>
      </w:r>
      <w:r w:rsidR="00E65AD4" w:rsidRPr="00C00E40">
        <w:rPr>
          <w:rFonts w:cs="Arial"/>
          <w:bCs/>
          <w:sz w:val="22"/>
          <w:szCs w:val="22"/>
        </w:rPr>
        <w:t>echnical support now includes improved monitoring of K</w:t>
      </w:r>
      <w:r w:rsidR="0032475F">
        <w:rPr>
          <w:rFonts w:cs="Arial"/>
          <w:bCs/>
          <w:sz w:val="22"/>
          <w:szCs w:val="22"/>
        </w:rPr>
        <w:t>ey Performance Indicators (K</w:t>
      </w:r>
      <w:r w:rsidR="00E65AD4" w:rsidRPr="00C00E40">
        <w:rPr>
          <w:rFonts w:cs="Arial"/>
          <w:bCs/>
          <w:sz w:val="22"/>
          <w:szCs w:val="22"/>
        </w:rPr>
        <w:t>PIs</w:t>
      </w:r>
      <w:r w:rsidR="0032475F">
        <w:rPr>
          <w:rFonts w:cs="Arial"/>
          <w:bCs/>
          <w:sz w:val="22"/>
          <w:szCs w:val="22"/>
        </w:rPr>
        <w:t>)</w:t>
      </w:r>
      <w:r w:rsidR="00E65AD4" w:rsidRPr="00C00E40">
        <w:rPr>
          <w:rFonts w:cs="Arial"/>
          <w:bCs/>
          <w:sz w:val="22"/>
          <w:szCs w:val="22"/>
        </w:rPr>
        <w:t xml:space="preserve">, greater </w:t>
      </w:r>
      <w:r w:rsidR="0032475F" w:rsidRPr="00C00E40">
        <w:rPr>
          <w:rFonts w:cs="Arial"/>
          <w:bCs/>
          <w:sz w:val="22"/>
          <w:szCs w:val="22"/>
        </w:rPr>
        <w:t xml:space="preserve">engagement </w:t>
      </w:r>
      <w:r w:rsidR="0032475F">
        <w:rPr>
          <w:rFonts w:cs="Arial"/>
          <w:bCs/>
          <w:sz w:val="22"/>
          <w:szCs w:val="22"/>
        </w:rPr>
        <w:t>with the</w:t>
      </w:r>
      <w:r w:rsidR="0032475F" w:rsidRPr="00C00E40">
        <w:rPr>
          <w:rFonts w:cs="Arial"/>
          <w:bCs/>
          <w:sz w:val="22"/>
          <w:szCs w:val="22"/>
        </w:rPr>
        <w:t xml:space="preserve"> </w:t>
      </w:r>
      <w:r w:rsidR="00E65AD4" w:rsidRPr="00C00E40">
        <w:rPr>
          <w:rFonts w:cs="Arial"/>
          <w:bCs/>
          <w:sz w:val="22"/>
          <w:szCs w:val="22"/>
        </w:rPr>
        <w:t>L</w:t>
      </w:r>
      <w:r w:rsidR="0032475F">
        <w:rPr>
          <w:rFonts w:cs="Arial"/>
          <w:bCs/>
          <w:sz w:val="22"/>
          <w:szCs w:val="22"/>
        </w:rPr>
        <w:t>ivestock Service Providers (L</w:t>
      </w:r>
      <w:r w:rsidR="00E65AD4" w:rsidRPr="00C00E40">
        <w:rPr>
          <w:rFonts w:cs="Arial"/>
          <w:bCs/>
          <w:sz w:val="22"/>
          <w:szCs w:val="22"/>
        </w:rPr>
        <w:t>SP</w:t>
      </w:r>
      <w:r w:rsidR="0032475F">
        <w:rPr>
          <w:rFonts w:cs="Arial"/>
          <w:bCs/>
          <w:sz w:val="22"/>
          <w:szCs w:val="22"/>
        </w:rPr>
        <w:t>s)</w:t>
      </w:r>
      <w:r w:rsidR="00E65AD4" w:rsidRPr="00C00E40">
        <w:rPr>
          <w:rFonts w:cs="Arial"/>
          <w:bCs/>
          <w:sz w:val="22"/>
          <w:szCs w:val="22"/>
        </w:rPr>
        <w:t xml:space="preserve">, and regular practical yard meetings held at each BGs cattle and fodder demonstrations / lead farmer’s house. A specialist has also been recruited as Coordinator of the Milk Market Development Project to maximise results. </w:t>
      </w:r>
    </w:p>
    <w:p w:rsidR="00C32045" w:rsidRPr="00C00E40" w:rsidRDefault="00C32045" w:rsidP="00265145">
      <w:pPr>
        <w:pStyle w:val="Heading2"/>
        <w:spacing w:after="120"/>
        <w:rPr>
          <w:b w:val="0"/>
          <w:bCs w:val="0"/>
          <w:sz w:val="22"/>
          <w:szCs w:val="22"/>
        </w:rPr>
      </w:pPr>
      <w:r w:rsidRPr="00C81F2D">
        <w:rPr>
          <w:i w:val="0"/>
          <w:sz w:val="22"/>
          <w:szCs w:val="22"/>
        </w:rPr>
        <w:t>Recommendations</w:t>
      </w:r>
    </w:p>
    <w:p w:rsidR="009F7B80" w:rsidRPr="00C00E40" w:rsidRDefault="009D2CE9" w:rsidP="009F7B80">
      <w:pPr>
        <w:pStyle w:val="ListParagraph"/>
        <w:numPr>
          <w:ilvl w:val="0"/>
          <w:numId w:val="21"/>
        </w:numPr>
        <w:spacing w:after="60"/>
        <w:ind w:left="510" w:hanging="510"/>
        <w:contextualSpacing w:val="0"/>
        <w:rPr>
          <w:rFonts w:cs="Arial"/>
          <w:bCs/>
          <w:sz w:val="22"/>
          <w:szCs w:val="22"/>
        </w:rPr>
      </w:pPr>
      <w:r>
        <w:rPr>
          <w:rFonts w:cs="Arial"/>
          <w:bCs/>
          <w:sz w:val="22"/>
          <w:szCs w:val="22"/>
        </w:rPr>
        <w:t>CLP to prioritise continued investment in market development in the final year and finalise its ‘access to finance (A2F) strategy building on existing products (such as the product for meet business groups developed by United Finance Company with iDE), by April 2015.</w:t>
      </w:r>
    </w:p>
    <w:p w:rsidR="00C32045" w:rsidRDefault="00173FD1" w:rsidP="00B34D3B">
      <w:pPr>
        <w:pStyle w:val="ListParagraph"/>
        <w:numPr>
          <w:ilvl w:val="0"/>
          <w:numId w:val="21"/>
        </w:numPr>
        <w:spacing w:after="60"/>
        <w:ind w:left="510" w:hanging="510"/>
        <w:contextualSpacing w:val="0"/>
        <w:rPr>
          <w:rFonts w:cs="Arial"/>
          <w:bCs/>
          <w:sz w:val="22"/>
          <w:szCs w:val="22"/>
        </w:rPr>
      </w:pPr>
      <w:r w:rsidRPr="00F33DD3">
        <w:rPr>
          <w:rFonts w:cs="Arial"/>
          <w:bCs/>
          <w:sz w:val="22"/>
          <w:szCs w:val="22"/>
        </w:rPr>
        <w:t xml:space="preserve">CLP </w:t>
      </w:r>
      <w:r w:rsidR="00F33DD3">
        <w:rPr>
          <w:rFonts w:cs="Arial"/>
          <w:bCs/>
          <w:sz w:val="22"/>
          <w:szCs w:val="22"/>
        </w:rPr>
        <w:t xml:space="preserve">to review the </w:t>
      </w:r>
      <w:r w:rsidR="00F33DD3" w:rsidRPr="00F33DD3">
        <w:rPr>
          <w:rFonts w:cs="Arial"/>
          <w:bCs/>
          <w:sz w:val="22"/>
          <w:szCs w:val="22"/>
        </w:rPr>
        <w:t xml:space="preserve">CBC strategy </w:t>
      </w:r>
      <w:r w:rsidR="00F33DD3">
        <w:rPr>
          <w:rFonts w:cs="Arial"/>
          <w:bCs/>
          <w:sz w:val="22"/>
          <w:szCs w:val="22"/>
        </w:rPr>
        <w:t xml:space="preserve">by May 2015, </w:t>
      </w:r>
      <w:r w:rsidRPr="00F33DD3">
        <w:rPr>
          <w:rFonts w:cs="Arial"/>
          <w:bCs/>
          <w:sz w:val="22"/>
          <w:szCs w:val="22"/>
        </w:rPr>
        <w:t>drawing on existing CBC priorities and interests rather than a standardised approach focused on creating formal structures.</w:t>
      </w:r>
      <w:r w:rsidR="00B34D3B" w:rsidRPr="00F33DD3">
        <w:rPr>
          <w:rFonts w:cs="Arial"/>
          <w:bCs/>
          <w:sz w:val="22"/>
          <w:szCs w:val="22"/>
        </w:rPr>
        <w:t xml:space="preserve"> </w:t>
      </w:r>
    </w:p>
    <w:p w:rsidR="00265145" w:rsidRDefault="00265145" w:rsidP="00265145">
      <w:pPr>
        <w:spacing w:after="60"/>
        <w:rPr>
          <w:rFonts w:cs="Arial"/>
          <w:bCs/>
          <w:sz w:val="22"/>
          <w:szCs w:val="22"/>
        </w:rPr>
      </w:pPr>
    </w:p>
    <w:p w:rsidR="00265145" w:rsidRPr="00265145" w:rsidRDefault="00265145" w:rsidP="00265145">
      <w:pPr>
        <w:spacing w:after="60"/>
        <w:rPr>
          <w:rFonts w:cs="Arial"/>
          <w:bCs/>
          <w:sz w:val="22"/>
          <w:szCs w:val="22"/>
        </w:rPr>
      </w:pPr>
    </w:p>
    <w:p w:rsidR="00265145" w:rsidRDefault="00265145">
      <w:pPr>
        <w:rPr>
          <w:rFonts w:cs="Arial"/>
          <w:bCs/>
          <w:sz w:val="10"/>
          <w:szCs w:val="22"/>
        </w:rPr>
      </w:pPr>
      <w:r>
        <w:rPr>
          <w:rFonts w:cs="Arial"/>
          <w:bCs/>
          <w:sz w:val="10"/>
          <w:szCs w:val="22"/>
        </w:rPr>
        <w:br w:type="page"/>
      </w:r>
    </w:p>
    <w:tbl>
      <w:tblPr>
        <w:tblStyle w:val="TableGrid"/>
        <w:tblW w:w="10405" w:type="dxa"/>
        <w:tblLook w:val="04A0" w:firstRow="1" w:lastRow="0" w:firstColumn="1" w:lastColumn="0" w:noHBand="0" w:noVBand="1"/>
      </w:tblPr>
      <w:tblGrid>
        <w:gridCol w:w="1666"/>
        <w:gridCol w:w="1492"/>
        <w:gridCol w:w="1961"/>
        <w:gridCol w:w="3026"/>
        <w:gridCol w:w="2260"/>
      </w:tblGrid>
      <w:tr w:rsidR="005F7FB5" w:rsidRPr="00F82D5D" w:rsidTr="00494546">
        <w:trPr>
          <w:trHeight w:val="211"/>
        </w:trPr>
        <w:tc>
          <w:tcPr>
            <w:tcW w:w="1666" w:type="dxa"/>
            <w:shd w:val="clear" w:color="auto" w:fill="DBE5F1" w:themeFill="accent1" w:themeFillTint="33"/>
            <w:tcMar>
              <w:top w:w="57" w:type="dxa"/>
              <w:left w:w="57" w:type="dxa"/>
              <w:bottom w:w="57" w:type="dxa"/>
              <w:right w:w="57" w:type="dxa"/>
            </w:tcMar>
          </w:tcPr>
          <w:p w:rsidR="005F7FB5" w:rsidRPr="00F82D5D" w:rsidRDefault="005F7FB5" w:rsidP="00494546">
            <w:pPr>
              <w:rPr>
                <w:b/>
                <w:bCs/>
                <w:sz w:val="22"/>
                <w:szCs w:val="22"/>
              </w:rPr>
            </w:pPr>
            <w:r w:rsidRPr="00F82D5D">
              <w:rPr>
                <w:b/>
                <w:bCs/>
                <w:sz w:val="22"/>
                <w:szCs w:val="22"/>
              </w:rPr>
              <w:lastRenderedPageBreak/>
              <w:t xml:space="preserve">Output Title </w:t>
            </w:r>
          </w:p>
        </w:tc>
        <w:tc>
          <w:tcPr>
            <w:tcW w:w="8739" w:type="dxa"/>
            <w:gridSpan w:val="4"/>
            <w:shd w:val="clear" w:color="auto" w:fill="FFFFFF" w:themeFill="background1"/>
            <w:tcMar>
              <w:top w:w="57" w:type="dxa"/>
              <w:left w:w="57" w:type="dxa"/>
              <w:bottom w:w="57" w:type="dxa"/>
              <w:right w:w="57" w:type="dxa"/>
            </w:tcMar>
          </w:tcPr>
          <w:p w:rsidR="005F7FB5" w:rsidRPr="004277CA" w:rsidRDefault="005F7FB5" w:rsidP="00494546">
            <w:pPr>
              <w:rPr>
                <w:b/>
                <w:bCs/>
                <w:color w:val="FF0000"/>
                <w:sz w:val="22"/>
                <w:szCs w:val="22"/>
              </w:rPr>
            </w:pPr>
            <w:r w:rsidRPr="004277CA">
              <w:rPr>
                <w:b/>
                <w:bCs/>
                <w:sz w:val="22"/>
                <w:szCs w:val="22"/>
              </w:rPr>
              <w:t>Enhanced status of women and girls</w:t>
            </w:r>
          </w:p>
        </w:tc>
      </w:tr>
      <w:tr w:rsidR="005F7FB5" w:rsidRPr="00F82D5D" w:rsidTr="00494546">
        <w:trPr>
          <w:trHeight w:val="273"/>
        </w:trPr>
        <w:tc>
          <w:tcPr>
            <w:tcW w:w="3158" w:type="dxa"/>
            <w:gridSpan w:val="2"/>
            <w:shd w:val="clear" w:color="auto" w:fill="DBE5F1" w:themeFill="accent1" w:themeFillTint="33"/>
            <w:tcMar>
              <w:top w:w="57" w:type="dxa"/>
              <w:left w:w="57" w:type="dxa"/>
              <w:bottom w:w="57" w:type="dxa"/>
              <w:right w:w="57" w:type="dxa"/>
            </w:tcMar>
          </w:tcPr>
          <w:p w:rsidR="005F7FB5" w:rsidRPr="00F82D5D" w:rsidRDefault="005F7FB5" w:rsidP="00494546">
            <w:pPr>
              <w:rPr>
                <w:bCs/>
                <w:sz w:val="22"/>
                <w:szCs w:val="22"/>
              </w:rPr>
            </w:pPr>
            <w:r w:rsidRPr="00F82D5D">
              <w:rPr>
                <w:bCs/>
                <w:sz w:val="22"/>
                <w:szCs w:val="22"/>
              </w:rPr>
              <w:t>Output number per LF</w:t>
            </w:r>
          </w:p>
        </w:tc>
        <w:tc>
          <w:tcPr>
            <w:tcW w:w="1961" w:type="dxa"/>
            <w:tcMar>
              <w:top w:w="57" w:type="dxa"/>
              <w:left w:w="57" w:type="dxa"/>
              <w:bottom w:w="57" w:type="dxa"/>
              <w:right w:w="57" w:type="dxa"/>
            </w:tcMar>
          </w:tcPr>
          <w:p w:rsidR="005F7FB5" w:rsidRPr="0046232B" w:rsidRDefault="005F7FB5" w:rsidP="00494546">
            <w:pPr>
              <w:rPr>
                <w:sz w:val="22"/>
                <w:szCs w:val="22"/>
              </w:rPr>
            </w:pPr>
            <w:r>
              <w:rPr>
                <w:sz w:val="22"/>
                <w:szCs w:val="22"/>
              </w:rPr>
              <w:t>4</w:t>
            </w:r>
          </w:p>
        </w:tc>
        <w:tc>
          <w:tcPr>
            <w:tcW w:w="3026" w:type="dxa"/>
            <w:shd w:val="clear" w:color="auto" w:fill="DBE5F1" w:themeFill="accent1" w:themeFillTint="33"/>
            <w:tcMar>
              <w:top w:w="57" w:type="dxa"/>
              <w:left w:w="57" w:type="dxa"/>
              <w:bottom w:w="57" w:type="dxa"/>
              <w:right w:w="57" w:type="dxa"/>
            </w:tcMar>
          </w:tcPr>
          <w:p w:rsidR="005F7FB5" w:rsidRPr="0046232B" w:rsidRDefault="005F7FB5" w:rsidP="00494546">
            <w:pPr>
              <w:rPr>
                <w:b/>
                <w:sz w:val="22"/>
                <w:szCs w:val="22"/>
              </w:rPr>
            </w:pPr>
            <w:r w:rsidRPr="00F82D5D">
              <w:rPr>
                <w:b/>
                <w:bCs/>
                <w:sz w:val="22"/>
                <w:szCs w:val="22"/>
              </w:rPr>
              <w:t xml:space="preserve">Output Score </w:t>
            </w:r>
          </w:p>
        </w:tc>
        <w:tc>
          <w:tcPr>
            <w:tcW w:w="2260" w:type="dxa"/>
            <w:tcMar>
              <w:top w:w="57" w:type="dxa"/>
              <w:left w:w="57" w:type="dxa"/>
              <w:bottom w:w="57" w:type="dxa"/>
              <w:right w:w="57" w:type="dxa"/>
            </w:tcMar>
          </w:tcPr>
          <w:p w:rsidR="005F7FB5" w:rsidRPr="00065F33" w:rsidRDefault="005F7FB5" w:rsidP="00494546">
            <w:pPr>
              <w:rPr>
                <w:b/>
                <w:bCs/>
                <w:color w:val="FF0000"/>
              </w:rPr>
            </w:pPr>
            <w:r w:rsidRPr="00065F33">
              <w:rPr>
                <w:b/>
                <w:bCs/>
                <w:color w:val="FF0000"/>
              </w:rPr>
              <w:t>B</w:t>
            </w:r>
          </w:p>
        </w:tc>
      </w:tr>
      <w:tr w:rsidR="005F7FB5" w:rsidRPr="00F82D5D" w:rsidTr="00494546">
        <w:trPr>
          <w:trHeight w:val="151"/>
        </w:trPr>
        <w:tc>
          <w:tcPr>
            <w:tcW w:w="3158" w:type="dxa"/>
            <w:gridSpan w:val="2"/>
            <w:shd w:val="clear" w:color="auto" w:fill="DBE5F1" w:themeFill="accent1" w:themeFillTint="33"/>
            <w:tcMar>
              <w:top w:w="57" w:type="dxa"/>
              <w:left w:w="57" w:type="dxa"/>
              <w:bottom w:w="57" w:type="dxa"/>
              <w:right w:w="57" w:type="dxa"/>
            </w:tcMar>
          </w:tcPr>
          <w:p w:rsidR="005F7FB5" w:rsidRPr="0046232B" w:rsidRDefault="005F7FB5" w:rsidP="00494546">
            <w:pPr>
              <w:rPr>
                <w:sz w:val="22"/>
                <w:szCs w:val="22"/>
              </w:rPr>
            </w:pPr>
            <w:r w:rsidRPr="00F82D5D">
              <w:rPr>
                <w:bCs/>
                <w:sz w:val="22"/>
                <w:szCs w:val="22"/>
              </w:rPr>
              <w:t xml:space="preserve">Risk:  </w:t>
            </w:r>
          </w:p>
        </w:tc>
        <w:tc>
          <w:tcPr>
            <w:tcW w:w="1961" w:type="dxa"/>
            <w:tcMar>
              <w:top w:w="57" w:type="dxa"/>
              <w:left w:w="57" w:type="dxa"/>
              <w:bottom w:w="57" w:type="dxa"/>
              <w:right w:w="57" w:type="dxa"/>
            </w:tcMar>
          </w:tcPr>
          <w:p w:rsidR="005F7FB5" w:rsidRPr="00977245" w:rsidRDefault="005C3168" w:rsidP="00494546">
            <w:pPr>
              <w:rPr>
                <w:bCs/>
                <w:sz w:val="22"/>
                <w:szCs w:val="22"/>
              </w:rPr>
            </w:pPr>
            <w:r w:rsidRPr="00977245">
              <w:rPr>
                <w:bCs/>
                <w:sz w:val="22"/>
                <w:szCs w:val="22"/>
              </w:rPr>
              <w:t>Medium</w:t>
            </w:r>
          </w:p>
        </w:tc>
        <w:tc>
          <w:tcPr>
            <w:tcW w:w="3026" w:type="dxa"/>
            <w:shd w:val="clear" w:color="auto" w:fill="DBE5F1" w:themeFill="accent1" w:themeFillTint="33"/>
            <w:tcMar>
              <w:top w:w="57" w:type="dxa"/>
              <w:left w:w="57" w:type="dxa"/>
              <w:bottom w:w="57" w:type="dxa"/>
              <w:right w:w="57" w:type="dxa"/>
            </w:tcMar>
          </w:tcPr>
          <w:p w:rsidR="005F7FB5" w:rsidRPr="00F82D5D" w:rsidRDefault="005F7FB5" w:rsidP="00494546">
            <w:pPr>
              <w:rPr>
                <w:bCs/>
                <w:sz w:val="22"/>
                <w:szCs w:val="22"/>
              </w:rPr>
            </w:pPr>
            <w:r w:rsidRPr="00F82D5D">
              <w:rPr>
                <w:bCs/>
                <w:sz w:val="22"/>
                <w:szCs w:val="22"/>
              </w:rPr>
              <w:t>Impact weighting (%):</w:t>
            </w:r>
          </w:p>
        </w:tc>
        <w:tc>
          <w:tcPr>
            <w:tcW w:w="2260" w:type="dxa"/>
            <w:tcMar>
              <w:top w:w="57" w:type="dxa"/>
              <w:left w:w="57" w:type="dxa"/>
              <w:bottom w:w="57" w:type="dxa"/>
              <w:right w:w="57" w:type="dxa"/>
            </w:tcMar>
          </w:tcPr>
          <w:p w:rsidR="005F7FB5" w:rsidRPr="0046232B" w:rsidRDefault="005F7FB5" w:rsidP="00494546">
            <w:pPr>
              <w:rPr>
                <w:sz w:val="22"/>
                <w:szCs w:val="22"/>
              </w:rPr>
            </w:pPr>
            <w:r>
              <w:rPr>
                <w:sz w:val="22"/>
                <w:szCs w:val="22"/>
              </w:rPr>
              <w:t>10%</w:t>
            </w:r>
          </w:p>
        </w:tc>
      </w:tr>
      <w:tr w:rsidR="005F7FB5" w:rsidRPr="00F82D5D" w:rsidTr="00494546">
        <w:trPr>
          <w:trHeight w:val="198"/>
        </w:trPr>
        <w:tc>
          <w:tcPr>
            <w:tcW w:w="3158" w:type="dxa"/>
            <w:gridSpan w:val="2"/>
            <w:shd w:val="clear" w:color="auto" w:fill="DBE5F1" w:themeFill="accent1" w:themeFillTint="33"/>
            <w:tcMar>
              <w:top w:w="57" w:type="dxa"/>
              <w:left w:w="57" w:type="dxa"/>
              <w:bottom w:w="57" w:type="dxa"/>
              <w:right w:w="57" w:type="dxa"/>
            </w:tcMar>
          </w:tcPr>
          <w:p w:rsidR="005F7FB5" w:rsidRPr="0046232B" w:rsidRDefault="005F7FB5" w:rsidP="00494546">
            <w:pPr>
              <w:rPr>
                <w:sz w:val="22"/>
                <w:szCs w:val="22"/>
              </w:rPr>
            </w:pPr>
            <w:r w:rsidRPr="00F82D5D">
              <w:rPr>
                <w:bCs/>
                <w:sz w:val="22"/>
                <w:szCs w:val="22"/>
              </w:rPr>
              <w:t xml:space="preserve">Risk revised since last AR? </w:t>
            </w:r>
          </w:p>
        </w:tc>
        <w:tc>
          <w:tcPr>
            <w:tcW w:w="1961" w:type="dxa"/>
            <w:tcMar>
              <w:top w:w="57" w:type="dxa"/>
              <w:left w:w="57" w:type="dxa"/>
              <w:bottom w:w="57" w:type="dxa"/>
              <w:right w:w="57" w:type="dxa"/>
            </w:tcMar>
          </w:tcPr>
          <w:p w:rsidR="005F7FB5" w:rsidRPr="00977245" w:rsidRDefault="005C3168" w:rsidP="00494546">
            <w:pPr>
              <w:rPr>
                <w:b/>
                <w:sz w:val="22"/>
                <w:szCs w:val="22"/>
              </w:rPr>
            </w:pPr>
            <w:r w:rsidRPr="00977245">
              <w:rPr>
                <w:bCs/>
                <w:sz w:val="22"/>
                <w:szCs w:val="22"/>
              </w:rPr>
              <w:t>N</w:t>
            </w:r>
          </w:p>
          <w:p w:rsidR="005F7FB5" w:rsidRPr="00977245" w:rsidRDefault="005F7FB5" w:rsidP="00494546">
            <w:pPr>
              <w:rPr>
                <w:b/>
                <w:sz w:val="22"/>
                <w:szCs w:val="22"/>
              </w:rPr>
            </w:pPr>
          </w:p>
        </w:tc>
        <w:tc>
          <w:tcPr>
            <w:tcW w:w="3026" w:type="dxa"/>
            <w:shd w:val="clear" w:color="auto" w:fill="DBE5F1" w:themeFill="accent1" w:themeFillTint="33"/>
            <w:tcMar>
              <w:top w:w="57" w:type="dxa"/>
              <w:left w:w="57" w:type="dxa"/>
              <w:bottom w:w="57" w:type="dxa"/>
              <w:right w:w="57" w:type="dxa"/>
            </w:tcMar>
          </w:tcPr>
          <w:p w:rsidR="005F7FB5" w:rsidRPr="00065F33" w:rsidRDefault="005F7FB5" w:rsidP="00494546">
            <w:pPr>
              <w:rPr>
                <w:bCs/>
                <w:sz w:val="22"/>
                <w:szCs w:val="22"/>
              </w:rPr>
            </w:pPr>
            <w:r w:rsidRPr="00065F33">
              <w:rPr>
                <w:bCs/>
                <w:sz w:val="22"/>
                <w:szCs w:val="22"/>
              </w:rPr>
              <w:t xml:space="preserve">Impact weighting % revised since last AR? </w:t>
            </w:r>
          </w:p>
        </w:tc>
        <w:tc>
          <w:tcPr>
            <w:tcW w:w="2260" w:type="dxa"/>
            <w:tcMar>
              <w:top w:w="57" w:type="dxa"/>
              <w:left w:w="57" w:type="dxa"/>
              <w:bottom w:w="57" w:type="dxa"/>
              <w:right w:w="57" w:type="dxa"/>
            </w:tcMar>
          </w:tcPr>
          <w:p w:rsidR="005F7FB5" w:rsidRPr="00065F33" w:rsidRDefault="005F7FB5" w:rsidP="00494546">
            <w:pPr>
              <w:rPr>
                <w:bCs/>
                <w:sz w:val="22"/>
                <w:szCs w:val="22"/>
              </w:rPr>
            </w:pPr>
            <w:r w:rsidRPr="00065F33">
              <w:rPr>
                <w:bCs/>
                <w:sz w:val="22"/>
                <w:szCs w:val="22"/>
              </w:rPr>
              <w:t>N</w:t>
            </w:r>
          </w:p>
          <w:p w:rsidR="005F7FB5" w:rsidRPr="00065F33" w:rsidRDefault="005F7FB5" w:rsidP="00494546">
            <w:pPr>
              <w:rPr>
                <w:sz w:val="22"/>
                <w:szCs w:val="22"/>
              </w:rPr>
            </w:pPr>
          </w:p>
        </w:tc>
      </w:tr>
    </w:tbl>
    <w:p w:rsidR="005F7FB5" w:rsidRDefault="005F7FB5" w:rsidP="005F7FB5">
      <w:pPr>
        <w:rPr>
          <w:bCs/>
          <w:sz w:val="10"/>
          <w:szCs w:val="22"/>
        </w:rPr>
      </w:pPr>
    </w:p>
    <w:p w:rsidR="0012571E" w:rsidRPr="0032795B" w:rsidRDefault="0012571E" w:rsidP="005F7FB5">
      <w:pPr>
        <w:rPr>
          <w:bCs/>
          <w:sz w:val="2"/>
          <w:szCs w:val="22"/>
        </w:rPr>
      </w:pPr>
    </w:p>
    <w:tbl>
      <w:tblPr>
        <w:tblStyle w:val="TableGrid"/>
        <w:tblpPr w:leftFromText="180" w:rightFromText="180" w:vertAnchor="text" w:horzAnchor="margin" w:tblpY="66"/>
        <w:tblOverlap w:val="never"/>
        <w:tblW w:w="10405" w:type="dxa"/>
        <w:tblLook w:val="04A0" w:firstRow="1" w:lastRow="0" w:firstColumn="1" w:lastColumn="0" w:noHBand="0" w:noVBand="1"/>
      </w:tblPr>
      <w:tblGrid>
        <w:gridCol w:w="3176"/>
        <w:gridCol w:w="3614"/>
        <w:gridCol w:w="3615"/>
      </w:tblGrid>
      <w:tr w:rsidR="005F7FB5" w:rsidRPr="004277CA" w:rsidTr="00494546">
        <w:trPr>
          <w:trHeight w:val="273"/>
        </w:trPr>
        <w:tc>
          <w:tcPr>
            <w:tcW w:w="3176" w:type="dxa"/>
            <w:shd w:val="clear" w:color="auto" w:fill="DBE5F1" w:themeFill="accent1" w:themeFillTint="33"/>
            <w:tcMar>
              <w:top w:w="57" w:type="dxa"/>
              <w:left w:w="57" w:type="dxa"/>
              <w:bottom w:w="57" w:type="dxa"/>
              <w:right w:w="57" w:type="dxa"/>
            </w:tcMar>
          </w:tcPr>
          <w:p w:rsidR="005F7FB5" w:rsidRPr="004277CA" w:rsidRDefault="005F7FB5" w:rsidP="00494546">
            <w:pPr>
              <w:rPr>
                <w:b/>
                <w:bCs/>
                <w:sz w:val="21"/>
                <w:szCs w:val="21"/>
              </w:rPr>
            </w:pPr>
            <w:r w:rsidRPr="004277CA">
              <w:rPr>
                <w:b/>
                <w:bCs/>
                <w:sz w:val="21"/>
                <w:szCs w:val="21"/>
              </w:rPr>
              <w:t>Indicator(s)</w:t>
            </w:r>
          </w:p>
        </w:tc>
        <w:tc>
          <w:tcPr>
            <w:tcW w:w="3614" w:type="dxa"/>
            <w:shd w:val="clear" w:color="auto" w:fill="DBE5F1" w:themeFill="accent1" w:themeFillTint="33"/>
            <w:tcMar>
              <w:top w:w="57" w:type="dxa"/>
              <w:left w:w="57" w:type="dxa"/>
              <w:bottom w:w="57" w:type="dxa"/>
              <w:right w:w="57" w:type="dxa"/>
            </w:tcMar>
          </w:tcPr>
          <w:p w:rsidR="005F7FB5" w:rsidRPr="004277CA" w:rsidRDefault="005F7FB5" w:rsidP="00494546">
            <w:pPr>
              <w:rPr>
                <w:b/>
                <w:bCs/>
                <w:sz w:val="21"/>
                <w:szCs w:val="21"/>
              </w:rPr>
            </w:pPr>
            <w:r w:rsidRPr="004277CA">
              <w:rPr>
                <w:b/>
                <w:bCs/>
                <w:sz w:val="21"/>
                <w:szCs w:val="21"/>
              </w:rPr>
              <w:t>Milestones</w:t>
            </w:r>
          </w:p>
        </w:tc>
        <w:tc>
          <w:tcPr>
            <w:tcW w:w="3615" w:type="dxa"/>
            <w:shd w:val="clear" w:color="auto" w:fill="DBE5F1" w:themeFill="accent1" w:themeFillTint="33"/>
            <w:tcMar>
              <w:top w:w="57" w:type="dxa"/>
              <w:left w:w="57" w:type="dxa"/>
              <w:bottom w:w="57" w:type="dxa"/>
              <w:right w:w="57" w:type="dxa"/>
            </w:tcMar>
          </w:tcPr>
          <w:p w:rsidR="005F7FB5" w:rsidRPr="004277CA" w:rsidRDefault="005F7FB5" w:rsidP="0028558E">
            <w:pPr>
              <w:rPr>
                <w:b/>
                <w:bCs/>
                <w:sz w:val="21"/>
                <w:szCs w:val="21"/>
              </w:rPr>
            </w:pPr>
            <w:r w:rsidRPr="004277CA">
              <w:rPr>
                <w:b/>
                <w:bCs/>
                <w:sz w:val="21"/>
                <w:szCs w:val="21"/>
              </w:rPr>
              <w:t xml:space="preserve">Progress </w:t>
            </w:r>
            <w:r w:rsidR="0028558E" w:rsidRPr="004277CA">
              <w:rPr>
                <w:rFonts w:cs="Arial"/>
                <w:b/>
                <w:bCs/>
                <w:sz w:val="21"/>
                <w:szCs w:val="21"/>
              </w:rPr>
              <w:t>(%)</w:t>
            </w:r>
          </w:p>
        </w:tc>
      </w:tr>
      <w:tr w:rsidR="005F7FB5" w:rsidRPr="004277CA" w:rsidTr="00494546">
        <w:tc>
          <w:tcPr>
            <w:tcW w:w="3176" w:type="dxa"/>
            <w:tcMar>
              <w:top w:w="57" w:type="dxa"/>
              <w:left w:w="57" w:type="dxa"/>
              <w:bottom w:w="57" w:type="dxa"/>
              <w:right w:w="57" w:type="dxa"/>
            </w:tcMar>
          </w:tcPr>
          <w:p w:rsidR="005F7FB5" w:rsidRPr="004277CA" w:rsidRDefault="005F7FB5" w:rsidP="00494546">
            <w:pPr>
              <w:rPr>
                <w:bCs/>
                <w:sz w:val="21"/>
                <w:szCs w:val="21"/>
              </w:rPr>
            </w:pPr>
            <w:r w:rsidRPr="004277CA">
              <w:rPr>
                <w:bCs/>
                <w:sz w:val="21"/>
                <w:szCs w:val="21"/>
              </w:rPr>
              <w:t xml:space="preserve">4.1 </w:t>
            </w:r>
            <w:r w:rsidRPr="004277CA">
              <w:rPr>
                <w:sz w:val="21"/>
                <w:szCs w:val="21"/>
              </w:rPr>
              <w:t xml:space="preserve"> </w:t>
            </w:r>
            <w:r w:rsidRPr="004277CA">
              <w:rPr>
                <w:bCs/>
                <w:sz w:val="21"/>
                <w:szCs w:val="21"/>
              </w:rPr>
              <w:t xml:space="preserve">Number of adolescent groups (boys and girls) and couples oriented on issues such as violence against women and girls </w:t>
            </w:r>
            <w:r w:rsidR="0032475F">
              <w:rPr>
                <w:bCs/>
                <w:sz w:val="21"/>
                <w:szCs w:val="21"/>
              </w:rPr>
              <w:t>(VAWG</w:t>
            </w:r>
            <w:r w:rsidR="00875220">
              <w:rPr>
                <w:bCs/>
                <w:sz w:val="21"/>
                <w:szCs w:val="21"/>
              </w:rPr>
              <w:t>s</w:t>
            </w:r>
            <w:r w:rsidR="0032475F">
              <w:rPr>
                <w:bCs/>
                <w:sz w:val="21"/>
                <w:szCs w:val="21"/>
              </w:rPr>
              <w:t xml:space="preserve">) </w:t>
            </w:r>
            <w:r w:rsidRPr="004277CA">
              <w:rPr>
                <w:bCs/>
                <w:sz w:val="21"/>
                <w:szCs w:val="21"/>
              </w:rPr>
              <w:t>and other illegal practices (dowry &amp; early marriage)</w:t>
            </w:r>
            <w:r>
              <w:rPr>
                <w:bCs/>
                <w:sz w:val="21"/>
                <w:szCs w:val="21"/>
              </w:rPr>
              <w:t xml:space="preserve"> </w:t>
            </w:r>
            <w:r w:rsidRPr="00E229B9">
              <w:rPr>
                <w:rFonts w:cs="Arial"/>
                <w:bCs/>
                <w:color w:val="FF0000"/>
                <w:sz w:val="21"/>
                <w:szCs w:val="21"/>
              </w:rPr>
              <w:t>[</w:t>
            </w:r>
            <w:r>
              <w:rPr>
                <w:rFonts w:cs="Arial"/>
                <w:bCs/>
                <w:color w:val="FF0000"/>
                <w:sz w:val="21"/>
                <w:szCs w:val="21"/>
              </w:rPr>
              <w:t>A</w:t>
            </w:r>
            <w:r w:rsidRPr="00E229B9">
              <w:rPr>
                <w:rFonts w:cs="Arial"/>
                <w:bCs/>
                <w:color w:val="FF0000"/>
                <w:sz w:val="21"/>
                <w:szCs w:val="21"/>
              </w:rPr>
              <w:t>]</w:t>
            </w:r>
          </w:p>
        </w:tc>
        <w:tc>
          <w:tcPr>
            <w:tcW w:w="3614" w:type="dxa"/>
            <w:tcMar>
              <w:top w:w="57" w:type="dxa"/>
              <w:left w:w="57" w:type="dxa"/>
              <w:bottom w:w="57" w:type="dxa"/>
              <w:right w:w="57" w:type="dxa"/>
            </w:tcMar>
          </w:tcPr>
          <w:p w:rsidR="005F7FB5" w:rsidRPr="004277CA" w:rsidRDefault="005F7FB5" w:rsidP="00494546">
            <w:pPr>
              <w:spacing w:after="80"/>
              <w:rPr>
                <w:bCs/>
                <w:sz w:val="21"/>
                <w:szCs w:val="21"/>
              </w:rPr>
            </w:pPr>
            <w:r w:rsidRPr="004277CA">
              <w:rPr>
                <w:bCs/>
                <w:sz w:val="21"/>
                <w:szCs w:val="21"/>
                <w:u w:val="single"/>
              </w:rPr>
              <w:t>Cum:</w:t>
            </w:r>
            <w:r w:rsidRPr="00B20290">
              <w:rPr>
                <w:bCs/>
                <w:sz w:val="21"/>
                <w:szCs w:val="21"/>
              </w:rPr>
              <w:t xml:space="preserve"> </w:t>
            </w:r>
            <w:r w:rsidRPr="004277CA">
              <w:rPr>
                <w:bCs/>
                <w:sz w:val="21"/>
                <w:szCs w:val="21"/>
              </w:rPr>
              <w:t>921 adolescent groups (9,837 girls and 9,952 boys) have been formed; 55,511 couples have received orientation</w:t>
            </w:r>
          </w:p>
          <w:p w:rsidR="005F7FB5" w:rsidRPr="004277CA" w:rsidRDefault="005F7FB5" w:rsidP="00494546">
            <w:pPr>
              <w:rPr>
                <w:bCs/>
                <w:sz w:val="21"/>
                <w:szCs w:val="21"/>
              </w:rPr>
            </w:pPr>
            <w:r w:rsidRPr="004277CA">
              <w:rPr>
                <w:bCs/>
                <w:sz w:val="21"/>
                <w:szCs w:val="21"/>
                <w:u w:val="single"/>
              </w:rPr>
              <w:t>Annual:</w:t>
            </w:r>
            <w:r w:rsidRPr="00B20290">
              <w:rPr>
                <w:bCs/>
                <w:sz w:val="21"/>
                <w:szCs w:val="21"/>
              </w:rPr>
              <w:t xml:space="preserve"> </w:t>
            </w:r>
            <w:r w:rsidRPr="004277CA">
              <w:rPr>
                <w:bCs/>
                <w:sz w:val="21"/>
                <w:szCs w:val="21"/>
              </w:rPr>
              <w:t>142 adolescent groups have been formed; 14,000 couples have received orientation</w:t>
            </w:r>
          </w:p>
        </w:tc>
        <w:tc>
          <w:tcPr>
            <w:tcW w:w="3615" w:type="dxa"/>
            <w:tcMar>
              <w:top w:w="57" w:type="dxa"/>
              <w:left w:w="57" w:type="dxa"/>
              <w:bottom w:w="57" w:type="dxa"/>
              <w:right w:w="57" w:type="dxa"/>
            </w:tcMar>
          </w:tcPr>
          <w:p w:rsidR="005F7FB5" w:rsidRPr="004277CA" w:rsidRDefault="005F7FB5" w:rsidP="00494546">
            <w:pPr>
              <w:spacing w:after="80"/>
              <w:rPr>
                <w:bCs/>
                <w:sz w:val="21"/>
                <w:szCs w:val="21"/>
              </w:rPr>
            </w:pPr>
            <w:r w:rsidRPr="004277CA">
              <w:rPr>
                <w:bCs/>
                <w:sz w:val="21"/>
                <w:szCs w:val="21"/>
                <w:u w:val="single"/>
              </w:rPr>
              <w:t>Cum:</w:t>
            </w:r>
            <w:r w:rsidRPr="00B20290">
              <w:rPr>
                <w:bCs/>
                <w:sz w:val="21"/>
                <w:szCs w:val="21"/>
              </w:rPr>
              <w:t xml:space="preserve"> </w:t>
            </w:r>
            <w:r w:rsidRPr="004277CA">
              <w:rPr>
                <w:bCs/>
                <w:sz w:val="21"/>
                <w:szCs w:val="21"/>
              </w:rPr>
              <w:t xml:space="preserve">920 adolescent groups (8,880 girls and 8,991 boys) have been formed; </w:t>
            </w:r>
            <w:r>
              <w:rPr>
                <w:bCs/>
                <w:sz w:val="21"/>
                <w:szCs w:val="21"/>
              </w:rPr>
              <w:t>58,052</w:t>
            </w:r>
            <w:r w:rsidRPr="004277CA">
              <w:rPr>
                <w:bCs/>
                <w:sz w:val="21"/>
                <w:szCs w:val="21"/>
              </w:rPr>
              <w:t xml:space="preserve"> couples have received orientation</w:t>
            </w:r>
          </w:p>
          <w:p w:rsidR="005F7FB5" w:rsidRPr="004277CA" w:rsidRDefault="005F7FB5" w:rsidP="00494546">
            <w:pPr>
              <w:rPr>
                <w:bCs/>
                <w:sz w:val="21"/>
                <w:szCs w:val="21"/>
              </w:rPr>
            </w:pPr>
            <w:r>
              <w:rPr>
                <w:bCs/>
                <w:sz w:val="21"/>
                <w:szCs w:val="21"/>
                <w:u w:val="single"/>
              </w:rPr>
              <w:t>Annual</w:t>
            </w:r>
            <w:r w:rsidRPr="004277CA">
              <w:rPr>
                <w:bCs/>
                <w:sz w:val="21"/>
                <w:szCs w:val="21"/>
                <w:u w:val="single"/>
              </w:rPr>
              <w:t>:</w:t>
            </w:r>
            <w:r w:rsidRPr="00B20290">
              <w:rPr>
                <w:bCs/>
                <w:sz w:val="21"/>
                <w:szCs w:val="21"/>
              </w:rPr>
              <w:t xml:space="preserve"> </w:t>
            </w:r>
            <w:r w:rsidRPr="004277CA">
              <w:rPr>
                <w:bCs/>
                <w:sz w:val="21"/>
                <w:szCs w:val="21"/>
              </w:rPr>
              <w:t xml:space="preserve">141 adolescent groups have been formed; </w:t>
            </w:r>
            <w:r>
              <w:rPr>
                <w:bCs/>
                <w:sz w:val="21"/>
                <w:szCs w:val="21"/>
              </w:rPr>
              <w:t>14,966</w:t>
            </w:r>
            <w:r w:rsidRPr="004277CA">
              <w:rPr>
                <w:bCs/>
                <w:sz w:val="21"/>
                <w:szCs w:val="21"/>
              </w:rPr>
              <w:t xml:space="preserve"> couples have received orientation</w:t>
            </w:r>
          </w:p>
        </w:tc>
      </w:tr>
      <w:tr w:rsidR="005F7FB5" w:rsidRPr="004277CA" w:rsidTr="00494546">
        <w:trPr>
          <w:trHeight w:val="494"/>
        </w:trPr>
        <w:tc>
          <w:tcPr>
            <w:tcW w:w="3176" w:type="dxa"/>
            <w:tcMar>
              <w:top w:w="57" w:type="dxa"/>
              <w:left w:w="57" w:type="dxa"/>
              <w:bottom w:w="57" w:type="dxa"/>
              <w:right w:w="57" w:type="dxa"/>
            </w:tcMar>
          </w:tcPr>
          <w:p w:rsidR="005F7FB5" w:rsidRPr="004277CA" w:rsidRDefault="005F7FB5" w:rsidP="00494546">
            <w:pPr>
              <w:rPr>
                <w:bCs/>
                <w:sz w:val="21"/>
                <w:szCs w:val="21"/>
              </w:rPr>
            </w:pPr>
            <w:r w:rsidRPr="004277CA">
              <w:rPr>
                <w:bCs/>
                <w:sz w:val="21"/>
                <w:szCs w:val="21"/>
              </w:rPr>
              <w:t>4.2 Number of targeted girls and boys trained.</w:t>
            </w:r>
            <w:r>
              <w:rPr>
                <w:bCs/>
                <w:sz w:val="21"/>
                <w:szCs w:val="21"/>
              </w:rPr>
              <w:t xml:space="preserve"> </w:t>
            </w:r>
            <w:r w:rsidRPr="00E229B9">
              <w:rPr>
                <w:rFonts w:cs="Arial"/>
                <w:bCs/>
                <w:color w:val="FF0000"/>
                <w:sz w:val="21"/>
                <w:szCs w:val="21"/>
              </w:rPr>
              <w:t>[</w:t>
            </w:r>
            <w:r w:rsidR="00637DF6">
              <w:rPr>
                <w:rFonts w:cs="Arial"/>
                <w:bCs/>
                <w:color w:val="FF0000"/>
                <w:sz w:val="21"/>
                <w:szCs w:val="21"/>
              </w:rPr>
              <w:t>C</w:t>
            </w:r>
            <w:r w:rsidRPr="00E229B9">
              <w:rPr>
                <w:rFonts w:cs="Arial"/>
                <w:bCs/>
                <w:color w:val="FF0000"/>
                <w:sz w:val="21"/>
                <w:szCs w:val="21"/>
              </w:rPr>
              <w:t>]</w:t>
            </w:r>
          </w:p>
        </w:tc>
        <w:tc>
          <w:tcPr>
            <w:tcW w:w="3614" w:type="dxa"/>
            <w:tcMar>
              <w:top w:w="57" w:type="dxa"/>
              <w:left w:w="57" w:type="dxa"/>
              <w:bottom w:w="57" w:type="dxa"/>
              <w:right w:w="57" w:type="dxa"/>
            </w:tcMar>
          </w:tcPr>
          <w:p w:rsidR="005F7FB5" w:rsidRPr="004277CA" w:rsidRDefault="005F7FB5" w:rsidP="00494546">
            <w:pPr>
              <w:rPr>
                <w:bCs/>
                <w:sz w:val="21"/>
                <w:szCs w:val="21"/>
              </w:rPr>
            </w:pPr>
            <w:r w:rsidRPr="004277CA">
              <w:rPr>
                <w:bCs/>
                <w:sz w:val="21"/>
                <w:szCs w:val="21"/>
                <w:u w:val="single"/>
              </w:rPr>
              <w:t>Annual:</w:t>
            </w:r>
            <w:r w:rsidRPr="00B20290">
              <w:rPr>
                <w:bCs/>
                <w:sz w:val="21"/>
                <w:szCs w:val="21"/>
              </w:rPr>
              <w:t xml:space="preserve"> </w:t>
            </w:r>
            <w:r w:rsidRPr="004277CA">
              <w:rPr>
                <w:bCs/>
                <w:sz w:val="21"/>
                <w:szCs w:val="21"/>
              </w:rPr>
              <w:t>160 of 200 girls and boys trained</w:t>
            </w:r>
          </w:p>
        </w:tc>
        <w:tc>
          <w:tcPr>
            <w:tcW w:w="3615" w:type="dxa"/>
            <w:tcMar>
              <w:top w:w="57" w:type="dxa"/>
              <w:left w:w="57" w:type="dxa"/>
              <w:bottom w:w="57" w:type="dxa"/>
              <w:right w:w="57" w:type="dxa"/>
            </w:tcMar>
          </w:tcPr>
          <w:p w:rsidR="005F7FB5" w:rsidRPr="004277CA" w:rsidRDefault="005F7FB5" w:rsidP="00494546">
            <w:pPr>
              <w:rPr>
                <w:bCs/>
                <w:sz w:val="21"/>
                <w:szCs w:val="21"/>
              </w:rPr>
            </w:pPr>
            <w:r>
              <w:rPr>
                <w:bCs/>
                <w:sz w:val="21"/>
                <w:szCs w:val="21"/>
                <w:u w:val="single"/>
              </w:rPr>
              <w:t>Annual</w:t>
            </w:r>
            <w:r w:rsidRPr="004277CA">
              <w:rPr>
                <w:bCs/>
                <w:sz w:val="21"/>
                <w:szCs w:val="21"/>
                <w:u w:val="single"/>
              </w:rPr>
              <w:t>:</w:t>
            </w:r>
            <w:r w:rsidRPr="00B20290">
              <w:rPr>
                <w:bCs/>
                <w:sz w:val="21"/>
                <w:szCs w:val="21"/>
              </w:rPr>
              <w:t xml:space="preserve"> </w:t>
            </w:r>
            <w:r w:rsidRPr="004277CA">
              <w:rPr>
                <w:bCs/>
                <w:sz w:val="21"/>
                <w:szCs w:val="21"/>
              </w:rPr>
              <w:t>88 of 200 girls and boys trained</w:t>
            </w:r>
          </w:p>
        </w:tc>
      </w:tr>
    </w:tbl>
    <w:p w:rsidR="005F7FB5" w:rsidRPr="00F82D5D" w:rsidRDefault="005F7FB5" w:rsidP="00265145">
      <w:pPr>
        <w:spacing w:before="240" w:after="120"/>
        <w:jc w:val="both"/>
        <w:rPr>
          <w:rFonts w:cs="Arial"/>
          <w:b/>
          <w:sz w:val="22"/>
          <w:szCs w:val="22"/>
        </w:rPr>
      </w:pPr>
      <w:r w:rsidRPr="00F82D5D">
        <w:rPr>
          <w:rFonts w:cs="Arial"/>
          <w:b/>
          <w:bCs/>
          <w:sz w:val="22"/>
          <w:szCs w:val="22"/>
        </w:rPr>
        <w:t>Key Points</w:t>
      </w:r>
    </w:p>
    <w:p w:rsidR="0028558E" w:rsidRPr="004277CA" w:rsidRDefault="0028558E" w:rsidP="0028558E">
      <w:pPr>
        <w:pStyle w:val="ListParagraph"/>
        <w:numPr>
          <w:ilvl w:val="0"/>
          <w:numId w:val="4"/>
        </w:numPr>
        <w:autoSpaceDE w:val="0"/>
        <w:autoSpaceDN w:val="0"/>
        <w:adjustRightInd w:val="0"/>
        <w:ind w:left="284" w:hanging="284"/>
        <w:rPr>
          <w:rFonts w:cs="Arial"/>
          <w:b/>
          <w:sz w:val="22"/>
          <w:szCs w:val="22"/>
          <w:lang w:eastAsia="en-GB"/>
        </w:rPr>
      </w:pPr>
      <w:r w:rsidRPr="004277CA">
        <w:rPr>
          <w:rFonts w:cs="Arial"/>
          <w:bCs/>
          <w:sz w:val="22"/>
          <w:szCs w:val="22"/>
          <w:lang w:eastAsia="en-GB"/>
        </w:rPr>
        <w:t xml:space="preserve">Couples and </w:t>
      </w:r>
      <w:r>
        <w:rPr>
          <w:rFonts w:cs="Arial"/>
          <w:bCs/>
          <w:sz w:val="22"/>
          <w:szCs w:val="22"/>
          <w:lang w:eastAsia="en-GB"/>
        </w:rPr>
        <w:t>a</w:t>
      </w:r>
      <w:r w:rsidRPr="004277CA">
        <w:rPr>
          <w:rFonts w:cs="Arial"/>
          <w:bCs/>
          <w:sz w:val="22"/>
          <w:szCs w:val="22"/>
          <w:lang w:eastAsia="en-GB"/>
        </w:rPr>
        <w:t>dolescent groups</w:t>
      </w:r>
      <w:r w:rsidRPr="004277CA">
        <w:rPr>
          <w:rFonts w:cs="Arial"/>
          <w:b/>
          <w:bCs/>
          <w:sz w:val="22"/>
          <w:szCs w:val="22"/>
          <w:lang w:eastAsia="en-GB"/>
        </w:rPr>
        <w:t xml:space="preserve"> </w:t>
      </w:r>
      <w:r w:rsidRPr="0028558E">
        <w:rPr>
          <w:rFonts w:cs="Arial"/>
          <w:bCs/>
          <w:sz w:val="22"/>
          <w:szCs w:val="22"/>
          <w:lang w:eastAsia="en-GB"/>
        </w:rPr>
        <w:t>received</w:t>
      </w:r>
      <w:r>
        <w:rPr>
          <w:rFonts w:cs="Arial"/>
          <w:b/>
          <w:bCs/>
          <w:sz w:val="22"/>
          <w:szCs w:val="22"/>
          <w:lang w:eastAsia="en-GB"/>
        </w:rPr>
        <w:t xml:space="preserve"> </w:t>
      </w:r>
      <w:r>
        <w:rPr>
          <w:rFonts w:cs="Arial"/>
          <w:sz w:val="22"/>
          <w:szCs w:val="22"/>
          <w:lang w:eastAsia="en-GB"/>
        </w:rPr>
        <w:t xml:space="preserve">training/orientation on various issues including </w:t>
      </w:r>
      <w:r w:rsidRPr="004277CA">
        <w:rPr>
          <w:rFonts w:cs="Arial"/>
          <w:sz w:val="22"/>
          <w:szCs w:val="22"/>
          <w:lang w:eastAsia="en-GB"/>
        </w:rPr>
        <w:t>VAWG</w:t>
      </w:r>
      <w:r>
        <w:rPr>
          <w:rFonts w:cs="Arial"/>
          <w:sz w:val="22"/>
          <w:szCs w:val="22"/>
          <w:lang w:eastAsia="en-GB"/>
        </w:rPr>
        <w:t xml:space="preserve"> and </w:t>
      </w:r>
      <w:r w:rsidRPr="004277CA">
        <w:rPr>
          <w:rFonts w:cs="Arial"/>
          <w:sz w:val="22"/>
          <w:szCs w:val="22"/>
          <w:lang w:eastAsia="en-GB"/>
        </w:rPr>
        <w:t xml:space="preserve">dowry and early marriage. In some areas, trained adolescents formed peer groups to carry forward social development activities. </w:t>
      </w:r>
      <w:r>
        <w:rPr>
          <w:rFonts w:cs="Arial"/>
          <w:sz w:val="22"/>
          <w:szCs w:val="22"/>
          <w:lang w:eastAsia="en-GB"/>
        </w:rPr>
        <w:t xml:space="preserve">Anecdotal evidence from </w:t>
      </w:r>
      <w:r w:rsidRPr="004277CA">
        <w:rPr>
          <w:rFonts w:cs="Arial"/>
          <w:sz w:val="22"/>
          <w:szCs w:val="22"/>
          <w:lang w:eastAsia="en-GB"/>
        </w:rPr>
        <w:t xml:space="preserve">CLP </w:t>
      </w:r>
      <w:r>
        <w:rPr>
          <w:rFonts w:cs="Arial"/>
          <w:sz w:val="22"/>
          <w:szCs w:val="22"/>
          <w:lang w:eastAsia="en-GB"/>
        </w:rPr>
        <w:t xml:space="preserve">and partner monitoring activities suggest </w:t>
      </w:r>
      <w:r>
        <w:rPr>
          <w:rFonts w:cs="Arial"/>
          <w:bCs/>
          <w:sz w:val="22"/>
          <w:szCs w:val="22"/>
        </w:rPr>
        <w:t xml:space="preserve">these </w:t>
      </w:r>
      <w:r w:rsidRPr="004277CA">
        <w:rPr>
          <w:rFonts w:cs="Arial"/>
          <w:bCs/>
          <w:sz w:val="22"/>
          <w:szCs w:val="22"/>
        </w:rPr>
        <w:t xml:space="preserve">social development interventions </w:t>
      </w:r>
      <w:r>
        <w:rPr>
          <w:rFonts w:cs="Arial"/>
          <w:bCs/>
          <w:sz w:val="22"/>
          <w:szCs w:val="22"/>
        </w:rPr>
        <w:t xml:space="preserve">are having a positive impact on </w:t>
      </w:r>
      <w:r w:rsidRPr="004277CA">
        <w:rPr>
          <w:rFonts w:cs="Arial"/>
          <w:bCs/>
          <w:sz w:val="22"/>
          <w:szCs w:val="22"/>
        </w:rPr>
        <w:t xml:space="preserve">violence against women and girls, dowry, early marriage, and gender relations in </w:t>
      </w:r>
      <w:r>
        <w:rPr>
          <w:rFonts w:cs="Arial"/>
          <w:bCs/>
          <w:sz w:val="22"/>
          <w:szCs w:val="22"/>
        </w:rPr>
        <w:t>CP</w:t>
      </w:r>
      <w:r w:rsidRPr="004277CA">
        <w:rPr>
          <w:rFonts w:cs="Arial"/>
          <w:bCs/>
          <w:sz w:val="22"/>
          <w:szCs w:val="22"/>
        </w:rPr>
        <w:t>HHs</w:t>
      </w:r>
      <w:r w:rsidRPr="004277CA">
        <w:rPr>
          <w:rFonts w:cs="Arial"/>
          <w:sz w:val="22"/>
          <w:szCs w:val="22"/>
          <w:lang w:eastAsia="en-GB"/>
        </w:rPr>
        <w:t xml:space="preserve">. However, </w:t>
      </w:r>
      <w:r w:rsidR="00844250">
        <w:rPr>
          <w:rFonts w:cs="Arial"/>
          <w:sz w:val="22"/>
          <w:szCs w:val="22"/>
          <w:lang w:eastAsia="en-GB"/>
        </w:rPr>
        <w:t xml:space="preserve">without a field visit and tracking </w:t>
      </w:r>
      <w:r w:rsidR="00A3640C">
        <w:rPr>
          <w:rFonts w:cs="Arial"/>
          <w:sz w:val="22"/>
          <w:szCs w:val="22"/>
          <w:lang w:eastAsia="en-GB"/>
        </w:rPr>
        <w:t>these impacts</w:t>
      </w:r>
      <w:r w:rsidR="00844250">
        <w:rPr>
          <w:rFonts w:cs="Arial"/>
          <w:sz w:val="22"/>
          <w:szCs w:val="22"/>
          <w:lang w:eastAsia="en-GB"/>
        </w:rPr>
        <w:t xml:space="preserve"> systematically through the monitoring system it is not possible to </w:t>
      </w:r>
      <w:r w:rsidR="009D2CE9">
        <w:rPr>
          <w:rFonts w:cs="Arial"/>
          <w:sz w:val="22"/>
          <w:szCs w:val="22"/>
          <w:lang w:eastAsia="en-GB"/>
        </w:rPr>
        <w:t>assess</w:t>
      </w:r>
      <w:r w:rsidR="00844250">
        <w:rPr>
          <w:rFonts w:cs="Arial"/>
          <w:sz w:val="22"/>
          <w:szCs w:val="22"/>
          <w:lang w:eastAsia="en-GB"/>
        </w:rPr>
        <w:t xml:space="preserve"> how widespread and sustained they are.</w:t>
      </w:r>
    </w:p>
    <w:p w:rsidR="005F7FB5" w:rsidRPr="0032475F" w:rsidRDefault="00AE0F16" w:rsidP="00862025">
      <w:pPr>
        <w:pStyle w:val="ListParagraph"/>
        <w:numPr>
          <w:ilvl w:val="0"/>
          <w:numId w:val="4"/>
        </w:numPr>
        <w:ind w:left="284" w:right="-144" w:hanging="284"/>
        <w:rPr>
          <w:rFonts w:cs="Arial"/>
          <w:bCs/>
          <w:sz w:val="22"/>
          <w:szCs w:val="22"/>
        </w:rPr>
      </w:pPr>
      <w:r w:rsidRPr="0032475F">
        <w:rPr>
          <w:rFonts w:cs="Arial"/>
          <w:bCs/>
          <w:sz w:val="22"/>
          <w:szCs w:val="22"/>
        </w:rPr>
        <w:t xml:space="preserve">As the </w:t>
      </w:r>
      <w:r w:rsidRPr="0032475F">
        <w:rPr>
          <w:bCs/>
          <w:sz w:val="22"/>
          <w:szCs w:val="22"/>
        </w:rPr>
        <w:t>vocational training started late, p</w:t>
      </w:r>
      <w:r>
        <w:rPr>
          <w:bCs/>
          <w:sz w:val="22"/>
          <w:szCs w:val="22"/>
        </w:rPr>
        <w:t>rogress against the milestone is</w:t>
      </w:r>
      <w:r w:rsidRPr="0032475F">
        <w:rPr>
          <w:bCs/>
          <w:sz w:val="22"/>
          <w:szCs w:val="22"/>
        </w:rPr>
        <w:t xml:space="preserve"> off track but CLP expects to complete the training for all 200 adolescents by end 2015</w:t>
      </w:r>
      <w:r w:rsidRPr="0032475F">
        <w:rPr>
          <w:rFonts w:cs="Arial"/>
          <w:bCs/>
          <w:sz w:val="22"/>
          <w:szCs w:val="22"/>
        </w:rPr>
        <w:t xml:space="preserve">. The </w:t>
      </w:r>
      <w:r w:rsidRPr="00AE0F16">
        <w:rPr>
          <w:rFonts w:cs="Arial"/>
          <w:bCs/>
          <w:sz w:val="22"/>
          <w:szCs w:val="22"/>
        </w:rPr>
        <w:t xml:space="preserve">service provider </w:t>
      </w:r>
      <w:r w:rsidRPr="0032475F">
        <w:rPr>
          <w:rFonts w:cs="Arial"/>
          <w:bCs/>
          <w:sz w:val="22"/>
          <w:szCs w:val="22"/>
        </w:rPr>
        <w:t xml:space="preserve">is confident it will be able to place all trainees in jobs but this need to monitored closely by CLP.  </w:t>
      </w:r>
      <w:r w:rsidRPr="0032475F">
        <w:rPr>
          <w:rFonts w:cs="Arial"/>
          <w:sz w:val="22"/>
          <w:szCs w:val="22"/>
        </w:rPr>
        <w:t xml:space="preserve">The skills training target has not been met in part due to the absence of a Partnerships Director and </w:t>
      </w:r>
      <w:r w:rsidRPr="0032475F">
        <w:rPr>
          <w:rFonts w:cs="Arial"/>
          <w:bCs/>
          <w:sz w:val="22"/>
          <w:szCs w:val="22"/>
        </w:rPr>
        <w:t>difficulty in ensuring convenient, safe and secure venues for training for adolescent girls given parental concerns about their safety.</w:t>
      </w:r>
      <w:r>
        <w:rPr>
          <w:rFonts w:cs="Arial"/>
          <w:bCs/>
          <w:sz w:val="22"/>
          <w:szCs w:val="22"/>
        </w:rPr>
        <w:t xml:space="preserve"> </w:t>
      </w:r>
      <w:r w:rsidR="00844250" w:rsidRPr="0032475F">
        <w:rPr>
          <w:rFonts w:cs="Arial"/>
          <w:bCs/>
          <w:sz w:val="22"/>
          <w:szCs w:val="22"/>
        </w:rPr>
        <w:t xml:space="preserve">53 out of 74 girls under the skills programme opted for </w:t>
      </w:r>
      <w:r w:rsidR="00862025" w:rsidRPr="0032475F">
        <w:rPr>
          <w:rFonts w:cs="Arial"/>
          <w:bCs/>
          <w:sz w:val="22"/>
          <w:szCs w:val="22"/>
        </w:rPr>
        <w:t xml:space="preserve">sewing </w:t>
      </w:r>
      <w:r w:rsidR="00844250" w:rsidRPr="0032475F">
        <w:rPr>
          <w:rFonts w:cs="Arial"/>
          <w:bCs/>
          <w:sz w:val="22"/>
          <w:szCs w:val="22"/>
        </w:rPr>
        <w:t xml:space="preserve">training </w:t>
      </w:r>
      <w:r w:rsidR="00862025" w:rsidRPr="0032475F">
        <w:rPr>
          <w:rFonts w:cs="Arial"/>
          <w:bCs/>
          <w:sz w:val="22"/>
          <w:szCs w:val="22"/>
        </w:rPr>
        <w:t xml:space="preserve">but it is not clear how viable this will be as an income generating activity on the chars. </w:t>
      </w:r>
    </w:p>
    <w:p w:rsidR="005F7FB5" w:rsidRPr="00F82D5D" w:rsidRDefault="005F7FB5" w:rsidP="00265145">
      <w:pPr>
        <w:spacing w:before="240" w:after="120"/>
        <w:jc w:val="both"/>
        <w:rPr>
          <w:rFonts w:cs="Arial"/>
          <w:b/>
          <w:bCs/>
          <w:sz w:val="22"/>
          <w:szCs w:val="22"/>
        </w:rPr>
      </w:pPr>
      <w:r w:rsidRPr="00F82D5D">
        <w:rPr>
          <w:rFonts w:cs="Arial"/>
          <w:b/>
          <w:bCs/>
          <w:sz w:val="22"/>
          <w:szCs w:val="22"/>
        </w:rPr>
        <w:t xml:space="preserve">Summary of responses to issues raised in previous annual reviews (where relevant)  </w:t>
      </w:r>
    </w:p>
    <w:p w:rsidR="005F7FB5" w:rsidRPr="004277CA" w:rsidRDefault="005F7FB5" w:rsidP="005F7FB5">
      <w:pPr>
        <w:pStyle w:val="ListParagraph"/>
        <w:numPr>
          <w:ilvl w:val="0"/>
          <w:numId w:val="4"/>
        </w:numPr>
        <w:ind w:left="284" w:hanging="284"/>
        <w:jc w:val="both"/>
        <w:rPr>
          <w:rFonts w:cs="Arial"/>
          <w:bCs/>
          <w:sz w:val="22"/>
          <w:szCs w:val="22"/>
        </w:rPr>
      </w:pPr>
      <w:r w:rsidRPr="004277CA">
        <w:rPr>
          <w:rFonts w:cs="Arial"/>
          <w:bCs/>
          <w:sz w:val="22"/>
          <w:szCs w:val="22"/>
        </w:rPr>
        <w:t xml:space="preserve">To help adolescent boys and girls joining the workforce through employable technical skills, partnerships have been developed with </w:t>
      </w:r>
      <w:r>
        <w:rPr>
          <w:rFonts w:cs="Arial"/>
          <w:bCs/>
          <w:sz w:val="22"/>
          <w:szCs w:val="22"/>
        </w:rPr>
        <w:t>2</w:t>
      </w:r>
      <w:r w:rsidRPr="004277CA">
        <w:rPr>
          <w:rFonts w:cs="Arial"/>
          <w:bCs/>
          <w:sz w:val="22"/>
          <w:szCs w:val="22"/>
        </w:rPr>
        <w:t xml:space="preserve"> different training institutes: Bangla German Sampriti </w:t>
      </w:r>
      <w:r w:rsidR="00F41A5A">
        <w:rPr>
          <w:rFonts w:cs="Arial"/>
          <w:bCs/>
          <w:sz w:val="22"/>
          <w:szCs w:val="22"/>
        </w:rPr>
        <w:t xml:space="preserve">(BGS) </w:t>
      </w:r>
      <w:r w:rsidRPr="004277CA">
        <w:rPr>
          <w:rFonts w:cs="Arial"/>
          <w:bCs/>
          <w:sz w:val="22"/>
          <w:szCs w:val="22"/>
        </w:rPr>
        <w:t>and Gana Unnaya Kendra</w:t>
      </w:r>
      <w:r w:rsidR="00F41A5A">
        <w:rPr>
          <w:rFonts w:cs="Arial"/>
          <w:bCs/>
          <w:sz w:val="22"/>
          <w:szCs w:val="22"/>
        </w:rPr>
        <w:t xml:space="preserve"> (GUK)</w:t>
      </w:r>
      <w:r w:rsidRPr="004277CA">
        <w:rPr>
          <w:rFonts w:cs="Arial"/>
          <w:bCs/>
          <w:sz w:val="22"/>
          <w:szCs w:val="22"/>
        </w:rPr>
        <w:t xml:space="preserve">.  </w:t>
      </w:r>
    </w:p>
    <w:p w:rsidR="005F7FB5" w:rsidRPr="004277CA" w:rsidRDefault="005F7FB5" w:rsidP="005F7FB5">
      <w:pPr>
        <w:pStyle w:val="ListParagraph"/>
        <w:numPr>
          <w:ilvl w:val="0"/>
          <w:numId w:val="4"/>
        </w:numPr>
        <w:ind w:left="284" w:hanging="284"/>
        <w:jc w:val="both"/>
        <w:rPr>
          <w:rFonts w:cs="Arial"/>
          <w:bCs/>
          <w:sz w:val="22"/>
          <w:szCs w:val="22"/>
        </w:rPr>
      </w:pPr>
      <w:r w:rsidRPr="004277CA">
        <w:rPr>
          <w:rFonts w:cs="Arial"/>
          <w:bCs/>
          <w:sz w:val="22"/>
          <w:szCs w:val="22"/>
        </w:rPr>
        <w:t>A new 4.2 output indicator on skills training has been introduced. However this indicator doesn’t capture achievements related to the enhance status of women and girls.</w:t>
      </w:r>
    </w:p>
    <w:p w:rsidR="005F7FB5" w:rsidRPr="00F82D5D" w:rsidRDefault="005F7FB5" w:rsidP="00265145">
      <w:pPr>
        <w:spacing w:before="240" w:after="120"/>
        <w:jc w:val="both"/>
        <w:rPr>
          <w:rFonts w:cs="Arial"/>
          <w:b/>
          <w:bCs/>
          <w:sz w:val="22"/>
          <w:szCs w:val="22"/>
        </w:rPr>
      </w:pPr>
      <w:r w:rsidRPr="00F82D5D">
        <w:rPr>
          <w:rFonts w:cs="Arial"/>
          <w:b/>
          <w:bCs/>
          <w:sz w:val="22"/>
          <w:szCs w:val="22"/>
        </w:rPr>
        <w:t>Recommendations</w:t>
      </w:r>
    </w:p>
    <w:p w:rsidR="005F7FB5" w:rsidRDefault="005F7FB5" w:rsidP="00065F33">
      <w:pPr>
        <w:pStyle w:val="ListParagraph"/>
        <w:numPr>
          <w:ilvl w:val="0"/>
          <w:numId w:val="21"/>
        </w:numPr>
        <w:spacing w:after="60"/>
        <w:ind w:left="510" w:hanging="510"/>
        <w:contextualSpacing w:val="0"/>
        <w:rPr>
          <w:bCs/>
          <w:sz w:val="22"/>
          <w:szCs w:val="22"/>
        </w:rPr>
      </w:pPr>
      <w:r w:rsidRPr="00B20290">
        <w:rPr>
          <w:bCs/>
          <w:sz w:val="22"/>
          <w:szCs w:val="22"/>
        </w:rPr>
        <w:t xml:space="preserve">CLP </w:t>
      </w:r>
      <w:r w:rsidR="00862025">
        <w:rPr>
          <w:bCs/>
          <w:sz w:val="22"/>
          <w:szCs w:val="22"/>
        </w:rPr>
        <w:t xml:space="preserve">should </w:t>
      </w:r>
      <w:r w:rsidRPr="00B20290">
        <w:rPr>
          <w:bCs/>
          <w:sz w:val="22"/>
          <w:szCs w:val="22"/>
        </w:rPr>
        <w:t xml:space="preserve">monitor the number and type of jobs secured </w:t>
      </w:r>
      <w:r w:rsidR="00161167">
        <w:rPr>
          <w:bCs/>
          <w:sz w:val="22"/>
          <w:szCs w:val="22"/>
        </w:rPr>
        <w:t>and</w:t>
      </w:r>
      <w:r w:rsidRPr="00B20290">
        <w:rPr>
          <w:bCs/>
          <w:sz w:val="22"/>
          <w:szCs w:val="22"/>
        </w:rPr>
        <w:t xml:space="preserve"> new enterprises established by the trained adolescents following their completion of vocational training </w:t>
      </w:r>
      <w:r w:rsidR="006A4555">
        <w:rPr>
          <w:bCs/>
          <w:sz w:val="22"/>
          <w:szCs w:val="22"/>
        </w:rPr>
        <w:t>and provide appropriate follow-up where possible</w:t>
      </w:r>
      <w:r w:rsidR="00500F66">
        <w:rPr>
          <w:bCs/>
          <w:sz w:val="22"/>
          <w:szCs w:val="22"/>
        </w:rPr>
        <w:t>,</w:t>
      </w:r>
      <w:r w:rsidR="00F41A5A">
        <w:rPr>
          <w:bCs/>
          <w:sz w:val="22"/>
          <w:szCs w:val="22"/>
        </w:rPr>
        <w:t xml:space="preserve"> </w:t>
      </w:r>
      <w:r w:rsidR="00A87631" w:rsidRPr="00500F66">
        <w:rPr>
          <w:bCs/>
          <w:sz w:val="22"/>
          <w:szCs w:val="22"/>
        </w:rPr>
        <w:t xml:space="preserve">by </w:t>
      </w:r>
      <w:r w:rsidR="00500F66" w:rsidRPr="00500F66">
        <w:rPr>
          <w:bCs/>
          <w:sz w:val="22"/>
          <w:szCs w:val="22"/>
        </w:rPr>
        <w:t>Dec 2015.</w:t>
      </w:r>
      <w:r w:rsidR="00A87631" w:rsidRPr="00500F66">
        <w:rPr>
          <w:bCs/>
          <w:sz w:val="22"/>
          <w:szCs w:val="22"/>
          <w:u w:val="single"/>
        </w:rPr>
        <w:t xml:space="preserve"> </w:t>
      </w:r>
      <w:r w:rsidR="006A4555" w:rsidRPr="00500F66">
        <w:rPr>
          <w:bCs/>
          <w:sz w:val="22"/>
          <w:szCs w:val="22"/>
          <w:u w:val="single"/>
        </w:rPr>
        <w:t xml:space="preserve">  </w:t>
      </w:r>
    </w:p>
    <w:p w:rsidR="00AF078A" w:rsidRPr="00AF078A" w:rsidRDefault="006A4555" w:rsidP="00AF078A">
      <w:pPr>
        <w:pStyle w:val="ListParagraph"/>
        <w:numPr>
          <w:ilvl w:val="0"/>
          <w:numId w:val="21"/>
        </w:numPr>
        <w:spacing w:after="60"/>
        <w:ind w:left="510" w:hanging="510"/>
        <w:contextualSpacing w:val="0"/>
        <w:rPr>
          <w:rFonts w:cs="Arial"/>
          <w:bCs/>
          <w:sz w:val="22"/>
          <w:szCs w:val="22"/>
        </w:rPr>
      </w:pPr>
      <w:r>
        <w:rPr>
          <w:bCs/>
          <w:sz w:val="22"/>
          <w:szCs w:val="22"/>
        </w:rPr>
        <w:t xml:space="preserve">CLP should </w:t>
      </w:r>
      <w:r w:rsidR="005F7FB5" w:rsidRPr="00514119">
        <w:rPr>
          <w:bCs/>
          <w:sz w:val="22"/>
          <w:szCs w:val="22"/>
        </w:rPr>
        <w:t xml:space="preserve">follow-up </w:t>
      </w:r>
      <w:r w:rsidR="005F7FB5" w:rsidRPr="00065F33">
        <w:rPr>
          <w:rFonts w:cs="Arial"/>
          <w:bCs/>
          <w:sz w:val="22"/>
          <w:szCs w:val="22"/>
        </w:rPr>
        <w:t>continuously</w:t>
      </w:r>
      <w:r w:rsidR="005F7FB5" w:rsidRPr="00514119">
        <w:rPr>
          <w:bCs/>
          <w:sz w:val="22"/>
          <w:szCs w:val="22"/>
        </w:rPr>
        <w:t xml:space="preserve"> on peer networking of adolescent groups and make any necessary adjustments to improve its development (for spreading social development messages) and effectiveness in reducing </w:t>
      </w:r>
      <w:r w:rsidR="007A6FDB">
        <w:rPr>
          <w:bCs/>
          <w:sz w:val="22"/>
          <w:szCs w:val="22"/>
        </w:rPr>
        <w:t>VAWGs</w:t>
      </w:r>
      <w:r w:rsidR="005F7FB5" w:rsidRPr="00514119">
        <w:rPr>
          <w:bCs/>
          <w:sz w:val="22"/>
          <w:szCs w:val="22"/>
        </w:rPr>
        <w:t xml:space="preserve"> and other illegal-practices ( e.g. dowry).</w:t>
      </w:r>
    </w:p>
    <w:p w:rsidR="008F0BEB" w:rsidRPr="00265145" w:rsidRDefault="00F92D18" w:rsidP="00AF078A">
      <w:pPr>
        <w:pStyle w:val="ListParagraph"/>
        <w:numPr>
          <w:ilvl w:val="0"/>
          <w:numId w:val="21"/>
        </w:numPr>
        <w:spacing w:after="60"/>
        <w:ind w:left="510" w:hanging="510"/>
        <w:contextualSpacing w:val="0"/>
        <w:rPr>
          <w:rFonts w:cs="Arial"/>
          <w:bCs/>
          <w:sz w:val="22"/>
          <w:szCs w:val="22"/>
        </w:rPr>
      </w:pPr>
      <w:r w:rsidRPr="00F41A5A">
        <w:rPr>
          <w:b/>
          <w:bCs/>
          <w:sz w:val="22"/>
          <w:szCs w:val="22"/>
        </w:rPr>
        <w:t xml:space="preserve">Logframe </w:t>
      </w:r>
      <w:r w:rsidR="006D0320" w:rsidRPr="00F41A5A">
        <w:rPr>
          <w:b/>
          <w:bCs/>
          <w:sz w:val="22"/>
          <w:szCs w:val="22"/>
        </w:rPr>
        <w:t>Recommendations:</w:t>
      </w:r>
      <w:r w:rsidRPr="00F41A5A">
        <w:rPr>
          <w:bCs/>
          <w:sz w:val="22"/>
          <w:szCs w:val="22"/>
        </w:rPr>
        <w:t xml:space="preserve"> </w:t>
      </w:r>
      <w:r w:rsidR="00AF078A" w:rsidRPr="00F41A5A">
        <w:rPr>
          <w:bCs/>
          <w:sz w:val="22"/>
          <w:szCs w:val="22"/>
        </w:rPr>
        <w:t>CLP in agreement with DFID to c</w:t>
      </w:r>
      <w:r w:rsidRPr="00F41A5A">
        <w:rPr>
          <w:bCs/>
          <w:sz w:val="22"/>
          <w:szCs w:val="22"/>
        </w:rPr>
        <w:t xml:space="preserve">hange the output statement that better reflects the indicators </w:t>
      </w:r>
      <w:r w:rsidR="006D0320" w:rsidRPr="00F41A5A">
        <w:rPr>
          <w:bCs/>
          <w:sz w:val="22"/>
          <w:szCs w:val="22"/>
        </w:rPr>
        <w:t>(i.e.</w:t>
      </w:r>
      <w:r w:rsidRPr="00F41A5A">
        <w:rPr>
          <w:bCs/>
          <w:sz w:val="22"/>
          <w:szCs w:val="22"/>
        </w:rPr>
        <w:t>: improved skills of women and girls)</w:t>
      </w:r>
      <w:r w:rsidR="00AF078A" w:rsidRPr="00F41A5A">
        <w:rPr>
          <w:bCs/>
          <w:sz w:val="22"/>
          <w:szCs w:val="22"/>
        </w:rPr>
        <w:t xml:space="preserve"> by June 2015</w:t>
      </w:r>
      <w:r w:rsidR="00F41A5A">
        <w:rPr>
          <w:bCs/>
          <w:sz w:val="22"/>
          <w:szCs w:val="22"/>
        </w:rPr>
        <w:t>.</w:t>
      </w:r>
    </w:p>
    <w:p w:rsidR="00265145" w:rsidRDefault="00265145" w:rsidP="00265145">
      <w:pPr>
        <w:pStyle w:val="ListParagraph"/>
        <w:spacing w:after="60"/>
        <w:ind w:left="510"/>
        <w:contextualSpacing w:val="0"/>
        <w:rPr>
          <w:rFonts w:cs="Arial"/>
          <w:bCs/>
          <w:sz w:val="22"/>
          <w:szCs w:val="22"/>
        </w:rPr>
      </w:pPr>
    </w:p>
    <w:p w:rsidR="00C821A4" w:rsidRPr="00F41A5A" w:rsidRDefault="00C821A4" w:rsidP="00265145">
      <w:pPr>
        <w:pStyle w:val="ListParagraph"/>
        <w:spacing w:after="60"/>
        <w:ind w:left="510"/>
        <w:contextualSpacing w:val="0"/>
        <w:rPr>
          <w:rFonts w:cs="Arial"/>
          <w:bCs/>
          <w:sz w:val="22"/>
          <w:szCs w:val="22"/>
        </w:rPr>
      </w:pPr>
    </w:p>
    <w:tbl>
      <w:tblPr>
        <w:tblStyle w:val="TableGrid"/>
        <w:tblW w:w="10405" w:type="dxa"/>
        <w:tblLook w:val="04A0" w:firstRow="1" w:lastRow="0" w:firstColumn="1" w:lastColumn="0" w:noHBand="0" w:noVBand="1"/>
      </w:tblPr>
      <w:tblGrid>
        <w:gridCol w:w="1475"/>
        <w:gridCol w:w="1514"/>
        <w:gridCol w:w="1977"/>
        <w:gridCol w:w="3055"/>
        <w:gridCol w:w="2384"/>
      </w:tblGrid>
      <w:tr w:rsidR="00DD73A9" w:rsidRPr="00F82D5D" w:rsidTr="00065F33">
        <w:trPr>
          <w:trHeight w:val="405"/>
        </w:trPr>
        <w:tc>
          <w:tcPr>
            <w:tcW w:w="1475" w:type="dxa"/>
            <w:shd w:val="clear" w:color="auto" w:fill="DBE5F1" w:themeFill="accent1" w:themeFillTint="33"/>
            <w:tcMar>
              <w:top w:w="57" w:type="dxa"/>
              <w:left w:w="57" w:type="dxa"/>
              <w:bottom w:w="57" w:type="dxa"/>
              <w:right w:w="57" w:type="dxa"/>
            </w:tcMar>
          </w:tcPr>
          <w:p w:rsidR="00DD73A9" w:rsidRPr="00F82D5D" w:rsidRDefault="00DD73A9" w:rsidP="00494546">
            <w:pPr>
              <w:rPr>
                <w:b/>
                <w:bCs/>
                <w:sz w:val="22"/>
                <w:szCs w:val="22"/>
              </w:rPr>
            </w:pPr>
            <w:r w:rsidRPr="00F82D5D">
              <w:rPr>
                <w:b/>
                <w:bCs/>
                <w:sz w:val="22"/>
                <w:szCs w:val="22"/>
              </w:rPr>
              <w:lastRenderedPageBreak/>
              <w:t xml:space="preserve">Output Title </w:t>
            </w:r>
          </w:p>
        </w:tc>
        <w:tc>
          <w:tcPr>
            <w:tcW w:w="8930" w:type="dxa"/>
            <w:gridSpan w:val="4"/>
            <w:shd w:val="clear" w:color="auto" w:fill="FFFFFF" w:themeFill="background1"/>
            <w:tcMar>
              <w:top w:w="57" w:type="dxa"/>
              <w:left w:w="57" w:type="dxa"/>
              <w:bottom w:w="57" w:type="dxa"/>
              <w:right w:w="57" w:type="dxa"/>
            </w:tcMar>
          </w:tcPr>
          <w:p w:rsidR="00DD73A9" w:rsidRPr="00E21F43" w:rsidRDefault="00DD73A9" w:rsidP="00494546">
            <w:pPr>
              <w:rPr>
                <w:b/>
                <w:bCs/>
                <w:color w:val="FF0000"/>
                <w:sz w:val="22"/>
                <w:szCs w:val="22"/>
              </w:rPr>
            </w:pPr>
            <w:r w:rsidRPr="00065F33">
              <w:rPr>
                <w:b/>
                <w:bCs/>
                <w:spacing w:val="-6"/>
                <w:sz w:val="22"/>
                <w:szCs w:val="22"/>
              </w:rPr>
              <w:t>Best practice is monitored and communicated at all levels leading towards improvement in local delivery of national safety net and food security policy in the chars</w:t>
            </w:r>
            <w:r w:rsidRPr="008F0BEB">
              <w:rPr>
                <w:b/>
                <w:bCs/>
                <w:sz w:val="22"/>
                <w:szCs w:val="22"/>
              </w:rPr>
              <w:t>.</w:t>
            </w:r>
          </w:p>
        </w:tc>
      </w:tr>
      <w:tr w:rsidR="00DD73A9" w:rsidRPr="00F82D5D" w:rsidTr="00065F33">
        <w:trPr>
          <w:trHeight w:val="268"/>
        </w:trPr>
        <w:tc>
          <w:tcPr>
            <w:tcW w:w="2989" w:type="dxa"/>
            <w:gridSpan w:val="2"/>
            <w:shd w:val="clear" w:color="auto" w:fill="DBE5F1" w:themeFill="accent1" w:themeFillTint="33"/>
            <w:tcMar>
              <w:top w:w="57" w:type="dxa"/>
              <w:left w:w="57" w:type="dxa"/>
              <w:bottom w:w="57" w:type="dxa"/>
              <w:right w:w="57" w:type="dxa"/>
            </w:tcMar>
          </w:tcPr>
          <w:p w:rsidR="00DD73A9" w:rsidRPr="00F82D5D" w:rsidRDefault="00DD73A9" w:rsidP="00494546">
            <w:pPr>
              <w:rPr>
                <w:bCs/>
                <w:sz w:val="22"/>
                <w:szCs w:val="22"/>
              </w:rPr>
            </w:pPr>
            <w:r w:rsidRPr="00F82D5D">
              <w:rPr>
                <w:bCs/>
                <w:sz w:val="22"/>
                <w:szCs w:val="22"/>
              </w:rPr>
              <w:t>Output number per LF</w:t>
            </w:r>
          </w:p>
        </w:tc>
        <w:tc>
          <w:tcPr>
            <w:tcW w:w="1977" w:type="dxa"/>
            <w:tcMar>
              <w:top w:w="57" w:type="dxa"/>
              <w:left w:w="57" w:type="dxa"/>
              <w:bottom w:w="57" w:type="dxa"/>
              <w:right w:w="57" w:type="dxa"/>
            </w:tcMar>
          </w:tcPr>
          <w:p w:rsidR="00DD73A9" w:rsidRPr="0046232B" w:rsidRDefault="00DD73A9" w:rsidP="00494546">
            <w:pPr>
              <w:rPr>
                <w:sz w:val="22"/>
                <w:szCs w:val="22"/>
              </w:rPr>
            </w:pPr>
            <w:r>
              <w:rPr>
                <w:sz w:val="22"/>
                <w:szCs w:val="22"/>
              </w:rPr>
              <w:t>5</w:t>
            </w:r>
          </w:p>
        </w:tc>
        <w:tc>
          <w:tcPr>
            <w:tcW w:w="3055" w:type="dxa"/>
            <w:shd w:val="clear" w:color="auto" w:fill="DBE5F1" w:themeFill="accent1" w:themeFillTint="33"/>
            <w:tcMar>
              <w:top w:w="57" w:type="dxa"/>
              <w:left w:w="57" w:type="dxa"/>
              <w:bottom w:w="57" w:type="dxa"/>
              <w:right w:w="57" w:type="dxa"/>
            </w:tcMar>
          </w:tcPr>
          <w:p w:rsidR="00DD73A9" w:rsidRPr="0046232B" w:rsidRDefault="00DD73A9" w:rsidP="00494546">
            <w:pPr>
              <w:rPr>
                <w:b/>
                <w:sz w:val="22"/>
                <w:szCs w:val="22"/>
              </w:rPr>
            </w:pPr>
            <w:r w:rsidRPr="00F82D5D">
              <w:rPr>
                <w:b/>
                <w:bCs/>
                <w:sz w:val="22"/>
                <w:szCs w:val="22"/>
              </w:rPr>
              <w:t xml:space="preserve">Output Score </w:t>
            </w:r>
          </w:p>
        </w:tc>
        <w:tc>
          <w:tcPr>
            <w:tcW w:w="2384" w:type="dxa"/>
            <w:tcMar>
              <w:top w:w="57" w:type="dxa"/>
              <w:left w:w="57" w:type="dxa"/>
              <w:bottom w:w="57" w:type="dxa"/>
              <w:right w:w="57" w:type="dxa"/>
            </w:tcMar>
          </w:tcPr>
          <w:p w:rsidR="00DD73A9" w:rsidRPr="00065F33" w:rsidRDefault="00DD73A9" w:rsidP="00D227EF">
            <w:pPr>
              <w:rPr>
                <w:b/>
                <w:bCs/>
                <w:i/>
                <w:color w:val="FF0000"/>
              </w:rPr>
            </w:pPr>
            <w:r w:rsidRPr="00065F33">
              <w:rPr>
                <w:b/>
                <w:bCs/>
                <w:i/>
                <w:color w:val="FF0000"/>
              </w:rPr>
              <w:t>A</w:t>
            </w:r>
          </w:p>
        </w:tc>
      </w:tr>
      <w:tr w:rsidR="00DD73A9" w:rsidRPr="00F82D5D" w:rsidTr="00065F33">
        <w:trPr>
          <w:trHeight w:val="302"/>
        </w:trPr>
        <w:tc>
          <w:tcPr>
            <w:tcW w:w="2989" w:type="dxa"/>
            <w:gridSpan w:val="2"/>
            <w:shd w:val="clear" w:color="auto" w:fill="DBE5F1" w:themeFill="accent1" w:themeFillTint="33"/>
            <w:tcMar>
              <w:top w:w="57" w:type="dxa"/>
              <w:left w:w="57" w:type="dxa"/>
              <w:bottom w:w="57" w:type="dxa"/>
              <w:right w:w="57" w:type="dxa"/>
            </w:tcMar>
          </w:tcPr>
          <w:p w:rsidR="00DD73A9" w:rsidRPr="0046232B" w:rsidRDefault="00DD73A9" w:rsidP="00494546">
            <w:pPr>
              <w:rPr>
                <w:sz w:val="22"/>
                <w:szCs w:val="22"/>
              </w:rPr>
            </w:pPr>
            <w:r w:rsidRPr="00F82D5D">
              <w:rPr>
                <w:bCs/>
                <w:sz w:val="22"/>
                <w:szCs w:val="22"/>
              </w:rPr>
              <w:t xml:space="preserve">Risk:  </w:t>
            </w:r>
          </w:p>
        </w:tc>
        <w:tc>
          <w:tcPr>
            <w:tcW w:w="1977" w:type="dxa"/>
            <w:tcMar>
              <w:top w:w="57" w:type="dxa"/>
              <w:left w:w="57" w:type="dxa"/>
              <w:bottom w:w="57" w:type="dxa"/>
              <w:right w:w="57" w:type="dxa"/>
            </w:tcMar>
          </w:tcPr>
          <w:p w:rsidR="00DD73A9" w:rsidRPr="00065F33" w:rsidRDefault="00DD73A9" w:rsidP="00494546">
            <w:pPr>
              <w:rPr>
                <w:bCs/>
                <w:sz w:val="22"/>
                <w:szCs w:val="22"/>
              </w:rPr>
            </w:pPr>
            <w:r w:rsidRPr="007D3800">
              <w:rPr>
                <w:bCs/>
                <w:sz w:val="22"/>
                <w:szCs w:val="22"/>
              </w:rPr>
              <w:t>Medium</w:t>
            </w:r>
          </w:p>
        </w:tc>
        <w:tc>
          <w:tcPr>
            <w:tcW w:w="3055" w:type="dxa"/>
            <w:shd w:val="clear" w:color="auto" w:fill="DBE5F1" w:themeFill="accent1" w:themeFillTint="33"/>
            <w:tcMar>
              <w:top w:w="57" w:type="dxa"/>
              <w:left w:w="57" w:type="dxa"/>
              <w:bottom w:w="57" w:type="dxa"/>
              <w:right w:w="57" w:type="dxa"/>
            </w:tcMar>
          </w:tcPr>
          <w:p w:rsidR="00DD73A9" w:rsidRPr="00F82D5D" w:rsidRDefault="00DD73A9" w:rsidP="00494546">
            <w:pPr>
              <w:rPr>
                <w:bCs/>
                <w:sz w:val="22"/>
                <w:szCs w:val="22"/>
              </w:rPr>
            </w:pPr>
            <w:r w:rsidRPr="00F82D5D">
              <w:rPr>
                <w:bCs/>
                <w:sz w:val="22"/>
                <w:szCs w:val="22"/>
              </w:rPr>
              <w:t>Impact weighting (%):</w:t>
            </w:r>
          </w:p>
        </w:tc>
        <w:tc>
          <w:tcPr>
            <w:tcW w:w="2384" w:type="dxa"/>
            <w:tcMar>
              <w:top w:w="57" w:type="dxa"/>
              <w:left w:w="57" w:type="dxa"/>
              <w:bottom w:w="57" w:type="dxa"/>
              <w:right w:w="57" w:type="dxa"/>
            </w:tcMar>
          </w:tcPr>
          <w:p w:rsidR="00DD73A9" w:rsidRPr="0046232B" w:rsidRDefault="00DD73A9" w:rsidP="00494546">
            <w:pPr>
              <w:rPr>
                <w:sz w:val="22"/>
                <w:szCs w:val="22"/>
              </w:rPr>
            </w:pPr>
            <w:r>
              <w:rPr>
                <w:sz w:val="22"/>
                <w:szCs w:val="22"/>
              </w:rPr>
              <w:t>15%</w:t>
            </w:r>
          </w:p>
        </w:tc>
      </w:tr>
      <w:tr w:rsidR="00DD73A9" w:rsidRPr="00F82D5D" w:rsidTr="00065F33">
        <w:tc>
          <w:tcPr>
            <w:tcW w:w="2989" w:type="dxa"/>
            <w:gridSpan w:val="2"/>
            <w:shd w:val="clear" w:color="auto" w:fill="DBE5F1" w:themeFill="accent1" w:themeFillTint="33"/>
            <w:tcMar>
              <w:top w:w="57" w:type="dxa"/>
              <w:left w:w="57" w:type="dxa"/>
              <w:bottom w:w="57" w:type="dxa"/>
              <w:right w:w="57" w:type="dxa"/>
            </w:tcMar>
          </w:tcPr>
          <w:p w:rsidR="00DD73A9" w:rsidRPr="0046232B" w:rsidRDefault="00DD73A9" w:rsidP="00494546">
            <w:pPr>
              <w:rPr>
                <w:sz w:val="22"/>
                <w:szCs w:val="22"/>
              </w:rPr>
            </w:pPr>
            <w:r w:rsidRPr="00F82D5D">
              <w:rPr>
                <w:bCs/>
                <w:sz w:val="22"/>
                <w:szCs w:val="22"/>
              </w:rPr>
              <w:t xml:space="preserve">Risk revised since last AR? </w:t>
            </w:r>
          </w:p>
        </w:tc>
        <w:tc>
          <w:tcPr>
            <w:tcW w:w="1977" w:type="dxa"/>
            <w:tcMar>
              <w:top w:w="57" w:type="dxa"/>
              <w:left w:w="57" w:type="dxa"/>
              <w:bottom w:w="57" w:type="dxa"/>
              <w:right w:w="57" w:type="dxa"/>
            </w:tcMar>
          </w:tcPr>
          <w:p w:rsidR="00DD73A9" w:rsidRPr="00065F33" w:rsidRDefault="00DD73A9" w:rsidP="00494546">
            <w:pPr>
              <w:rPr>
                <w:b/>
                <w:sz w:val="22"/>
                <w:szCs w:val="22"/>
              </w:rPr>
            </w:pPr>
            <w:r w:rsidRPr="00065F33">
              <w:rPr>
                <w:bCs/>
                <w:sz w:val="22"/>
                <w:szCs w:val="22"/>
              </w:rPr>
              <w:t>N</w:t>
            </w:r>
          </w:p>
          <w:p w:rsidR="00DD73A9" w:rsidRPr="00065F33" w:rsidRDefault="00DD73A9" w:rsidP="00494546">
            <w:pPr>
              <w:rPr>
                <w:b/>
                <w:sz w:val="22"/>
                <w:szCs w:val="22"/>
              </w:rPr>
            </w:pPr>
          </w:p>
        </w:tc>
        <w:tc>
          <w:tcPr>
            <w:tcW w:w="3055" w:type="dxa"/>
            <w:shd w:val="clear" w:color="auto" w:fill="DBE5F1" w:themeFill="accent1" w:themeFillTint="33"/>
            <w:tcMar>
              <w:top w:w="57" w:type="dxa"/>
              <w:left w:w="57" w:type="dxa"/>
              <w:bottom w:w="57" w:type="dxa"/>
              <w:right w:w="57" w:type="dxa"/>
            </w:tcMar>
          </w:tcPr>
          <w:p w:rsidR="00DD73A9" w:rsidRPr="00F82D5D" w:rsidRDefault="00DD73A9" w:rsidP="00494546">
            <w:pPr>
              <w:rPr>
                <w:bCs/>
                <w:sz w:val="22"/>
                <w:szCs w:val="22"/>
              </w:rPr>
            </w:pPr>
            <w:r w:rsidRPr="00F82D5D">
              <w:rPr>
                <w:bCs/>
                <w:sz w:val="22"/>
                <w:szCs w:val="22"/>
              </w:rPr>
              <w:t xml:space="preserve">Impact weighting % revised since last AR? </w:t>
            </w:r>
          </w:p>
        </w:tc>
        <w:tc>
          <w:tcPr>
            <w:tcW w:w="2384" w:type="dxa"/>
            <w:tcMar>
              <w:top w:w="57" w:type="dxa"/>
              <w:left w:w="57" w:type="dxa"/>
              <w:bottom w:w="57" w:type="dxa"/>
              <w:right w:w="57" w:type="dxa"/>
            </w:tcMar>
          </w:tcPr>
          <w:p w:rsidR="00DD73A9" w:rsidRPr="00065F33" w:rsidRDefault="00DD73A9" w:rsidP="00494546">
            <w:pPr>
              <w:rPr>
                <w:bCs/>
                <w:sz w:val="22"/>
                <w:szCs w:val="22"/>
              </w:rPr>
            </w:pPr>
            <w:r w:rsidRPr="00065F33">
              <w:rPr>
                <w:bCs/>
                <w:sz w:val="22"/>
                <w:szCs w:val="22"/>
              </w:rPr>
              <w:t>N</w:t>
            </w:r>
          </w:p>
          <w:p w:rsidR="00DD73A9" w:rsidRPr="0046232B" w:rsidRDefault="00DD73A9" w:rsidP="00494546">
            <w:pPr>
              <w:rPr>
                <w:sz w:val="22"/>
                <w:szCs w:val="22"/>
              </w:rPr>
            </w:pPr>
          </w:p>
        </w:tc>
      </w:tr>
    </w:tbl>
    <w:tbl>
      <w:tblPr>
        <w:tblStyle w:val="TableGrid"/>
        <w:tblpPr w:leftFromText="180" w:rightFromText="180" w:vertAnchor="text" w:horzAnchor="margin" w:tblpY="257"/>
        <w:tblOverlap w:val="never"/>
        <w:tblW w:w="10405" w:type="dxa"/>
        <w:tblLook w:val="04A0" w:firstRow="1" w:lastRow="0" w:firstColumn="1" w:lastColumn="0" w:noHBand="0" w:noVBand="1"/>
      </w:tblPr>
      <w:tblGrid>
        <w:gridCol w:w="2184"/>
        <w:gridCol w:w="4110"/>
        <w:gridCol w:w="4111"/>
      </w:tblGrid>
      <w:tr w:rsidR="00DD73A9" w:rsidRPr="00E21F43" w:rsidTr="007A6FDB">
        <w:trPr>
          <w:trHeight w:val="1781"/>
        </w:trPr>
        <w:tc>
          <w:tcPr>
            <w:tcW w:w="2184" w:type="dxa"/>
            <w:tcMar>
              <w:top w:w="57" w:type="dxa"/>
              <w:left w:w="57" w:type="dxa"/>
              <w:bottom w:w="57" w:type="dxa"/>
              <w:right w:w="57" w:type="dxa"/>
            </w:tcMar>
          </w:tcPr>
          <w:p w:rsidR="00DD73A9" w:rsidRPr="00E21F43" w:rsidRDefault="00DD73A9" w:rsidP="00494546">
            <w:pPr>
              <w:rPr>
                <w:rFonts w:cs="Arial"/>
                <w:bCs/>
                <w:sz w:val="21"/>
                <w:szCs w:val="21"/>
              </w:rPr>
            </w:pPr>
            <w:r w:rsidRPr="00E21F43">
              <w:rPr>
                <w:rFonts w:cs="Arial"/>
                <w:bCs/>
                <w:sz w:val="21"/>
                <w:szCs w:val="21"/>
              </w:rPr>
              <w:t>5.1 Monitoring, evaluation (M&amp;E) &amp; communication leads to learning and knowledge of best practice amongst all stakeholders</w:t>
            </w:r>
            <w:r>
              <w:rPr>
                <w:rFonts w:cs="Arial"/>
                <w:bCs/>
                <w:sz w:val="21"/>
                <w:szCs w:val="21"/>
              </w:rPr>
              <w:t xml:space="preserve">  </w:t>
            </w:r>
            <w:r w:rsidRPr="00E229B9">
              <w:rPr>
                <w:rFonts w:cs="Arial"/>
                <w:bCs/>
                <w:color w:val="FF0000"/>
                <w:sz w:val="21"/>
                <w:szCs w:val="21"/>
              </w:rPr>
              <w:t>[A+]</w:t>
            </w:r>
          </w:p>
        </w:tc>
        <w:tc>
          <w:tcPr>
            <w:tcW w:w="4110" w:type="dxa"/>
            <w:tcMar>
              <w:top w:w="57" w:type="dxa"/>
              <w:left w:w="57" w:type="dxa"/>
              <w:bottom w:w="57" w:type="dxa"/>
              <w:right w:w="57" w:type="dxa"/>
            </w:tcMar>
          </w:tcPr>
          <w:p w:rsidR="00DD73A9" w:rsidRPr="00E21F43" w:rsidRDefault="00DD73A9" w:rsidP="00494546">
            <w:pPr>
              <w:spacing w:after="80"/>
              <w:rPr>
                <w:rFonts w:cs="Arial"/>
                <w:bCs/>
                <w:sz w:val="21"/>
                <w:szCs w:val="21"/>
              </w:rPr>
            </w:pPr>
            <w:r w:rsidRPr="00E21F43">
              <w:rPr>
                <w:rFonts w:cs="Arial"/>
                <w:bCs/>
                <w:sz w:val="21"/>
                <w:szCs w:val="21"/>
                <w:u w:val="single"/>
              </w:rPr>
              <w:t>Cum:</w:t>
            </w:r>
            <w:r w:rsidRPr="00E21F43">
              <w:rPr>
                <w:rFonts w:cs="Arial"/>
                <w:bCs/>
                <w:sz w:val="21"/>
                <w:szCs w:val="21"/>
              </w:rPr>
              <w:t xml:space="preserve"> Three local dialogues with events on effective delivery; At least 1+ GoB policies informed by best practice &amp; M&amp;E studies. A total of 65 evidence-based studies on the website.</w:t>
            </w:r>
          </w:p>
          <w:p w:rsidR="00DD73A9" w:rsidRPr="00E21F43" w:rsidRDefault="00DD73A9" w:rsidP="00494546">
            <w:pPr>
              <w:rPr>
                <w:rFonts w:cs="Arial"/>
                <w:bCs/>
                <w:sz w:val="21"/>
                <w:szCs w:val="21"/>
              </w:rPr>
            </w:pPr>
            <w:r w:rsidRPr="00E21F43">
              <w:rPr>
                <w:rFonts w:cs="Arial"/>
                <w:bCs/>
                <w:sz w:val="21"/>
                <w:szCs w:val="21"/>
                <w:u w:val="single"/>
              </w:rPr>
              <w:t>Annual:</w:t>
            </w:r>
            <w:r w:rsidRPr="00E21F43">
              <w:rPr>
                <w:rFonts w:cs="Arial"/>
                <w:bCs/>
                <w:sz w:val="21"/>
                <w:szCs w:val="21"/>
              </w:rPr>
              <w:t xml:space="preserve"> 8 evidence-based studies on website.</w:t>
            </w:r>
          </w:p>
        </w:tc>
        <w:tc>
          <w:tcPr>
            <w:tcW w:w="4111" w:type="dxa"/>
            <w:tcMar>
              <w:top w:w="57" w:type="dxa"/>
              <w:left w:w="57" w:type="dxa"/>
              <w:bottom w:w="57" w:type="dxa"/>
              <w:right w:w="57" w:type="dxa"/>
            </w:tcMar>
          </w:tcPr>
          <w:p w:rsidR="00DD73A9" w:rsidRPr="00E21F43" w:rsidRDefault="00DD73A9" w:rsidP="00494546">
            <w:pPr>
              <w:spacing w:after="80"/>
              <w:rPr>
                <w:rFonts w:cs="Arial"/>
                <w:bCs/>
                <w:sz w:val="21"/>
                <w:szCs w:val="21"/>
              </w:rPr>
            </w:pPr>
            <w:r w:rsidRPr="00E21F43">
              <w:rPr>
                <w:rFonts w:cs="Arial"/>
                <w:bCs/>
                <w:sz w:val="21"/>
                <w:szCs w:val="21"/>
                <w:u w:val="single"/>
              </w:rPr>
              <w:t>Cum</w:t>
            </w:r>
            <w:r>
              <w:rPr>
                <w:rFonts w:cs="Arial"/>
                <w:bCs/>
                <w:sz w:val="21"/>
                <w:szCs w:val="21"/>
              </w:rPr>
              <w:t xml:space="preserve">: </w:t>
            </w:r>
            <w:r w:rsidRPr="00E21F43">
              <w:rPr>
                <w:rFonts w:cs="Arial"/>
                <w:bCs/>
                <w:sz w:val="21"/>
                <w:szCs w:val="21"/>
              </w:rPr>
              <w:t>total of evidence-based studies on the website is 66 (since 1 April 2010)</w:t>
            </w:r>
          </w:p>
          <w:p w:rsidR="00DD73A9" w:rsidRPr="00E21F43" w:rsidRDefault="00DD73A9" w:rsidP="00494546">
            <w:pPr>
              <w:rPr>
                <w:rFonts w:cs="Arial"/>
                <w:bCs/>
                <w:sz w:val="21"/>
                <w:szCs w:val="21"/>
              </w:rPr>
            </w:pPr>
            <w:r w:rsidRPr="00E21F43">
              <w:rPr>
                <w:rFonts w:cs="Arial"/>
                <w:bCs/>
                <w:sz w:val="21"/>
                <w:szCs w:val="21"/>
                <w:u w:val="single"/>
              </w:rPr>
              <w:t>Annual</w:t>
            </w:r>
            <w:r>
              <w:rPr>
                <w:rFonts w:cs="Arial"/>
                <w:bCs/>
                <w:sz w:val="21"/>
                <w:szCs w:val="21"/>
              </w:rPr>
              <w:t xml:space="preserve">: </w:t>
            </w:r>
            <w:r w:rsidRPr="00E21F43">
              <w:rPr>
                <w:rFonts w:cs="Arial"/>
                <w:bCs/>
                <w:sz w:val="21"/>
                <w:szCs w:val="21"/>
              </w:rPr>
              <w:t>9 evidence-based studies have been published since the last AR. An additional 5 are expected to be published in early 2015.</w:t>
            </w:r>
            <w:r>
              <w:rPr>
                <w:rFonts w:cs="Arial"/>
                <w:bCs/>
                <w:sz w:val="21"/>
                <w:szCs w:val="21"/>
              </w:rPr>
              <w:t xml:space="preserve"> </w:t>
            </w:r>
            <w:r w:rsidRPr="00E21F43">
              <w:rPr>
                <w:rFonts w:cs="Arial"/>
                <w:bCs/>
                <w:sz w:val="21"/>
                <w:szCs w:val="21"/>
              </w:rPr>
              <w:t>3 local dialogues on effective delivery took place</w:t>
            </w:r>
          </w:p>
        </w:tc>
      </w:tr>
      <w:tr w:rsidR="00DD73A9" w:rsidRPr="00E21F43" w:rsidTr="00494546">
        <w:tc>
          <w:tcPr>
            <w:tcW w:w="2184" w:type="dxa"/>
            <w:tcMar>
              <w:top w:w="57" w:type="dxa"/>
              <w:left w:w="57" w:type="dxa"/>
              <w:bottom w:w="57" w:type="dxa"/>
              <w:right w:w="57" w:type="dxa"/>
            </w:tcMar>
            <w:hideMark/>
          </w:tcPr>
          <w:p w:rsidR="00DD73A9" w:rsidRPr="00E21F43" w:rsidRDefault="00DD73A9" w:rsidP="00494546">
            <w:pPr>
              <w:rPr>
                <w:rFonts w:cs="Arial"/>
                <w:bCs/>
                <w:sz w:val="21"/>
                <w:szCs w:val="21"/>
              </w:rPr>
            </w:pPr>
            <w:r w:rsidRPr="00E21F43">
              <w:rPr>
                <w:rFonts w:cs="Arial"/>
                <w:bCs/>
                <w:sz w:val="21"/>
                <w:szCs w:val="21"/>
              </w:rPr>
              <w:t xml:space="preserve">5.2 </w:t>
            </w:r>
            <w:r w:rsidRPr="00E21F43">
              <w:rPr>
                <w:rFonts w:cs="Arial"/>
                <w:sz w:val="21"/>
                <w:szCs w:val="21"/>
              </w:rPr>
              <w:t xml:space="preserve"> </w:t>
            </w:r>
            <w:r w:rsidRPr="00E21F43">
              <w:rPr>
                <w:rFonts w:cs="Arial"/>
                <w:bCs/>
                <w:sz w:val="21"/>
                <w:szCs w:val="21"/>
              </w:rPr>
              <w:t>Number of different organisations approached to provide or facilitate public rights, services and resources to chars</w:t>
            </w:r>
            <w:r>
              <w:rPr>
                <w:rFonts w:cs="Arial"/>
                <w:bCs/>
                <w:sz w:val="21"/>
                <w:szCs w:val="21"/>
              </w:rPr>
              <w:t xml:space="preserve"> </w:t>
            </w:r>
            <w:r w:rsidRPr="00E229B9">
              <w:rPr>
                <w:rFonts w:cs="Arial"/>
                <w:bCs/>
                <w:color w:val="FF0000"/>
                <w:sz w:val="21"/>
                <w:szCs w:val="21"/>
              </w:rPr>
              <w:t>[A+</w:t>
            </w:r>
            <w:r w:rsidR="00637DF6">
              <w:rPr>
                <w:rFonts w:cs="Arial"/>
                <w:bCs/>
                <w:color w:val="FF0000"/>
                <w:sz w:val="21"/>
                <w:szCs w:val="21"/>
              </w:rPr>
              <w:t>+</w:t>
            </w:r>
            <w:r w:rsidRPr="00E229B9">
              <w:rPr>
                <w:rFonts w:cs="Arial"/>
                <w:bCs/>
                <w:color w:val="FF0000"/>
                <w:sz w:val="21"/>
                <w:szCs w:val="21"/>
              </w:rPr>
              <w:t>]</w:t>
            </w:r>
          </w:p>
        </w:tc>
        <w:tc>
          <w:tcPr>
            <w:tcW w:w="4110" w:type="dxa"/>
            <w:tcMar>
              <w:top w:w="57" w:type="dxa"/>
              <w:left w:w="57" w:type="dxa"/>
              <w:bottom w:w="57" w:type="dxa"/>
              <w:right w:w="57" w:type="dxa"/>
            </w:tcMar>
          </w:tcPr>
          <w:p w:rsidR="00DD73A9" w:rsidRPr="00E21F43" w:rsidRDefault="00DD73A9" w:rsidP="00494546">
            <w:pPr>
              <w:spacing w:after="80"/>
              <w:rPr>
                <w:rFonts w:cs="Arial"/>
                <w:bCs/>
                <w:sz w:val="21"/>
                <w:szCs w:val="21"/>
                <w:u w:val="single"/>
              </w:rPr>
            </w:pPr>
            <w:r w:rsidRPr="00E21F43">
              <w:rPr>
                <w:rFonts w:cs="Arial"/>
                <w:bCs/>
                <w:sz w:val="21"/>
                <w:szCs w:val="21"/>
                <w:u w:val="single"/>
              </w:rPr>
              <w:t>Cum:</w:t>
            </w:r>
            <w:r w:rsidRPr="00E21F43">
              <w:rPr>
                <w:rFonts w:cs="Arial"/>
                <w:bCs/>
                <w:sz w:val="21"/>
                <w:szCs w:val="21"/>
              </w:rPr>
              <w:t xml:space="preserve"> Twelve organisations approached across public, private and civic sectors</w:t>
            </w:r>
          </w:p>
          <w:p w:rsidR="00DD73A9" w:rsidRPr="00E21F43" w:rsidRDefault="00DD73A9" w:rsidP="00494546">
            <w:pPr>
              <w:rPr>
                <w:rFonts w:cs="Arial"/>
                <w:bCs/>
                <w:sz w:val="21"/>
                <w:szCs w:val="21"/>
                <w:u w:val="single"/>
              </w:rPr>
            </w:pPr>
            <w:r w:rsidRPr="00E21F43">
              <w:rPr>
                <w:rFonts w:cs="Arial"/>
                <w:bCs/>
                <w:sz w:val="21"/>
                <w:szCs w:val="21"/>
                <w:u w:val="single"/>
              </w:rPr>
              <w:t>Annual:</w:t>
            </w:r>
            <w:r w:rsidRPr="00E21F43">
              <w:rPr>
                <w:rFonts w:cs="Arial"/>
                <w:bCs/>
                <w:sz w:val="21"/>
                <w:szCs w:val="21"/>
              </w:rPr>
              <w:t xml:space="preserve"> One organisation approached across public, private and civic sectors</w:t>
            </w:r>
          </w:p>
        </w:tc>
        <w:tc>
          <w:tcPr>
            <w:tcW w:w="4111" w:type="dxa"/>
            <w:tcMar>
              <w:top w:w="57" w:type="dxa"/>
              <w:left w:w="57" w:type="dxa"/>
              <w:bottom w:w="57" w:type="dxa"/>
              <w:right w:w="57" w:type="dxa"/>
            </w:tcMar>
          </w:tcPr>
          <w:p w:rsidR="00DD73A9" w:rsidRPr="00E21F43" w:rsidRDefault="00DD73A9" w:rsidP="00494546">
            <w:pPr>
              <w:spacing w:after="80"/>
              <w:rPr>
                <w:rFonts w:cs="Arial"/>
                <w:bCs/>
                <w:sz w:val="21"/>
                <w:szCs w:val="21"/>
              </w:rPr>
            </w:pPr>
            <w:r w:rsidRPr="00E21F43">
              <w:rPr>
                <w:rFonts w:cs="Arial"/>
                <w:bCs/>
                <w:sz w:val="21"/>
                <w:szCs w:val="21"/>
                <w:u w:val="single"/>
              </w:rPr>
              <w:t>Cum:</w:t>
            </w:r>
            <w:r w:rsidRPr="00E21F43">
              <w:rPr>
                <w:rFonts w:cs="Arial"/>
                <w:bCs/>
                <w:sz w:val="21"/>
                <w:szCs w:val="21"/>
              </w:rPr>
              <w:t xml:space="preserve"> 51 </w:t>
            </w:r>
            <w:r w:rsidRPr="00065F33">
              <w:rPr>
                <w:rFonts w:cs="Arial"/>
                <w:bCs/>
                <w:sz w:val="21"/>
                <w:szCs w:val="21"/>
              </w:rPr>
              <w:t>organisations</w:t>
            </w:r>
            <w:r w:rsidRPr="00E21F43">
              <w:rPr>
                <w:rFonts w:cs="Arial"/>
                <w:bCs/>
                <w:sz w:val="21"/>
                <w:szCs w:val="21"/>
              </w:rPr>
              <w:t xml:space="preserve"> have been contacted since April 2010. Of these contacts, at least 25 activities have been implemented.</w:t>
            </w:r>
          </w:p>
          <w:p w:rsidR="00DD73A9" w:rsidRPr="00E21F43" w:rsidRDefault="00DD73A9" w:rsidP="00494546">
            <w:pPr>
              <w:rPr>
                <w:rFonts w:cs="Arial"/>
                <w:bCs/>
                <w:sz w:val="21"/>
                <w:szCs w:val="21"/>
              </w:rPr>
            </w:pPr>
            <w:r w:rsidRPr="00E21F43">
              <w:rPr>
                <w:rFonts w:cs="Arial"/>
                <w:bCs/>
                <w:sz w:val="21"/>
                <w:szCs w:val="21"/>
                <w:u w:val="single"/>
              </w:rPr>
              <w:t>Annual</w:t>
            </w:r>
            <w:r>
              <w:rPr>
                <w:rFonts w:cs="Arial"/>
                <w:bCs/>
                <w:sz w:val="21"/>
                <w:szCs w:val="21"/>
              </w:rPr>
              <w:t xml:space="preserve">: </w:t>
            </w:r>
            <w:r w:rsidRPr="00E21F43">
              <w:rPr>
                <w:rFonts w:cs="Arial"/>
                <w:bCs/>
                <w:sz w:val="21"/>
                <w:szCs w:val="21"/>
              </w:rPr>
              <w:t xml:space="preserve">Since Jan 2014, 12 new organisations have been contacted, of which 8 have so far resulted in activities or early stages </w:t>
            </w:r>
            <w:r>
              <w:rPr>
                <w:rFonts w:cs="Arial"/>
                <w:bCs/>
                <w:sz w:val="21"/>
                <w:szCs w:val="21"/>
              </w:rPr>
              <w:t>there</w:t>
            </w:r>
            <w:r w:rsidRPr="00E21F43">
              <w:rPr>
                <w:rFonts w:cs="Arial"/>
                <w:bCs/>
                <w:sz w:val="21"/>
                <w:szCs w:val="21"/>
              </w:rPr>
              <w:t>of</w:t>
            </w:r>
            <w:r>
              <w:rPr>
                <w:rFonts w:cs="Arial"/>
                <w:bCs/>
                <w:sz w:val="21"/>
                <w:szCs w:val="21"/>
              </w:rPr>
              <w:t>.</w:t>
            </w:r>
          </w:p>
        </w:tc>
      </w:tr>
      <w:tr w:rsidR="00DD73A9" w:rsidRPr="00E21F43" w:rsidTr="00494546">
        <w:tc>
          <w:tcPr>
            <w:tcW w:w="2184" w:type="dxa"/>
            <w:tcMar>
              <w:top w:w="57" w:type="dxa"/>
              <w:left w:w="57" w:type="dxa"/>
              <w:bottom w:w="57" w:type="dxa"/>
              <w:right w:w="57" w:type="dxa"/>
            </w:tcMar>
          </w:tcPr>
          <w:p w:rsidR="00DD73A9" w:rsidRPr="00E21F43" w:rsidRDefault="00DD73A9" w:rsidP="00F8618A">
            <w:pPr>
              <w:rPr>
                <w:rFonts w:cs="Arial"/>
                <w:bCs/>
                <w:sz w:val="21"/>
                <w:szCs w:val="21"/>
              </w:rPr>
            </w:pPr>
            <w:r w:rsidRPr="00E21F43">
              <w:rPr>
                <w:rFonts w:cs="Arial"/>
                <w:bCs/>
                <w:sz w:val="21"/>
                <w:szCs w:val="21"/>
              </w:rPr>
              <w:t xml:space="preserve">5.3 </w:t>
            </w:r>
            <w:r w:rsidRPr="00E21F43">
              <w:rPr>
                <w:rFonts w:cs="Arial"/>
                <w:sz w:val="21"/>
                <w:szCs w:val="21"/>
              </w:rPr>
              <w:t xml:space="preserve"> </w:t>
            </w:r>
            <w:r w:rsidRPr="00E21F43">
              <w:rPr>
                <w:rFonts w:cs="Arial"/>
                <w:bCs/>
                <w:sz w:val="21"/>
                <w:szCs w:val="21"/>
              </w:rPr>
              <w:t>Facilitation and provision of public rights, services, and resources on the chars</w:t>
            </w:r>
            <w:r>
              <w:rPr>
                <w:rFonts w:cs="Arial"/>
                <w:bCs/>
                <w:sz w:val="21"/>
                <w:szCs w:val="21"/>
              </w:rPr>
              <w:t xml:space="preserve"> </w:t>
            </w:r>
            <w:r w:rsidRPr="008F0BEB">
              <w:rPr>
                <w:rFonts w:cs="Arial"/>
                <w:b/>
                <w:bCs/>
                <w:color w:val="FF0000"/>
                <w:sz w:val="21"/>
                <w:szCs w:val="21"/>
              </w:rPr>
              <w:t xml:space="preserve"> </w:t>
            </w:r>
            <w:r w:rsidRPr="00E229B9">
              <w:rPr>
                <w:rFonts w:cs="Arial"/>
                <w:bCs/>
                <w:color w:val="FF0000"/>
                <w:sz w:val="21"/>
                <w:szCs w:val="21"/>
              </w:rPr>
              <w:t>[</w:t>
            </w:r>
            <w:r w:rsidR="00F8618A">
              <w:rPr>
                <w:rFonts w:cs="Arial"/>
                <w:bCs/>
                <w:color w:val="FF0000"/>
                <w:sz w:val="21"/>
                <w:szCs w:val="21"/>
              </w:rPr>
              <w:t>C</w:t>
            </w:r>
            <w:r>
              <w:rPr>
                <w:rFonts w:cs="Arial"/>
                <w:bCs/>
                <w:color w:val="FF0000"/>
                <w:sz w:val="21"/>
                <w:szCs w:val="21"/>
              </w:rPr>
              <w:t>]</w:t>
            </w:r>
          </w:p>
        </w:tc>
        <w:tc>
          <w:tcPr>
            <w:tcW w:w="4110" w:type="dxa"/>
            <w:tcMar>
              <w:top w:w="57" w:type="dxa"/>
              <w:left w:w="57" w:type="dxa"/>
              <w:bottom w:w="57" w:type="dxa"/>
              <w:right w:w="57" w:type="dxa"/>
            </w:tcMar>
          </w:tcPr>
          <w:p w:rsidR="00DD73A9" w:rsidRPr="008F0BEB" w:rsidRDefault="00DD73A9" w:rsidP="00494546">
            <w:pPr>
              <w:spacing w:after="80"/>
              <w:rPr>
                <w:rFonts w:cs="Arial"/>
                <w:bCs/>
                <w:sz w:val="21"/>
                <w:szCs w:val="21"/>
                <w:u w:val="single"/>
              </w:rPr>
            </w:pPr>
            <w:r w:rsidRPr="00E21F43">
              <w:rPr>
                <w:rFonts w:cs="Arial"/>
                <w:bCs/>
                <w:sz w:val="21"/>
                <w:szCs w:val="21"/>
                <w:u w:val="single"/>
              </w:rPr>
              <w:t>Cum</w:t>
            </w:r>
            <w:r w:rsidR="0092103D">
              <w:rPr>
                <w:rFonts w:cs="Arial"/>
                <w:bCs/>
                <w:sz w:val="21"/>
                <w:szCs w:val="21"/>
                <w:u w:val="single"/>
              </w:rPr>
              <w:t>ulative</w:t>
            </w:r>
            <w:r>
              <w:rPr>
                <w:rFonts w:cs="Arial"/>
                <w:bCs/>
                <w:sz w:val="21"/>
                <w:szCs w:val="21"/>
                <w:u w:val="single"/>
              </w:rPr>
              <w:t>:</w:t>
            </w:r>
            <w:r w:rsidRPr="008F0BEB">
              <w:rPr>
                <w:rFonts w:cs="Arial"/>
                <w:bCs/>
                <w:sz w:val="21"/>
                <w:szCs w:val="21"/>
              </w:rPr>
              <w:t xml:space="preserve"> </w:t>
            </w:r>
            <w:r w:rsidRPr="00E21F43">
              <w:rPr>
                <w:rFonts w:cs="Arial"/>
                <w:bCs/>
                <w:sz w:val="21"/>
                <w:szCs w:val="21"/>
              </w:rPr>
              <w:t>Providers committed to delivering / facilitating health services or resources in 60 unions</w:t>
            </w:r>
          </w:p>
          <w:p w:rsidR="00DD73A9" w:rsidRPr="00E21F43" w:rsidRDefault="00DD73A9" w:rsidP="00494546">
            <w:pPr>
              <w:spacing w:after="80"/>
              <w:rPr>
                <w:rFonts w:cs="Arial"/>
                <w:bCs/>
                <w:sz w:val="21"/>
                <w:szCs w:val="21"/>
              </w:rPr>
            </w:pPr>
            <w:r w:rsidRPr="00E21F43">
              <w:rPr>
                <w:rFonts w:cs="Arial"/>
                <w:bCs/>
                <w:sz w:val="21"/>
                <w:szCs w:val="21"/>
              </w:rPr>
              <w:t>Providers committed to delivering / facilitating education services or resources in 20 unions</w:t>
            </w:r>
          </w:p>
          <w:p w:rsidR="00DD73A9" w:rsidRPr="00E21F43" w:rsidRDefault="00DD73A9" w:rsidP="00494546">
            <w:pPr>
              <w:spacing w:after="80"/>
              <w:rPr>
                <w:rFonts w:cs="Arial"/>
                <w:bCs/>
                <w:sz w:val="21"/>
                <w:szCs w:val="21"/>
              </w:rPr>
            </w:pPr>
            <w:r w:rsidRPr="00E21F43">
              <w:rPr>
                <w:rFonts w:cs="Arial"/>
                <w:bCs/>
                <w:sz w:val="21"/>
                <w:szCs w:val="21"/>
              </w:rPr>
              <w:t>Eight IMOs actively seeking land ownership for at least 500  householders with at least 250 CPHHs</w:t>
            </w:r>
          </w:p>
          <w:p w:rsidR="00DD73A9" w:rsidRDefault="00DD73A9" w:rsidP="00494546">
            <w:pPr>
              <w:rPr>
                <w:rFonts w:cs="Arial"/>
                <w:bCs/>
                <w:sz w:val="21"/>
                <w:szCs w:val="21"/>
                <w:u w:val="single"/>
              </w:rPr>
            </w:pPr>
          </w:p>
          <w:p w:rsidR="00DD73A9" w:rsidRDefault="00DD73A9" w:rsidP="00494546">
            <w:pPr>
              <w:spacing w:after="80"/>
              <w:rPr>
                <w:rFonts w:cs="Arial"/>
                <w:bCs/>
                <w:sz w:val="21"/>
                <w:szCs w:val="21"/>
              </w:rPr>
            </w:pPr>
            <w:r w:rsidRPr="00E21F43">
              <w:rPr>
                <w:rFonts w:cs="Arial"/>
                <w:bCs/>
                <w:sz w:val="21"/>
                <w:szCs w:val="21"/>
                <w:u w:val="single"/>
              </w:rPr>
              <w:t>Annual:</w:t>
            </w:r>
            <w:r w:rsidRPr="008F0BEB">
              <w:rPr>
                <w:rFonts w:cs="Arial"/>
                <w:bCs/>
                <w:sz w:val="21"/>
                <w:szCs w:val="21"/>
              </w:rPr>
              <w:t xml:space="preserve"> </w:t>
            </w:r>
            <w:r w:rsidRPr="00E21F43">
              <w:rPr>
                <w:rFonts w:cs="Arial"/>
                <w:bCs/>
                <w:sz w:val="21"/>
                <w:szCs w:val="21"/>
              </w:rPr>
              <w:t>Providers committed to delivering / facilitating health services or resources in 30 unions</w:t>
            </w:r>
          </w:p>
          <w:p w:rsidR="00DD73A9" w:rsidRDefault="00DD73A9" w:rsidP="00494546">
            <w:pPr>
              <w:spacing w:after="80"/>
              <w:rPr>
                <w:rFonts w:cs="Arial"/>
                <w:bCs/>
                <w:sz w:val="21"/>
                <w:szCs w:val="21"/>
              </w:rPr>
            </w:pPr>
            <w:r w:rsidRPr="00E21F43">
              <w:rPr>
                <w:rFonts w:cs="Arial"/>
                <w:bCs/>
                <w:sz w:val="21"/>
                <w:szCs w:val="21"/>
              </w:rPr>
              <w:t>Providers committed to delivering / facilitating education services or resources in 10 unions</w:t>
            </w:r>
          </w:p>
          <w:p w:rsidR="00264B61" w:rsidRPr="00752E26" w:rsidRDefault="00264B61" w:rsidP="00494546">
            <w:pPr>
              <w:spacing w:after="80"/>
              <w:rPr>
                <w:rFonts w:cs="Arial"/>
                <w:bCs/>
                <w:sz w:val="7"/>
                <w:szCs w:val="21"/>
              </w:rPr>
            </w:pPr>
          </w:p>
          <w:p w:rsidR="00DD73A9" w:rsidRPr="00E21F43" w:rsidRDefault="00DD73A9" w:rsidP="00494546">
            <w:pPr>
              <w:rPr>
                <w:rFonts w:cs="Arial"/>
                <w:bCs/>
                <w:sz w:val="21"/>
                <w:szCs w:val="21"/>
              </w:rPr>
            </w:pPr>
            <w:r w:rsidRPr="00E21F43">
              <w:rPr>
                <w:rFonts w:cs="Arial"/>
                <w:bCs/>
                <w:sz w:val="21"/>
                <w:szCs w:val="21"/>
              </w:rPr>
              <w:t>Three IMOs actively seeking land ownership for at least 200 HHs with at least 100 CPHHs</w:t>
            </w:r>
          </w:p>
        </w:tc>
        <w:tc>
          <w:tcPr>
            <w:tcW w:w="4111" w:type="dxa"/>
            <w:tcMar>
              <w:top w:w="57" w:type="dxa"/>
              <w:left w:w="57" w:type="dxa"/>
              <w:bottom w:w="57" w:type="dxa"/>
              <w:right w:w="57" w:type="dxa"/>
            </w:tcMar>
          </w:tcPr>
          <w:p w:rsidR="00DD73A9" w:rsidRDefault="00633430" w:rsidP="00494546">
            <w:pPr>
              <w:spacing w:after="80"/>
              <w:rPr>
                <w:rFonts w:cs="Arial"/>
                <w:bCs/>
                <w:sz w:val="21"/>
                <w:szCs w:val="21"/>
                <w:u w:val="single"/>
              </w:rPr>
            </w:pPr>
            <w:r w:rsidRPr="00E21F43">
              <w:rPr>
                <w:rFonts w:cs="Arial"/>
                <w:bCs/>
                <w:sz w:val="21"/>
                <w:szCs w:val="21"/>
                <w:u w:val="single"/>
              </w:rPr>
              <w:t>Cum</w:t>
            </w:r>
            <w:r>
              <w:rPr>
                <w:rFonts w:cs="Arial"/>
                <w:bCs/>
                <w:sz w:val="21"/>
                <w:szCs w:val="21"/>
                <w:u w:val="single"/>
              </w:rPr>
              <w:t>ulative:</w:t>
            </w:r>
            <w:r w:rsidR="00DD73A9" w:rsidRPr="008F0BEB">
              <w:rPr>
                <w:rFonts w:cs="Arial"/>
                <w:bCs/>
                <w:sz w:val="21"/>
                <w:szCs w:val="21"/>
              </w:rPr>
              <w:t xml:space="preserve"> </w:t>
            </w:r>
            <w:r w:rsidR="00DD73A9" w:rsidRPr="00E21F43">
              <w:rPr>
                <w:rFonts w:cs="Arial"/>
                <w:sz w:val="21"/>
                <w:szCs w:val="21"/>
              </w:rPr>
              <w:t xml:space="preserve">BRAC is providing health services </w:t>
            </w:r>
            <w:r w:rsidR="00DD73A9" w:rsidRPr="008F0BEB">
              <w:rPr>
                <w:rFonts w:cs="Arial"/>
                <w:bCs/>
                <w:sz w:val="21"/>
                <w:szCs w:val="21"/>
              </w:rPr>
              <w:t>in</w:t>
            </w:r>
            <w:r w:rsidR="00DD73A9" w:rsidRPr="00E21F43">
              <w:rPr>
                <w:rFonts w:cs="Arial"/>
                <w:sz w:val="21"/>
                <w:szCs w:val="21"/>
              </w:rPr>
              <w:t xml:space="preserve"> 232 </w:t>
            </w:r>
            <w:r w:rsidR="00DD73A9" w:rsidRPr="0018377F">
              <w:rPr>
                <w:rFonts w:cs="Arial"/>
                <w:bCs/>
                <w:sz w:val="21"/>
                <w:szCs w:val="21"/>
              </w:rPr>
              <w:t>villages</w:t>
            </w:r>
            <w:r w:rsidR="00DD73A9" w:rsidRPr="00E21F43">
              <w:rPr>
                <w:rFonts w:cs="Arial"/>
                <w:sz w:val="21"/>
                <w:szCs w:val="21"/>
              </w:rPr>
              <w:t xml:space="preserve"> of 56 unions.</w:t>
            </w:r>
          </w:p>
          <w:p w:rsidR="00DD73A9" w:rsidRPr="0018377F" w:rsidRDefault="00DD73A9" w:rsidP="00494546">
            <w:pPr>
              <w:rPr>
                <w:rFonts w:cs="Arial"/>
                <w:bCs/>
                <w:sz w:val="21"/>
                <w:szCs w:val="21"/>
                <w:u w:val="single"/>
              </w:rPr>
            </w:pPr>
          </w:p>
          <w:p w:rsidR="00DD73A9" w:rsidRPr="00E21F43" w:rsidRDefault="00DD73A9" w:rsidP="00494546">
            <w:pPr>
              <w:spacing w:after="80"/>
              <w:rPr>
                <w:rFonts w:cs="Arial"/>
                <w:sz w:val="21"/>
                <w:szCs w:val="21"/>
              </w:rPr>
            </w:pPr>
            <w:r w:rsidRPr="00E21F43">
              <w:rPr>
                <w:rFonts w:cs="Arial"/>
                <w:sz w:val="21"/>
                <w:szCs w:val="21"/>
              </w:rPr>
              <w:t xml:space="preserve">44 former CLP-2 </w:t>
            </w:r>
            <w:r w:rsidRPr="008F0BEB">
              <w:rPr>
                <w:rFonts w:cs="Arial"/>
                <w:bCs/>
                <w:sz w:val="21"/>
                <w:szCs w:val="21"/>
              </w:rPr>
              <w:t>education</w:t>
            </w:r>
            <w:r w:rsidRPr="00E21F43">
              <w:rPr>
                <w:rFonts w:cs="Arial"/>
                <w:sz w:val="21"/>
                <w:szCs w:val="21"/>
              </w:rPr>
              <w:t xml:space="preserve"> centres are being operated by NGOs (one by the community) in 8 unions. </w:t>
            </w:r>
          </w:p>
          <w:p w:rsidR="00DD73A9" w:rsidRPr="00E21F43" w:rsidRDefault="00DD73A9" w:rsidP="00494546">
            <w:pPr>
              <w:spacing w:after="80"/>
              <w:rPr>
                <w:rFonts w:cs="Arial"/>
                <w:bCs/>
                <w:sz w:val="21"/>
                <w:szCs w:val="21"/>
              </w:rPr>
            </w:pPr>
            <w:r w:rsidRPr="00E21F43">
              <w:rPr>
                <w:rFonts w:cs="Arial"/>
                <w:bCs/>
                <w:sz w:val="21"/>
                <w:szCs w:val="21"/>
              </w:rPr>
              <w:t>13 IMOs; 2,203 submissions; 135 CPHHs from a total of 294 that have received land to date.</w:t>
            </w:r>
            <w:r>
              <w:rPr>
                <w:rFonts w:cs="Arial"/>
                <w:bCs/>
                <w:sz w:val="21"/>
                <w:szCs w:val="21"/>
              </w:rPr>
              <w:t xml:space="preserve"> </w:t>
            </w:r>
            <w:r w:rsidRPr="00E21F43">
              <w:rPr>
                <w:rFonts w:cs="Arial"/>
                <w:bCs/>
                <w:sz w:val="21"/>
                <w:szCs w:val="21"/>
              </w:rPr>
              <w:t xml:space="preserve">233 applications </w:t>
            </w:r>
            <w:r>
              <w:rPr>
                <w:rFonts w:cs="Arial"/>
                <w:bCs/>
                <w:sz w:val="21"/>
                <w:szCs w:val="21"/>
              </w:rPr>
              <w:t>or ~</w:t>
            </w:r>
            <w:r w:rsidRPr="00E21F43">
              <w:rPr>
                <w:rFonts w:cs="Arial"/>
                <w:bCs/>
                <w:sz w:val="21"/>
                <w:szCs w:val="21"/>
              </w:rPr>
              <w:t>10% of total</w:t>
            </w:r>
            <w:r>
              <w:rPr>
                <w:rFonts w:cs="Arial"/>
                <w:bCs/>
                <w:sz w:val="21"/>
                <w:szCs w:val="21"/>
              </w:rPr>
              <w:t xml:space="preserve"> </w:t>
            </w:r>
            <w:r w:rsidRPr="00E21F43">
              <w:rPr>
                <w:rFonts w:cs="Arial"/>
                <w:bCs/>
                <w:sz w:val="21"/>
                <w:szCs w:val="21"/>
              </w:rPr>
              <w:t>have been rejected.</w:t>
            </w:r>
          </w:p>
          <w:p w:rsidR="001451EB" w:rsidRPr="001451EB" w:rsidRDefault="00DD73A9" w:rsidP="00494546">
            <w:pPr>
              <w:rPr>
                <w:rFonts w:cs="Arial"/>
                <w:bCs/>
                <w:sz w:val="21"/>
                <w:szCs w:val="21"/>
                <w:u w:val="single"/>
              </w:rPr>
            </w:pPr>
            <w:r w:rsidRPr="001451EB">
              <w:rPr>
                <w:rFonts w:cs="Arial"/>
                <w:bCs/>
                <w:sz w:val="21"/>
                <w:szCs w:val="21"/>
                <w:u w:val="single"/>
              </w:rPr>
              <w:t xml:space="preserve">Annual: </w:t>
            </w:r>
            <w:r w:rsidR="0092103D" w:rsidRPr="0092103D">
              <w:rPr>
                <w:rFonts w:cs="Arial"/>
                <w:bCs/>
                <w:sz w:val="21"/>
                <w:szCs w:val="21"/>
              </w:rPr>
              <w:t>Health :</w:t>
            </w:r>
            <w:r w:rsidR="0092103D">
              <w:rPr>
                <w:rFonts w:cs="Arial"/>
                <w:bCs/>
                <w:sz w:val="21"/>
                <w:szCs w:val="21"/>
                <w:u w:val="single"/>
              </w:rPr>
              <w:t xml:space="preserve"> </w:t>
            </w:r>
            <w:r w:rsidRPr="00FF320D">
              <w:rPr>
                <w:rFonts w:cs="Arial"/>
                <w:bCs/>
                <w:sz w:val="21"/>
                <w:szCs w:val="21"/>
              </w:rPr>
              <w:t>No change from last year</w:t>
            </w:r>
            <w:r w:rsidR="0092103D">
              <w:rPr>
                <w:rFonts w:cs="Arial"/>
                <w:bCs/>
                <w:sz w:val="21"/>
                <w:szCs w:val="21"/>
              </w:rPr>
              <w:t xml:space="preserve"> (cumulatively  figures 56 unions ; as mentioned above)</w:t>
            </w:r>
          </w:p>
          <w:p w:rsidR="001451EB" w:rsidRPr="001451EB" w:rsidRDefault="001451EB" w:rsidP="00494546">
            <w:pPr>
              <w:rPr>
                <w:rFonts w:cs="Arial"/>
                <w:bCs/>
                <w:sz w:val="21"/>
                <w:szCs w:val="21"/>
                <w:u w:val="single"/>
              </w:rPr>
            </w:pPr>
          </w:p>
          <w:p w:rsidR="00DD73A9" w:rsidRPr="00FF320D" w:rsidRDefault="0092103D" w:rsidP="00494546">
            <w:pPr>
              <w:rPr>
                <w:rFonts w:cs="Arial"/>
                <w:bCs/>
                <w:sz w:val="21"/>
                <w:szCs w:val="21"/>
              </w:rPr>
            </w:pPr>
            <w:r>
              <w:rPr>
                <w:rFonts w:cs="Arial"/>
                <w:bCs/>
                <w:sz w:val="21"/>
                <w:szCs w:val="21"/>
              </w:rPr>
              <w:t xml:space="preserve">Education : </w:t>
            </w:r>
            <w:r w:rsidR="00DD73A9" w:rsidRPr="00FF320D">
              <w:rPr>
                <w:rFonts w:cs="Arial"/>
                <w:bCs/>
                <w:sz w:val="21"/>
                <w:szCs w:val="21"/>
              </w:rPr>
              <w:t>No change from last year</w:t>
            </w:r>
            <w:r w:rsidR="00752E26">
              <w:rPr>
                <w:rFonts w:cs="Arial"/>
                <w:bCs/>
                <w:sz w:val="21"/>
                <w:szCs w:val="21"/>
              </w:rPr>
              <w:t xml:space="preserve"> </w:t>
            </w:r>
            <w:r w:rsidR="00AE0FC6">
              <w:rPr>
                <w:rFonts w:cs="Arial"/>
                <w:bCs/>
                <w:sz w:val="21"/>
                <w:szCs w:val="21"/>
              </w:rPr>
              <w:t xml:space="preserve">         </w:t>
            </w:r>
            <w:r w:rsidR="00752E26">
              <w:rPr>
                <w:rFonts w:cs="Arial"/>
                <w:bCs/>
                <w:sz w:val="21"/>
                <w:szCs w:val="21"/>
              </w:rPr>
              <w:t>(cumulative 8 unions)</w:t>
            </w:r>
          </w:p>
          <w:p w:rsidR="00DD73A9" w:rsidRPr="001451EB" w:rsidRDefault="00DD73A9" w:rsidP="00494546">
            <w:pPr>
              <w:rPr>
                <w:rFonts w:cs="Arial"/>
                <w:bCs/>
                <w:sz w:val="21"/>
                <w:szCs w:val="21"/>
                <w:u w:val="single"/>
              </w:rPr>
            </w:pPr>
          </w:p>
          <w:p w:rsidR="00436A2B" w:rsidRPr="00752E26" w:rsidRDefault="00436A2B" w:rsidP="00494546">
            <w:pPr>
              <w:rPr>
                <w:rFonts w:cs="Arial"/>
                <w:bCs/>
                <w:sz w:val="5"/>
                <w:szCs w:val="21"/>
                <w:u w:val="single"/>
              </w:rPr>
            </w:pPr>
          </w:p>
          <w:p w:rsidR="00DD73A9" w:rsidRPr="00752E26" w:rsidRDefault="00752E26" w:rsidP="008B65CE">
            <w:pPr>
              <w:rPr>
                <w:rFonts w:cs="Arial"/>
                <w:bCs/>
                <w:sz w:val="21"/>
                <w:szCs w:val="21"/>
              </w:rPr>
            </w:pPr>
            <w:r w:rsidRPr="008B65CE">
              <w:rPr>
                <w:rFonts w:cs="Arial"/>
                <w:bCs/>
                <w:sz w:val="21"/>
                <w:szCs w:val="21"/>
              </w:rPr>
              <w:t>5 more</w:t>
            </w:r>
            <w:r w:rsidR="00DD73A9" w:rsidRPr="008B65CE">
              <w:rPr>
                <w:rFonts w:cs="Arial"/>
                <w:bCs/>
                <w:sz w:val="21"/>
                <w:szCs w:val="21"/>
              </w:rPr>
              <w:t xml:space="preserve"> IMOs actively seeking land ownership </w:t>
            </w:r>
            <w:r w:rsidR="00AB1B23" w:rsidRPr="008B65CE">
              <w:rPr>
                <w:rFonts w:cs="Arial"/>
                <w:bCs/>
                <w:sz w:val="21"/>
                <w:szCs w:val="21"/>
              </w:rPr>
              <w:t xml:space="preserve"> for at least </w:t>
            </w:r>
            <w:r w:rsidR="008B65CE" w:rsidRPr="008B65CE">
              <w:rPr>
                <w:rFonts w:cs="Arial"/>
                <w:bCs/>
                <w:sz w:val="21"/>
                <w:szCs w:val="21"/>
              </w:rPr>
              <w:t>701</w:t>
            </w:r>
            <w:r w:rsidR="00AB1B23" w:rsidRPr="008B65CE">
              <w:rPr>
                <w:rFonts w:cs="Arial"/>
                <w:bCs/>
                <w:sz w:val="21"/>
                <w:szCs w:val="21"/>
              </w:rPr>
              <w:t xml:space="preserve"> HHs with at least </w:t>
            </w:r>
            <w:r w:rsidR="008B65CE" w:rsidRPr="008B65CE">
              <w:rPr>
                <w:rFonts w:cs="Arial"/>
                <w:bCs/>
                <w:sz w:val="21"/>
                <w:szCs w:val="21"/>
              </w:rPr>
              <w:t>16</w:t>
            </w:r>
            <w:r w:rsidR="00AB1B23" w:rsidRPr="008B65CE">
              <w:rPr>
                <w:rFonts w:cs="Arial"/>
                <w:bCs/>
                <w:sz w:val="21"/>
                <w:szCs w:val="21"/>
              </w:rPr>
              <w:t xml:space="preserve"> CPHHs</w:t>
            </w:r>
            <w:r w:rsidR="004D7488">
              <w:rPr>
                <w:rFonts w:cs="Arial"/>
                <w:bCs/>
                <w:sz w:val="21"/>
                <w:szCs w:val="21"/>
              </w:rPr>
              <w:t xml:space="preserve"> receiving land in 2014/15</w:t>
            </w:r>
          </w:p>
        </w:tc>
      </w:tr>
      <w:tr w:rsidR="00DD73A9" w:rsidRPr="00E21F43" w:rsidTr="00494546">
        <w:tc>
          <w:tcPr>
            <w:tcW w:w="2184" w:type="dxa"/>
            <w:tcMar>
              <w:top w:w="57" w:type="dxa"/>
              <w:left w:w="57" w:type="dxa"/>
              <w:bottom w:w="57" w:type="dxa"/>
              <w:right w:w="57" w:type="dxa"/>
            </w:tcMar>
          </w:tcPr>
          <w:p w:rsidR="00DD73A9" w:rsidRPr="00E21F43" w:rsidRDefault="00DD73A9" w:rsidP="00494546">
            <w:pPr>
              <w:rPr>
                <w:rFonts w:cs="Arial"/>
                <w:bCs/>
                <w:sz w:val="21"/>
                <w:szCs w:val="21"/>
              </w:rPr>
            </w:pPr>
            <w:r w:rsidRPr="00E21F43">
              <w:rPr>
                <w:rFonts w:cs="Arial"/>
                <w:bCs/>
                <w:sz w:val="21"/>
                <w:szCs w:val="21"/>
              </w:rPr>
              <w:t>5.4 Linkages to public and private basic services provision</w:t>
            </w:r>
            <w:r>
              <w:rPr>
                <w:rFonts w:cs="Arial"/>
                <w:bCs/>
                <w:sz w:val="21"/>
                <w:szCs w:val="21"/>
              </w:rPr>
              <w:t xml:space="preserve"> </w:t>
            </w:r>
            <w:r w:rsidRPr="00E229B9">
              <w:rPr>
                <w:rFonts w:cs="Arial"/>
                <w:bCs/>
                <w:color w:val="FF0000"/>
                <w:sz w:val="21"/>
                <w:szCs w:val="21"/>
              </w:rPr>
              <w:t>[A+</w:t>
            </w:r>
            <w:r w:rsidR="001108F0">
              <w:rPr>
                <w:rFonts w:cs="Arial"/>
                <w:bCs/>
                <w:color w:val="FF0000"/>
                <w:sz w:val="21"/>
                <w:szCs w:val="21"/>
              </w:rPr>
              <w:t>+</w:t>
            </w:r>
            <w:r w:rsidRPr="00E229B9">
              <w:rPr>
                <w:rFonts w:cs="Arial"/>
                <w:bCs/>
                <w:color w:val="FF0000"/>
                <w:sz w:val="21"/>
                <w:szCs w:val="21"/>
              </w:rPr>
              <w:t>]</w:t>
            </w:r>
          </w:p>
        </w:tc>
        <w:tc>
          <w:tcPr>
            <w:tcW w:w="4110" w:type="dxa"/>
            <w:tcMar>
              <w:top w:w="57" w:type="dxa"/>
              <w:left w:w="57" w:type="dxa"/>
              <w:bottom w:w="57" w:type="dxa"/>
              <w:right w:w="57" w:type="dxa"/>
            </w:tcMar>
          </w:tcPr>
          <w:p w:rsidR="00DD73A9" w:rsidRPr="00E21F43" w:rsidRDefault="00DD73A9" w:rsidP="00494546">
            <w:pPr>
              <w:spacing w:after="80"/>
              <w:rPr>
                <w:rFonts w:cs="Arial"/>
                <w:bCs/>
                <w:sz w:val="21"/>
                <w:szCs w:val="21"/>
              </w:rPr>
            </w:pPr>
            <w:r w:rsidRPr="00E21F43">
              <w:rPr>
                <w:rFonts w:cs="Arial"/>
                <w:bCs/>
                <w:sz w:val="21"/>
                <w:szCs w:val="21"/>
                <w:u w:val="single"/>
              </w:rPr>
              <w:t>Cum:</w:t>
            </w:r>
            <w:r w:rsidRPr="008F0BEB">
              <w:rPr>
                <w:rFonts w:cs="Arial"/>
                <w:bCs/>
                <w:sz w:val="21"/>
                <w:szCs w:val="21"/>
              </w:rPr>
              <w:t xml:space="preserve"> </w:t>
            </w:r>
            <w:r w:rsidRPr="00E21F43">
              <w:rPr>
                <w:rFonts w:cs="Arial"/>
                <w:bCs/>
                <w:sz w:val="21"/>
                <w:szCs w:val="21"/>
              </w:rPr>
              <w:t>68,708 CPHHs informed about type &amp; location of basic services and other safety nets</w:t>
            </w:r>
          </w:p>
          <w:p w:rsidR="00DD73A9" w:rsidRPr="00E21F43" w:rsidRDefault="00DD73A9" w:rsidP="00494546">
            <w:pPr>
              <w:rPr>
                <w:rFonts w:cs="Arial"/>
                <w:bCs/>
                <w:sz w:val="21"/>
                <w:szCs w:val="21"/>
              </w:rPr>
            </w:pPr>
            <w:r w:rsidRPr="00E21F43">
              <w:rPr>
                <w:rFonts w:cs="Arial"/>
                <w:bCs/>
                <w:sz w:val="21"/>
                <w:szCs w:val="21"/>
                <w:u w:val="single"/>
              </w:rPr>
              <w:t>Annual:</w:t>
            </w:r>
            <w:r w:rsidRPr="008F0BEB">
              <w:rPr>
                <w:rFonts w:cs="Arial"/>
                <w:bCs/>
                <w:sz w:val="21"/>
                <w:szCs w:val="21"/>
              </w:rPr>
              <w:t xml:space="preserve"> </w:t>
            </w:r>
            <w:r w:rsidRPr="00E21F43">
              <w:rPr>
                <w:rFonts w:cs="Arial"/>
                <w:bCs/>
                <w:sz w:val="21"/>
                <w:szCs w:val="21"/>
              </w:rPr>
              <w:t>4,148 CPHHs informed about type &amp; location of basic services and other safety nets</w:t>
            </w:r>
          </w:p>
        </w:tc>
        <w:tc>
          <w:tcPr>
            <w:tcW w:w="4111" w:type="dxa"/>
            <w:tcMar>
              <w:top w:w="57" w:type="dxa"/>
              <w:left w:w="57" w:type="dxa"/>
              <w:bottom w:w="57" w:type="dxa"/>
              <w:right w:w="57" w:type="dxa"/>
            </w:tcMar>
          </w:tcPr>
          <w:p w:rsidR="00DD73A9" w:rsidRPr="00E21F43" w:rsidRDefault="00DD73A9" w:rsidP="00494546">
            <w:pPr>
              <w:spacing w:after="80"/>
              <w:rPr>
                <w:rFonts w:cs="Arial"/>
                <w:bCs/>
                <w:sz w:val="21"/>
                <w:szCs w:val="21"/>
              </w:rPr>
            </w:pPr>
            <w:r w:rsidRPr="00E21F43">
              <w:rPr>
                <w:rFonts w:cs="Arial"/>
                <w:bCs/>
                <w:sz w:val="21"/>
                <w:szCs w:val="21"/>
                <w:u w:val="single"/>
              </w:rPr>
              <w:t>Cum:</w:t>
            </w:r>
            <w:r w:rsidRPr="008F0BEB">
              <w:rPr>
                <w:rFonts w:cs="Arial"/>
                <w:bCs/>
                <w:sz w:val="21"/>
                <w:szCs w:val="21"/>
              </w:rPr>
              <w:t xml:space="preserve"> </w:t>
            </w:r>
            <w:r w:rsidRPr="00E21F43">
              <w:rPr>
                <w:rFonts w:cs="Arial"/>
                <w:bCs/>
                <w:sz w:val="21"/>
                <w:szCs w:val="21"/>
              </w:rPr>
              <w:t>71,305 CPHHs informed about type and location of basic services and other safety nets</w:t>
            </w:r>
          </w:p>
          <w:p w:rsidR="00DD73A9" w:rsidRPr="00E21F43" w:rsidRDefault="00DD73A9" w:rsidP="00494546">
            <w:pPr>
              <w:rPr>
                <w:rFonts w:cs="Arial"/>
                <w:bCs/>
                <w:sz w:val="21"/>
                <w:szCs w:val="21"/>
              </w:rPr>
            </w:pPr>
            <w:r>
              <w:rPr>
                <w:rFonts w:cs="Arial"/>
                <w:bCs/>
                <w:sz w:val="21"/>
                <w:szCs w:val="21"/>
                <w:u w:val="single"/>
              </w:rPr>
              <w:t>Annual</w:t>
            </w:r>
            <w:r w:rsidRPr="00E21F43">
              <w:rPr>
                <w:rFonts w:cs="Arial"/>
                <w:bCs/>
                <w:sz w:val="21"/>
                <w:szCs w:val="21"/>
                <w:u w:val="single"/>
              </w:rPr>
              <w:t>:</w:t>
            </w:r>
            <w:r w:rsidRPr="008F0BEB">
              <w:rPr>
                <w:rFonts w:cs="Arial"/>
                <w:bCs/>
                <w:sz w:val="21"/>
                <w:szCs w:val="21"/>
              </w:rPr>
              <w:t xml:space="preserve"> </w:t>
            </w:r>
            <w:r w:rsidRPr="00E21F43">
              <w:rPr>
                <w:rFonts w:cs="Arial"/>
                <w:bCs/>
                <w:sz w:val="21"/>
                <w:szCs w:val="21"/>
              </w:rPr>
              <w:t>6,769 CPHHs informed about type and location of basic services and other safety nets</w:t>
            </w:r>
          </w:p>
        </w:tc>
      </w:tr>
    </w:tbl>
    <w:p w:rsidR="009C18EB" w:rsidRDefault="00DD73A9" w:rsidP="009C18EB">
      <w:pPr>
        <w:spacing w:before="180" w:after="60"/>
        <w:jc w:val="both"/>
        <w:rPr>
          <w:rFonts w:cs="Arial"/>
          <w:b/>
          <w:bCs/>
          <w:sz w:val="22"/>
          <w:szCs w:val="22"/>
        </w:rPr>
      </w:pPr>
      <w:r w:rsidRPr="00F82D5D">
        <w:rPr>
          <w:rFonts w:cs="Arial"/>
          <w:b/>
          <w:bCs/>
          <w:sz w:val="22"/>
          <w:szCs w:val="22"/>
        </w:rPr>
        <w:t>Key Points</w:t>
      </w:r>
    </w:p>
    <w:p w:rsidR="00D227EF" w:rsidRPr="00D227EF" w:rsidRDefault="00D227EF" w:rsidP="00D227EF">
      <w:pPr>
        <w:pStyle w:val="ListParagraph"/>
        <w:numPr>
          <w:ilvl w:val="0"/>
          <w:numId w:val="36"/>
        </w:numPr>
        <w:spacing w:before="180" w:after="60"/>
        <w:ind w:left="284" w:hanging="284"/>
        <w:jc w:val="both"/>
        <w:rPr>
          <w:rFonts w:cs="Arial"/>
          <w:b/>
          <w:bCs/>
          <w:color w:val="FF0000"/>
          <w:sz w:val="22"/>
          <w:szCs w:val="22"/>
        </w:rPr>
      </w:pPr>
      <w:r w:rsidRPr="00D227EF">
        <w:rPr>
          <w:rFonts w:cs="Arial"/>
          <w:sz w:val="22"/>
          <w:szCs w:val="22"/>
        </w:rPr>
        <w:t xml:space="preserve">This output is scored as an ‘A’ despite progress against most of the milestone indicators exceeding expectations, as overall progress against the intent of this output, as captured in the output statement, </w:t>
      </w:r>
      <w:r w:rsidRPr="00D227EF">
        <w:rPr>
          <w:rFonts w:cs="Arial"/>
          <w:sz w:val="22"/>
          <w:szCs w:val="22"/>
        </w:rPr>
        <w:lastRenderedPageBreak/>
        <w:t>has fallen substantially short of  expectations. CLP has been diligent in making information available online but there is no plan to share knowledge more strategically. It is accessed only by those proactively seeking it.  There has also been insufficient effort to influence relevant government policy proactively.</w:t>
      </w:r>
    </w:p>
    <w:p w:rsidR="00F218CE" w:rsidRDefault="00DD73A9" w:rsidP="00F218CE">
      <w:pPr>
        <w:pStyle w:val="ListParagraph"/>
        <w:numPr>
          <w:ilvl w:val="0"/>
          <w:numId w:val="4"/>
        </w:numPr>
        <w:autoSpaceDE w:val="0"/>
        <w:autoSpaceDN w:val="0"/>
        <w:adjustRightInd w:val="0"/>
        <w:ind w:left="284" w:hanging="284"/>
        <w:rPr>
          <w:rFonts w:cs="Arial"/>
          <w:sz w:val="22"/>
          <w:szCs w:val="22"/>
        </w:rPr>
      </w:pPr>
      <w:r w:rsidRPr="008F0BEB">
        <w:rPr>
          <w:rFonts w:cs="Arial"/>
          <w:sz w:val="22"/>
          <w:szCs w:val="22"/>
        </w:rPr>
        <w:t>The involvement of other partners in the chars is a mixture of strategic planning and opportunism. The team has confirmed that the partnership work will be advanced this year.</w:t>
      </w:r>
    </w:p>
    <w:p w:rsidR="00DD73A9" w:rsidRPr="00F218CE" w:rsidRDefault="00DD73A9" w:rsidP="00F218CE">
      <w:pPr>
        <w:pStyle w:val="ListParagraph"/>
        <w:numPr>
          <w:ilvl w:val="0"/>
          <w:numId w:val="4"/>
        </w:numPr>
        <w:autoSpaceDE w:val="0"/>
        <w:autoSpaceDN w:val="0"/>
        <w:adjustRightInd w:val="0"/>
        <w:ind w:left="284" w:hanging="284"/>
        <w:rPr>
          <w:rFonts w:cs="Arial"/>
          <w:sz w:val="22"/>
          <w:szCs w:val="22"/>
        </w:rPr>
      </w:pPr>
      <w:r w:rsidRPr="00F218CE">
        <w:rPr>
          <w:rFonts w:cs="Arial"/>
          <w:sz w:val="22"/>
          <w:szCs w:val="22"/>
        </w:rPr>
        <w:t xml:space="preserve">The </w:t>
      </w:r>
      <w:r w:rsidR="00194720" w:rsidRPr="00F218CE">
        <w:rPr>
          <w:rFonts w:cs="Arial"/>
          <w:sz w:val="22"/>
          <w:szCs w:val="22"/>
        </w:rPr>
        <w:t xml:space="preserve">health and </w:t>
      </w:r>
      <w:r w:rsidRPr="00F218CE">
        <w:rPr>
          <w:rFonts w:cs="Arial"/>
          <w:sz w:val="22"/>
          <w:szCs w:val="22"/>
        </w:rPr>
        <w:t>education target</w:t>
      </w:r>
      <w:r w:rsidR="003C3688">
        <w:rPr>
          <w:rFonts w:cs="Arial"/>
          <w:sz w:val="22"/>
          <w:szCs w:val="22"/>
        </w:rPr>
        <w:t>s have</w:t>
      </w:r>
      <w:r w:rsidRPr="00F218CE">
        <w:rPr>
          <w:rFonts w:cs="Arial"/>
          <w:sz w:val="22"/>
          <w:szCs w:val="22"/>
        </w:rPr>
        <w:t xml:space="preserve"> not been met in part due to the absence of a Partnerships Director.</w:t>
      </w:r>
      <w:r w:rsidR="00194720" w:rsidRPr="00F218CE">
        <w:rPr>
          <w:rFonts w:cs="Arial"/>
          <w:sz w:val="22"/>
          <w:szCs w:val="22"/>
        </w:rPr>
        <w:t xml:space="preserve"> </w:t>
      </w:r>
    </w:p>
    <w:p w:rsidR="00DD73A9" w:rsidRPr="00F82D5D" w:rsidRDefault="00DD73A9" w:rsidP="00C821A4">
      <w:pPr>
        <w:spacing w:before="240" w:after="120"/>
        <w:jc w:val="both"/>
        <w:rPr>
          <w:rFonts w:cs="Arial"/>
          <w:b/>
          <w:bCs/>
          <w:sz w:val="22"/>
          <w:szCs w:val="22"/>
        </w:rPr>
      </w:pPr>
      <w:r w:rsidRPr="00F82D5D">
        <w:rPr>
          <w:rFonts w:cs="Arial"/>
          <w:b/>
          <w:bCs/>
          <w:sz w:val="22"/>
          <w:szCs w:val="22"/>
        </w:rPr>
        <w:t xml:space="preserve">Summary of responses to issues raised in previous annual reviews (where relevant)  </w:t>
      </w:r>
    </w:p>
    <w:p w:rsidR="00DD73A9" w:rsidRDefault="00DD73A9" w:rsidP="00C81F2D">
      <w:pPr>
        <w:pStyle w:val="ListParagraph"/>
        <w:numPr>
          <w:ilvl w:val="0"/>
          <w:numId w:val="4"/>
        </w:numPr>
        <w:autoSpaceDE w:val="0"/>
        <w:autoSpaceDN w:val="0"/>
        <w:adjustRightInd w:val="0"/>
        <w:ind w:left="284" w:hanging="284"/>
        <w:rPr>
          <w:rFonts w:cs="Arial"/>
          <w:bCs/>
          <w:sz w:val="22"/>
          <w:szCs w:val="22"/>
        </w:rPr>
      </w:pPr>
      <w:r>
        <w:rPr>
          <w:rFonts w:cs="Arial"/>
          <w:bCs/>
          <w:sz w:val="22"/>
          <w:szCs w:val="22"/>
        </w:rPr>
        <w:t xml:space="preserve">All </w:t>
      </w:r>
      <w:r w:rsidRPr="00C81F2D">
        <w:rPr>
          <w:rFonts w:cs="Arial"/>
          <w:sz w:val="22"/>
          <w:szCs w:val="22"/>
        </w:rPr>
        <w:t>IMOs</w:t>
      </w:r>
      <w:r>
        <w:rPr>
          <w:rFonts w:cs="Arial"/>
          <w:bCs/>
          <w:sz w:val="22"/>
          <w:szCs w:val="22"/>
        </w:rPr>
        <w:t xml:space="preserve"> received training. bKash is being used for financial transactions other than the stipend but is limited to financial transactions. The partnership work on health, education and legal services has not moved forward.</w:t>
      </w:r>
    </w:p>
    <w:p w:rsidR="00DD73A9" w:rsidRPr="00F82D5D" w:rsidRDefault="00DD73A9" w:rsidP="00C821A4">
      <w:pPr>
        <w:spacing w:before="240" w:after="120"/>
        <w:jc w:val="both"/>
        <w:rPr>
          <w:rFonts w:cs="Arial"/>
          <w:b/>
          <w:bCs/>
          <w:sz w:val="22"/>
          <w:szCs w:val="22"/>
        </w:rPr>
      </w:pPr>
      <w:r w:rsidRPr="00F82D5D">
        <w:rPr>
          <w:rFonts w:cs="Arial"/>
          <w:b/>
          <w:bCs/>
          <w:sz w:val="22"/>
          <w:szCs w:val="22"/>
        </w:rPr>
        <w:t>Recommendations</w:t>
      </w:r>
    </w:p>
    <w:p w:rsidR="00DD73A9" w:rsidRPr="00CD357C" w:rsidRDefault="00DD73A9" w:rsidP="00C81F2D">
      <w:pPr>
        <w:pStyle w:val="ListParagraph"/>
        <w:numPr>
          <w:ilvl w:val="0"/>
          <w:numId w:val="21"/>
        </w:numPr>
        <w:spacing w:after="60"/>
        <w:ind w:left="510" w:hanging="510"/>
        <w:contextualSpacing w:val="0"/>
        <w:rPr>
          <w:rFonts w:cs="Arial"/>
          <w:bCs/>
          <w:sz w:val="22"/>
          <w:szCs w:val="22"/>
        </w:rPr>
      </w:pPr>
      <w:r w:rsidRPr="00CD357C">
        <w:rPr>
          <w:rFonts w:cs="Arial"/>
          <w:bCs/>
          <w:sz w:val="22"/>
          <w:szCs w:val="22"/>
        </w:rPr>
        <w:t>CLP</w:t>
      </w:r>
      <w:r w:rsidR="00A87631" w:rsidRPr="00CD357C">
        <w:rPr>
          <w:rFonts w:cs="Arial"/>
          <w:bCs/>
          <w:sz w:val="22"/>
          <w:szCs w:val="22"/>
        </w:rPr>
        <w:t xml:space="preserve"> in consultation with DFID review </w:t>
      </w:r>
      <w:r w:rsidR="009D2CE9" w:rsidRPr="00CD357C">
        <w:rPr>
          <w:rFonts w:cs="Arial"/>
          <w:bCs/>
          <w:sz w:val="22"/>
          <w:szCs w:val="22"/>
        </w:rPr>
        <w:t>its</w:t>
      </w:r>
      <w:r w:rsidRPr="00CD357C">
        <w:rPr>
          <w:rFonts w:cs="Arial"/>
          <w:bCs/>
          <w:sz w:val="22"/>
          <w:szCs w:val="22"/>
        </w:rPr>
        <w:t xml:space="preserve"> current communications strategy </w:t>
      </w:r>
      <w:r w:rsidR="00A87631" w:rsidRPr="00CD357C">
        <w:rPr>
          <w:rFonts w:cs="Arial"/>
          <w:bCs/>
          <w:sz w:val="22"/>
          <w:szCs w:val="22"/>
        </w:rPr>
        <w:t xml:space="preserve">and develop a strategic communication plan </w:t>
      </w:r>
      <w:r w:rsidR="006D0320" w:rsidRPr="00CD357C">
        <w:rPr>
          <w:rFonts w:cs="Arial"/>
          <w:bCs/>
          <w:sz w:val="22"/>
          <w:szCs w:val="22"/>
        </w:rPr>
        <w:t>(including</w:t>
      </w:r>
      <w:r w:rsidR="00A87631" w:rsidRPr="00CD357C">
        <w:rPr>
          <w:rFonts w:cs="Arial"/>
          <w:bCs/>
          <w:sz w:val="22"/>
          <w:szCs w:val="22"/>
        </w:rPr>
        <w:t xml:space="preserve"> stronger online presence and targeted lobbying) by</w:t>
      </w:r>
      <w:r w:rsidR="00A93795">
        <w:rPr>
          <w:rFonts w:cs="Arial"/>
          <w:bCs/>
          <w:sz w:val="22"/>
          <w:szCs w:val="22"/>
        </w:rPr>
        <w:t xml:space="preserve"> </w:t>
      </w:r>
      <w:r w:rsidR="007059EE">
        <w:rPr>
          <w:rFonts w:cs="Arial"/>
          <w:bCs/>
          <w:sz w:val="22"/>
          <w:szCs w:val="22"/>
        </w:rPr>
        <w:t xml:space="preserve">April 2015 to </w:t>
      </w:r>
      <w:r w:rsidR="00A87631" w:rsidRPr="00CD357C">
        <w:rPr>
          <w:rFonts w:cs="Arial"/>
          <w:bCs/>
          <w:sz w:val="22"/>
          <w:szCs w:val="22"/>
        </w:rPr>
        <w:t>influence policy over the next 12 months</w:t>
      </w:r>
      <w:r w:rsidRPr="00CD357C">
        <w:rPr>
          <w:rFonts w:cs="Arial"/>
          <w:bCs/>
          <w:sz w:val="22"/>
          <w:szCs w:val="22"/>
        </w:rPr>
        <w:t xml:space="preserve">. </w:t>
      </w:r>
    </w:p>
    <w:p w:rsidR="00A10A42" w:rsidRDefault="00D1553A" w:rsidP="00C81F2D">
      <w:pPr>
        <w:pStyle w:val="ListParagraph"/>
        <w:numPr>
          <w:ilvl w:val="0"/>
          <w:numId w:val="21"/>
        </w:numPr>
        <w:spacing w:after="60"/>
        <w:ind w:left="510" w:hanging="510"/>
        <w:contextualSpacing w:val="0"/>
        <w:rPr>
          <w:rFonts w:cs="Arial"/>
          <w:bCs/>
          <w:sz w:val="22"/>
          <w:szCs w:val="22"/>
        </w:rPr>
      </w:pPr>
      <w:r w:rsidRPr="00A93795">
        <w:rPr>
          <w:rFonts w:cs="Arial"/>
          <w:bCs/>
          <w:sz w:val="22"/>
          <w:szCs w:val="22"/>
        </w:rPr>
        <w:t xml:space="preserve">CLP to agree with DFID by April 2015 the prioritised role of the Partnership Director. </w:t>
      </w:r>
      <w:r w:rsidR="00DD73A9" w:rsidRPr="00C81F2D">
        <w:rPr>
          <w:rFonts w:cs="Arial"/>
          <w:bCs/>
          <w:sz w:val="22"/>
          <w:szCs w:val="22"/>
        </w:rPr>
        <w:t>Ensure that efforts of the Partnership Director are concentrated on improving the sustainability of CLP interventions either through existing or new partnerships. This includes working with relevant stakeholders – potential providers</w:t>
      </w:r>
      <w:r>
        <w:rPr>
          <w:rFonts w:cs="Arial"/>
          <w:bCs/>
          <w:sz w:val="22"/>
          <w:szCs w:val="22"/>
        </w:rPr>
        <w:t xml:space="preserve"> </w:t>
      </w:r>
      <w:r w:rsidR="00633430">
        <w:rPr>
          <w:rFonts w:cs="Arial"/>
          <w:bCs/>
          <w:sz w:val="22"/>
          <w:szCs w:val="22"/>
        </w:rPr>
        <w:t>(GoB</w:t>
      </w:r>
      <w:r>
        <w:rPr>
          <w:rFonts w:cs="Arial"/>
          <w:bCs/>
          <w:sz w:val="22"/>
          <w:szCs w:val="22"/>
        </w:rPr>
        <w:t xml:space="preserve">, BRAC, other NGOs) </w:t>
      </w:r>
      <w:r w:rsidR="00DD73A9" w:rsidRPr="00C81F2D">
        <w:rPr>
          <w:rFonts w:cs="Arial"/>
          <w:bCs/>
          <w:sz w:val="22"/>
          <w:szCs w:val="22"/>
        </w:rPr>
        <w:t xml:space="preserve">as well as DFID and DFAT - to progress the provision of </w:t>
      </w:r>
      <w:r w:rsidR="00DD73A9" w:rsidRPr="00A93795">
        <w:rPr>
          <w:rFonts w:cs="Arial"/>
          <w:bCs/>
          <w:sz w:val="22"/>
          <w:szCs w:val="22"/>
        </w:rPr>
        <w:t xml:space="preserve">education in the Chars. </w:t>
      </w:r>
    </w:p>
    <w:p w:rsidR="00265145" w:rsidRDefault="00265145" w:rsidP="00A10A42">
      <w:pPr>
        <w:pStyle w:val="ListParagraph"/>
        <w:spacing w:after="60"/>
        <w:ind w:left="510"/>
        <w:contextualSpacing w:val="0"/>
        <w:rPr>
          <w:rFonts w:cs="Arial"/>
          <w:bCs/>
          <w:sz w:val="22"/>
          <w:szCs w:val="22"/>
        </w:rPr>
      </w:pPr>
    </w:p>
    <w:p w:rsidR="00265145" w:rsidRDefault="00265145" w:rsidP="00A10A42">
      <w:pPr>
        <w:pStyle w:val="ListParagraph"/>
        <w:spacing w:after="60"/>
        <w:ind w:left="510"/>
        <w:contextualSpacing w:val="0"/>
        <w:rPr>
          <w:rFonts w:cs="Arial"/>
          <w:bCs/>
          <w:sz w:val="22"/>
          <w:szCs w:val="22"/>
        </w:rPr>
      </w:pPr>
    </w:p>
    <w:tbl>
      <w:tblPr>
        <w:tblStyle w:val="TableGrid"/>
        <w:tblW w:w="10490" w:type="dxa"/>
        <w:tblLook w:val="04A0" w:firstRow="1" w:lastRow="0" w:firstColumn="1" w:lastColumn="0" w:noHBand="0" w:noVBand="1"/>
      </w:tblPr>
      <w:tblGrid>
        <w:gridCol w:w="1679"/>
        <w:gridCol w:w="1514"/>
        <w:gridCol w:w="1977"/>
        <w:gridCol w:w="3055"/>
        <w:gridCol w:w="2265"/>
      </w:tblGrid>
      <w:tr w:rsidR="00170714" w:rsidRPr="00F82D5D" w:rsidTr="008F0BEB">
        <w:trPr>
          <w:trHeight w:val="353"/>
        </w:trPr>
        <w:tc>
          <w:tcPr>
            <w:tcW w:w="1679" w:type="dxa"/>
            <w:shd w:val="clear" w:color="auto" w:fill="DBE5F1" w:themeFill="accent1" w:themeFillTint="33"/>
            <w:tcMar>
              <w:top w:w="57" w:type="dxa"/>
              <w:left w:w="57" w:type="dxa"/>
              <w:bottom w:w="57" w:type="dxa"/>
              <w:right w:w="57" w:type="dxa"/>
            </w:tcMar>
          </w:tcPr>
          <w:p w:rsidR="00170714" w:rsidRPr="00F82D5D" w:rsidRDefault="00170714" w:rsidP="00F50263">
            <w:pPr>
              <w:rPr>
                <w:b/>
                <w:bCs/>
                <w:sz w:val="22"/>
                <w:szCs w:val="22"/>
              </w:rPr>
            </w:pPr>
            <w:r w:rsidRPr="00F82D5D">
              <w:rPr>
                <w:b/>
                <w:bCs/>
                <w:sz w:val="22"/>
                <w:szCs w:val="22"/>
              </w:rPr>
              <w:t xml:space="preserve">Output Title </w:t>
            </w:r>
          </w:p>
        </w:tc>
        <w:tc>
          <w:tcPr>
            <w:tcW w:w="8811" w:type="dxa"/>
            <w:gridSpan w:val="4"/>
            <w:shd w:val="clear" w:color="auto" w:fill="FFFFFF" w:themeFill="background1"/>
            <w:tcMar>
              <w:top w:w="57" w:type="dxa"/>
              <w:left w:w="57" w:type="dxa"/>
              <w:bottom w:w="57" w:type="dxa"/>
              <w:right w:w="57" w:type="dxa"/>
            </w:tcMar>
          </w:tcPr>
          <w:p w:rsidR="00170714" w:rsidRPr="0011578C" w:rsidRDefault="00170714" w:rsidP="00F50263">
            <w:pPr>
              <w:rPr>
                <w:b/>
                <w:bCs/>
                <w:color w:val="FF0000"/>
                <w:sz w:val="22"/>
                <w:szCs w:val="22"/>
              </w:rPr>
            </w:pPr>
            <w:r w:rsidRPr="0011578C">
              <w:rPr>
                <w:b/>
                <w:bCs/>
                <w:sz w:val="22"/>
                <w:szCs w:val="22"/>
              </w:rPr>
              <w:t>Improved nutrition practices among targeted mothers and adolescent girls</w:t>
            </w:r>
          </w:p>
        </w:tc>
      </w:tr>
      <w:tr w:rsidR="00170714" w:rsidRPr="00F82D5D" w:rsidTr="008F0BEB">
        <w:trPr>
          <w:trHeight w:val="303"/>
        </w:trPr>
        <w:tc>
          <w:tcPr>
            <w:tcW w:w="3193" w:type="dxa"/>
            <w:gridSpan w:val="2"/>
            <w:shd w:val="clear" w:color="auto" w:fill="DBE5F1" w:themeFill="accent1" w:themeFillTint="33"/>
            <w:tcMar>
              <w:top w:w="57" w:type="dxa"/>
              <w:left w:w="57" w:type="dxa"/>
              <w:bottom w:w="57" w:type="dxa"/>
              <w:right w:w="57" w:type="dxa"/>
            </w:tcMar>
          </w:tcPr>
          <w:p w:rsidR="00170714" w:rsidRPr="00F82D5D" w:rsidRDefault="00170714" w:rsidP="00F50263">
            <w:pPr>
              <w:rPr>
                <w:bCs/>
                <w:sz w:val="22"/>
                <w:szCs w:val="22"/>
              </w:rPr>
            </w:pPr>
            <w:r w:rsidRPr="00F82D5D">
              <w:rPr>
                <w:bCs/>
                <w:sz w:val="22"/>
                <w:szCs w:val="22"/>
              </w:rPr>
              <w:t>Output number per LF</w:t>
            </w:r>
          </w:p>
        </w:tc>
        <w:tc>
          <w:tcPr>
            <w:tcW w:w="1977" w:type="dxa"/>
            <w:tcMar>
              <w:top w:w="57" w:type="dxa"/>
              <w:left w:w="57" w:type="dxa"/>
              <w:bottom w:w="57" w:type="dxa"/>
              <w:right w:w="57" w:type="dxa"/>
            </w:tcMar>
          </w:tcPr>
          <w:p w:rsidR="00170714" w:rsidRPr="0046232B" w:rsidRDefault="00170714" w:rsidP="00F50263">
            <w:pPr>
              <w:rPr>
                <w:sz w:val="22"/>
                <w:szCs w:val="22"/>
              </w:rPr>
            </w:pPr>
            <w:r>
              <w:rPr>
                <w:sz w:val="22"/>
                <w:szCs w:val="22"/>
              </w:rPr>
              <w:t>6</w:t>
            </w:r>
          </w:p>
        </w:tc>
        <w:tc>
          <w:tcPr>
            <w:tcW w:w="3055" w:type="dxa"/>
            <w:shd w:val="clear" w:color="auto" w:fill="DBE5F1" w:themeFill="accent1" w:themeFillTint="33"/>
            <w:tcMar>
              <w:top w:w="57" w:type="dxa"/>
              <w:left w:w="57" w:type="dxa"/>
              <w:bottom w:w="57" w:type="dxa"/>
              <w:right w:w="57" w:type="dxa"/>
            </w:tcMar>
          </w:tcPr>
          <w:p w:rsidR="00170714" w:rsidRPr="0046232B" w:rsidRDefault="00170714" w:rsidP="00F50263">
            <w:pPr>
              <w:rPr>
                <w:b/>
                <w:sz w:val="22"/>
                <w:szCs w:val="22"/>
              </w:rPr>
            </w:pPr>
            <w:r w:rsidRPr="00F82D5D">
              <w:rPr>
                <w:b/>
                <w:bCs/>
                <w:sz w:val="22"/>
                <w:szCs w:val="22"/>
              </w:rPr>
              <w:t xml:space="preserve">Output Score </w:t>
            </w:r>
          </w:p>
        </w:tc>
        <w:tc>
          <w:tcPr>
            <w:tcW w:w="2265" w:type="dxa"/>
            <w:tcMar>
              <w:top w:w="57" w:type="dxa"/>
              <w:left w:w="57" w:type="dxa"/>
              <w:bottom w:w="57" w:type="dxa"/>
              <w:right w:w="57" w:type="dxa"/>
            </w:tcMar>
          </w:tcPr>
          <w:p w:rsidR="00170714" w:rsidRPr="00C81F2D" w:rsidRDefault="00170714" w:rsidP="00153F1A">
            <w:pPr>
              <w:rPr>
                <w:b/>
                <w:bCs/>
                <w:i/>
                <w:color w:val="FF0000"/>
              </w:rPr>
            </w:pPr>
            <w:r w:rsidRPr="00C81F2D">
              <w:rPr>
                <w:b/>
                <w:bCs/>
                <w:i/>
                <w:color w:val="FF0000"/>
              </w:rPr>
              <w:t>A</w:t>
            </w:r>
            <w:r w:rsidR="00153F1A">
              <w:rPr>
                <w:b/>
                <w:bCs/>
                <w:i/>
                <w:color w:val="FF0000"/>
              </w:rPr>
              <w:t>+</w:t>
            </w:r>
          </w:p>
        </w:tc>
      </w:tr>
      <w:tr w:rsidR="00170714" w:rsidRPr="00F82D5D" w:rsidTr="008F0BEB">
        <w:trPr>
          <w:trHeight w:val="308"/>
        </w:trPr>
        <w:tc>
          <w:tcPr>
            <w:tcW w:w="3193" w:type="dxa"/>
            <w:gridSpan w:val="2"/>
            <w:shd w:val="clear" w:color="auto" w:fill="DBE5F1" w:themeFill="accent1" w:themeFillTint="33"/>
            <w:tcMar>
              <w:top w:w="57" w:type="dxa"/>
              <w:left w:w="57" w:type="dxa"/>
              <w:bottom w:w="57" w:type="dxa"/>
              <w:right w:w="57" w:type="dxa"/>
            </w:tcMar>
          </w:tcPr>
          <w:p w:rsidR="00170714" w:rsidRPr="0046232B" w:rsidRDefault="00170714" w:rsidP="00F50263">
            <w:pPr>
              <w:rPr>
                <w:sz w:val="22"/>
                <w:szCs w:val="22"/>
              </w:rPr>
            </w:pPr>
            <w:r w:rsidRPr="00F82D5D">
              <w:rPr>
                <w:bCs/>
                <w:sz w:val="22"/>
                <w:szCs w:val="22"/>
              </w:rPr>
              <w:t xml:space="preserve">Risk:  </w:t>
            </w:r>
          </w:p>
        </w:tc>
        <w:tc>
          <w:tcPr>
            <w:tcW w:w="1977" w:type="dxa"/>
            <w:tcMar>
              <w:top w:w="57" w:type="dxa"/>
              <w:left w:w="57" w:type="dxa"/>
              <w:bottom w:w="57" w:type="dxa"/>
              <w:right w:w="57" w:type="dxa"/>
            </w:tcMar>
          </w:tcPr>
          <w:p w:rsidR="00170714" w:rsidRPr="00F1590B" w:rsidRDefault="005A3807" w:rsidP="00F50263">
            <w:pPr>
              <w:rPr>
                <w:bCs/>
                <w:sz w:val="22"/>
                <w:szCs w:val="22"/>
              </w:rPr>
            </w:pPr>
            <w:r w:rsidRPr="00F1590B">
              <w:rPr>
                <w:bCs/>
                <w:sz w:val="22"/>
                <w:szCs w:val="22"/>
              </w:rPr>
              <w:t xml:space="preserve">High </w:t>
            </w:r>
          </w:p>
        </w:tc>
        <w:tc>
          <w:tcPr>
            <w:tcW w:w="3055" w:type="dxa"/>
            <w:shd w:val="clear" w:color="auto" w:fill="DBE5F1" w:themeFill="accent1" w:themeFillTint="33"/>
            <w:tcMar>
              <w:top w:w="57" w:type="dxa"/>
              <w:left w:w="57" w:type="dxa"/>
              <w:bottom w:w="57" w:type="dxa"/>
              <w:right w:w="57" w:type="dxa"/>
            </w:tcMar>
          </w:tcPr>
          <w:p w:rsidR="00170714" w:rsidRPr="00F82D5D" w:rsidRDefault="00170714" w:rsidP="00F50263">
            <w:pPr>
              <w:rPr>
                <w:bCs/>
                <w:sz w:val="22"/>
                <w:szCs w:val="22"/>
              </w:rPr>
            </w:pPr>
            <w:r w:rsidRPr="00F82D5D">
              <w:rPr>
                <w:bCs/>
                <w:sz w:val="22"/>
                <w:szCs w:val="22"/>
              </w:rPr>
              <w:t>Impact weighting (%):</w:t>
            </w:r>
          </w:p>
        </w:tc>
        <w:tc>
          <w:tcPr>
            <w:tcW w:w="2265" w:type="dxa"/>
            <w:tcMar>
              <w:top w:w="57" w:type="dxa"/>
              <w:left w:w="57" w:type="dxa"/>
              <w:bottom w:w="57" w:type="dxa"/>
              <w:right w:w="57" w:type="dxa"/>
            </w:tcMar>
          </w:tcPr>
          <w:p w:rsidR="00170714" w:rsidRPr="0046232B" w:rsidRDefault="00170714" w:rsidP="00F50263">
            <w:pPr>
              <w:rPr>
                <w:sz w:val="22"/>
                <w:szCs w:val="22"/>
              </w:rPr>
            </w:pPr>
            <w:r>
              <w:rPr>
                <w:sz w:val="22"/>
                <w:szCs w:val="22"/>
              </w:rPr>
              <w:t>10</w:t>
            </w:r>
          </w:p>
        </w:tc>
      </w:tr>
      <w:tr w:rsidR="00170714" w:rsidRPr="00F82D5D" w:rsidTr="008F0BEB">
        <w:tc>
          <w:tcPr>
            <w:tcW w:w="3193" w:type="dxa"/>
            <w:gridSpan w:val="2"/>
            <w:shd w:val="clear" w:color="auto" w:fill="DBE5F1" w:themeFill="accent1" w:themeFillTint="33"/>
            <w:tcMar>
              <w:top w:w="57" w:type="dxa"/>
              <w:left w:w="57" w:type="dxa"/>
              <w:bottom w:w="57" w:type="dxa"/>
              <w:right w:w="57" w:type="dxa"/>
            </w:tcMar>
          </w:tcPr>
          <w:p w:rsidR="00170714" w:rsidRPr="0046232B" w:rsidRDefault="00170714" w:rsidP="00F50263">
            <w:pPr>
              <w:rPr>
                <w:sz w:val="22"/>
                <w:szCs w:val="22"/>
              </w:rPr>
            </w:pPr>
            <w:r w:rsidRPr="00F82D5D">
              <w:rPr>
                <w:bCs/>
                <w:sz w:val="22"/>
                <w:szCs w:val="22"/>
              </w:rPr>
              <w:t xml:space="preserve">Risk revised since last AR? </w:t>
            </w:r>
          </w:p>
        </w:tc>
        <w:tc>
          <w:tcPr>
            <w:tcW w:w="1977" w:type="dxa"/>
            <w:tcMar>
              <w:top w:w="57" w:type="dxa"/>
              <w:left w:w="57" w:type="dxa"/>
              <w:bottom w:w="57" w:type="dxa"/>
              <w:right w:w="57" w:type="dxa"/>
            </w:tcMar>
          </w:tcPr>
          <w:p w:rsidR="00170714" w:rsidRPr="00F1590B" w:rsidRDefault="005A3807" w:rsidP="00F50263">
            <w:pPr>
              <w:rPr>
                <w:b/>
                <w:sz w:val="22"/>
                <w:szCs w:val="22"/>
              </w:rPr>
            </w:pPr>
            <w:r w:rsidRPr="00F1590B">
              <w:rPr>
                <w:bCs/>
                <w:sz w:val="22"/>
                <w:szCs w:val="22"/>
              </w:rPr>
              <w:t>Yes ( increased from medium)</w:t>
            </w:r>
          </w:p>
          <w:p w:rsidR="00170714" w:rsidRPr="00F1590B" w:rsidRDefault="00170714" w:rsidP="00F50263">
            <w:pPr>
              <w:rPr>
                <w:b/>
                <w:sz w:val="22"/>
                <w:szCs w:val="22"/>
              </w:rPr>
            </w:pPr>
          </w:p>
        </w:tc>
        <w:tc>
          <w:tcPr>
            <w:tcW w:w="3055" w:type="dxa"/>
            <w:shd w:val="clear" w:color="auto" w:fill="DBE5F1" w:themeFill="accent1" w:themeFillTint="33"/>
            <w:tcMar>
              <w:top w:w="57" w:type="dxa"/>
              <w:left w:w="57" w:type="dxa"/>
              <w:bottom w:w="57" w:type="dxa"/>
              <w:right w:w="57" w:type="dxa"/>
            </w:tcMar>
          </w:tcPr>
          <w:p w:rsidR="00170714" w:rsidRPr="00F82D5D" w:rsidRDefault="00170714" w:rsidP="00F50263">
            <w:pPr>
              <w:rPr>
                <w:bCs/>
                <w:sz w:val="22"/>
                <w:szCs w:val="22"/>
              </w:rPr>
            </w:pPr>
            <w:r w:rsidRPr="00F82D5D">
              <w:rPr>
                <w:bCs/>
                <w:sz w:val="22"/>
                <w:szCs w:val="22"/>
              </w:rPr>
              <w:t xml:space="preserve">Impact weighting % revised since last AR? </w:t>
            </w:r>
          </w:p>
        </w:tc>
        <w:tc>
          <w:tcPr>
            <w:tcW w:w="2265" w:type="dxa"/>
            <w:tcMar>
              <w:top w:w="57" w:type="dxa"/>
              <w:left w:w="57" w:type="dxa"/>
              <w:bottom w:w="57" w:type="dxa"/>
              <w:right w:w="57" w:type="dxa"/>
            </w:tcMar>
          </w:tcPr>
          <w:p w:rsidR="00170714" w:rsidRPr="00D35D85" w:rsidRDefault="00D35D85" w:rsidP="00F50263">
            <w:pPr>
              <w:rPr>
                <w:bCs/>
                <w:sz w:val="22"/>
                <w:szCs w:val="22"/>
              </w:rPr>
            </w:pPr>
            <w:r w:rsidRPr="00D35D85">
              <w:rPr>
                <w:bCs/>
                <w:sz w:val="22"/>
                <w:szCs w:val="22"/>
              </w:rPr>
              <w:t>Yes (from 5%)</w:t>
            </w:r>
          </w:p>
          <w:p w:rsidR="00170714" w:rsidRPr="0046232B" w:rsidRDefault="00170714" w:rsidP="00F50263">
            <w:pPr>
              <w:rPr>
                <w:sz w:val="22"/>
                <w:szCs w:val="22"/>
              </w:rPr>
            </w:pPr>
          </w:p>
        </w:tc>
      </w:tr>
    </w:tbl>
    <w:p w:rsidR="00170714" w:rsidRDefault="00170714" w:rsidP="00170714">
      <w:pPr>
        <w:rPr>
          <w:bCs/>
          <w:sz w:val="22"/>
          <w:szCs w:val="22"/>
        </w:rPr>
      </w:pPr>
    </w:p>
    <w:tbl>
      <w:tblPr>
        <w:tblStyle w:val="TableGrid"/>
        <w:tblW w:w="10456" w:type="dxa"/>
        <w:tblLook w:val="04A0" w:firstRow="1" w:lastRow="0" w:firstColumn="1" w:lastColumn="0" w:noHBand="0" w:noVBand="1"/>
      </w:tblPr>
      <w:tblGrid>
        <w:gridCol w:w="3510"/>
        <w:gridCol w:w="3473"/>
        <w:gridCol w:w="3473"/>
      </w:tblGrid>
      <w:tr w:rsidR="00170714" w:rsidRPr="008F0BEB" w:rsidTr="004619B9">
        <w:trPr>
          <w:trHeight w:val="273"/>
        </w:trPr>
        <w:tc>
          <w:tcPr>
            <w:tcW w:w="3510" w:type="dxa"/>
            <w:shd w:val="clear" w:color="auto" w:fill="DBE5F1" w:themeFill="accent1" w:themeFillTint="33"/>
            <w:tcMar>
              <w:top w:w="57" w:type="dxa"/>
              <w:left w:w="57" w:type="dxa"/>
              <w:bottom w:w="57" w:type="dxa"/>
              <w:right w:w="57" w:type="dxa"/>
            </w:tcMar>
          </w:tcPr>
          <w:p w:rsidR="00170714" w:rsidRPr="008F0BEB" w:rsidRDefault="00170714" w:rsidP="004619B9">
            <w:pPr>
              <w:rPr>
                <w:b/>
                <w:bCs/>
                <w:sz w:val="21"/>
                <w:szCs w:val="21"/>
              </w:rPr>
            </w:pPr>
            <w:r w:rsidRPr="008F0BEB">
              <w:rPr>
                <w:b/>
                <w:bCs/>
                <w:sz w:val="21"/>
                <w:szCs w:val="21"/>
              </w:rPr>
              <w:t>Indicator(s)</w:t>
            </w:r>
          </w:p>
        </w:tc>
        <w:tc>
          <w:tcPr>
            <w:tcW w:w="3473" w:type="dxa"/>
            <w:shd w:val="clear" w:color="auto" w:fill="DBE5F1" w:themeFill="accent1" w:themeFillTint="33"/>
            <w:tcMar>
              <w:top w:w="57" w:type="dxa"/>
              <w:left w:w="57" w:type="dxa"/>
              <w:bottom w:w="57" w:type="dxa"/>
              <w:right w:w="57" w:type="dxa"/>
            </w:tcMar>
          </w:tcPr>
          <w:p w:rsidR="00170714" w:rsidRPr="008F0BEB" w:rsidRDefault="00170714" w:rsidP="004619B9">
            <w:pPr>
              <w:rPr>
                <w:b/>
                <w:bCs/>
                <w:sz w:val="21"/>
                <w:szCs w:val="21"/>
              </w:rPr>
            </w:pPr>
            <w:r w:rsidRPr="008F0BEB">
              <w:rPr>
                <w:b/>
                <w:bCs/>
                <w:sz w:val="21"/>
                <w:szCs w:val="21"/>
              </w:rPr>
              <w:t>Milestones</w:t>
            </w:r>
          </w:p>
        </w:tc>
        <w:tc>
          <w:tcPr>
            <w:tcW w:w="3473" w:type="dxa"/>
            <w:shd w:val="clear" w:color="auto" w:fill="DBE5F1" w:themeFill="accent1" w:themeFillTint="33"/>
            <w:tcMar>
              <w:top w:w="57" w:type="dxa"/>
              <w:left w:w="57" w:type="dxa"/>
              <w:bottom w:w="57" w:type="dxa"/>
              <w:right w:w="57" w:type="dxa"/>
            </w:tcMar>
          </w:tcPr>
          <w:p w:rsidR="00170714" w:rsidRPr="008F0BEB" w:rsidRDefault="00170714" w:rsidP="004619B9">
            <w:pPr>
              <w:rPr>
                <w:b/>
                <w:bCs/>
                <w:sz w:val="21"/>
                <w:szCs w:val="21"/>
              </w:rPr>
            </w:pPr>
            <w:r w:rsidRPr="008F0BEB">
              <w:rPr>
                <w:b/>
                <w:bCs/>
                <w:sz w:val="21"/>
                <w:szCs w:val="21"/>
              </w:rPr>
              <w:t>Progress (as at 31/12/14)</w:t>
            </w:r>
          </w:p>
        </w:tc>
      </w:tr>
      <w:tr w:rsidR="00170714" w:rsidRPr="008F0BEB" w:rsidTr="004619B9">
        <w:tc>
          <w:tcPr>
            <w:tcW w:w="3510" w:type="dxa"/>
            <w:tcMar>
              <w:top w:w="57" w:type="dxa"/>
              <w:left w:w="57" w:type="dxa"/>
              <w:bottom w:w="57" w:type="dxa"/>
              <w:right w:w="57" w:type="dxa"/>
            </w:tcMar>
          </w:tcPr>
          <w:p w:rsidR="00170714" w:rsidRPr="00557986" w:rsidRDefault="00170714" w:rsidP="004619B9">
            <w:pPr>
              <w:rPr>
                <w:bCs/>
                <w:sz w:val="21"/>
                <w:szCs w:val="21"/>
              </w:rPr>
            </w:pPr>
            <w:r w:rsidRPr="008F0BEB">
              <w:rPr>
                <w:bCs/>
                <w:sz w:val="21"/>
                <w:szCs w:val="21"/>
              </w:rPr>
              <w:t xml:space="preserve">6.1 </w:t>
            </w:r>
            <w:r w:rsidRPr="008F0BEB">
              <w:rPr>
                <w:sz w:val="21"/>
                <w:szCs w:val="21"/>
              </w:rPr>
              <w:t>%</w:t>
            </w:r>
            <w:r w:rsidRPr="008F0BEB">
              <w:rPr>
                <w:bCs/>
                <w:sz w:val="21"/>
                <w:szCs w:val="21"/>
              </w:rPr>
              <w:t xml:space="preserve"> of targeted lactating mothers of infants 0 - 6 months receive counselling on exclusive breastfeeding</w:t>
            </w:r>
            <w:r w:rsidR="00EB49FD">
              <w:rPr>
                <w:bCs/>
                <w:sz w:val="21"/>
                <w:szCs w:val="21"/>
              </w:rPr>
              <w:t xml:space="preserve"> (EBF)</w:t>
            </w:r>
            <w:r w:rsidRPr="008F0BEB">
              <w:rPr>
                <w:bCs/>
                <w:sz w:val="21"/>
                <w:szCs w:val="21"/>
              </w:rPr>
              <w:t xml:space="preserve"> (as per WHO definition).</w:t>
            </w:r>
            <w:r w:rsidR="00557986">
              <w:rPr>
                <w:bCs/>
                <w:sz w:val="21"/>
                <w:szCs w:val="21"/>
              </w:rPr>
              <w:t xml:space="preserve"> </w:t>
            </w:r>
            <w:r w:rsidR="00557986" w:rsidRPr="00557986">
              <w:rPr>
                <w:bCs/>
                <w:color w:val="FF0000"/>
                <w:sz w:val="21"/>
                <w:szCs w:val="21"/>
              </w:rPr>
              <w:t>[</w:t>
            </w:r>
            <w:r w:rsidR="00557986" w:rsidRPr="00557986">
              <w:rPr>
                <w:bCs/>
                <w:i/>
                <w:color w:val="FF0000"/>
                <w:sz w:val="21"/>
                <w:szCs w:val="21"/>
              </w:rPr>
              <w:t>A</w:t>
            </w:r>
            <w:r w:rsidR="00D20864">
              <w:rPr>
                <w:bCs/>
                <w:i/>
                <w:color w:val="FF0000"/>
                <w:sz w:val="21"/>
                <w:szCs w:val="21"/>
              </w:rPr>
              <w:t>+</w:t>
            </w:r>
            <w:r w:rsidR="00557986" w:rsidRPr="00557986">
              <w:rPr>
                <w:bCs/>
                <w:i/>
                <w:color w:val="FF0000"/>
                <w:sz w:val="21"/>
                <w:szCs w:val="21"/>
              </w:rPr>
              <w:t>+</w:t>
            </w:r>
            <w:r w:rsidR="00557986" w:rsidRPr="00557986">
              <w:rPr>
                <w:bCs/>
                <w:color w:val="FF0000"/>
                <w:sz w:val="21"/>
                <w:szCs w:val="21"/>
              </w:rPr>
              <w:t>]</w:t>
            </w:r>
          </w:p>
        </w:tc>
        <w:tc>
          <w:tcPr>
            <w:tcW w:w="3473" w:type="dxa"/>
            <w:tcMar>
              <w:top w:w="57" w:type="dxa"/>
              <w:left w:w="57" w:type="dxa"/>
              <w:bottom w:w="57" w:type="dxa"/>
              <w:right w:w="57" w:type="dxa"/>
            </w:tcMar>
          </w:tcPr>
          <w:p w:rsidR="00170714" w:rsidRPr="008F0BEB" w:rsidRDefault="00170714" w:rsidP="004619B9">
            <w:pPr>
              <w:rPr>
                <w:bCs/>
                <w:sz w:val="21"/>
                <w:szCs w:val="21"/>
              </w:rPr>
            </w:pPr>
            <w:r w:rsidRPr="008F0BEB">
              <w:rPr>
                <w:bCs/>
                <w:sz w:val="21"/>
                <w:szCs w:val="21"/>
              </w:rPr>
              <w:t>90% of targeted (</w:t>
            </w:r>
            <w:r w:rsidR="00557986" w:rsidRPr="00557986">
              <w:rPr>
                <w:bCs/>
                <w:sz w:val="21"/>
                <w:szCs w:val="21"/>
              </w:rPr>
              <w:t xml:space="preserve">6,272 out of 6,969 </w:t>
            </w:r>
            <w:r w:rsidRPr="008F0BEB">
              <w:rPr>
                <w:bCs/>
                <w:sz w:val="21"/>
                <w:szCs w:val="21"/>
              </w:rPr>
              <w:t>expected participants, see Note 8) lactating mothers receive counselling on EBF.</w:t>
            </w:r>
          </w:p>
        </w:tc>
        <w:tc>
          <w:tcPr>
            <w:tcW w:w="3473" w:type="dxa"/>
            <w:tcBorders>
              <w:top w:val="nil"/>
              <w:left w:val="nil"/>
              <w:bottom w:val="single" w:sz="8" w:space="0" w:color="auto"/>
              <w:right w:val="single" w:sz="8" w:space="0" w:color="auto"/>
            </w:tcBorders>
            <w:tcMar>
              <w:top w:w="57" w:type="dxa"/>
              <w:left w:w="57" w:type="dxa"/>
              <w:bottom w:w="57" w:type="dxa"/>
              <w:right w:w="57" w:type="dxa"/>
            </w:tcMar>
          </w:tcPr>
          <w:p w:rsidR="00557986" w:rsidRPr="008F0BEB" w:rsidRDefault="00557986" w:rsidP="004619B9">
            <w:pPr>
              <w:rPr>
                <w:rFonts w:cs="Arial"/>
                <w:bCs/>
                <w:sz w:val="21"/>
                <w:szCs w:val="21"/>
              </w:rPr>
            </w:pPr>
            <w:r w:rsidRPr="00557986">
              <w:rPr>
                <w:rFonts w:cs="Arial"/>
                <w:bCs/>
                <w:sz w:val="21"/>
                <w:szCs w:val="21"/>
              </w:rPr>
              <w:t>101% of targeted (7,029 out of 6,969 expected participants, see Note 8) lactating mothers receive counselling on EBF.</w:t>
            </w:r>
          </w:p>
        </w:tc>
      </w:tr>
      <w:tr w:rsidR="00557986" w:rsidRPr="008F0BEB" w:rsidTr="004619B9">
        <w:tc>
          <w:tcPr>
            <w:tcW w:w="3510" w:type="dxa"/>
            <w:tcMar>
              <w:top w:w="57" w:type="dxa"/>
              <w:left w:w="57" w:type="dxa"/>
              <w:bottom w:w="57" w:type="dxa"/>
              <w:right w:w="57" w:type="dxa"/>
            </w:tcMar>
          </w:tcPr>
          <w:p w:rsidR="00557986" w:rsidRPr="008F0BEB" w:rsidRDefault="00557986" w:rsidP="006F30C3">
            <w:pPr>
              <w:rPr>
                <w:bCs/>
                <w:sz w:val="21"/>
                <w:szCs w:val="21"/>
              </w:rPr>
            </w:pPr>
            <w:r w:rsidRPr="008F0BEB">
              <w:rPr>
                <w:bCs/>
                <w:sz w:val="21"/>
                <w:szCs w:val="21"/>
              </w:rPr>
              <w:t>6.2 % of targeted lactating mothers of children 7-23 receive training on appropriate complementary feeding</w:t>
            </w:r>
            <w:r w:rsidR="00EB49FD">
              <w:rPr>
                <w:bCs/>
                <w:sz w:val="21"/>
                <w:szCs w:val="21"/>
              </w:rPr>
              <w:t xml:space="preserve"> (ACF)</w:t>
            </w:r>
            <w:r w:rsidRPr="008F0BEB">
              <w:rPr>
                <w:bCs/>
                <w:sz w:val="21"/>
                <w:szCs w:val="21"/>
              </w:rPr>
              <w:t>.</w:t>
            </w:r>
            <w:r>
              <w:rPr>
                <w:bCs/>
                <w:sz w:val="21"/>
                <w:szCs w:val="21"/>
              </w:rPr>
              <w:t xml:space="preserve"> </w:t>
            </w:r>
            <w:r w:rsidRPr="00557986">
              <w:rPr>
                <w:bCs/>
                <w:color w:val="FF0000"/>
                <w:sz w:val="21"/>
                <w:szCs w:val="21"/>
              </w:rPr>
              <w:t>[</w:t>
            </w:r>
            <w:r w:rsidRPr="00557986">
              <w:rPr>
                <w:bCs/>
                <w:i/>
                <w:color w:val="FF0000"/>
                <w:sz w:val="21"/>
                <w:szCs w:val="21"/>
              </w:rPr>
              <w:t>A+</w:t>
            </w:r>
            <w:r w:rsidR="00B74E7C">
              <w:rPr>
                <w:bCs/>
                <w:i/>
                <w:color w:val="FF0000"/>
                <w:sz w:val="21"/>
                <w:szCs w:val="21"/>
              </w:rPr>
              <w:t>+</w:t>
            </w:r>
          </w:p>
        </w:tc>
        <w:tc>
          <w:tcPr>
            <w:tcW w:w="3473" w:type="dxa"/>
            <w:tcMar>
              <w:top w:w="57" w:type="dxa"/>
              <w:left w:w="57" w:type="dxa"/>
              <w:bottom w:w="57" w:type="dxa"/>
              <w:right w:w="57" w:type="dxa"/>
            </w:tcMar>
          </w:tcPr>
          <w:p w:rsidR="00557986" w:rsidRPr="008F0BEB" w:rsidRDefault="00557986" w:rsidP="004619B9">
            <w:pPr>
              <w:rPr>
                <w:bCs/>
                <w:sz w:val="21"/>
                <w:szCs w:val="21"/>
              </w:rPr>
            </w:pPr>
            <w:r w:rsidRPr="00557986">
              <w:rPr>
                <w:bCs/>
                <w:sz w:val="21"/>
                <w:szCs w:val="21"/>
              </w:rPr>
              <w:t>90% of targeted (10,884 out of 12,093) lactating mothers receive training on ACF.</w:t>
            </w:r>
          </w:p>
        </w:tc>
        <w:tc>
          <w:tcPr>
            <w:tcW w:w="3473" w:type="dxa"/>
            <w:tcBorders>
              <w:top w:val="nil"/>
              <w:left w:val="nil"/>
              <w:bottom w:val="single" w:sz="8" w:space="0" w:color="auto"/>
              <w:right w:val="single" w:sz="8" w:space="0" w:color="auto"/>
            </w:tcBorders>
            <w:tcMar>
              <w:top w:w="57" w:type="dxa"/>
              <w:left w:w="57" w:type="dxa"/>
              <w:bottom w:w="57" w:type="dxa"/>
              <w:right w:w="57" w:type="dxa"/>
            </w:tcMar>
          </w:tcPr>
          <w:p w:rsidR="00557986" w:rsidRPr="00557986" w:rsidRDefault="00557986" w:rsidP="004619B9">
            <w:pPr>
              <w:rPr>
                <w:bCs/>
                <w:sz w:val="21"/>
                <w:szCs w:val="21"/>
              </w:rPr>
            </w:pPr>
            <w:r w:rsidRPr="00557986">
              <w:rPr>
                <w:bCs/>
                <w:sz w:val="21"/>
                <w:szCs w:val="21"/>
              </w:rPr>
              <w:t>103% of targeted (12,461 out of 12,093) lactating mothers receive training on ACF.</w:t>
            </w:r>
          </w:p>
        </w:tc>
      </w:tr>
      <w:tr w:rsidR="00557986" w:rsidRPr="008F0BEB" w:rsidTr="004619B9">
        <w:tc>
          <w:tcPr>
            <w:tcW w:w="3510" w:type="dxa"/>
            <w:tcMar>
              <w:top w:w="57" w:type="dxa"/>
              <w:left w:w="57" w:type="dxa"/>
              <w:bottom w:w="57" w:type="dxa"/>
              <w:right w:w="57" w:type="dxa"/>
            </w:tcMar>
          </w:tcPr>
          <w:p w:rsidR="00557986" w:rsidRPr="008F0BEB" w:rsidRDefault="00557986" w:rsidP="00557986">
            <w:pPr>
              <w:rPr>
                <w:bCs/>
                <w:sz w:val="21"/>
                <w:szCs w:val="21"/>
              </w:rPr>
            </w:pPr>
            <w:r w:rsidRPr="008F0BEB">
              <w:rPr>
                <w:bCs/>
                <w:sz w:val="21"/>
                <w:szCs w:val="21"/>
              </w:rPr>
              <w:t xml:space="preserve">6.3 % of targeted children (7-24m) receive </w:t>
            </w:r>
            <w:r w:rsidR="00EB49FD">
              <w:rPr>
                <w:bCs/>
                <w:sz w:val="21"/>
                <w:szCs w:val="21"/>
              </w:rPr>
              <w:t>Micro-Nutrient Powder (</w:t>
            </w:r>
            <w:r w:rsidRPr="008F0BEB">
              <w:rPr>
                <w:bCs/>
                <w:sz w:val="21"/>
                <w:szCs w:val="21"/>
              </w:rPr>
              <w:t>MNPs</w:t>
            </w:r>
            <w:r w:rsidR="00EB49FD">
              <w:rPr>
                <w:bCs/>
                <w:sz w:val="21"/>
                <w:szCs w:val="21"/>
              </w:rPr>
              <w:t>)</w:t>
            </w:r>
            <w:r>
              <w:rPr>
                <w:bCs/>
                <w:sz w:val="21"/>
                <w:szCs w:val="21"/>
              </w:rPr>
              <w:t xml:space="preserve"> </w:t>
            </w:r>
            <w:r w:rsidRPr="00557986">
              <w:rPr>
                <w:bCs/>
                <w:color w:val="FF0000"/>
                <w:sz w:val="21"/>
                <w:szCs w:val="21"/>
              </w:rPr>
              <w:t>[</w:t>
            </w:r>
            <w:r w:rsidRPr="00557986">
              <w:rPr>
                <w:bCs/>
                <w:i/>
                <w:color w:val="FF0000"/>
                <w:sz w:val="21"/>
                <w:szCs w:val="21"/>
              </w:rPr>
              <w:t>A</w:t>
            </w:r>
            <w:r w:rsidRPr="00557986">
              <w:rPr>
                <w:bCs/>
                <w:color w:val="FF0000"/>
                <w:sz w:val="21"/>
                <w:szCs w:val="21"/>
              </w:rPr>
              <w:t>]</w:t>
            </w:r>
          </w:p>
        </w:tc>
        <w:tc>
          <w:tcPr>
            <w:tcW w:w="3473" w:type="dxa"/>
            <w:tcMar>
              <w:top w:w="57" w:type="dxa"/>
              <w:left w:w="57" w:type="dxa"/>
              <w:bottom w:w="57" w:type="dxa"/>
              <w:right w:w="57" w:type="dxa"/>
            </w:tcMar>
          </w:tcPr>
          <w:p w:rsidR="00557986" w:rsidRPr="008F0BEB" w:rsidRDefault="00557986" w:rsidP="004619B9">
            <w:pPr>
              <w:rPr>
                <w:bCs/>
                <w:sz w:val="21"/>
                <w:szCs w:val="21"/>
              </w:rPr>
            </w:pPr>
            <w:r w:rsidRPr="00557986">
              <w:rPr>
                <w:bCs/>
                <w:sz w:val="21"/>
                <w:szCs w:val="21"/>
              </w:rPr>
              <w:t>75% of targeted (9,070 out of 12,093) children receive MNPs</w:t>
            </w:r>
          </w:p>
        </w:tc>
        <w:tc>
          <w:tcPr>
            <w:tcW w:w="3473" w:type="dxa"/>
            <w:tcBorders>
              <w:top w:val="nil"/>
              <w:left w:val="nil"/>
              <w:bottom w:val="single" w:sz="8" w:space="0" w:color="auto"/>
              <w:right w:val="single" w:sz="8" w:space="0" w:color="auto"/>
            </w:tcBorders>
            <w:tcMar>
              <w:top w:w="57" w:type="dxa"/>
              <w:left w:w="57" w:type="dxa"/>
              <w:bottom w:w="57" w:type="dxa"/>
              <w:right w:w="57" w:type="dxa"/>
            </w:tcMar>
          </w:tcPr>
          <w:p w:rsidR="00557986" w:rsidRPr="00557986" w:rsidRDefault="00557986" w:rsidP="004619B9">
            <w:pPr>
              <w:rPr>
                <w:bCs/>
                <w:sz w:val="21"/>
                <w:szCs w:val="21"/>
              </w:rPr>
            </w:pPr>
            <w:r w:rsidRPr="00557986">
              <w:rPr>
                <w:bCs/>
                <w:sz w:val="21"/>
                <w:szCs w:val="21"/>
              </w:rPr>
              <w:t>76% of targeted (9,149 out of 12,093) children receive MNPs</w:t>
            </w:r>
          </w:p>
        </w:tc>
      </w:tr>
      <w:tr w:rsidR="00557986" w:rsidRPr="008F0BEB" w:rsidTr="004619B9">
        <w:tc>
          <w:tcPr>
            <w:tcW w:w="3510" w:type="dxa"/>
            <w:tcMar>
              <w:top w:w="57" w:type="dxa"/>
              <w:left w:w="57" w:type="dxa"/>
              <w:bottom w:w="57" w:type="dxa"/>
              <w:right w:w="57" w:type="dxa"/>
            </w:tcMar>
          </w:tcPr>
          <w:p w:rsidR="00557986" w:rsidRPr="008F0BEB" w:rsidRDefault="00557986" w:rsidP="004619B9">
            <w:pPr>
              <w:rPr>
                <w:bCs/>
                <w:sz w:val="21"/>
                <w:szCs w:val="21"/>
              </w:rPr>
            </w:pPr>
            <w:r w:rsidRPr="008F0BEB">
              <w:rPr>
                <w:bCs/>
                <w:sz w:val="21"/>
                <w:szCs w:val="21"/>
              </w:rPr>
              <w:t>6.4 % of targeted mothers and adolescent girls receive iron and folic acid (IFA)</w:t>
            </w:r>
            <w:r>
              <w:rPr>
                <w:bCs/>
                <w:sz w:val="21"/>
                <w:szCs w:val="21"/>
              </w:rPr>
              <w:t xml:space="preserve"> </w:t>
            </w:r>
            <w:r w:rsidRPr="00557986">
              <w:rPr>
                <w:bCs/>
                <w:color w:val="FF0000"/>
                <w:sz w:val="21"/>
                <w:szCs w:val="21"/>
              </w:rPr>
              <w:t>[</w:t>
            </w:r>
            <w:r w:rsidRPr="00557986">
              <w:rPr>
                <w:bCs/>
                <w:i/>
                <w:color w:val="FF0000"/>
                <w:sz w:val="21"/>
                <w:szCs w:val="21"/>
              </w:rPr>
              <w:t>A+</w:t>
            </w:r>
            <w:r w:rsidR="00B74E7C">
              <w:rPr>
                <w:bCs/>
                <w:i/>
                <w:color w:val="FF0000"/>
                <w:sz w:val="21"/>
                <w:szCs w:val="21"/>
              </w:rPr>
              <w:t>+</w:t>
            </w:r>
            <w:r w:rsidRPr="00557986">
              <w:rPr>
                <w:bCs/>
                <w:color w:val="FF0000"/>
                <w:sz w:val="21"/>
                <w:szCs w:val="21"/>
              </w:rPr>
              <w:t>]</w:t>
            </w:r>
          </w:p>
        </w:tc>
        <w:tc>
          <w:tcPr>
            <w:tcW w:w="3473" w:type="dxa"/>
            <w:tcMar>
              <w:top w:w="57" w:type="dxa"/>
              <w:left w:w="57" w:type="dxa"/>
              <w:bottom w:w="57" w:type="dxa"/>
              <w:right w:w="57" w:type="dxa"/>
            </w:tcMar>
          </w:tcPr>
          <w:p w:rsidR="00557986" w:rsidRPr="008F0BEB" w:rsidRDefault="00557986" w:rsidP="004619B9">
            <w:pPr>
              <w:rPr>
                <w:bCs/>
                <w:sz w:val="21"/>
                <w:szCs w:val="21"/>
              </w:rPr>
            </w:pPr>
            <w:r w:rsidRPr="00557986">
              <w:rPr>
                <w:bCs/>
                <w:sz w:val="21"/>
                <w:szCs w:val="21"/>
              </w:rPr>
              <w:t>85% of targeted (23,366 out of 27,489) mothers and adolescent girls receive IFA</w:t>
            </w:r>
          </w:p>
        </w:tc>
        <w:tc>
          <w:tcPr>
            <w:tcW w:w="3473" w:type="dxa"/>
            <w:tcBorders>
              <w:top w:val="nil"/>
              <w:left w:val="nil"/>
              <w:bottom w:val="single" w:sz="8" w:space="0" w:color="auto"/>
              <w:right w:val="single" w:sz="8" w:space="0" w:color="auto"/>
            </w:tcBorders>
            <w:tcMar>
              <w:top w:w="57" w:type="dxa"/>
              <w:left w:w="57" w:type="dxa"/>
              <w:bottom w:w="57" w:type="dxa"/>
              <w:right w:w="57" w:type="dxa"/>
            </w:tcMar>
          </w:tcPr>
          <w:p w:rsidR="00557986" w:rsidRPr="00557986" w:rsidRDefault="00557986" w:rsidP="004619B9">
            <w:pPr>
              <w:rPr>
                <w:bCs/>
                <w:sz w:val="21"/>
                <w:szCs w:val="21"/>
              </w:rPr>
            </w:pPr>
            <w:r w:rsidRPr="00557986">
              <w:rPr>
                <w:bCs/>
                <w:sz w:val="21"/>
                <w:szCs w:val="21"/>
              </w:rPr>
              <w:t>102% of targeted (27,994 out of 27,489) mothers and adolescent girls receive IFA</w:t>
            </w:r>
          </w:p>
        </w:tc>
      </w:tr>
    </w:tbl>
    <w:p w:rsidR="00F93DA9" w:rsidRPr="00F82D5D" w:rsidRDefault="00F93DA9" w:rsidP="00265145">
      <w:pPr>
        <w:spacing w:before="240" w:after="120"/>
        <w:jc w:val="both"/>
        <w:rPr>
          <w:rFonts w:cs="Arial"/>
          <w:b/>
          <w:sz w:val="22"/>
          <w:szCs w:val="22"/>
        </w:rPr>
      </w:pPr>
      <w:r w:rsidRPr="00F82D5D">
        <w:rPr>
          <w:rFonts w:cs="Arial"/>
          <w:b/>
          <w:bCs/>
          <w:sz w:val="22"/>
          <w:szCs w:val="22"/>
        </w:rPr>
        <w:t>Key Points</w:t>
      </w:r>
    </w:p>
    <w:p w:rsidR="00946FF8" w:rsidRPr="00E17AA0" w:rsidRDefault="00946FF8" w:rsidP="00641A4E">
      <w:pPr>
        <w:pStyle w:val="ListParagraph"/>
        <w:numPr>
          <w:ilvl w:val="0"/>
          <w:numId w:val="3"/>
        </w:numPr>
        <w:ind w:left="284" w:hanging="284"/>
        <w:jc w:val="both"/>
        <w:rPr>
          <w:rFonts w:cs="Arial"/>
          <w:bCs/>
          <w:sz w:val="22"/>
          <w:szCs w:val="22"/>
        </w:rPr>
      </w:pPr>
      <w:r w:rsidRPr="00E17AA0">
        <w:rPr>
          <w:rFonts w:cs="Arial"/>
          <w:bCs/>
          <w:sz w:val="22"/>
          <w:szCs w:val="22"/>
        </w:rPr>
        <w:lastRenderedPageBreak/>
        <w:t xml:space="preserve">All output targets/milestones have been achieved </w:t>
      </w:r>
      <w:r w:rsidR="001A0151" w:rsidRPr="00E17AA0">
        <w:rPr>
          <w:rFonts w:cs="Arial"/>
          <w:bCs/>
          <w:sz w:val="22"/>
          <w:szCs w:val="22"/>
        </w:rPr>
        <w:t xml:space="preserve">despite a significant increase in target numbers over the original estimates </w:t>
      </w:r>
      <w:r w:rsidR="00E73CE0" w:rsidRPr="00E17AA0">
        <w:rPr>
          <w:rFonts w:cs="Arial"/>
          <w:bCs/>
          <w:sz w:val="22"/>
          <w:szCs w:val="22"/>
        </w:rPr>
        <w:t>(</w:t>
      </w:r>
      <w:r w:rsidR="001F3A54" w:rsidRPr="00E17AA0">
        <w:rPr>
          <w:rFonts w:cs="Arial"/>
          <w:bCs/>
          <w:sz w:val="22"/>
          <w:szCs w:val="22"/>
        </w:rPr>
        <w:t xml:space="preserve">which were </w:t>
      </w:r>
      <w:r w:rsidR="001A0151" w:rsidRPr="00E17AA0">
        <w:rPr>
          <w:rFonts w:cs="Arial"/>
          <w:bCs/>
          <w:sz w:val="22"/>
          <w:szCs w:val="22"/>
        </w:rPr>
        <w:t xml:space="preserve">based on national </w:t>
      </w:r>
      <w:r w:rsidR="00507983" w:rsidRPr="00E17AA0">
        <w:rPr>
          <w:rFonts w:cs="Arial"/>
          <w:bCs/>
          <w:sz w:val="22"/>
          <w:szCs w:val="22"/>
        </w:rPr>
        <w:t>demographic</w:t>
      </w:r>
      <w:r w:rsidR="001F3A54" w:rsidRPr="00E17AA0">
        <w:rPr>
          <w:rFonts w:cs="Arial"/>
          <w:bCs/>
          <w:sz w:val="22"/>
          <w:szCs w:val="22"/>
        </w:rPr>
        <w:t xml:space="preserve"> </w:t>
      </w:r>
      <w:r w:rsidR="001A0151" w:rsidRPr="00E17AA0">
        <w:rPr>
          <w:rFonts w:cs="Arial"/>
          <w:bCs/>
          <w:sz w:val="22"/>
          <w:szCs w:val="22"/>
        </w:rPr>
        <w:t>data</w:t>
      </w:r>
      <w:r w:rsidR="001F3A54" w:rsidRPr="00E17AA0">
        <w:rPr>
          <w:rFonts w:cs="Arial"/>
          <w:bCs/>
          <w:sz w:val="22"/>
          <w:szCs w:val="22"/>
        </w:rPr>
        <w:t>)</w:t>
      </w:r>
      <w:r w:rsidR="00CF3F2B">
        <w:rPr>
          <w:rFonts w:cs="Arial"/>
          <w:bCs/>
          <w:sz w:val="22"/>
          <w:szCs w:val="22"/>
        </w:rPr>
        <w:t xml:space="preserve"> and challenges in the delivery context (floods, politic</w:t>
      </w:r>
      <w:r w:rsidR="00D20864">
        <w:rPr>
          <w:rFonts w:cs="Arial"/>
          <w:bCs/>
          <w:sz w:val="22"/>
          <w:szCs w:val="22"/>
        </w:rPr>
        <w:t>al unrest</w:t>
      </w:r>
      <w:r w:rsidR="00CF3F2B">
        <w:rPr>
          <w:rFonts w:cs="Arial"/>
          <w:bCs/>
          <w:sz w:val="22"/>
          <w:szCs w:val="22"/>
        </w:rPr>
        <w:t>)</w:t>
      </w:r>
      <w:r w:rsidR="001A0151" w:rsidRPr="00E17AA0">
        <w:rPr>
          <w:rFonts w:cs="Arial"/>
          <w:bCs/>
          <w:sz w:val="22"/>
          <w:szCs w:val="22"/>
        </w:rPr>
        <w:t xml:space="preserve">. </w:t>
      </w:r>
      <w:r w:rsidR="001F3A54" w:rsidRPr="00E17AA0">
        <w:rPr>
          <w:rFonts w:cs="Arial"/>
          <w:bCs/>
          <w:sz w:val="22"/>
          <w:szCs w:val="22"/>
        </w:rPr>
        <w:t xml:space="preserve">This </w:t>
      </w:r>
      <w:r w:rsidR="00CF3F2B">
        <w:rPr>
          <w:rFonts w:cs="Arial"/>
          <w:bCs/>
          <w:sz w:val="22"/>
          <w:szCs w:val="22"/>
        </w:rPr>
        <w:t xml:space="preserve">is an </w:t>
      </w:r>
      <w:r w:rsidR="001F3A54" w:rsidRPr="00E17AA0">
        <w:rPr>
          <w:rFonts w:cs="Arial"/>
          <w:bCs/>
          <w:sz w:val="22"/>
          <w:szCs w:val="22"/>
        </w:rPr>
        <w:t xml:space="preserve">achievement given the </w:t>
      </w:r>
      <w:r w:rsidRPr="00E17AA0">
        <w:rPr>
          <w:rFonts w:cs="Arial"/>
          <w:bCs/>
          <w:sz w:val="22"/>
          <w:szCs w:val="22"/>
        </w:rPr>
        <w:t>delay</w:t>
      </w:r>
      <w:r w:rsidR="001A0151" w:rsidRPr="00E17AA0">
        <w:rPr>
          <w:rFonts w:cs="Arial"/>
          <w:bCs/>
          <w:sz w:val="22"/>
          <w:szCs w:val="22"/>
        </w:rPr>
        <w:t xml:space="preserve">ed </w:t>
      </w:r>
      <w:r w:rsidRPr="00E17AA0">
        <w:rPr>
          <w:rFonts w:cs="Arial"/>
          <w:bCs/>
          <w:sz w:val="22"/>
          <w:szCs w:val="22"/>
        </w:rPr>
        <w:t>start</w:t>
      </w:r>
      <w:r w:rsidR="001A0151" w:rsidRPr="00E17AA0">
        <w:rPr>
          <w:rFonts w:cs="Arial"/>
          <w:bCs/>
          <w:sz w:val="22"/>
          <w:szCs w:val="22"/>
        </w:rPr>
        <w:t xml:space="preserve"> </w:t>
      </w:r>
      <w:r w:rsidR="001F3A54" w:rsidRPr="00E17AA0">
        <w:rPr>
          <w:rFonts w:cs="Arial"/>
          <w:bCs/>
          <w:sz w:val="22"/>
          <w:szCs w:val="22"/>
        </w:rPr>
        <w:t xml:space="preserve">and catch-up required over the last year.  </w:t>
      </w:r>
    </w:p>
    <w:p w:rsidR="00946FF8" w:rsidRPr="00E17AA0" w:rsidRDefault="00946FF8" w:rsidP="00641A4E">
      <w:pPr>
        <w:pStyle w:val="ListParagraph"/>
        <w:numPr>
          <w:ilvl w:val="0"/>
          <w:numId w:val="3"/>
        </w:numPr>
        <w:ind w:left="284" w:hanging="284"/>
        <w:jc w:val="both"/>
        <w:rPr>
          <w:rFonts w:cs="Arial"/>
          <w:bCs/>
          <w:sz w:val="22"/>
          <w:szCs w:val="22"/>
        </w:rPr>
      </w:pPr>
      <w:r w:rsidRPr="00E17AA0">
        <w:rPr>
          <w:rFonts w:cs="Arial"/>
          <w:bCs/>
          <w:sz w:val="22"/>
          <w:szCs w:val="22"/>
        </w:rPr>
        <w:t xml:space="preserve">CLP </w:t>
      </w:r>
      <w:r w:rsidR="001A0151" w:rsidRPr="00E17AA0">
        <w:rPr>
          <w:rFonts w:cs="Arial"/>
          <w:bCs/>
          <w:sz w:val="22"/>
          <w:szCs w:val="22"/>
        </w:rPr>
        <w:t xml:space="preserve">have </w:t>
      </w:r>
      <w:r w:rsidR="001F3A54" w:rsidRPr="00E17AA0">
        <w:rPr>
          <w:rFonts w:cs="Arial"/>
          <w:bCs/>
          <w:sz w:val="22"/>
          <w:szCs w:val="22"/>
        </w:rPr>
        <w:t xml:space="preserve">also </w:t>
      </w:r>
      <w:r w:rsidRPr="00E17AA0">
        <w:rPr>
          <w:rFonts w:cs="Arial"/>
          <w:bCs/>
          <w:sz w:val="22"/>
          <w:szCs w:val="22"/>
        </w:rPr>
        <w:t xml:space="preserve">implemented </w:t>
      </w:r>
      <w:r w:rsidR="001A0151" w:rsidRPr="00E17AA0">
        <w:rPr>
          <w:rFonts w:cs="Arial"/>
          <w:bCs/>
          <w:sz w:val="22"/>
          <w:szCs w:val="22"/>
        </w:rPr>
        <w:t xml:space="preserve">a </w:t>
      </w:r>
      <w:r w:rsidRPr="00E17AA0">
        <w:rPr>
          <w:rFonts w:cs="Arial"/>
          <w:bCs/>
          <w:sz w:val="22"/>
          <w:szCs w:val="22"/>
        </w:rPr>
        <w:t>range of activ</w:t>
      </w:r>
      <w:r w:rsidR="001A0151" w:rsidRPr="00E17AA0">
        <w:rPr>
          <w:rFonts w:cs="Arial"/>
          <w:bCs/>
          <w:sz w:val="22"/>
          <w:szCs w:val="22"/>
        </w:rPr>
        <w:t>i</w:t>
      </w:r>
      <w:r w:rsidRPr="00E17AA0">
        <w:rPr>
          <w:rFonts w:cs="Arial"/>
          <w:bCs/>
          <w:sz w:val="22"/>
          <w:szCs w:val="22"/>
        </w:rPr>
        <w:t xml:space="preserve">ties to strengthen </w:t>
      </w:r>
      <w:r w:rsidR="001A0151" w:rsidRPr="00E17AA0">
        <w:rPr>
          <w:rFonts w:cs="Arial"/>
          <w:bCs/>
          <w:sz w:val="22"/>
          <w:szCs w:val="22"/>
        </w:rPr>
        <w:t xml:space="preserve">the nutrition interventions </w:t>
      </w:r>
      <w:r w:rsidR="006D0320" w:rsidRPr="00E17AA0">
        <w:rPr>
          <w:rFonts w:cs="Arial"/>
          <w:bCs/>
          <w:sz w:val="22"/>
          <w:szCs w:val="22"/>
        </w:rPr>
        <w:t>including differentiated</w:t>
      </w:r>
      <w:r w:rsidRPr="00E17AA0">
        <w:rPr>
          <w:rFonts w:cs="Arial"/>
          <w:bCs/>
          <w:sz w:val="22"/>
          <w:szCs w:val="22"/>
        </w:rPr>
        <w:t xml:space="preserve"> </w:t>
      </w:r>
      <w:r w:rsidR="001A0151" w:rsidRPr="00E17AA0">
        <w:rPr>
          <w:rFonts w:cs="Arial"/>
          <w:bCs/>
          <w:sz w:val="22"/>
          <w:szCs w:val="22"/>
        </w:rPr>
        <w:t xml:space="preserve">training materials for different target groups, </w:t>
      </w:r>
      <w:r w:rsidRPr="00E17AA0">
        <w:rPr>
          <w:rFonts w:cs="Arial"/>
          <w:bCs/>
          <w:sz w:val="22"/>
          <w:szCs w:val="22"/>
        </w:rPr>
        <w:t>more intensive supervision and tra</w:t>
      </w:r>
      <w:r w:rsidR="001A0151" w:rsidRPr="00E17AA0">
        <w:rPr>
          <w:rFonts w:cs="Arial"/>
          <w:bCs/>
          <w:sz w:val="22"/>
          <w:szCs w:val="22"/>
        </w:rPr>
        <w:t>i</w:t>
      </w:r>
      <w:r w:rsidRPr="00E17AA0">
        <w:rPr>
          <w:rFonts w:cs="Arial"/>
          <w:bCs/>
          <w:sz w:val="22"/>
          <w:szCs w:val="22"/>
        </w:rPr>
        <w:t xml:space="preserve">ning for </w:t>
      </w:r>
      <w:r w:rsidR="001A0151" w:rsidRPr="00E17AA0">
        <w:rPr>
          <w:rFonts w:cs="Arial"/>
          <w:bCs/>
          <w:sz w:val="22"/>
          <w:szCs w:val="22"/>
        </w:rPr>
        <w:t xml:space="preserve">community nutrition </w:t>
      </w:r>
      <w:r w:rsidR="00A3640C" w:rsidRPr="00E17AA0">
        <w:rPr>
          <w:rFonts w:cs="Arial"/>
          <w:bCs/>
          <w:sz w:val="22"/>
          <w:szCs w:val="22"/>
        </w:rPr>
        <w:t>volunteer’s</w:t>
      </w:r>
      <w:r w:rsidR="001A0151" w:rsidRPr="00E17AA0">
        <w:rPr>
          <w:rFonts w:cs="Arial"/>
          <w:bCs/>
          <w:sz w:val="22"/>
          <w:szCs w:val="22"/>
        </w:rPr>
        <w:t xml:space="preserve"> </w:t>
      </w:r>
      <w:r w:rsidRPr="00E17AA0">
        <w:rPr>
          <w:rFonts w:cs="Arial"/>
          <w:bCs/>
          <w:sz w:val="22"/>
          <w:szCs w:val="22"/>
        </w:rPr>
        <w:t>supervisors</w:t>
      </w:r>
      <w:r w:rsidR="001A0151" w:rsidRPr="00E17AA0">
        <w:rPr>
          <w:rFonts w:cs="Arial"/>
          <w:bCs/>
          <w:sz w:val="22"/>
          <w:szCs w:val="22"/>
        </w:rPr>
        <w:t xml:space="preserve">. </w:t>
      </w:r>
    </w:p>
    <w:p w:rsidR="00946FF8" w:rsidRPr="00E17AA0" w:rsidRDefault="001F3A54" w:rsidP="00641A4E">
      <w:pPr>
        <w:pStyle w:val="ListParagraph"/>
        <w:numPr>
          <w:ilvl w:val="0"/>
          <w:numId w:val="3"/>
        </w:numPr>
        <w:ind w:left="284" w:hanging="284"/>
        <w:jc w:val="both"/>
        <w:rPr>
          <w:rFonts w:cs="Arial"/>
          <w:bCs/>
          <w:sz w:val="22"/>
          <w:szCs w:val="22"/>
        </w:rPr>
      </w:pPr>
      <w:r w:rsidRPr="00E17AA0">
        <w:rPr>
          <w:rFonts w:cs="Arial"/>
          <w:bCs/>
          <w:sz w:val="22"/>
          <w:szCs w:val="22"/>
        </w:rPr>
        <w:t>However,</w:t>
      </w:r>
      <w:r w:rsidR="00946FF8" w:rsidRPr="00E17AA0">
        <w:rPr>
          <w:rFonts w:cs="Arial"/>
          <w:bCs/>
          <w:sz w:val="22"/>
          <w:szCs w:val="22"/>
        </w:rPr>
        <w:t xml:space="preserve"> progress towards </w:t>
      </w:r>
      <w:r w:rsidRPr="00E17AA0">
        <w:rPr>
          <w:rFonts w:cs="Arial"/>
          <w:bCs/>
          <w:sz w:val="22"/>
          <w:szCs w:val="22"/>
        </w:rPr>
        <w:t xml:space="preserve">nutrition </w:t>
      </w:r>
      <w:r w:rsidR="00946FF8" w:rsidRPr="00E17AA0">
        <w:rPr>
          <w:rFonts w:cs="Arial"/>
          <w:bCs/>
          <w:sz w:val="22"/>
          <w:szCs w:val="22"/>
        </w:rPr>
        <w:t>outcomes</w:t>
      </w:r>
      <w:r w:rsidRPr="00E17AA0">
        <w:rPr>
          <w:rFonts w:cs="Arial"/>
          <w:bCs/>
          <w:sz w:val="22"/>
          <w:szCs w:val="22"/>
        </w:rPr>
        <w:t xml:space="preserve">, beyond the intermediate outcomes tracked in the logframe, </w:t>
      </w:r>
      <w:r w:rsidR="00946FF8" w:rsidRPr="00E17AA0">
        <w:rPr>
          <w:rFonts w:cs="Arial"/>
          <w:bCs/>
          <w:sz w:val="22"/>
          <w:szCs w:val="22"/>
        </w:rPr>
        <w:t>remains uncertain</w:t>
      </w:r>
      <w:r w:rsidRPr="00E17AA0">
        <w:rPr>
          <w:rFonts w:cs="Arial"/>
          <w:bCs/>
          <w:sz w:val="22"/>
          <w:szCs w:val="22"/>
        </w:rPr>
        <w:t xml:space="preserve">. Data from the </w:t>
      </w:r>
      <w:r w:rsidR="00946FF8" w:rsidRPr="00E17AA0">
        <w:rPr>
          <w:rFonts w:cs="Arial"/>
          <w:bCs/>
          <w:sz w:val="22"/>
          <w:szCs w:val="22"/>
        </w:rPr>
        <w:t>latest nutrition survey</w:t>
      </w:r>
      <w:r w:rsidRPr="00E17AA0">
        <w:rPr>
          <w:rFonts w:cs="Arial"/>
          <w:bCs/>
          <w:sz w:val="22"/>
          <w:szCs w:val="22"/>
        </w:rPr>
        <w:t xml:space="preserve">, which was still too early to capture much impact from the above outputs, </w:t>
      </w:r>
      <w:r w:rsidR="00946FF8" w:rsidRPr="00E17AA0">
        <w:rPr>
          <w:rFonts w:cs="Arial"/>
          <w:bCs/>
          <w:sz w:val="22"/>
          <w:szCs w:val="22"/>
        </w:rPr>
        <w:t>suggest</w:t>
      </w:r>
      <w:r w:rsidRPr="00E17AA0">
        <w:rPr>
          <w:rFonts w:cs="Arial"/>
          <w:bCs/>
          <w:sz w:val="22"/>
          <w:szCs w:val="22"/>
        </w:rPr>
        <w:t xml:space="preserve">s </w:t>
      </w:r>
      <w:r w:rsidR="00946FF8" w:rsidRPr="00E17AA0">
        <w:rPr>
          <w:rFonts w:cs="Arial"/>
          <w:bCs/>
          <w:sz w:val="22"/>
          <w:szCs w:val="22"/>
        </w:rPr>
        <w:t xml:space="preserve">a </w:t>
      </w:r>
      <w:r w:rsidRPr="00E17AA0">
        <w:rPr>
          <w:rFonts w:cs="Arial"/>
          <w:bCs/>
          <w:sz w:val="22"/>
          <w:szCs w:val="22"/>
        </w:rPr>
        <w:t xml:space="preserve">very mixed and puzzling </w:t>
      </w:r>
      <w:r w:rsidR="00946FF8" w:rsidRPr="00E17AA0">
        <w:rPr>
          <w:rFonts w:cs="Arial"/>
          <w:bCs/>
          <w:sz w:val="22"/>
          <w:szCs w:val="22"/>
        </w:rPr>
        <w:t xml:space="preserve">picture, with stunting on </w:t>
      </w:r>
      <w:r w:rsidRPr="00E17AA0">
        <w:rPr>
          <w:rFonts w:cs="Arial"/>
          <w:bCs/>
          <w:sz w:val="22"/>
          <w:szCs w:val="22"/>
        </w:rPr>
        <w:t xml:space="preserve">a </w:t>
      </w:r>
      <w:r w:rsidR="00946FF8" w:rsidRPr="00E17AA0">
        <w:rPr>
          <w:rFonts w:cs="Arial"/>
          <w:bCs/>
          <w:sz w:val="22"/>
          <w:szCs w:val="22"/>
        </w:rPr>
        <w:t>downward trend but wasting and underweight increasing along with rising anaemia in children and mothers</w:t>
      </w:r>
      <w:r w:rsidRPr="00E17AA0">
        <w:rPr>
          <w:rFonts w:cs="Arial"/>
          <w:bCs/>
          <w:sz w:val="22"/>
          <w:szCs w:val="22"/>
        </w:rPr>
        <w:t xml:space="preserve">. Understanding what is driving these trends is a key priority and where possible the analysis should </w:t>
      </w:r>
      <w:r w:rsidR="00E17AA0" w:rsidRPr="00E17AA0">
        <w:rPr>
          <w:rFonts w:cs="Arial"/>
          <w:bCs/>
          <w:sz w:val="22"/>
          <w:szCs w:val="22"/>
        </w:rPr>
        <w:t xml:space="preserve">look at data across </w:t>
      </w:r>
      <w:r w:rsidRPr="00E17AA0">
        <w:rPr>
          <w:rFonts w:cs="Arial"/>
          <w:bCs/>
          <w:sz w:val="22"/>
          <w:szCs w:val="22"/>
        </w:rPr>
        <w:t xml:space="preserve">EEP and CLP. </w:t>
      </w:r>
    </w:p>
    <w:p w:rsidR="00F93DA9" w:rsidRPr="00C81F2D" w:rsidRDefault="00F93DA9" w:rsidP="00265145">
      <w:pPr>
        <w:spacing w:before="240" w:after="120"/>
        <w:jc w:val="both"/>
        <w:rPr>
          <w:rFonts w:cs="Arial"/>
          <w:b/>
          <w:bCs/>
          <w:sz w:val="22"/>
          <w:szCs w:val="22"/>
        </w:rPr>
      </w:pPr>
      <w:r w:rsidRPr="00F82D5D">
        <w:rPr>
          <w:rFonts w:cs="Arial"/>
          <w:b/>
          <w:bCs/>
          <w:sz w:val="22"/>
          <w:szCs w:val="22"/>
        </w:rPr>
        <w:t xml:space="preserve">Summary of responses to issues raised in previous annual reviews (where relevant)  </w:t>
      </w:r>
    </w:p>
    <w:p w:rsidR="00F93DA9" w:rsidRPr="00E17AA0" w:rsidRDefault="00E17AA0" w:rsidP="00F93DA9">
      <w:pPr>
        <w:pStyle w:val="ListParagraph"/>
        <w:numPr>
          <w:ilvl w:val="0"/>
          <w:numId w:val="3"/>
        </w:numPr>
        <w:ind w:left="284" w:hanging="284"/>
        <w:jc w:val="both"/>
        <w:rPr>
          <w:rFonts w:cs="Arial"/>
          <w:bCs/>
          <w:sz w:val="22"/>
          <w:szCs w:val="22"/>
        </w:rPr>
      </w:pPr>
      <w:r w:rsidRPr="00E17AA0">
        <w:rPr>
          <w:rFonts w:cs="Arial"/>
          <w:bCs/>
          <w:sz w:val="22"/>
          <w:szCs w:val="22"/>
        </w:rPr>
        <w:t>A w</w:t>
      </w:r>
      <w:r w:rsidR="00933BE8" w:rsidRPr="00E17AA0">
        <w:rPr>
          <w:rFonts w:cs="Arial"/>
          <w:bCs/>
          <w:sz w:val="22"/>
          <w:szCs w:val="22"/>
        </w:rPr>
        <w:t>ide range of action</w:t>
      </w:r>
      <w:r w:rsidRPr="00E17AA0">
        <w:rPr>
          <w:rFonts w:cs="Arial"/>
          <w:bCs/>
          <w:sz w:val="22"/>
          <w:szCs w:val="22"/>
        </w:rPr>
        <w:t>s were implemented by CLP to improve</w:t>
      </w:r>
      <w:r w:rsidR="00991B18">
        <w:rPr>
          <w:rFonts w:cs="Arial"/>
          <w:bCs/>
          <w:sz w:val="22"/>
          <w:szCs w:val="22"/>
        </w:rPr>
        <w:t xml:space="preserve"> </w:t>
      </w:r>
      <w:r w:rsidR="008C1796">
        <w:rPr>
          <w:rFonts w:cs="Arial"/>
          <w:bCs/>
          <w:sz w:val="22"/>
          <w:szCs w:val="22"/>
        </w:rPr>
        <w:t>IYCF</w:t>
      </w:r>
      <w:r w:rsidR="00991B18">
        <w:rPr>
          <w:rFonts w:cs="Arial"/>
          <w:bCs/>
          <w:sz w:val="22"/>
          <w:szCs w:val="22"/>
        </w:rPr>
        <w:t xml:space="preserve"> </w:t>
      </w:r>
      <w:r w:rsidRPr="00E17AA0">
        <w:rPr>
          <w:rFonts w:cs="Arial"/>
          <w:bCs/>
          <w:sz w:val="22"/>
          <w:szCs w:val="22"/>
        </w:rPr>
        <w:t xml:space="preserve">counselling and </w:t>
      </w:r>
      <w:r>
        <w:rPr>
          <w:rFonts w:cs="Arial"/>
          <w:bCs/>
          <w:sz w:val="22"/>
          <w:szCs w:val="22"/>
        </w:rPr>
        <w:t xml:space="preserve">promote </w:t>
      </w:r>
      <w:r w:rsidR="00633430" w:rsidRPr="00E17AA0">
        <w:rPr>
          <w:rFonts w:cs="Arial"/>
          <w:bCs/>
          <w:sz w:val="22"/>
          <w:szCs w:val="22"/>
        </w:rPr>
        <w:t>IFA</w:t>
      </w:r>
      <w:r w:rsidR="00633430">
        <w:rPr>
          <w:rFonts w:cs="Arial"/>
          <w:bCs/>
          <w:sz w:val="22"/>
          <w:szCs w:val="22"/>
        </w:rPr>
        <w:t xml:space="preserve"> </w:t>
      </w:r>
      <w:r w:rsidR="00633430" w:rsidRPr="00E17AA0">
        <w:rPr>
          <w:rFonts w:cs="Arial"/>
          <w:bCs/>
          <w:sz w:val="22"/>
          <w:szCs w:val="22"/>
        </w:rPr>
        <w:t>consumption</w:t>
      </w:r>
      <w:r w:rsidRPr="00E17AA0">
        <w:rPr>
          <w:rFonts w:cs="Arial"/>
          <w:bCs/>
          <w:sz w:val="22"/>
          <w:szCs w:val="22"/>
        </w:rPr>
        <w:t xml:space="preserve"> a</w:t>
      </w:r>
      <w:r>
        <w:rPr>
          <w:rFonts w:cs="Arial"/>
          <w:bCs/>
          <w:sz w:val="22"/>
          <w:szCs w:val="22"/>
        </w:rPr>
        <w:t xml:space="preserve">s well as </w:t>
      </w:r>
      <w:r w:rsidRPr="00E17AA0">
        <w:rPr>
          <w:rFonts w:cs="Arial"/>
          <w:bCs/>
          <w:sz w:val="22"/>
          <w:szCs w:val="22"/>
        </w:rPr>
        <w:t xml:space="preserve">the monitoring of these activities.  </w:t>
      </w:r>
    </w:p>
    <w:p w:rsidR="00F93DA9" w:rsidRPr="00F82D5D" w:rsidRDefault="00F93DA9" w:rsidP="00265145">
      <w:pPr>
        <w:spacing w:before="240" w:after="120"/>
        <w:jc w:val="both"/>
        <w:rPr>
          <w:rFonts w:cs="Arial"/>
          <w:b/>
          <w:bCs/>
          <w:sz w:val="22"/>
          <w:szCs w:val="22"/>
        </w:rPr>
      </w:pPr>
      <w:r w:rsidRPr="00F82D5D">
        <w:rPr>
          <w:rFonts w:cs="Arial"/>
          <w:b/>
          <w:bCs/>
          <w:sz w:val="22"/>
          <w:szCs w:val="22"/>
        </w:rPr>
        <w:t>Recommendations</w:t>
      </w:r>
    </w:p>
    <w:p w:rsidR="00F93DA9" w:rsidRPr="00A14C09" w:rsidRDefault="00B90C31" w:rsidP="00065F33">
      <w:pPr>
        <w:pStyle w:val="ListParagraph"/>
        <w:numPr>
          <w:ilvl w:val="0"/>
          <w:numId w:val="21"/>
        </w:numPr>
        <w:spacing w:after="60"/>
        <w:ind w:left="510" w:hanging="510"/>
        <w:contextualSpacing w:val="0"/>
        <w:rPr>
          <w:bCs/>
          <w:sz w:val="22"/>
          <w:szCs w:val="22"/>
        </w:rPr>
      </w:pPr>
      <w:r w:rsidRPr="00A14C09">
        <w:rPr>
          <w:bCs/>
          <w:sz w:val="22"/>
          <w:szCs w:val="22"/>
        </w:rPr>
        <w:t>CLP w</w:t>
      </w:r>
      <w:r w:rsidR="00E17AA0" w:rsidRPr="00A14C09">
        <w:rPr>
          <w:bCs/>
          <w:sz w:val="22"/>
          <w:szCs w:val="22"/>
        </w:rPr>
        <w:t>ith DFID and EEP,</w:t>
      </w:r>
      <w:r w:rsidRPr="00A14C09">
        <w:rPr>
          <w:bCs/>
          <w:sz w:val="22"/>
          <w:szCs w:val="22"/>
        </w:rPr>
        <w:t xml:space="preserve"> to</w:t>
      </w:r>
      <w:r w:rsidR="00E17AA0" w:rsidRPr="00A14C09">
        <w:rPr>
          <w:bCs/>
          <w:sz w:val="22"/>
          <w:szCs w:val="22"/>
        </w:rPr>
        <w:t xml:space="preserve"> identify steps to analyse nutrition survey data further to understand results, including the unexpected trends and underlying drivers</w:t>
      </w:r>
      <w:r w:rsidRPr="00A14C09">
        <w:rPr>
          <w:bCs/>
          <w:sz w:val="22"/>
          <w:szCs w:val="22"/>
        </w:rPr>
        <w:t xml:space="preserve">, by </w:t>
      </w:r>
      <w:r w:rsidR="00A14C09" w:rsidRPr="00A14C09">
        <w:rPr>
          <w:bCs/>
          <w:sz w:val="22"/>
          <w:szCs w:val="22"/>
        </w:rPr>
        <w:t>June 2015</w:t>
      </w:r>
      <w:r w:rsidR="00E17AA0" w:rsidRPr="00A14C09">
        <w:rPr>
          <w:bCs/>
          <w:sz w:val="22"/>
          <w:szCs w:val="22"/>
        </w:rPr>
        <w:t xml:space="preserve">. </w:t>
      </w:r>
    </w:p>
    <w:p w:rsidR="00265145" w:rsidRDefault="00B90C31" w:rsidP="00265145">
      <w:pPr>
        <w:pStyle w:val="ListParagraph"/>
        <w:numPr>
          <w:ilvl w:val="0"/>
          <w:numId w:val="21"/>
        </w:numPr>
        <w:spacing w:after="60"/>
        <w:ind w:left="510" w:hanging="510"/>
        <w:contextualSpacing w:val="0"/>
        <w:rPr>
          <w:bCs/>
          <w:sz w:val="22"/>
          <w:szCs w:val="22"/>
        </w:rPr>
      </w:pPr>
      <w:r w:rsidRPr="00A14C09">
        <w:rPr>
          <w:bCs/>
          <w:sz w:val="22"/>
          <w:szCs w:val="22"/>
        </w:rPr>
        <w:t>CLP to d</w:t>
      </w:r>
      <w:r w:rsidR="00E17AA0" w:rsidRPr="00A14C09">
        <w:rPr>
          <w:bCs/>
          <w:sz w:val="22"/>
          <w:szCs w:val="22"/>
        </w:rPr>
        <w:t xml:space="preserve">evelop plan for </w:t>
      </w:r>
      <w:r w:rsidR="00933BE8" w:rsidRPr="00A14C09">
        <w:rPr>
          <w:bCs/>
          <w:sz w:val="22"/>
          <w:szCs w:val="22"/>
        </w:rPr>
        <w:t xml:space="preserve">early </w:t>
      </w:r>
      <w:r w:rsidR="00E17AA0" w:rsidRPr="00A14C09">
        <w:rPr>
          <w:bCs/>
          <w:sz w:val="22"/>
          <w:szCs w:val="22"/>
        </w:rPr>
        <w:t xml:space="preserve">entry of </w:t>
      </w:r>
      <w:r w:rsidR="00933BE8" w:rsidRPr="00A14C09">
        <w:rPr>
          <w:bCs/>
          <w:sz w:val="22"/>
          <w:szCs w:val="22"/>
        </w:rPr>
        <w:t xml:space="preserve">control groups </w:t>
      </w:r>
      <w:r w:rsidR="00E17AA0" w:rsidRPr="00A14C09">
        <w:rPr>
          <w:bCs/>
          <w:sz w:val="22"/>
          <w:szCs w:val="22"/>
        </w:rPr>
        <w:t xml:space="preserve">into DNI programme, </w:t>
      </w:r>
      <w:r w:rsidR="009B4513" w:rsidRPr="00A14C09">
        <w:rPr>
          <w:bCs/>
          <w:sz w:val="22"/>
          <w:szCs w:val="22"/>
        </w:rPr>
        <w:t xml:space="preserve">in agreement with </w:t>
      </w:r>
      <w:r w:rsidR="00E17AA0" w:rsidRPr="00A14C09">
        <w:rPr>
          <w:bCs/>
          <w:sz w:val="22"/>
          <w:szCs w:val="22"/>
        </w:rPr>
        <w:t xml:space="preserve">DFID on </w:t>
      </w:r>
      <w:r w:rsidR="006D0320" w:rsidRPr="00A14C09">
        <w:rPr>
          <w:bCs/>
          <w:sz w:val="22"/>
          <w:szCs w:val="22"/>
        </w:rPr>
        <w:t>end line</w:t>
      </w:r>
      <w:r w:rsidR="00E17AA0" w:rsidRPr="00A14C09">
        <w:rPr>
          <w:bCs/>
          <w:sz w:val="22"/>
          <w:szCs w:val="22"/>
        </w:rPr>
        <w:t xml:space="preserve"> strategy</w:t>
      </w:r>
      <w:r w:rsidR="009B4513" w:rsidRPr="00A14C09">
        <w:rPr>
          <w:bCs/>
          <w:sz w:val="22"/>
          <w:szCs w:val="22"/>
        </w:rPr>
        <w:t xml:space="preserve"> by </w:t>
      </w:r>
      <w:r w:rsidR="00A14C09" w:rsidRPr="00A14C09">
        <w:rPr>
          <w:bCs/>
          <w:sz w:val="22"/>
          <w:szCs w:val="22"/>
        </w:rPr>
        <w:t>June 2015</w:t>
      </w:r>
      <w:r w:rsidR="00E17AA0" w:rsidRPr="00A14C09">
        <w:rPr>
          <w:bCs/>
          <w:sz w:val="22"/>
          <w:szCs w:val="22"/>
        </w:rPr>
        <w:t xml:space="preserve">.  </w:t>
      </w:r>
    </w:p>
    <w:p w:rsidR="00265145" w:rsidRPr="00265145" w:rsidRDefault="00265145" w:rsidP="00265145">
      <w:pPr>
        <w:spacing w:after="60"/>
        <w:rPr>
          <w:bCs/>
          <w:sz w:val="22"/>
          <w:szCs w:val="22"/>
        </w:rPr>
      </w:pPr>
    </w:p>
    <w:p w:rsidR="000A0748" w:rsidRPr="006C5C93" w:rsidRDefault="001E30A4" w:rsidP="006C5C93">
      <w:pPr>
        <w:pStyle w:val="Heading2"/>
        <w:pBdr>
          <w:top w:val="single" w:sz="4" w:space="1" w:color="auto"/>
          <w:left w:val="single" w:sz="4" w:space="4" w:color="auto"/>
          <w:bottom w:val="single" w:sz="4" w:space="0" w:color="auto"/>
          <w:right w:val="single" w:sz="4" w:space="4" w:color="auto"/>
        </w:pBdr>
        <w:shd w:val="clear" w:color="auto" w:fill="DBE5F1" w:themeFill="accent1" w:themeFillTint="33"/>
        <w:spacing w:before="0" w:after="0"/>
        <w:rPr>
          <w:b w:val="0"/>
          <w:i w:val="0"/>
        </w:rPr>
      </w:pPr>
      <w:r>
        <w:rPr>
          <w:i w:val="0"/>
        </w:rPr>
        <w:t>D</w:t>
      </w:r>
      <w:r w:rsidR="00583E29">
        <w:rPr>
          <w:i w:val="0"/>
        </w:rPr>
        <w:t>: VALUE FOR MONEY</w:t>
      </w:r>
      <w:r w:rsidR="00767DD8">
        <w:rPr>
          <w:i w:val="0"/>
        </w:rPr>
        <w:t xml:space="preserve"> &amp; FINANCIAL PERFORMANCE</w:t>
      </w:r>
      <w:r w:rsidR="00F82D5D">
        <w:rPr>
          <w:i w:val="0"/>
        </w:rPr>
        <w:t xml:space="preserve"> </w:t>
      </w:r>
      <w:r w:rsidR="00A1700B">
        <w:rPr>
          <w:b w:val="0"/>
          <w:i w:val="0"/>
          <w:sz w:val="20"/>
        </w:rPr>
        <w:t xml:space="preserve"> </w:t>
      </w:r>
    </w:p>
    <w:p w:rsidR="003434E8" w:rsidRPr="000A0748" w:rsidRDefault="003434E8" w:rsidP="00265145">
      <w:pPr>
        <w:spacing w:before="240" w:after="120"/>
        <w:rPr>
          <w:rFonts w:cs="Arial"/>
          <w:b/>
          <w:sz w:val="22"/>
          <w:szCs w:val="22"/>
        </w:rPr>
      </w:pPr>
      <w:r w:rsidRPr="000A0748">
        <w:rPr>
          <w:rFonts w:cs="Arial"/>
          <w:b/>
          <w:sz w:val="22"/>
          <w:szCs w:val="22"/>
        </w:rPr>
        <w:t xml:space="preserve">Key cost drivers and performance </w:t>
      </w:r>
    </w:p>
    <w:p w:rsidR="00A1700B" w:rsidRDefault="00A1700B" w:rsidP="00A1700B">
      <w:pPr>
        <w:spacing w:after="120"/>
        <w:rPr>
          <w:rFonts w:cs="Arial"/>
          <w:sz w:val="22"/>
          <w:szCs w:val="22"/>
        </w:rPr>
      </w:pPr>
      <w:r>
        <w:rPr>
          <w:rFonts w:cs="Arial"/>
          <w:sz w:val="22"/>
          <w:szCs w:val="22"/>
        </w:rPr>
        <w:t>K</w:t>
      </w:r>
      <w:r w:rsidR="003434E8">
        <w:rPr>
          <w:rFonts w:cs="Arial"/>
          <w:sz w:val="22"/>
          <w:szCs w:val="22"/>
        </w:rPr>
        <w:t xml:space="preserve">ey cost drivers </w:t>
      </w:r>
      <w:r w:rsidR="00C3618D">
        <w:rPr>
          <w:rFonts w:cs="Arial"/>
          <w:sz w:val="22"/>
          <w:szCs w:val="22"/>
        </w:rPr>
        <w:t xml:space="preserve">remain the same as identified during the project design. </w:t>
      </w:r>
      <w:r w:rsidR="00170F7B">
        <w:rPr>
          <w:rFonts w:cs="Arial"/>
          <w:sz w:val="22"/>
          <w:szCs w:val="22"/>
        </w:rPr>
        <w:t xml:space="preserve">These </w:t>
      </w:r>
      <w:r w:rsidR="00A3640C">
        <w:rPr>
          <w:rFonts w:cs="Arial"/>
          <w:sz w:val="22"/>
          <w:szCs w:val="22"/>
        </w:rPr>
        <w:t>include</w:t>
      </w:r>
      <w:r w:rsidR="00A3640C" w:rsidRPr="00A1700B">
        <w:rPr>
          <w:rFonts w:cs="Arial"/>
          <w:sz w:val="22"/>
          <w:szCs w:val="22"/>
        </w:rPr>
        <w:t xml:space="preserve"> livelihoods</w:t>
      </w:r>
      <w:r w:rsidR="003434E8" w:rsidRPr="00A1700B">
        <w:rPr>
          <w:rFonts w:cs="Arial"/>
          <w:sz w:val="22"/>
          <w:szCs w:val="22"/>
        </w:rPr>
        <w:t xml:space="preserve"> development activities</w:t>
      </w:r>
      <w:r w:rsidR="006050FF" w:rsidRPr="00A1700B">
        <w:rPr>
          <w:rFonts w:cs="Arial"/>
          <w:sz w:val="22"/>
          <w:szCs w:val="22"/>
        </w:rPr>
        <w:t xml:space="preserve">, in particular </w:t>
      </w:r>
      <w:r w:rsidR="003434E8" w:rsidRPr="00A1700B">
        <w:rPr>
          <w:rFonts w:cs="Arial"/>
          <w:sz w:val="22"/>
          <w:szCs w:val="22"/>
        </w:rPr>
        <w:t>productive as</w:t>
      </w:r>
      <w:r w:rsidR="006050FF" w:rsidRPr="00A1700B">
        <w:rPr>
          <w:rFonts w:cs="Arial"/>
          <w:sz w:val="22"/>
          <w:szCs w:val="22"/>
        </w:rPr>
        <w:t xml:space="preserve">sets </w:t>
      </w:r>
      <w:r w:rsidR="00CC6FAE">
        <w:rPr>
          <w:rFonts w:cs="Arial"/>
          <w:sz w:val="22"/>
          <w:szCs w:val="22"/>
        </w:rPr>
        <w:t xml:space="preserve">( mostly cattle) </w:t>
      </w:r>
      <w:r w:rsidR="006050FF" w:rsidRPr="00A1700B">
        <w:rPr>
          <w:rFonts w:cs="Arial"/>
          <w:sz w:val="22"/>
          <w:szCs w:val="22"/>
        </w:rPr>
        <w:t>transferred to CPHHs</w:t>
      </w:r>
      <w:r>
        <w:rPr>
          <w:rFonts w:cs="Arial"/>
          <w:sz w:val="22"/>
          <w:szCs w:val="22"/>
        </w:rPr>
        <w:t xml:space="preserve">; </w:t>
      </w:r>
      <w:r w:rsidR="006050FF">
        <w:rPr>
          <w:rFonts w:cs="Arial"/>
          <w:sz w:val="22"/>
          <w:szCs w:val="22"/>
        </w:rPr>
        <w:t>i</w:t>
      </w:r>
      <w:r w:rsidR="003434E8" w:rsidRPr="0017380D">
        <w:rPr>
          <w:rFonts w:cs="Arial"/>
          <w:sz w:val="22"/>
          <w:szCs w:val="22"/>
        </w:rPr>
        <w:t xml:space="preserve">nfrastructure </w:t>
      </w:r>
      <w:r w:rsidR="003434E8">
        <w:rPr>
          <w:rFonts w:cs="Arial"/>
          <w:sz w:val="22"/>
          <w:szCs w:val="22"/>
        </w:rPr>
        <w:t xml:space="preserve">development activities </w:t>
      </w:r>
      <w:r w:rsidR="003434E8" w:rsidRPr="0017380D">
        <w:rPr>
          <w:rFonts w:cs="Arial"/>
          <w:sz w:val="22"/>
          <w:szCs w:val="22"/>
        </w:rPr>
        <w:t>(plinth</w:t>
      </w:r>
      <w:r w:rsidR="003434E8">
        <w:rPr>
          <w:rFonts w:cs="Arial"/>
          <w:sz w:val="22"/>
          <w:szCs w:val="22"/>
        </w:rPr>
        <w:t xml:space="preserve"> rai</w:t>
      </w:r>
      <w:r w:rsidR="003434E8" w:rsidRPr="0017380D">
        <w:rPr>
          <w:rFonts w:cs="Arial"/>
          <w:sz w:val="22"/>
          <w:szCs w:val="22"/>
        </w:rPr>
        <w:t>s</w:t>
      </w:r>
      <w:r w:rsidR="003434E8">
        <w:rPr>
          <w:rFonts w:cs="Arial"/>
          <w:sz w:val="22"/>
          <w:szCs w:val="22"/>
        </w:rPr>
        <w:t>ing</w:t>
      </w:r>
      <w:r w:rsidR="003434E8" w:rsidRPr="0017380D">
        <w:rPr>
          <w:rFonts w:cs="Arial"/>
          <w:sz w:val="22"/>
          <w:szCs w:val="22"/>
        </w:rPr>
        <w:t>, toilets, tube wells</w:t>
      </w:r>
      <w:r w:rsidR="003434E8">
        <w:rPr>
          <w:rFonts w:cs="Arial"/>
          <w:sz w:val="22"/>
          <w:szCs w:val="22"/>
        </w:rPr>
        <w:t xml:space="preserve"> and tube well platforms</w:t>
      </w:r>
      <w:r w:rsidR="003434E8" w:rsidRPr="0017380D">
        <w:rPr>
          <w:rFonts w:cs="Arial"/>
          <w:sz w:val="22"/>
          <w:szCs w:val="22"/>
        </w:rPr>
        <w:t>)</w:t>
      </w:r>
      <w:r>
        <w:rPr>
          <w:rFonts w:cs="Arial"/>
          <w:sz w:val="22"/>
          <w:szCs w:val="22"/>
        </w:rPr>
        <w:t xml:space="preserve">; </w:t>
      </w:r>
      <w:r w:rsidR="003434E8">
        <w:rPr>
          <w:rFonts w:cs="Arial"/>
          <w:sz w:val="22"/>
          <w:szCs w:val="22"/>
        </w:rPr>
        <w:t>h</w:t>
      </w:r>
      <w:r w:rsidR="003434E8" w:rsidRPr="0017380D">
        <w:rPr>
          <w:rFonts w:cs="Arial"/>
          <w:sz w:val="22"/>
          <w:szCs w:val="22"/>
        </w:rPr>
        <w:t>uman development activities (couples’ orientation, operation of satellite clinics, various forms of training)</w:t>
      </w:r>
      <w:r>
        <w:rPr>
          <w:rFonts w:cs="Arial"/>
          <w:sz w:val="22"/>
          <w:szCs w:val="22"/>
        </w:rPr>
        <w:t xml:space="preserve">; and </w:t>
      </w:r>
      <w:r w:rsidR="003434E8">
        <w:rPr>
          <w:rFonts w:cs="Arial"/>
          <w:sz w:val="22"/>
          <w:szCs w:val="22"/>
        </w:rPr>
        <w:t xml:space="preserve">Management and </w:t>
      </w:r>
      <w:r w:rsidR="00507983">
        <w:rPr>
          <w:rFonts w:cs="Arial"/>
          <w:sz w:val="22"/>
          <w:szCs w:val="22"/>
        </w:rPr>
        <w:t>administration</w:t>
      </w:r>
      <w:r w:rsidR="003434E8">
        <w:rPr>
          <w:rFonts w:cs="Arial"/>
          <w:sz w:val="22"/>
          <w:szCs w:val="22"/>
        </w:rPr>
        <w:t xml:space="preserve"> costs (Managing Agent fees, IMO S</w:t>
      </w:r>
      <w:r w:rsidR="003434E8" w:rsidRPr="0017380D">
        <w:rPr>
          <w:rFonts w:cs="Arial"/>
          <w:sz w:val="22"/>
          <w:szCs w:val="22"/>
        </w:rPr>
        <w:t>taff costs</w:t>
      </w:r>
      <w:r w:rsidR="003434E8">
        <w:rPr>
          <w:rFonts w:cs="Arial"/>
          <w:sz w:val="22"/>
          <w:szCs w:val="22"/>
        </w:rPr>
        <w:t>)</w:t>
      </w:r>
      <w:r w:rsidR="003434E8" w:rsidRPr="0017380D">
        <w:rPr>
          <w:rFonts w:cs="Arial"/>
          <w:sz w:val="22"/>
          <w:szCs w:val="22"/>
        </w:rPr>
        <w:t>.</w:t>
      </w:r>
      <w:r w:rsidR="00CC6FAE">
        <w:rPr>
          <w:rFonts w:cs="Arial"/>
          <w:sz w:val="22"/>
          <w:szCs w:val="22"/>
        </w:rPr>
        <w:t>Impact of current political unrest is minimal on cost drivers except slight increase in cattle</w:t>
      </w:r>
      <w:r w:rsidR="00C3618D">
        <w:rPr>
          <w:rFonts w:cs="Arial"/>
          <w:sz w:val="22"/>
          <w:szCs w:val="22"/>
        </w:rPr>
        <w:t xml:space="preserve"> price </w:t>
      </w:r>
      <w:r w:rsidR="00CC6FAE">
        <w:rPr>
          <w:rFonts w:cs="Arial"/>
          <w:sz w:val="22"/>
          <w:szCs w:val="22"/>
        </w:rPr>
        <w:t>for part of the last cohort ( 2.6)</w:t>
      </w:r>
      <w:r w:rsidR="00101A45">
        <w:rPr>
          <w:rFonts w:cs="Arial"/>
          <w:sz w:val="22"/>
          <w:szCs w:val="22"/>
        </w:rPr>
        <w:t>.</w:t>
      </w:r>
      <w:r w:rsidR="00EA7471" w:rsidRPr="0032795B">
        <w:rPr>
          <w:sz w:val="22"/>
          <w:szCs w:val="22"/>
        </w:rPr>
        <w:t xml:space="preserve">The </w:t>
      </w:r>
      <w:r w:rsidR="00101A45" w:rsidRPr="0032795B">
        <w:rPr>
          <w:sz w:val="22"/>
          <w:szCs w:val="22"/>
        </w:rPr>
        <w:t xml:space="preserve">project has </w:t>
      </w:r>
      <w:r w:rsidR="00A3640C" w:rsidRPr="0032795B">
        <w:rPr>
          <w:sz w:val="22"/>
          <w:szCs w:val="22"/>
        </w:rPr>
        <w:t>achieved</w:t>
      </w:r>
      <w:r w:rsidR="00EA7471" w:rsidRPr="0032795B">
        <w:rPr>
          <w:sz w:val="22"/>
          <w:szCs w:val="22"/>
        </w:rPr>
        <w:t xml:space="preserve"> a total efficiency savings of £136,821 during the 2014/15 period- mainly for merging two</w:t>
      </w:r>
      <w:r w:rsidR="00101A45" w:rsidRPr="0032795B">
        <w:rPr>
          <w:sz w:val="22"/>
          <w:szCs w:val="22"/>
        </w:rPr>
        <w:t xml:space="preserve"> intervention</w:t>
      </w:r>
      <w:r w:rsidR="00B87F29" w:rsidRPr="0032795B">
        <w:rPr>
          <w:sz w:val="22"/>
          <w:szCs w:val="22"/>
        </w:rPr>
        <w:t xml:space="preserve">s within the </w:t>
      </w:r>
      <w:r w:rsidR="00EA7471" w:rsidRPr="0032795B">
        <w:rPr>
          <w:sz w:val="22"/>
          <w:szCs w:val="22"/>
        </w:rPr>
        <w:t>market development component (fodder and meat)..</w:t>
      </w:r>
    </w:p>
    <w:p w:rsidR="006050FF" w:rsidRDefault="003434E8" w:rsidP="006050FF">
      <w:pPr>
        <w:spacing w:after="120"/>
        <w:rPr>
          <w:rFonts w:cs="Arial"/>
          <w:sz w:val="22"/>
          <w:szCs w:val="22"/>
        </w:rPr>
      </w:pPr>
      <w:r w:rsidRPr="006050FF">
        <w:rPr>
          <w:rFonts w:cs="Arial"/>
          <w:sz w:val="22"/>
          <w:szCs w:val="22"/>
          <w:u w:val="single"/>
        </w:rPr>
        <w:t>Economy VfM Indicators</w:t>
      </w:r>
      <w:r w:rsidRPr="006050FF">
        <w:rPr>
          <w:rFonts w:cs="Arial"/>
          <w:sz w:val="22"/>
          <w:szCs w:val="22"/>
        </w:rPr>
        <w:t>:</w:t>
      </w:r>
      <w:r w:rsidRPr="006050FF">
        <w:rPr>
          <w:rFonts w:cs="Arial"/>
          <w:b/>
          <w:sz w:val="22"/>
          <w:szCs w:val="22"/>
        </w:rPr>
        <w:t xml:space="preserve"> </w:t>
      </w:r>
      <w:r w:rsidRPr="006050FF">
        <w:rPr>
          <w:rFonts w:cs="Arial"/>
          <w:sz w:val="22"/>
          <w:szCs w:val="22"/>
        </w:rPr>
        <w:t>CLP-2 Managing Agent</w:t>
      </w:r>
      <w:r w:rsidR="00F1590B">
        <w:rPr>
          <w:rFonts w:cs="Arial"/>
          <w:sz w:val="22"/>
          <w:szCs w:val="22"/>
        </w:rPr>
        <w:t xml:space="preserve"> (MA)</w:t>
      </w:r>
      <w:r w:rsidRPr="006050FF">
        <w:rPr>
          <w:rFonts w:cs="Arial"/>
          <w:sz w:val="22"/>
          <w:szCs w:val="22"/>
        </w:rPr>
        <w:t xml:space="preserve"> contract as wel</w:t>
      </w:r>
      <w:r w:rsidR="0033687D">
        <w:rPr>
          <w:rFonts w:cs="Arial"/>
          <w:sz w:val="22"/>
          <w:szCs w:val="22"/>
        </w:rPr>
        <w:t>l as the IMO agreements were awarded</w:t>
      </w:r>
      <w:r w:rsidRPr="006050FF">
        <w:rPr>
          <w:rFonts w:cs="Arial"/>
          <w:sz w:val="22"/>
          <w:szCs w:val="22"/>
        </w:rPr>
        <w:t xml:space="preserve"> competitively, in order to obtain inputs at the lowest possible costs. </w:t>
      </w:r>
      <w:r w:rsidRPr="0033687D">
        <w:rPr>
          <w:rFonts w:cs="Arial"/>
          <w:sz w:val="22"/>
          <w:szCs w:val="22"/>
        </w:rPr>
        <w:t>The 7% cap on administration fees (salaries) for IMO is within ranges deemed competitive and enables a greater proportion of funds to reach beneficiaries.</w:t>
      </w:r>
      <w:r w:rsidRPr="006050FF">
        <w:rPr>
          <w:rFonts w:cs="Arial"/>
          <w:sz w:val="22"/>
          <w:szCs w:val="22"/>
        </w:rPr>
        <w:t xml:space="preserve"> 98% of </w:t>
      </w:r>
      <w:r w:rsidR="006050FF" w:rsidRPr="006050FF">
        <w:rPr>
          <w:rFonts w:cs="Arial"/>
          <w:sz w:val="22"/>
          <w:szCs w:val="22"/>
        </w:rPr>
        <w:t xml:space="preserve">the productive </w:t>
      </w:r>
      <w:r w:rsidRPr="006050FF">
        <w:rPr>
          <w:rFonts w:cs="Arial"/>
          <w:sz w:val="22"/>
          <w:szCs w:val="22"/>
        </w:rPr>
        <w:t>asset</w:t>
      </w:r>
      <w:r w:rsidR="006050FF" w:rsidRPr="006050FF">
        <w:rPr>
          <w:rFonts w:cs="Arial"/>
          <w:sz w:val="22"/>
          <w:szCs w:val="22"/>
        </w:rPr>
        <w:t>s</w:t>
      </w:r>
      <w:r w:rsidRPr="006050FF">
        <w:rPr>
          <w:rFonts w:cs="Arial"/>
          <w:sz w:val="22"/>
          <w:szCs w:val="22"/>
        </w:rPr>
        <w:t xml:space="preserve"> transferred to </w:t>
      </w:r>
      <w:r w:rsidR="006050FF" w:rsidRPr="006050FF">
        <w:rPr>
          <w:rFonts w:cs="Arial"/>
          <w:sz w:val="22"/>
          <w:szCs w:val="22"/>
        </w:rPr>
        <w:t xml:space="preserve">CPHHs </w:t>
      </w:r>
      <w:r w:rsidRPr="006050FF">
        <w:rPr>
          <w:rFonts w:cs="Arial"/>
          <w:sz w:val="22"/>
          <w:szCs w:val="22"/>
        </w:rPr>
        <w:t>are cattle. IMOs</w:t>
      </w:r>
      <w:r w:rsidR="006050FF" w:rsidRPr="006050FF">
        <w:rPr>
          <w:rFonts w:cs="Arial"/>
          <w:sz w:val="22"/>
          <w:szCs w:val="22"/>
        </w:rPr>
        <w:t>,</w:t>
      </w:r>
      <w:r w:rsidRPr="006050FF">
        <w:rPr>
          <w:rFonts w:cs="Arial"/>
          <w:sz w:val="22"/>
          <w:szCs w:val="22"/>
        </w:rPr>
        <w:t xml:space="preserve"> with oversight from the </w:t>
      </w:r>
      <w:r w:rsidR="00F1590B">
        <w:rPr>
          <w:rFonts w:cs="Arial"/>
          <w:sz w:val="22"/>
          <w:szCs w:val="22"/>
        </w:rPr>
        <w:t>MA</w:t>
      </w:r>
      <w:r w:rsidR="006050FF" w:rsidRPr="006050FF">
        <w:rPr>
          <w:rFonts w:cs="Arial"/>
          <w:sz w:val="22"/>
          <w:szCs w:val="22"/>
        </w:rPr>
        <w:t>,</w:t>
      </w:r>
      <w:r w:rsidRPr="006050FF">
        <w:rPr>
          <w:rFonts w:cs="Arial"/>
          <w:sz w:val="22"/>
          <w:szCs w:val="22"/>
        </w:rPr>
        <w:t xml:space="preserve"> have </w:t>
      </w:r>
      <w:r w:rsidR="006050FF" w:rsidRPr="006050FF">
        <w:rPr>
          <w:rFonts w:cs="Arial"/>
          <w:sz w:val="22"/>
          <w:szCs w:val="22"/>
        </w:rPr>
        <w:t xml:space="preserve">established </w:t>
      </w:r>
      <w:r w:rsidRPr="006050FF">
        <w:rPr>
          <w:rFonts w:cs="Arial"/>
          <w:sz w:val="22"/>
          <w:szCs w:val="22"/>
        </w:rPr>
        <w:t xml:space="preserve">a good procurement </w:t>
      </w:r>
      <w:r w:rsidR="006050FF" w:rsidRPr="006050FF">
        <w:rPr>
          <w:rFonts w:cs="Arial"/>
          <w:sz w:val="22"/>
          <w:szCs w:val="22"/>
        </w:rPr>
        <w:t xml:space="preserve">system </w:t>
      </w:r>
      <w:r w:rsidRPr="006050FF">
        <w:rPr>
          <w:rFonts w:cs="Arial"/>
          <w:sz w:val="22"/>
          <w:szCs w:val="22"/>
        </w:rPr>
        <w:t>wh</w:t>
      </w:r>
      <w:r w:rsidR="006050FF" w:rsidRPr="006050FF">
        <w:rPr>
          <w:rFonts w:cs="Arial"/>
          <w:sz w:val="22"/>
          <w:szCs w:val="22"/>
        </w:rPr>
        <w:t xml:space="preserve">ich includes </w:t>
      </w:r>
      <w:r w:rsidRPr="006050FF">
        <w:rPr>
          <w:rFonts w:cs="Arial"/>
          <w:sz w:val="22"/>
          <w:szCs w:val="22"/>
        </w:rPr>
        <w:t xml:space="preserve">trained veterinary professionals accompany </w:t>
      </w:r>
      <w:r w:rsidR="006050FF" w:rsidRPr="006050FF">
        <w:rPr>
          <w:rFonts w:cs="Arial"/>
          <w:sz w:val="22"/>
          <w:szCs w:val="22"/>
        </w:rPr>
        <w:t xml:space="preserve">staff and </w:t>
      </w:r>
      <w:r w:rsidRPr="006050FF">
        <w:rPr>
          <w:rFonts w:cs="Arial"/>
          <w:sz w:val="22"/>
          <w:szCs w:val="22"/>
        </w:rPr>
        <w:t xml:space="preserve">beneficiaries </w:t>
      </w:r>
      <w:r w:rsidR="006050FF" w:rsidRPr="006050FF">
        <w:rPr>
          <w:rFonts w:cs="Arial"/>
          <w:sz w:val="22"/>
          <w:szCs w:val="22"/>
        </w:rPr>
        <w:t xml:space="preserve">when </w:t>
      </w:r>
      <w:r w:rsidRPr="006050FF">
        <w:rPr>
          <w:rFonts w:cs="Arial"/>
          <w:sz w:val="22"/>
          <w:szCs w:val="22"/>
        </w:rPr>
        <w:t>buy</w:t>
      </w:r>
      <w:r w:rsidR="006050FF" w:rsidRPr="006050FF">
        <w:rPr>
          <w:rFonts w:cs="Arial"/>
          <w:sz w:val="22"/>
          <w:szCs w:val="22"/>
        </w:rPr>
        <w:t>ing</w:t>
      </w:r>
      <w:r w:rsidRPr="006050FF">
        <w:rPr>
          <w:rFonts w:cs="Arial"/>
          <w:sz w:val="22"/>
          <w:szCs w:val="22"/>
        </w:rPr>
        <w:t xml:space="preserve"> cattle, ensuring good quality</w:t>
      </w:r>
      <w:r w:rsidR="006050FF" w:rsidRPr="006050FF">
        <w:rPr>
          <w:rFonts w:cs="Arial"/>
          <w:sz w:val="22"/>
          <w:szCs w:val="22"/>
        </w:rPr>
        <w:t>,</w:t>
      </w:r>
      <w:r w:rsidRPr="006050FF">
        <w:rPr>
          <w:rFonts w:cs="Arial"/>
          <w:sz w:val="22"/>
          <w:szCs w:val="22"/>
        </w:rPr>
        <w:t xml:space="preserve"> healthy </w:t>
      </w:r>
      <w:r w:rsidR="006050FF" w:rsidRPr="006050FF">
        <w:rPr>
          <w:rFonts w:cs="Arial"/>
          <w:sz w:val="22"/>
          <w:szCs w:val="22"/>
        </w:rPr>
        <w:t>cattle are procured</w:t>
      </w:r>
      <w:r w:rsidRPr="006050FF">
        <w:rPr>
          <w:rFonts w:cs="Arial"/>
          <w:sz w:val="22"/>
          <w:szCs w:val="22"/>
        </w:rPr>
        <w:t xml:space="preserve">. Goods and equipment are also bought competitively and there is evidence that service contracts (e.g. training) are competitively let both by the </w:t>
      </w:r>
      <w:r w:rsidR="00A3640C" w:rsidRPr="00F1590B">
        <w:rPr>
          <w:rFonts w:cs="Arial"/>
          <w:sz w:val="22"/>
          <w:szCs w:val="22"/>
        </w:rPr>
        <w:t>MA</w:t>
      </w:r>
      <w:r w:rsidR="00A3640C" w:rsidRPr="006050FF">
        <w:rPr>
          <w:rFonts w:cs="Arial"/>
          <w:sz w:val="22"/>
          <w:szCs w:val="22"/>
        </w:rPr>
        <w:t xml:space="preserve"> and</w:t>
      </w:r>
      <w:r w:rsidRPr="006050FF">
        <w:rPr>
          <w:rFonts w:cs="Arial"/>
          <w:sz w:val="22"/>
          <w:szCs w:val="22"/>
        </w:rPr>
        <w:t xml:space="preserve"> downstream partners.</w:t>
      </w:r>
    </w:p>
    <w:p w:rsidR="005F7191" w:rsidRDefault="003434E8" w:rsidP="006050FF">
      <w:pPr>
        <w:spacing w:after="120"/>
        <w:rPr>
          <w:rFonts w:cs="Arial"/>
          <w:sz w:val="22"/>
          <w:szCs w:val="22"/>
        </w:rPr>
      </w:pPr>
      <w:r w:rsidRPr="003434E8">
        <w:rPr>
          <w:rFonts w:cs="Arial"/>
          <w:sz w:val="22"/>
          <w:szCs w:val="22"/>
          <w:u w:val="single"/>
        </w:rPr>
        <w:t>Efficiency Indicators</w:t>
      </w:r>
      <w:r w:rsidRPr="003434E8">
        <w:rPr>
          <w:rFonts w:cs="Arial"/>
          <w:sz w:val="22"/>
          <w:szCs w:val="22"/>
        </w:rPr>
        <w:t>:</w:t>
      </w:r>
      <w:r>
        <w:rPr>
          <w:rFonts w:cs="Arial"/>
          <w:b/>
          <w:sz w:val="22"/>
          <w:szCs w:val="22"/>
        </w:rPr>
        <w:t xml:space="preserve"> </w:t>
      </w:r>
      <w:r w:rsidRPr="00F1590B">
        <w:rPr>
          <w:rFonts w:cs="Arial"/>
          <w:sz w:val="22"/>
          <w:szCs w:val="22"/>
        </w:rPr>
        <w:t xml:space="preserve">Average household productive asset values rise from </w:t>
      </w:r>
      <w:r w:rsidR="006050FF" w:rsidRPr="00F1590B">
        <w:rPr>
          <w:rFonts w:cs="Arial"/>
          <w:sz w:val="22"/>
          <w:szCs w:val="22"/>
        </w:rPr>
        <w:t xml:space="preserve">BDT </w:t>
      </w:r>
      <w:r w:rsidRPr="00F1590B">
        <w:rPr>
          <w:rFonts w:cs="Arial"/>
          <w:sz w:val="22"/>
          <w:szCs w:val="22"/>
        </w:rPr>
        <w:t xml:space="preserve">1,687 (around £14) for the control group </w:t>
      </w:r>
      <w:r w:rsidR="006050FF" w:rsidRPr="00F1590B">
        <w:rPr>
          <w:rFonts w:cs="Arial"/>
          <w:sz w:val="22"/>
          <w:szCs w:val="22"/>
        </w:rPr>
        <w:t xml:space="preserve">at </w:t>
      </w:r>
      <w:r w:rsidR="00507983" w:rsidRPr="00F1590B">
        <w:rPr>
          <w:rFonts w:cs="Arial"/>
          <w:sz w:val="22"/>
          <w:szCs w:val="22"/>
        </w:rPr>
        <w:t>baseline</w:t>
      </w:r>
      <w:r w:rsidR="006050FF" w:rsidRPr="00F1590B">
        <w:rPr>
          <w:rFonts w:cs="Arial"/>
          <w:sz w:val="22"/>
          <w:szCs w:val="22"/>
        </w:rPr>
        <w:t xml:space="preserve"> </w:t>
      </w:r>
      <w:r w:rsidRPr="00F1590B">
        <w:rPr>
          <w:rFonts w:cs="Arial"/>
          <w:sz w:val="22"/>
          <w:szCs w:val="22"/>
        </w:rPr>
        <w:t>to an average</w:t>
      </w:r>
      <w:r w:rsidRPr="00F1590B">
        <w:t xml:space="preserve"> of </w:t>
      </w:r>
      <w:r w:rsidR="006050FF" w:rsidRPr="00F1590B">
        <w:t xml:space="preserve">BDT </w:t>
      </w:r>
      <w:r w:rsidRPr="00F1590B">
        <w:rPr>
          <w:rFonts w:cs="Arial"/>
          <w:sz w:val="22"/>
          <w:szCs w:val="22"/>
        </w:rPr>
        <w:t>52,328 (around £444) for households who completed the 18 month cycle of support and contin</w:t>
      </w:r>
      <w:r w:rsidR="006050FF" w:rsidRPr="00F1590B">
        <w:rPr>
          <w:rFonts w:cs="Arial"/>
          <w:sz w:val="22"/>
          <w:szCs w:val="22"/>
        </w:rPr>
        <w:t xml:space="preserve">ue </w:t>
      </w:r>
      <w:r w:rsidRPr="00F1590B">
        <w:rPr>
          <w:rFonts w:cs="Arial"/>
          <w:sz w:val="22"/>
          <w:szCs w:val="22"/>
        </w:rPr>
        <w:t>to rise over time.</w:t>
      </w:r>
      <w:r w:rsidR="006050FF">
        <w:rPr>
          <w:rFonts w:cs="Arial"/>
          <w:sz w:val="22"/>
          <w:szCs w:val="22"/>
        </w:rPr>
        <w:t xml:space="preserve"> </w:t>
      </w:r>
      <w:r w:rsidRPr="00AB5B5C">
        <w:rPr>
          <w:rFonts w:cs="Arial"/>
          <w:sz w:val="22"/>
          <w:szCs w:val="22"/>
        </w:rPr>
        <w:t>CLP has a market development component focusing on improving char beneficiaries’ access to dairy</w:t>
      </w:r>
      <w:r w:rsidR="009D47BD">
        <w:rPr>
          <w:rFonts w:cs="Arial"/>
          <w:sz w:val="22"/>
          <w:szCs w:val="22"/>
        </w:rPr>
        <w:t xml:space="preserve"> and </w:t>
      </w:r>
      <w:r w:rsidRPr="00AB5B5C">
        <w:rPr>
          <w:rFonts w:cs="Arial"/>
          <w:sz w:val="22"/>
          <w:szCs w:val="22"/>
        </w:rPr>
        <w:t>meat markets. Establishment of central collection points</w:t>
      </w:r>
      <w:r w:rsidR="009D47BD">
        <w:rPr>
          <w:rFonts w:cs="Arial"/>
          <w:sz w:val="22"/>
          <w:szCs w:val="22"/>
        </w:rPr>
        <w:t xml:space="preserve">, </w:t>
      </w:r>
      <w:r w:rsidRPr="00AB5B5C">
        <w:rPr>
          <w:rFonts w:cs="Arial"/>
          <w:sz w:val="22"/>
          <w:szCs w:val="22"/>
        </w:rPr>
        <w:t>artificial insemination</w:t>
      </w:r>
      <w:r>
        <w:rPr>
          <w:rFonts w:cs="Arial"/>
          <w:sz w:val="22"/>
          <w:szCs w:val="22"/>
        </w:rPr>
        <w:t xml:space="preserve"> (AI)</w:t>
      </w:r>
      <w:r w:rsidRPr="00AB5B5C">
        <w:rPr>
          <w:rFonts w:cs="Arial"/>
          <w:sz w:val="22"/>
          <w:szCs w:val="22"/>
        </w:rPr>
        <w:t xml:space="preserve"> of cattle</w:t>
      </w:r>
      <w:r>
        <w:rPr>
          <w:rFonts w:cs="Arial"/>
          <w:sz w:val="22"/>
          <w:szCs w:val="22"/>
        </w:rPr>
        <w:t>, cross-breeding</w:t>
      </w:r>
      <w:r w:rsidRPr="00AB5B5C">
        <w:rPr>
          <w:rFonts w:cs="Arial"/>
          <w:sz w:val="22"/>
          <w:szCs w:val="22"/>
        </w:rPr>
        <w:t xml:space="preserve"> with higher yielding breeds enhances productivity </w:t>
      </w:r>
      <w:r w:rsidR="009D47BD">
        <w:rPr>
          <w:rFonts w:cs="Arial"/>
          <w:sz w:val="22"/>
          <w:szCs w:val="22"/>
        </w:rPr>
        <w:t xml:space="preserve">and the </w:t>
      </w:r>
      <w:r w:rsidRPr="00AB5B5C">
        <w:rPr>
          <w:rFonts w:cs="Arial"/>
          <w:sz w:val="22"/>
          <w:szCs w:val="22"/>
        </w:rPr>
        <w:t xml:space="preserve">rate of conversion of inputs to outputs. </w:t>
      </w:r>
    </w:p>
    <w:p w:rsidR="003434E8" w:rsidRDefault="003434E8" w:rsidP="006050FF">
      <w:pPr>
        <w:spacing w:after="120"/>
        <w:rPr>
          <w:rFonts w:cs="Arial"/>
          <w:sz w:val="22"/>
          <w:szCs w:val="22"/>
        </w:rPr>
      </w:pPr>
      <w:r w:rsidRPr="003434E8">
        <w:rPr>
          <w:rFonts w:cs="Arial"/>
          <w:sz w:val="22"/>
          <w:szCs w:val="22"/>
          <w:u w:val="single"/>
        </w:rPr>
        <w:t>Effectiveness Indicators</w:t>
      </w:r>
      <w:r>
        <w:rPr>
          <w:rFonts w:cs="Arial"/>
          <w:b/>
          <w:sz w:val="22"/>
          <w:szCs w:val="22"/>
        </w:rPr>
        <w:t xml:space="preserve">: </w:t>
      </w:r>
      <w:r w:rsidRPr="0017380D">
        <w:rPr>
          <w:rFonts w:cs="Arial"/>
          <w:sz w:val="22"/>
          <w:szCs w:val="22"/>
        </w:rPr>
        <w:t>Gra</w:t>
      </w:r>
      <w:r>
        <w:rPr>
          <w:rFonts w:cs="Arial"/>
          <w:sz w:val="22"/>
          <w:szCs w:val="22"/>
        </w:rPr>
        <w:t xml:space="preserve">duation (meeting six or more </w:t>
      </w:r>
      <w:r w:rsidR="009D47BD">
        <w:rPr>
          <w:rFonts w:cs="Arial"/>
          <w:sz w:val="22"/>
          <w:szCs w:val="22"/>
        </w:rPr>
        <w:t xml:space="preserve">out of ten graduation </w:t>
      </w:r>
      <w:r>
        <w:rPr>
          <w:rFonts w:cs="Arial"/>
          <w:sz w:val="22"/>
          <w:szCs w:val="22"/>
        </w:rPr>
        <w:t>criteria)</w:t>
      </w:r>
      <w:r w:rsidR="009D47BD">
        <w:rPr>
          <w:rFonts w:cs="Arial"/>
          <w:sz w:val="22"/>
          <w:szCs w:val="22"/>
        </w:rPr>
        <w:t xml:space="preserve"> aims to assess </w:t>
      </w:r>
      <w:r w:rsidRPr="00B63B5D">
        <w:rPr>
          <w:rFonts w:cs="Arial"/>
          <w:sz w:val="22"/>
          <w:szCs w:val="22"/>
        </w:rPr>
        <w:t>whether a household is likely to be on the right trajectory out of extreme poverty</w:t>
      </w:r>
      <w:r w:rsidR="009D47BD">
        <w:rPr>
          <w:rFonts w:cs="Arial"/>
          <w:sz w:val="22"/>
          <w:szCs w:val="22"/>
        </w:rPr>
        <w:t xml:space="preserve"> and is the best means of capturing the overall cost-effectiveness of the programme</w:t>
      </w:r>
      <w:r w:rsidRPr="00B63B5D">
        <w:rPr>
          <w:rFonts w:cs="Arial"/>
          <w:sz w:val="22"/>
          <w:szCs w:val="22"/>
        </w:rPr>
        <w:t>.</w:t>
      </w:r>
      <w:r>
        <w:rPr>
          <w:rFonts w:cs="Arial"/>
          <w:sz w:val="22"/>
          <w:szCs w:val="22"/>
        </w:rPr>
        <w:t xml:space="preserve"> </w:t>
      </w:r>
      <w:r w:rsidR="009D47BD">
        <w:rPr>
          <w:rFonts w:cs="Arial"/>
          <w:sz w:val="22"/>
          <w:szCs w:val="22"/>
        </w:rPr>
        <w:t xml:space="preserve">According to the 2014 annual survey, 85% of all households meet the graduation criteria at the end of the 18 month CLP intervention period although </w:t>
      </w:r>
      <w:r w:rsidR="009D47BD">
        <w:rPr>
          <w:rFonts w:cs="Arial"/>
          <w:sz w:val="22"/>
          <w:szCs w:val="22"/>
        </w:rPr>
        <w:lastRenderedPageBreak/>
        <w:t>the rate has increased steadily with each cohort from 66.7% in cohort 2.1 to 91.1% in cohort 2.4.</w:t>
      </w:r>
      <w:r w:rsidR="00624F95">
        <w:rPr>
          <w:rFonts w:cs="Arial"/>
          <w:sz w:val="22"/>
          <w:szCs w:val="22"/>
        </w:rPr>
        <w:t xml:space="preserve"> With the exception of cohort 2.2, these rates appear to be sustainable over time with all other cohorts slightly increasing or maintaining graduation rates over time. </w:t>
      </w:r>
      <w:r w:rsidR="00CC6FAE">
        <w:rPr>
          <w:rFonts w:cs="Arial"/>
          <w:sz w:val="22"/>
          <w:szCs w:val="22"/>
        </w:rPr>
        <w:t>Among the remaining</w:t>
      </w:r>
      <w:r w:rsidR="00C3618D">
        <w:rPr>
          <w:rFonts w:cs="Arial"/>
          <w:sz w:val="22"/>
          <w:szCs w:val="22"/>
        </w:rPr>
        <w:t xml:space="preserve"> 15%</w:t>
      </w:r>
      <w:r w:rsidR="00CC6FAE">
        <w:rPr>
          <w:rFonts w:cs="Arial"/>
          <w:sz w:val="22"/>
          <w:szCs w:val="22"/>
        </w:rPr>
        <w:t>, some will</w:t>
      </w:r>
      <w:r w:rsidR="00C3618D">
        <w:rPr>
          <w:rFonts w:cs="Arial"/>
          <w:sz w:val="22"/>
          <w:szCs w:val="22"/>
        </w:rPr>
        <w:t xml:space="preserve"> require more time to graduate and </w:t>
      </w:r>
      <w:r w:rsidR="00CC6FAE">
        <w:rPr>
          <w:rFonts w:cs="Arial"/>
          <w:sz w:val="22"/>
          <w:szCs w:val="22"/>
        </w:rPr>
        <w:t xml:space="preserve">some </w:t>
      </w:r>
      <w:r w:rsidR="00C3618D">
        <w:rPr>
          <w:rFonts w:cs="Arial"/>
          <w:sz w:val="22"/>
          <w:szCs w:val="22"/>
        </w:rPr>
        <w:t xml:space="preserve">may </w:t>
      </w:r>
      <w:r w:rsidR="00CC6FAE">
        <w:rPr>
          <w:rFonts w:cs="Arial"/>
          <w:sz w:val="22"/>
          <w:szCs w:val="22"/>
        </w:rPr>
        <w:t>never</w:t>
      </w:r>
      <w:r w:rsidR="00FE6AC0">
        <w:rPr>
          <w:rFonts w:cs="Arial"/>
          <w:sz w:val="22"/>
          <w:szCs w:val="22"/>
        </w:rPr>
        <w:t xml:space="preserve"> graduate </w:t>
      </w:r>
      <w:r w:rsidR="00CC6FAE">
        <w:rPr>
          <w:rFonts w:cs="Arial"/>
          <w:sz w:val="22"/>
          <w:szCs w:val="22"/>
        </w:rPr>
        <w:t>. They</w:t>
      </w:r>
      <w:r w:rsidR="00FE6AC0">
        <w:rPr>
          <w:rFonts w:cs="Arial"/>
          <w:sz w:val="22"/>
          <w:szCs w:val="22"/>
        </w:rPr>
        <w:t xml:space="preserve"> will require other fo</w:t>
      </w:r>
      <w:r w:rsidR="00C3618D">
        <w:rPr>
          <w:rFonts w:cs="Arial"/>
          <w:sz w:val="22"/>
          <w:szCs w:val="22"/>
        </w:rPr>
        <w:t xml:space="preserve">rms of support </w:t>
      </w:r>
      <w:r w:rsidR="00CC6FAE">
        <w:rPr>
          <w:rFonts w:cs="Arial"/>
          <w:sz w:val="22"/>
          <w:szCs w:val="22"/>
        </w:rPr>
        <w:t>( safety nets).  The</w:t>
      </w:r>
      <w:r w:rsidR="00C3618D">
        <w:rPr>
          <w:rFonts w:cs="Arial"/>
          <w:sz w:val="22"/>
          <w:szCs w:val="22"/>
        </w:rPr>
        <w:t xml:space="preserve"> </w:t>
      </w:r>
      <w:r w:rsidR="00A3640C">
        <w:rPr>
          <w:rFonts w:cs="Arial"/>
          <w:sz w:val="22"/>
          <w:szCs w:val="22"/>
        </w:rPr>
        <w:t>differences</w:t>
      </w:r>
      <w:r w:rsidR="00C3618D">
        <w:rPr>
          <w:rFonts w:cs="Arial"/>
          <w:sz w:val="22"/>
          <w:szCs w:val="22"/>
        </w:rPr>
        <w:t xml:space="preserve"> in skills set ( investment decision), coping capacities to shocks (natural : flood/ river erosion or personal : paying dowry, chronic-illness of family members)</w:t>
      </w:r>
      <w:r w:rsidR="00CC6FAE">
        <w:rPr>
          <w:rFonts w:cs="Arial"/>
          <w:sz w:val="22"/>
          <w:szCs w:val="22"/>
        </w:rPr>
        <w:t xml:space="preserve"> are the main factors why are some households doing better than others.</w:t>
      </w:r>
    </w:p>
    <w:p w:rsidR="00A1700B" w:rsidRPr="00A1700B" w:rsidRDefault="00A1700B" w:rsidP="00A1700B">
      <w:pPr>
        <w:spacing w:after="120"/>
        <w:rPr>
          <w:rFonts w:cs="Arial"/>
          <w:sz w:val="22"/>
          <w:szCs w:val="22"/>
        </w:rPr>
      </w:pPr>
      <w:r w:rsidRPr="00A1700B">
        <w:rPr>
          <w:rFonts w:cs="Arial"/>
          <w:sz w:val="22"/>
          <w:szCs w:val="22"/>
        </w:rPr>
        <w:t xml:space="preserve">Applying these rates and projecting them forward over the remaining cohorts, the unit cost per </w:t>
      </w:r>
      <w:r w:rsidR="00F95B89">
        <w:rPr>
          <w:rFonts w:cs="Arial"/>
          <w:sz w:val="22"/>
          <w:szCs w:val="22"/>
        </w:rPr>
        <w:t xml:space="preserve">core </w:t>
      </w:r>
      <w:r w:rsidRPr="00A1700B">
        <w:rPr>
          <w:rFonts w:cs="Arial"/>
          <w:sz w:val="22"/>
          <w:szCs w:val="22"/>
        </w:rPr>
        <w:t xml:space="preserve">beneficiary households would be </w:t>
      </w:r>
      <w:r w:rsidRPr="001C5384">
        <w:rPr>
          <w:rFonts w:cs="Arial"/>
          <w:sz w:val="22"/>
          <w:szCs w:val="22"/>
        </w:rPr>
        <w:t>£</w:t>
      </w:r>
      <w:r w:rsidR="00D125FB" w:rsidRPr="001C5384">
        <w:rPr>
          <w:rFonts w:cs="Arial"/>
          <w:sz w:val="22"/>
          <w:szCs w:val="22"/>
        </w:rPr>
        <w:t>771</w:t>
      </w:r>
      <w:r w:rsidRPr="001C5384">
        <w:rPr>
          <w:rFonts w:cs="Arial"/>
          <w:sz w:val="22"/>
          <w:szCs w:val="22"/>
        </w:rPr>
        <w:t>inclusive of all costs</w:t>
      </w:r>
      <w:r w:rsidR="00F95B89" w:rsidRPr="001C5384">
        <w:rPr>
          <w:rFonts w:cs="Arial"/>
          <w:sz w:val="22"/>
          <w:szCs w:val="22"/>
        </w:rPr>
        <w:t xml:space="preserve"> and </w:t>
      </w:r>
      <w:r w:rsidRPr="001C5384">
        <w:rPr>
          <w:rFonts w:cs="Arial"/>
          <w:sz w:val="22"/>
          <w:szCs w:val="22"/>
        </w:rPr>
        <w:t>£</w:t>
      </w:r>
      <w:r w:rsidR="00F95B89" w:rsidRPr="001C5384">
        <w:rPr>
          <w:rFonts w:cs="Arial"/>
          <w:sz w:val="22"/>
          <w:szCs w:val="22"/>
        </w:rPr>
        <w:t>9</w:t>
      </w:r>
      <w:r w:rsidR="00D125FB" w:rsidRPr="001C5384">
        <w:rPr>
          <w:rFonts w:cs="Arial"/>
          <w:sz w:val="22"/>
          <w:szCs w:val="22"/>
        </w:rPr>
        <w:t>07</w:t>
      </w:r>
      <w:r w:rsidR="00F95B89" w:rsidRPr="001C5384">
        <w:rPr>
          <w:rFonts w:cs="Arial"/>
          <w:sz w:val="22"/>
          <w:szCs w:val="22"/>
        </w:rPr>
        <w:t xml:space="preserve"> </w:t>
      </w:r>
      <w:r w:rsidRPr="001C5384">
        <w:rPr>
          <w:rFonts w:cs="Arial"/>
          <w:sz w:val="22"/>
          <w:szCs w:val="22"/>
        </w:rPr>
        <w:t>per graduate</w:t>
      </w:r>
      <w:r w:rsidR="00D125FB" w:rsidRPr="001C5384">
        <w:rPr>
          <w:rFonts w:cs="Arial"/>
          <w:sz w:val="22"/>
          <w:szCs w:val="22"/>
        </w:rPr>
        <w:t>d</w:t>
      </w:r>
      <w:r w:rsidRPr="001C5384">
        <w:rPr>
          <w:rFonts w:cs="Arial"/>
          <w:sz w:val="22"/>
          <w:szCs w:val="22"/>
        </w:rPr>
        <w:t xml:space="preserve"> household</w:t>
      </w:r>
      <w:r w:rsidR="00F95B89">
        <w:rPr>
          <w:rFonts w:cs="Arial"/>
          <w:sz w:val="22"/>
          <w:szCs w:val="22"/>
        </w:rPr>
        <w:t xml:space="preserve">.  </w:t>
      </w:r>
    </w:p>
    <w:p w:rsidR="003434E8" w:rsidRDefault="003434E8" w:rsidP="00265145">
      <w:pPr>
        <w:spacing w:before="240" w:after="120"/>
        <w:rPr>
          <w:rFonts w:cs="Arial"/>
          <w:b/>
          <w:sz w:val="22"/>
          <w:szCs w:val="22"/>
          <w:lang w:val="en" w:eastAsia="en-GB"/>
        </w:rPr>
      </w:pPr>
      <w:r w:rsidRPr="000A0748">
        <w:rPr>
          <w:rFonts w:cs="Arial"/>
          <w:b/>
          <w:sz w:val="22"/>
          <w:szCs w:val="22"/>
          <w:lang w:val="en" w:eastAsia="en-GB"/>
        </w:rPr>
        <w:t xml:space="preserve">VfM </w:t>
      </w:r>
      <w:r w:rsidRPr="006C5C93">
        <w:rPr>
          <w:rFonts w:cs="Arial"/>
          <w:b/>
          <w:sz w:val="22"/>
          <w:szCs w:val="22"/>
        </w:rPr>
        <w:t>performance</w:t>
      </w:r>
      <w:r w:rsidRPr="000A0748">
        <w:rPr>
          <w:rFonts w:cs="Arial"/>
          <w:b/>
          <w:sz w:val="22"/>
          <w:szCs w:val="22"/>
          <w:lang w:val="en" w:eastAsia="en-GB"/>
        </w:rPr>
        <w:t xml:space="preserve"> compare</w:t>
      </w:r>
      <w:r>
        <w:rPr>
          <w:rFonts w:cs="Arial"/>
          <w:b/>
          <w:sz w:val="22"/>
          <w:szCs w:val="22"/>
          <w:lang w:val="en" w:eastAsia="en-GB"/>
        </w:rPr>
        <w:t>d</w:t>
      </w:r>
      <w:r w:rsidRPr="000A0748">
        <w:rPr>
          <w:rFonts w:cs="Arial"/>
          <w:b/>
          <w:sz w:val="22"/>
          <w:szCs w:val="22"/>
          <w:lang w:val="en" w:eastAsia="en-GB"/>
        </w:rPr>
        <w:t xml:space="preserve"> to the original VfM p</w:t>
      </w:r>
      <w:r>
        <w:rPr>
          <w:rFonts w:cs="Arial"/>
          <w:b/>
          <w:sz w:val="22"/>
          <w:szCs w:val="22"/>
          <w:lang w:val="en" w:eastAsia="en-GB"/>
        </w:rPr>
        <w:t>roposition in the business case</w:t>
      </w:r>
      <w:r w:rsidRPr="000A0748">
        <w:rPr>
          <w:rFonts w:cs="Arial"/>
          <w:b/>
          <w:sz w:val="22"/>
          <w:szCs w:val="22"/>
          <w:lang w:val="en" w:eastAsia="en-GB"/>
        </w:rPr>
        <w:t xml:space="preserve"> </w:t>
      </w:r>
    </w:p>
    <w:p w:rsidR="00882347" w:rsidRPr="000A0748" w:rsidRDefault="003434E8" w:rsidP="00882347">
      <w:pPr>
        <w:rPr>
          <w:rFonts w:cs="Arial"/>
          <w:sz w:val="22"/>
          <w:szCs w:val="22"/>
          <w:lang w:val="en" w:eastAsia="en-GB"/>
        </w:rPr>
      </w:pPr>
      <w:r>
        <w:rPr>
          <w:rFonts w:cs="Arial"/>
          <w:sz w:val="22"/>
          <w:szCs w:val="22"/>
          <w:lang w:val="en" w:eastAsia="en-GB"/>
        </w:rPr>
        <w:t xml:space="preserve">The original VfM proposition estimated benefit to cost ratio of 4.02, with </w:t>
      </w:r>
      <w:r w:rsidR="00507983">
        <w:rPr>
          <w:rFonts w:cs="Arial"/>
          <w:sz w:val="22"/>
          <w:szCs w:val="22"/>
          <w:lang w:val="en" w:eastAsia="en-GB"/>
        </w:rPr>
        <w:t>sensitivity</w:t>
      </w:r>
      <w:r>
        <w:rPr>
          <w:rFonts w:cs="Arial"/>
          <w:sz w:val="22"/>
          <w:szCs w:val="22"/>
          <w:lang w:val="en" w:eastAsia="en-GB"/>
        </w:rPr>
        <w:t xml:space="preserve"> analysis generating ratios of 3.18 </w:t>
      </w:r>
      <w:r w:rsidR="00A1700B">
        <w:rPr>
          <w:rFonts w:cs="Arial"/>
          <w:sz w:val="22"/>
          <w:szCs w:val="22"/>
          <w:lang w:val="en" w:eastAsia="en-GB"/>
        </w:rPr>
        <w:t xml:space="preserve">to </w:t>
      </w:r>
      <w:r>
        <w:rPr>
          <w:rFonts w:cs="Arial"/>
          <w:sz w:val="22"/>
          <w:szCs w:val="22"/>
          <w:lang w:val="en" w:eastAsia="en-GB"/>
        </w:rPr>
        <w:t xml:space="preserve">4.15. </w:t>
      </w:r>
      <w:r w:rsidRPr="007E0B38">
        <w:rPr>
          <w:rFonts w:cs="Arial"/>
          <w:sz w:val="22"/>
          <w:szCs w:val="22"/>
          <w:lang w:val="en" w:eastAsia="en-GB"/>
        </w:rPr>
        <w:t xml:space="preserve">A recent Cost-Benefit exercise </w:t>
      </w:r>
      <w:r w:rsidRPr="00D125FB">
        <w:rPr>
          <w:rFonts w:cs="Arial"/>
          <w:sz w:val="22"/>
          <w:szCs w:val="22"/>
          <w:lang w:val="en" w:eastAsia="en-GB"/>
        </w:rPr>
        <w:t>(</w:t>
      </w:r>
      <w:r w:rsidR="00882347" w:rsidRPr="00D125FB">
        <w:rPr>
          <w:rFonts w:cs="Arial"/>
          <w:sz w:val="22"/>
          <w:szCs w:val="22"/>
          <w:lang w:val="en" w:eastAsia="en-GB"/>
        </w:rPr>
        <w:t xml:space="preserve">April 2014) concluded with a positive assessment, suggesting that CLP offers good value for money, with a cost-benefit ratio of 1.82 and NPV of £145 million. </w:t>
      </w:r>
      <w:r w:rsidR="00882347" w:rsidRPr="00D125FB">
        <w:rPr>
          <w:rFonts w:cs="Arial"/>
          <w:sz w:val="22"/>
          <w:szCs w:val="22"/>
        </w:rPr>
        <w:t xml:space="preserve">The difference between this </w:t>
      </w:r>
      <w:r w:rsidR="00D125FB">
        <w:rPr>
          <w:rFonts w:cs="Arial"/>
          <w:sz w:val="22"/>
          <w:szCs w:val="22"/>
        </w:rPr>
        <w:t xml:space="preserve">2014 </w:t>
      </w:r>
      <w:r w:rsidR="00882347" w:rsidRPr="00D125FB">
        <w:rPr>
          <w:rFonts w:cs="Arial"/>
          <w:sz w:val="22"/>
          <w:szCs w:val="22"/>
        </w:rPr>
        <w:t xml:space="preserve">BCR result </w:t>
      </w:r>
      <w:r w:rsidR="00D125FB">
        <w:rPr>
          <w:rFonts w:cs="Arial"/>
          <w:sz w:val="22"/>
          <w:szCs w:val="22"/>
        </w:rPr>
        <w:t xml:space="preserve">and </w:t>
      </w:r>
      <w:r w:rsidR="00882347" w:rsidRPr="00D125FB">
        <w:rPr>
          <w:rFonts w:cs="Arial"/>
          <w:sz w:val="22"/>
          <w:szCs w:val="22"/>
        </w:rPr>
        <w:t>the original proposition is due mainly to the latter excluding Government costs and opportunity costs of labour to participating households, and assuming a much more optimistic average daily milk yield of 7.5 litres for CLP-provided cows (compared t</w:t>
      </w:r>
      <w:r w:rsidR="00204673">
        <w:rPr>
          <w:rFonts w:cs="Arial"/>
          <w:sz w:val="22"/>
          <w:szCs w:val="22"/>
        </w:rPr>
        <w:t>o 2.5 l</w:t>
      </w:r>
      <w:r w:rsidR="00F1590B">
        <w:rPr>
          <w:rFonts w:cs="Arial"/>
          <w:sz w:val="22"/>
          <w:szCs w:val="22"/>
        </w:rPr>
        <w:t>itres</w:t>
      </w:r>
      <w:r w:rsidR="00882347" w:rsidRPr="00D125FB">
        <w:rPr>
          <w:rFonts w:cs="Arial"/>
          <w:sz w:val="22"/>
          <w:szCs w:val="22"/>
        </w:rPr>
        <w:t xml:space="preserve"> on the ground</w:t>
      </w:r>
      <w:r w:rsidR="00882347" w:rsidRPr="00D125FB">
        <w:rPr>
          <w:rFonts w:cs="Arial"/>
        </w:rPr>
        <w:t>).</w:t>
      </w:r>
    </w:p>
    <w:p w:rsidR="00882347" w:rsidRPr="00176AF3" w:rsidRDefault="00882347" w:rsidP="00882347">
      <w:pPr>
        <w:rPr>
          <w:rFonts w:cs="Arial"/>
          <w:sz w:val="2"/>
          <w:szCs w:val="22"/>
          <w:lang w:val="en" w:eastAsia="en-GB"/>
        </w:rPr>
      </w:pPr>
    </w:p>
    <w:p w:rsidR="003434E8" w:rsidRPr="000A0748" w:rsidRDefault="003434E8" w:rsidP="00265145">
      <w:pPr>
        <w:spacing w:before="240" w:after="120"/>
        <w:rPr>
          <w:rFonts w:cs="Arial"/>
          <w:b/>
          <w:sz w:val="22"/>
          <w:szCs w:val="22"/>
          <w:lang w:val="en" w:eastAsia="en-GB"/>
        </w:rPr>
      </w:pPr>
      <w:r w:rsidRPr="006C5C93">
        <w:rPr>
          <w:rFonts w:cs="Arial"/>
          <w:b/>
          <w:sz w:val="22"/>
          <w:szCs w:val="22"/>
        </w:rPr>
        <w:t>Assessment</w:t>
      </w:r>
      <w:r>
        <w:rPr>
          <w:rFonts w:cs="Arial"/>
          <w:b/>
          <w:sz w:val="22"/>
          <w:szCs w:val="22"/>
          <w:lang w:val="en" w:eastAsia="en-GB"/>
        </w:rPr>
        <w:t xml:space="preserve"> of whether the programme</w:t>
      </w:r>
      <w:r w:rsidRPr="000A0748">
        <w:rPr>
          <w:rFonts w:cs="Arial"/>
          <w:b/>
          <w:sz w:val="22"/>
          <w:szCs w:val="22"/>
          <w:lang w:val="en" w:eastAsia="en-GB"/>
        </w:rPr>
        <w:t xml:space="preserve"> continue</w:t>
      </w:r>
      <w:r>
        <w:rPr>
          <w:rFonts w:cs="Arial"/>
          <w:b/>
          <w:sz w:val="22"/>
          <w:szCs w:val="22"/>
          <w:lang w:val="en" w:eastAsia="en-GB"/>
        </w:rPr>
        <w:t>s</w:t>
      </w:r>
      <w:r w:rsidRPr="000A0748">
        <w:rPr>
          <w:rFonts w:cs="Arial"/>
          <w:b/>
          <w:sz w:val="22"/>
          <w:szCs w:val="22"/>
          <w:lang w:val="en" w:eastAsia="en-GB"/>
        </w:rPr>
        <w:t xml:space="preserve"> to represent value for money</w:t>
      </w:r>
    </w:p>
    <w:p w:rsidR="00882347" w:rsidRPr="009F7229" w:rsidRDefault="003434E8" w:rsidP="00882347">
      <w:pPr>
        <w:rPr>
          <w:rFonts w:cs="Arial"/>
          <w:bCs/>
          <w:sz w:val="22"/>
          <w:szCs w:val="22"/>
        </w:rPr>
      </w:pPr>
      <w:r w:rsidRPr="006C5C93">
        <w:rPr>
          <w:rFonts w:cs="Arial"/>
          <w:sz w:val="22"/>
          <w:szCs w:val="22"/>
        </w:rPr>
        <w:t>CLP</w:t>
      </w:r>
      <w:r w:rsidR="00A1700B" w:rsidRPr="006C5C93">
        <w:rPr>
          <w:rFonts w:cs="Arial"/>
          <w:sz w:val="22"/>
          <w:szCs w:val="22"/>
        </w:rPr>
        <w:t>2</w:t>
      </w:r>
      <w:r w:rsidRPr="006C5C93">
        <w:rPr>
          <w:rFonts w:cs="Arial"/>
          <w:sz w:val="22"/>
          <w:szCs w:val="22"/>
        </w:rPr>
        <w:t xml:space="preserve"> continues to represent good value for money. </w:t>
      </w:r>
      <w:r w:rsidR="00EB49FD">
        <w:rPr>
          <w:rFonts w:cs="Arial"/>
          <w:sz w:val="22"/>
          <w:szCs w:val="22"/>
        </w:rPr>
        <w:t>T</w:t>
      </w:r>
      <w:r w:rsidR="006C5C93" w:rsidRPr="006C5C93">
        <w:rPr>
          <w:rFonts w:cs="Arial"/>
          <w:sz w:val="22"/>
          <w:szCs w:val="22"/>
        </w:rPr>
        <w:t xml:space="preserve">he </w:t>
      </w:r>
      <w:r w:rsidR="00633430" w:rsidRPr="00977245">
        <w:rPr>
          <w:rFonts w:cs="Arial"/>
          <w:sz w:val="22"/>
          <w:szCs w:val="22"/>
        </w:rPr>
        <w:t>apparent</w:t>
      </w:r>
      <w:r w:rsidR="00FF6FFE" w:rsidRPr="00977245">
        <w:rPr>
          <w:rFonts w:cs="Arial"/>
          <w:sz w:val="22"/>
          <w:szCs w:val="22"/>
        </w:rPr>
        <w:t xml:space="preserve"> high unit</w:t>
      </w:r>
      <w:r w:rsidR="006C5C93" w:rsidRPr="00977245">
        <w:rPr>
          <w:rFonts w:cs="Arial"/>
          <w:sz w:val="22"/>
          <w:szCs w:val="22"/>
        </w:rPr>
        <w:t xml:space="preserve"> costs </w:t>
      </w:r>
      <w:r w:rsidR="006C5C93" w:rsidRPr="006C5C93">
        <w:rPr>
          <w:rFonts w:cs="Arial"/>
          <w:sz w:val="22"/>
          <w:szCs w:val="22"/>
        </w:rPr>
        <w:t>are largely due to the unique context of the chars, with high transaction costs, no government service provision and annual flooding requiring significant additional investments. It is also not appropriate to compare CLP to traditional safety net programmes given the explicit focus on ‘graduating’ target households out of extreme poverty. T</w:t>
      </w:r>
      <w:r w:rsidRPr="006C5C93">
        <w:rPr>
          <w:rFonts w:cs="Arial"/>
          <w:sz w:val="22"/>
          <w:szCs w:val="22"/>
        </w:rPr>
        <w:t xml:space="preserve">he VfM Study </w:t>
      </w:r>
      <w:r w:rsidR="006C5C93">
        <w:rPr>
          <w:rFonts w:cs="Arial"/>
          <w:sz w:val="22"/>
          <w:szCs w:val="22"/>
        </w:rPr>
        <w:t xml:space="preserve">and </w:t>
      </w:r>
      <w:r w:rsidRPr="006C5C93">
        <w:rPr>
          <w:rFonts w:cs="Arial"/>
          <w:sz w:val="22"/>
          <w:szCs w:val="22"/>
        </w:rPr>
        <w:t xml:space="preserve">Cost-Benefit exercise </w:t>
      </w:r>
      <w:r w:rsidR="006C5C93">
        <w:rPr>
          <w:rFonts w:cs="Arial"/>
          <w:sz w:val="22"/>
          <w:szCs w:val="22"/>
        </w:rPr>
        <w:t xml:space="preserve">in </w:t>
      </w:r>
      <w:r w:rsidR="00882347" w:rsidRPr="00176AF3">
        <w:rPr>
          <w:rFonts w:cs="Arial"/>
          <w:sz w:val="22"/>
          <w:szCs w:val="22"/>
        </w:rPr>
        <w:t>2014 conclude that CLP delivers good Value for Money.</w:t>
      </w:r>
      <w:r w:rsidR="00176AF3" w:rsidRPr="00176AF3">
        <w:rPr>
          <w:rFonts w:cs="Arial"/>
          <w:sz w:val="22"/>
          <w:szCs w:val="22"/>
        </w:rPr>
        <w:t xml:space="preserve"> </w:t>
      </w:r>
      <w:r w:rsidR="00176AF3">
        <w:rPr>
          <w:rFonts w:cs="Arial"/>
          <w:sz w:val="22"/>
          <w:szCs w:val="22"/>
        </w:rPr>
        <w:t>A cross-programme</w:t>
      </w:r>
      <w:r w:rsidR="00176AF3" w:rsidRPr="00176AF3">
        <w:rPr>
          <w:rFonts w:cs="Arial"/>
          <w:sz w:val="22"/>
          <w:szCs w:val="22"/>
        </w:rPr>
        <w:t xml:space="preserve"> </w:t>
      </w:r>
      <w:r w:rsidR="00176AF3" w:rsidRPr="00B36ADF">
        <w:rPr>
          <w:rFonts w:cs="Arial"/>
          <w:sz w:val="22"/>
          <w:szCs w:val="22"/>
        </w:rPr>
        <w:t>Cost Effectiveness study</w:t>
      </w:r>
      <w:r w:rsidR="00B36ADF" w:rsidRPr="00B36ADF">
        <w:rPr>
          <w:rFonts w:cs="Arial"/>
          <w:sz w:val="22"/>
          <w:szCs w:val="22"/>
        </w:rPr>
        <w:t xml:space="preserve"> (</w:t>
      </w:r>
      <w:r w:rsidR="00CC06E5">
        <w:rPr>
          <w:rFonts w:cs="Arial"/>
          <w:sz w:val="22"/>
          <w:szCs w:val="22"/>
        </w:rPr>
        <w:t>which includes the</w:t>
      </w:r>
      <w:r w:rsidR="00B36ADF" w:rsidRPr="00B36ADF">
        <w:rPr>
          <w:rFonts w:cs="Arial"/>
          <w:sz w:val="22"/>
          <w:szCs w:val="22"/>
        </w:rPr>
        <w:t xml:space="preserve"> CLP) is </w:t>
      </w:r>
      <w:r w:rsidR="00633430" w:rsidRPr="00B36ADF">
        <w:rPr>
          <w:rFonts w:cs="Arial"/>
          <w:sz w:val="22"/>
          <w:szCs w:val="22"/>
        </w:rPr>
        <w:t>underway</w:t>
      </w:r>
      <w:r w:rsidR="00633430">
        <w:rPr>
          <w:rFonts w:cs="Arial"/>
          <w:sz w:val="22"/>
          <w:szCs w:val="22"/>
        </w:rPr>
        <w:t>;</w:t>
      </w:r>
      <w:r w:rsidR="00D90E86">
        <w:rPr>
          <w:rFonts w:cs="Arial"/>
          <w:sz w:val="22"/>
          <w:szCs w:val="22"/>
        </w:rPr>
        <w:t xml:space="preserve"> </w:t>
      </w:r>
      <w:r w:rsidR="00EB49FD" w:rsidRPr="009F7229">
        <w:rPr>
          <w:rFonts w:cs="Arial"/>
          <w:sz w:val="22"/>
          <w:szCs w:val="22"/>
        </w:rPr>
        <w:t xml:space="preserve">an initial analysis </w:t>
      </w:r>
      <w:r w:rsidR="00D90E86">
        <w:rPr>
          <w:rFonts w:cs="Arial"/>
          <w:sz w:val="22"/>
          <w:szCs w:val="22"/>
        </w:rPr>
        <w:t>also show</w:t>
      </w:r>
      <w:r w:rsidR="009F7229">
        <w:rPr>
          <w:rFonts w:cs="Arial"/>
          <w:sz w:val="22"/>
          <w:szCs w:val="22"/>
        </w:rPr>
        <w:t xml:space="preserve">s </w:t>
      </w:r>
      <w:r w:rsidR="009D2CE9" w:rsidRPr="009F7229">
        <w:rPr>
          <w:rFonts w:cs="Arial"/>
          <w:sz w:val="22"/>
          <w:szCs w:val="22"/>
        </w:rPr>
        <w:t>evidence</w:t>
      </w:r>
      <w:r w:rsidR="00EB49FD" w:rsidRPr="009F7229">
        <w:rPr>
          <w:rFonts w:cs="Arial"/>
          <w:sz w:val="22"/>
          <w:szCs w:val="22"/>
        </w:rPr>
        <w:t xml:space="preserve"> of good </w:t>
      </w:r>
      <w:r w:rsidR="009D2CE9" w:rsidRPr="009F7229">
        <w:rPr>
          <w:rFonts w:cs="Arial"/>
          <w:sz w:val="22"/>
          <w:szCs w:val="22"/>
        </w:rPr>
        <w:t xml:space="preserve">VfM. </w:t>
      </w:r>
    </w:p>
    <w:p w:rsidR="003434E8" w:rsidRPr="00864F0F" w:rsidRDefault="003434E8" w:rsidP="003434E8">
      <w:pPr>
        <w:rPr>
          <w:rFonts w:cs="Arial"/>
          <w:b/>
          <w:bCs/>
          <w:sz w:val="2"/>
          <w:szCs w:val="22"/>
        </w:rPr>
      </w:pPr>
    </w:p>
    <w:p w:rsidR="003434E8" w:rsidRPr="001705D4" w:rsidRDefault="003434E8" w:rsidP="003434E8">
      <w:pPr>
        <w:rPr>
          <w:rFonts w:cs="Arial"/>
          <w:b/>
          <w:bCs/>
          <w:sz w:val="2"/>
          <w:szCs w:val="22"/>
        </w:rPr>
      </w:pPr>
    </w:p>
    <w:p w:rsidR="003434E8" w:rsidRDefault="003434E8" w:rsidP="00265145">
      <w:pPr>
        <w:spacing w:before="240" w:after="120"/>
        <w:rPr>
          <w:rFonts w:cs="Arial"/>
          <w:b/>
          <w:bCs/>
          <w:sz w:val="22"/>
          <w:szCs w:val="22"/>
        </w:rPr>
      </w:pPr>
      <w:r w:rsidRPr="0046232B">
        <w:rPr>
          <w:rFonts w:cs="Arial"/>
          <w:b/>
          <w:bCs/>
          <w:sz w:val="22"/>
          <w:szCs w:val="22"/>
        </w:rPr>
        <w:t>Quality of financial management</w:t>
      </w:r>
    </w:p>
    <w:p w:rsidR="003434E8" w:rsidRPr="00626D7B" w:rsidRDefault="003434E8" w:rsidP="003434E8">
      <w:pPr>
        <w:rPr>
          <w:rFonts w:cs="Arial"/>
          <w:bCs/>
          <w:sz w:val="22"/>
          <w:szCs w:val="22"/>
        </w:rPr>
      </w:pPr>
      <w:r w:rsidRPr="00015A17">
        <w:rPr>
          <w:rFonts w:cs="Arial"/>
          <w:bCs/>
          <w:sz w:val="22"/>
          <w:szCs w:val="22"/>
        </w:rPr>
        <w:t xml:space="preserve">CLP </w:t>
      </w:r>
      <w:r>
        <w:rPr>
          <w:rFonts w:cs="Arial"/>
          <w:bCs/>
          <w:sz w:val="22"/>
          <w:szCs w:val="22"/>
        </w:rPr>
        <w:t>has strong financial management</w:t>
      </w:r>
      <w:r w:rsidR="00626D7B">
        <w:rPr>
          <w:rFonts w:cs="Arial"/>
          <w:bCs/>
          <w:sz w:val="22"/>
          <w:szCs w:val="22"/>
        </w:rPr>
        <w:t xml:space="preserve"> systems. This includes </w:t>
      </w:r>
      <w:r>
        <w:rPr>
          <w:rFonts w:cs="Arial"/>
          <w:bCs/>
          <w:sz w:val="22"/>
          <w:szCs w:val="22"/>
        </w:rPr>
        <w:t>an</w:t>
      </w:r>
      <w:r w:rsidRPr="00015A17">
        <w:rPr>
          <w:rFonts w:cs="Arial"/>
          <w:bCs/>
          <w:sz w:val="22"/>
          <w:szCs w:val="22"/>
        </w:rPr>
        <w:t xml:space="preserve"> </w:t>
      </w:r>
      <w:r w:rsidR="00626D7B">
        <w:rPr>
          <w:rFonts w:cs="Arial"/>
          <w:bCs/>
          <w:sz w:val="22"/>
          <w:szCs w:val="22"/>
        </w:rPr>
        <w:t>‘</w:t>
      </w:r>
      <w:r w:rsidRPr="00015A17">
        <w:rPr>
          <w:rFonts w:cs="Arial"/>
          <w:bCs/>
          <w:sz w:val="22"/>
          <w:szCs w:val="22"/>
        </w:rPr>
        <w:t>Activity Based Financial Reporting System</w:t>
      </w:r>
      <w:r w:rsidR="00626D7B">
        <w:rPr>
          <w:rFonts w:cs="Arial"/>
          <w:bCs/>
          <w:sz w:val="22"/>
          <w:szCs w:val="22"/>
        </w:rPr>
        <w:t>’,</w:t>
      </w:r>
      <w:r w:rsidRPr="00015A17">
        <w:rPr>
          <w:rFonts w:cs="Arial"/>
          <w:bCs/>
          <w:sz w:val="22"/>
          <w:szCs w:val="22"/>
        </w:rPr>
        <w:t xml:space="preserve"> </w:t>
      </w:r>
      <w:r>
        <w:rPr>
          <w:rFonts w:cs="Arial"/>
          <w:bCs/>
          <w:sz w:val="22"/>
          <w:szCs w:val="22"/>
        </w:rPr>
        <w:t xml:space="preserve">which </w:t>
      </w:r>
      <w:r w:rsidR="00626D7B">
        <w:rPr>
          <w:rFonts w:cs="Arial"/>
          <w:bCs/>
          <w:sz w:val="22"/>
          <w:szCs w:val="22"/>
        </w:rPr>
        <w:t xml:space="preserve">enables it to track </w:t>
      </w:r>
      <w:r w:rsidRPr="00015A17">
        <w:rPr>
          <w:rFonts w:cs="Arial"/>
          <w:bCs/>
          <w:sz w:val="22"/>
          <w:szCs w:val="22"/>
        </w:rPr>
        <w:t xml:space="preserve">IMOs expenditure </w:t>
      </w:r>
      <w:r w:rsidR="00626D7B">
        <w:rPr>
          <w:rFonts w:cs="Arial"/>
          <w:bCs/>
          <w:sz w:val="22"/>
          <w:szCs w:val="22"/>
        </w:rPr>
        <w:t xml:space="preserve">against each </w:t>
      </w:r>
      <w:r w:rsidRPr="00015A17">
        <w:rPr>
          <w:rFonts w:cs="Arial"/>
          <w:bCs/>
          <w:sz w:val="22"/>
          <w:szCs w:val="22"/>
        </w:rPr>
        <w:t>budget line to individual activities listed in the reporting system</w:t>
      </w:r>
      <w:r>
        <w:rPr>
          <w:rFonts w:cs="Arial"/>
          <w:bCs/>
          <w:sz w:val="22"/>
          <w:szCs w:val="22"/>
        </w:rPr>
        <w:t xml:space="preserve">. </w:t>
      </w:r>
      <w:r w:rsidRPr="00975F39">
        <w:rPr>
          <w:rFonts w:cs="Arial"/>
          <w:bCs/>
          <w:sz w:val="22"/>
          <w:szCs w:val="22"/>
        </w:rPr>
        <w:t xml:space="preserve">Expenditure through to the end of January 2015 will be approximately £12.25 million which represents 85% of the overall </w:t>
      </w:r>
      <w:r w:rsidR="00626D7B">
        <w:rPr>
          <w:rFonts w:cs="Arial"/>
          <w:bCs/>
          <w:sz w:val="22"/>
          <w:szCs w:val="22"/>
        </w:rPr>
        <w:t>20</w:t>
      </w:r>
      <w:r w:rsidRPr="00975F39">
        <w:rPr>
          <w:rFonts w:cs="Arial"/>
          <w:bCs/>
          <w:sz w:val="22"/>
          <w:szCs w:val="22"/>
        </w:rPr>
        <w:t>14/15 budget of £14.50 million</w:t>
      </w:r>
      <w:r>
        <w:rPr>
          <w:rFonts w:cs="Arial"/>
          <w:bCs/>
          <w:sz w:val="22"/>
          <w:szCs w:val="22"/>
        </w:rPr>
        <w:t>.</w:t>
      </w:r>
      <w:r w:rsidR="00626D7B">
        <w:rPr>
          <w:rFonts w:cs="Arial"/>
          <w:bCs/>
          <w:sz w:val="22"/>
          <w:szCs w:val="22"/>
        </w:rPr>
        <w:t xml:space="preserve"> </w:t>
      </w:r>
      <w:r w:rsidR="00FF60C1">
        <w:rPr>
          <w:rFonts w:cs="Arial"/>
          <w:bCs/>
          <w:sz w:val="22"/>
          <w:szCs w:val="22"/>
        </w:rPr>
        <w:t xml:space="preserve">CLP expects to spend between 98% </w:t>
      </w:r>
      <w:r w:rsidRPr="00975F39">
        <w:rPr>
          <w:rFonts w:cs="Arial"/>
          <w:bCs/>
          <w:sz w:val="22"/>
          <w:szCs w:val="22"/>
        </w:rPr>
        <w:t>of the annual budget</w:t>
      </w:r>
      <w:r w:rsidR="00626D7B">
        <w:rPr>
          <w:rFonts w:cs="Arial"/>
          <w:bCs/>
          <w:sz w:val="22"/>
          <w:szCs w:val="22"/>
        </w:rPr>
        <w:t xml:space="preserve">. It achieved </w:t>
      </w:r>
      <w:r w:rsidR="00FF60C1">
        <w:rPr>
          <w:rFonts w:cs="Arial"/>
          <w:bCs/>
          <w:sz w:val="22"/>
          <w:szCs w:val="22"/>
        </w:rPr>
        <w:t>the target-</w:t>
      </w:r>
      <w:r w:rsidR="00626D7B">
        <w:rPr>
          <w:rFonts w:cs="Arial"/>
          <w:bCs/>
          <w:sz w:val="22"/>
          <w:szCs w:val="22"/>
        </w:rPr>
        <w:t xml:space="preserve">a </w:t>
      </w:r>
      <w:r w:rsidRPr="00975F39">
        <w:rPr>
          <w:rFonts w:cs="Arial"/>
          <w:bCs/>
          <w:sz w:val="22"/>
          <w:szCs w:val="22"/>
        </w:rPr>
        <w:t xml:space="preserve">98% </w:t>
      </w:r>
      <w:r w:rsidR="00626D7B">
        <w:rPr>
          <w:rFonts w:cs="Arial"/>
          <w:bCs/>
          <w:sz w:val="22"/>
          <w:szCs w:val="22"/>
        </w:rPr>
        <w:t xml:space="preserve">spend rate in both previous financial years, </w:t>
      </w:r>
      <w:r w:rsidRPr="00975F39">
        <w:rPr>
          <w:rFonts w:cs="Arial"/>
          <w:bCs/>
          <w:sz w:val="22"/>
          <w:szCs w:val="22"/>
        </w:rPr>
        <w:t>demonstrat</w:t>
      </w:r>
      <w:r>
        <w:rPr>
          <w:rFonts w:cs="Arial"/>
          <w:bCs/>
          <w:sz w:val="22"/>
          <w:szCs w:val="22"/>
        </w:rPr>
        <w:t>ing</w:t>
      </w:r>
      <w:r w:rsidRPr="00975F39">
        <w:rPr>
          <w:rFonts w:cs="Arial"/>
          <w:bCs/>
          <w:sz w:val="22"/>
          <w:szCs w:val="22"/>
        </w:rPr>
        <w:t xml:space="preserve"> CLP’s </w:t>
      </w:r>
      <w:r w:rsidR="00626D7B">
        <w:rPr>
          <w:rFonts w:cs="Arial"/>
          <w:bCs/>
          <w:sz w:val="22"/>
          <w:szCs w:val="22"/>
        </w:rPr>
        <w:t xml:space="preserve">capacity in </w:t>
      </w:r>
      <w:r w:rsidRPr="00975F39">
        <w:rPr>
          <w:rFonts w:cs="Arial"/>
          <w:bCs/>
          <w:sz w:val="22"/>
          <w:szCs w:val="22"/>
        </w:rPr>
        <w:t>develop</w:t>
      </w:r>
      <w:r w:rsidR="00626D7B">
        <w:rPr>
          <w:rFonts w:cs="Arial"/>
          <w:bCs/>
          <w:sz w:val="22"/>
          <w:szCs w:val="22"/>
        </w:rPr>
        <w:t xml:space="preserve">ing realistic </w:t>
      </w:r>
      <w:r w:rsidR="00A3640C" w:rsidRPr="00975F39">
        <w:rPr>
          <w:rFonts w:cs="Arial"/>
          <w:bCs/>
          <w:sz w:val="22"/>
          <w:szCs w:val="22"/>
        </w:rPr>
        <w:t>work plans</w:t>
      </w:r>
      <w:r w:rsidRPr="00975F39">
        <w:rPr>
          <w:rFonts w:cs="Arial"/>
          <w:bCs/>
          <w:sz w:val="22"/>
          <w:szCs w:val="22"/>
        </w:rPr>
        <w:t xml:space="preserve"> and deliver</w:t>
      </w:r>
      <w:r w:rsidR="00626D7B">
        <w:rPr>
          <w:rFonts w:cs="Arial"/>
          <w:bCs/>
          <w:sz w:val="22"/>
          <w:szCs w:val="22"/>
        </w:rPr>
        <w:t>ing</w:t>
      </w:r>
      <w:r w:rsidRPr="00975F39">
        <w:rPr>
          <w:rFonts w:cs="Arial"/>
          <w:bCs/>
          <w:sz w:val="22"/>
          <w:szCs w:val="22"/>
        </w:rPr>
        <w:t xml:space="preserve"> against them</w:t>
      </w:r>
      <w:r>
        <w:rPr>
          <w:rFonts w:cs="Arial"/>
          <w:bCs/>
          <w:sz w:val="22"/>
          <w:szCs w:val="22"/>
        </w:rPr>
        <w:t>. An external audit conducted in June 2014 did not raise major issues</w:t>
      </w:r>
      <w:r w:rsidR="00626D7B">
        <w:rPr>
          <w:rFonts w:cs="Arial"/>
          <w:bCs/>
          <w:sz w:val="22"/>
          <w:szCs w:val="22"/>
        </w:rPr>
        <w:t xml:space="preserve"> and </w:t>
      </w:r>
      <w:r>
        <w:rPr>
          <w:rFonts w:cs="Arial"/>
          <w:bCs/>
          <w:sz w:val="22"/>
          <w:szCs w:val="22"/>
        </w:rPr>
        <w:t>there has been satisfactory progress to date on audit recommendations. DFID Programme Team carried a spot check in December 2014, observing satisfactory registration and maintenance of assets while recommending further streamlining of an otherwise good fraud reporting system.</w:t>
      </w:r>
    </w:p>
    <w:p w:rsidR="003434E8" w:rsidRPr="00447DB9" w:rsidRDefault="003434E8" w:rsidP="003434E8">
      <w:pPr>
        <w:rPr>
          <w:rFonts w:cs="Arial"/>
          <w:i/>
          <w:sz w:val="12"/>
          <w:szCs w:val="22"/>
        </w:rPr>
      </w:pPr>
    </w:p>
    <w:tbl>
      <w:tblPr>
        <w:tblStyle w:val="TableGrid"/>
        <w:tblW w:w="0" w:type="auto"/>
        <w:tblInd w:w="250" w:type="dxa"/>
        <w:tblLook w:val="04A0" w:firstRow="1" w:lastRow="0" w:firstColumn="1" w:lastColumn="0" w:noHBand="0" w:noVBand="1"/>
      </w:tblPr>
      <w:tblGrid>
        <w:gridCol w:w="4253"/>
        <w:gridCol w:w="2268"/>
      </w:tblGrid>
      <w:tr w:rsidR="003434E8" w:rsidRPr="00F82D5D" w:rsidTr="003E113B">
        <w:tc>
          <w:tcPr>
            <w:tcW w:w="4253" w:type="dxa"/>
            <w:shd w:val="clear" w:color="auto" w:fill="DBE5F1" w:themeFill="accent1" w:themeFillTint="33"/>
          </w:tcPr>
          <w:p w:rsidR="003434E8" w:rsidRPr="00F82D5D" w:rsidRDefault="003434E8" w:rsidP="003E113B">
            <w:pPr>
              <w:rPr>
                <w:rFonts w:cs="Arial"/>
                <w:sz w:val="22"/>
                <w:szCs w:val="22"/>
              </w:rPr>
            </w:pPr>
            <w:r w:rsidRPr="00F82D5D">
              <w:rPr>
                <w:rFonts w:cs="Arial"/>
                <w:sz w:val="22"/>
                <w:szCs w:val="22"/>
              </w:rPr>
              <w:t>Date of last narrative financial report</w:t>
            </w:r>
          </w:p>
        </w:tc>
        <w:tc>
          <w:tcPr>
            <w:tcW w:w="2268" w:type="dxa"/>
          </w:tcPr>
          <w:p w:rsidR="003434E8" w:rsidRPr="00F82D5D" w:rsidRDefault="003434E8" w:rsidP="003E113B">
            <w:pPr>
              <w:rPr>
                <w:rFonts w:cs="Arial"/>
                <w:sz w:val="22"/>
                <w:szCs w:val="22"/>
              </w:rPr>
            </w:pPr>
            <w:r>
              <w:rPr>
                <w:rFonts w:cs="Arial"/>
                <w:sz w:val="22"/>
                <w:szCs w:val="22"/>
              </w:rPr>
              <w:t>26 October 2014</w:t>
            </w:r>
          </w:p>
        </w:tc>
      </w:tr>
      <w:tr w:rsidR="003434E8" w:rsidRPr="00F82D5D" w:rsidTr="003E113B">
        <w:tc>
          <w:tcPr>
            <w:tcW w:w="4253" w:type="dxa"/>
            <w:shd w:val="clear" w:color="auto" w:fill="DBE5F1" w:themeFill="accent1" w:themeFillTint="33"/>
          </w:tcPr>
          <w:p w:rsidR="003434E8" w:rsidRPr="00F82D5D" w:rsidRDefault="003434E8" w:rsidP="003E113B">
            <w:pPr>
              <w:rPr>
                <w:rFonts w:cs="Arial"/>
                <w:sz w:val="22"/>
                <w:szCs w:val="22"/>
              </w:rPr>
            </w:pPr>
            <w:r w:rsidRPr="00F82D5D">
              <w:rPr>
                <w:rFonts w:cs="Arial"/>
                <w:sz w:val="22"/>
                <w:szCs w:val="22"/>
              </w:rPr>
              <w:t>Date of last audited annual statement</w:t>
            </w:r>
          </w:p>
        </w:tc>
        <w:tc>
          <w:tcPr>
            <w:tcW w:w="2268" w:type="dxa"/>
          </w:tcPr>
          <w:p w:rsidR="003434E8" w:rsidRPr="00F82D5D" w:rsidRDefault="003434E8" w:rsidP="003E113B">
            <w:pPr>
              <w:rPr>
                <w:rFonts w:cs="Arial"/>
                <w:sz w:val="22"/>
                <w:szCs w:val="22"/>
              </w:rPr>
            </w:pPr>
            <w:r>
              <w:rPr>
                <w:rFonts w:cs="Arial"/>
                <w:sz w:val="22"/>
                <w:szCs w:val="22"/>
              </w:rPr>
              <w:t>26 June 2014</w:t>
            </w:r>
          </w:p>
        </w:tc>
      </w:tr>
    </w:tbl>
    <w:p w:rsidR="00767DD8" w:rsidRDefault="00767DD8" w:rsidP="00F82D5D">
      <w:pPr>
        <w:ind w:left="426" w:hanging="426"/>
        <w:rPr>
          <w:rFonts w:cs="Arial"/>
          <w:sz w:val="12"/>
          <w:szCs w:val="22"/>
        </w:rPr>
      </w:pPr>
    </w:p>
    <w:p w:rsidR="00265145" w:rsidRDefault="00265145" w:rsidP="00F82D5D">
      <w:pPr>
        <w:ind w:left="426" w:hanging="426"/>
        <w:rPr>
          <w:rFonts w:cs="Arial"/>
          <w:sz w:val="12"/>
          <w:szCs w:val="22"/>
        </w:rPr>
      </w:pPr>
    </w:p>
    <w:p w:rsidR="00265145" w:rsidRPr="00447DB9" w:rsidRDefault="00265145" w:rsidP="00F82D5D">
      <w:pPr>
        <w:ind w:left="426" w:hanging="426"/>
        <w:rPr>
          <w:rFonts w:cs="Arial"/>
          <w:sz w:val="12"/>
          <w:szCs w:val="22"/>
        </w:rPr>
      </w:pPr>
    </w:p>
    <w:p w:rsidR="00F82D5D" w:rsidRPr="00792F95" w:rsidRDefault="00F82D5D">
      <w:pPr>
        <w:rPr>
          <w:rFonts w:cs="Arial"/>
          <w:bCs/>
          <w:sz w:val="2"/>
          <w:szCs w:val="22"/>
        </w:rPr>
      </w:pPr>
    </w:p>
    <w:p w:rsidR="00543787" w:rsidRPr="0046232B" w:rsidRDefault="001E30A4" w:rsidP="00A4556C">
      <w:pPr>
        <w:pBdr>
          <w:top w:val="single" w:sz="4" w:space="1" w:color="auto"/>
          <w:left w:val="single" w:sz="4" w:space="4" w:color="auto"/>
          <w:bottom w:val="single" w:sz="4" w:space="1" w:color="auto"/>
          <w:right w:val="single" w:sz="4" w:space="4" w:color="auto"/>
        </w:pBdr>
        <w:shd w:val="clear" w:color="auto" w:fill="DBE5F1" w:themeFill="accent1" w:themeFillTint="33"/>
        <w:rPr>
          <w:rFonts w:cs="Arial"/>
          <w:bCs/>
          <w:sz w:val="20"/>
          <w:szCs w:val="20"/>
        </w:rPr>
      </w:pPr>
      <w:r>
        <w:rPr>
          <w:rFonts w:cs="Arial"/>
          <w:b/>
          <w:bCs/>
          <w:sz w:val="28"/>
          <w:szCs w:val="22"/>
        </w:rPr>
        <w:t>E</w:t>
      </w:r>
      <w:r w:rsidR="00157035" w:rsidRPr="00157035">
        <w:rPr>
          <w:rFonts w:cs="Arial"/>
          <w:b/>
          <w:bCs/>
          <w:sz w:val="28"/>
          <w:szCs w:val="22"/>
        </w:rPr>
        <w:t>: RISK</w:t>
      </w:r>
      <w:r w:rsidR="00E66AAD">
        <w:rPr>
          <w:rFonts w:cs="Arial"/>
          <w:b/>
          <w:bCs/>
          <w:sz w:val="28"/>
          <w:szCs w:val="22"/>
        </w:rPr>
        <w:t xml:space="preserve"> </w:t>
      </w:r>
    </w:p>
    <w:p w:rsidR="00543787" w:rsidRPr="00792F95" w:rsidRDefault="00543787" w:rsidP="00A4556C">
      <w:pPr>
        <w:pStyle w:val="ListParagraph"/>
        <w:rPr>
          <w:sz w:val="12"/>
        </w:rPr>
      </w:pPr>
    </w:p>
    <w:p w:rsidR="00933BE8" w:rsidRPr="00626D7B" w:rsidRDefault="00933BE8" w:rsidP="00933BE8">
      <w:pPr>
        <w:rPr>
          <w:sz w:val="22"/>
          <w:szCs w:val="22"/>
        </w:rPr>
      </w:pPr>
      <w:r w:rsidRPr="00626D7B">
        <w:rPr>
          <w:b/>
          <w:bCs/>
          <w:sz w:val="22"/>
          <w:szCs w:val="22"/>
        </w:rPr>
        <w:t>Overall risk rating:  High</w:t>
      </w:r>
      <w:r w:rsidR="00626D7B" w:rsidRPr="00626D7B">
        <w:rPr>
          <w:b/>
          <w:bCs/>
          <w:sz w:val="22"/>
          <w:szCs w:val="22"/>
        </w:rPr>
        <w:t xml:space="preserve">. </w:t>
      </w:r>
      <w:r w:rsidRPr="00626D7B">
        <w:rPr>
          <w:sz w:val="22"/>
          <w:szCs w:val="22"/>
        </w:rPr>
        <w:t xml:space="preserve">This should be raised from last year in the context of continued violent political unrest since January </w:t>
      </w:r>
      <w:r w:rsidR="00626D7B" w:rsidRPr="00626D7B">
        <w:rPr>
          <w:sz w:val="22"/>
          <w:szCs w:val="22"/>
        </w:rPr>
        <w:t>20</w:t>
      </w:r>
      <w:r w:rsidRPr="00626D7B">
        <w:rPr>
          <w:sz w:val="22"/>
          <w:szCs w:val="22"/>
        </w:rPr>
        <w:t>15</w:t>
      </w:r>
      <w:r w:rsidR="00626D7B" w:rsidRPr="00626D7B">
        <w:rPr>
          <w:sz w:val="22"/>
          <w:szCs w:val="22"/>
        </w:rPr>
        <w:t xml:space="preserve"> (</w:t>
      </w:r>
      <w:r w:rsidRPr="00626D7B">
        <w:rPr>
          <w:sz w:val="22"/>
          <w:szCs w:val="22"/>
        </w:rPr>
        <w:t xml:space="preserve">with no </w:t>
      </w:r>
      <w:r w:rsidR="00626D7B" w:rsidRPr="00626D7B">
        <w:rPr>
          <w:sz w:val="22"/>
          <w:szCs w:val="22"/>
        </w:rPr>
        <w:t xml:space="preserve">immediate end in sight) constraining staff </w:t>
      </w:r>
      <w:r w:rsidR="00A1432B">
        <w:rPr>
          <w:sz w:val="22"/>
          <w:szCs w:val="22"/>
        </w:rPr>
        <w:t xml:space="preserve">and vehicle </w:t>
      </w:r>
      <w:r w:rsidR="00626D7B" w:rsidRPr="00626D7B">
        <w:rPr>
          <w:sz w:val="22"/>
          <w:szCs w:val="22"/>
        </w:rPr>
        <w:t xml:space="preserve">movement during the phase-out period of the project, which already involves higher risks. </w:t>
      </w:r>
      <w:r w:rsidR="00626D7B">
        <w:rPr>
          <w:sz w:val="22"/>
          <w:szCs w:val="22"/>
        </w:rPr>
        <w:t xml:space="preserve"> </w:t>
      </w:r>
    </w:p>
    <w:p w:rsidR="00933BE8" w:rsidRPr="00933BE8" w:rsidRDefault="00933BE8" w:rsidP="00626D7B">
      <w:pPr>
        <w:spacing w:before="240" w:after="120"/>
        <w:rPr>
          <w:b/>
          <w:sz w:val="22"/>
          <w:szCs w:val="22"/>
        </w:rPr>
      </w:pPr>
      <w:r w:rsidRPr="00933BE8">
        <w:rPr>
          <w:b/>
          <w:sz w:val="22"/>
          <w:szCs w:val="22"/>
        </w:rPr>
        <w:t>Overview of Programme Risk</w:t>
      </w:r>
    </w:p>
    <w:p w:rsidR="00933BE8" w:rsidRPr="00933BE8" w:rsidRDefault="00933BE8" w:rsidP="00507983">
      <w:pPr>
        <w:spacing w:after="120"/>
        <w:rPr>
          <w:sz w:val="22"/>
          <w:szCs w:val="22"/>
        </w:rPr>
      </w:pPr>
      <w:r w:rsidRPr="00507983">
        <w:rPr>
          <w:sz w:val="22"/>
          <w:szCs w:val="22"/>
          <w:u w:val="single"/>
        </w:rPr>
        <w:t>Financial:</w:t>
      </w:r>
      <w:r w:rsidRPr="00933BE8">
        <w:rPr>
          <w:sz w:val="22"/>
          <w:szCs w:val="22"/>
        </w:rPr>
        <w:t xml:space="preserve"> CLP’s operational environment is assessed to be at high risk of corruption and leakage. The project has over time put in place robust financial controls and safeguards, assessed by different independent studies and DFID’s own reviews</w:t>
      </w:r>
      <w:r w:rsidR="007D090B" w:rsidRPr="007D090B">
        <w:rPr>
          <w:sz w:val="22"/>
          <w:szCs w:val="22"/>
        </w:rPr>
        <w:t>.</w:t>
      </w:r>
      <w:r w:rsidR="007D090B">
        <w:rPr>
          <w:sz w:val="22"/>
          <w:szCs w:val="22"/>
        </w:rPr>
        <w:t xml:space="preserve"> </w:t>
      </w:r>
      <w:r w:rsidRPr="00977245">
        <w:rPr>
          <w:sz w:val="22"/>
          <w:szCs w:val="22"/>
        </w:rPr>
        <w:t xml:space="preserve">It has successfully recovered </w:t>
      </w:r>
      <w:r w:rsidR="0013028E" w:rsidRPr="00977245">
        <w:rPr>
          <w:sz w:val="22"/>
          <w:szCs w:val="22"/>
        </w:rPr>
        <w:t>m</w:t>
      </w:r>
      <w:r w:rsidRPr="00977245">
        <w:rPr>
          <w:sz w:val="22"/>
          <w:szCs w:val="22"/>
        </w:rPr>
        <w:t xml:space="preserve">isappropriated funds in 2014 from one of its implementing NGOs, with whom it </w:t>
      </w:r>
      <w:r w:rsidR="00626D7B" w:rsidRPr="00977245">
        <w:rPr>
          <w:sz w:val="22"/>
          <w:szCs w:val="22"/>
        </w:rPr>
        <w:t xml:space="preserve">subsequently </w:t>
      </w:r>
      <w:r w:rsidRPr="00977245">
        <w:rPr>
          <w:sz w:val="22"/>
          <w:szCs w:val="22"/>
        </w:rPr>
        <w:t xml:space="preserve">terminated its contract. The </w:t>
      </w:r>
      <w:r w:rsidRPr="00977245">
        <w:rPr>
          <w:sz w:val="22"/>
          <w:szCs w:val="22"/>
        </w:rPr>
        <w:lastRenderedPageBreak/>
        <w:t xml:space="preserve">incidence was </w:t>
      </w:r>
      <w:r w:rsidR="00D374BA" w:rsidRPr="00977245">
        <w:rPr>
          <w:sz w:val="22"/>
          <w:szCs w:val="22"/>
        </w:rPr>
        <w:t>partly</w:t>
      </w:r>
      <w:r w:rsidR="00626D7B" w:rsidRPr="00977245">
        <w:rPr>
          <w:sz w:val="22"/>
          <w:szCs w:val="22"/>
        </w:rPr>
        <w:t xml:space="preserve"> </w:t>
      </w:r>
      <w:r w:rsidRPr="00977245">
        <w:rPr>
          <w:sz w:val="22"/>
          <w:szCs w:val="22"/>
        </w:rPr>
        <w:t>due to some controls</w:t>
      </w:r>
      <w:r w:rsidR="00626D7B" w:rsidRPr="00977245">
        <w:rPr>
          <w:sz w:val="22"/>
          <w:szCs w:val="22"/>
        </w:rPr>
        <w:t xml:space="preserve">, including </w:t>
      </w:r>
      <w:r w:rsidRPr="00977245">
        <w:rPr>
          <w:sz w:val="22"/>
          <w:szCs w:val="22"/>
        </w:rPr>
        <w:t>internal audit</w:t>
      </w:r>
      <w:r w:rsidR="00626D7B" w:rsidRPr="00977245">
        <w:rPr>
          <w:sz w:val="22"/>
          <w:szCs w:val="22"/>
        </w:rPr>
        <w:t xml:space="preserve"> and close </w:t>
      </w:r>
      <w:r w:rsidRPr="00977245">
        <w:rPr>
          <w:sz w:val="22"/>
          <w:szCs w:val="22"/>
        </w:rPr>
        <w:t>supervision by CLP staff</w:t>
      </w:r>
      <w:r w:rsidR="00626D7B" w:rsidRPr="00977245">
        <w:rPr>
          <w:sz w:val="22"/>
          <w:szCs w:val="22"/>
        </w:rPr>
        <w:t xml:space="preserve">, </w:t>
      </w:r>
      <w:r w:rsidRPr="00977245">
        <w:rPr>
          <w:sz w:val="22"/>
          <w:szCs w:val="22"/>
        </w:rPr>
        <w:t>not being applied due to countrywide blockade/strikes early last year. While CLP has learnt from the</w:t>
      </w:r>
      <w:r w:rsidR="00D374BA" w:rsidRPr="00977245">
        <w:rPr>
          <w:sz w:val="22"/>
          <w:szCs w:val="22"/>
        </w:rPr>
        <w:t xml:space="preserve"> past</w:t>
      </w:r>
      <w:r w:rsidRPr="00977245">
        <w:rPr>
          <w:sz w:val="22"/>
          <w:szCs w:val="22"/>
        </w:rPr>
        <w:t xml:space="preserve"> incidence</w:t>
      </w:r>
      <w:r w:rsidR="00D374BA" w:rsidRPr="00977245">
        <w:rPr>
          <w:sz w:val="22"/>
          <w:szCs w:val="22"/>
        </w:rPr>
        <w:t>s</w:t>
      </w:r>
      <w:r w:rsidRPr="00977245">
        <w:rPr>
          <w:sz w:val="22"/>
          <w:szCs w:val="22"/>
        </w:rPr>
        <w:t xml:space="preserve"> and ha</w:t>
      </w:r>
      <w:r w:rsidR="00507983" w:rsidRPr="00977245">
        <w:rPr>
          <w:sz w:val="22"/>
          <w:szCs w:val="22"/>
        </w:rPr>
        <w:t>s</w:t>
      </w:r>
      <w:r w:rsidRPr="00977245">
        <w:rPr>
          <w:sz w:val="22"/>
          <w:szCs w:val="22"/>
        </w:rPr>
        <w:t xml:space="preserve"> tightened up</w:t>
      </w:r>
      <w:r w:rsidR="00626D7B" w:rsidRPr="00977245">
        <w:rPr>
          <w:sz w:val="22"/>
          <w:szCs w:val="22"/>
        </w:rPr>
        <w:t xml:space="preserve"> procedures</w:t>
      </w:r>
      <w:r w:rsidRPr="00977245">
        <w:rPr>
          <w:sz w:val="22"/>
          <w:szCs w:val="22"/>
        </w:rPr>
        <w:t xml:space="preserve"> </w:t>
      </w:r>
      <w:r w:rsidR="00507983" w:rsidRPr="00977245">
        <w:rPr>
          <w:sz w:val="22"/>
          <w:szCs w:val="22"/>
        </w:rPr>
        <w:t xml:space="preserve">in response </w:t>
      </w:r>
      <w:r w:rsidRPr="00977245">
        <w:rPr>
          <w:sz w:val="22"/>
          <w:szCs w:val="22"/>
        </w:rPr>
        <w:t>(i.e. financial moni</w:t>
      </w:r>
      <w:r w:rsidR="00507983" w:rsidRPr="00977245">
        <w:rPr>
          <w:sz w:val="22"/>
          <w:szCs w:val="22"/>
        </w:rPr>
        <w:t xml:space="preserve">toring by District staff), these are likely to be stretched significantly if </w:t>
      </w:r>
      <w:r w:rsidRPr="00977245">
        <w:rPr>
          <w:sz w:val="22"/>
          <w:szCs w:val="22"/>
        </w:rPr>
        <w:t xml:space="preserve">the current unrest </w:t>
      </w:r>
      <w:r w:rsidR="00507983" w:rsidRPr="00977245">
        <w:rPr>
          <w:sz w:val="22"/>
          <w:szCs w:val="22"/>
        </w:rPr>
        <w:t xml:space="preserve">continues for a longer period. </w:t>
      </w:r>
      <w:r w:rsidR="00507983">
        <w:rPr>
          <w:sz w:val="22"/>
          <w:szCs w:val="22"/>
        </w:rPr>
        <w:t>M</w:t>
      </w:r>
      <w:r w:rsidRPr="00933BE8">
        <w:rPr>
          <w:sz w:val="22"/>
          <w:szCs w:val="22"/>
        </w:rPr>
        <w:t>onitoring and supervision activities</w:t>
      </w:r>
      <w:r w:rsidR="00507983">
        <w:rPr>
          <w:sz w:val="22"/>
          <w:szCs w:val="22"/>
        </w:rPr>
        <w:t xml:space="preserve"> have already been affected, with i</w:t>
      </w:r>
      <w:r w:rsidRPr="00933BE8">
        <w:rPr>
          <w:sz w:val="22"/>
          <w:szCs w:val="22"/>
        </w:rPr>
        <w:t xml:space="preserve">ndependent </w:t>
      </w:r>
      <w:r w:rsidR="00507983">
        <w:rPr>
          <w:sz w:val="22"/>
          <w:szCs w:val="22"/>
        </w:rPr>
        <w:t xml:space="preserve">verifications by third parties and field </w:t>
      </w:r>
      <w:r w:rsidRPr="00933BE8">
        <w:rPr>
          <w:sz w:val="22"/>
          <w:szCs w:val="22"/>
        </w:rPr>
        <w:t>visits by CLP HQ staff</w:t>
      </w:r>
      <w:r w:rsidR="00507983">
        <w:rPr>
          <w:sz w:val="22"/>
          <w:szCs w:val="22"/>
        </w:rPr>
        <w:t xml:space="preserve"> curtailed </w:t>
      </w:r>
      <w:r w:rsidRPr="00933BE8">
        <w:rPr>
          <w:sz w:val="22"/>
          <w:szCs w:val="22"/>
        </w:rPr>
        <w:t xml:space="preserve">for over a month.  </w:t>
      </w:r>
    </w:p>
    <w:p w:rsidR="00933BE8" w:rsidRPr="00933BE8" w:rsidRDefault="00933BE8" w:rsidP="00507983">
      <w:pPr>
        <w:spacing w:after="120"/>
        <w:rPr>
          <w:sz w:val="22"/>
          <w:szCs w:val="22"/>
        </w:rPr>
      </w:pPr>
      <w:r w:rsidRPr="00507983">
        <w:rPr>
          <w:sz w:val="22"/>
          <w:szCs w:val="22"/>
          <w:u w:val="single"/>
        </w:rPr>
        <w:t>Political:</w:t>
      </w:r>
      <w:r w:rsidRPr="00933BE8">
        <w:rPr>
          <w:sz w:val="22"/>
          <w:szCs w:val="22"/>
        </w:rPr>
        <w:t xml:space="preserve"> Blockade/strikes </w:t>
      </w:r>
      <w:r w:rsidRPr="001C5384">
        <w:rPr>
          <w:sz w:val="22"/>
          <w:szCs w:val="22"/>
        </w:rPr>
        <w:t>and random arson attacks</w:t>
      </w:r>
      <w:r w:rsidRPr="00933BE8">
        <w:rPr>
          <w:sz w:val="22"/>
          <w:szCs w:val="22"/>
        </w:rPr>
        <w:t xml:space="preserve"> continue in the country</w:t>
      </w:r>
      <w:r w:rsidR="002A743D">
        <w:rPr>
          <w:sz w:val="22"/>
          <w:szCs w:val="22"/>
        </w:rPr>
        <w:t xml:space="preserve"> </w:t>
      </w:r>
      <w:r w:rsidR="002A743D" w:rsidRPr="00977245">
        <w:rPr>
          <w:sz w:val="22"/>
          <w:szCs w:val="22"/>
        </w:rPr>
        <w:t xml:space="preserve">with huge </w:t>
      </w:r>
      <w:r w:rsidR="009D2CE9" w:rsidRPr="00977245">
        <w:rPr>
          <w:sz w:val="22"/>
          <w:szCs w:val="22"/>
        </w:rPr>
        <w:t>uncertainty</w:t>
      </w:r>
      <w:r w:rsidR="002A743D" w:rsidRPr="00977245">
        <w:rPr>
          <w:sz w:val="22"/>
          <w:szCs w:val="22"/>
        </w:rPr>
        <w:t xml:space="preserve"> </w:t>
      </w:r>
      <w:r w:rsidR="001C5384" w:rsidRPr="00977245">
        <w:rPr>
          <w:sz w:val="22"/>
          <w:szCs w:val="22"/>
        </w:rPr>
        <w:t xml:space="preserve">around </w:t>
      </w:r>
      <w:r w:rsidR="002A743D" w:rsidRPr="00977245">
        <w:rPr>
          <w:sz w:val="22"/>
          <w:szCs w:val="22"/>
        </w:rPr>
        <w:t>when this will be ended</w:t>
      </w:r>
      <w:r w:rsidRPr="00977245">
        <w:rPr>
          <w:sz w:val="22"/>
          <w:szCs w:val="22"/>
        </w:rPr>
        <w:t>.</w:t>
      </w:r>
      <w:r w:rsidRPr="00933BE8">
        <w:rPr>
          <w:sz w:val="22"/>
          <w:szCs w:val="22"/>
        </w:rPr>
        <w:t xml:space="preserve"> Inter-district travel is </w:t>
      </w:r>
      <w:r w:rsidR="00507983">
        <w:rPr>
          <w:sz w:val="22"/>
          <w:szCs w:val="22"/>
        </w:rPr>
        <w:t xml:space="preserve">currently </w:t>
      </w:r>
      <w:r w:rsidRPr="00933BE8">
        <w:rPr>
          <w:sz w:val="22"/>
          <w:szCs w:val="22"/>
        </w:rPr>
        <w:t>stopped for project staff. Cattle markets are seriously affected in the project operational areas. Logframe targets/milestones for the year are largely still on track however some activities have been negatively affected including infrastructure and asset purchase</w:t>
      </w:r>
      <w:r w:rsidR="00507983">
        <w:rPr>
          <w:sz w:val="22"/>
          <w:szCs w:val="22"/>
        </w:rPr>
        <w:t>s</w:t>
      </w:r>
      <w:r w:rsidRPr="00933BE8">
        <w:rPr>
          <w:sz w:val="22"/>
          <w:szCs w:val="22"/>
        </w:rPr>
        <w:t>. In some areas, the value of the asset transfer grant has been increased by an av</w:t>
      </w:r>
      <w:r w:rsidR="00507983">
        <w:rPr>
          <w:sz w:val="22"/>
          <w:szCs w:val="22"/>
        </w:rPr>
        <w:t xml:space="preserve">erage of BDT </w:t>
      </w:r>
      <w:r w:rsidRPr="00933BE8">
        <w:rPr>
          <w:sz w:val="22"/>
          <w:szCs w:val="22"/>
        </w:rPr>
        <w:t xml:space="preserve">1,000 to ensure participants are still able to purchase quality cattle. </w:t>
      </w:r>
    </w:p>
    <w:p w:rsidR="00933BE8" w:rsidRPr="00933BE8" w:rsidRDefault="00933BE8" w:rsidP="00507983">
      <w:pPr>
        <w:spacing w:after="120"/>
        <w:rPr>
          <w:sz w:val="22"/>
          <w:szCs w:val="22"/>
        </w:rPr>
      </w:pPr>
      <w:r w:rsidRPr="00507983">
        <w:rPr>
          <w:sz w:val="22"/>
          <w:szCs w:val="22"/>
          <w:u w:val="single"/>
        </w:rPr>
        <w:t>Environmental:</w:t>
      </w:r>
      <w:r w:rsidRPr="00933BE8">
        <w:rPr>
          <w:sz w:val="22"/>
          <w:szCs w:val="22"/>
        </w:rPr>
        <w:t xml:space="preserve"> </w:t>
      </w:r>
      <w:r w:rsidRPr="00933BE8">
        <w:rPr>
          <w:i/>
          <w:sz w:val="22"/>
          <w:szCs w:val="22"/>
        </w:rPr>
        <w:t xml:space="preserve">Chars </w:t>
      </w:r>
      <w:r w:rsidRPr="00933BE8">
        <w:rPr>
          <w:sz w:val="22"/>
          <w:szCs w:val="22"/>
        </w:rPr>
        <w:t>are at high risk of flash flood almost every year. Mitigation of this risk is built into programme design. Since mid-August 2014, heavy and continuous rainfall in the North West caused high levels of flooding in low-lying areas. From the project’s contingency funds CLP supported 15,525 flood affected households (</w:t>
      </w:r>
      <w:r w:rsidR="00447DB9">
        <w:rPr>
          <w:sz w:val="22"/>
          <w:szCs w:val="22"/>
        </w:rPr>
        <w:t xml:space="preserve">including </w:t>
      </w:r>
      <w:r w:rsidRPr="00933BE8">
        <w:rPr>
          <w:sz w:val="22"/>
          <w:szCs w:val="22"/>
        </w:rPr>
        <w:t xml:space="preserve">5,665 </w:t>
      </w:r>
      <w:r w:rsidR="00507983">
        <w:rPr>
          <w:sz w:val="22"/>
          <w:szCs w:val="22"/>
        </w:rPr>
        <w:t>CPHHs</w:t>
      </w:r>
      <w:r w:rsidRPr="00933BE8">
        <w:rPr>
          <w:sz w:val="22"/>
          <w:szCs w:val="22"/>
        </w:rPr>
        <w:t>) with flood relief package worth of BDT 1,056 (</w:t>
      </w:r>
      <w:r w:rsidR="00447DB9">
        <w:rPr>
          <w:sz w:val="22"/>
          <w:szCs w:val="22"/>
        </w:rPr>
        <w:t>GBP £ 9</w:t>
      </w:r>
      <w:r w:rsidRPr="00933BE8">
        <w:rPr>
          <w:sz w:val="22"/>
          <w:szCs w:val="22"/>
        </w:rPr>
        <w:t>)</w:t>
      </w:r>
      <w:r w:rsidR="002A743D">
        <w:rPr>
          <w:sz w:val="22"/>
          <w:szCs w:val="22"/>
        </w:rPr>
        <w:t xml:space="preserve"> per family</w:t>
      </w:r>
      <w:r w:rsidRPr="00933BE8">
        <w:rPr>
          <w:sz w:val="22"/>
          <w:szCs w:val="22"/>
        </w:rPr>
        <w:t>.</w:t>
      </w:r>
    </w:p>
    <w:p w:rsidR="00933BE8" w:rsidRDefault="00933BE8" w:rsidP="00933BE8">
      <w:pPr>
        <w:rPr>
          <w:b/>
          <w:sz w:val="22"/>
          <w:szCs w:val="22"/>
        </w:rPr>
      </w:pPr>
      <w:r w:rsidRPr="00507983">
        <w:rPr>
          <w:sz w:val="22"/>
          <w:szCs w:val="22"/>
          <w:u w:val="single"/>
        </w:rPr>
        <w:t>Management:</w:t>
      </w:r>
      <w:r w:rsidRPr="00933BE8">
        <w:rPr>
          <w:sz w:val="22"/>
          <w:szCs w:val="22"/>
        </w:rPr>
        <w:t xml:space="preserve"> The role of </w:t>
      </w:r>
      <w:r w:rsidR="00507983">
        <w:rPr>
          <w:sz w:val="22"/>
          <w:szCs w:val="22"/>
        </w:rPr>
        <w:t xml:space="preserve">the </w:t>
      </w:r>
      <w:r w:rsidRPr="00933BE8">
        <w:rPr>
          <w:sz w:val="22"/>
          <w:szCs w:val="22"/>
        </w:rPr>
        <w:t xml:space="preserve">Partnership Director has been vacant since August ’14. During the </w:t>
      </w:r>
      <w:r w:rsidR="00507983" w:rsidRPr="00D374BA">
        <w:rPr>
          <w:sz w:val="22"/>
          <w:szCs w:val="22"/>
        </w:rPr>
        <w:t>A</w:t>
      </w:r>
      <w:r w:rsidR="00A1432B" w:rsidRPr="00D374BA">
        <w:rPr>
          <w:sz w:val="22"/>
          <w:szCs w:val="22"/>
        </w:rPr>
        <w:t xml:space="preserve">nnual </w:t>
      </w:r>
      <w:r w:rsidR="00507983" w:rsidRPr="00D374BA">
        <w:rPr>
          <w:sz w:val="22"/>
          <w:szCs w:val="22"/>
        </w:rPr>
        <w:t>R</w:t>
      </w:r>
      <w:r w:rsidR="00A1432B" w:rsidRPr="00D374BA">
        <w:rPr>
          <w:sz w:val="22"/>
          <w:szCs w:val="22"/>
        </w:rPr>
        <w:t>eview</w:t>
      </w:r>
      <w:r w:rsidR="00507983" w:rsidRPr="00D374BA">
        <w:rPr>
          <w:sz w:val="22"/>
          <w:szCs w:val="22"/>
        </w:rPr>
        <w:t xml:space="preserve"> p</w:t>
      </w:r>
      <w:r w:rsidR="00507983">
        <w:rPr>
          <w:sz w:val="22"/>
          <w:szCs w:val="22"/>
        </w:rPr>
        <w:t xml:space="preserve">eriod </w:t>
      </w:r>
      <w:r w:rsidRPr="00933BE8">
        <w:rPr>
          <w:sz w:val="22"/>
          <w:szCs w:val="22"/>
        </w:rPr>
        <w:t xml:space="preserve">DFID and MSP </w:t>
      </w:r>
      <w:r w:rsidR="00507983">
        <w:rPr>
          <w:sz w:val="22"/>
          <w:szCs w:val="22"/>
        </w:rPr>
        <w:t xml:space="preserve">agreed on the appointment of a new Partnership Director. </w:t>
      </w:r>
      <w:r w:rsidRPr="00933BE8">
        <w:rPr>
          <w:sz w:val="22"/>
          <w:szCs w:val="22"/>
        </w:rPr>
        <w:t xml:space="preserve">Given the limited </w:t>
      </w:r>
      <w:r w:rsidR="00507983">
        <w:rPr>
          <w:sz w:val="22"/>
          <w:szCs w:val="22"/>
        </w:rPr>
        <w:t xml:space="preserve">remaining project time, </w:t>
      </w:r>
      <w:r w:rsidRPr="00933BE8">
        <w:rPr>
          <w:sz w:val="22"/>
          <w:szCs w:val="22"/>
        </w:rPr>
        <w:t xml:space="preserve">this position should be utilized </w:t>
      </w:r>
      <w:r w:rsidR="00507983">
        <w:rPr>
          <w:sz w:val="22"/>
          <w:szCs w:val="22"/>
        </w:rPr>
        <w:t xml:space="preserve">as </w:t>
      </w:r>
      <w:r w:rsidRPr="00933BE8">
        <w:rPr>
          <w:sz w:val="22"/>
          <w:szCs w:val="22"/>
        </w:rPr>
        <w:t xml:space="preserve">strategically </w:t>
      </w:r>
      <w:r w:rsidR="00507983">
        <w:rPr>
          <w:sz w:val="22"/>
          <w:szCs w:val="22"/>
        </w:rPr>
        <w:t>as possible</w:t>
      </w:r>
      <w:r w:rsidRPr="00933BE8">
        <w:rPr>
          <w:sz w:val="22"/>
          <w:szCs w:val="22"/>
        </w:rPr>
        <w:t>. Planning of resources, asset disposal and closure activities by March 2016</w:t>
      </w:r>
      <w:r w:rsidR="00507983">
        <w:rPr>
          <w:sz w:val="22"/>
          <w:szCs w:val="22"/>
        </w:rPr>
        <w:t>,</w:t>
      </w:r>
      <w:r w:rsidRPr="00933BE8">
        <w:rPr>
          <w:sz w:val="22"/>
          <w:szCs w:val="22"/>
        </w:rPr>
        <w:t xml:space="preserve"> including a possible extension</w:t>
      </w:r>
      <w:r w:rsidR="00507983">
        <w:rPr>
          <w:sz w:val="22"/>
          <w:szCs w:val="22"/>
        </w:rPr>
        <w:t>,</w:t>
      </w:r>
      <w:r w:rsidRPr="00933BE8">
        <w:rPr>
          <w:sz w:val="22"/>
          <w:szCs w:val="22"/>
        </w:rPr>
        <w:t xml:space="preserve"> have progressed well at the time of the review. The exit strategy after second round of discussions between DFID and MSP in January </w:t>
      </w:r>
      <w:r w:rsidR="00561956">
        <w:rPr>
          <w:sz w:val="22"/>
          <w:szCs w:val="22"/>
        </w:rPr>
        <w:t>20</w:t>
      </w:r>
      <w:r w:rsidRPr="00933BE8">
        <w:rPr>
          <w:sz w:val="22"/>
          <w:szCs w:val="22"/>
        </w:rPr>
        <w:t>15 is expected to be finali</w:t>
      </w:r>
      <w:r w:rsidR="00561956">
        <w:rPr>
          <w:sz w:val="22"/>
          <w:szCs w:val="22"/>
        </w:rPr>
        <w:t>s</w:t>
      </w:r>
      <w:r w:rsidRPr="00933BE8">
        <w:rPr>
          <w:sz w:val="22"/>
          <w:szCs w:val="22"/>
        </w:rPr>
        <w:t>ed in April 201</w:t>
      </w:r>
      <w:r w:rsidR="00561956">
        <w:rPr>
          <w:sz w:val="22"/>
          <w:szCs w:val="22"/>
        </w:rPr>
        <w:t>5</w:t>
      </w:r>
      <w:r w:rsidRPr="00933BE8">
        <w:rPr>
          <w:b/>
          <w:sz w:val="22"/>
          <w:szCs w:val="22"/>
        </w:rPr>
        <w:t xml:space="preserve">. </w:t>
      </w:r>
    </w:p>
    <w:p w:rsidR="00265145" w:rsidRDefault="00265145" w:rsidP="00265145">
      <w:pPr>
        <w:spacing w:before="120"/>
        <w:rPr>
          <w:b/>
          <w:sz w:val="22"/>
          <w:szCs w:val="22"/>
        </w:rPr>
      </w:pPr>
    </w:p>
    <w:p w:rsidR="00543787" w:rsidRPr="0046232B" w:rsidRDefault="001E30A4" w:rsidP="00507983">
      <w:pPr>
        <w:keepNext/>
        <w:pBdr>
          <w:top w:val="single" w:sz="4" w:space="1" w:color="auto"/>
          <w:left w:val="single" w:sz="4" w:space="4" w:color="auto"/>
          <w:bottom w:val="single" w:sz="4" w:space="1" w:color="auto"/>
          <w:right w:val="single" w:sz="4" w:space="4" w:color="auto"/>
        </w:pBdr>
        <w:shd w:val="clear" w:color="auto" w:fill="DBE5F1" w:themeFill="accent1" w:themeFillTint="33"/>
        <w:rPr>
          <w:rFonts w:cs="Arial"/>
          <w:sz w:val="20"/>
          <w:szCs w:val="20"/>
        </w:rPr>
      </w:pPr>
      <w:r w:rsidRPr="005646F9">
        <w:rPr>
          <w:b/>
          <w:sz w:val="28"/>
          <w:szCs w:val="22"/>
        </w:rPr>
        <w:t>F</w:t>
      </w:r>
      <w:r w:rsidR="00157035" w:rsidRPr="005646F9">
        <w:rPr>
          <w:b/>
          <w:sz w:val="28"/>
          <w:szCs w:val="22"/>
        </w:rPr>
        <w:t xml:space="preserve">: </w:t>
      </w:r>
      <w:r w:rsidR="00702FB2" w:rsidRPr="005646F9">
        <w:rPr>
          <w:b/>
          <w:sz w:val="28"/>
          <w:szCs w:val="22"/>
        </w:rPr>
        <w:t>COMMERCIAL CONSIDERATIONS</w:t>
      </w:r>
    </w:p>
    <w:p w:rsidR="00702FB2" w:rsidRPr="00702FB2" w:rsidRDefault="00702FB2" w:rsidP="00507983">
      <w:pPr>
        <w:keepNext/>
        <w:rPr>
          <w:rFonts w:cs="Arial"/>
          <w:b/>
          <w:sz w:val="22"/>
          <w:szCs w:val="22"/>
        </w:rPr>
      </w:pPr>
    </w:p>
    <w:p w:rsidR="003434E8" w:rsidRDefault="003434E8" w:rsidP="00507983">
      <w:pPr>
        <w:keepNext/>
        <w:rPr>
          <w:rFonts w:cs="Arial"/>
          <w:b/>
          <w:bCs/>
          <w:sz w:val="22"/>
          <w:szCs w:val="22"/>
        </w:rPr>
      </w:pPr>
      <w:r w:rsidRPr="0046232B">
        <w:rPr>
          <w:rFonts w:cs="Arial"/>
          <w:b/>
          <w:bCs/>
          <w:sz w:val="22"/>
          <w:szCs w:val="22"/>
        </w:rPr>
        <w:t>Delivery against planned timeframe</w:t>
      </w:r>
    </w:p>
    <w:p w:rsidR="006F5405" w:rsidRPr="006F5405" w:rsidRDefault="006F5405" w:rsidP="001469EB">
      <w:pPr>
        <w:spacing w:after="120"/>
        <w:rPr>
          <w:rFonts w:cs="Arial"/>
          <w:bCs/>
          <w:sz w:val="2"/>
          <w:szCs w:val="22"/>
        </w:rPr>
      </w:pPr>
    </w:p>
    <w:p w:rsidR="003434E8" w:rsidRPr="001469EB" w:rsidRDefault="00C07AD7" w:rsidP="001469EB">
      <w:pPr>
        <w:spacing w:after="120"/>
        <w:rPr>
          <w:rFonts w:cs="Arial"/>
          <w:b/>
          <w:bCs/>
          <w:sz w:val="22"/>
          <w:szCs w:val="22"/>
        </w:rPr>
      </w:pPr>
      <w:r>
        <w:rPr>
          <w:rFonts w:cs="Arial"/>
          <w:bCs/>
          <w:sz w:val="22"/>
          <w:szCs w:val="22"/>
        </w:rPr>
        <w:t>T</w:t>
      </w:r>
      <w:r w:rsidR="005646F9">
        <w:rPr>
          <w:rFonts w:cs="Arial"/>
          <w:bCs/>
          <w:sz w:val="22"/>
          <w:szCs w:val="22"/>
        </w:rPr>
        <w:t xml:space="preserve">he </w:t>
      </w:r>
      <w:r w:rsidR="003434E8">
        <w:rPr>
          <w:rFonts w:cs="Arial"/>
          <w:bCs/>
          <w:sz w:val="22"/>
          <w:szCs w:val="22"/>
        </w:rPr>
        <w:t xml:space="preserve">project comes to an end in </w:t>
      </w:r>
      <w:r>
        <w:rPr>
          <w:rFonts w:cs="Arial"/>
          <w:bCs/>
          <w:sz w:val="22"/>
          <w:szCs w:val="22"/>
        </w:rPr>
        <w:t>March 2016</w:t>
      </w:r>
      <w:r w:rsidR="005646F9">
        <w:rPr>
          <w:rFonts w:cs="Arial"/>
          <w:bCs/>
          <w:sz w:val="22"/>
          <w:szCs w:val="22"/>
        </w:rPr>
        <w:t xml:space="preserve">. </w:t>
      </w:r>
      <w:r w:rsidR="00FE6AC0">
        <w:rPr>
          <w:rFonts w:cs="Arial"/>
          <w:bCs/>
          <w:sz w:val="22"/>
          <w:szCs w:val="22"/>
        </w:rPr>
        <w:t>DFID will explore the possibility</w:t>
      </w:r>
      <w:r w:rsidR="001F3F0E">
        <w:rPr>
          <w:rFonts w:cs="Arial"/>
          <w:bCs/>
          <w:sz w:val="22"/>
          <w:szCs w:val="22"/>
        </w:rPr>
        <w:t xml:space="preserve"> of 3 months no-cost extension to</w:t>
      </w:r>
      <w:r w:rsidR="001F3F0E" w:rsidRPr="00A70707">
        <w:rPr>
          <w:sz w:val="22"/>
          <w:szCs w:val="22"/>
        </w:rPr>
        <w:t xml:space="preserve"> </w:t>
      </w:r>
      <w:r w:rsidR="001F3F0E">
        <w:rPr>
          <w:sz w:val="22"/>
          <w:szCs w:val="22"/>
        </w:rPr>
        <w:t xml:space="preserve">enhance sustainability of impact and to </w:t>
      </w:r>
      <w:r w:rsidR="001F3F0E" w:rsidRPr="00A70707">
        <w:rPr>
          <w:sz w:val="22"/>
          <w:szCs w:val="22"/>
        </w:rPr>
        <w:t>allow a smooth wrap-up</w:t>
      </w:r>
      <w:r w:rsidR="001F3F0E">
        <w:rPr>
          <w:sz w:val="22"/>
          <w:szCs w:val="22"/>
        </w:rPr>
        <w:t xml:space="preserve"> of the </w:t>
      </w:r>
      <w:r w:rsidR="00A3640C">
        <w:rPr>
          <w:sz w:val="22"/>
          <w:szCs w:val="22"/>
        </w:rPr>
        <w:t>project.</w:t>
      </w:r>
      <w:r w:rsidR="00A3640C">
        <w:rPr>
          <w:rFonts w:cs="Arial"/>
          <w:bCs/>
          <w:sz w:val="22"/>
          <w:szCs w:val="22"/>
        </w:rPr>
        <w:t xml:space="preserve"> Most</w:t>
      </w:r>
      <w:r w:rsidR="005646F9">
        <w:rPr>
          <w:rFonts w:cs="Arial"/>
          <w:bCs/>
          <w:sz w:val="22"/>
          <w:szCs w:val="22"/>
        </w:rPr>
        <w:t xml:space="preserve"> of </w:t>
      </w:r>
      <w:r w:rsidR="003434E8">
        <w:rPr>
          <w:rFonts w:cs="Arial"/>
          <w:bCs/>
          <w:sz w:val="22"/>
          <w:szCs w:val="22"/>
        </w:rPr>
        <w:t>the results expected over the review period have been achieved</w:t>
      </w:r>
      <w:r w:rsidR="005646F9">
        <w:rPr>
          <w:rFonts w:cs="Arial"/>
          <w:bCs/>
          <w:sz w:val="22"/>
          <w:szCs w:val="22"/>
        </w:rPr>
        <w:t xml:space="preserve"> and </w:t>
      </w:r>
      <w:r w:rsidR="003434E8">
        <w:rPr>
          <w:rFonts w:cs="Arial"/>
          <w:bCs/>
          <w:sz w:val="22"/>
          <w:szCs w:val="22"/>
        </w:rPr>
        <w:t>operational and financial plans are on track.</w:t>
      </w:r>
      <w:r w:rsidR="003434E8" w:rsidRPr="0093220F">
        <w:t xml:space="preserve"> </w:t>
      </w:r>
      <w:r w:rsidR="003434E8" w:rsidRPr="0093220F">
        <w:rPr>
          <w:rFonts w:cs="Arial"/>
          <w:bCs/>
          <w:sz w:val="22"/>
          <w:szCs w:val="22"/>
        </w:rPr>
        <w:t>The project is on track to spend 98%-99% of the budgeted amount within the project period.</w:t>
      </w:r>
    </w:p>
    <w:p w:rsidR="003434E8" w:rsidRDefault="003434E8" w:rsidP="003434E8">
      <w:pPr>
        <w:rPr>
          <w:rFonts w:cs="Arial"/>
          <w:b/>
          <w:bCs/>
          <w:sz w:val="22"/>
          <w:szCs w:val="22"/>
        </w:rPr>
      </w:pPr>
      <w:r w:rsidRPr="0046232B">
        <w:rPr>
          <w:rFonts w:cs="Arial"/>
          <w:b/>
          <w:bCs/>
          <w:sz w:val="22"/>
          <w:szCs w:val="22"/>
        </w:rPr>
        <w:t>Performance of partnership (s)</w:t>
      </w:r>
    </w:p>
    <w:p w:rsidR="003434E8" w:rsidRPr="00480D73" w:rsidRDefault="003434E8" w:rsidP="001469EB">
      <w:pPr>
        <w:spacing w:after="120"/>
        <w:rPr>
          <w:rFonts w:cs="Arial"/>
          <w:bCs/>
          <w:sz w:val="22"/>
          <w:szCs w:val="22"/>
        </w:rPr>
      </w:pPr>
      <w:r w:rsidRPr="00902F5C">
        <w:rPr>
          <w:rFonts w:cs="Arial"/>
          <w:bCs/>
          <w:sz w:val="22"/>
          <w:szCs w:val="22"/>
        </w:rPr>
        <w:t>The</w:t>
      </w:r>
      <w:r w:rsidR="005646F9">
        <w:rPr>
          <w:rFonts w:cs="Arial"/>
          <w:bCs/>
          <w:sz w:val="22"/>
          <w:szCs w:val="22"/>
        </w:rPr>
        <w:t xml:space="preserve"> partnership </w:t>
      </w:r>
      <w:r>
        <w:rPr>
          <w:rFonts w:cs="Arial"/>
          <w:bCs/>
          <w:sz w:val="22"/>
          <w:szCs w:val="22"/>
        </w:rPr>
        <w:t>between the Government of Bangladesh, DFID</w:t>
      </w:r>
      <w:r w:rsidR="005646F9">
        <w:rPr>
          <w:rFonts w:cs="Arial"/>
          <w:bCs/>
          <w:sz w:val="22"/>
          <w:szCs w:val="22"/>
        </w:rPr>
        <w:t xml:space="preserve">, </w:t>
      </w:r>
      <w:r>
        <w:rPr>
          <w:rFonts w:cs="Arial"/>
          <w:bCs/>
          <w:sz w:val="22"/>
          <w:szCs w:val="22"/>
        </w:rPr>
        <w:t xml:space="preserve">DFAT </w:t>
      </w:r>
      <w:r w:rsidR="005646F9">
        <w:rPr>
          <w:rFonts w:cs="Arial"/>
          <w:bCs/>
          <w:sz w:val="22"/>
          <w:szCs w:val="22"/>
        </w:rPr>
        <w:t>and the managing agent has performed well</w:t>
      </w:r>
      <w:r w:rsidR="001469EB">
        <w:rPr>
          <w:rFonts w:cs="Arial"/>
          <w:bCs/>
          <w:sz w:val="22"/>
          <w:szCs w:val="22"/>
        </w:rPr>
        <w:t>. T</w:t>
      </w:r>
      <w:r w:rsidR="001469EB" w:rsidRPr="00EF15B7">
        <w:rPr>
          <w:rFonts w:cs="Arial"/>
          <w:bCs/>
          <w:sz w:val="22"/>
          <w:szCs w:val="22"/>
        </w:rPr>
        <w:t xml:space="preserve">he contractual partnership between DFID and the </w:t>
      </w:r>
      <w:r w:rsidR="001469EB">
        <w:rPr>
          <w:rFonts w:cs="Arial"/>
          <w:bCs/>
          <w:sz w:val="22"/>
          <w:szCs w:val="22"/>
        </w:rPr>
        <w:t xml:space="preserve">managing agent </w:t>
      </w:r>
      <w:r w:rsidR="001469EB" w:rsidRPr="00EF15B7">
        <w:rPr>
          <w:rFonts w:cs="Arial"/>
          <w:bCs/>
          <w:sz w:val="22"/>
          <w:szCs w:val="22"/>
        </w:rPr>
        <w:t>is well managed through regular meetings and communication following standard programme and contract management.</w:t>
      </w:r>
      <w:r w:rsidR="001469EB">
        <w:rPr>
          <w:rFonts w:cs="Arial"/>
          <w:bCs/>
          <w:sz w:val="22"/>
          <w:szCs w:val="22"/>
        </w:rPr>
        <w:t xml:space="preserve"> </w:t>
      </w:r>
      <w:r w:rsidR="00507983">
        <w:rPr>
          <w:rFonts w:cs="Arial"/>
          <w:bCs/>
          <w:sz w:val="22"/>
          <w:szCs w:val="22"/>
        </w:rPr>
        <w:t xml:space="preserve">CLP has explored and established </w:t>
      </w:r>
      <w:r w:rsidR="002A743D">
        <w:rPr>
          <w:rFonts w:cs="Arial"/>
          <w:bCs/>
          <w:sz w:val="22"/>
          <w:szCs w:val="22"/>
        </w:rPr>
        <w:t xml:space="preserve">a number of </w:t>
      </w:r>
      <w:r w:rsidR="00507983">
        <w:rPr>
          <w:rFonts w:cs="Arial"/>
          <w:bCs/>
          <w:sz w:val="22"/>
          <w:szCs w:val="22"/>
        </w:rPr>
        <w:t>partnership agreements, most notably with BRAC. Linkages with commercial entities like Pran and BRAC Dairy have resulted in central collection points for milk, strengthening the sustaina</w:t>
      </w:r>
      <w:r w:rsidR="00792F95">
        <w:rPr>
          <w:rFonts w:cs="Arial"/>
          <w:bCs/>
          <w:sz w:val="22"/>
          <w:szCs w:val="22"/>
        </w:rPr>
        <w:t>bility of the linkages between char</w:t>
      </w:r>
      <w:r w:rsidR="00507983">
        <w:rPr>
          <w:rFonts w:cs="Arial"/>
          <w:bCs/>
          <w:sz w:val="22"/>
          <w:szCs w:val="22"/>
        </w:rPr>
        <w:t xml:space="preserve"> dwellers and markets.  </w:t>
      </w:r>
    </w:p>
    <w:p w:rsidR="003434E8" w:rsidRPr="0046232B" w:rsidRDefault="003434E8" w:rsidP="003434E8">
      <w:pPr>
        <w:rPr>
          <w:rFonts w:cs="Arial"/>
          <w:b/>
          <w:bCs/>
          <w:sz w:val="22"/>
          <w:szCs w:val="22"/>
        </w:rPr>
      </w:pPr>
      <w:r w:rsidRPr="0046232B">
        <w:rPr>
          <w:rFonts w:cs="Arial"/>
          <w:b/>
          <w:bCs/>
          <w:sz w:val="22"/>
          <w:szCs w:val="22"/>
        </w:rPr>
        <w:t xml:space="preserve">Asset monitoring and control </w:t>
      </w:r>
    </w:p>
    <w:p w:rsidR="00503FB0" w:rsidRDefault="00507983" w:rsidP="00503FB0">
      <w:pPr>
        <w:rPr>
          <w:rFonts w:cs="Arial"/>
          <w:bCs/>
          <w:sz w:val="22"/>
          <w:szCs w:val="22"/>
        </w:rPr>
      </w:pPr>
      <w:r>
        <w:rPr>
          <w:rFonts w:cs="Arial"/>
          <w:bCs/>
          <w:sz w:val="22"/>
          <w:szCs w:val="22"/>
        </w:rPr>
        <w:t>A spot check conducted by DFID staff in December 2015 concluded that m</w:t>
      </w:r>
      <w:r w:rsidRPr="00C47A0C">
        <w:rPr>
          <w:rFonts w:cs="Arial"/>
          <w:bCs/>
          <w:sz w:val="22"/>
          <w:szCs w:val="22"/>
        </w:rPr>
        <w:t>ost of the assets checked were appropriate</w:t>
      </w:r>
      <w:r w:rsidR="001469EB">
        <w:rPr>
          <w:rFonts w:cs="Arial"/>
          <w:bCs/>
          <w:sz w:val="22"/>
          <w:szCs w:val="22"/>
        </w:rPr>
        <w:t xml:space="preserve">ly </w:t>
      </w:r>
      <w:r w:rsidRPr="00C47A0C">
        <w:rPr>
          <w:rFonts w:cs="Arial"/>
          <w:bCs/>
          <w:sz w:val="22"/>
          <w:szCs w:val="22"/>
        </w:rPr>
        <w:t>labell</w:t>
      </w:r>
      <w:r w:rsidR="001469EB">
        <w:rPr>
          <w:rFonts w:cs="Arial"/>
          <w:bCs/>
          <w:sz w:val="22"/>
          <w:szCs w:val="22"/>
        </w:rPr>
        <w:t xml:space="preserve">ed </w:t>
      </w:r>
      <w:r w:rsidRPr="00C47A0C">
        <w:rPr>
          <w:rFonts w:cs="Arial"/>
          <w:bCs/>
          <w:sz w:val="22"/>
          <w:szCs w:val="22"/>
        </w:rPr>
        <w:t>and in good condition</w:t>
      </w:r>
      <w:r>
        <w:rPr>
          <w:rFonts w:cs="Arial"/>
          <w:bCs/>
          <w:sz w:val="22"/>
          <w:szCs w:val="22"/>
        </w:rPr>
        <w:t>. The annual external audit in June 2014 observed that som</w:t>
      </w:r>
      <w:r w:rsidR="00447DB9">
        <w:rPr>
          <w:rFonts w:cs="Arial"/>
          <w:bCs/>
          <w:sz w:val="22"/>
          <w:szCs w:val="22"/>
        </w:rPr>
        <w:t>e assets (worth about £10,000</w:t>
      </w:r>
      <w:r>
        <w:rPr>
          <w:rFonts w:cs="Arial"/>
          <w:bCs/>
          <w:sz w:val="22"/>
          <w:szCs w:val="22"/>
        </w:rPr>
        <w:t xml:space="preserve">) had not been utilised for a long time. </w:t>
      </w:r>
      <w:r w:rsidR="003434E8">
        <w:rPr>
          <w:rFonts w:cs="Arial"/>
          <w:bCs/>
          <w:sz w:val="22"/>
          <w:szCs w:val="22"/>
        </w:rPr>
        <w:t xml:space="preserve">CLP management have since distributed these to </w:t>
      </w:r>
      <w:r>
        <w:rPr>
          <w:rFonts w:cs="Arial"/>
          <w:bCs/>
          <w:sz w:val="22"/>
          <w:szCs w:val="22"/>
        </w:rPr>
        <w:t>IMOs</w:t>
      </w:r>
      <w:r w:rsidR="003434E8">
        <w:rPr>
          <w:rFonts w:cs="Arial"/>
          <w:bCs/>
          <w:sz w:val="22"/>
          <w:szCs w:val="22"/>
        </w:rPr>
        <w:t xml:space="preserve"> </w:t>
      </w:r>
      <w:r w:rsidR="00503FB0">
        <w:rPr>
          <w:rFonts w:cs="Arial"/>
          <w:bCs/>
          <w:sz w:val="22"/>
          <w:szCs w:val="22"/>
        </w:rPr>
        <w:t>who had requests for such items</w:t>
      </w:r>
      <w:r w:rsidR="001469EB">
        <w:rPr>
          <w:rFonts w:cs="Arial"/>
          <w:bCs/>
          <w:sz w:val="22"/>
          <w:szCs w:val="22"/>
        </w:rPr>
        <w:t>.</w:t>
      </w:r>
    </w:p>
    <w:p w:rsidR="00265145" w:rsidRDefault="00265145" w:rsidP="00503FB0">
      <w:pPr>
        <w:rPr>
          <w:rFonts w:cs="Arial"/>
          <w:bCs/>
          <w:sz w:val="22"/>
          <w:szCs w:val="22"/>
        </w:rPr>
      </w:pPr>
    </w:p>
    <w:p w:rsidR="00503FB0" w:rsidRPr="006F5405" w:rsidRDefault="00503FB0" w:rsidP="00503FB0">
      <w:pPr>
        <w:rPr>
          <w:rFonts w:cs="Arial"/>
          <w:bCs/>
          <w:sz w:val="12"/>
          <w:szCs w:val="22"/>
        </w:rPr>
      </w:pPr>
    </w:p>
    <w:p w:rsidR="00543787" w:rsidRPr="00503FB0" w:rsidRDefault="001E30A4" w:rsidP="00503FB0">
      <w:pPr>
        <w:pBdr>
          <w:top w:val="single" w:sz="4" w:space="1" w:color="auto"/>
          <w:left w:val="single" w:sz="4" w:space="4" w:color="auto"/>
          <w:bottom w:val="single" w:sz="4" w:space="1" w:color="auto"/>
          <w:right w:val="single" w:sz="4" w:space="4" w:color="auto"/>
        </w:pBdr>
        <w:shd w:val="clear" w:color="auto" w:fill="DBE5F1" w:themeFill="accent1" w:themeFillTint="33"/>
        <w:rPr>
          <w:b/>
          <w:sz w:val="28"/>
        </w:rPr>
      </w:pPr>
      <w:r w:rsidRPr="00503FB0">
        <w:rPr>
          <w:b/>
          <w:sz w:val="28"/>
        </w:rPr>
        <w:t>G</w:t>
      </w:r>
      <w:r w:rsidR="00157035" w:rsidRPr="00503FB0">
        <w:rPr>
          <w:b/>
          <w:sz w:val="28"/>
        </w:rPr>
        <w:t>: CONDITIONALITY</w:t>
      </w:r>
    </w:p>
    <w:p w:rsidR="00543787" w:rsidRPr="006F5405" w:rsidRDefault="00543787" w:rsidP="00503FB0">
      <w:pPr>
        <w:pStyle w:val="ListParagraph"/>
        <w:widowControl w:val="0"/>
        <w:ind w:left="360"/>
        <w:rPr>
          <w:b/>
          <w:sz w:val="16"/>
          <w:szCs w:val="22"/>
        </w:rPr>
      </w:pPr>
    </w:p>
    <w:p w:rsidR="00583E29" w:rsidRPr="0046232B" w:rsidRDefault="00507983" w:rsidP="00A4556C">
      <w:pPr>
        <w:rPr>
          <w:bCs/>
          <w:color w:val="FF0000"/>
          <w:sz w:val="22"/>
          <w:szCs w:val="22"/>
        </w:rPr>
      </w:pPr>
      <w:r>
        <w:rPr>
          <w:rFonts w:cs="Arial"/>
          <w:bCs/>
          <w:sz w:val="22"/>
          <w:szCs w:val="22"/>
        </w:rPr>
        <w:t>N</w:t>
      </w:r>
      <w:r w:rsidRPr="001B3849">
        <w:rPr>
          <w:rFonts w:cs="Arial"/>
          <w:bCs/>
          <w:sz w:val="22"/>
          <w:szCs w:val="22"/>
        </w:rPr>
        <w:t>ot applicable</w:t>
      </w:r>
      <w:r>
        <w:rPr>
          <w:rFonts w:cs="Arial"/>
          <w:bCs/>
          <w:sz w:val="22"/>
          <w:szCs w:val="22"/>
        </w:rPr>
        <w:t>.</w:t>
      </w:r>
    </w:p>
    <w:p w:rsidR="00E66AAD" w:rsidRPr="006F5405" w:rsidRDefault="00E66AAD" w:rsidP="00A4556C">
      <w:pPr>
        <w:rPr>
          <w:sz w:val="16"/>
        </w:rPr>
      </w:pPr>
    </w:p>
    <w:p w:rsidR="00157035" w:rsidRPr="00157035" w:rsidRDefault="001E30A4" w:rsidP="00A4556C">
      <w:pPr>
        <w:pBdr>
          <w:top w:val="single" w:sz="4" w:space="1" w:color="auto"/>
          <w:left w:val="single" w:sz="4" w:space="4" w:color="auto"/>
          <w:bottom w:val="single" w:sz="4" w:space="1" w:color="auto"/>
          <w:right w:val="single" w:sz="4" w:space="4" w:color="auto"/>
        </w:pBdr>
        <w:shd w:val="clear" w:color="auto" w:fill="DBE5F1" w:themeFill="accent1" w:themeFillTint="33"/>
        <w:rPr>
          <w:b/>
          <w:sz w:val="28"/>
        </w:rPr>
      </w:pPr>
      <w:r>
        <w:rPr>
          <w:b/>
          <w:sz w:val="28"/>
        </w:rPr>
        <w:t>H</w:t>
      </w:r>
      <w:r w:rsidR="00157035" w:rsidRPr="00157035">
        <w:rPr>
          <w:b/>
          <w:sz w:val="28"/>
        </w:rPr>
        <w:t>: MONITORING</w:t>
      </w:r>
      <w:r w:rsidR="00157035">
        <w:rPr>
          <w:b/>
          <w:sz w:val="28"/>
        </w:rPr>
        <w:t xml:space="preserve"> &amp; EVALUATION</w:t>
      </w:r>
      <w:r w:rsidR="00E66AAD">
        <w:rPr>
          <w:b/>
          <w:sz w:val="28"/>
        </w:rPr>
        <w:t xml:space="preserve"> </w:t>
      </w:r>
      <w:r w:rsidR="00E66AAD">
        <w:rPr>
          <w:sz w:val="20"/>
        </w:rPr>
        <w:t>(</w:t>
      </w:r>
      <w:r w:rsidR="00E66AAD" w:rsidRPr="001E7871">
        <w:rPr>
          <w:sz w:val="20"/>
          <w:szCs w:val="20"/>
        </w:rPr>
        <w:t>½</w:t>
      </w:r>
      <w:r w:rsidR="00E66AAD">
        <w:rPr>
          <w:sz w:val="20"/>
          <w:szCs w:val="20"/>
        </w:rPr>
        <w:t xml:space="preserve"> </w:t>
      </w:r>
      <w:r w:rsidR="00E66AAD">
        <w:rPr>
          <w:sz w:val="20"/>
        </w:rPr>
        <w:t>page</w:t>
      </w:r>
      <w:r w:rsidR="00E66AAD" w:rsidRPr="0046232B">
        <w:rPr>
          <w:sz w:val="20"/>
        </w:rPr>
        <w:t>)</w:t>
      </w:r>
    </w:p>
    <w:p w:rsidR="00157035" w:rsidRPr="0046232B" w:rsidRDefault="00157035" w:rsidP="00F26270">
      <w:pPr>
        <w:spacing w:before="120" w:after="60"/>
        <w:rPr>
          <w:b/>
          <w:sz w:val="22"/>
          <w:szCs w:val="22"/>
        </w:rPr>
      </w:pPr>
      <w:r w:rsidRPr="0046232B">
        <w:rPr>
          <w:b/>
          <w:sz w:val="22"/>
          <w:szCs w:val="22"/>
        </w:rPr>
        <w:t>E</w:t>
      </w:r>
      <w:r w:rsidR="00C37B6A" w:rsidRPr="0046232B">
        <w:rPr>
          <w:b/>
          <w:sz w:val="22"/>
          <w:szCs w:val="22"/>
        </w:rPr>
        <w:t>vidence and evaluation</w:t>
      </w:r>
    </w:p>
    <w:p w:rsidR="00F26270" w:rsidRPr="007B2BF6" w:rsidRDefault="001469EB" w:rsidP="007B2BF6">
      <w:pPr>
        <w:spacing w:after="120"/>
        <w:rPr>
          <w:sz w:val="22"/>
          <w:szCs w:val="22"/>
        </w:rPr>
      </w:pPr>
      <w:r w:rsidRPr="001469EB">
        <w:rPr>
          <w:sz w:val="22"/>
          <w:szCs w:val="22"/>
        </w:rPr>
        <w:t>D</w:t>
      </w:r>
      <w:r w:rsidR="00F26270">
        <w:rPr>
          <w:sz w:val="22"/>
          <w:szCs w:val="22"/>
        </w:rPr>
        <w:t>ata is disaggregated by age and gender where required and feasible</w:t>
      </w:r>
      <w:r>
        <w:rPr>
          <w:sz w:val="22"/>
          <w:szCs w:val="22"/>
        </w:rPr>
        <w:t xml:space="preserve">. However, </w:t>
      </w:r>
      <w:r w:rsidR="00F26270">
        <w:rPr>
          <w:sz w:val="22"/>
          <w:szCs w:val="22"/>
        </w:rPr>
        <w:t xml:space="preserve">recent studies and annual review consultations highlight an </w:t>
      </w:r>
      <w:r w:rsidR="00F26270" w:rsidRPr="0032795B">
        <w:rPr>
          <w:sz w:val="22"/>
          <w:szCs w:val="22"/>
        </w:rPr>
        <w:t xml:space="preserve">urgent need to further disaggregate reported findings, </w:t>
      </w:r>
      <w:r w:rsidRPr="0032795B">
        <w:rPr>
          <w:sz w:val="22"/>
          <w:szCs w:val="22"/>
        </w:rPr>
        <w:t xml:space="preserve">as </w:t>
      </w:r>
      <w:r w:rsidRPr="0032795B">
        <w:rPr>
          <w:sz w:val="22"/>
          <w:szCs w:val="22"/>
        </w:rPr>
        <w:lastRenderedPageBreak/>
        <w:t xml:space="preserve">reported averages </w:t>
      </w:r>
      <w:r w:rsidR="00F26270" w:rsidRPr="0032795B">
        <w:rPr>
          <w:sz w:val="22"/>
          <w:szCs w:val="22"/>
        </w:rPr>
        <w:t>mask significant varia</w:t>
      </w:r>
      <w:r w:rsidRPr="0032795B">
        <w:rPr>
          <w:sz w:val="22"/>
          <w:szCs w:val="22"/>
        </w:rPr>
        <w:t xml:space="preserve">nce </w:t>
      </w:r>
      <w:r w:rsidR="00F26270" w:rsidRPr="0032795B">
        <w:rPr>
          <w:sz w:val="22"/>
          <w:szCs w:val="22"/>
        </w:rPr>
        <w:t>against target</w:t>
      </w:r>
      <w:r w:rsidRPr="0032795B">
        <w:rPr>
          <w:sz w:val="22"/>
          <w:szCs w:val="22"/>
        </w:rPr>
        <w:t xml:space="preserve"> indicators</w:t>
      </w:r>
      <w:r w:rsidRPr="0032795B">
        <w:rPr>
          <w:color w:val="FF0000"/>
          <w:sz w:val="22"/>
          <w:szCs w:val="22"/>
        </w:rPr>
        <w:t>.</w:t>
      </w:r>
      <w:r>
        <w:rPr>
          <w:sz w:val="22"/>
          <w:szCs w:val="22"/>
        </w:rPr>
        <w:t xml:space="preserve"> </w:t>
      </w:r>
      <w:r w:rsidR="00F26270">
        <w:rPr>
          <w:sz w:val="22"/>
          <w:szCs w:val="22"/>
        </w:rPr>
        <w:t xml:space="preserve">Future reports should </w:t>
      </w:r>
      <w:r>
        <w:rPr>
          <w:sz w:val="22"/>
          <w:szCs w:val="22"/>
        </w:rPr>
        <w:t xml:space="preserve">go beyond </w:t>
      </w:r>
      <w:r w:rsidR="00F26270">
        <w:rPr>
          <w:sz w:val="22"/>
          <w:szCs w:val="22"/>
        </w:rPr>
        <w:t xml:space="preserve">mean scores and </w:t>
      </w:r>
      <w:r>
        <w:rPr>
          <w:sz w:val="22"/>
          <w:szCs w:val="22"/>
        </w:rPr>
        <w:t xml:space="preserve">provide a breakdown </w:t>
      </w:r>
      <w:r w:rsidR="00F26270">
        <w:rPr>
          <w:sz w:val="22"/>
          <w:szCs w:val="22"/>
        </w:rPr>
        <w:t>on the range and distribution of values to identify potential areas for further analysis</w:t>
      </w:r>
      <w:r>
        <w:rPr>
          <w:sz w:val="22"/>
          <w:szCs w:val="22"/>
        </w:rPr>
        <w:t xml:space="preserve"> and a</w:t>
      </w:r>
      <w:r w:rsidR="00F26270">
        <w:rPr>
          <w:sz w:val="22"/>
          <w:szCs w:val="22"/>
        </w:rPr>
        <w:t>ction. This is particularly relevant for the value of productive assets</w:t>
      </w:r>
      <w:r w:rsidR="007B2BF6">
        <w:rPr>
          <w:sz w:val="22"/>
          <w:szCs w:val="22"/>
        </w:rPr>
        <w:t xml:space="preserve"> as well as income and expenditure. Further analysis should also assess if the variance is correlated with key variables, such as geography (</w:t>
      </w:r>
      <w:r w:rsidR="009D2CE9">
        <w:rPr>
          <w:sz w:val="22"/>
          <w:szCs w:val="22"/>
        </w:rPr>
        <w:t>i.e.</w:t>
      </w:r>
      <w:r w:rsidR="007B2BF6">
        <w:rPr>
          <w:sz w:val="22"/>
          <w:szCs w:val="22"/>
        </w:rPr>
        <w:t xml:space="preserve"> distance to market/town) </w:t>
      </w:r>
      <w:r w:rsidR="00F26270" w:rsidRPr="00494546">
        <w:rPr>
          <w:sz w:val="22"/>
          <w:szCs w:val="22"/>
        </w:rPr>
        <w:t>or particular household characteristics</w:t>
      </w:r>
      <w:r w:rsidR="00494546" w:rsidRPr="00494546">
        <w:rPr>
          <w:sz w:val="22"/>
          <w:szCs w:val="22"/>
        </w:rPr>
        <w:t xml:space="preserve"> including those of </w:t>
      </w:r>
      <w:r w:rsidR="006D0320" w:rsidRPr="00494546">
        <w:rPr>
          <w:sz w:val="22"/>
          <w:szCs w:val="22"/>
        </w:rPr>
        <w:t>different socially</w:t>
      </w:r>
      <w:r w:rsidR="00494546" w:rsidRPr="00494546">
        <w:rPr>
          <w:sz w:val="22"/>
          <w:szCs w:val="22"/>
        </w:rPr>
        <w:t xml:space="preserve"> disadvantaged groups, e.g. </w:t>
      </w:r>
      <w:r w:rsidR="007B2BF6">
        <w:rPr>
          <w:rFonts w:cs="Arial"/>
          <w:color w:val="000000"/>
          <w:sz w:val="22"/>
          <w:szCs w:val="22"/>
        </w:rPr>
        <w:t>disabled, female-</w:t>
      </w:r>
      <w:r w:rsidR="00494546" w:rsidRPr="00494546">
        <w:rPr>
          <w:rFonts w:cs="Arial"/>
          <w:color w:val="000000"/>
          <w:sz w:val="22"/>
          <w:szCs w:val="22"/>
        </w:rPr>
        <w:t>headed household, widowed, elderly and indigenous women</w:t>
      </w:r>
      <w:r w:rsidR="00494546" w:rsidRPr="00494546">
        <w:rPr>
          <w:sz w:val="22"/>
          <w:szCs w:val="22"/>
        </w:rPr>
        <w:t>.</w:t>
      </w:r>
      <w:r w:rsidR="00F26270">
        <w:rPr>
          <w:sz w:val="22"/>
          <w:szCs w:val="22"/>
        </w:rPr>
        <w:t xml:space="preserve"> </w:t>
      </w:r>
    </w:p>
    <w:p w:rsidR="007B2BF6" w:rsidRDefault="00F26270" w:rsidP="007B2BF6">
      <w:pPr>
        <w:spacing w:after="120"/>
        <w:rPr>
          <w:rFonts w:cs="Arial"/>
          <w:sz w:val="22"/>
          <w:szCs w:val="22"/>
        </w:rPr>
      </w:pPr>
      <w:r>
        <w:rPr>
          <w:rFonts w:cs="Arial"/>
          <w:sz w:val="22"/>
          <w:szCs w:val="22"/>
        </w:rPr>
        <w:t xml:space="preserve">The Operational Review component of a series of evaluative activities of CLP is nearing completion, with a draft report submitted at the end of December 2014. This externally facilitated self-assessment was seen to be a </w:t>
      </w:r>
      <w:r w:rsidRPr="007B2BF6">
        <w:rPr>
          <w:sz w:val="22"/>
          <w:szCs w:val="22"/>
        </w:rPr>
        <w:t>valuable</w:t>
      </w:r>
      <w:r>
        <w:rPr>
          <w:rFonts w:cs="Arial"/>
          <w:sz w:val="22"/>
          <w:szCs w:val="22"/>
        </w:rPr>
        <w:t xml:space="preserve"> exercise, particularly in terms of learning lessons. An evaluation comprising longitudinal monitoring and impact assessment is planned to begin from July 2015. A </w:t>
      </w:r>
      <w:r w:rsidR="00B5249B">
        <w:rPr>
          <w:rFonts w:cs="Arial"/>
          <w:sz w:val="22"/>
          <w:szCs w:val="22"/>
        </w:rPr>
        <w:t xml:space="preserve">DFID commissioned cross programme </w:t>
      </w:r>
      <w:r>
        <w:rPr>
          <w:rFonts w:cs="Arial"/>
          <w:sz w:val="22"/>
          <w:szCs w:val="22"/>
        </w:rPr>
        <w:t>Cost Effectiveness study</w:t>
      </w:r>
      <w:r w:rsidR="00B5249B">
        <w:rPr>
          <w:rFonts w:cs="Arial"/>
          <w:sz w:val="22"/>
          <w:szCs w:val="22"/>
        </w:rPr>
        <w:t xml:space="preserve"> involving CLP </w:t>
      </w:r>
      <w:r>
        <w:rPr>
          <w:rFonts w:cs="Arial"/>
          <w:sz w:val="22"/>
          <w:szCs w:val="22"/>
        </w:rPr>
        <w:t>is ongoing.</w:t>
      </w:r>
    </w:p>
    <w:p w:rsidR="00F26270" w:rsidRDefault="00F26270" w:rsidP="007B2BF6">
      <w:pPr>
        <w:spacing w:after="120"/>
        <w:rPr>
          <w:rFonts w:cs="Arial"/>
          <w:sz w:val="22"/>
          <w:szCs w:val="22"/>
        </w:rPr>
      </w:pPr>
      <w:r>
        <w:rPr>
          <w:rFonts w:cs="Arial"/>
          <w:sz w:val="22"/>
          <w:szCs w:val="22"/>
        </w:rPr>
        <w:t>Monitoring data indicates significant outcomes are being achieved in terms of graduation, women’s empowerment, WASH, livelihoods and food security. Recent data indicates that 85% of CPHHs are graduating (as per CLP’s graduation criteria). However, as addressed above, additional analysis is needed to understand the extent of equity in the achievement of outcomes CLP is in the process of developing an up-to-date study demonstrating nutrition achievements.</w:t>
      </w:r>
    </w:p>
    <w:p w:rsidR="00F26270" w:rsidRPr="00F26270" w:rsidRDefault="00F26270" w:rsidP="00265145">
      <w:pPr>
        <w:spacing w:before="240" w:after="120"/>
        <w:rPr>
          <w:b/>
          <w:sz w:val="22"/>
          <w:szCs w:val="22"/>
        </w:rPr>
      </w:pPr>
      <w:r w:rsidRPr="00F26270">
        <w:rPr>
          <w:b/>
          <w:sz w:val="22"/>
          <w:szCs w:val="22"/>
        </w:rPr>
        <w:t>Monitoring progress throughout the review period</w:t>
      </w:r>
    </w:p>
    <w:p w:rsidR="00AE1D30" w:rsidRDefault="00F26270" w:rsidP="007B2BF6">
      <w:pPr>
        <w:spacing w:after="120"/>
        <w:rPr>
          <w:rFonts w:cs="Arial"/>
          <w:sz w:val="22"/>
          <w:szCs w:val="22"/>
        </w:rPr>
      </w:pPr>
      <w:r w:rsidRPr="0070228E">
        <w:rPr>
          <w:rFonts w:cs="Arial"/>
          <w:sz w:val="22"/>
          <w:szCs w:val="22"/>
        </w:rPr>
        <w:t xml:space="preserve">CLP’s </w:t>
      </w:r>
      <w:r w:rsidR="006F5405">
        <w:rPr>
          <w:rFonts w:cs="Arial"/>
          <w:sz w:val="22"/>
          <w:szCs w:val="22"/>
        </w:rPr>
        <w:t>monitoring unit</w:t>
      </w:r>
      <w:r w:rsidRPr="0070228E">
        <w:rPr>
          <w:rFonts w:cs="Arial"/>
          <w:sz w:val="22"/>
          <w:szCs w:val="22"/>
        </w:rPr>
        <w:t xml:space="preserve"> has continued its usual programme of monitoring activity, including the annual survey; bi-monthly monitoring; feedback from CPHHs on quality; and ongoing research and reviews.</w:t>
      </w:r>
      <w:r>
        <w:rPr>
          <w:rFonts w:cs="Arial"/>
          <w:sz w:val="22"/>
          <w:szCs w:val="22"/>
        </w:rPr>
        <w:t xml:space="preserve"> In the remaining programme period, it will be important to take a strategic approach to prioritising research and evidence generation, with particular focus on how findings will be</w:t>
      </w:r>
      <w:r w:rsidR="006F5405">
        <w:rPr>
          <w:rFonts w:cs="Arial"/>
          <w:sz w:val="22"/>
          <w:szCs w:val="22"/>
        </w:rPr>
        <w:t xml:space="preserve"> </w:t>
      </w:r>
      <w:r>
        <w:rPr>
          <w:rFonts w:cs="Arial"/>
          <w:sz w:val="22"/>
          <w:szCs w:val="22"/>
        </w:rPr>
        <w:t>communicated and to whom. It will also be key to ensure that the wealth of data CLP has collected over its lifetime is left in a usable format for use after the programme has completed.</w:t>
      </w:r>
      <w:r w:rsidR="00B5249B">
        <w:rPr>
          <w:rFonts w:cs="Arial"/>
          <w:sz w:val="22"/>
          <w:szCs w:val="22"/>
        </w:rPr>
        <w:t xml:space="preserve"> This is also an issue of exit strategy</w:t>
      </w:r>
      <w:r w:rsidR="001215FC">
        <w:rPr>
          <w:rFonts w:cs="Arial"/>
          <w:sz w:val="22"/>
          <w:szCs w:val="22"/>
        </w:rPr>
        <w:t>.</w:t>
      </w:r>
    </w:p>
    <w:p w:rsidR="00AB11CD" w:rsidRDefault="00AB11CD" w:rsidP="00265145">
      <w:pPr>
        <w:pStyle w:val="ListBullet"/>
        <w:numPr>
          <w:ilvl w:val="0"/>
          <w:numId w:val="0"/>
        </w:numPr>
        <w:spacing w:before="240" w:after="120"/>
        <w:jc w:val="left"/>
        <w:rPr>
          <w:b/>
        </w:rPr>
      </w:pPr>
      <w:r w:rsidRPr="00B21C54">
        <w:rPr>
          <w:b/>
        </w:rPr>
        <w:t>Annual Review Process</w:t>
      </w:r>
      <w:r>
        <w:rPr>
          <w:b/>
        </w:rPr>
        <w:t xml:space="preserve"> </w:t>
      </w:r>
      <w:r w:rsidRPr="00B21C54">
        <w:rPr>
          <w:b/>
        </w:rPr>
        <w:t>and beneficiary feedback</w:t>
      </w:r>
    </w:p>
    <w:p w:rsidR="00AB11CD" w:rsidRPr="006F5405" w:rsidRDefault="00AB11CD" w:rsidP="00AB11CD">
      <w:pPr>
        <w:pStyle w:val="ListBullet"/>
        <w:numPr>
          <w:ilvl w:val="0"/>
          <w:numId w:val="0"/>
        </w:numPr>
        <w:jc w:val="left"/>
        <w:rPr>
          <w:b/>
          <w:sz w:val="2"/>
        </w:rPr>
      </w:pPr>
    </w:p>
    <w:p w:rsidR="006F5405" w:rsidRDefault="00AB11CD" w:rsidP="006F5405">
      <w:pPr>
        <w:pStyle w:val="ListBullet"/>
        <w:numPr>
          <w:ilvl w:val="0"/>
          <w:numId w:val="0"/>
        </w:numPr>
        <w:spacing w:after="80"/>
        <w:jc w:val="left"/>
      </w:pPr>
      <w:r w:rsidRPr="00B21C54">
        <w:t xml:space="preserve">The review was </w:t>
      </w:r>
      <w:r>
        <w:t xml:space="preserve">carried out and </w:t>
      </w:r>
      <w:r w:rsidRPr="00B21C54">
        <w:t>led by a</w:t>
      </w:r>
      <w:r>
        <w:t xml:space="preserve"> team of DFID and DFAT staff with varied set of competenc</w:t>
      </w:r>
      <w:r w:rsidR="00B34D3B">
        <w:t>ies</w:t>
      </w:r>
      <w:r w:rsidR="006D0320">
        <w:t>.</w:t>
      </w:r>
      <w:r>
        <w:t xml:space="preserve"> </w:t>
      </w:r>
      <w:r w:rsidRPr="00B21C54">
        <w:t xml:space="preserve">This year the Annual Review had a particular focus on lessons learning for the future. </w:t>
      </w:r>
      <w:r>
        <w:t xml:space="preserve">The review </w:t>
      </w:r>
      <w:r w:rsidRPr="00B21C54">
        <w:t xml:space="preserve">took place from </w:t>
      </w:r>
      <w:r>
        <w:t>0</w:t>
      </w:r>
      <w:r w:rsidRPr="00B21C54">
        <w:t>1</w:t>
      </w:r>
      <w:r>
        <w:t xml:space="preserve"> – 15 February</w:t>
      </w:r>
      <w:r w:rsidRPr="00B21C54">
        <w:t xml:space="preserve"> </w:t>
      </w:r>
      <w:r>
        <w:t>2015</w:t>
      </w:r>
      <w:r w:rsidRPr="00B21C54">
        <w:t>.</w:t>
      </w:r>
      <w:r w:rsidR="00B34D3B">
        <w:t xml:space="preserve"> </w:t>
      </w:r>
      <w:r>
        <w:t xml:space="preserve">Because of political disruptions the team could not </w:t>
      </w:r>
      <w:r w:rsidR="00B34D3B">
        <w:t xml:space="preserve">conduct any field visits. Instead the review centred on a wide range </w:t>
      </w:r>
      <w:r w:rsidR="00D21D0C">
        <w:t xml:space="preserve">of </w:t>
      </w:r>
      <w:r w:rsidR="00D21D0C" w:rsidRPr="00B21C54">
        <w:t>meetings</w:t>
      </w:r>
      <w:r w:rsidR="00B34D3B">
        <w:t xml:space="preserve"> and </w:t>
      </w:r>
      <w:r>
        <w:t xml:space="preserve">discussions </w:t>
      </w:r>
      <w:r w:rsidR="009C7F87">
        <w:t xml:space="preserve">(and skype and telephone calls) </w:t>
      </w:r>
      <w:r>
        <w:t>with key stakeholders including the CLP Senior Managers, district staff, implementing NGO</w:t>
      </w:r>
      <w:r w:rsidR="00D21D0C">
        <w:t xml:space="preserve"> staff</w:t>
      </w:r>
      <w:r w:rsidR="009C7F87">
        <w:t xml:space="preserve"> and </w:t>
      </w:r>
      <w:r w:rsidR="00D21D0C">
        <w:t xml:space="preserve">other relevant informants. </w:t>
      </w:r>
    </w:p>
    <w:p w:rsidR="006F5405" w:rsidRPr="006F5405" w:rsidRDefault="006F5405" w:rsidP="006F5405">
      <w:pPr>
        <w:pStyle w:val="ListBullet"/>
        <w:numPr>
          <w:ilvl w:val="0"/>
          <w:numId w:val="0"/>
        </w:numPr>
        <w:spacing w:after="80"/>
        <w:jc w:val="left"/>
        <w:rPr>
          <w:sz w:val="8"/>
        </w:rPr>
      </w:pPr>
    </w:p>
    <w:p w:rsidR="00AB11CD" w:rsidRPr="006F5405" w:rsidRDefault="00AB11CD" w:rsidP="006F5405">
      <w:pPr>
        <w:pStyle w:val="ListBullet"/>
        <w:numPr>
          <w:ilvl w:val="0"/>
          <w:numId w:val="0"/>
        </w:numPr>
        <w:spacing w:after="80"/>
        <w:jc w:val="left"/>
      </w:pPr>
      <w:r>
        <w:t xml:space="preserve">The review team </w:t>
      </w:r>
      <w:r w:rsidR="00D21D0C">
        <w:t>could not collect direct</w:t>
      </w:r>
      <w:r w:rsidRPr="00B21C54">
        <w:t xml:space="preserve"> feedback from project beneficiaries.</w:t>
      </w:r>
      <w:r>
        <w:t xml:space="preserve"> </w:t>
      </w:r>
      <w:r w:rsidR="00D21D0C">
        <w:t xml:space="preserve">But </w:t>
      </w:r>
      <w:r w:rsidR="006D0320">
        <w:t>review of documents suggests</w:t>
      </w:r>
      <w:r w:rsidR="00D21D0C">
        <w:t xml:space="preserve"> that beneficiaries </w:t>
      </w:r>
      <w:r w:rsidRPr="00B21C54">
        <w:t xml:space="preserve">that had escaped extreme poverty were exceptionally positive about the project. </w:t>
      </w:r>
      <w:r w:rsidR="00DB0A17">
        <w:t>H</w:t>
      </w:r>
      <w:r w:rsidR="003248F1">
        <w:t>ouseholds</w:t>
      </w:r>
      <w:r w:rsidR="00D21D0C">
        <w:t xml:space="preserve">, direct and indirect, that were benefitted from plinths during the 2014 floods were also very positive as evident from the flood response </w:t>
      </w:r>
      <w:r w:rsidR="006F5405">
        <w:t>report</w:t>
      </w:r>
      <w:r w:rsidR="00D21D0C">
        <w:t>. People who were supported during winter also appreciate</w:t>
      </w:r>
      <w:r w:rsidR="001215FC">
        <w:t>d</w:t>
      </w:r>
      <w:r w:rsidR="00D21D0C">
        <w:t xml:space="preserve"> the </w:t>
      </w:r>
      <w:r w:rsidR="006D0320">
        <w:t xml:space="preserve">project. </w:t>
      </w:r>
      <w:r w:rsidRPr="00B21C54">
        <w:t>Partner NGOs were similarly positive about the project and the support they had received</w:t>
      </w:r>
      <w:r>
        <w:t xml:space="preserve"> from it</w:t>
      </w:r>
      <w:r w:rsidRPr="00B21C54">
        <w:t>.</w:t>
      </w:r>
      <w:r>
        <w:t xml:space="preserve"> </w:t>
      </w:r>
      <w:r w:rsidR="006F5405">
        <w:t>F</w:t>
      </w:r>
      <w:r w:rsidR="006F5405" w:rsidRPr="00B21C54">
        <w:t xml:space="preserve">eedback from government </w:t>
      </w:r>
      <w:r w:rsidR="006F5405">
        <w:t>was also positive.</w:t>
      </w:r>
    </w:p>
    <w:sectPr w:rsidR="00AB11CD" w:rsidRPr="006F5405" w:rsidSect="00503FB0">
      <w:headerReference w:type="even" r:id="rId10"/>
      <w:headerReference w:type="default" r:id="rId11"/>
      <w:footerReference w:type="even" r:id="rId12"/>
      <w:footerReference w:type="default" r:id="rId13"/>
      <w:headerReference w:type="first" r:id="rId14"/>
      <w:footerReference w:type="first" r:id="rId15"/>
      <w:pgSz w:w="11906" w:h="16838" w:code="9"/>
      <w:pgMar w:top="719" w:right="851" w:bottom="1134" w:left="851"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DF1" w:rsidRDefault="00312DF1">
      <w:r>
        <w:separator/>
      </w:r>
    </w:p>
  </w:endnote>
  <w:endnote w:type="continuationSeparator" w:id="0">
    <w:p w:rsidR="00312DF1" w:rsidRDefault="003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DC5" w:rsidRDefault="00E61D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400327"/>
      <w:docPartObj>
        <w:docPartGallery w:val="Page Numbers (Bottom of Page)"/>
        <w:docPartUnique/>
      </w:docPartObj>
    </w:sdtPr>
    <w:sdtEndPr>
      <w:rPr>
        <w:noProof/>
        <w:sz w:val="22"/>
        <w:szCs w:val="22"/>
      </w:rPr>
    </w:sdtEndPr>
    <w:sdtContent>
      <w:p w:rsidR="00973BA8" w:rsidRPr="00503FB0" w:rsidRDefault="00973BA8">
        <w:pPr>
          <w:pStyle w:val="Footer"/>
          <w:jc w:val="center"/>
          <w:rPr>
            <w:sz w:val="22"/>
            <w:szCs w:val="22"/>
          </w:rPr>
        </w:pPr>
        <w:r w:rsidRPr="00503FB0">
          <w:rPr>
            <w:sz w:val="22"/>
            <w:szCs w:val="22"/>
          </w:rPr>
          <w:fldChar w:fldCharType="begin"/>
        </w:r>
        <w:r w:rsidRPr="00503FB0">
          <w:rPr>
            <w:sz w:val="22"/>
            <w:szCs w:val="22"/>
          </w:rPr>
          <w:instrText xml:space="preserve"> PAGE   \* MERGEFORMAT </w:instrText>
        </w:r>
        <w:r w:rsidRPr="00503FB0">
          <w:rPr>
            <w:sz w:val="22"/>
            <w:szCs w:val="22"/>
          </w:rPr>
          <w:fldChar w:fldCharType="separate"/>
        </w:r>
        <w:r w:rsidR="00D20ADC">
          <w:rPr>
            <w:noProof/>
            <w:sz w:val="22"/>
            <w:szCs w:val="22"/>
          </w:rPr>
          <w:t>1</w:t>
        </w:r>
        <w:r w:rsidRPr="00503FB0">
          <w:rPr>
            <w:noProof/>
            <w:sz w:val="22"/>
            <w:szCs w:val="22"/>
          </w:rPr>
          <w:fldChar w:fldCharType="end"/>
        </w:r>
      </w:p>
    </w:sdtContent>
  </w:sdt>
  <w:p w:rsidR="00973BA8" w:rsidRPr="00AE1D30" w:rsidRDefault="00973BA8" w:rsidP="00AE1D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DC5" w:rsidRDefault="00E61D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DF1" w:rsidRDefault="00312DF1">
      <w:r>
        <w:separator/>
      </w:r>
    </w:p>
  </w:footnote>
  <w:footnote w:type="continuationSeparator" w:id="0">
    <w:p w:rsidR="00312DF1" w:rsidRDefault="00312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DC5" w:rsidRDefault="00E61D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DC5" w:rsidRDefault="00E61D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DC5" w:rsidRDefault="00E61D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C880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860DAF"/>
    <w:multiLevelType w:val="hybridMultilevel"/>
    <w:tmpl w:val="6366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B5452F"/>
    <w:multiLevelType w:val="hybridMultilevel"/>
    <w:tmpl w:val="A7E485D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nsid w:val="0B4924F6"/>
    <w:multiLevelType w:val="hybridMultilevel"/>
    <w:tmpl w:val="98A221B6"/>
    <w:lvl w:ilvl="0" w:tplc="D9FC571E">
      <w:start w:val="1"/>
      <w:numFmt w:val="decimal"/>
      <w:lvlText w:val="R%1."/>
      <w:lvlJc w:val="left"/>
      <w:pPr>
        <w:ind w:left="1004" w:hanging="360"/>
      </w:pPr>
      <w:rPr>
        <w:rFonts w:hint="default"/>
        <w:sz w:val="2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nsid w:val="0C195573"/>
    <w:multiLevelType w:val="hybridMultilevel"/>
    <w:tmpl w:val="E0E41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2358DA"/>
    <w:multiLevelType w:val="hybridMultilevel"/>
    <w:tmpl w:val="DE3E6EB2"/>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6">
    <w:nsid w:val="117F6E85"/>
    <w:multiLevelType w:val="hybridMultilevel"/>
    <w:tmpl w:val="0840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D715BA"/>
    <w:multiLevelType w:val="hybridMultilevel"/>
    <w:tmpl w:val="9474C74A"/>
    <w:lvl w:ilvl="0" w:tplc="7F58B9C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8BC01A0"/>
    <w:multiLevelType w:val="hybridMultilevel"/>
    <w:tmpl w:val="F3A6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4D0470"/>
    <w:multiLevelType w:val="hybridMultilevel"/>
    <w:tmpl w:val="FC644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06D0EF6"/>
    <w:multiLevelType w:val="hybridMultilevel"/>
    <w:tmpl w:val="58066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E1605F"/>
    <w:multiLevelType w:val="hybridMultilevel"/>
    <w:tmpl w:val="CF1AA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F532D5"/>
    <w:multiLevelType w:val="hybridMultilevel"/>
    <w:tmpl w:val="C298EB5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974E50"/>
    <w:multiLevelType w:val="hybridMultilevel"/>
    <w:tmpl w:val="39524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307753"/>
    <w:multiLevelType w:val="hybridMultilevel"/>
    <w:tmpl w:val="F9B63FE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45A47134"/>
    <w:multiLevelType w:val="hybridMultilevel"/>
    <w:tmpl w:val="63729D2A"/>
    <w:lvl w:ilvl="0" w:tplc="D9FC571E">
      <w:start w:val="1"/>
      <w:numFmt w:val="decimal"/>
      <w:lvlText w:val="R%1."/>
      <w:lvlJc w:val="left"/>
      <w:pPr>
        <w:ind w:left="10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1D11C0"/>
    <w:multiLevelType w:val="hybridMultilevel"/>
    <w:tmpl w:val="6C100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BBF2238"/>
    <w:multiLevelType w:val="hybridMultilevel"/>
    <w:tmpl w:val="0B7E31D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53D60A60"/>
    <w:multiLevelType w:val="hybridMultilevel"/>
    <w:tmpl w:val="668A2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5BF3578"/>
    <w:multiLevelType w:val="hybridMultilevel"/>
    <w:tmpl w:val="FF34F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D334321"/>
    <w:multiLevelType w:val="hybridMultilevel"/>
    <w:tmpl w:val="2546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3B3900"/>
    <w:multiLevelType w:val="hybridMultilevel"/>
    <w:tmpl w:val="C2FA7E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65C50BC8"/>
    <w:multiLevelType w:val="hybridMultilevel"/>
    <w:tmpl w:val="5072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584579"/>
    <w:multiLevelType w:val="hybridMultilevel"/>
    <w:tmpl w:val="526EB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0A3706C"/>
    <w:multiLevelType w:val="hybridMultilevel"/>
    <w:tmpl w:val="610ED068"/>
    <w:lvl w:ilvl="0" w:tplc="08090001">
      <w:start w:val="1"/>
      <w:numFmt w:val="bullet"/>
      <w:lvlText w:val=""/>
      <w:lvlJc w:val="left"/>
      <w:pPr>
        <w:ind w:left="1004" w:hanging="360"/>
      </w:pPr>
      <w:rPr>
        <w:rFonts w:ascii="Symbol" w:hAnsi="Symbo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C6F7CAA"/>
    <w:multiLevelType w:val="hybridMultilevel"/>
    <w:tmpl w:val="9474C74A"/>
    <w:lvl w:ilvl="0" w:tplc="7F58B9C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7E014AB2"/>
    <w:multiLevelType w:val="hybridMultilevel"/>
    <w:tmpl w:val="A35471B6"/>
    <w:lvl w:ilvl="0" w:tplc="B1884C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E04307B"/>
    <w:multiLevelType w:val="hybridMultilevel"/>
    <w:tmpl w:val="1264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2"/>
  </w:num>
  <w:num w:numId="4">
    <w:abstractNumId w:val="10"/>
  </w:num>
  <w:num w:numId="5">
    <w:abstractNumId w:val="12"/>
  </w:num>
  <w:num w:numId="6">
    <w:abstractNumId w:val="11"/>
  </w:num>
  <w:num w:numId="7">
    <w:abstractNumId w:val="23"/>
  </w:num>
  <w:num w:numId="8">
    <w:abstractNumId w:val="4"/>
  </w:num>
  <w:num w:numId="9">
    <w:abstractNumId w:val="5"/>
  </w:num>
  <w:num w:numId="10">
    <w:abstractNumId w:val="25"/>
  </w:num>
  <w:num w:numId="11">
    <w:abstractNumId w:val="6"/>
  </w:num>
  <w:num w:numId="12">
    <w:abstractNumId w:val="13"/>
  </w:num>
  <w:num w:numId="13">
    <w:abstractNumId w:val="7"/>
  </w:num>
  <w:num w:numId="14">
    <w:abstractNumId w:val="16"/>
  </w:num>
  <w:num w:numId="15">
    <w:abstractNumId w:val="9"/>
  </w:num>
  <w:num w:numId="16">
    <w:abstractNumId w:val="0"/>
  </w:num>
  <w:num w:numId="17">
    <w:abstractNumId w:val="0"/>
  </w:num>
  <w:num w:numId="18">
    <w:abstractNumId w:val="0"/>
  </w:num>
  <w:num w:numId="19">
    <w:abstractNumId w:val="0"/>
  </w:num>
  <w:num w:numId="20">
    <w:abstractNumId w:val="2"/>
  </w:num>
  <w:num w:numId="21">
    <w:abstractNumId w:val="3"/>
  </w:num>
  <w:num w:numId="22">
    <w:abstractNumId w:val="17"/>
  </w:num>
  <w:num w:numId="23">
    <w:abstractNumId w:val="14"/>
  </w:num>
  <w:num w:numId="24">
    <w:abstractNumId w:val="0"/>
  </w:num>
  <w:num w:numId="25">
    <w:abstractNumId w:val="0"/>
  </w:num>
  <w:num w:numId="26">
    <w:abstractNumId w:val="0"/>
  </w:num>
  <w:num w:numId="27">
    <w:abstractNumId w:val="21"/>
  </w:num>
  <w:num w:numId="28">
    <w:abstractNumId w:val="19"/>
  </w:num>
  <w:num w:numId="29">
    <w:abstractNumId w:val="18"/>
  </w:num>
  <w:num w:numId="30">
    <w:abstractNumId w:val="1"/>
  </w:num>
  <w:num w:numId="31">
    <w:abstractNumId w:val="20"/>
  </w:num>
  <w:num w:numId="32">
    <w:abstractNumId w:val="15"/>
  </w:num>
  <w:num w:numId="33">
    <w:abstractNumId w:val="24"/>
  </w:num>
  <w:num w:numId="34">
    <w:abstractNumId w:val="27"/>
  </w:num>
  <w:num w:numId="35">
    <w:abstractNumId w:val="8"/>
  </w:num>
  <w:num w:numId="36">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9A"/>
    <w:rsid w:val="000012BB"/>
    <w:rsid w:val="00001BF5"/>
    <w:rsid w:val="000060E2"/>
    <w:rsid w:val="0001043E"/>
    <w:rsid w:val="00015B32"/>
    <w:rsid w:val="000160FD"/>
    <w:rsid w:val="0001644D"/>
    <w:rsid w:val="00017400"/>
    <w:rsid w:val="00017DBE"/>
    <w:rsid w:val="00020936"/>
    <w:rsid w:val="00022CBB"/>
    <w:rsid w:val="00025F43"/>
    <w:rsid w:val="00026B51"/>
    <w:rsid w:val="00031C73"/>
    <w:rsid w:val="00032A47"/>
    <w:rsid w:val="00034CFB"/>
    <w:rsid w:val="0003530F"/>
    <w:rsid w:val="00035CBC"/>
    <w:rsid w:val="00036951"/>
    <w:rsid w:val="00036CB4"/>
    <w:rsid w:val="00037040"/>
    <w:rsid w:val="00040896"/>
    <w:rsid w:val="00040F3E"/>
    <w:rsid w:val="00040FC0"/>
    <w:rsid w:val="00043E31"/>
    <w:rsid w:val="00047114"/>
    <w:rsid w:val="00053BF4"/>
    <w:rsid w:val="0005426A"/>
    <w:rsid w:val="0005744C"/>
    <w:rsid w:val="000612DF"/>
    <w:rsid w:val="0006359B"/>
    <w:rsid w:val="00065F33"/>
    <w:rsid w:val="000663DE"/>
    <w:rsid w:val="00066929"/>
    <w:rsid w:val="00067681"/>
    <w:rsid w:val="000707A6"/>
    <w:rsid w:val="00071892"/>
    <w:rsid w:val="00071F45"/>
    <w:rsid w:val="00073C1A"/>
    <w:rsid w:val="00073FE7"/>
    <w:rsid w:val="00074ED6"/>
    <w:rsid w:val="00075CE4"/>
    <w:rsid w:val="00076648"/>
    <w:rsid w:val="00080EC4"/>
    <w:rsid w:val="00080FCE"/>
    <w:rsid w:val="0008118A"/>
    <w:rsid w:val="00082A07"/>
    <w:rsid w:val="00092793"/>
    <w:rsid w:val="0009310B"/>
    <w:rsid w:val="000961CC"/>
    <w:rsid w:val="00097D0A"/>
    <w:rsid w:val="000A0748"/>
    <w:rsid w:val="000A183A"/>
    <w:rsid w:val="000A4B85"/>
    <w:rsid w:val="000B003E"/>
    <w:rsid w:val="000B55DC"/>
    <w:rsid w:val="000B6F9F"/>
    <w:rsid w:val="000C0B4D"/>
    <w:rsid w:val="000C14F4"/>
    <w:rsid w:val="000C21B5"/>
    <w:rsid w:val="000C37A8"/>
    <w:rsid w:val="000C7FC9"/>
    <w:rsid w:val="000D2D54"/>
    <w:rsid w:val="000D339F"/>
    <w:rsid w:val="000D6C85"/>
    <w:rsid w:val="000D72B2"/>
    <w:rsid w:val="000E0876"/>
    <w:rsid w:val="000E1866"/>
    <w:rsid w:val="000E1BD7"/>
    <w:rsid w:val="000E338F"/>
    <w:rsid w:val="000F05D0"/>
    <w:rsid w:val="000F1AE7"/>
    <w:rsid w:val="000F3176"/>
    <w:rsid w:val="000F4B8A"/>
    <w:rsid w:val="000F5A58"/>
    <w:rsid w:val="000F5D64"/>
    <w:rsid w:val="000F7B81"/>
    <w:rsid w:val="00101A45"/>
    <w:rsid w:val="00103116"/>
    <w:rsid w:val="0010355D"/>
    <w:rsid w:val="00104997"/>
    <w:rsid w:val="00106B37"/>
    <w:rsid w:val="001108F0"/>
    <w:rsid w:val="00110E5F"/>
    <w:rsid w:val="0011381A"/>
    <w:rsid w:val="00113CA3"/>
    <w:rsid w:val="0011578C"/>
    <w:rsid w:val="00117E4D"/>
    <w:rsid w:val="00120A59"/>
    <w:rsid w:val="001215FC"/>
    <w:rsid w:val="00122406"/>
    <w:rsid w:val="001248D5"/>
    <w:rsid w:val="0012571E"/>
    <w:rsid w:val="00127CFC"/>
    <w:rsid w:val="001300CB"/>
    <w:rsid w:val="0013028E"/>
    <w:rsid w:val="00133377"/>
    <w:rsid w:val="001346B9"/>
    <w:rsid w:val="001351D5"/>
    <w:rsid w:val="0013733F"/>
    <w:rsid w:val="00141A99"/>
    <w:rsid w:val="00142B82"/>
    <w:rsid w:val="00143A48"/>
    <w:rsid w:val="00144C58"/>
    <w:rsid w:val="001451EB"/>
    <w:rsid w:val="00145B0C"/>
    <w:rsid w:val="00146121"/>
    <w:rsid w:val="001469EB"/>
    <w:rsid w:val="00147154"/>
    <w:rsid w:val="00150FE9"/>
    <w:rsid w:val="00151A1C"/>
    <w:rsid w:val="00152D1D"/>
    <w:rsid w:val="00152F32"/>
    <w:rsid w:val="0015320B"/>
    <w:rsid w:val="00153F1A"/>
    <w:rsid w:val="00154215"/>
    <w:rsid w:val="00155B27"/>
    <w:rsid w:val="0015604B"/>
    <w:rsid w:val="00157035"/>
    <w:rsid w:val="001602E0"/>
    <w:rsid w:val="00161167"/>
    <w:rsid w:val="001621BC"/>
    <w:rsid w:val="00162226"/>
    <w:rsid w:val="00162DAF"/>
    <w:rsid w:val="00164AC6"/>
    <w:rsid w:val="00165280"/>
    <w:rsid w:val="00165705"/>
    <w:rsid w:val="0016625A"/>
    <w:rsid w:val="001705D4"/>
    <w:rsid w:val="00170714"/>
    <w:rsid w:val="00170F7B"/>
    <w:rsid w:val="00173FB6"/>
    <w:rsid w:val="00173FD1"/>
    <w:rsid w:val="00174232"/>
    <w:rsid w:val="0017614F"/>
    <w:rsid w:val="00176AF3"/>
    <w:rsid w:val="00177863"/>
    <w:rsid w:val="001808D5"/>
    <w:rsid w:val="00181B82"/>
    <w:rsid w:val="00182855"/>
    <w:rsid w:val="0018377F"/>
    <w:rsid w:val="00185494"/>
    <w:rsid w:val="001910FF"/>
    <w:rsid w:val="0019210F"/>
    <w:rsid w:val="00194173"/>
    <w:rsid w:val="001944EB"/>
    <w:rsid w:val="00194720"/>
    <w:rsid w:val="001A0151"/>
    <w:rsid w:val="001A4F86"/>
    <w:rsid w:val="001A51EF"/>
    <w:rsid w:val="001A5D5D"/>
    <w:rsid w:val="001A6DC8"/>
    <w:rsid w:val="001B0335"/>
    <w:rsid w:val="001B187C"/>
    <w:rsid w:val="001B7659"/>
    <w:rsid w:val="001C3D76"/>
    <w:rsid w:val="001C5384"/>
    <w:rsid w:val="001C632E"/>
    <w:rsid w:val="001D1C44"/>
    <w:rsid w:val="001D2B21"/>
    <w:rsid w:val="001D5B68"/>
    <w:rsid w:val="001D654E"/>
    <w:rsid w:val="001D66C7"/>
    <w:rsid w:val="001D78CE"/>
    <w:rsid w:val="001D7ABB"/>
    <w:rsid w:val="001E0204"/>
    <w:rsid w:val="001E30A4"/>
    <w:rsid w:val="001E39A7"/>
    <w:rsid w:val="001E3D9B"/>
    <w:rsid w:val="001E6997"/>
    <w:rsid w:val="001F01F1"/>
    <w:rsid w:val="001F3A54"/>
    <w:rsid w:val="001F3F0E"/>
    <w:rsid w:val="001F43A7"/>
    <w:rsid w:val="001F46CC"/>
    <w:rsid w:val="001F5CB8"/>
    <w:rsid w:val="001F6868"/>
    <w:rsid w:val="001F730B"/>
    <w:rsid w:val="00200FA8"/>
    <w:rsid w:val="0020237C"/>
    <w:rsid w:val="00204673"/>
    <w:rsid w:val="002135D0"/>
    <w:rsid w:val="002139A7"/>
    <w:rsid w:val="002149CF"/>
    <w:rsid w:val="0021506D"/>
    <w:rsid w:val="002176C8"/>
    <w:rsid w:val="00220976"/>
    <w:rsid w:val="00220AB8"/>
    <w:rsid w:val="00222C68"/>
    <w:rsid w:val="00224E3C"/>
    <w:rsid w:val="00230B2D"/>
    <w:rsid w:val="00235CF9"/>
    <w:rsid w:val="0023662A"/>
    <w:rsid w:val="00237750"/>
    <w:rsid w:val="00237FF2"/>
    <w:rsid w:val="00240E74"/>
    <w:rsid w:val="002410D6"/>
    <w:rsid w:val="002428B6"/>
    <w:rsid w:val="002444EA"/>
    <w:rsid w:val="00244FE3"/>
    <w:rsid w:val="00250B60"/>
    <w:rsid w:val="00252239"/>
    <w:rsid w:val="00254ABB"/>
    <w:rsid w:val="00254B3C"/>
    <w:rsid w:val="00256C02"/>
    <w:rsid w:val="00256CED"/>
    <w:rsid w:val="00260870"/>
    <w:rsid w:val="00261FF4"/>
    <w:rsid w:val="00262DCB"/>
    <w:rsid w:val="00263462"/>
    <w:rsid w:val="00263D8F"/>
    <w:rsid w:val="002646CA"/>
    <w:rsid w:val="00264B61"/>
    <w:rsid w:val="00265145"/>
    <w:rsid w:val="00265248"/>
    <w:rsid w:val="00266A3C"/>
    <w:rsid w:val="00266CD6"/>
    <w:rsid w:val="002674A5"/>
    <w:rsid w:val="00270233"/>
    <w:rsid w:val="00270BE3"/>
    <w:rsid w:val="00272D0D"/>
    <w:rsid w:val="0027531A"/>
    <w:rsid w:val="002801EE"/>
    <w:rsid w:val="002806BB"/>
    <w:rsid w:val="002843EA"/>
    <w:rsid w:val="0028558E"/>
    <w:rsid w:val="00285D4A"/>
    <w:rsid w:val="00287132"/>
    <w:rsid w:val="00287BD6"/>
    <w:rsid w:val="00295B52"/>
    <w:rsid w:val="0029640B"/>
    <w:rsid w:val="002965D2"/>
    <w:rsid w:val="00297433"/>
    <w:rsid w:val="002A16DE"/>
    <w:rsid w:val="002A743D"/>
    <w:rsid w:val="002B06A7"/>
    <w:rsid w:val="002B1B64"/>
    <w:rsid w:val="002B1B68"/>
    <w:rsid w:val="002B2AB8"/>
    <w:rsid w:val="002B2F32"/>
    <w:rsid w:val="002B3D01"/>
    <w:rsid w:val="002B5586"/>
    <w:rsid w:val="002B7608"/>
    <w:rsid w:val="002C13E0"/>
    <w:rsid w:val="002C2090"/>
    <w:rsid w:val="002C2575"/>
    <w:rsid w:val="002D21B6"/>
    <w:rsid w:val="002D67ED"/>
    <w:rsid w:val="002D7DC5"/>
    <w:rsid w:val="002E17FB"/>
    <w:rsid w:val="002E37D5"/>
    <w:rsid w:val="002E3C4A"/>
    <w:rsid w:val="002E4421"/>
    <w:rsid w:val="002E543D"/>
    <w:rsid w:val="002F0383"/>
    <w:rsid w:val="002F4B26"/>
    <w:rsid w:val="002F4F1E"/>
    <w:rsid w:val="002F60DA"/>
    <w:rsid w:val="002F6E7E"/>
    <w:rsid w:val="002F75A2"/>
    <w:rsid w:val="00302878"/>
    <w:rsid w:val="0030539D"/>
    <w:rsid w:val="003072A1"/>
    <w:rsid w:val="00310328"/>
    <w:rsid w:val="00310E15"/>
    <w:rsid w:val="00312707"/>
    <w:rsid w:val="0031278B"/>
    <w:rsid w:val="00312DF1"/>
    <w:rsid w:val="00313AA0"/>
    <w:rsid w:val="00315A7C"/>
    <w:rsid w:val="0031773B"/>
    <w:rsid w:val="0032475F"/>
    <w:rsid w:val="003248F1"/>
    <w:rsid w:val="0032795B"/>
    <w:rsid w:val="003301DC"/>
    <w:rsid w:val="00330A0B"/>
    <w:rsid w:val="00334C6E"/>
    <w:rsid w:val="0033687D"/>
    <w:rsid w:val="003402CB"/>
    <w:rsid w:val="00342A1E"/>
    <w:rsid w:val="003434E8"/>
    <w:rsid w:val="00343D21"/>
    <w:rsid w:val="003457F8"/>
    <w:rsid w:val="003468EE"/>
    <w:rsid w:val="0034696D"/>
    <w:rsid w:val="003469B8"/>
    <w:rsid w:val="00350F69"/>
    <w:rsid w:val="00353475"/>
    <w:rsid w:val="00354399"/>
    <w:rsid w:val="00360032"/>
    <w:rsid w:val="00362D9E"/>
    <w:rsid w:val="003645D7"/>
    <w:rsid w:val="00364AD2"/>
    <w:rsid w:val="0036773C"/>
    <w:rsid w:val="00372332"/>
    <w:rsid w:val="00376C37"/>
    <w:rsid w:val="0038646B"/>
    <w:rsid w:val="00386A5B"/>
    <w:rsid w:val="0039040B"/>
    <w:rsid w:val="003913DB"/>
    <w:rsid w:val="00392219"/>
    <w:rsid w:val="00393C63"/>
    <w:rsid w:val="00395558"/>
    <w:rsid w:val="003A077A"/>
    <w:rsid w:val="003A09F2"/>
    <w:rsid w:val="003A3BB9"/>
    <w:rsid w:val="003A50FD"/>
    <w:rsid w:val="003A77BB"/>
    <w:rsid w:val="003B1FFB"/>
    <w:rsid w:val="003B450E"/>
    <w:rsid w:val="003B4532"/>
    <w:rsid w:val="003B5A7C"/>
    <w:rsid w:val="003B7C82"/>
    <w:rsid w:val="003C090A"/>
    <w:rsid w:val="003C1703"/>
    <w:rsid w:val="003C2C4C"/>
    <w:rsid w:val="003C320D"/>
    <w:rsid w:val="003C3688"/>
    <w:rsid w:val="003C42BF"/>
    <w:rsid w:val="003C4630"/>
    <w:rsid w:val="003C4BEB"/>
    <w:rsid w:val="003C524B"/>
    <w:rsid w:val="003C6438"/>
    <w:rsid w:val="003C723A"/>
    <w:rsid w:val="003D05FB"/>
    <w:rsid w:val="003D5062"/>
    <w:rsid w:val="003E0ED6"/>
    <w:rsid w:val="003E113B"/>
    <w:rsid w:val="003E15C2"/>
    <w:rsid w:val="003E2722"/>
    <w:rsid w:val="003E78DF"/>
    <w:rsid w:val="003E7E85"/>
    <w:rsid w:val="003F1F0B"/>
    <w:rsid w:val="003F2B18"/>
    <w:rsid w:val="003F65EE"/>
    <w:rsid w:val="0040116C"/>
    <w:rsid w:val="00401547"/>
    <w:rsid w:val="00402B7A"/>
    <w:rsid w:val="00403B10"/>
    <w:rsid w:val="00403CB4"/>
    <w:rsid w:val="00404AA2"/>
    <w:rsid w:val="004065E5"/>
    <w:rsid w:val="00410DBD"/>
    <w:rsid w:val="00410F6E"/>
    <w:rsid w:val="004110D6"/>
    <w:rsid w:val="00412D76"/>
    <w:rsid w:val="0041412D"/>
    <w:rsid w:val="00422AFC"/>
    <w:rsid w:val="004268A7"/>
    <w:rsid w:val="00427175"/>
    <w:rsid w:val="004277CA"/>
    <w:rsid w:val="0043129E"/>
    <w:rsid w:val="0043177A"/>
    <w:rsid w:val="004320C2"/>
    <w:rsid w:val="00433544"/>
    <w:rsid w:val="0043492A"/>
    <w:rsid w:val="00436A2B"/>
    <w:rsid w:val="00442104"/>
    <w:rsid w:val="004443CA"/>
    <w:rsid w:val="004451AA"/>
    <w:rsid w:val="00447DB9"/>
    <w:rsid w:val="00450671"/>
    <w:rsid w:val="004549B6"/>
    <w:rsid w:val="004553F4"/>
    <w:rsid w:val="00455FB8"/>
    <w:rsid w:val="00456214"/>
    <w:rsid w:val="00457C18"/>
    <w:rsid w:val="004605C3"/>
    <w:rsid w:val="00460B9F"/>
    <w:rsid w:val="00460FBE"/>
    <w:rsid w:val="004619B9"/>
    <w:rsid w:val="0046232B"/>
    <w:rsid w:val="00463EA4"/>
    <w:rsid w:val="00467C21"/>
    <w:rsid w:val="0047030E"/>
    <w:rsid w:val="00474458"/>
    <w:rsid w:val="00476A4F"/>
    <w:rsid w:val="00484B8D"/>
    <w:rsid w:val="00485E20"/>
    <w:rsid w:val="00486096"/>
    <w:rsid w:val="0048798B"/>
    <w:rsid w:val="0049027B"/>
    <w:rsid w:val="00491C71"/>
    <w:rsid w:val="00492925"/>
    <w:rsid w:val="00492B5E"/>
    <w:rsid w:val="00494546"/>
    <w:rsid w:val="00496FAC"/>
    <w:rsid w:val="004A0EB8"/>
    <w:rsid w:val="004A12EE"/>
    <w:rsid w:val="004A2CDA"/>
    <w:rsid w:val="004A3638"/>
    <w:rsid w:val="004A47F7"/>
    <w:rsid w:val="004A6BE5"/>
    <w:rsid w:val="004A79AF"/>
    <w:rsid w:val="004B090E"/>
    <w:rsid w:val="004B1A17"/>
    <w:rsid w:val="004B1F6C"/>
    <w:rsid w:val="004B5652"/>
    <w:rsid w:val="004B669F"/>
    <w:rsid w:val="004C0068"/>
    <w:rsid w:val="004C2C4B"/>
    <w:rsid w:val="004C6AAD"/>
    <w:rsid w:val="004C71BA"/>
    <w:rsid w:val="004C7C87"/>
    <w:rsid w:val="004D118C"/>
    <w:rsid w:val="004D27A7"/>
    <w:rsid w:val="004D35FA"/>
    <w:rsid w:val="004D45C6"/>
    <w:rsid w:val="004D47A2"/>
    <w:rsid w:val="004D5892"/>
    <w:rsid w:val="004D5EFD"/>
    <w:rsid w:val="004D7488"/>
    <w:rsid w:val="004E1C80"/>
    <w:rsid w:val="004E31BE"/>
    <w:rsid w:val="004E3E9B"/>
    <w:rsid w:val="004E52CF"/>
    <w:rsid w:val="004E686E"/>
    <w:rsid w:val="004F1211"/>
    <w:rsid w:val="004F6979"/>
    <w:rsid w:val="004F69CF"/>
    <w:rsid w:val="00500F66"/>
    <w:rsid w:val="00501838"/>
    <w:rsid w:val="00502171"/>
    <w:rsid w:val="00503FB0"/>
    <w:rsid w:val="00504BBD"/>
    <w:rsid w:val="00504E18"/>
    <w:rsid w:val="00505EAC"/>
    <w:rsid w:val="0050688D"/>
    <w:rsid w:val="00506959"/>
    <w:rsid w:val="00506E5C"/>
    <w:rsid w:val="0050746C"/>
    <w:rsid w:val="0050753E"/>
    <w:rsid w:val="00507983"/>
    <w:rsid w:val="00512929"/>
    <w:rsid w:val="00517F51"/>
    <w:rsid w:val="00521737"/>
    <w:rsid w:val="00521EB8"/>
    <w:rsid w:val="005233B8"/>
    <w:rsid w:val="00523FC5"/>
    <w:rsid w:val="0052544A"/>
    <w:rsid w:val="00526634"/>
    <w:rsid w:val="00526D84"/>
    <w:rsid w:val="00527BA1"/>
    <w:rsid w:val="005323D4"/>
    <w:rsid w:val="00533752"/>
    <w:rsid w:val="00534936"/>
    <w:rsid w:val="00534E41"/>
    <w:rsid w:val="00534E73"/>
    <w:rsid w:val="005350F3"/>
    <w:rsid w:val="0053524E"/>
    <w:rsid w:val="00536E99"/>
    <w:rsid w:val="005426B0"/>
    <w:rsid w:val="00543787"/>
    <w:rsid w:val="0054411C"/>
    <w:rsid w:val="00544332"/>
    <w:rsid w:val="0055212D"/>
    <w:rsid w:val="00553D5B"/>
    <w:rsid w:val="00554A80"/>
    <w:rsid w:val="00554B5D"/>
    <w:rsid w:val="0055505D"/>
    <w:rsid w:val="00555FB9"/>
    <w:rsid w:val="00557986"/>
    <w:rsid w:val="00561956"/>
    <w:rsid w:val="005639BD"/>
    <w:rsid w:val="005646F9"/>
    <w:rsid w:val="00570F72"/>
    <w:rsid w:val="0057188B"/>
    <w:rsid w:val="00571F61"/>
    <w:rsid w:val="0057253A"/>
    <w:rsid w:val="005807F0"/>
    <w:rsid w:val="00580FFA"/>
    <w:rsid w:val="0058187C"/>
    <w:rsid w:val="0058269F"/>
    <w:rsid w:val="00583E29"/>
    <w:rsid w:val="005849E9"/>
    <w:rsid w:val="00585488"/>
    <w:rsid w:val="00590049"/>
    <w:rsid w:val="00591580"/>
    <w:rsid w:val="0059343C"/>
    <w:rsid w:val="005942AD"/>
    <w:rsid w:val="00595659"/>
    <w:rsid w:val="00597163"/>
    <w:rsid w:val="005A3807"/>
    <w:rsid w:val="005A4716"/>
    <w:rsid w:val="005A47E9"/>
    <w:rsid w:val="005A50CB"/>
    <w:rsid w:val="005B5FA0"/>
    <w:rsid w:val="005B7EE2"/>
    <w:rsid w:val="005C040F"/>
    <w:rsid w:val="005C054B"/>
    <w:rsid w:val="005C2CEA"/>
    <w:rsid w:val="005C3168"/>
    <w:rsid w:val="005C3C5A"/>
    <w:rsid w:val="005C7052"/>
    <w:rsid w:val="005D12F3"/>
    <w:rsid w:val="005D17A0"/>
    <w:rsid w:val="005D5845"/>
    <w:rsid w:val="005E201C"/>
    <w:rsid w:val="005E2ED8"/>
    <w:rsid w:val="005E4735"/>
    <w:rsid w:val="005E6421"/>
    <w:rsid w:val="005E693E"/>
    <w:rsid w:val="005F1DF1"/>
    <w:rsid w:val="005F5801"/>
    <w:rsid w:val="005F7191"/>
    <w:rsid w:val="005F7FB5"/>
    <w:rsid w:val="00601740"/>
    <w:rsid w:val="0060393E"/>
    <w:rsid w:val="00604569"/>
    <w:rsid w:val="006050FF"/>
    <w:rsid w:val="00610865"/>
    <w:rsid w:val="006135C7"/>
    <w:rsid w:val="0061372E"/>
    <w:rsid w:val="0061591D"/>
    <w:rsid w:val="006209C4"/>
    <w:rsid w:val="00622D8C"/>
    <w:rsid w:val="00624585"/>
    <w:rsid w:val="00624F95"/>
    <w:rsid w:val="006255BE"/>
    <w:rsid w:val="00626D7B"/>
    <w:rsid w:val="00631EC5"/>
    <w:rsid w:val="00633430"/>
    <w:rsid w:val="00634AEF"/>
    <w:rsid w:val="00635ECE"/>
    <w:rsid w:val="00636BD0"/>
    <w:rsid w:val="00637C20"/>
    <w:rsid w:val="00637DF6"/>
    <w:rsid w:val="0064047D"/>
    <w:rsid w:val="00641A4E"/>
    <w:rsid w:val="0064339B"/>
    <w:rsid w:val="00644989"/>
    <w:rsid w:val="00644A5D"/>
    <w:rsid w:val="006462E9"/>
    <w:rsid w:val="00647966"/>
    <w:rsid w:val="00647C7C"/>
    <w:rsid w:val="006517FC"/>
    <w:rsid w:val="0065306A"/>
    <w:rsid w:val="00654B17"/>
    <w:rsid w:val="00655862"/>
    <w:rsid w:val="0066083A"/>
    <w:rsid w:val="0066084C"/>
    <w:rsid w:val="006625A4"/>
    <w:rsid w:val="0066421A"/>
    <w:rsid w:val="00666A2D"/>
    <w:rsid w:val="00667199"/>
    <w:rsid w:val="00667A81"/>
    <w:rsid w:val="0067097D"/>
    <w:rsid w:val="0067170F"/>
    <w:rsid w:val="006764FB"/>
    <w:rsid w:val="00680561"/>
    <w:rsid w:val="00682767"/>
    <w:rsid w:val="00682F63"/>
    <w:rsid w:val="006840DB"/>
    <w:rsid w:val="006909E9"/>
    <w:rsid w:val="00694AB2"/>
    <w:rsid w:val="0069530A"/>
    <w:rsid w:val="00695478"/>
    <w:rsid w:val="0069697C"/>
    <w:rsid w:val="006971EB"/>
    <w:rsid w:val="006A0FE3"/>
    <w:rsid w:val="006A1D57"/>
    <w:rsid w:val="006A364D"/>
    <w:rsid w:val="006A3BA9"/>
    <w:rsid w:val="006A403D"/>
    <w:rsid w:val="006A4555"/>
    <w:rsid w:val="006A5340"/>
    <w:rsid w:val="006A71BD"/>
    <w:rsid w:val="006B347B"/>
    <w:rsid w:val="006B6443"/>
    <w:rsid w:val="006C01F5"/>
    <w:rsid w:val="006C041E"/>
    <w:rsid w:val="006C5C93"/>
    <w:rsid w:val="006C614E"/>
    <w:rsid w:val="006C712A"/>
    <w:rsid w:val="006C7378"/>
    <w:rsid w:val="006D0320"/>
    <w:rsid w:val="006D4C2B"/>
    <w:rsid w:val="006D56EC"/>
    <w:rsid w:val="006D7153"/>
    <w:rsid w:val="006E0D78"/>
    <w:rsid w:val="006E1262"/>
    <w:rsid w:val="006E1965"/>
    <w:rsid w:val="006E1C74"/>
    <w:rsid w:val="006E3253"/>
    <w:rsid w:val="006E4277"/>
    <w:rsid w:val="006E428B"/>
    <w:rsid w:val="006E48E5"/>
    <w:rsid w:val="006F30C3"/>
    <w:rsid w:val="006F357C"/>
    <w:rsid w:val="006F5405"/>
    <w:rsid w:val="006F6AAE"/>
    <w:rsid w:val="006F7625"/>
    <w:rsid w:val="0070077F"/>
    <w:rsid w:val="0070168C"/>
    <w:rsid w:val="0070239B"/>
    <w:rsid w:val="00702FB2"/>
    <w:rsid w:val="00703EF8"/>
    <w:rsid w:val="007059EE"/>
    <w:rsid w:val="0070607C"/>
    <w:rsid w:val="00707228"/>
    <w:rsid w:val="00707FCA"/>
    <w:rsid w:val="00715123"/>
    <w:rsid w:val="007217E5"/>
    <w:rsid w:val="00722CEA"/>
    <w:rsid w:val="0072549E"/>
    <w:rsid w:val="00726E4F"/>
    <w:rsid w:val="00730155"/>
    <w:rsid w:val="00730515"/>
    <w:rsid w:val="00731210"/>
    <w:rsid w:val="00731821"/>
    <w:rsid w:val="0073278A"/>
    <w:rsid w:val="00732D87"/>
    <w:rsid w:val="007336DF"/>
    <w:rsid w:val="00734A9B"/>
    <w:rsid w:val="00735121"/>
    <w:rsid w:val="00735620"/>
    <w:rsid w:val="0074168C"/>
    <w:rsid w:val="00742263"/>
    <w:rsid w:val="007452FA"/>
    <w:rsid w:val="007459F1"/>
    <w:rsid w:val="00745E9A"/>
    <w:rsid w:val="00746853"/>
    <w:rsid w:val="00747A51"/>
    <w:rsid w:val="00747FDB"/>
    <w:rsid w:val="007514DE"/>
    <w:rsid w:val="00752942"/>
    <w:rsid w:val="00752E26"/>
    <w:rsid w:val="00756665"/>
    <w:rsid w:val="00762A7D"/>
    <w:rsid w:val="00767299"/>
    <w:rsid w:val="0076753D"/>
    <w:rsid w:val="00767DD8"/>
    <w:rsid w:val="00767F5C"/>
    <w:rsid w:val="0077093F"/>
    <w:rsid w:val="0077110F"/>
    <w:rsid w:val="00775217"/>
    <w:rsid w:val="0077594C"/>
    <w:rsid w:val="007779AC"/>
    <w:rsid w:val="00780F40"/>
    <w:rsid w:val="00780F9E"/>
    <w:rsid w:val="0078259E"/>
    <w:rsid w:val="007834C2"/>
    <w:rsid w:val="00783AA7"/>
    <w:rsid w:val="0078574B"/>
    <w:rsid w:val="00785D5B"/>
    <w:rsid w:val="00787A7B"/>
    <w:rsid w:val="00791E8C"/>
    <w:rsid w:val="00792F95"/>
    <w:rsid w:val="007961C6"/>
    <w:rsid w:val="0079622D"/>
    <w:rsid w:val="00797F0E"/>
    <w:rsid w:val="007A527F"/>
    <w:rsid w:val="007A5BBD"/>
    <w:rsid w:val="007A6FDB"/>
    <w:rsid w:val="007B00E4"/>
    <w:rsid w:val="007B2540"/>
    <w:rsid w:val="007B2BF6"/>
    <w:rsid w:val="007B5122"/>
    <w:rsid w:val="007B6289"/>
    <w:rsid w:val="007B69D0"/>
    <w:rsid w:val="007B6F31"/>
    <w:rsid w:val="007B788C"/>
    <w:rsid w:val="007D090B"/>
    <w:rsid w:val="007D0BE4"/>
    <w:rsid w:val="007D3253"/>
    <w:rsid w:val="007D3800"/>
    <w:rsid w:val="007D74C8"/>
    <w:rsid w:val="007D7AEF"/>
    <w:rsid w:val="007D7B6D"/>
    <w:rsid w:val="007E66B0"/>
    <w:rsid w:val="007E6D2A"/>
    <w:rsid w:val="007F003B"/>
    <w:rsid w:val="007F18D4"/>
    <w:rsid w:val="007F623C"/>
    <w:rsid w:val="0080562E"/>
    <w:rsid w:val="00806801"/>
    <w:rsid w:val="00810976"/>
    <w:rsid w:val="008121B6"/>
    <w:rsid w:val="00820CF5"/>
    <w:rsid w:val="00820D85"/>
    <w:rsid w:val="008219AA"/>
    <w:rsid w:val="00824DBA"/>
    <w:rsid w:val="0082645E"/>
    <w:rsid w:val="008310FD"/>
    <w:rsid w:val="008345D6"/>
    <w:rsid w:val="008348F2"/>
    <w:rsid w:val="008361F3"/>
    <w:rsid w:val="0083637B"/>
    <w:rsid w:val="00837644"/>
    <w:rsid w:val="00840CB2"/>
    <w:rsid w:val="00842C58"/>
    <w:rsid w:val="00844250"/>
    <w:rsid w:val="0084592B"/>
    <w:rsid w:val="00845EFB"/>
    <w:rsid w:val="00847936"/>
    <w:rsid w:val="0085053B"/>
    <w:rsid w:val="0085206D"/>
    <w:rsid w:val="0085496C"/>
    <w:rsid w:val="00855624"/>
    <w:rsid w:val="00855A3D"/>
    <w:rsid w:val="00857DC5"/>
    <w:rsid w:val="00861F0B"/>
    <w:rsid w:val="00862025"/>
    <w:rsid w:val="00862C27"/>
    <w:rsid w:val="00864EB8"/>
    <w:rsid w:val="00864F0F"/>
    <w:rsid w:val="0086635E"/>
    <w:rsid w:val="00871D53"/>
    <w:rsid w:val="00872AA1"/>
    <w:rsid w:val="00872E03"/>
    <w:rsid w:val="00875220"/>
    <w:rsid w:val="0087653B"/>
    <w:rsid w:val="00876B49"/>
    <w:rsid w:val="00877F9C"/>
    <w:rsid w:val="00880A26"/>
    <w:rsid w:val="00882347"/>
    <w:rsid w:val="00885398"/>
    <w:rsid w:val="00885FC4"/>
    <w:rsid w:val="0088622D"/>
    <w:rsid w:val="00886325"/>
    <w:rsid w:val="00893388"/>
    <w:rsid w:val="00893D6C"/>
    <w:rsid w:val="00893DBA"/>
    <w:rsid w:val="008975F9"/>
    <w:rsid w:val="008A3EC6"/>
    <w:rsid w:val="008A3ED1"/>
    <w:rsid w:val="008A51A6"/>
    <w:rsid w:val="008A72A6"/>
    <w:rsid w:val="008B101B"/>
    <w:rsid w:val="008B4487"/>
    <w:rsid w:val="008B5C29"/>
    <w:rsid w:val="008B65CE"/>
    <w:rsid w:val="008C1796"/>
    <w:rsid w:val="008C2119"/>
    <w:rsid w:val="008C71E1"/>
    <w:rsid w:val="008C7A79"/>
    <w:rsid w:val="008D1277"/>
    <w:rsid w:val="008D61B5"/>
    <w:rsid w:val="008E3C8F"/>
    <w:rsid w:val="008E40C5"/>
    <w:rsid w:val="008E4C02"/>
    <w:rsid w:val="008E5B4E"/>
    <w:rsid w:val="008E74D0"/>
    <w:rsid w:val="008E7C4C"/>
    <w:rsid w:val="008F0BEB"/>
    <w:rsid w:val="008F3F50"/>
    <w:rsid w:val="008F66E7"/>
    <w:rsid w:val="00902E01"/>
    <w:rsid w:val="00903929"/>
    <w:rsid w:val="00903DAE"/>
    <w:rsid w:val="00903E7D"/>
    <w:rsid w:val="00905C05"/>
    <w:rsid w:val="0090784B"/>
    <w:rsid w:val="009078AA"/>
    <w:rsid w:val="0090796F"/>
    <w:rsid w:val="00910350"/>
    <w:rsid w:val="0091098A"/>
    <w:rsid w:val="00910AA2"/>
    <w:rsid w:val="00910CFF"/>
    <w:rsid w:val="00913E7F"/>
    <w:rsid w:val="00915077"/>
    <w:rsid w:val="0091655F"/>
    <w:rsid w:val="0091702B"/>
    <w:rsid w:val="0092020E"/>
    <w:rsid w:val="0092103D"/>
    <w:rsid w:val="00921F1B"/>
    <w:rsid w:val="00922613"/>
    <w:rsid w:val="00923176"/>
    <w:rsid w:val="009275CD"/>
    <w:rsid w:val="00931CF6"/>
    <w:rsid w:val="00932D95"/>
    <w:rsid w:val="0093342A"/>
    <w:rsid w:val="00933BE8"/>
    <w:rsid w:val="00933EB2"/>
    <w:rsid w:val="009366BA"/>
    <w:rsid w:val="00936D71"/>
    <w:rsid w:val="00940793"/>
    <w:rsid w:val="00940B21"/>
    <w:rsid w:val="00940E28"/>
    <w:rsid w:val="00942923"/>
    <w:rsid w:val="00943FE6"/>
    <w:rsid w:val="00944BE2"/>
    <w:rsid w:val="0094674D"/>
    <w:rsid w:val="00946FF8"/>
    <w:rsid w:val="00953023"/>
    <w:rsid w:val="00955492"/>
    <w:rsid w:val="0095553D"/>
    <w:rsid w:val="00955C04"/>
    <w:rsid w:val="00957466"/>
    <w:rsid w:val="009575A2"/>
    <w:rsid w:val="009603E7"/>
    <w:rsid w:val="0096190A"/>
    <w:rsid w:val="00967E7A"/>
    <w:rsid w:val="009712DF"/>
    <w:rsid w:val="00973BA8"/>
    <w:rsid w:val="00974AC4"/>
    <w:rsid w:val="00977245"/>
    <w:rsid w:val="00980213"/>
    <w:rsid w:val="00980F6A"/>
    <w:rsid w:val="00982070"/>
    <w:rsid w:val="009821AF"/>
    <w:rsid w:val="009828E5"/>
    <w:rsid w:val="009831D5"/>
    <w:rsid w:val="00984E1B"/>
    <w:rsid w:val="00991B18"/>
    <w:rsid w:val="009921AB"/>
    <w:rsid w:val="0099392E"/>
    <w:rsid w:val="0099747F"/>
    <w:rsid w:val="009A07CC"/>
    <w:rsid w:val="009A0FA6"/>
    <w:rsid w:val="009A107A"/>
    <w:rsid w:val="009A4A9E"/>
    <w:rsid w:val="009A4C99"/>
    <w:rsid w:val="009A631B"/>
    <w:rsid w:val="009B0314"/>
    <w:rsid w:val="009B4513"/>
    <w:rsid w:val="009B4AFB"/>
    <w:rsid w:val="009C0E2C"/>
    <w:rsid w:val="009C18EB"/>
    <w:rsid w:val="009C4691"/>
    <w:rsid w:val="009C4FEB"/>
    <w:rsid w:val="009C7EDA"/>
    <w:rsid w:val="009C7F87"/>
    <w:rsid w:val="009D0947"/>
    <w:rsid w:val="009D0D90"/>
    <w:rsid w:val="009D1C32"/>
    <w:rsid w:val="009D1F49"/>
    <w:rsid w:val="009D2CE9"/>
    <w:rsid w:val="009D47BD"/>
    <w:rsid w:val="009D47FC"/>
    <w:rsid w:val="009D5212"/>
    <w:rsid w:val="009D65B9"/>
    <w:rsid w:val="009E11F9"/>
    <w:rsid w:val="009E1B5E"/>
    <w:rsid w:val="009E4015"/>
    <w:rsid w:val="009E51FF"/>
    <w:rsid w:val="009E540D"/>
    <w:rsid w:val="009F099C"/>
    <w:rsid w:val="009F126D"/>
    <w:rsid w:val="009F26CF"/>
    <w:rsid w:val="009F7229"/>
    <w:rsid w:val="009F7B80"/>
    <w:rsid w:val="00A0121D"/>
    <w:rsid w:val="00A02C85"/>
    <w:rsid w:val="00A0477D"/>
    <w:rsid w:val="00A0746F"/>
    <w:rsid w:val="00A10360"/>
    <w:rsid w:val="00A10A42"/>
    <w:rsid w:val="00A10ACE"/>
    <w:rsid w:val="00A11CD1"/>
    <w:rsid w:val="00A1432B"/>
    <w:rsid w:val="00A14C09"/>
    <w:rsid w:val="00A15055"/>
    <w:rsid w:val="00A16325"/>
    <w:rsid w:val="00A1700B"/>
    <w:rsid w:val="00A2083F"/>
    <w:rsid w:val="00A20BCE"/>
    <w:rsid w:val="00A229E2"/>
    <w:rsid w:val="00A22B9E"/>
    <w:rsid w:val="00A318C7"/>
    <w:rsid w:val="00A34041"/>
    <w:rsid w:val="00A35350"/>
    <w:rsid w:val="00A3640C"/>
    <w:rsid w:val="00A40046"/>
    <w:rsid w:val="00A42F59"/>
    <w:rsid w:val="00A432CB"/>
    <w:rsid w:val="00A449FC"/>
    <w:rsid w:val="00A4556C"/>
    <w:rsid w:val="00A473AA"/>
    <w:rsid w:val="00A53EFC"/>
    <w:rsid w:val="00A566DD"/>
    <w:rsid w:val="00A578D8"/>
    <w:rsid w:val="00A62FD7"/>
    <w:rsid w:val="00A662DA"/>
    <w:rsid w:val="00A66751"/>
    <w:rsid w:val="00A67B2B"/>
    <w:rsid w:val="00A70707"/>
    <w:rsid w:val="00A7340E"/>
    <w:rsid w:val="00A74197"/>
    <w:rsid w:val="00A83DBF"/>
    <w:rsid w:val="00A84B07"/>
    <w:rsid w:val="00A85DF7"/>
    <w:rsid w:val="00A87631"/>
    <w:rsid w:val="00A92785"/>
    <w:rsid w:val="00A928E1"/>
    <w:rsid w:val="00A932E8"/>
    <w:rsid w:val="00A93795"/>
    <w:rsid w:val="00A93FEB"/>
    <w:rsid w:val="00A95864"/>
    <w:rsid w:val="00A96B2D"/>
    <w:rsid w:val="00AA1335"/>
    <w:rsid w:val="00AA552F"/>
    <w:rsid w:val="00AB01AF"/>
    <w:rsid w:val="00AB11CD"/>
    <w:rsid w:val="00AB1B23"/>
    <w:rsid w:val="00AB2635"/>
    <w:rsid w:val="00AB3060"/>
    <w:rsid w:val="00AB3EFE"/>
    <w:rsid w:val="00AC1B3A"/>
    <w:rsid w:val="00AC1DA2"/>
    <w:rsid w:val="00AC2123"/>
    <w:rsid w:val="00AC24A5"/>
    <w:rsid w:val="00AC3C9A"/>
    <w:rsid w:val="00AC3D96"/>
    <w:rsid w:val="00AC415C"/>
    <w:rsid w:val="00AC5E2E"/>
    <w:rsid w:val="00AC68B9"/>
    <w:rsid w:val="00AC729E"/>
    <w:rsid w:val="00AD3DB5"/>
    <w:rsid w:val="00AD689D"/>
    <w:rsid w:val="00AE0F16"/>
    <w:rsid w:val="00AE0FC6"/>
    <w:rsid w:val="00AE1D30"/>
    <w:rsid w:val="00AE207C"/>
    <w:rsid w:val="00AE238C"/>
    <w:rsid w:val="00AE6AA8"/>
    <w:rsid w:val="00AF078A"/>
    <w:rsid w:val="00AF27A8"/>
    <w:rsid w:val="00AF3961"/>
    <w:rsid w:val="00AF4884"/>
    <w:rsid w:val="00AF536D"/>
    <w:rsid w:val="00AF7B08"/>
    <w:rsid w:val="00B00238"/>
    <w:rsid w:val="00B0418B"/>
    <w:rsid w:val="00B0541D"/>
    <w:rsid w:val="00B07E08"/>
    <w:rsid w:val="00B11F67"/>
    <w:rsid w:val="00B13963"/>
    <w:rsid w:val="00B1519F"/>
    <w:rsid w:val="00B172CA"/>
    <w:rsid w:val="00B20290"/>
    <w:rsid w:val="00B20A52"/>
    <w:rsid w:val="00B21ED9"/>
    <w:rsid w:val="00B22136"/>
    <w:rsid w:val="00B224BE"/>
    <w:rsid w:val="00B23232"/>
    <w:rsid w:val="00B241FB"/>
    <w:rsid w:val="00B271E0"/>
    <w:rsid w:val="00B274AC"/>
    <w:rsid w:val="00B34D3B"/>
    <w:rsid w:val="00B353DC"/>
    <w:rsid w:val="00B359F6"/>
    <w:rsid w:val="00B36ADF"/>
    <w:rsid w:val="00B36DE7"/>
    <w:rsid w:val="00B3787D"/>
    <w:rsid w:val="00B40EBD"/>
    <w:rsid w:val="00B41ECF"/>
    <w:rsid w:val="00B423D0"/>
    <w:rsid w:val="00B50479"/>
    <w:rsid w:val="00B5249B"/>
    <w:rsid w:val="00B55BED"/>
    <w:rsid w:val="00B577D6"/>
    <w:rsid w:val="00B63F5C"/>
    <w:rsid w:val="00B641B2"/>
    <w:rsid w:val="00B658D7"/>
    <w:rsid w:val="00B70EA9"/>
    <w:rsid w:val="00B72443"/>
    <w:rsid w:val="00B72D91"/>
    <w:rsid w:val="00B74E7C"/>
    <w:rsid w:val="00B755F1"/>
    <w:rsid w:val="00B76A63"/>
    <w:rsid w:val="00B76B30"/>
    <w:rsid w:val="00B7762E"/>
    <w:rsid w:val="00B82756"/>
    <w:rsid w:val="00B82F08"/>
    <w:rsid w:val="00B8335B"/>
    <w:rsid w:val="00B83D67"/>
    <w:rsid w:val="00B87E1E"/>
    <w:rsid w:val="00B87F29"/>
    <w:rsid w:val="00B90531"/>
    <w:rsid w:val="00B90730"/>
    <w:rsid w:val="00B90C31"/>
    <w:rsid w:val="00B91906"/>
    <w:rsid w:val="00B91F28"/>
    <w:rsid w:val="00B92666"/>
    <w:rsid w:val="00B959D7"/>
    <w:rsid w:val="00B96D9F"/>
    <w:rsid w:val="00BA058B"/>
    <w:rsid w:val="00BA0B57"/>
    <w:rsid w:val="00BA51E6"/>
    <w:rsid w:val="00BA5D3B"/>
    <w:rsid w:val="00BC0B41"/>
    <w:rsid w:val="00BC15D1"/>
    <w:rsid w:val="00BC1D13"/>
    <w:rsid w:val="00BC490D"/>
    <w:rsid w:val="00BC4BC7"/>
    <w:rsid w:val="00BD1817"/>
    <w:rsid w:val="00BD35EA"/>
    <w:rsid w:val="00BD38CF"/>
    <w:rsid w:val="00BD6760"/>
    <w:rsid w:val="00BE2FB1"/>
    <w:rsid w:val="00BE46A1"/>
    <w:rsid w:val="00BE4AA9"/>
    <w:rsid w:val="00BE506E"/>
    <w:rsid w:val="00BE7AF0"/>
    <w:rsid w:val="00BF39EE"/>
    <w:rsid w:val="00BF7016"/>
    <w:rsid w:val="00C00E40"/>
    <w:rsid w:val="00C07653"/>
    <w:rsid w:val="00C07AD7"/>
    <w:rsid w:val="00C10095"/>
    <w:rsid w:val="00C13A98"/>
    <w:rsid w:val="00C13B6D"/>
    <w:rsid w:val="00C13E71"/>
    <w:rsid w:val="00C1440C"/>
    <w:rsid w:val="00C162CA"/>
    <w:rsid w:val="00C22DDE"/>
    <w:rsid w:val="00C25521"/>
    <w:rsid w:val="00C255EE"/>
    <w:rsid w:val="00C275DA"/>
    <w:rsid w:val="00C3024A"/>
    <w:rsid w:val="00C31C21"/>
    <w:rsid w:val="00C32045"/>
    <w:rsid w:val="00C32433"/>
    <w:rsid w:val="00C32CB6"/>
    <w:rsid w:val="00C33C81"/>
    <w:rsid w:val="00C34E54"/>
    <w:rsid w:val="00C3578F"/>
    <w:rsid w:val="00C3618D"/>
    <w:rsid w:val="00C37B6A"/>
    <w:rsid w:val="00C413BC"/>
    <w:rsid w:val="00C425AC"/>
    <w:rsid w:val="00C4274D"/>
    <w:rsid w:val="00C43D33"/>
    <w:rsid w:val="00C45E28"/>
    <w:rsid w:val="00C4697F"/>
    <w:rsid w:val="00C539CA"/>
    <w:rsid w:val="00C55110"/>
    <w:rsid w:val="00C57BB2"/>
    <w:rsid w:val="00C6093D"/>
    <w:rsid w:val="00C61937"/>
    <w:rsid w:val="00C64246"/>
    <w:rsid w:val="00C6429A"/>
    <w:rsid w:val="00C70DE2"/>
    <w:rsid w:val="00C76103"/>
    <w:rsid w:val="00C8136A"/>
    <w:rsid w:val="00C813AE"/>
    <w:rsid w:val="00C81F2D"/>
    <w:rsid w:val="00C821A4"/>
    <w:rsid w:val="00C82392"/>
    <w:rsid w:val="00C82DDC"/>
    <w:rsid w:val="00C83BC6"/>
    <w:rsid w:val="00C84A5F"/>
    <w:rsid w:val="00C85C0E"/>
    <w:rsid w:val="00C86373"/>
    <w:rsid w:val="00C90098"/>
    <w:rsid w:val="00C90245"/>
    <w:rsid w:val="00C90E18"/>
    <w:rsid w:val="00C9478F"/>
    <w:rsid w:val="00C94C53"/>
    <w:rsid w:val="00C9732F"/>
    <w:rsid w:val="00CA01F5"/>
    <w:rsid w:val="00CA4EF7"/>
    <w:rsid w:val="00CA6142"/>
    <w:rsid w:val="00CB0EBC"/>
    <w:rsid w:val="00CB10DB"/>
    <w:rsid w:val="00CB1E8D"/>
    <w:rsid w:val="00CB4BD0"/>
    <w:rsid w:val="00CB6FFD"/>
    <w:rsid w:val="00CC0651"/>
    <w:rsid w:val="00CC06E5"/>
    <w:rsid w:val="00CC20E5"/>
    <w:rsid w:val="00CC337A"/>
    <w:rsid w:val="00CC34CA"/>
    <w:rsid w:val="00CC5D56"/>
    <w:rsid w:val="00CC6FAE"/>
    <w:rsid w:val="00CC7C76"/>
    <w:rsid w:val="00CD1921"/>
    <w:rsid w:val="00CD357C"/>
    <w:rsid w:val="00CD3E30"/>
    <w:rsid w:val="00CD456C"/>
    <w:rsid w:val="00CD54F8"/>
    <w:rsid w:val="00CE0312"/>
    <w:rsid w:val="00CE161C"/>
    <w:rsid w:val="00CE586B"/>
    <w:rsid w:val="00CE64B7"/>
    <w:rsid w:val="00CE75B5"/>
    <w:rsid w:val="00CF3E47"/>
    <w:rsid w:val="00CF3F2B"/>
    <w:rsid w:val="00CF42ED"/>
    <w:rsid w:val="00CF52F9"/>
    <w:rsid w:val="00CF68C1"/>
    <w:rsid w:val="00D034B4"/>
    <w:rsid w:val="00D12547"/>
    <w:rsid w:val="00D125FB"/>
    <w:rsid w:val="00D1553A"/>
    <w:rsid w:val="00D178C9"/>
    <w:rsid w:val="00D17B4A"/>
    <w:rsid w:val="00D205F7"/>
    <w:rsid w:val="00D20864"/>
    <w:rsid w:val="00D20ADC"/>
    <w:rsid w:val="00D20CC3"/>
    <w:rsid w:val="00D210FD"/>
    <w:rsid w:val="00D21AD5"/>
    <w:rsid w:val="00D21D0C"/>
    <w:rsid w:val="00D227EF"/>
    <w:rsid w:val="00D25C0A"/>
    <w:rsid w:val="00D267C2"/>
    <w:rsid w:val="00D315B8"/>
    <w:rsid w:val="00D35D85"/>
    <w:rsid w:val="00D374BA"/>
    <w:rsid w:val="00D41074"/>
    <w:rsid w:val="00D42C8B"/>
    <w:rsid w:val="00D42F2A"/>
    <w:rsid w:val="00D45210"/>
    <w:rsid w:val="00D45361"/>
    <w:rsid w:val="00D4584E"/>
    <w:rsid w:val="00D4683D"/>
    <w:rsid w:val="00D51C65"/>
    <w:rsid w:val="00D56F79"/>
    <w:rsid w:val="00D60502"/>
    <w:rsid w:val="00D62E62"/>
    <w:rsid w:val="00D67511"/>
    <w:rsid w:val="00D67C38"/>
    <w:rsid w:val="00D72B20"/>
    <w:rsid w:val="00D734FE"/>
    <w:rsid w:val="00D739EF"/>
    <w:rsid w:val="00D74911"/>
    <w:rsid w:val="00D773F5"/>
    <w:rsid w:val="00D778EF"/>
    <w:rsid w:val="00D82D08"/>
    <w:rsid w:val="00D83BDF"/>
    <w:rsid w:val="00D8453F"/>
    <w:rsid w:val="00D856D8"/>
    <w:rsid w:val="00D90D53"/>
    <w:rsid w:val="00D90E86"/>
    <w:rsid w:val="00D91CE5"/>
    <w:rsid w:val="00D92869"/>
    <w:rsid w:val="00D958A0"/>
    <w:rsid w:val="00D971C1"/>
    <w:rsid w:val="00DA03BD"/>
    <w:rsid w:val="00DA7DEF"/>
    <w:rsid w:val="00DB0A17"/>
    <w:rsid w:val="00DB0B12"/>
    <w:rsid w:val="00DB375D"/>
    <w:rsid w:val="00DB3981"/>
    <w:rsid w:val="00DB3FF3"/>
    <w:rsid w:val="00DB78EC"/>
    <w:rsid w:val="00DC2685"/>
    <w:rsid w:val="00DC60AA"/>
    <w:rsid w:val="00DC7CA3"/>
    <w:rsid w:val="00DD3153"/>
    <w:rsid w:val="00DD6E5B"/>
    <w:rsid w:val="00DD6E9A"/>
    <w:rsid w:val="00DD73A9"/>
    <w:rsid w:val="00DE0073"/>
    <w:rsid w:val="00DE152B"/>
    <w:rsid w:val="00DE7986"/>
    <w:rsid w:val="00DF1189"/>
    <w:rsid w:val="00DF4F72"/>
    <w:rsid w:val="00DF540E"/>
    <w:rsid w:val="00DF5BF2"/>
    <w:rsid w:val="00DF6DC3"/>
    <w:rsid w:val="00E0008C"/>
    <w:rsid w:val="00E01B29"/>
    <w:rsid w:val="00E04EFA"/>
    <w:rsid w:val="00E04F6D"/>
    <w:rsid w:val="00E1150E"/>
    <w:rsid w:val="00E11C87"/>
    <w:rsid w:val="00E122C9"/>
    <w:rsid w:val="00E17AA0"/>
    <w:rsid w:val="00E17B0E"/>
    <w:rsid w:val="00E21F43"/>
    <w:rsid w:val="00E229B9"/>
    <w:rsid w:val="00E22D8C"/>
    <w:rsid w:val="00E238B7"/>
    <w:rsid w:val="00E257F3"/>
    <w:rsid w:val="00E25A3F"/>
    <w:rsid w:val="00E26073"/>
    <w:rsid w:val="00E3057B"/>
    <w:rsid w:val="00E33673"/>
    <w:rsid w:val="00E35BF5"/>
    <w:rsid w:val="00E4069F"/>
    <w:rsid w:val="00E44A2C"/>
    <w:rsid w:val="00E473D6"/>
    <w:rsid w:val="00E476EB"/>
    <w:rsid w:val="00E5743D"/>
    <w:rsid w:val="00E60A3D"/>
    <w:rsid w:val="00E61DC5"/>
    <w:rsid w:val="00E62312"/>
    <w:rsid w:val="00E63024"/>
    <w:rsid w:val="00E65AD4"/>
    <w:rsid w:val="00E66AAD"/>
    <w:rsid w:val="00E670E8"/>
    <w:rsid w:val="00E70D0B"/>
    <w:rsid w:val="00E713E7"/>
    <w:rsid w:val="00E717BA"/>
    <w:rsid w:val="00E71CC7"/>
    <w:rsid w:val="00E73CE0"/>
    <w:rsid w:val="00E74FE1"/>
    <w:rsid w:val="00E76E98"/>
    <w:rsid w:val="00E76EAF"/>
    <w:rsid w:val="00E77CD9"/>
    <w:rsid w:val="00E814DC"/>
    <w:rsid w:val="00E82897"/>
    <w:rsid w:val="00E87097"/>
    <w:rsid w:val="00E876C2"/>
    <w:rsid w:val="00E9026B"/>
    <w:rsid w:val="00E913CE"/>
    <w:rsid w:val="00E9404B"/>
    <w:rsid w:val="00E95580"/>
    <w:rsid w:val="00E9590B"/>
    <w:rsid w:val="00E96E3D"/>
    <w:rsid w:val="00E9738F"/>
    <w:rsid w:val="00EA2015"/>
    <w:rsid w:val="00EA292B"/>
    <w:rsid w:val="00EA4026"/>
    <w:rsid w:val="00EA402D"/>
    <w:rsid w:val="00EA5322"/>
    <w:rsid w:val="00EA7471"/>
    <w:rsid w:val="00EB02E9"/>
    <w:rsid w:val="00EB0A56"/>
    <w:rsid w:val="00EB49FD"/>
    <w:rsid w:val="00EB52AA"/>
    <w:rsid w:val="00EC0087"/>
    <w:rsid w:val="00EC08AC"/>
    <w:rsid w:val="00EC0BD7"/>
    <w:rsid w:val="00EC3022"/>
    <w:rsid w:val="00EC3637"/>
    <w:rsid w:val="00EC541F"/>
    <w:rsid w:val="00ED1CC0"/>
    <w:rsid w:val="00ED1FCC"/>
    <w:rsid w:val="00ED289E"/>
    <w:rsid w:val="00ED348C"/>
    <w:rsid w:val="00EE0CF5"/>
    <w:rsid w:val="00EE22E8"/>
    <w:rsid w:val="00EE2D9A"/>
    <w:rsid w:val="00EE4744"/>
    <w:rsid w:val="00EE7331"/>
    <w:rsid w:val="00EE7D8A"/>
    <w:rsid w:val="00EF02D3"/>
    <w:rsid w:val="00EF1EE8"/>
    <w:rsid w:val="00EF2CEB"/>
    <w:rsid w:val="00EF3352"/>
    <w:rsid w:val="00EF4F03"/>
    <w:rsid w:val="00F018E2"/>
    <w:rsid w:val="00F036AE"/>
    <w:rsid w:val="00F0399D"/>
    <w:rsid w:val="00F075F9"/>
    <w:rsid w:val="00F10281"/>
    <w:rsid w:val="00F10FED"/>
    <w:rsid w:val="00F1425E"/>
    <w:rsid w:val="00F1590B"/>
    <w:rsid w:val="00F214FC"/>
    <w:rsid w:val="00F21630"/>
    <w:rsid w:val="00F218CE"/>
    <w:rsid w:val="00F23873"/>
    <w:rsid w:val="00F23F15"/>
    <w:rsid w:val="00F26270"/>
    <w:rsid w:val="00F32060"/>
    <w:rsid w:val="00F33DD3"/>
    <w:rsid w:val="00F33FB9"/>
    <w:rsid w:val="00F3585B"/>
    <w:rsid w:val="00F35F17"/>
    <w:rsid w:val="00F36367"/>
    <w:rsid w:val="00F37197"/>
    <w:rsid w:val="00F403E6"/>
    <w:rsid w:val="00F41A5A"/>
    <w:rsid w:val="00F50263"/>
    <w:rsid w:val="00F522A0"/>
    <w:rsid w:val="00F5256F"/>
    <w:rsid w:val="00F532AF"/>
    <w:rsid w:val="00F5414C"/>
    <w:rsid w:val="00F55714"/>
    <w:rsid w:val="00F564E8"/>
    <w:rsid w:val="00F57A99"/>
    <w:rsid w:val="00F629FA"/>
    <w:rsid w:val="00F641BD"/>
    <w:rsid w:val="00F658B3"/>
    <w:rsid w:val="00F70EF7"/>
    <w:rsid w:val="00F74994"/>
    <w:rsid w:val="00F74EEB"/>
    <w:rsid w:val="00F75024"/>
    <w:rsid w:val="00F77763"/>
    <w:rsid w:val="00F82D5D"/>
    <w:rsid w:val="00F833E8"/>
    <w:rsid w:val="00F844D5"/>
    <w:rsid w:val="00F8451E"/>
    <w:rsid w:val="00F8618A"/>
    <w:rsid w:val="00F87B60"/>
    <w:rsid w:val="00F92D0F"/>
    <w:rsid w:val="00F92D18"/>
    <w:rsid w:val="00F93DA9"/>
    <w:rsid w:val="00F95977"/>
    <w:rsid w:val="00F95B89"/>
    <w:rsid w:val="00F96A9D"/>
    <w:rsid w:val="00F96ED2"/>
    <w:rsid w:val="00F97875"/>
    <w:rsid w:val="00F97BC8"/>
    <w:rsid w:val="00FA0108"/>
    <w:rsid w:val="00FA049D"/>
    <w:rsid w:val="00FA26F3"/>
    <w:rsid w:val="00FA32BB"/>
    <w:rsid w:val="00FA44DE"/>
    <w:rsid w:val="00FA76C2"/>
    <w:rsid w:val="00FB07DD"/>
    <w:rsid w:val="00FB25D3"/>
    <w:rsid w:val="00FB66CB"/>
    <w:rsid w:val="00FC058D"/>
    <w:rsid w:val="00FC553E"/>
    <w:rsid w:val="00FC6BE7"/>
    <w:rsid w:val="00FD6B4C"/>
    <w:rsid w:val="00FE08C1"/>
    <w:rsid w:val="00FE10BB"/>
    <w:rsid w:val="00FE2BE5"/>
    <w:rsid w:val="00FE4AF9"/>
    <w:rsid w:val="00FE5471"/>
    <w:rsid w:val="00FE6AC0"/>
    <w:rsid w:val="00FF00A0"/>
    <w:rsid w:val="00FF1C31"/>
    <w:rsid w:val="00FF1F7B"/>
    <w:rsid w:val="00FF22F3"/>
    <w:rsid w:val="00FF2E02"/>
    <w:rsid w:val="00FF3065"/>
    <w:rsid w:val="00FF320D"/>
    <w:rsid w:val="00FF3409"/>
    <w:rsid w:val="00FF3D8B"/>
    <w:rsid w:val="00FF3FE3"/>
    <w:rsid w:val="00FF4AC7"/>
    <w:rsid w:val="00FF60C1"/>
    <w:rsid w:val="00FF6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1FB"/>
    <w:rPr>
      <w:rFonts w:ascii="Arial" w:hAnsi="Arial"/>
      <w:sz w:val="24"/>
      <w:szCs w:val="24"/>
      <w:lang w:eastAsia="en-US"/>
    </w:rPr>
  </w:style>
  <w:style w:type="paragraph" w:styleId="Heading2">
    <w:name w:val="heading 2"/>
    <w:basedOn w:val="Normal"/>
    <w:next w:val="Normal"/>
    <w:qFormat/>
    <w:rsid w:val="00A578D8"/>
    <w:pPr>
      <w:keepNext/>
      <w:spacing w:before="240" w:after="60"/>
      <w:outlineLvl w:val="1"/>
    </w:pPr>
    <w:rPr>
      <w:rFonts w:cs="Arial"/>
      <w:b/>
      <w:bCs/>
      <w:i/>
      <w:iCs/>
      <w:sz w:val="28"/>
      <w:szCs w:val="28"/>
    </w:rPr>
  </w:style>
  <w:style w:type="paragraph" w:styleId="Heading4">
    <w:name w:val="heading 4"/>
    <w:basedOn w:val="Normal"/>
    <w:next w:val="Normal"/>
    <w:qFormat/>
    <w:rsid w:val="00A7340E"/>
    <w:pPr>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totop">
    <w:name w:val="Back to top"/>
    <w:basedOn w:val="Normal"/>
    <w:next w:val="Normal"/>
    <w:rsid w:val="00A7340E"/>
  </w:style>
  <w:style w:type="paragraph" w:customStyle="1" w:styleId="HorizontalLine">
    <w:name w:val="Horizontal Line"/>
    <w:basedOn w:val="Normal"/>
    <w:rsid w:val="00A7340E"/>
  </w:style>
  <w:style w:type="paragraph" w:customStyle="1" w:styleId="ParagraphImageWrapLeft">
    <w:name w:val="Paragraph Image Wrap Left"/>
    <w:basedOn w:val="Normal"/>
    <w:rsid w:val="00A7340E"/>
  </w:style>
  <w:style w:type="paragraph" w:customStyle="1" w:styleId="ParagraphImageWrapRight">
    <w:name w:val="Paragraph Image Wrap Right"/>
    <w:basedOn w:val="Normal"/>
    <w:rsid w:val="00A7340E"/>
  </w:style>
  <w:style w:type="paragraph" w:customStyle="1" w:styleId="Summary">
    <w:name w:val="Summary"/>
    <w:basedOn w:val="Normal"/>
    <w:rsid w:val="00A7340E"/>
    <w:pPr>
      <w:spacing w:after="77"/>
      <w:ind w:left="129" w:right="129"/>
    </w:pPr>
    <w:rPr>
      <w:rFonts w:ascii="Verdana" w:hAnsi="Verdana"/>
      <w:color w:val="666666"/>
      <w:sz w:val="15"/>
      <w:szCs w:val="15"/>
      <w:lang w:eastAsia="en-GB"/>
    </w:rPr>
  </w:style>
  <w:style w:type="table" w:customStyle="1" w:styleId="TableDFID">
    <w:name w:val="Table DFID"/>
    <w:basedOn w:val="TableNormal"/>
    <w:rsid w:val="00A7340E"/>
    <w:rPr>
      <w:rFonts w:ascii="Arial Black" w:hAnsi="Arial Blac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rsid w:val="00A7340E"/>
  </w:style>
  <w:style w:type="paragraph" w:customStyle="1" w:styleId="TableDFIDStart">
    <w:name w:val="Table DFID Start"/>
    <w:basedOn w:val="Normal"/>
    <w:rsid w:val="00A7340E"/>
  </w:style>
  <w:style w:type="paragraph" w:customStyle="1" w:styleId="TableHeadings">
    <w:name w:val="Table Headings"/>
    <w:basedOn w:val="Normal"/>
    <w:rsid w:val="00A7340E"/>
    <w:pPr>
      <w:spacing w:after="79"/>
    </w:pPr>
    <w:rPr>
      <w:b/>
      <w:bCs/>
      <w:color w:val="FFFFFF"/>
      <w:szCs w:val="20"/>
      <w:lang w:eastAsia="en-GB"/>
    </w:rPr>
  </w:style>
  <w:style w:type="table" w:customStyle="1" w:styleId="TableLayout">
    <w:name w:val="Table Layout"/>
    <w:basedOn w:val="TableNormal"/>
    <w:rsid w:val="00A7340E"/>
    <w:tblPr/>
  </w:style>
  <w:style w:type="character" w:styleId="CommentReference">
    <w:name w:val="annotation reference"/>
    <w:rsid w:val="0039040B"/>
    <w:rPr>
      <w:sz w:val="16"/>
      <w:szCs w:val="16"/>
    </w:rPr>
  </w:style>
  <w:style w:type="paragraph" w:styleId="CommentText">
    <w:name w:val="annotation text"/>
    <w:basedOn w:val="Normal"/>
    <w:semiHidden/>
    <w:rsid w:val="0039040B"/>
    <w:rPr>
      <w:sz w:val="20"/>
      <w:szCs w:val="20"/>
    </w:rPr>
  </w:style>
  <w:style w:type="paragraph" w:styleId="CommentSubject">
    <w:name w:val="annotation subject"/>
    <w:basedOn w:val="CommentText"/>
    <w:next w:val="CommentText"/>
    <w:semiHidden/>
    <w:rsid w:val="0039040B"/>
    <w:rPr>
      <w:b/>
      <w:bCs/>
    </w:rPr>
  </w:style>
  <w:style w:type="paragraph" w:styleId="BalloonText">
    <w:name w:val="Balloon Text"/>
    <w:basedOn w:val="Normal"/>
    <w:semiHidden/>
    <w:rsid w:val="0039040B"/>
    <w:rPr>
      <w:rFonts w:ascii="Tahoma" w:hAnsi="Tahoma" w:cs="Tahoma"/>
      <w:sz w:val="16"/>
      <w:szCs w:val="16"/>
    </w:rPr>
  </w:style>
  <w:style w:type="paragraph" w:customStyle="1" w:styleId="Char">
    <w:name w:val="Char"/>
    <w:basedOn w:val="Normal"/>
    <w:rsid w:val="00A578D8"/>
    <w:pPr>
      <w:spacing w:after="160" w:line="240" w:lineRule="exact"/>
    </w:pPr>
    <w:rPr>
      <w:rFonts w:ascii="Verdana" w:hAnsi="Verdana"/>
      <w:sz w:val="20"/>
      <w:szCs w:val="20"/>
      <w:lang w:val="en-US"/>
    </w:rPr>
  </w:style>
  <w:style w:type="table" w:styleId="TableGrid">
    <w:name w:val="Table Grid"/>
    <w:basedOn w:val="TableNormal"/>
    <w:rsid w:val="00A5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885FC4"/>
    <w:pPr>
      <w:spacing w:after="160" w:line="240" w:lineRule="exact"/>
    </w:pPr>
    <w:rPr>
      <w:rFonts w:ascii="Verdana" w:hAnsi="Verdana"/>
      <w:sz w:val="20"/>
      <w:szCs w:val="20"/>
      <w:lang w:val="en-US"/>
    </w:rPr>
  </w:style>
  <w:style w:type="paragraph" w:styleId="Header">
    <w:name w:val="header"/>
    <w:basedOn w:val="Normal"/>
    <w:rsid w:val="006F7625"/>
    <w:pPr>
      <w:tabs>
        <w:tab w:val="center" w:pos="4153"/>
        <w:tab w:val="right" w:pos="8306"/>
      </w:tabs>
    </w:pPr>
  </w:style>
  <w:style w:type="paragraph" w:styleId="Footer">
    <w:name w:val="footer"/>
    <w:basedOn w:val="Normal"/>
    <w:link w:val="FooterChar"/>
    <w:uiPriority w:val="99"/>
    <w:rsid w:val="006F7625"/>
    <w:pPr>
      <w:tabs>
        <w:tab w:val="center" w:pos="4153"/>
        <w:tab w:val="right" w:pos="8306"/>
      </w:tabs>
    </w:pPr>
  </w:style>
  <w:style w:type="character" w:styleId="Strong">
    <w:name w:val="Strong"/>
    <w:qFormat/>
    <w:rsid w:val="00622D8C"/>
    <w:rPr>
      <w:b/>
      <w:bCs/>
    </w:rPr>
  </w:style>
  <w:style w:type="character" w:styleId="PageNumber">
    <w:name w:val="page number"/>
    <w:basedOn w:val="DefaultParagraphFont"/>
    <w:rsid w:val="00872E03"/>
  </w:style>
  <w:style w:type="table" w:styleId="TableList4">
    <w:name w:val="Table List 4"/>
    <w:basedOn w:val="TableNormal"/>
    <w:rsid w:val="00C43D3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3">
    <w:name w:val="Table Grid 3"/>
    <w:basedOn w:val="TableNormal"/>
    <w:rsid w:val="009820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Theme">
    <w:name w:val="Table Theme"/>
    <w:basedOn w:val="TableNormal"/>
    <w:rsid w:val="002E1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4A5F"/>
    <w:pPr>
      <w:ind w:left="720"/>
      <w:contextualSpacing/>
    </w:pPr>
  </w:style>
  <w:style w:type="paragraph" w:styleId="Revision">
    <w:name w:val="Revision"/>
    <w:hidden/>
    <w:uiPriority w:val="99"/>
    <w:semiHidden/>
    <w:rsid w:val="00B274AC"/>
    <w:rPr>
      <w:rFonts w:ascii="Arial" w:hAnsi="Arial"/>
      <w:sz w:val="24"/>
      <w:szCs w:val="24"/>
      <w:lang w:eastAsia="en-US"/>
    </w:rPr>
  </w:style>
  <w:style w:type="character" w:customStyle="1" w:styleId="FooterChar">
    <w:name w:val="Footer Char"/>
    <w:basedOn w:val="DefaultParagraphFont"/>
    <w:link w:val="Footer"/>
    <w:uiPriority w:val="99"/>
    <w:rsid w:val="00AE1D30"/>
    <w:rPr>
      <w:rFonts w:ascii="Arial" w:hAnsi="Arial"/>
      <w:sz w:val="24"/>
      <w:szCs w:val="24"/>
      <w:lang w:eastAsia="en-US"/>
    </w:rPr>
  </w:style>
  <w:style w:type="character" w:customStyle="1" w:styleId="fhb">
    <w:name w:val="fhb"/>
    <w:basedOn w:val="DefaultParagraphFont"/>
    <w:rsid w:val="000A0748"/>
  </w:style>
  <w:style w:type="character" w:customStyle="1" w:styleId="fh">
    <w:name w:val="fh"/>
    <w:basedOn w:val="DefaultParagraphFont"/>
    <w:rsid w:val="000A0748"/>
  </w:style>
  <w:style w:type="paragraph" w:customStyle="1" w:styleId="Default">
    <w:name w:val="Default"/>
    <w:rsid w:val="0058269F"/>
    <w:pPr>
      <w:autoSpaceDE w:val="0"/>
      <w:autoSpaceDN w:val="0"/>
      <w:adjustRightInd w:val="0"/>
    </w:pPr>
    <w:rPr>
      <w:rFonts w:ascii="Arial" w:hAnsi="Arial" w:cs="Arial"/>
      <w:color w:val="000000"/>
      <w:sz w:val="24"/>
      <w:szCs w:val="24"/>
      <w:lang w:val="en-US"/>
    </w:rPr>
  </w:style>
  <w:style w:type="paragraph" w:styleId="ListBullet">
    <w:name w:val="List Bullet"/>
    <w:basedOn w:val="Normal"/>
    <w:uiPriority w:val="99"/>
    <w:rsid w:val="00E476EB"/>
    <w:pPr>
      <w:numPr>
        <w:numId w:val="2"/>
      </w:numPr>
      <w:spacing w:after="60"/>
      <w:jc w:val="both"/>
    </w:pPr>
    <w:rPr>
      <w:sz w:val="22"/>
    </w:rPr>
  </w:style>
  <w:style w:type="paragraph" w:styleId="NoSpacing">
    <w:name w:val="No Spacing"/>
    <w:uiPriority w:val="1"/>
    <w:qFormat/>
    <w:rsid w:val="005F7FB5"/>
    <w:rPr>
      <w:rFonts w:ascii="Calibri" w:eastAsia="Calibri" w:hAnsi="Calibri" w:cs="Calibri"/>
      <w:sz w:val="22"/>
      <w:szCs w:val="22"/>
      <w:lang w:val="en-US" w:eastAsia="en-US"/>
    </w:rPr>
  </w:style>
  <w:style w:type="paragraph" w:styleId="EndnoteText">
    <w:name w:val="endnote text"/>
    <w:basedOn w:val="Normal"/>
    <w:link w:val="EndnoteTextChar"/>
    <w:rsid w:val="00A0746F"/>
    <w:rPr>
      <w:sz w:val="20"/>
      <w:szCs w:val="20"/>
    </w:rPr>
  </w:style>
  <w:style w:type="character" w:customStyle="1" w:styleId="EndnoteTextChar">
    <w:name w:val="Endnote Text Char"/>
    <w:basedOn w:val="DefaultParagraphFont"/>
    <w:link w:val="EndnoteText"/>
    <w:rsid w:val="00A0746F"/>
    <w:rPr>
      <w:rFonts w:ascii="Arial" w:hAnsi="Arial"/>
      <w:lang w:eastAsia="en-US"/>
    </w:rPr>
  </w:style>
  <w:style w:type="character" w:styleId="EndnoteReference">
    <w:name w:val="endnote reference"/>
    <w:basedOn w:val="DefaultParagraphFont"/>
    <w:rsid w:val="00A0746F"/>
    <w:rPr>
      <w:vertAlign w:val="superscript"/>
    </w:rPr>
  </w:style>
  <w:style w:type="paragraph" w:styleId="FootnoteText">
    <w:name w:val="footnote text"/>
    <w:basedOn w:val="Normal"/>
    <w:link w:val="FootnoteTextChar"/>
    <w:rsid w:val="00DE152B"/>
    <w:rPr>
      <w:sz w:val="20"/>
      <w:szCs w:val="20"/>
    </w:rPr>
  </w:style>
  <w:style w:type="character" w:customStyle="1" w:styleId="FootnoteTextChar">
    <w:name w:val="Footnote Text Char"/>
    <w:basedOn w:val="DefaultParagraphFont"/>
    <w:link w:val="FootnoteText"/>
    <w:rsid w:val="00DE152B"/>
    <w:rPr>
      <w:rFonts w:ascii="Arial" w:hAnsi="Arial"/>
      <w:lang w:eastAsia="en-US"/>
    </w:rPr>
  </w:style>
  <w:style w:type="character" w:styleId="FootnoteReference">
    <w:name w:val="footnote reference"/>
    <w:basedOn w:val="DefaultParagraphFont"/>
    <w:rsid w:val="00DE152B"/>
    <w:rPr>
      <w:vertAlign w:val="superscript"/>
    </w:rPr>
  </w:style>
  <w:style w:type="character" w:styleId="Hyperlink">
    <w:name w:val="Hyperlink"/>
    <w:basedOn w:val="DefaultParagraphFont"/>
    <w:rsid w:val="00C821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1FB"/>
    <w:rPr>
      <w:rFonts w:ascii="Arial" w:hAnsi="Arial"/>
      <w:sz w:val="24"/>
      <w:szCs w:val="24"/>
      <w:lang w:eastAsia="en-US"/>
    </w:rPr>
  </w:style>
  <w:style w:type="paragraph" w:styleId="Heading2">
    <w:name w:val="heading 2"/>
    <w:basedOn w:val="Normal"/>
    <w:next w:val="Normal"/>
    <w:qFormat/>
    <w:rsid w:val="00A578D8"/>
    <w:pPr>
      <w:keepNext/>
      <w:spacing w:before="240" w:after="60"/>
      <w:outlineLvl w:val="1"/>
    </w:pPr>
    <w:rPr>
      <w:rFonts w:cs="Arial"/>
      <w:b/>
      <w:bCs/>
      <w:i/>
      <w:iCs/>
      <w:sz w:val="28"/>
      <w:szCs w:val="28"/>
    </w:rPr>
  </w:style>
  <w:style w:type="paragraph" w:styleId="Heading4">
    <w:name w:val="heading 4"/>
    <w:basedOn w:val="Normal"/>
    <w:next w:val="Normal"/>
    <w:qFormat/>
    <w:rsid w:val="00A7340E"/>
    <w:pPr>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totop">
    <w:name w:val="Back to top"/>
    <w:basedOn w:val="Normal"/>
    <w:next w:val="Normal"/>
    <w:rsid w:val="00A7340E"/>
  </w:style>
  <w:style w:type="paragraph" w:customStyle="1" w:styleId="HorizontalLine">
    <w:name w:val="Horizontal Line"/>
    <w:basedOn w:val="Normal"/>
    <w:rsid w:val="00A7340E"/>
  </w:style>
  <w:style w:type="paragraph" w:customStyle="1" w:styleId="ParagraphImageWrapLeft">
    <w:name w:val="Paragraph Image Wrap Left"/>
    <w:basedOn w:val="Normal"/>
    <w:rsid w:val="00A7340E"/>
  </w:style>
  <w:style w:type="paragraph" w:customStyle="1" w:styleId="ParagraphImageWrapRight">
    <w:name w:val="Paragraph Image Wrap Right"/>
    <w:basedOn w:val="Normal"/>
    <w:rsid w:val="00A7340E"/>
  </w:style>
  <w:style w:type="paragraph" w:customStyle="1" w:styleId="Summary">
    <w:name w:val="Summary"/>
    <w:basedOn w:val="Normal"/>
    <w:rsid w:val="00A7340E"/>
    <w:pPr>
      <w:spacing w:after="77"/>
      <w:ind w:left="129" w:right="129"/>
    </w:pPr>
    <w:rPr>
      <w:rFonts w:ascii="Verdana" w:hAnsi="Verdana"/>
      <w:color w:val="666666"/>
      <w:sz w:val="15"/>
      <w:szCs w:val="15"/>
      <w:lang w:eastAsia="en-GB"/>
    </w:rPr>
  </w:style>
  <w:style w:type="table" w:customStyle="1" w:styleId="TableDFID">
    <w:name w:val="Table DFID"/>
    <w:basedOn w:val="TableNormal"/>
    <w:rsid w:val="00A7340E"/>
    <w:rPr>
      <w:rFonts w:ascii="Arial Black" w:hAnsi="Arial Blac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rsid w:val="00A7340E"/>
  </w:style>
  <w:style w:type="paragraph" w:customStyle="1" w:styleId="TableDFIDStart">
    <w:name w:val="Table DFID Start"/>
    <w:basedOn w:val="Normal"/>
    <w:rsid w:val="00A7340E"/>
  </w:style>
  <w:style w:type="paragraph" w:customStyle="1" w:styleId="TableHeadings">
    <w:name w:val="Table Headings"/>
    <w:basedOn w:val="Normal"/>
    <w:rsid w:val="00A7340E"/>
    <w:pPr>
      <w:spacing w:after="79"/>
    </w:pPr>
    <w:rPr>
      <w:b/>
      <w:bCs/>
      <w:color w:val="FFFFFF"/>
      <w:szCs w:val="20"/>
      <w:lang w:eastAsia="en-GB"/>
    </w:rPr>
  </w:style>
  <w:style w:type="table" w:customStyle="1" w:styleId="TableLayout">
    <w:name w:val="Table Layout"/>
    <w:basedOn w:val="TableNormal"/>
    <w:rsid w:val="00A7340E"/>
    <w:tblPr/>
  </w:style>
  <w:style w:type="character" w:styleId="CommentReference">
    <w:name w:val="annotation reference"/>
    <w:rsid w:val="0039040B"/>
    <w:rPr>
      <w:sz w:val="16"/>
      <w:szCs w:val="16"/>
    </w:rPr>
  </w:style>
  <w:style w:type="paragraph" w:styleId="CommentText">
    <w:name w:val="annotation text"/>
    <w:basedOn w:val="Normal"/>
    <w:semiHidden/>
    <w:rsid w:val="0039040B"/>
    <w:rPr>
      <w:sz w:val="20"/>
      <w:szCs w:val="20"/>
    </w:rPr>
  </w:style>
  <w:style w:type="paragraph" w:styleId="CommentSubject">
    <w:name w:val="annotation subject"/>
    <w:basedOn w:val="CommentText"/>
    <w:next w:val="CommentText"/>
    <w:semiHidden/>
    <w:rsid w:val="0039040B"/>
    <w:rPr>
      <w:b/>
      <w:bCs/>
    </w:rPr>
  </w:style>
  <w:style w:type="paragraph" w:styleId="BalloonText">
    <w:name w:val="Balloon Text"/>
    <w:basedOn w:val="Normal"/>
    <w:semiHidden/>
    <w:rsid w:val="0039040B"/>
    <w:rPr>
      <w:rFonts w:ascii="Tahoma" w:hAnsi="Tahoma" w:cs="Tahoma"/>
      <w:sz w:val="16"/>
      <w:szCs w:val="16"/>
    </w:rPr>
  </w:style>
  <w:style w:type="paragraph" w:customStyle="1" w:styleId="Char">
    <w:name w:val="Char"/>
    <w:basedOn w:val="Normal"/>
    <w:rsid w:val="00A578D8"/>
    <w:pPr>
      <w:spacing w:after="160" w:line="240" w:lineRule="exact"/>
    </w:pPr>
    <w:rPr>
      <w:rFonts w:ascii="Verdana" w:hAnsi="Verdana"/>
      <w:sz w:val="20"/>
      <w:szCs w:val="20"/>
      <w:lang w:val="en-US"/>
    </w:rPr>
  </w:style>
  <w:style w:type="table" w:styleId="TableGrid">
    <w:name w:val="Table Grid"/>
    <w:basedOn w:val="TableNormal"/>
    <w:rsid w:val="00A5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885FC4"/>
    <w:pPr>
      <w:spacing w:after="160" w:line="240" w:lineRule="exact"/>
    </w:pPr>
    <w:rPr>
      <w:rFonts w:ascii="Verdana" w:hAnsi="Verdana"/>
      <w:sz w:val="20"/>
      <w:szCs w:val="20"/>
      <w:lang w:val="en-US"/>
    </w:rPr>
  </w:style>
  <w:style w:type="paragraph" w:styleId="Header">
    <w:name w:val="header"/>
    <w:basedOn w:val="Normal"/>
    <w:rsid w:val="006F7625"/>
    <w:pPr>
      <w:tabs>
        <w:tab w:val="center" w:pos="4153"/>
        <w:tab w:val="right" w:pos="8306"/>
      </w:tabs>
    </w:pPr>
  </w:style>
  <w:style w:type="paragraph" w:styleId="Footer">
    <w:name w:val="footer"/>
    <w:basedOn w:val="Normal"/>
    <w:link w:val="FooterChar"/>
    <w:uiPriority w:val="99"/>
    <w:rsid w:val="006F7625"/>
    <w:pPr>
      <w:tabs>
        <w:tab w:val="center" w:pos="4153"/>
        <w:tab w:val="right" w:pos="8306"/>
      </w:tabs>
    </w:pPr>
  </w:style>
  <w:style w:type="character" w:styleId="Strong">
    <w:name w:val="Strong"/>
    <w:qFormat/>
    <w:rsid w:val="00622D8C"/>
    <w:rPr>
      <w:b/>
      <w:bCs/>
    </w:rPr>
  </w:style>
  <w:style w:type="character" w:styleId="PageNumber">
    <w:name w:val="page number"/>
    <w:basedOn w:val="DefaultParagraphFont"/>
    <w:rsid w:val="00872E03"/>
  </w:style>
  <w:style w:type="table" w:styleId="TableList4">
    <w:name w:val="Table List 4"/>
    <w:basedOn w:val="TableNormal"/>
    <w:rsid w:val="00C43D3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3">
    <w:name w:val="Table Grid 3"/>
    <w:basedOn w:val="TableNormal"/>
    <w:rsid w:val="009820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Theme">
    <w:name w:val="Table Theme"/>
    <w:basedOn w:val="TableNormal"/>
    <w:rsid w:val="002E1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4A5F"/>
    <w:pPr>
      <w:ind w:left="720"/>
      <w:contextualSpacing/>
    </w:pPr>
  </w:style>
  <w:style w:type="paragraph" w:styleId="Revision">
    <w:name w:val="Revision"/>
    <w:hidden/>
    <w:uiPriority w:val="99"/>
    <w:semiHidden/>
    <w:rsid w:val="00B274AC"/>
    <w:rPr>
      <w:rFonts w:ascii="Arial" w:hAnsi="Arial"/>
      <w:sz w:val="24"/>
      <w:szCs w:val="24"/>
      <w:lang w:eastAsia="en-US"/>
    </w:rPr>
  </w:style>
  <w:style w:type="character" w:customStyle="1" w:styleId="FooterChar">
    <w:name w:val="Footer Char"/>
    <w:basedOn w:val="DefaultParagraphFont"/>
    <w:link w:val="Footer"/>
    <w:uiPriority w:val="99"/>
    <w:rsid w:val="00AE1D30"/>
    <w:rPr>
      <w:rFonts w:ascii="Arial" w:hAnsi="Arial"/>
      <w:sz w:val="24"/>
      <w:szCs w:val="24"/>
      <w:lang w:eastAsia="en-US"/>
    </w:rPr>
  </w:style>
  <w:style w:type="character" w:customStyle="1" w:styleId="fhb">
    <w:name w:val="fhb"/>
    <w:basedOn w:val="DefaultParagraphFont"/>
    <w:rsid w:val="000A0748"/>
  </w:style>
  <w:style w:type="character" w:customStyle="1" w:styleId="fh">
    <w:name w:val="fh"/>
    <w:basedOn w:val="DefaultParagraphFont"/>
    <w:rsid w:val="000A0748"/>
  </w:style>
  <w:style w:type="paragraph" w:customStyle="1" w:styleId="Default">
    <w:name w:val="Default"/>
    <w:rsid w:val="0058269F"/>
    <w:pPr>
      <w:autoSpaceDE w:val="0"/>
      <w:autoSpaceDN w:val="0"/>
      <w:adjustRightInd w:val="0"/>
    </w:pPr>
    <w:rPr>
      <w:rFonts w:ascii="Arial" w:hAnsi="Arial" w:cs="Arial"/>
      <w:color w:val="000000"/>
      <w:sz w:val="24"/>
      <w:szCs w:val="24"/>
      <w:lang w:val="en-US"/>
    </w:rPr>
  </w:style>
  <w:style w:type="paragraph" w:styleId="ListBullet">
    <w:name w:val="List Bullet"/>
    <w:basedOn w:val="Normal"/>
    <w:uiPriority w:val="99"/>
    <w:rsid w:val="00E476EB"/>
    <w:pPr>
      <w:numPr>
        <w:numId w:val="2"/>
      </w:numPr>
      <w:spacing w:after="60"/>
      <w:jc w:val="both"/>
    </w:pPr>
    <w:rPr>
      <w:sz w:val="22"/>
    </w:rPr>
  </w:style>
  <w:style w:type="paragraph" w:styleId="NoSpacing">
    <w:name w:val="No Spacing"/>
    <w:uiPriority w:val="1"/>
    <w:qFormat/>
    <w:rsid w:val="005F7FB5"/>
    <w:rPr>
      <w:rFonts w:ascii="Calibri" w:eastAsia="Calibri" w:hAnsi="Calibri" w:cs="Calibri"/>
      <w:sz w:val="22"/>
      <w:szCs w:val="22"/>
      <w:lang w:val="en-US" w:eastAsia="en-US"/>
    </w:rPr>
  </w:style>
  <w:style w:type="paragraph" w:styleId="EndnoteText">
    <w:name w:val="endnote text"/>
    <w:basedOn w:val="Normal"/>
    <w:link w:val="EndnoteTextChar"/>
    <w:rsid w:val="00A0746F"/>
    <w:rPr>
      <w:sz w:val="20"/>
      <w:szCs w:val="20"/>
    </w:rPr>
  </w:style>
  <w:style w:type="character" w:customStyle="1" w:styleId="EndnoteTextChar">
    <w:name w:val="Endnote Text Char"/>
    <w:basedOn w:val="DefaultParagraphFont"/>
    <w:link w:val="EndnoteText"/>
    <w:rsid w:val="00A0746F"/>
    <w:rPr>
      <w:rFonts w:ascii="Arial" w:hAnsi="Arial"/>
      <w:lang w:eastAsia="en-US"/>
    </w:rPr>
  </w:style>
  <w:style w:type="character" w:styleId="EndnoteReference">
    <w:name w:val="endnote reference"/>
    <w:basedOn w:val="DefaultParagraphFont"/>
    <w:rsid w:val="00A0746F"/>
    <w:rPr>
      <w:vertAlign w:val="superscript"/>
    </w:rPr>
  </w:style>
  <w:style w:type="paragraph" w:styleId="FootnoteText">
    <w:name w:val="footnote text"/>
    <w:basedOn w:val="Normal"/>
    <w:link w:val="FootnoteTextChar"/>
    <w:rsid w:val="00DE152B"/>
    <w:rPr>
      <w:sz w:val="20"/>
      <w:szCs w:val="20"/>
    </w:rPr>
  </w:style>
  <w:style w:type="character" w:customStyle="1" w:styleId="FootnoteTextChar">
    <w:name w:val="Footnote Text Char"/>
    <w:basedOn w:val="DefaultParagraphFont"/>
    <w:link w:val="FootnoteText"/>
    <w:rsid w:val="00DE152B"/>
    <w:rPr>
      <w:rFonts w:ascii="Arial" w:hAnsi="Arial"/>
      <w:lang w:eastAsia="en-US"/>
    </w:rPr>
  </w:style>
  <w:style w:type="character" w:styleId="FootnoteReference">
    <w:name w:val="footnote reference"/>
    <w:basedOn w:val="DefaultParagraphFont"/>
    <w:rsid w:val="00DE152B"/>
    <w:rPr>
      <w:vertAlign w:val="superscript"/>
    </w:rPr>
  </w:style>
  <w:style w:type="character" w:styleId="Hyperlink">
    <w:name w:val="Hyperlink"/>
    <w:basedOn w:val="DefaultParagraphFont"/>
    <w:rsid w:val="00C821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99891">
      <w:bodyDiv w:val="1"/>
      <w:marLeft w:val="0"/>
      <w:marRight w:val="0"/>
      <w:marTop w:val="0"/>
      <w:marBottom w:val="0"/>
      <w:divBdr>
        <w:top w:val="none" w:sz="0" w:space="0" w:color="auto"/>
        <w:left w:val="none" w:sz="0" w:space="0" w:color="auto"/>
        <w:bottom w:val="none" w:sz="0" w:space="0" w:color="auto"/>
        <w:right w:val="none" w:sz="0" w:space="0" w:color="auto"/>
      </w:divBdr>
    </w:div>
    <w:div w:id="185487386">
      <w:bodyDiv w:val="1"/>
      <w:marLeft w:val="0"/>
      <w:marRight w:val="0"/>
      <w:marTop w:val="0"/>
      <w:marBottom w:val="0"/>
      <w:divBdr>
        <w:top w:val="none" w:sz="0" w:space="0" w:color="auto"/>
        <w:left w:val="none" w:sz="0" w:space="0" w:color="auto"/>
        <w:bottom w:val="none" w:sz="0" w:space="0" w:color="auto"/>
        <w:right w:val="none" w:sz="0" w:space="0" w:color="auto"/>
      </w:divBdr>
    </w:div>
    <w:div w:id="188840294">
      <w:bodyDiv w:val="1"/>
      <w:marLeft w:val="0"/>
      <w:marRight w:val="0"/>
      <w:marTop w:val="0"/>
      <w:marBottom w:val="0"/>
      <w:divBdr>
        <w:top w:val="none" w:sz="0" w:space="0" w:color="auto"/>
        <w:left w:val="none" w:sz="0" w:space="0" w:color="auto"/>
        <w:bottom w:val="none" w:sz="0" w:space="0" w:color="auto"/>
        <w:right w:val="none" w:sz="0" w:space="0" w:color="auto"/>
      </w:divBdr>
    </w:div>
    <w:div w:id="241643664">
      <w:bodyDiv w:val="1"/>
      <w:marLeft w:val="0"/>
      <w:marRight w:val="0"/>
      <w:marTop w:val="0"/>
      <w:marBottom w:val="0"/>
      <w:divBdr>
        <w:top w:val="none" w:sz="0" w:space="0" w:color="auto"/>
        <w:left w:val="none" w:sz="0" w:space="0" w:color="auto"/>
        <w:bottom w:val="none" w:sz="0" w:space="0" w:color="auto"/>
        <w:right w:val="none" w:sz="0" w:space="0" w:color="auto"/>
      </w:divBdr>
    </w:div>
    <w:div w:id="297223175">
      <w:bodyDiv w:val="1"/>
      <w:marLeft w:val="0"/>
      <w:marRight w:val="0"/>
      <w:marTop w:val="0"/>
      <w:marBottom w:val="0"/>
      <w:divBdr>
        <w:top w:val="none" w:sz="0" w:space="0" w:color="auto"/>
        <w:left w:val="none" w:sz="0" w:space="0" w:color="auto"/>
        <w:bottom w:val="none" w:sz="0" w:space="0" w:color="auto"/>
        <w:right w:val="none" w:sz="0" w:space="0" w:color="auto"/>
      </w:divBdr>
    </w:div>
    <w:div w:id="339359162">
      <w:bodyDiv w:val="1"/>
      <w:marLeft w:val="0"/>
      <w:marRight w:val="0"/>
      <w:marTop w:val="0"/>
      <w:marBottom w:val="0"/>
      <w:divBdr>
        <w:top w:val="none" w:sz="0" w:space="0" w:color="auto"/>
        <w:left w:val="none" w:sz="0" w:space="0" w:color="auto"/>
        <w:bottom w:val="none" w:sz="0" w:space="0" w:color="auto"/>
        <w:right w:val="none" w:sz="0" w:space="0" w:color="auto"/>
      </w:divBdr>
    </w:div>
    <w:div w:id="365452642">
      <w:bodyDiv w:val="1"/>
      <w:marLeft w:val="0"/>
      <w:marRight w:val="0"/>
      <w:marTop w:val="0"/>
      <w:marBottom w:val="0"/>
      <w:divBdr>
        <w:top w:val="none" w:sz="0" w:space="0" w:color="auto"/>
        <w:left w:val="none" w:sz="0" w:space="0" w:color="auto"/>
        <w:bottom w:val="none" w:sz="0" w:space="0" w:color="auto"/>
        <w:right w:val="none" w:sz="0" w:space="0" w:color="auto"/>
      </w:divBdr>
    </w:div>
    <w:div w:id="404424178">
      <w:bodyDiv w:val="1"/>
      <w:marLeft w:val="0"/>
      <w:marRight w:val="0"/>
      <w:marTop w:val="0"/>
      <w:marBottom w:val="0"/>
      <w:divBdr>
        <w:top w:val="none" w:sz="0" w:space="0" w:color="auto"/>
        <w:left w:val="none" w:sz="0" w:space="0" w:color="auto"/>
        <w:bottom w:val="none" w:sz="0" w:space="0" w:color="auto"/>
        <w:right w:val="none" w:sz="0" w:space="0" w:color="auto"/>
      </w:divBdr>
    </w:div>
    <w:div w:id="472258894">
      <w:bodyDiv w:val="1"/>
      <w:marLeft w:val="0"/>
      <w:marRight w:val="0"/>
      <w:marTop w:val="0"/>
      <w:marBottom w:val="0"/>
      <w:divBdr>
        <w:top w:val="none" w:sz="0" w:space="0" w:color="auto"/>
        <w:left w:val="none" w:sz="0" w:space="0" w:color="auto"/>
        <w:bottom w:val="none" w:sz="0" w:space="0" w:color="auto"/>
        <w:right w:val="none" w:sz="0" w:space="0" w:color="auto"/>
      </w:divBdr>
    </w:div>
    <w:div w:id="621765015">
      <w:bodyDiv w:val="1"/>
      <w:marLeft w:val="0"/>
      <w:marRight w:val="0"/>
      <w:marTop w:val="0"/>
      <w:marBottom w:val="0"/>
      <w:divBdr>
        <w:top w:val="none" w:sz="0" w:space="0" w:color="auto"/>
        <w:left w:val="none" w:sz="0" w:space="0" w:color="auto"/>
        <w:bottom w:val="none" w:sz="0" w:space="0" w:color="auto"/>
        <w:right w:val="none" w:sz="0" w:space="0" w:color="auto"/>
      </w:divBdr>
    </w:div>
    <w:div w:id="763301067">
      <w:bodyDiv w:val="1"/>
      <w:marLeft w:val="0"/>
      <w:marRight w:val="0"/>
      <w:marTop w:val="0"/>
      <w:marBottom w:val="0"/>
      <w:divBdr>
        <w:top w:val="none" w:sz="0" w:space="0" w:color="auto"/>
        <w:left w:val="none" w:sz="0" w:space="0" w:color="auto"/>
        <w:bottom w:val="none" w:sz="0" w:space="0" w:color="auto"/>
        <w:right w:val="none" w:sz="0" w:space="0" w:color="auto"/>
      </w:divBdr>
      <w:divsChild>
        <w:div w:id="148208463">
          <w:marLeft w:val="0"/>
          <w:marRight w:val="0"/>
          <w:marTop w:val="0"/>
          <w:marBottom w:val="0"/>
          <w:divBdr>
            <w:top w:val="none" w:sz="0" w:space="0" w:color="auto"/>
            <w:left w:val="none" w:sz="0" w:space="0" w:color="auto"/>
            <w:bottom w:val="none" w:sz="0" w:space="0" w:color="auto"/>
            <w:right w:val="none" w:sz="0" w:space="0" w:color="auto"/>
          </w:divBdr>
        </w:div>
      </w:divsChild>
    </w:div>
    <w:div w:id="881480596">
      <w:bodyDiv w:val="1"/>
      <w:marLeft w:val="0"/>
      <w:marRight w:val="0"/>
      <w:marTop w:val="0"/>
      <w:marBottom w:val="0"/>
      <w:divBdr>
        <w:top w:val="none" w:sz="0" w:space="0" w:color="auto"/>
        <w:left w:val="none" w:sz="0" w:space="0" w:color="auto"/>
        <w:bottom w:val="none" w:sz="0" w:space="0" w:color="auto"/>
        <w:right w:val="none" w:sz="0" w:space="0" w:color="auto"/>
      </w:divBdr>
    </w:div>
    <w:div w:id="930236057">
      <w:bodyDiv w:val="1"/>
      <w:marLeft w:val="0"/>
      <w:marRight w:val="0"/>
      <w:marTop w:val="0"/>
      <w:marBottom w:val="0"/>
      <w:divBdr>
        <w:top w:val="none" w:sz="0" w:space="0" w:color="auto"/>
        <w:left w:val="none" w:sz="0" w:space="0" w:color="auto"/>
        <w:bottom w:val="none" w:sz="0" w:space="0" w:color="auto"/>
        <w:right w:val="none" w:sz="0" w:space="0" w:color="auto"/>
      </w:divBdr>
    </w:div>
    <w:div w:id="941106234">
      <w:bodyDiv w:val="1"/>
      <w:marLeft w:val="0"/>
      <w:marRight w:val="0"/>
      <w:marTop w:val="0"/>
      <w:marBottom w:val="0"/>
      <w:divBdr>
        <w:top w:val="none" w:sz="0" w:space="0" w:color="auto"/>
        <w:left w:val="none" w:sz="0" w:space="0" w:color="auto"/>
        <w:bottom w:val="none" w:sz="0" w:space="0" w:color="auto"/>
        <w:right w:val="none" w:sz="0" w:space="0" w:color="auto"/>
      </w:divBdr>
    </w:div>
    <w:div w:id="950236544">
      <w:bodyDiv w:val="1"/>
      <w:marLeft w:val="0"/>
      <w:marRight w:val="0"/>
      <w:marTop w:val="0"/>
      <w:marBottom w:val="0"/>
      <w:divBdr>
        <w:top w:val="none" w:sz="0" w:space="0" w:color="auto"/>
        <w:left w:val="none" w:sz="0" w:space="0" w:color="auto"/>
        <w:bottom w:val="none" w:sz="0" w:space="0" w:color="auto"/>
        <w:right w:val="none" w:sz="0" w:space="0" w:color="auto"/>
      </w:divBdr>
    </w:div>
    <w:div w:id="1004430869">
      <w:bodyDiv w:val="1"/>
      <w:marLeft w:val="0"/>
      <w:marRight w:val="0"/>
      <w:marTop w:val="0"/>
      <w:marBottom w:val="0"/>
      <w:divBdr>
        <w:top w:val="none" w:sz="0" w:space="0" w:color="auto"/>
        <w:left w:val="none" w:sz="0" w:space="0" w:color="auto"/>
        <w:bottom w:val="none" w:sz="0" w:space="0" w:color="auto"/>
        <w:right w:val="none" w:sz="0" w:space="0" w:color="auto"/>
      </w:divBdr>
    </w:div>
    <w:div w:id="1104224203">
      <w:bodyDiv w:val="1"/>
      <w:marLeft w:val="0"/>
      <w:marRight w:val="0"/>
      <w:marTop w:val="0"/>
      <w:marBottom w:val="0"/>
      <w:divBdr>
        <w:top w:val="none" w:sz="0" w:space="0" w:color="auto"/>
        <w:left w:val="none" w:sz="0" w:space="0" w:color="auto"/>
        <w:bottom w:val="none" w:sz="0" w:space="0" w:color="auto"/>
        <w:right w:val="none" w:sz="0" w:space="0" w:color="auto"/>
      </w:divBdr>
    </w:div>
    <w:div w:id="1165436064">
      <w:bodyDiv w:val="1"/>
      <w:marLeft w:val="0"/>
      <w:marRight w:val="0"/>
      <w:marTop w:val="0"/>
      <w:marBottom w:val="0"/>
      <w:divBdr>
        <w:top w:val="none" w:sz="0" w:space="0" w:color="auto"/>
        <w:left w:val="none" w:sz="0" w:space="0" w:color="auto"/>
        <w:bottom w:val="none" w:sz="0" w:space="0" w:color="auto"/>
        <w:right w:val="none" w:sz="0" w:space="0" w:color="auto"/>
      </w:divBdr>
    </w:div>
    <w:div w:id="1245651201">
      <w:bodyDiv w:val="1"/>
      <w:marLeft w:val="0"/>
      <w:marRight w:val="0"/>
      <w:marTop w:val="0"/>
      <w:marBottom w:val="0"/>
      <w:divBdr>
        <w:top w:val="none" w:sz="0" w:space="0" w:color="auto"/>
        <w:left w:val="none" w:sz="0" w:space="0" w:color="auto"/>
        <w:bottom w:val="none" w:sz="0" w:space="0" w:color="auto"/>
        <w:right w:val="none" w:sz="0" w:space="0" w:color="auto"/>
      </w:divBdr>
      <w:divsChild>
        <w:div w:id="332688080">
          <w:marLeft w:val="0"/>
          <w:marRight w:val="0"/>
          <w:marTop w:val="0"/>
          <w:marBottom w:val="0"/>
          <w:divBdr>
            <w:top w:val="none" w:sz="0" w:space="0" w:color="auto"/>
            <w:left w:val="none" w:sz="0" w:space="0" w:color="auto"/>
            <w:bottom w:val="none" w:sz="0" w:space="0" w:color="auto"/>
            <w:right w:val="none" w:sz="0" w:space="0" w:color="auto"/>
          </w:divBdr>
          <w:divsChild>
            <w:div w:id="2030520289">
              <w:marLeft w:val="0"/>
              <w:marRight w:val="0"/>
              <w:marTop w:val="0"/>
              <w:marBottom w:val="0"/>
              <w:divBdr>
                <w:top w:val="none" w:sz="0" w:space="0" w:color="auto"/>
                <w:left w:val="none" w:sz="0" w:space="0" w:color="auto"/>
                <w:bottom w:val="none" w:sz="0" w:space="0" w:color="auto"/>
                <w:right w:val="none" w:sz="0" w:space="0" w:color="auto"/>
              </w:divBdr>
              <w:divsChild>
                <w:div w:id="1080756231">
                  <w:marLeft w:val="0"/>
                  <w:marRight w:val="0"/>
                  <w:marTop w:val="0"/>
                  <w:marBottom w:val="0"/>
                  <w:divBdr>
                    <w:top w:val="none" w:sz="0" w:space="0" w:color="auto"/>
                    <w:left w:val="none" w:sz="0" w:space="0" w:color="auto"/>
                    <w:bottom w:val="none" w:sz="0" w:space="0" w:color="auto"/>
                    <w:right w:val="none" w:sz="0" w:space="0" w:color="auto"/>
                  </w:divBdr>
                  <w:divsChild>
                    <w:div w:id="25253702">
                      <w:marLeft w:val="0"/>
                      <w:marRight w:val="0"/>
                      <w:marTop w:val="0"/>
                      <w:marBottom w:val="0"/>
                      <w:divBdr>
                        <w:top w:val="none" w:sz="0" w:space="0" w:color="auto"/>
                        <w:left w:val="none" w:sz="0" w:space="0" w:color="auto"/>
                        <w:bottom w:val="none" w:sz="0" w:space="0" w:color="auto"/>
                        <w:right w:val="none" w:sz="0" w:space="0" w:color="auto"/>
                      </w:divBdr>
                      <w:divsChild>
                        <w:div w:id="1321040257">
                          <w:marLeft w:val="0"/>
                          <w:marRight w:val="0"/>
                          <w:marTop w:val="0"/>
                          <w:marBottom w:val="0"/>
                          <w:divBdr>
                            <w:top w:val="none" w:sz="0" w:space="0" w:color="auto"/>
                            <w:left w:val="none" w:sz="0" w:space="0" w:color="auto"/>
                            <w:bottom w:val="none" w:sz="0" w:space="0" w:color="auto"/>
                            <w:right w:val="none" w:sz="0" w:space="0" w:color="auto"/>
                          </w:divBdr>
                          <w:divsChild>
                            <w:div w:id="2020429860">
                              <w:marLeft w:val="0"/>
                              <w:marRight w:val="0"/>
                              <w:marTop w:val="0"/>
                              <w:marBottom w:val="0"/>
                              <w:divBdr>
                                <w:top w:val="none" w:sz="0" w:space="0" w:color="auto"/>
                                <w:left w:val="none" w:sz="0" w:space="0" w:color="auto"/>
                                <w:bottom w:val="none" w:sz="0" w:space="0" w:color="auto"/>
                                <w:right w:val="none" w:sz="0" w:space="0" w:color="auto"/>
                              </w:divBdr>
                            </w:div>
                            <w:div w:id="3932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112828">
      <w:bodyDiv w:val="1"/>
      <w:marLeft w:val="0"/>
      <w:marRight w:val="0"/>
      <w:marTop w:val="0"/>
      <w:marBottom w:val="0"/>
      <w:divBdr>
        <w:top w:val="none" w:sz="0" w:space="0" w:color="auto"/>
        <w:left w:val="none" w:sz="0" w:space="0" w:color="auto"/>
        <w:bottom w:val="none" w:sz="0" w:space="0" w:color="auto"/>
        <w:right w:val="none" w:sz="0" w:space="0" w:color="auto"/>
      </w:divBdr>
    </w:div>
    <w:div w:id="1329675523">
      <w:bodyDiv w:val="1"/>
      <w:marLeft w:val="0"/>
      <w:marRight w:val="0"/>
      <w:marTop w:val="0"/>
      <w:marBottom w:val="0"/>
      <w:divBdr>
        <w:top w:val="none" w:sz="0" w:space="0" w:color="auto"/>
        <w:left w:val="none" w:sz="0" w:space="0" w:color="auto"/>
        <w:bottom w:val="none" w:sz="0" w:space="0" w:color="auto"/>
        <w:right w:val="none" w:sz="0" w:space="0" w:color="auto"/>
      </w:divBdr>
    </w:div>
    <w:div w:id="1396004736">
      <w:bodyDiv w:val="1"/>
      <w:marLeft w:val="0"/>
      <w:marRight w:val="0"/>
      <w:marTop w:val="0"/>
      <w:marBottom w:val="0"/>
      <w:divBdr>
        <w:top w:val="none" w:sz="0" w:space="0" w:color="auto"/>
        <w:left w:val="none" w:sz="0" w:space="0" w:color="auto"/>
        <w:bottom w:val="none" w:sz="0" w:space="0" w:color="auto"/>
        <w:right w:val="none" w:sz="0" w:space="0" w:color="auto"/>
      </w:divBdr>
      <w:divsChild>
        <w:div w:id="314139820">
          <w:marLeft w:val="0"/>
          <w:marRight w:val="0"/>
          <w:marTop w:val="0"/>
          <w:marBottom w:val="0"/>
          <w:divBdr>
            <w:top w:val="none" w:sz="0" w:space="0" w:color="auto"/>
            <w:left w:val="none" w:sz="0" w:space="0" w:color="auto"/>
            <w:bottom w:val="none" w:sz="0" w:space="0" w:color="auto"/>
            <w:right w:val="none" w:sz="0" w:space="0" w:color="auto"/>
          </w:divBdr>
        </w:div>
      </w:divsChild>
    </w:div>
    <w:div w:id="1480614174">
      <w:bodyDiv w:val="1"/>
      <w:marLeft w:val="0"/>
      <w:marRight w:val="0"/>
      <w:marTop w:val="0"/>
      <w:marBottom w:val="0"/>
      <w:divBdr>
        <w:top w:val="none" w:sz="0" w:space="0" w:color="auto"/>
        <w:left w:val="none" w:sz="0" w:space="0" w:color="auto"/>
        <w:bottom w:val="none" w:sz="0" w:space="0" w:color="auto"/>
        <w:right w:val="none" w:sz="0" w:space="0" w:color="auto"/>
      </w:divBdr>
    </w:div>
    <w:div w:id="1502813153">
      <w:bodyDiv w:val="1"/>
      <w:marLeft w:val="0"/>
      <w:marRight w:val="0"/>
      <w:marTop w:val="0"/>
      <w:marBottom w:val="0"/>
      <w:divBdr>
        <w:top w:val="none" w:sz="0" w:space="0" w:color="auto"/>
        <w:left w:val="none" w:sz="0" w:space="0" w:color="auto"/>
        <w:bottom w:val="none" w:sz="0" w:space="0" w:color="auto"/>
        <w:right w:val="none" w:sz="0" w:space="0" w:color="auto"/>
      </w:divBdr>
    </w:div>
    <w:div w:id="1577128450">
      <w:bodyDiv w:val="1"/>
      <w:marLeft w:val="0"/>
      <w:marRight w:val="0"/>
      <w:marTop w:val="0"/>
      <w:marBottom w:val="0"/>
      <w:divBdr>
        <w:top w:val="none" w:sz="0" w:space="0" w:color="auto"/>
        <w:left w:val="none" w:sz="0" w:space="0" w:color="auto"/>
        <w:bottom w:val="none" w:sz="0" w:space="0" w:color="auto"/>
        <w:right w:val="none" w:sz="0" w:space="0" w:color="auto"/>
      </w:divBdr>
    </w:div>
    <w:div w:id="1589803823">
      <w:bodyDiv w:val="1"/>
      <w:marLeft w:val="0"/>
      <w:marRight w:val="0"/>
      <w:marTop w:val="0"/>
      <w:marBottom w:val="0"/>
      <w:divBdr>
        <w:top w:val="none" w:sz="0" w:space="0" w:color="auto"/>
        <w:left w:val="none" w:sz="0" w:space="0" w:color="auto"/>
        <w:bottom w:val="none" w:sz="0" w:space="0" w:color="auto"/>
        <w:right w:val="none" w:sz="0" w:space="0" w:color="auto"/>
      </w:divBdr>
    </w:div>
    <w:div w:id="1603874355">
      <w:bodyDiv w:val="1"/>
      <w:marLeft w:val="0"/>
      <w:marRight w:val="0"/>
      <w:marTop w:val="0"/>
      <w:marBottom w:val="0"/>
      <w:divBdr>
        <w:top w:val="none" w:sz="0" w:space="0" w:color="auto"/>
        <w:left w:val="none" w:sz="0" w:space="0" w:color="auto"/>
        <w:bottom w:val="none" w:sz="0" w:space="0" w:color="auto"/>
        <w:right w:val="none" w:sz="0" w:space="0" w:color="auto"/>
      </w:divBdr>
    </w:div>
    <w:div w:id="1749109056">
      <w:bodyDiv w:val="1"/>
      <w:marLeft w:val="0"/>
      <w:marRight w:val="0"/>
      <w:marTop w:val="0"/>
      <w:marBottom w:val="0"/>
      <w:divBdr>
        <w:top w:val="none" w:sz="0" w:space="0" w:color="auto"/>
        <w:left w:val="none" w:sz="0" w:space="0" w:color="auto"/>
        <w:bottom w:val="none" w:sz="0" w:space="0" w:color="auto"/>
        <w:right w:val="none" w:sz="0" w:space="0" w:color="auto"/>
      </w:divBdr>
    </w:div>
    <w:div w:id="1774588351">
      <w:bodyDiv w:val="1"/>
      <w:marLeft w:val="0"/>
      <w:marRight w:val="0"/>
      <w:marTop w:val="0"/>
      <w:marBottom w:val="0"/>
      <w:divBdr>
        <w:top w:val="none" w:sz="0" w:space="0" w:color="auto"/>
        <w:left w:val="none" w:sz="0" w:space="0" w:color="auto"/>
        <w:bottom w:val="none" w:sz="0" w:space="0" w:color="auto"/>
        <w:right w:val="none" w:sz="0" w:space="0" w:color="auto"/>
      </w:divBdr>
    </w:div>
    <w:div w:id="1806963753">
      <w:bodyDiv w:val="1"/>
      <w:marLeft w:val="0"/>
      <w:marRight w:val="0"/>
      <w:marTop w:val="0"/>
      <w:marBottom w:val="0"/>
      <w:divBdr>
        <w:top w:val="none" w:sz="0" w:space="0" w:color="auto"/>
        <w:left w:val="none" w:sz="0" w:space="0" w:color="auto"/>
        <w:bottom w:val="none" w:sz="0" w:space="0" w:color="auto"/>
        <w:right w:val="none" w:sz="0" w:space="0" w:color="auto"/>
      </w:divBdr>
    </w:div>
    <w:div w:id="1842042244">
      <w:bodyDiv w:val="1"/>
      <w:marLeft w:val="0"/>
      <w:marRight w:val="0"/>
      <w:marTop w:val="0"/>
      <w:marBottom w:val="0"/>
      <w:divBdr>
        <w:top w:val="none" w:sz="0" w:space="0" w:color="auto"/>
        <w:left w:val="none" w:sz="0" w:space="0" w:color="auto"/>
        <w:bottom w:val="none" w:sz="0" w:space="0" w:color="auto"/>
        <w:right w:val="none" w:sz="0" w:space="0" w:color="auto"/>
      </w:divBdr>
    </w:div>
    <w:div w:id="1865511431">
      <w:bodyDiv w:val="1"/>
      <w:marLeft w:val="0"/>
      <w:marRight w:val="0"/>
      <w:marTop w:val="0"/>
      <w:marBottom w:val="0"/>
      <w:divBdr>
        <w:top w:val="none" w:sz="0" w:space="0" w:color="auto"/>
        <w:left w:val="none" w:sz="0" w:space="0" w:color="auto"/>
        <w:bottom w:val="none" w:sz="0" w:space="0" w:color="auto"/>
        <w:right w:val="none" w:sz="0" w:space="0" w:color="auto"/>
      </w:divBdr>
    </w:div>
    <w:div w:id="1931888677">
      <w:bodyDiv w:val="1"/>
      <w:marLeft w:val="0"/>
      <w:marRight w:val="0"/>
      <w:marTop w:val="0"/>
      <w:marBottom w:val="0"/>
      <w:divBdr>
        <w:top w:val="none" w:sz="0" w:space="0" w:color="auto"/>
        <w:left w:val="none" w:sz="0" w:space="0" w:color="auto"/>
        <w:bottom w:val="none" w:sz="0" w:space="0" w:color="auto"/>
        <w:right w:val="none" w:sz="0" w:space="0" w:color="auto"/>
      </w:divBdr>
    </w:div>
    <w:div w:id="1967850316">
      <w:bodyDiv w:val="1"/>
      <w:marLeft w:val="0"/>
      <w:marRight w:val="0"/>
      <w:marTop w:val="0"/>
      <w:marBottom w:val="0"/>
      <w:divBdr>
        <w:top w:val="none" w:sz="0" w:space="0" w:color="auto"/>
        <w:left w:val="none" w:sz="0" w:space="0" w:color="auto"/>
        <w:bottom w:val="none" w:sz="0" w:space="0" w:color="auto"/>
        <w:right w:val="none" w:sz="0" w:space="0" w:color="auto"/>
      </w:divBdr>
    </w:div>
    <w:div w:id="2015448668">
      <w:bodyDiv w:val="1"/>
      <w:marLeft w:val="0"/>
      <w:marRight w:val="0"/>
      <w:marTop w:val="0"/>
      <w:marBottom w:val="0"/>
      <w:divBdr>
        <w:top w:val="none" w:sz="0" w:space="0" w:color="auto"/>
        <w:left w:val="none" w:sz="0" w:space="0" w:color="auto"/>
        <w:bottom w:val="none" w:sz="0" w:space="0" w:color="auto"/>
        <w:right w:val="none" w:sz="0" w:space="0" w:color="auto"/>
      </w:divBdr>
    </w:div>
    <w:div w:id="2079546872">
      <w:bodyDiv w:val="1"/>
      <w:marLeft w:val="0"/>
      <w:marRight w:val="0"/>
      <w:marTop w:val="0"/>
      <w:marBottom w:val="0"/>
      <w:divBdr>
        <w:top w:val="none" w:sz="0" w:space="0" w:color="auto"/>
        <w:left w:val="none" w:sz="0" w:space="0" w:color="auto"/>
        <w:bottom w:val="none" w:sz="0" w:space="0" w:color="auto"/>
        <w:right w:val="none" w:sz="0" w:space="0" w:color="auto"/>
      </w:divBdr>
    </w:div>
    <w:div w:id="212874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iati.dfid.gov.uk/iati_documents/4344105.xls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C70315-3B96-458D-BA45-142304B1751D}"/>
</file>

<file path=customXml/itemProps2.xml><?xml version="1.0" encoding="utf-8"?>
<ds:datastoreItem xmlns:ds="http://schemas.openxmlformats.org/officeDocument/2006/customXml" ds:itemID="{A3CA7DF4-1451-4D10-B0CD-34396584FAE6}"/>
</file>

<file path=customXml/itemProps3.xml><?xml version="1.0" encoding="utf-8"?>
<ds:datastoreItem xmlns:ds="http://schemas.openxmlformats.org/officeDocument/2006/customXml" ds:itemID="{93427DCE-D08E-449F-8BF4-55CEFC0C9B52}"/>
</file>

<file path=customXml/itemProps4.xml><?xml version="1.0" encoding="utf-8"?>
<ds:datastoreItem xmlns:ds="http://schemas.openxmlformats.org/officeDocument/2006/customXml" ds:itemID="{9BA469E1-F05C-4C14-B173-E9E5CAF6519F}"/>
</file>

<file path=docProps/app.xml><?xml version="1.0" encoding="utf-8"?>
<Properties xmlns="http://schemas.openxmlformats.org/officeDocument/2006/extended-properties" xmlns:vt="http://schemas.openxmlformats.org/officeDocument/2006/docPropsVTypes">
  <Template>C522F869.dotm</Template>
  <TotalTime>0</TotalTime>
  <Pages>16</Pages>
  <Words>8894</Words>
  <Characters>48388</Characters>
  <Application>Microsoft Office Word</Application>
  <DocSecurity>4</DocSecurity>
  <Lines>1240</Lines>
  <Paragraphs>498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2015-07-21T04:10:00Z</dcterms:created>
  <dcterms:modified xsi:type="dcterms:W3CDTF">2015-07-21T04:10:00Z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956300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