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9DAFE" w14:textId="77777777" w:rsidR="00AE36FF" w:rsidRDefault="00AE36FF" w:rsidP="00AE36FF">
      <w:bookmarkStart w:id="0" w:name="_Toc452717342"/>
    </w:p>
    <w:p w14:paraId="3363209C" w14:textId="77777777" w:rsidR="00AE36FF" w:rsidRDefault="0029253C" w:rsidP="00AE36FF">
      <w:pPr>
        <w:pStyle w:val="Heading1"/>
      </w:pPr>
      <w:r>
        <w:rPr>
          <w:caps w:val="0"/>
        </w:rPr>
        <w:t>202</w:t>
      </w:r>
      <w:r w:rsidR="000B5A2C">
        <w:rPr>
          <w:caps w:val="0"/>
        </w:rPr>
        <w:t>2</w:t>
      </w:r>
      <w:r>
        <w:rPr>
          <w:caps w:val="0"/>
        </w:rPr>
        <w:t xml:space="preserve"> ANNUAL DEVELOPMENT EVALUATION PLAN</w:t>
      </w:r>
    </w:p>
    <w:p w14:paraId="7CE6CE72" w14:textId="77777777" w:rsidR="00AE36FF" w:rsidRPr="007551BA" w:rsidRDefault="00AE36FF" w:rsidP="00AE36FF">
      <w:pPr>
        <w:pStyle w:val="Heading2"/>
      </w:pPr>
      <w:r w:rsidRPr="007551BA">
        <w:t>INTRODUCTION</w:t>
      </w:r>
    </w:p>
    <w:p w14:paraId="3D8ADA15" w14:textId="77777777" w:rsidR="00AE36FF" w:rsidRPr="007551BA" w:rsidRDefault="6D6C6CA4" w:rsidP="4820FE68">
      <w:r>
        <w:t>This 202</w:t>
      </w:r>
      <w:r w:rsidR="4FFCBAB3">
        <w:t>2</w:t>
      </w:r>
      <w:r>
        <w:t xml:space="preserve"> Annual Development Evaluation Plan produced by the Department of Foreign Affairs and Trade (DFAT) outlines the independent evaluations </w:t>
      </w:r>
      <w:r w:rsidR="00D547AE">
        <w:t>of DFAT’s country, regional, global and sector development programs</w:t>
      </w:r>
      <w:r>
        <w:t xml:space="preserve"> which DFAT </w:t>
      </w:r>
      <w:r w:rsidR="00503F8C" w:rsidRPr="00341216">
        <w:t>expects</w:t>
      </w:r>
      <w:r>
        <w:t xml:space="preserve"> to complete and publish in 202</w:t>
      </w:r>
      <w:r w:rsidR="4FFCBAB3">
        <w:t>2</w:t>
      </w:r>
      <w:r>
        <w:t xml:space="preserve">. </w:t>
      </w:r>
      <w:r w:rsidR="00771059">
        <w:t>This plan has been approved by the Secretary of DFAT.</w:t>
      </w:r>
    </w:p>
    <w:p w14:paraId="12DD3C69" w14:textId="77777777" w:rsidR="00AE36FF" w:rsidRPr="007551BA" w:rsidRDefault="00AE36FF" w:rsidP="00AE36FF">
      <w:pPr>
        <w:pStyle w:val="Heading2"/>
      </w:pPr>
      <w:r w:rsidRPr="007551BA">
        <w:t>EVALUATIONS</w:t>
      </w:r>
    </w:p>
    <w:p w14:paraId="4C634762" w14:textId="77777777" w:rsidR="00AE36FF" w:rsidRPr="007551BA" w:rsidRDefault="00AE36FF" w:rsidP="00AE36FF">
      <w:r w:rsidRPr="007551BA">
        <w:t>DFAT country, regional</w:t>
      </w:r>
      <w:r w:rsidR="006E7974">
        <w:t>, global and sector</w:t>
      </w:r>
      <w:r w:rsidRPr="007551BA">
        <w:t xml:space="preserve"> development programs are required to identify, </w:t>
      </w:r>
      <w:proofErr w:type="gramStart"/>
      <w:r w:rsidRPr="007551BA">
        <w:t>prioritise</w:t>
      </w:r>
      <w:proofErr w:type="gramEnd"/>
      <w:r w:rsidRPr="007551BA">
        <w:t xml:space="preserve"> and complete a reasonable number of independent evaluations per year. These evaluations focus on the highest priority issues facing each program. Larger programs are generally expected to complete a higher number of evaluations.</w:t>
      </w:r>
    </w:p>
    <w:p w14:paraId="17B66022" w14:textId="77777777" w:rsidR="00AE36FF" w:rsidRDefault="00103258" w:rsidP="00AE36FF">
      <w:r w:rsidRPr="00341216">
        <w:t>Up to</w:t>
      </w:r>
      <w:r w:rsidR="00503F8C" w:rsidRPr="00341216">
        <w:t xml:space="preserve"> 40</w:t>
      </w:r>
      <w:r w:rsidR="00AE36FF" w:rsidRPr="00341216">
        <w:t xml:space="preserve"> evaluations</w:t>
      </w:r>
      <w:r w:rsidR="00AE36FF">
        <w:t xml:space="preserve"> are expected to be published in 202</w:t>
      </w:r>
      <w:r w:rsidR="006E7974">
        <w:t>2</w:t>
      </w:r>
      <w:r w:rsidR="00AE36FF">
        <w:t>. All evaluations will include a management response which will be completed by the relevant DFAT program. Some development programs will not publish any evaluations in 202</w:t>
      </w:r>
      <w:r w:rsidR="006E7974">
        <w:t>2</w:t>
      </w:r>
      <w:r w:rsidR="00AE36FF">
        <w:t xml:space="preserve"> but will be expected to undertake evaluations in 202</w:t>
      </w:r>
      <w:r w:rsidR="006E7974">
        <w:t>3</w:t>
      </w:r>
      <w:r w:rsidR="00AE36FF">
        <w:t xml:space="preserve"> and beyond. </w:t>
      </w:r>
    </w:p>
    <w:p w14:paraId="4A92B08C" w14:textId="77777777" w:rsidR="00AE36FF" w:rsidRDefault="00AE36FF" w:rsidP="00AE36FF">
      <w:pPr>
        <w:pStyle w:val="Heading2"/>
      </w:pPr>
      <w:r>
        <w:t>PACIFIC</w:t>
      </w:r>
    </w:p>
    <w:p w14:paraId="788BCD89" w14:textId="77777777" w:rsidR="00AE36FF" w:rsidRDefault="00AE36FF" w:rsidP="00AE36FF">
      <w:r w:rsidRPr="00AE36FF">
        <w:rPr>
          <w:b/>
          <w:bCs/>
        </w:rPr>
        <w:t>Program:</w:t>
      </w:r>
      <w:r>
        <w:tab/>
      </w:r>
      <w:r w:rsidR="0098685F">
        <w:t>Papua New Guinea</w:t>
      </w:r>
    </w:p>
    <w:p w14:paraId="26590971" w14:textId="77777777" w:rsidR="00AE36FF" w:rsidRDefault="00503F8C" w:rsidP="00AE36FF">
      <w:r w:rsidRPr="00341216">
        <w:rPr>
          <w:b/>
          <w:bCs/>
        </w:rPr>
        <w:t>Expected</w:t>
      </w:r>
      <w:r w:rsidR="00AE36FF" w:rsidRPr="00341216">
        <w:rPr>
          <w:b/>
          <w:bCs/>
        </w:rPr>
        <w:t xml:space="preserve"> evaluations:</w:t>
      </w:r>
      <w:r w:rsidR="00AE36FF" w:rsidRPr="00341216">
        <w:tab/>
        <w:t>5</w:t>
      </w:r>
    </w:p>
    <w:p w14:paraId="40CBF384" w14:textId="77777777" w:rsidR="00AC6696" w:rsidRDefault="353B08EA" w:rsidP="00BD2E26">
      <w:pPr>
        <w:pStyle w:val="ListParagraph"/>
        <w:numPr>
          <w:ilvl w:val="0"/>
          <w:numId w:val="17"/>
        </w:numPr>
        <w:rPr>
          <w:b w:val="0"/>
          <w:bCs w:val="0"/>
        </w:rPr>
      </w:pPr>
      <w:r>
        <w:rPr>
          <w:b w:val="0"/>
          <w:bCs w:val="0"/>
        </w:rPr>
        <w:t>Review of Papua New Guinea -Australia Governance Partnership</w:t>
      </w:r>
    </w:p>
    <w:p w14:paraId="6B49E305" w14:textId="77777777" w:rsidR="00AC6696" w:rsidRDefault="353B08EA" w:rsidP="00BD2E26">
      <w:pPr>
        <w:pStyle w:val="ListParagraph"/>
        <w:numPr>
          <w:ilvl w:val="0"/>
          <w:numId w:val="17"/>
        </w:numPr>
        <w:rPr>
          <w:b w:val="0"/>
          <w:bCs w:val="0"/>
        </w:rPr>
      </w:pPr>
      <w:r>
        <w:rPr>
          <w:b w:val="0"/>
          <w:bCs w:val="0"/>
        </w:rPr>
        <w:t xml:space="preserve">Education in Emergencies Independent Evaluation </w:t>
      </w:r>
    </w:p>
    <w:p w14:paraId="0C972F61" w14:textId="77777777" w:rsidR="00AC6696" w:rsidRDefault="353B08EA" w:rsidP="00BD2E26">
      <w:pPr>
        <w:pStyle w:val="ListParagraph"/>
        <w:numPr>
          <w:ilvl w:val="0"/>
          <w:numId w:val="17"/>
        </w:numPr>
        <w:rPr>
          <w:b w:val="0"/>
          <w:bCs w:val="0"/>
        </w:rPr>
      </w:pPr>
      <w:r>
        <w:rPr>
          <w:b w:val="0"/>
          <w:bCs w:val="0"/>
        </w:rPr>
        <w:t xml:space="preserve">South Fly Resilience Plan Review </w:t>
      </w:r>
    </w:p>
    <w:p w14:paraId="1F0159C2" w14:textId="77777777" w:rsidR="00AC6696" w:rsidRDefault="353B08EA" w:rsidP="00BD2E26">
      <w:pPr>
        <w:pStyle w:val="ListParagraph"/>
        <w:numPr>
          <w:ilvl w:val="0"/>
          <w:numId w:val="17"/>
        </w:numPr>
        <w:rPr>
          <w:b w:val="0"/>
          <w:bCs w:val="0"/>
        </w:rPr>
      </w:pPr>
      <w:r>
        <w:rPr>
          <w:b w:val="0"/>
          <w:bCs w:val="0"/>
        </w:rPr>
        <w:t>PNG-Australia Incentive Fund: Lessons Learned from Phase 4 and Recommendations for Phase 5</w:t>
      </w:r>
    </w:p>
    <w:p w14:paraId="11DD1FD3" w14:textId="77777777" w:rsidR="00AC6696" w:rsidRDefault="353B08EA" w:rsidP="00BD2E26">
      <w:pPr>
        <w:pStyle w:val="ListParagraph"/>
        <w:numPr>
          <w:ilvl w:val="0"/>
          <w:numId w:val="17"/>
        </w:numPr>
        <w:rPr>
          <w:b w:val="0"/>
          <w:bCs w:val="0"/>
        </w:rPr>
      </w:pPr>
      <w:r>
        <w:rPr>
          <w:b w:val="0"/>
          <w:bCs w:val="0"/>
        </w:rPr>
        <w:t>Health Information Systems Program (HISP) Trust Fund Evaluation</w:t>
      </w:r>
    </w:p>
    <w:p w14:paraId="6B1AABE7" w14:textId="77777777" w:rsidR="00AE36FF" w:rsidRDefault="00AE36FF" w:rsidP="00AE36FF"/>
    <w:p w14:paraId="7941BD58" w14:textId="77777777" w:rsidR="00AE36FF" w:rsidRDefault="00AE36FF" w:rsidP="00AE36FF">
      <w:r w:rsidRPr="009F60F3">
        <w:rPr>
          <w:b/>
          <w:bCs/>
        </w:rPr>
        <w:t>Program:</w:t>
      </w:r>
      <w:r>
        <w:tab/>
        <w:t>Pacific Regional</w:t>
      </w:r>
    </w:p>
    <w:p w14:paraId="6A09BFB1" w14:textId="77777777" w:rsidR="00AE36FF" w:rsidRDefault="00503F8C" w:rsidP="00AE36FF">
      <w:r>
        <w:rPr>
          <w:b/>
          <w:bCs/>
        </w:rPr>
        <w:t>Expected</w:t>
      </w:r>
      <w:r w:rsidR="00AE36FF" w:rsidRPr="009F60F3">
        <w:rPr>
          <w:b/>
          <w:bCs/>
        </w:rPr>
        <w:t xml:space="preserve"> evaluations:</w:t>
      </w:r>
      <w:r w:rsidR="00AE36FF">
        <w:tab/>
      </w:r>
      <w:r w:rsidR="00AC6696">
        <w:t>4</w:t>
      </w:r>
    </w:p>
    <w:p w14:paraId="130BEAB4" w14:textId="77777777" w:rsidR="00AC6696" w:rsidRDefault="353B08EA" w:rsidP="00BD2E26">
      <w:pPr>
        <w:pStyle w:val="ListParagraph"/>
        <w:numPr>
          <w:ilvl w:val="0"/>
          <w:numId w:val="18"/>
        </w:numPr>
        <w:rPr>
          <w:b w:val="0"/>
          <w:bCs w:val="0"/>
        </w:rPr>
      </w:pPr>
      <w:r>
        <w:rPr>
          <w:b w:val="0"/>
          <w:bCs w:val="0"/>
        </w:rPr>
        <w:t>Independent Evaluation of Pacific Connect</w:t>
      </w:r>
    </w:p>
    <w:p w14:paraId="4B37C977" w14:textId="77777777" w:rsidR="00AC6696" w:rsidRDefault="353B08EA" w:rsidP="00BD2E26">
      <w:pPr>
        <w:pStyle w:val="ListParagraph"/>
        <w:numPr>
          <w:ilvl w:val="0"/>
          <w:numId w:val="18"/>
        </w:numPr>
        <w:rPr>
          <w:b w:val="0"/>
          <w:bCs w:val="0"/>
        </w:rPr>
      </w:pPr>
      <w:r>
        <w:rPr>
          <w:b w:val="0"/>
          <w:bCs w:val="0"/>
        </w:rPr>
        <w:t>End of Program Review - Pacific Community and Government of Australia (</w:t>
      </w:r>
      <w:proofErr w:type="spellStart"/>
      <w:r>
        <w:rPr>
          <w:b w:val="0"/>
          <w:bCs w:val="0"/>
        </w:rPr>
        <w:t>GoA</w:t>
      </w:r>
      <w:proofErr w:type="spellEnd"/>
      <w:r>
        <w:rPr>
          <w:b w:val="0"/>
          <w:bCs w:val="0"/>
        </w:rPr>
        <w:t>) Partnership / Partnership for Regionalism and Development between the Government of Australia and the Secretariat of the Pacific Community</w:t>
      </w:r>
    </w:p>
    <w:p w14:paraId="3638BE69" w14:textId="77777777" w:rsidR="00AC6696" w:rsidRDefault="353B08EA" w:rsidP="00BD2E26">
      <w:pPr>
        <w:pStyle w:val="ListParagraph"/>
        <w:numPr>
          <w:ilvl w:val="0"/>
          <w:numId w:val="18"/>
        </w:numPr>
        <w:rPr>
          <w:b w:val="0"/>
          <w:bCs w:val="0"/>
        </w:rPr>
      </w:pPr>
      <w:r>
        <w:rPr>
          <w:b w:val="0"/>
          <w:bCs w:val="0"/>
        </w:rPr>
        <w:t>Australian Infrastructure Financing Facility for the Pacific (AIFFP) Two-Year System-Wide Review</w:t>
      </w:r>
    </w:p>
    <w:p w14:paraId="39ED965D" w14:textId="77777777" w:rsidR="00AC6696" w:rsidRDefault="2BFC92B2" w:rsidP="00BD2E26">
      <w:pPr>
        <w:pStyle w:val="ListParagraph"/>
        <w:numPr>
          <w:ilvl w:val="0"/>
          <w:numId w:val="18"/>
        </w:numPr>
        <w:rPr>
          <w:b w:val="0"/>
          <w:bCs w:val="0"/>
        </w:rPr>
      </w:pPr>
      <w:r>
        <w:rPr>
          <w:b w:val="0"/>
          <w:bCs w:val="0"/>
        </w:rPr>
        <w:t>Independent Review of Pacific COVID-19 Response Package</w:t>
      </w:r>
    </w:p>
    <w:p w14:paraId="6AAE4DEA" w14:textId="77777777" w:rsidR="00AC6696" w:rsidRDefault="00AC6696" w:rsidP="00AE36FF">
      <w:pPr>
        <w:rPr>
          <w:b/>
          <w:bCs/>
        </w:rPr>
      </w:pPr>
    </w:p>
    <w:p w14:paraId="3BF00BEF" w14:textId="77777777" w:rsidR="00341216" w:rsidRDefault="00341216">
      <w:pPr>
        <w:suppressAutoHyphens w:val="0"/>
        <w:spacing w:before="0" w:after="120" w:line="440" w:lineRule="atLeast"/>
        <w:rPr>
          <w:b/>
          <w:bCs/>
        </w:rPr>
      </w:pPr>
      <w:r>
        <w:rPr>
          <w:b/>
          <w:bCs/>
        </w:rPr>
        <w:br w:type="page"/>
      </w:r>
    </w:p>
    <w:p w14:paraId="0306A852" w14:textId="77777777" w:rsidR="00AE36FF" w:rsidRDefault="00AE36FF" w:rsidP="00AE36FF">
      <w:r w:rsidRPr="00D306DC">
        <w:rPr>
          <w:b/>
          <w:bCs/>
        </w:rPr>
        <w:lastRenderedPageBreak/>
        <w:t>Program:</w:t>
      </w:r>
      <w:r>
        <w:tab/>
        <w:t>Solomon Islands</w:t>
      </w:r>
    </w:p>
    <w:p w14:paraId="3173F2C2" w14:textId="77777777" w:rsidR="00AE36FF" w:rsidRDefault="00503F8C" w:rsidP="00AE36FF">
      <w:r>
        <w:rPr>
          <w:b/>
          <w:bCs/>
        </w:rPr>
        <w:t>Expected</w:t>
      </w:r>
      <w:r w:rsidR="00AE36FF" w:rsidRPr="00D306DC">
        <w:rPr>
          <w:b/>
          <w:bCs/>
        </w:rPr>
        <w:t xml:space="preserve"> evaluations:</w:t>
      </w:r>
      <w:r w:rsidR="00AE36FF">
        <w:tab/>
      </w:r>
      <w:r w:rsidR="006E7974">
        <w:t>3</w:t>
      </w:r>
    </w:p>
    <w:p w14:paraId="4834D352" w14:textId="77777777" w:rsidR="4A33EFFF" w:rsidRDefault="4A33EFFF" w:rsidP="0E1438BF">
      <w:pPr>
        <w:pStyle w:val="ListParagraph"/>
        <w:numPr>
          <w:ilvl w:val="0"/>
          <w:numId w:val="19"/>
        </w:numPr>
        <w:rPr>
          <w:rFonts w:eastAsiaTheme="minorEastAsia"/>
          <w:b w:val="0"/>
          <w:bCs w:val="0"/>
        </w:rPr>
      </w:pPr>
      <w:r w:rsidRPr="0E1438BF">
        <w:rPr>
          <w:b w:val="0"/>
          <w:bCs w:val="0"/>
        </w:rPr>
        <w:t>The Gizo Market Evaluation</w:t>
      </w:r>
    </w:p>
    <w:p w14:paraId="2D9BCF46" w14:textId="77777777" w:rsidR="00AC6696" w:rsidRPr="00AC6696" w:rsidRDefault="353B08EA" w:rsidP="00BD2E26">
      <w:pPr>
        <w:pStyle w:val="ListParagraph"/>
        <w:numPr>
          <w:ilvl w:val="0"/>
          <w:numId w:val="19"/>
        </w:numPr>
        <w:rPr>
          <w:b w:val="0"/>
          <w:bCs w:val="0"/>
        </w:rPr>
      </w:pPr>
      <w:r>
        <w:rPr>
          <w:b w:val="0"/>
          <w:bCs w:val="0"/>
        </w:rPr>
        <w:t>Mid Term Review of World Vision Australia Community Channels of Hope Solomon Islands Phase 3 (Solomon Islands)</w:t>
      </w:r>
    </w:p>
    <w:p w14:paraId="4D6B8C24" w14:textId="77777777" w:rsidR="69ED88B8" w:rsidRPr="00007547" w:rsidRDefault="6A319F48" w:rsidP="4820FE68">
      <w:pPr>
        <w:pStyle w:val="ListParagraph"/>
        <w:numPr>
          <w:ilvl w:val="0"/>
          <w:numId w:val="19"/>
        </w:numPr>
        <w:rPr>
          <w:rFonts w:eastAsiaTheme="minorEastAsia"/>
          <w:b w:val="0"/>
          <w:bCs w:val="0"/>
        </w:rPr>
      </w:pPr>
      <w:r w:rsidRPr="00007547">
        <w:rPr>
          <w:b w:val="0"/>
          <w:bCs w:val="0"/>
        </w:rPr>
        <w:t>Independent Review of Australia’s twinning arrangement and assistance to the Solomon Islands Ombudsman Office and Leadership Code Commission</w:t>
      </w:r>
    </w:p>
    <w:p w14:paraId="31EC2782" w14:textId="77777777" w:rsidR="00AC6696" w:rsidRDefault="00AC6696" w:rsidP="00AC6696">
      <w:pPr>
        <w:rPr>
          <w:b/>
          <w:bCs/>
        </w:rPr>
      </w:pPr>
    </w:p>
    <w:p w14:paraId="4BB46551" w14:textId="77777777" w:rsidR="00AC6696" w:rsidRPr="00AC6696" w:rsidRDefault="00AC6696" w:rsidP="00AC6696">
      <w:r>
        <w:rPr>
          <w:b/>
          <w:bCs/>
        </w:rPr>
        <w:t>Program:</w:t>
      </w:r>
      <w:r>
        <w:rPr>
          <w:b/>
          <w:bCs/>
        </w:rPr>
        <w:tab/>
      </w:r>
      <w:r w:rsidRPr="00AC6696">
        <w:t xml:space="preserve">Timor-Leste </w:t>
      </w:r>
    </w:p>
    <w:p w14:paraId="629FAC04" w14:textId="77777777" w:rsidR="00AC6696" w:rsidRDefault="00503F8C" w:rsidP="00AC6696">
      <w:r>
        <w:rPr>
          <w:b/>
          <w:bCs/>
        </w:rPr>
        <w:t>Expected</w:t>
      </w:r>
      <w:r w:rsidR="00AC6696" w:rsidRPr="00D306DC">
        <w:rPr>
          <w:b/>
          <w:bCs/>
        </w:rPr>
        <w:t xml:space="preserve"> evaluations:</w:t>
      </w:r>
      <w:r w:rsidR="00AC6696">
        <w:tab/>
        <w:t>2</w:t>
      </w:r>
    </w:p>
    <w:p w14:paraId="2296FC42" w14:textId="77777777" w:rsidR="00AC6696" w:rsidRDefault="353B08EA" w:rsidP="00BD2E26">
      <w:pPr>
        <w:pStyle w:val="ListParagraph"/>
        <w:numPr>
          <w:ilvl w:val="0"/>
          <w:numId w:val="21"/>
        </w:numPr>
        <w:rPr>
          <w:b w:val="0"/>
          <w:bCs w:val="0"/>
        </w:rPr>
      </w:pPr>
      <w:r>
        <w:rPr>
          <w:b w:val="0"/>
          <w:bCs w:val="0"/>
        </w:rPr>
        <w:t>Timor-Leste Police Development Program (TLPDP) Independent Evaluation</w:t>
      </w:r>
    </w:p>
    <w:p w14:paraId="15582B8C" w14:textId="77777777" w:rsidR="00AC6696" w:rsidRPr="00AC6696" w:rsidRDefault="353B08EA" w:rsidP="00BD2E26">
      <w:pPr>
        <w:pStyle w:val="ListParagraph"/>
        <w:numPr>
          <w:ilvl w:val="0"/>
          <w:numId w:val="21"/>
        </w:numPr>
        <w:rPr>
          <w:b w:val="0"/>
          <w:bCs w:val="0"/>
        </w:rPr>
      </w:pPr>
      <w:r>
        <w:rPr>
          <w:b w:val="0"/>
          <w:bCs w:val="0"/>
        </w:rPr>
        <w:t>Partnership for Human Development (PHD) Mid-Term Review</w:t>
      </w:r>
    </w:p>
    <w:p w14:paraId="728B5CD8" w14:textId="77777777" w:rsidR="008171AC" w:rsidRDefault="008171AC" w:rsidP="00125B6C">
      <w:pPr>
        <w:rPr>
          <w:b/>
          <w:bCs/>
        </w:rPr>
      </w:pPr>
    </w:p>
    <w:p w14:paraId="6775B324" w14:textId="77777777" w:rsidR="00125B6C" w:rsidRDefault="00125B6C" w:rsidP="00125B6C">
      <w:r w:rsidRPr="000263DE">
        <w:rPr>
          <w:b/>
          <w:bCs/>
        </w:rPr>
        <w:t>Program:</w:t>
      </w:r>
      <w:r>
        <w:tab/>
        <w:t>Vanuatu</w:t>
      </w:r>
    </w:p>
    <w:p w14:paraId="296662D7" w14:textId="77777777" w:rsidR="00125B6C" w:rsidRDefault="00503F8C" w:rsidP="00125B6C">
      <w:r>
        <w:rPr>
          <w:b/>
          <w:bCs/>
        </w:rPr>
        <w:t>Expected</w:t>
      </w:r>
      <w:r w:rsidR="00125B6C" w:rsidRPr="000263DE">
        <w:rPr>
          <w:b/>
          <w:bCs/>
        </w:rPr>
        <w:t xml:space="preserve"> evaluations:</w:t>
      </w:r>
      <w:r w:rsidR="00125B6C">
        <w:tab/>
        <w:t>1</w:t>
      </w:r>
    </w:p>
    <w:p w14:paraId="57EAA81F" w14:textId="77777777" w:rsidR="00125B6C" w:rsidRPr="00AC6696" w:rsidRDefault="3AA52D26" w:rsidP="00BD2E26">
      <w:pPr>
        <w:pStyle w:val="ListParagraph"/>
        <w:numPr>
          <w:ilvl w:val="0"/>
          <w:numId w:val="23"/>
        </w:numPr>
        <w:rPr>
          <w:b w:val="0"/>
          <w:bCs w:val="0"/>
        </w:rPr>
      </w:pPr>
      <w:r>
        <w:rPr>
          <w:b w:val="0"/>
          <w:bCs w:val="0"/>
        </w:rPr>
        <w:t>Mid-term Evaluation of the Governance for Growth Program</w:t>
      </w:r>
    </w:p>
    <w:p w14:paraId="60409B2E" w14:textId="77777777" w:rsidR="00125B6C" w:rsidRDefault="00125B6C" w:rsidP="00AE36FF">
      <w:pPr>
        <w:rPr>
          <w:b/>
          <w:bCs/>
        </w:rPr>
      </w:pPr>
    </w:p>
    <w:p w14:paraId="298E1F76" w14:textId="77777777" w:rsidR="00AE36FF" w:rsidRDefault="00AE36FF" w:rsidP="00AE36FF">
      <w:r w:rsidRPr="000263DE">
        <w:rPr>
          <w:b/>
          <w:bCs/>
        </w:rPr>
        <w:t>Program:</w:t>
      </w:r>
      <w:r>
        <w:tab/>
        <w:t>Fiji</w:t>
      </w:r>
    </w:p>
    <w:p w14:paraId="4C59ACFC" w14:textId="77777777" w:rsidR="00AE36FF" w:rsidRDefault="00503F8C" w:rsidP="00AE36FF">
      <w:r>
        <w:rPr>
          <w:b/>
          <w:bCs/>
        </w:rPr>
        <w:t>Expected</w:t>
      </w:r>
      <w:r w:rsidR="00AE36FF" w:rsidRPr="000263DE">
        <w:rPr>
          <w:b/>
          <w:bCs/>
        </w:rPr>
        <w:t xml:space="preserve"> evaluations:</w:t>
      </w:r>
      <w:r w:rsidR="00AE36FF">
        <w:tab/>
      </w:r>
      <w:r w:rsidR="00AC6696">
        <w:t>1</w:t>
      </w:r>
    </w:p>
    <w:p w14:paraId="274E2574" w14:textId="77777777" w:rsidR="00AE36FF" w:rsidRPr="00AC6696" w:rsidRDefault="353B08EA" w:rsidP="00BD2E26">
      <w:pPr>
        <w:pStyle w:val="ListParagraph"/>
        <w:numPr>
          <w:ilvl w:val="0"/>
          <w:numId w:val="20"/>
        </w:numPr>
        <w:rPr>
          <w:b w:val="0"/>
          <w:bCs w:val="0"/>
        </w:rPr>
      </w:pPr>
      <w:r>
        <w:rPr>
          <w:b w:val="0"/>
          <w:bCs w:val="0"/>
        </w:rPr>
        <w:t>Mid-Term Review of the Fiji Health Program</w:t>
      </w:r>
    </w:p>
    <w:p w14:paraId="7BFF87D0" w14:textId="77777777" w:rsidR="006E7974" w:rsidRDefault="006E7974" w:rsidP="00AC6696">
      <w:pPr>
        <w:rPr>
          <w:b/>
          <w:bCs/>
        </w:rPr>
      </w:pPr>
    </w:p>
    <w:p w14:paraId="150A2B01" w14:textId="77777777" w:rsidR="00AC6696" w:rsidRDefault="00AC6696" w:rsidP="00AC6696">
      <w:r w:rsidRPr="000263DE">
        <w:rPr>
          <w:b/>
          <w:bCs/>
        </w:rPr>
        <w:t>Program:</w:t>
      </w:r>
      <w:r>
        <w:tab/>
        <w:t>Samoa</w:t>
      </w:r>
    </w:p>
    <w:p w14:paraId="42208354" w14:textId="77777777" w:rsidR="00AC6696" w:rsidRDefault="00503F8C" w:rsidP="00AC6696">
      <w:r>
        <w:rPr>
          <w:b/>
          <w:bCs/>
        </w:rPr>
        <w:t>Expected</w:t>
      </w:r>
      <w:r w:rsidR="00AC6696" w:rsidRPr="000263DE">
        <w:rPr>
          <w:b/>
          <w:bCs/>
        </w:rPr>
        <w:t xml:space="preserve"> evaluations:</w:t>
      </w:r>
      <w:r w:rsidR="00AC6696">
        <w:tab/>
        <w:t>1</w:t>
      </w:r>
    </w:p>
    <w:p w14:paraId="745B0FAB" w14:textId="77777777" w:rsidR="00AC6696" w:rsidRDefault="353B08EA" w:rsidP="00BD2E26">
      <w:pPr>
        <w:pStyle w:val="ListParagraph"/>
        <w:numPr>
          <w:ilvl w:val="0"/>
          <w:numId w:val="22"/>
        </w:numPr>
        <w:rPr>
          <w:b w:val="0"/>
          <w:bCs w:val="0"/>
        </w:rPr>
      </w:pPr>
      <w:r>
        <w:rPr>
          <w:b w:val="0"/>
          <w:bCs w:val="0"/>
        </w:rPr>
        <w:t>Review of the Samoa Disability Partnership Program</w:t>
      </w:r>
    </w:p>
    <w:p w14:paraId="64751160" w14:textId="77777777" w:rsidR="00AC6696" w:rsidRDefault="00AC6696" w:rsidP="00AE36FF">
      <w:pPr>
        <w:rPr>
          <w:b/>
          <w:bCs/>
        </w:rPr>
      </w:pPr>
    </w:p>
    <w:p w14:paraId="7A286C42" w14:textId="77777777" w:rsidR="00AC6696" w:rsidRDefault="00AC6696" w:rsidP="00AC6696">
      <w:r w:rsidRPr="000263DE">
        <w:rPr>
          <w:b/>
          <w:bCs/>
        </w:rPr>
        <w:t>Program:</w:t>
      </w:r>
      <w:r>
        <w:tab/>
        <w:t>Nauru</w:t>
      </w:r>
    </w:p>
    <w:p w14:paraId="7BCE1EC0" w14:textId="77777777" w:rsidR="00AC6696" w:rsidRDefault="00503F8C" w:rsidP="00AC6696">
      <w:r>
        <w:rPr>
          <w:b/>
          <w:bCs/>
        </w:rPr>
        <w:t>Expected</w:t>
      </w:r>
      <w:r w:rsidR="00AC6696" w:rsidRPr="000263DE">
        <w:rPr>
          <w:b/>
          <w:bCs/>
        </w:rPr>
        <w:t xml:space="preserve"> evaluations:</w:t>
      </w:r>
      <w:r w:rsidR="00AC6696">
        <w:tab/>
        <w:t>1</w:t>
      </w:r>
    </w:p>
    <w:p w14:paraId="2D7EB8D7" w14:textId="77777777" w:rsidR="00AC6696" w:rsidRDefault="353B08EA" w:rsidP="00BD2E26">
      <w:pPr>
        <w:pStyle w:val="ListParagraph"/>
        <w:numPr>
          <w:ilvl w:val="0"/>
          <w:numId w:val="24"/>
        </w:numPr>
        <w:rPr>
          <w:b w:val="0"/>
          <w:bCs w:val="0"/>
        </w:rPr>
      </w:pPr>
      <w:r>
        <w:rPr>
          <w:b w:val="0"/>
          <w:bCs w:val="0"/>
        </w:rPr>
        <w:t>Identifying key barriers to achieving health program outcomes and lessons for program reform</w:t>
      </w:r>
    </w:p>
    <w:p w14:paraId="7185EB24" w14:textId="77777777" w:rsidR="006E7974" w:rsidRDefault="006E7974" w:rsidP="00125B6C">
      <w:pPr>
        <w:rPr>
          <w:b/>
          <w:bCs/>
        </w:rPr>
      </w:pPr>
    </w:p>
    <w:p w14:paraId="399AB884" w14:textId="77777777" w:rsidR="00125B6C" w:rsidRDefault="3AA52D26" w:rsidP="00125B6C">
      <w:r w:rsidRPr="4820FE68">
        <w:rPr>
          <w:b/>
          <w:bCs/>
        </w:rPr>
        <w:t>Program:</w:t>
      </w:r>
      <w:r w:rsidR="00125B6C">
        <w:tab/>
      </w:r>
      <w:r w:rsidRPr="0055149E">
        <w:t>Tonga</w:t>
      </w:r>
    </w:p>
    <w:p w14:paraId="7FA58447" w14:textId="77777777" w:rsidR="00125B6C" w:rsidRDefault="00503F8C" w:rsidP="00125B6C">
      <w:r w:rsidRPr="00503F8C">
        <w:rPr>
          <w:b/>
          <w:bCs/>
        </w:rPr>
        <w:t>Expected</w:t>
      </w:r>
      <w:r w:rsidR="00125B6C" w:rsidRPr="00503F8C">
        <w:rPr>
          <w:b/>
          <w:bCs/>
        </w:rPr>
        <w:t xml:space="preserve"> evaluations:</w:t>
      </w:r>
      <w:r w:rsidR="00125B6C" w:rsidRPr="00503F8C">
        <w:tab/>
        <w:t xml:space="preserve">1 </w:t>
      </w:r>
    </w:p>
    <w:p w14:paraId="0BD0A051" w14:textId="77777777" w:rsidR="00125B6C" w:rsidRDefault="0DAEA519" w:rsidP="00BD2E26">
      <w:pPr>
        <w:pStyle w:val="ListParagraph"/>
        <w:numPr>
          <w:ilvl w:val="0"/>
          <w:numId w:val="25"/>
        </w:numPr>
        <w:rPr>
          <w:b w:val="0"/>
          <w:bCs w:val="0"/>
        </w:rPr>
      </w:pPr>
      <w:r>
        <w:rPr>
          <w:b w:val="0"/>
          <w:bCs w:val="0"/>
        </w:rPr>
        <w:t xml:space="preserve">Evaluation of Outer Island Renewable Energy Program, Tonga Renewable </w:t>
      </w:r>
      <w:r w:rsidR="00DF4B43">
        <w:rPr>
          <w:b w:val="0"/>
          <w:bCs w:val="0"/>
        </w:rPr>
        <w:t>E</w:t>
      </w:r>
      <w:r>
        <w:rPr>
          <w:b w:val="0"/>
          <w:bCs w:val="0"/>
        </w:rPr>
        <w:t xml:space="preserve">nergy </w:t>
      </w:r>
      <w:proofErr w:type="gramStart"/>
      <w:r w:rsidR="00DF4B43">
        <w:rPr>
          <w:b w:val="0"/>
          <w:bCs w:val="0"/>
        </w:rPr>
        <w:t>P</w:t>
      </w:r>
      <w:r>
        <w:rPr>
          <w:b w:val="0"/>
          <w:bCs w:val="0"/>
        </w:rPr>
        <w:t>roject</w:t>
      </w:r>
      <w:proofErr w:type="gramEnd"/>
      <w:r>
        <w:rPr>
          <w:b w:val="0"/>
          <w:bCs w:val="0"/>
        </w:rPr>
        <w:t xml:space="preserve"> and Nuku'alofa Network Upgrade Project</w:t>
      </w:r>
    </w:p>
    <w:p w14:paraId="5DA2F51A" w14:textId="77777777" w:rsidR="00341216" w:rsidRDefault="00341216">
      <w:pPr>
        <w:suppressAutoHyphens w:val="0"/>
        <w:spacing w:before="0" w:after="120" w:line="440" w:lineRule="atLeast"/>
        <w:rPr>
          <w:rFonts w:asciiTheme="majorHAnsi" w:eastAsiaTheme="majorEastAsia" w:hAnsiTheme="majorHAnsi" w:cstheme="majorBidi"/>
          <w:bCs/>
          <w:caps/>
          <w:spacing w:val="-10"/>
          <w:kern w:val="28"/>
          <w:sz w:val="38"/>
          <w:szCs w:val="26"/>
        </w:rPr>
      </w:pPr>
      <w:r>
        <w:br w:type="page"/>
      </w:r>
    </w:p>
    <w:p w14:paraId="4FA1D0B1" w14:textId="77777777" w:rsidR="00AE36FF" w:rsidRDefault="00AE36FF" w:rsidP="000263DE">
      <w:pPr>
        <w:pStyle w:val="Heading2"/>
      </w:pPr>
      <w:r>
        <w:lastRenderedPageBreak/>
        <w:t>SOUTH EAST ASIA</w:t>
      </w:r>
    </w:p>
    <w:p w14:paraId="0DD005DF" w14:textId="77777777" w:rsidR="00AE36FF" w:rsidRDefault="00AE36FF" w:rsidP="00AE36FF">
      <w:r w:rsidRPr="000263DE">
        <w:rPr>
          <w:b/>
          <w:bCs/>
        </w:rPr>
        <w:t>Program:</w:t>
      </w:r>
      <w:r>
        <w:tab/>
        <w:t>Indonesia</w:t>
      </w:r>
    </w:p>
    <w:p w14:paraId="007E0140" w14:textId="77777777" w:rsidR="00AE36FF" w:rsidRDefault="00503F8C" w:rsidP="00AE36FF">
      <w:r>
        <w:rPr>
          <w:b/>
          <w:bCs/>
        </w:rPr>
        <w:t>Expected</w:t>
      </w:r>
      <w:r w:rsidR="00AE36FF" w:rsidRPr="000263DE">
        <w:rPr>
          <w:b/>
          <w:bCs/>
        </w:rPr>
        <w:t xml:space="preserve"> evaluations:</w:t>
      </w:r>
      <w:r w:rsidR="00AE36FF">
        <w:tab/>
        <w:t>4</w:t>
      </w:r>
    </w:p>
    <w:p w14:paraId="7D02A16E" w14:textId="77777777" w:rsidR="00F934A1" w:rsidRDefault="0DAEA519" w:rsidP="00BD2E26">
      <w:pPr>
        <w:pStyle w:val="ListParagraph"/>
        <w:numPr>
          <w:ilvl w:val="0"/>
          <w:numId w:val="26"/>
        </w:numPr>
        <w:rPr>
          <w:b w:val="0"/>
          <w:bCs w:val="0"/>
        </w:rPr>
      </w:pPr>
      <w:r>
        <w:rPr>
          <w:b w:val="0"/>
          <w:bCs w:val="0"/>
        </w:rPr>
        <w:t>Education Independent Strategic Review (INOVASI/UNICEF Papua)</w:t>
      </w:r>
    </w:p>
    <w:p w14:paraId="68F7E71B" w14:textId="77777777" w:rsidR="00F934A1" w:rsidRDefault="0DAEA519" w:rsidP="00BD2E26">
      <w:pPr>
        <w:pStyle w:val="ListParagraph"/>
        <w:numPr>
          <w:ilvl w:val="0"/>
          <w:numId w:val="26"/>
        </w:numPr>
        <w:rPr>
          <w:b w:val="0"/>
          <w:bCs w:val="0"/>
        </w:rPr>
      </w:pPr>
      <w:r>
        <w:rPr>
          <w:b w:val="0"/>
          <w:bCs w:val="0"/>
        </w:rPr>
        <w:t>Mid-Term Evaluation of the Australia World Bank Indonesia Partnership (ABIP)</w:t>
      </w:r>
    </w:p>
    <w:p w14:paraId="0969DCA4" w14:textId="77777777" w:rsidR="00F934A1" w:rsidRDefault="0DAEA519" w:rsidP="00BD2E26">
      <w:pPr>
        <w:pStyle w:val="ListParagraph"/>
        <w:numPr>
          <w:ilvl w:val="0"/>
          <w:numId w:val="26"/>
        </w:numPr>
        <w:rPr>
          <w:b w:val="0"/>
          <w:bCs w:val="0"/>
        </w:rPr>
      </w:pPr>
      <w:r>
        <w:rPr>
          <w:b w:val="0"/>
          <w:bCs w:val="0"/>
        </w:rPr>
        <w:t>Mid-Term Evaluation of the Australia Indonesia Partnership for Promoting Rural Incomes through Support for Markets in Agriculture (PRISMA 2)</w:t>
      </w:r>
    </w:p>
    <w:p w14:paraId="3D422D49" w14:textId="77777777" w:rsidR="00F934A1" w:rsidRDefault="0DAEA519" w:rsidP="00BD2E26">
      <w:pPr>
        <w:pStyle w:val="ListParagraph"/>
        <w:numPr>
          <w:ilvl w:val="0"/>
          <w:numId w:val="26"/>
        </w:numPr>
        <w:rPr>
          <w:b w:val="0"/>
          <w:bCs w:val="0"/>
        </w:rPr>
      </w:pPr>
      <w:r>
        <w:rPr>
          <w:b w:val="0"/>
          <w:bCs w:val="0"/>
        </w:rPr>
        <w:t>End of Program Review Australia Support to PAMSIMAS – Indonesia National Rural Water and Sanitation Services</w:t>
      </w:r>
    </w:p>
    <w:p w14:paraId="2ED01BB8" w14:textId="77777777" w:rsidR="00AE36FF" w:rsidRDefault="00AE36FF" w:rsidP="00AE36FF"/>
    <w:p w14:paraId="00C41F4A" w14:textId="77777777" w:rsidR="00AE36FF" w:rsidRDefault="00AE36FF" w:rsidP="00AE36FF">
      <w:r w:rsidRPr="000263DE">
        <w:rPr>
          <w:b/>
          <w:bCs/>
        </w:rPr>
        <w:t>Program:</w:t>
      </w:r>
      <w:r>
        <w:tab/>
        <w:t>Philippines</w:t>
      </w:r>
    </w:p>
    <w:p w14:paraId="7EF10B42" w14:textId="77777777" w:rsidR="00AE36FF" w:rsidRDefault="00503F8C" w:rsidP="00AE36FF">
      <w:r>
        <w:rPr>
          <w:b/>
          <w:bCs/>
        </w:rPr>
        <w:t>Expected</w:t>
      </w:r>
      <w:r w:rsidR="00AE36FF" w:rsidRPr="000263DE">
        <w:rPr>
          <w:b/>
          <w:bCs/>
        </w:rPr>
        <w:t xml:space="preserve"> evaluations:</w:t>
      </w:r>
      <w:r w:rsidR="00AE36FF">
        <w:tab/>
        <w:t>2</w:t>
      </w:r>
    </w:p>
    <w:p w14:paraId="0049D7B8" w14:textId="77777777" w:rsidR="00F934A1" w:rsidRDefault="0DAEA519" w:rsidP="00BD2E26">
      <w:pPr>
        <w:pStyle w:val="ListParagraph"/>
        <w:numPr>
          <w:ilvl w:val="0"/>
          <w:numId w:val="27"/>
        </w:numPr>
        <w:rPr>
          <w:b w:val="0"/>
          <w:bCs w:val="0"/>
        </w:rPr>
      </w:pPr>
      <w:r>
        <w:rPr>
          <w:b w:val="0"/>
          <w:bCs w:val="0"/>
        </w:rPr>
        <w:t xml:space="preserve">Mid-Term Review </w:t>
      </w:r>
      <w:proofErr w:type="spellStart"/>
      <w:r>
        <w:rPr>
          <w:b w:val="0"/>
          <w:bCs w:val="0"/>
        </w:rPr>
        <w:t>SaferKidsPH</w:t>
      </w:r>
      <w:proofErr w:type="spellEnd"/>
    </w:p>
    <w:p w14:paraId="2BE56CB6" w14:textId="77777777" w:rsidR="00F934A1" w:rsidRDefault="0DAEA519" w:rsidP="00BD2E26">
      <w:pPr>
        <w:pStyle w:val="ListParagraph"/>
        <w:numPr>
          <w:ilvl w:val="0"/>
          <w:numId w:val="27"/>
        </w:numPr>
        <w:rPr>
          <w:b w:val="0"/>
          <w:bCs w:val="0"/>
        </w:rPr>
      </w:pPr>
      <w:r>
        <w:rPr>
          <w:b w:val="0"/>
          <w:bCs w:val="0"/>
        </w:rPr>
        <w:t>Mid-Term review of the Australia-World Bank Growth and Prosperity in the Philippines Single-Donor Trust Fund (</w:t>
      </w:r>
      <w:proofErr w:type="spellStart"/>
      <w:r>
        <w:rPr>
          <w:b w:val="0"/>
          <w:bCs w:val="0"/>
        </w:rPr>
        <w:t>AGaP</w:t>
      </w:r>
      <w:proofErr w:type="spellEnd"/>
      <w:r>
        <w:rPr>
          <w:b w:val="0"/>
          <w:bCs w:val="0"/>
        </w:rPr>
        <w:t>)</w:t>
      </w:r>
    </w:p>
    <w:p w14:paraId="1B8844CF" w14:textId="77777777" w:rsidR="00AE36FF" w:rsidRDefault="00AE36FF" w:rsidP="00AE36FF"/>
    <w:p w14:paraId="55C46E06" w14:textId="77777777" w:rsidR="00F934A1" w:rsidRDefault="00F934A1" w:rsidP="00F934A1">
      <w:r w:rsidRPr="000263DE">
        <w:rPr>
          <w:b/>
          <w:bCs/>
        </w:rPr>
        <w:t>Program:</w:t>
      </w:r>
      <w:r>
        <w:tab/>
        <w:t>Vietnam</w:t>
      </w:r>
    </w:p>
    <w:p w14:paraId="6BBDB830" w14:textId="77777777" w:rsidR="00F934A1" w:rsidRDefault="00503F8C" w:rsidP="00F934A1">
      <w:r>
        <w:rPr>
          <w:b/>
          <w:bCs/>
        </w:rPr>
        <w:t>Expected</w:t>
      </w:r>
      <w:r w:rsidR="00F934A1" w:rsidRPr="000263DE">
        <w:rPr>
          <w:b/>
          <w:bCs/>
        </w:rPr>
        <w:t xml:space="preserve"> evaluations:</w:t>
      </w:r>
      <w:r w:rsidR="00F934A1">
        <w:tab/>
        <w:t>2</w:t>
      </w:r>
    </w:p>
    <w:p w14:paraId="68500BBC" w14:textId="77777777" w:rsidR="00F934A1" w:rsidRPr="00247E6A" w:rsidRDefault="0DAEA519" w:rsidP="1E30DDE3">
      <w:pPr>
        <w:pStyle w:val="ListParagraph"/>
        <w:numPr>
          <w:ilvl w:val="0"/>
          <w:numId w:val="28"/>
        </w:numPr>
        <w:rPr>
          <w:b w:val="0"/>
          <w:bCs w:val="0"/>
        </w:rPr>
      </w:pPr>
      <w:r>
        <w:rPr>
          <w:b w:val="0"/>
          <w:bCs w:val="0"/>
        </w:rPr>
        <w:t>Aus4</w:t>
      </w:r>
      <w:r w:rsidR="00A9094B">
        <w:rPr>
          <w:b w:val="0"/>
          <w:bCs w:val="0"/>
        </w:rPr>
        <w:t>Reform</w:t>
      </w:r>
      <w:r>
        <w:rPr>
          <w:b w:val="0"/>
          <w:bCs w:val="0"/>
        </w:rPr>
        <w:t xml:space="preserve"> Mid-Term Review </w:t>
      </w:r>
    </w:p>
    <w:p w14:paraId="61DF26B4" w14:textId="77777777" w:rsidR="00F934A1" w:rsidRDefault="0DAEA519" w:rsidP="00BD2E26">
      <w:pPr>
        <w:pStyle w:val="ListParagraph"/>
        <w:numPr>
          <w:ilvl w:val="0"/>
          <w:numId w:val="28"/>
        </w:numPr>
        <w:rPr>
          <w:b w:val="0"/>
          <w:bCs w:val="0"/>
        </w:rPr>
      </w:pPr>
      <w:r>
        <w:rPr>
          <w:b w:val="0"/>
          <w:bCs w:val="0"/>
        </w:rPr>
        <w:t xml:space="preserve">Aus4Innovation Independent Review </w:t>
      </w:r>
    </w:p>
    <w:p w14:paraId="48DCA773" w14:textId="77777777" w:rsidR="00F934A1" w:rsidRDefault="00F934A1" w:rsidP="00AE36FF">
      <w:pPr>
        <w:rPr>
          <w:b/>
          <w:bCs/>
        </w:rPr>
      </w:pPr>
    </w:p>
    <w:p w14:paraId="5410BB5F" w14:textId="77777777" w:rsidR="00AE36FF" w:rsidRDefault="00AE36FF" w:rsidP="00AE36FF">
      <w:r w:rsidRPr="000263DE">
        <w:rPr>
          <w:b/>
          <w:bCs/>
        </w:rPr>
        <w:t>Program:</w:t>
      </w:r>
      <w:r>
        <w:tab/>
        <w:t>Cambodia</w:t>
      </w:r>
    </w:p>
    <w:p w14:paraId="20F10820" w14:textId="77777777" w:rsidR="00AE36FF" w:rsidRDefault="00503F8C" w:rsidP="00AE36FF">
      <w:r>
        <w:rPr>
          <w:b/>
          <w:bCs/>
        </w:rPr>
        <w:t>Expected</w:t>
      </w:r>
      <w:r w:rsidR="00AE36FF" w:rsidRPr="000263DE">
        <w:rPr>
          <w:b/>
          <w:bCs/>
        </w:rPr>
        <w:t xml:space="preserve"> evaluations:</w:t>
      </w:r>
      <w:r w:rsidR="00AE36FF">
        <w:tab/>
      </w:r>
      <w:r>
        <w:t>2</w:t>
      </w:r>
    </w:p>
    <w:p w14:paraId="59D17A95" w14:textId="77777777" w:rsidR="00F934A1" w:rsidRDefault="0DAEA519" w:rsidP="00BD2E26">
      <w:pPr>
        <w:pStyle w:val="ListParagraph"/>
        <w:numPr>
          <w:ilvl w:val="0"/>
          <w:numId w:val="29"/>
        </w:numPr>
        <w:rPr>
          <w:b w:val="0"/>
          <w:bCs w:val="0"/>
        </w:rPr>
      </w:pPr>
      <w:r>
        <w:rPr>
          <w:b w:val="0"/>
          <w:bCs w:val="0"/>
        </w:rPr>
        <w:t>Final Review of the Australia-Cambodia Cooperation for Equitable and Sustainable Services (ACCESS)</w:t>
      </w:r>
    </w:p>
    <w:p w14:paraId="5458807E" w14:textId="77777777" w:rsidR="00F934A1" w:rsidRDefault="0DAEA519" w:rsidP="00BD2E26">
      <w:pPr>
        <w:pStyle w:val="ListParagraph"/>
        <w:numPr>
          <w:ilvl w:val="0"/>
          <w:numId w:val="29"/>
        </w:numPr>
        <w:rPr>
          <w:b w:val="0"/>
          <w:bCs w:val="0"/>
        </w:rPr>
      </w:pPr>
      <w:r>
        <w:rPr>
          <w:b w:val="0"/>
          <w:bCs w:val="0"/>
        </w:rPr>
        <w:t>H-EQIP End of Project Evaluation</w:t>
      </w:r>
    </w:p>
    <w:p w14:paraId="62463DDC" w14:textId="77777777" w:rsidR="00A63E96" w:rsidRDefault="00A63E96" w:rsidP="00AE36FF">
      <w:pPr>
        <w:rPr>
          <w:b/>
          <w:bCs/>
        </w:rPr>
      </w:pPr>
    </w:p>
    <w:p w14:paraId="3BC003D4" w14:textId="77777777" w:rsidR="00F934A1" w:rsidRDefault="00F934A1" w:rsidP="00F934A1">
      <w:r w:rsidRPr="000263DE">
        <w:rPr>
          <w:b/>
          <w:bCs/>
        </w:rPr>
        <w:t>Program:</w:t>
      </w:r>
      <w:r>
        <w:tab/>
        <w:t>ASEAN and Mekong</w:t>
      </w:r>
    </w:p>
    <w:p w14:paraId="505FACDD" w14:textId="77777777" w:rsidR="00F934A1" w:rsidRDefault="00503F8C" w:rsidP="00F934A1">
      <w:r>
        <w:rPr>
          <w:b/>
          <w:bCs/>
        </w:rPr>
        <w:t>Expected</w:t>
      </w:r>
      <w:r w:rsidR="00F934A1" w:rsidRPr="000263DE">
        <w:rPr>
          <w:b/>
          <w:bCs/>
        </w:rPr>
        <w:t xml:space="preserve"> evaluations:</w:t>
      </w:r>
      <w:r w:rsidR="00F934A1">
        <w:tab/>
      </w:r>
      <w:r>
        <w:t>3</w:t>
      </w:r>
    </w:p>
    <w:p w14:paraId="017773C1" w14:textId="77777777" w:rsidR="00F934A1" w:rsidRDefault="0DAEA519" w:rsidP="00BD2E26">
      <w:pPr>
        <w:pStyle w:val="ListParagraph"/>
        <w:numPr>
          <w:ilvl w:val="0"/>
          <w:numId w:val="30"/>
        </w:numPr>
        <w:rPr>
          <w:b w:val="0"/>
          <w:bCs w:val="0"/>
        </w:rPr>
      </w:pPr>
      <w:r>
        <w:rPr>
          <w:b w:val="0"/>
          <w:bCs w:val="0"/>
        </w:rPr>
        <w:t xml:space="preserve">Mid-Term Evaluation of ASEAN-Australia Digital Trade Standards (DTS) Initiative </w:t>
      </w:r>
    </w:p>
    <w:p w14:paraId="5EA061F1" w14:textId="77777777" w:rsidR="00F934A1" w:rsidRDefault="0DAEA519" w:rsidP="00BD2E26">
      <w:pPr>
        <w:pStyle w:val="ListParagraph"/>
        <w:numPr>
          <w:ilvl w:val="0"/>
          <w:numId w:val="30"/>
        </w:numPr>
        <w:rPr>
          <w:b w:val="0"/>
          <w:bCs w:val="0"/>
        </w:rPr>
      </w:pPr>
      <w:r>
        <w:rPr>
          <w:b w:val="0"/>
          <w:bCs w:val="0"/>
        </w:rPr>
        <w:t>Mid-Term Evaluation of ASEAN-Australia Counter Trafficking (ASEAN-ACT)</w:t>
      </w:r>
    </w:p>
    <w:p w14:paraId="49DA488C" w14:textId="77777777" w:rsidR="00F934A1" w:rsidRDefault="0DAEA519" w:rsidP="00BD2E26">
      <w:pPr>
        <w:pStyle w:val="ListParagraph"/>
        <w:numPr>
          <w:ilvl w:val="0"/>
          <w:numId w:val="30"/>
        </w:numPr>
        <w:rPr>
          <w:b w:val="0"/>
          <w:bCs w:val="0"/>
        </w:rPr>
      </w:pPr>
      <w:r>
        <w:rPr>
          <w:b w:val="0"/>
          <w:bCs w:val="0"/>
        </w:rPr>
        <w:t>Mid-Term Evaluation of ASEAN-Australia Smart Cities Trust Fund</w:t>
      </w:r>
    </w:p>
    <w:p w14:paraId="561DFAAD" w14:textId="77777777" w:rsidR="00212273" w:rsidRDefault="00212273">
      <w:pPr>
        <w:suppressAutoHyphens w:val="0"/>
        <w:spacing w:before="0" w:after="120" w:line="440" w:lineRule="atLeast"/>
        <w:rPr>
          <w:b/>
          <w:bCs/>
        </w:rPr>
      </w:pPr>
    </w:p>
    <w:p w14:paraId="57269431" w14:textId="77777777" w:rsidR="00BD2E26" w:rsidRDefault="00BD2E26" w:rsidP="00BD2E26">
      <w:r w:rsidRPr="000263DE">
        <w:rPr>
          <w:b/>
          <w:bCs/>
        </w:rPr>
        <w:t>Program:</w:t>
      </w:r>
      <w:r>
        <w:tab/>
        <w:t>Lao</w:t>
      </w:r>
      <w:r w:rsidR="008B2FE5">
        <w:t>s</w:t>
      </w:r>
    </w:p>
    <w:p w14:paraId="7E0FF15E" w14:textId="77777777" w:rsidR="00BD2E26" w:rsidRDefault="00503F8C" w:rsidP="00BD2E26">
      <w:r>
        <w:rPr>
          <w:b/>
          <w:bCs/>
        </w:rPr>
        <w:t>Expected</w:t>
      </w:r>
      <w:r w:rsidR="00BD2E26" w:rsidRPr="000263DE">
        <w:rPr>
          <w:b/>
          <w:bCs/>
        </w:rPr>
        <w:t xml:space="preserve"> evaluations:</w:t>
      </w:r>
      <w:r w:rsidR="00BD2E26">
        <w:tab/>
      </w:r>
      <w:r>
        <w:t>2</w:t>
      </w:r>
    </w:p>
    <w:p w14:paraId="44AB8D9F" w14:textId="77777777" w:rsidR="00BD2E26" w:rsidRDefault="761DE3B2" w:rsidP="00BD2E26">
      <w:pPr>
        <w:pStyle w:val="ListParagraph"/>
        <w:numPr>
          <w:ilvl w:val="0"/>
          <w:numId w:val="31"/>
        </w:numPr>
        <w:rPr>
          <w:b w:val="0"/>
          <w:bCs w:val="0"/>
        </w:rPr>
      </w:pPr>
      <w:r>
        <w:rPr>
          <w:b w:val="0"/>
          <w:bCs w:val="0"/>
        </w:rPr>
        <w:t>Mid-Term Evaluation of Oxfam's Inclusion Project II</w:t>
      </w:r>
    </w:p>
    <w:p w14:paraId="0464EAF3" w14:textId="77777777" w:rsidR="00BD2E26" w:rsidRDefault="761DE3B2" w:rsidP="00BD2E26">
      <w:pPr>
        <w:pStyle w:val="ListParagraph"/>
        <w:numPr>
          <w:ilvl w:val="0"/>
          <w:numId w:val="31"/>
        </w:numPr>
        <w:rPr>
          <w:b w:val="0"/>
          <w:bCs w:val="0"/>
        </w:rPr>
      </w:pPr>
      <w:r>
        <w:rPr>
          <w:b w:val="0"/>
          <w:bCs w:val="0"/>
        </w:rPr>
        <w:t>Lao PDR teacher evaluation study qualitative case study</w:t>
      </w:r>
    </w:p>
    <w:p w14:paraId="2E962C1E" w14:textId="77777777" w:rsidR="00341216" w:rsidRDefault="00341216">
      <w:pPr>
        <w:suppressAutoHyphens w:val="0"/>
        <w:spacing w:before="0" w:after="120" w:line="440" w:lineRule="atLeast"/>
        <w:rPr>
          <w:rFonts w:asciiTheme="majorHAnsi" w:eastAsiaTheme="majorEastAsia" w:hAnsiTheme="majorHAnsi" w:cstheme="majorBidi"/>
          <w:bCs/>
          <w:caps/>
          <w:spacing w:val="-10"/>
          <w:kern w:val="28"/>
          <w:sz w:val="38"/>
          <w:szCs w:val="26"/>
        </w:rPr>
      </w:pPr>
      <w:r>
        <w:br w:type="page"/>
      </w:r>
    </w:p>
    <w:p w14:paraId="52274B72" w14:textId="77777777" w:rsidR="00AE36FF" w:rsidRDefault="00AE36FF" w:rsidP="000263DE">
      <w:pPr>
        <w:pStyle w:val="Heading2"/>
      </w:pPr>
      <w:r>
        <w:lastRenderedPageBreak/>
        <w:t>SOUTH AND WEST ASIA</w:t>
      </w:r>
    </w:p>
    <w:p w14:paraId="4886385E" w14:textId="77777777" w:rsidR="00AE36FF" w:rsidRDefault="00AE36FF" w:rsidP="00AE36FF">
      <w:r w:rsidRPr="000263DE">
        <w:rPr>
          <w:b/>
          <w:bCs/>
        </w:rPr>
        <w:t>Program:</w:t>
      </w:r>
      <w:r>
        <w:tab/>
        <w:t>Afghanistan</w:t>
      </w:r>
    </w:p>
    <w:p w14:paraId="602D53D3" w14:textId="77777777" w:rsidR="00AE36FF" w:rsidRDefault="00503F8C" w:rsidP="00AE36FF">
      <w:r>
        <w:rPr>
          <w:b/>
          <w:bCs/>
        </w:rPr>
        <w:t>Expected</w:t>
      </w:r>
      <w:r w:rsidR="00AE36FF" w:rsidRPr="000263DE">
        <w:rPr>
          <w:b/>
          <w:bCs/>
        </w:rPr>
        <w:t xml:space="preserve"> evaluations:</w:t>
      </w:r>
      <w:r w:rsidR="00AE36FF">
        <w:tab/>
      </w:r>
      <w:r>
        <w:t>1</w:t>
      </w:r>
    </w:p>
    <w:p w14:paraId="45F5B226" w14:textId="77777777" w:rsidR="00AE36FF" w:rsidRDefault="6D6C6CA4" w:rsidP="00BD2E26">
      <w:pPr>
        <w:pStyle w:val="ListParagraph"/>
        <w:numPr>
          <w:ilvl w:val="0"/>
          <w:numId w:val="12"/>
        </w:numPr>
        <w:rPr>
          <w:b w:val="0"/>
          <w:bCs w:val="0"/>
        </w:rPr>
      </w:pPr>
      <w:r>
        <w:rPr>
          <w:b w:val="0"/>
          <w:bCs w:val="0"/>
        </w:rPr>
        <w:t>Mid-Term Review of the Afghanistan Ending Violence Against Women – Phase 2</w:t>
      </w:r>
    </w:p>
    <w:p w14:paraId="7DC0363D" w14:textId="77777777" w:rsidR="00AE36FF" w:rsidRDefault="00AE36FF" w:rsidP="00AE36FF"/>
    <w:p w14:paraId="51EDCB94" w14:textId="77777777" w:rsidR="00AE36FF" w:rsidRDefault="00AE36FF" w:rsidP="00AE36FF">
      <w:r w:rsidRPr="000263DE">
        <w:rPr>
          <w:b/>
          <w:bCs/>
        </w:rPr>
        <w:t>Program:</w:t>
      </w:r>
      <w:r>
        <w:tab/>
        <w:t>Bangladesh</w:t>
      </w:r>
    </w:p>
    <w:p w14:paraId="2AA7CBB4" w14:textId="77777777" w:rsidR="00AE36FF" w:rsidRDefault="00503F8C" w:rsidP="00AE36FF">
      <w:r>
        <w:rPr>
          <w:b/>
          <w:bCs/>
        </w:rPr>
        <w:t>Expected</w:t>
      </w:r>
      <w:r w:rsidR="00AE36FF" w:rsidRPr="000263DE">
        <w:rPr>
          <w:b/>
          <w:bCs/>
        </w:rPr>
        <w:t xml:space="preserve"> evaluations:</w:t>
      </w:r>
      <w:r w:rsidR="00AE36FF">
        <w:tab/>
        <w:t>1</w:t>
      </w:r>
    </w:p>
    <w:p w14:paraId="023E7131" w14:textId="77777777" w:rsidR="00AE36FF" w:rsidRPr="00424AC3" w:rsidRDefault="6D6C6CA4" w:rsidP="00BD2E26">
      <w:pPr>
        <w:pStyle w:val="ListParagraph"/>
        <w:numPr>
          <w:ilvl w:val="0"/>
          <w:numId w:val="13"/>
        </w:numPr>
        <w:rPr>
          <w:b w:val="0"/>
          <w:bCs w:val="0"/>
        </w:rPr>
      </w:pPr>
      <w:r>
        <w:rPr>
          <w:b w:val="0"/>
          <w:bCs w:val="0"/>
        </w:rPr>
        <w:t>Program Completion Review of the Strategic Partnership Arrangement, Phase II</w:t>
      </w:r>
    </w:p>
    <w:p w14:paraId="30890C24" w14:textId="77777777" w:rsidR="00AE36FF" w:rsidRDefault="00AE36FF" w:rsidP="00AE36FF"/>
    <w:p w14:paraId="14A3826C" w14:textId="77777777" w:rsidR="00AE36FF" w:rsidRPr="00424AC3" w:rsidRDefault="00AE36FF" w:rsidP="00AE36FF">
      <w:r w:rsidRPr="00424AC3">
        <w:rPr>
          <w:b/>
          <w:bCs/>
        </w:rPr>
        <w:t>Program:</w:t>
      </w:r>
      <w:r w:rsidRPr="00424AC3">
        <w:tab/>
      </w:r>
      <w:r w:rsidR="00BD2E26" w:rsidRPr="00424AC3">
        <w:t>Sri Lanka</w:t>
      </w:r>
    </w:p>
    <w:p w14:paraId="5FCF1C55" w14:textId="77777777" w:rsidR="00AE36FF" w:rsidRPr="00424AC3" w:rsidRDefault="00503F8C" w:rsidP="00AE36FF">
      <w:r w:rsidRPr="00503F8C">
        <w:rPr>
          <w:b/>
          <w:bCs/>
        </w:rPr>
        <w:t>Expected</w:t>
      </w:r>
      <w:r w:rsidR="00AE36FF" w:rsidRPr="00503F8C">
        <w:rPr>
          <w:b/>
          <w:bCs/>
        </w:rPr>
        <w:t xml:space="preserve"> evaluations:</w:t>
      </w:r>
      <w:r w:rsidR="00AE36FF" w:rsidRPr="00503F8C">
        <w:tab/>
        <w:t>1</w:t>
      </w:r>
      <w:r w:rsidR="00BD2E26" w:rsidRPr="00503F8C">
        <w:t xml:space="preserve"> </w:t>
      </w:r>
    </w:p>
    <w:p w14:paraId="277EE470" w14:textId="77777777" w:rsidR="00424AC3" w:rsidRPr="00424AC3" w:rsidRDefault="3DDF94E5" w:rsidP="00A63E96">
      <w:pPr>
        <w:pStyle w:val="ListParagraph"/>
        <w:numPr>
          <w:ilvl w:val="0"/>
          <w:numId w:val="36"/>
        </w:numPr>
        <w:rPr>
          <w:b w:val="0"/>
          <w:bCs w:val="0"/>
        </w:rPr>
      </w:pPr>
      <w:r>
        <w:rPr>
          <w:b w:val="0"/>
          <w:bCs w:val="0"/>
        </w:rPr>
        <w:t xml:space="preserve">Independent Evaluation of </w:t>
      </w:r>
      <w:r w:rsidR="1F2BF7C3">
        <w:rPr>
          <w:b w:val="0"/>
          <w:bCs w:val="0"/>
        </w:rPr>
        <w:t xml:space="preserve">Women </w:t>
      </w:r>
      <w:r w:rsidR="2212254F">
        <w:rPr>
          <w:b w:val="0"/>
          <w:bCs w:val="0"/>
        </w:rPr>
        <w:t>i</w:t>
      </w:r>
      <w:r w:rsidR="1F2BF7C3">
        <w:rPr>
          <w:b w:val="0"/>
          <w:bCs w:val="0"/>
        </w:rPr>
        <w:t>n Work Program (IFC)</w:t>
      </w:r>
    </w:p>
    <w:p w14:paraId="4A0E6452" w14:textId="77777777" w:rsidR="00AE36FF" w:rsidRDefault="00AE36FF" w:rsidP="000263DE">
      <w:pPr>
        <w:pStyle w:val="Heading2"/>
      </w:pPr>
      <w:r>
        <w:t>GLOBAL PROGRAM</w:t>
      </w:r>
      <w:r w:rsidR="006E7974">
        <w:t>S</w:t>
      </w:r>
      <w:r w:rsidR="00207A9D">
        <w:t xml:space="preserve"> </w:t>
      </w:r>
    </w:p>
    <w:p w14:paraId="252B6A25" w14:textId="77777777" w:rsidR="006E7974" w:rsidRDefault="006E7974" w:rsidP="006E7974">
      <w:pPr>
        <w:rPr>
          <w:b/>
          <w:bCs/>
        </w:rPr>
      </w:pPr>
    </w:p>
    <w:p w14:paraId="0D93C471" w14:textId="77777777" w:rsidR="006E7974" w:rsidRDefault="006E7974" w:rsidP="006E7974">
      <w:r w:rsidRPr="000263DE">
        <w:rPr>
          <w:b/>
          <w:bCs/>
        </w:rPr>
        <w:t>Program:</w:t>
      </w:r>
      <w:r>
        <w:tab/>
        <w:t xml:space="preserve">Humanitarian response, </w:t>
      </w:r>
      <w:proofErr w:type="gramStart"/>
      <w:r>
        <w:t>risk</w:t>
      </w:r>
      <w:proofErr w:type="gramEnd"/>
      <w:r>
        <w:t xml:space="preserve"> and recovery</w:t>
      </w:r>
    </w:p>
    <w:p w14:paraId="78E3E2F6" w14:textId="77777777" w:rsidR="006E7974" w:rsidRDefault="00503F8C" w:rsidP="006E7974">
      <w:r>
        <w:rPr>
          <w:b/>
          <w:bCs/>
        </w:rPr>
        <w:t>Expected</w:t>
      </w:r>
      <w:r w:rsidR="006E7974" w:rsidRPr="000263DE">
        <w:rPr>
          <w:b/>
          <w:bCs/>
        </w:rPr>
        <w:t xml:space="preserve"> evaluations:</w:t>
      </w:r>
      <w:r w:rsidR="006E7974">
        <w:tab/>
        <w:t>2</w:t>
      </w:r>
    </w:p>
    <w:p w14:paraId="5986F53F" w14:textId="77777777" w:rsidR="006E7974" w:rsidRDefault="0B27D70E" w:rsidP="006E7974">
      <w:pPr>
        <w:pStyle w:val="ListParagraph"/>
        <w:numPr>
          <w:ilvl w:val="0"/>
          <w:numId w:val="35"/>
        </w:numPr>
        <w:rPr>
          <w:b w:val="0"/>
          <w:bCs w:val="0"/>
        </w:rPr>
      </w:pPr>
      <w:r>
        <w:rPr>
          <w:b w:val="0"/>
          <w:bCs w:val="0"/>
        </w:rPr>
        <w:t>Australia Assists End of Program Review</w:t>
      </w:r>
    </w:p>
    <w:p w14:paraId="297B51B9" w14:textId="77777777" w:rsidR="006E7974" w:rsidRDefault="0B27D70E" w:rsidP="006E7974">
      <w:pPr>
        <w:pStyle w:val="ListParagraph"/>
        <w:numPr>
          <w:ilvl w:val="0"/>
          <w:numId w:val="35"/>
        </w:numPr>
        <w:rPr>
          <w:b w:val="0"/>
          <w:bCs w:val="0"/>
        </w:rPr>
      </w:pPr>
      <w:r>
        <w:rPr>
          <w:b w:val="0"/>
          <w:bCs w:val="0"/>
        </w:rPr>
        <w:t>Humanitarian Logistics Capability Evaluation</w:t>
      </w:r>
    </w:p>
    <w:p w14:paraId="7AFAE5E5" w14:textId="77777777" w:rsidR="006E7974" w:rsidRDefault="006E7974" w:rsidP="4820FE68"/>
    <w:p w14:paraId="06526B2B" w14:textId="77777777" w:rsidR="00AE36FF" w:rsidRDefault="00AE36FF" w:rsidP="00AE36FF">
      <w:r w:rsidRPr="000263DE">
        <w:rPr>
          <w:b/>
          <w:bCs/>
        </w:rPr>
        <w:t>Program:</w:t>
      </w:r>
      <w:r>
        <w:tab/>
      </w:r>
      <w:r w:rsidR="00BD2E26">
        <w:t>Global NGO Programs</w:t>
      </w:r>
    </w:p>
    <w:p w14:paraId="22E61688" w14:textId="77777777" w:rsidR="00AE36FF" w:rsidRDefault="00503F8C" w:rsidP="00AE36FF">
      <w:r w:rsidRPr="00503F8C">
        <w:rPr>
          <w:b/>
          <w:bCs/>
        </w:rPr>
        <w:t>Expected</w:t>
      </w:r>
      <w:r w:rsidR="00AE36FF" w:rsidRPr="00503F8C">
        <w:rPr>
          <w:b/>
          <w:bCs/>
        </w:rPr>
        <w:t xml:space="preserve"> evaluations:</w:t>
      </w:r>
      <w:r w:rsidR="00AE36FF" w:rsidRPr="00503F8C">
        <w:tab/>
        <w:t xml:space="preserve">1 </w:t>
      </w:r>
    </w:p>
    <w:p w14:paraId="6FFB24F0" w14:textId="77777777" w:rsidR="004C49F8" w:rsidRDefault="761DE3B2" w:rsidP="006E7974">
      <w:pPr>
        <w:pStyle w:val="ListParagraph"/>
        <w:numPr>
          <w:ilvl w:val="0"/>
          <w:numId w:val="32"/>
        </w:numPr>
        <w:spacing w:after="120" w:line="440" w:lineRule="atLeast"/>
        <w:rPr>
          <w:b w:val="0"/>
          <w:bCs w:val="0"/>
        </w:rPr>
      </w:pPr>
      <w:r>
        <w:rPr>
          <w:b w:val="0"/>
          <w:bCs w:val="0"/>
        </w:rPr>
        <w:t>Independent Evaluation</w:t>
      </w:r>
      <w:r w:rsidR="00B2249F">
        <w:rPr>
          <w:b w:val="0"/>
          <w:bCs w:val="0"/>
        </w:rPr>
        <w:t xml:space="preserve"> of the Australian NGO </w:t>
      </w:r>
      <w:r w:rsidR="00A768D5">
        <w:rPr>
          <w:b w:val="0"/>
          <w:bCs w:val="0"/>
        </w:rPr>
        <w:t>Cooperation Program (ANCP)</w:t>
      </w:r>
    </w:p>
    <w:p w14:paraId="10C4FA9C" w14:textId="77777777" w:rsidR="00AE36FF" w:rsidRDefault="00AE36FF" w:rsidP="004C49F8">
      <w:pPr>
        <w:pStyle w:val="Heading2"/>
      </w:pPr>
      <w:r>
        <w:t>SECTOR PROGRAM</w:t>
      </w:r>
      <w:r w:rsidR="006E7974">
        <w:t>S</w:t>
      </w:r>
    </w:p>
    <w:p w14:paraId="6FCEEA0B" w14:textId="77777777" w:rsidR="00AE36FF" w:rsidRDefault="00AE36FF" w:rsidP="00AE36FF"/>
    <w:p w14:paraId="6FF58AC0" w14:textId="77777777" w:rsidR="00AE36FF" w:rsidRDefault="00AE36FF" w:rsidP="00AE36FF">
      <w:r w:rsidRPr="004C49F8">
        <w:rPr>
          <w:b/>
          <w:bCs/>
        </w:rPr>
        <w:t>Program:</w:t>
      </w:r>
      <w:r>
        <w:tab/>
        <w:t>Health</w:t>
      </w:r>
    </w:p>
    <w:p w14:paraId="39D8D12D" w14:textId="77777777" w:rsidR="00AE36FF" w:rsidRDefault="00503F8C" w:rsidP="00AE36FF">
      <w:r>
        <w:rPr>
          <w:b/>
          <w:bCs/>
        </w:rPr>
        <w:t>Expected</w:t>
      </w:r>
      <w:r w:rsidR="00AE36FF" w:rsidRPr="004C49F8">
        <w:rPr>
          <w:b/>
          <w:bCs/>
        </w:rPr>
        <w:t xml:space="preserve"> evaluations:</w:t>
      </w:r>
      <w:r w:rsidR="00AE36FF">
        <w:tab/>
        <w:t xml:space="preserve">1 </w:t>
      </w:r>
    </w:p>
    <w:bookmarkEnd w:id="0"/>
    <w:p w14:paraId="4DDD74B4" w14:textId="77777777" w:rsidR="00647B9B" w:rsidRDefault="3EA702D7" w:rsidP="00451F36">
      <w:pPr>
        <w:pStyle w:val="ListParagraph"/>
        <w:numPr>
          <w:ilvl w:val="0"/>
          <w:numId w:val="33"/>
        </w:numPr>
        <w:rPr>
          <w:b w:val="0"/>
          <w:bCs w:val="0"/>
        </w:rPr>
      </w:pPr>
      <w:r>
        <w:rPr>
          <w:b w:val="0"/>
          <w:bCs w:val="0"/>
        </w:rPr>
        <w:t>End of program evaluation of the Health Security Initiative</w:t>
      </w:r>
    </w:p>
    <w:p w14:paraId="43D2F090" w14:textId="77777777" w:rsidR="00A63E96" w:rsidRDefault="00A63E96" w:rsidP="00A63E96">
      <w:pPr>
        <w:ind w:left="720"/>
      </w:pPr>
    </w:p>
    <w:p w14:paraId="0E638F9E" w14:textId="77777777" w:rsidR="00451F36" w:rsidRDefault="00451F36" w:rsidP="00451F36">
      <w:r w:rsidRPr="004C49F8">
        <w:rPr>
          <w:b/>
          <w:bCs/>
        </w:rPr>
        <w:t>Program:</w:t>
      </w:r>
      <w:r>
        <w:tab/>
        <w:t>Regional Scholarships and Education</w:t>
      </w:r>
    </w:p>
    <w:p w14:paraId="1C8968EE" w14:textId="77777777" w:rsidR="00451F36" w:rsidRDefault="00503F8C" w:rsidP="00451F36">
      <w:r>
        <w:rPr>
          <w:b/>
          <w:bCs/>
        </w:rPr>
        <w:t>Expected</w:t>
      </w:r>
      <w:r w:rsidR="00451F36" w:rsidRPr="004C49F8">
        <w:rPr>
          <w:b/>
          <w:bCs/>
        </w:rPr>
        <w:t xml:space="preserve"> evaluations:</w:t>
      </w:r>
      <w:r w:rsidR="00451F36">
        <w:tab/>
        <w:t xml:space="preserve">1 </w:t>
      </w:r>
    </w:p>
    <w:p w14:paraId="5E8B45B4" w14:textId="77777777" w:rsidR="00451F36" w:rsidRDefault="3EA702D7" w:rsidP="00451F36">
      <w:pPr>
        <w:pStyle w:val="ListParagraph"/>
        <w:numPr>
          <w:ilvl w:val="0"/>
          <w:numId w:val="34"/>
        </w:numPr>
        <w:rPr>
          <w:b w:val="0"/>
          <w:bCs w:val="0"/>
        </w:rPr>
      </w:pPr>
      <w:r>
        <w:rPr>
          <w:b w:val="0"/>
          <w:bCs w:val="0"/>
        </w:rPr>
        <w:t>Mid-term review of the Global Education Monitoring (GEM) Centre</w:t>
      </w:r>
    </w:p>
    <w:p w14:paraId="1FFE0307" w14:textId="77777777" w:rsidR="00451F36" w:rsidRPr="00451F36" w:rsidRDefault="00451F36" w:rsidP="00451F36"/>
    <w:sectPr w:rsidR="00451F36" w:rsidRPr="00451F36" w:rsidSect="0012011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304" w:left="1134" w:header="425" w:footer="567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E582D" w14:textId="77777777" w:rsidR="003B4BA3" w:rsidRDefault="003B4BA3" w:rsidP="00D37B04">
      <w:r>
        <w:separator/>
      </w:r>
    </w:p>
  </w:endnote>
  <w:endnote w:type="continuationSeparator" w:id="0">
    <w:p w14:paraId="0A199F67" w14:textId="77777777" w:rsidR="003B4BA3" w:rsidRDefault="003B4BA3" w:rsidP="00D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auto"/>
      </w:rPr>
      <w:id w:val="675919215"/>
      <w:docPartObj>
        <w:docPartGallery w:val="Page Numbers (Bottom of Page)"/>
        <w:docPartUnique/>
      </w:docPartObj>
    </w:sdtPr>
    <w:sdtEndPr>
      <w:rPr>
        <w:noProof/>
        <w:highlight w:val="lightGray"/>
      </w:rPr>
    </w:sdtEndPr>
    <w:sdtContent>
      <w:p w14:paraId="6689A4D7" w14:textId="77777777" w:rsidR="004A6C1F" w:rsidRPr="00D827D4" w:rsidRDefault="004A6C1F">
        <w:pPr>
          <w:pStyle w:val="Footer"/>
          <w:rPr>
            <w:color w:val="auto"/>
          </w:rPr>
        </w:pPr>
        <w:r w:rsidRPr="00D827D4">
          <w:rPr>
            <w:color w:val="auto"/>
            <w:highlight w:val="lightGray"/>
          </w:rPr>
          <w:fldChar w:fldCharType="begin"/>
        </w:r>
        <w:r w:rsidRPr="00D827D4">
          <w:rPr>
            <w:color w:val="auto"/>
            <w:highlight w:val="lightGray"/>
          </w:rPr>
          <w:instrText xml:space="preserve"> PAGE   \* MERGEFORMAT </w:instrText>
        </w:r>
        <w:r w:rsidRPr="00D827D4">
          <w:rPr>
            <w:color w:val="auto"/>
            <w:highlight w:val="lightGray"/>
          </w:rPr>
          <w:fldChar w:fldCharType="separate"/>
        </w:r>
        <w:r w:rsidR="00A333EC">
          <w:rPr>
            <w:noProof/>
            <w:color w:val="auto"/>
            <w:highlight w:val="lightGray"/>
          </w:rPr>
          <w:t>4</w:t>
        </w:r>
        <w:r w:rsidRPr="00D827D4">
          <w:rPr>
            <w:noProof/>
            <w:color w:val="auto"/>
            <w:highlight w:val="lightGray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auto"/>
      </w:rPr>
      <w:id w:val="-843015511"/>
      <w:docPartObj>
        <w:docPartGallery w:val="Page Numbers (Bottom of Page)"/>
        <w:docPartUnique/>
      </w:docPartObj>
    </w:sdtPr>
    <w:sdtEndPr>
      <w:rPr>
        <w:noProof/>
        <w:highlight w:val="lightGray"/>
      </w:rPr>
    </w:sdtEndPr>
    <w:sdtContent>
      <w:p w14:paraId="4E9FCCFE" w14:textId="77777777" w:rsidR="004A6C1F" w:rsidRPr="00D827D4" w:rsidRDefault="004A6C1F">
        <w:pPr>
          <w:pStyle w:val="Footer"/>
          <w:rPr>
            <w:color w:val="auto"/>
          </w:rPr>
        </w:pPr>
        <w:r w:rsidRPr="00D827D4">
          <w:rPr>
            <w:color w:val="auto"/>
            <w:highlight w:val="lightGray"/>
          </w:rPr>
          <w:fldChar w:fldCharType="begin"/>
        </w:r>
        <w:r w:rsidRPr="00D827D4">
          <w:rPr>
            <w:color w:val="auto"/>
            <w:highlight w:val="lightGray"/>
          </w:rPr>
          <w:instrText xml:space="preserve"> PAGE   \* MERGEFORMAT </w:instrText>
        </w:r>
        <w:r w:rsidRPr="00D827D4">
          <w:rPr>
            <w:color w:val="auto"/>
            <w:highlight w:val="lightGray"/>
          </w:rPr>
          <w:fldChar w:fldCharType="separate"/>
        </w:r>
        <w:r w:rsidR="00A333EC">
          <w:rPr>
            <w:noProof/>
            <w:color w:val="auto"/>
            <w:highlight w:val="lightGray"/>
          </w:rPr>
          <w:t>1</w:t>
        </w:r>
        <w:r w:rsidRPr="00D827D4">
          <w:rPr>
            <w:noProof/>
            <w:color w:val="auto"/>
            <w:highlight w:val="lightGray"/>
          </w:rPr>
          <w:fldChar w:fldCharType="end"/>
        </w:r>
      </w:p>
    </w:sdtContent>
  </w:sdt>
  <w:p w14:paraId="63881A0B" w14:textId="77777777" w:rsidR="004A6C1F" w:rsidRPr="00D827D4" w:rsidRDefault="004A6C1F">
    <w:pPr>
      <w:pStyle w:val="Footer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BF5CE" w14:textId="77777777" w:rsidR="003B4BA3" w:rsidRPr="00D827D4" w:rsidRDefault="003B4BA3" w:rsidP="00D37B04">
      <w:pPr>
        <w:pStyle w:val="Footer"/>
        <w:rPr>
          <w:color w:val="auto"/>
        </w:rPr>
      </w:pPr>
    </w:p>
  </w:footnote>
  <w:footnote w:type="continuationSeparator" w:id="0">
    <w:p w14:paraId="1DF1C990" w14:textId="77777777" w:rsidR="003B4BA3" w:rsidRDefault="003B4BA3" w:rsidP="00D3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92486" w14:textId="77777777" w:rsidR="004A6C1F" w:rsidRPr="00915DFD" w:rsidRDefault="004A6C1F" w:rsidP="002D5B25">
    <w:pPr>
      <w:pStyle w:val="Header"/>
      <w:rPr>
        <w:rFonts w:asciiTheme="majorHAnsi" w:hAnsiTheme="majorHAnsi" w:cstheme="majorHAnsi"/>
        <w:color w:val="auto"/>
        <w:sz w:val="22"/>
      </w:rPr>
    </w:pPr>
    <w:r w:rsidRPr="00915DFD">
      <w:rPr>
        <w:rFonts w:asciiTheme="majorHAnsi" w:hAnsiTheme="majorHAnsi" w:cstheme="majorHAnsi"/>
        <w:noProof/>
        <w:color w:val="auto"/>
        <w:sz w:val="22"/>
        <w:lang w:val="en-AU" w:eastAsia="en-AU"/>
      </w:rPr>
      <w:drawing>
        <wp:anchor distT="0" distB="0" distL="114300" distR="114300" simplePos="0" relativeHeight="251662336" behindDoc="1" locked="1" layoutInCell="1" allowOverlap="1" wp14:anchorId="2792A5FC" wp14:editId="046580D7">
          <wp:simplePos x="0" y="0"/>
          <wp:positionH relativeFrom="page">
            <wp:posOffset>3175</wp:posOffset>
          </wp:positionH>
          <wp:positionV relativeFrom="page">
            <wp:posOffset>0</wp:posOffset>
          </wp:positionV>
          <wp:extent cx="7559675" cy="10693400"/>
          <wp:effectExtent l="0" t="0" r="317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E5360" w14:textId="77777777" w:rsidR="004A6C1F" w:rsidRPr="00915DFD" w:rsidRDefault="004A6C1F" w:rsidP="002D5B25">
    <w:pPr>
      <w:pStyle w:val="Header"/>
      <w:rPr>
        <w:rFonts w:asciiTheme="majorHAnsi" w:hAnsiTheme="majorHAnsi" w:cstheme="majorHAnsi"/>
        <w:color w:val="auto"/>
        <w:sz w:val="22"/>
      </w:rPr>
    </w:pPr>
  </w:p>
  <w:p w14:paraId="59C14E95" w14:textId="77777777" w:rsidR="00AA34DB" w:rsidRDefault="00AA34DB" w:rsidP="00AE36FF">
    <w:pPr>
      <w:pStyle w:val="Header"/>
      <w:tabs>
        <w:tab w:val="clear" w:pos="4513"/>
        <w:tab w:val="clear" w:pos="9026"/>
        <w:tab w:val="left" w:pos="7635"/>
      </w:tabs>
      <w:spacing w:after="480"/>
      <w:jc w:val="both"/>
    </w:pPr>
  </w:p>
  <w:p w14:paraId="67F0999F" w14:textId="77777777" w:rsidR="004A6C1F" w:rsidRPr="00943730" w:rsidRDefault="004A6C1F" w:rsidP="00AA34DB">
    <w:pPr>
      <w:pStyle w:val="Header"/>
      <w:jc w:val="both"/>
    </w:pPr>
    <w:r w:rsidRPr="00943730">
      <w:rPr>
        <w:noProof/>
        <w:lang w:val="en-AU" w:eastAsia="en-AU"/>
      </w:rPr>
      <w:drawing>
        <wp:inline distT="0" distB="0" distL="0" distR="0" wp14:anchorId="13CCFC18" wp14:editId="170CF594">
          <wp:extent cx="3166920" cy="554400"/>
          <wp:effectExtent l="0" t="0" r="0" b="0"/>
          <wp:docPr id="8" name="Picture 8" descr="Australian Government Department of Foreign Affairs and Trade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ustralian Government Department of Foreign Affairs and Trade Coat of Arm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92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3730">
      <w:rPr>
        <w:noProof/>
        <w:lang w:val="en-AU" w:eastAsia="en-AU"/>
      </w:rPr>
      <w:drawing>
        <wp:anchor distT="0" distB="0" distL="114300" distR="114300" simplePos="0" relativeHeight="251656192" behindDoc="1" locked="1" layoutInCell="1" allowOverlap="1" wp14:anchorId="12C6F27D" wp14:editId="7D0A04C2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9675" cy="10692765"/>
          <wp:effectExtent l="0" t="0" r="3175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115EF"/>
    <w:multiLevelType w:val="hybridMultilevel"/>
    <w:tmpl w:val="356E0A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11D9"/>
    <w:multiLevelType w:val="hybridMultilevel"/>
    <w:tmpl w:val="3D344672"/>
    <w:lvl w:ilvl="0" w:tplc="E12AA7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3892372"/>
    <w:multiLevelType w:val="hybridMultilevel"/>
    <w:tmpl w:val="E05A85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E7F27"/>
    <w:multiLevelType w:val="hybridMultilevel"/>
    <w:tmpl w:val="B5122BF6"/>
    <w:lvl w:ilvl="0" w:tplc="E12AA7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6" w15:restartNumberingAfterBreak="0">
    <w:nsid w:val="17887D2C"/>
    <w:multiLevelType w:val="hybridMultilevel"/>
    <w:tmpl w:val="383E28FC"/>
    <w:lvl w:ilvl="0" w:tplc="E12AA7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646B7"/>
    <w:multiLevelType w:val="hybridMultilevel"/>
    <w:tmpl w:val="8898CA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C49AF"/>
    <w:multiLevelType w:val="hybridMultilevel"/>
    <w:tmpl w:val="383E28FC"/>
    <w:lvl w:ilvl="0" w:tplc="E12AA7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51DF7"/>
    <w:multiLevelType w:val="hybridMultilevel"/>
    <w:tmpl w:val="E05A85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E1D11"/>
    <w:multiLevelType w:val="hybridMultilevel"/>
    <w:tmpl w:val="8BBE9F60"/>
    <w:lvl w:ilvl="0" w:tplc="E12AA7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B159F"/>
    <w:multiLevelType w:val="multilevel"/>
    <w:tmpl w:val="D374C112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2" w15:restartNumberingAfterBreak="0">
    <w:nsid w:val="2ED9642A"/>
    <w:multiLevelType w:val="hybridMultilevel"/>
    <w:tmpl w:val="25905ECE"/>
    <w:lvl w:ilvl="0" w:tplc="E12AA7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E7AA6"/>
    <w:multiLevelType w:val="hybridMultilevel"/>
    <w:tmpl w:val="8BBE9F60"/>
    <w:lvl w:ilvl="0" w:tplc="E12AA7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15313"/>
    <w:multiLevelType w:val="hybridMultilevel"/>
    <w:tmpl w:val="E11446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636FA"/>
    <w:multiLevelType w:val="hybridMultilevel"/>
    <w:tmpl w:val="412E02B4"/>
    <w:lvl w:ilvl="0" w:tplc="E12AA7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93029"/>
    <w:multiLevelType w:val="hybridMultilevel"/>
    <w:tmpl w:val="A13275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51E33"/>
    <w:multiLevelType w:val="hybridMultilevel"/>
    <w:tmpl w:val="986E3D62"/>
    <w:lvl w:ilvl="0" w:tplc="DD709D00">
      <w:start w:val="1"/>
      <w:numFmt w:val="decimal"/>
      <w:pStyle w:val="ListParagraph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F4ED4"/>
    <w:multiLevelType w:val="hybridMultilevel"/>
    <w:tmpl w:val="AECAEE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E1895"/>
    <w:multiLevelType w:val="hybridMultilevel"/>
    <w:tmpl w:val="6B922C48"/>
    <w:lvl w:ilvl="0" w:tplc="E12AA7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35F96"/>
    <w:multiLevelType w:val="hybridMultilevel"/>
    <w:tmpl w:val="72A48A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E45DB"/>
    <w:multiLevelType w:val="hybridMultilevel"/>
    <w:tmpl w:val="28DCEF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11242"/>
    <w:multiLevelType w:val="hybridMultilevel"/>
    <w:tmpl w:val="6B18DC36"/>
    <w:lvl w:ilvl="0" w:tplc="E12AA7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4" w15:restartNumberingAfterBreak="0">
    <w:nsid w:val="5D3A56C4"/>
    <w:multiLevelType w:val="hybridMultilevel"/>
    <w:tmpl w:val="A89852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C1EA7"/>
    <w:multiLevelType w:val="multilevel"/>
    <w:tmpl w:val="43428892"/>
    <w:numStyleLink w:val="BulletsList"/>
  </w:abstractNum>
  <w:abstractNum w:abstractNumId="26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7" w15:restartNumberingAfterBreak="0">
    <w:nsid w:val="65F93F17"/>
    <w:multiLevelType w:val="hybridMultilevel"/>
    <w:tmpl w:val="8BBE9F60"/>
    <w:lvl w:ilvl="0" w:tplc="E12AA7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07305"/>
    <w:multiLevelType w:val="multilevel"/>
    <w:tmpl w:val="43428892"/>
    <w:styleLink w:val="BulletsList"/>
    <w:lvl w:ilvl="0">
      <w:start w:val="1"/>
      <w:numFmt w:val="bullet"/>
      <w:pStyle w:val="Bullet1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340" w:hanging="170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510" w:hanging="17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9" w15:restartNumberingAfterBreak="0">
    <w:nsid w:val="744B3F94"/>
    <w:multiLevelType w:val="hybridMultilevel"/>
    <w:tmpl w:val="E05A85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018F5"/>
    <w:multiLevelType w:val="hybridMultilevel"/>
    <w:tmpl w:val="28DCD7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A100159"/>
    <w:multiLevelType w:val="hybridMultilevel"/>
    <w:tmpl w:val="C6ECCA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81BB6"/>
    <w:multiLevelType w:val="hybridMultilevel"/>
    <w:tmpl w:val="8898CA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11"/>
  </w:num>
  <w:num w:numId="4">
    <w:abstractNumId w:val="23"/>
  </w:num>
  <w:num w:numId="5">
    <w:abstractNumId w:val="26"/>
  </w:num>
  <w:num w:numId="6">
    <w:abstractNumId w:val="11"/>
  </w:num>
  <w:num w:numId="7">
    <w:abstractNumId w:val="25"/>
  </w:num>
  <w:num w:numId="8">
    <w:abstractNumId w:val="2"/>
  </w:num>
  <w:num w:numId="9">
    <w:abstractNumId w:val="5"/>
  </w:num>
  <w:num w:numId="10">
    <w:abstractNumId w:val="31"/>
  </w:num>
  <w:num w:numId="11">
    <w:abstractNumId w:val="17"/>
  </w:num>
  <w:num w:numId="12">
    <w:abstractNumId w:val="15"/>
  </w:num>
  <w:num w:numId="13">
    <w:abstractNumId w:val="27"/>
  </w:num>
  <w:num w:numId="14">
    <w:abstractNumId w:val="22"/>
  </w:num>
  <w:num w:numId="15">
    <w:abstractNumId w:val="12"/>
  </w:num>
  <w:num w:numId="16">
    <w:abstractNumId w:val="1"/>
  </w:num>
  <w:num w:numId="17">
    <w:abstractNumId w:val="24"/>
  </w:num>
  <w:num w:numId="18">
    <w:abstractNumId w:val="0"/>
  </w:num>
  <w:num w:numId="19">
    <w:abstractNumId w:val="21"/>
  </w:num>
  <w:num w:numId="20">
    <w:abstractNumId w:val="3"/>
  </w:num>
  <w:num w:numId="21">
    <w:abstractNumId w:val="20"/>
  </w:num>
  <w:num w:numId="22">
    <w:abstractNumId w:val="9"/>
  </w:num>
  <w:num w:numId="23">
    <w:abstractNumId w:val="29"/>
  </w:num>
  <w:num w:numId="24">
    <w:abstractNumId w:val="14"/>
  </w:num>
  <w:num w:numId="25">
    <w:abstractNumId w:val="33"/>
  </w:num>
  <w:num w:numId="26">
    <w:abstractNumId w:val="7"/>
  </w:num>
  <w:num w:numId="27">
    <w:abstractNumId w:val="16"/>
  </w:num>
  <w:num w:numId="28">
    <w:abstractNumId w:val="30"/>
  </w:num>
  <w:num w:numId="29">
    <w:abstractNumId w:val="18"/>
  </w:num>
  <w:num w:numId="30">
    <w:abstractNumId w:val="32"/>
  </w:num>
  <w:num w:numId="31">
    <w:abstractNumId w:val="19"/>
  </w:num>
  <w:num w:numId="32">
    <w:abstractNumId w:val="4"/>
  </w:num>
  <w:num w:numId="33">
    <w:abstractNumId w:val="6"/>
  </w:num>
  <w:num w:numId="34">
    <w:abstractNumId w:val="8"/>
  </w:num>
  <w:num w:numId="35">
    <w:abstractNumId w:val="13"/>
  </w:num>
  <w:num w:numId="3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defaultTableStyle w:val="DFATTable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6C"/>
    <w:rsid w:val="000006B5"/>
    <w:rsid w:val="000017B2"/>
    <w:rsid w:val="00001DA8"/>
    <w:rsid w:val="000020C1"/>
    <w:rsid w:val="00002407"/>
    <w:rsid w:val="00007547"/>
    <w:rsid w:val="0002080A"/>
    <w:rsid w:val="00022C43"/>
    <w:rsid w:val="000263DE"/>
    <w:rsid w:val="00027195"/>
    <w:rsid w:val="000272D4"/>
    <w:rsid w:val="0002782F"/>
    <w:rsid w:val="00032F17"/>
    <w:rsid w:val="00034A28"/>
    <w:rsid w:val="00035BBF"/>
    <w:rsid w:val="000418FF"/>
    <w:rsid w:val="00045D91"/>
    <w:rsid w:val="00050806"/>
    <w:rsid w:val="0005436E"/>
    <w:rsid w:val="000546D9"/>
    <w:rsid w:val="00054DD6"/>
    <w:rsid w:val="00054E4D"/>
    <w:rsid w:val="00060073"/>
    <w:rsid w:val="000616C6"/>
    <w:rsid w:val="00061A2B"/>
    <w:rsid w:val="00063E12"/>
    <w:rsid w:val="00064E92"/>
    <w:rsid w:val="00065560"/>
    <w:rsid w:val="000854FD"/>
    <w:rsid w:val="000863AA"/>
    <w:rsid w:val="000A0C6B"/>
    <w:rsid w:val="000A2D52"/>
    <w:rsid w:val="000A525B"/>
    <w:rsid w:val="000A541D"/>
    <w:rsid w:val="000A5AD8"/>
    <w:rsid w:val="000B37F5"/>
    <w:rsid w:val="000B5A2C"/>
    <w:rsid w:val="000B7FC0"/>
    <w:rsid w:val="000C5E1B"/>
    <w:rsid w:val="000C6B8E"/>
    <w:rsid w:val="000D572B"/>
    <w:rsid w:val="000D634E"/>
    <w:rsid w:val="000D66D6"/>
    <w:rsid w:val="000D752B"/>
    <w:rsid w:val="000D75D3"/>
    <w:rsid w:val="000F1ADD"/>
    <w:rsid w:val="000F2CD4"/>
    <w:rsid w:val="000F54E9"/>
    <w:rsid w:val="000F65DB"/>
    <w:rsid w:val="000F7F1B"/>
    <w:rsid w:val="00103258"/>
    <w:rsid w:val="00103BBD"/>
    <w:rsid w:val="00113288"/>
    <w:rsid w:val="0012011F"/>
    <w:rsid w:val="001214BE"/>
    <w:rsid w:val="00125B6C"/>
    <w:rsid w:val="00126BDE"/>
    <w:rsid w:val="0013101C"/>
    <w:rsid w:val="0013715C"/>
    <w:rsid w:val="001403E9"/>
    <w:rsid w:val="00140905"/>
    <w:rsid w:val="001422B6"/>
    <w:rsid w:val="001461D6"/>
    <w:rsid w:val="00146437"/>
    <w:rsid w:val="001541EA"/>
    <w:rsid w:val="00155021"/>
    <w:rsid w:val="00155C82"/>
    <w:rsid w:val="00166FDE"/>
    <w:rsid w:val="001756E8"/>
    <w:rsid w:val="00175BDF"/>
    <w:rsid w:val="00182B08"/>
    <w:rsid w:val="00183020"/>
    <w:rsid w:val="00195A55"/>
    <w:rsid w:val="001961ED"/>
    <w:rsid w:val="001B6B31"/>
    <w:rsid w:val="001B7066"/>
    <w:rsid w:val="001C2101"/>
    <w:rsid w:val="001D58E9"/>
    <w:rsid w:val="001D663E"/>
    <w:rsid w:val="001D7168"/>
    <w:rsid w:val="001D77C8"/>
    <w:rsid w:val="001D7BA1"/>
    <w:rsid w:val="001E1DC0"/>
    <w:rsid w:val="001F2247"/>
    <w:rsid w:val="001F3366"/>
    <w:rsid w:val="001F56B7"/>
    <w:rsid w:val="001F6D5A"/>
    <w:rsid w:val="00201B81"/>
    <w:rsid w:val="00203E24"/>
    <w:rsid w:val="00205F88"/>
    <w:rsid w:val="002076FF"/>
    <w:rsid w:val="00207A9D"/>
    <w:rsid w:val="0021042E"/>
    <w:rsid w:val="00212273"/>
    <w:rsid w:val="00216BAC"/>
    <w:rsid w:val="00221799"/>
    <w:rsid w:val="00222008"/>
    <w:rsid w:val="00231428"/>
    <w:rsid w:val="0023164C"/>
    <w:rsid w:val="00247E6A"/>
    <w:rsid w:val="002501B0"/>
    <w:rsid w:val="00255722"/>
    <w:rsid w:val="002610E9"/>
    <w:rsid w:val="00285354"/>
    <w:rsid w:val="0028602A"/>
    <w:rsid w:val="00290FE7"/>
    <w:rsid w:val="0029253C"/>
    <w:rsid w:val="002A1110"/>
    <w:rsid w:val="002A1566"/>
    <w:rsid w:val="002B08A9"/>
    <w:rsid w:val="002B363A"/>
    <w:rsid w:val="002B59DD"/>
    <w:rsid w:val="002B5E10"/>
    <w:rsid w:val="002B72FC"/>
    <w:rsid w:val="002C2CCD"/>
    <w:rsid w:val="002C56AC"/>
    <w:rsid w:val="002C793D"/>
    <w:rsid w:val="002D1D0A"/>
    <w:rsid w:val="002D4ACC"/>
    <w:rsid w:val="002D5ACF"/>
    <w:rsid w:val="002D5B25"/>
    <w:rsid w:val="002F1BDF"/>
    <w:rsid w:val="002F4E10"/>
    <w:rsid w:val="002F4F2B"/>
    <w:rsid w:val="002F6AD5"/>
    <w:rsid w:val="003002C0"/>
    <w:rsid w:val="00301144"/>
    <w:rsid w:val="003031C6"/>
    <w:rsid w:val="00303224"/>
    <w:rsid w:val="00304984"/>
    <w:rsid w:val="00312BF8"/>
    <w:rsid w:val="003148B7"/>
    <w:rsid w:val="003158C3"/>
    <w:rsid w:val="0031656A"/>
    <w:rsid w:val="00321026"/>
    <w:rsid w:val="00321167"/>
    <w:rsid w:val="00322DFC"/>
    <w:rsid w:val="00323EE7"/>
    <w:rsid w:val="00325473"/>
    <w:rsid w:val="003274CD"/>
    <w:rsid w:val="00332550"/>
    <w:rsid w:val="00333501"/>
    <w:rsid w:val="00334535"/>
    <w:rsid w:val="00334E2B"/>
    <w:rsid w:val="00341216"/>
    <w:rsid w:val="00345227"/>
    <w:rsid w:val="003457C4"/>
    <w:rsid w:val="00350CBD"/>
    <w:rsid w:val="0035119D"/>
    <w:rsid w:val="00353903"/>
    <w:rsid w:val="00354C8D"/>
    <w:rsid w:val="00357E56"/>
    <w:rsid w:val="003630DF"/>
    <w:rsid w:val="00364EE3"/>
    <w:rsid w:val="00367C31"/>
    <w:rsid w:val="0037795F"/>
    <w:rsid w:val="0039344A"/>
    <w:rsid w:val="00394BB8"/>
    <w:rsid w:val="00394F78"/>
    <w:rsid w:val="00395163"/>
    <w:rsid w:val="00396203"/>
    <w:rsid w:val="003A4170"/>
    <w:rsid w:val="003A5894"/>
    <w:rsid w:val="003A6515"/>
    <w:rsid w:val="003A7B10"/>
    <w:rsid w:val="003B0EE2"/>
    <w:rsid w:val="003B1FD3"/>
    <w:rsid w:val="003B2555"/>
    <w:rsid w:val="003B4BA3"/>
    <w:rsid w:val="003B4F12"/>
    <w:rsid w:val="003C13E4"/>
    <w:rsid w:val="003C5628"/>
    <w:rsid w:val="003D3814"/>
    <w:rsid w:val="003E3169"/>
    <w:rsid w:val="003E3C8B"/>
    <w:rsid w:val="003F044F"/>
    <w:rsid w:val="003F2041"/>
    <w:rsid w:val="003F4850"/>
    <w:rsid w:val="00402ACC"/>
    <w:rsid w:val="004120EC"/>
    <w:rsid w:val="00415EE4"/>
    <w:rsid w:val="004224B2"/>
    <w:rsid w:val="00423F31"/>
    <w:rsid w:val="00424AC3"/>
    <w:rsid w:val="0042677A"/>
    <w:rsid w:val="004268E7"/>
    <w:rsid w:val="00430D23"/>
    <w:rsid w:val="00431899"/>
    <w:rsid w:val="00442055"/>
    <w:rsid w:val="004439A9"/>
    <w:rsid w:val="0044691E"/>
    <w:rsid w:val="004470B9"/>
    <w:rsid w:val="0045155C"/>
    <w:rsid w:val="00451C08"/>
    <w:rsid w:val="00451F36"/>
    <w:rsid w:val="004611D7"/>
    <w:rsid w:val="00467E73"/>
    <w:rsid w:val="004715D8"/>
    <w:rsid w:val="004721AC"/>
    <w:rsid w:val="0047362F"/>
    <w:rsid w:val="00477359"/>
    <w:rsid w:val="00482005"/>
    <w:rsid w:val="004825D5"/>
    <w:rsid w:val="00482AE8"/>
    <w:rsid w:val="00483DE5"/>
    <w:rsid w:val="00486804"/>
    <w:rsid w:val="00493588"/>
    <w:rsid w:val="004957BF"/>
    <w:rsid w:val="004A0297"/>
    <w:rsid w:val="004A6C1F"/>
    <w:rsid w:val="004B3775"/>
    <w:rsid w:val="004B435D"/>
    <w:rsid w:val="004B4BD6"/>
    <w:rsid w:val="004B54E3"/>
    <w:rsid w:val="004C08AC"/>
    <w:rsid w:val="004C359B"/>
    <w:rsid w:val="004C49F8"/>
    <w:rsid w:val="004D0BA0"/>
    <w:rsid w:val="004D3736"/>
    <w:rsid w:val="004D429E"/>
    <w:rsid w:val="004E058F"/>
    <w:rsid w:val="004E3B87"/>
    <w:rsid w:val="004F0B7E"/>
    <w:rsid w:val="004F2AD3"/>
    <w:rsid w:val="00500AB4"/>
    <w:rsid w:val="00502CD9"/>
    <w:rsid w:val="00503F8C"/>
    <w:rsid w:val="00506F86"/>
    <w:rsid w:val="0051016A"/>
    <w:rsid w:val="00510921"/>
    <w:rsid w:val="00510AD3"/>
    <w:rsid w:val="00510DE6"/>
    <w:rsid w:val="00511737"/>
    <w:rsid w:val="00511F90"/>
    <w:rsid w:val="00513348"/>
    <w:rsid w:val="00513AD8"/>
    <w:rsid w:val="00515B86"/>
    <w:rsid w:val="005203CA"/>
    <w:rsid w:val="005204D2"/>
    <w:rsid w:val="005206B5"/>
    <w:rsid w:val="00520EBE"/>
    <w:rsid w:val="0052101B"/>
    <w:rsid w:val="0052201E"/>
    <w:rsid w:val="00522396"/>
    <w:rsid w:val="00524502"/>
    <w:rsid w:val="00533B5D"/>
    <w:rsid w:val="00533C26"/>
    <w:rsid w:val="0054069D"/>
    <w:rsid w:val="00540F90"/>
    <w:rsid w:val="00541D6A"/>
    <w:rsid w:val="00543264"/>
    <w:rsid w:val="00544307"/>
    <w:rsid w:val="00550801"/>
    <w:rsid w:val="00550F69"/>
    <w:rsid w:val="0055149E"/>
    <w:rsid w:val="00557620"/>
    <w:rsid w:val="00557E65"/>
    <w:rsid w:val="00562146"/>
    <w:rsid w:val="00566573"/>
    <w:rsid w:val="005746CF"/>
    <w:rsid w:val="0057514A"/>
    <w:rsid w:val="005926EA"/>
    <w:rsid w:val="005A0873"/>
    <w:rsid w:val="005A1EBF"/>
    <w:rsid w:val="005A20F6"/>
    <w:rsid w:val="005B33C8"/>
    <w:rsid w:val="005B5407"/>
    <w:rsid w:val="005C0ED8"/>
    <w:rsid w:val="005C6B51"/>
    <w:rsid w:val="005D291E"/>
    <w:rsid w:val="005D2975"/>
    <w:rsid w:val="005D3655"/>
    <w:rsid w:val="005D4500"/>
    <w:rsid w:val="005D7066"/>
    <w:rsid w:val="005E4830"/>
    <w:rsid w:val="005E4D71"/>
    <w:rsid w:val="005E5C49"/>
    <w:rsid w:val="005F5890"/>
    <w:rsid w:val="00606A77"/>
    <w:rsid w:val="006124E3"/>
    <w:rsid w:val="00613FC1"/>
    <w:rsid w:val="00616B53"/>
    <w:rsid w:val="00622B86"/>
    <w:rsid w:val="00622EF9"/>
    <w:rsid w:val="00623BA1"/>
    <w:rsid w:val="00626799"/>
    <w:rsid w:val="00627347"/>
    <w:rsid w:val="00627AF3"/>
    <w:rsid w:val="00631C0C"/>
    <w:rsid w:val="00631F86"/>
    <w:rsid w:val="00633686"/>
    <w:rsid w:val="006346BC"/>
    <w:rsid w:val="00642D6C"/>
    <w:rsid w:val="00643AA9"/>
    <w:rsid w:val="00647B9B"/>
    <w:rsid w:val="00650381"/>
    <w:rsid w:val="00661521"/>
    <w:rsid w:val="00663C20"/>
    <w:rsid w:val="00663F45"/>
    <w:rsid w:val="0066652A"/>
    <w:rsid w:val="0066700E"/>
    <w:rsid w:val="0067173E"/>
    <w:rsid w:val="006719C3"/>
    <w:rsid w:val="00672A1E"/>
    <w:rsid w:val="00673F1A"/>
    <w:rsid w:val="00675E0D"/>
    <w:rsid w:val="00676EB4"/>
    <w:rsid w:val="00680522"/>
    <w:rsid w:val="00680CD3"/>
    <w:rsid w:val="00680E26"/>
    <w:rsid w:val="00682167"/>
    <w:rsid w:val="00682AE0"/>
    <w:rsid w:val="0068630D"/>
    <w:rsid w:val="006964E6"/>
    <w:rsid w:val="006B2B6A"/>
    <w:rsid w:val="006B377F"/>
    <w:rsid w:val="006C002F"/>
    <w:rsid w:val="006C166E"/>
    <w:rsid w:val="006C42AF"/>
    <w:rsid w:val="006D50AB"/>
    <w:rsid w:val="006D5AA6"/>
    <w:rsid w:val="006D7053"/>
    <w:rsid w:val="006E1E58"/>
    <w:rsid w:val="006E7974"/>
    <w:rsid w:val="00711D8E"/>
    <w:rsid w:val="00711F75"/>
    <w:rsid w:val="00712672"/>
    <w:rsid w:val="00713E93"/>
    <w:rsid w:val="0071675B"/>
    <w:rsid w:val="007177E2"/>
    <w:rsid w:val="00720EFC"/>
    <w:rsid w:val="007224AC"/>
    <w:rsid w:val="00725E8A"/>
    <w:rsid w:val="00727A03"/>
    <w:rsid w:val="00731F5D"/>
    <w:rsid w:val="00734E3F"/>
    <w:rsid w:val="00736985"/>
    <w:rsid w:val="00737A11"/>
    <w:rsid w:val="00745DF5"/>
    <w:rsid w:val="00754876"/>
    <w:rsid w:val="007551BA"/>
    <w:rsid w:val="00757BEF"/>
    <w:rsid w:val="0076250F"/>
    <w:rsid w:val="00771059"/>
    <w:rsid w:val="0077210A"/>
    <w:rsid w:val="00777264"/>
    <w:rsid w:val="00780FA5"/>
    <w:rsid w:val="00781E6D"/>
    <w:rsid w:val="00785E7B"/>
    <w:rsid w:val="00792059"/>
    <w:rsid w:val="00792D99"/>
    <w:rsid w:val="007A2228"/>
    <w:rsid w:val="007A2793"/>
    <w:rsid w:val="007A3F0E"/>
    <w:rsid w:val="007B6200"/>
    <w:rsid w:val="007B6AE9"/>
    <w:rsid w:val="007C0220"/>
    <w:rsid w:val="007C030F"/>
    <w:rsid w:val="007C3431"/>
    <w:rsid w:val="007C3CAF"/>
    <w:rsid w:val="007C43BE"/>
    <w:rsid w:val="007F3275"/>
    <w:rsid w:val="007F3395"/>
    <w:rsid w:val="007F492A"/>
    <w:rsid w:val="00801B9F"/>
    <w:rsid w:val="0080204D"/>
    <w:rsid w:val="008021BC"/>
    <w:rsid w:val="0080506F"/>
    <w:rsid w:val="0081101A"/>
    <w:rsid w:val="008171AC"/>
    <w:rsid w:val="00820A93"/>
    <w:rsid w:val="00823876"/>
    <w:rsid w:val="008246A3"/>
    <w:rsid w:val="0082534E"/>
    <w:rsid w:val="00833B35"/>
    <w:rsid w:val="008431DC"/>
    <w:rsid w:val="008475F0"/>
    <w:rsid w:val="008476C0"/>
    <w:rsid w:val="00847D1A"/>
    <w:rsid w:val="0085033B"/>
    <w:rsid w:val="008557A7"/>
    <w:rsid w:val="00866641"/>
    <w:rsid w:val="00866FC2"/>
    <w:rsid w:val="00870928"/>
    <w:rsid w:val="00872167"/>
    <w:rsid w:val="00872C52"/>
    <w:rsid w:val="008763F1"/>
    <w:rsid w:val="00881FFA"/>
    <w:rsid w:val="00887BA3"/>
    <w:rsid w:val="008906C2"/>
    <w:rsid w:val="0089405C"/>
    <w:rsid w:val="00895E12"/>
    <w:rsid w:val="00897FA2"/>
    <w:rsid w:val="008A5AFE"/>
    <w:rsid w:val="008B1251"/>
    <w:rsid w:val="008B2FE5"/>
    <w:rsid w:val="008C2FD3"/>
    <w:rsid w:val="008C3707"/>
    <w:rsid w:val="008C3DB4"/>
    <w:rsid w:val="008C4D6B"/>
    <w:rsid w:val="008C5A0E"/>
    <w:rsid w:val="008C7142"/>
    <w:rsid w:val="008D0B1A"/>
    <w:rsid w:val="008D1DAE"/>
    <w:rsid w:val="008E2776"/>
    <w:rsid w:val="008E3311"/>
    <w:rsid w:val="008E769A"/>
    <w:rsid w:val="008F25B8"/>
    <w:rsid w:val="00900781"/>
    <w:rsid w:val="009055C7"/>
    <w:rsid w:val="009078BE"/>
    <w:rsid w:val="00912A83"/>
    <w:rsid w:val="00915DFD"/>
    <w:rsid w:val="00922DD1"/>
    <w:rsid w:val="00926132"/>
    <w:rsid w:val="00927FC1"/>
    <w:rsid w:val="009428F4"/>
    <w:rsid w:val="00943730"/>
    <w:rsid w:val="00954F38"/>
    <w:rsid w:val="00955FEF"/>
    <w:rsid w:val="00957ED3"/>
    <w:rsid w:val="009652EC"/>
    <w:rsid w:val="0096693E"/>
    <w:rsid w:val="00975CA5"/>
    <w:rsid w:val="009801CB"/>
    <w:rsid w:val="009846AA"/>
    <w:rsid w:val="00986590"/>
    <w:rsid w:val="0098685F"/>
    <w:rsid w:val="00992C76"/>
    <w:rsid w:val="00995C44"/>
    <w:rsid w:val="009969D6"/>
    <w:rsid w:val="0099797F"/>
    <w:rsid w:val="009A05CC"/>
    <w:rsid w:val="009A28D9"/>
    <w:rsid w:val="009B4D3B"/>
    <w:rsid w:val="009C3579"/>
    <w:rsid w:val="009C3F5B"/>
    <w:rsid w:val="009C4D30"/>
    <w:rsid w:val="009D7407"/>
    <w:rsid w:val="009E0615"/>
    <w:rsid w:val="009E0866"/>
    <w:rsid w:val="009E0F02"/>
    <w:rsid w:val="009E273C"/>
    <w:rsid w:val="009E6BAE"/>
    <w:rsid w:val="009F1350"/>
    <w:rsid w:val="009F35D6"/>
    <w:rsid w:val="009F60F3"/>
    <w:rsid w:val="009F6423"/>
    <w:rsid w:val="00A001F1"/>
    <w:rsid w:val="00A12C82"/>
    <w:rsid w:val="00A13381"/>
    <w:rsid w:val="00A16D45"/>
    <w:rsid w:val="00A20B5B"/>
    <w:rsid w:val="00A24A62"/>
    <w:rsid w:val="00A258E4"/>
    <w:rsid w:val="00A25A4D"/>
    <w:rsid w:val="00A26F8B"/>
    <w:rsid w:val="00A31C9F"/>
    <w:rsid w:val="00A333EC"/>
    <w:rsid w:val="00A351A6"/>
    <w:rsid w:val="00A4144F"/>
    <w:rsid w:val="00A459AE"/>
    <w:rsid w:val="00A4681E"/>
    <w:rsid w:val="00A5194A"/>
    <w:rsid w:val="00A539ED"/>
    <w:rsid w:val="00A56BEE"/>
    <w:rsid w:val="00A60513"/>
    <w:rsid w:val="00A61487"/>
    <w:rsid w:val="00A61B4D"/>
    <w:rsid w:val="00A61C65"/>
    <w:rsid w:val="00A63E96"/>
    <w:rsid w:val="00A6563E"/>
    <w:rsid w:val="00A7450D"/>
    <w:rsid w:val="00A768D5"/>
    <w:rsid w:val="00A80531"/>
    <w:rsid w:val="00A80F95"/>
    <w:rsid w:val="00A810C6"/>
    <w:rsid w:val="00A81905"/>
    <w:rsid w:val="00A9094B"/>
    <w:rsid w:val="00A97BF1"/>
    <w:rsid w:val="00AA298A"/>
    <w:rsid w:val="00AA34DB"/>
    <w:rsid w:val="00AA390D"/>
    <w:rsid w:val="00AB3D3D"/>
    <w:rsid w:val="00AB4B4E"/>
    <w:rsid w:val="00AB4C14"/>
    <w:rsid w:val="00AC164A"/>
    <w:rsid w:val="00AC1C8D"/>
    <w:rsid w:val="00AC6696"/>
    <w:rsid w:val="00AC673D"/>
    <w:rsid w:val="00AC6965"/>
    <w:rsid w:val="00AD28BF"/>
    <w:rsid w:val="00AD4A2C"/>
    <w:rsid w:val="00AE1B44"/>
    <w:rsid w:val="00AE36FF"/>
    <w:rsid w:val="00AE448A"/>
    <w:rsid w:val="00AE6A83"/>
    <w:rsid w:val="00AF2050"/>
    <w:rsid w:val="00B01CB8"/>
    <w:rsid w:val="00B03BF5"/>
    <w:rsid w:val="00B03CA8"/>
    <w:rsid w:val="00B03E8C"/>
    <w:rsid w:val="00B13342"/>
    <w:rsid w:val="00B137D7"/>
    <w:rsid w:val="00B1441D"/>
    <w:rsid w:val="00B2249F"/>
    <w:rsid w:val="00B33C0A"/>
    <w:rsid w:val="00B34DFD"/>
    <w:rsid w:val="00B36DAD"/>
    <w:rsid w:val="00B411C3"/>
    <w:rsid w:val="00B41C26"/>
    <w:rsid w:val="00B4460E"/>
    <w:rsid w:val="00B52758"/>
    <w:rsid w:val="00B527B0"/>
    <w:rsid w:val="00B5490B"/>
    <w:rsid w:val="00B55E19"/>
    <w:rsid w:val="00B60455"/>
    <w:rsid w:val="00B62181"/>
    <w:rsid w:val="00B67857"/>
    <w:rsid w:val="00B71DC1"/>
    <w:rsid w:val="00B83B64"/>
    <w:rsid w:val="00B91039"/>
    <w:rsid w:val="00B91801"/>
    <w:rsid w:val="00B9418C"/>
    <w:rsid w:val="00B94758"/>
    <w:rsid w:val="00B96E88"/>
    <w:rsid w:val="00BA1853"/>
    <w:rsid w:val="00BA4B6D"/>
    <w:rsid w:val="00BB056D"/>
    <w:rsid w:val="00BB2494"/>
    <w:rsid w:val="00BB26C5"/>
    <w:rsid w:val="00BB5B8E"/>
    <w:rsid w:val="00BB7E5B"/>
    <w:rsid w:val="00BC6D23"/>
    <w:rsid w:val="00BD11A2"/>
    <w:rsid w:val="00BD26FB"/>
    <w:rsid w:val="00BD2E26"/>
    <w:rsid w:val="00BD4649"/>
    <w:rsid w:val="00BD659F"/>
    <w:rsid w:val="00BD6A19"/>
    <w:rsid w:val="00BF4DE6"/>
    <w:rsid w:val="00BF68D2"/>
    <w:rsid w:val="00BF7BAD"/>
    <w:rsid w:val="00C059A9"/>
    <w:rsid w:val="00C06B13"/>
    <w:rsid w:val="00C07447"/>
    <w:rsid w:val="00C1014E"/>
    <w:rsid w:val="00C15BF1"/>
    <w:rsid w:val="00C1736E"/>
    <w:rsid w:val="00C24A2F"/>
    <w:rsid w:val="00C24A9B"/>
    <w:rsid w:val="00C27D25"/>
    <w:rsid w:val="00C32E6E"/>
    <w:rsid w:val="00C34FD8"/>
    <w:rsid w:val="00C3544C"/>
    <w:rsid w:val="00C36043"/>
    <w:rsid w:val="00C40838"/>
    <w:rsid w:val="00C4240E"/>
    <w:rsid w:val="00C42541"/>
    <w:rsid w:val="00C42CDE"/>
    <w:rsid w:val="00C5182A"/>
    <w:rsid w:val="00C51BBE"/>
    <w:rsid w:val="00C5571C"/>
    <w:rsid w:val="00C55D25"/>
    <w:rsid w:val="00C6252B"/>
    <w:rsid w:val="00C631E2"/>
    <w:rsid w:val="00C6321B"/>
    <w:rsid w:val="00C63EE9"/>
    <w:rsid w:val="00C675DB"/>
    <w:rsid w:val="00C70263"/>
    <w:rsid w:val="00C716A0"/>
    <w:rsid w:val="00C71A0D"/>
    <w:rsid w:val="00C77017"/>
    <w:rsid w:val="00C86185"/>
    <w:rsid w:val="00C862EB"/>
    <w:rsid w:val="00C8797E"/>
    <w:rsid w:val="00C909F2"/>
    <w:rsid w:val="00C93B9D"/>
    <w:rsid w:val="00CA0725"/>
    <w:rsid w:val="00CA16F3"/>
    <w:rsid w:val="00CA21DC"/>
    <w:rsid w:val="00CA2351"/>
    <w:rsid w:val="00CA2D90"/>
    <w:rsid w:val="00CA37B1"/>
    <w:rsid w:val="00CB00F5"/>
    <w:rsid w:val="00CB1959"/>
    <w:rsid w:val="00CC06DC"/>
    <w:rsid w:val="00CC4C0F"/>
    <w:rsid w:val="00CC5EBD"/>
    <w:rsid w:val="00CC71CA"/>
    <w:rsid w:val="00CC741B"/>
    <w:rsid w:val="00CC7BBE"/>
    <w:rsid w:val="00CD0E4B"/>
    <w:rsid w:val="00CD6A83"/>
    <w:rsid w:val="00CE2B89"/>
    <w:rsid w:val="00CE3841"/>
    <w:rsid w:val="00CE4642"/>
    <w:rsid w:val="00CE4C89"/>
    <w:rsid w:val="00CE6C21"/>
    <w:rsid w:val="00CE75D2"/>
    <w:rsid w:val="00CF07BA"/>
    <w:rsid w:val="00CF3C58"/>
    <w:rsid w:val="00D02951"/>
    <w:rsid w:val="00D0296C"/>
    <w:rsid w:val="00D05A0F"/>
    <w:rsid w:val="00D079F1"/>
    <w:rsid w:val="00D1593C"/>
    <w:rsid w:val="00D20306"/>
    <w:rsid w:val="00D20EF1"/>
    <w:rsid w:val="00D21C57"/>
    <w:rsid w:val="00D306DC"/>
    <w:rsid w:val="00D32A1B"/>
    <w:rsid w:val="00D32D6F"/>
    <w:rsid w:val="00D352D1"/>
    <w:rsid w:val="00D37B04"/>
    <w:rsid w:val="00D540C6"/>
    <w:rsid w:val="00D547AE"/>
    <w:rsid w:val="00D573D8"/>
    <w:rsid w:val="00D57EA2"/>
    <w:rsid w:val="00D64BD1"/>
    <w:rsid w:val="00D679DC"/>
    <w:rsid w:val="00D726D4"/>
    <w:rsid w:val="00D74117"/>
    <w:rsid w:val="00D827D4"/>
    <w:rsid w:val="00D83A13"/>
    <w:rsid w:val="00D86A9B"/>
    <w:rsid w:val="00D87E0E"/>
    <w:rsid w:val="00D92254"/>
    <w:rsid w:val="00D93E7D"/>
    <w:rsid w:val="00D96DED"/>
    <w:rsid w:val="00DA1483"/>
    <w:rsid w:val="00DB068B"/>
    <w:rsid w:val="00DB3425"/>
    <w:rsid w:val="00DC4369"/>
    <w:rsid w:val="00DC467D"/>
    <w:rsid w:val="00DC51CD"/>
    <w:rsid w:val="00DE084C"/>
    <w:rsid w:val="00DE270D"/>
    <w:rsid w:val="00DE6498"/>
    <w:rsid w:val="00DF4B43"/>
    <w:rsid w:val="00DF69D3"/>
    <w:rsid w:val="00DF7CDF"/>
    <w:rsid w:val="00E05690"/>
    <w:rsid w:val="00E06273"/>
    <w:rsid w:val="00E12414"/>
    <w:rsid w:val="00E14F51"/>
    <w:rsid w:val="00E15E6C"/>
    <w:rsid w:val="00E1606D"/>
    <w:rsid w:val="00E27A64"/>
    <w:rsid w:val="00E33752"/>
    <w:rsid w:val="00E357B7"/>
    <w:rsid w:val="00E37A02"/>
    <w:rsid w:val="00E44140"/>
    <w:rsid w:val="00E45C7F"/>
    <w:rsid w:val="00E5059D"/>
    <w:rsid w:val="00E51683"/>
    <w:rsid w:val="00E51BBD"/>
    <w:rsid w:val="00E53800"/>
    <w:rsid w:val="00E5387D"/>
    <w:rsid w:val="00E5555D"/>
    <w:rsid w:val="00E56179"/>
    <w:rsid w:val="00E6081F"/>
    <w:rsid w:val="00E608AF"/>
    <w:rsid w:val="00E61313"/>
    <w:rsid w:val="00E751EB"/>
    <w:rsid w:val="00E76909"/>
    <w:rsid w:val="00E8296D"/>
    <w:rsid w:val="00E8457B"/>
    <w:rsid w:val="00E877F3"/>
    <w:rsid w:val="00E9003D"/>
    <w:rsid w:val="00E91C46"/>
    <w:rsid w:val="00E91F63"/>
    <w:rsid w:val="00E939EE"/>
    <w:rsid w:val="00E96F2A"/>
    <w:rsid w:val="00E974BA"/>
    <w:rsid w:val="00EA04B2"/>
    <w:rsid w:val="00EA1128"/>
    <w:rsid w:val="00EA20F3"/>
    <w:rsid w:val="00EA3491"/>
    <w:rsid w:val="00EA67DE"/>
    <w:rsid w:val="00EA7E72"/>
    <w:rsid w:val="00EB0A3B"/>
    <w:rsid w:val="00EC7EBD"/>
    <w:rsid w:val="00ED27D2"/>
    <w:rsid w:val="00ED2831"/>
    <w:rsid w:val="00ED43D1"/>
    <w:rsid w:val="00ED72FD"/>
    <w:rsid w:val="00EE3553"/>
    <w:rsid w:val="00EE4EE1"/>
    <w:rsid w:val="00EF0733"/>
    <w:rsid w:val="00EF4574"/>
    <w:rsid w:val="00EF475D"/>
    <w:rsid w:val="00EF4890"/>
    <w:rsid w:val="00F07861"/>
    <w:rsid w:val="00F103C1"/>
    <w:rsid w:val="00F11074"/>
    <w:rsid w:val="00F12D5D"/>
    <w:rsid w:val="00F12D81"/>
    <w:rsid w:val="00F12FC2"/>
    <w:rsid w:val="00F15486"/>
    <w:rsid w:val="00F25A93"/>
    <w:rsid w:val="00F2684E"/>
    <w:rsid w:val="00F30050"/>
    <w:rsid w:val="00F31EC8"/>
    <w:rsid w:val="00F40ACC"/>
    <w:rsid w:val="00F41ADA"/>
    <w:rsid w:val="00F44A24"/>
    <w:rsid w:val="00F44CC6"/>
    <w:rsid w:val="00F5404C"/>
    <w:rsid w:val="00F55E23"/>
    <w:rsid w:val="00F5762C"/>
    <w:rsid w:val="00F622B6"/>
    <w:rsid w:val="00F64A5F"/>
    <w:rsid w:val="00F656BA"/>
    <w:rsid w:val="00F65E8A"/>
    <w:rsid w:val="00F710B1"/>
    <w:rsid w:val="00F7177E"/>
    <w:rsid w:val="00F7244A"/>
    <w:rsid w:val="00F729EF"/>
    <w:rsid w:val="00F77CAE"/>
    <w:rsid w:val="00F82271"/>
    <w:rsid w:val="00F83428"/>
    <w:rsid w:val="00F934A1"/>
    <w:rsid w:val="00F96BB9"/>
    <w:rsid w:val="00FA1CD0"/>
    <w:rsid w:val="00FA4CC0"/>
    <w:rsid w:val="00FA4F47"/>
    <w:rsid w:val="00FA5A68"/>
    <w:rsid w:val="00FA6E65"/>
    <w:rsid w:val="00FB4172"/>
    <w:rsid w:val="00FB644A"/>
    <w:rsid w:val="00FC0BCA"/>
    <w:rsid w:val="00FC69F9"/>
    <w:rsid w:val="00FD296C"/>
    <w:rsid w:val="00FE1C88"/>
    <w:rsid w:val="00FE53D7"/>
    <w:rsid w:val="00FE6D51"/>
    <w:rsid w:val="00FE6F2A"/>
    <w:rsid w:val="00FF4E11"/>
    <w:rsid w:val="01A12771"/>
    <w:rsid w:val="02ED6BA1"/>
    <w:rsid w:val="09EF6753"/>
    <w:rsid w:val="0B27D70E"/>
    <w:rsid w:val="0D81CCD6"/>
    <w:rsid w:val="0DAEA519"/>
    <w:rsid w:val="0E1438BF"/>
    <w:rsid w:val="10A5F1C7"/>
    <w:rsid w:val="11E60739"/>
    <w:rsid w:val="17745343"/>
    <w:rsid w:val="190E8B80"/>
    <w:rsid w:val="1BC3046E"/>
    <w:rsid w:val="1E30DDE3"/>
    <w:rsid w:val="1F2BF7C3"/>
    <w:rsid w:val="219477D2"/>
    <w:rsid w:val="2212254F"/>
    <w:rsid w:val="22C90349"/>
    <w:rsid w:val="2A9FEB74"/>
    <w:rsid w:val="2BFC92B2"/>
    <w:rsid w:val="2C06B5BE"/>
    <w:rsid w:val="353B08EA"/>
    <w:rsid w:val="3AA52D26"/>
    <w:rsid w:val="3DDF94E5"/>
    <w:rsid w:val="3DF59D86"/>
    <w:rsid w:val="3EA702D7"/>
    <w:rsid w:val="3F0F5923"/>
    <w:rsid w:val="40825DA3"/>
    <w:rsid w:val="4323B22B"/>
    <w:rsid w:val="4366B5A2"/>
    <w:rsid w:val="4820FE68"/>
    <w:rsid w:val="4A33EFFF"/>
    <w:rsid w:val="4B589F2A"/>
    <w:rsid w:val="4FFCBAB3"/>
    <w:rsid w:val="5B5CBA22"/>
    <w:rsid w:val="5C0FE65F"/>
    <w:rsid w:val="5DA9EA6E"/>
    <w:rsid w:val="607F27B4"/>
    <w:rsid w:val="6171A6CA"/>
    <w:rsid w:val="636EAA2C"/>
    <w:rsid w:val="65EF64BA"/>
    <w:rsid w:val="66563ADA"/>
    <w:rsid w:val="698B4C1D"/>
    <w:rsid w:val="69ED88B8"/>
    <w:rsid w:val="6A319F48"/>
    <w:rsid w:val="6D6C6CA4"/>
    <w:rsid w:val="6E0C4B2C"/>
    <w:rsid w:val="71A3B0DA"/>
    <w:rsid w:val="73D4D9C6"/>
    <w:rsid w:val="761DE3B2"/>
    <w:rsid w:val="7621CCF1"/>
    <w:rsid w:val="76508692"/>
    <w:rsid w:val="7AE1C243"/>
    <w:rsid w:val="7E13B679"/>
    <w:rsid w:val="7F216BC6"/>
    <w:rsid w:val="7F36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E15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6B2B6A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6FF"/>
    <w:pPr>
      <w:keepNext/>
      <w:keepLines/>
      <w:spacing w:before="0" w:after="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pacing w:val="-10"/>
      <w:kern w:val="28"/>
      <w:sz w:val="38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6FF"/>
    <w:pPr>
      <w:keepNext/>
      <w:keepLines/>
      <w:spacing w:before="480" w:line="380" w:lineRule="exact"/>
      <w:ind w:left="567" w:hanging="567"/>
      <w:contextualSpacing/>
      <w:outlineLvl w:val="1"/>
    </w:pPr>
    <w:rPr>
      <w:rFonts w:asciiTheme="majorHAnsi" w:eastAsiaTheme="majorEastAsia" w:hAnsiTheme="majorHAnsi" w:cstheme="majorBidi"/>
      <w:bCs/>
      <w:caps/>
      <w:spacing w:val="-10"/>
      <w:kern w:val="28"/>
      <w:sz w:val="3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line="360" w:lineRule="atLeast"/>
      <w:outlineLvl w:val="2"/>
    </w:pPr>
    <w:rPr>
      <w:bCs w:val="0"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4144F"/>
    <w:pPr>
      <w:spacing w:line="200" w:lineRule="atLeast"/>
      <w:outlineLvl w:val="4"/>
    </w:pPr>
    <w:rPr>
      <w:b/>
      <w:sz w:val="16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6FF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E36FF"/>
    <w:rPr>
      <w:rFonts w:asciiTheme="majorHAnsi" w:eastAsiaTheme="majorEastAsia" w:hAnsiTheme="majorHAnsi" w:cstheme="majorBidi"/>
      <w:bCs/>
      <w:caps/>
      <w:color w:val="495965" w:themeColor="text2"/>
      <w:spacing w:val="-10"/>
      <w:kern w:val="28"/>
      <w:sz w:val="3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1D663E"/>
    <w:pPr>
      <w:numPr>
        <w:numId w:val="7"/>
      </w:num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8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6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6"/>
      </w:numPr>
    </w:pPr>
    <w:rPr>
      <w:bCs w:val="0"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6"/>
      </w:numPr>
      <w:spacing w:before="300"/>
    </w:pPr>
    <w:rPr>
      <w:szCs w:val="22"/>
    </w:rPr>
  </w:style>
  <w:style w:type="numbering" w:customStyle="1" w:styleId="BulletsList">
    <w:name w:val="Bullets List"/>
    <w:uiPriority w:val="99"/>
    <w:rsid w:val="001D663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E6F2A"/>
    <w:pPr>
      <w:tabs>
        <w:tab w:val="center" w:pos="4513"/>
        <w:tab w:val="right" w:pos="9026"/>
      </w:tabs>
      <w:spacing w:before="0" w:after="0"/>
      <w:ind w:left="227"/>
    </w:pPr>
    <w:rPr>
      <w:b/>
      <w:caps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201B81"/>
    <w:pPr>
      <w:spacing w:before="400" w:after="400" w:line="280" w:lineRule="exact"/>
    </w:pPr>
    <w:rPr>
      <w:b/>
      <w:caps/>
      <w:color w:val="ACD08C" w:themeColor="accent2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E6F2A"/>
    <w:rPr>
      <w:b/>
      <w:caps/>
      <w:color w:val="495965" w:themeColor="text2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4144F"/>
    <w:rPr>
      <w:rFonts w:asciiTheme="majorHAnsi" w:eastAsiaTheme="majorEastAsia" w:hAnsiTheme="majorHAnsi" w:cstheme="majorBidi"/>
      <w:b/>
      <w:bCs/>
      <w:iCs/>
      <w:color w:val="495965" w:themeColor="text2"/>
      <w:sz w:val="1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CD0E4B"/>
    <w:pPr>
      <w:spacing w:before="0" w:after="0"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CD0E4B"/>
    <w:rPr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201B81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  <w:jc w:val="left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9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10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ListParagraph">
    <w:name w:val="List Paragraph"/>
    <w:aliases w:val="Recommendation,List Paragraph1"/>
    <w:basedOn w:val="Normal"/>
    <w:link w:val="ListParagraphChar"/>
    <w:uiPriority w:val="34"/>
    <w:qFormat/>
    <w:locked/>
    <w:rsid w:val="00AD28BF"/>
    <w:pPr>
      <w:numPr>
        <w:numId w:val="11"/>
      </w:numPr>
      <w:suppressAutoHyphens w:val="0"/>
      <w:spacing w:before="0" w:after="0" w:line="240" w:lineRule="auto"/>
      <w:contextualSpacing/>
    </w:pPr>
    <w:rPr>
      <w:b/>
      <w:bCs/>
    </w:rPr>
  </w:style>
  <w:style w:type="character" w:customStyle="1" w:styleId="ListParagraphChar">
    <w:name w:val="List Paragraph Char"/>
    <w:aliases w:val="Recommendation Char,List Paragraph1 Char"/>
    <w:link w:val="ListParagraph"/>
    <w:uiPriority w:val="34"/>
    <w:locked/>
    <w:rsid w:val="00AD28BF"/>
    <w:rPr>
      <w:b/>
      <w:bCs/>
      <w:color w:val="495965" w:themeColor="text2"/>
      <w:lang w:val="en-GB"/>
    </w:rPr>
  </w:style>
  <w:style w:type="table" w:styleId="GridTable1Light-Accent1">
    <w:name w:val="Grid Table 1 Light Accent 1"/>
    <w:basedOn w:val="TableNormal"/>
    <w:uiPriority w:val="46"/>
    <w:locked/>
    <w:rsid w:val="004224B2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C1E7E0" w:themeColor="accent1" w:themeTint="66"/>
        <w:left w:val="single" w:sz="4" w:space="0" w:color="C1E7E0" w:themeColor="accent1" w:themeTint="66"/>
        <w:bottom w:val="single" w:sz="4" w:space="0" w:color="C1E7E0" w:themeColor="accent1" w:themeTint="66"/>
        <w:right w:val="single" w:sz="4" w:space="0" w:color="C1E7E0" w:themeColor="accent1" w:themeTint="66"/>
        <w:insideH w:val="single" w:sz="4" w:space="0" w:color="C1E7E0" w:themeColor="accent1" w:themeTint="66"/>
        <w:insideV w:val="single" w:sz="4" w:space="0" w:color="C1E7E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DC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DC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1">
    <w:name w:val="Plain Table 211"/>
    <w:basedOn w:val="TableNormal"/>
    <w:uiPriority w:val="42"/>
    <w:locked/>
    <w:rsid w:val="003E3C8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12">
    <w:name w:val="Plain Table 212"/>
    <w:basedOn w:val="TableNormal"/>
    <w:uiPriority w:val="42"/>
    <w:locked/>
    <w:rsid w:val="003E3C8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3B1FD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1FD3"/>
    <w:rPr>
      <w:color w:val="495965" w:themeColor="text2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B1FD3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426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68E7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s1">
    <w:name w:val="s1"/>
    <w:basedOn w:val="DefaultParagraphFont"/>
    <w:rsid w:val="00DE6498"/>
  </w:style>
  <w:style w:type="character" w:customStyle="1" w:styleId="valueabout">
    <w:name w:val="value_about"/>
    <w:basedOn w:val="DefaultParagraphFont"/>
    <w:rsid w:val="00DE649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3EE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63E12"/>
  </w:style>
  <w:style w:type="character" w:customStyle="1" w:styleId="bcx0">
    <w:name w:val="bcx0"/>
    <w:basedOn w:val="DefaultParagraphFont"/>
    <w:rsid w:val="009E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DF02A-6234-44E7-A76C-4E9CD347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4445</Characters>
  <Application>Microsoft Office Word</Application>
  <DocSecurity>0</DocSecurity>
  <Lines>134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Development Evaluation Plan 2022</dc:title>
  <dc:subject/>
  <dc:creator/>
  <cp:keywords/>
  <dc:description/>
  <cp:lastModifiedBy/>
  <cp:revision>1</cp:revision>
  <dcterms:created xsi:type="dcterms:W3CDTF">2022-03-27T23:19:00Z</dcterms:created>
  <dcterms:modified xsi:type="dcterms:W3CDTF">2022-03-27T23:20:00Z</dcterms:modified>
  <cp:category/>
</cp:coreProperties>
</file>