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9CC22" w14:textId="1996D258" w:rsidR="00C80FA2" w:rsidRPr="004447A9" w:rsidRDefault="00C80FA2" w:rsidP="00EF2495">
      <w:pPr>
        <w:pStyle w:val="Heading1"/>
        <w:rPr>
          <w:color w:val="auto"/>
        </w:rPr>
      </w:pPr>
      <w:bookmarkStart w:id="0" w:name="_Toc174445834"/>
      <w:bookmarkStart w:id="1" w:name="_Toc185321199"/>
      <w:bookmarkStart w:id="2" w:name="_Toc172812848"/>
      <w:r w:rsidRPr="004447A9">
        <w:rPr>
          <w:color w:val="auto"/>
        </w:rPr>
        <w:t xml:space="preserve">Annex 1: Terms of Reference - Review of the Australia Awards Program </w:t>
      </w:r>
      <w:r w:rsidR="001064C9" w:rsidRPr="004447A9">
        <w:rPr>
          <w:color w:val="auto"/>
        </w:rPr>
        <w:t>(</w:t>
      </w:r>
      <w:r w:rsidRPr="004447A9">
        <w:rPr>
          <w:color w:val="auto"/>
        </w:rPr>
        <w:t>Tonga</w:t>
      </w:r>
      <w:r w:rsidR="001064C9" w:rsidRPr="004447A9">
        <w:rPr>
          <w:color w:val="auto"/>
        </w:rPr>
        <w:t>)</w:t>
      </w:r>
      <w:r w:rsidRPr="004447A9">
        <w:rPr>
          <w:color w:val="auto"/>
        </w:rPr>
        <w:t xml:space="preserve"> (Summary)</w:t>
      </w:r>
      <w:bookmarkEnd w:id="0"/>
      <w:bookmarkEnd w:id="1"/>
    </w:p>
    <w:p w14:paraId="7BD8FF80" w14:textId="1427F7FF" w:rsidR="00C80FA2" w:rsidRPr="00EF2495" w:rsidRDefault="003B7C29" w:rsidP="00EF2495">
      <w:pPr>
        <w:pStyle w:val="Heading2"/>
      </w:pPr>
      <w:bookmarkStart w:id="3" w:name="_Toc172812849"/>
      <w:r w:rsidRPr="00EF2495">
        <w:t>Overview</w:t>
      </w:r>
      <w:bookmarkEnd w:id="3"/>
    </w:p>
    <w:p w14:paraId="4ECED8D2" w14:textId="77777777" w:rsidR="00C80FA2" w:rsidRPr="00EF2495" w:rsidRDefault="00C80FA2" w:rsidP="00EF2495">
      <w:pPr>
        <w:rPr>
          <w:lang w:val="en-US"/>
        </w:rPr>
      </w:pPr>
      <w:r w:rsidRPr="00EF2495">
        <w:rPr>
          <w:lang w:val="en-US"/>
        </w:rPr>
        <w:t>The Department of Foreign Affairs and Trade (DFAT) Tonga requires a consultant to review the current Australia Awards program for Tonga Post and to develop a Scholarships Implementation Framework. The document will assist Post in the effective and efficient implementation of the Australia Awards Scholarships and the Australia Awards Pacific Scholarships provided for Tonga.</w:t>
      </w:r>
      <w:bookmarkStart w:id="4" w:name="_Toc172812850"/>
    </w:p>
    <w:p w14:paraId="7060CBEC" w14:textId="1601638F" w:rsidR="00C80FA2" w:rsidRPr="00EF2495" w:rsidRDefault="00EF2495" w:rsidP="00EF2495">
      <w:pPr>
        <w:pStyle w:val="Heading2"/>
      </w:pPr>
      <w:r w:rsidRPr="00EF2495">
        <w:t>Background</w:t>
      </w:r>
      <w:bookmarkEnd w:id="4"/>
    </w:p>
    <w:p w14:paraId="4C7C228E" w14:textId="77777777" w:rsidR="00C80FA2" w:rsidRPr="00EF2495" w:rsidRDefault="00C80FA2" w:rsidP="00EF2495">
      <w:pPr>
        <w:rPr>
          <w:lang w:val="en-US"/>
        </w:rPr>
      </w:pPr>
      <w:r w:rsidRPr="00EF2495">
        <w:rPr>
          <w:lang w:val="en-US"/>
        </w:rPr>
        <w:t xml:space="preserve">Australia Awards are prestigious, transformational scholarships and short courses offered to emerging leaders from developing countries for study, research and professional development in Australia and the region so they can return home and contribute to their nations’ development, prosperity, and resilience. The program is guided by the </w:t>
      </w:r>
      <w:hyperlink r:id="rId11">
        <w:r w:rsidRPr="00EF2495">
          <w:rPr>
            <w:rStyle w:val="Hyperlink"/>
            <w:lang w:val="en-US"/>
          </w:rPr>
          <w:t>Australia Awards Global Strategic Framework</w:t>
        </w:r>
      </w:hyperlink>
      <w:r w:rsidRPr="00EF2495">
        <w:rPr>
          <w:lang w:val="en-US"/>
        </w:rPr>
        <w:t xml:space="preserve"> and its four objectives. There has not been a Tonga specific framework to inform its implementation of the Australia Awards Program.</w:t>
      </w:r>
    </w:p>
    <w:p w14:paraId="51468B4F" w14:textId="77777777" w:rsidR="00C80FA2" w:rsidRPr="00EF2495" w:rsidRDefault="00C80FA2" w:rsidP="00EF2495">
      <w:pPr>
        <w:rPr>
          <w:lang w:val="en-US"/>
        </w:rPr>
      </w:pPr>
      <w:r w:rsidRPr="00EF2495">
        <w:rPr>
          <w:lang w:val="en-US"/>
        </w:rPr>
        <w:t>Scholarships are a significant component of Australia’s bilateral program to Tonga. In FY23, expenditure is estimated at AUD3.9 million, around 18 per cent. Bilateral allocations on scholarships are complemented with funding from Canberra through the Australia Awards section and new financing streams, particularly regional aviation. Scholarships are awarded under the Australia Awards Scholarships (AAS), (for study in Australia), the Australia Awards Pacific Scholarships (AAPS) (for study in the region, primarily Fiji).</w:t>
      </w:r>
    </w:p>
    <w:p w14:paraId="1A5B3ADB" w14:textId="77777777" w:rsidR="00C80FA2" w:rsidRPr="00EF2495" w:rsidRDefault="00C80FA2" w:rsidP="00EF2495">
      <w:pPr>
        <w:rPr>
          <w:lang w:val="en-US"/>
        </w:rPr>
      </w:pPr>
      <w:r w:rsidRPr="00EF2495">
        <w:rPr>
          <w:lang w:val="en-US"/>
        </w:rPr>
        <w:t>Since 1999, 431 scholarships</w:t>
      </w:r>
      <w:r w:rsidRPr="00EF2495">
        <w:rPr>
          <w:lang w:val="en-US"/>
        </w:rPr>
        <w:footnoteReference w:id="2"/>
      </w:r>
      <w:r w:rsidRPr="00EF2495">
        <w:rPr>
          <w:lang w:val="en-US"/>
        </w:rPr>
        <w:t xml:space="preserve"> have been provided to Tonga scholars: 326 have studied through the AAPS scheme, the remainder through the AAS.  Majority (239) have graduated with </w:t>
      </w:r>
      <w:proofErr w:type="gramStart"/>
      <w:r w:rsidRPr="00EF2495">
        <w:rPr>
          <w:lang w:val="en-US"/>
        </w:rPr>
        <w:t>Bachelor’s</w:t>
      </w:r>
      <w:proofErr w:type="gramEnd"/>
      <w:r w:rsidRPr="00EF2495">
        <w:rPr>
          <w:lang w:val="en-US"/>
        </w:rPr>
        <w:t xml:space="preserve"> level degrees, followed by Masters; Around 1 in 4 have studied in the health sector (94). Management, education, and social studies are the next most popular fields of education.</w:t>
      </w:r>
    </w:p>
    <w:p w14:paraId="38ED9F47" w14:textId="7D1D77CF" w:rsidR="00C80FA2" w:rsidRPr="00EF2495" w:rsidRDefault="00C80FA2" w:rsidP="00EF2495">
      <w:pPr>
        <w:rPr>
          <w:lang w:val="en-US"/>
        </w:rPr>
      </w:pPr>
      <w:r w:rsidRPr="00EF2495">
        <w:rPr>
          <w:lang w:val="en-US"/>
        </w:rPr>
        <w:t xml:space="preserve">The Australia Awards are currently managed in-house by the DFAT Post in Nuku’alofa through one LES, under the Education program with the support of the Senior Program Manager. The Post uses the OASIS, a </w:t>
      </w:r>
      <w:proofErr w:type="spellStart"/>
      <w:r w:rsidRPr="00EF2495">
        <w:rPr>
          <w:lang w:val="en-US"/>
        </w:rPr>
        <w:t>centralised</w:t>
      </w:r>
      <w:proofErr w:type="spellEnd"/>
      <w:r w:rsidRPr="00EF2495">
        <w:rPr>
          <w:lang w:val="en-US"/>
        </w:rPr>
        <w:t xml:space="preserve"> information management system, to manage and administers all scholarship schemes, and encapsulates the lifecycle of the Scholarship process.</w:t>
      </w:r>
    </w:p>
    <w:p w14:paraId="0F0437B8" w14:textId="77777777" w:rsidR="00C80FA2" w:rsidRPr="00EF2495" w:rsidRDefault="00C80FA2" w:rsidP="00EF2495">
      <w:pPr>
        <w:rPr>
          <w:lang w:val="en-US"/>
        </w:rPr>
      </w:pPr>
      <w:r w:rsidRPr="00EF2495">
        <w:rPr>
          <w:lang w:val="en-US"/>
        </w:rPr>
        <w:t xml:space="preserve">The Australia Awards are an essential and significant component of Australia’s soft power diplomacy, however there is room to improve on </w:t>
      </w:r>
      <w:proofErr w:type="spellStart"/>
      <w:r w:rsidRPr="00EF2495">
        <w:rPr>
          <w:lang w:val="en-US"/>
        </w:rPr>
        <w:t>maximising</w:t>
      </w:r>
      <w:proofErr w:type="spellEnd"/>
      <w:r w:rsidRPr="00EF2495">
        <w:rPr>
          <w:lang w:val="en-US"/>
        </w:rPr>
        <w:t xml:space="preserve"> these outcomes. Alumni networks are important tools to strengthen the capability of our government, private sector and NGO partners as well as strengthening their ongoing linkages with Australia.</w:t>
      </w:r>
    </w:p>
    <w:p w14:paraId="2FDA47EA" w14:textId="77777777" w:rsidR="00C80FA2" w:rsidRPr="00EF2495" w:rsidRDefault="00C80FA2" w:rsidP="00EF2495">
      <w:pPr>
        <w:rPr>
          <w:lang w:val="en-US"/>
        </w:rPr>
      </w:pPr>
      <w:r w:rsidRPr="00EF2495">
        <w:rPr>
          <w:lang w:val="en-US"/>
        </w:rPr>
        <w:t xml:space="preserve">The Australian High Commission (AHC) in Tonga is in the process of preparing its Development Partnership Plan (DPP) for Tonga. Ascertaining the impact of the Australia Awards Program, including alumni engagement, is critical to inform future programming as </w:t>
      </w:r>
      <w:r w:rsidRPr="00EF2495">
        <w:rPr>
          <w:lang w:val="en-US"/>
        </w:rPr>
        <w:lastRenderedPageBreak/>
        <w:t>well as objectives for the DPP, such as the role scholarships play in contributing to local livelihoods, skills and economic opportunities.</w:t>
      </w:r>
    </w:p>
    <w:p w14:paraId="6405AD14" w14:textId="77777777" w:rsidR="00C80FA2" w:rsidRPr="00EF2495" w:rsidRDefault="00C80FA2" w:rsidP="00EF2495">
      <w:pPr>
        <w:rPr>
          <w:lang w:val="en-US"/>
        </w:rPr>
      </w:pPr>
      <w:r w:rsidRPr="00EF2495">
        <w:rPr>
          <w:lang w:val="en-US"/>
        </w:rPr>
        <w:t xml:space="preserve">However, </w:t>
      </w:r>
      <w:proofErr w:type="gramStart"/>
      <w:r w:rsidRPr="00EF2495">
        <w:rPr>
          <w:lang w:val="en-US"/>
        </w:rPr>
        <w:t>as a result of</w:t>
      </w:r>
      <w:proofErr w:type="gramEnd"/>
      <w:r w:rsidRPr="00EF2495">
        <w:rPr>
          <w:lang w:val="en-US"/>
        </w:rPr>
        <w:t xml:space="preserve"> the low </w:t>
      </w:r>
      <w:proofErr w:type="gramStart"/>
      <w:r w:rsidRPr="00EF2495">
        <w:rPr>
          <w:lang w:val="en-US"/>
        </w:rPr>
        <w:t>resourcing</w:t>
      </w:r>
      <w:proofErr w:type="gramEnd"/>
      <w:r w:rsidRPr="00EF2495">
        <w:rPr>
          <w:lang w:val="en-US"/>
        </w:rPr>
        <w:t xml:space="preserve"> at the Post for the scholarships program, DFAT has yet to effectively track and harness its alumni network, or to routinely conduct MEL on the program.</w:t>
      </w:r>
    </w:p>
    <w:p w14:paraId="48CDC6A3" w14:textId="12700CF5" w:rsidR="00C80FA2" w:rsidRPr="00EF2495" w:rsidRDefault="00EF2495" w:rsidP="00EF2495">
      <w:pPr>
        <w:pStyle w:val="Heading2"/>
      </w:pPr>
      <w:bookmarkStart w:id="5" w:name="_Toc172812851"/>
      <w:r w:rsidRPr="00EF2495">
        <w:t>Purpose</w:t>
      </w:r>
      <w:bookmarkEnd w:id="5"/>
    </w:p>
    <w:p w14:paraId="194A240C" w14:textId="77777777" w:rsidR="00C80FA2" w:rsidRPr="00EF2495" w:rsidRDefault="00C80FA2" w:rsidP="00EF2495">
      <w:pPr>
        <w:rPr>
          <w:lang w:val="en-US"/>
        </w:rPr>
      </w:pPr>
      <w:r w:rsidRPr="00EF2495">
        <w:rPr>
          <w:lang w:val="en-US"/>
        </w:rPr>
        <w:t xml:space="preserve">The purpose of the Review is to assess the effectiveness and impact of the Australia Awards program in Tonga, as well as the efficiency of its management. Drawing on this evidence, the Review will make recommendations to strengthen future implementation of the program including its management, </w:t>
      </w:r>
      <w:proofErr w:type="spellStart"/>
      <w:r w:rsidRPr="00EF2495">
        <w:rPr>
          <w:lang w:val="en-US"/>
        </w:rPr>
        <w:t>prioritisation</w:t>
      </w:r>
      <w:proofErr w:type="spellEnd"/>
      <w:r w:rsidRPr="00EF2495">
        <w:rPr>
          <w:lang w:val="en-US"/>
        </w:rPr>
        <w:t xml:space="preserve"> of focus areas and target groups including women and </w:t>
      </w:r>
      <w:proofErr w:type="spellStart"/>
      <w:r w:rsidRPr="00EF2495">
        <w:rPr>
          <w:lang w:val="en-US"/>
        </w:rPr>
        <w:t>marginalised</w:t>
      </w:r>
      <w:proofErr w:type="spellEnd"/>
      <w:r w:rsidRPr="00EF2495">
        <w:rPr>
          <w:lang w:val="en-US"/>
        </w:rPr>
        <w:t xml:space="preserve"> groups. The consultant will also be expected to produce a Tonga Scholarship Implementation Framework.</w:t>
      </w:r>
    </w:p>
    <w:p w14:paraId="4C55A91D" w14:textId="77777777" w:rsidR="00C80FA2" w:rsidRPr="00EF2495" w:rsidRDefault="00C80FA2" w:rsidP="00EF2495">
      <w:pPr>
        <w:rPr>
          <w:lang w:val="en-US"/>
        </w:rPr>
      </w:pPr>
      <w:r w:rsidRPr="00EF2495">
        <w:rPr>
          <w:lang w:val="en-US"/>
        </w:rPr>
        <w:t>The primary user of the review report and Scholarship Implementation Framework will be the AHC management and program team in Tonga. Secondary users include the Government of Tonga, the Australia Awards Section, AHC posts across the Pacific as well as other scholarship program teams.</w:t>
      </w:r>
    </w:p>
    <w:p w14:paraId="0D45A5B0" w14:textId="497BE728" w:rsidR="00C80FA2" w:rsidRDefault="00EF2495" w:rsidP="00F92B2C">
      <w:pPr>
        <w:pStyle w:val="Heading2"/>
        <w:spacing w:before="0" w:after="120" w:line="360" w:lineRule="auto"/>
      </w:pPr>
      <w:bookmarkStart w:id="6" w:name="_Toc172812852"/>
      <w:r w:rsidRPr="00EF2495">
        <w:t>Review questions</w:t>
      </w:r>
      <w:bookmarkEnd w:id="6"/>
    </w:p>
    <w:p w14:paraId="5BAE9DBE" w14:textId="2B6C2285" w:rsidR="00B63B91" w:rsidRDefault="008459DF" w:rsidP="00B63B91">
      <w:r>
        <w:t xml:space="preserve">The review questions will be confirmed with the Australian High Commission during assignment planning.  </w:t>
      </w:r>
      <w:r w:rsidR="0003357B">
        <w:t>I</w:t>
      </w:r>
      <w:r>
        <w:t>ndicative key review questions</w:t>
      </w:r>
      <w:r w:rsidR="0003357B">
        <w:t xml:space="preserve"> include:</w:t>
      </w:r>
    </w:p>
    <w:p w14:paraId="1DE5D321" w14:textId="6E5283AD" w:rsidR="0003357B" w:rsidRDefault="0003357B" w:rsidP="0003357B">
      <w:pPr>
        <w:pStyle w:val="ListParagraph"/>
        <w:numPr>
          <w:ilvl w:val="0"/>
          <w:numId w:val="21"/>
        </w:numPr>
      </w:pPr>
      <w:r>
        <w:t xml:space="preserve">Relevance: </w:t>
      </w:r>
      <w:r w:rsidRPr="00EF2495">
        <w:t>To what extent are the Australia Awards relevant to Australia and Tonga's development priorities?</w:t>
      </w:r>
    </w:p>
    <w:p w14:paraId="0223839D" w14:textId="08F925A1" w:rsidR="0003357B" w:rsidRDefault="0003357B" w:rsidP="0003357B">
      <w:pPr>
        <w:pStyle w:val="ListParagraph"/>
        <w:numPr>
          <w:ilvl w:val="0"/>
          <w:numId w:val="21"/>
        </w:numPr>
      </w:pPr>
      <w:r>
        <w:t xml:space="preserve">Effectiveness: </w:t>
      </w:r>
      <w:r w:rsidRPr="00EF2495">
        <w:t>How effectively is the program in Tonga in meeting the four objectives under the Global Strategic Framework for the Australia Awards?</w:t>
      </w:r>
    </w:p>
    <w:p w14:paraId="07ED1139" w14:textId="372FC8EF" w:rsidR="0003357B" w:rsidRDefault="0003357B" w:rsidP="0003357B">
      <w:pPr>
        <w:pStyle w:val="ListParagraph"/>
        <w:numPr>
          <w:ilvl w:val="0"/>
          <w:numId w:val="21"/>
        </w:numPr>
      </w:pPr>
      <w:r>
        <w:t xml:space="preserve">Inclusion: </w:t>
      </w:r>
      <w:r w:rsidRPr="00EF2495">
        <w:t>How well have the Australia Awards been implemented in Tonga to support Australia’s GEDSI objectives?</w:t>
      </w:r>
    </w:p>
    <w:p w14:paraId="044B22D4" w14:textId="128BB04F" w:rsidR="0003357B" w:rsidRDefault="0003357B" w:rsidP="0003357B">
      <w:pPr>
        <w:pStyle w:val="ListParagraph"/>
        <w:numPr>
          <w:ilvl w:val="0"/>
          <w:numId w:val="21"/>
        </w:numPr>
      </w:pPr>
      <w:r>
        <w:t xml:space="preserve">Efficiency: </w:t>
      </w:r>
      <w:r w:rsidRPr="00EF2495">
        <w:t>How efficiently is the Australian Awards program being implemented?</w:t>
      </w:r>
    </w:p>
    <w:p w14:paraId="195313CC" w14:textId="27221276" w:rsidR="0003357B" w:rsidRPr="00B63B91" w:rsidRDefault="0003357B" w:rsidP="0003357B">
      <w:pPr>
        <w:pStyle w:val="ListParagraph"/>
        <w:numPr>
          <w:ilvl w:val="0"/>
          <w:numId w:val="21"/>
        </w:numPr>
      </w:pPr>
      <w:r>
        <w:t xml:space="preserve">Recommendations: </w:t>
      </w:r>
      <w:r w:rsidRPr="00EF2495">
        <w:t>What recommendation can be made to support to improve future programming and alignment with the Australia’s Development Partnership Program?</w:t>
      </w:r>
    </w:p>
    <w:p w14:paraId="0620BD32" w14:textId="4C38C017" w:rsidR="00C80FA2" w:rsidRPr="00EF2495" w:rsidRDefault="00EF2495" w:rsidP="009D4546">
      <w:pPr>
        <w:pStyle w:val="Heading2"/>
        <w:ind w:left="0" w:firstLine="0"/>
      </w:pPr>
      <w:bookmarkStart w:id="7" w:name="_Toc172812853"/>
      <w:r w:rsidRPr="00EF2495">
        <w:t>Review components</w:t>
      </w:r>
      <w:bookmarkEnd w:id="7"/>
    </w:p>
    <w:p w14:paraId="3106E295" w14:textId="77777777" w:rsidR="00C80FA2" w:rsidRPr="00EF2495" w:rsidRDefault="00C80FA2" w:rsidP="00EF2495">
      <w:pPr>
        <w:rPr>
          <w:lang w:val="en-US"/>
        </w:rPr>
      </w:pPr>
      <w:r w:rsidRPr="00EF2495">
        <w:rPr>
          <w:lang w:val="en-US"/>
        </w:rPr>
        <w:t>In responding to the review questions, and undertaking the review, the review team will:</w:t>
      </w:r>
    </w:p>
    <w:p w14:paraId="702F498A" w14:textId="77777777" w:rsidR="00C80FA2" w:rsidRPr="0003357B" w:rsidRDefault="00C80FA2" w:rsidP="0003357B">
      <w:pPr>
        <w:pStyle w:val="ListParagraph"/>
        <w:numPr>
          <w:ilvl w:val="0"/>
          <w:numId w:val="22"/>
        </w:numPr>
      </w:pPr>
      <w:proofErr w:type="spellStart"/>
      <w:r w:rsidRPr="0003357B">
        <w:t>Analyse</w:t>
      </w:r>
      <w:proofErr w:type="spellEnd"/>
      <w:r w:rsidRPr="0003357B">
        <w:t xml:space="preserve"> existing M&amp;E data on the Australia Awards in Tonga collected in OASIS and by the Australia Awards teams in Tonga and Canberra.</w:t>
      </w:r>
    </w:p>
    <w:p w14:paraId="6125240C" w14:textId="77777777" w:rsidR="00C80FA2" w:rsidRPr="0003357B" w:rsidRDefault="00C80FA2" w:rsidP="0003357B">
      <w:pPr>
        <w:pStyle w:val="ListParagraph"/>
        <w:numPr>
          <w:ilvl w:val="0"/>
          <w:numId w:val="22"/>
        </w:numPr>
      </w:pPr>
      <w:r w:rsidRPr="0003357B">
        <w:t>Conduct contact tracing and a short survey of alumni to determine their current contact details, employment and location.</w:t>
      </w:r>
    </w:p>
    <w:p w14:paraId="68E4D65F" w14:textId="1EED1935" w:rsidR="00C80FA2" w:rsidRPr="0003357B" w:rsidRDefault="00C80FA2" w:rsidP="0003357B">
      <w:pPr>
        <w:pStyle w:val="ListParagraph"/>
        <w:numPr>
          <w:ilvl w:val="0"/>
          <w:numId w:val="22"/>
        </w:numPr>
      </w:pPr>
      <w:r w:rsidRPr="0003357B">
        <w:t xml:space="preserve">Undertake in-country consultations (through key informant interviews and </w:t>
      </w:r>
      <w:r w:rsidR="001C5367" w:rsidRPr="0003357B">
        <w:t>FGDs</w:t>
      </w:r>
      <w:r w:rsidRPr="0003357B">
        <w:t>) with key stakeholders and with alumni.</w:t>
      </w:r>
    </w:p>
    <w:p w14:paraId="2E00D793" w14:textId="77777777" w:rsidR="00C80FA2" w:rsidRPr="0003357B" w:rsidRDefault="00C80FA2" w:rsidP="0003357B">
      <w:pPr>
        <w:pStyle w:val="ListParagraph"/>
        <w:numPr>
          <w:ilvl w:val="0"/>
          <w:numId w:val="22"/>
        </w:numPr>
      </w:pPr>
      <w:r w:rsidRPr="0003357B">
        <w:t>Write-up selected case studies on selected alumni.</w:t>
      </w:r>
    </w:p>
    <w:p w14:paraId="715AECCE" w14:textId="77777777" w:rsidR="00C80FA2" w:rsidRPr="0003357B" w:rsidRDefault="00C80FA2" w:rsidP="0003357B">
      <w:pPr>
        <w:pStyle w:val="ListParagraph"/>
        <w:numPr>
          <w:ilvl w:val="0"/>
          <w:numId w:val="22"/>
        </w:numPr>
      </w:pPr>
      <w:r w:rsidRPr="0003357B">
        <w:t>Prepare a review report, including recommendations to strengthen the effectiveness of the program.</w:t>
      </w:r>
    </w:p>
    <w:p w14:paraId="483B82D6" w14:textId="0B86E261" w:rsidR="00C80FA2" w:rsidRPr="0003357B" w:rsidRDefault="00C80FA2" w:rsidP="0003357B">
      <w:pPr>
        <w:pStyle w:val="ListParagraph"/>
        <w:numPr>
          <w:ilvl w:val="0"/>
          <w:numId w:val="22"/>
        </w:numPr>
      </w:pPr>
      <w:r w:rsidRPr="0003357B">
        <w:t>Develop a Scholarships Implementation Framework to guide delivery of the program by the DFAT Post.</w:t>
      </w:r>
    </w:p>
    <w:p w14:paraId="2E172A14" w14:textId="77777777" w:rsidR="00C80FA2" w:rsidRPr="00EF2495" w:rsidRDefault="00C80FA2" w:rsidP="00EF2495">
      <w:pPr>
        <w:rPr>
          <w:lang w:val="en-US"/>
        </w:rPr>
      </w:pPr>
      <w:r w:rsidRPr="00EF2495">
        <w:rPr>
          <w:lang w:val="en-US"/>
        </w:rPr>
        <w:t xml:space="preserve">The review recommendations should consider the strategic directions provided by Australia’s new International Development Policy, Australia Awards Global Strategic Framework, </w:t>
      </w:r>
      <w:r w:rsidRPr="00EF2495">
        <w:rPr>
          <w:lang w:val="en-US"/>
        </w:rPr>
        <w:lastRenderedPageBreak/>
        <w:t xml:space="preserve">Australia Awards Guidelines, DFAT policies regarding inclusion, the Development Partnership Plan and Tonga’s human resource development priorities. </w:t>
      </w:r>
    </w:p>
    <w:p w14:paraId="49B60F0A" w14:textId="7B6C7CF9" w:rsidR="00C80FA2" w:rsidRPr="00EF2495" w:rsidRDefault="00C80FA2" w:rsidP="00EF2495">
      <w:pPr>
        <w:rPr>
          <w:lang w:val="en-US"/>
        </w:rPr>
      </w:pPr>
      <w:r w:rsidRPr="00EF2495">
        <w:rPr>
          <w:lang w:val="en-US"/>
        </w:rPr>
        <w:t xml:space="preserve">The Scholarships Implementation Framework will take into consideration opportunities for outsourcing and </w:t>
      </w:r>
      <w:proofErr w:type="spellStart"/>
      <w:r w:rsidRPr="00EF2495">
        <w:rPr>
          <w:lang w:val="en-US"/>
        </w:rPr>
        <w:t>harmonised</w:t>
      </w:r>
      <w:proofErr w:type="spellEnd"/>
      <w:r w:rsidRPr="00EF2495">
        <w:rPr>
          <w:lang w:val="en-US"/>
        </w:rPr>
        <w:t xml:space="preserve"> activities, such as with DFAT Posts in other Pacific countries, the provision of services under the </w:t>
      </w:r>
      <w:r w:rsidR="00D967B0" w:rsidRPr="00EF2495">
        <w:rPr>
          <w:lang w:val="en-US"/>
        </w:rPr>
        <w:t>AAGSM</w:t>
      </w:r>
      <w:r w:rsidRPr="00EF2495">
        <w:rPr>
          <w:lang w:val="en-US"/>
        </w:rPr>
        <w:t xml:space="preserve"> (that will be operational in the second half of 2024), or with New Zealand M</w:t>
      </w:r>
      <w:r w:rsidR="00905E81" w:rsidRPr="00EF2495">
        <w:rPr>
          <w:lang w:val="en-US"/>
        </w:rPr>
        <w:t>inistry of Foreign Affairs and Trade (M</w:t>
      </w:r>
      <w:r w:rsidRPr="00EF2495">
        <w:rPr>
          <w:lang w:val="en-US"/>
        </w:rPr>
        <w:t>FAT</w:t>
      </w:r>
      <w:r w:rsidR="00905E81" w:rsidRPr="00EF2495">
        <w:rPr>
          <w:lang w:val="en-US"/>
        </w:rPr>
        <w:t>)</w:t>
      </w:r>
      <w:r w:rsidRPr="00EF2495">
        <w:rPr>
          <w:lang w:val="en-US"/>
        </w:rPr>
        <w:t>.</w:t>
      </w:r>
    </w:p>
    <w:p w14:paraId="686BE14D" w14:textId="0C38692B" w:rsidR="00C80FA2" w:rsidRPr="00EF2495" w:rsidRDefault="00EF2495" w:rsidP="00EF2495">
      <w:pPr>
        <w:pStyle w:val="Heading2"/>
      </w:pPr>
      <w:bookmarkStart w:id="8" w:name="_Toc172812854"/>
      <w:r w:rsidRPr="00EF2495">
        <w:t>Review team</w:t>
      </w:r>
      <w:bookmarkEnd w:id="8"/>
    </w:p>
    <w:p w14:paraId="0DAF2BAE" w14:textId="77777777" w:rsidR="00C80FA2" w:rsidRPr="00EF2495" w:rsidRDefault="00C80FA2" w:rsidP="00EF2495">
      <w:pPr>
        <w:rPr>
          <w:lang w:val="en-US"/>
        </w:rPr>
      </w:pPr>
      <w:r w:rsidRPr="00EF2495">
        <w:rPr>
          <w:lang w:val="en-US"/>
        </w:rPr>
        <w:t xml:space="preserve">The Review Team shall comprise a Lead Reviewer and a Local Review Coordinator.  The Review Team will report to and carry out the assigned tasks under the overall supervision of the DFAT Tonga Senior Program Manager for Education and Scholarships with the support of the Scholarships Program Manager. The Tonga Post will agree the review workplan with the Review Team, assist with </w:t>
      </w:r>
      <w:proofErr w:type="spellStart"/>
      <w:r w:rsidRPr="00EF2495">
        <w:rPr>
          <w:lang w:val="en-US"/>
        </w:rPr>
        <w:t>organising</w:t>
      </w:r>
      <w:proofErr w:type="spellEnd"/>
      <w:r w:rsidRPr="00EF2495">
        <w:rPr>
          <w:lang w:val="en-US"/>
        </w:rPr>
        <w:t xml:space="preserve"> provision of the necessary reference material and OASIS data and facilitate access to Post staff, alumni, and other key stakeholders. They will also provide feedback on draft deliverables.</w:t>
      </w:r>
    </w:p>
    <w:p w14:paraId="4F6712F4" w14:textId="77777777" w:rsidR="00C80FA2" w:rsidRPr="00EF2495" w:rsidRDefault="00C80FA2" w:rsidP="00EF2495">
      <w:pPr>
        <w:rPr>
          <w:lang w:val="en-US"/>
        </w:rPr>
      </w:pPr>
      <w:r w:rsidRPr="00EF2495">
        <w:rPr>
          <w:lang w:val="en-US"/>
        </w:rPr>
        <w:t xml:space="preserve">The Lead Reviewer will have primary responsibility for ensuring the timely and quality submission of all deliverables. This includes responsibility for reaching agreement on the review questions, all review activities and drafting of the recommendations and concept </w:t>
      </w:r>
      <w:proofErr w:type="gramStart"/>
      <w:r w:rsidRPr="00EF2495">
        <w:rPr>
          <w:lang w:val="en-US"/>
        </w:rPr>
        <w:t>note</w:t>
      </w:r>
      <w:proofErr w:type="gramEnd"/>
      <w:r w:rsidRPr="00EF2495">
        <w:rPr>
          <w:lang w:val="en-US"/>
        </w:rPr>
        <w:t xml:space="preserve">, and for </w:t>
      </w:r>
      <w:proofErr w:type="gramStart"/>
      <w:r w:rsidRPr="00EF2495">
        <w:rPr>
          <w:lang w:val="en-US"/>
        </w:rPr>
        <w:t>making adjustments</w:t>
      </w:r>
      <w:proofErr w:type="gramEnd"/>
      <w:r w:rsidRPr="00EF2495">
        <w:rPr>
          <w:lang w:val="en-US"/>
        </w:rPr>
        <w:t xml:space="preserve"> based on feedback. The Lead Reviewer will also supervise the work of the Local Review Coordinator who will provide agreed support in collating review data, </w:t>
      </w:r>
      <w:proofErr w:type="spellStart"/>
      <w:r w:rsidRPr="00EF2495">
        <w:rPr>
          <w:lang w:val="en-US"/>
        </w:rPr>
        <w:t>organising</w:t>
      </w:r>
      <w:proofErr w:type="spellEnd"/>
      <w:r w:rsidRPr="00EF2495">
        <w:rPr>
          <w:lang w:val="en-US"/>
        </w:rPr>
        <w:t xml:space="preserve"> interviews, focus groups or surveys and arranging logistics for the review as required. The Local Review Coordinator will also advise on relevant aspects of the local Tonga context and use this to provide input into drafting of the review deliverables.</w:t>
      </w:r>
    </w:p>
    <w:p w14:paraId="404F0052" w14:textId="119D5416" w:rsidR="00C80FA2" w:rsidRPr="00EF2495" w:rsidRDefault="00EF2495" w:rsidP="00EF2495">
      <w:pPr>
        <w:pStyle w:val="Heading2"/>
      </w:pPr>
      <w:bookmarkStart w:id="9" w:name="_Toc172812857"/>
      <w:r w:rsidRPr="00EF2495">
        <w:t>Duration of the review</w:t>
      </w:r>
      <w:bookmarkEnd w:id="9"/>
    </w:p>
    <w:p w14:paraId="31CC0FEC" w14:textId="77777777" w:rsidR="00C80FA2" w:rsidRPr="00EF2495" w:rsidRDefault="00C80FA2" w:rsidP="00EF2495">
      <w:pPr>
        <w:rPr>
          <w:lang w:val="en-US"/>
        </w:rPr>
      </w:pPr>
      <w:r w:rsidRPr="00EF2495">
        <w:rPr>
          <w:lang w:val="en-US"/>
        </w:rPr>
        <w:t>The review will be conducted between July to December 2024. The Lead Reviewer will be contracted for up to 43 days (with at least part of the assignment conducted in Tonga) and the Local Review Coordinator in Tonga will be contracted for up to 35.5 days. The daily rates for the review team members will be separately agreed. The Lead Reviewer will also be provided with allowances/reimbursement for travel, accommodation, daily per diem, travel insurance and other agreed reimbursables.</w:t>
      </w:r>
    </w:p>
    <w:p w14:paraId="514C5091" w14:textId="77777777" w:rsidR="00C80FA2" w:rsidRPr="00E502CB" w:rsidRDefault="00C80FA2" w:rsidP="002B64B0">
      <w:pPr>
        <w:pStyle w:val="Heading1"/>
        <w:rPr>
          <w:color w:val="auto"/>
        </w:rPr>
      </w:pPr>
      <w:bookmarkStart w:id="10" w:name="_Toc172812860"/>
      <w:bookmarkStart w:id="11" w:name="_Toc174445835"/>
      <w:bookmarkStart w:id="12" w:name="_Toc185321200"/>
      <w:r w:rsidRPr="00E502CB">
        <w:rPr>
          <w:color w:val="auto"/>
        </w:rPr>
        <w:t>Annex 2: Review Questions and Sub-Questions</w:t>
      </w:r>
      <w:bookmarkEnd w:id="10"/>
      <w:bookmarkEnd w:id="11"/>
      <w:bookmarkEnd w:id="12"/>
    </w:p>
    <w:p w14:paraId="77BBA9D5" w14:textId="77777777" w:rsidR="00C80FA2" w:rsidRPr="00EF2495" w:rsidRDefault="00C80FA2" w:rsidP="002B64B0">
      <w:pPr>
        <w:pStyle w:val="Heading2"/>
      </w:pPr>
      <w:r w:rsidRPr="00EF2495">
        <w:t>Key Review Question 1 - Relevance</w:t>
      </w:r>
    </w:p>
    <w:p w14:paraId="756F4471" w14:textId="77777777" w:rsidR="00C80FA2" w:rsidRPr="00EF2495" w:rsidRDefault="00C80FA2" w:rsidP="00EF2495">
      <w:pPr>
        <w:rPr>
          <w:lang w:val="en-US"/>
        </w:rPr>
      </w:pPr>
      <w:r w:rsidRPr="00EF2495">
        <w:rPr>
          <w:lang w:val="en-US"/>
        </w:rPr>
        <w:t>To what extent are the Australia Awards relevant to Australia and Tonga's development priorities?</w:t>
      </w:r>
    </w:p>
    <w:p w14:paraId="48A18AD4" w14:textId="77777777" w:rsidR="00C80FA2" w:rsidRPr="00EF2495" w:rsidRDefault="00C80FA2" w:rsidP="002B64B0">
      <w:pPr>
        <w:pStyle w:val="Heading3"/>
      </w:pPr>
      <w:r w:rsidRPr="00EF2495">
        <w:t>Sub-Questions:</w:t>
      </w:r>
    </w:p>
    <w:p w14:paraId="7857B084" w14:textId="77777777" w:rsidR="00C80FA2" w:rsidRPr="00EF2495" w:rsidRDefault="00C80FA2" w:rsidP="00EF2495">
      <w:pPr>
        <w:rPr>
          <w:lang w:val="en-US"/>
        </w:rPr>
      </w:pPr>
      <w:r w:rsidRPr="00EF2495">
        <w:rPr>
          <w:lang w:val="en-US"/>
        </w:rPr>
        <w:t>How well is the program aligned with Australia’s overarching aid policy, DFAT’s public and economic diplomacy strategies and Australia Awards global strategy?</w:t>
      </w:r>
    </w:p>
    <w:p w14:paraId="571BBF6C" w14:textId="77777777" w:rsidR="00C80FA2" w:rsidRPr="00EF2495" w:rsidRDefault="00C80FA2" w:rsidP="00EF2495">
      <w:pPr>
        <w:rPr>
          <w:lang w:val="en-US"/>
        </w:rPr>
      </w:pPr>
      <w:r w:rsidRPr="00EF2495">
        <w:rPr>
          <w:lang w:val="en-US"/>
        </w:rPr>
        <w:t>To what extent has the program achieved an adequate focus on Government of Tonga priority sectors and skills shortages?</w:t>
      </w:r>
    </w:p>
    <w:p w14:paraId="5E8B7BA8" w14:textId="77777777" w:rsidR="00C80FA2" w:rsidRPr="00EF2495" w:rsidRDefault="00C80FA2" w:rsidP="00EF2495">
      <w:pPr>
        <w:rPr>
          <w:lang w:val="en-US"/>
        </w:rPr>
      </w:pPr>
      <w:r w:rsidRPr="00EF2495">
        <w:rPr>
          <w:lang w:val="en-US"/>
        </w:rPr>
        <w:lastRenderedPageBreak/>
        <w:t>Are the levels of education, locations for study and fields of education provided most appropriate to contributing to economic and social development in Tonga? How well is the AAS preparing Tonga for the workforces of the future (green economy, digital economies)?</w:t>
      </w:r>
    </w:p>
    <w:p w14:paraId="2813CBAD" w14:textId="77777777" w:rsidR="00C80FA2" w:rsidRPr="00EF2495" w:rsidRDefault="00C80FA2" w:rsidP="00EF2495">
      <w:pPr>
        <w:rPr>
          <w:lang w:val="en-US"/>
        </w:rPr>
      </w:pPr>
      <w:r w:rsidRPr="00EF2495">
        <w:rPr>
          <w:lang w:val="en-US"/>
        </w:rPr>
        <w:t>To what extent are key DFAT and Tonga stakeholders contributing to the strategic direction and oversight of the program?</w:t>
      </w:r>
    </w:p>
    <w:p w14:paraId="1A79780D" w14:textId="77777777" w:rsidR="00C80FA2" w:rsidRPr="00EF2495" w:rsidRDefault="00C80FA2" w:rsidP="00EF2495">
      <w:pPr>
        <w:rPr>
          <w:lang w:val="en-US"/>
        </w:rPr>
      </w:pPr>
      <w:r w:rsidRPr="00EF2495">
        <w:rPr>
          <w:lang w:val="en-US"/>
        </w:rPr>
        <w:t>How well is the program aligned with Australia’s bilateral development portfolio with Tonga, including with its other investments?</w:t>
      </w:r>
    </w:p>
    <w:p w14:paraId="1F322BF7" w14:textId="3F85A04F" w:rsidR="00C80FA2" w:rsidRPr="00EF2495" w:rsidRDefault="00C80FA2" w:rsidP="00EF2495">
      <w:pPr>
        <w:rPr>
          <w:lang w:val="en-US"/>
        </w:rPr>
      </w:pPr>
      <w:r w:rsidRPr="00EF2495">
        <w:rPr>
          <w:lang w:val="en-US"/>
        </w:rPr>
        <w:t>How well is the program aligned to the Government’s own financial investment in tertiary education, and other development partner investment? Are our numbers on par with expectations as Tonga’s lead development partner? Is the program competitive?</w:t>
      </w:r>
    </w:p>
    <w:p w14:paraId="62CD5322" w14:textId="77777777" w:rsidR="00C80FA2" w:rsidRPr="00EF2495" w:rsidRDefault="00C80FA2" w:rsidP="00951316">
      <w:pPr>
        <w:pStyle w:val="Heading2"/>
      </w:pPr>
      <w:r w:rsidRPr="00EF2495">
        <w:t>Key Review Question 2 – Effectiveness</w:t>
      </w:r>
    </w:p>
    <w:p w14:paraId="79FB263A" w14:textId="77777777" w:rsidR="00C80FA2" w:rsidRPr="00EF2495" w:rsidRDefault="00C80FA2" w:rsidP="00EF2495">
      <w:pPr>
        <w:rPr>
          <w:lang w:val="en-US"/>
        </w:rPr>
      </w:pPr>
      <w:r w:rsidRPr="00EF2495">
        <w:rPr>
          <w:lang w:val="en-US"/>
        </w:rPr>
        <w:t>How effectively is the program in Tonga in meeting the four objectives under the Global Strategic Framework for the Australia Awards?</w:t>
      </w:r>
    </w:p>
    <w:p w14:paraId="32F667F9" w14:textId="77777777" w:rsidR="00C80FA2" w:rsidRPr="00EF2495" w:rsidRDefault="00C80FA2" w:rsidP="00951316">
      <w:pPr>
        <w:pStyle w:val="Heading3"/>
      </w:pPr>
      <w:r w:rsidRPr="00EF2495">
        <w:t>Sub-Questions:</w:t>
      </w:r>
    </w:p>
    <w:p w14:paraId="31FF7A53" w14:textId="77777777" w:rsidR="00C80FA2" w:rsidRPr="00EF2495" w:rsidRDefault="00C80FA2" w:rsidP="00EF2495">
      <w:pPr>
        <w:rPr>
          <w:lang w:val="en-US"/>
        </w:rPr>
      </w:pPr>
      <w:r w:rsidRPr="00EF2495">
        <w:rPr>
          <w:lang w:val="en-US"/>
        </w:rPr>
        <w:t>What evidence is there that alumni have used their skills, knowledge, and networks to contribute to sustainable development in their home agency/ sector/country?</w:t>
      </w:r>
    </w:p>
    <w:p w14:paraId="310484D7" w14:textId="77777777" w:rsidR="00C80FA2" w:rsidRPr="00EF2495" w:rsidRDefault="00C80FA2" w:rsidP="00EF2495">
      <w:pPr>
        <w:rPr>
          <w:lang w:val="en-US"/>
        </w:rPr>
      </w:pPr>
      <w:r w:rsidRPr="00EF2495">
        <w:rPr>
          <w:lang w:val="en-US"/>
        </w:rPr>
        <w:t>What evidence is there that alumni have developed and sustained positive people-to-people links, and have contributed to cooperation between Australia and Tonga?</w:t>
      </w:r>
    </w:p>
    <w:p w14:paraId="1568F8E9" w14:textId="77777777" w:rsidR="00C80FA2" w:rsidRPr="00EF2495" w:rsidRDefault="00C80FA2" w:rsidP="00EF2495">
      <w:pPr>
        <w:rPr>
          <w:lang w:val="en-US"/>
        </w:rPr>
      </w:pPr>
      <w:r w:rsidRPr="00EF2495">
        <w:rPr>
          <w:lang w:val="en-US"/>
        </w:rPr>
        <w:t>To what extent is the program impacting the quality and preparedness of leadership in Tonga (disaggregated by gender and disability, public and private sectors, academia, and civil society)?</w:t>
      </w:r>
    </w:p>
    <w:p w14:paraId="7721BD16" w14:textId="77777777" w:rsidR="00C80FA2" w:rsidRPr="00EF2495" w:rsidRDefault="00C80FA2" w:rsidP="00EF2495">
      <w:pPr>
        <w:rPr>
          <w:lang w:val="en-US"/>
        </w:rPr>
      </w:pPr>
      <w:r w:rsidRPr="00EF2495">
        <w:rPr>
          <w:lang w:val="en-US"/>
        </w:rPr>
        <w:t>Are the selection methods appropriate?</w:t>
      </w:r>
    </w:p>
    <w:p w14:paraId="645FE8E8" w14:textId="77777777" w:rsidR="00C80FA2" w:rsidRPr="00EF2495" w:rsidRDefault="00C80FA2" w:rsidP="00EF2495">
      <w:pPr>
        <w:rPr>
          <w:lang w:val="en-US"/>
        </w:rPr>
      </w:pPr>
      <w:r w:rsidRPr="00EF2495">
        <w:rPr>
          <w:lang w:val="en-US"/>
        </w:rPr>
        <w:t>Are pre-departure activities providing adequate preparation for studying and living in Australia? How satisfied are alumni with the support provided to them on return to Tonga?</w:t>
      </w:r>
    </w:p>
    <w:p w14:paraId="4E76E61F" w14:textId="77777777" w:rsidR="00C80FA2" w:rsidRPr="00EF2495" w:rsidRDefault="00C80FA2" w:rsidP="00EF2495">
      <w:pPr>
        <w:rPr>
          <w:lang w:val="en-US"/>
        </w:rPr>
      </w:pPr>
      <w:r w:rsidRPr="00EF2495">
        <w:rPr>
          <w:lang w:val="en-US"/>
        </w:rPr>
        <w:t>What sort of support and ongoing training and connection do Alumni want (short courses, seminars, capacity building and other alumni activities?).</w:t>
      </w:r>
    </w:p>
    <w:p w14:paraId="426704EF" w14:textId="77777777" w:rsidR="00C80FA2" w:rsidRPr="00EF2495" w:rsidRDefault="00C80FA2" w:rsidP="00EF2495">
      <w:pPr>
        <w:rPr>
          <w:lang w:val="en-US"/>
        </w:rPr>
      </w:pPr>
      <w:r w:rsidRPr="00EF2495">
        <w:rPr>
          <w:lang w:val="en-US"/>
        </w:rPr>
        <w:t>2.8.</w:t>
      </w:r>
      <w:r w:rsidRPr="00EF2495">
        <w:rPr>
          <w:lang w:val="en-US"/>
        </w:rPr>
        <w:tab/>
        <w:t>To what extent is the program and its participants/alumni generating positive public diplomacy results for the Australian and Tongan governments?</w:t>
      </w:r>
    </w:p>
    <w:p w14:paraId="61D4F234" w14:textId="14809E97" w:rsidR="00C80FA2" w:rsidRPr="00EF2495" w:rsidRDefault="00C80FA2" w:rsidP="009D4546">
      <w:pPr>
        <w:pStyle w:val="Heading2"/>
        <w:ind w:left="0" w:firstLine="0"/>
      </w:pPr>
      <w:r w:rsidRPr="00EF2495">
        <w:t>Key Review Question 3 - Inclusion</w:t>
      </w:r>
    </w:p>
    <w:p w14:paraId="415CA702" w14:textId="77777777" w:rsidR="00C80FA2" w:rsidRPr="00EF2495" w:rsidRDefault="00C80FA2" w:rsidP="00EF2495">
      <w:pPr>
        <w:rPr>
          <w:lang w:val="en-US"/>
        </w:rPr>
      </w:pPr>
      <w:r w:rsidRPr="00EF2495">
        <w:rPr>
          <w:lang w:val="en-US"/>
        </w:rPr>
        <w:t xml:space="preserve">How well have the Australia Awards been implemented in Tonga to support Australia’s GEDSI objectives? </w:t>
      </w:r>
    </w:p>
    <w:p w14:paraId="1A7FC3B5" w14:textId="77777777" w:rsidR="00C80FA2" w:rsidRPr="00EF2495" w:rsidRDefault="00C80FA2" w:rsidP="00951316">
      <w:pPr>
        <w:pStyle w:val="Heading3"/>
      </w:pPr>
      <w:r w:rsidRPr="00EF2495">
        <w:t>Sub-Questions:</w:t>
      </w:r>
    </w:p>
    <w:p w14:paraId="3283B146" w14:textId="2B069EF4" w:rsidR="00C80FA2" w:rsidRPr="00EF2495" w:rsidRDefault="00C80FA2" w:rsidP="00EF2495">
      <w:pPr>
        <w:rPr>
          <w:lang w:val="en-US"/>
        </w:rPr>
      </w:pPr>
      <w:r w:rsidRPr="00EF2495">
        <w:rPr>
          <w:lang w:val="en-US"/>
        </w:rPr>
        <w:t xml:space="preserve">What efforts </w:t>
      </w:r>
      <w:r w:rsidR="00D67D0D" w:rsidRPr="00EF2495">
        <w:rPr>
          <w:lang w:val="en-US"/>
        </w:rPr>
        <w:t>have been</w:t>
      </w:r>
      <w:r w:rsidRPr="00EF2495">
        <w:rPr>
          <w:lang w:val="en-US"/>
        </w:rPr>
        <w:t xml:space="preserve"> made throughout the scholarship cycle to enhance Gender Equality, Disability and Social Inclusion, including identifying and addressing barriers to inclusion? What has been successful? What challenges and opportunities are there?</w:t>
      </w:r>
    </w:p>
    <w:p w14:paraId="786419D0" w14:textId="77777777" w:rsidR="00C80FA2" w:rsidRPr="00EF2495" w:rsidRDefault="00C80FA2" w:rsidP="00EF2495">
      <w:pPr>
        <w:rPr>
          <w:lang w:val="en-US"/>
        </w:rPr>
      </w:pPr>
      <w:r w:rsidRPr="00EF2495">
        <w:rPr>
          <w:lang w:val="en-US"/>
        </w:rPr>
        <w:t xml:space="preserve">To what extent has the program benefited women, people with disabilities, and people from outer islands? How has the program promoted ongoing diverse leadership in Tonga or improvements to GEDSI within </w:t>
      </w:r>
      <w:proofErr w:type="spellStart"/>
      <w:r w:rsidRPr="00EF2495">
        <w:rPr>
          <w:lang w:val="en-US"/>
        </w:rPr>
        <w:t>organisations</w:t>
      </w:r>
      <w:proofErr w:type="spellEnd"/>
      <w:r w:rsidRPr="00EF2495">
        <w:rPr>
          <w:lang w:val="en-US"/>
        </w:rPr>
        <w:t xml:space="preserve"> led or staffed by Alumni? Have there been any unintended consequences for minority groups upon return?</w:t>
      </w:r>
    </w:p>
    <w:p w14:paraId="18A23F32" w14:textId="2C57A583" w:rsidR="00C80FA2" w:rsidRPr="00EF2495" w:rsidRDefault="00C80FA2" w:rsidP="00EF2495">
      <w:pPr>
        <w:rPr>
          <w:lang w:val="en-US"/>
        </w:rPr>
      </w:pPr>
      <w:r w:rsidRPr="00EF2495">
        <w:rPr>
          <w:lang w:val="en-US"/>
        </w:rPr>
        <w:lastRenderedPageBreak/>
        <w:t>To what extent is English language a barrier to improving access to the scholarships and successful study in Australia? What other barriers inhibit people from applying and being accepted to AAS?</w:t>
      </w:r>
    </w:p>
    <w:p w14:paraId="235F2F8B" w14:textId="77777777" w:rsidR="00C80FA2" w:rsidRPr="00EF2495" w:rsidRDefault="00C80FA2" w:rsidP="00951316">
      <w:pPr>
        <w:pStyle w:val="Heading2"/>
      </w:pPr>
      <w:r w:rsidRPr="00EF2495">
        <w:t>Key Review Question 4 - Efficiency</w:t>
      </w:r>
    </w:p>
    <w:p w14:paraId="15AF9AD3" w14:textId="77777777" w:rsidR="00C80FA2" w:rsidRPr="00EF2495" w:rsidRDefault="00C80FA2" w:rsidP="00EF2495">
      <w:pPr>
        <w:rPr>
          <w:lang w:val="en-US"/>
        </w:rPr>
      </w:pPr>
      <w:r w:rsidRPr="00EF2495">
        <w:rPr>
          <w:lang w:val="en-US"/>
        </w:rPr>
        <w:t xml:space="preserve">How efficiently is the Australian Awards program being implemented? </w:t>
      </w:r>
    </w:p>
    <w:p w14:paraId="0CD35464" w14:textId="77777777" w:rsidR="00C80FA2" w:rsidRPr="00EF2495" w:rsidRDefault="00C80FA2" w:rsidP="00EF2495">
      <w:r w:rsidRPr="00951316">
        <w:rPr>
          <w:rStyle w:val="Heading3Char"/>
        </w:rPr>
        <w:t>Sub-Questions</w:t>
      </w:r>
      <w:r w:rsidRPr="00EF2495">
        <w:t>:</w:t>
      </w:r>
    </w:p>
    <w:p w14:paraId="22593B99" w14:textId="6DFD5894" w:rsidR="00C80FA2" w:rsidRPr="00EF2495" w:rsidRDefault="00C80FA2" w:rsidP="00EF2495">
      <w:pPr>
        <w:rPr>
          <w:lang w:val="en-US"/>
        </w:rPr>
      </w:pPr>
      <w:r w:rsidRPr="00EF2495">
        <w:rPr>
          <w:lang w:val="en-US"/>
        </w:rPr>
        <w:t xml:space="preserve">Is the balance/ratio of the program </w:t>
      </w:r>
      <w:proofErr w:type="gramStart"/>
      <w:r w:rsidRPr="00EF2495">
        <w:rPr>
          <w:lang w:val="en-US"/>
        </w:rPr>
        <w:t>spend</w:t>
      </w:r>
      <w:proofErr w:type="gramEnd"/>
      <w:r w:rsidRPr="00EF2495">
        <w:rPr>
          <w:lang w:val="en-US"/>
        </w:rPr>
        <w:t xml:space="preserve"> among the program streams appropriate? Are there opportunities to enhance these investments compared to other A</w:t>
      </w:r>
      <w:r w:rsidR="00AC3CC8" w:rsidRPr="00EF2495">
        <w:rPr>
          <w:lang w:val="en-US"/>
        </w:rPr>
        <w:t xml:space="preserve">ustralia </w:t>
      </w:r>
      <w:r w:rsidRPr="00EF2495">
        <w:rPr>
          <w:lang w:val="en-US"/>
        </w:rPr>
        <w:t>A</w:t>
      </w:r>
      <w:r w:rsidR="00AC3CC8" w:rsidRPr="00EF2495">
        <w:rPr>
          <w:lang w:val="en-US"/>
        </w:rPr>
        <w:t>wards</w:t>
      </w:r>
      <w:r w:rsidRPr="00EF2495">
        <w:rPr>
          <w:lang w:val="en-US"/>
        </w:rPr>
        <w:t xml:space="preserve"> or global models?</w:t>
      </w:r>
    </w:p>
    <w:p w14:paraId="54502A0F" w14:textId="77777777" w:rsidR="00C80FA2" w:rsidRPr="00EF2495" w:rsidRDefault="00C80FA2" w:rsidP="00EF2495">
      <w:pPr>
        <w:rPr>
          <w:lang w:val="en-US"/>
        </w:rPr>
      </w:pPr>
      <w:r w:rsidRPr="00EF2495">
        <w:rPr>
          <w:lang w:val="en-US"/>
        </w:rPr>
        <w:t>How efficient are implementation arrangements across the scholarships cycle? How could these be improved?</w:t>
      </w:r>
    </w:p>
    <w:p w14:paraId="642EC3B6" w14:textId="11796A02" w:rsidR="00C80FA2" w:rsidRPr="00EF2495" w:rsidRDefault="00C80FA2" w:rsidP="00EF2495">
      <w:pPr>
        <w:rPr>
          <w:lang w:val="en-US"/>
        </w:rPr>
      </w:pPr>
      <w:r w:rsidRPr="00EF2495">
        <w:rPr>
          <w:lang w:val="en-US"/>
        </w:rPr>
        <w:t xml:space="preserve">How well is the MEL system producing robust data which </w:t>
      </w:r>
      <w:proofErr w:type="gramStart"/>
      <w:r w:rsidRPr="00EF2495">
        <w:rPr>
          <w:lang w:val="en-US"/>
        </w:rPr>
        <w:t>to manage</w:t>
      </w:r>
      <w:proofErr w:type="gramEnd"/>
      <w:r w:rsidRPr="00EF2495">
        <w:rPr>
          <w:lang w:val="en-US"/>
        </w:rPr>
        <w:t xml:space="preserve"> the program and </w:t>
      </w:r>
      <w:proofErr w:type="gramStart"/>
      <w:r w:rsidRPr="00EF2495">
        <w:rPr>
          <w:lang w:val="en-US"/>
        </w:rPr>
        <w:t>to communicate</w:t>
      </w:r>
      <w:proofErr w:type="gramEnd"/>
      <w:r w:rsidRPr="00EF2495">
        <w:rPr>
          <w:lang w:val="en-US"/>
        </w:rPr>
        <w:t xml:space="preserve"> and </w:t>
      </w:r>
      <w:proofErr w:type="gramStart"/>
      <w:r w:rsidRPr="00EF2495">
        <w:rPr>
          <w:lang w:val="en-US"/>
        </w:rPr>
        <w:t>assess</w:t>
      </w:r>
      <w:proofErr w:type="gramEnd"/>
      <w:r w:rsidRPr="00EF2495">
        <w:rPr>
          <w:lang w:val="en-US"/>
        </w:rPr>
        <w:t xml:space="preserve"> the outputs, outcomes, and longer-term impact of the program?</w:t>
      </w:r>
    </w:p>
    <w:p w14:paraId="7116FA40" w14:textId="77777777" w:rsidR="00C80FA2" w:rsidRPr="00EF2495" w:rsidRDefault="00C80FA2" w:rsidP="00951316">
      <w:pPr>
        <w:pStyle w:val="Heading2"/>
      </w:pPr>
      <w:r w:rsidRPr="00EF2495">
        <w:t>Key Review Question 5 - Recommendations</w:t>
      </w:r>
    </w:p>
    <w:p w14:paraId="198B60FD" w14:textId="77777777" w:rsidR="00C80FA2" w:rsidRPr="00EF2495" w:rsidRDefault="00C80FA2" w:rsidP="00EF2495">
      <w:pPr>
        <w:rPr>
          <w:lang w:val="en-US"/>
        </w:rPr>
      </w:pPr>
      <w:r w:rsidRPr="00EF2495">
        <w:rPr>
          <w:lang w:val="en-US"/>
        </w:rPr>
        <w:t>What recommendation can be made to support to improve future programming and alignment with the Australia’s Development Partnership Program?</w:t>
      </w:r>
    </w:p>
    <w:p w14:paraId="13148794" w14:textId="77777777" w:rsidR="00C80FA2" w:rsidRPr="00EF2495" w:rsidRDefault="00C80FA2" w:rsidP="00951316">
      <w:pPr>
        <w:pStyle w:val="Heading3"/>
      </w:pPr>
      <w:r w:rsidRPr="00EF2495">
        <w:t>Sub-Questions:</w:t>
      </w:r>
    </w:p>
    <w:p w14:paraId="15A1FF0D" w14:textId="77777777" w:rsidR="00C80FA2" w:rsidRPr="00EF2495" w:rsidRDefault="00C80FA2" w:rsidP="00EF2495">
      <w:pPr>
        <w:rPr>
          <w:lang w:val="en-US"/>
        </w:rPr>
      </w:pPr>
      <w:r w:rsidRPr="00EF2495">
        <w:rPr>
          <w:lang w:val="en-US"/>
        </w:rPr>
        <w:t xml:space="preserve">What is an appropriate ratio and level of awards relevant for Tonga’s development (i.e. Diploma, Bachelors, </w:t>
      </w:r>
      <w:proofErr w:type="gramStart"/>
      <w:r w:rsidRPr="00EF2495">
        <w:rPr>
          <w:lang w:val="en-US"/>
        </w:rPr>
        <w:t>Masters</w:t>
      </w:r>
      <w:proofErr w:type="gramEnd"/>
      <w:r w:rsidRPr="00EF2495">
        <w:rPr>
          <w:lang w:val="en-US"/>
        </w:rPr>
        <w:t xml:space="preserve"> and PhD, in-Australia, and in-region?</w:t>
      </w:r>
    </w:p>
    <w:p w14:paraId="02C257BD" w14:textId="77777777" w:rsidR="00C80FA2" w:rsidRPr="00EF2495" w:rsidRDefault="00C80FA2" w:rsidP="00EF2495">
      <w:pPr>
        <w:rPr>
          <w:lang w:val="en-US"/>
        </w:rPr>
      </w:pPr>
      <w:r w:rsidRPr="00EF2495">
        <w:rPr>
          <w:lang w:val="en-US"/>
        </w:rPr>
        <w:t>How can DFAT improve targeting of awards to address key skills gaps, select future leaders most likely to contribute to the development of their country and region and the bilateral relationship? How can DFAT extend the benefits of the Australia Awards investment through strengthening professional networks, building capacity and providing opportunities for Australia Awards alumni on return home?</w:t>
      </w:r>
    </w:p>
    <w:p w14:paraId="74ACA21B" w14:textId="77777777" w:rsidR="00C80FA2" w:rsidRPr="00EF2495" w:rsidRDefault="00C80FA2" w:rsidP="00EF2495">
      <w:pPr>
        <w:rPr>
          <w:lang w:val="en-US"/>
        </w:rPr>
      </w:pPr>
      <w:r w:rsidRPr="00EF2495">
        <w:rPr>
          <w:lang w:val="en-US"/>
        </w:rPr>
        <w:t>What is the appropriate ongoing financial commitment for Australia Awards scholarships over the next five years?</w:t>
      </w:r>
    </w:p>
    <w:p w14:paraId="1DD3EBB6" w14:textId="77777777" w:rsidR="00C80FA2" w:rsidRPr="00EF2495" w:rsidRDefault="00C80FA2" w:rsidP="00EF2495">
      <w:pPr>
        <w:rPr>
          <w:lang w:val="en-US"/>
        </w:rPr>
      </w:pPr>
      <w:r w:rsidRPr="00EF2495">
        <w:rPr>
          <w:lang w:val="en-US"/>
        </w:rPr>
        <w:t>What is the minimum M&amp;E system that should be introduced for a program of this size by Nuku’alofa Post, that would support data capture and analysis for decision making and improvement, and reporting, including against the global Australia Awards core indicators?</w:t>
      </w:r>
    </w:p>
    <w:p w14:paraId="6894DD80" w14:textId="77777777" w:rsidR="00C80FA2" w:rsidRPr="00E502CB" w:rsidRDefault="00C80FA2" w:rsidP="006A0357">
      <w:pPr>
        <w:pStyle w:val="Heading1"/>
        <w:rPr>
          <w:color w:val="auto"/>
        </w:rPr>
      </w:pPr>
      <w:bookmarkStart w:id="13" w:name="_Toc185321201"/>
      <w:bookmarkStart w:id="14" w:name="_Toc350602342"/>
      <w:bookmarkStart w:id="15" w:name="_Toc172812863"/>
      <w:bookmarkStart w:id="16" w:name="_Toc174445836"/>
      <w:r w:rsidRPr="00E502CB">
        <w:rPr>
          <w:color w:val="auto"/>
        </w:rPr>
        <w:t>Annex 3. Review Methodology – Key components</w:t>
      </w:r>
      <w:bookmarkEnd w:id="13"/>
    </w:p>
    <w:p w14:paraId="32026A71" w14:textId="77777777" w:rsidR="00C80FA2" w:rsidRPr="00EF2495" w:rsidRDefault="00C80FA2" w:rsidP="00EF2495">
      <w:r w:rsidRPr="00EF2495">
        <w:t xml:space="preserve">The review undertook a utilisation focused approach - that the recommendations arising from the review are useful for its intended users – primarily the AHC. The review was conducted in accordance with the DFAT’s </w:t>
      </w:r>
      <w:hyperlink r:id="rId12">
        <w:r w:rsidRPr="00EF2495">
          <w:rPr>
            <w:rStyle w:val="Hyperlink"/>
          </w:rPr>
          <w:t>M&amp;E Standards</w:t>
        </w:r>
      </w:hyperlink>
      <w:r w:rsidRPr="00EF2495">
        <w:t xml:space="preserve"> (2023) and the principles in the DFAT’s </w:t>
      </w:r>
      <w:hyperlink r:id="rId13">
        <w:r w:rsidRPr="00EF2495">
          <w:rPr>
            <w:rStyle w:val="Hyperlink"/>
          </w:rPr>
          <w:t>Ethical Research and Evaluation Guidance Note</w:t>
        </w:r>
      </w:hyperlink>
      <w:r w:rsidRPr="00EF2495">
        <w:t xml:space="preserve"> (2021). Consideration was given in review planning and implementation to participation in the review of women, youth, people with disability and people from outside of Nuku’alofa (including through conducting FGD in </w:t>
      </w:r>
      <w:proofErr w:type="spellStart"/>
      <w:r w:rsidRPr="00EF2495">
        <w:t>Vava’u</w:t>
      </w:r>
      <w:proofErr w:type="spellEnd"/>
      <w:r w:rsidRPr="00EF2495">
        <w:t xml:space="preserve"> and </w:t>
      </w:r>
      <w:proofErr w:type="spellStart"/>
      <w:r w:rsidRPr="00EF2495">
        <w:t>Ha’apai</w:t>
      </w:r>
      <w:proofErr w:type="spellEnd"/>
      <w:r w:rsidRPr="00EF2495">
        <w:t>). This annex provides further details on the review methodology undertaken by the review team.</w:t>
      </w:r>
    </w:p>
    <w:p w14:paraId="21BA3CF5" w14:textId="7AC093EC" w:rsidR="00C80FA2" w:rsidRPr="00EF2495" w:rsidRDefault="002C4A77" w:rsidP="006A0357">
      <w:pPr>
        <w:pStyle w:val="Heading2"/>
      </w:pPr>
      <w:bookmarkStart w:id="17" w:name="_Toc172812837"/>
      <w:bookmarkStart w:id="18" w:name="_Toc185321202"/>
      <w:r w:rsidRPr="00EF2495">
        <w:lastRenderedPageBreak/>
        <w:t>1.</w:t>
      </w:r>
      <w:r w:rsidRPr="00EF2495">
        <w:tab/>
      </w:r>
      <w:r w:rsidR="00C80FA2" w:rsidRPr="00EF2495">
        <w:t>Desk</w:t>
      </w:r>
      <w:r w:rsidRPr="00EF2495">
        <w:t>-Based Research</w:t>
      </w:r>
      <w:bookmarkEnd w:id="17"/>
      <w:bookmarkEnd w:id="18"/>
    </w:p>
    <w:p w14:paraId="00C1368F" w14:textId="77777777" w:rsidR="00C80FA2" w:rsidRPr="00EF2495" w:rsidRDefault="00C80FA2" w:rsidP="00EF2495">
      <w:r w:rsidRPr="00EF2495">
        <w:t>To guide review activities and inform the review findings, the review team read background documents on the development context (as listed in Annex 4), the global Australia Awards and on the Australia Awards in Tonga. The review team also analysed the Tonga Australia Awards (AAS/AAPS) data extracted by the AHC from the DFAT Online Australian Scholarship Information System (OASIS). This included analysis of application (2020 and 2024 intake) and award offer data (2001-2024 intakes). This data is summarised in Annex 7.</w:t>
      </w:r>
    </w:p>
    <w:p w14:paraId="0F56BE3B" w14:textId="77D11C6A" w:rsidR="00C80FA2" w:rsidRPr="00EF2495" w:rsidRDefault="005E1364" w:rsidP="006A0357">
      <w:pPr>
        <w:pStyle w:val="Heading2"/>
      </w:pPr>
      <w:bookmarkStart w:id="19" w:name="_Toc185321203"/>
      <w:r w:rsidRPr="00EF2495">
        <w:t>2</w:t>
      </w:r>
      <w:r w:rsidR="00F150CA" w:rsidRPr="00EF2495">
        <w:tab/>
      </w:r>
      <w:r w:rsidR="00C80FA2" w:rsidRPr="00EF2495">
        <w:t>Alumni Tracer Survey</w:t>
      </w:r>
      <w:bookmarkEnd w:id="19"/>
    </w:p>
    <w:p w14:paraId="0DCC8C58" w14:textId="77777777" w:rsidR="00C80FA2" w:rsidRPr="00EF2495" w:rsidRDefault="00C80FA2" w:rsidP="00EF2495">
      <w:r w:rsidRPr="00EF2495">
        <w:t xml:space="preserve">To inform further AHC engagement with alumni and understanding of award outcomes, the review team also conducted an online tracer survey of AAS/AAPS alumni to determine their current complete contact details, employment and location. The survey also included questions on skill/knowledge utilisation and ongoing connections with Australia. </w:t>
      </w:r>
      <w:bookmarkStart w:id="20" w:name="_Toc72929672"/>
      <w:r w:rsidRPr="00EF2495">
        <w:t xml:space="preserve">The survey was conducted online between September to October 2024, using the online Survey Monkey tool. Each </w:t>
      </w:r>
      <w:proofErr w:type="gramStart"/>
      <w:r w:rsidRPr="00EF2495">
        <w:t>alumni</w:t>
      </w:r>
      <w:proofErr w:type="gramEnd"/>
      <w:r w:rsidRPr="00EF2495">
        <w:t xml:space="preserve"> with an email recorded was emailed a unique link to the survey and responses were monitored in real-time, with reminder emails sent at appropriate intervals during fieldwork. Following the survey period, data was coded, cleaned, and prepared for analysis and reporting.</w:t>
      </w:r>
    </w:p>
    <w:p w14:paraId="7B30BFB4" w14:textId="77777777" w:rsidR="00C80FA2" w:rsidRPr="00EF2495" w:rsidRDefault="00C80FA2" w:rsidP="00EF2495">
      <w:pPr>
        <w:rPr>
          <w:lang w:val="en-US"/>
        </w:rPr>
      </w:pPr>
      <w:r w:rsidRPr="00EF2495">
        <w:t xml:space="preserve">The survey scope includes alumni from the </w:t>
      </w:r>
      <w:bookmarkStart w:id="21" w:name="_Toc72929673"/>
      <w:r w:rsidRPr="00EF2495">
        <w:rPr>
          <w:lang w:val="en-US"/>
        </w:rPr>
        <w:t>Australia Awards Scholarship (or earlier Australian government scholarship for study in Australia) and the Australia Awards Pacific Scholarship ((or earlier Australian government scholarship for study in the Pacific)</w:t>
      </w:r>
      <w:r w:rsidRPr="00EF2495">
        <w:rPr>
          <w:lang w:val="en-US"/>
        </w:rPr>
        <w:footnoteReference w:id="3"/>
      </w:r>
      <w:r w:rsidRPr="00EF2495">
        <w:rPr>
          <w:lang w:val="en-US"/>
        </w:rPr>
        <w:t>.  The survey scope did not include Tongan alumni from the DFAT Australia Awards Fellowships of from the ACIAR</w:t>
      </w:r>
      <w:r w:rsidRPr="00EF2495">
        <w:t xml:space="preserve"> </w:t>
      </w:r>
      <w:r w:rsidRPr="00EF2495">
        <w:rPr>
          <w:lang w:val="en-US"/>
        </w:rPr>
        <w:t>John Allwright Fellowships (both also under the Australia Awards umbrella) as lists and email addresses for these alumni were not available in time for inclusion in the survey.</w:t>
      </w:r>
    </w:p>
    <w:p w14:paraId="183759A3" w14:textId="1394F5E7" w:rsidR="00C80FA2" w:rsidRPr="00EF2495" w:rsidRDefault="005E1364" w:rsidP="00C472DF">
      <w:pPr>
        <w:pStyle w:val="Heading3"/>
      </w:pPr>
      <w:bookmarkStart w:id="22" w:name="_Toc178946906"/>
      <w:bookmarkStart w:id="23" w:name="_Toc185321204"/>
      <w:bookmarkEnd w:id="21"/>
      <w:r w:rsidRPr="00EF2495">
        <w:t>2</w:t>
      </w:r>
      <w:r w:rsidR="00F150CA" w:rsidRPr="00EF2495">
        <w:t>.1</w:t>
      </w:r>
      <w:r w:rsidR="00F150CA" w:rsidRPr="00EF2495">
        <w:tab/>
      </w:r>
      <w:r w:rsidR="00C80FA2" w:rsidRPr="00EF2495">
        <w:t>Survey instrument</w:t>
      </w:r>
      <w:bookmarkEnd w:id="22"/>
      <w:bookmarkEnd w:id="23"/>
    </w:p>
    <w:p w14:paraId="1E767A0A" w14:textId="77777777" w:rsidR="00C80FA2" w:rsidRPr="00EF2495" w:rsidRDefault="00C80FA2" w:rsidP="00ED67CF">
      <w:pPr>
        <w:spacing w:before="0" w:after="0"/>
      </w:pPr>
      <w:r w:rsidRPr="00EF2495">
        <w:t xml:space="preserve">The survey instrument contained questions designed to collect data on alumni: </w:t>
      </w:r>
    </w:p>
    <w:p w14:paraId="42349179" w14:textId="77777777" w:rsidR="00C80FA2" w:rsidRPr="00EF2495" w:rsidRDefault="00C80FA2" w:rsidP="00ED67CF">
      <w:pPr>
        <w:spacing w:before="0" w:after="0"/>
      </w:pPr>
      <w:r w:rsidRPr="00EF2495">
        <w:t>current employment of (employment status/sector, occupation type, leadership role)</w:t>
      </w:r>
    </w:p>
    <w:p w14:paraId="75BD9F81" w14:textId="77777777" w:rsidR="00C80FA2" w:rsidRPr="00EF2495" w:rsidRDefault="00C80FA2" w:rsidP="00EF2495">
      <w:r w:rsidRPr="00EF2495">
        <w:t>use of their knowledge and skills (K&amp;S) to contribute to sustainable development (Outcome 1):  alumni reintegration experience; sharing of knowledge and skills; use of knowledge and skills; promotion of inclusion (GEDSI); challenges using knowledge and skill</w:t>
      </w:r>
    </w:p>
    <w:p w14:paraId="069CFBD2" w14:textId="77777777" w:rsidR="00C80FA2" w:rsidRPr="00EF2495" w:rsidRDefault="00C80FA2" w:rsidP="00EF2495">
      <w:r w:rsidRPr="00EF2495">
        <w:t>contributions to cooperation between Australia and Tonga (Outcome 2): Engagement with people met during award; Ongoing engagement with Australian organisations; Interest In engaging with other Tongan alumni</w:t>
      </w:r>
    </w:p>
    <w:p w14:paraId="4F7566C1" w14:textId="77777777" w:rsidR="00C80FA2" w:rsidRPr="00EF2495" w:rsidRDefault="00C80FA2" w:rsidP="00EF2495">
      <w:r w:rsidRPr="00EF2495">
        <w:t xml:space="preserve">perceptions and sentiments about the scholarships </w:t>
      </w:r>
    </w:p>
    <w:p w14:paraId="65F3CE2E" w14:textId="77777777" w:rsidR="00C80FA2" w:rsidRPr="00EF2495" w:rsidRDefault="00C80FA2" w:rsidP="00EF2495">
      <w:r w:rsidRPr="00EF2495">
        <w:t>contact and demographic/award data (as required for updating the Alumni Database).</w:t>
      </w:r>
    </w:p>
    <w:p w14:paraId="219F41E0" w14:textId="77777777" w:rsidR="00C80FA2" w:rsidRPr="00EF2495" w:rsidRDefault="00C80FA2" w:rsidP="00EF2495">
      <w:r w:rsidRPr="00EF2495">
        <w:t xml:space="preserve">To provide comparisons with other countries where relevant, the Tonga survey questions (and response frames) correspond, as relevant to the questions in the GTF 2022 and/or to collect data for the AHC to report on DFAT’s Australia Awards Monitoring and Evaluation </w:t>
      </w:r>
      <w:r w:rsidRPr="00EF2495">
        <w:lastRenderedPageBreak/>
        <w:t xml:space="preserve">Framework Core Global Indicators. </w:t>
      </w:r>
      <w:bookmarkStart w:id="24" w:name="_Hlk174814244"/>
      <w:r w:rsidRPr="00EF2495">
        <w:t xml:space="preserve"> In the interest of keeping the survey as short as possible, and to include questions on employment and alumni association engagement</w:t>
      </w:r>
      <w:bookmarkEnd w:id="24"/>
      <w:r w:rsidRPr="00EF2495">
        <w:t xml:space="preserve">, the GTF was not replicated in full (e.g. with fewer questions in the survey on re-integration and voluntary activities). </w:t>
      </w:r>
    </w:p>
    <w:p w14:paraId="75AEDFC0" w14:textId="2849BA48" w:rsidR="00C80FA2" w:rsidRPr="00EF2495" w:rsidRDefault="005E1364" w:rsidP="00C472DF">
      <w:pPr>
        <w:pStyle w:val="Heading3"/>
      </w:pPr>
      <w:bookmarkStart w:id="25" w:name="_Toc178946907"/>
      <w:bookmarkStart w:id="26" w:name="_Toc185321205"/>
      <w:bookmarkEnd w:id="20"/>
      <w:r w:rsidRPr="00EF2495">
        <w:t>2</w:t>
      </w:r>
      <w:r w:rsidR="00EF36A0" w:rsidRPr="00EF2495">
        <w:t>.2</w:t>
      </w:r>
      <w:r w:rsidR="00EF36A0" w:rsidRPr="00EF2495">
        <w:tab/>
      </w:r>
      <w:r w:rsidR="00C80FA2" w:rsidRPr="00EF2495">
        <w:t>Alumni database</w:t>
      </w:r>
      <w:bookmarkEnd w:id="25"/>
      <w:bookmarkEnd w:id="26"/>
    </w:p>
    <w:p w14:paraId="50CABD7D" w14:textId="77777777" w:rsidR="00C80FA2" w:rsidRPr="00EF2495" w:rsidRDefault="00C80FA2" w:rsidP="00EF2495">
      <w:r w:rsidRPr="00EF2495">
        <w:t>As the first step in conducting the Tracer Survey (and for future alumni engagement), an AAT Alumni Database was created as follows:</w:t>
      </w:r>
    </w:p>
    <w:p w14:paraId="0CD43E41" w14:textId="77777777" w:rsidR="00C80FA2" w:rsidRPr="00EF2495" w:rsidRDefault="00C80FA2" w:rsidP="00EF2495">
      <w:r w:rsidRPr="00EF2495">
        <w:t xml:space="preserve">The initial list of alumni was compiled using records on AAS and AAPS awards offered (and completed) as extracted from the DFAT OASIS database (which contains data on award intakes from 2001).  </w:t>
      </w:r>
    </w:p>
    <w:p w14:paraId="4564EEEC" w14:textId="77777777" w:rsidR="00C80FA2" w:rsidRPr="00EF2495" w:rsidRDefault="00C80FA2" w:rsidP="00EF2495">
      <w:r w:rsidRPr="00EF2495">
        <w:t xml:space="preserve">This data was supplemented with additional names (as available) of alumni that completed their award prior to the 2001 intake. These additional names of alumni prior to 2001 are not a comprehensive list (and further work will be needed by the AHC to include these earlier alumni in the AHC alumni database (for alumni engagement and MEL purposes.  </w:t>
      </w:r>
    </w:p>
    <w:p w14:paraId="4C2EAD20" w14:textId="77777777" w:rsidR="00C80FA2" w:rsidRPr="00EF2495" w:rsidRDefault="00C80FA2" w:rsidP="00EF2495">
      <w:r w:rsidRPr="00EF2495">
        <w:t>Where the data included records on individuals who had been offered more than one award, only the most recent award was included in the alumni database.  Alumni were asked to report on their most recent completed award (resulting in a few alumni reporting as AAS/AAF fellows).  Duplicate records were also deleted.</w:t>
      </w:r>
    </w:p>
    <w:p w14:paraId="35B472DA" w14:textId="77777777" w:rsidR="00C80FA2" w:rsidRPr="00EF2495" w:rsidRDefault="00C80FA2" w:rsidP="00EF2495">
      <w:r w:rsidRPr="00EF2495">
        <w:t>Records of alumni known to be deceased are separately recorded in the alumni database.</w:t>
      </w:r>
    </w:p>
    <w:p w14:paraId="66A6E0F2" w14:textId="77777777" w:rsidR="00C80FA2" w:rsidRPr="00EF2495" w:rsidRDefault="00C80FA2" w:rsidP="00EF2495">
      <w:r w:rsidRPr="00EF2495">
        <w:t xml:space="preserve">Alumni whose awards were not completed (withdrawn on scholarship/award terminations) are separately identified. These 29 alumni were sent a separate survey to complete, to which there were no responses. </w:t>
      </w:r>
    </w:p>
    <w:p w14:paraId="2B109642" w14:textId="77777777" w:rsidR="00C80FA2" w:rsidRPr="00EF2495" w:rsidRDefault="00C80FA2" w:rsidP="00EF2495">
      <w:r w:rsidRPr="00EF2495">
        <w:t>To note that the number of records in the Alumni Database is progressively increasing as pre-2001 alumni are identified, and newly completing awardees are added to the database.</w:t>
      </w:r>
    </w:p>
    <w:p w14:paraId="36611C7F" w14:textId="4B4A2825" w:rsidR="00C80FA2" w:rsidRPr="00EF2495" w:rsidRDefault="005E1364" w:rsidP="00C472DF">
      <w:pPr>
        <w:pStyle w:val="Heading3"/>
      </w:pPr>
      <w:bookmarkStart w:id="27" w:name="_Toc178946908"/>
      <w:bookmarkStart w:id="28" w:name="_Toc185321206"/>
      <w:r w:rsidRPr="00EF2495">
        <w:t>2</w:t>
      </w:r>
      <w:r w:rsidR="00EF36A0" w:rsidRPr="00EF2495">
        <w:t>.3</w:t>
      </w:r>
      <w:r w:rsidR="00EF36A0" w:rsidRPr="00EF2495">
        <w:tab/>
      </w:r>
      <w:r w:rsidR="00C80FA2" w:rsidRPr="00EF2495">
        <w:t>Alumni contact tracing</w:t>
      </w:r>
      <w:bookmarkEnd w:id="27"/>
      <w:bookmarkEnd w:id="28"/>
    </w:p>
    <w:p w14:paraId="468F08A8" w14:textId="77777777" w:rsidR="00C80FA2" w:rsidRPr="00EF2495" w:rsidRDefault="00C80FA2" w:rsidP="00EF2495">
      <w:r w:rsidRPr="00EF2495">
        <w:t>To maximise survey responses (and future alumni engagement), where there were phone details, an initial contract tracing of alumni was conducted by phone to collect email addresses of the alumni with no emails or with university email addresses unlikely to be active.  The AHC is still progressing the collection of current alumni email addresses.</w:t>
      </w:r>
    </w:p>
    <w:p w14:paraId="784BEAAC" w14:textId="60A55367" w:rsidR="00C80FA2" w:rsidRPr="00EF2495" w:rsidRDefault="005E1364" w:rsidP="00C472DF">
      <w:pPr>
        <w:pStyle w:val="Heading3"/>
      </w:pPr>
      <w:bookmarkStart w:id="29" w:name="_Toc178946909"/>
      <w:bookmarkStart w:id="30" w:name="_Toc185321207"/>
      <w:r w:rsidRPr="00EF2495">
        <w:t>2</w:t>
      </w:r>
      <w:r w:rsidR="00EF36A0" w:rsidRPr="00EF2495">
        <w:t>.4</w:t>
      </w:r>
      <w:r w:rsidR="00EF36A0" w:rsidRPr="00EF2495">
        <w:tab/>
      </w:r>
      <w:r w:rsidR="00C80FA2" w:rsidRPr="00EF2495">
        <w:t>Survey distribution and response</w:t>
      </w:r>
      <w:bookmarkEnd w:id="29"/>
      <w:bookmarkEnd w:id="30"/>
    </w:p>
    <w:p w14:paraId="1376B9EE" w14:textId="77777777" w:rsidR="00C80FA2" w:rsidRPr="00EF2495" w:rsidRDefault="00C80FA2" w:rsidP="00EF2495">
      <w:r w:rsidRPr="00EF2495">
        <w:t xml:space="preserve">As a result, of these above activities, of the 529 alumni (who completed their course of study records in the database (as of 24 September 2024), 475 alumni were invited by email (from Survey Monkey) to participate in the survey.  The AHC also placed a Facebook post to promote the survey to the alumni without email addresses (who would not be contacted through Survey Monkey) or to pre-2001 alumni not on the alumni database.   </w:t>
      </w:r>
    </w:p>
    <w:p w14:paraId="4CC7933C" w14:textId="77777777" w:rsidR="00C80FA2" w:rsidRPr="00EF2495" w:rsidRDefault="00C80FA2" w:rsidP="00EF2495">
      <w:r w:rsidRPr="00EF2495">
        <w:t xml:space="preserve">Of the emails sent by Survey Monkey, 106 were invalid addresses (bounced), meaning that there were 369 alumni contacted to respond to the survey. It is noted that even if an email address was recorded as being delivered (valid), this address may not be currently monitored by alumni.  This is especially the case where only a university email address was recorded on OASIS.  In some cases, emails may have been automatically moved to an alumni’s email “junk” or “spam” folder and not seen by alumni.  Survey Monkey records that </w:t>
      </w:r>
      <w:r w:rsidRPr="00EF2495">
        <w:lastRenderedPageBreak/>
        <w:t xml:space="preserve">197 of the alumni actively opened the survey request in their email client (but did not necessarily ‘’click-through’ to commence the survey). </w:t>
      </w:r>
    </w:p>
    <w:p w14:paraId="29DFDB1A" w14:textId="77777777" w:rsidR="00C80FA2" w:rsidRDefault="00C80FA2" w:rsidP="00EF2495">
      <w:r w:rsidRPr="00EF2495">
        <w:t>Following data cleansing (to remove duplicate or largely incomplete responses from the analysis), there were 99 alumni responses recorded. This reflects a response rate of 27% of the target population</w:t>
      </w:r>
      <w:r w:rsidRPr="00EF2495">
        <w:footnoteReference w:id="4"/>
      </w:r>
      <w:r w:rsidRPr="00EF2495">
        <w:t>, or an effective 50% response rate of those alumni who opened the survey request email. These rates compare favourably with those of comparable ACER GTF surveys.</w:t>
      </w:r>
    </w:p>
    <w:p w14:paraId="2A9AAEF8" w14:textId="78F3423D" w:rsidR="00685B3D" w:rsidRPr="009A69CD" w:rsidRDefault="005F5654" w:rsidP="00EF2495">
      <w:pPr>
        <w:rPr>
          <w:b/>
          <w:bCs/>
        </w:rPr>
      </w:pPr>
      <w:r w:rsidRPr="009A69CD">
        <w:rPr>
          <w:b/>
          <w:bCs/>
        </w:rPr>
        <w:t>Alumni contact status and survey response rates</w:t>
      </w:r>
    </w:p>
    <w:p w14:paraId="592DADA3" w14:textId="02DE8650" w:rsidR="005F5654" w:rsidRDefault="0003357B" w:rsidP="00EF2495">
      <w:r>
        <w:t>B</w:t>
      </w:r>
      <w:r w:rsidR="005F5654">
        <w:t>elow summarises alumni contact coverage and response rates for the tracer surveys</w:t>
      </w:r>
      <w:r>
        <w:t>:</w:t>
      </w:r>
    </w:p>
    <w:p w14:paraId="1E15C5E2" w14:textId="29EB1245" w:rsidR="0003357B" w:rsidRDefault="0003357B" w:rsidP="0003357B">
      <w:pPr>
        <w:pStyle w:val="ListParagraph"/>
        <w:numPr>
          <w:ilvl w:val="0"/>
          <w:numId w:val="23"/>
        </w:numPr>
      </w:pPr>
      <w:r>
        <w:t xml:space="preserve">Total </w:t>
      </w:r>
      <w:r w:rsidRPr="00EF2495">
        <w:t>Alumni database</w:t>
      </w:r>
      <w:r>
        <w:t>: 529 (19% response rate to survey)</w:t>
      </w:r>
    </w:p>
    <w:p w14:paraId="1029567C" w14:textId="57A81B2A" w:rsidR="0003357B" w:rsidRDefault="0003357B" w:rsidP="0003357B">
      <w:pPr>
        <w:pStyle w:val="ListParagraph"/>
        <w:numPr>
          <w:ilvl w:val="0"/>
          <w:numId w:val="23"/>
        </w:numPr>
      </w:pPr>
      <w:r w:rsidRPr="00EF2495">
        <w:t>Alumni with email addresses</w:t>
      </w:r>
      <w:r>
        <w:t>: 475</w:t>
      </w:r>
    </w:p>
    <w:p w14:paraId="608B456B" w14:textId="12A22AC9" w:rsidR="0003357B" w:rsidRDefault="0003357B" w:rsidP="0003357B">
      <w:pPr>
        <w:pStyle w:val="ListParagraph"/>
        <w:numPr>
          <w:ilvl w:val="0"/>
          <w:numId w:val="23"/>
        </w:numPr>
      </w:pPr>
      <w:r w:rsidRPr="00EF2495">
        <w:t>Alumni with contactable email addresses (not bounced)</w:t>
      </w:r>
      <w:r>
        <w:t>: 369 (27% response rate to survey)</w:t>
      </w:r>
    </w:p>
    <w:p w14:paraId="04AAE3C3" w14:textId="4EB0117D" w:rsidR="0003357B" w:rsidRPr="00EF2495" w:rsidRDefault="0003357B" w:rsidP="0003357B">
      <w:pPr>
        <w:pStyle w:val="ListParagraph"/>
        <w:numPr>
          <w:ilvl w:val="0"/>
          <w:numId w:val="23"/>
        </w:numPr>
      </w:pPr>
      <w:r w:rsidRPr="00EF2495">
        <w:t>Alumni who opened the survey request email</w:t>
      </w:r>
      <w:r>
        <w:t>: 197 (50% response rate to the survey)</w:t>
      </w:r>
    </w:p>
    <w:p w14:paraId="2365B431" w14:textId="539BCD43" w:rsidR="0010678F" w:rsidRDefault="00C80FA2" w:rsidP="00EF2495">
      <w:r w:rsidRPr="00EF2495">
        <w:t>Open-ended responses added depth to the responses and were analysed thematically according to the different areas of focus.  The survey analysis considered disaggregated data by gender, award program (AAS/AAPS) and level of study. Given the small number of respondents with a disability, data disaggregation was not able undertaken by disability. As the AAS are mainly awards for postgraduate study and the AAPS mainly for undergraduate study, given the number of respondents it was not possible to meaningfully disaggregate the date to determine whether a reported outcome or perception was related to whether an alumni was an undergraduate or postgraduate, or instead whether the response reflected whether the alumni had undertaken their award in Australia or the Pacific.</w:t>
      </w:r>
    </w:p>
    <w:p w14:paraId="28C49A22" w14:textId="08EE701C" w:rsidR="00C80FA2" w:rsidRPr="00EF2495" w:rsidRDefault="005E1364" w:rsidP="0010678F">
      <w:pPr>
        <w:pStyle w:val="Heading2"/>
        <w:ind w:left="0" w:firstLine="0"/>
      </w:pPr>
      <w:bookmarkStart w:id="31" w:name="_Toc172812838"/>
      <w:bookmarkStart w:id="32" w:name="_Toc185321208"/>
      <w:bookmarkStart w:id="33" w:name="_Toc172812840"/>
      <w:r w:rsidRPr="00EF2495">
        <w:t>3</w:t>
      </w:r>
      <w:r w:rsidR="002C4A77" w:rsidRPr="00EF2495">
        <w:t>.</w:t>
      </w:r>
      <w:r w:rsidR="002C4A77" w:rsidRPr="00EF2495">
        <w:tab/>
      </w:r>
      <w:r w:rsidR="00C80FA2" w:rsidRPr="00EF2495">
        <w:t xml:space="preserve">Key stakeholder </w:t>
      </w:r>
      <w:bookmarkEnd w:id="31"/>
      <w:r w:rsidR="00C80FA2" w:rsidRPr="00EF2495">
        <w:t>interviews</w:t>
      </w:r>
      <w:bookmarkEnd w:id="32"/>
      <w:r w:rsidR="00C80FA2" w:rsidRPr="00EF2495">
        <w:t xml:space="preserve"> </w:t>
      </w:r>
    </w:p>
    <w:p w14:paraId="1959DD00" w14:textId="77777777" w:rsidR="00C80FA2" w:rsidRPr="00EF2495" w:rsidRDefault="00C80FA2" w:rsidP="00EF2495">
      <w:r w:rsidRPr="00EF2495">
        <w:t xml:space="preserve">The review team conducted </w:t>
      </w:r>
      <w:r w:rsidRPr="00EF2495">
        <w:rPr>
          <w:lang w:val="en-AU"/>
        </w:rPr>
        <w:t>24 (17M/7F)</w:t>
      </w:r>
      <w:r w:rsidRPr="00EF2495">
        <w:t xml:space="preserve"> semi-structured consultations with the purposively sampled stakeholders listed in Annex 5 to collect stakeholder perspectives on the review questions, and </w:t>
      </w:r>
      <w:bookmarkStart w:id="34" w:name="_Hlk174434793"/>
      <w:r w:rsidRPr="00EF2495">
        <w:t xml:space="preserve">how the Australis Awards program in Tonga </w:t>
      </w:r>
      <w:bookmarkEnd w:id="34"/>
      <w:r w:rsidRPr="00EF2495">
        <w:t xml:space="preserve">could better achieve its objectives.  Stakeholder consultations included with: DFAT personnel (in Canberra and Tonga); Tonga government, private sector and NGO employers, and training institutions; as well as with other scholarship sponsors (e.g., the New Zealand Ministry of Foreign Affairs and Trade).  Notes were taken during the interviews and discussed/analysed by the review team to identify patterns and exceptional/outlier responses.  </w:t>
      </w:r>
    </w:p>
    <w:p w14:paraId="278009E4" w14:textId="1123B0D6" w:rsidR="00C80FA2" w:rsidRPr="00EF2495" w:rsidRDefault="005E1364" w:rsidP="00C472DF">
      <w:pPr>
        <w:pStyle w:val="Heading2"/>
      </w:pPr>
      <w:bookmarkStart w:id="35" w:name="_Toc185321209"/>
      <w:r w:rsidRPr="00EF2495">
        <w:t>4</w:t>
      </w:r>
      <w:r w:rsidR="009A4356" w:rsidRPr="00EF2495">
        <w:t>.</w:t>
      </w:r>
      <w:r w:rsidR="002C4A77" w:rsidRPr="00EF2495">
        <w:tab/>
      </w:r>
      <w:r w:rsidR="00C80FA2" w:rsidRPr="00EF2495">
        <w:t>Focus Group Discussions</w:t>
      </w:r>
      <w:bookmarkEnd w:id="33"/>
      <w:bookmarkEnd w:id="35"/>
    </w:p>
    <w:p w14:paraId="76082ED7" w14:textId="77777777" w:rsidR="00C80FA2" w:rsidRPr="00EF2495" w:rsidRDefault="00C80FA2" w:rsidP="00EF2495">
      <w:r w:rsidRPr="00EF2495">
        <w:t xml:space="preserve">The review team conducted FGD with alumni in </w:t>
      </w:r>
      <w:proofErr w:type="spellStart"/>
      <w:r w:rsidRPr="00EF2495">
        <w:t>Tongatapu</w:t>
      </w:r>
      <w:proofErr w:type="spellEnd"/>
      <w:r w:rsidRPr="00EF2495">
        <w:t xml:space="preserve">, </w:t>
      </w:r>
      <w:proofErr w:type="spellStart"/>
      <w:r w:rsidRPr="00EF2495">
        <w:t>Vav’au</w:t>
      </w:r>
      <w:proofErr w:type="spellEnd"/>
      <w:r w:rsidRPr="00EF2495">
        <w:t xml:space="preserve"> and </w:t>
      </w:r>
      <w:proofErr w:type="spellStart"/>
      <w:r w:rsidRPr="00EF2495">
        <w:t>Ha’apai</w:t>
      </w:r>
      <w:proofErr w:type="spellEnd"/>
      <w:r w:rsidRPr="00EF2495">
        <w:t xml:space="preserve">. These FGD provided in-depth data on alumni perceptions of their time in Australia, utilisation of the knowledge and skills gained, on-going engagement with Australia and interest in participating in AHC alumni activities. </w:t>
      </w:r>
    </w:p>
    <w:p w14:paraId="32F9E518" w14:textId="41298D5F" w:rsidR="00C80FA2" w:rsidRPr="00EF2495" w:rsidRDefault="005E1364" w:rsidP="00C472DF">
      <w:pPr>
        <w:pStyle w:val="Heading2"/>
      </w:pPr>
      <w:bookmarkStart w:id="36" w:name="_Toc185321210"/>
      <w:r w:rsidRPr="00EF2495">
        <w:t>5</w:t>
      </w:r>
      <w:r w:rsidR="009A4356" w:rsidRPr="00EF2495">
        <w:t>.</w:t>
      </w:r>
      <w:r w:rsidR="009A4356" w:rsidRPr="00EF2495">
        <w:tab/>
      </w:r>
      <w:r w:rsidR="00C80FA2" w:rsidRPr="00EF2495">
        <w:t>Case study interviews</w:t>
      </w:r>
      <w:bookmarkEnd w:id="36"/>
    </w:p>
    <w:p w14:paraId="1D499791" w14:textId="5718916B" w:rsidR="005E1364" w:rsidRPr="00EF2495" w:rsidRDefault="00C80FA2" w:rsidP="00EF2495">
      <w:r w:rsidRPr="00EF2495">
        <w:lastRenderedPageBreak/>
        <w:t>The review team also conducted in-depth interviews/</w:t>
      </w:r>
      <w:proofErr w:type="spellStart"/>
      <w:r w:rsidRPr="00EF2495">
        <w:t>talanoa</w:t>
      </w:r>
      <w:proofErr w:type="spellEnd"/>
      <w:r w:rsidRPr="00EF2495">
        <w:t xml:space="preserve"> with six alumni</w:t>
      </w:r>
      <w:r w:rsidRPr="00EF2495">
        <w:footnoteReference w:id="5"/>
      </w:r>
      <w:r w:rsidRPr="00EF2495">
        <w:t xml:space="preserve"> who have made significant impact in Tonga resulting from the knowledge, skills and connections made whilst on their award. Their stories will be written up as case studies (1-2 pages) and provided separately to the AHC. </w:t>
      </w:r>
    </w:p>
    <w:p w14:paraId="3D1D1B5A" w14:textId="5BA7EEF1" w:rsidR="00C80FA2" w:rsidRPr="00EF2495" w:rsidRDefault="005E1364" w:rsidP="00C472DF">
      <w:pPr>
        <w:pStyle w:val="Heading2"/>
      </w:pPr>
      <w:bookmarkStart w:id="37" w:name="_Toc185321211"/>
      <w:r w:rsidRPr="00EF2495">
        <w:t>6.</w:t>
      </w:r>
      <w:r w:rsidR="009A4356" w:rsidRPr="00EF2495">
        <w:tab/>
      </w:r>
      <w:r w:rsidR="00C80FA2" w:rsidRPr="00EF2495">
        <w:t>Sense-making workshop</w:t>
      </w:r>
      <w:bookmarkEnd w:id="37"/>
    </w:p>
    <w:p w14:paraId="20AF1234" w14:textId="77777777" w:rsidR="00C80FA2" w:rsidRPr="00EF2495" w:rsidRDefault="00C80FA2" w:rsidP="00EF2495">
      <w:r w:rsidRPr="00EF2495">
        <w:t>The review team presented the preliminary findings and recommendations to AHC stakeholders responsible for the Australia Awards in Tonga (in meetings on 2-3 October 2024).  This was an important step for the review team to gain further insight from the AHC regarding the review findings and to identify where further analysis was needed. This input was used in drafting the review report. The review report was then finalised following feedback on the draft from DFAT.</w:t>
      </w:r>
    </w:p>
    <w:p w14:paraId="775A2BCE" w14:textId="54866C31" w:rsidR="00C80FA2" w:rsidRPr="00EF2495" w:rsidRDefault="005E1364" w:rsidP="00C472DF">
      <w:pPr>
        <w:pStyle w:val="Heading2"/>
      </w:pPr>
      <w:bookmarkStart w:id="38" w:name="_Toc185321212"/>
      <w:r w:rsidRPr="00EF2495">
        <w:t>7.</w:t>
      </w:r>
      <w:r w:rsidR="001E76D7" w:rsidRPr="00EF2495">
        <w:tab/>
      </w:r>
      <w:r w:rsidR="00C80FA2" w:rsidRPr="00EF2495">
        <w:t>Review limitations</w:t>
      </w:r>
      <w:bookmarkEnd w:id="38"/>
    </w:p>
    <w:p w14:paraId="594F72A6" w14:textId="77777777" w:rsidR="00C80FA2" w:rsidRPr="00EF2495" w:rsidRDefault="00C80FA2" w:rsidP="00EF2495">
      <w:pPr>
        <w:rPr>
          <w:lang w:val="en-US"/>
        </w:rPr>
      </w:pPr>
      <w:r w:rsidRPr="00EF2495">
        <w:rPr>
          <w:lang w:val="en-US"/>
        </w:rPr>
        <w:t xml:space="preserve">Although input was received from a broad range of alumni it is not necessarily representative of </w:t>
      </w:r>
      <w:proofErr w:type="gramStart"/>
      <w:r w:rsidRPr="00EF2495">
        <w:rPr>
          <w:lang w:val="en-US"/>
        </w:rPr>
        <w:t>all of</w:t>
      </w:r>
      <w:proofErr w:type="gramEnd"/>
      <w:r w:rsidRPr="00EF2495">
        <w:rPr>
          <w:lang w:val="en-US"/>
        </w:rPr>
        <w:t xml:space="preserve"> the alumni. The participation in the review of alumni whose intake was before 2001 (and likely to be in more senior positions or retired) was at a lower level than of alumni from more recent intakes. Some of the senior key </w:t>
      </w:r>
      <w:proofErr w:type="spellStart"/>
      <w:r w:rsidRPr="00EF2495">
        <w:rPr>
          <w:lang w:val="en-US"/>
        </w:rPr>
        <w:t>GoT</w:t>
      </w:r>
      <w:proofErr w:type="spellEnd"/>
      <w:r w:rsidRPr="00EF2495">
        <w:rPr>
          <w:lang w:val="en-US"/>
        </w:rPr>
        <w:t xml:space="preserve"> stakeholders/ alumni were not available to participate in KII/FGD due to leave/other heavy commitments post the Pacific Island Forum meeting in Tonga in August 2024. Although more female than male stakeholders were interviewed, their responses seemed representative of their role level and not their gender. Whilst a representative </w:t>
      </w:r>
      <w:proofErr w:type="spellStart"/>
      <w:r w:rsidRPr="00EF2495">
        <w:rPr>
          <w:lang w:val="en-US"/>
        </w:rPr>
        <w:t>organisation</w:t>
      </w:r>
      <w:proofErr w:type="spellEnd"/>
      <w:r w:rsidRPr="00EF2495">
        <w:rPr>
          <w:lang w:val="en-US"/>
        </w:rPr>
        <w:t xml:space="preserve"> of people with </w:t>
      </w:r>
      <w:proofErr w:type="gramStart"/>
      <w:r w:rsidRPr="00EF2495">
        <w:rPr>
          <w:lang w:val="en-US"/>
        </w:rPr>
        <w:t>disability</w:t>
      </w:r>
      <w:proofErr w:type="gramEnd"/>
      <w:r w:rsidRPr="00EF2495">
        <w:rPr>
          <w:lang w:val="en-US"/>
        </w:rPr>
        <w:t xml:space="preserve"> were consulted, only one </w:t>
      </w:r>
      <w:proofErr w:type="gramStart"/>
      <w:r w:rsidRPr="00EF2495">
        <w:rPr>
          <w:lang w:val="en-US"/>
        </w:rPr>
        <w:t>alumni</w:t>
      </w:r>
      <w:proofErr w:type="gramEnd"/>
      <w:r w:rsidRPr="00EF2495">
        <w:rPr>
          <w:lang w:val="en-US"/>
        </w:rPr>
        <w:t xml:space="preserve"> with disability was available to be interviewed by the review team (although </w:t>
      </w:r>
      <w:proofErr w:type="gramStart"/>
      <w:r w:rsidRPr="00EF2495">
        <w:rPr>
          <w:lang w:val="en-US"/>
        </w:rPr>
        <w:t>a number of</w:t>
      </w:r>
      <w:proofErr w:type="gramEnd"/>
      <w:r w:rsidRPr="00EF2495">
        <w:rPr>
          <w:lang w:val="en-US"/>
        </w:rPr>
        <w:t xml:space="preserve"> people with disability did respond to the Tracer Survey).</w:t>
      </w:r>
    </w:p>
    <w:p w14:paraId="57EE2B09" w14:textId="3122F7F7" w:rsidR="00C80FA2" w:rsidRPr="00EF2495" w:rsidRDefault="00C80FA2" w:rsidP="00EF2495">
      <w:pPr>
        <w:rPr>
          <w:lang w:val="en-US"/>
        </w:rPr>
      </w:pPr>
      <w:r w:rsidRPr="00EF2495">
        <w:rPr>
          <w:lang w:val="en-US"/>
        </w:rPr>
        <w:t>Those who took the time to participate in the review may also have a more positive perception of the Australia Awards than non-respondents. Whilst many positive development impacts were reported by alumni, it was not within the time available for this review to assess the relative contribution of the Australia Awards to these outcomes (particularly where alumni have had opportunities for multiple long-term scholarships and short-term training) from different development partners Nevertheless, the review findings with respect to perceptions of Australia and award outcomes are largely consistent with the evidence collected findings of a range of ACER GTF surveys and studies across multiple A</w:t>
      </w:r>
      <w:r w:rsidR="00AC3CC8" w:rsidRPr="00EF2495">
        <w:rPr>
          <w:lang w:val="en-US"/>
        </w:rPr>
        <w:t xml:space="preserve">ustralia </w:t>
      </w:r>
      <w:r w:rsidRPr="00EF2495">
        <w:rPr>
          <w:lang w:val="en-US"/>
        </w:rPr>
        <w:t>A</w:t>
      </w:r>
      <w:r w:rsidR="00AC3CC8" w:rsidRPr="00EF2495">
        <w:rPr>
          <w:lang w:val="en-US"/>
        </w:rPr>
        <w:t>wards</w:t>
      </w:r>
      <w:r w:rsidRPr="00EF2495">
        <w:rPr>
          <w:lang w:val="en-US"/>
        </w:rPr>
        <w:t xml:space="preserve"> countries. </w:t>
      </w:r>
    </w:p>
    <w:p w14:paraId="66F5E537" w14:textId="77777777" w:rsidR="00C80FA2" w:rsidRPr="00EF2495" w:rsidRDefault="00C80FA2" w:rsidP="00EF2495">
      <w:pPr>
        <w:rPr>
          <w:lang w:val="en-US"/>
        </w:rPr>
      </w:pPr>
      <w:r w:rsidRPr="00EF2495">
        <w:rPr>
          <w:lang w:val="en-US"/>
        </w:rPr>
        <w:t xml:space="preserve">Data USP enrolments by Tongan students at the USP campuses in Tonga and comparative data on the completion rate of Australia Awards Pacific scholars from other Pacific countries was not available in time for analysis in this report. </w:t>
      </w:r>
    </w:p>
    <w:p w14:paraId="02674CDF" w14:textId="77777777" w:rsidR="00C80FA2" w:rsidRPr="00EF2495" w:rsidRDefault="00C80FA2" w:rsidP="00EF2495">
      <w:pPr>
        <w:rPr>
          <w:lang w:val="en-US"/>
        </w:rPr>
        <w:sectPr w:rsidR="00C80FA2" w:rsidRPr="00EF2495" w:rsidSect="002D459B">
          <w:headerReference w:type="even" r:id="rId14"/>
          <w:footerReference w:type="even" r:id="rId15"/>
          <w:footerReference w:type="default" r:id="rId16"/>
          <w:headerReference w:type="first" r:id="rId17"/>
          <w:footerReference w:type="first" r:id="rId18"/>
          <w:pgSz w:w="11906" w:h="16838" w:code="9"/>
          <w:pgMar w:top="1418" w:right="1418" w:bottom="1418" w:left="1418" w:header="0" w:footer="510" w:gutter="0"/>
          <w:cols w:space="720"/>
          <w:docGrid w:linePitch="360"/>
        </w:sectPr>
      </w:pPr>
      <w:r w:rsidRPr="00EF2495">
        <w:rPr>
          <w:lang w:val="en-US"/>
        </w:rPr>
        <w:t xml:space="preserve">Overall, the evidence and input collected from the above sources </w:t>
      </w:r>
      <w:proofErr w:type="gramStart"/>
      <w:r w:rsidRPr="00EF2495">
        <w:rPr>
          <w:lang w:val="en-US"/>
        </w:rPr>
        <w:t>provide</w:t>
      </w:r>
      <w:proofErr w:type="gramEnd"/>
      <w:r w:rsidRPr="00EF2495">
        <w:rPr>
          <w:lang w:val="en-US"/>
        </w:rPr>
        <w:t xml:space="preserve"> a solid basis for the overall representative findings described in this report.</w:t>
      </w:r>
    </w:p>
    <w:p w14:paraId="4FFCAAFA" w14:textId="77777777" w:rsidR="00C80FA2" w:rsidRPr="0075086C" w:rsidRDefault="00C80FA2" w:rsidP="00185525">
      <w:pPr>
        <w:pStyle w:val="Heading1"/>
        <w:spacing w:line="360" w:lineRule="auto"/>
        <w:rPr>
          <w:color w:val="auto"/>
        </w:rPr>
      </w:pPr>
      <w:bookmarkStart w:id="39" w:name="_Toc185321213"/>
      <w:r w:rsidRPr="0075086C">
        <w:rPr>
          <w:color w:val="auto"/>
        </w:rPr>
        <w:lastRenderedPageBreak/>
        <w:t>Annex 4: Key reference documents</w:t>
      </w:r>
      <w:bookmarkEnd w:id="14"/>
      <w:bookmarkEnd w:id="15"/>
      <w:bookmarkEnd w:id="16"/>
      <w:bookmarkEnd w:id="39"/>
    </w:p>
    <w:p w14:paraId="2244B9A8" w14:textId="77777777" w:rsidR="00C80FA2" w:rsidRPr="005E77BC" w:rsidRDefault="00C80FA2" w:rsidP="00185525">
      <w:pPr>
        <w:pStyle w:val="Heading2"/>
        <w:spacing w:before="120" w:after="120" w:line="360" w:lineRule="auto"/>
      </w:pPr>
      <w:bookmarkStart w:id="40" w:name="_Toc172812864"/>
      <w:bookmarkStart w:id="41" w:name="_Toc185321214"/>
      <w:r w:rsidRPr="005E77BC">
        <w:t>DFAT Strategic Direction</w:t>
      </w:r>
      <w:bookmarkEnd w:id="40"/>
      <w:bookmarkEnd w:id="41"/>
    </w:p>
    <w:p w14:paraId="4193265E" w14:textId="1B9B3C7B" w:rsidR="00C80FA2" w:rsidRPr="005E77BC" w:rsidRDefault="00C80FA2" w:rsidP="00185525">
      <w:pPr>
        <w:spacing w:line="360" w:lineRule="auto"/>
      </w:pPr>
      <w:r w:rsidRPr="005E77BC">
        <w:t xml:space="preserve">DFAT (2016). </w:t>
      </w:r>
      <w:hyperlink r:id="rId19" w:history="1">
        <w:r w:rsidRPr="000C7243">
          <w:rPr>
            <w:rStyle w:val="Hyperlink"/>
          </w:rPr>
          <w:t>Gender and Women’s Empowerment Strategy</w:t>
        </w:r>
      </w:hyperlink>
    </w:p>
    <w:p w14:paraId="4533B0CD" w14:textId="77777777" w:rsidR="00C80FA2" w:rsidRPr="005E77BC" w:rsidRDefault="00C80FA2" w:rsidP="00185525">
      <w:pPr>
        <w:spacing w:line="360" w:lineRule="auto"/>
      </w:pPr>
      <w:r w:rsidRPr="005E77BC">
        <w:t xml:space="preserve">DFAT (2021). </w:t>
      </w:r>
      <w:hyperlink r:id="rId20" w:history="1">
        <w:r w:rsidRPr="004B636F">
          <w:rPr>
            <w:rStyle w:val="Hyperlink"/>
          </w:rPr>
          <w:t>Disability Inclusion in the DFAT Development Program Good Practice Note</w:t>
        </w:r>
      </w:hyperlink>
      <w:r w:rsidRPr="004B636F">
        <w:rPr>
          <w:rStyle w:val="Hyperlink"/>
        </w:rPr>
        <w:t xml:space="preserve"> </w:t>
      </w:r>
      <w:r w:rsidRPr="005E77BC">
        <w:t>April 2021</w:t>
      </w:r>
    </w:p>
    <w:p w14:paraId="6B127B57" w14:textId="77777777" w:rsidR="00C80FA2" w:rsidRPr="00930BF7" w:rsidRDefault="00C80FA2" w:rsidP="00185525">
      <w:pPr>
        <w:spacing w:line="360" w:lineRule="auto"/>
        <w:rPr>
          <w:rStyle w:val="Hyperlink"/>
        </w:rPr>
      </w:pPr>
      <w:r w:rsidRPr="005E77BC">
        <w:t xml:space="preserve">DFAT (2021). </w:t>
      </w:r>
      <w:hyperlink r:id="rId21" w:history="1">
        <w:r w:rsidRPr="004B636F">
          <w:rPr>
            <w:rStyle w:val="Hyperlink"/>
          </w:rPr>
          <w:t>Indigenous Diplomacy Agenda</w:t>
        </w:r>
      </w:hyperlink>
      <w:r w:rsidRPr="005E77BC">
        <w:t>. May 2021</w:t>
      </w:r>
    </w:p>
    <w:p w14:paraId="3F12B4C3" w14:textId="77777777" w:rsidR="00C80FA2" w:rsidRPr="005E77BC" w:rsidRDefault="00C80FA2" w:rsidP="00185525">
      <w:pPr>
        <w:spacing w:line="360" w:lineRule="auto"/>
      </w:pPr>
      <w:r w:rsidRPr="005E77BC">
        <w:t xml:space="preserve">DFAT (2021). </w:t>
      </w:r>
      <w:hyperlink r:id="rId22" w:history="1">
        <w:r w:rsidRPr="004B636F">
          <w:rPr>
            <w:rStyle w:val="Hyperlink"/>
          </w:rPr>
          <w:t>Ethical Research and Evaluation Guidance Note. July 2021</w:t>
        </w:r>
      </w:hyperlink>
    </w:p>
    <w:p w14:paraId="4BAD75EE" w14:textId="77777777" w:rsidR="00C80FA2" w:rsidRPr="005E77BC" w:rsidRDefault="00C80FA2" w:rsidP="00185525">
      <w:pPr>
        <w:spacing w:line="360" w:lineRule="auto"/>
      </w:pPr>
      <w:r w:rsidRPr="005E77BC">
        <w:t xml:space="preserve">DFAT (2023). </w:t>
      </w:r>
      <w:hyperlink r:id="rId23" w:tooltip="international-development-policy.docx" w:history="1">
        <w:r w:rsidRPr="004B636F">
          <w:rPr>
            <w:rStyle w:val="Hyperlink"/>
          </w:rPr>
          <w:t>Australia’s International Development Policy, August 2023</w:t>
        </w:r>
      </w:hyperlink>
    </w:p>
    <w:p w14:paraId="1D342366" w14:textId="743EC25D" w:rsidR="009628B8" w:rsidRDefault="00C80FA2" w:rsidP="00185525">
      <w:pPr>
        <w:spacing w:line="360" w:lineRule="auto"/>
      </w:pPr>
      <w:r w:rsidRPr="005E77BC">
        <w:t xml:space="preserve">DFAT (2023). </w:t>
      </w:r>
      <w:hyperlink r:id="rId24" w:tooltip="performance-delivery-framework.docx" w:history="1">
        <w:r w:rsidRPr="004B636F">
          <w:rPr>
            <w:rStyle w:val="Hyperlink"/>
          </w:rPr>
          <w:t>Performance and Delivery Framework, August 2023</w:t>
        </w:r>
      </w:hyperlink>
    </w:p>
    <w:p w14:paraId="74B70E95" w14:textId="5F0E811D" w:rsidR="00C80FA2" w:rsidRPr="005E77BC" w:rsidRDefault="00C80FA2" w:rsidP="00185525">
      <w:pPr>
        <w:spacing w:line="360" w:lineRule="auto"/>
      </w:pPr>
      <w:r w:rsidRPr="005E77BC">
        <w:t xml:space="preserve">DFAT (2023). </w:t>
      </w:r>
      <w:hyperlink r:id="rId25" w:history="1">
        <w:r w:rsidRPr="004B636F">
          <w:rPr>
            <w:rStyle w:val="Hyperlink"/>
          </w:rPr>
          <w:t>Monitoring and evaluating development</w:t>
        </w:r>
      </w:hyperlink>
      <w:r w:rsidRPr="005E77BC">
        <w:t xml:space="preserve"> Factsheet, August 2023</w:t>
      </w:r>
    </w:p>
    <w:p w14:paraId="2DB75AF9" w14:textId="77777777" w:rsidR="00C80FA2" w:rsidRPr="005E77BC" w:rsidRDefault="00C80FA2" w:rsidP="00185525">
      <w:pPr>
        <w:spacing w:line="360" w:lineRule="auto"/>
      </w:pPr>
      <w:r w:rsidRPr="005E77BC">
        <w:t xml:space="preserve">DFAT (2023). </w:t>
      </w:r>
      <w:hyperlink r:id="rId26" w:history="1">
        <w:r w:rsidRPr="004B636F">
          <w:rPr>
            <w:rStyle w:val="Hyperlink"/>
          </w:rPr>
          <w:t>Design and Monitoring, Evaluation and Learning Standards</w:t>
        </w:r>
      </w:hyperlink>
      <w:r w:rsidRPr="005E77BC">
        <w:t>. September 2023</w:t>
      </w:r>
    </w:p>
    <w:p w14:paraId="5465BEC4" w14:textId="0EA544DF" w:rsidR="00C80FA2" w:rsidRPr="005E77BC" w:rsidRDefault="00C80FA2" w:rsidP="00185525">
      <w:pPr>
        <w:spacing w:line="360" w:lineRule="auto"/>
      </w:pPr>
      <w:r w:rsidRPr="005E77BC">
        <w:t xml:space="preserve">DFAT (2024). </w:t>
      </w:r>
      <w:hyperlink r:id="rId27" w:history="1">
        <w:r w:rsidRPr="004B636F">
          <w:rPr>
            <w:rStyle w:val="Hyperlink"/>
          </w:rPr>
          <w:t>A new International Gender Equality Strategy.</w:t>
        </w:r>
      </w:hyperlink>
    </w:p>
    <w:p w14:paraId="5E54519F" w14:textId="77777777" w:rsidR="00C80FA2" w:rsidRPr="005E77BC" w:rsidRDefault="00C80FA2" w:rsidP="00185525">
      <w:pPr>
        <w:pStyle w:val="Heading2"/>
        <w:spacing w:before="120" w:after="120" w:line="360" w:lineRule="auto"/>
      </w:pPr>
      <w:bookmarkStart w:id="42" w:name="_Toc172812865"/>
      <w:bookmarkStart w:id="43" w:name="_Toc185321215"/>
      <w:r w:rsidRPr="005E77BC">
        <w:t>Australia Awards</w:t>
      </w:r>
      <w:bookmarkEnd w:id="42"/>
      <w:bookmarkEnd w:id="43"/>
    </w:p>
    <w:p w14:paraId="63CC3A98" w14:textId="77777777" w:rsidR="00C80FA2" w:rsidRPr="005E77BC" w:rsidRDefault="00C80FA2" w:rsidP="00185525">
      <w:pPr>
        <w:spacing w:line="360" w:lineRule="auto"/>
      </w:pPr>
      <w:r w:rsidRPr="005E77BC">
        <w:t xml:space="preserve">DFAT (2016). </w:t>
      </w:r>
      <w:hyperlink r:id="rId28" w:history="1">
        <w:r w:rsidRPr="004B636F">
          <w:rPr>
            <w:rStyle w:val="Hyperlink"/>
          </w:rPr>
          <w:t>Australia Awards Global Strategy - Investing in the next generation of global leaders for development 2016–2018</w:t>
        </w:r>
      </w:hyperlink>
      <w:r w:rsidRPr="005E77BC">
        <w:t>.</w:t>
      </w:r>
    </w:p>
    <w:p w14:paraId="2CF0C066" w14:textId="77777777" w:rsidR="00C80FA2" w:rsidRPr="005E77BC" w:rsidRDefault="00C80FA2" w:rsidP="00185525">
      <w:pPr>
        <w:spacing w:line="360" w:lineRule="auto"/>
      </w:pPr>
      <w:r w:rsidRPr="005E77BC">
        <w:t xml:space="preserve">DFAT (2016). </w:t>
      </w:r>
      <w:hyperlink r:id="rId29" w:history="1">
        <w:r w:rsidRPr="004B636F">
          <w:rPr>
            <w:rStyle w:val="Hyperlink"/>
          </w:rPr>
          <w:t>Australia Global Alumni Engagement Strategy 2016-2020</w:t>
        </w:r>
      </w:hyperlink>
      <w:r w:rsidRPr="005E77BC">
        <w:t> </w:t>
      </w:r>
    </w:p>
    <w:p w14:paraId="2B11C11A" w14:textId="77777777" w:rsidR="00C80FA2" w:rsidRPr="005E77BC" w:rsidRDefault="00C80FA2" w:rsidP="00185525">
      <w:pPr>
        <w:spacing w:line="360" w:lineRule="auto"/>
      </w:pPr>
      <w:r w:rsidRPr="005E77BC">
        <w:t xml:space="preserve">DFAT (2022). </w:t>
      </w:r>
      <w:hyperlink r:id="rId30" w:history="1">
        <w:r w:rsidRPr="004B636F">
          <w:rPr>
            <w:rStyle w:val="Hyperlink"/>
          </w:rPr>
          <w:t>Australia Awards Pacific Scholarships Policy Handbook</w:t>
        </w:r>
      </w:hyperlink>
      <w:r w:rsidRPr="005E77BC">
        <w:t>. June 2022</w:t>
      </w:r>
    </w:p>
    <w:p w14:paraId="6329D730" w14:textId="77777777" w:rsidR="00C80FA2" w:rsidRPr="005E77BC" w:rsidRDefault="00C80FA2" w:rsidP="00185525">
      <w:pPr>
        <w:spacing w:line="360" w:lineRule="auto"/>
      </w:pPr>
      <w:r w:rsidRPr="005E77BC">
        <w:t xml:space="preserve">DFAT (2023). </w:t>
      </w:r>
      <w:hyperlink r:id="rId31" w:history="1">
        <w:r w:rsidRPr="004B636F">
          <w:rPr>
            <w:rStyle w:val="Hyperlink"/>
          </w:rPr>
          <w:t>Australia Awards Scholarships Policy Handbook</w:t>
        </w:r>
      </w:hyperlink>
      <w:r w:rsidRPr="005E77BC">
        <w:t>. April 2023</w:t>
      </w:r>
    </w:p>
    <w:p w14:paraId="573136FC" w14:textId="77777777" w:rsidR="00C80FA2" w:rsidRPr="005E77BC" w:rsidRDefault="00C80FA2" w:rsidP="00185525">
      <w:pPr>
        <w:spacing w:line="360" w:lineRule="auto"/>
      </w:pPr>
      <w:r w:rsidRPr="005E77BC">
        <w:t xml:space="preserve">DFAT (n.d.). </w:t>
      </w:r>
      <w:hyperlink r:id="rId32" w:history="1">
        <w:r w:rsidRPr="004B636F">
          <w:rPr>
            <w:rStyle w:val="Hyperlink"/>
          </w:rPr>
          <w:t>Australia Awards Linkages Good Practice Guide</w:t>
        </w:r>
      </w:hyperlink>
      <w:r w:rsidRPr="005E77BC">
        <w:t>.</w:t>
      </w:r>
    </w:p>
    <w:p w14:paraId="161746A1" w14:textId="77777777" w:rsidR="00C80FA2" w:rsidRPr="005E77BC" w:rsidRDefault="00C80FA2" w:rsidP="00185525">
      <w:pPr>
        <w:spacing w:line="360" w:lineRule="auto"/>
      </w:pPr>
      <w:r w:rsidRPr="005E77BC">
        <w:t xml:space="preserve">DFAT (n.d.). </w:t>
      </w:r>
      <w:hyperlink r:id="rId33" w:history="1">
        <w:r w:rsidRPr="004B636F">
          <w:rPr>
            <w:rStyle w:val="Hyperlink"/>
          </w:rPr>
          <w:t>The Australia Awards Linkages Framework Overview</w:t>
        </w:r>
      </w:hyperlink>
      <w:r w:rsidRPr="005E77BC">
        <w:t>.</w:t>
      </w:r>
    </w:p>
    <w:p w14:paraId="15FD433E" w14:textId="77777777" w:rsidR="00C80FA2" w:rsidRPr="005E77BC" w:rsidRDefault="00C80FA2" w:rsidP="00185525">
      <w:pPr>
        <w:spacing w:line="360" w:lineRule="auto"/>
      </w:pPr>
      <w:r w:rsidRPr="005E77BC">
        <w:t xml:space="preserve">DFAT (n.d.) </w:t>
      </w:r>
      <w:hyperlink r:id="rId34" w:history="1">
        <w:r w:rsidRPr="004B636F">
          <w:rPr>
            <w:rStyle w:val="Hyperlink"/>
          </w:rPr>
          <w:t>The Australia Awards Linkages Guide for Scholars</w:t>
        </w:r>
      </w:hyperlink>
    </w:p>
    <w:p w14:paraId="30095034" w14:textId="77777777" w:rsidR="00C80FA2" w:rsidRPr="005E77BC" w:rsidRDefault="00C80FA2" w:rsidP="00185525">
      <w:pPr>
        <w:spacing w:line="360" w:lineRule="auto"/>
        <w:rPr>
          <w:lang w:eastAsia="en-AU"/>
        </w:rPr>
      </w:pPr>
      <w:r w:rsidRPr="005E77BC">
        <w:t xml:space="preserve">DFAT (n.d.) </w:t>
      </w:r>
      <w:hyperlink r:id="rId35" w:history="1">
        <w:r w:rsidRPr="004B636F">
          <w:rPr>
            <w:rStyle w:val="Hyperlink"/>
          </w:rPr>
          <w:t>Australia Awards Global Strategic Framework and Global Monitoring and Evaluation Framework</w:t>
        </w:r>
      </w:hyperlink>
      <w:r w:rsidRPr="005E77BC">
        <w:t xml:space="preserve"> (and MEF guidance notes): </w:t>
      </w:r>
      <w:hyperlink r:id="rId36" w:history="1">
        <w:r w:rsidRPr="004B636F">
          <w:rPr>
            <w:rStyle w:val="Hyperlink"/>
            <w:lang w:eastAsia="en-AU"/>
          </w:rPr>
          <w:t>Guidance Note 1: Program Logic</w:t>
        </w:r>
        <w:r w:rsidRPr="005E77BC">
          <w:rPr>
            <w:rStyle w:val="Hyperlink"/>
            <w:color w:val="auto"/>
            <w:lang w:eastAsia="en-AU"/>
          </w:rPr>
          <w:t>;</w:t>
        </w:r>
      </w:hyperlink>
      <w:r w:rsidRPr="005E77BC">
        <w:rPr>
          <w:lang w:eastAsia="en-AU"/>
        </w:rPr>
        <w:t xml:space="preserve"> </w:t>
      </w:r>
      <w:hyperlink r:id="rId37" w:history="1">
        <w:r w:rsidRPr="004B636F">
          <w:rPr>
            <w:rStyle w:val="Hyperlink"/>
            <w:lang w:eastAsia="en-AU"/>
          </w:rPr>
          <w:t>Guidance Note 3: Core Global Indicators;</w:t>
        </w:r>
      </w:hyperlink>
      <w:r w:rsidRPr="004B636F">
        <w:rPr>
          <w:rStyle w:val="Hyperlink"/>
          <w:lang w:eastAsia="en-AU"/>
        </w:rPr>
        <w:t xml:space="preserve"> </w:t>
      </w:r>
      <w:hyperlink r:id="rId38" w:history="1">
        <w:r w:rsidRPr="004B636F">
          <w:rPr>
            <w:rStyle w:val="Hyperlink"/>
            <w:lang w:eastAsia="en-AU"/>
          </w:rPr>
          <w:t xml:space="preserve">Annual Investment Reporting Content Guide </w:t>
        </w:r>
      </w:hyperlink>
    </w:p>
    <w:p w14:paraId="7056BAF2" w14:textId="3BA49267" w:rsidR="00C80FA2" w:rsidRPr="005E77BC" w:rsidRDefault="00C80FA2" w:rsidP="00185525">
      <w:pPr>
        <w:spacing w:line="360" w:lineRule="auto"/>
      </w:pPr>
      <w:r w:rsidRPr="005E77BC">
        <w:t xml:space="preserve">DFAT (n.d.). </w:t>
      </w:r>
      <w:hyperlink r:id="rId39" w:history="1">
        <w:r w:rsidRPr="004B636F">
          <w:rPr>
            <w:rStyle w:val="Hyperlink"/>
          </w:rPr>
          <w:t>Australia Awards Connecting with Australia</w:t>
        </w:r>
        <w:r w:rsidRPr="005E77BC">
          <w:rPr>
            <w:rStyle w:val="Hyperlink"/>
            <w:color w:val="auto"/>
          </w:rPr>
          <w:t xml:space="preserve"> </w:t>
        </w:r>
      </w:hyperlink>
    </w:p>
    <w:p w14:paraId="4A4ED0DF" w14:textId="77777777" w:rsidR="00C80FA2" w:rsidRPr="005E77BC" w:rsidRDefault="00C80FA2" w:rsidP="00185525">
      <w:pPr>
        <w:spacing w:line="360" w:lineRule="auto"/>
      </w:pPr>
      <w:r w:rsidRPr="005E77BC">
        <w:t xml:space="preserve">DFAT (n.d.).  DFAT </w:t>
      </w:r>
      <w:hyperlink r:id="rId40">
        <w:r w:rsidRPr="004B636F">
          <w:rPr>
            <w:rStyle w:val="Hyperlink"/>
          </w:rPr>
          <w:t>Fellowships</w:t>
        </w:r>
      </w:hyperlink>
      <w:r w:rsidRPr="005E77BC">
        <w:t xml:space="preserve"> Octo Consulting (2020). Australia Awards Women's Leadership Initiative. Independent Strategic Review </w:t>
      </w:r>
    </w:p>
    <w:p w14:paraId="4CAFD7B3" w14:textId="77777777" w:rsidR="00C80FA2" w:rsidRPr="005E77BC" w:rsidRDefault="00C80FA2" w:rsidP="00185525">
      <w:pPr>
        <w:spacing w:line="360" w:lineRule="auto"/>
      </w:pPr>
      <w:r w:rsidRPr="005E77BC">
        <w:t>DFAT (n.d.) Australia Awards Women’s Leadership Initiative (2017-2022) Independent Strategic Review—Snapshot</w:t>
      </w:r>
    </w:p>
    <w:p w14:paraId="4B2155E2" w14:textId="77777777" w:rsidR="00C80FA2" w:rsidRPr="005E77BC" w:rsidRDefault="00C80FA2" w:rsidP="00185525">
      <w:pPr>
        <w:spacing w:line="360" w:lineRule="auto"/>
      </w:pPr>
      <w:r w:rsidRPr="005E77BC">
        <w:lastRenderedPageBreak/>
        <w:t xml:space="preserve">ACER (2019). Australia Awards Global Tracer Facility Tonga Case Study: </w:t>
      </w:r>
      <w:hyperlink r:id="rId41">
        <w:r w:rsidRPr="004B636F">
          <w:rPr>
            <w:rStyle w:val="Hyperlink"/>
          </w:rPr>
          <w:t>Disability and Development</w:t>
        </w:r>
      </w:hyperlink>
      <w:r w:rsidRPr="004B636F">
        <w:rPr>
          <w:rStyle w:val="Hyperlink"/>
        </w:rPr>
        <w:t>.</w:t>
      </w:r>
      <w:r w:rsidRPr="005E77BC">
        <w:t xml:space="preserve"> November 2019</w:t>
      </w:r>
    </w:p>
    <w:p w14:paraId="58E89B90" w14:textId="77777777" w:rsidR="00C80FA2" w:rsidRPr="005E77BC" w:rsidRDefault="00C80FA2" w:rsidP="00185525">
      <w:pPr>
        <w:spacing w:line="360" w:lineRule="auto"/>
      </w:pPr>
      <w:r w:rsidRPr="005E77BC">
        <w:t xml:space="preserve">ACER (2021). </w:t>
      </w:r>
      <w:r w:rsidRPr="004B636F">
        <w:rPr>
          <w:rStyle w:val="Hyperlink"/>
        </w:rPr>
        <w:t>M</w:t>
      </w:r>
      <w:hyperlink r:id="rId42">
        <w:r w:rsidRPr="004B636F">
          <w:rPr>
            <w:rStyle w:val="Hyperlink"/>
          </w:rPr>
          <w:t>obile alumni case stud</w:t>
        </w:r>
      </w:hyperlink>
      <w:r w:rsidRPr="004B636F">
        <w:rPr>
          <w:rStyle w:val="Hyperlink"/>
        </w:rPr>
        <w:t>y</w:t>
      </w:r>
      <w:r w:rsidRPr="005E77BC">
        <w:t xml:space="preserve"> </w:t>
      </w:r>
    </w:p>
    <w:p w14:paraId="6EA4C2B2" w14:textId="77777777" w:rsidR="00C80FA2" w:rsidRPr="005E77BC" w:rsidRDefault="00C80FA2" w:rsidP="00185525">
      <w:pPr>
        <w:spacing w:line="360" w:lineRule="auto"/>
      </w:pPr>
      <w:r w:rsidRPr="005E77BC">
        <w:t xml:space="preserve">ACER (2024). </w:t>
      </w:r>
      <w:r w:rsidRPr="004B636F">
        <w:rPr>
          <w:rStyle w:val="Hyperlink"/>
        </w:rPr>
        <w:t>G</w:t>
      </w:r>
      <w:hyperlink r:id="rId43">
        <w:r w:rsidRPr="004B636F">
          <w:rPr>
            <w:rStyle w:val="Hyperlink"/>
          </w:rPr>
          <w:t>lobal Synthesis Report: Long-term outcomes of Australian development scholarship alumni</w:t>
        </w:r>
      </w:hyperlink>
    </w:p>
    <w:p w14:paraId="41CE0945" w14:textId="72A31601" w:rsidR="00C80FA2" w:rsidRPr="005E77BC" w:rsidRDefault="00C80FA2" w:rsidP="00185525">
      <w:pPr>
        <w:spacing w:line="360" w:lineRule="auto"/>
      </w:pPr>
      <w:r w:rsidRPr="005E77BC">
        <w:t xml:space="preserve">ACER (2024). Monitoring the competitiveness of the Australia Awards. 16 May 2024. Yung Nietschke &amp; Debbie Wong </w:t>
      </w:r>
    </w:p>
    <w:p w14:paraId="18467768" w14:textId="33A71991" w:rsidR="00C80FA2" w:rsidRPr="005E77BC" w:rsidRDefault="00C80FA2" w:rsidP="00185525">
      <w:pPr>
        <w:spacing w:line="360" w:lineRule="auto"/>
      </w:pPr>
      <w:r w:rsidRPr="005E77BC">
        <w:t>Buckley, S., Clarke, L. &amp; Doyle, J. (2023). Developmental leadership for women in the Pacific: Cultivating networks for change in Australia Award WLI alumni</w:t>
      </w:r>
    </w:p>
    <w:p w14:paraId="625F945D" w14:textId="759015F4" w:rsidR="00C80FA2" w:rsidRPr="005E77BC" w:rsidRDefault="00C80FA2" w:rsidP="00185525">
      <w:pPr>
        <w:spacing w:line="360" w:lineRule="auto"/>
      </w:pPr>
      <w:r w:rsidRPr="005E77BC">
        <w:t xml:space="preserve">Hsien, M., &amp; Edwards, D. (2023). </w:t>
      </w:r>
      <w:hyperlink r:id="rId44" w:history="1">
        <w:r w:rsidRPr="004B636F">
          <w:rPr>
            <w:rStyle w:val="Hyperlink"/>
          </w:rPr>
          <w:t>Australia Awards Alumni Global Tracer Survey 2022</w:t>
        </w:r>
      </w:hyperlink>
      <w:r w:rsidRPr="005E77BC">
        <w:t>. Australia Awards Global Tracer Facility, Australian Department of Foreign Affairs and Trade</w:t>
      </w:r>
    </w:p>
    <w:p w14:paraId="07CBADD9" w14:textId="0B893F6C" w:rsidR="00C80FA2" w:rsidRPr="005E77BC" w:rsidRDefault="00C80FA2" w:rsidP="00185525">
      <w:pPr>
        <w:spacing w:line="360" w:lineRule="auto"/>
      </w:pPr>
      <w:r w:rsidRPr="005E77BC">
        <w:t xml:space="preserve">Hsien, M., Doyle, J., &amp; Buckley, S. (2024). </w:t>
      </w:r>
      <w:hyperlink>
        <w:r w:rsidRPr="004B636F">
          <w:rPr>
            <w:rStyle w:val="Hyperlink"/>
          </w:rPr>
          <w:t>Developmental leadership for women</w:t>
        </w:r>
      </w:hyperlink>
      <w:r w:rsidRPr="005E77BC">
        <w:t xml:space="preserve"> in the Pacific: WLI alumni reflections and insights, Australia Awards Global Tracer Facility, Australian Department of Foreign Affairs and Trade, Canberra </w:t>
      </w:r>
    </w:p>
    <w:p w14:paraId="2BD90D30" w14:textId="77777777" w:rsidR="00C80FA2" w:rsidRPr="005E77BC" w:rsidRDefault="00C80FA2" w:rsidP="00185525">
      <w:pPr>
        <w:spacing w:line="360" w:lineRule="auto"/>
        <w:rPr>
          <w:lang w:val="en-US"/>
        </w:rPr>
      </w:pPr>
      <w:r w:rsidRPr="005E77BC">
        <w:rPr>
          <w:lang w:val="en-US"/>
        </w:rPr>
        <w:t>ORIMA (2023). Australia Awards Scholarships Surveys, 2023 Post Report, Nuku’alofa</w:t>
      </w:r>
    </w:p>
    <w:p w14:paraId="48DAB6EA" w14:textId="546F6CBB" w:rsidR="00C80FA2" w:rsidRPr="005E77BC" w:rsidRDefault="00C80FA2" w:rsidP="00185525">
      <w:pPr>
        <w:spacing w:line="360" w:lineRule="auto"/>
      </w:pPr>
      <w:r w:rsidRPr="005E77BC">
        <w:rPr>
          <w:lang w:val="en-US"/>
        </w:rPr>
        <w:t>ORIMA (2023). Australia Awards Pacific Scholarships Surveys, 2023 Pacific Region Report</w:t>
      </w:r>
    </w:p>
    <w:p w14:paraId="09A80EFF" w14:textId="77777777" w:rsidR="00C80FA2" w:rsidRPr="005E77BC" w:rsidRDefault="00C80FA2" w:rsidP="00185525">
      <w:pPr>
        <w:pStyle w:val="Heading2"/>
        <w:spacing w:before="120" w:after="120" w:line="360" w:lineRule="auto"/>
      </w:pPr>
      <w:bookmarkStart w:id="44" w:name="_Toc172812866"/>
      <w:bookmarkStart w:id="45" w:name="_Toc185321216"/>
      <w:r w:rsidRPr="005E77BC">
        <w:t>DFAT Tonga</w:t>
      </w:r>
      <w:bookmarkEnd w:id="44"/>
      <w:bookmarkEnd w:id="45"/>
    </w:p>
    <w:p w14:paraId="0F53F3E7" w14:textId="77777777" w:rsidR="00C80FA2" w:rsidRPr="005E77BC" w:rsidRDefault="00C80FA2" w:rsidP="00185525">
      <w:pPr>
        <w:spacing w:line="360" w:lineRule="auto"/>
      </w:pPr>
      <w:r w:rsidRPr="005E77BC">
        <w:t xml:space="preserve">DFAT (2017). </w:t>
      </w:r>
      <w:hyperlink r:id="rId45" w:history="1">
        <w:r w:rsidRPr="004B636F">
          <w:rPr>
            <w:rStyle w:val="Hyperlink"/>
          </w:rPr>
          <w:t>Tonga Australia Alumni Engagement Strategy</w:t>
        </w:r>
      </w:hyperlink>
      <w:r w:rsidRPr="005E77BC">
        <w:t xml:space="preserve"> 2017-2019</w:t>
      </w:r>
    </w:p>
    <w:p w14:paraId="22C09F4A" w14:textId="77777777" w:rsidR="00C80FA2" w:rsidRPr="005E77BC" w:rsidRDefault="00C80FA2" w:rsidP="00185525">
      <w:pPr>
        <w:spacing w:line="360" w:lineRule="auto"/>
      </w:pPr>
      <w:r w:rsidRPr="005E77BC">
        <w:t xml:space="preserve">DFAT (2020). </w:t>
      </w:r>
      <w:hyperlink r:id="rId46" w:history="1">
        <w:r w:rsidRPr="004B636F">
          <w:rPr>
            <w:rStyle w:val="Hyperlink"/>
          </w:rPr>
          <w:t>Tonga COVID-19 DEVELOPMENT RESPONSE PLAN</w:t>
        </w:r>
      </w:hyperlink>
      <w:r w:rsidRPr="005E77BC">
        <w:t>. October 2020.</w:t>
      </w:r>
    </w:p>
    <w:p w14:paraId="52ABA077" w14:textId="77777777" w:rsidR="00C80FA2" w:rsidRPr="005E77BC" w:rsidRDefault="00C80FA2" w:rsidP="00185525">
      <w:pPr>
        <w:spacing w:line="360" w:lineRule="auto"/>
      </w:pPr>
      <w:r w:rsidRPr="005E77BC">
        <w:t xml:space="preserve">DFAT (2022). 2021-22 </w:t>
      </w:r>
      <w:hyperlink r:id="rId47" w:history="1">
        <w:r w:rsidRPr="004B636F">
          <w:rPr>
            <w:rStyle w:val="Hyperlink"/>
          </w:rPr>
          <w:t>TONGA DEVELOPMENT PROGRAM PROGRESS REPORT</w:t>
        </w:r>
      </w:hyperlink>
    </w:p>
    <w:p w14:paraId="1D37D31E" w14:textId="77777777" w:rsidR="00C80FA2" w:rsidRPr="005E77BC" w:rsidRDefault="00C80FA2" w:rsidP="00185525">
      <w:pPr>
        <w:spacing w:line="360" w:lineRule="auto"/>
      </w:pPr>
      <w:r w:rsidRPr="005E77BC">
        <w:t xml:space="preserve">DFAT (2023). 2022-23 </w:t>
      </w:r>
      <w:hyperlink r:id="rId48" w:history="1">
        <w:r w:rsidRPr="004B636F">
          <w:rPr>
            <w:rStyle w:val="Hyperlink"/>
          </w:rPr>
          <w:t>Tonga Development Program Progress Report</w:t>
        </w:r>
      </w:hyperlink>
    </w:p>
    <w:p w14:paraId="01AAF03B" w14:textId="77777777" w:rsidR="00C80FA2" w:rsidRPr="005E77BC" w:rsidRDefault="00C80FA2" w:rsidP="00185525">
      <w:pPr>
        <w:spacing w:line="360" w:lineRule="auto"/>
      </w:pPr>
      <w:r w:rsidRPr="005E77BC">
        <w:t xml:space="preserve">DFAT Tonga (2024). </w:t>
      </w:r>
      <w:hyperlink r:id="rId49" w:history="1">
        <w:r w:rsidRPr="004B636F">
          <w:rPr>
            <w:rStyle w:val="Hyperlink"/>
          </w:rPr>
          <w:t>Kingdom of Tinga Country Brief</w:t>
        </w:r>
      </w:hyperlink>
      <w:r w:rsidRPr="005E77BC">
        <w:t>. Accessed 21 July 2024.</w:t>
      </w:r>
    </w:p>
    <w:p w14:paraId="15CEC21B" w14:textId="267FAFD5" w:rsidR="00C80FA2" w:rsidRPr="005E77BC" w:rsidRDefault="00C80FA2" w:rsidP="00185525">
      <w:pPr>
        <w:spacing w:line="360" w:lineRule="auto"/>
      </w:pPr>
      <w:r w:rsidRPr="005E77BC">
        <w:t xml:space="preserve">DFAT Tonga (2024). </w:t>
      </w:r>
      <w:hyperlink r:id="rId50" w:history="1">
        <w:r w:rsidRPr="004B636F">
          <w:rPr>
            <w:rStyle w:val="Hyperlink"/>
          </w:rPr>
          <w:t>Country Economy Factsheet</w:t>
        </w:r>
      </w:hyperlink>
      <w:r w:rsidRPr="005E77BC">
        <w:t>. Accessed 21 July 2024</w:t>
      </w:r>
    </w:p>
    <w:p w14:paraId="37F941E7" w14:textId="77777777" w:rsidR="00C80FA2" w:rsidRPr="005E77BC" w:rsidRDefault="00C80FA2" w:rsidP="00185525">
      <w:pPr>
        <w:spacing w:line="360" w:lineRule="auto"/>
      </w:pPr>
      <w:r w:rsidRPr="005E77BC">
        <w:t xml:space="preserve">DFAT Tonga (2024). </w:t>
      </w:r>
      <w:hyperlink r:id="rId51" w:history="1">
        <w:r w:rsidRPr="00CD3D58">
          <w:rPr>
            <w:rStyle w:val="Hyperlink"/>
          </w:rPr>
          <w:t>Kingdom of Tonga Development Cooperation Factsheet</w:t>
        </w:r>
      </w:hyperlink>
      <w:r w:rsidRPr="00CD3D58">
        <w:rPr>
          <w:rStyle w:val="Hyperlink"/>
        </w:rPr>
        <w:t xml:space="preserve">. </w:t>
      </w:r>
      <w:r w:rsidRPr="005E77BC">
        <w:t>May 2024</w:t>
      </w:r>
    </w:p>
    <w:p w14:paraId="70621F52" w14:textId="5AEF4FB0" w:rsidR="00C80FA2" w:rsidRPr="005E77BC" w:rsidRDefault="00C80FA2" w:rsidP="00185525">
      <w:pPr>
        <w:spacing w:line="360" w:lineRule="auto"/>
      </w:pPr>
      <w:r w:rsidRPr="005E77BC">
        <w:t>DFAT Tonga (2024). Tonga A</w:t>
      </w:r>
      <w:r w:rsidR="00AC3CC8" w:rsidRPr="005E77BC">
        <w:t xml:space="preserve">ustralia </w:t>
      </w:r>
      <w:r w:rsidRPr="005E77BC">
        <w:t>A</w:t>
      </w:r>
      <w:r w:rsidR="00AC3CC8" w:rsidRPr="005E77BC">
        <w:t>wards</w:t>
      </w:r>
      <w:r w:rsidRPr="005E77BC">
        <w:t xml:space="preserve"> </w:t>
      </w:r>
      <w:hyperlink r:id="rId52" w:history="1">
        <w:r w:rsidRPr="000C7243">
          <w:rPr>
            <w:rStyle w:val="Hyperlink"/>
          </w:rPr>
          <w:t>Promotion and Selection</w:t>
        </w:r>
      </w:hyperlink>
      <w:r w:rsidRPr="005E77BC">
        <w:t xml:space="preserve"> documents </w:t>
      </w:r>
    </w:p>
    <w:p w14:paraId="7F5875E9" w14:textId="77777777" w:rsidR="00C80FA2" w:rsidRPr="005E77BC" w:rsidRDefault="00C80FA2" w:rsidP="00185525">
      <w:pPr>
        <w:spacing w:line="360" w:lineRule="auto"/>
      </w:pPr>
      <w:r w:rsidRPr="005E77BC">
        <w:t>DFAT 2024, 2025 Intake Australia Awards Annual Cycle, accessed 17 September 2024</w:t>
      </w:r>
    </w:p>
    <w:p w14:paraId="7FB065D9" w14:textId="77777777" w:rsidR="00C80FA2" w:rsidRPr="005E77BC" w:rsidRDefault="00C80FA2" w:rsidP="00185525">
      <w:pPr>
        <w:spacing w:line="360" w:lineRule="auto"/>
      </w:pPr>
      <w:r w:rsidRPr="005E77BC">
        <w:t>DFAT (2024).  Australia – Kingdom of Tonga Development Partnership Plan 2024–2029. Consultation Draft November 2024.</w:t>
      </w:r>
    </w:p>
    <w:p w14:paraId="7DCEB19E" w14:textId="77777777" w:rsidR="0010678F" w:rsidRDefault="00C80FA2" w:rsidP="00185525">
      <w:pPr>
        <w:spacing w:line="360" w:lineRule="auto"/>
        <w:sectPr w:rsidR="0010678F" w:rsidSect="002D459B">
          <w:pgSz w:w="11906" w:h="16838" w:code="9"/>
          <w:pgMar w:top="1418" w:right="1418" w:bottom="1418" w:left="1418" w:header="0" w:footer="510" w:gutter="0"/>
          <w:cols w:space="720"/>
          <w:docGrid w:linePitch="360"/>
        </w:sectPr>
      </w:pPr>
      <w:r w:rsidRPr="005E77BC">
        <w:t>DFAT (2024). Tonga Gender Plan, 2024–2029. November 2024. </w:t>
      </w:r>
      <w:bookmarkStart w:id="46" w:name="_Toc172812867"/>
      <w:bookmarkStart w:id="47" w:name="_Toc185321217"/>
    </w:p>
    <w:p w14:paraId="1F2C1861" w14:textId="7704EDF6" w:rsidR="00C80FA2" w:rsidRPr="005E77BC" w:rsidRDefault="00C80FA2" w:rsidP="0010678F">
      <w:pPr>
        <w:pStyle w:val="Heading2"/>
        <w:spacing w:before="120" w:after="120" w:line="360" w:lineRule="auto"/>
        <w:ind w:left="0" w:firstLine="0"/>
      </w:pPr>
      <w:r w:rsidRPr="005E77BC">
        <w:lastRenderedPageBreak/>
        <w:t>Other Tonga</w:t>
      </w:r>
      <w:bookmarkEnd w:id="46"/>
      <w:r w:rsidRPr="005E77BC">
        <w:t xml:space="preserve"> related</w:t>
      </w:r>
      <w:bookmarkEnd w:id="47"/>
      <w:r w:rsidR="005960BC">
        <w:t xml:space="preserve"> documents</w:t>
      </w:r>
    </w:p>
    <w:p w14:paraId="79B0166E" w14:textId="77777777" w:rsidR="00C80FA2" w:rsidRPr="005E77BC" w:rsidRDefault="00C80FA2" w:rsidP="00185525">
      <w:pPr>
        <w:spacing w:line="360" w:lineRule="auto"/>
      </w:pPr>
      <w:r w:rsidRPr="005E77BC">
        <w:t>Government of Tonga (2018). Labour force survey</w:t>
      </w:r>
    </w:p>
    <w:p w14:paraId="735967F4" w14:textId="77777777" w:rsidR="00C80FA2" w:rsidRPr="005E77BC" w:rsidRDefault="00C80FA2" w:rsidP="00185525">
      <w:pPr>
        <w:spacing w:line="360" w:lineRule="auto"/>
      </w:pPr>
      <w:r w:rsidRPr="005E77BC">
        <w:t xml:space="preserve">Government of Tonga (2011). </w:t>
      </w:r>
      <w:hyperlink r:id="rId53" w:history="1">
        <w:r w:rsidRPr="000C7243">
          <w:rPr>
            <w:rStyle w:val="Hyperlink"/>
          </w:rPr>
          <w:t>Tonga Strategic Development Plan 2011-2030</w:t>
        </w:r>
      </w:hyperlink>
    </w:p>
    <w:p w14:paraId="47F5EE5B" w14:textId="77777777" w:rsidR="00C80FA2" w:rsidRPr="005E77BC" w:rsidRDefault="00C80FA2" w:rsidP="00185525">
      <w:pPr>
        <w:spacing w:line="360" w:lineRule="auto"/>
        <w:rPr>
          <w:rStyle w:val="Hyperlink"/>
          <w:color w:val="auto"/>
        </w:rPr>
      </w:pPr>
      <w:r w:rsidRPr="005E77BC">
        <w:t xml:space="preserve">Government of Tonga (2015). </w:t>
      </w:r>
      <w:r w:rsidRPr="005E77BC">
        <w:fldChar w:fldCharType="begin"/>
      </w:r>
      <w:r w:rsidRPr="005E77BC">
        <w:instrText>HYPERLINK "https://pmo.gov.to/index.php/tonga-sustainable-development-goal/"</w:instrText>
      </w:r>
      <w:r w:rsidRPr="005E77BC">
        <w:fldChar w:fldCharType="separate"/>
      </w:r>
      <w:r w:rsidRPr="000C7243">
        <w:rPr>
          <w:rStyle w:val="Hyperlink"/>
        </w:rPr>
        <w:t>Tonga Strategic Development Framework. 2015-2025</w:t>
      </w:r>
    </w:p>
    <w:p w14:paraId="40C5F67F" w14:textId="77777777" w:rsidR="00C80FA2" w:rsidRPr="005E77BC" w:rsidRDefault="00C80FA2" w:rsidP="00185525">
      <w:pPr>
        <w:spacing w:line="360" w:lineRule="auto"/>
      </w:pPr>
      <w:r w:rsidRPr="005E77BC">
        <w:fldChar w:fldCharType="end"/>
      </w:r>
      <w:r w:rsidRPr="005E77BC">
        <w:t>Government of Tonga (2020</w:t>
      </w:r>
      <w:r w:rsidRPr="000C7243">
        <w:rPr>
          <w:rStyle w:val="Hyperlink"/>
        </w:rPr>
        <w:t xml:space="preserve">). </w:t>
      </w:r>
      <w:hyperlink r:id="rId54">
        <w:r w:rsidRPr="000C7243">
          <w:rPr>
            <w:rStyle w:val="Hyperlink"/>
          </w:rPr>
          <w:t>COVID-19 Economic Recovery Plan</w:t>
        </w:r>
      </w:hyperlink>
      <w:r w:rsidRPr="005E77BC">
        <w:t>. August 2020.</w:t>
      </w:r>
    </w:p>
    <w:p w14:paraId="058E2D06" w14:textId="77777777" w:rsidR="00C80FA2" w:rsidRPr="005E77BC" w:rsidRDefault="00C80FA2" w:rsidP="00185525">
      <w:pPr>
        <w:spacing w:line="360" w:lineRule="auto"/>
      </w:pPr>
      <w:r w:rsidRPr="005E77BC">
        <w:t>Government of Tonga, MET Training Priorities 2025</w:t>
      </w:r>
    </w:p>
    <w:p w14:paraId="3A61EC36" w14:textId="77777777" w:rsidR="00C80FA2" w:rsidRPr="005E77BC" w:rsidRDefault="00C80FA2" w:rsidP="00185525">
      <w:pPr>
        <w:spacing w:line="360" w:lineRule="auto"/>
      </w:pPr>
      <w:r w:rsidRPr="005E77BC">
        <w:t>Government of Tonga, MET Corporate Plan 2022/2023 - 2024/2025</w:t>
      </w:r>
    </w:p>
    <w:p w14:paraId="59AFB3D3" w14:textId="77777777" w:rsidR="00C80FA2" w:rsidRPr="005E77BC" w:rsidRDefault="00C80FA2" w:rsidP="00185525">
      <w:pPr>
        <w:spacing w:line="360" w:lineRule="auto"/>
      </w:pPr>
      <w:r w:rsidRPr="005E77BC">
        <w:t xml:space="preserve">Government of Tonga (2020). </w:t>
      </w:r>
      <w:hyperlink r:id="rId55" w:history="1">
        <w:r w:rsidRPr="000C7243">
          <w:rPr>
            <w:rStyle w:val="Hyperlink"/>
          </w:rPr>
          <w:t>Public Service Commission Annual Report</w:t>
        </w:r>
      </w:hyperlink>
      <w:r w:rsidRPr="005E77BC">
        <w:t xml:space="preserve"> 2020– 2021</w:t>
      </w:r>
    </w:p>
    <w:p w14:paraId="4492882F" w14:textId="77777777" w:rsidR="00C80FA2" w:rsidRPr="005E77BC" w:rsidRDefault="00C80FA2" w:rsidP="00185525">
      <w:pPr>
        <w:spacing w:line="360" w:lineRule="auto"/>
      </w:pPr>
      <w:proofErr w:type="spellStart"/>
      <w:r w:rsidRPr="005E77BC">
        <w:t>GoT</w:t>
      </w:r>
      <w:proofErr w:type="spellEnd"/>
      <w:r w:rsidRPr="005E77BC">
        <w:t xml:space="preserve"> (2022). The Tonga Gender and Environment Survey (2022). Tonga Statistics Department</w:t>
      </w:r>
    </w:p>
    <w:p w14:paraId="447F4772" w14:textId="77777777" w:rsidR="00C80FA2" w:rsidRPr="005E77BC" w:rsidRDefault="00C80FA2" w:rsidP="00185525">
      <w:pPr>
        <w:spacing w:line="360" w:lineRule="auto"/>
      </w:pPr>
      <w:r w:rsidRPr="005E77BC">
        <w:t>ILO (2024). Tonga Country Fact Sheet.</w:t>
      </w:r>
    </w:p>
    <w:p w14:paraId="61E4A81E" w14:textId="77777777" w:rsidR="00C80FA2" w:rsidRPr="005E77BC" w:rsidRDefault="00C80FA2" w:rsidP="00185525">
      <w:pPr>
        <w:spacing w:line="360" w:lineRule="auto"/>
      </w:pPr>
      <w:r w:rsidRPr="005E77BC">
        <w:t>IMF (2024): Staff Concluding Statement of the 2024 Article IV Mission, Tonga</w:t>
      </w:r>
    </w:p>
    <w:p w14:paraId="1C128096" w14:textId="77777777" w:rsidR="00C80FA2" w:rsidRPr="005E77BC" w:rsidRDefault="00C80FA2" w:rsidP="00185525">
      <w:pPr>
        <w:spacing w:line="360" w:lineRule="auto"/>
      </w:pPr>
      <w:r w:rsidRPr="005E77BC">
        <w:t xml:space="preserve">JRDS (2023). </w:t>
      </w:r>
      <w:hyperlink r:id="rId56" w:history="1">
        <w:r w:rsidRPr="000C7243">
          <w:rPr>
            <w:rStyle w:val="Hyperlink"/>
          </w:rPr>
          <w:t>Tonga Labour Mobility Supply Management Strategy</w:t>
        </w:r>
      </w:hyperlink>
    </w:p>
    <w:p w14:paraId="0CDBAD5F" w14:textId="77777777" w:rsidR="00C80FA2" w:rsidRPr="005E77BC" w:rsidRDefault="00C80FA2" w:rsidP="00185525">
      <w:pPr>
        <w:spacing w:line="360" w:lineRule="auto"/>
      </w:pPr>
      <w:r w:rsidRPr="005E77BC">
        <w:t xml:space="preserve">PSDI (2024). </w:t>
      </w:r>
      <w:hyperlink r:id="rId57" w:history="1">
        <w:r w:rsidRPr="000C7243">
          <w:rPr>
            <w:rStyle w:val="Hyperlink"/>
          </w:rPr>
          <w:t>UNLOCKING POTENTIAL A GENDER INCLUSIVE PRIVATE SECTOR FRAMEWORK FOR THE PACIFIC: TONGA COUNTRY ASSESSMENT</w:t>
        </w:r>
      </w:hyperlink>
      <w:r w:rsidRPr="005E77BC">
        <w:t>. March 2024</w:t>
      </w:r>
    </w:p>
    <w:p w14:paraId="5C2009C8" w14:textId="7CC0B51F" w:rsidR="002F53CB" w:rsidRPr="005E77BC" w:rsidRDefault="00C80FA2" w:rsidP="00185525">
      <w:pPr>
        <w:spacing w:line="360" w:lineRule="auto"/>
      </w:pPr>
      <w:r w:rsidRPr="005E77BC">
        <w:t>World Bank (2024). Navigating Turbulent Waves Toward Sustained Poverty Reduction Tonga Poverty and Equity Assessment 2024</w:t>
      </w:r>
      <w:bookmarkStart w:id="48" w:name="_Toc185321218"/>
    </w:p>
    <w:p w14:paraId="1F66DFD3" w14:textId="7CBF2472" w:rsidR="00C80FA2" w:rsidRPr="005E77BC" w:rsidRDefault="00C80FA2" w:rsidP="00185525">
      <w:pPr>
        <w:pStyle w:val="Heading2"/>
        <w:spacing w:before="120" w:after="120" w:line="360" w:lineRule="auto"/>
      </w:pPr>
      <w:r w:rsidRPr="005E77BC">
        <w:t>Regional</w:t>
      </w:r>
      <w:bookmarkEnd w:id="48"/>
    </w:p>
    <w:p w14:paraId="48A56337" w14:textId="77777777" w:rsidR="00C80FA2" w:rsidRPr="005E77BC" w:rsidRDefault="00C80FA2" w:rsidP="00185525">
      <w:pPr>
        <w:spacing w:line="360" w:lineRule="auto"/>
      </w:pPr>
      <w:r w:rsidRPr="005E77BC">
        <w:t>Baker (2022). PAC I F I C REGIONAL INCLUSIVE EDUCATION REVIEW, 2022</w:t>
      </w:r>
    </w:p>
    <w:p w14:paraId="0BDC0C5A" w14:textId="078222DA" w:rsidR="00C80FA2" w:rsidRPr="005E77BC" w:rsidRDefault="00C80FA2" w:rsidP="00185525">
      <w:pPr>
        <w:spacing w:line="360" w:lineRule="auto"/>
        <w:rPr>
          <w:lang w:val="en-US"/>
        </w:rPr>
      </w:pPr>
      <w:r w:rsidRPr="005E77BC">
        <w:t xml:space="preserve">Coffey (2019). </w:t>
      </w:r>
      <w:hyperlink r:id="rId58" w:history="1">
        <w:r w:rsidRPr="000C7243">
          <w:rPr>
            <w:rStyle w:val="Hyperlink"/>
            <w:lang w:val="en-US"/>
          </w:rPr>
          <w:t>Strategic Evaluation</w:t>
        </w:r>
      </w:hyperlink>
      <w:r w:rsidRPr="005E77BC">
        <w:rPr>
          <w:lang w:val="en-US"/>
        </w:rPr>
        <w:t xml:space="preserve"> of New Zealand Aid Scholarships Evaluation Report, April 2019</w:t>
      </w:r>
    </w:p>
    <w:p w14:paraId="13D2843B" w14:textId="77777777" w:rsidR="00C80FA2" w:rsidRPr="005E77BC" w:rsidRDefault="00C80FA2" w:rsidP="00185525">
      <w:pPr>
        <w:spacing w:line="360" w:lineRule="auto"/>
        <w:rPr>
          <w:lang w:val="en-US"/>
        </w:rPr>
      </w:pPr>
      <w:r w:rsidRPr="005E77BC">
        <w:rPr>
          <w:lang w:val="en-US"/>
        </w:rPr>
        <w:t xml:space="preserve">ILO (2019). </w:t>
      </w:r>
      <w:proofErr w:type="spellStart"/>
      <w:r w:rsidRPr="005E77BC">
        <w:rPr>
          <w:lang w:val="en-US"/>
        </w:rPr>
        <w:t>Labour</w:t>
      </w:r>
      <w:proofErr w:type="spellEnd"/>
      <w:r w:rsidRPr="005E77BC">
        <w:rPr>
          <w:lang w:val="en-US"/>
        </w:rPr>
        <w:t xml:space="preserve"> mobility in Pacific Island countries</w:t>
      </w:r>
    </w:p>
    <w:p w14:paraId="0E27935E" w14:textId="77777777" w:rsidR="00C80FA2" w:rsidRPr="005E77BC" w:rsidRDefault="00C80FA2" w:rsidP="00185525">
      <w:pPr>
        <w:spacing w:line="360" w:lineRule="auto"/>
      </w:pPr>
      <w:r w:rsidRPr="005E77BC">
        <w:t xml:space="preserve">ILO (2020). </w:t>
      </w:r>
      <w:hyperlink r:id="rId59" w:history="1">
        <w:r w:rsidRPr="000C7243">
          <w:rPr>
            <w:rStyle w:val="Hyperlink"/>
          </w:rPr>
          <w:t>Pacific Labour Market Review</w:t>
        </w:r>
      </w:hyperlink>
      <w:r w:rsidRPr="005E77BC">
        <w:t xml:space="preserve"> 2020</w:t>
      </w:r>
    </w:p>
    <w:p w14:paraId="1F4D3F03" w14:textId="77777777" w:rsidR="00C80FA2" w:rsidRPr="005E77BC" w:rsidRDefault="00C80FA2" w:rsidP="00185525">
      <w:pPr>
        <w:spacing w:line="360" w:lineRule="auto"/>
      </w:pPr>
      <w:r w:rsidRPr="005E77BC">
        <w:t>ILO (2024). Asia-Pacific Employment and Social Outlook 2024: Promoting Decent Work and Social Justice to Manage Ageing Societies, Geneva</w:t>
      </w:r>
    </w:p>
    <w:p w14:paraId="717722F7" w14:textId="77777777" w:rsidR="00C80FA2" w:rsidRPr="005E77BC" w:rsidRDefault="00C80FA2" w:rsidP="00185525">
      <w:pPr>
        <w:spacing w:line="360" w:lineRule="auto"/>
      </w:pPr>
      <w:r w:rsidRPr="005E77BC">
        <w:t>World Bank (2017). Pacific Possible: Long-term Economic Opportunities and Challenges for Pacific Island Countries.</w:t>
      </w:r>
    </w:p>
    <w:p w14:paraId="7E732857" w14:textId="773E38F3" w:rsidR="003F2E40" w:rsidRPr="005E77BC" w:rsidRDefault="00C80FA2" w:rsidP="00185525">
      <w:pPr>
        <w:spacing w:line="360" w:lineRule="auto"/>
        <w:rPr>
          <w:lang w:val="en-AU"/>
        </w:rPr>
      </w:pPr>
      <w:r w:rsidRPr="005E77BC">
        <w:t xml:space="preserve">World Economic Forum (2023). </w:t>
      </w:r>
      <w:r w:rsidRPr="005E77BC">
        <w:rPr>
          <w:lang w:val="en-AU"/>
        </w:rPr>
        <w:t>Future of Jobs Report.</w:t>
      </w:r>
      <w:r w:rsidR="003F2E40" w:rsidRPr="005E77BC">
        <w:rPr>
          <w:lang w:val="en-AU"/>
        </w:rPr>
        <w:t xml:space="preserve"> Insight Report 2023</w:t>
      </w:r>
    </w:p>
    <w:p w14:paraId="4DC855BB" w14:textId="77777777" w:rsidR="00C80FA2" w:rsidRPr="00EF2495" w:rsidRDefault="00C80FA2" w:rsidP="00EF2495">
      <w:pPr>
        <w:rPr>
          <w:lang w:val="en-AU"/>
        </w:rPr>
        <w:sectPr w:rsidR="00C80FA2" w:rsidRPr="00EF2495" w:rsidSect="002D459B">
          <w:pgSz w:w="11906" w:h="16838" w:code="9"/>
          <w:pgMar w:top="1418" w:right="1418" w:bottom="1418" w:left="1418" w:header="0" w:footer="510" w:gutter="0"/>
          <w:cols w:space="720"/>
          <w:docGrid w:linePitch="360"/>
        </w:sectPr>
      </w:pPr>
    </w:p>
    <w:p w14:paraId="6F40280F" w14:textId="77777777" w:rsidR="00C80FA2" w:rsidRPr="00E77D32" w:rsidRDefault="00C80FA2" w:rsidP="00E12898">
      <w:pPr>
        <w:pStyle w:val="Heading1"/>
        <w:rPr>
          <w:color w:val="auto"/>
        </w:rPr>
      </w:pPr>
      <w:bookmarkStart w:id="49" w:name="_Toc172812869"/>
      <w:bookmarkStart w:id="50" w:name="_Toc174445837"/>
      <w:bookmarkStart w:id="51" w:name="_Toc185321219"/>
      <w:bookmarkStart w:id="52" w:name="_Toc519157223"/>
      <w:bookmarkStart w:id="53" w:name="_Toc71982319"/>
      <w:bookmarkStart w:id="54" w:name="_Toc71982346"/>
      <w:r w:rsidRPr="00E77D32">
        <w:rPr>
          <w:color w:val="auto"/>
        </w:rPr>
        <w:lastRenderedPageBreak/>
        <w:t>Annex 5: Key stakeholders consulted</w:t>
      </w:r>
      <w:bookmarkEnd w:id="49"/>
      <w:bookmarkEnd w:id="50"/>
      <w:bookmarkEnd w:id="51"/>
    </w:p>
    <w:p w14:paraId="47A0E408" w14:textId="250C6B3B" w:rsidR="00860C7C" w:rsidRDefault="00872F38" w:rsidP="00E12898">
      <w:pPr>
        <w:pStyle w:val="Heading2"/>
      </w:pPr>
      <w:r>
        <w:t>Annex 5: Key stakeholders consulted</w:t>
      </w:r>
    </w:p>
    <w:p w14:paraId="2B9F0EAA" w14:textId="4F528648" w:rsidR="00872F38" w:rsidRDefault="0003357B" w:rsidP="00860C7C">
      <w:r>
        <w:t>O</w:t>
      </w:r>
      <w:r w:rsidR="00872F38">
        <w:t>rganisations and stakeholders consulted during the review</w:t>
      </w:r>
      <w:r>
        <w:t xml:space="preserve"> listed below</w:t>
      </w:r>
      <w:r w:rsidR="00872F38">
        <w:t>.</w:t>
      </w:r>
    </w:p>
    <w:p w14:paraId="224765BC" w14:textId="0E7309D3" w:rsidR="0003357B" w:rsidRDefault="0003357B" w:rsidP="0003357B">
      <w:pPr>
        <w:pStyle w:val="ListParagraph"/>
        <w:numPr>
          <w:ilvl w:val="0"/>
          <w:numId w:val="24"/>
        </w:numPr>
      </w:pPr>
      <w:r>
        <w:t>Australian High Commission, Nuku’alofa</w:t>
      </w:r>
    </w:p>
    <w:p w14:paraId="611A6206" w14:textId="77777777" w:rsidR="0003357B" w:rsidRDefault="0003357B" w:rsidP="0003357B">
      <w:pPr>
        <w:pStyle w:val="TableText0"/>
      </w:pPr>
      <w:r w:rsidRPr="00C257B6">
        <w:t>Erin Gleeson, Deputy High Commissioner</w:t>
      </w:r>
      <w:r>
        <w:t xml:space="preserve"> and </w:t>
      </w:r>
      <w:r w:rsidRPr="00C257B6">
        <w:t>Counsellor</w:t>
      </w:r>
    </w:p>
    <w:p w14:paraId="7C5D103E" w14:textId="4C407D79" w:rsidR="0003357B" w:rsidRPr="00C257B6" w:rsidRDefault="0003357B" w:rsidP="0003357B">
      <w:pPr>
        <w:pStyle w:val="TableText0"/>
      </w:pPr>
      <w:r w:rsidRPr="00C257B6">
        <w:t>Asi Vanisi, Program Manager, Australia Awards</w:t>
      </w:r>
    </w:p>
    <w:p w14:paraId="19452392" w14:textId="4C2F5C91" w:rsidR="0003357B" w:rsidRPr="00C257B6" w:rsidRDefault="0003357B" w:rsidP="0003357B">
      <w:pPr>
        <w:pStyle w:val="TableText0"/>
      </w:pPr>
      <w:r w:rsidRPr="00C257B6">
        <w:t xml:space="preserve">Siaosi </w:t>
      </w:r>
      <w:proofErr w:type="spellStart"/>
      <w:r w:rsidRPr="00C257B6">
        <w:t>Lepuha</w:t>
      </w:r>
      <w:proofErr w:type="spellEnd"/>
      <w:r w:rsidRPr="00C257B6">
        <w:t xml:space="preserve"> Faka’osi, Program Manager, Skills and Alumni</w:t>
      </w:r>
    </w:p>
    <w:p w14:paraId="0C72540F" w14:textId="4FFEFF17" w:rsidR="0003357B" w:rsidRPr="00C257B6" w:rsidRDefault="0003357B" w:rsidP="0003357B">
      <w:pPr>
        <w:pStyle w:val="TableText0"/>
      </w:pPr>
      <w:r w:rsidRPr="00C257B6">
        <w:t xml:space="preserve">Runte </w:t>
      </w:r>
      <w:proofErr w:type="spellStart"/>
      <w:r w:rsidRPr="00C257B6">
        <w:t>Likiafu</w:t>
      </w:r>
      <w:proofErr w:type="spellEnd"/>
      <w:r w:rsidRPr="00C257B6">
        <w:t>, Program Manager, Agriculture and Private Sector</w:t>
      </w:r>
    </w:p>
    <w:p w14:paraId="36765734" w14:textId="77777777" w:rsidR="0003357B" w:rsidRDefault="0003357B" w:rsidP="0003357B">
      <w:pPr>
        <w:pStyle w:val="TableText0"/>
      </w:pPr>
      <w:r w:rsidRPr="00C257B6">
        <w:t>Elle Bradshaw, Second Secretary, Humanitarian and Energy</w:t>
      </w:r>
    </w:p>
    <w:p w14:paraId="0C14F5BD" w14:textId="69106EC4" w:rsidR="0003357B" w:rsidRDefault="0003357B" w:rsidP="0003357B">
      <w:pPr>
        <w:pStyle w:val="TableText0"/>
      </w:pPr>
      <w:r w:rsidRPr="00C257B6">
        <w:t>AHC - Elisapeta Fa’aui, Senior Program Manager, Education</w:t>
      </w:r>
    </w:p>
    <w:p w14:paraId="0CFD50E9" w14:textId="33CA675B" w:rsidR="0003357B" w:rsidRDefault="0003357B" w:rsidP="0003357B">
      <w:pPr>
        <w:pStyle w:val="TableText0"/>
        <w:numPr>
          <w:ilvl w:val="0"/>
          <w:numId w:val="24"/>
        </w:numPr>
      </w:pPr>
      <w:r>
        <w:t xml:space="preserve">DFAT Canberra and Posts </w:t>
      </w:r>
    </w:p>
    <w:p w14:paraId="53125564" w14:textId="1607E57E" w:rsidR="0003357B" w:rsidRDefault="0003357B" w:rsidP="0003357B">
      <w:pPr>
        <w:pStyle w:val="TableText0"/>
      </w:pPr>
      <w:r w:rsidRPr="00C257B6">
        <w:t>Rhona McPhee, DFAT Canberra</w:t>
      </w:r>
    </w:p>
    <w:p w14:paraId="1F525614" w14:textId="2580585E" w:rsidR="0003357B" w:rsidRDefault="0003357B" w:rsidP="0003357B">
      <w:pPr>
        <w:pStyle w:val="TableText0"/>
      </w:pPr>
      <w:r w:rsidRPr="00C257B6">
        <w:t>Cynthia Ojiambo, DFAT Canberra</w:t>
      </w:r>
    </w:p>
    <w:p w14:paraId="28BF054D" w14:textId="77777777" w:rsidR="0003357B" w:rsidRPr="00C257B6" w:rsidRDefault="0003357B" w:rsidP="0003357B">
      <w:pPr>
        <w:pStyle w:val="TableText0"/>
      </w:pPr>
      <w:r w:rsidRPr="00C257B6">
        <w:t>Akosita Rokomate, Suva Post</w:t>
      </w:r>
    </w:p>
    <w:p w14:paraId="51A51E63" w14:textId="77777777" w:rsidR="0003357B" w:rsidRPr="00C257B6" w:rsidRDefault="0003357B" w:rsidP="0003357B">
      <w:pPr>
        <w:pStyle w:val="TableText0"/>
      </w:pPr>
      <w:r w:rsidRPr="00C257B6">
        <w:t>Betty Colati, Suva Post</w:t>
      </w:r>
    </w:p>
    <w:p w14:paraId="45A1F394" w14:textId="7767228B" w:rsidR="0003357B" w:rsidRDefault="0003357B" w:rsidP="0003357B">
      <w:pPr>
        <w:pStyle w:val="TableText0"/>
      </w:pPr>
      <w:r w:rsidRPr="00C257B6">
        <w:t>Jovesa Veresi, Suva Post</w:t>
      </w:r>
    </w:p>
    <w:p w14:paraId="7796A81F" w14:textId="35811AA6" w:rsidR="0003357B" w:rsidRDefault="0003357B" w:rsidP="0003357B">
      <w:pPr>
        <w:pStyle w:val="TableText0"/>
      </w:pPr>
      <w:r w:rsidRPr="00C257B6">
        <w:t>Ariane Stevenson, Samoa Post</w:t>
      </w:r>
    </w:p>
    <w:p w14:paraId="461B4558" w14:textId="458CA150" w:rsidR="0003357B" w:rsidRDefault="0003357B" w:rsidP="0003357B">
      <w:pPr>
        <w:pStyle w:val="TableText0"/>
        <w:numPr>
          <w:ilvl w:val="0"/>
          <w:numId w:val="24"/>
        </w:numPr>
      </w:pPr>
      <w:r>
        <w:t>Government of Tonga</w:t>
      </w:r>
    </w:p>
    <w:p w14:paraId="31C78501" w14:textId="08DC8554" w:rsidR="0003357B" w:rsidRDefault="0003357B" w:rsidP="0003357B">
      <w:pPr>
        <w:pStyle w:val="TableText0"/>
      </w:pPr>
      <w:r w:rsidRPr="00C257B6">
        <w:t>‘</w:t>
      </w:r>
      <w:proofErr w:type="spellStart"/>
      <w:r w:rsidRPr="00C257B6">
        <w:t>Isikeli</w:t>
      </w:r>
      <w:proofErr w:type="spellEnd"/>
      <w:r w:rsidRPr="00C257B6">
        <w:t xml:space="preserve"> Oko, CEO, MET</w:t>
      </w:r>
    </w:p>
    <w:p w14:paraId="32B61223" w14:textId="784BD519" w:rsidR="0003357B" w:rsidRDefault="0003357B" w:rsidP="0003357B">
      <w:pPr>
        <w:pStyle w:val="TableText0"/>
      </w:pPr>
      <w:proofErr w:type="spellStart"/>
      <w:r w:rsidRPr="00C257B6">
        <w:t>Pelenaise</w:t>
      </w:r>
      <w:proofErr w:type="spellEnd"/>
      <w:r w:rsidRPr="00C257B6">
        <w:t xml:space="preserve"> </w:t>
      </w:r>
      <w:proofErr w:type="spellStart"/>
      <w:r w:rsidRPr="00C257B6">
        <w:t>Telefoni</w:t>
      </w:r>
      <w:proofErr w:type="spellEnd"/>
      <w:r w:rsidRPr="00C257B6">
        <w:t>, Scholarship Officer, MET</w:t>
      </w:r>
    </w:p>
    <w:p w14:paraId="77530864" w14:textId="77777777" w:rsidR="0003357B" w:rsidRPr="00C257B6" w:rsidRDefault="0003357B" w:rsidP="0003357B">
      <w:pPr>
        <w:pStyle w:val="TableText0"/>
      </w:pPr>
      <w:r w:rsidRPr="00C257B6">
        <w:t>Dorina Kioa, CEO, PSC</w:t>
      </w:r>
    </w:p>
    <w:p w14:paraId="4840F79B" w14:textId="0BEEB939" w:rsidR="0003357B" w:rsidRDefault="0003357B" w:rsidP="0003357B">
      <w:pPr>
        <w:pStyle w:val="TableText0"/>
      </w:pPr>
      <w:r w:rsidRPr="00C257B6">
        <w:t>‘Ana ‘Akauola, Chief Medical Officer, MOH</w:t>
      </w:r>
    </w:p>
    <w:p w14:paraId="0ACD5883" w14:textId="77777777" w:rsidR="0003357B" w:rsidRPr="00C257B6" w:rsidRDefault="0003357B" w:rsidP="0003357B">
      <w:pPr>
        <w:pStyle w:val="TableText0"/>
      </w:pPr>
      <w:r w:rsidRPr="00C257B6">
        <w:t>Kolotia Fotu, DCEO, MTED</w:t>
      </w:r>
    </w:p>
    <w:p w14:paraId="69755322" w14:textId="77777777" w:rsidR="0003357B" w:rsidRPr="00C257B6" w:rsidRDefault="0003357B" w:rsidP="0003357B">
      <w:pPr>
        <w:pStyle w:val="TableText0"/>
      </w:pPr>
      <w:proofErr w:type="spellStart"/>
      <w:r w:rsidRPr="00C257B6">
        <w:t>Opeti</w:t>
      </w:r>
      <w:proofErr w:type="spellEnd"/>
      <w:r w:rsidRPr="00C257B6">
        <w:t xml:space="preserve"> Pulotu, CEO, TNQAB</w:t>
      </w:r>
    </w:p>
    <w:p w14:paraId="0E7FC1BE" w14:textId="76E6B08F" w:rsidR="0003357B" w:rsidRDefault="0003357B" w:rsidP="0003357B">
      <w:pPr>
        <w:pStyle w:val="TableText0"/>
      </w:pPr>
      <w:r w:rsidRPr="00C257B6">
        <w:t xml:space="preserve">Lily Loni Fangupo, Acting Governor, </w:t>
      </w:r>
      <w:proofErr w:type="spellStart"/>
      <w:r w:rsidRPr="00C257B6">
        <w:t>Ha’apai</w:t>
      </w:r>
      <w:proofErr w:type="spellEnd"/>
    </w:p>
    <w:p w14:paraId="023938D9" w14:textId="4EA93EB2" w:rsidR="0003357B" w:rsidRDefault="0003357B" w:rsidP="0003357B">
      <w:pPr>
        <w:pStyle w:val="TableText0"/>
      </w:pPr>
      <w:proofErr w:type="spellStart"/>
      <w:r w:rsidRPr="00C257B6">
        <w:t>Mataki</w:t>
      </w:r>
      <w:proofErr w:type="spellEnd"/>
      <w:r w:rsidRPr="00C257B6">
        <w:t xml:space="preserve"> Paongo Tupou, Acting Governor, </w:t>
      </w:r>
      <w:proofErr w:type="spellStart"/>
      <w:r w:rsidRPr="00C257B6">
        <w:t>Vava’u</w:t>
      </w:r>
      <w:proofErr w:type="spellEnd"/>
    </w:p>
    <w:p w14:paraId="4DD3C4DD" w14:textId="1517DF8C" w:rsidR="0003357B" w:rsidRDefault="0003357B" w:rsidP="0003357B">
      <w:pPr>
        <w:pStyle w:val="TableText0"/>
      </w:pPr>
      <w:r w:rsidRPr="00C257B6">
        <w:t>Lupe Matoto, DCEO, MEIDECC</w:t>
      </w:r>
    </w:p>
    <w:p w14:paraId="05F588A5" w14:textId="2707D7B3" w:rsidR="0003357B" w:rsidRDefault="0003357B" w:rsidP="0003357B">
      <w:pPr>
        <w:pStyle w:val="TableText0"/>
      </w:pPr>
      <w:r w:rsidRPr="00C257B6">
        <w:t>Mele Mangisi, Executive Director, Anti-Corruption Commission</w:t>
      </w:r>
    </w:p>
    <w:p w14:paraId="30CC464F" w14:textId="7D302192" w:rsidR="0003357B" w:rsidRDefault="0003357B" w:rsidP="0003357B">
      <w:pPr>
        <w:pStyle w:val="TableText0"/>
        <w:numPr>
          <w:ilvl w:val="0"/>
          <w:numId w:val="24"/>
        </w:numPr>
      </w:pPr>
      <w:r>
        <w:t>Other Tongan Organisations</w:t>
      </w:r>
    </w:p>
    <w:p w14:paraId="13C23F8E" w14:textId="1EDE01FA" w:rsidR="0003357B" w:rsidRDefault="0003357B" w:rsidP="0003357B">
      <w:pPr>
        <w:pStyle w:val="TableText0"/>
      </w:pPr>
      <w:r w:rsidRPr="00C257B6">
        <w:t xml:space="preserve">Rhema Misa, Director, </w:t>
      </w:r>
      <w:proofErr w:type="spellStart"/>
      <w:r w:rsidRPr="00C257B6">
        <w:t>Lavame’a</w:t>
      </w:r>
      <w:proofErr w:type="spellEnd"/>
      <w:r w:rsidRPr="00C257B6">
        <w:t xml:space="preserve"> </w:t>
      </w:r>
      <w:proofErr w:type="spellStart"/>
      <w:r w:rsidRPr="00C257B6">
        <w:t>Ta’e’iloa</w:t>
      </w:r>
      <w:proofErr w:type="spellEnd"/>
    </w:p>
    <w:p w14:paraId="542E3706" w14:textId="2E9795B6" w:rsidR="0003357B" w:rsidRDefault="0003357B" w:rsidP="0003357B">
      <w:pPr>
        <w:pStyle w:val="TableText0"/>
      </w:pPr>
      <w:r w:rsidRPr="00C257B6">
        <w:t>Sam Vea, President, Tonga Chamber of Commerce and Industries</w:t>
      </w:r>
    </w:p>
    <w:p w14:paraId="1372AA90" w14:textId="344CB6EB" w:rsidR="0003357B" w:rsidRDefault="0003357B" w:rsidP="0003357B">
      <w:pPr>
        <w:pStyle w:val="TableText0"/>
      </w:pPr>
      <w:r w:rsidRPr="00C257B6">
        <w:t>Vanessa Heleta, Director, Talitha Project</w:t>
      </w:r>
    </w:p>
    <w:p w14:paraId="1B61F404" w14:textId="7488F5F9" w:rsidR="0003357B" w:rsidRDefault="0003357B" w:rsidP="0003357B">
      <w:pPr>
        <w:pStyle w:val="TableText0"/>
      </w:pPr>
      <w:proofErr w:type="spellStart"/>
      <w:r w:rsidRPr="00C257B6">
        <w:t>Ungatea</w:t>
      </w:r>
      <w:proofErr w:type="spellEnd"/>
      <w:r w:rsidRPr="00C257B6">
        <w:t xml:space="preserve"> Kata, Tupou Tertiary Institute/ Free Wesleyan School System</w:t>
      </w:r>
    </w:p>
    <w:p w14:paraId="577AE2F9" w14:textId="76749D49" w:rsidR="0003357B" w:rsidRDefault="0003357B" w:rsidP="0003357B">
      <w:pPr>
        <w:pStyle w:val="TableText0"/>
        <w:numPr>
          <w:ilvl w:val="0"/>
          <w:numId w:val="24"/>
        </w:numPr>
      </w:pPr>
      <w:r>
        <w:t xml:space="preserve">Other scholarship donors </w:t>
      </w:r>
    </w:p>
    <w:p w14:paraId="4ACBBC2B" w14:textId="31361DF7" w:rsidR="0003357B" w:rsidRPr="00C257B6" w:rsidRDefault="0003357B" w:rsidP="0003357B">
      <w:pPr>
        <w:pStyle w:val="TableText0"/>
      </w:pPr>
      <w:proofErr w:type="spellStart"/>
      <w:r w:rsidRPr="00C257B6">
        <w:t>Daishoji</w:t>
      </w:r>
      <w:proofErr w:type="spellEnd"/>
      <w:r w:rsidRPr="00C257B6">
        <w:t xml:space="preserve"> Toshiyuki, Japanese Embassy</w:t>
      </w:r>
    </w:p>
    <w:p w14:paraId="3A805C26" w14:textId="34C750F4" w:rsidR="0003357B" w:rsidRDefault="0003357B" w:rsidP="0003357B">
      <w:pPr>
        <w:pStyle w:val="TableText0"/>
      </w:pPr>
      <w:r w:rsidRPr="00C257B6">
        <w:t>Yukino Saigo, Japanese Embassy</w:t>
      </w:r>
    </w:p>
    <w:p w14:paraId="37B1A845" w14:textId="1EC70C47" w:rsidR="0003357B" w:rsidRDefault="0003357B" w:rsidP="0003357B">
      <w:pPr>
        <w:pStyle w:val="TableText0"/>
      </w:pPr>
      <w:r w:rsidRPr="00C257B6">
        <w:t>Hiroko Oka, JICA</w:t>
      </w:r>
    </w:p>
    <w:p w14:paraId="5244A8ED" w14:textId="0E7E452E" w:rsidR="0003357B" w:rsidRDefault="0003357B" w:rsidP="0003357B">
      <w:pPr>
        <w:pStyle w:val="TableText0"/>
      </w:pPr>
      <w:r w:rsidRPr="00C257B6">
        <w:t>Alfred Vaka, JICA</w:t>
      </w:r>
    </w:p>
    <w:p w14:paraId="311109B0" w14:textId="74378A8A" w:rsidR="0003357B" w:rsidRDefault="0003357B" w:rsidP="0003357B">
      <w:pPr>
        <w:pStyle w:val="TableText0"/>
      </w:pPr>
      <w:r w:rsidRPr="00C257B6">
        <w:t>Maryanne Saafi, Scholarship Counsellor, MFAT</w:t>
      </w:r>
    </w:p>
    <w:p w14:paraId="322FF0A3" w14:textId="40BDA6EF" w:rsidR="0003357B" w:rsidRDefault="0003357B" w:rsidP="0003357B">
      <w:pPr>
        <w:pStyle w:val="TableText0"/>
      </w:pPr>
      <w:r w:rsidRPr="00C257B6">
        <w:t>Lesieli Nai, Development Program Coordinator, MFAT</w:t>
      </w:r>
    </w:p>
    <w:p w14:paraId="65A27928" w14:textId="2A71E40B" w:rsidR="0003357B" w:rsidRDefault="0003357B" w:rsidP="0003357B">
      <w:pPr>
        <w:pStyle w:val="TableText0"/>
        <w:numPr>
          <w:ilvl w:val="0"/>
          <w:numId w:val="24"/>
        </w:numPr>
      </w:pPr>
      <w:r>
        <w:t>Other</w:t>
      </w:r>
    </w:p>
    <w:p w14:paraId="03034E55" w14:textId="77777777" w:rsidR="0003357B" w:rsidRDefault="0003357B" w:rsidP="0003357B">
      <w:pPr>
        <w:pStyle w:val="TableText0"/>
      </w:pPr>
      <w:r w:rsidRPr="00C257B6">
        <w:t xml:space="preserve">Jone Ravuikadavu, ACIAR </w:t>
      </w:r>
    </w:p>
    <w:p w14:paraId="78F7F7E0" w14:textId="77777777" w:rsidR="0003357B" w:rsidRPr="00C257B6" w:rsidRDefault="0003357B" w:rsidP="0003357B">
      <w:pPr>
        <w:pStyle w:val="TableText0"/>
      </w:pPr>
      <w:r w:rsidRPr="00C257B6">
        <w:lastRenderedPageBreak/>
        <w:t>Bridget Gray, Team Leader, TASP</w:t>
      </w:r>
    </w:p>
    <w:p w14:paraId="3C99068A" w14:textId="3791931B" w:rsidR="0003357B" w:rsidRDefault="0003357B" w:rsidP="0003357B">
      <w:pPr>
        <w:pStyle w:val="TableText0"/>
      </w:pPr>
      <w:r w:rsidRPr="00C257B6">
        <w:t>Rosamond Bing, Deputy Team Leader, TASP</w:t>
      </w:r>
    </w:p>
    <w:p w14:paraId="1BC6B625" w14:textId="3146666F" w:rsidR="0003357B" w:rsidRDefault="0003357B" w:rsidP="0003357B">
      <w:pPr>
        <w:pStyle w:val="TableText0"/>
      </w:pPr>
      <w:r w:rsidRPr="00C257B6">
        <w:t>Allan Illingworth, Post M&amp;E Support</w:t>
      </w:r>
    </w:p>
    <w:p w14:paraId="0ED38F6B" w14:textId="6531BFAE" w:rsidR="0003357B" w:rsidRPr="00C257B6" w:rsidRDefault="0003357B" w:rsidP="0003357B">
      <w:pPr>
        <w:pStyle w:val="TableText0"/>
      </w:pPr>
      <w:r w:rsidRPr="00C257B6">
        <w:t>Ana Bing Fonua, Infrastructure Projects</w:t>
      </w:r>
    </w:p>
    <w:p w14:paraId="1A55F290" w14:textId="77777777" w:rsidR="0003357B" w:rsidRPr="00860C7C" w:rsidRDefault="0003357B" w:rsidP="0003357B">
      <w:pPr>
        <w:pStyle w:val="TableText0"/>
      </w:pPr>
    </w:p>
    <w:p w14:paraId="093EBAB8" w14:textId="55070D8E" w:rsidR="00C80FA2" w:rsidRPr="00D56926" w:rsidRDefault="00C80FA2" w:rsidP="00173DF0">
      <w:pPr>
        <w:pStyle w:val="Heading1"/>
        <w:rPr>
          <w:color w:val="auto"/>
        </w:rPr>
      </w:pPr>
      <w:bookmarkStart w:id="55" w:name="_Toc172812872"/>
      <w:bookmarkStart w:id="56" w:name="_Toc174445838"/>
      <w:bookmarkStart w:id="57" w:name="_Toc185321220"/>
      <w:bookmarkEnd w:id="52"/>
      <w:bookmarkEnd w:id="53"/>
      <w:bookmarkEnd w:id="54"/>
      <w:r w:rsidRPr="00D56926">
        <w:rPr>
          <w:color w:val="auto"/>
        </w:rPr>
        <w:t xml:space="preserve">Annex 6: </w:t>
      </w:r>
      <w:bookmarkEnd w:id="55"/>
      <w:r w:rsidRPr="00D56926">
        <w:rPr>
          <w:color w:val="auto"/>
        </w:rPr>
        <w:t xml:space="preserve"> Development Context for Australia Awards in Tonga</w:t>
      </w:r>
      <w:bookmarkEnd w:id="56"/>
      <w:bookmarkEnd w:id="57"/>
    </w:p>
    <w:p w14:paraId="468DDAF1" w14:textId="75253B95" w:rsidR="00C80FA2" w:rsidRPr="00EF2495" w:rsidRDefault="00173DF0" w:rsidP="00173DF0">
      <w:pPr>
        <w:pStyle w:val="Heading2"/>
      </w:pPr>
      <w:bookmarkStart w:id="58" w:name="_Toc185321221"/>
      <w:r w:rsidRPr="00EF2495">
        <w:t>1.</w:t>
      </w:r>
      <w:r w:rsidRPr="00EF2495">
        <w:tab/>
        <w:t>Overview</w:t>
      </w:r>
      <w:bookmarkEnd w:id="58"/>
    </w:p>
    <w:p w14:paraId="5E7E32FF" w14:textId="77777777" w:rsidR="00637658" w:rsidRDefault="00C80FA2" w:rsidP="00EF2495">
      <w:r w:rsidRPr="00EF2495">
        <w:t xml:space="preserve">Tonga is a constitutional monarchy, comprising 171 islands grouped into three main clusters, with only 36 inhabited. Tonga is categorised as an upper-middle income country by the Development Assistance Committee of the OECD. </w:t>
      </w:r>
    </w:p>
    <w:p w14:paraId="4B152EEF" w14:textId="395B60CB" w:rsidR="00C80FA2" w:rsidRPr="00EF2495" w:rsidRDefault="00C80FA2" w:rsidP="00EF2495">
      <w:pPr>
        <w:rPr>
          <w:lang w:val="en-US"/>
        </w:rPr>
      </w:pPr>
      <w:r w:rsidRPr="00EF2495">
        <w:t xml:space="preserve">Tonga faces significant development challenges due to </w:t>
      </w:r>
      <w:r w:rsidR="00203F0E">
        <w:t>its</w:t>
      </w:r>
      <w:r w:rsidRPr="00EF2495">
        <w:t xml:space="preserve"> relative isolation and lack of economies of scale. Natural disasters affect more than 40% of the population in a typical disaster year, </w:t>
      </w:r>
      <w:hyperlink r:id="rId60" w:anchor=":~:text=Despite%20less%20frequent%20disasters%20as,to%2014%20percent%20of%20gross" w:history="1">
        <w:r w:rsidRPr="00EF2495">
          <w:rPr>
            <w:rStyle w:val="Hyperlink"/>
          </w:rPr>
          <w:t>resulting in economic losses</w:t>
        </w:r>
      </w:hyperlink>
      <w:r w:rsidRPr="00EF2495">
        <w:t xml:space="preserve"> equivalent to 14% of gross domestic product (GDP).</w:t>
      </w:r>
    </w:p>
    <w:p w14:paraId="06B6696F" w14:textId="23DDAFF4" w:rsidR="00C80FA2" w:rsidRPr="00EF2495" w:rsidRDefault="00C80FA2" w:rsidP="00EF2495">
      <w:r w:rsidRPr="00EF2495">
        <w:t xml:space="preserve">Tonga is vulnerable to the impacts of climate change, including cyclones and changing rainfall patterns. </w:t>
      </w:r>
      <w:hyperlink r:id="rId61" w:anchor=":~:text=Since%202000%2C%20a%20series%20of,50%20percent%20renewable%20energy%20generation" w:history="1">
        <w:r w:rsidRPr="00EF2495">
          <w:rPr>
            <w:rStyle w:val="Hyperlink"/>
          </w:rPr>
          <w:t>Tonga</w:t>
        </w:r>
      </w:hyperlink>
      <w:r w:rsidRPr="00EF2495">
        <w:t xml:space="preserve"> is committed to building greater resilience to the risks of climate change through sustainable development. The Kingdom’s Strategic Development Framework 2015</w:t>
      </w:r>
      <w:r w:rsidR="00FC3CF1">
        <w:t xml:space="preserve"> - </w:t>
      </w:r>
      <w:r w:rsidRPr="00EF2495">
        <w:t>2025 express</w:t>
      </w:r>
      <w:r w:rsidR="00E709B8">
        <w:t>es</w:t>
      </w:r>
      <w:r w:rsidRPr="00EF2495">
        <w:t xml:space="preserve"> a commitment to mitigate climate change and to pursue inclusive and equitable economic growth. </w:t>
      </w:r>
    </w:p>
    <w:p w14:paraId="5A367F08" w14:textId="77777777" w:rsidR="0067277B" w:rsidRDefault="00C80FA2" w:rsidP="00EF2495">
      <w:r w:rsidRPr="00EF2495">
        <w:t xml:space="preserve">The Tonga </w:t>
      </w:r>
      <w:hyperlink r:id="rId62" w:history="1">
        <w:r w:rsidRPr="00EF2495">
          <w:rPr>
            <w:rStyle w:val="Hyperlink"/>
            <w:lang w:val="en-US"/>
          </w:rPr>
          <w:t>Strategic Development Framework</w:t>
        </w:r>
      </w:hyperlink>
      <w:r w:rsidRPr="00EF2495">
        <w:t xml:space="preserve"> (2015</w:t>
      </w:r>
      <w:r w:rsidR="00FC3CF1">
        <w:t xml:space="preserve"> </w:t>
      </w:r>
      <w:r w:rsidRPr="00EF2495">
        <w:t>-</w:t>
      </w:r>
      <w:r w:rsidR="00FC3CF1">
        <w:t xml:space="preserve"> </w:t>
      </w:r>
      <w:r w:rsidRPr="00EF2495">
        <w:t xml:space="preserve">2025) is </w:t>
      </w:r>
      <w:r w:rsidR="00B06D73">
        <w:t>structured</w:t>
      </w:r>
      <w:r w:rsidRPr="00EF2495">
        <w:t xml:space="preserve"> into three thematic areas: </w:t>
      </w:r>
    </w:p>
    <w:p w14:paraId="33DE394D" w14:textId="77777777" w:rsidR="0067277B" w:rsidRDefault="00C80FA2" w:rsidP="001425A7">
      <w:pPr>
        <w:pStyle w:val="ListParagraph"/>
        <w:numPr>
          <w:ilvl w:val="0"/>
          <w:numId w:val="16"/>
        </w:numPr>
      </w:pPr>
      <w:r w:rsidRPr="00EF2495">
        <w:t>Building National Resilience to external threats and risks</w:t>
      </w:r>
    </w:p>
    <w:p w14:paraId="1CD6275A" w14:textId="77777777" w:rsidR="0067277B" w:rsidRDefault="00C80FA2" w:rsidP="001425A7">
      <w:pPr>
        <w:pStyle w:val="ListParagraph"/>
        <w:numPr>
          <w:ilvl w:val="0"/>
          <w:numId w:val="16"/>
        </w:numPr>
      </w:pPr>
      <w:r w:rsidRPr="00EF2495">
        <w:t>Improving the quality services and affordability of government services</w:t>
      </w:r>
    </w:p>
    <w:p w14:paraId="306124BE" w14:textId="77777777" w:rsidR="0067277B" w:rsidRDefault="00C80FA2" w:rsidP="001425A7">
      <w:pPr>
        <w:pStyle w:val="ListParagraph"/>
        <w:numPr>
          <w:ilvl w:val="0"/>
          <w:numId w:val="16"/>
        </w:numPr>
      </w:pPr>
      <w:r w:rsidRPr="00EF2495">
        <w:t xml:space="preserve">Progressive Economic Growth. </w:t>
      </w:r>
    </w:p>
    <w:p w14:paraId="1856CA0B" w14:textId="2C8014C8" w:rsidR="00B119EE" w:rsidRDefault="00C80FA2" w:rsidP="00EF2495">
      <w:r w:rsidRPr="00EF2495">
        <w:t xml:space="preserve">One of the priority areas is </w:t>
      </w:r>
      <w:r w:rsidR="006462E2" w:rsidRPr="00EF2495">
        <w:t>an appropriately</w:t>
      </w:r>
      <w:r w:rsidRPr="00EF2495">
        <w:t xml:space="preserve"> skilled workforce to meet the available opportunities in Tonga and overseas, by delivering improved Technical and Vocational Education and Training”. </w:t>
      </w:r>
    </w:p>
    <w:p w14:paraId="75D22356" w14:textId="77777777" w:rsidR="00B119EE" w:rsidRDefault="00C80FA2" w:rsidP="00EF2495">
      <w:r w:rsidRPr="00EF2495">
        <w:t xml:space="preserve">The strategies </w:t>
      </w:r>
      <w:r w:rsidR="00B119EE">
        <w:t>include</w:t>
      </w:r>
      <w:r w:rsidRPr="00EF2495">
        <w:t xml:space="preserve">: </w:t>
      </w:r>
    </w:p>
    <w:p w14:paraId="20FA1D86" w14:textId="5B919192" w:rsidR="00B119EE" w:rsidRDefault="00B119EE" w:rsidP="001425A7">
      <w:pPr>
        <w:pStyle w:val="ListParagraph"/>
        <w:numPr>
          <w:ilvl w:val="0"/>
          <w:numId w:val="17"/>
        </w:numPr>
      </w:pPr>
      <w:r>
        <w:t>P</w:t>
      </w:r>
      <w:r w:rsidR="00C80FA2" w:rsidRPr="00EF2495">
        <w:t>romoting skill development through appropriate development of domestic training institutions, and mobilisation of external training opportunities</w:t>
      </w:r>
    </w:p>
    <w:p w14:paraId="1EF77C4D" w14:textId="2E15AE00" w:rsidR="00C80FA2" w:rsidRPr="00EF2495" w:rsidRDefault="00B119EE" w:rsidP="001425A7">
      <w:pPr>
        <w:pStyle w:val="ListParagraph"/>
        <w:numPr>
          <w:ilvl w:val="0"/>
          <w:numId w:val="17"/>
        </w:numPr>
      </w:pPr>
      <w:r>
        <w:t>I</w:t>
      </w:r>
      <w:r w:rsidR="00C80FA2" w:rsidRPr="00EF2495">
        <w:t>mproving the focus of education and training on increased productivity of the work force to increase production, exports and overseas employment of Tongans.</w:t>
      </w:r>
    </w:p>
    <w:p w14:paraId="17685990" w14:textId="1DF191B2" w:rsidR="00C80FA2" w:rsidRPr="00EF2495" w:rsidRDefault="005E1364" w:rsidP="00173DF0">
      <w:pPr>
        <w:pStyle w:val="Heading2"/>
      </w:pPr>
      <w:bookmarkStart w:id="59" w:name="_Toc185321222"/>
      <w:r w:rsidRPr="00EF2495">
        <w:t>2.</w:t>
      </w:r>
      <w:r w:rsidR="00173DF0" w:rsidRPr="00EF2495">
        <w:tab/>
        <w:t>Education</w:t>
      </w:r>
      <w:bookmarkEnd w:id="59"/>
    </w:p>
    <w:p w14:paraId="5DE00DA8" w14:textId="0DB87C15" w:rsidR="00C80FA2" w:rsidRPr="00EF2495" w:rsidRDefault="005E1364" w:rsidP="00C86963">
      <w:pPr>
        <w:pStyle w:val="Heading3"/>
      </w:pPr>
      <w:bookmarkStart w:id="60" w:name="_Toc185321223"/>
      <w:r w:rsidRPr="00EF2495">
        <w:t>2</w:t>
      </w:r>
      <w:r w:rsidR="00EC448F" w:rsidRPr="00EF2495">
        <w:t>.1</w:t>
      </w:r>
      <w:r w:rsidR="00EC448F" w:rsidRPr="00EF2495">
        <w:tab/>
      </w:r>
      <w:r w:rsidR="00C80FA2" w:rsidRPr="00EF2495">
        <w:t>Education system overview</w:t>
      </w:r>
      <w:bookmarkEnd w:id="60"/>
      <w:r w:rsidR="00C80FA2" w:rsidRPr="00EF2495">
        <w:t xml:space="preserve"> </w:t>
      </w:r>
    </w:p>
    <w:p w14:paraId="17A03C72" w14:textId="77777777" w:rsidR="00AB7C4F" w:rsidRDefault="00C80FA2" w:rsidP="00EF2495">
      <w:r w:rsidRPr="00EF2495">
        <w:t xml:space="preserve">The Ministry of Education and Training (MET) in Tonga derives its legal mandate from the Education Act 2013. </w:t>
      </w:r>
    </w:p>
    <w:p w14:paraId="0DCDA585" w14:textId="77777777" w:rsidR="0003749A" w:rsidRDefault="00C80FA2" w:rsidP="00EF2495">
      <w:r w:rsidRPr="00EF2495">
        <w:t xml:space="preserve">Its primary functions are rooted in the following objectives: </w:t>
      </w:r>
    </w:p>
    <w:p w14:paraId="708B5E07" w14:textId="77777777" w:rsidR="0003749A" w:rsidRDefault="00C80FA2" w:rsidP="001425A7">
      <w:pPr>
        <w:pStyle w:val="ListParagraph"/>
        <w:numPr>
          <w:ilvl w:val="0"/>
          <w:numId w:val="18"/>
        </w:numPr>
      </w:pPr>
      <w:r w:rsidRPr="00EF2495">
        <w:t>Provision of skilled and competent students</w:t>
      </w:r>
    </w:p>
    <w:p w14:paraId="2478A91B" w14:textId="77777777" w:rsidR="0003749A" w:rsidRDefault="00C80FA2" w:rsidP="001425A7">
      <w:pPr>
        <w:pStyle w:val="ListParagraph"/>
        <w:numPr>
          <w:ilvl w:val="0"/>
          <w:numId w:val="18"/>
        </w:numPr>
      </w:pPr>
      <w:r w:rsidRPr="00EF2495">
        <w:lastRenderedPageBreak/>
        <w:t>Policy advice to Government</w:t>
      </w:r>
    </w:p>
    <w:p w14:paraId="40A8F566" w14:textId="77777777" w:rsidR="0003749A" w:rsidRDefault="00C80FA2" w:rsidP="001425A7">
      <w:pPr>
        <w:pStyle w:val="ListParagraph"/>
        <w:numPr>
          <w:ilvl w:val="0"/>
          <w:numId w:val="18"/>
        </w:numPr>
      </w:pPr>
      <w:r w:rsidRPr="00EF2495">
        <w:t xml:space="preserve">Effective implementation of education policies. </w:t>
      </w:r>
    </w:p>
    <w:p w14:paraId="7778DE70" w14:textId="66D71901" w:rsidR="00C80FA2" w:rsidRPr="00EF2495" w:rsidRDefault="00C80FA2" w:rsidP="00EF2495">
      <w:r w:rsidRPr="00EF2495">
        <w:t xml:space="preserve">The Ministry’s mandate is aligned with broader global and regional education goals, including Sustainable Development Goal 4 (SDG4), which seeks to "ensure inclusive and equitable quality education and promote lifelong learning opportunities for all."  These target areas such as participation, performance, and quality </w:t>
      </w:r>
      <w:r w:rsidR="00883F64">
        <w:t>across</w:t>
      </w:r>
      <w:r w:rsidRPr="00EF2495">
        <w:t xml:space="preserve"> both formal and non-formal education settings. The Ministry’s divisions incorporate these indicators into their programs to track progress towards these global objectives.</w:t>
      </w:r>
    </w:p>
    <w:p w14:paraId="2A81872C" w14:textId="77777777" w:rsidR="00DB30B8" w:rsidRDefault="00C80FA2" w:rsidP="00EF2495">
      <w:r w:rsidRPr="00EF2495">
        <w:t>At the regional level, the Ministry supports the Pacific Regional Education Framework 2018-2030 (</w:t>
      </w:r>
      <w:proofErr w:type="spellStart"/>
      <w:r w:rsidRPr="00EF2495">
        <w:t>PacREF</w:t>
      </w:r>
      <w:proofErr w:type="spellEnd"/>
      <w:r w:rsidRPr="00EF2495">
        <w:t xml:space="preserve">), endorsed by the Forum Education Ministers. </w:t>
      </w:r>
    </w:p>
    <w:p w14:paraId="48E07969" w14:textId="77777777" w:rsidR="001552AE" w:rsidRDefault="00C80FA2" w:rsidP="00EF2495">
      <w:r w:rsidRPr="00EF2495">
        <w:t xml:space="preserve">The </w:t>
      </w:r>
      <w:proofErr w:type="spellStart"/>
      <w:r w:rsidRPr="00EF2495">
        <w:t>PacREF</w:t>
      </w:r>
      <w:proofErr w:type="spellEnd"/>
      <w:r w:rsidRPr="00EF2495">
        <w:t xml:space="preserve"> framework focuses on four key policy areas: </w:t>
      </w:r>
    </w:p>
    <w:p w14:paraId="6F280816" w14:textId="77777777" w:rsidR="001552AE" w:rsidRDefault="00C80FA2" w:rsidP="001425A7">
      <w:pPr>
        <w:pStyle w:val="ListParagraph"/>
        <w:numPr>
          <w:ilvl w:val="0"/>
          <w:numId w:val="19"/>
        </w:numPr>
      </w:pPr>
      <w:r w:rsidRPr="00EF2495">
        <w:t>quality and relevance</w:t>
      </w:r>
    </w:p>
    <w:p w14:paraId="03837CF4" w14:textId="77777777" w:rsidR="001552AE" w:rsidRDefault="00C80FA2" w:rsidP="001425A7">
      <w:pPr>
        <w:pStyle w:val="ListParagraph"/>
        <w:numPr>
          <w:ilvl w:val="0"/>
          <w:numId w:val="19"/>
        </w:numPr>
      </w:pPr>
      <w:r w:rsidRPr="00EF2495">
        <w:t>learning pathways</w:t>
      </w:r>
    </w:p>
    <w:p w14:paraId="4D93BC51" w14:textId="77777777" w:rsidR="001552AE" w:rsidRDefault="00C80FA2" w:rsidP="001425A7">
      <w:pPr>
        <w:pStyle w:val="ListParagraph"/>
        <w:numPr>
          <w:ilvl w:val="0"/>
          <w:numId w:val="19"/>
        </w:numPr>
      </w:pPr>
      <w:r w:rsidRPr="00EF2495">
        <w:t>student outcomes and wellbeing</w:t>
      </w:r>
    </w:p>
    <w:p w14:paraId="65CE9B08" w14:textId="77777777" w:rsidR="001552AE" w:rsidRDefault="00C80FA2" w:rsidP="001425A7">
      <w:pPr>
        <w:pStyle w:val="ListParagraph"/>
        <w:numPr>
          <w:ilvl w:val="0"/>
          <w:numId w:val="19"/>
        </w:numPr>
      </w:pPr>
      <w:r w:rsidRPr="00EF2495">
        <w:t xml:space="preserve">teacher professionalism. </w:t>
      </w:r>
    </w:p>
    <w:p w14:paraId="2035D74A" w14:textId="77777777" w:rsidR="00381AB7" w:rsidRDefault="00C80FA2" w:rsidP="00EF2495">
      <w:r w:rsidRPr="00EF2495">
        <w:t>In line with these objectives, the Ministry ensures that education including tertiary education programs meet international standards</w:t>
      </w:r>
      <w:r w:rsidR="00381AB7">
        <w:t xml:space="preserve">.  </w:t>
      </w:r>
    </w:p>
    <w:p w14:paraId="2568F275" w14:textId="77777777" w:rsidR="008846BF" w:rsidRDefault="00381AB7" w:rsidP="00EF2495">
      <w:r>
        <w:t xml:space="preserve">Programs are designed to be </w:t>
      </w:r>
      <w:r w:rsidR="00C80FA2" w:rsidRPr="00EF2495">
        <w:t xml:space="preserve">responsive to the needs of industries and stakeholders. This is done through compliance with the Education Act and the Tonga National Qualifications and Accreditation Board (TNQAB) Act. The goal is to ensure that Tongan youth are: </w:t>
      </w:r>
    </w:p>
    <w:p w14:paraId="63A372D4" w14:textId="77777777" w:rsidR="008846BF" w:rsidRDefault="00C80FA2" w:rsidP="001425A7">
      <w:pPr>
        <w:pStyle w:val="ListParagraph"/>
        <w:numPr>
          <w:ilvl w:val="0"/>
          <w:numId w:val="20"/>
        </w:numPr>
      </w:pPr>
      <w:r w:rsidRPr="00EF2495">
        <w:t>Able to earn a living</w:t>
      </w:r>
    </w:p>
    <w:p w14:paraId="34684C6F" w14:textId="77777777" w:rsidR="008846BF" w:rsidRDefault="00C80FA2" w:rsidP="001425A7">
      <w:pPr>
        <w:pStyle w:val="ListParagraph"/>
        <w:numPr>
          <w:ilvl w:val="0"/>
          <w:numId w:val="20"/>
        </w:numPr>
      </w:pPr>
      <w:r w:rsidRPr="00EF2495">
        <w:t>Employable both locally and internationall</w:t>
      </w:r>
      <w:r w:rsidR="008846BF">
        <w:t>y</w:t>
      </w:r>
    </w:p>
    <w:p w14:paraId="423FA26D" w14:textId="63DACE92" w:rsidR="006356F6" w:rsidRDefault="00C80FA2" w:rsidP="001425A7">
      <w:pPr>
        <w:pStyle w:val="ListParagraph"/>
        <w:numPr>
          <w:ilvl w:val="0"/>
          <w:numId w:val="20"/>
        </w:numPr>
      </w:pPr>
      <w:r w:rsidRPr="00EF2495">
        <w:t xml:space="preserve">Capable of contributing positively to Tonga’s human resources needs after completing their education or training. </w:t>
      </w:r>
    </w:p>
    <w:p w14:paraId="72FA6AEA" w14:textId="5388CD7A" w:rsidR="00C80FA2" w:rsidRPr="00EF2495" w:rsidRDefault="00C80FA2" w:rsidP="00EF2495">
      <w:r w:rsidRPr="00EF2495">
        <w:t>This focus on both national and international employability ensures that Tonga’s education system not only meets domestic needs but also empowers students to compete in the global job market.</w:t>
      </w:r>
    </w:p>
    <w:p w14:paraId="5BE1C580" w14:textId="27977A54" w:rsidR="00C80FA2" w:rsidRPr="00EF2495" w:rsidRDefault="005E1364" w:rsidP="00C86963">
      <w:pPr>
        <w:pStyle w:val="Heading3"/>
        <w:rPr>
          <w:lang w:val="en-GB"/>
        </w:rPr>
      </w:pPr>
      <w:bookmarkStart w:id="61" w:name="_Toc185321224"/>
      <w:r w:rsidRPr="00EF2495">
        <w:t>2</w:t>
      </w:r>
      <w:r w:rsidR="00EC448F" w:rsidRPr="00EF2495">
        <w:t>.2</w:t>
      </w:r>
      <w:r w:rsidR="00EC448F" w:rsidRPr="00EF2495">
        <w:tab/>
      </w:r>
      <w:r w:rsidR="00C80FA2" w:rsidRPr="00EF2495">
        <w:t>Pathways to tertiary education</w:t>
      </w:r>
      <w:bookmarkEnd w:id="61"/>
    </w:p>
    <w:p w14:paraId="4D3B22C2" w14:textId="77777777" w:rsidR="00352D38" w:rsidRDefault="00C80FA2" w:rsidP="00EF2495">
      <w:r w:rsidRPr="00EF2495">
        <w:t xml:space="preserve">The Ministry of Education and Training (MET) is the largest Ministry in Tonga and responsible for the administration and management of education and training in Tonga, through a range of agencies including schools. The Ministry coordinates the education of approximately 32,000 students, from early childhood education through to higher secondary (MET 2023). </w:t>
      </w:r>
    </w:p>
    <w:p w14:paraId="5C5C2921" w14:textId="77777777" w:rsidR="00352D38" w:rsidRDefault="00C80FA2" w:rsidP="00EF2495">
      <w:r w:rsidRPr="00EF2495">
        <w:t>Organisational Outcome 24 in the Tonga Strategic Development Framework II (</w:t>
      </w:r>
      <w:r w:rsidRPr="00EF2495">
        <w:rPr>
          <w:lang w:val="en-US"/>
        </w:rPr>
        <w:t xml:space="preserve">TSDF) </w:t>
      </w:r>
      <w:r w:rsidRPr="00EF2495">
        <w:t xml:space="preserve">relates to education and training and states: </w:t>
      </w:r>
    </w:p>
    <w:p w14:paraId="7F629EF5" w14:textId="17481B57" w:rsidR="00C80FA2" w:rsidRPr="00EF2495" w:rsidRDefault="00904C0B" w:rsidP="00EF2495">
      <w:r>
        <w:t>“</w:t>
      </w:r>
      <w:r w:rsidR="00C80FA2" w:rsidRPr="00EF2495">
        <w:t>Improved education and training which encourages life-long learning of both academic and vocational knowledge by all people, so better equipping us to make active use of the opportunities in the community, the domestic economy and overseas.</w:t>
      </w:r>
      <w:r>
        <w:t>”</w:t>
      </w:r>
      <w:r w:rsidR="00C80FA2" w:rsidRPr="00EF2495">
        <w:t xml:space="preserve"> </w:t>
      </w:r>
    </w:p>
    <w:p w14:paraId="7139EE50" w14:textId="77777777" w:rsidR="00904C0B" w:rsidRDefault="00C80FA2" w:rsidP="00EF2495">
      <w:pPr>
        <w:rPr>
          <w:lang w:val="en-US"/>
        </w:rPr>
      </w:pPr>
      <w:r w:rsidRPr="00EF2495">
        <w:rPr>
          <w:lang w:val="en-US"/>
        </w:rPr>
        <w:t xml:space="preserve">In Tonga, education is free and compulsory for children aged 6 to 14. The 2013 Education Act in Tonga states that all children under the age of 19 have access to quality education, regardless of gender, religion, socio-economic status, disability, or location. </w:t>
      </w:r>
    </w:p>
    <w:p w14:paraId="1481E946" w14:textId="77777777" w:rsidR="00EE0143" w:rsidRDefault="00C80FA2" w:rsidP="00EF2495">
      <w:r w:rsidRPr="00EF2495">
        <w:lastRenderedPageBreak/>
        <w:t xml:space="preserve">Girls tend to </w:t>
      </w:r>
      <w:r w:rsidR="00904C0B">
        <w:t>progress</w:t>
      </w:r>
      <w:r w:rsidRPr="00EF2495">
        <w:t xml:space="preserve"> through the education system from primary to upper secondary at the expected age more frequently than boys, whose educational progression is more likely to stall during lower and upper secondary stages. UNICEF (2023) states that in Tonga, 16% of girls aged 16-18 do not progress to upper secondary education compared to 29% of boys. </w:t>
      </w:r>
    </w:p>
    <w:p w14:paraId="05790695" w14:textId="17A753B2" w:rsidR="00C80FA2" w:rsidRPr="00EF2495" w:rsidRDefault="00C80FA2" w:rsidP="00EF2495">
      <w:pPr>
        <w:rPr>
          <w:lang w:val="en-US"/>
        </w:rPr>
      </w:pPr>
      <w:r w:rsidRPr="00EF2495">
        <w:t xml:space="preserve">This drop in </w:t>
      </w:r>
      <w:r w:rsidRPr="00EF2495">
        <w:rPr>
          <w:lang w:val="en-US"/>
        </w:rPr>
        <w:t xml:space="preserve">attendance contributes to rising youth unemployment and concerns over alcohol and substance abuse. </w:t>
      </w:r>
      <w:r w:rsidRPr="00EF2495">
        <w:t xml:space="preserve">In 2023, 775 students graduated/passed year 7 TFSC. </w:t>
      </w:r>
      <w:r w:rsidRPr="00EF2495">
        <w:rPr>
          <w:lang w:val="en-US"/>
        </w:rPr>
        <w:t xml:space="preserve">Literacy rates in Tonga show minimal gender disparity, with slightly higher rates among females. </w:t>
      </w:r>
    </w:p>
    <w:p w14:paraId="0EFE330F" w14:textId="77777777" w:rsidR="00C80FA2" w:rsidRPr="00EF2495" w:rsidRDefault="00C80FA2" w:rsidP="00EF2495">
      <w:r w:rsidRPr="00EF2495">
        <w:rPr>
          <w:lang w:val="en-US"/>
        </w:rPr>
        <w:t xml:space="preserve">Recent education support programs have focused on improving the quality of education including teacher competencies. </w:t>
      </w:r>
    </w:p>
    <w:p w14:paraId="48F99161" w14:textId="3F4ECA03" w:rsidR="00C80FA2" w:rsidRPr="00EF2495" w:rsidRDefault="005E1364" w:rsidP="00C86963">
      <w:pPr>
        <w:pStyle w:val="Heading3"/>
      </w:pPr>
      <w:bookmarkStart w:id="62" w:name="_Toc185321225"/>
      <w:r w:rsidRPr="00EF2495">
        <w:t>2</w:t>
      </w:r>
      <w:r w:rsidR="00EC448F" w:rsidRPr="00EF2495">
        <w:t>.3</w:t>
      </w:r>
      <w:r w:rsidR="00EC448F" w:rsidRPr="00EF2495">
        <w:tab/>
      </w:r>
      <w:proofErr w:type="gramStart"/>
      <w:r w:rsidR="00C80FA2" w:rsidRPr="00EF2495">
        <w:t>Post-secondary</w:t>
      </w:r>
      <w:proofErr w:type="gramEnd"/>
      <w:r w:rsidR="00C80FA2" w:rsidRPr="00EF2495">
        <w:t xml:space="preserve"> education and training</w:t>
      </w:r>
      <w:bookmarkEnd w:id="62"/>
      <w:r w:rsidR="00C80FA2" w:rsidRPr="00EF2495">
        <w:t xml:space="preserve"> </w:t>
      </w:r>
    </w:p>
    <w:p w14:paraId="294B024B" w14:textId="7F09B35B" w:rsidR="00C80FA2" w:rsidRPr="00EF2495" w:rsidRDefault="00C80FA2" w:rsidP="00EF2495">
      <w:r w:rsidRPr="00EF2495">
        <w:rPr>
          <w:lang w:val="en-US"/>
        </w:rPr>
        <w:t>Tonga has 14 institutions offering post-secondary certificate and diploma-level technical and vocational education and training (VET). Among these, the Roman Catholic Education System</w:t>
      </w:r>
      <w:r w:rsidR="00D6458D">
        <w:rPr>
          <w:lang w:val="en-US"/>
        </w:rPr>
        <w:t xml:space="preserve"> and </w:t>
      </w:r>
      <w:r w:rsidRPr="00EF2495">
        <w:rPr>
          <w:lang w:val="en-US"/>
        </w:rPr>
        <w:t xml:space="preserve">the Free Wesleyan Church </w:t>
      </w:r>
      <w:proofErr w:type="gramStart"/>
      <w:r w:rsidRPr="00EF2495">
        <w:rPr>
          <w:lang w:val="en-US"/>
        </w:rPr>
        <w:t>oversees</w:t>
      </w:r>
      <w:proofErr w:type="gramEnd"/>
      <w:r w:rsidRPr="00EF2495">
        <w:rPr>
          <w:lang w:val="en-US"/>
        </w:rPr>
        <w:t xml:space="preserve"> several post-secondary institutions</w:t>
      </w:r>
      <w:r w:rsidR="00D03F90">
        <w:rPr>
          <w:lang w:val="en-US"/>
        </w:rPr>
        <w:t xml:space="preserve">, including </w:t>
      </w:r>
      <w:r w:rsidRPr="00EF2495">
        <w:rPr>
          <w:lang w:val="en-US"/>
        </w:rPr>
        <w:t>the Tupou Tertiary Institute. University degrees can be earned from institutions like the University of the South Pacific (USP</w:t>
      </w:r>
      <w:r w:rsidR="00135A3A">
        <w:rPr>
          <w:lang w:val="en-US"/>
        </w:rPr>
        <w:t>’s</w:t>
      </w:r>
      <w:r w:rsidRPr="00EF2495">
        <w:rPr>
          <w:lang w:val="en-US"/>
        </w:rPr>
        <w:t xml:space="preserve">) Tonga campus and technical institutes such as the Tonga Maritime Polytechnic Institute, Tonga Institute of Science and Technology, and Tonga Institute of Higher Education. In addition, Government ministries in Tonga provide </w:t>
      </w:r>
      <w:proofErr w:type="spellStart"/>
      <w:r w:rsidRPr="00EF2495">
        <w:rPr>
          <w:lang w:val="en-US"/>
        </w:rPr>
        <w:t>specialised</w:t>
      </w:r>
      <w:proofErr w:type="spellEnd"/>
      <w:r w:rsidRPr="00EF2495">
        <w:rPr>
          <w:lang w:val="en-US"/>
        </w:rPr>
        <w:t xml:space="preserve"> education and training programs aligned with their core functions (such as the Ministry of Health with the school of nursing</w:t>
      </w:r>
      <w:r w:rsidR="00B203CA">
        <w:rPr>
          <w:lang w:val="en-US"/>
        </w:rPr>
        <w:t>)</w:t>
      </w:r>
      <w:r w:rsidRPr="00EF2495">
        <w:t>. In addition, Tongans also have access to on-line education programmes</w:t>
      </w:r>
      <w:r w:rsidR="000B3098">
        <w:t>,</w:t>
      </w:r>
      <w:r w:rsidRPr="00EF2495">
        <w:t xml:space="preserve"> and many students </w:t>
      </w:r>
      <w:r w:rsidR="000B3098">
        <w:t>study</w:t>
      </w:r>
      <w:r w:rsidRPr="00EF2495">
        <w:t xml:space="preserve"> abroad.</w:t>
      </w:r>
      <w:r w:rsidR="00580D1B">
        <w:t xml:space="preserve"> </w:t>
      </w:r>
    </w:p>
    <w:p w14:paraId="3DA3B8BC" w14:textId="2062D94F" w:rsidR="00C80FA2" w:rsidRPr="00EF2495" w:rsidRDefault="00C80FA2" w:rsidP="00EF2495">
      <w:r w:rsidRPr="00EF2495">
        <w:t>The US$20.9m </w:t>
      </w:r>
      <w:hyperlink r:id="rId63" w:history="1">
        <w:r w:rsidRPr="00EF2495">
          <w:rPr>
            <w:rStyle w:val="Hyperlink"/>
          </w:rPr>
          <w:t>Skills and Employment for Tongans (SET) Project</w:t>
        </w:r>
      </w:hyperlink>
      <w:r w:rsidRPr="00EF2495">
        <w:t xml:space="preserve">, which is jointly funded by the World Bank and Australian Government, aims to support Tonga to address secondary school dropout rates, as well as to increase employment opportunities through improved technical and vocational education and training (TVET) and international labour opportunities. The project has </w:t>
      </w:r>
      <w:r w:rsidR="00717527">
        <w:t>supported</w:t>
      </w:r>
      <w:r w:rsidRPr="00EF2495">
        <w:t xml:space="preserve"> over 3,600 secondary and tertiary students</w:t>
      </w:r>
      <w:r w:rsidR="00F2459B">
        <w:t xml:space="preserve"> by covering </w:t>
      </w:r>
      <w:r w:rsidRPr="00EF2495">
        <w:t>school fees for the vulnerable households unable to pay school fees for their children</w:t>
      </w:r>
      <w:r w:rsidR="00F2459B">
        <w:t xml:space="preserve"> education</w:t>
      </w:r>
      <w:r w:rsidRPr="00EF2495">
        <w:t>. Th</w:t>
      </w:r>
      <w:r w:rsidR="0061309C">
        <w:t>e</w:t>
      </w:r>
      <w:r w:rsidRPr="00EF2495">
        <w:t xml:space="preserve"> project is expected to be completed in September 2024</w:t>
      </w:r>
      <w:r w:rsidR="00244562">
        <w:t>.  A follow -</w:t>
      </w:r>
      <w:proofErr w:type="gramStart"/>
      <w:r w:rsidR="00244562">
        <w:t xml:space="preserve">on </w:t>
      </w:r>
      <w:r w:rsidRPr="00EF2495">
        <w:t xml:space="preserve"> phase</w:t>
      </w:r>
      <w:proofErr w:type="gramEnd"/>
      <w:r w:rsidRPr="00EF2495">
        <w:t xml:space="preserve"> will be </w:t>
      </w:r>
      <w:r w:rsidR="00DC61F4">
        <w:t>implemented under</w:t>
      </w:r>
      <w:r w:rsidRPr="00EF2495">
        <w:t xml:space="preserve"> the new Tonga Pathway to Employment </w:t>
      </w:r>
      <w:r w:rsidR="00512D66">
        <w:t>program, funded through</w:t>
      </w:r>
      <w:r w:rsidRPr="00EF2495">
        <w:t xml:space="preserve"> World Bank IDA 20. The objective is to promote high school retention and graduation and to improve the employability of at-risk youth to facilitate the transition to the labour market.</w:t>
      </w:r>
    </w:p>
    <w:p w14:paraId="4CF2D4B2" w14:textId="77777777" w:rsidR="00C80FA2" w:rsidRPr="00EF2495" w:rsidRDefault="00C80FA2" w:rsidP="00EF2495">
      <w:r w:rsidRPr="00EF2495">
        <w:t xml:space="preserve">Pacific TAFE is present but does not offer trades courses.  Some major infrastructure programs also provide VET. For example, the Australian Infrastructure Financing Facility for the Pacific provided funding for the </w:t>
      </w:r>
      <w:proofErr w:type="spellStart"/>
      <w:r w:rsidRPr="00EF2495">
        <w:t>Tongatapu</w:t>
      </w:r>
      <w:proofErr w:type="spellEnd"/>
      <w:r w:rsidRPr="00EF2495">
        <w:t xml:space="preserve"> port upgrade. The project is ADB led (co-financing) with a foreign contractor that employs mostly locals and do a lot of on-the-job training. </w:t>
      </w:r>
    </w:p>
    <w:p w14:paraId="1AD686AF" w14:textId="75E6FC2D" w:rsidR="00C80FA2" w:rsidRPr="00EF2495" w:rsidRDefault="00C80FA2" w:rsidP="00EF2495">
      <w:r w:rsidRPr="00EF2495">
        <w:t>CSOs such as Tonga Women in ICT (TWICT) are providing training on digital skills, cyber safety and cybersecurity (in evening courses).</w:t>
      </w:r>
    </w:p>
    <w:p w14:paraId="32F9AF22" w14:textId="768953EA" w:rsidR="00C80FA2" w:rsidRPr="00EF2495" w:rsidRDefault="00C80FA2" w:rsidP="00EF2495">
      <w:r w:rsidRPr="00EF2495">
        <w:t xml:space="preserve">The USP is the region's pre-eminent tertiary organisation, is governed by 12 Pacific Island Countries. It supports around 30,000 university enrolments and 5,000 TAFE Pacific enrolments per year from across the region. Australia </w:t>
      </w:r>
      <w:hyperlink r:id="rId64" w:anchor="usp" w:history="1">
        <w:r w:rsidRPr="00EF2495">
          <w:rPr>
            <w:rStyle w:val="Hyperlink"/>
          </w:rPr>
          <w:t>has been investing</w:t>
        </w:r>
      </w:hyperlink>
      <w:r w:rsidRPr="00EF2495">
        <w:t xml:space="preserve"> in the university for five decades. The current partnership is worth $86 million over six years from 2019 to 2025. The partnership provides flexible core funding to support implementation of USP's Strategic Plan, including efforts to meet the tertiary education needs of the Pacific. USP is a key </w:t>
      </w:r>
      <w:r w:rsidRPr="00EF2495">
        <w:lastRenderedPageBreak/>
        <w:t xml:space="preserve">source of graduates to industry and government in the region, providing the critical workforce for economic development, particularly in areas of new technology and responding to challenges such as climate change, natural disasters, renewable energy, and oceans, which are important to Australia's interests. </w:t>
      </w:r>
    </w:p>
    <w:p w14:paraId="2FC070BD" w14:textId="77777777" w:rsidR="00C80FA2" w:rsidRPr="00EF2495" w:rsidRDefault="00C80FA2" w:rsidP="00EF2495">
      <w:r w:rsidRPr="00EF2495">
        <w:t xml:space="preserve">The USP </w:t>
      </w:r>
      <w:hyperlink r:id="rId65" w:history="1">
        <w:r w:rsidRPr="00EF2495">
          <w:rPr>
            <w:rStyle w:val="Hyperlink"/>
          </w:rPr>
          <w:t>Annual Report</w:t>
        </w:r>
      </w:hyperlink>
      <w:r w:rsidRPr="00EF2495">
        <w:t xml:space="preserve"> for 2022, records that the </w:t>
      </w:r>
      <w:proofErr w:type="spellStart"/>
      <w:r w:rsidRPr="00EF2495">
        <w:t>GoT</w:t>
      </w:r>
      <w:proofErr w:type="spellEnd"/>
      <w:r w:rsidRPr="00EF2495">
        <w:t xml:space="preserve"> paid FJD 1.5m as the government contribution to the USP in 2022. The Australian government also contributed FJD25.0 million in 2022 (in addition to payment of tuition fees for its AAPS awardees from across the Pacific).</w:t>
      </w:r>
    </w:p>
    <w:p w14:paraId="04B1BDC8" w14:textId="77777777" w:rsidR="00C80FA2" w:rsidRPr="00EF2495" w:rsidRDefault="00C80FA2" w:rsidP="00EF2495">
      <w:r w:rsidRPr="00EF2495">
        <w:t>Tongan students have in-country access to the USP Campus</w:t>
      </w:r>
      <w:r w:rsidRPr="00EF2495">
        <w:footnoteReference w:id="6"/>
      </w:r>
      <w:r w:rsidRPr="00EF2495">
        <w:t>.</w:t>
      </w:r>
    </w:p>
    <w:p w14:paraId="31CA6132" w14:textId="77777777" w:rsidR="00C80FA2" w:rsidRPr="00EF2495" w:rsidRDefault="00C80FA2" w:rsidP="00EF2495">
      <w:r w:rsidRPr="00EF2495">
        <w:t xml:space="preserve">The </w:t>
      </w:r>
      <w:proofErr w:type="spellStart"/>
      <w:r w:rsidRPr="00EF2495">
        <w:t>GoT</w:t>
      </w:r>
      <w:proofErr w:type="spellEnd"/>
      <w:r w:rsidRPr="00EF2495">
        <w:t xml:space="preserve"> Budget Statement F24/25 indicates budget support towards the “upskilling and professional development of the young generation through the Tonga National University (TNU). The University comprises five faculties delivering over 50 programs ranging from Certificates to Diplomas and to Degrees. A total budget of TOP$5.4m under MET’s recurrent budget was allocated in FY24/25 towards the operationalization of TNU, of which will be fully utilized by the end of the fiscal year.” TNU has an MOU with Manukau Institute, New Zealand for skills training.   </w:t>
      </w:r>
    </w:p>
    <w:p w14:paraId="37A7E5E9" w14:textId="63DFB9BA" w:rsidR="00C80FA2" w:rsidRPr="00EF2495" w:rsidRDefault="005E1364" w:rsidP="00C86963">
      <w:pPr>
        <w:pStyle w:val="Heading3"/>
      </w:pPr>
      <w:bookmarkStart w:id="63" w:name="_Toc185321226"/>
      <w:r w:rsidRPr="00EF2495">
        <w:t>2</w:t>
      </w:r>
      <w:r w:rsidR="00493C4B" w:rsidRPr="00EF2495">
        <w:t>.4</w:t>
      </w:r>
      <w:r w:rsidR="00493C4B" w:rsidRPr="00EF2495">
        <w:tab/>
      </w:r>
      <w:r w:rsidR="00C80FA2" w:rsidRPr="00EF2495">
        <w:t>Tertiary/other scholarships for Tonga</w:t>
      </w:r>
      <w:bookmarkEnd w:id="63"/>
    </w:p>
    <w:p w14:paraId="3F2BEFDD" w14:textId="22FF73C8" w:rsidR="00C80FA2" w:rsidRPr="00EF2495" w:rsidRDefault="005E1364" w:rsidP="00EF2495">
      <w:bookmarkStart w:id="64" w:name="_Toc185321227"/>
      <w:r w:rsidRPr="00EF2495">
        <w:t>2</w:t>
      </w:r>
      <w:r w:rsidR="00493C4B" w:rsidRPr="00EF2495">
        <w:t>.4.1</w:t>
      </w:r>
      <w:r w:rsidR="00493C4B" w:rsidRPr="00EF2495">
        <w:tab/>
      </w:r>
      <w:r w:rsidR="00C80FA2" w:rsidRPr="00EF2495">
        <w:t>Government of Tonga</w:t>
      </w:r>
      <w:bookmarkEnd w:id="64"/>
    </w:p>
    <w:p w14:paraId="139DD16C" w14:textId="77777777" w:rsidR="00C80FA2" w:rsidRPr="00EF2495" w:rsidRDefault="00C80FA2" w:rsidP="00EF2495">
      <w:pPr>
        <w:rPr>
          <w:lang w:val="en-AU"/>
        </w:rPr>
      </w:pPr>
      <w:r w:rsidRPr="00EF2495">
        <w:rPr>
          <w:lang w:val="en-AU"/>
        </w:rPr>
        <w:t xml:space="preserve">The </w:t>
      </w:r>
      <w:proofErr w:type="spellStart"/>
      <w:r w:rsidRPr="00EF2495">
        <w:rPr>
          <w:lang w:val="en-AU"/>
        </w:rPr>
        <w:t>GoT</w:t>
      </w:r>
      <w:proofErr w:type="spellEnd"/>
      <w:r w:rsidRPr="00EF2495">
        <w:rPr>
          <w:lang w:val="en-AU"/>
        </w:rPr>
        <w:t xml:space="preserve"> Budget Statement for FY24/25 noted “</w:t>
      </w:r>
      <w:hyperlink r:id="rId66">
        <w:r w:rsidRPr="00EF2495">
          <w:rPr>
            <w:rStyle w:val="Hyperlink"/>
            <w:lang w:val="en-AU"/>
          </w:rPr>
          <w:t>Ongoing offering of scholarships</w:t>
        </w:r>
      </w:hyperlink>
      <w:r w:rsidRPr="00EF2495">
        <w:rPr>
          <w:lang w:val="en-AU"/>
        </w:rPr>
        <w:t xml:space="preserve"> to give students more opportunity in higher education. The priorities for funding include candidates with high-quality research plans and five (5) scholarships were awarded for Masters-level research candidates in 2023-2026. Half of all the Government scholarships were allocated to the education sector.5 It is expected that the recurrent budget allocation for government-funded scholarships at TOP$3.3m in FY2024 will be exceeded by 36.4% or TOP$1.2m by the end of the year due to increased number of beneficiaries particularly identified technical capacity gaps such as civil engineering.” In 2024, the </w:t>
      </w:r>
      <w:proofErr w:type="spellStart"/>
      <w:r w:rsidRPr="00EF2495">
        <w:rPr>
          <w:lang w:val="en-AU"/>
        </w:rPr>
        <w:t>GoT</w:t>
      </w:r>
      <w:proofErr w:type="spellEnd"/>
      <w:r w:rsidRPr="00EF2495">
        <w:rPr>
          <w:lang w:val="en-AU"/>
        </w:rPr>
        <w:t xml:space="preserve"> provided 67 scholarships with the following profile: 67% UG; female 69%; 58% employed (the rest school leavers/currently studying); medicine 24%, education 22%, commerce 20%.</w:t>
      </w:r>
    </w:p>
    <w:p w14:paraId="2877D16F" w14:textId="3269C4CC" w:rsidR="00C80FA2" w:rsidRPr="00EF2495" w:rsidRDefault="005E1364" w:rsidP="00EF2495">
      <w:bookmarkStart w:id="65" w:name="_Toc185321228"/>
      <w:r w:rsidRPr="00EF2495">
        <w:t>2</w:t>
      </w:r>
      <w:r w:rsidR="00493C4B" w:rsidRPr="00EF2495">
        <w:t>.4.2</w:t>
      </w:r>
      <w:r w:rsidR="00493C4B" w:rsidRPr="00EF2495">
        <w:tab/>
      </w:r>
      <w:r w:rsidR="00C80FA2" w:rsidRPr="00EF2495">
        <w:t>APTC</w:t>
      </w:r>
      <w:bookmarkEnd w:id="65"/>
    </w:p>
    <w:p w14:paraId="17AA67D1" w14:textId="6B9D5B47" w:rsidR="00C80FA2" w:rsidRPr="00EF2495" w:rsidRDefault="00C80FA2" w:rsidP="00EF2495">
      <w:r w:rsidRPr="00EF2495">
        <w:t>The APTC is a major Australian government foreign aid initiative that commenced in 2008, that has spent over $350 million, and that has turned out over 15,000 graduates with Australian qualifications.  DFAT invests around AUD 25 million per year and produces about 1,000 graduates annually with full Australian accredited qualifications in addition to non-accredited short courses and micro credentials.</w:t>
      </w:r>
    </w:p>
    <w:p w14:paraId="7F5D8441" w14:textId="77777777" w:rsidR="00C80FA2" w:rsidRPr="00EF2495" w:rsidRDefault="00C80FA2" w:rsidP="00EF2495">
      <w:r w:rsidRPr="00EF2495">
        <w:t xml:space="preserve">Since 2007, 639 Tongans (51% female) have graduated from the </w:t>
      </w:r>
      <w:hyperlink>
        <w:r w:rsidRPr="00EF2495">
          <w:rPr>
            <w:rStyle w:val="Hyperlink"/>
          </w:rPr>
          <w:t>APTC</w:t>
        </w:r>
      </w:hyperlink>
      <w:r w:rsidRPr="00EF2495">
        <w:t xml:space="preserve"> (at the main APTC campuses </w:t>
      </w:r>
      <w:proofErr w:type="gramStart"/>
      <w:r w:rsidRPr="00EF2495">
        <w:t>and also</w:t>
      </w:r>
      <w:proofErr w:type="gramEnd"/>
      <w:r w:rsidRPr="00EF2495">
        <w:t xml:space="preserve"> in Tonga).   In 2023, 146 Tongan students (38M/108F) studied at the APTC in 2023 almost all (92%) on DFAT funded scholarships. 94 Tongans (48M/44F) have studied at the APTC in 2024 YTD (to September 2024). The APTC has also provided capacity strengthening of Tongan TVET institutions, and conducted GEDSI, climate change and skills for mobility training activities.</w:t>
      </w:r>
    </w:p>
    <w:p w14:paraId="4B47484F" w14:textId="4E48309C" w:rsidR="00C80FA2" w:rsidRPr="00EF2495" w:rsidRDefault="005E1364" w:rsidP="00EF2495">
      <w:bookmarkStart w:id="66" w:name="_Toc185321229"/>
      <w:r w:rsidRPr="00EF2495">
        <w:t>2</w:t>
      </w:r>
      <w:r w:rsidR="005165E5" w:rsidRPr="00EF2495">
        <w:t>.4.3</w:t>
      </w:r>
      <w:r w:rsidR="005165E5" w:rsidRPr="00EF2495">
        <w:tab/>
      </w:r>
      <w:r w:rsidR="00C80FA2" w:rsidRPr="00EF2495">
        <w:t>Other Development Partners</w:t>
      </w:r>
      <w:bookmarkEnd w:id="66"/>
    </w:p>
    <w:p w14:paraId="08ADCDAD" w14:textId="77777777" w:rsidR="00C80FA2" w:rsidRPr="00EF2495" w:rsidRDefault="00C80FA2" w:rsidP="00EF2495">
      <w:pPr>
        <w:rPr>
          <w:lang w:val="en-US"/>
        </w:rPr>
      </w:pPr>
      <w:r w:rsidRPr="00EF2495">
        <w:lastRenderedPageBreak/>
        <w:t>The largest award of scholarships to Tonga is by China. In 2017 it</w:t>
      </w:r>
      <w:r w:rsidRPr="00EF2495">
        <w:rPr>
          <w:lang w:val="en-US"/>
        </w:rPr>
        <w:t xml:space="preserve"> was reported that about </w:t>
      </w:r>
      <w:hyperlink r:id="rId67" w:history="1">
        <w:r w:rsidRPr="00EF2495">
          <w:rPr>
            <w:rStyle w:val="Hyperlink"/>
            <w:lang w:val="en-US"/>
          </w:rPr>
          <w:t>400 Tongans have graduated from China's universities</w:t>
        </w:r>
      </w:hyperlink>
      <w:r w:rsidRPr="00EF2495">
        <w:rPr>
          <w:lang w:val="en-US"/>
        </w:rPr>
        <w:t>, with significant escalation of awards offered since then (including by central Chinese agencies and individual universities). Although not able to be verified, the review team was advised there were at least 50-75 scholarships awarded annually by China.</w:t>
      </w:r>
      <w:r w:rsidRPr="00EF2495">
        <w:t xml:space="preserve"> </w:t>
      </w:r>
      <w:r w:rsidRPr="00EF2495">
        <w:rPr>
          <w:lang w:val="en-US"/>
        </w:rPr>
        <w:t>It is noted that one Ministry commented however that recognition of the courses studied in China (particularly if studied in Chinese) and the relevance of the studies (especially in the health area) could be problematic for alumni employment opportunities.</w:t>
      </w:r>
    </w:p>
    <w:p w14:paraId="0EB82A8F" w14:textId="77777777" w:rsidR="00C80FA2" w:rsidRPr="00EF2495" w:rsidRDefault="00C80FA2" w:rsidP="00EF2495">
      <w:r w:rsidRPr="00EF2495">
        <w:t xml:space="preserve">The following table summarises, based on the online information available, the scholarships offered by other development partners to Tonga: </w:t>
      </w:r>
    </w:p>
    <w:tbl>
      <w:tblPr>
        <w:tblStyle w:val="ListTable3"/>
        <w:tblpPr w:leftFromText="180" w:rightFromText="180" w:vertAnchor="text" w:tblpY="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1134"/>
        <w:gridCol w:w="1418"/>
        <w:gridCol w:w="1134"/>
        <w:gridCol w:w="1701"/>
        <w:gridCol w:w="1559"/>
        <w:gridCol w:w="1559"/>
      </w:tblGrid>
      <w:tr w:rsidR="005165E5" w:rsidRPr="00EF2495" w14:paraId="43822F20" w14:textId="77777777" w:rsidTr="006357C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tcBorders>
              <w:bottom w:val="none" w:sz="0" w:space="0" w:color="auto"/>
              <w:right w:val="none" w:sz="0" w:space="0" w:color="auto"/>
            </w:tcBorders>
          </w:tcPr>
          <w:p w14:paraId="4A457914" w14:textId="50EAC22A" w:rsidR="00C80FA2" w:rsidRPr="00EF2495" w:rsidRDefault="002366AB" w:rsidP="00781268">
            <w:pPr>
              <w:pStyle w:val="TableText0"/>
            </w:pPr>
            <w:r>
              <w:t xml:space="preserve">Scholarship </w:t>
            </w:r>
            <w:r w:rsidR="0085783B">
              <w:t xml:space="preserve">/ </w:t>
            </w:r>
            <w:r>
              <w:t>Donors</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14:paraId="6642D8E4" w14:textId="77777777" w:rsidR="00C80FA2" w:rsidRPr="00EF2495" w:rsidRDefault="00C80FA2" w:rsidP="00781268">
            <w:pPr>
              <w:pStyle w:val="TableText0"/>
            </w:pPr>
            <w:r w:rsidRPr="00EF2495">
              <w:t>Number per year</w:t>
            </w:r>
          </w:p>
        </w:tc>
        <w:tc>
          <w:tcPr>
            <w:tcW w:w="1418" w:type="dxa"/>
          </w:tcPr>
          <w:p w14:paraId="2D87A0DC" w14:textId="77777777" w:rsidR="00C80FA2" w:rsidRPr="00EF2495" w:rsidRDefault="00C80FA2" w:rsidP="00781268">
            <w:pPr>
              <w:pStyle w:val="TableText0"/>
              <w:cnfStyle w:val="100000000000" w:firstRow="1" w:lastRow="0" w:firstColumn="0" w:lastColumn="0" w:oddVBand="0" w:evenVBand="0" w:oddHBand="0" w:evenHBand="0" w:firstRowFirstColumn="0" w:firstRowLastColumn="0" w:lastRowFirstColumn="0" w:lastRowLastColumn="0"/>
            </w:pPr>
            <w:r w:rsidRPr="00EF2495">
              <w:t>Level of study/duration</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14:paraId="4732DF54" w14:textId="77777777" w:rsidR="00C80FA2" w:rsidRPr="00EF2495" w:rsidRDefault="00C80FA2" w:rsidP="00781268">
            <w:pPr>
              <w:pStyle w:val="TableText0"/>
            </w:pPr>
            <w:r w:rsidRPr="00EF2495">
              <w:t>Country of study</w:t>
            </w:r>
          </w:p>
        </w:tc>
        <w:tc>
          <w:tcPr>
            <w:tcW w:w="1701" w:type="dxa"/>
          </w:tcPr>
          <w:p w14:paraId="05AE7754" w14:textId="77777777" w:rsidR="00C80FA2" w:rsidRPr="00EF2495" w:rsidRDefault="00C80FA2" w:rsidP="00781268">
            <w:pPr>
              <w:pStyle w:val="TableText0"/>
              <w:cnfStyle w:val="100000000000" w:firstRow="1" w:lastRow="0" w:firstColumn="0" w:lastColumn="0" w:oddVBand="0" w:evenVBand="0" w:oddHBand="0" w:evenHBand="0" w:firstRowFirstColumn="0" w:firstRowLastColumn="0" w:lastRowFirstColumn="0" w:lastRowLastColumn="0"/>
            </w:pPr>
            <w:r w:rsidRPr="00EF2495">
              <w:t>Focus areas</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14:paraId="112494E1" w14:textId="77777777" w:rsidR="00C80FA2" w:rsidRPr="00EF2495" w:rsidRDefault="00C80FA2" w:rsidP="00781268">
            <w:pPr>
              <w:pStyle w:val="TableText0"/>
            </w:pPr>
            <w:r w:rsidRPr="00EF2495">
              <w:t xml:space="preserve">Benefits </w:t>
            </w:r>
          </w:p>
        </w:tc>
        <w:tc>
          <w:tcPr>
            <w:cnfStyle w:val="000100001000" w:firstRow="0" w:lastRow="0" w:firstColumn="0" w:lastColumn="1" w:oddVBand="0" w:evenVBand="0" w:oddHBand="0" w:evenHBand="0" w:firstRowFirstColumn="0" w:firstRowLastColumn="1" w:lastRowFirstColumn="0" w:lastRowLastColumn="0"/>
            <w:tcW w:w="1559" w:type="dxa"/>
            <w:tcBorders>
              <w:left w:val="none" w:sz="0" w:space="0" w:color="auto"/>
              <w:bottom w:val="none" w:sz="0" w:space="0" w:color="auto"/>
            </w:tcBorders>
          </w:tcPr>
          <w:p w14:paraId="43703A87" w14:textId="77777777" w:rsidR="00C80FA2" w:rsidRPr="00EF2495" w:rsidRDefault="00C80FA2" w:rsidP="00781268">
            <w:pPr>
              <w:pStyle w:val="TableText0"/>
            </w:pPr>
            <w:r w:rsidRPr="00EF2495">
              <w:t>Other</w:t>
            </w:r>
          </w:p>
        </w:tc>
      </w:tr>
      <w:tr w:rsidR="005165E5" w:rsidRPr="00EF2495" w14:paraId="782EF15E" w14:textId="77777777" w:rsidTr="0085783B">
        <w:trPr>
          <w:cnfStyle w:val="000000100000" w:firstRow="0" w:lastRow="0" w:firstColumn="0" w:lastColumn="0" w:oddVBand="0" w:evenVBand="0" w:oddHBand="1" w:evenHBand="0" w:firstRowFirstColumn="0" w:firstRowLastColumn="0" w:lastRowFirstColumn="0" w:lastRowLastColumn="0"/>
          <w:trHeight w:val="4210"/>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right w:val="none" w:sz="0" w:space="0" w:color="auto"/>
            </w:tcBorders>
          </w:tcPr>
          <w:p w14:paraId="7456AF8B" w14:textId="77777777" w:rsidR="00C80FA2" w:rsidRPr="00EF2495" w:rsidRDefault="00C80FA2" w:rsidP="00781268">
            <w:pPr>
              <w:pStyle w:val="TableText0"/>
            </w:pPr>
            <w:hyperlink r:id="rId68" w:history="1">
              <w:r w:rsidRPr="00EF2495">
                <w:rPr>
                  <w:rStyle w:val="Hyperlink"/>
                </w:rPr>
                <w:t>Manaaki NZ Scholarships</w:t>
              </w:r>
            </w:hyperlink>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14:paraId="3C996E4B" w14:textId="601358AB" w:rsidR="00C80FA2" w:rsidRPr="00EF2495" w:rsidRDefault="00C80FA2" w:rsidP="00781268">
            <w:pPr>
              <w:pStyle w:val="TableText0"/>
            </w:pPr>
            <w:r w:rsidRPr="00EF2495">
              <w:t>Pacific (10)</w:t>
            </w:r>
            <w:r w:rsidR="00562901">
              <w:br/>
            </w:r>
            <w:r w:rsidR="00BD267E">
              <w:t>N</w:t>
            </w:r>
            <w:r w:rsidRPr="00EF2495">
              <w:t>Z (10).</w:t>
            </w:r>
          </w:p>
        </w:tc>
        <w:tc>
          <w:tcPr>
            <w:tcW w:w="1418" w:type="dxa"/>
            <w:tcBorders>
              <w:top w:val="none" w:sz="0" w:space="0" w:color="auto"/>
              <w:bottom w:val="none" w:sz="0" w:space="0" w:color="auto"/>
            </w:tcBorders>
          </w:tcPr>
          <w:p w14:paraId="65290464" w14:textId="77777777" w:rsidR="00C80FA2" w:rsidRPr="00EF2495" w:rsidRDefault="00C80FA2" w:rsidP="00781268">
            <w:pPr>
              <w:pStyle w:val="TableText0"/>
              <w:cnfStyle w:val="000000100000" w:firstRow="0" w:lastRow="0" w:firstColumn="0" w:lastColumn="0" w:oddVBand="0" w:evenVBand="0" w:oddHBand="1" w:evenHBand="0" w:firstRowFirstColumn="0" w:firstRowLastColumn="0" w:lastRowFirstColumn="0" w:lastRowLastColumn="0"/>
            </w:pPr>
            <w:r w:rsidRPr="00EF2495">
              <w:t>Undergraduate (3-4 years)</w:t>
            </w:r>
            <w:r w:rsidR="00BD267E">
              <w:br/>
            </w:r>
            <w:r w:rsidRPr="00EF2495">
              <w:t>Postgraduate Certificate (6 months)</w:t>
            </w:r>
            <w:r w:rsidR="00BD267E">
              <w:br/>
            </w:r>
            <w:r w:rsidRPr="00EF2495">
              <w:t>Postgraduate Diploma (1 year)</w:t>
            </w:r>
            <w:r w:rsidR="00BD267E">
              <w:br/>
            </w:r>
            <w:r w:rsidRPr="00EF2495">
              <w:t>Master’s (1-2 years); PhD (3.5 years)</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14:paraId="719A65AA" w14:textId="77777777" w:rsidR="00C80FA2" w:rsidRPr="00EF2495" w:rsidRDefault="00C80FA2" w:rsidP="00781268">
            <w:pPr>
              <w:pStyle w:val="TableText0"/>
            </w:pPr>
            <w:r w:rsidRPr="00EF2495">
              <w:t>New Zealand or Pacific (Fiji or Vanuatu)</w:t>
            </w:r>
          </w:p>
        </w:tc>
        <w:tc>
          <w:tcPr>
            <w:tcW w:w="1701" w:type="dxa"/>
            <w:tcBorders>
              <w:top w:val="none" w:sz="0" w:space="0" w:color="auto"/>
              <w:bottom w:val="none" w:sz="0" w:space="0" w:color="auto"/>
            </w:tcBorders>
          </w:tcPr>
          <w:p w14:paraId="48CDD87A" w14:textId="77777777" w:rsidR="001C710F" w:rsidRDefault="00C80FA2" w:rsidP="00FC4276">
            <w:pPr>
              <w:pStyle w:val="Tablebullet"/>
              <w:spacing w:after="0"/>
              <w:ind w:left="170" w:hanging="159"/>
              <w:cnfStyle w:val="000000100000" w:firstRow="0" w:lastRow="0" w:firstColumn="0" w:lastColumn="0" w:oddVBand="0" w:evenVBand="0" w:oddHBand="1" w:evenHBand="0" w:firstRowFirstColumn="0" w:firstRowLastColumn="0" w:lastRowFirstColumn="0" w:lastRowLastColumn="0"/>
            </w:pPr>
            <w:bookmarkStart w:id="67" w:name="_Hlk176026694"/>
            <w:r w:rsidRPr="00EF2495">
              <w:t>Food security and agriculture</w:t>
            </w:r>
            <w:r w:rsidR="00C82B2A">
              <w:br/>
            </w:r>
          </w:p>
          <w:p w14:paraId="5EFDA322" w14:textId="77777777" w:rsidR="001C710F" w:rsidRDefault="00C80FA2" w:rsidP="00FC4276">
            <w:pPr>
              <w:pStyle w:val="Tablebullet"/>
              <w:spacing w:after="0"/>
              <w:ind w:left="170" w:hanging="159"/>
              <w:cnfStyle w:val="000000100000" w:firstRow="0" w:lastRow="0" w:firstColumn="0" w:lastColumn="0" w:oddVBand="0" w:evenVBand="0" w:oddHBand="1" w:evenHBand="0" w:firstRowFirstColumn="0" w:firstRowLastColumn="0" w:lastRowFirstColumn="0" w:lastRowLastColumn="0"/>
            </w:pPr>
            <w:r w:rsidRPr="00EF2495">
              <w:t>Renewable energy</w:t>
            </w:r>
            <w:r w:rsidR="00C82B2A">
              <w:br/>
            </w:r>
          </w:p>
          <w:p w14:paraId="10BE6EEC" w14:textId="77777777" w:rsidR="001C710F" w:rsidRDefault="00C80FA2" w:rsidP="00FC4276">
            <w:pPr>
              <w:pStyle w:val="Tablebullet"/>
              <w:spacing w:after="0"/>
              <w:ind w:left="170" w:hanging="159"/>
              <w:cnfStyle w:val="000000100000" w:firstRow="0" w:lastRow="0" w:firstColumn="0" w:lastColumn="0" w:oddVBand="0" w:evenVBand="0" w:oddHBand="1" w:evenHBand="0" w:firstRowFirstColumn="0" w:firstRowLastColumn="0" w:lastRowFirstColumn="0" w:lastRowLastColumn="0"/>
            </w:pPr>
            <w:r w:rsidRPr="00EF2495">
              <w:t>Governance</w:t>
            </w:r>
            <w:r w:rsidR="00C82B2A">
              <w:br/>
            </w:r>
          </w:p>
          <w:p w14:paraId="44DD531E" w14:textId="43683B79" w:rsidR="00C80FA2" w:rsidRPr="00EF2495" w:rsidRDefault="00C80FA2" w:rsidP="00FC4276">
            <w:pPr>
              <w:pStyle w:val="Tablebullet"/>
              <w:spacing w:after="0"/>
              <w:ind w:left="170" w:hanging="159"/>
              <w:cnfStyle w:val="000000100000" w:firstRow="0" w:lastRow="0" w:firstColumn="0" w:lastColumn="0" w:oddVBand="0" w:evenVBand="0" w:oddHBand="1" w:evenHBand="0" w:firstRowFirstColumn="0" w:firstRowLastColumn="0" w:lastRowFirstColumn="0" w:lastRowLastColumn="0"/>
            </w:pPr>
            <w:r w:rsidRPr="00EF2495">
              <w:t>Peace and security</w:t>
            </w:r>
            <w:bookmarkEnd w:id="67"/>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170E6C71" w14:textId="77777777" w:rsidR="00563C3C" w:rsidRDefault="00C80FA2" w:rsidP="006F123D">
            <w:pPr>
              <w:pStyle w:val="Tablebullet"/>
              <w:ind w:left="175" w:hanging="165"/>
            </w:pPr>
            <w:hyperlink r:id="rId69" w:history="1">
              <w:r w:rsidRPr="00EF2495">
                <w:rPr>
                  <w:rStyle w:val="Hyperlink"/>
                </w:rPr>
                <w:t>full tuition</w:t>
              </w:r>
            </w:hyperlink>
            <w:r w:rsidRPr="00EF2495">
              <w:t>,</w:t>
            </w:r>
          </w:p>
          <w:p w14:paraId="67A16BD4" w14:textId="77777777" w:rsidR="00563C3C" w:rsidRDefault="00C80FA2" w:rsidP="006F123D">
            <w:pPr>
              <w:pStyle w:val="Tablebullet"/>
              <w:ind w:left="175" w:hanging="165"/>
            </w:pPr>
            <w:r w:rsidRPr="00EF2495">
              <w:t>monthly allowance</w:t>
            </w:r>
          </w:p>
          <w:p w14:paraId="79CA6DC0" w14:textId="45EB1C17" w:rsidR="00C80FA2" w:rsidRPr="00EF2495" w:rsidRDefault="00C80FA2" w:rsidP="006F123D">
            <w:pPr>
              <w:pStyle w:val="Tablebullet"/>
              <w:ind w:left="175" w:hanging="165"/>
            </w:pPr>
            <w:r w:rsidRPr="00EF2495">
              <w:t>round-trip flight</w:t>
            </w:r>
          </w:p>
        </w:tc>
        <w:tc>
          <w:tcPr>
            <w:cnfStyle w:val="000100000000" w:firstRow="0" w:lastRow="0" w:firstColumn="0" w:lastColumn="1"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14:paraId="65E1665E" w14:textId="1CAABA9E" w:rsidR="00C80FA2" w:rsidRPr="00EF2495" w:rsidRDefault="00C80FA2" w:rsidP="00781268">
            <w:pPr>
              <w:pStyle w:val="TableText0"/>
            </w:pPr>
            <w:r w:rsidRPr="00EF2495">
              <w:t>Centralised selection in NZ (with final validation by NZ High Commission in Tonga.</w:t>
            </w:r>
          </w:p>
          <w:p w14:paraId="13211BAA" w14:textId="77777777" w:rsidR="00C80FA2" w:rsidRPr="00EF2495" w:rsidRDefault="00C80FA2" w:rsidP="00781268">
            <w:pPr>
              <w:pStyle w:val="TableText0"/>
            </w:pPr>
            <w:r w:rsidRPr="00EF2495">
              <w:t>Selection includes psychometric testing.</w:t>
            </w:r>
          </w:p>
        </w:tc>
      </w:tr>
      <w:tr w:rsidR="005165E5" w:rsidRPr="00EF2495" w14:paraId="3F4E797F" w14:textId="77777777" w:rsidTr="0085783B">
        <w:tc>
          <w:tcPr>
            <w:cnfStyle w:val="001000000000" w:firstRow="0" w:lastRow="0" w:firstColumn="1" w:lastColumn="0" w:oddVBand="0" w:evenVBand="0" w:oddHBand="0" w:evenHBand="0" w:firstRowFirstColumn="0" w:firstRowLastColumn="0" w:lastRowFirstColumn="0" w:lastRowLastColumn="0"/>
            <w:tcW w:w="1129" w:type="dxa"/>
            <w:tcBorders>
              <w:right w:val="none" w:sz="0" w:space="0" w:color="auto"/>
            </w:tcBorders>
          </w:tcPr>
          <w:p w14:paraId="3BEE8E39" w14:textId="77777777" w:rsidR="00C80FA2" w:rsidRPr="00EF2495" w:rsidRDefault="00C80FA2" w:rsidP="00781268">
            <w:pPr>
              <w:pStyle w:val="TableText0"/>
            </w:pPr>
            <w:r w:rsidRPr="00EF2495">
              <w:t xml:space="preserve">NZ </w:t>
            </w:r>
            <w:hyperlink r:id="rId70" w:history="1">
              <w:r w:rsidRPr="00EF2495">
                <w:rPr>
                  <w:rStyle w:val="Hyperlink"/>
                </w:rPr>
                <w:t>Short Term Training Scholarships</w:t>
              </w:r>
            </w:hyperlink>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14:paraId="49D2E9E9" w14:textId="0761A7DD" w:rsidR="00C80FA2" w:rsidRPr="00EF2495" w:rsidRDefault="00634965" w:rsidP="00781268">
            <w:pPr>
              <w:pStyle w:val="TableText0"/>
            </w:pPr>
            <w:r>
              <w:t>Not Available</w:t>
            </w:r>
          </w:p>
        </w:tc>
        <w:tc>
          <w:tcPr>
            <w:tcW w:w="1418" w:type="dxa"/>
          </w:tcPr>
          <w:p w14:paraId="3B647B3E" w14:textId="6959C95B" w:rsidR="00C80FA2" w:rsidRPr="00EF2495" w:rsidRDefault="00C80FA2" w:rsidP="00781268">
            <w:pPr>
              <w:pStyle w:val="TableText0"/>
              <w:cnfStyle w:val="000000000000" w:firstRow="0" w:lastRow="0" w:firstColumn="0" w:lastColumn="0" w:oddVBand="0" w:evenVBand="0" w:oddHBand="0" w:evenHBand="0" w:firstRowFirstColumn="0" w:firstRowLastColumn="0" w:lastRowFirstColumn="0" w:lastRowLastColumn="0"/>
            </w:pPr>
            <w:r w:rsidRPr="00EF2495">
              <w:t>One week to 12 months.</w:t>
            </w:r>
            <w:r w:rsidR="00A24297">
              <w:br/>
            </w:r>
            <w:r w:rsidRPr="00EF2495">
              <w:t>Successful applicants:</w:t>
            </w:r>
          </w:p>
          <w:p w14:paraId="18D8CD12" w14:textId="77777777" w:rsidR="00C80FA2" w:rsidRPr="00EF2495" w:rsidRDefault="00C80FA2" w:rsidP="00781268">
            <w:pPr>
              <w:pStyle w:val="TableText0"/>
              <w:cnfStyle w:val="000000000000" w:firstRow="0" w:lastRow="0" w:firstColumn="0" w:lastColumn="0" w:oddVBand="0" w:evenVBand="0" w:oddHBand="0" w:evenHBand="0" w:firstRowFirstColumn="0" w:firstRowLastColumn="0" w:lastRowFirstColumn="0" w:lastRowLastColumn="0"/>
            </w:pPr>
          </w:p>
          <w:p w14:paraId="503FF352" w14:textId="77777777" w:rsidR="00C80FA2" w:rsidRPr="00EF2495" w:rsidRDefault="00C80FA2" w:rsidP="00781268">
            <w:pPr>
              <w:pStyle w:val="TableText0"/>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14:paraId="40666B14" w14:textId="77777777" w:rsidR="00C80FA2" w:rsidRPr="00EF2495" w:rsidRDefault="00C80FA2" w:rsidP="00781268">
            <w:pPr>
              <w:pStyle w:val="TableText0"/>
            </w:pPr>
            <w:r w:rsidRPr="00EF2495">
              <w:t>Undertake a training course with a New Zealand-certified training provider.</w:t>
            </w:r>
          </w:p>
        </w:tc>
        <w:tc>
          <w:tcPr>
            <w:tcW w:w="1701" w:type="dxa"/>
          </w:tcPr>
          <w:p w14:paraId="6C2CA718" w14:textId="77777777" w:rsidR="00224A86" w:rsidRDefault="00C80FA2" w:rsidP="006F123D">
            <w:pPr>
              <w:pStyle w:val="Tablebullet"/>
              <w:ind w:left="169" w:hanging="159"/>
              <w:cnfStyle w:val="000000000000" w:firstRow="0" w:lastRow="0" w:firstColumn="0" w:lastColumn="0" w:oddVBand="0" w:evenVBand="0" w:oddHBand="0" w:evenHBand="0" w:firstRowFirstColumn="0" w:firstRowLastColumn="0" w:lastRowFirstColumn="0" w:lastRowLastColumn="0"/>
            </w:pPr>
            <w:r w:rsidRPr="00EF2495">
              <w:t>Must align with the human resource development needs of your country</w:t>
            </w:r>
          </w:p>
          <w:p w14:paraId="2DF1D6EE" w14:textId="3C92C12A" w:rsidR="00132B42" w:rsidRDefault="00224A86" w:rsidP="006F123D">
            <w:pPr>
              <w:pStyle w:val="Tablebullet"/>
              <w:ind w:left="169" w:hanging="159"/>
              <w:cnfStyle w:val="000000000000" w:firstRow="0" w:lastRow="0" w:firstColumn="0" w:lastColumn="0" w:oddVBand="0" w:evenVBand="0" w:oddHBand="0" w:evenHBand="0" w:firstRowFirstColumn="0" w:firstRowLastColumn="0" w:lastRowFirstColumn="0" w:lastRowLastColumn="0"/>
            </w:pPr>
            <w:r>
              <w:t xml:space="preserve">Must align </w:t>
            </w:r>
            <w:r w:rsidR="00C80FA2" w:rsidRPr="00EF2495">
              <w:t>with the New Zealand priority themes and sectors: Climate Change and Resilience</w:t>
            </w:r>
          </w:p>
          <w:p w14:paraId="3426B363" w14:textId="3C4B4062" w:rsidR="00C80FA2" w:rsidRPr="00EF2495" w:rsidRDefault="00C80FA2" w:rsidP="006F123D">
            <w:pPr>
              <w:pStyle w:val="Tablebullet"/>
              <w:ind w:left="169" w:hanging="159"/>
              <w:cnfStyle w:val="000000000000" w:firstRow="0" w:lastRow="0" w:firstColumn="0" w:lastColumn="0" w:oddVBand="0" w:evenVBand="0" w:oddHBand="0" w:evenHBand="0" w:firstRowFirstColumn="0" w:firstRowLastColumn="0" w:lastRowFirstColumn="0" w:lastRowLastColumn="0"/>
            </w:pPr>
            <w:r w:rsidRPr="00EF2495">
              <w:t xml:space="preserve"> Economic Resilience. </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14:paraId="42A49A90" w14:textId="77777777" w:rsidR="002746F7" w:rsidRDefault="00C80FA2" w:rsidP="006F123D">
            <w:pPr>
              <w:pStyle w:val="Tablebullet"/>
              <w:ind w:left="175" w:hanging="165"/>
            </w:pPr>
            <w:r w:rsidRPr="00EF2495">
              <w:t>full tuition,</w:t>
            </w:r>
          </w:p>
          <w:p w14:paraId="0A59F026" w14:textId="77777777" w:rsidR="002746F7" w:rsidRDefault="00C80FA2" w:rsidP="006F123D">
            <w:pPr>
              <w:pStyle w:val="Tablebullet"/>
              <w:ind w:left="175" w:hanging="165"/>
            </w:pPr>
            <w:r w:rsidRPr="00EF2495">
              <w:t>monthly allowance,</w:t>
            </w:r>
          </w:p>
          <w:p w14:paraId="4BBC9DA1" w14:textId="4F9E6372" w:rsidR="00C80FA2" w:rsidRPr="00EF2495" w:rsidRDefault="00C80FA2" w:rsidP="006F123D">
            <w:pPr>
              <w:pStyle w:val="Tablebullet"/>
              <w:ind w:left="175" w:hanging="165"/>
            </w:pPr>
            <w:r w:rsidRPr="00EF2495">
              <w:t>round-trip flight</w:t>
            </w:r>
          </w:p>
        </w:tc>
        <w:tc>
          <w:tcPr>
            <w:cnfStyle w:val="000100000000" w:firstRow="0" w:lastRow="0" w:firstColumn="0" w:lastColumn="1" w:oddVBand="0" w:evenVBand="0" w:oddHBand="0" w:evenHBand="0" w:firstRowFirstColumn="0" w:firstRowLastColumn="0" w:lastRowFirstColumn="0" w:lastRowLastColumn="0"/>
            <w:tcW w:w="1559" w:type="dxa"/>
            <w:tcBorders>
              <w:left w:val="none" w:sz="0" w:space="0" w:color="auto"/>
            </w:tcBorders>
          </w:tcPr>
          <w:p w14:paraId="1DF7F9F7" w14:textId="306635C8" w:rsidR="00C80FA2" w:rsidRPr="00EF2495" w:rsidRDefault="00F66890" w:rsidP="00781268">
            <w:pPr>
              <w:pStyle w:val="TableText0"/>
            </w:pPr>
            <w:r>
              <w:t>Not Available</w:t>
            </w:r>
          </w:p>
          <w:p w14:paraId="4D3D2F5A" w14:textId="77777777" w:rsidR="00C80FA2" w:rsidRPr="00EF2495" w:rsidRDefault="00C80FA2" w:rsidP="00781268">
            <w:pPr>
              <w:pStyle w:val="TableText0"/>
            </w:pPr>
          </w:p>
        </w:tc>
      </w:tr>
      <w:tr w:rsidR="005165E5" w:rsidRPr="00EF2495" w14:paraId="6651173A" w14:textId="77777777" w:rsidTr="00857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right w:val="none" w:sz="0" w:space="0" w:color="auto"/>
            </w:tcBorders>
          </w:tcPr>
          <w:p w14:paraId="4097C2E5" w14:textId="6B61E57B" w:rsidR="00C80FA2" w:rsidRPr="00EF2495" w:rsidRDefault="00C80FA2" w:rsidP="00781268">
            <w:pPr>
              <w:pStyle w:val="TableText0"/>
            </w:pPr>
            <w:hyperlink r:id="rId71" w:anchor=":~:text=The%20Japanese%20Government%20(Ministry%20of,flight%20between%20Japan%20and%20Tonga." w:history="1">
              <w:r w:rsidRPr="00EF2495">
                <w:rPr>
                  <w:rStyle w:val="Hyperlink"/>
                </w:rPr>
                <w:t>Japan</w:t>
              </w:r>
            </w:hyperlink>
            <w:r w:rsidRPr="00EF2495">
              <w:t xml:space="preserve"> </w:t>
            </w:r>
            <w:hyperlink r:id="rId72" w:anchor=":~:text=The%20Japanese%20Government%20(Ministry%20of,flight%20between%20Japan%20and%20Tonga." w:history="1">
              <w:r w:rsidRPr="00EF2495">
                <w:rPr>
                  <w:rStyle w:val="Hyperlink"/>
                </w:rPr>
                <w:t xml:space="preserve">Ministry of </w:t>
              </w:r>
              <w:r w:rsidRPr="00EF2495">
                <w:rPr>
                  <w:rStyle w:val="Hyperlink"/>
                </w:rPr>
                <w:lastRenderedPageBreak/>
                <w:t>Education, Culture, Sports, Science and Technology</w:t>
              </w:r>
            </w:hyperlink>
            <w:r w:rsidRPr="00EF2495">
              <w:t xml:space="preserve"> </w:t>
            </w:r>
          </w:p>
          <w:p w14:paraId="191CA927" w14:textId="77777777" w:rsidR="00C80FA2" w:rsidRPr="00EF2495" w:rsidRDefault="00C80FA2" w:rsidP="00781268">
            <w:pPr>
              <w:pStyle w:val="TableText0"/>
            </w:pP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14:paraId="7B920E76" w14:textId="2C8C2670" w:rsidR="00C80FA2" w:rsidRPr="00EF2495" w:rsidRDefault="00AE25CF" w:rsidP="00781268">
            <w:pPr>
              <w:pStyle w:val="TableText0"/>
            </w:pPr>
            <w:r>
              <w:lastRenderedPageBreak/>
              <w:t>Not Available</w:t>
            </w:r>
          </w:p>
        </w:tc>
        <w:tc>
          <w:tcPr>
            <w:tcW w:w="1418" w:type="dxa"/>
            <w:tcBorders>
              <w:top w:val="none" w:sz="0" w:space="0" w:color="auto"/>
              <w:bottom w:val="none" w:sz="0" w:space="0" w:color="auto"/>
            </w:tcBorders>
          </w:tcPr>
          <w:p w14:paraId="2D41C825" w14:textId="4F8BE398" w:rsidR="00C80FA2" w:rsidRPr="00EF2495" w:rsidRDefault="00AE25CF" w:rsidP="00781268">
            <w:pPr>
              <w:pStyle w:val="TableText0"/>
              <w:cnfStyle w:val="000000100000" w:firstRow="0" w:lastRow="0" w:firstColumn="0" w:lastColumn="0" w:oddVBand="0" w:evenVBand="0" w:oddHBand="1" w:evenHBand="0" w:firstRowFirstColumn="0" w:firstRowLastColumn="0" w:lastRowFirstColumn="0" w:lastRowLastColumn="0"/>
            </w:pPr>
            <w:r>
              <w:t>Not Available</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14:paraId="4FA7EFE8" w14:textId="433A61A9" w:rsidR="00C80FA2" w:rsidRPr="00EF2495" w:rsidRDefault="00AE25CF" w:rsidP="00781268">
            <w:pPr>
              <w:pStyle w:val="TableText0"/>
            </w:pPr>
            <w:r>
              <w:t>Not Available</w:t>
            </w:r>
          </w:p>
        </w:tc>
        <w:tc>
          <w:tcPr>
            <w:tcW w:w="1701" w:type="dxa"/>
            <w:tcBorders>
              <w:top w:val="none" w:sz="0" w:space="0" w:color="auto"/>
              <w:bottom w:val="none" w:sz="0" w:space="0" w:color="auto"/>
            </w:tcBorders>
          </w:tcPr>
          <w:p w14:paraId="140D8FFC" w14:textId="77777777" w:rsidR="002746F7" w:rsidRDefault="00C80FA2" w:rsidP="006F123D">
            <w:pPr>
              <w:pStyle w:val="Tablebullet"/>
              <w:ind w:left="169" w:hanging="159"/>
              <w:cnfStyle w:val="000000100000" w:firstRow="0" w:lastRow="0" w:firstColumn="0" w:lastColumn="0" w:oddVBand="0" w:evenVBand="0" w:oddHBand="1" w:evenHBand="0" w:firstRowFirstColumn="0" w:firstRowLastColumn="0" w:lastRowFirstColumn="0" w:lastRowLastColumn="0"/>
            </w:pPr>
            <w:r w:rsidRPr="00EF2495">
              <w:t>Research,</w:t>
            </w:r>
          </w:p>
          <w:p w14:paraId="6ACDFCFD" w14:textId="1E5DEB03" w:rsidR="00320D80" w:rsidRDefault="00C80FA2" w:rsidP="006F123D">
            <w:pPr>
              <w:pStyle w:val="Tablebullet"/>
              <w:ind w:left="169" w:hanging="159"/>
              <w:cnfStyle w:val="000000100000" w:firstRow="0" w:lastRow="0" w:firstColumn="0" w:lastColumn="0" w:oddVBand="0" w:evenVBand="0" w:oddHBand="1" w:evenHBand="0" w:firstRowFirstColumn="0" w:firstRowLastColumn="0" w:lastRowFirstColumn="0" w:lastRowLastColumn="0"/>
            </w:pPr>
            <w:r w:rsidRPr="00EF2495">
              <w:lastRenderedPageBreak/>
              <w:t>Undergraduate</w:t>
            </w:r>
          </w:p>
          <w:p w14:paraId="1233FDA1" w14:textId="77777777" w:rsidR="00320D80" w:rsidRDefault="00C80FA2" w:rsidP="006F123D">
            <w:pPr>
              <w:pStyle w:val="Tablebullet"/>
              <w:ind w:left="169" w:hanging="159"/>
              <w:cnfStyle w:val="000000100000" w:firstRow="0" w:lastRow="0" w:firstColumn="0" w:lastColumn="0" w:oddVBand="0" w:evenVBand="0" w:oddHBand="1" w:evenHBand="0" w:firstRowFirstColumn="0" w:firstRowLastColumn="0" w:lastRowFirstColumn="0" w:lastRowLastColumn="0"/>
            </w:pPr>
            <w:r w:rsidRPr="00EF2495">
              <w:t>Specialized Training College</w:t>
            </w:r>
          </w:p>
          <w:p w14:paraId="2675F41D" w14:textId="77777777" w:rsidR="00320D80" w:rsidRDefault="00C80FA2" w:rsidP="006F123D">
            <w:pPr>
              <w:pStyle w:val="Tablebullet"/>
              <w:ind w:left="169" w:hanging="159"/>
              <w:cnfStyle w:val="000000100000" w:firstRow="0" w:lastRow="0" w:firstColumn="0" w:lastColumn="0" w:oddVBand="0" w:evenVBand="0" w:oddHBand="1" w:evenHBand="0" w:firstRowFirstColumn="0" w:firstRowLastColumn="0" w:lastRowFirstColumn="0" w:lastRowLastColumn="0"/>
            </w:pPr>
            <w:r w:rsidRPr="00EF2495">
              <w:t>College of Technology</w:t>
            </w:r>
          </w:p>
          <w:p w14:paraId="677AFD43" w14:textId="2961C2AB" w:rsidR="00C80FA2" w:rsidRPr="00EF2495" w:rsidRDefault="00C80FA2" w:rsidP="006F123D">
            <w:pPr>
              <w:pStyle w:val="Tablebullet"/>
              <w:ind w:left="169" w:hanging="159"/>
              <w:cnfStyle w:val="000000100000" w:firstRow="0" w:lastRow="0" w:firstColumn="0" w:lastColumn="0" w:oddVBand="0" w:evenVBand="0" w:oddHBand="1" w:evenHBand="0" w:firstRowFirstColumn="0" w:firstRowLastColumn="0" w:lastRowFirstColumn="0" w:lastRowLastColumn="0"/>
            </w:pPr>
            <w:r w:rsidRPr="00EF2495">
              <w:t>Teachers Training</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3C521184" w14:textId="77777777" w:rsidR="002746F7" w:rsidRDefault="00C80FA2" w:rsidP="006F123D">
            <w:pPr>
              <w:pStyle w:val="Tablebullet"/>
              <w:ind w:left="175" w:hanging="165"/>
            </w:pPr>
            <w:r w:rsidRPr="00EF2495">
              <w:lastRenderedPageBreak/>
              <w:t>full tuition</w:t>
            </w:r>
          </w:p>
          <w:p w14:paraId="290F3ED2" w14:textId="77777777" w:rsidR="002746F7" w:rsidRDefault="00C80FA2" w:rsidP="006F123D">
            <w:pPr>
              <w:pStyle w:val="Tablebullet"/>
              <w:ind w:left="175" w:hanging="165"/>
            </w:pPr>
            <w:r w:rsidRPr="00EF2495">
              <w:lastRenderedPageBreak/>
              <w:t>monthly allowance</w:t>
            </w:r>
          </w:p>
          <w:p w14:paraId="7452EE98" w14:textId="3B6EE9E1" w:rsidR="00C80FA2" w:rsidRPr="00EF2495" w:rsidRDefault="00C80FA2" w:rsidP="006F123D">
            <w:pPr>
              <w:pStyle w:val="Tablebullet"/>
              <w:ind w:left="175" w:hanging="165"/>
            </w:pPr>
            <w:r w:rsidRPr="00EF2495">
              <w:t>round-trip flight between Japan and Tonga.</w:t>
            </w:r>
          </w:p>
        </w:tc>
        <w:tc>
          <w:tcPr>
            <w:cnfStyle w:val="000100000000" w:firstRow="0" w:lastRow="0" w:firstColumn="0" w:lastColumn="1"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14:paraId="2C9835B4" w14:textId="756E8707" w:rsidR="00C80FA2" w:rsidRPr="00EF2495" w:rsidRDefault="00AE25CF" w:rsidP="00781268">
            <w:pPr>
              <w:pStyle w:val="TableText0"/>
            </w:pPr>
            <w:r>
              <w:lastRenderedPageBreak/>
              <w:t>Not Available</w:t>
            </w:r>
          </w:p>
        </w:tc>
      </w:tr>
      <w:tr w:rsidR="005165E5" w:rsidRPr="00EF2495" w14:paraId="4AF07BBE" w14:textId="77777777" w:rsidTr="0085783B">
        <w:trPr>
          <w:trHeight w:val="5156"/>
        </w:trPr>
        <w:tc>
          <w:tcPr>
            <w:cnfStyle w:val="001000000000" w:firstRow="0" w:lastRow="0" w:firstColumn="1" w:lastColumn="0" w:oddVBand="0" w:evenVBand="0" w:oddHBand="0" w:evenHBand="0" w:firstRowFirstColumn="0" w:firstRowLastColumn="0" w:lastRowFirstColumn="0" w:lastRowLastColumn="0"/>
            <w:tcW w:w="1129" w:type="dxa"/>
            <w:tcBorders>
              <w:right w:val="none" w:sz="0" w:space="0" w:color="auto"/>
            </w:tcBorders>
          </w:tcPr>
          <w:p w14:paraId="4FF4E7EF" w14:textId="77777777" w:rsidR="00C80FA2" w:rsidRPr="00EF2495" w:rsidRDefault="00C80FA2" w:rsidP="00781268">
            <w:pPr>
              <w:pStyle w:val="TableText0"/>
            </w:pPr>
            <w:hyperlink r:id="rId73" w:anchor=":~:text=The%202023%2F2024%20Chinese%20Government,Friday%2C%20February%2010%2C%202023." w:history="1">
              <w:r w:rsidRPr="00EF2495">
                <w:rPr>
                  <w:rStyle w:val="Hyperlink"/>
                </w:rPr>
                <w:t>China</w:t>
              </w:r>
            </w:hyperlink>
          </w:p>
          <w:p w14:paraId="017289D4" w14:textId="77777777" w:rsidR="00C80FA2" w:rsidRPr="00EF2495" w:rsidRDefault="00C80FA2" w:rsidP="00781268">
            <w:pPr>
              <w:pStyle w:val="TableText0"/>
            </w:pP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14:paraId="221E40DE" w14:textId="77777777" w:rsidR="00C80FA2" w:rsidRPr="00EF2495" w:rsidRDefault="00C80FA2" w:rsidP="00781268">
            <w:pPr>
              <w:pStyle w:val="TableText0"/>
            </w:pPr>
            <w:r w:rsidRPr="00EF2495">
              <w:t>At least 50 per year</w:t>
            </w:r>
            <w:r w:rsidRPr="00EF2495">
              <w:rPr>
                <w:lang w:val="en-US"/>
              </w:rPr>
              <w:t xml:space="preserve"> in different fields (by</w:t>
            </w:r>
            <w:r w:rsidRPr="00EF2495">
              <w:t xml:space="preserve"> China Scholarship Council). Other awards offered by individual institutions etc</w:t>
            </w:r>
          </w:p>
        </w:tc>
        <w:tc>
          <w:tcPr>
            <w:tcW w:w="1418" w:type="dxa"/>
          </w:tcPr>
          <w:p w14:paraId="7DAB36A0" w14:textId="77777777" w:rsidR="00C80FA2" w:rsidRPr="00EF2495" w:rsidRDefault="00C80FA2" w:rsidP="00781268">
            <w:pPr>
              <w:pStyle w:val="TableText0"/>
              <w:cnfStyle w:val="000000000000" w:firstRow="0" w:lastRow="0" w:firstColumn="0" w:lastColumn="0" w:oddVBand="0" w:evenVBand="0" w:oddHBand="0" w:evenHBand="0" w:firstRowFirstColumn="0" w:firstRowLastColumn="0" w:lastRowFirstColumn="0" w:lastRowLastColumn="0"/>
            </w:pPr>
            <w:r w:rsidRPr="00EF2495">
              <w:t>Awards are available at undergraduate to doctoral levels (with Chinese proficiency required for Chinese taught study programs.</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14:paraId="2C5B8363" w14:textId="0C2545E9" w:rsidR="00C80FA2" w:rsidRPr="00EF2495" w:rsidRDefault="00AE25CF" w:rsidP="00781268">
            <w:pPr>
              <w:pStyle w:val="TableText0"/>
            </w:pPr>
            <w:r>
              <w:t>Not Available</w:t>
            </w:r>
          </w:p>
        </w:tc>
        <w:tc>
          <w:tcPr>
            <w:tcW w:w="1701" w:type="dxa"/>
          </w:tcPr>
          <w:p w14:paraId="4DCC345F" w14:textId="77777777" w:rsidR="00C80FA2" w:rsidRPr="00EF2495" w:rsidRDefault="00C80FA2" w:rsidP="006F123D">
            <w:pPr>
              <w:pStyle w:val="Tablebullet"/>
              <w:ind w:left="169" w:hanging="159"/>
              <w:cnfStyle w:val="000000000000" w:firstRow="0" w:lastRow="0" w:firstColumn="0" w:lastColumn="0" w:oddVBand="0" w:evenVBand="0" w:oddHBand="0" w:evenHBand="0" w:firstRowFirstColumn="0" w:firstRowLastColumn="0" w:lastRowFirstColumn="0" w:lastRowLastColumn="0"/>
            </w:pPr>
            <w:r w:rsidRPr="00EF2495">
              <w:t>Main problem is accreditation of their courses if they are conducted in Chinese</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14:paraId="2E01FE53" w14:textId="4F4EBFD2" w:rsidR="00C80FA2" w:rsidRPr="00EF2495" w:rsidRDefault="00AE25CF" w:rsidP="006F123D">
            <w:pPr>
              <w:pStyle w:val="Tablebullet"/>
              <w:ind w:left="175" w:hanging="165"/>
            </w:pPr>
            <w:r>
              <w:t>Not Available</w:t>
            </w:r>
          </w:p>
        </w:tc>
        <w:tc>
          <w:tcPr>
            <w:cnfStyle w:val="000100000000" w:firstRow="0" w:lastRow="0" w:firstColumn="0" w:lastColumn="1" w:oddVBand="0" w:evenVBand="0" w:oddHBand="0" w:evenHBand="0" w:firstRowFirstColumn="0" w:firstRowLastColumn="0" w:lastRowFirstColumn="0" w:lastRowLastColumn="0"/>
            <w:tcW w:w="1559" w:type="dxa"/>
            <w:tcBorders>
              <w:left w:val="none" w:sz="0" w:space="0" w:color="auto"/>
            </w:tcBorders>
          </w:tcPr>
          <w:p w14:paraId="1D867984" w14:textId="77777777" w:rsidR="00C80FA2" w:rsidRPr="00EF2495" w:rsidRDefault="00C80FA2" w:rsidP="00781268">
            <w:pPr>
              <w:pStyle w:val="TableText0"/>
            </w:pPr>
            <w:r w:rsidRPr="00EF2495">
              <w:t xml:space="preserve">Number not at able to be validated as China scholarships are not directed through </w:t>
            </w:r>
            <w:proofErr w:type="spellStart"/>
            <w:r w:rsidRPr="00EF2495">
              <w:t>GoT</w:t>
            </w:r>
            <w:proofErr w:type="spellEnd"/>
            <w:r w:rsidRPr="00EF2495">
              <w:t xml:space="preserve"> channels.  Ad hoc scholarships provided as requested (e.g. from visiting Chinese universities)</w:t>
            </w:r>
          </w:p>
        </w:tc>
      </w:tr>
      <w:tr w:rsidR="005165E5" w:rsidRPr="00EF2495" w14:paraId="3527D514" w14:textId="77777777" w:rsidTr="00857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right w:val="none" w:sz="0" w:space="0" w:color="auto"/>
            </w:tcBorders>
          </w:tcPr>
          <w:p w14:paraId="06C80A1C" w14:textId="77777777" w:rsidR="00C80FA2" w:rsidRPr="00EF2495" w:rsidRDefault="00C80FA2" w:rsidP="00781268">
            <w:pPr>
              <w:pStyle w:val="TableText0"/>
            </w:pPr>
            <w:r w:rsidRPr="00EF2495">
              <w:t>Chevening (UK)</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14:paraId="43387EBB" w14:textId="4CED17A4" w:rsidR="00C80FA2" w:rsidRPr="00EF2495" w:rsidRDefault="00AE25CF" w:rsidP="00781268">
            <w:pPr>
              <w:pStyle w:val="TableText0"/>
            </w:pPr>
            <w:r>
              <w:t>Not Available</w:t>
            </w:r>
          </w:p>
        </w:tc>
        <w:tc>
          <w:tcPr>
            <w:tcW w:w="1418" w:type="dxa"/>
            <w:tcBorders>
              <w:top w:val="none" w:sz="0" w:space="0" w:color="auto"/>
              <w:bottom w:val="none" w:sz="0" w:space="0" w:color="auto"/>
            </w:tcBorders>
          </w:tcPr>
          <w:p w14:paraId="6962AC5D" w14:textId="1DA54957" w:rsidR="00C80FA2" w:rsidRPr="00EF2495" w:rsidRDefault="00AE25CF" w:rsidP="00781268">
            <w:pPr>
              <w:pStyle w:val="TableText0"/>
              <w:cnfStyle w:val="000000100000" w:firstRow="0" w:lastRow="0" w:firstColumn="0" w:lastColumn="0" w:oddVBand="0" w:evenVBand="0" w:oddHBand="1" w:evenHBand="0" w:firstRowFirstColumn="0" w:firstRowLastColumn="0" w:lastRowFirstColumn="0" w:lastRowLastColumn="0"/>
            </w:pPr>
            <w:r>
              <w:t>Not Available</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14:paraId="097B6339" w14:textId="0F3A1CFA" w:rsidR="00C80FA2" w:rsidRPr="00EF2495" w:rsidRDefault="00AE25CF" w:rsidP="00781268">
            <w:pPr>
              <w:pStyle w:val="TableText0"/>
            </w:pPr>
            <w:r>
              <w:t>Not Available</w:t>
            </w:r>
          </w:p>
        </w:tc>
        <w:tc>
          <w:tcPr>
            <w:tcW w:w="1701" w:type="dxa"/>
            <w:tcBorders>
              <w:top w:val="none" w:sz="0" w:space="0" w:color="auto"/>
              <w:bottom w:val="none" w:sz="0" w:space="0" w:color="auto"/>
            </w:tcBorders>
          </w:tcPr>
          <w:p w14:paraId="3154713A" w14:textId="77777777" w:rsidR="002746F7" w:rsidRDefault="00C80FA2" w:rsidP="006F123D">
            <w:pPr>
              <w:pStyle w:val="Tablebullet"/>
              <w:ind w:left="169" w:hanging="159"/>
              <w:cnfStyle w:val="000000100000" w:firstRow="0" w:lastRow="0" w:firstColumn="0" w:lastColumn="0" w:oddVBand="0" w:evenVBand="0" w:oddHBand="1" w:evenHBand="0" w:firstRowFirstColumn="0" w:firstRowLastColumn="0" w:lastRowFirstColumn="0" w:lastRowLastColumn="0"/>
            </w:pPr>
            <w:r w:rsidRPr="00EF2495">
              <w:t xml:space="preserve">Chevening scholarships managed through Fiji. </w:t>
            </w:r>
          </w:p>
          <w:p w14:paraId="4E10C090" w14:textId="77777777" w:rsidR="002746F7" w:rsidRDefault="00C80FA2" w:rsidP="006F123D">
            <w:pPr>
              <w:pStyle w:val="Tablebullet"/>
              <w:ind w:left="169" w:hanging="159"/>
              <w:cnfStyle w:val="000000100000" w:firstRow="0" w:lastRow="0" w:firstColumn="0" w:lastColumn="0" w:oddVBand="0" w:evenVBand="0" w:oddHBand="1" w:evenHBand="0" w:firstRowFirstColumn="0" w:firstRowLastColumn="0" w:lastRowFirstColumn="0" w:lastRowLastColumn="0"/>
            </w:pPr>
            <w:r w:rsidRPr="00EF2495">
              <w:t>4 in 2023 and 3 in 2024 doing a post graduate degree in law.</w:t>
            </w:r>
          </w:p>
          <w:p w14:paraId="5D9A49B6" w14:textId="0552A1AB" w:rsidR="00C80FA2" w:rsidRPr="00EF2495" w:rsidRDefault="00C80FA2" w:rsidP="006F123D">
            <w:pPr>
              <w:pStyle w:val="Tablebullet"/>
              <w:ind w:left="169" w:hanging="159"/>
              <w:cnfStyle w:val="000000100000" w:firstRow="0" w:lastRow="0" w:firstColumn="0" w:lastColumn="0" w:oddVBand="0" w:evenVBand="0" w:oddHBand="1" w:evenHBand="0" w:firstRowFirstColumn="0" w:firstRowLastColumn="0" w:lastRowFirstColumn="0" w:lastRowLastColumn="0"/>
            </w:pPr>
            <w:r w:rsidRPr="00EF2495">
              <w:t xml:space="preserve">Many lawyers go into private practice. </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030ABA51" w14:textId="7187415B" w:rsidR="00C80FA2" w:rsidRPr="00EF2495" w:rsidRDefault="00AE25CF" w:rsidP="006F123D">
            <w:pPr>
              <w:pStyle w:val="Tablebullet"/>
              <w:ind w:left="175" w:hanging="165"/>
            </w:pPr>
            <w:r>
              <w:t>Not Available</w:t>
            </w:r>
          </w:p>
        </w:tc>
        <w:tc>
          <w:tcPr>
            <w:cnfStyle w:val="000100000000" w:firstRow="0" w:lastRow="0" w:firstColumn="0" w:lastColumn="1"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14:paraId="4D9A57D1" w14:textId="7B3639C5" w:rsidR="00C80FA2" w:rsidRPr="00EF2495" w:rsidRDefault="00AE25CF" w:rsidP="00781268">
            <w:pPr>
              <w:pStyle w:val="TableText0"/>
            </w:pPr>
            <w:r>
              <w:t>Not Available</w:t>
            </w:r>
          </w:p>
        </w:tc>
      </w:tr>
      <w:tr w:rsidR="005165E5" w:rsidRPr="00EF2495" w14:paraId="7303F877" w14:textId="77777777" w:rsidTr="0085783B">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129" w:type="dxa"/>
            <w:tcBorders>
              <w:top w:val="none" w:sz="0" w:space="0" w:color="auto"/>
              <w:right w:val="none" w:sz="0" w:space="0" w:color="auto"/>
            </w:tcBorders>
          </w:tcPr>
          <w:p w14:paraId="54263D2D" w14:textId="77777777" w:rsidR="00C80FA2" w:rsidRPr="00EF2495" w:rsidRDefault="00C80FA2" w:rsidP="00781268">
            <w:pPr>
              <w:pStyle w:val="TableText0"/>
            </w:pPr>
            <w:r w:rsidRPr="00EF2495">
              <w:t>Fulbright</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right w:val="none" w:sz="0" w:space="0" w:color="auto"/>
            </w:tcBorders>
          </w:tcPr>
          <w:p w14:paraId="5A05CA2D" w14:textId="2725A570" w:rsidR="00C80FA2" w:rsidRPr="00EF2495" w:rsidRDefault="00C326DA" w:rsidP="00781268">
            <w:pPr>
              <w:pStyle w:val="TableText0"/>
            </w:pPr>
            <w:r>
              <w:t>Not Available</w:t>
            </w:r>
          </w:p>
        </w:tc>
        <w:tc>
          <w:tcPr>
            <w:tcW w:w="1418" w:type="dxa"/>
            <w:tcBorders>
              <w:top w:val="none" w:sz="0" w:space="0" w:color="auto"/>
            </w:tcBorders>
          </w:tcPr>
          <w:p w14:paraId="2B2A1098" w14:textId="447406E2" w:rsidR="00C80FA2" w:rsidRPr="00EF2495" w:rsidRDefault="00C326DA" w:rsidP="00781268">
            <w:pPr>
              <w:pStyle w:val="TableText0"/>
              <w:cnfStyle w:val="010000000000" w:firstRow="0" w:lastRow="1" w:firstColumn="0" w:lastColumn="0" w:oddVBand="0" w:evenVBand="0" w:oddHBand="0" w:evenHBand="0" w:firstRowFirstColumn="0" w:firstRowLastColumn="0" w:lastRowFirstColumn="0" w:lastRowLastColumn="0"/>
            </w:pPr>
            <w:r>
              <w:t>Not Available</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right w:val="none" w:sz="0" w:space="0" w:color="auto"/>
            </w:tcBorders>
          </w:tcPr>
          <w:p w14:paraId="07CB4E72" w14:textId="4D1A7C42" w:rsidR="00C80FA2" w:rsidRPr="00EF2495" w:rsidRDefault="00C326DA" w:rsidP="00781268">
            <w:pPr>
              <w:pStyle w:val="TableText0"/>
            </w:pPr>
            <w:r>
              <w:t>Not Available</w:t>
            </w:r>
          </w:p>
        </w:tc>
        <w:tc>
          <w:tcPr>
            <w:tcW w:w="1701" w:type="dxa"/>
            <w:tcBorders>
              <w:top w:val="none" w:sz="0" w:space="0" w:color="auto"/>
            </w:tcBorders>
          </w:tcPr>
          <w:p w14:paraId="1D8D19DF" w14:textId="7365036A" w:rsidR="00C80FA2" w:rsidRPr="00EF2495" w:rsidRDefault="00C326DA" w:rsidP="006F123D">
            <w:pPr>
              <w:pStyle w:val="Tablebullet"/>
              <w:ind w:left="169" w:hanging="159"/>
              <w:cnfStyle w:val="010000000000" w:firstRow="0" w:lastRow="1" w:firstColumn="0" w:lastColumn="0" w:oddVBand="0" w:evenVBand="0" w:oddHBand="0" w:evenHBand="0" w:firstRowFirstColumn="0" w:firstRowLastColumn="0" w:lastRowFirstColumn="0" w:lastRowLastColumn="0"/>
            </w:pPr>
            <w:r>
              <w:t>Not Available</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right w:val="none" w:sz="0" w:space="0" w:color="auto"/>
            </w:tcBorders>
          </w:tcPr>
          <w:p w14:paraId="49264B2A" w14:textId="479C64AC" w:rsidR="00C80FA2" w:rsidRPr="00EF2495" w:rsidRDefault="00C326DA" w:rsidP="006F123D">
            <w:pPr>
              <w:pStyle w:val="Tablebullet"/>
              <w:ind w:left="175" w:hanging="165"/>
            </w:pPr>
            <w:r>
              <w:t>Not Available</w:t>
            </w:r>
          </w:p>
        </w:tc>
        <w:tc>
          <w:tcPr>
            <w:cnfStyle w:val="000100000010" w:firstRow="0" w:lastRow="0" w:firstColumn="0" w:lastColumn="1" w:oddVBand="0" w:evenVBand="0" w:oddHBand="0" w:evenHBand="0" w:firstRowFirstColumn="0" w:firstRowLastColumn="0" w:lastRowFirstColumn="0" w:lastRowLastColumn="1"/>
            <w:tcW w:w="1559" w:type="dxa"/>
            <w:tcBorders>
              <w:top w:val="none" w:sz="0" w:space="0" w:color="auto"/>
              <w:left w:val="none" w:sz="0" w:space="0" w:color="auto"/>
            </w:tcBorders>
          </w:tcPr>
          <w:p w14:paraId="5D1E6B37" w14:textId="435C05E9" w:rsidR="00C80FA2" w:rsidRPr="00EF2495" w:rsidRDefault="00C326DA" w:rsidP="00781268">
            <w:pPr>
              <w:pStyle w:val="TableText0"/>
            </w:pPr>
            <w:r>
              <w:t>Not Available</w:t>
            </w:r>
          </w:p>
        </w:tc>
      </w:tr>
    </w:tbl>
    <w:p w14:paraId="2F8293EE" w14:textId="6948F6D9" w:rsidR="005A540E" w:rsidRPr="00EF2495" w:rsidRDefault="00617E8C" w:rsidP="00EF2495">
      <w:r w:rsidRPr="00EF2495">
        <w:br/>
      </w:r>
      <w:r w:rsidR="00C80FA2" w:rsidRPr="00EF2495">
        <w:t xml:space="preserve">Regional organisations also provide tertiary education opportunities to Tonga. For example, </w:t>
      </w:r>
      <w:r w:rsidR="00C80FA2" w:rsidRPr="00EF2495">
        <w:lastRenderedPageBreak/>
        <w:t>the Pacific Community funds a range of training in health-related courses for Tonga and the region.</w:t>
      </w:r>
    </w:p>
    <w:p w14:paraId="3DBA023D" w14:textId="7542158D" w:rsidR="00C80FA2" w:rsidRPr="00EF2495" w:rsidRDefault="005E1364" w:rsidP="00303B45">
      <w:pPr>
        <w:pStyle w:val="Heading2"/>
      </w:pPr>
      <w:bookmarkStart w:id="68" w:name="_Toc185321230"/>
      <w:r w:rsidRPr="00EF2495">
        <w:t>3</w:t>
      </w:r>
      <w:r w:rsidR="00303B45" w:rsidRPr="00EF2495">
        <w:t>.</w:t>
      </w:r>
      <w:r w:rsidR="00303B45" w:rsidRPr="00EF2495">
        <w:tab/>
        <w:t xml:space="preserve">Inclusion in </w:t>
      </w:r>
      <w:r w:rsidR="002D6AAA">
        <w:t>T</w:t>
      </w:r>
      <w:r w:rsidR="00303B45" w:rsidRPr="00EF2495">
        <w:t>onga</w:t>
      </w:r>
      <w:bookmarkEnd w:id="68"/>
    </w:p>
    <w:p w14:paraId="23F4B022" w14:textId="77777777" w:rsidR="00C80FA2" w:rsidRPr="00EF2495" w:rsidRDefault="00C80FA2" w:rsidP="00EF2495">
      <w:r w:rsidRPr="00EF2495">
        <w:t>Tonga, an archipelago in the South Pacific Ocean, is composed of approximately 170 islands, of which only about 40 are inhabited. This geographical dispersion creates challenges for the equitable distribution of services across the islands, often leading to compromises in the availability and quality of certain services, particularly for those in remote or outer islands.</w:t>
      </w:r>
    </w:p>
    <w:p w14:paraId="7D15D73F" w14:textId="77777777" w:rsidR="00C80FA2" w:rsidRPr="00EF2495" w:rsidRDefault="00C80FA2" w:rsidP="00EF2495">
      <w:r w:rsidRPr="00EF2495">
        <w:t>Tonga is a constitutional monarchy, with its governance and social structure deeply influenced by culture, customs, and Christian beliefs. These cultural values and religious tenets play a significant role in shaping everyday life and dictate how societal roles and responsibilities are distributed. Gender norms and expectations, rooted in traditional and religious frameworks, are prominent, with specific roles typically ascribed to men and women. This has a direct influence on what certain genders are socially permitted or encouraged to do, reinforcing gender roles that can limit opportunities for women and marginalised groups.</w:t>
      </w:r>
    </w:p>
    <w:p w14:paraId="49EF965B" w14:textId="77777777" w:rsidR="00C80FA2" w:rsidRPr="00EF2495" w:rsidRDefault="00C80FA2" w:rsidP="00EF2495">
      <w:r w:rsidRPr="00EF2495">
        <w:t>Tongan society is highly hierarchical, and social hierarchies and cultural norms create barriers for vulnerable groups such as the disabled, making it difficult for them to access resources, opportunities, and social mobility. These structural inequalities are further exacerbated by the lack of a systematic approach or dedicated resources for the inclusion of marginalised populations. The stigmatisation and negative attitudes toward marginalised groups, such as people with disabilities or individuals from lower socio-economic backgrounds, remain entrenched in society. There are persistent social and behavioural attitudes that uphold discrimination, limiting the participation of these groups in public life and access to basic services, including education and healthcare.</w:t>
      </w:r>
    </w:p>
    <w:p w14:paraId="0767EE50" w14:textId="77777777" w:rsidR="00C80FA2" w:rsidRPr="00EF2495" w:rsidRDefault="00C80FA2" w:rsidP="00EF2495">
      <w:r w:rsidRPr="00EF2495">
        <w:rPr>
          <w:lang w:val="en-US"/>
        </w:rPr>
        <w:t>The TSDF states that a skilled and educated population is essential for maintaining infrastructure, building dynamic businesses, negotiating on the global stage, and improving public services. Achieving gender balance is also vital, allowing both women and men to advance together. Any gaps in these areas can hinder personal development, limit equality, and slow overall progress for the nation.</w:t>
      </w:r>
    </w:p>
    <w:p w14:paraId="392E30F4" w14:textId="77777777" w:rsidR="00C80FA2" w:rsidRPr="00EF2495" w:rsidRDefault="00C80FA2" w:rsidP="00EF2495">
      <w:r w:rsidRPr="00EF2495">
        <w:t>Tonga scored 0.739 in HDI in 2018. Life expectancy at birth for Tongans is 71 years in 2019 and gender inequality index of 0.4 in 2019 (UNTAD 2021) and records a 99% literacy rate in 2021 (Tonga Statistics)</w:t>
      </w:r>
    </w:p>
    <w:p w14:paraId="3C18DBD4" w14:textId="77777777" w:rsidR="00C80FA2" w:rsidRPr="00EF2495" w:rsidRDefault="00C80FA2" w:rsidP="00EF2495">
      <w:pPr>
        <w:rPr>
          <w:lang w:val="en-US"/>
        </w:rPr>
      </w:pPr>
      <w:r w:rsidRPr="00EF2495">
        <w:rPr>
          <w:lang w:val="en-US"/>
        </w:rPr>
        <w:t xml:space="preserve">Gender. As of the 2021 </w:t>
      </w:r>
      <w:hyperlink r:id="rId74" w:history="1">
        <w:r w:rsidRPr="00EF2495">
          <w:rPr>
            <w:rStyle w:val="Hyperlink"/>
            <w:lang w:val="en-US"/>
          </w:rPr>
          <w:t>Tonga Census</w:t>
        </w:r>
      </w:hyperlink>
      <w:r w:rsidRPr="00EF2495">
        <w:rPr>
          <w:lang w:val="en-US"/>
        </w:rPr>
        <w:t>, 22.5% of those aged 20-49 hold a tertiary/university qualification. There are however significant gender differences with 13.6 women completing university compared to 10 men and 8. However, women remain underrepresented in traditionally male-dominated fields like maritime and technical sciences. This gender disparity is influenced by societal norms regarding career choices and perceived capabilities, with 8.4 females completing TVET compared to 10 men.</w:t>
      </w:r>
    </w:p>
    <w:p w14:paraId="085D587C" w14:textId="77777777" w:rsidR="00C80FA2" w:rsidRPr="00EF2495" w:rsidRDefault="00C80FA2" w:rsidP="00EF2495">
      <w:r w:rsidRPr="00EF2495">
        <w:rPr>
          <w:lang w:val="en-US"/>
        </w:rPr>
        <w:t xml:space="preserve">According to the 2018 </w:t>
      </w:r>
      <w:proofErr w:type="spellStart"/>
      <w:r w:rsidRPr="00EF2495">
        <w:rPr>
          <w:lang w:val="en-US"/>
        </w:rPr>
        <w:t>Labour</w:t>
      </w:r>
      <w:proofErr w:type="spellEnd"/>
      <w:r w:rsidRPr="00EF2495">
        <w:rPr>
          <w:lang w:val="en-US"/>
        </w:rPr>
        <w:t xml:space="preserve"> Force Survey, informal employment was widespread in Tonga. The agriculture, forestry, and fishery sector had the highest rates of informal employment, with 98% of women and 96% of men working informally. Notably, 39% of women and 53% of men worked in informal jobs within the formal sector. </w:t>
      </w:r>
      <w:r w:rsidRPr="00EF2495">
        <w:rPr>
          <w:lang w:eastAsia="en-AU"/>
        </w:rPr>
        <w:t xml:space="preserve">Female share of employment in </w:t>
      </w:r>
      <w:hyperlink r:id="rId75">
        <w:r w:rsidRPr="00EF2495">
          <w:rPr>
            <w:rStyle w:val="Hyperlink"/>
            <w:lang w:eastAsia="en-AU"/>
          </w:rPr>
          <w:t>senior and middle management</w:t>
        </w:r>
      </w:hyperlink>
      <w:r w:rsidRPr="00EF2495">
        <w:t xml:space="preserve"> in government accounts for </w:t>
      </w:r>
      <w:r w:rsidRPr="00EF2495">
        <w:rPr>
          <w:lang w:eastAsia="en-AU"/>
        </w:rPr>
        <w:t>32% in 2021.</w:t>
      </w:r>
    </w:p>
    <w:p w14:paraId="00183BA8" w14:textId="77777777" w:rsidR="00C80FA2" w:rsidRPr="00EF2495" w:rsidRDefault="00C80FA2" w:rsidP="00EF2495">
      <w:r w:rsidRPr="00EF2495">
        <w:lastRenderedPageBreak/>
        <w:t>Disability. The 2018 Disability Survey revealed that 11.4% of individuals over the age of 18 in Tonga experience disability, affecting a total of 7,649 people (52% women)</w:t>
      </w:r>
      <w:r w:rsidRPr="00EF2495">
        <w:footnoteReference w:id="7"/>
      </w:r>
      <w:r w:rsidRPr="00EF2495">
        <w:t xml:space="preserve">. </w:t>
      </w:r>
      <w:r w:rsidRPr="00EF2495">
        <w:rPr>
          <w:lang w:val="en-US"/>
        </w:rPr>
        <w:t xml:space="preserve">Children with </w:t>
      </w:r>
      <w:proofErr w:type="gramStart"/>
      <w:r w:rsidRPr="00EF2495">
        <w:rPr>
          <w:lang w:val="en-US"/>
        </w:rPr>
        <w:t>disability</w:t>
      </w:r>
      <w:proofErr w:type="gramEnd"/>
      <w:r w:rsidRPr="00EF2495">
        <w:rPr>
          <w:lang w:val="en-US"/>
        </w:rPr>
        <w:t xml:space="preserve"> face considerable barriers to attending and staying in school, with lower participation rates overall. Unfortunately, there are limited facilities available for children with </w:t>
      </w:r>
      <w:proofErr w:type="gramStart"/>
      <w:r w:rsidRPr="00EF2495">
        <w:rPr>
          <w:lang w:val="en-US"/>
        </w:rPr>
        <w:t>disability</w:t>
      </w:r>
      <w:proofErr w:type="gramEnd"/>
      <w:r w:rsidRPr="00EF2495">
        <w:rPr>
          <w:lang w:val="en-US"/>
        </w:rPr>
        <w:t xml:space="preserve">, with none located on the outer islands. The 2018 survey reported that 61% of children with </w:t>
      </w:r>
      <w:proofErr w:type="gramStart"/>
      <w:r w:rsidRPr="00EF2495">
        <w:rPr>
          <w:lang w:val="en-US"/>
        </w:rPr>
        <w:t>disability</w:t>
      </w:r>
      <w:proofErr w:type="gramEnd"/>
      <w:r w:rsidRPr="00EF2495">
        <w:rPr>
          <w:lang w:val="en-US"/>
        </w:rPr>
        <w:t xml:space="preserve"> dropped out of school, and 8% never attended. Among those who never attended school, 78.6% of individuals with disabilities reported that illness or disability was the reason. Additionally, people with disabilities were more likely to show less interest in school or were needed to help with household activities (0.7%). For those who dropped out of school, 23.7% of people with disabilities did so to assist with household tasks. Further disparities reveal that people with disabilities are more likely to leave school due to illness, accessibility issues (such as distance to school), disliking the school environment, bullying, and corporal punishment, highlighting the complex challenges they face in accessing education.</w:t>
      </w:r>
      <w:r w:rsidRPr="00EF2495">
        <w:t xml:space="preserve"> </w:t>
      </w:r>
      <w:r w:rsidRPr="00EF2495">
        <w:rPr>
          <w:lang w:val="en-US"/>
        </w:rPr>
        <w:t>Limited access to mainstream education for children with disabilities contributes to lower literacy and numeracy skills among adults, which affects their confidence and ability to make day-to-day decisions.</w:t>
      </w:r>
    </w:p>
    <w:p w14:paraId="3CB54EC2" w14:textId="77777777" w:rsidR="00C80FA2" w:rsidRPr="00EF2495" w:rsidRDefault="00C80FA2" w:rsidP="00EF2495">
      <w:r w:rsidRPr="00EF2495">
        <w:t>The Disability Survey found 63% of persons with disability were not in the labour force; 35.3% of persons with disabilities were involved in skilled agriculture, livestock, forestry and fisheries occupations, notably men. Women with disability who work are most likely to be working in craft and related trades occupations. There were 12.8% of persons without disability in professional occupations compared to 10.4% with disability, whereas in the clerical support workers category, 5.3% were those without disability compared to 2.3% with disability.</w:t>
      </w:r>
    </w:p>
    <w:p w14:paraId="129B4132" w14:textId="77777777" w:rsidR="00C80FA2" w:rsidRPr="00EF2495" w:rsidRDefault="00C80FA2" w:rsidP="00EF2495">
      <w:r w:rsidRPr="00EF2495">
        <w:t xml:space="preserve">Outer island inclusion. Most of the population, of 100,179 people (in 2021), reside on the main island of </w:t>
      </w:r>
      <w:proofErr w:type="spellStart"/>
      <w:r w:rsidRPr="00EF2495">
        <w:t>Tongatapu</w:t>
      </w:r>
      <w:proofErr w:type="spellEnd"/>
      <w:r w:rsidRPr="00EF2495">
        <w:t xml:space="preserve">. </w:t>
      </w:r>
      <w:r w:rsidRPr="00EF2495">
        <w:rPr>
          <w:lang w:val="en-US"/>
        </w:rPr>
        <w:t>For every 10 people, 2.1 live in towns. Urban areas show higher educational attainment compared to rural areas</w:t>
      </w:r>
      <w:r w:rsidRPr="00EF2495">
        <w:t xml:space="preserve"> There has been a steady net migration from Tonga’s outer island groups to </w:t>
      </w:r>
      <w:proofErr w:type="spellStart"/>
      <w:r w:rsidRPr="00EF2495">
        <w:t>Tongatapu</w:t>
      </w:r>
      <w:proofErr w:type="spellEnd"/>
      <w:r w:rsidRPr="00EF2495">
        <w:t xml:space="preserve">, with the population on ‘Eua, </w:t>
      </w:r>
      <w:proofErr w:type="spellStart"/>
      <w:r w:rsidRPr="00EF2495">
        <w:t>Ha’apai</w:t>
      </w:r>
      <w:proofErr w:type="spellEnd"/>
      <w:r w:rsidRPr="00EF2495">
        <w:t xml:space="preserve"> and </w:t>
      </w:r>
      <w:proofErr w:type="spellStart"/>
      <w:r w:rsidRPr="00EF2495">
        <w:t>Ongo</w:t>
      </w:r>
      <w:proofErr w:type="spellEnd"/>
      <w:r w:rsidRPr="00EF2495">
        <w:t xml:space="preserve"> </w:t>
      </w:r>
      <w:proofErr w:type="spellStart"/>
      <w:r w:rsidRPr="00EF2495">
        <w:t>Niua</w:t>
      </w:r>
      <w:proofErr w:type="spellEnd"/>
      <w:r w:rsidRPr="00EF2495">
        <w:t xml:space="preserve"> saw decreases but population in </w:t>
      </w:r>
      <w:proofErr w:type="spellStart"/>
      <w:r w:rsidRPr="00EF2495">
        <w:t>Vava’u</w:t>
      </w:r>
      <w:proofErr w:type="spellEnd"/>
      <w:r w:rsidRPr="00EF2495">
        <w:t xml:space="preserve"> had increased by 1.8% from the census in 2016. The TSDF II claims that this movement is driven by the reality of limited education and employment opportunities in small communities. </w:t>
      </w:r>
    </w:p>
    <w:p w14:paraId="6920DEAC" w14:textId="77777777" w:rsidR="00C80FA2" w:rsidRPr="00EF2495" w:rsidRDefault="00C80FA2" w:rsidP="00EF2495">
      <w:r w:rsidRPr="00EF2495">
        <w:t>According to the latest HIES 2021, the poverty data reflects the relative poverty decrease from 3.1 percent (2006) to 0.1 percent (2021).</w:t>
      </w:r>
    </w:p>
    <w:p w14:paraId="2D0B5F93" w14:textId="430FD576" w:rsidR="00C80FA2" w:rsidRPr="00EF2495" w:rsidRDefault="005E1364" w:rsidP="00E22A40">
      <w:pPr>
        <w:pStyle w:val="Heading2"/>
      </w:pPr>
      <w:bookmarkStart w:id="69" w:name="_Toc185321231"/>
      <w:r w:rsidRPr="00EF2495">
        <w:t>4</w:t>
      </w:r>
      <w:r w:rsidR="00303B45" w:rsidRPr="00EF2495">
        <w:t>.</w:t>
      </w:r>
      <w:r w:rsidR="00303B45" w:rsidRPr="00EF2495">
        <w:tab/>
        <w:t>Economic context</w:t>
      </w:r>
      <w:bookmarkEnd w:id="69"/>
    </w:p>
    <w:p w14:paraId="285E643E" w14:textId="1E79B703" w:rsidR="00C80FA2" w:rsidRPr="00EF2495" w:rsidRDefault="005E1364" w:rsidP="00E22A40">
      <w:pPr>
        <w:pStyle w:val="Heading3"/>
      </w:pPr>
      <w:bookmarkStart w:id="70" w:name="_Toc185321232"/>
      <w:r w:rsidRPr="00EF2495">
        <w:t>4</w:t>
      </w:r>
      <w:r w:rsidR="00EF7968" w:rsidRPr="00EF2495">
        <w:t>.1</w:t>
      </w:r>
      <w:r w:rsidR="00EF7968" w:rsidRPr="00EF2495">
        <w:tab/>
      </w:r>
      <w:r w:rsidR="00C80FA2" w:rsidRPr="00EF2495">
        <w:t>Tonga’s economy</w:t>
      </w:r>
      <w:bookmarkEnd w:id="70"/>
    </w:p>
    <w:p w14:paraId="48387032" w14:textId="77777777" w:rsidR="00C80FA2" w:rsidRPr="00EF2495" w:rsidRDefault="00C80FA2" w:rsidP="00EF2495">
      <w:r w:rsidRPr="00EF2495">
        <w:t>Tonga lies on the Pacific Ring of Fire, an area of dynamic geological activity. It is ranked the second most vulnerable country in the world to natural hazards (after Vanuatu).  Most Pacific Island nations face significant development challenges due to their relative isolation and lack of economies of scale, and Tonga is no exception</w:t>
      </w:r>
      <w:r w:rsidRPr="00EF2495">
        <w:footnoteReference w:id="8"/>
      </w:r>
      <w:r w:rsidRPr="00EF2495">
        <w:t xml:space="preserve">. </w:t>
      </w:r>
    </w:p>
    <w:p w14:paraId="3835078E" w14:textId="77777777" w:rsidR="00C80FA2" w:rsidRPr="00EF2495" w:rsidRDefault="00C80FA2" w:rsidP="00EF2495">
      <w:r w:rsidRPr="00EF2495">
        <w:t xml:space="preserve">Natural disasters pose a significant threat to Tonga, affecting more than 40% of the population in a typical disaster year, resulting in economic losses equivalent to 14% of gross domestic product (GDP). Climate change is expected to exacerbate these challenges </w:t>
      </w:r>
      <w:proofErr w:type="gramStart"/>
      <w:r w:rsidRPr="00EF2495">
        <w:t>In</w:t>
      </w:r>
      <w:proofErr w:type="gramEnd"/>
      <w:r w:rsidRPr="00EF2495">
        <w:t xml:space="preserve"> </w:t>
      </w:r>
      <w:r w:rsidRPr="00EF2495">
        <w:lastRenderedPageBreak/>
        <w:t xml:space="preserve">recent years the economy was severely impacted by the dual shocks of the January 2022 Hunga Tonga–Hunga </w:t>
      </w:r>
      <w:proofErr w:type="spellStart"/>
      <w:proofErr w:type="gramStart"/>
      <w:r w:rsidRPr="00EF2495">
        <w:t>Ha‘</w:t>
      </w:r>
      <w:proofErr w:type="gramEnd"/>
      <w:r w:rsidRPr="00EF2495">
        <w:t>apai</w:t>
      </w:r>
      <w:proofErr w:type="spellEnd"/>
      <w:r w:rsidRPr="00EF2495">
        <w:t xml:space="preserve"> volcanic eruption and tsunami and the COVID-19 pandemic. The Government provided various assistance during a challenging period, transitioning from survival to recovery and now focusing on increasing investment to enhance growth. Increasing investment is crucial for achieving sustainable development and macroeconomic stability.</w:t>
      </w:r>
    </w:p>
    <w:p w14:paraId="656FA0CF" w14:textId="77777777" w:rsidR="00C80FA2" w:rsidRPr="00EF2495" w:rsidRDefault="00C80FA2" w:rsidP="00EF2495">
      <w:r w:rsidRPr="00EF2495">
        <w:t xml:space="preserve">Tonga experienced negative growth at -2.44 per cent in 2022, when GDP per capita was US$4,548. However, the economy rebounded in 2023, growing by 2.8% after 2 years of contraction (ADB 2024). This was largely because of the resumption of tourism and public investment projects (ADB 2024). Visitor arrivals remain at less than 70% of pre-pandemic levels and are not expected to grow in the short term, because of limited flight connections and low accommodation supply (ADB 2024).  The </w:t>
      </w:r>
      <w:hyperlink r:id="rId76" w:history="1">
        <w:proofErr w:type="spellStart"/>
        <w:r w:rsidRPr="00EF2495">
          <w:rPr>
            <w:rStyle w:val="Hyperlink"/>
          </w:rPr>
          <w:t>GoT</w:t>
        </w:r>
        <w:proofErr w:type="spellEnd"/>
        <w:r w:rsidRPr="00EF2495">
          <w:rPr>
            <w:rStyle w:val="Hyperlink"/>
          </w:rPr>
          <w:t xml:space="preserve"> Budget statement for 2024-205</w:t>
        </w:r>
      </w:hyperlink>
      <w:r w:rsidRPr="00EF2495">
        <w:t xml:space="preserve"> states that the economy is projected to maintain an average growth rate of 2.8% over the medium term, from FY24/25 to F26/27.</w:t>
      </w:r>
    </w:p>
    <w:p w14:paraId="06791752" w14:textId="77777777" w:rsidR="00C80FA2" w:rsidRPr="00EF2495" w:rsidRDefault="00C80FA2" w:rsidP="00EF2495">
      <w:r w:rsidRPr="00EF2495">
        <w:t>Tonga’s small economy is driven primarily by remittances, tourism, agriculture, and foreign aid. Tongans working or living abroad in the United States (US) are the primary source of remittances, followed by New Zealand and Australia. Remittances as a share of GDP is estimated to have increased from 39.1 percent in the previous year to 44.3 percent as of November 2023 (</w:t>
      </w:r>
      <w:proofErr w:type="spellStart"/>
      <w:r w:rsidRPr="00EF2495">
        <w:t>GoT</w:t>
      </w:r>
      <w:proofErr w:type="spellEnd"/>
      <w:r w:rsidRPr="00EF2495">
        <w:t xml:space="preserve"> Budget Statement FY24/25). </w:t>
      </w:r>
    </w:p>
    <w:p w14:paraId="518CFF49" w14:textId="77777777" w:rsidR="00C80FA2" w:rsidRPr="00EF2495" w:rsidRDefault="00C80FA2" w:rsidP="00EF2495">
      <w:r w:rsidRPr="00EF2495">
        <w:t xml:space="preserve">The economy is dominated by the public sector with small amounts of private sector activity in construction, services, manufacturing, fisheries, forestry, and tourism. A large share of agricultural production is for subsistence and own production, but this is declining.  The </w:t>
      </w:r>
      <w:proofErr w:type="spellStart"/>
      <w:r w:rsidRPr="00EF2495">
        <w:t>GoT</w:t>
      </w:r>
      <w:proofErr w:type="spellEnd"/>
      <w:r w:rsidRPr="00EF2495">
        <w:t xml:space="preserve"> Budget Statement for FY24/25 states that the primary sector account for 17.5%, the Industrial Sector 13.9% percent and the services sector 50.3% of GDP. Economic growth is also supported by construction projects, largely financed by donor loans and grants.  </w:t>
      </w:r>
    </w:p>
    <w:p w14:paraId="292A80D7" w14:textId="77777777" w:rsidR="00C80FA2" w:rsidRPr="00EF2495" w:rsidRDefault="00C80FA2" w:rsidP="00EF2495">
      <w:r w:rsidRPr="00EF2495">
        <w:t xml:space="preserve">The </w:t>
      </w:r>
      <w:proofErr w:type="spellStart"/>
      <w:r w:rsidRPr="00EF2495">
        <w:t>GoT</w:t>
      </w:r>
      <w:proofErr w:type="spellEnd"/>
      <w:r w:rsidRPr="00EF2495">
        <w:t xml:space="preserve"> </w:t>
      </w:r>
      <w:hyperlink r:id="rId77" w:history="1">
        <w:r w:rsidRPr="00EF2495">
          <w:rPr>
            <w:rStyle w:val="Hyperlink"/>
          </w:rPr>
          <w:t>2024-2025 Budget Statement</w:t>
        </w:r>
      </w:hyperlink>
      <w:r w:rsidRPr="00EF2495">
        <w:t xml:space="preserve"> identifies supporting economic growth initiatives in the agriculture, fisheries, and tourism sectors over the next three years. The statement indicated that the government will also continue to maintain a focus on social sector projects, particularly in improving healthcare standards, enhancing the quality of education, and implementing social safety programs to assist disadvantaged individuals and families in need.</w:t>
      </w:r>
    </w:p>
    <w:p w14:paraId="5E9D9278" w14:textId="5BCFF599" w:rsidR="00C80FA2" w:rsidRPr="00EF2495" w:rsidRDefault="00C80FA2" w:rsidP="00EF2495">
      <w:r w:rsidRPr="00EF2495">
        <w:t xml:space="preserve">The </w:t>
      </w:r>
      <w:proofErr w:type="spellStart"/>
      <w:r w:rsidRPr="00EF2495">
        <w:t>GoT</w:t>
      </w:r>
      <w:proofErr w:type="spellEnd"/>
      <w:r w:rsidRPr="00EF2495">
        <w:t xml:space="preserve"> </w:t>
      </w:r>
      <w:hyperlink r:id="rId78" w:history="1">
        <w:r w:rsidRPr="00EF2495">
          <w:rPr>
            <w:rStyle w:val="Hyperlink"/>
          </w:rPr>
          <w:t>Budget Statement</w:t>
        </w:r>
      </w:hyperlink>
      <w:r w:rsidRPr="00EF2495">
        <w:t xml:space="preserve"> for FY24/25, </w:t>
      </w:r>
      <w:bookmarkStart w:id="71" w:name="_Hlk180224132"/>
      <w:r w:rsidRPr="00EF2495">
        <w:t xml:space="preserve">TOP 365 million </w:t>
      </w:r>
      <w:bookmarkEnd w:id="71"/>
      <w:r w:rsidRPr="00EF2495">
        <w:t xml:space="preserve">will be provided to Tonga by development partners. Of this development funding Australia is the largest bilateral donor (16.4%), followed the People’s Republic of China (16.2%), Government of New Zealand (11%), pooled Australia and New Zealand (3%), Japan (2%). Multilateral funding is also provided by the World Bank (21%) and the </w:t>
      </w:r>
      <w:r w:rsidR="00427988" w:rsidRPr="00EF2495">
        <w:t>ADB</w:t>
      </w:r>
      <w:r w:rsidRPr="00EF2495">
        <w:t xml:space="preserve"> (15%)</w:t>
      </w:r>
    </w:p>
    <w:p w14:paraId="5E08E1AE" w14:textId="38B9E100" w:rsidR="00C80FA2" w:rsidRPr="00EF2495" w:rsidRDefault="005E1364" w:rsidP="00E22A40">
      <w:pPr>
        <w:pStyle w:val="Heading3"/>
      </w:pPr>
      <w:bookmarkStart w:id="72" w:name="_Toc185321233"/>
      <w:bookmarkStart w:id="73" w:name="_Hlk175662019"/>
      <w:r w:rsidRPr="00EF2495">
        <w:t>4</w:t>
      </w:r>
      <w:r w:rsidR="00EF7968" w:rsidRPr="00EF2495">
        <w:t>.2</w:t>
      </w:r>
      <w:r w:rsidR="00EF7968" w:rsidRPr="00EF2495">
        <w:tab/>
      </w:r>
      <w:r w:rsidR="00C80FA2" w:rsidRPr="00EF2495">
        <w:t>Labour market</w:t>
      </w:r>
      <w:bookmarkEnd w:id="72"/>
    </w:p>
    <w:bookmarkEnd w:id="73"/>
    <w:p w14:paraId="15C6B31F" w14:textId="4CBDF36F" w:rsidR="00C80FA2" w:rsidRPr="00EF2495" w:rsidRDefault="00C80FA2" w:rsidP="00EF2495">
      <w:r w:rsidRPr="00EF2495">
        <w:t>The most recent labour force information can be drawn from the 2021 Household Income and Expenditure Survey (</w:t>
      </w:r>
      <w:proofErr w:type="gramStart"/>
      <w:r w:rsidRPr="00EF2495">
        <w:t>and also</w:t>
      </w:r>
      <w:proofErr w:type="gramEnd"/>
      <w:r w:rsidRPr="00EF2495">
        <w:t xml:space="preserve"> the  </w:t>
      </w:r>
      <w:hyperlink r:id="rId79" w:history="1">
        <w:r w:rsidRPr="00EF2495">
          <w:rPr>
            <w:rStyle w:val="Hyperlink"/>
          </w:rPr>
          <w:t>Tonga Labour Force Survey</w:t>
        </w:r>
      </w:hyperlink>
      <w:r w:rsidRPr="00EF2495">
        <w:t xml:space="preserve"> 2018. In 2021, the working-age population of Tonga was 64,900 and the  </w:t>
      </w:r>
      <w:hyperlink r:id="rId80" w:history="1">
        <w:r w:rsidRPr="00EF2495">
          <w:rPr>
            <w:rStyle w:val="Hyperlink"/>
          </w:rPr>
          <w:t>labour force participation rate</w:t>
        </w:r>
      </w:hyperlink>
      <w:r w:rsidRPr="00EF2495">
        <w:t xml:space="preserve"> was 59.6 per cent, which was higher for men (70.1 per cent) than women (50.5 per cent). Employment is dominated by the public sector. Tonga has a small private sector with a </w:t>
      </w:r>
      <w:proofErr w:type="gramStart"/>
      <w:r w:rsidRPr="00EF2495">
        <w:t>small amounts of private sector activity</w:t>
      </w:r>
      <w:proofErr w:type="gramEnd"/>
      <w:r w:rsidRPr="00EF2495">
        <w:t xml:space="preserve"> in construction, services, manufacturing, fisheries, forestry, and tourism. </w:t>
      </w:r>
    </w:p>
    <w:p w14:paraId="02D256C0" w14:textId="77777777" w:rsidR="00C80FA2" w:rsidRPr="00EF2495" w:rsidRDefault="00C80FA2" w:rsidP="00EF2495">
      <w:r w:rsidRPr="00EF2495">
        <w:lastRenderedPageBreak/>
        <w:t>The 2018 Tonga Labour Force Survey highlighted the under representation of women in agriculture, forestry, and fishery (Government of Tonga 2019), possibly influenced by traditional attitudes (Tonga Civil Society Organisation, Human Rights Task Force 2022). Women are more likely than men to be employers and professionals but are underrepresented in the construction, transportation, and storage industries (Government of Tonga 2019). The most common occupation among women is craft and related trades, whereas for men it is agriculture, forestry, and fishery (Government of Tonga 2019).</w:t>
      </w:r>
      <w:r w:rsidRPr="00EF2495">
        <w:footnoteReference w:id="9"/>
      </w:r>
      <w:r w:rsidRPr="00EF2495">
        <w:t xml:space="preserve"> </w:t>
      </w:r>
    </w:p>
    <w:p w14:paraId="5A56B6DA" w14:textId="78146AB1" w:rsidR="00C80FA2" w:rsidRPr="00EF2495" w:rsidRDefault="005E1364" w:rsidP="00E22A40">
      <w:pPr>
        <w:pStyle w:val="Heading3"/>
      </w:pPr>
      <w:bookmarkStart w:id="74" w:name="_Toc185321234"/>
      <w:r w:rsidRPr="00EF2495">
        <w:t>4</w:t>
      </w:r>
      <w:r w:rsidR="00EF7968" w:rsidRPr="00EF2495">
        <w:t>.3</w:t>
      </w:r>
      <w:r w:rsidR="00EF7968" w:rsidRPr="00EF2495">
        <w:tab/>
      </w:r>
      <w:r w:rsidR="00C80FA2" w:rsidRPr="00EF2495">
        <w:t>Skills gaps</w:t>
      </w:r>
      <w:bookmarkEnd w:id="74"/>
    </w:p>
    <w:p w14:paraId="781640F6" w14:textId="77777777" w:rsidR="00C80FA2" w:rsidRPr="00EF2495" w:rsidRDefault="00C80FA2" w:rsidP="00EF2495">
      <w:r w:rsidRPr="00EF2495">
        <w:t>The supply of skilled labour is acknowledged as a constraint on economic growth (ADB 2024)</w:t>
      </w:r>
      <w:r w:rsidRPr="00EF2495">
        <w:footnoteReference w:id="10"/>
      </w:r>
      <w:r w:rsidRPr="00EF2495">
        <w:t>. The ILO report that there are notable</w:t>
      </w:r>
      <w:r w:rsidRPr="00EF2495">
        <w:rPr>
          <w:lang w:val="en-US"/>
        </w:rPr>
        <w:t xml:space="preserve"> shortages in skilled professions such as teachers, engineers, healthcare professionals, and cooks. The </w:t>
      </w:r>
      <w:proofErr w:type="spellStart"/>
      <w:r w:rsidRPr="00EF2495">
        <w:rPr>
          <w:lang w:val="en-US"/>
        </w:rPr>
        <w:t>GoT</w:t>
      </w:r>
      <w:proofErr w:type="spellEnd"/>
      <w:r w:rsidRPr="00EF2495">
        <w:rPr>
          <w:lang w:val="en-US"/>
        </w:rPr>
        <w:t xml:space="preserve"> </w:t>
      </w:r>
      <w:hyperlink r:id="rId81" w:history="1">
        <w:r w:rsidRPr="00EF2495">
          <w:rPr>
            <w:rStyle w:val="Hyperlink"/>
            <w:lang w:val="en-US"/>
          </w:rPr>
          <w:t>2023-2024 Budget statement</w:t>
        </w:r>
      </w:hyperlink>
      <w:r w:rsidRPr="00EF2495">
        <w:rPr>
          <w:lang w:val="en-US"/>
        </w:rPr>
        <w:t xml:space="preserve"> </w:t>
      </w:r>
      <w:r w:rsidRPr="00EF2495">
        <w:t xml:space="preserve">states that the Tonga economy has a small population with limited skilled labour in certain areas for example, specialist healthcare. High staff turnover in the public service exacerbates this concern. Rates of out migration in Tonga are high (the net migration rate for </w:t>
      </w:r>
      <w:hyperlink r:id="rId82" w:history="1">
        <w:r w:rsidRPr="00EF2495">
          <w:rPr>
            <w:rStyle w:val="Hyperlink"/>
          </w:rPr>
          <w:t>Tonga in 2024 is -7.332 per 1000 population</w:t>
        </w:r>
      </w:hyperlink>
      <w:r w:rsidRPr="00EF2495">
        <w:t>) exacerbating skill shortage in the labour force.</w:t>
      </w:r>
    </w:p>
    <w:p w14:paraId="08C70705" w14:textId="77777777" w:rsidR="00C80FA2" w:rsidRPr="00EF2495" w:rsidRDefault="00C80FA2" w:rsidP="00EF2495">
      <w:r w:rsidRPr="00EF2495">
        <w:t xml:space="preserve">Tonga published its first </w:t>
      </w:r>
      <w:hyperlink r:id="rId83" w:history="1">
        <w:r w:rsidRPr="00EF2495">
          <w:rPr>
            <w:rStyle w:val="Hyperlink"/>
          </w:rPr>
          <w:t>Tonga Labour Mobility Supply Management Strategy</w:t>
        </w:r>
      </w:hyperlink>
      <w:r w:rsidRPr="00EF2495">
        <w:t xml:space="preserve"> (2023). The report states that ‘’Tonga faces significant development challenges due to its relative isolation and lack of economies of scale and that there is “a serious under-skilling of the work force, with lack of sufficient educational and vocational options”. </w:t>
      </w:r>
    </w:p>
    <w:p w14:paraId="566502C9" w14:textId="77777777" w:rsidR="00C80FA2" w:rsidRPr="00EF2495" w:rsidRDefault="00C80FA2" w:rsidP="00EF2495">
      <w:r w:rsidRPr="00EF2495">
        <w:t xml:space="preserve">The labour market analysis collected data from the most current occupational, skills and demographic data using the 2021 Tonga Census, other printed sources and consultations.  Their analysis of demographic and labour market data identified that the Tongan labour market is both complex and under-developed, in the sense that there is a lack of skilled and qualified workers able to meet an expanding local and international demand for skilled labour. </w:t>
      </w:r>
    </w:p>
    <w:p w14:paraId="44536633" w14:textId="77777777" w:rsidR="00C80FA2" w:rsidRPr="00EF2495" w:rsidRDefault="00C80FA2" w:rsidP="00EF2495">
      <w:r w:rsidRPr="00EF2495">
        <w:t>Key findings relevant to labour management supply issues, are as follows:</w:t>
      </w:r>
    </w:p>
    <w:p w14:paraId="4E84974E" w14:textId="77777777" w:rsidR="00C80FA2" w:rsidRPr="00EF2495" w:rsidRDefault="00C80FA2" w:rsidP="00EF2495">
      <w:r w:rsidRPr="00EF2495">
        <w:t>High Skilled Shortages: There are significant shortages of skilled managers, professionals and associate professionals particularly in the sectors of IT, Health, Environmental and Energy occupations, and in Public Policy.</w:t>
      </w:r>
    </w:p>
    <w:p w14:paraId="4FAD70F0" w14:textId="77777777" w:rsidR="00C80FA2" w:rsidRPr="00EF2495" w:rsidRDefault="00C80FA2" w:rsidP="00EF2495">
      <w:r w:rsidRPr="00EF2495">
        <w:t>Strong Demand for Higher Qualifications: Further to this, over half of the jobs advertised in 2022 were in the managerial, professional and associate professional areas requiring at least Bachelor’s degrees or, in a number of cases, higher post-graduate qualifications for example in Law, Business, IT, Accounting, Economics, Commerce, Marketing as well as in Engineering and Science. Postgraduate qualifications were also often required for some technicians and associate professionals and for a few positions in skilled agriculture and fisheries.</w:t>
      </w:r>
    </w:p>
    <w:p w14:paraId="4BD28CB7" w14:textId="77777777" w:rsidR="00C80FA2" w:rsidRPr="00EF2495" w:rsidRDefault="00C80FA2" w:rsidP="00EF2495">
      <w:r w:rsidRPr="00EF2495">
        <w:t>Shortage of Qualified Engineers, Teachers and Nurses: There is also further evidence of shortages of qualified engineers, specialist and qualified nurses, as well as qualified teachers at the secondary school level and for educational support staff in both primary and secondary schools. It should be noted that there is only a small number of young entrants coming into these occupations.</w:t>
      </w:r>
    </w:p>
    <w:p w14:paraId="676D270A" w14:textId="77777777" w:rsidR="00C80FA2" w:rsidRPr="00EF2495" w:rsidRDefault="00C80FA2" w:rsidP="00EF2495">
      <w:r w:rsidRPr="00EF2495">
        <w:lastRenderedPageBreak/>
        <w:t>Trades and Maintenance Skill Shortages: With respect to occupations in the trades and related areas, there are distinct shortages in a range of areas including for skilled air-conditioning mechanics and refrigeration mechanics, electricians generally, plumbers, riggers, sheet metal workers, building maintenance and repair, industrial and agricultural machinery repairers, and roofers. These shortages are affecting building and construction activities, the rebuilding of damaged infrastructure for recent natural disasters and the maintenance of key power and energy facilities.</w:t>
      </w:r>
    </w:p>
    <w:p w14:paraId="617F8D50" w14:textId="74EF38BD" w:rsidR="00C80FA2" w:rsidRPr="00EF2495" w:rsidRDefault="00C80FA2" w:rsidP="00EF2495">
      <w:r w:rsidRPr="00EF2495">
        <w:t xml:space="preserve">Shortages of Chefs, Cooks, Retail and Service Workers: There are shortages evidenced by </w:t>
      </w:r>
      <w:proofErr w:type="gramStart"/>
      <w:r w:rsidRPr="00EF2495">
        <w:t>a number of</w:t>
      </w:r>
      <w:proofErr w:type="gramEnd"/>
      <w:r w:rsidRPr="00EF2495">
        <w:t xml:space="preserve"> non-Tongan residents working in these jobs – as was demonstrated in the census analysis, 8% of chefs are non-Tongan, and 12.5% of non-residents work in sales and services. Again, there is a need to maintain or if possible, increase TVET </w:t>
      </w:r>
      <w:r w:rsidR="009D19C2" w:rsidRPr="00EF2495">
        <w:t>programs</w:t>
      </w:r>
      <w:r w:rsidRPr="00EF2495">
        <w:t xml:space="preserve"> to address the lack of qualifications for skilled young people in these occupations. It should be noted though that in most cases, sales and services workers may only require skills learned on the job.</w:t>
      </w:r>
    </w:p>
    <w:p w14:paraId="755D185E" w14:textId="77777777" w:rsidR="00C80FA2" w:rsidRPr="00EF2495" w:rsidRDefault="00C80FA2" w:rsidP="00EF2495">
      <w:r w:rsidRPr="00EF2495">
        <w:t>Lack of Qualified Technicians, Trades and Clerical Workers: For many skilled based occupations where a post-school qualification could be expected, a significant proportion of job holders do not have one. For example, chefs are an occupation in demand but only one in three aged 25-60 years have a post- school qualification. Only just over one-in-three plumbers &amp; pipe fitters have a post-school qualification. Similarly, only three in ten cooks and vehicle mechanics respectively have a post-school qualification.</w:t>
      </w:r>
    </w:p>
    <w:p w14:paraId="3E1151F7" w14:textId="2F73F4B4" w:rsidR="00C80FA2" w:rsidRPr="00EF2495" w:rsidRDefault="00C80FA2" w:rsidP="00EF2495">
      <w:r w:rsidRPr="00EF2495">
        <w:t>Core work skills and ICT skills and qualified labour are also needed across all sectors of employment.</w:t>
      </w:r>
    </w:p>
    <w:p w14:paraId="398249E5" w14:textId="77777777" w:rsidR="00C80FA2" w:rsidRPr="00EF2495" w:rsidRDefault="00C80FA2" w:rsidP="00EF2495">
      <w:r w:rsidRPr="00EF2495">
        <w:t>“The labour market data analysis for this Strategy identified that there is a lack of skilled and qualified workers to meet an expanding local and international demand for skilled labour. A concerted, long-term effort is therefore urgently required to train, upskill and improve skills supply to meet demand for local sustainable economic development, as well as overseas labour demands.”</w:t>
      </w:r>
    </w:p>
    <w:p w14:paraId="32D173C0" w14:textId="77777777" w:rsidR="00C80FA2" w:rsidRPr="00EF2495" w:rsidRDefault="00C80FA2" w:rsidP="00EF2495">
      <w:pPr>
        <w:rPr>
          <w:lang w:val="en-US"/>
        </w:rPr>
      </w:pPr>
      <w:r w:rsidRPr="00EF2495">
        <w:t xml:space="preserve">The government is responding by investing more in education and training programs, that help build a skilled and productive workforce and creating an enabling environment that supports the retention of skilled workers within the country. The </w:t>
      </w:r>
      <w:proofErr w:type="spellStart"/>
      <w:r w:rsidRPr="00EF2495">
        <w:t>GoT</w:t>
      </w:r>
      <w:proofErr w:type="spellEnd"/>
      <w:r w:rsidRPr="00EF2495">
        <w:t xml:space="preserve"> </w:t>
      </w:r>
      <w:hyperlink r:id="rId84" w:history="1">
        <w:r w:rsidRPr="00EF2495">
          <w:rPr>
            <w:rStyle w:val="Hyperlink"/>
          </w:rPr>
          <w:t>2024-2025 Budget statement</w:t>
        </w:r>
      </w:hyperlink>
      <w:r w:rsidRPr="00EF2495">
        <w:t xml:space="preserve"> indicates that this investment is through establishing the Tonga National University, and implementing initiatives like the World Bank-funded SET Project to ensure that those who have dropped out of secondary school have alternative vocational and learning in view of labour mobility pathways. </w:t>
      </w:r>
      <w:hyperlink r:id="rId85" w:history="1">
        <w:r w:rsidRPr="00EF2495">
          <w:rPr>
            <w:rStyle w:val="Hyperlink"/>
            <w:lang w:val="en-US"/>
          </w:rPr>
          <w:t>Youth</w:t>
        </w:r>
      </w:hyperlink>
      <w:r w:rsidRPr="00EF2495">
        <w:rPr>
          <w:lang w:val="en-US"/>
        </w:rPr>
        <w:t xml:space="preserve"> in Tonga face significant challenges transitioning from school to work,</w:t>
      </w:r>
    </w:p>
    <w:p w14:paraId="70A1EEA0" w14:textId="469D8F21" w:rsidR="00C80FA2" w:rsidRPr="00EF2495" w:rsidRDefault="005E1364" w:rsidP="00E22A40">
      <w:pPr>
        <w:pStyle w:val="Heading3"/>
      </w:pPr>
      <w:bookmarkStart w:id="75" w:name="_Toc185321235"/>
      <w:r w:rsidRPr="00EF2495">
        <w:t>4</w:t>
      </w:r>
      <w:r w:rsidR="009326E5" w:rsidRPr="00EF2495">
        <w:t>.4</w:t>
      </w:r>
      <w:r w:rsidR="009326E5" w:rsidRPr="00EF2495">
        <w:tab/>
      </w:r>
      <w:r w:rsidR="00C80FA2" w:rsidRPr="00EF2495">
        <w:t>Labour mobility</w:t>
      </w:r>
      <w:bookmarkEnd w:id="75"/>
    </w:p>
    <w:p w14:paraId="0F4C5B93" w14:textId="77777777" w:rsidR="00C80FA2" w:rsidRPr="00EF2495" w:rsidRDefault="00C80FA2" w:rsidP="00EF2495">
      <w:r w:rsidRPr="00EF2495">
        <w:t xml:space="preserve">Labour mobility is a key factor in the Tongan labour market - typically in unskilled, low-skilled and semi-skilled roles. In 2020, there were 74,550 Tongans abroad and personal remittances accounted for 38.3 per cent of GDP– the highest that remittances contribute to GDP among the Pacific Island Countries. Migration is generally into seafaring and the maritime and fisheries sector. Two key labour mobility schemes also include the Pacific Australia Labour Mobility (PALM) scheme and New Zealand’s Recognised Seasonal Employer (RSE) scheme. </w:t>
      </w:r>
      <w:proofErr w:type="gramStart"/>
      <w:r w:rsidRPr="00EF2495">
        <w:t>Both of these</w:t>
      </w:r>
      <w:proofErr w:type="gramEnd"/>
      <w:r w:rsidRPr="00EF2495">
        <w:t xml:space="preserve"> schemes are designed to fill seasonal labour shortages, in largely in agriculture and horticulture industries (ILO, 2024).</w:t>
      </w:r>
    </w:p>
    <w:p w14:paraId="7F61DC28" w14:textId="77777777" w:rsidR="00C80FA2" w:rsidRPr="00EF2495" w:rsidRDefault="00C80FA2" w:rsidP="00EF2495">
      <w:r w:rsidRPr="00EF2495">
        <w:lastRenderedPageBreak/>
        <w:t xml:space="preserve">The Government of Tonga Migration and Sustainable Development Policy, 2020 has the explicit objective of conceptualizing and mainstreaming migration into Tonga’s national development planning. </w:t>
      </w:r>
    </w:p>
    <w:p w14:paraId="6847EEDA" w14:textId="77777777" w:rsidR="00C80FA2" w:rsidRPr="00EF2495" w:rsidRDefault="00C80FA2" w:rsidP="00EF2495">
      <w:pPr>
        <w:rPr>
          <w:lang w:val="en-US"/>
        </w:rPr>
      </w:pPr>
      <w:r w:rsidRPr="00EF2495">
        <w:t xml:space="preserve">The </w:t>
      </w:r>
      <w:proofErr w:type="spellStart"/>
      <w:r w:rsidRPr="00EF2495">
        <w:t>GoT</w:t>
      </w:r>
      <w:proofErr w:type="spellEnd"/>
      <w:r w:rsidRPr="00EF2495">
        <w:t xml:space="preserve"> budget statement for FY24/25 states that “Labour schemes abroad have a significant impact on the economy. Tonga's economic growth and development face a significant challenge because of the departure of skilled workers to labour programs in Australia and New Zealand. While the remittances sent by these workers are crucial for income, their departure has resulted in a labour shortage that is hindering productivity and innovation.”</w:t>
      </w:r>
      <w:r w:rsidRPr="00EF2495">
        <w:rPr>
          <w:lang w:val="en-US"/>
        </w:rPr>
        <w:t xml:space="preserve">  </w:t>
      </w:r>
    </w:p>
    <w:p w14:paraId="2AA31902" w14:textId="77777777" w:rsidR="00C80FA2" w:rsidRPr="00EF2495" w:rsidRDefault="00C80FA2" w:rsidP="00EF2495">
      <w:r w:rsidRPr="00EF2495">
        <w:t>While acknowledging the economic benefits of remittances, the government is attuned to the social ramifications of emigration. A pressing concern is the "brain drain" phenomenon, where skilled individuals seek opportunities abroad, resulting in a loss of expertise critical for Tonga's development and innovation. To mitigate this risk, the government is intensifying investments in education and training, aiming to cultivate a skilled workforce capable of driving domestic growth.</w:t>
      </w:r>
    </w:p>
    <w:p w14:paraId="4E032636" w14:textId="77777777" w:rsidR="00C80FA2" w:rsidRPr="00EF2495" w:rsidRDefault="00C80FA2" w:rsidP="00EF2495">
      <w:pPr>
        <w:rPr>
          <w:lang w:val="en-US"/>
        </w:rPr>
      </w:pPr>
      <w:r w:rsidRPr="00EF2495">
        <w:t xml:space="preserve">The </w:t>
      </w:r>
      <w:hyperlink r:id="rId86" w:history="1">
        <w:r w:rsidRPr="00EF2495">
          <w:rPr>
            <w:rStyle w:val="Hyperlink"/>
          </w:rPr>
          <w:t>Tonga Labour Mobility Supply Management Strategy</w:t>
        </w:r>
      </w:hyperlink>
      <w:r w:rsidRPr="00EF2495">
        <w:t xml:space="preserve"> (2023) concluded that labour mobility provides a viable opportunity to overcome Tonga’s economic challenges by enabling the temporary movement of Tongan workers to meet labour shortages in countries such as Australia and New Zealand.</w:t>
      </w:r>
    </w:p>
    <w:p w14:paraId="69DDC034" w14:textId="07C05734" w:rsidR="00C80FA2" w:rsidRPr="00EF2495" w:rsidRDefault="005E1364" w:rsidP="00E22A40">
      <w:pPr>
        <w:pStyle w:val="Heading3"/>
      </w:pPr>
      <w:bookmarkStart w:id="76" w:name="_Toc185321236"/>
      <w:r w:rsidRPr="00EF2495">
        <w:t>4</w:t>
      </w:r>
      <w:r w:rsidR="009426EE" w:rsidRPr="00EF2495">
        <w:t>.5</w:t>
      </w:r>
      <w:r w:rsidR="009426EE" w:rsidRPr="00EF2495">
        <w:tab/>
      </w:r>
      <w:r w:rsidR="00C80FA2" w:rsidRPr="00EF2495">
        <w:t>Jobs of the future</w:t>
      </w:r>
      <w:bookmarkEnd w:id="76"/>
      <w:r w:rsidR="00C80FA2" w:rsidRPr="00EF2495">
        <w:t xml:space="preserve"> </w:t>
      </w:r>
    </w:p>
    <w:p w14:paraId="7B237BE1" w14:textId="77777777" w:rsidR="00C80FA2" w:rsidRPr="00EF2495" w:rsidRDefault="00C80FA2" w:rsidP="00EF2495">
      <w:r w:rsidRPr="00EF2495">
        <w:t xml:space="preserve">Tonga’s first ever </w:t>
      </w:r>
      <w:hyperlink r:id="rId87" w:history="1">
        <w:r w:rsidRPr="00EF2495">
          <w:rPr>
            <w:rStyle w:val="Hyperlink"/>
          </w:rPr>
          <w:t>National Employment Policy</w:t>
        </w:r>
      </w:hyperlink>
      <w:r w:rsidRPr="00EF2495">
        <w:t xml:space="preserve"> is being developed with the support of the International Labour Organization (ILO). This policy will help generate quality employment opportunities and enhance the ability of workers and businesses to withstand future crises. It would also support Tonga as it seeks to exploit the benefits of trends such as digitization and eco-friendliness, as well as navigate the impacts of climate change.”</w:t>
      </w:r>
    </w:p>
    <w:p w14:paraId="1B5463A5" w14:textId="7B8E5C2C" w:rsidR="00C80FA2" w:rsidRPr="00EF2495" w:rsidRDefault="005E1364" w:rsidP="00EF2495">
      <w:bookmarkStart w:id="77" w:name="_Toc185321237"/>
      <w:r w:rsidRPr="00EF2495">
        <w:t>4</w:t>
      </w:r>
      <w:r w:rsidR="00C15BDC" w:rsidRPr="00EF2495">
        <w:t>.5</w:t>
      </w:r>
      <w:r w:rsidR="009426EE" w:rsidRPr="00EF2495">
        <w:t>.1</w:t>
      </w:r>
      <w:r w:rsidR="00C15BDC" w:rsidRPr="00EF2495">
        <w:tab/>
      </w:r>
      <w:r w:rsidR="00C80FA2" w:rsidRPr="00EF2495">
        <w:t>The green economy</w:t>
      </w:r>
      <w:bookmarkEnd w:id="77"/>
    </w:p>
    <w:p w14:paraId="0F7F82FE" w14:textId="77777777" w:rsidR="00C80FA2" w:rsidRPr="00EF2495" w:rsidRDefault="00C80FA2" w:rsidP="00EF2495">
      <w:bookmarkStart w:id="78" w:name="_Hlk175662513"/>
      <w:r w:rsidRPr="00EF2495">
        <w:t xml:space="preserve">Tonga is vulnerable to the impacts of climate change, including cyclones, coral bleaching, and changing rainfall patterns. </w:t>
      </w:r>
      <w:hyperlink r:id="rId88" w:anchor=":~:text=Since%202000%2C%20a%20series%20of,50%20percent%20renewable%20energy%20generation" w:history="1">
        <w:r w:rsidRPr="00EF2495">
          <w:rPr>
            <w:rStyle w:val="Hyperlink"/>
          </w:rPr>
          <w:t>Tonga</w:t>
        </w:r>
      </w:hyperlink>
      <w:r w:rsidRPr="00EF2495">
        <w:t xml:space="preserve"> is committed to building greater resilience to the increasing risks of climate change through sustainable development. The Kingdom’s Strategic Development Framework 2015-2025, and 2015 Nationally Determined Contribution (NDC) to the United Nations Framework Convention on Climate Change (UNFCCC), express a commitment to mitigate climate change and pursue inclusive and equitable economic growth. </w:t>
      </w:r>
    </w:p>
    <w:p w14:paraId="29D0F9C8" w14:textId="77777777" w:rsidR="00C80FA2" w:rsidRPr="00EF2495" w:rsidRDefault="00C80FA2" w:rsidP="00EF2495">
      <w:r w:rsidRPr="00EF2495">
        <w:t xml:space="preserve">The green economy is an economic framework that aims to achieve sustainable development while minimizing environmental risks and ecological scarcities. It emphasizes reducing carbon emissions, improving energy efficiency, and conserving natural resources while promoting social equity and economic growth. </w:t>
      </w:r>
      <w:bookmarkEnd w:id="78"/>
      <w:r w:rsidRPr="00EF2495">
        <w:t xml:space="preserve"> </w:t>
      </w:r>
      <w:hyperlink r:id="rId89" w:history="1">
        <w:r w:rsidRPr="00EF2495">
          <w:rPr>
            <w:rStyle w:val="Hyperlink"/>
          </w:rPr>
          <w:t>Green jobs</w:t>
        </w:r>
      </w:hyperlink>
      <w:r w:rsidRPr="00EF2495">
        <w:t xml:space="preserve"> of the future are positions that contribute to preserving or restoring the environment, often by promoting sustainability, reducing carbon emissions, or conserving natural resources. Green jobs that are likely to be in demand in the future: renewable energy technician, sustainability consultant, environmental engineer, energy efficiency specialist, climate change analyst, environmental </w:t>
      </w:r>
      <w:r w:rsidRPr="00EF2495">
        <w:lastRenderedPageBreak/>
        <w:t>data scientist, green building architect, conservation scientist, marine biologist (conservation)</w:t>
      </w:r>
      <w:r w:rsidRPr="00EF2495">
        <w:footnoteReference w:id="11"/>
      </w:r>
      <w:r w:rsidRPr="00EF2495">
        <w:t xml:space="preserve"> .</w:t>
      </w:r>
    </w:p>
    <w:p w14:paraId="510B2747" w14:textId="174F9B66" w:rsidR="00C80FA2" w:rsidRPr="00EF2495" w:rsidRDefault="005E1364" w:rsidP="00EF2495">
      <w:bookmarkStart w:id="79" w:name="_Toc185321238"/>
      <w:bookmarkStart w:id="80" w:name="_Hlk176008950"/>
      <w:r w:rsidRPr="00EF2495">
        <w:t>4</w:t>
      </w:r>
      <w:r w:rsidR="00C15BDC" w:rsidRPr="00EF2495">
        <w:t>.</w:t>
      </w:r>
      <w:r w:rsidR="009426EE" w:rsidRPr="00EF2495">
        <w:t>5.2</w:t>
      </w:r>
      <w:r w:rsidR="00C15BDC" w:rsidRPr="00EF2495">
        <w:tab/>
      </w:r>
      <w:r w:rsidR="00C80FA2" w:rsidRPr="00EF2495">
        <w:t>‘Blue economy’</w:t>
      </w:r>
      <w:bookmarkEnd w:id="79"/>
    </w:p>
    <w:p w14:paraId="33EE9C6B" w14:textId="77777777" w:rsidR="00C80FA2" w:rsidRPr="00EF2495" w:rsidRDefault="00C80FA2" w:rsidP="00EF2495">
      <w:r w:rsidRPr="00EF2495">
        <w:t xml:space="preserve">The blue </w:t>
      </w:r>
      <w:hyperlink r:id="rId90" w:history="1">
        <w:r w:rsidRPr="00EF2495">
          <w:rPr>
            <w:rStyle w:val="Hyperlink"/>
          </w:rPr>
          <w:t>economy</w:t>
        </w:r>
      </w:hyperlink>
      <w:r w:rsidRPr="00EF2495">
        <w:t>, is a term used to describe the economic activities associated with the oceans and seas. The </w:t>
      </w:r>
      <w:hyperlink r:id="rId91" w:tgtFrame="_blank" w:history="1">
        <w:r w:rsidRPr="00EF2495">
          <w:rPr>
            <w:rStyle w:val="Hyperlink"/>
          </w:rPr>
          <w:t>World Bank</w:t>
        </w:r>
        <w:r w:rsidRPr="00EF2495">
          <w:rPr>
            <w:rStyle w:val="Hyperlink"/>
            <w:rFonts w:ascii="Tahoma" w:hAnsi="Tahoma" w:cs="Tahoma"/>
          </w:rPr>
          <w:t>﻿</w:t>
        </w:r>
      </w:hyperlink>
      <w:r w:rsidRPr="00EF2495">
        <w:t> defines the blue economy as the “sustainable use of ocean resources to benefit economies, livelihoods and ocean ecosystem health”. The </w:t>
      </w:r>
      <w:hyperlink r:id="rId92" w:tgtFrame="_blank" w:history="1">
        <w:r w:rsidRPr="00EF2495">
          <w:rPr>
            <w:rStyle w:val="Hyperlink"/>
          </w:rPr>
          <w:t>activities</w:t>
        </w:r>
        <w:r w:rsidRPr="00EF2495">
          <w:rPr>
            <w:rStyle w:val="Hyperlink"/>
            <w:rFonts w:ascii="Tahoma" w:hAnsi="Tahoma" w:cs="Tahoma"/>
          </w:rPr>
          <w:t>﻿</w:t>
        </w:r>
      </w:hyperlink>
      <w:r w:rsidRPr="00EF2495">
        <w:t xml:space="preserve"> commonly understood to represent the blue economy include maritime shipping, fishing and aquaculture, coastal tourism, renewable energy, water desalination, undersea cabling, seabed extractive industries and </w:t>
      </w:r>
      <w:proofErr w:type="gramStart"/>
      <w:r w:rsidRPr="00EF2495">
        <w:t>deep sea</w:t>
      </w:r>
      <w:proofErr w:type="gramEnd"/>
      <w:r w:rsidRPr="00EF2495">
        <w:t xml:space="preserve"> mining, marine genetic resources, and biotechnology. The blue economy is increasingly seen as a key driver for achieving sustainable development, particularly for coastal and island nations. The concept is closely aligned with the United Nations' Sustainable Development Goal 14 (Life Below Water), which emphasizes the need to conserve and sustainably use the oceans, seas, and marine resources.</w:t>
      </w:r>
    </w:p>
    <w:p w14:paraId="63F3959A" w14:textId="1ADF55BE" w:rsidR="00C80FA2" w:rsidRPr="00EF2495" w:rsidRDefault="00C80FA2" w:rsidP="00EF2495">
      <w:r w:rsidRPr="00EF2495">
        <w:t xml:space="preserve">Blue economy jobs focus on harnessing ocean resources while ensuring that the health of marine ecosystems is preserved and enhanced. The blue economy spans a wide range of sectors, </w:t>
      </w:r>
      <w:r w:rsidR="006462E2" w:rsidRPr="00EF2495">
        <w:t>including</w:t>
      </w:r>
      <w:r w:rsidRPr="00EF2495">
        <w:t xml:space="preserve"> fisheries and aquaculture, marine tourism, renewable energy, maritime transport, marine conservation and management, marine biotechnology, waste management and pollution control</w:t>
      </w:r>
    </w:p>
    <w:p w14:paraId="498405B7" w14:textId="551081A7" w:rsidR="00C80FA2" w:rsidRPr="00EF2495" w:rsidRDefault="005E1364" w:rsidP="00EF2495">
      <w:bookmarkStart w:id="81" w:name="_Toc185321239"/>
      <w:bookmarkEnd w:id="80"/>
      <w:r w:rsidRPr="00EF2495">
        <w:t>4</w:t>
      </w:r>
      <w:r w:rsidR="005169E2" w:rsidRPr="00EF2495">
        <w:t>.5.3</w:t>
      </w:r>
      <w:r w:rsidR="005169E2" w:rsidRPr="00EF2495">
        <w:tab/>
      </w:r>
      <w:r w:rsidR="00C80FA2" w:rsidRPr="00EF2495">
        <w:t>Digital economy</w:t>
      </w:r>
      <w:bookmarkEnd w:id="81"/>
    </w:p>
    <w:p w14:paraId="68DC07CF" w14:textId="4A3F228A" w:rsidR="00C80FA2" w:rsidRPr="00EF2495" w:rsidRDefault="00C80FA2" w:rsidP="00EF2495">
      <w:bookmarkStart w:id="82" w:name="_Hlk176012036"/>
      <w:bookmarkStart w:id="83" w:name="_Hlk176008265"/>
      <w:r w:rsidRPr="00EF2495">
        <w:t xml:space="preserve">The IMF have </w:t>
      </w:r>
      <w:hyperlink r:id="rId93" w:history="1">
        <w:r w:rsidRPr="00EF2495">
          <w:rPr>
            <w:rStyle w:val="Hyperlink"/>
          </w:rPr>
          <w:t>noted</w:t>
        </w:r>
      </w:hyperlink>
      <w:r w:rsidRPr="00EF2495">
        <w:t xml:space="preserve"> that “Developing the private sector is critical to boosting Tonga’s growth potential. Notably, digitalization can be an effective way to overcome geographical limitations and widen economic opportunities”. </w:t>
      </w:r>
    </w:p>
    <w:bookmarkEnd w:id="82"/>
    <w:p w14:paraId="5C24713B" w14:textId="77777777" w:rsidR="00C80FA2" w:rsidRPr="00EF2495" w:rsidRDefault="00C80FA2" w:rsidP="00EF2495">
      <w:r w:rsidRPr="00EF2495">
        <w:t xml:space="preserve">The digital economy refers to an economy that is primarily based on digital technologies, especially the internet and other related information and communication technologies (ICT). It includes activities such as e-commerce, digital platforms, digital payments, and the creation and distribution of digital content. It encompasses all economic activities that result from billions of online connections among people, businesses, devices, data, and processes. Key sectors include fintech, e-commerce, digital media, edtech and </w:t>
      </w:r>
      <w:proofErr w:type="spellStart"/>
      <w:r w:rsidRPr="00EF2495">
        <w:t>healthtech</w:t>
      </w:r>
      <w:proofErr w:type="spellEnd"/>
      <w:r w:rsidRPr="00EF2495">
        <w:t>. It also brings challenges like data privacy and cybersecurity, while creating new job opportunities and influencing consumer behaviour.</w:t>
      </w:r>
    </w:p>
    <w:p w14:paraId="7D18C6E3" w14:textId="77777777" w:rsidR="00C80FA2" w:rsidRPr="00EF2495" w:rsidRDefault="00C80FA2" w:rsidP="00EF2495">
      <w:r w:rsidRPr="00EF2495">
        <w:t>Digital economy roles can be found across various industries where digital tools, platforms, and technologies drive economic activities and innovation. They include in areas of software development and engineering; data science and analytics, cybersecurity, digital marketing, e-commerce and online business management, cloud computing and IT infrastructure, artificial intelligence and machine learning, digital content creation and management, blockchain and cryptocurrency, telecommunications and network management</w:t>
      </w:r>
      <w:r w:rsidRPr="00EF2495">
        <w:footnoteReference w:id="12"/>
      </w:r>
      <w:r w:rsidRPr="00EF2495">
        <w:t>.”</w:t>
      </w:r>
    </w:p>
    <w:p w14:paraId="334C8A28" w14:textId="77777777" w:rsidR="00C80FA2" w:rsidRPr="00DE728D" w:rsidRDefault="00C80FA2" w:rsidP="00834F85">
      <w:pPr>
        <w:pStyle w:val="Heading1"/>
        <w:rPr>
          <w:color w:val="auto"/>
        </w:rPr>
      </w:pPr>
      <w:bookmarkStart w:id="84" w:name="_Toc174445839"/>
      <w:bookmarkStart w:id="85" w:name="_Toc185321240"/>
      <w:bookmarkStart w:id="86" w:name="_Toc172812876"/>
      <w:bookmarkEnd w:id="83"/>
      <w:r w:rsidRPr="00DE728D">
        <w:rPr>
          <w:color w:val="auto"/>
        </w:rPr>
        <w:t>Annex 7:  The Australia Awards</w:t>
      </w:r>
      <w:bookmarkEnd w:id="84"/>
      <w:bookmarkEnd w:id="85"/>
      <w:r w:rsidRPr="00DE728D">
        <w:rPr>
          <w:color w:val="auto"/>
        </w:rPr>
        <w:t xml:space="preserve"> </w:t>
      </w:r>
      <w:bookmarkEnd w:id="86"/>
    </w:p>
    <w:p w14:paraId="7BCFE240" w14:textId="766A89F2" w:rsidR="00C80FA2" w:rsidRPr="00EF2495" w:rsidRDefault="005169E2" w:rsidP="00834F85">
      <w:pPr>
        <w:pStyle w:val="Heading2"/>
      </w:pPr>
      <w:bookmarkStart w:id="87" w:name="_Toc185321241"/>
      <w:r w:rsidRPr="00EF2495">
        <w:t>1.</w:t>
      </w:r>
      <w:r w:rsidRPr="00EF2495">
        <w:tab/>
      </w:r>
      <w:r w:rsidR="00C80FA2" w:rsidRPr="00EF2495">
        <w:t>Stakeholder roles and responsibilities</w:t>
      </w:r>
      <w:bookmarkEnd w:id="87"/>
      <w:r w:rsidR="00C80FA2" w:rsidRPr="00EF2495">
        <w:t xml:space="preserve"> </w:t>
      </w:r>
    </w:p>
    <w:p w14:paraId="7127A636" w14:textId="180CF10E" w:rsidR="00C80FA2" w:rsidRDefault="003E4E20" w:rsidP="00EF2495">
      <w:r w:rsidRPr="00EF2495">
        <w:lastRenderedPageBreak/>
        <w:t xml:space="preserve">The </w:t>
      </w:r>
      <w:r w:rsidR="00C80FA2" w:rsidRPr="00EF2495">
        <w:t>Australia Awards are administered by the Department of Foreign Affairs and Trade (DFAT) on behalf of     DFAT and by the ACIAR. Australia Awards are delivered and supported by a range of partners who play a crucial role in contributing to the success of Australia Awards:</w:t>
      </w:r>
    </w:p>
    <w:p w14:paraId="2979A8C1" w14:textId="76F83AF6" w:rsidR="000E11F2" w:rsidRDefault="000E11F2" w:rsidP="000E11F2">
      <w:pPr>
        <w:pStyle w:val="ListParagraph"/>
        <w:numPr>
          <w:ilvl w:val="0"/>
          <w:numId w:val="26"/>
        </w:numPr>
      </w:pPr>
      <w:r w:rsidRPr="00EF2495">
        <w:t>DFAT</w:t>
      </w:r>
      <w:r>
        <w:t xml:space="preserve">: </w:t>
      </w:r>
      <w:r w:rsidRPr="00EF2495">
        <w:t>administers the Australia Awards through a devolved architecture, encompassing the Global Australia Awards Framework, country and regional programs, and posts. Awardees are also important stakeholders for State and Territory Offices. DFAT harnesses diplomatic leverage in foreign policy to promote development and soft power outcomes.</w:t>
      </w:r>
    </w:p>
    <w:p w14:paraId="55667E8B" w14:textId="6BBE6889" w:rsidR="000E11F2" w:rsidRDefault="000E11F2" w:rsidP="000E11F2">
      <w:pPr>
        <w:pStyle w:val="ListParagraph"/>
        <w:numPr>
          <w:ilvl w:val="0"/>
          <w:numId w:val="26"/>
        </w:numPr>
      </w:pPr>
      <w:r w:rsidRPr="00EF2495">
        <w:t>ACIAR</w:t>
      </w:r>
      <w:r>
        <w:t xml:space="preserve">: </w:t>
      </w:r>
      <w:r w:rsidRPr="00EF2495">
        <w:t xml:space="preserve">The </w:t>
      </w:r>
      <w:hyperlink r:id="rId94">
        <w:r w:rsidRPr="00EF2495">
          <w:rPr>
            <w:rStyle w:val="Hyperlink"/>
          </w:rPr>
          <w:t xml:space="preserve">Australian Centre for International Agricultural Research </w:t>
        </w:r>
      </w:hyperlink>
      <w:r w:rsidRPr="00EF2495">
        <w:t xml:space="preserve"> offers scholarships for partner country scientists to obtain Australian postgraduate qualifications, aiming to enhance research capacity in ACIAR’s partner country institutions. ACIAR’s PhD and Masters scholarships for agricultural researchers are administered through the Australia Awards system.</w:t>
      </w:r>
    </w:p>
    <w:p w14:paraId="17048009" w14:textId="1D6AB654" w:rsidR="000E11F2" w:rsidRDefault="000E11F2" w:rsidP="000E11F2">
      <w:pPr>
        <w:pStyle w:val="ListParagraph"/>
        <w:numPr>
          <w:ilvl w:val="0"/>
          <w:numId w:val="26"/>
        </w:numPr>
      </w:pPr>
      <w:r w:rsidRPr="00EF2495">
        <w:t>Partner country governments</w:t>
      </w:r>
      <w:r>
        <w:t xml:space="preserve">: </w:t>
      </w:r>
      <w:r w:rsidRPr="00EF2495">
        <w:t>Partner governments play an important part in the establishment of priorities and targets for Australia Awards in each country or region.</w:t>
      </w:r>
    </w:p>
    <w:p w14:paraId="62AC66EC" w14:textId="3A5FAE7E" w:rsidR="000E11F2" w:rsidRDefault="000E11F2" w:rsidP="000E11F2">
      <w:pPr>
        <w:pStyle w:val="ListParagraph"/>
        <w:numPr>
          <w:ilvl w:val="0"/>
          <w:numId w:val="26"/>
        </w:numPr>
      </w:pPr>
      <w:r w:rsidRPr="00EF2495">
        <w:t>Academic institutions and education providers</w:t>
      </w:r>
      <w:r>
        <w:t xml:space="preserve">: </w:t>
      </w:r>
      <w:r w:rsidRPr="00EF2495">
        <w:t>Deliver targeted, relevant and high-quality courses, and provide effective support across the scholar journey. Academic institutions provide scholarship management services according to contracts, including pastoral care by Student Contact Officers and others. Institutions also promote relevant on-award enrichment opportunities and share best practice.</w:t>
      </w:r>
    </w:p>
    <w:p w14:paraId="79AE8609" w14:textId="440C61F2" w:rsidR="000E11F2" w:rsidRDefault="000E11F2" w:rsidP="000E11F2">
      <w:pPr>
        <w:pStyle w:val="ListParagraph"/>
        <w:numPr>
          <w:ilvl w:val="0"/>
          <w:numId w:val="26"/>
        </w:numPr>
      </w:pPr>
      <w:r w:rsidRPr="00EF2495">
        <w:t>Awardees</w:t>
      </w:r>
      <w:r>
        <w:t xml:space="preserve">: </w:t>
      </w:r>
      <w:r w:rsidRPr="00EF2495">
        <w:t xml:space="preserve">Awardees at the </w:t>
      </w:r>
      <w:proofErr w:type="spellStart"/>
      <w:r w:rsidRPr="00EF2495">
        <w:t>centre</w:t>
      </w:r>
      <w:proofErr w:type="spellEnd"/>
      <w:r w:rsidRPr="00EF2495">
        <w:t xml:space="preserve"> of the Australia Awards. Successful completion of their academic studies to enhance qualifications is a primary goal, along with an enriching and rewarding experience that produces life-long personal and professional connections with Australia and each other. </w:t>
      </w:r>
      <w:proofErr w:type="gramStart"/>
      <w:r w:rsidRPr="00EF2495">
        <w:t>The study</w:t>
      </w:r>
      <w:proofErr w:type="gramEnd"/>
      <w:r w:rsidRPr="00EF2495">
        <w:t xml:space="preserve"> and research opportunities develop the skills and knowledge of individuals to drive change and contribute to development in their own countries.</w:t>
      </w:r>
    </w:p>
    <w:p w14:paraId="75756DAC" w14:textId="77777777" w:rsidR="000E11F2" w:rsidRDefault="000E11F2" w:rsidP="000E11F2">
      <w:pPr>
        <w:pStyle w:val="ListParagraph"/>
        <w:numPr>
          <w:ilvl w:val="0"/>
          <w:numId w:val="26"/>
        </w:numPr>
      </w:pPr>
      <w:r w:rsidRPr="00EF2495">
        <w:t>Alumni</w:t>
      </w:r>
      <w:r>
        <w:t xml:space="preserve">: </w:t>
      </w:r>
      <w:r w:rsidRPr="00EF2495">
        <w:t>Alumni use their skills, knowledge and networks to contribute to sustainable development and cooperation between Australia and partner countries. Alumni are a vital diplomatic asset contributing in various ways to Australia’s influence and standing in our region and globally. Alumni are encouraged to nurture professional and personal connections post-award to harness the long-term benefits of the Australia Awards.</w:t>
      </w:r>
    </w:p>
    <w:p w14:paraId="38C82252" w14:textId="4C393EBE" w:rsidR="000E11F2" w:rsidRPr="00EF2495" w:rsidRDefault="000E11F2" w:rsidP="000E11F2">
      <w:pPr>
        <w:pStyle w:val="ListParagraph"/>
        <w:numPr>
          <w:ilvl w:val="0"/>
          <w:numId w:val="26"/>
        </w:numPr>
      </w:pPr>
      <w:r w:rsidRPr="00EF2495">
        <w:t>MCs</w:t>
      </w:r>
      <w:r>
        <w:t>:</w:t>
      </w:r>
      <w:r w:rsidRPr="000E11F2">
        <w:t xml:space="preserve"> </w:t>
      </w:r>
      <w:r w:rsidRPr="00EF2495">
        <w:t>DFAT engages MCs to provide program support, including</w:t>
      </w:r>
      <w:r>
        <w:t xml:space="preserve"> </w:t>
      </w:r>
      <w:r w:rsidRPr="00EF2495">
        <w:t>business support services for scholarship and fellowship management; Leadership initiatives; On-award enrichment; Alumni engagement; Monitoring and evaluation; and Recruitment of specialised personnel. MCs manage the awards for individual countries (e.g. Fiji, Solomon Islands) or on a regional basis (e.g. South Asia).  The contracts are just for management of the Australia Awards, or as part of a broader facility-type arrangement.</w:t>
      </w:r>
    </w:p>
    <w:p w14:paraId="47A88BFF" w14:textId="18C29438" w:rsidR="000E11F2" w:rsidRPr="00EF2495" w:rsidRDefault="000E11F2" w:rsidP="000E11F2">
      <w:r w:rsidRPr="00EF2495">
        <w:t>The DFAT Canberra Global Education and Scholarships Section is responsible for the overarching policy and strategic direction and provides regulatory oversight of the Australia Awards.</w:t>
      </w:r>
      <w:r>
        <w:t xml:space="preserve"> </w:t>
      </w:r>
      <w:r w:rsidRPr="00EF2495">
        <w:t>Overseas Posts are responsible for managing their own budgets for Australia Awards activities. Posts either deliver Australia Awards programs or provide oversight of Australia Award investments when implemented by MCs. They are responsible for in-country communication, promotion, policy priority settings, administration and monitoring, and alumni activities</w:t>
      </w:r>
    </w:p>
    <w:p w14:paraId="36CDB25D" w14:textId="19187853" w:rsidR="00C80FA2" w:rsidRPr="00EF2495" w:rsidRDefault="00C413F4" w:rsidP="0010678F">
      <w:pPr>
        <w:pStyle w:val="Heading2"/>
        <w:ind w:left="0" w:firstLine="0"/>
      </w:pPr>
      <w:bookmarkStart w:id="88" w:name="_Toc185321242"/>
      <w:r w:rsidRPr="00EF2495">
        <w:t>2.</w:t>
      </w:r>
      <w:r w:rsidRPr="00EF2495">
        <w:tab/>
      </w:r>
      <w:r w:rsidR="00C80FA2" w:rsidRPr="00EF2495">
        <w:t>MEL roles and responsibilities</w:t>
      </w:r>
      <w:bookmarkEnd w:id="88"/>
      <w:r w:rsidR="00C80FA2" w:rsidRPr="00EF2495">
        <w:t xml:space="preserve"> </w:t>
      </w:r>
    </w:p>
    <w:p w14:paraId="0C407115" w14:textId="77777777" w:rsidR="00C80FA2" w:rsidRPr="00EF2495" w:rsidRDefault="00C80FA2" w:rsidP="00EF2495">
      <w:r w:rsidRPr="00EF2495">
        <w:t>The following table indicates specific responsibilities with respect to MEL of the Australia Awards.</w:t>
      </w:r>
    </w:p>
    <w:tbl>
      <w:tblPr>
        <w:tblStyle w:val="ListTable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1"/>
        <w:gridCol w:w="1684"/>
        <w:gridCol w:w="1978"/>
        <w:gridCol w:w="2117"/>
        <w:gridCol w:w="1834"/>
      </w:tblGrid>
      <w:tr w:rsidR="002D459B" w:rsidRPr="00EF2495" w14:paraId="756ECD9E" w14:textId="77777777" w:rsidTr="006357C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86" w:type="pct"/>
            <w:tcBorders>
              <w:bottom w:val="none" w:sz="0" w:space="0" w:color="auto"/>
              <w:right w:val="none" w:sz="0" w:space="0" w:color="auto"/>
            </w:tcBorders>
          </w:tcPr>
          <w:p w14:paraId="1F3ED732" w14:textId="77777777" w:rsidR="00C80FA2" w:rsidRPr="00C72A96" w:rsidRDefault="00C80FA2" w:rsidP="00A5557A">
            <w:pPr>
              <w:pStyle w:val="TableText0"/>
              <w:rPr>
                <w:b w:val="0"/>
                <w:bCs w:val="0"/>
              </w:rPr>
            </w:pPr>
            <w:r w:rsidRPr="00C72A96">
              <w:lastRenderedPageBreak/>
              <w:t>Organisation</w:t>
            </w:r>
          </w:p>
        </w:tc>
        <w:tc>
          <w:tcPr>
            <w:cnfStyle w:val="000010000000" w:firstRow="0" w:lastRow="0" w:firstColumn="0" w:lastColumn="0" w:oddVBand="1" w:evenVBand="0" w:oddHBand="0" w:evenHBand="0" w:firstRowFirstColumn="0" w:firstRowLastColumn="0" w:lastRowFirstColumn="0" w:lastRowLastColumn="0"/>
            <w:tcW w:w="933" w:type="pct"/>
            <w:tcBorders>
              <w:left w:val="none" w:sz="0" w:space="0" w:color="auto"/>
              <w:right w:val="none" w:sz="0" w:space="0" w:color="auto"/>
            </w:tcBorders>
          </w:tcPr>
          <w:p w14:paraId="48D26537" w14:textId="77777777" w:rsidR="00C80FA2" w:rsidRPr="00C72A96" w:rsidRDefault="00C80FA2" w:rsidP="00A5557A">
            <w:pPr>
              <w:pStyle w:val="TableText0"/>
              <w:rPr>
                <w:b w:val="0"/>
                <w:bCs w:val="0"/>
              </w:rPr>
            </w:pPr>
            <w:r w:rsidRPr="00C72A96">
              <w:t>Pre-Award</w:t>
            </w:r>
          </w:p>
        </w:tc>
        <w:tc>
          <w:tcPr>
            <w:tcW w:w="1095" w:type="pct"/>
          </w:tcPr>
          <w:p w14:paraId="4A81D6D5" w14:textId="77777777" w:rsidR="00C80FA2" w:rsidRPr="00C72A96" w:rsidRDefault="00C80FA2" w:rsidP="00A5557A">
            <w:pPr>
              <w:pStyle w:val="TableText0"/>
              <w:cnfStyle w:val="100000000000" w:firstRow="1" w:lastRow="0" w:firstColumn="0" w:lastColumn="0" w:oddVBand="0" w:evenVBand="0" w:oddHBand="0" w:evenHBand="0" w:firstRowFirstColumn="0" w:firstRowLastColumn="0" w:lastRowFirstColumn="0" w:lastRowLastColumn="0"/>
              <w:rPr>
                <w:b w:val="0"/>
                <w:bCs w:val="0"/>
              </w:rPr>
            </w:pPr>
            <w:r w:rsidRPr="00C72A96">
              <w:t>On Award</w:t>
            </w:r>
          </w:p>
        </w:tc>
        <w:tc>
          <w:tcPr>
            <w:cnfStyle w:val="000010000000" w:firstRow="0" w:lastRow="0" w:firstColumn="0" w:lastColumn="0" w:oddVBand="1" w:evenVBand="0" w:oddHBand="0" w:evenHBand="0" w:firstRowFirstColumn="0" w:firstRowLastColumn="0" w:lastRowFirstColumn="0" w:lastRowLastColumn="0"/>
            <w:tcW w:w="1171" w:type="pct"/>
            <w:tcBorders>
              <w:left w:val="none" w:sz="0" w:space="0" w:color="auto"/>
              <w:right w:val="none" w:sz="0" w:space="0" w:color="auto"/>
            </w:tcBorders>
          </w:tcPr>
          <w:p w14:paraId="721B79C6" w14:textId="77777777" w:rsidR="00C80FA2" w:rsidRPr="00C72A96" w:rsidRDefault="00C80FA2" w:rsidP="00A5557A">
            <w:pPr>
              <w:pStyle w:val="TableText0"/>
              <w:rPr>
                <w:b w:val="0"/>
                <w:bCs w:val="0"/>
              </w:rPr>
            </w:pPr>
            <w:r w:rsidRPr="00C72A96">
              <w:t>Post Award (0-3 years)</w:t>
            </w:r>
          </w:p>
        </w:tc>
        <w:tc>
          <w:tcPr>
            <w:cnfStyle w:val="000100001000" w:firstRow="0" w:lastRow="0" w:firstColumn="0" w:lastColumn="1" w:oddVBand="0" w:evenVBand="0" w:oddHBand="0" w:evenHBand="0" w:firstRowFirstColumn="0" w:firstRowLastColumn="1" w:lastRowFirstColumn="0" w:lastRowLastColumn="0"/>
            <w:tcW w:w="1015" w:type="pct"/>
            <w:tcBorders>
              <w:left w:val="none" w:sz="0" w:space="0" w:color="auto"/>
              <w:bottom w:val="none" w:sz="0" w:space="0" w:color="auto"/>
            </w:tcBorders>
          </w:tcPr>
          <w:p w14:paraId="231B9D50" w14:textId="77777777" w:rsidR="00C80FA2" w:rsidRPr="00C72A96" w:rsidRDefault="00C80FA2" w:rsidP="00A5557A">
            <w:pPr>
              <w:pStyle w:val="TableText0"/>
              <w:rPr>
                <w:b w:val="0"/>
                <w:bCs w:val="0"/>
              </w:rPr>
            </w:pPr>
            <w:r w:rsidRPr="00C72A96">
              <w:t>Long term Post Award (3 years+)</w:t>
            </w:r>
          </w:p>
        </w:tc>
      </w:tr>
      <w:tr w:rsidR="00D02919" w:rsidRPr="00EF2495" w14:paraId="71A10A71" w14:textId="77777777" w:rsidTr="00904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6" w:type="pct"/>
            <w:tcBorders>
              <w:top w:val="none" w:sz="0" w:space="0" w:color="auto"/>
              <w:bottom w:val="none" w:sz="0" w:space="0" w:color="auto"/>
              <w:right w:val="none" w:sz="0" w:space="0" w:color="auto"/>
            </w:tcBorders>
          </w:tcPr>
          <w:p w14:paraId="36D31225" w14:textId="5C110534" w:rsidR="00C80FA2" w:rsidRPr="00904BEF" w:rsidRDefault="00C80FA2" w:rsidP="00A5557A">
            <w:pPr>
              <w:pStyle w:val="TableText0"/>
              <w:rPr>
                <w:b w:val="0"/>
                <w:bCs w:val="0"/>
              </w:rPr>
            </w:pPr>
            <w:r w:rsidRPr="00904BEF">
              <w:rPr>
                <w:b w:val="0"/>
                <w:bCs w:val="0"/>
              </w:rPr>
              <w:t xml:space="preserve">Country and regional programs – Posts and/or their </w:t>
            </w:r>
            <w:r w:rsidR="00605725" w:rsidRPr="00904BEF">
              <w:rPr>
                <w:b w:val="0"/>
                <w:bCs w:val="0"/>
              </w:rPr>
              <w:t>MC</w:t>
            </w:r>
            <w:r w:rsidRPr="00904BEF">
              <w:rPr>
                <w:b w:val="0"/>
                <w:bCs w:val="0"/>
              </w:rPr>
              <w:t xml:space="preserve">s </w:t>
            </w:r>
          </w:p>
        </w:tc>
        <w:tc>
          <w:tcPr>
            <w:cnfStyle w:val="000010000000" w:firstRow="0" w:lastRow="0" w:firstColumn="0" w:lastColumn="0" w:oddVBand="1" w:evenVBand="0" w:oddHBand="0" w:evenHBand="0" w:firstRowFirstColumn="0" w:firstRowLastColumn="0" w:lastRowFirstColumn="0" w:lastRowLastColumn="0"/>
            <w:tcW w:w="933" w:type="pct"/>
            <w:tcBorders>
              <w:top w:val="none" w:sz="0" w:space="0" w:color="auto"/>
              <w:left w:val="none" w:sz="0" w:space="0" w:color="auto"/>
              <w:bottom w:val="none" w:sz="0" w:space="0" w:color="auto"/>
              <w:right w:val="none" w:sz="0" w:space="0" w:color="auto"/>
            </w:tcBorders>
          </w:tcPr>
          <w:p w14:paraId="5A6BF712" w14:textId="77777777" w:rsidR="00C80FA2" w:rsidRPr="00904BEF" w:rsidRDefault="00C80FA2" w:rsidP="00F2131E">
            <w:pPr>
              <w:pStyle w:val="Tablebullet"/>
              <w:ind w:left="217" w:hanging="207"/>
            </w:pPr>
            <w:r w:rsidRPr="00904BEF">
              <w:t>Ensure OASIS is up to date</w:t>
            </w:r>
          </w:p>
          <w:p w14:paraId="7AF26160" w14:textId="77777777" w:rsidR="00C80FA2" w:rsidRPr="00904BEF" w:rsidRDefault="00C80FA2" w:rsidP="00F2131E">
            <w:pPr>
              <w:pStyle w:val="Tablebullet"/>
              <w:ind w:left="217" w:hanging="207"/>
            </w:pPr>
            <w:r w:rsidRPr="00904BEF">
              <w:t>Maintain and monitor records of promotion, targeting, selection activities</w:t>
            </w:r>
          </w:p>
          <w:p w14:paraId="3F8E9909" w14:textId="77777777" w:rsidR="00C80FA2" w:rsidRPr="00904BEF" w:rsidRDefault="00C80FA2" w:rsidP="00F2131E">
            <w:pPr>
              <w:pStyle w:val="Tablebullet"/>
              <w:ind w:left="217" w:hanging="207"/>
            </w:pPr>
            <w:r w:rsidRPr="00904BEF">
              <w:t xml:space="preserve"> Monitor trends in application and selection data</w:t>
            </w:r>
          </w:p>
        </w:tc>
        <w:tc>
          <w:tcPr>
            <w:tcW w:w="1095" w:type="pct"/>
            <w:tcBorders>
              <w:top w:val="none" w:sz="0" w:space="0" w:color="auto"/>
              <w:bottom w:val="none" w:sz="0" w:space="0" w:color="auto"/>
            </w:tcBorders>
          </w:tcPr>
          <w:p w14:paraId="5C91BD2B" w14:textId="77777777" w:rsidR="00C80FA2" w:rsidRPr="00904BEF" w:rsidRDefault="00C80FA2" w:rsidP="00F2131E">
            <w:pPr>
              <w:pStyle w:val="Tablebullet"/>
              <w:ind w:hanging="283"/>
              <w:cnfStyle w:val="000000100000" w:firstRow="0" w:lastRow="0" w:firstColumn="0" w:lastColumn="0" w:oddVBand="0" w:evenVBand="0" w:oddHBand="1" w:evenHBand="0" w:firstRowFirstColumn="0" w:firstRowLastColumn="0" w:lastRowFirstColumn="0" w:lastRowLastColumn="0"/>
            </w:pPr>
            <w:r w:rsidRPr="00904BEF">
              <w:t>Ensure OASIS is up to date</w:t>
            </w:r>
          </w:p>
          <w:p w14:paraId="5E12FEB9" w14:textId="07CCB385" w:rsidR="00C80FA2" w:rsidRPr="00904BEF" w:rsidRDefault="00C80FA2" w:rsidP="00F2131E">
            <w:pPr>
              <w:pStyle w:val="Tablebullet"/>
              <w:ind w:hanging="283"/>
              <w:cnfStyle w:val="000000100000" w:firstRow="0" w:lastRow="0" w:firstColumn="0" w:lastColumn="0" w:oddVBand="0" w:evenVBand="0" w:oddHBand="1" w:evenHBand="0" w:firstRowFirstColumn="0" w:firstRowLastColumn="0" w:lastRowFirstColumn="0" w:lastRowLastColumn="0"/>
            </w:pPr>
            <w:r w:rsidRPr="00904BEF">
              <w:t xml:space="preserve">Maintain records of on award engagement </w:t>
            </w:r>
            <w:r w:rsidR="00D02919" w:rsidRPr="00904BEF">
              <w:br/>
            </w:r>
            <w:r w:rsidRPr="00904BEF">
              <w:t>(if applicable)</w:t>
            </w:r>
          </w:p>
          <w:p w14:paraId="19C2F2D3" w14:textId="77777777" w:rsidR="00C80FA2" w:rsidRPr="00904BEF" w:rsidRDefault="00C80FA2" w:rsidP="00F2131E">
            <w:pPr>
              <w:pStyle w:val="Tablebullet"/>
              <w:ind w:hanging="283"/>
              <w:cnfStyle w:val="000000100000" w:firstRow="0" w:lastRow="0" w:firstColumn="0" w:lastColumn="0" w:oddVBand="0" w:evenVBand="0" w:oddHBand="1" w:evenHBand="0" w:firstRowFirstColumn="0" w:firstRowLastColumn="0" w:lastRowFirstColumn="0" w:lastRowLastColumn="0"/>
            </w:pPr>
            <w:r w:rsidRPr="00904BEF">
              <w:t>Media monitoring</w:t>
            </w:r>
          </w:p>
        </w:tc>
        <w:tc>
          <w:tcPr>
            <w:cnfStyle w:val="000010000000" w:firstRow="0" w:lastRow="0" w:firstColumn="0" w:lastColumn="0" w:oddVBand="1" w:evenVBand="0" w:oddHBand="0" w:evenHBand="0" w:firstRowFirstColumn="0" w:firstRowLastColumn="0" w:lastRowFirstColumn="0" w:lastRowLastColumn="0"/>
            <w:tcW w:w="1171" w:type="pct"/>
            <w:tcBorders>
              <w:top w:val="none" w:sz="0" w:space="0" w:color="auto"/>
              <w:left w:val="none" w:sz="0" w:space="0" w:color="auto"/>
              <w:bottom w:val="none" w:sz="0" w:space="0" w:color="auto"/>
              <w:right w:val="none" w:sz="0" w:space="0" w:color="auto"/>
            </w:tcBorders>
          </w:tcPr>
          <w:p w14:paraId="66EA468B" w14:textId="77777777" w:rsidR="00C80FA2" w:rsidRPr="00904BEF" w:rsidRDefault="00C80FA2" w:rsidP="00F2131E">
            <w:pPr>
              <w:pStyle w:val="Tablebullet"/>
              <w:ind w:left="228" w:hanging="218"/>
            </w:pPr>
            <w:r w:rsidRPr="00904BEF">
              <w:t>Maintain records of alumni engagement</w:t>
            </w:r>
          </w:p>
          <w:p w14:paraId="44A11DAF" w14:textId="77777777" w:rsidR="00C80FA2" w:rsidRPr="00904BEF" w:rsidRDefault="00C80FA2" w:rsidP="00F2131E">
            <w:pPr>
              <w:pStyle w:val="Tablebullet"/>
              <w:ind w:left="228" w:hanging="218"/>
            </w:pPr>
            <w:r w:rsidRPr="00904BEF">
              <w:t>Media monitoring</w:t>
            </w:r>
          </w:p>
          <w:p w14:paraId="73FC9E95" w14:textId="42EF3952" w:rsidR="00C80FA2" w:rsidRPr="00904BEF" w:rsidRDefault="00C80FA2" w:rsidP="00F2131E">
            <w:pPr>
              <w:pStyle w:val="Tablebullet"/>
              <w:ind w:left="228" w:hanging="218"/>
            </w:pPr>
            <w:r w:rsidRPr="00904BEF">
              <w:t xml:space="preserve">Undertake Post-Award Evaluations, Alumni Development Impact </w:t>
            </w:r>
            <w:r w:rsidR="00542BDA" w:rsidRPr="00904BEF">
              <w:t>Survey</w:t>
            </w:r>
            <w:r w:rsidRPr="00904BEF">
              <w:t xml:space="preserve"> (ADIS), Case Studies and other evaluative exercises </w:t>
            </w:r>
          </w:p>
        </w:tc>
        <w:tc>
          <w:tcPr>
            <w:cnfStyle w:val="000100000000" w:firstRow="0" w:lastRow="0" w:firstColumn="0" w:lastColumn="1" w:oddVBand="0" w:evenVBand="0" w:oddHBand="0" w:evenHBand="0" w:firstRowFirstColumn="0" w:firstRowLastColumn="0" w:lastRowFirstColumn="0" w:lastRowLastColumn="0"/>
            <w:tcW w:w="1015" w:type="pct"/>
            <w:tcBorders>
              <w:top w:val="none" w:sz="0" w:space="0" w:color="auto"/>
              <w:left w:val="none" w:sz="0" w:space="0" w:color="auto"/>
              <w:bottom w:val="none" w:sz="0" w:space="0" w:color="auto"/>
            </w:tcBorders>
          </w:tcPr>
          <w:p w14:paraId="3D5CBC6E" w14:textId="77777777" w:rsidR="00C80FA2" w:rsidRPr="00904BEF" w:rsidRDefault="00C80FA2" w:rsidP="00A43AD8">
            <w:pPr>
              <w:pStyle w:val="Tablebullet"/>
              <w:ind w:left="224" w:hanging="214"/>
              <w:rPr>
                <w:b w:val="0"/>
                <w:bCs w:val="0"/>
              </w:rPr>
            </w:pPr>
            <w:r w:rsidRPr="00904BEF">
              <w:rPr>
                <w:b w:val="0"/>
                <w:bCs w:val="0"/>
              </w:rPr>
              <w:t>Ensure Australia Global Alumni network is up to date</w:t>
            </w:r>
          </w:p>
          <w:p w14:paraId="29B59D02" w14:textId="77777777" w:rsidR="00C80FA2" w:rsidRPr="00904BEF" w:rsidRDefault="00C80FA2" w:rsidP="00A43AD8">
            <w:pPr>
              <w:pStyle w:val="Tablebullet"/>
              <w:ind w:left="224" w:hanging="214"/>
              <w:rPr>
                <w:b w:val="0"/>
                <w:bCs w:val="0"/>
              </w:rPr>
            </w:pPr>
            <w:r w:rsidRPr="00904BEF">
              <w:rPr>
                <w:b w:val="0"/>
                <w:bCs w:val="0"/>
              </w:rPr>
              <w:t>Maintain records of alumni engagement</w:t>
            </w:r>
          </w:p>
          <w:p w14:paraId="37550F6C" w14:textId="77777777" w:rsidR="00C80FA2" w:rsidRPr="00904BEF" w:rsidRDefault="00C80FA2" w:rsidP="00A43AD8">
            <w:pPr>
              <w:pStyle w:val="Tablebullet"/>
              <w:ind w:left="224" w:hanging="214"/>
              <w:rPr>
                <w:b w:val="0"/>
                <w:bCs w:val="0"/>
              </w:rPr>
            </w:pPr>
            <w:r w:rsidRPr="00904BEF">
              <w:rPr>
                <w:b w:val="0"/>
                <w:bCs w:val="0"/>
              </w:rPr>
              <w:t>Assist Global Tracer Facility with tracer studies as required</w:t>
            </w:r>
          </w:p>
          <w:p w14:paraId="553D76D4" w14:textId="77777777" w:rsidR="00C80FA2" w:rsidRPr="00904BEF" w:rsidRDefault="00C80FA2" w:rsidP="00A43AD8">
            <w:pPr>
              <w:pStyle w:val="Tablebullet"/>
              <w:ind w:left="224" w:hanging="214"/>
              <w:rPr>
                <w:b w:val="0"/>
                <w:bCs w:val="0"/>
              </w:rPr>
            </w:pPr>
            <w:r w:rsidRPr="00904BEF">
              <w:rPr>
                <w:b w:val="0"/>
                <w:bCs w:val="0"/>
              </w:rPr>
              <w:t>Maintain records of alumni engagement</w:t>
            </w:r>
          </w:p>
          <w:p w14:paraId="32047FA1" w14:textId="77777777" w:rsidR="00C80FA2" w:rsidRPr="00904BEF" w:rsidRDefault="00C80FA2" w:rsidP="00A43AD8">
            <w:pPr>
              <w:pStyle w:val="Tablebullet"/>
              <w:ind w:left="224" w:hanging="214"/>
              <w:rPr>
                <w:b w:val="0"/>
                <w:bCs w:val="0"/>
              </w:rPr>
            </w:pPr>
            <w:r w:rsidRPr="00904BEF">
              <w:rPr>
                <w:b w:val="0"/>
                <w:bCs w:val="0"/>
              </w:rPr>
              <w:t>Media monitoring</w:t>
            </w:r>
          </w:p>
        </w:tc>
      </w:tr>
      <w:tr w:rsidR="00D02919" w:rsidRPr="00EF2495" w14:paraId="07E69F95" w14:textId="77777777" w:rsidTr="00904BEF">
        <w:tc>
          <w:tcPr>
            <w:cnfStyle w:val="001000000000" w:firstRow="0" w:lastRow="0" w:firstColumn="1" w:lastColumn="0" w:oddVBand="0" w:evenVBand="0" w:oddHBand="0" w:evenHBand="0" w:firstRowFirstColumn="0" w:firstRowLastColumn="0" w:lastRowFirstColumn="0" w:lastRowLastColumn="0"/>
            <w:tcW w:w="786" w:type="pct"/>
            <w:tcBorders>
              <w:right w:val="none" w:sz="0" w:space="0" w:color="auto"/>
            </w:tcBorders>
          </w:tcPr>
          <w:p w14:paraId="4A1A91C7" w14:textId="77777777" w:rsidR="00C80FA2" w:rsidRPr="00904BEF" w:rsidRDefault="00C80FA2" w:rsidP="00A5557A">
            <w:pPr>
              <w:pStyle w:val="TableText0"/>
              <w:rPr>
                <w:b w:val="0"/>
                <w:bCs w:val="0"/>
              </w:rPr>
            </w:pPr>
            <w:r w:rsidRPr="00904BEF">
              <w:rPr>
                <w:b w:val="0"/>
                <w:bCs w:val="0"/>
              </w:rPr>
              <w:t>Global Education and Scholarships Section</w:t>
            </w:r>
          </w:p>
        </w:tc>
        <w:tc>
          <w:tcPr>
            <w:cnfStyle w:val="000010000000" w:firstRow="0" w:lastRow="0" w:firstColumn="0" w:lastColumn="0" w:oddVBand="1" w:evenVBand="0" w:oddHBand="0" w:evenHBand="0" w:firstRowFirstColumn="0" w:firstRowLastColumn="0" w:lastRowFirstColumn="0" w:lastRowLastColumn="0"/>
            <w:tcW w:w="933" w:type="pct"/>
            <w:tcBorders>
              <w:left w:val="none" w:sz="0" w:space="0" w:color="auto"/>
              <w:right w:val="none" w:sz="0" w:space="0" w:color="auto"/>
            </w:tcBorders>
          </w:tcPr>
          <w:p w14:paraId="78575B87" w14:textId="77777777" w:rsidR="00C80FA2" w:rsidRPr="00904BEF" w:rsidRDefault="00C80FA2" w:rsidP="00F2131E">
            <w:pPr>
              <w:pStyle w:val="Tablebullet"/>
              <w:ind w:left="217" w:hanging="207"/>
            </w:pPr>
            <w:r w:rsidRPr="00904BEF">
              <w:t>Monitor trends in application and selection data</w:t>
            </w:r>
          </w:p>
          <w:p w14:paraId="4A5F3AE2" w14:textId="77777777" w:rsidR="00C80FA2" w:rsidRPr="00904BEF" w:rsidRDefault="00C80FA2" w:rsidP="00F2131E">
            <w:pPr>
              <w:pStyle w:val="Tablebullet"/>
              <w:ind w:left="217" w:hanging="207"/>
            </w:pPr>
            <w:r w:rsidRPr="00904BEF">
              <w:t>Monitor global trends in scholarships application and selection data</w:t>
            </w:r>
          </w:p>
        </w:tc>
        <w:tc>
          <w:tcPr>
            <w:tcW w:w="1095" w:type="pct"/>
          </w:tcPr>
          <w:p w14:paraId="4262DF38" w14:textId="77777777" w:rsidR="00C80FA2" w:rsidRPr="00904BEF" w:rsidRDefault="00C80FA2" w:rsidP="00F2131E">
            <w:pPr>
              <w:pStyle w:val="Tablebullet"/>
              <w:ind w:hanging="283"/>
              <w:cnfStyle w:val="000000000000" w:firstRow="0" w:lastRow="0" w:firstColumn="0" w:lastColumn="0" w:oddVBand="0" w:evenVBand="0" w:oddHBand="0" w:evenHBand="0" w:firstRowFirstColumn="0" w:firstRowLastColumn="0" w:lastRowFirstColumn="0" w:lastRowLastColumn="0"/>
            </w:pPr>
            <w:r w:rsidRPr="00904BEF">
              <w:t>On Award Surveys (via Contractor)</w:t>
            </w:r>
          </w:p>
          <w:p w14:paraId="661A4F7E" w14:textId="77777777" w:rsidR="00C80FA2" w:rsidRPr="00904BEF" w:rsidRDefault="00C80FA2" w:rsidP="00F2131E">
            <w:pPr>
              <w:pStyle w:val="Tablebullet"/>
              <w:ind w:hanging="283"/>
              <w:cnfStyle w:val="000000000000" w:firstRow="0" w:lastRow="0" w:firstColumn="0" w:lastColumn="0" w:oddVBand="0" w:evenVBand="0" w:oddHBand="0" w:evenHBand="0" w:firstRowFirstColumn="0" w:firstRowLastColumn="0" w:lastRowFirstColumn="0" w:lastRowLastColumn="0"/>
            </w:pPr>
            <w:r w:rsidRPr="00904BEF">
              <w:t>Maintain records of on award engagement (if applicable)</w:t>
            </w:r>
          </w:p>
          <w:p w14:paraId="1A68810C" w14:textId="77777777" w:rsidR="00C80FA2" w:rsidRPr="00904BEF" w:rsidRDefault="00C80FA2" w:rsidP="00F2131E">
            <w:pPr>
              <w:pStyle w:val="Tablebullet"/>
              <w:ind w:hanging="283"/>
              <w:cnfStyle w:val="000000000000" w:firstRow="0" w:lastRow="0" w:firstColumn="0" w:lastColumn="0" w:oddVBand="0" w:evenVBand="0" w:oddHBand="0" w:evenHBand="0" w:firstRowFirstColumn="0" w:firstRowLastColumn="0" w:lastRowFirstColumn="0" w:lastRowLastColumn="0"/>
            </w:pPr>
            <w:r w:rsidRPr="00904BEF">
              <w:t xml:space="preserve">Analysis and distribution of OASIS data as required </w:t>
            </w:r>
          </w:p>
        </w:tc>
        <w:tc>
          <w:tcPr>
            <w:cnfStyle w:val="000010000000" w:firstRow="0" w:lastRow="0" w:firstColumn="0" w:lastColumn="0" w:oddVBand="1" w:evenVBand="0" w:oddHBand="0" w:evenHBand="0" w:firstRowFirstColumn="0" w:firstRowLastColumn="0" w:lastRowFirstColumn="0" w:lastRowLastColumn="0"/>
            <w:tcW w:w="1171" w:type="pct"/>
            <w:tcBorders>
              <w:left w:val="none" w:sz="0" w:space="0" w:color="auto"/>
              <w:right w:val="none" w:sz="0" w:space="0" w:color="auto"/>
            </w:tcBorders>
          </w:tcPr>
          <w:p w14:paraId="362B6EE5" w14:textId="77777777" w:rsidR="00C80FA2" w:rsidRPr="00904BEF" w:rsidRDefault="00C80FA2" w:rsidP="00F2131E">
            <w:pPr>
              <w:pStyle w:val="Tablebullet"/>
              <w:ind w:left="228" w:hanging="218"/>
            </w:pPr>
            <w:r w:rsidRPr="00904BEF">
              <w:t>Monitor automatic migration of OASIS data into Australia Global Alumni network</w:t>
            </w:r>
          </w:p>
          <w:p w14:paraId="3B4A103F" w14:textId="77777777" w:rsidR="00C80FA2" w:rsidRPr="00904BEF" w:rsidRDefault="00C80FA2" w:rsidP="00F2131E">
            <w:pPr>
              <w:pStyle w:val="Tablebullet"/>
              <w:ind w:left="228" w:hanging="218"/>
            </w:pPr>
            <w:r w:rsidRPr="00904BEF">
              <w:t>Add additional alumni details into Australia Global Alumni network as required</w:t>
            </w:r>
          </w:p>
          <w:p w14:paraId="235E1E8D" w14:textId="77777777" w:rsidR="00C80FA2" w:rsidRPr="00904BEF" w:rsidRDefault="00C80FA2" w:rsidP="00F2131E">
            <w:pPr>
              <w:pStyle w:val="Tablebullet"/>
              <w:ind w:left="228" w:hanging="218"/>
            </w:pPr>
            <w:r w:rsidRPr="00904BEF">
              <w:t>Activity Completion Report</w:t>
            </w:r>
          </w:p>
          <w:p w14:paraId="6CC6BCA5" w14:textId="5B2B874C" w:rsidR="00C80FA2" w:rsidRPr="00904BEF" w:rsidRDefault="00C80FA2" w:rsidP="00F2131E">
            <w:pPr>
              <w:pStyle w:val="Tablebullet"/>
              <w:ind w:left="228" w:hanging="218"/>
            </w:pPr>
            <w:r w:rsidRPr="00904BEF">
              <w:t>Commission evaluation studies e.g., Periodic Linkages Evaluation</w:t>
            </w:r>
          </w:p>
          <w:p w14:paraId="1F3FF357" w14:textId="77777777" w:rsidR="00C80FA2" w:rsidRPr="00904BEF" w:rsidRDefault="00C80FA2" w:rsidP="00F2131E">
            <w:pPr>
              <w:pStyle w:val="Tablebullet"/>
              <w:ind w:left="228" w:hanging="218"/>
            </w:pPr>
            <w:r w:rsidRPr="00904BEF">
              <w:t xml:space="preserve">Monitor alumni engagement plans </w:t>
            </w:r>
          </w:p>
        </w:tc>
        <w:tc>
          <w:tcPr>
            <w:cnfStyle w:val="000100000000" w:firstRow="0" w:lastRow="0" w:firstColumn="0" w:lastColumn="1" w:oddVBand="0" w:evenVBand="0" w:oddHBand="0" w:evenHBand="0" w:firstRowFirstColumn="0" w:firstRowLastColumn="0" w:lastRowFirstColumn="0" w:lastRowLastColumn="0"/>
            <w:tcW w:w="1015" w:type="pct"/>
            <w:tcBorders>
              <w:left w:val="none" w:sz="0" w:space="0" w:color="auto"/>
            </w:tcBorders>
          </w:tcPr>
          <w:p w14:paraId="73670B92" w14:textId="77777777" w:rsidR="00C80FA2" w:rsidRPr="00904BEF" w:rsidRDefault="00C80FA2" w:rsidP="00A43AD8">
            <w:pPr>
              <w:pStyle w:val="Tablebullet"/>
              <w:ind w:left="224" w:hanging="214"/>
              <w:rPr>
                <w:b w:val="0"/>
                <w:bCs w:val="0"/>
              </w:rPr>
            </w:pPr>
            <w:r w:rsidRPr="00904BEF">
              <w:rPr>
                <w:b w:val="0"/>
                <w:bCs w:val="0"/>
              </w:rPr>
              <w:t xml:space="preserve">Commission evaluation studies – such as Periodic Linkages Evaluation </w:t>
            </w:r>
          </w:p>
          <w:p w14:paraId="5333DE5E" w14:textId="77777777" w:rsidR="00C80FA2" w:rsidRPr="00904BEF" w:rsidRDefault="00C80FA2" w:rsidP="00A43AD8">
            <w:pPr>
              <w:pStyle w:val="Tablebullet"/>
              <w:ind w:left="224" w:hanging="214"/>
              <w:rPr>
                <w:b w:val="0"/>
                <w:bCs w:val="0"/>
              </w:rPr>
            </w:pPr>
            <w:r w:rsidRPr="00904BEF">
              <w:rPr>
                <w:b w:val="0"/>
                <w:bCs w:val="0"/>
              </w:rPr>
              <w:t xml:space="preserve">Direct the activities of the Global Tracer Facility </w:t>
            </w:r>
          </w:p>
        </w:tc>
      </w:tr>
      <w:tr w:rsidR="00D02919" w:rsidRPr="00EF2495" w14:paraId="337A0451" w14:textId="77777777" w:rsidTr="00904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6" w:type="pct"/>
            <w:tcBorders>
              <w:top w:val="none" w:sz="0" w:space="0" w:color="auto"/>
              <w:bottom w:val="none" w:sz="0" w:space="0" w:color="auto"/>
              <w:right w:val="none" w:sz="0" w:space="0" w:color="auto"/>
            </w:tcBorders>
          </w:tcPr>
          <w:p w14:paraId="3584CC07" w14:textId="77777777" w:rsidR="00C80FA2" w:rsidRPr="00904BEF" w:rsidRDefault="00C80FA2" w:rsidP="00A5557A">
            <w:pPr>
              <w:pStyle w:val="TableText0"/>
              <w:rPr>
                <w:b w:val="0"/>
                <w:bCs w:val="0"/>
              </w:rPr>
            </w:pPr>
            <w:r w:rsidRPr="00904BEF">
              <w:rPr>
                <w:b w:val="0"/>
                <w:bCs w:val="0"/>
              </w:rPr>
              <w:t>Global Tracer Facility</w:t>
            </w:r>
          </w:p>
        </w:tc>
        <w:tc>
          <w:tcPr>
            <w:cnfStyle w:val="000010000000" w:firstRow="0" w:lastRow="0" w:firstColumn="0" w:lastColumn="0" w:oddVBand="1" w:evenVBand="0" w:oddHBand="0" w:evenHBand="0" w:firstRowFirstColumn="0" w:firstRowLastColumn="0" w:lastRowFirstColumn="0" w:lastRowLastColumn="0"/>
            <w:tcW w:w="933" w:type="pct"/>
            <w:tcBorders>
              <w:top w:val="none" w:sz="0" w:space="0" w:color="auto"/>
              <w:left w:val="none" w:sz="0" w:space="0" w:color="auto"/>
              <w:bottom w:val="none" w:sz="0" w:space="0" w:color="auto"/>
              <w:right w:val="none" w:sz="0" w:space="0" w:color="auto"/>
            </w:tcBorders>
          </w:tcPr>
          <w:p w14:paraId="42940B86" w14:textId="2C10C5EB" w:rsidR="00C80FA2" w:rsidRPr="00904BEF" w:rsidRDefault="00A43AD8" w:rsidP="00F2131E">
            <w:pPr>
              <w:pStyle w:val="Tablebullet"/>
              <w:numPr>
                <w:ilvl w:val="0"/>
                <w:numId w:val="0"/>
              </w:numPr>
              <w:ind w:left="217" w:hanging="207"/>
            </w:pPr>
            <w:r w:rsidRPr="00904BEF">
              <w:t>Not Available</w:t>
            </w:r>
          </w:p>
        </w:tc>
        <w:tc>
          <w:tcPr>
            <w:tcW w:w="1095" w:type="pct"/>
            <w:tcBorders>
              <w:top w:val="none" w:sz="0" w:space="0" w:color="auto"/>
              <w:bottom w:val="none" w:sz="0" w:space="0" w:color="auto"/>
            </w:tcBorders>
          </w:tcPr>
          <w:p w14:paraId="448AEB7F" w14:textId="2E4752BD" w:rsidR="00C80FA2" w:rsidRPr="00904BEF" w:rsidRDefault="00A43AD8" w:rsidP="00F2131E">
            <w:pPr>
              <w:pStyle w:val="Tablebullet"/>
              <w:numPr>
                <w:ilvl w:val="0"/>
                <w:numId w:val="0"/>
              </w:numPr>
              <w:ind w:left="365" w:hanging="283"/>
              <w:cnfStyle w:val="000000100000" w:firstRow="0" w:lastRow="0" w:firstColumn="0" w:lastColumn="0" w:oddVBand="0" w:evenVBand="0" w:oddHBand="1" w:evenHBand="0" w:firstRowFirstColumn="0" w:firstRowLastColumn="0" w:lastRowFirstColumn="0" w:lastRowLastColumn="0"/>
            </w:pPr>
            <w:r w:rsidRPr="00904BEF">
              <w:t>Not Available</w:t>
            </w:r>
          </w:p>
        </w:tc>
        <w:tc>
          <w:tcPr>
            <w:cnfStyle w:val="000010000000" w:firstRow="0" w:lastRow="0" w:firstColumn="0" w:lastColumn="0" w:oddVBand="1" w:evenVBand="0" w:oddHBand="0" w:evenHBand="0" w:firstRowFirstColumn="0" w:firstRowLastColumn="0" w:lastRowFirstColumn="0" w:lastRowLastColumn="0"/>
            <w:tcW w:w="1171" w:type="pct"/>
            <w:tcBorders>
              <w:top w:val="none" w:sz="0" w:space="0" w:color="auto"/>
              <w:left w:val="none" w:sz="0" w:space="0" w:color="auto"/>
              <w:bottom w:val="none" w:sz="0" w:space="0" w:color="auto"/>
              <w:right w:val="none" w:sz="0" w:space="0" w:color="auto"/>
            </w:tcBorders>
          </w:tcPr>
          <w:p w14:paraId="20793C7B" w14:textId="056268FC" w:rsidR="00C80FA2" w:rsidRPr="00904BEF" w:rsidRDefault="00A43AD8" w:rsidP="00F2131E">
            <w:pPr>
              <w:pStyle w:val="Tablebullet"/>
              <w:numPr>
                <w:ilvl w:val="0"/>
                <w:numId w:val="0"/>
              </w:numPr>
              <w:ind w:left="228" w:hanging="218"/>
            </w:pPr>
            <w:r w:rsidRPr="00904BEF">
              <w:t>Not Available</w:t>
            </w:r>
          </w:p>
        </w:tc>
        <w:tc>
          <w:tcPr>
            <w:cnfStyle w:val="000100000000" w:firstRow="0" w:lastRow="0" w:firstColumn="0" w:lastColumn="1" w:oddVBand="0" w:evenVBand="0" w:oddHBand="0" w:evenHBand="0" w:firstRowFirstColumn="0" w:firstRowLastColumn="0" w:lastRowFirstColumn="0" w:lastRowLastColumn="0"/>
            <w:tcW w:w="1015" w:type="pct"/>
            <w:tcBorders>
              <w:top w:val="none" w:sz="0" w:space="0" w:color="auto"/>
              <w:left w:val="none" w:sz="0" w:space="0" w:color="auto"/>
              <w:bottom w:val="none" w:sz="0" w:space="0" w:color="auto"/>
            </w:tcBorders>
          </w:tcPr>
          <w:p w14:paraId="66121040" w14:textId="77777777" w:rsidR="00C80FA2" w:rsidRPr="00904BEF" w:rsidRDefault="00C80FA2" w:rsidP="00A43AD8">
            <w:pPr>
              <w:pStyle w:val="Tablebullet"/>
              <w:ind w:left="224" w:hanging="214"/>
              <w:rPr>
                <w:b w:val="0"/>
                <w:bCs w:val="0"/>
              </w:rPr>
            </w:pPr>
            <w:r w:rsidRPr="00904BEF">
              <w:rPr>
                <w:b w:val="0"/>
                <w:bCs w:val="0"/>
              </w:rPr>
              <w:t>Tracer Studies, Impact Studies and Case Studies</w:t>
            </w:r>
          </w:p>
          <w:p w14:paraId="5E0651B9" w14:textId="77777777" w:rsidR="00C80FA2" w:rsidRPr="00904BEF" w:rsidRDefault="00C80FA2" w:rsidP="00A43AD8">
            <w:pPr>
              <w:pStyle w:val="Tablebullet"/>
              <w:ind w:left="224" w:hanging="214"/>
              <w:rPr>
                <w:b w:val="0"/>
                <w:bCs w:val="0"/>
              </w:rPr>
            </w:pPr>
            <w:r w:rsidRPr="00904BEF">
              <w:rPr>
                <w:b w:val="0"/>
                <w:bCs w:val="0"/>
              </w:rPr>
              <w:lastRenderedPageBreak/>
              <w:t>Evaluation Studies</w:t>
            </w:r>
          </w:p>
        </w:tc>
      </w:tr>
      <w:tr w:rsidR="00D02919" w:rsidRPr="00EF2495" w14:paraId="3A0F3CAB" w14:textId="77777777" w:rsidTr="00904BEF">
        <w:tc>
          <w:tcPr>
            <w:cnfStyle w:val="001000000000" w:firstRow="0" w:lastRow="0" w:firstColumn="1" w:lastColumn="0" w:oddVBand="0" w:evenVBand="0" w:oddHBand="0" w:evenHBand="0" w:firstRowFirstColumn="0" w:firstRowLastColumn="0" w:lastRowFirstColumn="0" w:lastRowLastColumn="0"/>
            <w:tcW w:w="786" w:type="pct"/>
            <w:tcBorders>
              <w:right w:val="none" w:sz="0" w:space="0" w:color="auto"/>
            </w:tcBorders>
          </w:tcPr>
          <w:p w14:paraId="6B0476A8" w14:textId="77777777" w:rsidR="00C80FA2" w:rsidRPr="00904BEF" w:rsidRDefault="00C80FA2" w:rsidP="00A5557A">
            <w:pPr>
              <w:pStyle w:val="TableText0"/>
              <w:rPr>
                <w:b w:val="0"/>
                <w:bCs w:val="0"/>
              </w:rPr>
            </w:pPr>
            <w:r w:rsidRPr="00904BEF">
              <w:rPr>
                <w:b w:val="0"/>
                <w:bCs w:val="0"/>
              </w:rPr>
              <w:lastRenderedPageBreak/>
              <w:t>Academic Institutions</w:t>
            </w:r>
          </w:p>
        </w:tc>
        <w:tc>
          <w:tcPr>
            <w:cnfStyle w:val="000010000000" w:firstRow="0" w:lastRow="0" w:firstColumn="0" w:lastColumn="0" w:oddVBand="1" w:evenVBand="0" w:oddHBand="0" w:evenHBand="0" w:firstRowFirstColumn="0" w:firstRowLastColumn="0" w:lastRowFirstColumn="0" w:lastRowLastColumn="0"/>
            <w:tcW w:w="933" w:type="pct"/>
            <w:tcBorders>
              <w:left w:val="none" w:sz="0" w:space="0" w:color="auto"/>
              <w:right w:val="none" w:sz="0" w:space="0" w:color="auto"/>
            </w:tcBorders>
          </w:tcPr>
          <w:p w14:paraId="25490611" w14:textId="64561D17" w:rsidR="00C80FA2" w:rsidRPr="00904BEF" w:rsidRDefault="00A43AD8" w:rsidP="00F2131E">
            <w:pPr>
              <w:pStyle w:val="Tablebullet"/>
              <w:numPr>
                <w:ilvl w:val="0"/>
                <w:numId w:val="0"/>
              </w:numPr>
              <w:ind w:left="217" w:hanging="207"/>
            </w:pPr>
            <w:r w:rsidRPr="00904BEF">
              <w:t>Not Available</w:t>
            </w:r>
          </w:p>
        </w:tc>
        <w:tc>
          <w:tcPr>
            <w:tcW w:w="1095" w:type="pct"/>
          </w:tcPr>
          <w:p w14:paraId="7D7A778A" w14:textId="77777777" w:rsidR="00C80FA2" w:rsidRPr="00904BEF" w:rsidRDefault="00C80FA2" w:rsidP="00F2131E">
            <w:pPr>
              <w:pStyle w:val="Tablebullet"/>
              <w:ind w:hanging="283"/>
              <w:cnfStyle w:val="000000000000" w:firstRow="0" w:lastRow="0" w:firstColumn="0" w:lastColumn="0" w:oddVBand="0" w:evenVBand="0" w:oddHBand="0" w:evenHBand="0" w:firstRowFirstColumn="0" w:firstRowLastColumn="0" w:lastRowFirstColumn="0" w:lastRowLastColumn="0"/>
            </w:pPr>
            <w:r w:rsidRPr="00904BEF">
              <w:t>Ensure OASIS is up to date</w:t>
            </w:r>
          </w:p>
          <w:p w14:paraId="5E48E044" w14:textId="77777777" w:rsidR="00C80FA2" w:rsidRPr="00904BEF" w:rsidRDefault="00C80FA2" w:rsidP="00F2131E">
            <w:pPr>
              <w:pStyle w:val="Tablebullet"/>
              <w:ind w:hanging="283"/>
              <w:cnfStyle w:val="000000000000" w:firstRow="0" w:lastRow="0" w:firstColumn="0" w:lastColumn="0" w:oddVBand="0" w:evenVBand="0" w:oddHBand="0" w:evenHBand="0" w:firstRowFirstColumn="0" w:firstRowLastColumn="0" w:lastRowFirstColumn="0" w:lastRowLastColumn="0"/>
            </w:pPr>
            <w:r w:rsidRPr="00904BEF">
              <w:t>Monitor activities related to support for awardees</w:t>
            </w:r>
          </w:p>
        </w:tc>
        <w:tc>
          <w:tcPr>
            <w:cnfStyle w:val="000010000000" w:firstRow="0" w:lastRow="0" w:firstColumn="0" w:lastColumn="0" w:oddVBand="1" w:evenVBand="0" w:oddHBand="0" w:evenHBand="0" w:firstRowFirstColumn="0" w:firstRowLastColumn="0" w:lastRowFirstColumn="0" w:lastRowLastColumn="0"/>
            <w:tcW w:w="1171" w:type="pct"/>
            <w:tcBorders>
              <w:left w:val="none" w:sz="0" w:space="0" w:color="auto"/>
              <w:right w:val="none" w:sz="0" w:space="0" w:color="auto"/>
            </w:tcBorders>
          </w:tcPr>
          <w:p w14:paraId="2CD089B7" w14:textId="77777777" w:rsidR="00C80FA2" w:rsidRPr="00904BEF" w:rsidRDefault="00C80FA2" w:rsidP="00F2131E">
            <w:pPr>
              <w:pStyle w:val="Tablebullet"/>
              <w:ind w:left="228" w:hanging="218"/>
            </w:pPr>
            <w:r w:rsidRPr="00904BEF">
              <w:t>Share updated alumni details with DFAT (if agreed)</w:t>
            </w:r>
          </w:p>
          <w:p w14:paraId="573FF25E" w14:textId="77777777" w:rsidR="00C80FA2" w:rsidRPr="00904BEF" w:rsidRDefault="00C80FA2" w:rsidP="00F2131E">
            <w:pPr>
              <w:pStyle w:val="Tablebullet"/>
              <w:ind w:left="228" w:hanging="218"/>
            </w:pPr>
            <w:r w:rsidRPr="00904BEF">
              <w:t>Share results of activities with DFAT</w:t>
            </w:r>
          </w:p>
        </w:tc>
        <w:tc>
          <w:tcPr>
            <w:cnfStyle w:val="000100000000" w:firstRow="0" w:lastRow="0" w:firstColumn="0" w:lastColumn="1" w:oddVBand="0" w:evenVBand="0" w:oddHBand="0" w:evenHBand="0" w:firstRowFirstColumn="0" w:firstRowLastColumn="0" w:lastRowFirstColumn="0" w:lastRowLastColumn="0"/>
            <w:tcW w:w="1015" w:type="pct"/>
            <w:tcBorders>
              <w:left w:val="none" w:sz="0" w:space="0" w:color="auto"/>
            </w:tcBorders>
          </w:tcPr>
          <w:p w14:paraId="4B41E587" w14:textId="77777777" w:rsidR="00C80FA2" w:rsidRPr="00904BEF" w:rsidRDefault="00C80FA2" w:rsidP="00A43AD8">
            <w:pPr>
              <w:pStyle w:val="Tablebullet"/>
              <w:ind w:left="224" w:hanging="214"/>
              <w:rPr>
                <w:b w:val="0"/>
                <w:bCs w:val="0"/>
              </w:rPr>
            </w:pPr>
            <w:r w:rsidRPr="00904BEF">
              <w:rPr>
                <w:b w:val="0"/>
                <w:bCs w:val="0"/>
              </w:rPr>
              <w:t>Share updated alumni details with DFAT (if agreed)</w:t>
            </w:r>
          </w:p>
        </w:tc>
      </w:tr>
      <w:tr w:rsidR="00D02919" w:rsidRPr="00EF2495" w14:paraId="0A22DFBB" w14:textId="77777777" w:rsidTr="00904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6" w:type="pct"/>
            <w:tcBorders>
              <w:top w:val="none" w:sz="0" w:space="0" w:color="auto"/>
              <w:bottom w:val="none" w:sz="0" w:space="0" w:color="auto"/>
              <w:right w:val="none" w:sz="0" w:space="0" w:color="auto"/>
            </w:tcBorders>
          </w:tcPr>
          <w:p w14:paraId="759730AD" w14:textId="77777777" w:rsidR="00C80FA2" w:rsidRPr="00904BEF" w:rsidRDefault="00C80FA2" w:rsidP="00A5557A">
            <w:pPr>
              <w:pStyle w:val="TableText0"/>
              <w:rPr>
                <w:b w:val="0"/>
                <w:bCs w:val="0"/>
              </w:rPr>
            </w:pPr>
            <w:r w:rsidRPr="00904BEF">
              <w:rPr>
                <w:b w:val="0"/>
                <w:bCs w:val="0"/>
              </w:rPr>
              <w:t xml:space="preserve">Host organisations </w:t>
            </w:r>
          </w:p>
        </w:tc>
        <w:tc>
          <w:tcPr>
            <w:cnfStyle w:val="000010000000" w:firstRow="0" w:lastRow="0" w:firstColumn="0" w:lastColumn="0" w:oddVBand="1" w:evenVBand="0" w:oddHBand="0" w:evenHBand="0" w:firstRowFirstColumn="0" w:firstRowLastColumn="0" w:lastRowFirstColumn="0" w:lastRowLastColumn="0"/>
            <w:tcW w:w="933" w:type="pct"/>
            <w:tcBorders>
              <w:top w:val="none" w:sz="0" w:space="0" w:color="auto"/>
              <w:left w:val="none" w:sz="0" w:space="0" w:color="auto"/>
              <w:bottom w:val="none" w:sz="0" w:space="0" w:color="auto"/>
              <w:right w:val="none" w:sz="0" w:space="0" w:color="auto"/>
            </w:tcBorders>
          </w:tcPr>
          <w:p w14:paraId="443364C5" w14:textId="66A6DAF8" w:rsidR="00C80FA2" w:rsidRPr="00904BEF" w:rsidRDefault="00A43AD8" w:rsidP="00F2131E">
            <w:pPr>
              <w:pStyle w:val="Tablebullet"/>
              <w:numPr>
                <w:ilvl w:val="0"/>
                <w:numId w:val="0"/>
              </w:numPr>
              <w:ind w:left="217" w:hanging="207"/>
            </w:pPr>
            <w:r w:rsidRPr="00904BEF">
              <w:t>Not Available</w:t>
            </w:r>
          </w:p>
        </w:tc>
        <w:tc>
          <w:tcPr>
            <w:tcW w:w="1095" w:type="pct"/>
            <w:tcBorders>
              <w:top w:val="none" w:sz="0" w:space="0" w:color="auto"/>
              <w:bottom w:val="none" w:sz="0" w:space="0" w:color="auto"/>
            </w:tcBorders>
          </w:tcPr>
          <w:p w14:paraId="02ADA03A" w14:textId="77777777" w:rsidR="00C80FA2" w:rsidRPr="00904BEF" w:rsidRDefault="00C80FA2" w:rsidP="00F2131E">
            <w:pPr>
              <w:pStyle w:val="Tablebullet"/>
              <w:ind w:hanging="283"/>
              <w:cnfStyle w:val="000000100000" w:firstRow="0" w:lastRow="0" w:firstColumn="0" w:lastColumn="0" w:oddVBand="0" w:evenVBand="0" w:oddHBand="1" w:evenHBand="0" w:firstRowFirstColumn="0" w:firstRowLastColumn="0" w:lastRowFirstColumn="0" w:lastRowLastColumn="0"/>
            </w:pPr>
            <w:r w:rsidRPr="00904BEF">
              <w:t>Monitoring</w:t>
            </w:r>
          </w:p>
        </w:tc>
        <w:tc>
          <w:tcPr>
            <w:cnfStyle w:val="000010000000" w:firstRow="0" w:lastRow="0" w:firstColumn="0" w:lastColumn="0" w:oddVBand="1" w:evenVBand="0" w:oddHBand="0" w:evenHBand="0" w:firstRowFirstColumn="0" w:firstRowLastColumn="0" w:lastRowFirstColumn="0" w:lastRowLastColumn="0"/>
            <w:tcW w:w="1171" w:type="pct"/>
            <w:tcBorders>
              <w:top w:val="none" w:sz="0" w:space="0" w:color="auto"/>
              <w:left w:val="none" w:sz="0" w:space="0" w:color="auto"/>
              <w:bottom w:val="none" w:sz="0" w:space="0" w:color="auto"/>
              <w:right w:val="none" w:sz="0" w:space="0" w:color="auto"/>
            </w:tcBorders>
          </w:tcPr>
          <w:p w14:paraId="59E88F8F" w14:textId="77777777" w:rsidR="00C80FA2" w:rsidRPr="00904BEF" w:rsidRDefault="00C80FA2" w:rsidP="00F2131E">
            <w:pPr>
              <w:pStyle w:val="Tablebullet"/>
              <w:ind w:left="228" w:hanging="218"/>
            </w:pPr>
            <w:r w:rsidRPr="00904BEF">
              <w:t xml:space="preserve">Completion reports shared with DFAT </w:t>
            </w:r>
          </w:p>
        </w:tc>
        <w:tc>
          <w:tcPr>
            <w:cnfStyle w:val="000100000000" w:firstRow="0" w:lastRow="0" w:firstColumn="0" w:lastColumn="1" w:oddVBand="0" w:evenVBand="0" w:oddHBand="0" w:evenHBand="0" w:firstRowFirstColumn="0" w:firstRowLastColumn="0" w:lastRowFirstColumn="0" w:lastRowLastColumn="0"/>
            <w:tcW w:w="1015" w:type="pct"/>
            <w:tcBorders>
              <w:top w:val="none" w:sz="0" w:space="0" w:color="auto"/>
              <w:left w:val="none" w:sz="0" w:space="0" w:color="auto"/>
              <w:bottom w:val="none" w:sz="0" w:space="0" w:color="auto"/>
            </w:tcBorders>
          </w:tcPr>
          <w:p w14:paraId="49D84D86" w14:textId="77777777" w:rsidR="00C80FA2" w:rsidRPr="00904BEF" w:rsidRDefault="00C80FA2" w:rsidP="00A43AD8">
            <w:pPr>
              <w:pStyle w:val="Tablebullet"/>
              <w:ind w:left="224" w:hanging="214"/>
              <w:rPr>
                <w:b w:val="0"/>
                <w:bCs w:val="0"/>
              </w:rPr>
            </w:pPr>
            <w:r w:rsidRPr="00904BEF">
              <w:rPr>
                <w:b w:val="0"/>
                <w:bCs w:val="0"/>
              </w:rPr>
              <w:t>Completion reports shared with DFAT</w:t>
            </w:r>
          </w:p>
        </w:tc>
      </w:tr>
      <w:tr w:rsidR="00D02919" w:rsidRPr="00EF2495" w14:paraId="4C4EF473" w14:textId="77777777" w:rsidTr="00904BEF">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786" w:type="pct"/>
            <w:tcBorders>
              <w:top w:val="none" w:sz="0" w:space="0" w:color="auto"/>
              <w:right w:val="none" w:sz="0" w:space="0" w:color="auto"/>
            </w:tcBorders>
          </w:tcPr>
          <w:p w14:paraId="76EDB86F" w14:textId="77777777" w:rsidR="00C80FA2" w:rsidRPr="00904BEF" w:rsidRDefault="00C80FA2" w:rsidP="00A5557A">
            <w:pPr>
              <w:pStyle w:val="TableText0"/>
              <w:rPr>
                <w:b w:val="0"/>
                <w:bCs w:val="0"/>
              </w:rPr>
            </w:pPr>
            <w:r w:rsidRPr="00904BEF">
              <w:rPr>
                <w:b w:val="0"/>
                <w:bCs w:val="0"/>
              </w:rPr>
              <w:t>DFAT State Offices</w:t>
            </w:r>
          </w:p>
        </w:tc>
        <w:tc>
          <w:tcPr>
            <w:cnfStyle w:val="000010000000" w:firstRow="0" w:lastRow="0" w:firstColumn="0" w:lastColumn="0" w:oddVBand="1" w:evenVBand="0" w:oddHBand="0" w:evenHBand="0" w:firstRowFirstColumn="0" w:firstRowLastColumn="0" w:lastRowFirstColumn="0" w:lastRowLastColumn="0"/>
            <w:tcW w:w="933" w:type="pct"/>
            <w:tcBorders>
              <w:top w:val="none" w:sz="0" w:space="0" w:color="auto"/>
              <w:left w:val="none" w:sz="0" w:space="0" w:color="auto"/>
              <w:right w:val="none" w:sz="0" w:space="0" w:color="auto"/>
            </w:tcBorders>
          </w:tcPr>
          <w:p w14:paraId="18C980AC" w14:textId="52229D56" w:rsidR="00C80FA2" w:rsidRPr="00904BEF" w:rsidRDefault="00A43AD8" w:rsidP="00F2131E">
            <w:pPr>
              <w:pStyle w:val="Tablebullet"/>
              <w:numPr>
                <w:ilvl w:val="0"/>
                <w:numId w:val="0"/>
              </w:numPr>
              <w:ind w:left="217" w:hanging="207"/>
              <w:rPr>
                <w:b w:val="0"/>
                <w:bCs w:val="0"/>
              </w:rPr>
            </w:pPr>
            <w:r w:rsidRPr="00904BEF">
              <w:rPr>
                <w:b w:val="0"/>
                <w:bCs w:val="0"/>
              </w:rPr>
              <w:t>Not Available</w:t>
            </w:r>
          </w:p>
        </w:tc>
        <w:tc>
          <w:tcPr>
            <w:tcW w:w="1095" w:type="pct"/>
            <w:tcBorders>
              <w:top w:val="none" w:sz="0" w:space="0" w:color="auto"/>
            </w:tcBorders>
          </w:tcPr>
          <w:p w14:paraId="055A1430" w14:textId="77777777" w:rsidR="00C80FA2" w:rsidRPr="00904BEF" w:rsidRDefault="00C80FA2" w:rsidP="00F2131E">
            <w:pPr>
              <w:pStyle w:val="Tablebullet"/>
              <w:ind w:hanging="283"/>
              <w:cnfStyle w:val="010000000000" w:firstRow="0" w:lastRow="1" w:firstColumn="0" w:lastColumn="0" w:oddVBand="0" w:evenVBand="0" w:oddHBand="0" w:evenHBand="0" w:firstRowFirstColumn="0" w:firstRowLastColumn="0" w:lastRowFirstColumn="0" w:lastRowLastColumn="0"/>
              <w:rPr>
                <w:b w:val="0"/>
                <w:bCs w:val="0"/>
              </w:rPr>
            </w:pPr>
            <w:r w:rsidRPr="00904BEF">
              <w:rPr>
                <w:b w:val="0"/>
                <w:bCs w:val="0"/>
              </w:rPr>
              <w:t>Maintain records of on award engagement (if applicable)</w:t>
            </w:r>
          </w:p>
        </w:tc>
        <w:tc>
          <w:tcPr>
            <w:cnfStyle w:val="000010000000" w:firstRow="0" w:lastRow="0" w:firstColumn="0" w:lastColumn="0" w:oddVBand="1" w:evenVBand="0" w:oddHBand="0" w:evenHBand="0" w:firstRowFirstColumn="0" w:firstRowLastColumn="0" w:lastRowFirstColumn="0" w:lastRowLastColumn="0"/>
            <w:tcW w:w="1171" w:type="pct"/>
            <w:tcBorders>
              <w:top w:val="none" w:sz="0" w:space="0" w:color="auto"/>
              <w:left w:val="none" w:sz="0" w:space="0" w:color="auto"/>
              <w:right w:val="none" w:sz="0" w:space="0" w:color="auto"/>
            </w:tcBorders>
          </w:tcPr>
          <w:p w14:paraId="6BC536C6" w14:textId="1E882485" w:rsidR="00C80FA2" w:rsidRPr="00904BEF" w:rsidRDefault="00A43AD8" w:rsidP="00F2131E">
            <w:pPr>
              <w:pStyle w:val="Tablebullet"/>
              <w:numPr>
                <w:ilvl w:val="0"/>
                <w:numId w:val="0"/>
              </w:numPr>
              <w:ind w:left="228" w:hanging="218"/>
              <w:rPr>
                <w:b w:val="0"/>
                <w:bCs w:val="0"/>
              </w:rPr>
            </w:pPr>
            <w:r w:rsidRPr="00904BEF">
              <w:rPr>
                <w:b w:val="0"/>
                <w:bCs w:val="0"/>
              </w:rPr>
              <w:t>Not Available</w:t>
            </w:r>
          </w:p>
        </w:tc>
        <w:tc>
          <w:tcPr>
            <w:cnfStyle w:val="000100000010" w:firstRow="0" w:lastRow="0" w:firstColumn="0" w:lastColumn="1" w:oddVBand="0" w:evenVBand="0" w:oddHBand="0" w:evenHBand="0" w:firstRowFirstColumn="0" w:firstRowLastColumn="0" w:lastRowFirstColumn="0" w:lastRowLastColumn="1"/>
            <w:tcW w:w="1015" w:type="pct"/>
            <w:tcBorders>
              <w:top w:val="none" w:sz="0" w:space="0" w:color="auto"/>
              <w:left w:val="none" w:sz="0" w:space="0" w:color="auto"/>
            </w:tcBorders>
          </w:tcPr>
          <w:p w14:paraId="07D332C2" w14:textId="06BC5800" w:rsidR="00C80FA2" w:rsidRPr="00904BEF" w:rsidRDefault="00A43AD8" w:rsidP="00A43AD8">
            <w:pPr>
              <w:pStyle w:val="Tablebullet"/>
              <w:numPr>
                <w:ilvl w:val="0"/>
                <w:numId w:val="0"/>
              </w:numPr>
              <w:ind w:left="224" w:hanging="214"/>
              <w:rPr>
                <w:b w:val="0"/>
                <w:bCs w:val="0"/>
              </w:rPr>
            </w:pPr>
            <w:r w:rsidRPr="00904BEF">
              <w:rPr>
                <w:b w:val="0"/>
                <w:bCs w:val="0"/>
              </w:rPr>
              <w:t>Not Available</w:t>
            </w:r>
          </w:p>
        </w:tc>
      </w:tr>
    </w:tbl>
    <w:p w14:paraId="0C04AD8E" w14:textId="63A0F6E4" w:rsidR="00C80FA2" w:rsidRPr="00EF2495" w:rsidRDefault="003E4E20" w:rsidP="0010678F">
      <w:pPr>
        <w:pStyle w:val="Heading2"/>
        <w:ind w:left="0" w:firstLine="0"/>
      </w:pPr>
      <w:bookmarkStart w:id="89" w:name="_Toc185321243"/>
      <w:r w:rsidRPr="00EF2495">
        <w:t>3</w:t>
      </w:r>
      <w:r w:rsidR="00743296" w:rsidRPr="00EF2495">
        <w:t>.</w:t>
      </w:r>
      <w:r w:rsidR="00743296" w:rsidRPr="00EF2495">
        <w:tab/>
      </w:r>
      <w:r w:rsidR="00C80FA2" w:rsidRPr="00EF2495">
        <w:t>Tonga AAS and AAPS applications</w:t>
      </w:r>
      <w:bookmarkEnd w:id="89"/>
    </w:p>
    <w:p w14:paraId="1583DB0B" w14:textId="78AA599C" w:rsidR="00C80FA2" w:rsidRPr="00EF2495" w:rsidRDefault="00C80FA2" w:rsidP="00EF2495">
      <w:pPr>
        <w:rPr>
          <w:lang w:val="en-US" w:eastAsia="en-AU"/>
        </w:rPr>
      </w:pPr>
      <w:r w:rsidRPr="00EF2495">
        <w:rPr>
          <w:lang w:val="en-US" w:eastAsia="en-AU"/>
        </w:rPr>
        <w:t xml:space="preserve">Table </w:t>
      </w:r>
      <w:r w:rsidRPr="00EF2495">
        <w:rPr>
          <w:lang w:val="en-US" w:eastAsia="en-AU"/>
        </w:rPr>
        <w:fldChar w:fldCharType="begin"/>
      </w:r>
      <w:r w:rsidRPr="00EF2495">
        <w:rPr>
          <w:lang w:val="en-US" w:eastAsia="en-AU"/>
        </w:rPr>
        <w:instrText xml:space="preserve"> SEQ Table \* ARABIC </w:instrText>
      </w:r>
      <w:r w:rsidRPr="00EF2495">
        <w:rPr>
          <w:lang w:val="en-US" w:eastAsia="en-AU"/>
        </w:rPr>
        <w:fldChar w:fldCharType="separate"/>
      </w:r>
      <w:r w:rsidR="003B4A8A" w:rsidRPr="00EF2495">
        <w:rPr>
          <w:lang w:val="en-US" w:eastAsia="en-AU"/>
        </w:rPr>
        <w:t>1</w:t>
      </w:r>
      <w:r w:rsidRPr="00EF2495">
        <w:rPr>
          <w:lang w:val="en-US" w:eastAsia="en-AU"/>
        </w:rPr>
        <w:fldChar w:fldCharType="end"/>
      </w:r>
      <w:r w:rsidRPr="00EF2495">
        <w:rPr>
          <w:lang w:val="en-US" w:eastAsia="en-AU"/>
        </w:rPr>
        <w:t>:   Applications by award program and intake round</w:t>
      </w:r>
    </w:p>
    <w:tbl>
      <w:tblPr>
        <w:tblStyle w:val="ListTable3"/>
        <w:tblW w:w="8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276"/>
        <w:gridCol w:w="1134"/>
        <w:gridCol w:w="1134"/>
        <w:gridCol w:w="828"/>
        <w:gridCol w:w="709"/>
        <w:gridCol w:w="992"/>
      </w:tblGrid>
      <w:tr w:rsidR="00935FBF" w:rsidRPr="00EF2495" w14:paraId="7D4C855E" w14:textId="77777777" w:rsidTr="006357C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2547" w:type="dxa"/>
            <w:tcBorders>
              <w:bottom w:val="none" w:sz="0" w:space="0" w:color="auto"/>
              <w:right w:val="none" w:sz="0" w:space="0" w:color="auto"/>
            </w:tcBorders>
            <w:noWrap/>
            <w:hideMark/>
          </w:tcPr>
          <w:p w14:paraId="6724BDD7" w14:textId="42AC9AF7" w:rsidR="00C80FA2" w:rsidRPr="00F1632D" w:rsidRDefault="0020248F" w:rsidP="00EF2495">
            <w:pPr>
              <w:rPr>
                <w:b w:val="0"/>
                <w:bCs w:val="0"/>
              </w:rPr>
            </w:pPr>
            <w:r w:rsidRPr="00F1632D">
              <w:t>Item</w:t>
            </w:r>
          </w:p>
        </w:tc>
        <w:tc>
          <w:tcPr>
            <w:tcW w:w="1276" w:type="dxa"/>
            <w:noWrap/>
            <w:hideMark/>
          </w:tcPr>
          <w:p w14:paraId="0793C849" w14:textId="1509AB70" w:rsidR="00C80FA2" w:rsidRPr="00F1632D" w:rsidRDefault="00B4503A"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2020 </w:t>
            </w:r>
            <w:r w:rsidR="00C80FA2" w:rsidRPr="00F1632D">
              <w:t>AAPS</w:t>
            </w:r>
          </w:p>
        </w:tc>
        <w:tc>
          <w:tcPr>
            <w:tcW w:w="1134" w:type="dxa"/>
            <w:noWrap/>
            <w:hideMark/>
          </w:tcPr>
          <w:p w14:paraId="4B775091" w14:textId="71F2D604" w:rsidR="00C80FA2" w:rsidRPr="00F1632D" w:rsidRDefault="00B4503A"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2020 </w:t>
            </w:r>
            <w:r w:rsidR="00C80FA2" w:rsidRPr="00F1632D">
              <w:t>AAS</w:t>
            </w:r>
          </w:p>
        </w:tc>
        <w:tc>
          <w:tcPr>
            <w:tcW w:w="1134" w:type="dxa"/>
            <w:noWrap/>
            <w:hideMark/>
          </w:tcPr>
          <w:p w14:paraId="3B5A9F6C" w14:textId="7CEECECA" w:rsidR="00C80FA2" w:rsidRPr="00F1632D" w:rsidRDefault="00B4503A"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2020 Total</w:t>
            </w:r>
          </w:p>
        </w:tc>
        <w:tc>
          <w:tcPr>
            <w:tcW w:w="803" w:type="dxa"/>
            <w:noWrap/>
            <w:hideMark/>
          </w:tcPr>
          <w:p w14:paraId="1EA2B66C" w14:textId="235C0F8E" w:rsidR="00C80FA2" w:rsidRPr="00F1632D" w:rsidRDefault="00B4503A"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2024 </w:t>
            </w:r>
            <w:r w:rsidR="00C80FA2" w:rsidRPr="00F1632D">
              <w:t>AAPS</w:t>
            </w:r>
          </w:p>
        </w:tc>
        <w:tc>
          <w:tcPr>
            <w:tcW w:w="709" w:type="dxa"/>
            <w:noWrap/>
            <w:hideMark/>
          </w:tcPr>
          <w:p w14:paraId="633D0BF3" w14:textId="0E3C9AFF" w:rsidR="00C80FA2" w:rsidRPr="00F1632D" w:rsidRDefault="00B4503A"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2024 </w:t>
            </w:r>
            <w:r w:rsidR="00C80FA2" w:rsidRPr="00F1632D">
              <w:t>AAS</w:t>
            </w:r>
          </w:p>
        </w:tc>
        <w:tc>
          <w:tcPr>
            <w:tcW w:w="992" w:type="dxa"/>
            <w:noWrap/>
            <w:hideMark/>
          </w:tcPr>
          <w:p w14:paraId="38004464" w14:textId="291DE225" w:rsidR="00C80FA2" w:rsidRPr="00F1632D" w:rsidRDefault="00B4503A"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2024 Total</w:t>
            </w:r>
          </w:p>
        </w:tc>
      </w:tr>
      <w:tr w:rsidR="00935FBF" w:rsidRPr="00EF2495" w14:paraId="350B41B3" w14:textId="77777777" w:rsidTr="00EA400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noWrap/>
            <w:hideMark/>
          </w:tcPr>
          <w:p w14:paraId="7BA56D91" w14:textId="77777777" w:rsidR="00C80FA2" w:rsidRPr="00EF2495" w:rsidRDefault="00C80FA2" w:rsidP="00EF2495">
            <w:r w:rsidRPr="00EF2495">
              <w:t xml:space="preserve"># applications </w:t>
            </w:r>
          </w:p>
        </w:tc>
        <w:tc>
          <w:tcPr>
            <w:tcW w:w="1276" w:type="dxa"/>
            <w:tcBorders>
              <w:top w:val="none" w:sz="0" w:space="0" w:color="auto"/>
              <w:bottom w:val="none" w:sz="0" w:space="0" w:color="auto"/>
            </w:tcBorders>
            <w:noWrap/>
            <w:hideMark/>
          </w:tcPr>
          <w:p w14:paraId="14694EC9"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181</w:t>
            </w:r>
          </w:p>
        </w:tc>
        <w:tc>
          <w:tcPr>
            <w:tcW w:w="1134" w:type="dxa"/>
            <w:tcBorders>
              <w:top w:val="none" w:sz="0" w:space="0" w:color="auto"/>
              <w:bottom w:val="none" w:sz="0" w:space="0" w:color="auto"/>
            </w:tcBorders>
            <w:noWrap/>
            <w:hideMark/>
          </w:tcPr>
          <w:p w14:paraId="27003948"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118</w:t>
            </w:r>
          </w:p>
        </w:tc>
        <w:tc>
          <w:tcPr>
            <w:tcW w:w="1134" w:type="dxa"/>
            <w:tcBorders>
              <w:top w:val="none" w:sz="0" w:space="0" w:color="auto"/>
              <w:bottom w:val="none" w:sz="0" w:space="0" w:color="auto"/>
            </w:tcBorders>
            <w:noWrap/>
            <w:hideMark/>
          </w:tcPr>
          <w:p w14:paraId="4EA244D7"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299</w:t>
            </w:r>
          </w:p>
        </w:tc>
        <w:tc>
          <w:tcPr>
            <w:tcW w:w="803" w:type="dxa"/>
            <w:tcBorders>
              <w:top w:val="none" w:sz="0" w:space="0" w:color="auto"/>
              <w:bottom w:val="none" w:sz="0" w:space="0" w:color="auto"/>
            </w:tcBorders>
            <w:noWrap/>
            <w:hideMark/>
          </w:tcPr>
          <w:p w14:paraId="4237C319"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112</w:t>
            </w:r>
          </w:p>
        </w:tc>
        <w:tc>
          <w:tcPr>
            <w:tcW w:w="709" w:type="dxa"/>
            <w:tcBorders>
              <w:top w:val="none" w:sz="0" w:space="0" w:color="auto"/>
              <w:bottom w:val="none" w:sz="0" w:space="0" w:color="auto"/>
            </w:tcBorders>
            <w:noWrap/>
            <w:hideMark/>
          </w:tcPr>
          <w:p w14:paraId="70446B7F"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136</w:t>
            </w:r>
          </w:p>
        </w:tc>
        <w:tc>
          <w:tcPr>
            <w:tcW w:w="992" w:type="dxa"/>
            <w:tcBorders>
              <w:top w:val="none" w:sz="0" w:space="0" w:color="auto"/>
              <w:bottom w:val="none" w:sz="0" w:space="0" w:color="auto"/>
            </w:tcBorders>
            <w:noWrap/>
            <w:hideMark/>
          </w:tcPr>
          <w:p w14:paraId="0BDCEA0A"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248</w:t>
            </w:r>
          </w:p>
        </w:tc>
      </w:tr>
    </w:tbl>
    <w:p w14:paraId="4BF0697D" w14:textId="7BE70EE9" w:rsidR="00C80FA2" w:rsidRPr="00EF2495" w:rsidRDefault="00C80FA2" w:rsidP="00EF2495">
      <w:pPr>
        <w:rPr>
          <w:lang w:val="en-US" w:eastAsia="en-AU"/>
        </w:rPr>
      </w:pPr>
      <w:r w:rsidRPr="00EF2495">
        <w:rPr>
          <w:lang w:val="en-US" w:eastAsia="en-AU"/>
        </w:rPr>
        <w:t xml:space="preserve">Table </w:t>
      </w:r>
      <w:r w:rsidRPr="00EF2495">
        <w:rPr>
          <w:lang w:val="en-US" w:eastAsia="en-AU"/>
        </w:rPr>
        <w:fldChar w:fldCharType="begin"/>
      </w:r>
      <w:r w:rsidRPr="00EF2495">
        <w:rPr>
          <w:lang w:val="en-US" w:eastAsia="en-AU"/>
        </w:rPr>
        <w:instrText xml:space="preserve"> SEQ Table \* ARABIC </w:instrText>
      </w:r>
      <w:r w:rsidRPr="00EF2495">
        <w:rPr>
          <w:lang w:val="en-US" w:eastAsia="en-AU"/>
        </w:rPr>
        <w:fldChar w:fldCharType="separate"/>
      </w:r>
      <w:r w:rsidR="003B4A8A" w:rsidRPr="00EF2495">
        <w:rPr>
          <w:lang w:val="en-US" w:eastAsia="en-AU"/>
        </w:rPr>
        <w:t>2</w:t>
      </w:r>
      <w:r w:rsidRPr="00EF2495">
        <w:rPr>
          <w:lang w:val="en-US" w:eastAsia="en-AU"/>
        </w:rPr>
        <w:fldChar w:fldCharType="end"/>
      </w:r>
      <w:r w:rsidRPr="00EF2495">
        <w:rPr>
          <w:lang w:val="en-US" w:eastAsia="en-AU"/>
        </w:rPr>
        <w:t xml:space="preserve">:   Applications by award program, gender and </w:t>
      </w:r>
      <w:proofErr w:type="gramStart"/>
      <w:r w:rsidRPr="00EF2495">
        <w:rPr>
          <w:lang w:val="en-US" w:eastAsia="en-AU"/>
        </w:rPr>
        <w:t>intake round</w:t>
      </w:r>
      <w:proofErr w:type="gramEnd"/>
    </w:p>
    <w:tbl>
      <w:tblPr>
        <w:tblStyle w:val="ListTable3"/>
        <w:tblW w:w="8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2540"/>
        <w:gridCol w:w="1283"/>
        <w:gridCol w:w="1176"/>
        <w:gridCol w:w="1060"/>
        <w:gridCol w:w="828"/>
        <w:gridCol w:w="779"/>
        <w:gridCol w:w="1060"/>
      </w:tblGrid>
      <w:tr w:rsidR="002D459B" w:rsidRPr="00EF2495" w14:paraId="5D6DABDF" w14:textId="77777777" w:rsidTr="006357C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2540" w:type="dxa"/>
            <w:tcBorders>
              <w:bottom w:val="none" w:sz="0" w:space="0" w:color="auto"/>
              <w:right w:val="none" w:sz="0" w:space="0" w:color="auto"/>
            </w:tcBorders>
            <w:noWrap/>
            <w:hideMark/>
          </w:tcPr>
          <w:p w14:paraId="59390911" w14:textId="77777777" w:rsidR="00C80FA2" w:rsidRPr="00F1632D" w:rsidRDefault="00C80FA2" w:rsidP="00EF2495">
            <w:pPr>
              <w:rPr>
                <w:b w:val="0"/>
                <w:bCs w:val="0"/>
              </w:rPr>
            </w:pPr>
            <w:r w:rsidRPr="00F1632D">
              <w:t>Gender</w:t>
            </w:r>
          </w:p>
        </w:tc>
        <w:tc>
          <w:tcPr>
            <w:tcW w:w="1283" w:type="dxa"/>
            <w:noWrap/>
            <w:hideMark/>
          </w:tcPr>
          <w:p w14:paraId="7C1DB713" w14:textId="3D4030A5" w:rsidR="00C80FA2" w:rsidRPr="00F1632D" w:rsidRDefault="0020248F"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2020 </w:t>
            </w:r>
            <w:r w:rsidR="00C80FA2" w:rsidRPr="00F1632D">
              <w:t>AAPS</w:t>
            </w:r>
          </w:p>
        </w:tc>
        <w:tc>
          <w:tcPr>
            <w:tcW w:w="1176" w:type="dxa"/>
            <w:noWrap/>
            <w:hideMark/>
          </w:tcPr>
          <w:p w14:paraId="1B05554E" w14:textId="49C4BAE2" w:rsidR="00C80FA2" w:rsidRPr="00F1632D" w:rsidRDefault="0020248F"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2020 </w:t>
            </w:r>
            <w:r w:rsidR="00C80FA2" w:rsidRPr="00F1632D">
              <w:t>AAS</w:t>
            </w:r>
          </w:p>
        </w:tc>
        <w:tc>
          <w:tcPr>
            <w:tcW w:w="1060" w:type="dxa"/>
            <w:noWrap/>
            <w:hideMark/>
          </w:tcPr>
          <w:p w14:paraId="36A65F7D" w14:textId="5771CBFC" w:rsidR="00C80FA2" w:rsidRPr="00F1632D" w:rsidRDefault="0020248F"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2020 Total</w:t>
            </w:r>
          </w:p>
        </w:tc>
        <w:tc>
          <w:tcPr>
            <w:tcW w:w="803" w:type="dxa"/>
            <w:noWrap/>
            <w:hideMark/>
          </w:tcPr>
          <w:p w14:paraId="27AA0332" w14:textId="3A4263A8" w:rsidR="00C80FA2" w:rsidRPr="00F1632D" w:rsidRDefault="0020248F"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2024 </w:t>
            </w:r>
            <w:r w:rsidR="00C80FA2" w:rsidRPr="00F1632D">
              <w:t>AAPS</w:t>
            </w:r>
          </w:p>
        </w:tc>
        <w:tc>
          <w:tcPr>
            <w:tcW w:w="779" w:type="dxa"/>
            <w:noWrap/>
            <w:hideMark/>
          </w:tcPr>
          <w:p w14:paraId="40496543" w14:textId="7A38C6F2" w:rsidR="00C80FA2" w:rsidRPr="00F1632D" w:rsidRDefault="00C17265"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2024 </w:t>
            </w:r>
            <w:r w:rsidR="00C80FA2" w:rsidRPr="00F1632D">
              <w:t>AAS</w:t>
            </w:r>
          </w:p>
        </w:tc>
        <w:tc>
          <w:tcPr>
            <w:tcW w:w="1060" w:type="dxa"/>
            <w:noWrap/>
            <w:hideMark/>
          </w:tcPr>
          <w:p w14:paraId="5ABE9BD9" w14:textId="0856C350" w:rsidR="00C80FA2" w:rsidRPr="00F1632D" w:rsidRDefault="00C17265"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2024 Total</w:t>
            </w:r>
          </w:p>
        </w:tc>
      </w:tr>
      <w:tr w:rsidR="00C80FA2" w:rsidRPr="00EF2495" w14:paraId="26A49273" w14:textId="77777777" w:rsidTr="00EA400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0" w:type="dxa"/>
            <w:tcBorders>
              <w:top w:val="none" w:sz="0" w:space="0" w:color="auto"/>
              <w:bottom w:val="none" w:sz="0" w:space="0" w:color="auto"/>
              <w:right w:val="none" w:sz="0" w:space="0" w:color="auto"/>
            </w:tcBorders>
            <w:noWrap/>
            <w:hideMark/>
          </w:tcPr>
          <w:p w14:paraId="53677442" w14:textId="77777777" w:rsidR="00C80FA2" w:rsidRPr="00EF2495" w:rsidRDefault="00C80FA2" w:rsidP="00EF2495">
            <w:r w:rsidRPr="00EF2495">
              <w:t>Female</w:t>
            </w:r>
          </w:p>
        </w:tc>
        <w:tc>
          <w:tcPr>
            <w:tcW w:w="1283" w:type="dxa"/>
            <w:tcBorders>
              <w:top w:val="none" w:sz="0" w:space="0" w:color="auto"/>
              <w:bottom w:val="none" w:sz="0" w:space="0" w:color="auto"/>
            </w:tcBorders>
            <w:noWrap/>
            <w:hideMark/>
          </w:tcPr>
          <w:p w14:paraId="42E3F78C"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69%</w:t>
            </w:r>
          </w:p>
        </w:tc>
        <w:tc>
          <w:tcPr>
            <w:tcW w:w="1176" w:type="dxa"/>
            <w:tcBorders>
              <w:top w:val="none" w:sz="0" w:space="0" w:color="auto"/>
              <w:bottom w:val="none" w:sz="0" w:space="0" w:color="auto"/>
            </w:tcBorders>
            <w:noWrap/>
            <w:hideMark/>
          </w:tcPr>
          <w:p w14:paraId="3E9C7B18"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70%</w:t>
            </w:r>
          </w:p>
        </w:tc>
        <w:tc>
          <w:tcPr>
            <w:tcW w:w="1060" w:type="dxa"/>
            <w:tcBorders>
              <w:top w:val="none" w:sz="0" w:space="0" w:color="auto"/>
              <w:bottom w:val="none" w:sz="0" w:space="0" w:color="auto"/>
            </w:tcBorders>
            <w:noWrap/>
            <w:hideMark/>
          </w:tcPr>
          <w:p w14:paraId="142B1B44"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70%</w:t>
            </w:r>
          </w:p>
        </w:tc>
        <w:tc>
          <w:tcPr>
            <w:tcW w:w="803" w:type="dxa"/>
            <w:tcBorders>
              <w:top w:val="none" w:sz="0" w:space="0" w:color="auto"/>
              <w:bottom w:val="none" w:sz="0" w:space="0" w:color="auto"/>
            </w:tcBorders>
            <w:noWrap/>
            <w:hideMark/>
          </w:tcPr>
          <w:p w14:paraId="54C1C77C"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67%</w:t>
            </w:r>
          </w:p>
        </w:tc>
        <w:tc>
          <w:tcPr>
            <w:tcW w:w="779" w:type="dxa"/>
            <w:tcBorders>
              <w:top w:val="none" w:sz="0" w:space="0" w:color="auto"/>
              <w:bottom w:val="none" w:sz="0" w:space="0" w:color="auto"/>
            </w:tcBorders>
            <w:noWrap/>
            <w:hideMark/>
          </w:tcPr>
          <w:p w14:paraId="290EBA56"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60%</w:t>
            </w:r>
          </w:p>
        </w:tc>
        <w:tc>
          <w:tcPr>
            <w:tcW w:w="1060" w:type="dxa"/>
            <w:tcBorders>
              <w:top w:val="none" w:sz="0" w:space="0" w:color="auto"/>
              <w:bottom w:val="none" w:sz="0" w:space="0" w:color="auto"/>
            </w:tcBorders>
            <w:noWrap/>
            <w:hideMark/>
          </w:tcPr>
          <w:p w14:paraId="350F4A5D"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63%</w:t>
            </w:r>
          </w:p>
        </w:tc>
      </w:tr>
      <w:tr w:rsidR="00C80FA2" w:rsidRPr="00EF2495" w14:paraId="19A8EBC3" w14:textId="77777777" w:rsidTr="00EA4002">
        <w:trPr>
          <w:trHeight w:val="290"/>
        </w:trPr>
        <w:tc>
          <w:tcPr>
            <w:cnfStyle w:val="001000000000" w:firstRow="0" w:lastRow="0" w:firstColumn="1" w:lastColumn="0" w:oddVBand="0" w:evenVBand="0" w:oddHBand="0" w:evenHBand="0" w:firstRowFirstColumn="0" w:firstRowLastColumn="0" w:lastRowFirstColumn="0" w:lastRowLastColumn="0"/>
            <w:tcW w:w="2540" w:type="dxa"/>
            <w:tcBorders>
              <w:right w:val="none" w:sz="0" w:space="0" w:color="auto"/>
            </w:tcBorders>
            <w:noWrap/>
            <w:hideMark/>
          </w:tcPr>
          <w:p w14:paraId="12931641" w14:textId="77777777" w:rsidR="00C80FA2" w:rsidRPr="00EF2495" w:rsidRDefault="00C80FA2" w:rsidP="00EF2495">
            <w:r w:rsidRPr="00EF2495">
              <w:t>Male</w:t>
            </w:r>
          </w:p>
        </w:tc>
        <w:tc>
          <w:tcPr>
            <w:tcW w:w="1283" w:type="dxa"/>
            <w:noWrap/>
            <w:hideMark/>
          </w:tcPr>
          <w:p w14:paraId="2FC9723D"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31%</w:t>
            </w:r>
          </w:p>
        </w:tc>
        <w:tc>
          <w:tcPr>
            <w:tcW w:w="1176" w:type="dxa"/>
            <w:noWrap/>
            <w:hideMark/>
          </w:tcPr>
          <w:p w14:paraId="5E305198"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30%</w:t>
            </w:r>
          </w:p>
        </w:tc>
        <w:tc>
          <w:tcPr>
            <w:tcW w:w="1060" w:type="dxa"/>
            <w:noWrap/>
            <w:hideMark/>
          </w:tcPr>
          <w:p w14:paraId="7EB72056"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30%</w:t>
            </w:r>
          </w:p>
        </w:tc>
        <w:tc>
          <w:tcPr>
            <w:tcW w:w="803" w:type="dxa"/>
            <w:noWrap/>
            <w:hideMark/>
          </w:tcPr>
          <w:p w14:paraId="52608791"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33%</w:t>
            </w:r>
          </w:p>
        </w:tc>
        <w:tc>
          <w:tcPr>
            <w:tcW w:w="779" w:type="dxa"/>
            <w:noWrap/>
            <w:hideMark/>
          </w:tcPr>
          <w:p w14:paraId="5C3D971F"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40%</w:t>
            </w:r>
          </w:p>
        </w:tc>
        <w:tc>
          <w:tcPr>
            <w:tcW w:w="1060" w:type="dxa"/>
            <w:noWrap/>
            <w:hideMark/>
          </w:tcPr>
          <w:p w14:paraId="41DB6B1C"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37%</w:t>
            </w:r>
          </w:p>
        </w:tc>
      </w:tr>
      <w:tr w:rsidR="00E928CA" w:rsidRPr="00EF2495" w14:paraId="14DEA5AE" w14:textId="77777777" w:rsidTr="00EA4002">
        <w:trPr>
          <w:cnfStyle w:val="010000000000" w:firstRow="0" w:lastRow="1" w:firstColumn="0" w:lastColumn="0" w:oddVBand="0" w:evenVBand="0" w:oddHBand="0" w:evenHBand="0" w:firstRowFirstColumn="0" w:firstRowLastColumn="0" w:lastRowFirstColumn="0" w:lastRowLastColumn="0"/>
          <w:trHeight w:val="290"/>
        </w:trPr>
        <w:tc>
          <w:tcPr>
            <w:cnfStyle w:val="001000000001" w:firstRow="0" w:lastRow="0" w:firstColumn="1" w:lastColumn="0" w:oddVBand="0" w:evenVBand="0" w:oddHBand="0" w:evenHBand="0" w:firstRowFirstColumn="0" w:firstRowLastColumn="0" w:lastRowFirstColumn="1" w:lastRowLastColumn="0"/>
            <w:tcW w:w="2540" w:type="dxa"/>
            <w:tcBorders>
              <w:top w:val="none" w:sz="0" w:space="0" w:color="auto"/>
              <w:right w:val="none" w:sz="0" w:space="0" w:color="auto"/>
            </w:tcBorders>
            <w:noWrap/>
            <w:hideMark/>
          </w:tcPr>
          <w:p w14:paraId="00696279" w14:textId="77777777" w:rsidR="00C80FA2" w:rsidRPr="00EF2495" w:rsidRDefault="00C80FA2" w:rsidP="00EF2495">
            <w:r w:rsidRPr="00EF2495">
              <w:t>Total</w:t>
            </w:r>
          </w:p>
        </w:tc>
        <w:tc>
          <w:tcPr>
            <w:tcW w:w="1283" w:type="dxa"/>
            <w:tcBorders>
              <w:top w:val="none" w:sz="0" w:space="0" w:color="auto"/>
            </w:tcBorders>
            <w:noWrap/>
            <w:hideMark/>
          </w:tcPr>
          <w:p w14:paraId="65F36C22"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1176" w:type="dxa"/>
            <w:tcBorders>
              <w:top w:val="none" w:sz="0" w:space="0" w:color="auto"/>
            </w:tcBorders>
            <w:noWrap/>
            <w:hideMark/>
          </w:tcPr>
          <w:p w14:paraId="46884CB0"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1060" w:type="dxa"/>
            <w:tcBorders>
              <w:top w:val="none" w:sz="0" w:space="0" w:color="auto"/>
            </w:tcBorders>
            <w:noWrap/>
            <w:hideMark/>
          </w:tcPr>
          <w:p w14:paraId="75F2D938"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803" w:type="dxa"/>
            <w:tcBorders>
              <w:top w:val="none" w:sz="0" w:space="0" w:color="auto"/>
            </w:tcBorders>
            <w:noWrap/>
            <w:hideMark/>
          </w:tcPr>
          <w:p w14:paraId="00843F05"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779" w:type="dxa"/>
            <w:tcBorders>
              <w:top w:val="none" w:sz="0" w:space="0" w:color="auto"/>
            </w:tcBorders>
            <w:noWrap/>
            <w:hideMark/>
          </w:tcPr>
          <w:p w14:paraId="6C725817"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1060" w:type="dxa"/>
            <w:tcBorders>
              <w:top w:val="none" w:sz="0" w:space="0" w:color="auto"/>
            </w:tcBorders>
            <w:noWrap/>
            <w:hideMark/>
          </w:tcPr>
          <w:p w14:paraId="79AA49D0"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r>
    </w:tbl>
    <w:p w14:paraId="2053DB50" w14:textId="4C770936" w:rsidR="00C80FA2" w:rsidRPr="00EF2495" w:rsidRDefault="00C80FA2" w:rsidP="00EF2495">
      <w:pPr>
        <w:rPr>
          <w:lang w:val="en-US" w:eastAsia="en-AU"/>
        </w:rPr>
      </w:pPr>
      <w:r w:rsidRPr="00EF2495">
        <w:rPr>
          <w:lang w:val="en-US" w:eastAsia="en-AU"/>
        </w:rPr>
        <w:t xml:space="preserve">Table </w:t>
      </w:r>
      <w:r w:rsidRPr="00EF2495">
        <w:rPr>
          <w:lang w:val="en-US" w:eastAsia="en-AU"/>
        </w:rPr>
        <w:fldChar w:fldCharType="begin"/>
      </w:r>
      <w:r w:rsidRPr="00EF2495">
        <w:rPr>
          <w:lang w:val="en-US" w:eastAsia="en-AU"/>
        </w:rPr>
        <w:instrText xml:space="preserve"> SEQ Table \* ARABIC </w:instrText>
      </w:r>
      <w:r w:rsidRPr="00EF2495">
        <w:rPr>
          <w:lang w:val="en-US" w:eastAsia="en-AU"/>
        </w:rPr>
        <w:fldChar w:fldCharType="separate"/>
      </w:r>
      <w:r w:rsidR="003B4A8A" w:rsidRPr="00EF2495">
        <w:rPr>
          <w:lang w:val="en-US" w:eastAsia="en-AU"/>
        </w:rPr>
        <w:t>3</w:t>
      </w:r>
      <w:r w:rsidRPr="00EF2495">
        <w:rPr>
          <w:lang w:val="en-US" w:eastAsia="en-AU"/>
        </w:rPr>
        <w:fldChar w:fldCharType="end"/>
      </w:r>
      <w:r w:rsidRPr="00EF2495">
        <w:rPr>
          <w:lang w:val="en-US" w:eastAsia="en-AU"/>
        </w:rPr>
        <w:t>:   Applications by award program, level of study and intake round</w:t>
      </w:r>
    </w:p>
    <w:tbl>
      <w:tblPr>
        <w:tblStyle w:val="ListTable3"/>
        <w:tblW w:w="8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2540"/>
        <w:gridCol w:w="1283"/>
        <w:gridCol w:w="1176"/>
        <w:gridCol w:w="1060"/>
        <w:gridCol w:w="828"/>
        <w:gridCol w:w="779"/>
        <w:gridCol w:w="1060"/>
      </w:tblGrid>
      <w:tr w:rsidR="00E928CA" w:rsidRPr="00EF2495" w14:paraId="6456292E" w14:textId="77777777" w:rsidTr="006357C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2540" w:type="dxa"/>
            <w:tcBorders>
              <w:bottom w:val="none" w:sz="0" w:space="0" w:color="auto"/>
              <w:right w:val="none" w:sz="0" w:space="0" w:color="auto"/>
            </w:tcBorders>
            <w:noWrap/>
            <w:hideMark/>
          </w:tcPr>
          <w:p w14:paraId="41EF308F" w14:textId="77777777" w:rsidR="00C80FA2" w:rsidRPr="00F1632D" w:rsidRDefault="00C80FA2" w:rsidP="00EF2495">
            <w:pPr>
              <w:rPr>
                <w:b w:val="0"/>
                <w:bCs w:val="0"/>
              </w:rPr>
            </w:pPr>
            <w:r w:rsidRPr="00F1632D">
              <w:t>Level of study</w:t>
            </w:r>
          </w:p>
        </w:tc>
        <w:tc>
          <w:tcPr>
            <w:tcW w:w="1283" w:type="dxa"/>
            <w:noWrap/>
            <w:hideMark/>
          </w:tcPr>
          <w:p w14:paraId="1026BEAF" w14:textId="60B5B719" w:rsidR="00C80FA2" w:rsidRPr="00F1632D" w:rsidRDefault="00BB2E68"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2020 </w:t>
            </w:r>
            <w:r w:rsidR="00C80FA2" w:rsidRPr="00F1632D">
              <w:t>AAPS</w:t>
            </w:r>
          </w:p>
        </w:tc>
        <w:tc>
          <w:tcPr>
            <w:tcW w:w="1176" w:type="dxa"/>
            <w:noWrap/>
            <w:hideMark/>
          </w:tcPr>
          <w:p w14:paraId="396E0628" w14:textId="2C6ED820" w:rsidR="00C80FA2" w:rsidRPr="00F1632D" w:rsidRDefault="00BB2E68"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2020 </w:t>
            </w:r>
            <w:r w:rsidR="00C80FA2" w:rsidRPr="00F1632D">
              <w:t>AAS</w:t>
            </w:r>
          </w:p>
        </w:tc>
        <w:tc>
          <w:tcPr>
            <w:tcW w:w="1060" w:type="dxa"/>
            <w:noWrap/>
            <w:hideMark/>
          </w:tcPr>
          <w:p w14:paraId="4CEF0A6A" w14:textId="441CE2BD" w:rsidR="00C80FA2" w:rsidRPr="00F1632D" w:rsidRDefault="00BB2E68"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2020 Total</w:t>
            </w:r>
          </w:p>
        </w:tc>
        <w:tc>
          <w:tcPr>
            <w:tcW w:w="803" w:type="dxa"/>
            <w:noWrap/>
            <w:hideMark/>
          </w:tcPr>
          <w:p w14:paraId="096F7534" w14:textId="27E3647E" w:rsidR="00C80FA2" w:rsidRPr="00F1632D" w:rsidRDefault="00BB2E68"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2024 </w:t>
            </w:r>
            <w:r w:rsidR="00C80FA2" w:rsidRPr="00F1632D">
              <w:t>AAPS</w:t>
            </w:r>
          </w:p>
        </w:tc>
        <w:tc>
          <w:tcPr>
            <w:tcW w:w="779" w:type="dxa"/>
            <w:noWrap/>
            <w:hideMark/>
          </w:tcPr>
          <w:p w14:paraId="13F00690" w14:textId="0921BADA" w:rsidR="00C80FA2" w:rsidRPr="00F1632D" w:rsidRDefault="00BB2E68"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2024 </w:t>
            </w:r>
            <w:r w:rsidR="00C80FA2" w:rsidRPr="00F1632D">
              <w:t>AAS</w:t>
            </w:r>
          </w:p>
        </w:tc>
        <w:tc>
          <w:tcPr>
            <w:tcW w:w="1060" w:type="dxa"/>
            <w:noWrap/>
            <w:hideMark/>
          </w:tcPr>
          <w:p w14:paraId="7A387E67" w14:textId="446F4C52" w:rsidR="00C80FA2" w:rsidRPr="00F1632D" w:rsidRDefault="00BB2E68"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2024 Total</w:t>
            </w:r>
          </w:p>
        </w:tc>
      </w:tr>
      <w:tr w:rsidR="002D459B" w:rsidRPr="00EF2495" w14:paraId="299A4FE8" w14:textId="77777777" w:rsidTr="004A75B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0" w:type="dxa"/>
            <w:tcBorders>
              <w:top w:val="none" w:sz="0" w:space="0" w:color="auto"/>
              <w:bottom w:val="none" w:sz="0" w:space="0" w:color="auto"/>
              <w:right w:val="none" w:sz="0" w:space="0" w:color="auto"/>
            </w:tcBorders>
            <w:noWrap/>
            <w:hideMark/>
          </w:tcPr>
          <w:p w14:paraId="5876BBFA" w14:textId="77777777" w:rsidR="00C80FA2" w:rsidRPr="00EF2495" w:rsidRDefault="00C80FA2" w:rsidP="00EF2495">
            <w:r w:rsidRPr="00EF2495">
              <w:t>Bachelor</w:t>
            </w:r>
          </w:p>
        </w:tc>
        <w:tc>
          <w:tcPr>
            <w:tcW w:w="1283" w:type="dxa"/>
            <w:tcBorders>
              <w:top w:val="none" w:sz="0" w:space="0" w:color="auto"/>
              <w:bottom w:val="none" w:sz="0" w:space="0" w:color="auto"/>
            </w:tcBorders>
            <w:noWrap/>
            <w:hideMark/>
          </w:tcPr>
          <w:p w14:paraId="5E163FBC"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80%</w:t>
            </w:r>
          </w:p>
        </w:tc>
        <w:tc>
          <w:tcPr>
            <w:tcW w:w="1176" w:type="dxa"/>
            <w:tcBorders>
              <w:top w:val="none" w:sz="0" w:space="0" w:color="auto"/>
              <w:bottom w:val="none" w:sz="0" w:space="0" w:color="auto"/>
            </w:tcBorders>
            <w:noWrap/>
            <w:hideMark/>
          </w:tcPr>
          <w:p w14:paraId="1697E7F1"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40%</w:t>
            </w:r>
          </w:p>
        </w:tc>
        <w:tc>
          <w:tcPr>
            <w:tcW w:w="1060" w:type="dxa"/>
            <w:tcBorders>
              <w:top w:val="none" w:sz="0" w:space="0" w:color="auto"/>
              <w:bottom w:val="none" w:sz="0" w:space="0" w:color="auto"/>
            </w:tcBorders>
            <w:noWrap/>
            <w:hideMark/>
          </w:tcPr>
          <w:p w14:paraId="5CA9B774"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65%</w:t>
            </w:r>
          </w:p>
        </w:tc>
        <w:tc>
          <w:tcPr>
            <w:tcW w:w="803" w:type="dxa"/>
            <w:tcBorders>
              <w:top w:val="none" w:sz="0" w:space="0" w:color="auto"/>
              <w:bottom w:val="none" w:sz="0" w:space="0" w:color="auto"/>
            </w:tcBorders>
            <w:noWrap/>
            <w:hideMark/>
          </w:tcPr>
          <w:p w14:paraId="75EFD21A"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69%</w:t>
            </w:r>
          </w:p>
        </w:tc>
        <w:tc>
          <w:tcPr>
            <w:tcW w:w="779" w:type="dxa"/>
            <w:tcBorders>
              <w:top w:val="none" w:sz="0" w:space="0" w:color="auto"/>
              <w:bottom w:val="none" w:sz="0" w:space="0" w:color="auto"/>
            </w:tcBorders>
            <w:noWrap/>
            <w:hideMark/>
          </w:tcPr>
          <w:p w14:paraId="0C5C1E0B"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28%</w:t>
            </w:r>
          </w:p>
        </w:tc>
        <w:tc>
          <w:tcPr>
            <w:tcW w:w="1060" w:type="dxa"/>
            <w:tcBorders>
              <w:top w:val="none" w:sz="0" w:space="0" w:color="auto"/>
              <w:bottom w:val="none" w:sz="0" w:space="0" w:color="auto"/>
            </w:tcBorders>
            <w:noWrap/>
            <w:hideMark/>
          </w:tcPr>
          <w:p w14:paraId="44F9435E"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44%</w:t>
            </w:r>
          </w:p>
        </w:tc>
      </w:tr>
      <w:tr w:rsidR="002D459B" w:rsidRPr="00EF2495" w14:paraId="681AB37A" w14:textId="77777777" w:rsidTr="004A75BA">
        <w:trPr>
          <w:trHeight w:val="290"/>
        </w:trPr>
        <w:tc>
          <w:tcPr>
            <w:cnfStyle w:val="001000000000" w:firstRow="0" w:lastRow="0" w:firstColumn="1" w:lastColumn="0" w:oddVBand="0" w:evenVBand="0" w:oddHBand="0" w:evenHBand="0" w:firstRowFirstColumn="0" w:firstRowLastColumn="0" w:lastRowFirstColumn="0" w:lastRowLastColumn="0"/>
            <w:tcW w:w="2540" w:type="dxa"/>
            <w:tcBorders>
              <w:right w:val="none" w:sz="0" w:space="0" w:color="auto"/>
            </w:tcBorders>
            <w:noWrap/>
            <w:hideMark/>
          </w:tcPr>
          <w:p w14:paraId="1FF83A32" w14:textId="77777777" w:rsidR="00C80FA2" w:rsidRPr="00EF2495" w:rsidRDefault="00C80FA2" w:rsidP="00EF2495">
            <w:r w:rsidRPr="00EF2495">
              <w:t>Doctoral</w:t>
            </w:r>
          </w:p>
        </w:tc>
        <w:tc>
          <w:tcPr>
            <w:tcW w:w="1283" w:type="dxa"/>
            <w:noWrap/>
            <w:hideMark/>
          </w:tcPr>
          <w:p w14:paraId="10DD4B83"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w:t>
            </w:r>
          </w:p>
        </w:tc>
        <w:tc>
          <w:tcPr>
            <w:tcW w:w="1176" w:type="dxa"/>
            <w:noWrap/>
            <w:hideMark/>
          </w:tcPr>
          <w:p w14:paraId="14A68EAC"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10%</w:t>
            </w:r>
          </w:p>
        </w:tc>
        <w:tc>
          <w:tcPr>
            <w:tcW w:w="1060" w:type="dxa"/>
            <w:noWrap/>
            <w:hideMark/>
          </w:tcPr>
          <w:p w14:paraId="54BC2B28"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5%</w:t>
            </w:r>
          </w:p>
        </w:tc>
        <w:tc>
          <w:tcPr>
            <w:tcW w:w="803" w:type="dxa"/>
            <w:noWrap/>
            <w:hideMark/>
          </w:tcPr>
          <w:p w14:paraId="51D09318"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w:t>
            </w:r>
          </w:p>
        </w:tc>
        <w:tc>
          <w:tcPr>
            <w:tcW w:w="779" w:type="dxa"/>
            <w:noWrap/>
            <w:hideMark/>
          </w:tcPr>
          <w:p w14:paraId="49A7D955"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6%</w:t>
            </w:r>
          </w:p>
        </w:tc>
        <w:tc>
          <w:tcPr>
            <w:tcW w:w="1060" w:type="dxa"/>
            <w:noWrap/>
            <w:hideMark/>
          </w:tcPr>
          <w:p w14:paraId="47497502"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5%</w:t>
            </w:r>
          </w:p>
        </w:tc>
      </w:tr>
      <w:tr w:rsidR="002D459B" w:rsidRPr="00EF2495" w14:paraId="564C3878" w14:textId="77777777" w:rsidTr="004A75B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0" w:type="dxa"/>
            <w:tcBorders>
              <w:top w:val="none" w:sz="0" w:space="0" w:color="auto"/>
              <w:bottom w:val="none" w:sz="0" w:space="0" w:color="auto"/>
              <w:right w:val="none" w:sz="0" w:space="0" w:color="auto"/>
            </w:tcBorders>
            <w:noWrap/>
            <w:hideMark/>
          </w:tcPr>
          <w:p w14:paraId="636442C8" w14:textId="77777777" w:rsidR="00C80FA2" w:rsidRPr="00EF2495" w:rsidRDefault="00C80FA2" w:rsidP="00EF2495">
            <w:r w:rsidRPr="00EF2495">
              <w:t>Masters</w:t>
            </w:r>
          </w:p>
        </w:tc>
        <w:tc>
          <w:tcPr>
            <w:tcW w:w="1283" w:type="dxa"/>
            <w:tcBorders>
              <w:top w:val="none" w:sz="0" w:space="0" w:color="auto"/>
              <w:bottom w:val="none" w:sz="0" w:space="0" w:color="auto"/>
            </w:tcBorders>
            <w:noWrap/>
            <w:hideMark/>
          </w:tcPr>
          <w:p w14:paraId="1862EF57"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10%</w:t>
            </w:r>
          </w:p>
        </w:tc>
        <w:tc>
          <w:tcPr>
            <w:tcW w:w="1176" w:type="dxa"/>
            <w:tcBorders>
              <w:top w:val="none" w:sz="0" w:space="0" w:color="auto"/>
              <w:bottom w:val="none" w:sz="0" w:space="0" w:color="auto"/>
            </w:tcBorders>
            <w:noWrap/>
            <w:hideMark/>
          </w:tcPr>
          <w:p w14:paraId="268499AD"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47%</w:t>
            </w:r>
          </w:p>
        </w:tc>
        <w:tc>
          <w:tcPr>
            <w:tcW w:w="1060" w:type="dxa"/>
            <w:tcBorders>
              <w:top w:val="none" w:sz="0" w:space="0" w:color="auto"/>
              <w:bottom w:val="none" w:sz="0" w:space="0" w:color="auto"/>
            </w:tcBorders>
            <w:noWrap/>
            <w:hideMark/>
          </w:tcPr>
          <w:p w14:paraId="480836BF"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24%</w:t>
            </w:r>
          </w:p>
        </w:tc>
        <w:tc>
          <w:tcPr>
            <w:tcW w:w="803" w:type="dxa"/>
            <w:tcBorders>
              <w:top w:val="none" w:sz="0" w:space="0" w:color="auto"/>
              <w:bottom w:val="none" w:sz="0" w:space="0" w:color="auto"/>
            </w:tcBorders>
            <w:noWrap/>
            <w:hideMark/>
          </w:tcPr>
          <w:p w14:paraId="7E29205D"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15%</w:t>
            </w:r>
          </w:p>
        </w:tc>
        <w:tc>
          <w:tcPr>
            <w:tcW w:w="779" w:type="dxa"/>
            <w:tcBorders>
              <w:top w:val="none" w:sz="0" w:space="0" w:color="auto"/>
              <w:bottom w:val="none" w:sz="0" w:space="0" w:color="auto"/>
            </w:tcBorders>
            <w:noWrap/>
            <w:hideMark/>
          </w:tcPr>
          <w:p w14:paraId="0ACB8DF8"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64%</w:t>
            </w:r>
          </w:p>
        </w:tc>
        <w:tc>
          <w:tcPr>
            <w:tcW w:w="1060" w:type="dxa"/>
            <w:tcBorders>
              <w:top w:val="none" w:sz="0" w:space="0" w:color="auto"/>
              <w:bottom w:val="none" w:sz="0" w:space="0" w:color="auto"/>
            </w:tcBorders>
            <w:noWrap/>
            <w:hideMark/>
          </w:tcPr>
          <w:p w14:paraId="3E121213"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45%</w:t>
            </w:r>
          </w:p>
        </w:tc>
      </w:tr>
      <w:tr w:rsidR="002D459B" w:rsidRPr="00EF2495" w14:paraId="3A9C1D71" w14:textId="77777777" w:rsidTr="004A75BA">
        <w:trPr>
          <w:trHeight w:val="290"/>
        </w:trPr>
        <w:tc>
          <w:tcPr>
            <w:cnfStyle w:val="001000000000" w:firstRow="0" w:lastRow="0" w:firstColumn="1" w:lastColumn="0" w:oddVBand="0" w:evenVBand="0" w:oddHBand="0" w:evenHBand="0" w:firstRowFirstColumn="0" w:firstRowLastColumn="0" w:lastRowFirstColumn="0" w:lastRowLastColumn="0"/>
            <w:tcW w:w="2540" w:type="dxa"/>
            <w:tcBorders>
              <w:right w:val="none" w:sz="0" w:space="0" w:color="auto"/>
            </w:tcBorders>
            <w:noWrap/>
            <w:hideMark/>
          </w:tcPr>
          <w:p w14:paraId="451F3E11" w14:textId="77777777" w:rsidR="00C80FA2" w:rsidRPr="00EF2495" w:rsidRDefault="00C80FA2" w:rsidP="00EF2495">
            <w:r w:rsidRPr="00EF2495">
              <w:lastRenderedPageBreak/>
              <w:t>PGD</w:t>
            </w:r>
          </w:p>
        </w:tc>
        <w:tc>
          <w:tcPr>
            <w:tcW w:w="1283" w:type="dxa"/>
            <w:noWrap/>
            <w:hideMark/>
          </w:tcPr>
          <w:p w14:paraId="5A9CF049"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6%</w:t>
            </w:r>
          </w:p>
        </w:tc>
        <w:tc>
          <w:tcPr>
            <w:tcW w:w="1176" w:type="dxa"/>
            <w:noWrap/>
            <w:hideMark/>
          </w:tcPr>
          <w:p w14:paraId="51BAFFC1"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w:t>
            </w:r>
          </w:p>
        </w:tc>
        <w:tc>
          <w:tcPr>
            <w:tcW w:w="1060" w:type="dxa"/>
            <w:noWrap/>
            <w:hideMark/>
          </w:tcPr>
          <w:p w14:paraId="0DF263C9"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5%</w:t>
            </w:r>
          </w:p>
        </w:tc>
        <w:tc>
          <w:tcPr>
            <w:tcW w:w="803" w:type="dxa"/>
            <w:noWrap/>
            <w:hideMark/>
          </w:tcPr>
          <w:p w14:paraId="26EAD33D"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13%</w:t>
            </w:r>
          </w:p>
        </w:tc>
        <w:tc>
          <w:tcPr>
            <w:tcW w:w="779" w:type="dxa"/>
            <w:noWrap/>
            <w:hideMark/>
          </w:tcPr>
          <w:p w14:paraId="19B68E00"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2%</w:t>
            </w:r>
          </w:p>
        </w:tc>
        <w:tc>
          <w:tcPr>
            <w:tcW w:w="1060" w:type="dxa"/>
            <w:noWrap/>
            <w:hideMark/>
          </w:tcPr>
          <w:p w14:paraId="0B724A61"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6%</w:t>
            </w:r>
          </w:p>
        </w:tc>
      </w:tr>
      <w:tr w:rsidR="002D459B" w:rsidRPr="00EF2495" w14:paraId="3C983AF4" w14:textId="77777777" w:rsidTr="004A75B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0" w:type="dxa"/>
            <w:tcBorders>
              <w:top w:val="none" w:sz="0" w:space="0" w:color="auto"/>
              <w:bottom w:val="none" w:sz="0" w:space="0" w:color="auto"/>
              <w:right w:val="none" w:sz="0" w:space="0" w:color="auto"/>
            </w:tcBorders>
            <w:noWrap/>
            <w:hideMark/>
          </w:tcPr>
          <w:p w14:paraId="1222465B" w14:textId="77777777" w:rsidR="00C80FA2" w:rsidRPr="00EF2495" w:rsidRDefault="00C80FA2" w:rsidP="00EF2495">
            <w:r w:rsidRPr="00EF2495">
              <w:t>Cert/Diploma</w:t>
            </w:r>
          </w:p>
        </w:tc>
        <w:tc>
          <w:tcPr>
            <w:tcW w:w="1283" w:type="dxa"/>
            <w:tcBorders>
              <w:top w:val="none" w:sz="0" w:space="0" w:color="auto"/>
              <w:bottom w:val="none" w:sz="0" w:space="0" w:color="auto"/>
            </w:tcBorders>
            <w:noWrap/>
            <w:hideMark/>
          </w:tcPr>
          <w:p w14:paraId="47F1BD6A"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3%</w:t>
            </w:r>
          </w:p>
        </w:tc>
        <w:tc>
          <w:tcPr>
            <w:tcW w:w="1176" w:type="dxa"/>
            <w:tcBorders>
              <w:top w:val="none" w:sz="0" w:space="0" w:color="auto"/>
              <w:bottom w:val="none" w:sz="0" w:space="0" w:color="auto"/>
            </w:tcBorders>
            <w:noWrap/>
            <w:hideMark/>
          </w:tcPr>
          <w:p w14:paraId="1FFC79BB"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w:t>
            </w:r>
          </w:p>
        </w:tc>
        <w:tc>
          <w:tcPr>
            <w:tcW w:w="1060" w:type="dxa"/>
            <w:tcBorders>
              <w:top w:val="none" w:sz="0" w:space="0" w:color="auto"/>
              <w:bottom w:val="none" w:sz="0" w:space="0" w:color="auto"/>
            </w:tcBorders>
            <w:noWrap/>
            <w:hideMark/>
          </w:tcPr>
          <w:p w14:paraId="33D6B5D4"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w:t>
            </w:r>
          </w:p>
        </w:tc>
        <w:tc>
          <w:tcPr>
            <w:tcW w:w="803" w:type="dxa"/>
            <w:tcBorders>
              <w:top w:val="none" w:sz="0" w:space="0" w:color="auto"/>
              <w:bottom w:val="none" w:sz="0" w:space="0" w:color="auto"/>
            </w:tcBorders>
            <w:noWrap/>
            <w:hideMark/>
          </w:tcPr>
          <w:p w14:paraId="4F0A5703"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0%</w:t>
            </w:r>
          </w:p>
        </w:tc>
        <w:tc>
          <w:tcPr>
            <w:tcW w:w="779" w:type="dxa"/>
            <w:tcBorders>
              <w:top w:val="none" w:sz="0" w:space="0" w:color="auto"/>
              <w:bottom w:val="none" w:sz="0" w:space="0" w:color="auto"/>
            </w:tcBorders>
            <w:noWrap/>
            <w:hideMark/>
          </w:tcPr>
          <w:p w14:paraId="5AB8F57D"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0%</w:t>
            </w:r>
          </w:p>
        </w:tc>
        <w:tc>
          <w:tcPr>
            <w:tcW w:w="1060" w:type="dxa"/>
            <w:tcBorders>
              <w:top w:val="none" w:sz="0" w:space="0" w:color="auto"/>
              <w:bottom w:val="none" w:sz="0" w:space="0" w:color="auto"/>
            </w:tcBorders>
            <w:noWrap/>
            <w:hideMark/>
          </w:tcPr>
          <w:p w14:paraId="04AEAFBB"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0%</w:t>
            </w:r>
          </w:p>
        </w:tc>
      </w:tr>
      <w:tr w:rsidR="00E65EF4" w:rsidRPr="00EF2495" w14:paraId="1385C476" w14:textId="77777777" w:rsidTr="004A75BA">
        <w:trPr>
          <w:cnfStyle w:val="010000000000" w:firstRow="0" w:lastRow="1" w:firstColumn="0" w:lastColumn="0" w:oddVBand="0" w:evenVBand="0" w:oddHBand="0" w:evenHBand="0" w:firstRowFirstColumn="0" w:firstRowLastColumn="0" w:lastRowFirstColumn="0" w:lastRowLastColumn="0"/>
          <w:trHeight w:val="290"/>
        </w:trPr>
        <w:tc>
          <w:tcPr>
            <w:cnfStyle w:val="001000000001" w:firstRow="0" w:lastRow="0" w:firstColumn="1" w:lastColumn="0" w:oddVBand="0" w:evenVBand="0" w:oddHBand="0" w:evenHBand="0" w:firstRowFirstColumn="0" w:firstRowLastColumn="0" w:lastRowFirstColumn="1" w:lastRowLastColumn="0"/>
            <w:tcW w:w="2540" w:type="dxa"/>
            <w:tcBorders>
              <w:top w:val="none" w:sz="0" w:space="0" w:color="auto"/>
              <w:right w:val="none" w:sz="0" w:space="0" w:color="auto"/>
            </w:tcBorders>
            <w:noWrap/>
            <w:hideMark/>
          </w:tcPr>
          <w:p w14:paraId="371A67F3" w14:textId="77777777" w:rsidR="00C80FA2" w:rsidRPr="00EF2495" w:rsidRDefault="00C80FA2" w:rsidP="00EF2495">
            <w:r w:rsidRPr="00EF2495">
              <w:t>Total</w:t>
            </w:r>
          </w:p>
        </w:tc>
        <w:tc>
          <w:tcPr>
            <w:tcW w:w="1283" w:type="dxa"/>
            <w:tcBorders>
              <w:top w:val="none" w:sz="0" w:space="0" w:color="auto"/>
            </w:tcBorders>
            <w:noWrap/>
            <w:hideMark/>
          </w:tcPr>
          <w:p w14:paraId="0B12AFCB"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1176" w:type="dxa"/>
            <w:tcBorders>
              <w:top w:val="none" w:sz="0" w:space="0" w:color="auto"/>
            </w:tcBorders>
            <w:noWrap/>
            <w:hideMark/>
          </w:tcPr>
          <w:p w14:paraId="66EEC267"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1060" w:type="dxa"/>
            <w:tcBorders>
              <w:top w:val="none" w:sz="0" w:space="0" w:color="auto"/>
            </w:tcBorders>
            <w:noWrap/>
            <w:hideMark/>
          </w:tcPr>
          <w:p w14:paraId="70A4EA71"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803" w:type="dxa"/>
            <w:tcBorders>
              <w:top w:val="none" w:sz="0" w:space="0" w:color="auto"/>
            </w:tcBorders>
            <w:noWrap/>
            <w:hideMark/>
          </w:tcPr>
          <w:p w14:paraId="01C2E904"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779" w:type="dxa"/>
            <w:tcBorders>
              <w:top w:val="none" w:sz="0" w:space="0" w:color="auto"/>
            </w:tcBorders>
            <w:noWrap/>
            <w:hideMark/>
          </w:tcPr>
          <w:p w14:paraId="2D71EA96"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1060" w:type="dxa"/>
            <w:tcBorders>
              <w:top w:val="none" w:sz="0" w:space="0" w:color="auto"/>
            </w:tcBorders>
            <w:noWrap/>
            <w:hideMark/>
          </w:tcPr>
          <w:p w14:paraId="064155D0"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r>
    </w:tbl>
    <w:p w14:paraId="4C501E46" w14:textId="77B95E4F" w:rsidR="00C80FA2" w:rsidRPr="00EF2495" w:rsidRDefault="00C80FA2" w:rsidP="00EF2495">
      <w:pPr>
        <w:rPr>
          <w:lang w:val="en-US" w:eastAsia="en-AU"/>
        </w:rPr>
      </w:pPr>
      <w:r w:rsidRPr="00EF2495">
        <w:rPr>
          <w:lang w:val="en-US" w:eastAsia="en-AU"/>
        </w:rPr>
        <w:t xml:space="preserve">Table </w:t>
      </w:r>
      <w:r w:rsidRPr="00EF2495">
        <w:rPr>
          <w:lang w:val="en-US" w:eastAsia="en-AU"/>
        </w:rPr>
        <w:fldChar w:fldCharType="begin"/>
      </w:r>
      <w:r w:rsidRPr="00EF2495">
        <w:rPr>
          <w:lang w:val="en-US" w:eastAsia="en-AU"/>
        </w:rPr>
        <w:instrText xml:space="preserve"> SEQ Table \* ARABIC </w:instrText>
      </w:r>
      <w:r w:rsidRPr="00EF2495">
        <w:rPr>
          <w:lang w:val="en-US" w:eastAsia="en-AU"/>
        </w:rPr>
        <w:fldChar w:fldCharType="separate"/>
      </w:r>
      <w:r w:rsidR="003B4A8A" w:rsidRPr="00EF2495">
        <w:rPr>
          <w:lang w:val="en-US" w:eastAsia="en-AU"/>
        </w:rPr>
        <w:t>4</w:t>
      </w:r>
      <w:r w:rsidRPr="00EF2495">
        <w:rPr>
          <w:lang w:val="en-US" w:eastAsia="en-AU"/>
        </w:rPr>
        <w:fldChar w:fldCharType="end"/>
      </w:r>
      <w:r w:rsidRPr="00EF2495">
        <w:rPr>
          <w:lang w:val="en-US" w:eastAsia="en-AU"/>
        </w:rPr>
        <w:t>:   Applications by award program, applicant birthplace and intake round</w:t>
      </w:r>
    </w:p>
    <w:tbl>
      <w:tblPr>
        <w:tblStyle w:val="ListTable3"/>
        <w:tblW w:w="8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2020"/>
        <w:gridCol w:w="1094"/>
        <w:gridCol w:w="1134"/>
        <w:gridCol w:w="1134"/>
        <w:gridCol w:w="1162"/>
        <w:gridCol w:w="1046"/>
        <w:gridCol w:w="992"/>
      </w:tblGrid>
      <w:tr w:rsidR="00E928CA" w:rsidRPr="00F1632D" w14:paraId="39E9A498" w14:textId="77777777" w:rsidTr="006357C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2020" w:type="dxa"/>
            <w:tcBorders>
              <w:bottom w:val="none" w:sz="0" w:space="0" w:color="auto"/>
              <w:right w:val="none" w:sz="0" w:space="0" w:color="auto"/>
            </w:tcBorders>
            <w:noWrap/>
            <w:hideMark/>
          </w:tcPr>
          <w:p w14:paraId="4D143084" w14:textId="77777777" w:rsidR="00C80FA2" w:rsidRPr="00F1632D" w:rsidRDefault="00C80FA2" w:rsidP="00EF2495">
            <w:pPr>
              <w:rPr>
                <w:b w:val="0"/>
                <w:bCs w:val="0"/>
              </w:rPr>
            </w:pPr>
            <w:r w:rsidRPr="00F1632D">
              <w:t xml:space="preserve">Birthplace </w:t>
            </w:r>
          </w:p>
        </w:tc>
        <w:tc>
          <w:tcPr>
            <w:tcW w:w="1094" w:type="dxa"/>
            <w:noWrap/>
            <w:hideMark/>
          </w:tcPr>
          <w:p w14:paraId="1A9609ED" w14:textId="0B2A8811" w:rsidR="00C80FA2" w:rsidRPr="00F1632D" w:rsidRDefault="00EC07FD"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2020 </w:t>
            </w:r>
            <w:r w:rsidR="00C80FA2" w:rsidRPr="00F1632D">
              <w:t>AAPS</w:t>
            </w:r>
          </w:p>
        </w:tc>
        <w:tc>
          <w:tcPr>
            <w:tcW w:w="1134" w:type="dxa"/>
            <w:noWrap/>
            <w:hideMark/>
          </w:tcPr>
          <w:p w14:paraId="09079800" w14:textId="11E58421" w:rsidR="00C80FA2" w:rsidRPr="00F1632D" w:rsidRDefault="00EC07FD"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2020 </w:t>
            </w:r>
            <w:r w:rsidR="00C80FA2" w:rsidRPr="00F1632D">
              <w:t>AAS</w:t>
            </w:r>
          </w:p>
        </w:tc>
        <w:tc>
          <w:tcPr>
            <w:tcW w:w="1134" w:type="dxa"/>
            <w:noWrap/>
            <w:hideMark/>
          </w:tcPr>
          <w:p w14:paraId="035EF5BF" w14:textId="0BD7AB8E" w:rsidR="00C80FA2" w:rsidRPr="00F1632D" w:rsidRDefault="00EC07FD"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2020 Total</w:t>
            </w:r>
          </w:p>
        </w:tc>
        <w:tc>
          <w:tcPr>
            <w:tcW w:w="1162" w:type="dxa"/>
            <w:noWrap/>
            <w:hideMark/>
          </w:tcPr>
          <w:p w14:paraId="6D064746" w14:textId="3516C1A7" w:rsidR="00C80FA2" w:rsidRPr="00F1632D" w:rsidRDefault="00EC07FD"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2024 </w:t>
            </w:r>
            <w:r w:rsidR="00C80FA2" w:rsidRPr="00F1632D">
              <w:t>AAPS</w:t>
            </w:r>
          </w:p>
        </w:tc>
        <w:tc>
          <w:tcPr>
            <w:tcW w:w="1046" w:type="dxa"/>
            <w:noWrap/>
            <w:hideMark/>
          </w:tcPr>
          <w:p w14:paraId="24E92CB0" w14:textId="57DB9850" w:rsidR="00C80FA2" w:rsidRPr="00F1632D" w:rsidRDefault="00EC07FD"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2024 </w:t>
            </w:r>
            <w:r w:rsidR="00C80FA2" w:rsidRPr="00F1632D">
              <w:t>AAS</w:t>
            </w:r>
          </w:p>
        </w:tc>
        <w:tc>
          <w:tcPr>
            <w:tcW w:w="992" w:type="dxa"/>
            <w:noWrap/>
            <w:hideMark/>
          </w:tcPr>
          <w:p w14:paraId="206410EA" w14:textId="4FE6BB26" w:rsidR="00C80FA2" w:rsidRPr="00F1632D" w:rsidRDefault="00EC07FD"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2024 Total</w:t>
            </w:r>
          </w:p>
        </w:tc>
      </w:tr>
      <w:tr w:rsidR="00C80FA2" w:rsidRPr="00EF2495" w14:paraId="0EF3656D" w14:textId="77777777" w:rsidTr="004A75B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020" w:type="dxa"/>
            <w:tcBorders>
              <w:top w:val="none" w:sz="0" w:space="0" w:color="auto"/>
              <w:bottom w:val="none" w:sz="0" w:space="0" w:color="auto"/>
              <w:right w:val="none" w:sz="0" w:space="0" w:color="auto"/>
            </w:tcBorders>
            <w:noWrap/>
            <w:hideMark/>
          </w:tcPr>
          <w:p w14:paraId="535C2EEA" w14:textId="77777777" w:rsidR="00C80FA2" w:rsidRPr="00EF2495" w:rsidRDefault="00C80FA2" w:rsidP="00EF2495">
            <w:r w:rsidRPr="00EF2495">
              <w:t>Eua</w:t>
            </w:r>
          </w:p>
        </w:tc>
        <w:tc>
          <w:tcPr>
            <w:tcW w:w="1094" w:type="dxa"/>
            <w:tcBorders>
              <w:top w:val="none" w:sz="0" w:space="0" w:color="auto"/>
              <w:bottom w:val="none" w:sz="0" w:space="0" w:color="auto"/>
            </w:tcBorders>
            <w:noWrap/>
            <w:hideMark/>
          </w:tcPr>
          <w:p w14:paraId="12809CBB"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w:t>
            </w:r>
          </w:p>
        </w:tc>
        <w:tc>
          <w:tcPr>
            <w:tcW w:w="1134" w:type="dxa"/>
            <w:tcBorders>
              <w:top w:val="none" w:sz="0" w:space="0" w:color="auto"/>
              <w:bottom w:val="none" w:sz="0" w:space="0" w:color="auto"/>
            </w:tcBorders>
            <w:noWrap/>
            <w:hideMark/>
          </w:tcPr>
          <w:p w14:paraId="6B095D9D"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3%</w:t>
            </w:r>
          </w:p>
        </w:tc>
        <w:tc>
          <w:tcPr>
            <w:tcW w:w="1134" w:type="dxa"/>
            <w:tcBorders>
              <w:top w:val="none" w:sz="0" w:space="0" w:color="auto"/>
              <w:bottom w:val="none" w:sz="0" w:space="0" w:color="auto"/>
            </w:tcBorders>
            <w:noWrap/>
            <w:hideMark/>
          </w:tcPr>
          <w:p w14:paraId="61594C44"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w:t>
            </w:r>
          </w:p>
        </w:tc>
        <w:tc>
          <w:tcPr>
            <w:tcW w:w="1162" w:type="dxa"/>
            <w:tcBorders>
              <w:top w:val="none" w:sz="0" w:space="0" w:color="auto"/>
              <w:bottom w:val="none" w:sz="0" w:space="0" w:color="auto"/>
            </w:tcBorders>
            <w:noWrap/>
            <w:hideMark/>
          </w:tcPr>
          <w:p w14:paraId="39CFACD6"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4%</w:t>
            </w:r>
          </w:p>
        </w:tc>
        <w:tc>
          <w:tcPr>
            <w:tcW w:w="1046" w:type="dxa"/>
            <w:tcBorders>
              <w:top w:val="none" w:sz="0" w:space="0" w:color="auto"/>
              <w:bottom w:val="none" w:sz="0" w:space="0" w:color="auto"/>
            </w:tcBorders>
            <w:noWrap/>
            <w:hideMark/>
          </w:tcPr>
          <w:p w14:paraId="6F26694D"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4%</w:t>
            </w:r>
          </w:p>
        </w:tc>
        <w:tc>
          <w:tcPr>
            <w:tcW w:w="992" w:type="dxa"/>
            <w:tcBorders>
              <w:top w:val="none" w:sz="0" w:space="0" w:color="auto"/>
              <w:bottom w:val="none" w:sz="0" w:space="0" w:color="auto"/>
            </w:tcBorders>
            <w:noWrap/>
            <w:hideMark/>
          </w:tcPr>
          <w:p w14:paraId="2FA2ADD4"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4%</w:t>
            </w:r>
          </w:p>
        </w:tc>
      </w:tr>
      <w:tr w:rsidR="00C80FA2" w:rsidRPr="00EF2495" w14:paraId="09282947" w14:textId="77777777" w:rsidTr="004A75BA">
        <w:trPr>
          <w:trHeight w:val="290"/>
        </w:trPr>
        <w:tc>
          <w:tcPr>
            <w:cnfStyle w:val="001000000000" w:firstRow="0" w:lastRow="0" w:firstColumn="1" w:lastColumn="0" w:oddVBand="0" w:evenVBand="0" w:oddHBand="0" w:evenHBand="0" w:firstRowFirstColumn="0" w:firstRowLastColumn="0" w:lastRowFirstColumn="0" w:lastRowLastColumn="0"/>
            <w:tcW w:w="2020" w:type="dxa"/>
            <w:tcBorders>
              <w:right w:val="none" w:sz="0" w:space="0" w:color="auto"/>
            </w:tcBorders>
            <w:noWrap/>
            <w:hideMark/>
          </w:tcPr>
          <w:p w14:paraId="2A86BE0C" w14:textId="77777777" w:rsidR="00C80FA2" w:rsidRPr="00EF2495" w:rsidRDefault="00C80FA2" w:rsidP="00EF2495">
            <w:proofErr w:type="spellStart"/>
            <w:r w:rsidRPr="00EF2495">
              <w:t>Ha’apai</w:t>
            </w:r>
            <w:proofErr w:type="spellEnd"/>
          </w:p>
        </w:tc>
        <w:tc>
          <w:tcPr>
            <w:tcW w:w="1094" w:type="dxa"/>
            <w:noWrap/>
            <w:hideMark/>
          </w:tcPr>
          <w:p w14:paraId="0E3595B9"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2%</w:t>
            </w:r>
          </w:p>
        </w:tc>
        <w:tc>
          <w:tcPr>
            <w:tcW w:w="1134" w:type="dxa"/>
            <w:noWrap/>
            <w:hideMark/>
          </w:tcPr>
          <w:p w14:paraId="38BD98FF"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4%</w:t>
            </w:r>
          </w:p>
        </w:tc>
        <w:tc>
          <w:tcPr>
            <w:tcW w:w="1134" w:type="dxa"/>
            <w:noWrap/>
            <w:hideMark/>
          </w:tcPr>
          <w:p w14:paraId="5CA350B7"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2%</w:t>
            </w:r>
          </w:p>
        </w:tc>
        <w:tc>
          <w:tcPr>
            <w:tcW w:w="1162" w:type="dxa"/>
            <w:noWrap/>
            <w:hideMark/>
          </w:tcPr>
          <w:p w14:paraId="005C73C5"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2%</w:t>
            </w:r>
          </w:p>
        </w:tc>
        <w:tc>
          <w:tcPr>
            <w:tcW w:w="1046" w:type="dxa"/>
            <w:noWrap/>
            <w:hideMark/>
          </w:tcPr>
          <w:p w14:paraId="75D206A2"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w:t>
            </w:r>
          </w:p>
        </w:tc>
        <w:tc>
          <w:tcPr>
            <w:tcW w:w="992" w:type="dxa"/>
            <w:noWrap/>
            <w:hideMark/>
          </w:tcPr>
          <w:p w14:paraId="15556C4B"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2%</w:t>
            </w:r>
          </w:p>
        </w:tc>
      </w:tr>
      <w:tr w:rsidR="00C80FA2" w:rsidRPr="00EF2495" w14:paraId="28AAB213" w14:textId="77777777" w:rsidTr="004A75B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020" w:type="dxa"/>
            <w:tcBorders>
              <w:top w:val="none" w:sz="0" w:space="0" w:color="auto"/>
              <w:bottom w:val="none" w:sz="0" w:space="0" w:color="auto"/>
              <w:right w:val="none" w:sz="0" w:space="0" w:color="auto"/>
            </w:tcBorders>
            <w:noWrap/>
            <w:hideMark/>
          </w:tcPr>
          <w:p w14:paraId="64C44CD3" w14:textId="77777777" w:rsidR="00C80FA2" w:rsidRPr="00EF2495" w:rsidRDefault="00C80FA2" w:rsidP="00EF2495">
            <w:proofErr w:type="spellStart"/>
            <w:r w:rsidRPr="00EF2495">
              <w:t>Niuas</w:t>
            </w:r>
            <w:proofErr w:type="spellEnd"/>
          </w:p>
        </w:tc>
        <w:tc>
          <w:tcPr>
            <w:tcW w:w="1094" w:type="dxa"/>
            <w:tcBorders>
              <w:top w:val="none" w:sz="0" w:space="0" w:color="auto"/>
              <w:bottom w:val="none" w:sz="0" w:space="0" w:color="auto"/>
            </w:tcBorders>
            <w:noWrap/>
            <w:hideMark/>
          </w:tcPr>
          <w:p w14:paraId="59C43828"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w:t>
            </w:r>
          </w:p>
        </w:tc>
        <w:tc>
          <w:tcPr>
            <w:tcW w:w="1134" w:type="dxa"/>
            <w:tcBorders>
              <w:top w:val="none" w:sz="0" w:space="0" w:color="auto"/>
              <w:bottom w:val="none" w:sz="0" w:space="0" w:color="auto"/>
            </w:tcBorders>
            <w:noWrap/>
            <w:hideMark/>
          </w:tcPr>
          <w:p w14:paraId="57AB39E3"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w:t>
            </w:r>
          </w:p>
        </w:tc>
        <w:tc>
          <w:tcPr>
            <w:tcW w:w="1134" w:type="dxa"/>
            <w:tcBorders>
              <w:top w:val="none" w:sz="0" w:space="0" w:color="auto"/>
              <w:bottom w:val="none" w:sz="0" w:space="0" w:color="auto"/>
            </w:tcBorders>
            <w:noWrap/>
            <w:hideMark/>
          </w:tcPr>
          <w:p w14:paraId="5ED88DC2"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w:t>
            </w:r>
          </w:p>
        </w:tc>
        <w:tc>
          <w:tcPr>
            <w:tcW w:w="1162" w:type="dxa"/>
            <w:tcBorders>
              <w:top w:val="none" w:sz="0" w:space="0" w:color="auto"/>
              <w:bottom w:val="none" w:sz="0" w:space="0" w:color="auto"/>
            </w:tcBorders>
            <w:noWrap/>
            <w:hideMark/>
          </w:tcPr>
          <w:p w14:paraId="34C33294"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w:t>
            </w:r>
          </w:p>
        </w:tc>
        <w:tc>
          <w:tcPr>
            <w:tcW w:w="1046" w:type="dxa"/>
            <w:tcBorders>
              <w:top w:val="none" w:sz="0" w:space="0" w:color="auto"/>
              <w:bottom w:val="none" w:sz="0" w:space="0" w:color="auto"/>
            </w:tcBorders>
            <w:noWrap/>
            <w:hideMark/>
          </w:tcPr>
          <w:p w14:paraId="3F782F35"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w:t>
            </w:r>
          </w:p>
        </w:tc>
        <w:tc>
          <w:tcPr>
            <w:tcW w:w="992" w:type="dxa"/>
            <w:tcBorders>
              <w:top w:val="none" w:sz="0" w:space="0" w:color="auto"/>
              <w:bottom w:val="none" w:sz="0" w:space="0" w:color="auto"/>
            </w:tcBorders>
            <w:noWrap/>
            <w:hideMark/>
          </w:tcPr>
          <w:p w14:paraId="00B7DD20"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w:t>
            </w:r>
          </w:p>
        </w:tc>
      </w:tr>
      <w:tr w:rsidR="00C80FA2" w:rsidRPr="00EF2495" w14:paraId="3C4B2BB4" w14:textId="77777777" w:rsidTr="004A75BA">
        <w:trPr>
          <w:trHeight w:val="290"/>
        </w:trPr>
        <w:tc>
          <w:tcPr>
            <w:cnfStyle w:val="001000000000" w:firstRow="0" w:lastRow="0" w:firstColumn="1" w:lastColumn="0" w:oddVBand="0" w:evenVBand="0" w:oddHBand="0" w:evenHBand="0" w:firstRowFirstColumn="0" w:firstRowLastColumn="0" w:lastRowFirstColumn="0" w:lastRowLastColumn="0"/>
            <w:tcW w:w="2020" w:type="dxa"/>
            <w:tcBorders>
              <w:right w:val="none" w:sz="0" w:space="0" w:color="auto"/>
            </w:tcBorders>
            <w:noWrap/>
            <w:hideMark/>
          </w:tcPr>
          <w:p w14:paraId="377E4524" w14:textId="77777777" w:rsidR="00C80FA2" w:rsidRPr="00EF2495" w:rsidRDefault="00C80FA2" w:rsidP="00EF2495">
            <w:r w:rsidRPr="00EF2495">
              <w:t>Overseas</w:t>
            </w:r>
          </w:p>
        </w:tc>
        <w:tc>
          <w:tcPr>
            <w:tcW w:w="1094" w:type="dxa"/>
            <w:noWrap/>
            <w:hideMark/>
          </w:tcPr>
          <w:p w14:paraId="022F4AF0"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5%</w:t>
            </w:r>
          </w:p>
        </w:tc>
        <w:tc>
          <w:tcPr>
            <w:tcW w:w="1134" w:type="dxa"/>
            <w:noWrap/>
            <w:hideMark/>
          </w:tcPr>
          <w:p w14:paraId="6B5A94AE"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5%</w:t>
            </w:r>
          </w:p>
        </w:tc>
        <w:tc>
          <w:tcPr>
            <w:tcW w:w="1134" w:type="dxa"/>
            <w:noWrap/>
            <w:hideMark/>
          </w:tcPr>
          <w:p w14:paraId="0D06B999"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5%</w:t>
            </w:r>
          </w:p>
        </w:tc>
        <w:tc>
          <w:tcPr>
            <w:tcW w:w="1162" w:type="dxa"/>
            <w:noWrap/>
            <w:hideMark/>
          </w:tcPr>
          <w:p w14:paraId="560AD9A7"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4%</w:t>
            </w:r>
          </w:p>
        </w:tc>
        <w:tc>
          <w:tcPr>
            <w:tcW w:w="1046" w:type="dxa"/>
            <w:noWrap/>
            <w:hideMark/>
          </w:tcPr>
          <w:p w14:paraId="794CC8E9"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7%</w:t>
            </w:r>
          </w:p>
        </w:tc>
        <w:tc>
          <w:tcPr>
            <w:tcW w:w="992" w:type="dxa"/>
            <w:noWrap/>
            <w:hideMark/>
          </w:tcPr>
          <w:p w14:paraId="11C48C68"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5%</w:t>
            </w:r>
          </w:p>
        </w:tc>
      </w:tr>
      <w:tr w:rsidR="00C80FA2" w:rsidRPr="00EF2495" w14:paraId="61E4158B" w14:textId="77777777" w:rsidTr="004A75B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020" w:type="dxa"/>
            <w:tcBorders>
              <w:top w:val="none" w:sz="0" w:space="0" w:color="auto"/>
              <w:bottom w:val="none" w:sz="0" w:space="0" w:color="auto"/>
              <w:right w:val="none" w:sz="0" w:space="0" w:color="auto"/>
            </w:tcBorders>
            <w:noWrap/>
            <w:hideMark/>
          </w:tcPr>
          <w:p w14:paraId="2AD85B87" w14:textId="77777777" w:rsidR="00C80FA2" w:rsidRPr="00EF2495" w:rsidRDefault="00C80FA2" w:rsidP="00EF2495">
            <w:r w:rsidRPr="00EF2495">
              <w:t>Tonga</w:t>
            </w:r>
          </w:p>
        </w:tc>
        <w:tc>
          <w:tcPr>
            <w:tcW w:w="1094" w:type="dxa"/>
            <w:tcBorders>
              <w:top w:val="none" w:sz="0" w:space="0" w:color="auto"/>
              <w:bottom w:val="none" w:sz="0" w:space="0" w:color="auto"/>
            </w:tcBorders>
            <w:noWrap/>
            <w:hideMark/>
          </w:tcPr>
          <w:p w14:paraId="493C1A4A"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12%</w:t>
            </w:r>
          </w:p>
        </w:tc>
        <w:tc>
          <w:tcPr>
            <w:tcW w:w="1134" w:type="dxa"/>
            <w:tcBorders>
              <w:top w:val="none" w:sz="0" w:space="0" w:color="auto"/>
              <w:bottom w:val="none" w:sz="0" w:space="0" w:color="auto"/>
            </w:tcBorders>
            <w:noWrap/>
            <w:hideMark/>
          </w:tcPr>
          <w:p w14:paraId="21C97754"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22%</w:t>
            </w:r>
          </w:p>
        </w:tc>
        <w:tc>
          <w:tcPr>
            <w:tcW w:w="1134" w:type="dxa"/>
            <w:tcBorders>
              <w:top w:val="none" w:sz="0" w:space="0" w:color="auto"/>
              <w:bottom w:val="none" w:sz="0" w:space="0" w:color="auto"/>
            </w:tcBorders>
            <w:noWrap/>
            <w:hideMark/>
          </w:tcPr>
          <w:p w14:paraId="48F3A150"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16%</w:t>
            </w:r>
          </w:p>
        </w:tc>
        <w:tc>
          <w:tcPr>
            <w:tcW w:w="1162" w:type="dxa"/>
            <w:tcBorders>
              <w:top w:val="none" w:sz="0" w:space="0" w:color="auto"/>
              <w:bottom w:val="none" w:sz="0" w:space="0" w:color="auto"/>
            </w:tcBorders>
            <w:noWrap/>
            <w:hideMark/>
          </w:tcPr>
          <w:p w14:paraId="4580650F"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12%</w:t>
            </w:r>
          </w:p>
        </w:tc>
        <w:tc>
          <w:tcPr>
            <w:tcW w:w="1046" w:type="dxa"/>
            <w:tcBorders>
              <w:top w:val="none" w:sz="0" w:space="0" w:color="auto"/>
              <w:bottom w:val="none" w:sz="0" w:space="0" w:color="auto"/>
            </w:tcBorders>
            <w:noWrap/>
            <w:hideMark/>
          </w:tcPr>
          <w:p w14:paraId="69B1D8F9"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12%</w:t>
            </w:r>
          </w:p>
        </w:tc>
        <w:tc>
          <w:tcPr>
            <w:tcW w:w="992" w:type="dxa"/>
            <w:tcBorders>
              <w:top w:val="none" w:sz="0" w:space="0" w:color="auto"/>
              <w:bottom w:val="none" w:sz="0" w:space="0" w:color="auto"/>
            </w:tcBorders>
            <w:noWrap/>
            <w:hideMark/>
          </w:tcPr>
          <w:p w14:paraId="66DDB134"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12%</w:t>
            </w:r>
          </w:p>
        </w:tc>
      </w:tr>
      <w:tr w:rsidR="00C80FA2" w:rsidRPr="00EF2495" w14:paraId="021FF699" w14:textId="77777777" w:rsidTr="004A75BA">
        <w:trPr>
          <w:trHeight w:val="290"/>
        </w:trPr>
        <w:tc>
          <w:tcPr>
            <w:cnfStyle w:val="001000000000" w:firstRow="0" w:lastRow="0" w:firstColumn="1" w:lastColumn="0" w:oddVBand="0" w:evenVBand="0" w:oddHBand="0" w:evenHBand="0" w:firstRowFirstColumn="0" w:firstRowLastColumn="0" w:lastRowFirstColumn="0" w:lastRowLastColumn="0"/>
            <w:tcW w:w="2020" w:type="dxa"/>
            <w:tcBorders>
              <w:right w:val="none" w:sz="0" w:space="0" w:color="auto"/>
            </w:tcBorders>
            <w:noWrap/>
            <w:hideMark/>
          </w:tcPr>
          <w:p w14:paraId="061B66CB" w14:textId="77777777" w:rsidR="00C80FA2" w:rsidRPr="00EF2495" w:rsidRDefault="00C80FA2" w:rsidP="00EF2495">
            <w:proofErr w:type="spellStart"/>
            <w:r w:rsidRPr="00EF2495">
              <w:t>Tongatapu</w:t>
            </w:r>
            <w:proofErr w:type="spellEnd"/>
          </w:p>
        </w:tc>
        <w:tc>
          <w:tcPr>
            <w:tcW w:w="1094" w:type="dxa"/>
            <w:noWrap/>
            <w:hideMark/>
          </w:tcPr>
          <w:p w14:paraId="64431F6F"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62%</w:t>
            </w:r>
          </w:p>
        </w:tc>
        <w:tc>
          <w:tcPr>
            <w:tcW w:w="1134" w:type="dxa"/>
            <w:noWrap/>
            <w:hideMark/>
          </w:tcPr>
          <w:p w14:paraId="7E19CD2C"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59%</w:t>
            </w:r>
          </w:p>
        </w:tc>
        <w:tc>
          <w:tcPr>
            <w:tcW w:w="1134" w:type="dxa"/>
            <w:noWrap/>
            <w:hideMark/>
          </w:tcPr>
          <w:p w14:paraId="3EE107BF"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61%</w:t>
            </w:r>
          </w:p>
        </w:tc>
        <w:tc>
          <w:tcPr>
            <w:tcW w:w="1162" w:type="dxa"/>
            <w:noWrap/>
            <w:hideMark/>
          </w:tcPr>
          <w:p w14:paraId="59F3007A"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63%</w:t>
            </w:r>
          </w:p>
        </w:tc>
        <w:tc>
          <w:tcPr>
            <w:tcW w:w="1046" w:type="dxa"/>
            <w:noWrap/>
            <w:hideMark/>
          </w:tcPr>
          <w:p w14:paraId="5A663D35"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60%</w:t>
            </w:r>
          </w:p>
        </w:tc>
        <w:tc>
          <w:tcPr>
            <w:tcW w:w="992" w:type="dxa"/>
            <w:noWrap/>
            <w:hideMark/>
          </w:tcPr>
          <w:p w14:paraId="1F4701E2"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61%</w:t>
            </w:r>
          </w:p>
        </w:tc>
      </w:tr>
      <w:tr w:rsidR="00C80FA2" w:rsidRPr="00EF2495" w14:paraId="1456F826" w14:textId="77777777" w:rsidTr="004A75B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020" w:type="dxa"/>
            <w:tcBorders>
              <w:top w:val="none" w:sz="0" w:space="0" w:color="auto"/>
              <w:bottom w:val="none" w:sz="0" w:space="0" w:color="auto"/>
              <w:right w:val="none" w:sz="0" w:space="0" w:color="auto"/>
            </w:tcBorders>
            <w:noWrap/>
            <w:hideMark/>
          </w:tcPr>
          <w:p w14:paraId="1F44079A" w14:textId="77777777" w:rsidR="00C80FA2" w:rsidRPr="00EF2495" w:rsidRDefault="00C80FA2" w:rsidP="00EF2495">
            <w:proofErr w:type="spellStart"/>
            <w:r w:rsidRPr="00EF2495">
              <w:t>Vava'u</w:t>
            </w:r>
            <w:proofErr w:type="spellEnd"/>
          </w:p>
        </w:tc>
        <w:tc>
          <w:tcPr>
            <w:tcW w:w="1094" w:type="dxa"/>
            <w:tcBorders>
              <w:top w:val="none" w:sz="0" w:space="0" w:color="auto"/>
              <w:bottom w:val="none" w:sz="0" w:space="0" w:color="auto"/>
            </w:tcBorders>
            <w:noWrap/>
            <w:hideMark/>
          </w:tcPr>
          <w:p w14:paraId="0FE46562"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15%</w:t>
            </w:r>
          </w:p>
        </w:tc>
        <w:tc>
          <w:tcPr>
            <w:tcW w:w="1134" w:type="dxa"/>
            <w:tcBorders>
              <w:top w:val="none" w:sz="0" w:space="0" w:color="auto"/>
              <w:bottom w:val="none" w:sz="0" w:space="0" w:color="auto"/>
            </w:tcBorders>
            <w:noWrap/>
            <w:hideMark/>
          </w:tcPr>
          <w:p w14:paraId="48122131"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8%</w:t>
            </w:r>
          </w:p>
        </w:tc>
        <w:tc>
          <w:tcPr>
            <w:tcW w:w="1134" w:type="dxa"/>
            <w:tcBorders>
              <w:top w:val="none" w:sz="0" w:space="0" w:color="auto"/>
              <w:bottom w:val="none" w:sz="0" w:space="0" w:color="auto"/>
            </w:tcBorders>
            <w:noWrap/>
            <w:hideMark/>
          </w:tcPr>
          <w:p w14:paraId="7A901E4D"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13%</w:t>
            </w:r>
          </w:p>
        </w:tc>
        <w:tc>
          <w:tcPr>
            <w:tcW w:w="1162" w:type="dxa"/>
            <w:tcBorders>
              <w:top w:val="none" w:sz="0" w:space="0" w:color="auto"/>
              <w:bottom w:val="none" w:sz="0" w:space="0" w:color="auto"/>
            </w:tcBorders>
            <w:noWrap/>
            <w:hideMark/>
          </w:tcPr>
          <w:p w14:paraId="05E77772"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15%</w:t>
            </w:r>
          </w:p>
        </w:tc>
        <w:tc>
          <w:tcPr>
            <w:tcW w:w="1046" w:type="dxa"/>
            <w:tcBorders>
              <w:top w:val="none" w:sz="0" w:space="0" w:color="auto"/>
              <w:bottom w:val="none" w:sz="0" w:space="0" w:color="auto"/>
            </w:tcBorders>
            <w:noWrap/>
            <w:hideMark/>
          </w:tcPr>
          <w:p w14:paraId="1BDE137A"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12%</w:t>
            </w:r>
          </w:p>
        </w:tc>
        <w:tc>
          <w:tcPr>
            <w:tcW w:w="992" w:type="dxa"/>
            <w:tcBorders>
              <w:top w:val="none" w:sz="0" w:space="0" w:color="auto"/>
              <w:bottom w:val="none" w:sz="0" w:space="0" w:color="auto"/>
            </w:tcBorders>
            <w:noWrap/>
            <w:hideMark/>
          </w:tcPr>
          <w:p w14:paraId="319DF89A"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13%</w:t>
            </w:r>
          </w:p>
        </w:tc>
      </w:tr>
      <w:tr w:rsidR="00E928CA" w:rsidRPr="00EF2495" w14:paraId="2D7CA0A2" w14:textId="77777777" w:rsidTr="004A75BA">
        <w:trPr>
          <w:cnfStyle w:val="010000000000" w:firstRow="0" w:lastRow="1" w:firstColumn="0" w:lastColumn="0" w:oddVBand="0" w:evenVBand="0" w:oddHBand="0" w:evenHBand="0" w:firstRowFirstColumn="0" w:firstRowLastColumn="0" w:lastRowFirstColumn="0" w:lastRowLastColumn="0"/>
          <w:trHeight w:val="290"/>
        </w:trPr>
        <w:tc>
          <w:tcPr>
            <w:cnfStyle w:val="001000000001" w:firstRow="0" w:lastRow="0" w:firstColumn="1" w:lastColumn="0" w:oddVBand="0" w:evenVBand="0" w:oddHBand="0" w:evenHBand="0" w:firstRowFirstColumn="0" w:firstRowLastColumn="0" w:lastRowFirstColumn="1" w:lastRowLastColumn="0"/>
            <w:tcW w:w="2020" w:type="dxa"/>
            <w:tcBorders>
              <w:top w:val="none" w:sz="0" w:space="0" w:color="auto"/>
              <w:right w:val="none" w:sz="0" w:space="0" w:color="auto"/>
            </w:tcBorders>
            <w:noWrap/>
            <w:hideMark/>
          </w:tcPr>
          <w:p w14:paraId="677A993A" w14:textId="4BAE944F" w:rsidR="00C80FA2" w:rsidRPr="00EF2495" w:rsidRDefault="00904BEF" w:rsidP="00EF2495">
            <w:r>
              <w:t>T</w:t>
            </w:r>
            <w:r w:rsidR="00C80FA2" w:rsidRPr="00EF2495">
              <w:t>otal</w:t>
            </w:r>
          </w:p>
        </w:tc>
        <w:tc>
          <w:tcPr>
            <w:tcW w:w="1094" w:type="dxa"/>
            <w:tcBorders>
              <w:top w:val="none" w:sz="0" w:space="0" w:color="auto"/>
            </w:tcBorders>
            <w:noWrap/>
            <w:hideMark/>
          </w:tcPr>
          <w:p w14:paraId="65553496"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1134" w:type="dxa"/>
            <w:tcBorders>
              <w:top w:val="none" w:sz="0" w:space="0" w:color="auto"/>
            </w:tcBorders>
            <w:noWrap/>
            <w:hideMark/>
          </w:tcPr>
          <w:p w14:paraId="10CF5BA0"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1134" w:type="dxa"/>
            <w:tcBorders>
              <w:top w:val="none" w:sz="0" w:space="0" w:color="auto"/>
            </w:tcBorders>
            <w:noWrap/>
            <w:hideMark/>
          </w:tcPr>
          <w:p w14:paraId="7DFAC9A3"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1162" w:type="dxa"/>
            <w:tcBorders>
              <w:top w:val="none" w:sz="0" w:space="0" w:color="auto"/>
            </w:tcBorders>
            <w:noWrap/>
            <w:hideMark/>
          </w:tcPr>
          <w:p w14:paraId="19165B1E"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1046" w:type="dxa"/>
            <w:tcBorders>
              <w:top w:val="none" w:sz="0" w:space="0" w:color="auto"/>
            </w:tcBorders>
            <w:noWrap/>
            <w:hideMark/>
          </w:tcPr>
          <w:p w14:paraId="09B24CC4"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992" w:type="dxa"/>
            <w:tcBorders>
              <w:top w:val="none" w:sz="0" w:space="0" w:color="auto"/>
            </w:tcBorders>
            <w:noWrap/>
            <w:hideMark/>
          </w:tcPr>
          <w:p w14:paraId="1837BDE4"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r>
    </w:tbl>
    <w:p w14:paraId="0EA92E2A" w14:textId="1E7DACC0" w:rsidR="00C80FA2" w:rsidRPr="00EF2495" w:rsidRDefault="00C80FA2" w:rsidP="00EF2495">
      <w:pPr>
        <w:rPr>
          <w:lang w:val="en-US" w:eastAsia="en-AU"/>
        </w:rPr>
      </w:pPr>
      <w:r w:rsidRPr="00EF2495">
        <w:rPr>
          <w:lang w:val="en-US" w:eastAsia="en-AU"/>
        </w:rPr>
        <w:t xml:space="preserve">Table </w:t>
      </w:r>
      <w:r w:rsidRPr="00EF2495">
        <w:rPr>
          <w:lang w:val="en-US" w:eastAsia="en-AU"/>
        </w:rPr>
        <w:fldChar w:fldCharType="begin"/>
      </w:r>
      <w:r w:rsidRPr="00EF2495">
        <w:rPr>
          <w:lang w:val="en-US" w:eastAsia="en-AU"/>
        </w:rPr>
        <w:instrText xml:space="preserve"> SEQ Table \* ARABIC </w:instrText>
      </w:r>
      <w:r w:rsidRPr="00EF2495">
        <w:rPr>
          <w:lang w:val="en-US" w:eastAsia="en-AU"/>
        </w:rPr>
        <w:fldChar w:fldCharType="separate"/>
      </w:r>
      <w:r w:rsidR="003B4A8A" w:rsidRPr="00EF2495">
        <w:rPr>
          <w:lang w:val="en-US" w:eastAsia="en-AU"/>
        </w:rPr>
        <w:t>5</w:t>
      </w:r>
      <w:r w:rsidRPr="00EF2495">
        <w:rPr>
          <w:lang w:val="en-US" w:eastAsia="en-AU"/>
        </w:rPr>
        <w:fldChar w:fldCharType="end"/>
      </w:r>
      <w:r w:rsidRPr="00EF2495">
        <w:rPr>
          <w:lang w:val="en-US" w:eastAsia="en-AU"/>
        </w:rPr>
        <w:t>:   Applications by award program, island of Tonga birthplace and intake round</w:t>
      </w:r>
    </w:p>
    <w:tbl>
      <w:tblPr>
        <w:tblStyle w:val="ListTable3"/>
        <w:tblW w:w="8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2540"/>
        <w:gridCol w:w="999"/>
        <w:gridCol w:w="1134"/>
        <w:gridCol w:w="992"/>
        <w:gridCol w:w="993"/>
        <w:gridCol w:w="983"/>
        <w:gridCol w:w="1060"/>
      </w:tblGrid>
      <w:tr w:rsidR="002D459B" w:rsidRPr="00EF2495" w14:paraId="05E6AD6C" w14:textId="77777777" w:rsidTr="006357C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2540" w:type="dxa"/>
            <w:tcBorders>
              <w:bottom w:val="none" w:sz="0" w:space="0" w:color="auto"/>
              <w:right w:val="none" w:sz="0" w:space="0" w:color="auto"/>
            </w:tcBorders>
            <w:noWrap/>
            <w:hideMark/>
          </w:tcPr>
          <w:p w14:paraId="4CD628DC" w14:textId="77777777" w:rsidR="00C80FA2" w:rsidRPr="00F1632D" w:rsidRDefault="00C80FA2" w:rsidP="00EF2495">
            <w:pPr>
              <w:rPr>
                <w:b w:val="0"/>
                <w:bCs w:val="0"/>
              </w:rPr>
            </w:pPr>
            <w:r w:rsidRPr="00F1632D">
              <w:t xml:space="preserve">Tonga birthplace </w:t>
            </w:r>
          </w:p>
        </w:tc>
        <w:tc>
          <w:tcPr>
            <w:tcW w:w="999" w:type="dxa"/>
            <w:noWrap/>
            <w:hideMark/>
          </w:tcPr>
          <w:p w14:paraId="4EEA67FF" w14:textId="25ABE6B7" w:rsidR="00C80FA2" w:rsidRPr="00F1632D" w:rsidRDefault="00EC07FD"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2020 </w:t>
            </w:r>
            <w:r w:rsidR="00C80FA2" w:rsidRPr="00F1632D">
              <w:t>AAPS</w:t>
            </w:r>
          </w:p>
        </w:tc>
        <w:tc>
          <w:tcPr>
            <w:tcW w:w="1134" w:type="dxa"/>
            <w:noWrap/>
            <w:hideMark/>
          </w:tcPr>
          <w:p w14:paraId="7CE65FE9" w14:textId="77777777" w:rsidR="00EC07FD" w:rsidRPr="00F1632D" w:rsidRDefault="00EC07FD"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2020</w:t>
            </w:r>
          </w:p>
          <w:p w14:paraId="11A486F1" w14:textId="40B1B7D6" w:rsidR="00C80FA2" w:rsidRPr="00F1632D" w:rsidRDefault="00C80FA2"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AAS</w:t>
            </w:r>
          </w:p>
        </w:tc>
        <w:tc>
          <w:tcPr>
            <w:tcW w:w="992" w:type="dxa"/>
            <w:noWrap/>
            <w:hideMark/>
          </w:tcPr>
          <w:p w14:paraId="6FD99534" w14:textId="309CA362" w:rsidR="00C80FA2" w:rsidRPr="00F1632D" w:rsidRDefault="00EC07FD"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2020 Total</w:t>
            </w:r>
          </w:p>
        </w:tc>
        <w:tc>
          <w:tcPr>
            <w:tcW w:w="993" w:type="dxa"/>
            <w:noWrap/>
            <w:hideMark/>
          </w:tcPr>
          <w:p w14:paraId="093DDAF0" w14:textId="43E52E45" w:rsidR="00C80FA2" w:rsidRPr="00F1632D" w:rsidRDefault="00EC07FD"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2024 </w:t>
            </w:r>
            <w:r w:rsidR="00C80FA2" w:rsidRPr="00F1632D">
              <w:t>AAPS</w:t>
            </w:r>
          </w:p>
        </w:tc>
        <w:tc>
          <w:tcPr>
            <w:tcW w:w="983" w:type="dxa"/>
            <w:noWrap/>
            <w:hideMark/>
          </w:tcPr>
          <w:p w14:paraId="2504E428" w14:textId="69A459F9" w:rsidR="00C80FA2" w:rsidRPr="00F1632D" w:rsidRDefault="00EC07FD"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 xml:space="preserve">2024 </w:t>
            </w:r>
            <w:r w:rsidR="00C80FA2" w:rsidRPr="00F1632D">
              <w:t>AAS</w:t>
            </w:r>
          </w:p>
        </w:tc>
        <w:tc>
          <w:tcPr>
            <w:tcW w:w="1060" w:type="dxa"/>
            <w:noWrap/>
            <w:hideMark/>
          </w:tcPr>
          <w:p w14:paraId="47B1AA7F" w14:textId="3982F6D4" w:rsidR="00C80FA2" w:rsidRPr="00F1632D" w:rsidRDefault="00EC07FD"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2024 Total</w:t>
            </w:r>
          </w:p>
        </w:tc>
      </w:tr>
      <w:tr w:rsidR="00C80FA2" w:rsidRPr="00EF2495" w14:paraId="3AC29BFA" w14:textId="77777777" w:rsidTr="004A75B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0" w:type="dxa"/>
            <w:tcBorders>
              <w:top w:val="none" w:sz="0" w:space="0" w:color="auto"/>
              <w:bottom w:val="none" w:sz="0" w:space="0" w:color="auto"/>
              <w:right w:val="none" w:sz="0" w:space="0" w:color="auto"/>
            </w:tcBorders>
            <w:noWrap/>
            <w:hideMark/>
          </w:tcPr>
          <w:p w14:paraId="7D97AF32" w14:textId="77777777" w:rsidR="00C80FA2" w:rsidRPr="00EF2495" w:rsidRDefault="00C80FA2" w:rsidP="00EF2495">
            <w:r w:rsidRPr="00EF2495">
              <w:t>Eua</w:t>
            </w:r>
          </w:p>
        </w:tc>
        <w:tc>
          <w:tcPr>
            <w:tcW w:w="999" w:type="dxa"/>
            <w:tcBorders>
              <w:top w:val="none" w:sz="0" w:space="0" w:color="auto"/>
              <w:bottom w:val="none" w:sz="0" w:space="0" w:color="auto"/>
            </w:tcBorders>
            <w:noWrap/>
            <w:hideMark/>
          </w:tcPr>
          <w:p w14:paraId="3F28FC63"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3%</w:t>
            </w:r>
          </w:p>
        </w:tc>
        <w:tc>
          <w:tcPr>
            <w:tcW w:w="1134" w:type="dxa"/>
            <w:tcBorders>
              <w:top w:val="none" w:sz="0" w:space="0" w:color="auto"/>
              <w:bottom w:val="none" w:sz="0" w:space="0" w:color="auto"/>
            </w:tcBorders>
            <w:noWrap/>
            <w:hideMark/>
          </w:tcPr>
          <w:p w14:paraId="2267391C"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4%</w:t>
            </w:r>
          </w:p>
        </w:tc>
        <w:tc>
          <w:tcPr>
            <w:tcW w:w="992" w:type="dxa"/>
            <w:tcBorders>
              <w:top w:val="none" w:sz="0" w:space="0" w:color="auto"/>
              <w:bottom w:val="none" w:sz="0" w:space="0" w:color="auto"/>
            </w:tcBorders>
            <w:noWrap/>
            <w:hideMark/>
          </w:tcPr>
          <w:p w14:paraId="6D06A429"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3%</w:t>
            </w:r>
          </w:p>
        </w:tc>
        <w:tc>
          <w:tcPr>
            <w:tcW w:w="993" w:type="dxa"/>
            <w:tcBorders>
              <w:top w:val="none" w:sz="0" w:space="0" w:color="auto"/>
              <w:bottom w:val="none" w:sz="0" w:space="0" w:color="auto"/>
            </w:tcBorders>
            <w:noWrap/>
            <w:hideMark/>
          </w:tcPr>
          <w:p w14:paraId="32D4B38E"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4%</w:t>
            </w:r>
          </w:p>
        </w:tc>
        <w:tc>
          <w:tcPr>
            <w:tcW w:w="983" w:type="dxa"/>
            <w:tcBorders>
              <w:top w:val="none" w:sz="0" w:space="0" w:color="auto"/>
              <w:bottom w:val="none" w:sz="0" w:space="0" w:color="auto"/>
            </w:tcBorders>
            <w:noWrap/>
            <w:hideMark/>
          </w:tcPr>
          <w:p w14:paraId="24F90F67"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6%</w:t>
            </w:r>
          </w:p>
        </w:tc>
        <w:tc>
          <w:tcPr>
            <w:tcW w:w="1060" w:type="dxa"/>
            <w:tcBorders>
              <w:top w:val="none" w:sz="0" w:space="0" w:color="auto"/>
              <w:bottom w:val="none" w:sz="0" w:space="0" w:color="auto"/>
            </w:tcBorders>
            <w:noWrap/>
            <w:hideMark/>
          </w:tcPr>
          <w:p w14:paraId="01D09A78"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5%</w:t>
            </w:r>
          </w:p>
        </w:tc>
      </w:tr>
      <w:tr w:rsidR="00C80FA2" w:rsidRPr="00EF2495" w14:paraId="68D0A5E9" w14:textId="77777777" w:rsidTr="004A75BA">
        <w:trPr>
          <w:trHeight w:val="290"/>
        </w:trPr>
        <w:tc>
          <w:tcPr>
            <w:cnfStyle w:val="001000000000" w:firstRow="0" w:lastRow="0" w:firstColumn="1" w:lastColumn="0" w:oddVBand="0" w:evenVBand="0" w:oddHBand="0" w:evenHBand="0" w:firstRowFirstColumn="0" w:firstRowLastColumn="0" w:lastRowFirstColumn="0" w:lastRowLastColumn="0"/>
            <w:tcW w:w="2540" w:type="dxa"/>
            <w:tcBorders>
              <w:right w:val="none" w:sz="0" w:space="0" w:color="auto"/>
            </w:tcBorders>
            <w:noWrap/>
            <w:hideMark/>
          </w:tcPr>
          <w:p w14:paraId="56E68A02" w14:textId="77777777" w:rsidR="00C80FA2" w:rsidRPr="00EF2495" w:rsidRDefault="00C80FA2" w:rsidP="00EF2495">
            <w:proofErr w:type="spellStart"/>
            <w:r w:rsidRPr="00EF2495">
              <w:t>Ha’apai</w:t>
            </w:r>
            <w:proofErr w:type="spellEnd"/>
          </w:p>
        </w:tc>
        <w:tc>
          <w:tcPr>
            <w:tcW w:w="999" w:type="dxa"/>
            <w:noWrap/>
            <w:hideMark/>
          </w:tcPr>
          <w:p w14:paraId="65494471"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2%</w:t>
            </w:r>
          </w:p>
        </w:tc>
        <w:tc>
          <w:tcPr>
            <w:tcW w:w="1134" w:type="dxa"/>
            <w:noWrap/>
            <w:hideMark/>
          </w:tcPr>
          <w:p w14:paraId="46D39B76"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5%</w:t>
            </w:r>
          </w:p>
        </w:tc>
        <w:tc>
          <w:tcPr>
            <w:tcW w:w="992" w:type="dxa"/>
            <w:noWrap/>
            <w:hideMark/>
          </w:tcPr>
          <w:p w14:paraId="3EFFD3BC"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w:t>
            </w:r>
          </w:p>
        </w:tc>
        <w:tc>
          <w:tcPr>
            <w:tcW w:w="993" w:type="dxa"/>
            <w:noWrap/>
            <w:hideMark/>
          </w:tcPr>
          <w:p w14:paraId="776AB347"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2%</w:t>
            </w:r>
          </w:p>
        </w:tc>
        <w:tc>
          <w:tcPr>
            <w:tcW w:w="983" w:type="dxa"/>
            <w:noWrap/>
            <w:hideMark/>
          </w:tcPr>
          <w:p w14:paraId="536C9EC8"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4%</w:t>
            </w:r>
          </w:p>
        </w:tc>
        <w:tc>
          <w:tcPr>
            <w:tcW w:w="1060" w:type="dxa"/>
            <w:noWrap/>
            <w:hideMark/>
          </w:tcPr>
          <w:p w14:paraId="09143F64"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w:t>
            </w:r>
          </w:p>
        </w:tc>
      </w:tr>
      <w:tr w:rsidR="00C80FA2" w:rsidRPr="00EF2495" w14:paraId="153BCE6E" w14:textId="77777777" w:rsidTr="004A75B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0" w:type="dxa"/>
            <w:tcBorders>
              <w:top w:val="none" w:sz="0" w:space="0" w:color="auto"/>
              <w:bottom w:val="none" w:sz="0" w:space="0" w:color="auto"/>
              <w:right w:val="none" w:sz="0" w:space="0" w:color="auto"/>
            </w:tcBorders>
            <w:noWrap/>
            <w:hideMark/>
          </w:tcPr>
          <w:p w14:paraId="2779B988" w14:textId="77777777" w:rsidR="00C80FA2" w:rsidRPr="00EF2495" w:rsidRDefault="00C80FA2" w:rsidP="00EF2495">
            <w:proofErr w:type="spellStart"/>
            <w:r w:rsidRPr="00EF2495">
              <w:t>Niuas</w:t>
            </w:r>
            <w:proofErr w:type="spellEnd"/>
          </w:p>
        </w:tc>
        <w:tc>
          <w:tcPr>
            <w:tcW w:w="999" w:type="dxa"/>
            <w:tcBorders>
              <w:top w:val="none" w:sz="0" w:space="0" w:color="auto"/>
              <w:bottom w:val="none" w:sz="0" w:space="0" w:color="auto"/>
            </w:tcBorders>
            <w:noWrap/>
            <w:hideMark/>
          </w:tcPr>
          <w:p w14:paraId="03CF60BD"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w:t>
            </w:r>
          </w:p>
        </w:tc>
        <w:tc>
          <w:tcPr>
            <w:tcW w:w="1134" w:type="dxa"/>
            <w:tcBorders>
              <w:top w:val="none" w:sz="0" w:space="0" w:color="auto"/>
              <w:bottom w:val="none" w:sz="0" w:space="0" w:color="auto"/>
            </w:tcBorders>
            <w:noWrap/>
            <w:hideMark/>
          </w:tcPr>
          <w:p w14:paraId="45BEED54"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w:t>
            </w:r>
          </w:p>
        </w:tc>
        <w:tc>
          <w:tcPr>
            <w:tcW w:w="992" w:type="dxa"/>
            <w:tcBorders>
              <w:top w:val="none" w:sz="0" w:space="0" w:color="auto"/>
              <w:bottom w:val="none" w:sz="0" w:space="0" w:color="auto"/>
            </w:tcBorders>
            <w:noWrap/>
            <w:hideMark/>
          </w:tcPr>
          <w:p w14:paraId="48A391F9"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w:t>
            </w:r>
          </w:p>
        </w:tc>
        <w:tc>
          <w:tcPr>
            <w:tcW w:w="993" w:type="dxa"/>
            <w:tcBorders>
              <w:top w:val="none" w:sz="0" w:space="0" w:color="auto"/>
              <w:bottom w:val="none" w:sz="0" w:space="0" w:color="auto"/>
            </w:tcBorders>
            <w:noWrap/>
            <w:hideMark/>
          </w:tcPr>
          <w:p w14:paraId="4623CADC"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w:t>
            </w:r>
          </w:p>
        </w:tc>
        <w:tc>
          <w:tcPr>
            <w:tcW w:w="983" w:type="dxa"/>
            <w:tcBorders>
              <w:top w:val="none" w:sz="0" w:space="0" w:color="auto"/>
              <w:bottom w:val="none" w:sz="0" w:space="0" w:color="auto"/>
            </w:tcBorders>
            <w:noWrap/>
            <w:hideMark/>
          </w:tcPr>
          <w:p w14:paraId="662A25BF"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w:t>
            </w:r>
          </w:p>
        </w:tc>
        <w:tc>
          <w:tcPr>
            <w:tcW w:w="1060" w:type="dxa"/>
            <w:tcBorders>
              <w:top w:val="none" w:sz="0" w:space="0" w:color="auto"/>
              <w:bottom w:val="none" w:sz="0" w:space="0" w:color="auto"/>
            </w:tcBorders>
            <w:noWrap/>
            <w:hideMark/>
          </w:tcPr>
          <w:p w14:paraId="79F709B1"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w:t>
            </w:r>
          </w:p>
        </w:tc>
      </w:tr>
      <w:tr w:rsidR="00C80FA2" w:rsidRPr="00EF2495" w14:paraId="6779F483" w14:textId="77777777" w:rsidTr="004A75BA">
        <w:trPr>
          <w:trHeight w:val="290"/>
        </w:trPr>
        <w:tc>
          <w:tcPr>
            <w:cnfStyle w:val="001000000000" w:firstRow="0" w:lastRow="0" w:firstColumn="1" w:lastColumn="0" w:oddVBand="0" w:evenVBand="0" w:oddHBand="0" w:evenHBand="0" w:firstRowFirstColumn="0" w:firstRowLastColumn="0" w:lastRowFirstColumn="0" w:lastRowLastColumn="0"/>
            <w:tcW w:w="2540" w:type="dxa"/>
            <w:tcBorders>
              <w:right w:val="none" w:sz="0" w:space="0" w:color="auto"/>
            </w:tcBorders>
            <w:noWrap/>
            <w:hideMark/>
          </w:tcPr>
          <w:p w14:paraId="326B00A4" w14:textId="77777777" w:rsidR="00C80FA2" w:rsidRPr="00EF2495" w:rsidRDefault="00C80FA2" w:rsidP="00EF2495">
            <w:proofErr w:type="spellStart"/>
            <w:r w:rsidRPr="00EF2495">
              <w:t>Tongatapu</w:t>
            </w:r>
            <w:proofErr w:type="spellEnd"/>
          </w:p>
        </w:tc>
        <w:tc>
          <w:tcPr>
            <w:tcW w:w="999" w:type="dxa"/>
            <w:noWrap/>
            <w:hideMark/>
          </w:tcPr>
          <w:p w14:paraId="4E0473A3"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75%</w:t>
            </w:r>
          </w:p>
        </w:tc>
        <w:tc>
          <w:tcPr>
            <w:tcW w:w="1134" w:type="dxa"/>
            <w:noWrap/>
            <w:hideMark/>
          </w:tcPr>
          <w:p w14:paraId="1BD508D0"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79%</w:t>
            </w:r>
          </w:p>
        </w:tc>
        <w:tc>
          <w:tcPr>
            <w:tcW w:w="992" w:type="dxa"/>
            <w:noWrap/>
            <w:hideMark/>
          </w:tcPr>
          <w:p w14:paraId="56BFC9CF"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76%</w:t>
            </w:r>
          </w:p>
        </w:tc>
        <w:tc>
          <w:tcPr>
            <w:tcW w:w="993" w:type="dxa"/>
            <w:noWrap/>
            <w:hideMark/>
          </w:tcPr>
          <w:p w14:paraId="16ADF786"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74%</w:t>
            </w:r>
          </w:p>
        </w:tc>
        <w:tc>
          <w:tcPr>
            <w:tcW w:w="983" w:type="dxa"/>
            <w:noWrap/>
            <w:hideMark/>
          </w:tcPr>
          <w:p w14:paraId="2AFD83AE"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74%</w:t>
            </w:r>
          </w:p>
        </w:tc>
        <w:tc>
          <w:tcPr>
            <w:tcW w:w="1060" w:type="dxa"/>
            <w:noWrap/>
            <w:hideMark/>
          </w:tcPr>
          <w:p w14:paraId="5AB1864C"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74%</w:t>
            </w:r>
          </w:p>
        </w:tc>
      </w:tr>
      <w:tr w:rsidR="00C80FA2" w:rsidRPr="00EF2495" w14:paraId="2C447D5D" w14:textId="77777777" w:rsidTr="004A75B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40" w:type="dxa"/>
            <w:tcBorders>
              <w:top w:val="none" w:sz="0" w:space="0" w:color="auto"/>
              <w:bottom w:val="none" w:sz="0" w:space="0" w:color="auto"/>
              <w:right w:val="none" w:sz="0" w:space="0" w:color="auto"/>
            </w:tcBorders>
            <w:noWrap/>
            <w:hideMark/>
          </w:tcPr>
          <w:p w14:paraId="4CA63CCD" w14:textId="77777777" w:rsidR="00C80FA2" w:rsidRPr="00EF2495" w:rsidRDefault="00C80FA2" w:rsidP="00EF2495">
            <w:proofErr w:type="spellStart"/>
            <w:r w:rsidRPr="00EF2495">
              <w:t>Vava'u</w:t>
            </w:r>
            <w:proofErr w:type="spellEnd"/>
          </w:p>
        </w:tc>
        <w:tc>
          <w:tcPr>
            <w:tcW w:w="999" w:type="dxa"/>
            <w:tcBorders>
              <w:top w:val="none" w:sz="0" w:space="0" w:color="auto"/>
              <w:bottom w:val="none" w:sz="0" w:space="0" w:color="auto"/>
            </w:tcBorders>
            <w:noWrap/>
            <w:hideMark/>
          </w:tcPr>
          <w:p w14:paraId="20775DF0"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18%</w:t>
            </w:r>
          </w:p>
        </w:tc>
        <w:tc>
          <w:tcPr>
            <w:tcW w:w="1134" w:type="dxa"/>
            <w:tcBorders>
              <w:top w:val="none" w:sz="0" w:space="0" w:color="auto"/>
              <w:bottom w:val="none" w:sz="0" w:space="0" w:color="auto"/>
            </w:tcBorders>
            <w:noWrap/>
            <w:hideMark/>
          </w:tcPr>
          <w:p w14:paraId="1E5B9562"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11%</w:t>
            </w:r>
          </w:p>
        </w:tc>
        <w:tc>
          <w:tcPr>
            <w:tcW w:w="992" w:type="dxa"/>
            <w:tcBorders>
              <w:top w:val="none" w:sz="0" w:space="0" w:color="auto"/>
              <w:bottom w:val="none" w:sz="0" w:space="0" w:color="auto"/>
            </w:tcBorders>
            <w:noWrap/>
            <w:hideMark/>
          </w:tcPr>
          <w:p w14:paraId="3A7E983C"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16%</w:t>
            </w:r>
          </w:p>
        </w:tc>
        <w:tc>
          <w:tcPr>
            <w:tcW w:w="993" w:type="dxa"/>
            <w:tcBorders>
              <w:top w:val="none" w:sz="0" w:space="0" w:color="auto"/>
              <w:bottom w:val="none" w:sz="0" w:space="0" w:color="auto"/>
            </w:tcBorders>
            <w:noWrap/>
            <w:hideMark/>
          </w:tcPr>
          <w:p w14:paraId="25A30227"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18%</w:t>
            </w:r>
          </w:p>
        </w:tc>
        <w:tc>
          <w:tcPr>
            <w:tcW w:w="983" w:type="dxa"/>
            <w:tcBorders>
              <w:top w:val="none" w:sz="0" w:space="0" w:color="auto"/>
              <w:bottom w:val="none" w:sz="0" w:space="0" w:color="auto"/>
            </w:tcBorders>
            <w:noWrap/>
            <w:hideMark/>
          </w:tcPr>
          <w:p w14:paraId="7996492A"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15%</w:t>
            </w:r>
          </w:p>
        </w:tc>
        <w:tc>
          <w:tcPr>
            <w:tcW w:w="1060" w:type="dxa"/>
            <w:tcBorders>
              <w:top w:val="none" w:sz="0" w:space="0" w:color="auto"/>
              <w:bottom w:val="none" w:sz="0" w:space="0" w:color="auto"/>
            </w:tcBorders>
            <w:noWrap/>
            <w:hideMark/>
          </w:tcPr>
          <w:p w14:paraId="1581B68A"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16%</w:t>
            </w:r>
          </w:p>
        </w:tc>
      </w:tr>
      <w:tr w:rsidR="002D459B" w:rsidRPr="00EF2495" w14:paraId="60F2511F" w14:textId="77777777" w:rsidTr="004A75BA">
        <w:trPr>
          <w:cnfStyle w:val="010000000000" w:firstRow="0" w:lastRow="1" w:firstColumn="0" w:lastColumn="0" w:oddVBand="0" w:evenVBand="0" w:oddHBand="0" w:evenHBand="0" w:firstRowFirstColumn="0" w:firstRowLastColumn="0" w:lastRowFirstColumn="0" w:lastRowLastColumn="0"/>
          <w:trHeight w:val="290"/>
        </w:trPr>
        <w:tc>
          <w:tcPr>
            <w:cnfStyle w:val="001000000001" w:firstRow="0" w:lastRow="0" w:firstColumn="1" w:lastColumn="0" w:oddVBand="0" w:evenVBand="0" w:oddHBand="0" w:evenHBand="0" w:firstRowFirstColumn="0" w:firstRowLastColumn="0" w:lastRowFirstColumn="1" w:lastRowLastColumn="0"/>
            <w:tcW w:w="2540" w:type="dxa"/>
            <w:tcBorders>
              <w:top w:val="none" w:sz="0" w:space="0" w:color="auto"/>
              <w:right w:val="none" w:sz="0" w:space="0" w:color="auto"/>
            </w:tcBorders>
            <w:noWrap/>
            <w:hideMark/>
          </w:tcPr>
          <w:p w14:paraId="5A8A1939" w14:textId="77777777" w:rsidR="00C80FA2" w:rsidRPr="00EF2495" w:rsidRDefault="00C80FA2" w:rsidP="00EF2495">
            <w:r w:rsidRPr="00EF2495">
              <w:t>Grand Total</w:t>
            </w:r>
          </w:p>
        </w:tc>
        <w:tc>
          <w:tcPr>
            <w:tcW w:w="999" w:type="dxa"/>
            <w:tcBorders>
              <w:top w:val="none" w:sz="0" w:space="0" w:color="auto"/>
            </w:tcBorders>
            <w:noWrap/>
            <w:hideMark/>
          </w:tcPr>
          <w:p w14:paraId="7EF681A3"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1134" w:type="dxa"/>
            <w:tcBorders>
              <w:top w:val="none" w:sz="0" w:space="0" w:color="auto"/>
            </w:tcBorders>
            <w:noWrap/>
            <w:hideMark/>
          </w:tcPr>
          <w:p w14:paraId="51D83390"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992" w:type="dxa"/>
            <w:tcBorders>
              <w:top w:val="none" w:sz="0" w:space="0" w:color="auto"/>
            </w:tcBorders>
            <w:noWrap/>
            <w:hideMark/>
          </w:tcPr>
          <w:p w14:paraId="6E3F0422"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993" w:type="dxa"/>
            <w:tcBorders>
              <w:top w:val="none" w:sz="0" w:space="0" w:color="auto"/>
            </w:tcBorders>
            <w:noWrap/>
            <w:hideMark/>
          </w:tcPr>
          <w:p w14:paraId="028E90FB"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983" w:type="dxa"/>
            <w:tcBorders>
              <w:top w:val="none" w:sz="0" w:space="0" w:color="auto"/>
            </w:tcBorders>
            <w:noWrap/>
            <w:hideMark/>
          </w:tcPr>
          <w:p w14:paraId="325C8DC7"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tcW w:w="1060" w:type="dxa"/>
            <w:tcBorders>
              <w:top w:val="none" w:sz="0" w:space="0" w:color="auto"/>
            </w:tcBorders>
            <w:noWrap/>
            <w:hideMark/>
          </w:tcPr>
          <w:p w14:paraId="23B7E5A9"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r>
    </w:tbl>
    <w:p w14:paraId="4ED11F4A" w14:textId="7E9E6E82" w:rsidR="00C80FA2" w:rsidRPr="00EF2495" w:rsidRDefault="003E4E20" w:rsidP="001A765A">
      <w:pPr>
        <w:pStyle w:val="Heading2"/>
      </w:pPr>
      <w:bookmarkStart w:id="90" w:name="_Toc185321244"/>
      <w:r w:rsidRPr="00EF2495">
        <w:t>4</w:t>
      </w:r>
      <w:r w:rsidR="00DA3A85" w:rsidRPr="00EF2495">
        <w:t>.</w:t>
      </w:r>
      <w:r w:rsidR="00DA3A85" w:rsidRPr="00EF2495">
        <w:tab/>
      </w:r>
      <w:r w:rsidR="00C80FA2" w:rsidRPr="00EF2495">
        <w:t>Tonga AAS and AAPS award offers</w:t>
      </w:r>
      <w:bookmarkEnd w:id="90"/>
      <w:r w:rsidR="00C80FA2" w:rsidRPr="00EF2495">
        <w:t xml:space="preserve"> </w:t>
      </w:r>
      <w:bookmarkStart w:id="91" w:name="_Toc172812877"/>
      <w:bookmarkStart w:id="92" w:name="_Hlk172582657"/>
    </w:p>
    <w:bookmarkEnd w:id="91"/>
    <w:p w14:paraId="47AA282F" w14:textId="77777777" w:rsidR="00C80FA2" w:rsidRPr="00EF2495" w:rsidRDefault="00C80FA2" w:rsidP="00EF2495">
      <w:pPr>
        <w:rPr>
          <w:lang w:val="en-US"/>
        </w:rPr>
      </w:pPr>
      <w:r w:rsidRPr="00EF2495">
        <w:rPr>
          <w:lang w:val="en-US"/>
        </w:rPr>
        <w:t>Source: OASIS (extracted 14 August 2024)</w:t>
      </w:r>
      <w:r w:rsidRPr="00EF2495">
        <w:rPr>
          <w:lang w:val="en-US"/>
        </w:rPr>
        <w:footnoteReference w:id="13"/>
      </w:r>
      <w:r w:rsidRPr="00EF2495">
        <w:rPr>
          <w:lang w:val="en-US"/>
        </w:rPr>
        <w:t xml:space="preserve"> </w:t>
      </w:r>
    </w:p>
    <w:p w14:paraId="65D465CB" w14:textId="31656374" w:rsidR="00C80FA2" w:rsidRPr="00EF2495" w:rsidRDefault="00C80FA2" w:rsidP="00EF2495">
      <w:r w:rsidRPr="00EF2495">
        <w:lastRenderedPageBreak/>
        <w:t>These tables are for the AAS (</w:t>
      </w:r>
      <w:r w:rsidRPr="00EF2495">
        <w:rPr>
          <w:lang w:val="en-US"/>
        </w:rPr>
        <w:t xml:space="preserve">includes predecessor development awards to study in Australia) and </w:t>
      </w:r>
      <w:r w:rsidRPr="00EF2495">
        <w:t>AAPS (</w:t>
      </w:r>
      <w:proofErr w:type="spellStart"/>
      <w:r w:rsidRPr="00EF2495">
        <w:t>i</w:t>
      </w:r>
      <w:r w:rsidRPr="00EF2495">
        <w:rPr>
          <w:lang w:val="en-US"/>
        </w:rPr>
        <w:t>ncluding</w:t>
      </w:r>
      <w:proofErr w:type="spellEnd"/>
      <w:r w:rsidRPr="00EF2495">
        <w:rPr>
          <w:lang w:val="en-US"/>
        </w:rPr>
        <w:t xml:space="preserve"> predecessor awards to study in the Pacific).  They do not </w:t>
      </w:r>
      <w:r w:rsidRPr="00EF2495">
        <w:t>include award offers for AAF or ACIAR JAF (detailed data was not available for these programs).</w:t>
      </w:r>
    </w:p>
    <w:p w14:paraId="067B86FE" w14:textId="38E67BD1" w:rsidR="00C80FA2" w:rsidRPr="00EF2495" w:rsidRDefault="003E4E20" w:rsidP="001A765A">
      <w:pPr>
        <w:pStyle w:val="Heading3"/>
      </w:pPr>
      <w:bookmarkStart w:id="93" w:name="_Toc185321245"/>
      <w:r w:rsidRPr="00EF2495">
        <w:t>4</w:t>
      </w:r>
      <w:r w:rsidR="00927489" w:rsidRPr="00EF2495">
        <w:t>.1</w:t>
      </w:r>
      <w:r w:rsidR="00927489" w:rsidRPr="00EF2495">
        <w:tab/>
      </w:r>
      <w:r w:rsidR="00C80FA2" w:rsidRPr="00EF2495">
        <w:t>Award offers</w:t>
      </w:r>
      <w:bookmarkEnd w:id="93"/>
    </w:p>
    <w:p w14:paraId="4BF668E8" w14:textId="77777777" w:rsidR="00C80FA2" w:rsidRPr="00EF2495" w:rsidRDefault="00C80FA2" w:rsidP="00EF2495">
      <w:pPr>
        <w:rPr>
          <w:lang w:val="en-US"/>
        </w:rPr>
      </w:pPr>
      <w:r w:rsidRPr="00EF2495">
        <w:rPr>
          <w:lang w:val="en-US"/>
        </w:rPr>
        <w:t>The number of awards offered has varied over time. Up to 2005, less than 10 per year; 2006-3009 increasing to 18 per year; peak of 38-46 awards in 2013-2015; 41 in 2023; only 21 in 2022 due to the COVID-19 pandemic that restricted travel/university course delivery. In 2024, 28 awards were made.</w:t>
      </w:r>
    </w:p>
    <w:p w14:paraId="5F11F80F" w14:textId="27430A67" w:rsidR="006B20BC" w:rsidRPr="00EF2495" w:rsidRDefault="00C80FA2" w:rsidP="00EF2495">
      <w:pPr>
        <w:rPr>
          <w:lang w:val="en-US"/>
        </w:rPr>
      </w:pPr>
      <w:r w:rsidRPr="00EF2495">
        <w:rPr>
          <w:lang w:val="en-US"/>
        </w:rPr>
        <w:t xml:space="preserve">70% AAPS.  The proportion of AAS awarded has increased over time with all awards being for AAPS until 2008, increasing to 56% between 2020-2024. In 2024, 57% of awards </w:t>
      </w:r>
      <w:proofErr w:type="gramStart"/>
      <w:r w:rsidRPr="00EF2495">
        <w:rPr>
          <w:lang w:val="en-US"/>
        </w:rPr>
        <w:t>were</w:t>
      </w:r>
      <w:proofErr w:type="gramEnd"/>
      <w:r w:rsidRPr="00EF2495">
        <w:rPr>
          <w:lang w:val="en-US"/>
        </w:rPr>
        <w:t xml:space="preserve"> to AAS.</w:t>
      </w:r>
    </w:p>
    <w:p w14:paraId="633412D1" w14:textId="413B79E6" w:rsidR="006B20BC" w:rsidRDefault="00C80FA2" w:rsidP="00EF2495">
      <w:pPr>
        <w:rPr>
          <w:lang w:val="en-US" w:eastAsia="en-AU"/>
        </w:rPr>
      </w:pPr>
      <w:r w:rsidRPr="00EF2495">
        <w:rPr>
          <w:lang w:val="en-US" w:eastAsia="en-AU"/>
        </w:rPr>
        <w:t xml:space="preserve">Table </w:t>
      </w:r>
      <w:r w:rsidRPr="00EF2495">
        <w:rPr>
          <w:lang w:val="en-US" w:eastAsia="en-AU"/>
        </w:rPr>
        <w:fldChar w:fldCharType="begin"/>
      </w:r>
      <w:r w:rsidRPr="00EF2495">
        <w:rPr>
          <w:lang w:val="en-US" w:eastAsia="en-AU"/>
        </w:rPr>
        <w:instrText xml:space="preserve"> SEQ Table \* ARABIC </w:instrText>
      </w:r>
      <w:r w:rsidRPr="00EF2495">
        <w:rPr>
          <w:lang w:val="en-US" w:eastAsia="en-AU"/>
        </w:rPr>
        <w:fldChar w:fldCharType="separate"/>
      </w:r>
      <w:r w:rsidR="003B4A8A" w:rsidRPr="00EF2495">
        <w:rPr>
          <w:lang w:val="en-US" w:eastAsia="en-AU"/>
        </w:rPr>
        <w:t>6</w:t>
      </w:r>
      <w:r w:rsidRPr="00EF2495">
        <w:rPr>
          <w:lang w:val="en-US" w:eastAsia="en-AU"/>
        </w:rPr>
        <w:fldChar w:fldCharType="end"/>
      </w:r>
      <w:r w:rsidRPr="00EF2495">
        <w:rPr>
          <w:lang w:val="en-US" w:eastAsia="en-AU"/>
        </w:rPr>
        <w:t xml:space="preserve">:   Award Offers by Scheme (and </w:t>
      </w:r>
      <w:proofErr w:type="gramStart"/>
      <w:r w:rsidRPr="00EF2495">
        <w:rPr>
          <w:lang w:val="en-US" w:eastAsia="en-AU"/>
        </w:rPr>
        <w:t>intake round</w:t>
      </w:r>
      <w:proofErr w:type="gramEnd"/>
      <w:r w:rsidRPr="00EF2495">
        <w:rPr>
          <w:lang w:val="en-US" w:eastAsia="en-AU"/>
        </w:rPr>
        <w:t>)</w:t>
      </w:r>
    </w:p>
    <w:p w14:paraId="3A4892EA" w14:textId="42E19400" w:rsidR="00E322A4" w:rsidRPr="00EF2495" w:rsidRDefault="00E322A4" w:rsidP="00EF2495">
      <w:pPr>
        <w:rPr>
          <w:lang w:val="en-US" w:eastAsia="en-AU"/>
        </w:rPr>
      </w:pPr>
      <w:r>
        <w:rPr>
          <w:lang w:val="en-US" w:eastAsia="en-AU"/>
        </w:rPr>
        <w:t>The table below shows the number of awards offered by intake year and program.</w:t>
      </w:r>
    </w:p>
    <w:tbl>
      <w:tblPr>
        <w:tblStyle w:val="ListTable3"/>
        <w:tblW w:w="5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559"/>
        <w:gridCol w:w="1314"/>
        <w:gridCol w:w="742"/>
      </w:tblGrid>
      <w:tr w:rsidR="00C80FA2" w:rsidRPr="00EF2495" w14:paraId="3600B142" w14:textId="77777777" w:rsidTr="006357C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1985" w:type="dxa"/>
            <w:tcBorders>
              <w:bottom w:val="none" w:sz="0" w:space="0" w:color="auto"/>
              <w:right w:val="none" w:sz="0" w:space="0" w:color="auto"/>
            </w:tcBorders>
            <w:noWrap/>
            <w:hideMark/>
          </w:tcPr>
          <w:p w14:paraId="34F06208" w14:textId="77777777" w:rsidR="00C80FA2" w:rsidRPr="00F1632D" w:rsidRDefault="00C80FA2" w:rsidP="00EF2495">
            <w:pPr>
              <w:rPr>
                <w:b w:val="0"/>
                <w:bCs w:val="0"/>
              </w:rPr>
            </w:pPr>
            <w:r w:rsidRPr="00F1632D">
              <w:t xml:space="preserve">Intake year </w:t>
            </w:r>
          </w:p>
        </w:tc>
        <w:tc>
          <w:tcPr>
            <w:tcW w:w="1559" w:type="dxa"/>
            <w:noWrap/>
            <w:hideMark/>
          </w:tcPr>
          <w:p w14:paraId="04ED9F55" w14:textId="77777777" w:rsidR="00C80FA2" w:rsidRPr="00F1632D" w:rsidRDefault="00C80FA2"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AAPS</w:t>
            </w:r>
          </w:p>
        </w:tc>
        <w:tc>
          <w:tcPr>
            <w:tcW w:w="1314" w:type="dxa"/>
            <w:noWrap/>
            <w:hideMark/>
          </w:tcPr>
          <w:p w14:paraId="2B062BDD" w14:textId="77777777" w:rsidR="00C80FA2" w:rsidRPr="00F1632D" w:rsidRDefault="00C80FA2"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AAS</w:t>
            </w:r>
          </w:p>
        </w:tc>
        <w:tc>
          <w:tcPr>
            <w:tcW w:w="694" w:type="dxa"/>
            <w:noWrap/>
            <w:hideMark/>
          </w:tcPr>
          <w:p w14:paraId="26CD88AA" w14:textId="77777777" w:rsidR="00C80FA2" w:rsidRPr="00F1632D" w:rsidRDefault="00C80FA2" w:rsidP="00EF2495">
            <w:pPr>
              <w:cnfStyle w:val="100000000000" w:firstRow="1" w:lastRow="0" w:firstColumn="0" w:lastColumn="0" w:oddVBand="0" w:evenVBand="0" w:oddHBand="0" w:evenHBand="0" w:firstRowFirstColumn="0" w:firstRowLastColumn="0" w:lastRowFirstColumn="0" w:lastRowLastColumn="0"/>
              <w:rPr>
                <w:b w:val="0"/>
                <w:bCs w:val="0"/>
              </w:rPr>
            </w:pPr>
            <w:r w:rsidRPr="00F1632D">
              <w:t>Total</w:t>
            </w:r>
          </w:p>
        </w:tc>
      </w:tr>
      <w:tr w:rsidR="00C80FA2" w:rsidRPr="00EF2495" w14:paraId="39ABECA3" w14:textId="77777777" w:rsidTr="0005080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right w:val="none" w:sz="0" w:space="0" w:color="auto"/>
            </w:tcBorders>
            <w:noWrap/>
            <w:hideMark/>
          </w:tcPr>
          <w:p w14:paraId="539D001A" w14:textId="77777777" w:rsidR="00C80FA2" w:rsidRPr="00EF2495" w:rsidRDefault="00C80FA2" w:rsidP="00EF2495">
            <w:r w:rsidRPr="00EF2495">
              <w:t>2001</w:t>
            </w:r>
          </w:p>
        </w:tc>
        <w:tc>
          <w:tcPr>
            <w:tcW w:w="1559" w:type="dxa"/>
            <w:tcBorders>
              <w:top w:val="none" w:sz="0" w:space="0" w:color="auto"/>
              <w:bottom w:val="none" w:sz="0" w:space="0" w:color="auto"/>
            </w:tcBorders>
            <w:noWrap/>
            <w:hideMark/>
          </w:tcPr>
          <w:p w14:paraId="4919B817"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w:t>
            </w:r>
          </w:p>
        </w:tc>
        <w:tc>
          <w:tcPr>
            <w:tcW w:w="1314" w:type="dxa"/>
            <w:tcBorders>
              <w:top w:val="none" w:sz="0" w:space="0" w:color="auto"/>
              <w:bottom w:val="none" w:sz="0" w:space="0" w:color="auto"/>
            </w:tcBorders>
            <w:noWrap/>
            <w:hideMark/>
          </w:tcPr>
          <w:p w14:paraId="7AB8319A" w14:textId="52BDB494" w:rsidR="00C80FA2" w:rsidRPr="00EF2495" w:rsidRDefault="00234E68" w:rsidP="00EF2495">
            <w:pPr>
              <w:cnfStyle w:val="000000100000" w:firstRow="0" w:lastRow="0" w:firstColumn="0" w:lastColumn="0" w:oddVBand="0" w:evenVBand="0" w:oddHBand="1" w:evenHBand="0" w:firstRowFirstColumn="0" w:firstRowLastColumn="0" w:lastRowFirstColumn="0" w:lastRowLastColumn="0"/>
            </w:pPr>
            <w:r>
              <w:t>NA</w:t>
            </w:r>
          </w:p>
        </w:tc>
        <w:tc>
          <w:tcPr>
            <w:tcW w:w="694" w:type="dxa"/>
            <w:tcBorders>
              <w:top w:val="none" w:sz="0" w:space="0" w:color="auto"/>
              <w:bottom w:val="none" w:sz="0" w:space="0" w:color="auto"/>
            </w:tcBorders>
            <w:noWrap/>
            <w:hideMark/>
          </w:tcPr>
          <w:p w14:paraId="0753ECB1"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w:t>
            </w:r>
          </w:p>
        </w:tc>
      </w:tr>
      <w:tr w:rsidR="00C80FA2" w:rsidRPr="00EF2495" w14:paraId="1D92BFA7" w14:textId="77777777" w:rsidTr="00050809">
        <w:trPr>
          <w:trHeight w:val="29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noWrap/>
            <w:hideMark/>
          </w:tcPr>
          <w:p w14:paraId="13A1F4BF" w14:textId="77777777" w:rsidR="00C80FA2" w:rsidRPr="00EF2495" w:rsidRDefault="00C80FA2" w:rsidP="00EF2495">
            <w:r w:rsidRPr="00EF2495">
              <w:t>2002</w:t>
            </w:r>
          </w:p>
        </w:tc>
        <w:tc>
          <w:tcPr>
            <w:tcW w:w="1559" w:type="dxa"/>
            <w:noWrap/>
            <w:hideMark/>
          </w:tcPr>
          <w:p w14:paraId="4736FA75"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6</w:t>
            </w:r>
          </w:p>
        </w:tc>
        <w:tc>
          <w:tcPr>
            <w:tcW w:w="1314" w:type="dxa"/>
            <w:noWrap/>
            <w:hideMark/>
          </w:tcPr>
          <w:p w14:paraId="233347C0" w14:textId="7E869F65" w:rsidR="00C80FA2" w:rsidRPr="00EF2495" w:rsidRDefault="00234E68" w:rsidP="00EF2495">
            <w:pPr>
              <w:cnfStyle w:val="000000000000" w:firstRow="0" w:lastRow="0" w:firstColumn="0" w:lastColumn="0" w:oddVBand="0" w:evenVBand="0" w:oddHBand="0" w:evenHBand="0" w:firstRowFirstColumn="0" w:firstRowLastColumn="0" w:lastRowFirstColumn="0" w:lastRowLastColumn="0"/>
            </w:pPr>
            <w:r>
              <w:t>NA</w:t>
            </w:r>
          </w:p>
        </w:tc>
        <w:tc>
          <w:tcPr>
            <w:tcW w:w="694" w:type="dxa"/>
            <w:noWrap/>
            <w:hideMark/>
          </w:tcPr>
          <w:p w14:paraId="01546426"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6</w:t>
            </w:r>
          </w:p>
        </w:tc>
      </w:tr>
      <w:tr w:rsidR="00C80FA2" w:rsidRPr="00EF2495" w14:paraId="7968AACB" w14:textId="77777777" w:rsidTr="0005080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right w:val="none" w:sz="0" w:space="0" w:color="auto"/>
            </w:tcBorders>
            <w:noWrap/>
            <w:hideMark/>
          </w:tcPr>
          <w:p w14:paraId="21CF25D7" w14:textId="77777777" w:rsidR="00C80FA2" w:rsidRPr="00EF2495" w:rsidRDefault="00C80FA2" w:rsidP="00EF2495">
            <w:r w:rsidRPr="00EF2495">
              <w:t>2003</w:t>
            </w:r>
          </w:p>
        </w:tc>
        <w:tc>
          <w:tcPr>
            <w:tcW w:w="1559" w:type="dxa"/>
            <w:tcBorders>
              <w:top w:val="none" w:sz="0" w:space="0" w:color="auto"/>
              <w:bottom w:val="none" w:sz="0" w:space="0" w:color="auto"/>
            </w:tcBorders>
            <w:noWrap/>
            <w:hideMark/>
          </w:tcPr>
          <w:p w14:paraId="22EB629D"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w:t>
            </w:r>
          </w:p>
        </w:tc>
        <w:tc>
          <w:tcPr>
            <w:tcW w:w="1314" w:type="dxa"/>
            <w:tcBorders>
              <w:top w:val="none" w:sz="0" w:space="0" w:color="auto"/>
              <w:bottom w:val="none" w:sz="0" w:space="0" w:color="auto"/>
            </w:tcBorders>
            <w:noWrap/>
            <w:hideMark/>
          </w:tcPr>
          <w:p w14:paraId="3B32F764" w14:textId="7C50021B" w:rsidR="00C80FA2" w:rsidRPr="00EF2495" w:rsidRDefault="00234E68" w:rsidP="00EF2495">
            <w:pPr>
              <w:cnfStyle w:val="000000100000" w:firstRow="0" w:lastRow="0" w:firstColumn="0" w:lastColumn="0" w:oddVBand="0" w:evenVBand="0" w:oddHBand="1" w:evenHBand="0" w:firstRowFirstColumn="0" w:firstRowLastColumn="0" w:lastRowFirstColumn="0" w:lastRowLastColumn="0"/>
            </w:pPr>
            <w:r>
              <w:t>NA</w:t>
            </w:r>
          </w:p>
        </w:tc>
        <w:tc>
          <w:tcPr>
            <w:tcW w:w="694" w:type="dxa"/>
            <w:tcBorders>
              <w:top w:val="none" w:sz="0" w:space="0" w:color="auto"/>
              <w:bottom w:val="none" w:sz="0" w:space="0" w:color="auto"/>
            </w:tcBorders>
            <w:noWrap/>
            <w:hideMark/>
          </w:tcPr>
          <w:p w14:paraId="2D498B10"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w:t>
            </w:r>
          </w:p>
        </w:tc>
      </w:tr>
      <w:tr w:rsidR="00C80FA2" w:rsidRPr="00EF2495" w14:paraId="3D4A279B" w14:textId="77777777" w:rsidTr="00050809">
        <w:trPr>
          <w:trHeight w:val="29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noWrap/>
            <w:hideMark/>
          </w:tcPr>
          <w:p w14:paraId="3F6D209D" w14:textId="77777777" w:rsidR="00C80FA2" w:rsidRPr="00EF2495" w:rsidRDefault="00C80FA2" w:rsidP="00EF2495">
            <w:r w:rsidRPr="00EF2495">
              <w:t>2004</w:t>
            </w:r>
          </w:p>
        </w:tc>
        <w:tc>
          <w:tcPr>
            <w:tcW w:w="1559" w:type="dxa"/>
            <w:noWrap/>
            <w:hideMark/>
          </w:tcPr>
          <w:p w14:paraId="5888EC0B"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w:t>
            </w:r>
          </w:p>
        </w:tc>
        <w:tc>
          <w:tcPr>
            <w:tcW w:w="1314" w:type="dxa"/>
            <w:noWrap/>
            <w:hideMark/>
          </w:tcPr>
          <w:p w14:paraId="17D44701" w14:textId="22AB4EE8" w:rsidR="00C80FA2" w:rsidRPr="00EF2495" w:rsidRDefault="00234E68" w:rsidP="00EF2495">
            <w:pPr>
              <w:cnfStyle w:val="000000000000" w:firstRow="0" w:lastRow="0" w:firstColumn="0" w:lastColumn="0" w:oddVBand="0" w:evenVBand="0" w:oddHBand="0" w:evenHBand="0" w:firstRowFirstColumn="0" w:firstRowLastColumn="0" w:lastRowFirstColumn="0" w:lastRowLastColumn="0"/>
            </w:pPr>
            <w:r>
              <w:t>NA</w:t>
            </w:r>
          </w:p>
        </w:tc>
        <w:tc>
          <w:tcPr>
            <w:tcW w:w="694" w:type="dxa"/>
            <w:noWrap/>
            <w:hideMark/>
          </w:tcPr>
          <w:p w14:paraId="45B49F25"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w:t>
            </w:r>
          </w:p>
        </w:tc>
      </w:tr>
      <w:tr w:rsidR="00C80FA2" w:rsidRPr="00EF2495" w14:paraId="2DEFC5A7" w14:textId="77777777" w:rsidTr="0005080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right w:val="none" w:sz="0" w:space="0" w:color="auto"/>
            </w:tcBorders>
            <w:noWrap/>
            <w:hideMark/>
          </w:tcPr>
          <w:p w14:paraId="60DE44FE" w14:textId="77777777" w:rsidR="00C80FA2" w:rsidRPr="00EF2495" w:rsidRDefault="00C80FA2" w:rsidP="00EF2495">
            <w:r w:rsidRPr="00EF2495">
              <w:t>2005</w:t>
            </w:r>
          </w:p>
        </w:tc>
        <w:tc>
          <w:tcPr>
            <w:tcW w:w="1559" w:type="dxa"/>
            <w:tcBorders>
              <w:top w:val="none" w:sz="0" w:space="0" w:color="auto"/>
              <w:bottom w:val="none" w:sz="0" w:space="0" w:color="auto"/>
            </w:tcBorders>
            <w:noWrap/>
            <w:hideMark/>
          </w:tcPr>
          <w:p w14:paraId="4A099C64"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9</w:t>
            </w:r>
          </w:p>
        </w:tc>
        <w:tc>
          <w:tcPr>
            <w:tcW w:w="1314" w:type="dxa"/>
            <w:tcBorders>
              <w:top w:val="none" w:sz="0" w:space="0" w:color="auto"/>
              <w:bottom w:val="none" w:sz="0" w:space="0" w:color="auto"/>
            </w:tcBorders>
            <w:noWrap/>
            <w:hideMark/>
          </w:tcPr>
          <w:p w14:paraId="6DC1732E" w14:textId="6A47FBB9" w:rsidR="00C80FA2" w:rsidRPr="00EF2495" w:rsidRDefault="00234E68" w:rsidP="00EF2495">
            <w:pPr>
              <w:cnfStyle w:val="000000100000" w:firstRow="0" w:lastRow="0" w:firstColumn="0" w:lastColumn="0" w:oddVBand="0" w:evenVBand="0" w:oddHBand="1" w:evenHBand="0" w:firstRowFirstColumn="0" w:firstRowLastColumn="0" w:lastRowFirstColumn="0" w:lastRowLastColumn="0"/>
            </w:pPr>
            <w:r>
              <w:t>NA</w:t>
            </w:r>
          </w:p>
        </w:tc>
        <w:tc>
          <w:tcPr>
            <w:tcW w:w="694" w:type="dxa"/>
            <w:tcBorders>
              <w:top w:val="none" w:sz="0" w:space="0" w:color="auto"/>
              <w:bottom w:val="none" w:sz="0" w:space="0" w:color="auto"/>
            </w:tcBorders>
            <w:noWrap/>
            <w:hideMark/>
          </w:tcPr>
          <w:p w14:paraId="316C9729"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9</w:t>
            </w:r>
          </w:p>
        </w:tc>
      </w:tr>
      <w:tr w:rsidR="00C80FA2" w:rsidRPr="00EF2495" w14:paraId="77088D33" w14:textId="77777777" w:rsidTr="00050809">
        <w:trPr>
          <w:trHeight w:val="29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noWrap/>
            <w:hideMark/>
          </w:tcPr>
          <w:p w14:paraId="627E75A0" w14:textId="77777777" w:rsidR="00C80FA2" w:rsidRPr="00EF2495" w:rsidRDefault="00C80FA2" w:rsidP="00EF2495">
            <w:r w:rsidRPr="00EF2495">
              <w:t>2006</w:t>
            </w:r>
          </w:p>
        </w:tc>
        <w:tc>
          <w:tcPr>
            <w:tcW w:w="1559" w:type="dxa"/>
            <w:noWrap/>
            <w:hideMark/>
          </w:tcPr>
          <w:p w14:paraId="287372CA"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12</w:t>
            </w:r>
          </w:p>
        </w:tc>
        <w:tc>
          <w:tcPr>
            <w:tcW w:w="1314" w:type="dxa"/>
            <w:noWrap/>
            <w:hideMark/>
          </w:tcPr>
          <w:p w14:paraId="700765EE" w14:textId="5F14429E" w:rsidR="00C80FA2" w:rsidRPr="00EF2495" w:rsidRDefault="00234E68" w:rsidP="00EF2495">
            <w:pPr>
              <w:cnfStyle w:val="000000000000" w:firstRow="0" w:lastRow="0" w:firstColumn="0" w:lastColumn="0" w:oddVBand="0" w:evenVBand="0" w:oddHBand="0" w:evenHBand="0" w:firstRowFirstColumn="0" w:firstRowLastColumn="0" w:lastRowFirstColumn="0" w:lastRowLastColumn="0"/>
            </w:pPr>
            <w:r>
              <w:t>NA</w:t>
            </w:r>
          </w:p>
        </w:tc>
        <w:tc>
          <w:tcPr>
            <w:tcW w:w="694" w:type="dxa"/>
            <w:noWrap/>
            <w:hideMark/>
          </w:tcPr>
          <w:p w14:paraId="66DE3E4A"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12</w:t>
            </w:r>
          </w:p>
        </w:tc>
      </w:tr>
      <w:tr w:rsidR="00C80FA2" w:rsidRPr="00EF2495" w14:paraId="5094825A" w14:textId="77777777" w:rsidTr="0005080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right w:val="none" w:sz="0" w:space="0" w:color="auto"/>
            </w:tcBorders>
            <w:noWrap/>
            <w:hideMark/>
          </w:tcPr>
          <w:p w14:paraId="1E1DC215" w14:textId="77777777" w:rsidR="00C80FA2" w:rsidRPr="00EF2495" w:rsidRDefault="00C80FA2" w:rsidP="00EF2495">
            <w:r w:rsidRPr="00EF2495">
              <w:t>2007</w:t>
            </w:r>
          </w:p>
        </w:tc>
        <w:tc>
          <w:tcPr>
            <w:tcW w:w="1559" w:type="dxa"/>
            <w:tcBorders>
              <w:top w:val="none" w:sz="0" w:space="0" w:color="auto"/>
              <w:bottom w:val="none" w:sz="0" w:space="0" w:color="auto"/>
            </w:tcBorders>
            <w:noWrap/>
            <w:hideMark/>
          </w:tcPr>
          <w:p w14:paraId="76AB7079"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14</w:t>
            </w:r>
          </w:p>
        </w:tc>
        <w:tc>
          <w:tcPr>
            <w:tcW w:w="1314" w:type="dxa"/>
            <w:tcBorders>
              <w:top w:val="none" w:sz="0" w:space="0" w:color="auto"/>
              <w:bottom w:val="none" w:sz="0" w:space="0" w:color="auto"/>
            </w:tcBorders>
            <w:noWrap/>
            <w:hideMark/>
          </w:tcPr>
          <w:p w14:paraId="2A06D1C9" w14:textId="409BC994" w:rsidR="00C80FA2" w:rsidRPr="00EF2495" w:rsidRDefault="00234E68" w:rsidP="00EF2495">
            <w:pPr>
              <w:cnfStyle w:val="000000100000" w:firstRow="0" w:lastRow="0" w:firstColumn="0" w:lastColumn="0" w:oddVBand="0" w:evenVBand="0" w:oddHBand="1" w:evenHBand="0" w:firstRowFirstColumn="0" w:firstRowLastColumn="0" w:lastRowFirstColumn="0" w:lastRowLastColumn="0"/>
            </w:pPr>
            <w:r>
              <w:t>NA</w:t>
            </w:r>
          </w:p>
        </w:tc>
        <w:tc>
          <w:tcPr>
            <w:tcW w:w="694" w:type="dxa"/>
            <w:tcBorders>
              <w:top w:val="none" w:sz="0" w:space="0" w:color="auto"/>
              <w:bottom w:val="none" w:sz="0" w:space="0" w:color="auto"/>
            </w:tcBorders>
            <w:noWrap/>
            <w:hideMark/>
          </w:tcPr>
          <w:p w14:paraId="62AAE15C"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14</w:t>
            </w:r>
          </w:p>
        </w:tc>
      </w:tr>
      <w:tr w:rsidR="00C80FA2" w:rsidRPr="00EF2495" w14:paraId="0BB53177" w14:textId="77777777" w:rsidTr="00050809">
        <w:trPr>
          <w:trHeight w:val="29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noWrap/>
            <w:hideMark/>
          </w:tcPr>
          <w:p w14:paraId="6C59A12B" w14:textId="77777777" w:rsidR="00C80FA2" w:rsidRPr="00EF2495" w:rsidRDefault="00C80FA2" w:rsidP="00EF2495">
            <w:r w:rsidRPr="00EF2495">
              <w:t>2008</w:t>
            </w:r>
          </w:p>
        </w:tc>
        <w:tc>
          <w:tcPr>
            <w:tcW w:w="1559" w:type="dxa"/>
            <w:noWrap/>
            <w:hideMark/>
          </w:tcPr>
          <w:p w14:paraId="4588CCBB"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16</w:t>
            </w:r>
          </w:p>
        </w:tc>
        <w:tc>
          <w:tcPr>
            <w:tcW w:w="1314" w:type="dxa"/>
            <w:noWrap/>
            <w:hideMark/>
          </w:tcPr>
          <w:p w14:paraId="2C23012B" w14:textId="5D025A79" w:rsidR="00C80FA2" w:rsidRPr="00EF2495" w:rsidRDefault="00234E68" w:rsidP="00EF2495">
            <w:pPr>
              <w:cnfStyle w:val="000000000000" w:firstRow="0" w:lastRow="0" w:firstColumn="0" w:lastColumn="0" w:oddVBand="0" w:evenVBand="0" w:oddHBand="0" w:evenHBand="0" w:firstRowFirstColumn="0" w:firstRowLastColumn="0" w:lastRowFirstColumn="0" w:lastRowLastColumn="0"/>
            </w:pPr>
            <w:r>
              <w:t>NA</w:t>
            </w:r>
          </w:p>
        </w:tc>
        <w:tc>
          <w:tcPr>
            <w:tcW w:w="694" w:type="dxa"/>
            <w:noWrap/>
            <w:hideMark/>
          </w:tcPr>
          <w:p w14:paraId="55F0A34A"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16</w:t>
            </w:r>
          </w:p>
        </w:tc>
      </w:tr>
      <w:tr w:rsidR="00C80FA2" w:rsidRPr="00EF2495" w14:paraId="79E9911C" w14:textId="77777777" w:rsidTr="0005080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right w:val="none" w:sz="0" w:space="0" w:color="auto"/>
            </w:tcBorders>
            <w:noWrap/>
            <w:hideMark/>
          </w:tcPr>
          <w:p w14:paraId="41376511" w14:textId="77777777" w:rsidR="00C80FA2" w:rsidRPr="00EF2495" w:rsidRDefault="00C80FA2" w:rsidP="00EF2495">
            <w:r w:rsidRPr="00EF2495">
              <w:t>2009</w:t>
            </w:r>
          </w:p>
        </w:tc>
        <w:tc>
          <w:tcPr>
            <w:tcW w:w="1559" w:type="dxa"/>
            <w:tcBorders>
              <w:top w:val="none" w:sz="0" w:space="0" w:color="auto"/>
              <w:bottom w:val="none" w:sz="0" w:space="0" w:color="auto"/>
            </w:tcBorders>
            <w:noWrap/>
            <w:hideMark/>
          </w:tcPr>
          <w:p w14:paraId="052D17EB"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17</w:t>
            </w:r>
          </w:p>
        </w:tc>
        <w:tc>
          <w:tcPr>
            <w:tcW w:w="1314" w:type="dxa"/>
            <w:tcBorders>
              <w:top w:val="none" w:sz="0" w:space="0" w:color="auto"/>
              <w:bottom w:val="none" w:sz="0" w:space="0" w:color="auto"/>
            </w:tcBorders>
            <w:noWrap/>
            <w:hideMark/>
          </w:tcPr>
          <w:p w14:paraId="2DFB4493"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w:t>
            </w:r>
          </w:p>
        </w:tc>
        <w:tc>
          <w:tcPr>
            <w:tcW w:w="694" w:type="dxa"/>
            <w:tcBorders>
              <w:top w:val="none" w:sz="0" w:space="0" w:color="auto"/>
              <w:bottom w:val="none" w:sz="0" w:space="0" w:color="auto"/>
            </w:tcBorders>
            <w:noWrap/>
            <w:hideMark/>
          </w:tcPr>
          <w:p w14:paraId="1B8289B4"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18</w:t>
            </w:r>
          </w:p>
        </w:tc>
      </w:tr>
      <w:tr w:rsidR="00C80FA2" w:rsidRPr="00EF2495" w14:paraId="5EDCB3B7" w14:textId="77777777" w:rsidTr="00050809">
        <w:trPr>
          <w:trHeight w:val="29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noWrap/>
            <w:hideMark/>
          </w:tcPr>
          <w:p w14:paraId="1070CD65" w14:textId="77777777" w:rsidR="00C80FA2" w:rsidRPr="00EF2495" w:rsidRDefault="00C80FA2" w:rsidP="00EF2495">
            <w:r w:rsidRPr="00EF2495">
              <w:t>2010</w:t>
            </w:r>
          </w:p>
        </w:tc>
        <w:tc>
          <w:tcPr>
            <w:tcW w:w="1559" w:type="dxa"/>
            <w:noWrap/>
            <w:hideMark/>
          </w:tcPr>
          <w:p w14:paraId="528456A9"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21</w:t>
            </w:r>
          </w:p>
        </w:tc>
        <w:tc>
          <w:tcPr>
            <w:tcW w:w="1314" w:type="dxa"/>
            <w:noWrap/>
            <w:hideMark/>
          </w:tcPr>
          <w:p w14:paraId="39FD695C"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w:t>
            </w:r>
          </w:p>
        </w:tc>
        <w:tc>
          <w:tcPr>
            <w:tcW w:w="694" w:type="dxa"/>
            <w:noWrap/>
            <w:hideMark/>
          </w:tcPr>
          <w:p w14:paraId="49BFD1B4"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24</w:t>
            </w:r>
          </w:p>
        </w:tc>
      </w:tr>
      <w:tr w:rsidR="00C80FA2" w:rsidRPr="00EF2495" w14:paraId="354C7A1F" w14:textId="77777777" w:rsidTr="0005080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right w:val="none" w:sz="0" w:space="0" w:color="auto"/>
            </w:tcBorders>
            <w:noWrap/>
            <w:hideMark/>
          </w:tcPr>
          <w:p w14:paraId="53E75EB4" w14:textId="77777777" w:rsidR="00C80FA2" w:rsidRPr="00EF2495" w:rsidRDefault="00C80FA2" w:rsidP="00EF2495">
            <w:r w:rsidRPr="00EF2495">
              <w:t>2011</w:t>
            </w:r>
          </w:p>
        </w:tc>
        <w:tc>
          <w:tcPr>
            <w:tcW w:w="1559" w:type="dxa"/>
            <w:tcBorders>
              <w:top w:val="none" w:sz="0" w:space="0" w:color="auto"/>
              <w:bottom w:val="none" w:sz="0" w:space="0" w:color="auto"/>
            </w:tcBorders>
            <w:noWrap/>
            <w:hideMark/>
          </w:tcPr>
          <w:p w14:paraId="6E28F674"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20</w:t>
            </w:r>
          </w:p>
        </w:tc>
        <w:tc>
          <w:tcPr>
            <w:tcW w:w="1314" w:type="dxa"/>
            <w:tcBorders>
              <w:top w:val="none" w:sz="0" w:space="0" w:color="auto"/>
              <w:bottom w:val="none" w:sz="0" w:space="0" w:color="auto"/>
            </w:tcBorders>
            <w:noWrap/>
            <w:hideMark/>
          </w:tcPr>
          <w:p w14:paraId="3483C2E4"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6</w:t>
            </w:r>
          </w:p>
        </w:tc>
        <w:tc>
          <w:tcPr>
            <w:tcW w:w="694" w:type="dxa"/>
            <w:tcBorders>
              <w:top w:val="none" w:sz="0" w:space="0" w:color="auto"/>
              <w:bottom w:val="none" w:sz="0" w:space="0" w:color="auto"/>
            </w:tcBorders>
            <w:noWrap/>
            <w:hideMark/>
          </w:tcPr>
          <w:p w14:paraId="3DD87D52"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26</w:t>
            </w:r>
          </w:p>
        </w:tc>
      </w:tr>
      <w:tr w:rsidR="00C80FA2" w:rsidRPr="00EF2495" w14:paraId="0843D42B" w14:textId="77777777" w:rsidTr="00050809">
        <w:trPr>
          <w:trHeight w:val="29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noWrap/>
            <w:hideMark/>
          </w:tcPr>
          <w:p w14:paraId="51F5CE1A" w14:textId="77777777" w:rsidR="00C80FA2" w:rsidRPr="00EF2495" w:rsidRDefault="00C80FA2" w:rsidP="00EF2495">
            <w:r w:rsidRPr="00EF2495">
              <w:t>2012</w:t>
            </w:r>
          </w:p>
        </w:tc>
        <w:tc>
          <w:tcPr>
            <w:tcW w:w="1559" w:type="dxa"/>
            <w:noWrap/>
            <w:hideMark/>
          </w:tcPr>
          <w:p w14:paraId="5DF0A94A"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18</w:t>
            </w:r>
          </w:p>
        </w:tc>
        <w:tc>
          <w:tcPr>
            <w:tcW w:w="1314" w:type="dxa"/>
            <w:noWrap/>
            <w:hideMark/>
          </w:tcPr>
          <w:p w14:paraId="749B60A9"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12</w:t>
            </w:r>
          </w:p>
        </w:tc>
        <w:tc>
          <w:tcPr>
            <w:tcW w:w="694" w:type="dxa"/>
            <w:noWrap/>
            <w:hideMark/>
          </w:tcPr>
          <w:p w14:paraId="07D81900"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30</w:t>
            </w:r>
          </w:p>
        </w:tc>
      </w:tr>
      <w:tr w:rsidR="00C80FA2" w:rsidRPr="00EF2495" w14:paraId="2692EB6E" w14:textId="77777777" w:rsidTr="0005080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right w:val="none" w:sz="0" w:space="0" w:color="auto"/>
            </w:tcBorders>
            <w:noWrap/>
            <w:hideMark/>
          </w:tcPr>
          <w:p w14:paraId="2D2F2DD2" w14:textId="77777777" w:rsidR="00C80FA2" w:rsidRPr="00EF2495" w:rsidRDefault="00C80FA2" w:rsidP="00EF2495">
            <w:r w:rsidRPr="00EF2495">
              <w:t>2013</w:t>
            </w:r>
          </w:p>
        </w:tc>
        <w:tc>
          <w:tcPr>
            <w:tcW w:w="1559" w:type="dxa"/>
            <w:tcBorders>
              <w:top w:val="none" w:sz="0" w:space="0" w:color="auto"/>
              <w:bottom w:val="none" w:sz="0" w:space="0" w:color="auto"/>
            </w:tcBorders>
            <w:noWrap/>
            <w:hideMark/>
          </w:tcPr>
          <w:p w14:paraId="05FD8D9C"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32</w:t>
            </w:r>
          </w:p>
        </w:tc>
        <w:tc>
          <w:tcPr>
            <w:tcW w:w="1314" w:type="dxa"/>
            <w:tcBorders>
              <w:top w:val="none" w:sz="0" w:space="0" w:color="auto"/>
              <w:bottom w:val="none" w:sz="0" w:space="0" w:color="auto"/>
            </w:tcBorders>
            <w:noWrap/>
            <w:hideMark/>
          </w:tcPr>
          <w:p w14:paraId="6B2E559D"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8</w:t>
            </w:r>
          </w:p>
        </w:tc>
        <w:tc>
          <w:tcPr>
            <w:tcW w:w="694" w:type="dxa"/>
            <w:tcBorders>
              <w:top w:val="none" w:sz="0" w:space="0" w:color="auto"/>
              <w:bottom w:val="none" w:sz="0" w:space="0" w:color="auto"/>
            </w:tcBorders>
            <w:noWrap/>
            <w:hideMark/>
          </w:tcPr>
          <w:p w14:paraId="6B974DDC"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40</w:t>
            </w:r>
          </w:p>
        </w:tc>
      </w:tr>
      <w:tr w:rsidR="00C80FA2" w:rsidRPr="00EF2495" w14:paraId="650A7DE3" w14:textId="77777777" w:rsidTr="00050809">
        <w:trPr>
          <w:trHeight w:val="29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noWrap/>
            <w:hideMark/>
          </w:tcPr>
          <w:p w14:paraId="6D5EB433" w14:textId="77777777" w:rsidR="00C80FA2" w:rsidRPr="00EF2495" w:rsidRDefault="00C80FA2" w:rsidP="00EF2495">
            <w:r w:rsidRPr="00EF2495">
              <w:t>2014</w:t>
            </w:r>
          </w:p>
        </w:tc>
        <w:tc>
          <w:tcPr>
            <w:tcW w:w="1559" w:type="dxa"/>
            <w:noWrap/>
            <w:hideMark/>
          </w:tcPr>
          <w:p w14:paraId="6533EF2D"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36</w:t>
            </w:r>
          </w:p>
        </w:tc>
        <w:tc>
          <w:tcPr>
            <w:tcW w:w="1314" w:type="dxa"/>
            <w:noWrap/>
            <w:hideMark/>
          </w:tcPr>
          <w:p w14:paraId="146B8BDC"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10</w:t>
            </w:r>
          </w:p>
        </w:tc>
        <w:tc>
          <w:tcPr>
            <w:tcW w:w="694" w:type="dxa"/>
            <w:noWrap/>
            <w:hideMark/>
          </w:tcPr>
          <w:p w14:paraId="7CE129B8"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46</w:t>
            </w:r>
          </w:p>
        </w:tc>
      </w:tr>
      <w:tr w:rsidR="00C80FA2" w:rsidRPr="00EF2495" w14:paraId="52272256" w14:textId="77777777" w:rsidTr="0005080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right w:val="none" w:sz="0" w:space="0" w:color="auto"/>
            </w:tcBorders>
            <w:noWrap/>
            <w:hideMark/>
          </w:tcPr>
          <w:p w14:paraId="5E8C6C04" w14:textId="77777777" w:rsidR="00C80FA2" w:rsidRPr="00EF2495" w:rsidRDefault="00C80FA2" w:rsidP="00EF2495">
            <w:r w:rsidRPr="00EF2495">
              <w:t>2015</w:t>
            </w:r>
          </w:p>
        </w:tc>
        <w:tc>
          <w:tcPr>
            <w:tcW w:w="1559" w:type="dxa"/>
            <w:tcBorders>
              <w:top w:val="none" w:sz="0" w:space="0" w:color="auto"/>
              <w:bottom w:val="none" w:sz="0" w:space="0" w:color="auto"/>
            </w:tcBorders>
            <w:noWrap/>
            <w:hideMark/>
          </w:tcPr>
          <w:p w14:paraId="4C18CDA3"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32</w:t>
            </w:r>
          </w:p>
        </w:tc>
        <w:tc>
          <w:tcPr>
            <w:tcW w:w="1314" w:type="dxa"/>
            <w:tcBorders>
              <w:top w:val="none" w:sz="0" w:space="0" w:color="auto"/>
              <w:bottom w:val="none" w:sz="0" w:space="0" w:color="auto"/>
            </w:tcBorders>
            <w:noWrap/>
            <w:hideMark/>
          </w:tcPr>
          <w:p w14:paraId="6E95CD8A"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6</w:t>
            </w:r>
          </w:p>
        </w:tc>
        <w:tc>
          <w:tcPr>
            <w:tcW w:w="694" w:type="dxa"/>
            <w:tcBorders>
              <w:top w:val="none" w:sz="0" w:space="0" w:color="auto"/>
              <w:bottom w:val="none" w:sz="0" w:space="0" w:color="auto"/>
            </w:tcBorders>
            <w:noWrap/>
            <w:hideMark/>
          </w:tcPr>
          <w:p w14:paraId="03FB137C"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38</w:t>
            </w:r>
          </w:p>
        </w:tc>
      </w:tr>
      <w:tr w:rsidR="00C80FA2" w:rsidRPr="00EF2495" w14:paraId="3F4F5C87" w14:textId="77777777" w:rsidTr="00050809">
        <w:trPr>
          <w:trHeight w:val="29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noWrap/>
            <w:hideMark/>
          </w:tcPr>
          <w:p w14:paraId="425D101D" w14:textId="77777777" w:rsidR="00C80FA2" w:rsidRPr="00EF2495" w:rsidRDefault="00C80FA2" w:rsidP="00EF2495">
            <w:r w:rsidRPr="00EF2495">
              <w:t>2016</w:t>
            </w:r>
          </w:p>
        </w:tc>
        <w:tc>
          <w:tcPr>
            <w:tcW w:w="1559" w:type="dxa"/>
            <w:noWrap/>
            <w:hideMark/>
          </w:tcPr>
          <w:p w14:paraId="073FFE55"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14</w:t>
            </w:r>
          </w:p>
        </w:tc>
        <w:tc>
          <w:tcPr>
            <w:tcW w:w="1314" w:type="dxa"/>
            <w:noWrap/>
            <w:hideMark/>
          </w:tcPr>
          <w:p w14:paraId="3D0CB588"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w:t>
            </w:r>
          </w:p>
        </w:tc>
        <w:tc>
          <w:tcPr>
            <w:tcW w:w="694" w:type="dxa"/>
            <w:noWrap/>
            <w:hideMark/>
          </w:tcPr>
          <w:p w14:paraId="2B9CF428"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17</w:t>
            </w:r>
          </w:p>
        </w:tc>
      </w:tr>
      <w:tr w:rsidR="00C80FA2" w:rsidRPr="00EF2495" w14:paraId="4F14C9B7" w14:textId="77777777" w:rsidTr="0005080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right w:val="none" w:sz="0" w:space="0" w:color="auto"/>
            </w:tcBorders>
            <w:noWrap/>
            <w:hideMark/>
          </w:tcPr>
          <w:p w14:paraId="629D7125" w14:textId="77777777" w:rsidR="00C80FA2" w:rsidRPr="00EF2495" w:rsidRDefault="00C80FA2" w:rsidP="00EF2495">
            <w:r w:rsidRPr="00EF2495">
              <w:t>2017</w:t>
            </w:r>
          </w:p>
        </w:tc>
        <w:tc>
          <w:tcPr>
            <w:tcW w:w="1559" w:type="dxa"/>
            <w:tcBorders>
              <w:top w:val="none" w:sz="0" w:space="0" w:color="auto"/>
              <w:bottom w:val="none" w:sz="0" w:space="0" w:color="auto"/>
            </w:tcBorders>
            <w:noWrap/>
            <w:hideMark/>
          </w:tcPr>
          <w:p w14:paraId="4D0A8AEE"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21</w:t>
            </w:r>
          </w:p>
        </w:tc>
        <w:tc>
          <w:tcPr>
            <w:tcW w:w="1314" w:type="dxa"/>
            <w:tcBorders>
              <w:top w:val="none" w:sz="0" w:space="0" w:color="auto"/>
              <w:bottom w:val="none" w:sz="0" w:space="0" w:color="auto"/>
            </w:tcBorders>
            <w:noWrap/>
            <w:hideMark/>
          </w:tcPr>
          <w:p w14:paraId="2880BB48"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8</w:t>
            </w:r>
          </w:p>
        </w:tc>
        <w:tc>
          <w:tcPr>
            <w:tcW w:w="694" w:type="dxa"/>
            <w:tcBorders>
              <w:top w:val="none" w:sz="0" w:space="0" w:color="auto"/>
              <w:bottom w:val="none" w:sz="0" w:space="0" w:color="auto"/>
            </w:tcBorders>
            <w:noWrap/>
            <w:hideMark/>
          </w:tcPr>
          <w:p w14:paraId="6D9D856E"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29</w:t>
            </w:r>
          </w:p>
        </w:tc>
      </w:tr>
      <w:tr w:rsidR="00C80FA2" w:rsidRPr="00EF2495" w14:paraId="7B158E8F" w14:textId="77777777" w:rsidTr="00050809">
        <w:trPr>
          <w:trHeight w:val="29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noWrap/>
            <w:hideMark/>
          </w:tcPr>
          <w:p w14:paraId="6B8B5BF4" w14:textId="77777777" w:rsidR="00C80FA2" w:rsidRPr="00EF2495" w:rsidRDefault="00C80FA2" w:rsidP="00EF2495">
            <w:r w:rsidRPr="00EF2495">
              <w:lastRenderedPageBreak/>
              <w:t>2018</w:t>
            </w:r>
          </w:p>
        </w:tc>
        <w:tc>
          <w:tcPr>
            <w:tcW w:w="1559" w:type="dxa"/>
            <w:noWrap/>
            <w:hideMark/>
          </w:tcPr>
          <w:p w14:paraId="5C537DC0"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17</w:t>
            </w:r>
          </w:p>
        </w:tc>
        <w:tc>
          <w:tcPr>
            <w:tcW w:w="1314" w:type="dxa"/>
            <w:noWrap/>
            <w:hideMark/>
          </w:tcPr>
          <w:p w14:paraId="0A0C0DFD"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13</w:t>
            </w:r>
          </w:p>
        </w:tc>
        <w:tc>
          <w:tcPr>
            <w:tcW w:w="694" w:type="dxa"/>
            <w:noWrap/>
            <w:hideMark/>
          </w:tcPr>
          <w:p w14:paraId="0B815138"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30</w:t>
            </w:r>
          </w:p>
        </w:tc>
      </w:tr>
      <w:tr w:rsidR="00C80FA2" w:rsidRPr="00EF2495" w14:paraId="7A7C1D41" w14:textId="77777777" w:rsidTr="0005080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right w:val="none" w:sz="0" w:space="0" w:color="auto"/>
            </w:tcBorders>
            <w:noWrap/>
            <w:hideMark/>
          </w:tcPr>
          <w:p w14:paraId="050AED27" w14:textId="77777777" w:rsidR="00C80FA2" w:rsidRPr="00EF2495" w:rsidRDefault="00C80FA2" w:rsidP="00EF2495">
            <w:r w:rsidRPr="00EF2495">
              <w:t>2019</w:t>
            </w:r>
          </w:p>
        </w:tc>
        <w:tc>
          <w:tcPr>
            <w:tcW w:w="1559" w:type="dxa"/>
            <w:tcBorders>
              <w:top w:val="none" w:sz="0" w:space="0" w:color="auto"/>
              <w:bottom w:val="none" w:sz="0" w:space="0" w:color="auto"/>
            </w:tcBorders>
            <w:noWrap/>
            <w:hideMark/>
          </w:tcPr>
          <w:p w14:paraId="0F38A58C"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22</w:t>
            </w:r>
          </w:p>
        </w:tc>
        <w:tc>
          <w:tcPr>
            <w:tcW w:w="1314" w:type="dxa"/>
            <w:tcBorders>
              <w:top w:val="none" w:sz="0" w:space="0" w:color="auto"/>
              <w:bottom w:val="none" w:sz="0" w:space="0" w:color="auto"/>
            </w:tcBorders>
            <w:noWrap/>
            <w:hideMark/>
          </w:tcPr>
          <w:p w14:paraId="0B339E11"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15</w:t>
            </w:r>
          </w:p>
        </w:tc>
        <w:tc>
          <w:tcPr>
            <w:tcW w:w="694" w:type="dxa"/>
            <w:tcBorders>
              <w:top w:val="none" w:sz="0" w:space="0" w:color="auto"/>
              <w:bottom w:val="none" w:sz="0" w:space="0" w:color="auto"/>
            </w:tcBorders>
            <w:noWrap/>
            <w:hideMark/>
          </w:tcPr>
          <w:p w14:paraId="56439A1D"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37</w:t>
            </w:r>
          </w:p>
        </w:tc>
      </w:tr>
      <w:tr w:rsidR="00C80FA2" w:rsidRPr="00EF2495" w14:paraId="2B999E0C" w14:textId="77777777" w:rsidTr="00050809">
        <w:trPr>
          <w:trHeight w:val="29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noWrap/>
            <w:hideMark/>
          </w:tcPr>
          <w:p w14:paraId="067B34D6" w14:textId="77777777" w:rsidR="00C80FA2" w:rsidRPr="00EF2495" w:rsidRDefault="00C80FA2" w:rsidP="00EF2495">
            <w:r w:rsidRPr="00EF2495">
              <w:t>2020</w:t>
            </w:r>
          </w:p>
        </w:tc>
        <w:tc>
          <w:tcPr>
            <w:tcW w:w="1559" w:type="dxa"/>
            <w:noWrap/>
            <w:hideMark/>
          </w:tcPr>
          <w:p w14:paraId="3FA6B0B6"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22</w:t>
            </w:r>
          </w:p>
        </w:tc>
        <w:tc>
          <w:tcPr>
            <w:tcW w:w="1314" w:type="dxa"/>
            <w:noWrap/>
            <w:hideMark/>
          </w:tcPr>
          <w:p w14:paraId="78D60E14"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19</w:t>
            </w:r>
          </w:p>
        </w:tc>
        <w:tc>
          <w:tcPr>
            <w:tcW w:w="694" w:type="dxa"/>
            <w:noWrap/>
            <w:hideMark/>
          </w:tcPr>
          <w:p w14:paraId="46E71EE9"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41</w:t>
            </w:r>
          </w:p>
        </w:tc>
      </w:tr>
      <w:tr w:rsidR="00C80FA2" w:rsidRPr="00EF2495" w14:paraId="7DCA7767" w14:textId="77777777" w:rsidTr="0005080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right w:val="none" w:sz="0" w:space="0" w:color="auto"/>
            </w:tcBorders>
            <w:noWrap/>
            <w:hideMark/>
          </w:tcPr>
          <w:p w14:paraId="3F50FE30" w14:textId="77777777" w:rsidR="00C80FA2" w:rsidRPr="00EF2495" w:rsidRDefault="00C80FA2" w:rsidP="00EF2495">
            <w:r w:rsidRPr="00EF2495">
              <w:t>2022</w:t>
            </w:r>
          </w:p>
        </w:tc>
        <w:tc>
          <w:tcPr>
            <w:tcW w:w="1559" w:type="dxa"/>
            <w:tcBorders>
              <w:top w:val="none" w:sz="0" w:space="0" w:color="auto"/>
              <w:bottom w:val="none" w:sz="0" w:space="0" w:color="auto"/>
            </w:tcBorders>
            <w:noWrap/>
            <w:hideMark/>
          </w:tcPr>
          <w:p w14:paraId="21344A63" w14:textId="09D7F232" w:rsidR="00C80FA2" w:rsidRPr="00EF2495" w:rsidRDefault="000A55A6" w:rsidP="00EF2495">
            <w:pPr>
              <w:cnfStyle w:val="000000100000" w:firstRow="0" w:lastRow="0" w:firstColumn="0" w:lastColumn="0" w:oddVBand="0" w:evenVBand="0" w:oddHBand="1" w:evenHBand="0" w:firstRowFirstColumn="0" w:firstRowLastColumn="0" w:lastRowFirstColumn="0" w:lastRowLastColumn="0"/>
            </w:pPr>
            <w:r>
              <w:t>NA</w:t>
            </w:r>
          </w:p>
        </w:tc>
        <w:tc>
          <w:tcPr>
            <w:tcW w:w="1314" w:type="dxa"/>
            <w:tcBorders>
              <w:top w:val="none" w:sz="0" w:space="0" w:color="auto"/>
              <w:bottom w:val="none" w:sz="0" w:space="0" w:color="auto"/>
            </w:tcBorders>
            <w:noWrap/>
            <w:hideMark/>
          </w:tcPr>
          <w:p w14:paraId="6E166E5C"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21</w:t>
            </w:r>
          </w:p>
        </w:tc>
        <w:tc>
          <w:tcPr>
            <w:tcW w:w="694" w:type="dxa"/>
            <w:tcBorders>
              <w:top w:val="none" w:sz="0" w:space="0" w:color="auto"/>
              <w:bottom w:val="none" w:sz="0" w:space="0" w:color="auto"/>
            </w:tcBorders>
            <w:noWrap/>
            <w:hideMark/>
          </w:tcPr>
          <w:p w14:paraId="6D94BAAD"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21</w:t>
            </w:r>
          </w:p>
        </w:tc>
      </w:tr>
      <w:tr w:rsidR="00C80FA2" w:rsidRPr="00EF2495" w14:paraId="60259F3A" w14:textId="77777777" w:rsidTr="00050809">
        <w:trPr>
          <w:trHeight w:val="29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noWrap/>
            <w:hideMark/>
          </w:tcPr>
          <w:p w14:paraId="5B53B4A9" w14:textId="77777777" w:rsidR="00C80FA2" w:rsidRPr="00EF2495" w:rsidRDefault="00C80FA2" w:rsidP="00EF2495">
            <w:r w:rsidRPr="00EF2495">
              <w:t>2023</w:t>
            </w:r>
          </w:p>
        </w:tc>
        <w:tc>
          <w:tcPr>
            <w:tcW w:w="1559" w:type="dxa"/>
            <w:noWrap/>
            <w:hideMark/>
          </w:tcPr>
          <w:p w14:paraId="3546962E"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21</w:t>
            </w:r>
          </w:p>
        </w:tc>
        <w:tc>
          <w:tcPr>
            <w:tcW w:w="1314" w:type="dxa"/>
            <w:noWrap/>
            <w:hideMark/>
          </w:tcPr>
          <w:p w14:paraId="6FFC33EE"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15</w:t>
            </w:r>
          </w:p>
        </w:tc>
        <w:tc>
          <w:tcPr>
            <w:tcW w:w="694" w:type="dxa"/>
            <w:noWrap/>
            <w:hideMark/>
          </w:tcPr>
          <w:p w14:paraId="39612DC5"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36</w:t>
            </w:r>
          </w:p>
        </w:tc>
      </w:tr>
      <w:tr w:rsidR="00C80FA2" w:rsidRPr="00EF2495" w14:paraId="4C2C3CB9" w14:textId="77777777" w:rsidTr="0005080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right w:val="none" w:sz="0" w:space="0" w:color="auto"/>
            </w:tcBorders>
            <w:noWrap/>
            <w:hideMark/>
          </w:tcPr>
          <w:p w14:paraId="1E5A6AE9" w14:textId="77777777" w:rsidR="00C80FA2" w:rsidRPr="00EF2495" w:rsidRDefault="00C80FA2" w:rsidP="00EF2495">
            <w:r w:rsidRPr="00EF2495">
              <w:t>2024</w:t>
            </w:r>
          </w:p>
        </w:tc>
        <w:tc>
          <w:tcPr>
            <w:tcW w:w="1559" w:type="dxa"/>
            <w:tcBorders>
              <w:top w:val="none" w:sz="0" w:space="0" w:color="auto"/>
              <w:bottom w:val="none" w:sz="0" w:space="0" w:color="auto"/>
            </w:tcBorders>
            <w:noWrap/>
            <w:hideMark/>
          </w:tcPr>
          <w:p w14:paraId="0DC42345"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12</w:t>
            </w:r>
          </w:p>
        </w:tc>
        <w:tc>
          <w:tcPr>
            <w:tcW w:w="1314" w:type="dxa"/>
            <w:tcBorders>
              <w:top w:val="none" w:sz="0" w:space="0" w:color="auto"/>
              <w:bottom w:val="none" w:sz="0" w:space="0" w:color="auto"/>
            </w:tcBorders>
            <w:noWrap/>
            <w:hideMark/>
          </w:tcPr>
          <w:p w14:paraId="3889D181"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16</w:t>
            </w:r>
          </w:p>
        </w:tc>
        <w:tc>
          <w:tcPr>
            <w:tcW w:w="694" w:type="dxa"/>
            <w:tcBorders>
              <w:top w:val="none" w:sz="0" w:space="0" w:color="auto"/>
              <w:bottom w:val="none" w:sz="0" w:space="0" w:color="auto"/>
            </w:tcBorders>
            <w:noWrap/>
            <w:hideMark/>
          </w:tcPr>
          <w:p w14:paraId="1A3707A0"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28</w:t>
            </w:r>
          </w:p>
        </w:tc>
      </w:tr>
      <w:tr w:rsidR="006B20BC" w:rsidRPr="00EF2495" w14:paraId="7C81D393" w14:textId="77777777" w:rsidTr="00050809">
        <w:trPr>
          <w:trHeight w:val="29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noWrap/>
            <w:hideMark/>
          </w:tcPr>
          <w:p w14:paraId="58225681" w14:textId="77777777" w:rsidR="00C80FA2" w:rsidRPr="00EF2495" w:rsidRDefault="00C80FA2" w:rsidP="00EF2495">
            <w:r w:rsidRPr="00EF2495">
              <w:t>Total</w:t>
            </w:r>
          </w:p>
        </w:tc>
        <w:tc>
          <w:tcPr>
            <w:tcW w:w="1559" w:type="dxa"/>
            <w:noWrap/>
            <w:hideMark/>
          </w:tcPr>
          <w:p w14:paraId="385D6FC6"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369</w:t>
            </w:r>
          </w:p>
        </w:tc>
        <w:tc>
          <w:tcPr>
            <w:tcW w:w="1314" w:type="dxa"/>
            <w:noWrap/>
            <w:hideMark/>
          </w:tcPr>
          <w:p w14:paraId="7395E1C2"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156</w:t>
            </w:r>
          </w:p>
        </w:tc>
        <w:tc>
          <w:tcPr>
            <w:tcW w:w="694" w:type="dxa"/>
            <w:noWrap/>
            <w:hideMark/>
          </w:tcPr>
          <w:p w14:paraId="5802BFB8"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525</w:t>
            </w:r>
          </w:p>
        </w:tc>
      </w:tr>
    </w:tbl>
    <w:p w14:paraId="34A2371B" w14:textId="6AD061EC" w:rsidR="00C80FA2" w:rsidRPr="00EF2495" w:rsidRDefault="00C80FA2" w:rsidP="00EF2495">
      <w:pPr>
        <w:rPr>
          <w:lang w:val="en-US"/>
        </w:rPr>
      </w:pPr>
    </w:p>
    <w:p w14:paraId="10C93748" w14:textId="42DC980B" w:rsidR="00C80FA2" w:rsidRPr="00EF2495" w:rsidRDefault="00C80FA2" w:rsidP="00EF2495">
      <w:pPr>
        <w:rPr>
          <w:lang w:val="en-US" w:eastAsia="en-AU"/>
        </w:rPr>
      </w:pPr>
      <w:r w:rsidRPr="00EF2495">
        <w:rPr>
          <w:lang w:val="en-US" w:eastAsia="en-AU"/>
        </w:rPr>
        <w:t xml:space="preserve">Table </w:t>
      </w:r>
      <w:r w:rsidRPr="00EF2495">
        <w:rPr>
          <w:lang w:val="en-US" w:eastAsia="en-AU"/>
        </w:rPr>
        <w:fldChar w:fldCharType="begin"/>
      </w:r>
      <w:r w:rsidRPr="00EF2495">
        <w:rPr>
          <w:lang w:val="en-US" w:eastAsia="en-AU"/>
        </w:rPr>
        <w:instrText xml:space="preserve"> SEQ Table \* ARABIC </w:instrText>
      </w:r>
      <w:r w:rsidRPr="00EF2495">
        <w:rPr>
          <w:lang w:val="en-US" w:eastAsia="en-AU"/>
        </w:rPr>
        <w:fldChar w:fldCharType="separate"/>
      </w:r>
      <w:r w:rsidR="003B4A8A" w:rsidRPr="00EF2495">
        <w:rPr>
          <w:lang w:val="en-US" w:eastAsia="en-AU"/>
        </w:rPr>
        <w:t>7</w:t>
      </w:r>
      <w:r w:rsidRPr="00EF2495">
        <w:rPr>
          <w:lang w:val="en-US" w:eastAsia="en-AU"/>
        </w:rPr>
        <w:fldChar w:fldCharType="end"/>
      </w:r>
      <w:r w:rsidRPr="00EF2495">
        <w:rPr>
          <w:lang w:val="en-US" w:eastAsia="en-AU"/>
        </w:rPr>
        <w:t>:   Award Offers by Scheme (and intake year grouped)</w:t>
      </w:r>
    </w:p>
    <w:tbl>
      <w:tblPr>
        <w:tblStyle w:val="ListTable3"/>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2560"/>
        <w:gridCol w:w="1688"/>
        <w:gridCol w:w="1843"/>
        <w:gridCol w:w="2268"/>
      </w:tblGrid>
      <w:tr w:rsidR="002D459B" w:rsidRPr="00EF2495" w14:paraId="4C431220" w14:textId="77777777" w:rsidTr="006357C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2560" w:type="dxa"/>
            <w:tcBorders>
              <w:bottom w:val="none" w:sz="0" w:space="0" w:color="auto"/>
              <w:right w:val="none" w:sz="0" w:space="0" w:color="auto"/>
            </w:tcBorders>
            <w:noWrap/>
            <w:hideMark/>
          </w:tcPr>
          <w:p w14:paraId="125A87B2" w14:textId="77777777" w:rsidR="00C80FA2" w:rsidRPr="00251472" w:rsidRDefault="00C80FA2" w:rsidP="00EF2495">
            <w:pPr>
              <w:rPr>
                <w:b w:val="0"/>
                <w:bCs w:val="0"/>
              </w:rPr>
            </w:pPr>
            <w:r w:rsidRPr="00251472">
              <w:t>Intake year</w:t>
            </w:r>
          </w:p>
        </w:tc>
        <w:tc>
          <w:tcPr>
            <w:tcW w:w="1688" w:type="dxa"/>
            <w:noWrap/>
            <w:hideMark/>
          </w:tcPr>
          <w:p w14:paraId="36147688" w14:textId="77777777" w:rsidR="00C80FA2" w:rsidRPr="00251472" w:rsidRDefault="00C80FA2" w:rsidP="00EF2495">
            <w:pPr>
              <w:cnfStyle w:val="100000000000" w:firstRow="1" w:lastRow="0" w:firstColumn="0" w:lastColumn="0" w:oddVBand="0" w:evenVBand="0" w:oddHBand="0" w:evenHBand="0" w:firstRowFirstColumn="0" w:firstRowLastColumn="0" w:lastRowFirstColumn="0" w:lastRowLastColumn="0"/>
              <w:rPr>
                <w:b w:val="0"/>
                <w:bCs w:val="0"/>
              </w:rPr>
            </w:pPr>
            <w:r w:rsidRPr="00251472">
              <w:t>AAPS</w:t>
            </w:r>
          </w:p>
        </w:tc>
        <w:tc>
          <w:tcPr>
            <w:tcW w:w="1843" w:type="dxa"/>
            <w:noWrap/>
            <w:hideMark/>
          </w:tcPr>
          <w:p w14:paraId="4A140218" w14:textId="77777777" w:rsidR="00C80FA2" w:rsidRPr="00251472" w:rsidRDefault="00C80FA2" w:rsidP="00EF2495">
            <w:pPr>
              <w:cnfStyle w:val="100000000000" w:firstRow="1" w:lastRow="0" w:firstColumn="0" w:lastColumn="0" w:oddVBand="0" w:evenVBand="0" w:oddHBand="0" w:evenHBand="0" w:firstRowFirstColumn="0" w:firstRowLastColumn="0" w:lastRowFirstColumn="0" w:lastRowLastColumn="0"/>
              <w:rPr>
                <w:b w:val="0"/>
                <w:bCs w:val="0"/>
              </w:rPr>
            </w:pPr>
            <w:r w:rsidRPr="00251472">
              <w:t>AAS</w:t>
            </w:r>
          </w:p>
        </w:tc>
        <w:tc>
          <w:tcPr>
            <w:tcW w:w="2268" w:type="dxa"/>
            <w:noWrap/>
            <w:hideMark/>
          </w:tcPr>
          <w:p w14:paraId="7CA11F84" w14:textId="77777777" w:rsidR="00C80FA2" w:rsidRPr="00251472" w:rsidRDefault="00C80FA2" w:rsidP="00EF2495">
            <w:pPr>
              <w:cnfStyle w:val="100000000000" w:firstRow="1" w:lastRow="0" w:firstColumn="0" w:lastColumn="0" w:oddVBand="0" w:evenVBand="0" w:oddHBand="0" w:evenHBand="0" w:firstRowFirstColumn="0" w:firstRowLastColumn="0" w:lastRowFirstColumn="0" w:lastRowLastColumn="0"/>
              <w:rPr>
                <w:b w:val="0"/>
                <w:bCs w:val="0"/>
              </w:rPr>
            </w:pPr>
            <w:r w:rsidRPr="00251472">
              <w:t>Total</w:t>
            </w:r>
          </w:p>
        </w:tc>
      </w:tr>
      <w:tr w:rsidR="00C80FA2" w:rsidRPr="00EF2495" w14:paraId="3DF4F756" w14:textId="77777777" w:rsidTr="00857A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60" w:type="dxa"/>
            <w:tcBorders>
              <w:top w:val="none" w:sz="0" w:space="0" w:color="auto"/>
              <w:bottom w:val="none" w:sz="0" w:space="0" w:color="auto"/>
              <w:right w:val="none" w:sz="0" w:space="0" w:color="auto"/>
            </w:tcBorders>
            <w:noWrap/>
            <w:hideMark/>
          </w:tcPr>
          <w:p w14:paraId="441B232D" w14:textId="77777777" w:rsidR="00C80FA2" w:rsidRPr="00EF2495" w:rsidRDefault="00C80FA2" w:rsidP="00EF2495">
            <w:r w:rsidRPr="00EF2495">
              <w:t>Pre-2005</w:t>
            </w:r>
          </w:p>
        </w:tc>
        <w:tc>
          <w:tcPr>
            <w:tcW w:w="1688" w:type="dxa"/>
            <w:tcBorders>
              <w:top w:val="none" w:sz="0" w:space="0" w:color="auto"/>
              <w:bottom w:val="none" w:sz="0" w:space="0" w:color="auto"/>
            </w:tcBorders>
            <w:noWrap/>
            <w:hideMark/>
          </w:tcPr>
          <w:p w14:paraId="60214F1C" w14:textId="6CC20425"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13</w:t>
            </w:r>
            <w:r w:rsidR="008D363A">
              <w:t xml:space="preserve"> (100%)</w:t>
            </w:r>
          </w:p>
        </w:tc>
        <w:tc>
          <w:tcPr>
            <w:tcW w:w="1843" w:type="dxa"/>
            <w:tcBorders>
              <w:top w:val="none" w:sz="0" w:space="0" w:color="auto"/>
              <w:bottom w:val="none" w:sz="0" w:space="0" w:color="auto"/>
            </w:tcBorders>
            <w:noWrap/>
            <w:hideMark/>
          </w:tcPr>
          <w:p w14:paraId="78E4D63C" w14:textId="1ACEAB80" w:rsidR="00C80FA2" w:rsidRPr="00EF2495" w:rsidRDefault="00CC2846" w:rsidP="00EF2495">
            <w:pPr>
              <w:cnfStyle w:val="000000100000" w:firstRow="0" w:lastRow="0" w:firstColumn="0" w:lastColumn="0" w:oddVBand="0" w:evenVBand="0" w:oddHBand="1" w:evenHBand="0" w:firstRowFirstColumn="0" w:firstRowLastColumn="0" w:lastRowFirstColumn="0" w:lastRowLastColumn="0"/>
            </w:pPr>
            <w:r>
              <w:t>0</w:t>
            </w:r>
            <w:r w:rsidR="008D363A">
              <w:t xml:space="preserve"> (0%)</w:t>
            </w:r>
          </w:p>
        </w:tc>
        <w:tc>
          <w:tcPr>
            <w:tcW w:w="2268" w:type="dxa"/>
            <w:tcBorders>
              <w:top w:val="none" w:sz="0" w:space="0" w:color="auto"/>
              <w:bottom w:val="none" w:sz="0" w:space="0" w:color="auto"/>
            </w:tcBorders>
            <w:noWrap/>
            <w:hideMark/>
          </w:tcPr>
          <w:p w14:paraId="7DFBBFAB"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13</w:t>
            </w:r>
          </w:p>
        </w:tc>
      </w:tr>
      <w:tr w:rsidR="00C80FA2" w:rsidRPr="00EF2495" w14:paraId="204ED71E" w14:textId="77777777" w:rsidTr="00857A50">
        <w:trPr>
          <w:trHeight w:val="290"/>
        </w:trPr>
        <w:tc>
          <w:tcPr>
            <w:cnfStyle w:val="001000000000" w:firstRow="0" w:lastRow="0" w:firstColumn="1" w:lastColumn="0" w:oddVBand="0" w:evenVBand="0" w:oddHBand="0" w:evenHBand="0" w:firstRowFirstColumn="0" w:firstRowLastColumn="0" w:lastRowFirstColumn="0" w:lastRowLastColumn="0"/>
            <w:tcW w:w="2560" w:type="dxa"/>
            <w:tcBorders>
              <w:right w:val="none" w:sz="0" w:space="0" w:color="auto"/>
            </w:tcBorders>
            <w:noWrap/>
            <w:hideMark/>
          </w:tcPr>
          <w:p w14:paraId="79C16D97" w14:textId="77777777" w:rsidR="00C80FA2" w:rsidRPr="00EF2495" w:rsidRDefault="00C80FA2" w:rsidP="00EF2495">
            <w:r w:rsidRPr="00EF2495">
              <w:t>2005-2009</w:t>
            </w:r>
          </w:p>
        </w:tc>
        <w:tc>
          <w:tcPr>
            <w:tcW w:w="1688" w:type="dxa"/>
            <w:noWrap/>
            <w:hideMark/>
          </w:tcPr>
          <w:p w14:paraId="0C962169" w14:textId="3529333E"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68</w:t>
            </w:r>
            <w:r w:rsidR="008D363A">
              <w:t xml:space="preserve"> (99%)</w:t>
            </w:r>
          </w:p>
        </w:tc>
        <w:tc>
          <w:tcPr>
            <w:tcW w:w="1843" w:type="dxa"/>
            <w:noWrap/>
            <w:hideMark/>
          </w:tcPr>
          <w:p w14:paraId="768C6DD1" w14:textId="45827FF9"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w:t>
            </w:r>
            <w:r w:rsidR="008D363A">
              <w:t xml:space="preserve"> (1%)</w:t>
            </w:r>
          </w:p>
        </w:tc>
        <w:tc>
          <w:tcPr>
            <w:tcW w:w="2268" w:type="dxa"/>
            <w:noWrap/>
            <w:hideMark/>
          </w:tcPr>
          <w:p w14:paraId="045DDF5E"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69</w:t>
            </w:r>
          </w:p>
        </w:tc>
      </w:tr>
      <w:tr w:rsidR="00C80FA2" w:rsidRPr="00EF2495" w14:paraId="71417C1B" w14:textId="77777777" w:rsidTr="00857A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60" w:type="dxa"/>
            <w:tcBorders>
              <w:top w:val="none" w:sz="0" w:space="0" w:color="auto"/>
              <w:bottom w:val="none" w:sz="0" w:space="0" w:color="auto"/>
              <w:right w:val="none" w:sz="0" w:space="0" w:color="auto"/>
            </w:tcBorders>
            <w:noWrap/>
            <w:hideMark/>
          </w:tcPr>
          <w:p w14:paraId="0B9F55B2" w14:textId="77777777" w:rsidR="00C80FA2" w:rsidRPr="00EF2495" w:rsidRDefault="00C80FA2" w:rsidP="00EF2495">
            <w:r w:rsidRPr="00EF2495">
              <w:t>2010-2014</w:t>
            </w:r>
          </w:p>
        </w:tc>
        <w:tc>
          <w:tcPr>
            <w:tcW w:w="1688" w:type="dxa"/>
            <w:tcBorders>
              <w:top w:val="none" w:sz="0" w:space="0" w:color="auto"/>
              <w:bottom w:val="none" w:sz="0" w:space="0" w:color="auto"/>
            </w:tcBorders>
            <w:noWrap/>
            <w:hideMark/>
          </w:tcPr>
          <w:p w14:paraId="7AA73F30" w14:textId="2CB13779"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127</w:t>
            </w:r>
            <w:r w:rsidR="008D363A">
              <w:t xml:space="preserve"> (77%)</w:t>
            </w:r>
          </w:p>
        </w:tc>
        <w:tc>
          <w:tcPr>
            <w:tcW w:w="1843" w:type="dxa"/>
            <w:tcBorders>
              <w:top w:val="none" w:sz="0" w:space="0" w:color="auto"/>
              <w:bottom w:val="none" w:sz="0" w:space="0" w:color="auto"/>
            </w:tcBorders>
            <w:noWrap/>
            <w:hideMark/>
          </w:tcPr>
          <w:p w14:paraId="7D30171C" w14:textId="092EBFC0"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39</w:t>
            </w:r>
            <w:r w:rsidR="008D363A">
              <w:t xml:space="preserve"> (23%)</w:t>
            </w:r>
          </w:p>
        </w:tc>
        <w:tc>
          <w:tcPr>
            <w:tcW w:w="2268" w:type="dxa"/>
            <w:tcBorders>
              <w:top w:val="none" w:sz="0" w:space="0" w:color="auto"/>
              <w:bottom w:val="none" w:sz="0" w:space="0" w:color="auto"/>
            </w:tcBorders>
            <w:noWrap/>
            <w:hideMark/>
          </w:tcPr>
          <w:p w14:paraId="38F384FC"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166</w:t>
            </w:r>
          </w:p>
        </w:tc>
      </w:tr>
      <w:tr w:rsidR="00C80FA2" w:rsidRPr="00EF2495" w14:paraId="758B1285" w14:textId="77777777" w:rsidTr="00857A50">
        <w:trPr>
          <w:trHeight w:val="290"/>
        </w:trPr>
        <w:tc>
          <w:tcPr>
            <w:cnfStyle w:val="001000000000" w:firstRow="0" w:lastRow="0" w:firstColumn="1" w:lastColumn="0" w:oddVBand="0" w:evenVBand="0" w:oddHBand="0" w:evenHBand="0" w:firstRowFirstColumn="0" w:firstRowLastColumn="0" w:lastRowFirstColumn="0" w:lastRowLastColumn="0"/>
            <w:tcW w:w="2560" w:type="dxa"/>
            <w:tcBorders>
              <w:right w:val="none" w:sz="0" w:space="0" w:color="auto"/>
            </w:tcBorders>
            <w:noWrap/>
            <w:hideMark/>
          </w:tcPr>
          <w:p w14:paraId="7842F95D" w14:textId="77777777" w:rsidR="00C80FA2" w:rsidRPr="00EF2495" w:rsidRDefault="00C80FA2" w:rsidP="00EF2495">
            <w:r w:rsidRPr="00EF2495">
              <w:t>2015-2019</w:t>
            </w:r>
          </w:p>
        </w:tc>
        <w:tc>
          <w:tcPr>
            <w:tcW w:w="1688" w:type="dxa"/>
            <w:noWrap/>
            <w:hideMark/>
          </w:tcPr>
          <w:p w14:paraId="3C6551CE" w14:textId="46DCDCCB"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106</w:t>
            </w:r>
            <w:r w:rsidR="008D363A">
              <w:t xml:space="preserve"> (70%)</w:t>
            </w:r>
          </w:p>
        </w:tc>
        <w:tc>
          <w:tcPr>
            <w:tcW w:w="1843" w:type="dxa"/>
            <w:noWrap/>
            <w:hideMark/>
          </w:tcPr>
          <w:p w14:paraId="160030C4" w14:textId="458D0FE4"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45</w:t>
            </w:r>
            <w:r w:rsidR="00223636">
              <w:t xml:space="preserve"> (30%)</w:t>
            </w:r>
          </w:p>
        </w:tc>
        <w:tc>
          <w:tcPr>
            <w:tcW w:w="2268" w:type="dxa"/>
            <w:noWrap/>
            <w:hideMark/>
          </w:tcPr>
          <w:p w14:paraId="205B9C62"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151</w:t>
            </w:r>
          </w:p>
        </w:tc>
      </w:tr>
      <w:tr w:rsidR="00C80FA2" w:rsidRPr="00EF2495" w14:paraId="126A0A1C" w14:textId="77777777" w:rsidTr="00857A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60" w:type="dxa"/>
            <w:tcBorders>
              <w:top w:val="none" w:sz="0" w:space="0" w:color="auto"/>
              <w:bottom w:val="none" w:sz="0" w:space="0" w:color="auto"/>
              <w:right w:val="none" w:sz="0" w:space="0" w:color="auto"/>
            </w:tcBorders>
            <w:noWrap/>
            <w:hideMark/>
          </w:tcPr>
          <w:p w14:paraId="73527DFC" w14:textId="77777777" w:rsidR="00C80FA2" w:rsidRPr="00EF2495" w:rsidRDefault="00C80FA2" w:rsidP="00EF2495">
            <w:r w:rsidRPr="00EF2495">
              <w:t>2020-2024</w:t>
            </w:r>
          </w:p>
        </w:tc>
        <w:tc>
          <w:tcPr>
            <w:tcW w:w="1688" w:type="dxa"/>
            <w:tcBorders>
              <w:top w:val="none" w:sz="0" w:space="0" w:color="auto"/>
              <w:bottom w:val="none" w:sz="0" w:space="0" w:color="auto"/>
            </w:tcBorders>
            <w:noWrap/>
            <w:hideMark/>
          </w:tcPr>
          <w:p w14:paraId="3EB82E8C" w14:textId="3A308CE9"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55</w:t>
            </w:r>
            <w:r w:rsidR="00223636">
              <w:t xml:space="preserve"> (44%)</w:t>
            </w:r>
          </w:p>
        </w:tc>
        <w:tc>
          <w:tcPr>
            <w:tcW w:w="1843" w:type="dxa"/>
            <w:tcBorders>
              <w:top w:val="none" w:sz="0" w:space="0" w:color="auto"/>
              <w:bottom w:val="none" w:sz="0" w:space="0" w:color="auto"/>
            </w:tcBorders>
            <w:noWrap/>
            <w:hideMark/>
          </w:tcPr>
          <w:p w14:paraId="3ADE9065" w14:textId="38F79293"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71</w:t>
            </w:r>
            <w:r w:rsidR="00223636">
              <w:t xml:space="preserve"> (56%)</w:t>
            </w:r>
          </w:p>
        </w:tc>
        <w:tc>
          <w:tcPr>
            <w:tcW w:w="2268" w:type="dxa"/>
            <w:tcBorders>
              <w:top w:val="none" w:sz="0" w:space="0" w:color="auto"/>
              <w:bottom w:val="none" w:sz="0" w:space="0" w:color="auto"/>
            </w:tcBorders>
            <w:noWrap/>
            <w:hideMark/>
          </w:tcPr>
          <w:p w14:paraId="07563CE0"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126</w:t>
            </w:r>
          </w:p>
        </w:tc>
      </w:tr>
      <w:tr w:rsidR="002D459B" w:rsidRPr="00EF2495" w14:paraId="28262140" w14:textId="77777777" w:rsidTr="00857A50">
        <w:trPr>
          <w:cnfStyle w:val="010000000000" w:firstRow="0" w:lastRow="1" w:firstColumn="0" w:lastColumn="0" w:oddVBand="0" w:evenVBand="0" w:oddHBand="0" w:evenHBand="0" w:firstRowFirstColumn="0" w:firstRowLastColumn="0" w:lastRowFirstColumn="0" w:lastRowLastColumn="0"/>
          <w:trHeight w:val="290"/>
        </w:trPr>
        <w:tc>
          <w:tcPr>
            <w:cnfStyle w:val="001000000001" w:firstRow="0" w:lastRow="0" w:firstColumn="1" w:lastColumn="0" w:oddVBand="0" w:evenVBand="0" w:oddHBand="0" w:evenHBand="0" w:firstRowFirstColumn="0" w:firstRowLastColumn="0" w:lastRowFirstColumn="1" w:lastRowLastColumn="0"/>
            <w:tcW w:w="2560" w:type="dxa"/>
            <w:tcBorders>
              <w:top w:val="none" w:sz="0" w:space="0" w:color="auto"/>
              <w:right w:val="none" w:sz="0" w:space="0" w:color="auto"/>
            </w:tcBorders>
            <w:noWrap/>
            <w:hideMark/>
          </w:tcPr>
          <w:p w14:paraId="09129883" w14:textId="77777777" w:rsidR="00C80FA2" w:rsidRPr="00EF2495" w:rsidRDefault="00C80FA2" w:rsidP="00EF2495">
            <w:r w:rsidRPr="00EF2495">
              <w:t>Total</w:t>
            </w:r>
          </w:p>
        </w:tc>
        <w:tc>
          <w:tcPr>
            <w:tcW w:w="1688" w:type="dxa"/>
            <w:tcBorders>
              <w:top w:val="none" w:sz="0" w:space="0" w:color="auto"/>
            </w:tcBorders>
            <w:noWrap/>
            <w:hideMark/>
          </w:tcPr>
          <w:p w14:paraId="29717FE1" w14:textId="7AC974D6"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369</w:t>
            </w:r>
            <w:r w:rsidR="00223636">
              <w:t xml:space="preserve"> (70%)</w:t>
            </w:r>
          </w:p>
        </w:tc>
        <w:tc>
          <w:tcPr>
            <w:tcW w:w="1843" w:type="dxa"/>
            <w:tcBorders>
              <w:top w:val="none" w:sz="0" w:space="0" w:color="auto"/>
            </w:tcBorders>
            <w:noWrap/>
            <w:hideMark/>
          </w:tcPr>
          <w:p w14:paraId="0243AD9D" w14:textId="0D8F2FE5"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156</w:t>
            </w:r>
            <w:r w:rsidR="00223636">
              <w:t xml:space="preserve"> (30%)</w:t>
            </w:r>
          </w:p>
        </w:tc>
        <w:tc>
          <w:tcPr>
            <w:tcW w:w="2268" w:type="dxa"/>
            <w:tcBorders>
              <w:top w:val="none" w:sz="0" w:space="0" w:color="auto"/>
            </w:tcBorders>
            <w:noWrap/>
            <w:hideMark/>
          </w:tcPr>
          <w:p w14:paraId="79680F76"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525</w:t>
            </w:r>
          </w:p>
        </w:tc>
      </w:tr>
    </w:tbl>
    <w:p w14:paraId="0C39236B" w14:textId="217798BC" w:rsidR="00C80FA2" w:rsidRPr="00EF2495" w:rsidRDefault="003E4E20" w:rsidP="001A765A">
      <w:pPr>
        <w:pStyle w:val="Heading3"/>
      </w:pPr>
      <w:bookmarkStart w:id="94" w:name="_Toc185321246"/>
      <w:r w:rsidRPr="00EF2495">
        <w:t>4</w:t>
      </w:r>
      <w:r w:rsidR="001E5D09" w:rsidRPr="00EF2495">
        <w:t>.2</w:t>
      </w:r>
      <w:r w:rsidR="001E5D09" w:rsidRPr="00EF2495">
        <w:tab/>
      </w:r>
      <w:r w:rsidR="00C80FA2" w:rsidRPr="00EF2495">
        <w:t>Inclusion</w:t>
      </w:r>
      <w:bookmarkEnd w:id="94"/>
    </w:p>
    <w:p w14:paraId="1DF4E5B2" w14:textId="77777777" w:rsidR="00C80FA2" w:rsidRPr="00EF2495" w:rsidRDefault="00C80FA2" w:rsidP="00EF2495">
      <w:pPr>
        <w:rPr>
          <w:lang w:eastAsia="en-AU"/>
        </w:rPr>
      </w:pPr>
      <w:r w:rsidRPr="00EF2495">
        <w:rPr>
          <w:lang w:eastAsia="en-AU"/>
        </w:rPr>
        <w:t>Number and percentage of Australia Awards allocated disaggregated by key diversity markers (Core global indicator 1.1)</w:t>
      </w:r>
    </w:p>
    <w:p w14:paraId="7F6E92EF" w14:textId="77777777" w:rsidR="00C80FA2" w:rsidRPr="00EF2495" w:rsidRDefault="00C80FA2" w:rsidP="00EF2495">
      <w:pPr>
        <w:rPr>
          <w:lang w:val="en-US"/>
        </w:rPr>
      </w:pPr>
      <w:r w:rsidRPr="00EF2495">
        <w:rPr>
          <w:lang w:val="en-US"/>
        </w:rPr>
        <w:t xml:space="preserve">Overall, 64% of awards were made female. There has been an increasing proportion of awards made to females over time. </w:t>
      </w:r>
      <w:bookmarkStart w:id="95" w:name="_Hlk176683493"/>
      <w:r w:rsidRPr="00EF2495">
        <w:rPr>
          <w:lang w:val="en-US"/>
        </w:rPr>
        <w:t>In 2024, 68% of awards were to females</w:t>
      </w:r>
    </w:p>
    <w:bookmarkEnd w:id="95"/>
    <w:p w14:paraId="588CEBBD" w14:textId="2E59068C" w:rsidR="00C80FA2" w:rsidRPr="00EF2495" w:rsidRDefault="00C80FA2" w:rsidP="00EF2495">
      <w:pPr>
        <w:rPr>
          <w:lang w:val="en-US"/>
        </w:rPr>
      </w:pPr>
      <w:r w:rsidRPr="00EF2495">
        <w:rPr>
          <w:lang w:val="en-US"/>
        </w:rPr>
        <w:t xml:space="preserve">Only 6 people with a disability are recorded on OASIS. The system shows that the first award offer to a person with a disability was in 2017.  It is possible earlier such award offers were not recorded in OASIS. No awards were </w:t>
      </w:r>
      <w:proofErr w:type="gramStart"/>
      <w:r w:rsidRPr="00EF2495">
        <w:rPr>
          <w:lang w:val="en-US"/>
        </w:rPr>
        <w:t>made</w:t>
      </w:r>
      <w:proofErr w:type="gramEnd"/>
      <w:r w:rsidRPr="00EF2495">
        <w:rPr>
          <w:lang w:val="en-US"/>
        </w:rPr>
        <w:t xml:space="preserve"> to a person with disability in 2023 and 2024.  Four of these awards were for AAPS and two for AAS. Four of these awards were for males and two for females.</w:t>
      </w:r>
    </w:p>
    <w:p w14:paraId="313C86EE" w14:textId="77777777" w:rsidR="00C80FA2" w:rsidRPr="00EF2495" w:rsidRDefault="00C80FA2" w:rsidP="00EF2495">
      <w:pPr>
        <w:rPr>
          <w:lang w:eastAsia="en-AU"/>
        </w:rPr>
      </w:pPr>
      <w:r w:rsidRPr="00EF2495">
        <w:rPr>
          <w:lang w:eastAsia="en-AU"/>
        </w:rPr>
        <w:t>Number and percentage of Australia Awards allocated to development sectors where women’s skills and participation are most needed in each country.  (Core global indicator 6.1)</w:t>
      </w:r>
    </w:p>
    <w:p w14:paraId="7F14590A" w14:textId="77777777" w:rsidR="00C80FA2" w:rsidRPr="00EF2495" w:rsidRDefault="00C80FA2" w:rsidP="00EF2495">
      <w:pPr>
        <w:rPr>
          <w:lang w:val="en-US"/>
        </w:rPr>
      </w:pPr>
      <w:r w:rsidRPr="00EF2495">
        <w:rPr>
          <w:lang w:eastAsia="en-AU"/>
        </w:rPr>
        <w:t xml:space="preserve">Whilst it could well be argued that women’s skills and participation are most needed in all sectors, have looked at % awards allocated for women in </w:t>
      </w:r>
      <w:r w:rsidRPr="00EF2495">
        <w:rPr>
          <w:lang w:val="en-US"/>
        </w:rPr>
        <w:t xml:space="preserve">IT and engineering where most under-represented in awards offered in Tonga:    </w:t>
      </w:r>
    </w:p>
    <w:p w14:paraId="4A0C838A" w14:textId="1E8B6B09" w:rsidR="00B11C7C" w:rsidRPr="00EF2495" w:rsidRDefault="00B11C7C" w:rsidP="00EF2495">
      <w:pPr>
        <w:rPr>
          <w:lang w:val="en-US" w:eastAsia="en-AU"/>
        </w:rPr>
      </w:pPr>
      <w:r w:rsidRPr="00EF2495">
        <w:rPr>
          <w:lang w:val="en-US" w:eastAsia="en-AU"/>
        </w:rPr>
        <w:lastRenderedPageBreak/>
        <w:t xml:space="preserve">Table </w:t>
      </w:r>
      <w:r w:rsidRPr="00EF2495">
        <w:rPr>
          <w:lang w:val="en-US" w:eastAsia="en-AU"/>
        </w:rPr>
        <w:fldChar w:fldCharType="begin"/>
      </w:r>
      <w:r w:rsidRPr="00EF2495">
        <w:rPr>
          <w:lang w:val="en-US" w:eastAsia="en-AU"/>
        </w:rPr>
        <w:instrText xml:space="preserve"> SEQ Table \* ARABIC </w:instrText>
      </w:r>
      <w:r w:rsidRPr="00EF2495">
        <w:rPr>
          <w:lang w:val="en-US" w:eastAsia="en-AU"/>
        </w:rPr>
        <w:fldChar w:fldCharType="separate"/>
      </w:r>
      <w:r w:rsidR="003B4A8A" w:rsidRPr="00EF2495">
        <w:rPr>
          <w:lang w:val="en-US" w:eastAsia="en-AU"/>
        </w:rPr>
        <w:t>8</w:t>
      </w:r>
      <w:r w:rsidRPr="00EF2495">
        <w:rPr>
          <w:lang w:val="en-US" w:eastAsia="en-AU"/>
        </w:rPr>
        <w:fldChar w:fldCharType="end"/>
      </w:r>
      <w:r w:rsidRPr="00EF2495">
        <w:rPr>
          <w:lang w:val="en-US" w:eastAsia="en-AU"/>
        </w:rPr>
        <w:t>:   Award Offers by Gender</w:t>
      </w:r>
    </w:p>
    <w:tbl>
      <w:tblPr>
        <w:tblStyle w:val="ListTable3"/>
        <w:tblW w:w="5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60"/>
        <w:gridCol w:w="1263"/>
        <w:gridCol w:w="1275"/>
        <w:gridCol w:w="895"/>
      </w:tblGrid>
      <w:tr w:rsidR="00B11C7C" w:rsidRPr="00EF2495" w14:paraId="4D2D5E0E" w14:textId="77777777" w:rsidTr="006357C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2560" w:type="dxa"/>
            <w:tcBorders>
              <w:bottom w:val="none" w:sz="0" w:space="0" w:color="auto"/>
              <w:right w:val="none" w:sz="0" w:space="0" w:color="auto"/>
            </w:tcBorders>
            <w:noWrap/>
            <w:hideMark/>
          </w:tcPr>
          <w:p w14:paraId="6A129001" w14:textId="77777777" w:rsidR="00B11C7C" w:rsidRPr="00251472" w:rsidRDefault="00B11C7C" w:rsidP="00EF2495">
            <w:pPr>
              <w:rPr>
                <w:b w:val="0"/>
                <w:bCs w:val="0"/>
              </w:rPr>
            </w:pPr>
            <w:r w:rsidRPr="00251472">
              <w:t>Intake year</w:t>
            </w:r>
          </w:p>
        </w:tc>
        <w:tc>
          <w:tcPr>
            <w:cnfStyle w:val="000010000000" w:firstRow="0" w:lastRow="0" w:firstColumn="0" w:lastColumn="0" w:oddVBand="1" w:evenVBand="0" w:oddHBand="0" w:evenHBand="0" w:firstRowFirstColumn="0" w:firstRowLastColumn="0" w:lastRowFirstColumn="0" w:lastRowLastColumn="0"/>
            <w:tcW w:w="1263" w:type="dxa"/>
            <w:tcBorders>
              <w:left w:val="none" w:sz="0" w:space="0" w:color="auto"/>
              <w:right w:val="none" w:sz="0" w:space="0" w:color="auto"/>
            </w:tcBorders>
          </w:tcPr>
          <w:p w14:paraId="0F82FD41" w14:textId="2F0CCA8B" w:rsidR="00B11C7C" w:rsidRPr="00251472" w:rsidRDefault="00B11C7C" w:rsidP="00EF2495">
            <w:pPr>
              <w:rPr>
                <w:b w:val="0"/>
                <w:bCs w:val="0"/>
              </w:rPr>
            </w:pPr>
            <w:r w:rsidRPr="00251472">
              <w:t>F</w:t>
            </w:r>
            <w:r w:rsidR="00857A50">
              <w:t>emale</w:t>
            </w:r>
          </w:p>
        </w:tc>
        <w:tc>
          <w:tcPr>
            <w:tcW w:w="1275" w:type="dxa"/>
          </w:tcPr>
          <w:p w14:paraId="65136F27" w14:textId="567AE033" w:rsidR="00B11C7C" w:rsidRPr="00251472" w:rsidRDefault="00857A50" w:rsidP="00EF2495">
            <w:pPr>
              <w:cnfStyle w:val="100000000000" w:firstRow="1" w:lastRow="0" w:firstColumn="0" w:lastColumn="0" w:oddVBand="0" w:evenVBand="0" w:oddHBand="0" w:evenHBand="0" w:firstRowFirstColumn="0" w:firstRowLastColumn="0" w:lastRowFirstColumn="0" w:lastRowLastColumn="0"/>
              <w:rPr>
                <w:b w:val="0"/>
                <w:bCs w:val="0"/>
              </w:rPr>
            </w:pPr>
            <w:r>
              <w:t>Male</w:t>
            </w:r>
          </w:p>
        </w:tc>
        <w:tc>
          <w:tcPr>
            <w:cnfStyle w:val="000100001000" w:firstRow="0" w:lastRow="0" w:firstColumn="0" w:lastColumn="1" w:oddVBand="0" w:evenVBand="0" w:oddHBand="0" w:evenHBand="0" w:firstRowFirstColumn="0" w:firstRowLastColumn="1" w:lastRowFirstColumn="0" w:lastRowLastColumn="0"/>
            <w:tcW w:w="895" w:type="dxa"/>
            <w:tcBorders>
              <w:left w:val="none" w:sz="0" w:space="0" w:color="auto"/>
              <w:bottom w:val="none" w:sz="0" w:space="0" w:color="auto"/>
            </w:tcBorders>
            <w:noWrap/>
            <w:hideMark/>
          </w:tcPr>
          <w:p w14:paraId="25807C4D" w14:textId="77777777" w:rsidR="00B11C7C" w:rsidRPr="00251472" w:rsidRDefault="00B11C7C" w:rsidP="00EF2495">
            <w:pPr>
              <w:rPr>
                <w:b w:val="0"/>
                <w:bCs w:val="0"/>
              </w:rPr>
            </w:pPr>
            <w:r w:rsidRPr="00251472">
              <w:t>Total</w:t>
            </w:r>
          </w:p>
        </w:tc>
      </w:tr>
      <w:tr w:rsidR="00B11C7C" w:rsidRPr="00EF2495" w14:paraId="773D47BD" w14:textId="77777777" w:rsidTr="00857A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60" w:type="dxa"/>
            <w:tcBorders>
              <w:top w:val="none" w:sz="0" w:space="0" w:color="auto"/>
              <w:bottom w:val="none" w:sz="0" w:space="0" w:color="auto"/>
              <w:right w:val="none" w:sz="0" w:space="0" w:color="auto"/>
            </w:tcBorders>
            <w:noWrap/>
            <w:hideMark/>
          </w:tcPr>
          <w:p w14:paraId="607E0EE2" w14:textId="5843270C" w:rsidR="00B11C7C" w:rsidRPr="00EF2495" w:rsidRDefault="00B11C7C" w:rsidP="00EF2495">
            <w:r w:rsidRPr="00EF2495">
              <w:t>Pre-2005</w:t>
            </w:r>
          </w:p>
        </w:tc>
        <w:tc>
          <w:tcPr>
            <w:cnfStyle w:val="000010000000" w:firstRow="0" w:lastRow="0" w:firstColumn="0" w:lastColumn="0" w:oddVBand="1" w:evenVBand="0" w:oddHBand="0" w:evenHBand="0" w:firstRowFirstColumn="0" w:firstRowLastColumn="0" w:lastRowFirstColumn="0" w:lastRowLastColumn="0"/>
            <w:tcW w:w="1263" w:type="dxa"/>
            <w:tcBorders>
              <w:top w:val="none" w:sz="0" w:space="0" w:color="auto"/>
              <w:left w:val="none" w:sz="0" w:space="0" w:color="auto"/>
              <w:bottom w:val="none" w:sz="0" w:space="0" w:color="auto"/>
              <w:right w:val="none" w:sz="0" w:space="0" w:color="auto"/>
            </w:tcBorders>
          </w:tcPr>
          <w:p w14:paraId="3AD936F0" w14:textId="2B123409" w:rsidR="00B11C7C" w:rsidRPr="00EF2495" w:rsidRDefault="00B11C7C" w:rsidP="00EF2495">
            <w:r w:rsidRPr="00EF2495">
              <w:t>7</w:t>
            </w:r>
            <w:r w:rsidR="00C703BD">
              <w:t xml:space="preserve"> (54%)</w:t>
            </w:r>
          </w:p>
        </w:tc>
        <w:tc>
          <w:tcPr>
            <w:tcW w:w="1275" w:type="dxa"/>
            <w:tcBorders>
              <w:top w:val="none" w:sz="0" w:space="0" w:color="auto"/>
              <w:bottom w:val="none" w:sz="0" w:space="0" w:color="auto"/>
            </w:tcBorders>
          </w:tcPr>
          <w:p w14:paraId="05364C63" w14:textId="45BBB088" w:rsidR="00B11C7C" w:rsidRPr="00EF2495" w:rsidRDefault="00B11C7C" w:rsidP="00EF2495">
            <w:pPr>
              <w:cnfStyle w:val="000000100000" w:firstRow="0" w:lastRow="0" w:firstColumn="0" w:lastColumn="0" w:oddVBand="0" w:evenVBand="0" w:oddHBand="1" w:evenHBand="0" w:firstRowFirstColumn="0" w:firstRowLastColumn="0" w:lastRowFirstColumn="0" w:lastRowLastColumn="0"/>
            </w:pPr>
            <w:r w:rsidRPr="00EF2495">
              <w:t>6</w:t>
            </w:r>
            <w:r w:rsidR="00C703BD">
              <w:t xml:space="preserve"> (46%)</w:t>
            </w:r>
          </w:p>
        </w:tc>
        <w:tc>
          <w:tcPr>
            <w:cnfStyle w:val="000100000000" w:firstRow="0" w:lastRow="0" w:firstColumn="0" w:lastColumn="1" w:oddVBand="0" w:evenVBand="0" w:oddHBand="0" w:evenHBand="0" w:firstRowFirstColumn="0" w:firstRowLastColumn="0" w:lastRowFirstColumn="0" w:lastRowLastColumn="0"/>
            <w:tcW w:w="895" w:type="dxa"/>
            <w:tcBorders>
              <w:top w:val="none" w:sz="0" w:space="0" w:color="auto"/>
              <w:left w:val="none" w:sz="0" w:space="0" w:color="auto"/>
              <w:bottom w:val="none" w:sz="0" w:space="0" w:color="auto"/>
            </w:tcBorders>
            <w:noWrap/>
            <w:hideMark/>
          </w:tcPr>
          <w:p w14:paraId="2981E50F" w14:textId="443C433E" w:rsidR="00B11C7C" w:rsidRPr="00EF2495" w:rsidRDefault="00B11C7C" w:rsidP="00EF2495">
            <w:r w:rsidRPr="00EF2495">
              <w:t>13</w:t>
            </w:r>
          </w:p>
        </w:tc>
      </w:tr>
      <w:tr w:rsidR="00B11C7C" w:rsidRPr="00EF2495" w14:paraId="6E64F06F" w14:textId="77777777" w:rsidTr="00857A50">
        <w:trPr>
          <w:trHeight w:val="290"/>
        </w:trPr>
        <w:tc>
          <w:tcPr>
            <w:cnfStyle w:val="001000000000" w:firstRow="0" w:lastRow="0" w:firstColumn="1" w:lastColumn="0" w:oddVBand="0" w:evenVBand="0" w:oddHBand="0" w:evenHBand="0" w:firstRowFirstColumn="0" w:firstRowLastColumn="0" w:lastRowFirstColumn="0" w:lastRowLastColumn="0"/>
            <w:tcW w:w="2560" w:type="dxa"/>
            <w:tcBorders>
              <w:right w:val="none" w:sz="0" w:space="0" w:color="auto"/>
            </w:tcBorders>
            <w:noWrap/>
            <w:hideMark/>
          </w:tcPr>
          <w:p w14:paraId="04F60EF5" w14:textId="15FF7E29" w:rsidR="00B11C7C" w:rsidRPr="00EF2495" w:rsidRDefault="00B11C7C" w:rsidP="00EF2495">
            <w:r w:rsidRPr="00EF2495">
              <w:t>2005-2009</w:t>
            </w:r>
          </w:p>
        </w:tc>
        <w:tc>
          <w:tcPr>
            <w:cnfStyle w:val="000010000000" w:firstRow="0" w:lastRow="0" w:firstColumn="0" w:lastColumn="0" w:oddVBand="1" w:evenVBand="0" w:oddHBand="0" w:evenHBand="0" w:firstRowFirstColumn="0" w:firstRowLastColumn="0" w:lastRowFirstColumn="0" w:lastRowLastColumn="0"/>
            <w:tcW w:w="1263" w:type="dxa"/>
            <w:tcBorders>
              <w:left w:val="none" w:sz="0" w:space="0" w:color="auto"/>
              <w:right w:val="none" w:sz="0" w:space="0" w:color="auto"/>
            </w:tcBorders>
          </w:tcPr>
          <w:p w14:paraId="3A1A8D9A" w14:textId="289E7B7A" w:rsidR="00B11C7C" w:rsidRPr="00EF2495" w:rsidRDefault="00B11C7C" w:rsidP="00EF2495">
            <w:r w:rsidRPr="00EF2495">
              <w:t>40</w:t>
            </w:r>
            <w:r w:rsidR="00C703BD">
              <w:t xml:space="preserve"> (</w:t>
            </w:r>
            <w:r w:rsidR="00B752B3">
              <w:t>58%)</w:t>
            </w:r>
          </w:p>
        </w:tc>
        <w:tc>
          <w:tcPr>
            <w:tcW w:w="1275" w:type="dxa"/>
          </w:tcPr>
          <w:p w14:paraId="30489980" w14:textId="6CFBCC61" w:rsidR="00B11C7C" w:rsidRPr="00EF2495" w:rsidRDefault="00B11C7C" w:rsidP="00EF2495">
            <w:pPr>
              <w:cnfStyle w:val="000000000000" w:firstRow="0" w:lastRow="0" w:firstColumn="0" w:lastColumn="0" w:oddVBand="0" w:evenVBand="0" w:oddHBand="0" w:evenHBand="0" w:firstRowFirstColumn="0" w:firstRowLastColumn="0" w:lastRowFirstColumn="0" w:lastRowLastColumn="0"/>
            </w:pPr>
            <w:r w:rsidRPr="00EF2495">
              <w:t>29</w:t>
            </w:r>
            <w:r w:rsidR="00B752B3">
              <w:t xml:space="preserve"> (42%)</w:t>
            </w:r>
          </w:p>
        </w:tc>
        <w:tc>
          <w:tcPr>
            <w:cnfStyle w:val="000100000000" w:firstRow="0" w:lastRow="0" w:firstColumn="0" w:lastColumn="1" w:oddVBand="0" w:evenVBand="0" w:oddHBand="0" w:evenHBand="0" w:firstRowFirstColumn="0" w:firstRowLastColumn="0" w:lastRowFirstColumn="0" w:lastRowLastColumn="0"/>
            <w:tcW w:w="895" w:type="dxa"/>
            <w:tcBorders>
              <w:left w:val="none" w:sz="0" w:space="0" w:color="auto"/>
            </w:tcBorders>
            <w:noWrap/>
            <w:hideMark/>
          </w:tcPr>
          <w:p w14:paraId="1F2520B8" w14:textId="4B5C1867" w:rsidR="00B11C7C" w:rsidRPr="00EF2495" w:rsidRDefault="00B11C7C" w:rsidP="00EF2495">
            <w:r w:rsidRPr="00EF2495">
              <w:t>69</w:t>
            </w:r>
          </w:p>
        </w:tc>
      </w:tr>
      <w:tr w:rsidR="00B11C7C" w:rsidRPr="00EF2495" w14:paraId="38DEFF7E" w14:textId="77777777" w:rsidTr="00857A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60" w:type="dxa"/>
            <w:tcBorders>
              <w:top w:val="none" w:sz="0" w:space="0" w:color="auto"/>
              <w:bottom w:val="none" w:sz="0" w:space="0" w:color="auto"/>
              <w:right w:val="none" w:sz="0" w:space="0" w:color="auto"/>
            </w:tcBorders>
            <w:noWrap/>
            <w:hideMark/>
          </w:tcPr>
          <w:p w14:paraId="3168B801" w14:textId="237B6182" w:rsidR="00B11C7C" w:rsidRPr="00EF2495" w:rsidRDefault="00B11C7C" w:rsidP="00EF2495">
            <w:r w:rsidRPr="00EF2495">
              <w:t>2010-2014</w:t>
            </w:r>
          </w:p>
        </w:tc>
        <w:tc>
          <w:tcPr>
            <w:cnfStyle w:val="000010000000" w:firstRow="0" w:lastRow="0" w:firstColumn="0" w:lastColumn="0" w:oddVBand="1" w:evenVBand="0" w:oddHBand="0" w:evenHBand="0" w:firstRowFirstColumn="0" w:firstRowLastColumn="0" w:lastRowFirstColumn="0" w:lastRowLastColumn="0"/>
            <w:tcW w:w="1263" w:type="dxa"/>
            <w:tcBorders>
              <w:top w:val="none" w:sz="0" w:space="0" w:color="auto"/>
              <w:left w:val="none" w:sz="0" w:space="0" w:color="auto"/>
              <w:bottom w:val="none" w:sz="0" w:space="0" w:color="auto"/>
              <w:right w:val="none" w:sz="0" w:space="0" w:color="auto"/>
            </w:tcBorders>
          </w:tcPr>
          <w:p w14:paraId="4E2A2111" w14:textId="72E549E6" w:rsidR="00B11C7C" w:rsidRPr="00EF2495" w:rsidRDefault="00B11C7C" w:rsidP="00EF2495">
            <w:r w:rsidRPr="00EF2495">
              <w:t>105</w:t>
            </w:r>
            <w:r w:rsidR="00B752B3">
              <w:t xml:space="preserve"> (63%)</w:t>
            </w:r>
          </w:p>
        </w:tc>
        <w:tc>
          <w:tcPr>
            <w:tcW w:w="1275" w:type="dxa"/>
            <w:tcBorders>
              <w:top w:val="none" w:sz="0" w:space="0" w:color="auto"/>
              <w:bottom w:val="none" w:sz="0" w:space="0" w:color="auto"/>
            </w:tcBorders>
          </w:tcPr>
          <w:p w14:paraId="74239490" w14:textId="699F732C" w:rsidR="00B11C7C" w:rsidRPr="00EF2495" w:rsidRDefault="00B11C7C" w:rsidP="00EF2495">
            <w:pPr>
              <w:cnfStyle w:val="000000100000" w:firstRow="0" w:lastRow="0" w:firstColumn="0" w:lastColumn="0" w:oddVBand="0" w:evenVBand="0" w:oddHBand="1" w:evenHBand="0" w:firstRowFirstColumn="0" w:firstRowLastColumn="0" w:lastRowFirstColumn="0" w:lastRowLastColumn="0"/>
            </w:pPr>
            <w:r w:rsidRPr="00EF2495">
              <w:t>61</w:t>
            </w:r>
            <w:r w:rsidR="00B752B3">
              <w:t xml:space="preserve"> (37%)</w:t>
            </w:r>
          </w:p>
        </w:tc>
        <w:tc>
          <w:tcPr>
            <w:cnfStyle w:val="000100000000" w:firstRow="0" w:lastRow="0" w:firstColumn="0" w:lastColumn="1" w:oddVBand="0" w:evenVBand="0" w:oddHBand="0" w:evenHBand="0" w:firstRowFirstColumn="0" w:firstRowLastColumn="0" w:lastRowFirstColumn="0" w:lastRowLastColumn="0"/>
            <w:tcW w:w="895" w:type="dxa"/>
            <w:tcBorders>
              <w:top w:val="none" w:sz="0" w:space="0" w:color="auto"/>
              <w:left w:val="none" w:sz="0" w:space="0" w:color="auto"/>
              <w:bottom w:val="none" w:sz="0" w:space="0" w:color="auto"/>
            </w:tcBorders>
            <w:noWrap/>
            <w:hideMark/>
          </w:tcPr>
          <w:p w14:paraId="69B75259" w14:textId="38459222" w:rsidR="00B11C7C" w:rsidRPr="00EF2495" w:rsidRDefault="00B11C7C" w:rsidP="00EF2495">
            <w:r w:rsidRPr="00EF2495">
              <w:t>166</w:t>
            </w:r>
          </w:p>
        </w:tc>
      </w:tr>
      <w:tr w:rsidR="00B11C7C" w:rsidRPr="00EF2495" w14:paraId="0DC66E1A" w14:textId="77777777" w:rsidTr="00857A50">
        <w:trPr>
          <w:trHeight w:val="290"/>
        </w:trPr>
        <w:tc>
          <w:tcPr>
            <w:cnfStyle w:val="001000000000" w:firstRow="0" w:lastRow="0" w:firstColumn="1" w:lastColumn="0" w:oddVBand="0" w:evenVBand="0" w:oddHBand="0" w:evenHBand="0" w:firstRowFirstColumn="0" w:firstRowLastColumn="0" w:lastRowFirstColumn="0" w:lastRowLastColumn="0"/>
            <w:tcW w:w="2560" w:type="dxa"/>
            <w:tcBorders>
              <w:right w:val="none" w:sz="0" w:space="0" w:color="auto"/>
            </w:tcBorders>
            <w:noWrap/>
            <w:hideMark/>
          </w:tcPr>
          <w:p w14:paraId="5DFC5279" w14:textId="0E764693" w:rsidR="00B11C7C" w:rsidRPr="00EF2495" w:rsidRDefault="00B11C7C" w:rsidP="00EF2495">
            <w:r w:rsidRPr="00EF2495">
              <w:t>2015-2019</w:t>
            </w:r>
          </w:p>
        </w:tc>
        <w:tc>
          <w:tcPr>
            <w:cnfStyle w:val="000010000000" w:firstRow="0" w:lastRow="0" w:firstColumn="0" w:lastColumn="0" w:oddVBand="1" w:evenVBand="0" w:oddHBand="0" w:evenHBand="0" w:firstRowFirstColumn="0" w:firstRowLastColumn="0" w:lastRowFirstColumn="0" w:lastRowLastColumn="0"/>
            <w:tcW w:w="1263" w:type="dxa"/>
            <w:tcBorders>
              <w:left w:val="none" w:sz="0" w:space="0" w:color="auto"/>
              <w:right w:val="none" w:sz="0" w:space="0" w:color="auto"/>
            </w:tcBorders>
          </w:tcPr>
          <w:p w14:paraId="43158696" w14:textId="347EFAF8" w:rsidR="00B11C7C" w:rsidRPr="00EF2495" w:rsidRDefault="00B11C7C" w:rsidP="00EF2495">
            <w:r w:rsidRPr="00EF2495">
              <w:t>100</w:t>
            </w:r>
            <w:r w:rsidR="00B752B3">
              <w:t xml:space="preserve"> (66%)</w:t>
            </w:r>
          </w:p>
        </w:tc>
        <w:tc>
          <w:tcPr>
            <w:tcW w:w="1275" w:type="dxa"/>
          </w:tcPr>
          <w:p w14:paraId="54860D02" w14:textId="0E448F85" w:rsidR="00B11C7C" w:rsidRPr="00EF2495" w:rsidRDefault="00B11C7C" w:rsidP="00EF2495">
            <w:pPr>
              <w:cnfStyle w:val="000000000000" w:firstRow="0" w:lastRow="0" w:firstColumn="0" w:lastColumn="0" w:oddVBand="0" w:evenVBand="0" w:oddHBand="0" w:evenHBand="0" w:firstRowFirstColumn="0" w:firstRowLastColumn="0" w:lastRowFirstColumn="0" w:lastRowLastColumn="0"/>
            </w:pPr>
            <w:r w:rsidRPr="00EF2495">
              <w:t>51</w:t>
            </w:r>
            <w:r w:rsidR="00B752B3">
              <w:t xml:space="preserve"> (</w:t>
            </w:r>
            <w:r w:rsidR="00D571A2">
              <w:t>34%)</w:t>
            </w:r>
          </w:p>
        </w:tc>
        <w:tc>
          <w:tcPr>
            <w:cnfStyle w:val="000100000000" w:firstRow="0" w:lastRow="0" w:firstColumn="0" w:lastColumn="1" w:oddVBand="0" w:evenVBand="0" w:oddHBand="0" w:evenHBand="0" w:firstRowFirstColumn="0" w:firstRowLastColumn="0" w:lastRowFirstColumn="0" w:lastRowLastColumn="0"/>
            <w:tcW w:w="895" w:type="dxa"/>
            <w:tcBorders>
              <w:left w:val="none" w:sz="0" w:space="0" w:color="auto"/>
            </w:tcBorders>
            <w:noWrap/>
            <w:hideMark/>
          </w:tcPr>
          <w:p w14:paraId="1721FBD2" w14:textId="116512B4" w:rsidR="00B11C7C" w:rsidRPr="00EF2495" w:rsidRDefault="00B11C7C" w:rsidP="00EF2495">
            <w:r w:rsidRPr="00EF2495">
              <w:t>151</w:t>
            </w:r>
          </w:p>
        </w:tc>
      </w:tr>
      <w:tr w:rsidR="00B11C7C" w:rsidRPr="00EF2495" w14:paraId="34ED5A52" w14:textId="77777777" w:rsidTr="00857A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60" w:type="dxa"/>
            <w:tcBorders>
              <w:top w:val="none" w:sz="0" w:space="0" w:color="auto"/>
              <w:bottom w:val="none" w:sz="0" w:space="0" w:color="auto"/>
              <w:right w:val="none" w:sz="0" w:space="0" w:color="auto"/>
            </w:tcBorders>
            <w:noWrap/>
            <w:hideMark/>
          </w:tcPr>
          <w:p w14:paraId="107A8183" w14:textId="05746B98" w:rsidR="00B11C7C" w:rsidRPr="00EF2495" w:rsidRDefault="00B11C7C" w:rsidP="00EF2495">
            <w:r w:rsidRPr="00EF2495">
              <w:t>2020-2024</w:t>
            </w:r>
          </w:p>
        </w:tc>
        <w:tc>
          <w:tcPr>
            <w:cnfStyle w:val="000010000000" w:firstRow="0" w:lastRow="0" w:firstColumn="0" w:lastColumn="0" w:oddVBand="1" w:evenVBand="0" w:oddHBand="0" w:evenHBand="0" w:firstRowFirstColumn="0" w:firstRowLastColumn="0" w:lastRowFirstColumn="0" w:lastRowLastColumn="0"/>
            <w:tcW w:w="1263" w:type="dxa"/>
            <w:tcBorders>
              <w:top w:val="none" w:sz="0" w:space="0" w:color="auto"/>
              <w:left w:val="none" w:sz="0" w:space="0" w:color="auto"/>
              <w:bottom w:val="none" w:sz="0" w:space="0" w:color="auto"/>
              <w:right w:val="none" w:sz="0" w:space="0" w:color="auto"/>
            </w:tcBorders>
          </w:tcPr>
          <w:p w14:paraId="751F4C6B" w14:textId="47022CD8" w:rsidR="00B11C7C" w:rsidRPr="00EF2495" w:rsidRDefault="00B11C7C" w:rsidP="00EF2495">
            <w:r w:rsidRPr="00EF2495">
              <w:t>83</w:t>
            </w:r>
            <w:r w:rsidR="00D571A2">
              <w:t xml:space="preserve"> (66%)</w:t>
            </w:r>
          </w:p>
        </w:tc>
        <w:tc>
          <w:tcPr>
            <w:tcW w:w="1275" w:type="dxa"/>
            <w:tcBorders>
              <w:top w:val="none" w:sz="0" w:space="0" w:color="auto"/>
              <w:bottom w:val="none" w:sz="0" w:space="0" w:color="auto"/>
            </w:tcBorders>
          </w:tcPr>
          <w:p w14:paraId="142E6D9F" w14:textId="525CDA2A" w:rsidR="00B11C7C" w:rsidRPr="00EF2495" w:rsidRDefault="00B11C7C" w:rsidP="00EF2495">
            <w:pPr>
              <w:cnfStyle w:val="000000100000" w:firstRow="0" w:lastRow="0" w:firstColumn="0" w:lastColumn="0" w:oddVBand="0" w:evenVBand="0" w:oddHBand="1" w:evenHBand="0" w:firstRowFirstColumn="0" w:firstRowLastColumn="0" w:lastRowFirstColumn="0" w:lastRowLastColumn="0"/>
            </w:pPr>
            <w:r w:rsidRPr="00EF2495">
              <w:t>43</w:t>
            </w:r>
            <w:r w:rsidR="00D571A2">
              <w:t xml:space="preserve"> (34%)</w:t>
            </w:r>
          </w:p>
        </w:tc>
        <w:tc>
          <w:tcPr>
            <w:cnfStyle w:val="000100000000" w:firstRow="0" w:lastRow="0" w:firstColumn="0" w:lastColumn="1" w:oddVBand="0" w:evenVBand="0" w:oddHBand="0" w:evenHBand="0" w:firstRowFirstColumn="0" w:firstRowLastColumn="0" w:lastRowFirstColumn="0" w:lastRowLastColumn="0"/>
            <w:tcW w:w="895" w:type="dxa"/>
            <w:tcBorders>
              <w:top w:val="none" w:sz="0" w:space="0" w:color="auto"/>
              <w:left w:val="none" w:sz="0" w:space="0" w:color="auto"/>
              <w:bottom w:val="none" w:sz="0" w:space="0" w:color="auto"/>
            </w:tcBorders>
            <w:noWrap/>
            <w:hideMark/>
          </w:tcPr>
          <w:p w14:paraId="766251E9" w14:textId="124BA2BC" w:rsidR="00B11C7C" w:rsidRPr="00EF2495" w:rsidRDefault="00B11C7C" w:rsidP="00EF2495">
            <w:r w:rsidRPr="00EF2495">
              <w:t>126</w:t>
            </w:r>
          </w:p>
        </w:tc>
      </w:tr>
      <w:tr w:rsidR="00B11C7C" w:rsidRPr="00EF2495" w14:paraId="4D4644D0" w14:textId="77777777" w:rsidTr="00857A50">
        <w:trPr>
          <w:cnfStyle w:val="010000000000" w:firstRow="0" w:lastRow="1" w:firstColumn="0" w:lastColumn="0" w:oddVBand="0" w:evenVBand="0" w:oddHBand="0" w:evenHBand="0" w:firstRowFirstColumn="0" w:firstRowLastColumn="0" w:lastRowFirstColumn="0" w:lastRowLastColumn="0"/>
          <w:trHeight w:val="290"/>
        </w:trPr>
        <w:tc>
          <w:tcPr>
            <w:cnfStyle w:val="001000000001" w:firstRow="0" w:lastRow="0" w:firstColumn="1" w:lastColumn="0" w:oddVBand="0" w:evenVBand="0" w:oddHBand="0" w:evenHBand="0" w:firstRowFirstColumn="0" w:firstRowLastColumn="0" w:lastRowFirstColumn="1" w:lastRowLastColumn="0"/>
            <w:tcW w:w="2560" w:type="dxa"/>
            <w:tcBorders>
              <w:top w:val="none" w:sz="0" w:space="0" w:color="auto"/>
              <w:right w:val="none" w:sz="0" w:space="0" w:color="auto"/>
            </w:tcBorders>
            <w:noWrap/>
            <w:hideMark/>
          </w:tcPr>
          <w:p w14:paraId="10AECD3D" w14:textId="77777777" w:rsidR="00B11C7C" w:rsidRPr="00EF2495" w:rsidRDefault="00B11C7C" w:rsidP="00EF2495">
            <w:r w:rsidRPr="00EF2495">
              <w:t>Total</w:t>
            </w:r>
          </w:p>
        </w:tc>
        <w:tc>
          <w:tcPr>
            <w:cnfStyle w:val="000010000000" w:firstRow="0" w:lastRow="0" w:firstColumn="0" w:lastColumn="0" w:oddVBand="1" w:evenVBand="0" w:oddHBand="0" w:evenHBand="0" w:firstRowFirstColumn="0" w:firstRowLastColumn="0" w:lastRowFirstColumn="0" w:lastRowLastColumn="0"/>
            <w:tcW w:w="1263" w:type="dxa"/>
            <w:tcBorders>
              <w:top w:val="none" w:sz="0" w:space="0" w:color="auto"/>
              <w:left w:val="none" w:sz="0" w:space="0" w:color="auto"/>
              <w:right w:val="none" w:sz="0" w:space="0" w:color="auto"/>
            </w:tcBorders>
          </w:tcPr>
          <w:p w14:paraId="05608E5A" w14:textId="0E61FE64" w:rsidR="00B11C7C" w:rsidRPr="00EF2495" w:rsidRDefault="00B11C7C" w:rsidP="00EF2495">
            <w:r w:rsidRPr="00EF2495">
              <w:t>335</w:t>
            </w:r>
            <w:r w:rsidR="00D571A2">
              <w:t xml:space="preserve"> (63.8%)</w:t>
            </w:r>
          </w:p>
        </w:tc>
        <w:tc>
          <w:tcPr>
            <w:tcW w:w="1275" w:type="dxa"/>
            <w:tcBorders>
              <w:top w:val="none" w:sz="0" w:space="0" w:color="auto"/>
            </w:tcBorders>
          </w:tcPr>
          <w:p w14:paraId="2C34279D" w14:textId="523F4D09" w:rsidR="00B11C7C" w:rsidRPr="00EF2495" w:rsidRDefault="00B11C7C" w:rsidP="00EF2495">
            <w:pPr>
              <w:cnfStyle w:val="010000000000" w:firstRow="0" w:lastRow="1" w:firstColumn="0" w:lastColumn="0" w:oddVBand="0" w:evenVBand="0" w:oddHBand="0" w:evenHBand="0" w:firstRowFirstColumn="0" w:firstRowLastColumn="0" w:lastRowFirstColumn="0" w:lastRowLastColumn="0"/>
            </w:pPr>
            <w:r w:rsidRPr="00EF2495">
              <w:t>190</w:t>
            </w:r>
            <w:r w:rsidR="00D571A2">
              <w:t xml:space="preserve"> (36.2%)</w:t>
            </w:r>
          </w:p>
        </w:tc>
        <w:tc>
          <w:tcPr>
            <w:cnfStyle w:val="000100000010" w:firstRow="0" w:lastRow="0" w:firstColumn="0" w:lastColumn="1" w:oddVBand="0" w:evenVBand="0" w:oddHBand="0" w:evenHBand="0" w:firstRowFirstColumn="0" w:firstRowLastColumn="0" w:lastRowFirstColumn="0" w:lastRowLastColumn="1"/>
            <w:tcW w:w="895" w:type="dxa"/>
            <w:tcBorders>
              <w:top w:val="none" w:sz="0" w:space="0" w:color="auto"/>
              <w:left w:val="none" w:sz="0" w:space="0" w:color="auto"/>
            </w:tcBorders>
            <w:noWrap/>
            <w:hideMark/>
          </w:tcPr>
          <w:p w14:paraId="6ECD1908" w14:textId="1E4D1942" w:rsidR="00B11C7C" w:rsidRPr="00EF2495" w:rsidRDefault="00B11C7C" w:rsidP="00EF2495">
            <w:r w:rsidRPr="00EF2495">
              <w:t>525</w:t>
            </w:r>
          </w:p>
        </w:tc>
      </w:tr>
    </w:tbl>
    <w:p w14:paraId="38C07453" w14:textId="0D0EE6F1" w:rsidR="00C80FA2" w:rsidRPr="00EF2495" w:rsidRDefault="00C80FA2" w:rsidP="00EF2495">
      <w:pPr>
        <w:rPr>
          <w:lang w:val="en-US"/>
        </w:rPr>
      </w:pPr>
    </w:p>
    <w:p w14:paraId="63A44A34" w14:textId="05108F09" w:rsidR="00C80FA2" w:rsidRPr="00EF2495" w:rsidRDefault="003E4E20" w:rsidP="001A765A">
      <w:pPr>
        <w:pStyle w:val="Heading3"/>
      </w:pPr>
      <w:bookmarkStart w:id="96" w:name="_Toc185321247"/>
      <w:r w:rsidRPr="00EF2495">
        <w:t>4</w:t>
      </w:r>
      <w:r w:rsidR="009B2204" w:rsidRPr="00EF2495">
        <w:t>.3</w:t>
      </w:r>
      <w:r w:rsidR="009B2204" w:rsidRPr="00EF2495">
        <w:tab/>
      </w:r>
      <w:r w:rsidR="00C80FA2" w:rsidRPr="00EF2495">
        <w:t>Level and field of education</w:t>
      </w:r>
      <w:bookmarkEnd w:id="96"/>
    </w:p>
    <w:p w14:paraId="30BFA035" w14:textId="77777777" w:rsidR="00C80FA2" w:rsidRPr="00EF2495" w:rsidRDefault="00C80FA2" w:rsidP="00EF2495">
      <w:pPr>
        <w:rPr>
          <w:lang w:val="en-US"/>
        </w:rPr>
      </w:pPr>
      <w:r w:rsidRPr="00EF2495">
        <w:rPr>
          <w:lang w:val="en-US"/>
        </w:rPr>
        <w:t>Considering the level and field of study of all awards:</w:t>
      </w:r>
    </w:p>
    <w:p w14:paraId="4271D9A3" w14:textId="77777777" w:rsidR="00C80FA2" w:rsidRPr="00EF2495" w:rsidRDefault="00C80FA2" w:rsidP="00EF2495">
      <w:pPr>
        <w:rPr>
          <w:lang w:val="en-US"/>
        </w:rPr>
      </w:pPr>
      <w:r w:rsidRPr="00EF2495">
        <w:rPr>
          <w:lang w:val="en-US"/>
        </w:rPr>
        <w:t>38% at postgraduate level and 62% undergraduate.  AAS were predominantly at the postgraduate level (92%). In 2024, 61% of awards were to postgraduates.</w:t>
      </w:r>
    </w:p>
    <w:p w14:paraId="24B70787" w14:textId="77777777" w:rsidR="00C80FA2" w:rsidRPr="00EF2495" w:rsidRDefault="00C80FA2" w:rsidP="00EF2495">
      <w:pPr>
        <w:rPr>
          <w:lang w:val="en-US"/>
        </w:rPr>
      </w:pPr>
      <w:r w:rsidRPr="00EF2495">
        <w:rPr>
          <w:lang w:val="en-US"/>
        </w:rPr>
        <w:t>Reflecting the increasing offer of AAS over time, all awards to 2005 were at undergraduate level, with 67% between 2020-2024. In 2024, 61% of awards were at postgraduate level</w:t>
      </w:r>
    </w:p>
    <w:p w14:paraId="1CA87A32" w14:textId="77777777" w:rsidR="00C80FA2" w:rsidRPr="00EF2495" w:rsidRDefault="00C80FA2" w:rsidP="00EF2495">
      <w:pPr>
        <w:rPr>
          <w:lang w:val="en-US"/>
        </w:rPr>
      </w:pPr>
      <w:r w:rsidRPr="00EF2495">
        <w:rPr>
          <w:lang w:val="en-US"/>
        </w:rPr>
        <w:t>Only 13 of the awards have been for research (7 Doctoral and 6 Master (Research) degrees. A similar proportion of males and females were made award offers for research study</w:t>
      </w:r>
    </w:p>
    <w:p w14:paraId="066493D4" w14:textId="77777777" w:rsidR="00C80FA2" w:rsidRPr="00EF2495" w:rsidRDefault="00C80FA2" w:rsidP="00EF2495">
      <w:pPr>
        <w:rPr>
          <w:lang w:val="en-US"/>
        </w:rPr>
      </w:pPr>
      <w:r w:rsidRPr="00EF2495">
        <w:rPr>
          <w:lang w:val="en-US"/>
        </w:rPr>
        <w:t xml:space="preserve">Over time the highest proportion of awards was for study in health-related courses (29% - 154 awards), (19% - 100 awards), and society and culture, including law (18% - 92 awards). One third of the health courses (33%) were undertaken through AAPS (reflecting the relevance of the MBBS training at the Fiji School of Medicine).  </w:t>
      </w:r>
    </w:p>
    <w:p w14:paraId="5B87E050" w14:textId="77777777" w:rsidR="00C80FA2" w:rsidRPr="00EF2495" w:rsidRDefault="00C80FA2" w:rsidP="00EF2495">
      <w:pPr>
        <w:rPr>
          <w:lang w:val="en-US"/>
        </w:rPr>
      </w:pPr>
      <w:r w:rsidRPr="00EF2495">
        <w:rPr>
          <w:lang w:val="en-US"/>
        </w:rPr>
        <w:t>In 2024, the highest proportion of awards were for management and commerce (21%), society and culture including law (21%) and health (14%)</w:t>
      </w:r>
    </w:p>
    <w:p w14:paraId="1CC63D8A" w14:textId="33A30E68" w:rsidR="000E22CD" w:rsidRPr="00EF2495" w:rsidRDefault="00C80FA2" w:rsidP="00EF2495">
      <w:pPr>
        <w:rPr>
          <w:lang w:val="en-US"/>
        </w:rPr>
      </w:pPr>
      <w:r w:rsidRPr="00EF2495">
        <w:rPr>
          <w:lang w:val="en-US"/>
        </w:rPr>
        <w:t xml:space="preserve">A lower proportion of awards were offered to females studying IT, science subjects and engineering.  A higher proportion of awards were offered to females </w:t>
      </w:r>
      <w:proofErr w:type="gramStart"/>
      <w:r w:rsidRPr="00EF2495">
        <w:rPr>
          <w:lang w:val="en-US"/>
        </w:rPr>
        <w:t>in the area of</w:t>
      </w:r>
      <w:proofErr w:type="gramEnd"/>
      <w:r w:rsidRPr="00EF2495">
        <w:rPr>
          <w:lang w:val="en-US"/>
        </w:rPr>
        <w:t xml:space="preserve"> society and culture, management and commerce, and health.  An equal proportion was offered to males and females studying education.</w:t>
      </w:r>
    </w:p>
    <w:p w14:paraId="6452247E" w14:textId="05655DA5" w:rsidR="00C80FA2" w:rsidRPr="00EF2495" w:rsidRDefault="00C80FA2" w:rsidP="00EF2495">
      <w:pPr>
        <w:rPr>
          <w:lang w:val="en-US" w:eastAsia="en-AU"/>
        </w:rPr>
      </w:pPr>
      <w:r w:rsidRPr="00EF2495">
        <w:rPr>
          <w:lang w:val="en-US" w:eastAsia="en-AU"/>
        </w:rPr>
        <w:t xml:space="preserve">Table </w:t>
      </w:r>
      <w:r w:rsidRPr="00EF2495">
        <w:rPr>
          <w:lang w:val="en-US" w:eastAsia="en-AU"/>
        </w:rPr>
        <w:fldChar w:fldCharType="begin"/>
      </w:r>
      <w:r w:rsidRPr="00EF2495">
        <w:rPr>
          <w:lang w:val="en-US" w:eastAsia="en-AU"/>
        </w:rPr>
        <w:instrText xml:space="preserve"> SEQ Table \* ARABIC </w:instrText>
      </w:r>
      <w:r w:rsidRPr="00EF2495">
        <w:rPr>
          <w:lang w:val="en-US" w:eastAsia="en-AU"/>
        </w:rPr>
        <w:fldChar w:fldCharType="separate"/>
      </w:r>
      <w:r w:rsidR="003B4A8A" w:rsidRPr="00EF2495">
        <w:rPr>
          <w:lang w:val="en-US" w:eastAsia="en-AU"/>
        </w:rPr>
        <w:t>9</w:t>
      </w:r>
      <w:r w:rsidRPr="00EF2495">
        <w:rPr>
          <w:lang w:val="en-US" w:eastAsia="en-AU"/>
        </w:rPr>
        <w:fldChar w:fldCharType="end"/>
      </w:r>
      <w:r w:rsidRPr="00EF2495">
        <w:rPr>
          <w:lang w:val="en-US" w:eastAsia="en-AU"/>
        </w:rPr>
        <w:t>:   Award offers by level of study (and scheme)</w:t>
      </w:r>
    </w:p>
    <w:tbl>
      <w:tblPr>
        <w:tblStyle w:val="ListTable3"/>
        <w:tblW w:w="4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60"/>
        <w:gridCol w:w="1622"/>
        <w:gridCol w:w="1781"/>
        <w:gridCol w:w="779"/>
      </w:tblGrid>
      <w:tr w:rsidR="00C80FA2" w:rsidRPr="00EF2495" w14:paraId="4F9F029C" w14:textId="77777777" w:rsidTr="006357C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2560" w:type="dxa"/>
            <w:tcBorders>
              <w:bottom w:val="none" w:sz="0" w:space="0" w:color="auto"/>
              <w:right w:val="none" w:sz="0" w:space="0" w:color="auto"/>
            </w:tcBorders>
            <w:noWrap/>
            <w:hideMark/>
          </w:tcPr>
          <w:p w14:paraId="3E4EE724" w14:textId="00FE3A11" w:rsidR="00C80FA2" w:rsidRPr="008860E6" w:rsidRDefault="00857A50" w:rsidP="00EF2495">
            <w:pPr>
              <w:rPr>
                <w:b w:val="0"/>
                <w:bCs w:val="0"/>
              </w:rPr>
            </w:pPr>
            <w:r>
              <w:t xml:space="preserve">Scheme </w:t>
            </w:r>
          </w:p>
        </w:tc>
        <w:tc>
          <w:tcPr>
            <w:cnfStyle w:val="000010000000" w:firstRow="0" w:lastRow="0" w:firstColumn="0" w:lastColumn="0" w:oddVBand="1" w:evenVBand="0" w:oddHBand="0" w:evenHBand="0" w:firstRowFirstColumn="0" w:firstRowLastColumn="0" w:lastRowFirstColumn="0" w:lastRowLastColumn="0"/>
            <w:tcW w:w="1020" w:type="dxa"/>
            <w:tcBorders>
              <w:left w:val="none" w:sz="0" w:space="0" w:color="auto"/>
              <w:right w:val="none" w:sz="0" w:space="0" w:color="auto"/>
            </w:tcBorders>
            <w:noWrap/>
            <w:hideMark/>
          </w:tcPr>
          <w:p w14:paraId="74062319" w14:textId="3F2CA362" w:rsidR="00C80FA2" w:rsidRPr="008860E6" w:rsidRDefault="00C80FA2" w:rsidP="00EF2495">
            <w:pPr>
              <w:rPr>
                <w:b w:val="0"/>
                <w:bCs w:val="0"/>
              </w:rPr>
            </w:pPr>
            <w:r w:rsidRPr="008860E6">
              <w:t>P</w:t>
            </w:r>
            <w:r w:rsidR="00857A50">
              <w:t>ostgraduate</w:t>
            </w:r>
          </w:p>
        </w:tc>
        <w:tc>
          <w:tcPr>
            <w:tcW w:w="607" w:type="dxa"/>
            <w:noWrap/>
            <w:hideMark/>
          </w:tcPr>
          <w:p w14:paraId="2A7D59D0" w14:textId="7386E71B" w:rsidR="00C80FA2" w:rsidRPr="008860E6" w:rsidRDefault="00857A50" w:rsidP="00EF2495">
            <w:pPr>
              <w:cnfStyle w:val="100000000000" w:firstRow="1" w:lastRow="0" w:firstColumn="0" w:lastColumn="0" w:oddVBand="0" w:evenVBand="0" w:oddHBand="0" w:evenHBand="0" w:firstRowFirstColumn="0" w:firstRowLastColumn="0" w:lastRowFirstColumn="0" w:lastRowLastColumn="0"/>
              <w:rPr>
                <w:b w:val="0"/>
                <w:bCs w:val="0"/>
              </w:rPr>
            </w:pPr>
            <w:r>
              <w:t>Undergraduate</w:t>
            </w:r>
          </w:p>
        </w:tc>
        <w:tc>
          <w:tcPr>
            <w:cnfStyle w:val="000100001000" w:firstRow="0" w:lastRow="0" w:firstColumn="0" w:lastColumn="1" w:oddVBand="0" w:evenVBand="0" w:oddHBand="0" w:evenHBand="0" w:firstRowFirstColumn="0" w:firstRowLastColumn="1" w:lastRowFirstColumn="0" w:lastRowLastColumn="0"/>
            <w:tcW w:w="718" w:type="dxa"/>
            <w:tcBorders>
              <w:left w:val="none" w:sz="0" w:space="0" w:color="auto"/>
              <w:bottom w:val="none" w:sz="0" w:space="0" w:color="auto"/>
            </w:tcBorders>
            <w:noWrap/>
            <w:hideMark/>
          </w:tcPr>
          <w:p w14:paraId="25EB5169" w14:textId="77777777" w:rsidR="00C80FA2" w:rsidRPr="008860E6" w:rsidRDefault="00C80FA2" w:rsidP="00EF2495">
            <w:pPr>
              <w:rPr>
                <w:b w:val="0"/>
                <w:bCs w:val="0"/>
              </w:rPr>
            </w:pPr>
            <w:r w:rsidRPr="008860E6">
              <w:t>Total</w:t>
            </w:r>
          </w:p>
        </w:tc>
      </w:tr>
      <w:tr w:rsidR="00C80FA2" w:rsidRPr="00EF2495" w14:paraId="730B79C4" w14:textId="77777777" w:rsidTr="00857A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60" w:type="dxa"/>
            <w:tcBorders>
              <w:top w:val="none" w:sz="0" w:space="0" w:color="auto"/>
              <w:bottom w:val="none" w:sz="0" w:space="0" w:color="auto"/>
              <w:right w:val="none" w:sz="0" w:space="0" w:color="auto"/>
            </w:tcBorders>
            <w:noWrap/>
            <w:hideMark/>
          </w:tcPr>
          <w:p w14:paraId="2233EFDE" w14:textId="77777777" w:rsidR="00C80FA2" w:rsidRPr="00EF2495" w:rsidRDefault="00C80FA2" w:rsidP="00EF2495">
            <w:r w:rsidRPr="00EF2495">
              <w:t>AAPS</w:t>
            </w:r>
          </w:p>
        </w:tc>
        <w:tc>
          <w:tcPr>
            <w:cnfStyle w:val="000010000000" w:firstRow="0" w:lastRow="0" w:firstColumn="0" w:lastColumn="0" w:oddVBand="1"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noWrap/>
            <w:hideMark/>
          </w:tcPr>
          <w:p w14:paraId="3D85DF48" w14:textId="77777777" w:rsidR="00C80FA2" w:rsidRPr="00EF2495" w:rsidRDefault="00C80FA2" w:rsidP="00EF2495">
            <w:r w:rsidRPr="00EF2495">
              <w:t>15%</w:t>
            </w:r>
          </w:p>
        </w:tc>
        <w:tc>
          <w:tcPr>
            <w:tcW w:w="607" w:type="dxa"/>
            <w:tcBorders>
              <w:top w:val="none" w:sz="0" w:space="0" w:color="auto"/>
              <w:bottom w:val="none" w:sz="0" w:space="0" w:color="auto"/>
            </w:tcBorders>
            <w:noWrap/>
            <w:hideMark/>
          </w:tcPr>
          <w:p w14:paraId="53D39982"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85%</w:t>
            </w:r>
          </w:p>
        </w:tc>
        <w:tc>
          <w:tcPr>
            <w:cnfStyle w:val="000100000000" w:firstRow="0" w:lastRow="0" w:firstColumn="0" w:lastColumn="1" w:oddVBand="0" w:evenVBand="0" w:oddHBand="0" w:evenHBand="0" w:firstRowFirstColumn="0" w:firstRowLastColumn="0" w:lastRowFirstColumn="0" w:lastRowLastColumn="0"/>
            <w:tcW w:w="718" w:type="dxa"/>
            <w:tcBorders>
              <w:top w:val="none" w:sz="0" w:space="0" w:color="auto"/>
              <w:left w:val="none" w:sz="0" w:space="0" w:color="auto"/>
              <w:bottom w:val="none" w:sz="0" w:space="0" w:color="auto"/>
            </w:tcBorders>
            <w:noWrap/>
            <w:hideMark/>
          </w:tcPr>
          <w:p w14:paraId="77B4ED96" w14:textId="77777777" w:rsidR="00C80FA2" w:rsidRPr="00EF2495" w:rsidRDefault="00C80FA2" w:rsidP="00EF2495">
            <w:r w:rsidRPr="00EF2495">
              <w:t>100%</w:t>
            </w:r>
          </w:p>
        </w:tc>
      </w:tr>
      <w:tr w:rsidR="00C80FA2" w:rsidRPr="00EF2495" w14:paraId="243D22BD" w14:textId="77777777" w:rsidTr="00857A50">
        <w:trPr>
          <w:trHeight w:val="290"/>
        </w:trPr>
        <w:tc>
          <w:tcPr>
            <w:cnfStyle w:val="001000000000" w:firstRow="0" w:lastRow="0" w:firstColumn="1" w:lastColumn="0" w:oddVBand="0" w:evenVBand="0" w:oddHBand="0" w:evenHBand="0" w:firstRowFirstColumn="0" w:firstRowLastColumn="0" w:lastRowFirstColumn="0" w:lastRowLastColumn="0"/>
            <w:tcW w:w="2560" w:type="dxa"/>
            <w:tcBorders>
              <w:right w:val="none" w:sz="0" w:space="0" w:color="auto"/>
            </w:tcBorders>
            <w:noWrap/>
            <w:hideMark/>
          </w:tcPr>
          <w:p w14:paraId="1A4B5229" w14:textId="77777777" w:rsidR="00C80FA2" w:rsidRPr="00EF2495" w:rsidRDefault="00C80FA2" w:rsidP="00EF2495">
            <w:r w:rsidRPr="00EF2495">
              <w:t>AAS</w:t>
            </w:r>
          </w:p>
        </w:tc>
        <w:tc>
          <w:tcPr>
            <w:cnfStyle w:val="000010000000" w:firstRow="0" w:lastRow="0" w:firstColumn="0" w:lastColumn="0" w:oddVBand="1" w:evenVBand="0" w:oddHBand="0" w:evenHBand="0" w:firstRowFirstColumn="0" w:firstRowLastColumn="0" w:lastRowFirstColumn="0" w:lastRowLastColumn="0"/>
            <w:tcW w:w="1020" w:type="dxa"/>
            <w:tcBorders>
              <w:left w:val="none" w:sz="0" w:space="0" w:color="auto"/>
              <w:right w:val="none" w:sz="0" w:space="0" w:color="auto"/>
            </w:tcBorders>
            <w:noWrap/>
            <w:hideMark/>
          </w:tcPr>
          <w:p w14:paraId="569BAF68" w14:textId="77777777" w:rsidR="00C80FA2" w:rsidRPr="00EF2495" w:rsidRDefault="00C80FA2" w:rsidP="00EF2495">
            <w:r w:rsidRPr="00EF2495">
              <w:t>92%</w:t>
            </w:r>
          </w:p>
        </w:tc>
        <w:tc>
          <w:tcPr>
            <w:tcW w:w="607" w:type="dxa"/>
            <w:noWrap/>
            <w:hideMark/>
          </w:tcPr>
          <w:p w14:paraId="2DA511AF"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8%</w:t>
            </w:r>
          </w:p>
        </w:tc>
        <w:tc>
          <w:tcPr>
            <w:cnfStyle w:val="000100000000" w:firstRow="0" w:lastRow="0" w:firstColumn="0" w:lastColumn="1" w:oddVBand="0" w:evenVBand="0" w:oddHBand="0" w:evenHBand="0" w:firstRowFirstColumn="0" w:firstRowLastColumn="0" w:lastRowFirstColumn="0" w:lastRowLastColumn="0"/>
            <w:tcW w:w="718" w:type="dxa"/>
            <w:tcBorders>
              <w:left w:val="none" w:sz="0" w:space="0" w:color="auto"/>
            </w:tcBorders>
            <w:noWrap/>
            <w:hideMark/>
          </w:tcPr>
          <w:p w14:paraId="30A42571" w14:textId="77777777" w:rsidR="00C80FA2" w:rsidRPr="00EF2495" w:rsidRDefault="00C80FA2" w:rsidP="00EF2495">
            <w:r w:rsidRPr="00EF2495">
              <w:t>100%</w:t>
            </w:r>
          </w:p>
        </w:tc>
      </w:tr>
      <w:tr w:rsidR="0080020A" w:rsidRPr="00EF2495" w14:paraId="3A173AFE" w14:textId="77777777" w:rsidTr="00857A50">
        <w:trPr>
          <w:cnfStyle w:val="010000000000" w:firstRow="0" w:lastRow="1" w:firstColumn="0" w:lastColumn="0" w:oddVBand="0" w:evenVBand="0" w:oddHBand="0" w:evenHBand="0" w:firstRowFirstColumn="0" w:firstRowLastColumn="0" w:lastRowFirstColumn="0" w:lastRowLastColumn="0"/>
          <w:trHeight w:val="290"/>
        </w:trPr>
        <w:tc>
          <w:tcPr>
            <w:cnfStyle w:val="001000000001" w:firstRow="0" w:lastRow="0" w:firstColumn="1" w:lastColumn="0" w:oddVBand="0" w:evenVBand="0" w:oddHBand="0" w:evenHBand="0" w:firstRowFirstColumn="0" w:firstRowLastColumn="0" w:lastRowFirstColumn="1" w:lastRowLastColumn="0"/>
            <w:tcW w:w="2560" w:type="dxa"/>
            <w:tcBorders>
              <w:top w:val="none" w:sz="0" w:space="0" w:color="auto"/>
              <w:right w:val="none" w:sz="0" w:space="0" w:color="auto"/>
            </w:tcBorders>
            <w:noWrap/>
            <w:hideMark/>
          </w:tcPr>
          <w:p w14:paraId="586A7976" w14:textId="77777777" w:rsidR="00C80FA2" w:rsidRPr="00EF2495" w:rsidRDefault="00C80FA2" w:rsidP="00EF2495">
            <w:r w:rsidRPr="00EF2495">
              <w:t>Total</w:t>
            </w:r>
          </w:p>
        </w:tc>
        <w:tc>
          <w:tcPr>
            <w:cnfStyle w:val="000010000000" w:firstRow="0" w:lastRow="0" w:firstColumn="0" w:lastColumn="0" w:oddVBand="1" w:evenVBand="0" w:oddHBand="0" w:evenHBand="0" w:firstRowFirstColumn="0" w:firstRowLastColumn="0" w:lastRowFirstColumn="0" w:lastRowLastColumn="0"/>
            <w:tcW w:w="1020" w:type="dxa"/>
            <w:tcBorders>
              <w:top w:val="none" w:sz="0" w:space="0" w:color="auto"/>
              <w:left w:val="none" w:sz="0" w:space="0" w:color="auto"/>
              <w:right w:val="none" w:sz="0" w:space="0" w:color="auto"/>
            </w:tcBorders>
            <w:noWrap/>
            <w:hideMark/>
          </w:tcPr>
          <w:p w14:paraId="07C284AE" w14:textId="77777777" w:rsidR="00C80FA2" w:rsidRPr="00EF2495" w:rsidRDefault="00C80FA2" w:rsidP="00EF2495">
            <w:r w:rsidRPr="00EF2495">
              <w:t>38%</w:t>
            </w:r>
          </w:p>
        </w:tc>
        <w:tc>
          <w:tcPr>
            <w:tcW w:w="607" w:type="dxa"/>
            <w:tcBorders>
              <w:top w:val="none" w:sz="0" w:space="0" w:color="auto"/>
            </w:tcBorders>
            <w:noWrap/>
            <w:hideMark/>
          </w:tcPr>
          <w:p w14:paraId="4C68AE66"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62%</w:t>
            </w:r>
          </w:p>
        </w:tc>
        <w:tc>
          <w:tcPr>
            <w:cnfStyle w:val="000100000010" w:firstRow="0" w:lastRow="0" w:firstColumn="0" w:lastColumn="1" w:oddVBand="0" w:evenVBand="0" w:oddHBand="0" w:evenHBand="0" w:firstRowFirstColumn="0" w:firstRowLastColumn="0" w:lastRowFirstColumn="0" w:lastRowLastColumn="1"/>
            <w:tcW w:w="718" w:type="dxa"/>
            <w:tcBorders>
              <w:top w:val="none" w:sz="0" w:space="0" w:color="auto"/>
              <w:left w:val="none" w:sz="0" w:space="0" w:color="auto"/>
            </w:tcBorders>
            <w:noWrap/>
            <w:hideMark/>
          </w:tcPr>
          <w:p w14:paraId="66F758D1" w14:textId="77777777" w:rsidR="00C80FA2" w:rsidRPr="00EF2495" w:rsidRDefault="00C80FA2" w:rsidP="00EF2495">
            <w:r w:rsidRPr="00EF2495">
              <w:t>100%</w:t>
            </w:r>
          </w:p>
        </w:tc>
      </w:tr>
    </w:tbl>
    <w:p w14:paraId="636B0CE7" w14:textId="77777777" w:rsidR="0010678F" w:rsidRDefault="0010678F" w:rsidP="00EF2495">
      <w:pPr>
        <w:rPr>
          <w:lang w:val="en-US" w:eastAsia="en-AU"/>
        </w:rPr>
        <w:sectPr w:rsidR="0010678F" w:rsidSect="002D459B">
          <w:pgSz w:w="11910" w:h="16840"/>
          <w:pgMar w:top="1418" w:right="1418" w:bottom="1418" w:left="1418" w:header="720" w:footer="720" w:gutter="0"/>
          <w:cols w:space="720"/>
        </w:sectPr>
      </w:pPr>
    </w:p>
    <w:p w14:paraId="1DE12A1B" w14:textId="5E9BB51B" w:rsidR="00C80FA2" w:rsidRPr="00EF2495" w:rsidRDefault="00C80FA2" w:rsidP="00EF2495">
      <w:pPr>
        <w:rPr>
          <w:lang w:val="en-US" w:eastAsia="en-AU"/>
        </w:rPr>
      </w:pPr>
      <w:r w:rsidRPr="00EF2495">
        <w:rPr>
          <w:lang w:val="en-US" w:eastAsia="en-AU"/>
        </w:rPr>
        <w:lastRenderedPageBreak/>
        <w:t xml:space="preserve">Table </w:t>
      </w:r>
      <w:r w:rsidRPr="00EF2495">
        <w:rPr>
          <w:lang w:val="en-US" w:eastAsia="en-AU"/>
        </w:rPr>
        <w:fldChar w:fldCharType="begin"/>
      </w:r>
      <w:r w:rsidRPr="00EF2495">
        <w:rPr>
          <w:lang w:val="en-US" w:eastAsia="en-AU"/>
        </w:rPr>
        <w:instrText xml:space="preserve"> SEQ Table \* ARABIC </w:instrText>
      </w:r>
      <w:r w:rsidRPr="00EF2495">
        <w:rPr>
          <w:lang w:val="en-US" w:eastAsia="en-AU"/>
        </w:rPr>
        <w:fldChar w:fldCharType="separate"/>
      </w:r>
      <w:r w:rsidR="003B4A8A" w:rsidRPr="00EF2495">
        <w:rPr>
          <w:lang w:val="en-US" w:eastAsia="en-AU"/>
        </w:rPr>
        <w:t>10</w:t>
      </w:r>
      <w:r w:rsidRPr="00EF2495">
        <w:rPr>
          <w:lang w:val="en-US" w:eastAsia="en-AU"/>
        </w:rPr>
        <w:fldChar w:fldCharType="end"/>
      </w:r>
      <w:r w:rsidRPr="00EF2495">
        <w:rPr>
          <w:lang w:val="en-US" w:eastAsia="en-AU"/>
        </w:rPr>
        <w:t>:   Award offers by level of study (and intake year)</w:t>
      </w:r>
    </w:p>
    <w:tbl>
      <w:tblPr>
        <w:tblStyle w:val="ListTable3"/>
        <w:tblW w:w="5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60"/>
        <w:gridCol w:w="1622"/>
        <w:gridCol w:w="1781"/>
        <w:gridCol w:w="779"/>
      </w:tblGrid>
      <w:tr w:rsidR="00C80FA2" w:rsidRPr="00EF2495" w14:paraId="35428693" w14:textId="77777777" w:rsidTr="006357C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2560" w:type="dxa"/>
            <w:tcBorders>
              <w:bottom w:val="none" w:sz="0" w:space="0" w:color="auto"/>
              <w:right w:val="none" w:sz="0" w:space="0" w:color="auto"/>
            </w:tcBorders>
            <w:noWrap/>
            <w:hideMark/>
          </w:tcPr>
          <w:p w14:paraId="62190674" w14:textId="5D203BE3" w:rsidR="00C80FA2" w:rsidRPr="008860E6" w:rsidRDefault="00857A50" w:rsidP="00EF2495">
            <w:pPr>
              <w:rPr>
                <w:b w:val="0"/>
                <w:bCs w:val="0"/>
              </w:rPr>
            </w:pPr>
            <w:r>
              <w:t>Intake year</w:t>
            </w:r>
          </w:p>
        </w:tc>
        <w:tc>
          <w:tcPr>
            <w:cnfStyle w:val="000010000000" w:firstRow="0" w:lastRow="0" w:firstColumn="0" w:lastColumn="0" w:oddVBand="1" w:evenVBand="0" w:oddHBand="0" w:evenHBand="0" w:firstRowFirstColumn="0" w:firstRowLastColumn="0" w:lastRowFirstColumn="0" w:lastRowLastColumn="0"/>
            <w:tcW w:w="1020" w:type="dxa"/>
            <w:tcBorders>
              <w:left w:val="none" w:sz="0" w:space="0" w:color="auto"/>
              <w:right w:val="none" w:sz="0" w:space="0" w:color="auto"/>
            </w:tcBorders>
            <w:noWrap/>
            <w:hideMark/>
          </w:tcPr>
          <w:p w14:paraId="75197644" w14:textId="0B4F80EB" w:rsidR="00C80FA2" w:rsidRPr="008860E6" w:rsidRDefault="00C80FA2" w:rsidP="00EF2495">
            <w:pPr>
              <w:rPr>
                <w:b w:val="0"/>
                <w:bCs w:val="0"/>
              </w:rPr>
            </w:pPr>
            <w:r w:rsidRPr="008860E6">
              <w:t>P</w:t>
            </w:r>
            <w:r w:rsidR="00857A50">
              <w:t xml:space="preserve">ostgraduate </w:t>
            </w:r>
          </w:p>
        </w:tc>
        <w:tc>
          <w:tcPr>
            <w:tcW w:w="1240" w:type="dxa"/>
            <w:noWrap/>
            <w:hideMark/>
          </w:tcPr>
          <w:p w14:paraId="6CDAFEA5" w14:textId="5A0D36D8" w:rsidR="00C80FA2" w:rsidRPr="008860E6" w:rsidRDefault="00C80FA2" w:rsidP="00EF2495">
            <w:pPr>
              <w:cnfStyle w:val="100000000000" w:firstRow="1" w:lastRow="0" w:firstColumn="0" w:lastColumn="0" w:oddVBand="0" w:evenVBand="0" w:oddHBand="0" w:evenHBand="0" w:firstRowFirstColumn="0" w:firstRowLastColumn="0" w:lastRowFirstColumn="0" w:lastRowLastColumn="0"/>
              <w:rPr>
                <w:b w:val="0"/>
                <w:bCs w:val="0"/>
              </w:rPr>
            </w:pPr>
            <w:r w:rsidRPr="008860E6">
              <w:t>U</w:t>
            </w:r>
            <w:r w:rsidR="00857A50">
              <w:t xml:space="preserve">ndergraduate </w:t>
            </w:r>
          </w:p>
        </w:tc>
        <w:tc>
          <w:tcPr>
            <w:cnfStyle w:val="000100001000" w:firstRow="0" w:lastRow="0" w:firstColumn="0" w:lastColumn="1" w:oddVBand="0" w:evenVBand="0" w:oddHBand="0" w:evenHBand="0" w:firstRowFirstColumn="0" w:firstRowLastColumn="1" w:lastRowFirstColumn="0" w:lastRowLastColumn="0"/>
            <w:tcW w:w="718" w:type="dxa"/>
            <w:tcBorders>
              <w:left w:val="none" w:sz="0" w:space="0" w:color="auto"/>
              <w:bottom w:val="none" w:sz="0" w:space="0" w:color="auto"/>
            </w:tcBorders>
            <w:noWrap/>
            <w:hideMark/>
          </w:tcPr>
          <w:p w14:paraId="2867E82B" w14:textId="77777777" w:rsidR="00C80FA2" w:rsidRPr="008860E6" w:rsidRDefault="00C80FA2" w:rsidP="00EF2495">
            <w:pPr>
              <w:rPr>
                <w:b w:val="0"/>
                <w:bCs w:val="0"/>
              </w:rPr>
            </w:pPr>
            <w:r w:rsidRPr="008860E6">
              <w:t>Total</w:t>
            </w:r>
          </w:p>
        </w:tc>
      </w:tr>
      <w:tr w:rsidR="00C80FA2" w:rsidRPr="00EF2495" w14:paraId="1BC82D57" w14:textId="77777777" w:rsidTr="00857A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60" w:type="dxa"/>
            <w:tcBorders>
              <w:top w:val="none" w:sz="0" w:space="0" w:color="auto"/>
              <w:bottom w:val="none" w:sz="0" w:space="0" w:color="auto"/>
              <w:right w:val="none" w:sz="0" w:space="0" w:color="auto"/>
            </w:tcBorders>
            <w:noWrap/>
            <w:hideMark/>
          </w:tcPr>
          <w:p w14:paraId="54317DC8" w14:textId="77777777" w:rsidR="00C80FA2" w:rsidRPr="00EF2495" w:rsidRDefault="00C80FA2" w:rsidP="00EF2495">
            <w:r w:rsidRPr="00EF2495">
              <w:t>Pre-2005</w:t>
            </w:r>
          </w:p>
        </w:tc>
        <w:tc>
          <w:tcPr>
            <w:cnfStyle w:val="000010000000" w:firstRow="0" w:lastRow="0" w:firstColumn="0" w:lastColumn="0" w:oddVBand="1"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noWrap/>
            <w:hideMark/>
          </w:tcPr>
          <w:p w14:paraId="09B34D55" w14:textId="77777777" w:rsidR="00C80FA2" w:rsidRPr="00EF2495" w:rsidRDefault="00C80FA2" w:rsidP="00EF2495">
            <w:r w:rsidRPr="00EF2495">
              <w:t>0%</w:t>
            </w:r>
          </w:p>
        </w:tc>
        <w:tc>
          <w:tcPr>
            <w:tcW w:w="1240" w:type="dxa"/>
            <w:tcBorders>
              <w:top w:val="none" w:sz="0" w:space="0" w:color="auto"/>
              <w:bottom w:val="none" w:sz="0" w:space="0" w:color="auto"/>
            </w:tcBorders>
            <w:noWrap/>
            <w:hideMark/>
          </w:tcPr>
          <w:p w14:paraId="3EAA6A08"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100%</w:t>
            </w:r>
          </w:p>
        </w:tc>
        <w:tc>
          <w:tcPr>
            <w:cnfStyle w:val="000100000000" w:firstRow="0" w:lastRow="0" w:firstColumn="0" w:lastColumn="1" w:oddVBand="0" w:evenVBand="0" w:oddHBand="0" w:evenHBand="0" w:firstRowFirstColumn="0" w:firstRowLastColumn="0" w:lastRowFirstColumn="0" w:lastRowLastColumn="0"/>
            <w:tcW w:w="718" w:type="dxa"/>
            <w:tcBorders>
              <w:top w:val="none" w:sz="0" w:space="0" w:color="auto"/>
              <w:left w:val="none" w:sz="0" w:space="0" w:color="auto"/>
              <w:bottom w:val="none" w:sz="0" w:space="0" w:color="auto"/>
            </w:tcBorders>
            <w:noWrap/>
            <w:hideMark/>
          </w:tcPr>
          <w:p w14:paraId="2AB27891" w14:textId="77777777" w:rsidR="00C80FA2" w:rsidRPr="00EF2495" w:rsidRDefault="00C80FA2" w:rsidP="00EF2495">
            <w:r w:rsidRPr="00EF2495">
              <w:t>100%</w:t>
            </w:r>
          </w:p>
        </w:tc>
      </w:tr>
      <w:tr w:rsidR="00C80FA2" w:rsidRPr="00EF2495" w14:paraId="787DDB0C" w14:textId="77777777" w:rsidTr="00857A50">
        <w:trPr>
          <w:trHeight w:val="290"/>
        </w:trPr>
        <w:tc>
          <w:tcPr>
            <w:cnfStyle w:val="001000000000" w:firstRow="0" w:lastRow="0" w:firstColumn="1" w:lastColumn="0" w:oddVBand="0" w:evenVBand="0" w:oddHBand="0" w:evenHBand="0" w:firstRowFirstColumn="0" w:firstRowLastColumn="0" w:lastRowFirstColumn="0" w:lastRowLastColumn="0"/>
            <w:tcW w:w="2560" w:type="dxa"/>
            <w:tcBorders>
              <w:right w:val="none" w:sz="0" w:space="0" w:color="auto"/>
            </w:tcBorders>
            <w:noWrap/>
            <w:hideMark/>
          </w:tcPr>
          <w:p w14:paraId="69803433" w14:textId="77777777" w:rsidR="00C80FA2" w:rsidRPr="00EF2495" w:rsidRDefault="00C80FA2" w:rsidP="00EF2495">
            <w:r w:rsidRPr="00EF2495">
              <w:t>2005-2009</w:t>
            </w:r>
          </w:p>
        </w:tc>
        <w:tc>
          <w:tcPr>
            <w:cnfStyle w:val="000010000000" w:firstRow="0" w:lastRow="0" w:firstColumn="0" w:lastColumn="0" w:oddVBand="1" w:evenVBand="0" w:oddHBand="0" w:evenHBand="0" w:firstRowFirstColumn="0" w:firstRowLastColumn="0" w:lastRowFirstColumn="0" w:lastRowLastColumn="0"/>
            <w:tcW w:w="1020" w:type="dxa"/>
            <w:tcBorders>
              <w:left w:val="none" w:sz="0" w:space="0" w:color="auto"/>
              <w:right w:val="none" w:sz="0" w:space="0" w:color="auto"/>
            </w:tcBorders>
            <w:noWrap/>
            <w:hideMark/>
          </w:tcPr>
          <w:p w14:paraId="765F814F" w14:textId="77777777" w:rsidR="00C80FA2" w:rsidRPr="00EF2495" w:rsidRDefault="00C80FA2" w:rsidP="00EF2495">
            <w:r w:rsidRPr="00EF2495">
              <w:t>12%</w:t>
            </w:r>
          </w:p>
        </w:tc>
        <w:tc>
          <w:tcPr>
            <w:tcW w:w="1240" w:type="dxa"/>
            <w:noWrap/>
            <w:hideMark/>
          </w:tcPr>
          <w:p w14:paraId="48F0AC69"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88%</w:t>
            </w:r>
          </w:p>
        </w:tc>
        <w:tc>
          <w:tcPr>
            <w:cnfStyle w:val="000100000000" w:firstRow="0" w:lastRow="0" w:firstColumn="0" w:lastColumn="1" w:oddVBand="0" w:evenVBand="0" w:oddHBand="0" w:evenHBand="0" w:firstRowFirstColumn="0" w:firstRowLastColumn="0" w:lastRowFirstColumn="0" w:lastRowLastColumn="0"/>
            <w:tcW w:w="718" w:type="dxa"/>
            <w:tcBorders>
              <w:left w:val="none" w:sz="0" w:space="0" w:color="auto"/>
            </w:tcBorders>
            <w:noWrap/>
            <w:hideMark/>
          </w:tcPr>
          <w:p w14:paraId="54130399" w14:textId="77777777" w:rsidR="00C80FA2" w:rsidRPr="00EF2495" w:rsidRDefault="00C80FA2" w:rsidP="00EF2495">
            <w:r w:rsidRPr="00EF2495">
              <w:t>100%</w:t>
            </w:r>
          </w:p>
        </w:tc>
      </w:tr>
      <w:tr w:rsidR="00C80FA2" w:rsidRPr="00EF2495" w14:paraId="3BF4BC67" w14:textId="77777777" w:rsidTr="00857A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60" w:type="dxa"/>
            <w:tcBorders>
              <w:top w:val="none" w:sz="0" w:space="0" w:color="auto"/>
              <w:bottom w:val="none" w:sz="0" w:space="0" w:color="auto"/>
              <w:right w:val="none" w:sz="0" w:space="0" w:color="auto"/>
            </w:tcBorders>
            <w:noWrap/>
            <w:hideMark/>
          </w:tcPr>
          <w:p w14:paraId="0F494CBB" w14:textId="77777777" w:rsidR="00C80FA2" w:rsidRPr="00EF2495" w:rsidRDefault="00C80FA2" w:rsidP="00EF2495">
            <w:r w:rsidRPr="00EF2495">
              <w:t>2010-2014</w:t>
            </w:r>
          </w:p>
        </w:tc>
        <w:tc>
          <w:tcPr>
            <w:cnfStyle w:val="000010000000" w:firstRow="0" w:lastRow="0" w:firstColumn="0" w:lastColumn="0" w:oddVBand="1"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noWrap/>
            <w:hideMark/>
          </w:tcPr>
          <w:p w14:paraId="0A114EAB" w14:textId="77777777" w:rsidR="00C80FA2" w:rsidRPr="00EF2495" w:rsidRDefault="00C80FA2" w:rsidP="00EF2495">
            <w:r w:rsidRPr="00EF2495">
              <w:t>28%</w:t>
            </w:r>
          </w:p>
        </w:tc>
        <w:tc>
          <w:tcPr>
            <w:tcW w:w="1240" w:type="dxa"/>
            <w:tcBorders>
              <w:top w:val="none" w:sz="0" w:space="0" w:color="auto"/>
              <w:bottom w:val="none" w:sz="0" w:space="0" w:color="auto"/>
            </w:tcBorders>
            <w:noWrap/>
            <w:hideMark/>
          </w:tcPr>
          <w:p w14:paraId="5503BA74"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72%</w:t>
            </w:r>
          </w:p>
        </w:tc>
        <w:tc>
          <w:tcPr>
            <w:cnfStyle w:val="000100000000" w:firstRow="0" w:lastRow="0" w:firstColumn="0" w:lastColumn="1" w:oddVBand="0" w:evenVBand="0" w:oddHBand="0" w:evenHBand="0" w:firstRowFirstColumn="0" w:firstRowLastColumn="0" w:lastRowFirstColumn="0" w:lastRowLastColumn="0"/>
            <w:tcW w:w="718" w:type="dxa"/>
            <w:tcBorders>
              <w:top w:val="none" w:sz="0" w:space="0" w:color="auto"/>
              <w:left w:val="none" w:sz="0" w:space="0" w:color="auto"/>
              <w:bottom w:val="none" w:sz="0" w:space="0" w:color="auto"/>
            </w:tcBorders>
            <w:noWrap/>
            <w:hideMark/>
          </w:tcPr>
          <w:p w14:paraId="0B14E729" w14:textId="77777777" w:rsidR="00C80FA2" w:rsidRPr="00EF2495" w:rsidRDefault="00C80FA2" w:rsidP="00EF2495">
            <w:r w:rsidRPr="00EF2495">
              <w:t>100%</w:t>
            </w:r>
          </w:p>
        </w:tc>
      </w:tr>
      <w:tr w:rsidR="00C80FA2" w:rsidRPr="00EF2495" w14:paraId="3ADA49A8" w14:textId="77777777" w:rsidTr="00857A50">
        <w:trPr>
          <w:trHeight w:val="290"/>
        </w:trPr>
        <w:tc>
          <w:tcPr>
            <w:cnfStyle w:val="001000000000" w:firstRow="0" w:lastRow="0" w:firstColumn="1" w:lastColumn="0" w:oddVBand="0" w:evenVBand="0" w:oddHBand="0" w:evenHBand="0" w:firstRowFirstColumn="0" w:firstRowLastColumn="0" w:lastRowFirstColumn="0" w:lastRowLastColumn="0"/>
            <w:tcW w:w="2560" w:type="dxa"/>
            <w:tcBorders>
              <w:right w:val="none" w:sz="0" w:space="0" w:color="auto"/>
            </w:tcBorders>
            <w:noWrap/>
            <w:hideMark/>
          </w:tcPr>
          <w:p w14:paraId="36EC9136" w14:textId="77777777" w:rsidR="00C80FA2" w:rsidRPr="00EF2495" w:rsidRDefault="00C80FA2" w:rsidP="00EF2495">
            <w:r w:rsidRPr="00EF2495">
              <w:t>2015-2019</w:t>
            </w:r>
          </w:p>
        </w:tc>
        <w:tc>
          <w:tcPr>
            <w:cnfStyle w:val="000010000000" w:firstRow="0" w:lastRow="0" w:firstColumn="0" w:lastColumn="0" w:oddVBand="1" w:evenVBand="0" w:oddHBand="0" w:evenHBand="0" w:firstRowFirstColumn="0" w:firstRowLastColumn="0" w:lastRowFirstColumn="0" w:lastRowLastColumn="0"/>
            <w:tcW w:w="1020" w:type="dxa"/>
            <w:tcBorders>
              <w:left w:val="none" w:sz="0" w:space="0" w:color="auto"/>
              <w:right w:val="none" w:sz="0" w:space="0" w:color="auto"/>
            </w:tcBorders>
            <w:noWrap/>
            <w:hideMark/>
          </w:tcPr>
          <w:p w14:paraId="2C8B9DA2" w14:textId="77777777" w:rsidR="00C80FA2" w:rsidRPr="00EF2495" w:rsidRDefault="00C80FA2" w:rsidP="00EF2495">
            <w:r w:rsidRPr="00EF2495">
              <w:t>40%</w:t>
            </w:r>
          </w:p>
        </w:tc>
        <w:tc>
          <w:tcPr>
            <w:tcW w:w="1240" w:type="dxa"/>
            <w:noWrap/>
            <w:hideMark/>
          </w:tcPr>
          <w:p w14:paraId="032B219A"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60%</w:t>
            </w:r>
          </w:p>
        </w:tc>
        <w:tc>
          <w:tcPr>
            <w:cnfStyle w:val="000100000000" w:firstRow="0" w:lastRow="0" w:firstColumn="0" w:lastColumn="1" w:oddVBand="0" w:evenVBand="0" w:oddHBand="0" w:evenHBand="0" w:firstRowFirstColumn="0" w:firstRowLastColumn="0" w:lastRowFirstColumn="0" w:lastRowLastColumn="0"/>
            <w:tcW w:w="718" w:type="dxa"/>
            <w:tcBorders>
              <w:left w:val="none" w:sz="0" w:space="0" w:color="auto"/>
            </w:tcBorders>
            <w:noWrap/>
            <w:hideMark/>
          </w:tcPr>
          <w:p w14:paraId="28B4CAF1" w14:textId="77777777" w:rsidR="00C80FA2" w:rsidRPr="00EF2495" w:rsidRDefault="00C80FA2" w:rsidP="00EF2495">
            <w:r w:rsidRPr="00EF2495">
              <w:t>100%</w:t>
            </w:r>
          </w:p>
        </w:tc>
      </w:tr>
      <w:tr w:rsidR="00C80FA2" w:rsidRPr="00EF2495" w14:paraId="68206A75" w14:textId="77777777" w:rsidTr="00857A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60" w:type="dxa"/>
            <w:tcBorders>
              <w:top w:val="none" w:sz="0" w:space="0" w:color="auto"/>
              <w:bottom w:val="none" w:sz="0" w:space="0" w:color="auto"/>
              <w:right w:val="none" w:sz="0" w:space="0" w:color="auto"/>
            </w:tcBorders>
            <w:noWrap/>
            <w:hideMark/>
          </w:tcPr>
          <w:p w14:paraId="63489529" w14:textId="77777777" w:rsidR="00C80FA2" w:rsidRPr="00EF2495" w:rsidRDefault="00C80FA2" w:rsidP="00EF2495">
            <w:r w:rsidRPr="00EF2495">
              <w:t>2020-2024</w:t>
            </w:r>
          </w:p>
        </w:tc>
        <w:tc>
          <w:tcPr>
            <w:cnfStyle w:val="000010000000" w:firstRow="0" w:lastRow="0" w:firstColumn="0" w:lastColumn="0" w:oddVBand="1"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noWrap/>
            <w:hideMark/>
          </w:tcPr>
          <w:p w14:paraId="728F2BA5" w14:textId="77777777" w:rsidR="00C80FA2" w:rsidRPr="00EF2495" w:rsidRDefault="00C80FA2" w:rsidP="00EF2495">
            <w:r w:rsidRPr="00EF2495">
              <w:t>67%</w:t>
            </w:r>
          </w:p>
        </w:tc>
        <w:tc>
          <w:tcPr>
            <w:tcW w:w="1240" w:type="dxa"/>
            <w:tcBorders>
              <w:top w:val="none" w:sz="0" w:space="0" w:color="auto"/>
              <w:bottom w:val="none" w:sz="0" w:space="0" w:color="auto"/>
            </w:tcBorders>
            <w:noWrap/>
            <w:hideMark/>
          </w:tcPr>
          <w:p w14:paraId="798A4C67"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33%</w:t>
            </w:r>
          </w:p>
        </w:tc>
        <w:tc>
          <w:tcPr>
            <w:cnfStyle w:val="000100000000" w:firstRow="0" w:lastRow="0" w:firstColumn="0" w:lastColumn="1" w:oddVBand="0" w:evenVBand="0" w:oddHBand="0" w:evenHBand="0" w:firstRowFirstColumn="0" w:firstRowLastColumn="0" w:lastRowFirstColumn="0" w:lastRowLastColumn="0"/>
            <w:tcW w:w="718" w:type="dxa"/>
            <w:tcBorders>
              <w:top w:val="none" w:sz="0" w:space="0" w:color="auto"/>
              <w:left w:val="none" w:sz="0" w:space="0" w:color="auto"/>
              <w:bottom w:val="none" w:sz="0" w:space="0" w:color="auto"/>
            </w:tcBorders>
            <w:noWrap/>
            <w:hideMark/>
          </w:tcPr>
          <w:p w14:paraId="49A2082C" w14:textId="77777777" w:rsidR="00C80FA2" w:rsidRPr="00EF2495" w:rsidRDefault="00C80FA2" w:rsidP="00EF2495">
            <w:r w:rsidRPr="00EF2495">
              <w:t>100%</w:t>
            </w:r>
          </w:p>
        </w:tc>
      </w:tr>
      <w:tr w:rsidR="00C80FA2" w:rsidRPr="00EF2495" w14:paraId="6E5E16A6" w14:textId="77777777" w:rsidTr="00857A50">
        <w:trPr>
          <w:cnfStyle w:val="010000000000" w:firstRow="0" w:lastRow="1" w:firstColumn="0" w:lastColumn="0" w:oddVBand="0" w:evenVBand="0" w:oddHBand="0" w:evenHBand="0" w:firstRowFirstColumn="0" w:firstRowLastColumn="0" w:lastRowFirstColumn="0" w:lastRowLastColumn="0"/>
          <w:trHeight w:val="290"/>
        </w:trPr>
        <w:tc>
          <w:tcPr>
            <w:cnfStyle w:val="001000000001" w:firstRow="0" w:lastRow="0" w:firstColumn="1" w:lastColumn="0" w:oddVBand="0" w:evenVBand="0" w:oddHBand="0" w:evenHBand="0" w:firstRowFirstColumn="0" w:firstRowLastColumn="0" w:lastRowFirstColumn="1" w:lastRowLastColumn="0"/>
            <w:tcW w:w="2560" w:type="dxa"/>
            <w:tcBorders>
              <w:top w:val="none" w:sz="0" w:space="0" w:color="auto"/>
              <w:right w:val="none" w:sz="0" w:space="0" w:color="auto"/>
            </w:tcBorders>
            <w:noWrap/>
            <w:hideMark/>
          </w:tcPr>
          <w:p w14:paraId="3EA0E89D" w14:textId="77777777" w:rsidR="00C80FA2" w:rsidRPr="00EF2495" w:rsidRDefault="00C80FA2" w:rsidP="00EF2495">
            <w:r w:rsidRPr="00EF2495">
              <w:t>Total</w:t>
            </w:r>
          </w:p>
        </w:tc>
        <w:tc>
          <w:tcPr>
            <w:cnfStyle w:val="000010000000" w:firstRow="0" w:lastRow="0" w:firstColumn="0" w:lastColumn="0" w:oddVBand="1" w:evenVBand="0" w:oddHBand="0" w:evenHBand="0" w:firstRowFirstColumn="0" w:firstRowLastColumn="0" w:lastRowFirstColumn="0" w:lastRowLastColumn="0"/>
            <w:tcW w:w="1020" w:type="dxa"/>
            <w:tcBorders>
              <w:top w:val="none" w:sz="0" w:space="0" w:color="auto"/>
              <w:left w:val="none" w:sz="0" w:space="0" w:color="auto"/>
              <w:right w:val="none" w:sz="0" w:space="0" w:color="auto"/>
            </w:tcBorders>
            <w:noWrap/>
            <w:hideMark/>
          </w:tcPr>
          <w:p w14:paraId="3E08AE45" w14:textId="77777777" w:rsidR="00C80FA2" w:rsidRPr="00EF2495" w:rsidRDefault="00C80FA2" w:rsidP="00EF2495">
            <w:r w:rsidRPr="00EF2495">
              <w:t>38%</w:t>
            </w:r>
          </w:p>
        </w:tc>
        <w:tc>
          <w:tcPr>
            <w:tcW w:w="1240" w:type="dxa"/>
            <w:tcBorders>
              <w:top w:val="none" w:sz="0" w:space="0" w:color="auto"/>
            </w:tcBorders>
            <w:noWrap/>
            <w:hideMark/>
          </w:tcPr>
          <w:p w14:paraId="6E1261BC"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62%</w:t>
            </w:r>
          </w:p>
        </w:tc>
        <w:tc>
          <w:tcPr>
            <w:cnfStyle w:val="000100000010" w:firstRow="0" w:lastRow="0" w:firstColumn="0" w:lastColumn="1" w:oddVBand="0" w:evenVBand="0" w:oddHBand="0" w:evenHBand="0" w:firstRowFirstColumn="0" w:firstRowLastColumn="0" w:lastRowFirstColumn="0" w:lastRowLastColumn="1"/>
            <w:tcW w:w="718" w:type="dxa"/>
            <w:tcBorders>
              <w:top w:val="none" w:sz="0" w:space="0" w:color="auto"/>
              <w:left w:val="none" w:sz="0" w:space="0" w:color="auto"/>
            </w:tcBorders>
            <w:noWrap/>
            <w:hideMark/>
          </w:tcPr>
          <w:p w14:paraId="523C4CE0" w14:textId="77777777" w:rsidR="00C80FA2" w:rsidRPr="00EF2495" w:rsidRDefault="00C80FA2" w:rsidP="00EF2495">
            <w:r w:rsidRPr="00EF2495">
              <w:t>100%</w:t>
            </w:r>
          </w:p>
        </w:tc>
      </w:tr>
    </w:tbl>
    <w:p w14:paraId="1AAE0789" w14:textId="05F11DA7" w:rsidR="00C80FA2" w:rsidRPr="00EF2495" w:rsidRDefault="00C80FA2" w:rsidP="00EF2495">
      <w:pPr>
        <w:rPr>
          <w:lang w:val="en-US" w:eastAsia="en-AU"/>
        </w:rPr>
      </w:pPr>
      <w:r w:rsidRPr="00EF2495">
        <w:rPr>
          <w:lang w:val="en-US" w:eastAsia="en-AU"/>
        </w:rPr>
        <w:t xml:space="preserve">Table </w:t>
      </w:r>
      <w:r w:rsidRPr="00EF2495">
        <w:rPr>
          <w:lang w:val="en-US" w:eastAsia="en-AU"/>
        </w:rPr>
        <w:fldChar w:fldCharType="begin"/>
      </w:r>
      <w:r w:rsidRPr="00EF2495">
        <w:rPr>
          <w:lang w:val="en-US" w:eastAsia="en-AU"/>
        </w:rPr>
        <w:instrText xml:space="preserve"> SEQ Table \* ARABIC </w:instrText>
      </w:r>
      <w:r w:rsidRPr="00EF2495">
        <w:rPr>
          <w:lang w:val="en-US" w:eastAsia="en-AU"/>
        </w:rPr>
        <w:fldChar w:fldCharType="separate"/>
      </w:r>
      <w:r w:rsidR="003B4A8A" w:rsidRPr="00EF2495">
        <w:rPr>
          <w:lang w:val="en-US" w:eastAsia="en-AU"/>
        </w:rPr>
        <w:t>11</w:t>
      </w:r>
      <w:r w:rsidRPr="00EF2495">
        <w:rPr>
          <w:lang w:val="en-US" w:eastAsia="en-AU"/>
        </w:rPr>
        <w:fldChar w:fldCharType="end"/>
      </w:r>
      <w:r w:rsidRPr="00EF2495">
        <w:rPr>
          <w:lang w:val="en-US" w:eastAsia="en-AU"/>
        </w:rPr>
        <w:t>:   Award offers by broad field of study (and scheme)</w:t>
      </w:r>
    </w:p>
    <w:tbl>
      <w:tblPr>
        <w:tblStyle w:val="ListTable3"/>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54"/>
        <w:gridCol w:w="1286"/>
        <w:gridCol w:w="880"/>
        <w:gridCol w:w="880"/>
      </w:tblGrid>
      <w:tr w:rsidR="00C80FA2" w:rsidRPr="00EF2495" w14:paraId="3CFDE414" w14:textId="77777777" w:rsidTr="006357C2">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5954" w:type="dxa"/>
            <w:tcBorders>
              <w:bottom w:val="none" w:sz="0" w:space="0" w:color="auto"/>
              <w:right w:val="none" w:sz="0" w:space="0" w:color="auto"/>
            </w:tcBorders>
            <w:noWrap/>
            <w:hideMark/>
          </w:tcPr>
          <w:p w14:paraId="2163E172" w14:textId="77777777" w:rsidR="00C80FA2" w:rsidRPr="00D520AC" w:rsidRDefault="00C80FA2" w:rsidP="00EF2495">
            <w:pPr>
              <w:rPr>
                <w:b w:val="0"/>
                <w:bCs w:val="0"/>
              </w:rPr>
            </w:pPr>
            <w:r w:rsidRPr="00D520AC">
              <w:t>Broad field of study</w:t>
            </w:r>
          </w:p>
        </w:tc>
        <w:tc>
          <w:tcPr>
            <w:cnfStyle w:val="000010000000" w:firstRow="0" w:lastRow="0" w:firstColumn="0" w:lastColumn="0" w:oddVBand="1" w:evenVBand="0" w:oddHBand="0" w:evenHBand="0" w:firstRowFirstColumn="0" w:firstRowLastColumn="0" w:lastRowFirstColumn="0" w:lastRowLastColumn="0"/>
            <w:tcW w:w="1286" w:type="dxa"/>
            <w:tcBorders>
              <w:left w:val="none" w:sz="0" w:space="0" w:color="auto"/>
              <w:right w:val="none" w:sz="0" w:space="0" w:color="auto"/>
            </w:tcBorders>
            <w:noWrap/>
            <w:hideMark/>
          </w:tcPr>
          <w:p w14:paraId="0FCCA19E" w14:textId="77777777" w:rsidR="00C80FA2" w:rsidRPr="00D520AC" w:rsidRDefault="00C80FA2" w:rsidP="00EF2495">
            <w:pPr>
              <w:rPr>
                <w:b w:val="0"/>
                <w:bCs w:val="0"/>
              </w:rPr>
            </w:pPr>
            <w:r w:rsidRPr="00D520AC">
              <w:t>AAPS</w:t>
            </w:r>
          </w:p>
        </w:tc>
        <w:tc>
          <w:tcPr>
            <w:tcW w:w="880" w:type="dxa"/>
            <w:noWrap/>
            <w:hideMark/>
          </w:tcPr>
          <w:p w14:paraId="3860DDA6" w14:textId="77777777" w:rsidR="00C80FA2" w:rsidRPr="00D520AC" w:rsidRDefault="00C80FA2" w:rsidP="00EF2495">
            <w:pPr>
              <w:cnfStyle w:val="100000000000" w:firstRow="1" w:lastRow="0" w:firstColumn="0" w:lastColumn="0" w:oddVBand="0" w:evenVBand="0" w:oddHBand="0" w:evenHBand="0" w:firstRowFirstColumn="0" w:firstRowLastColumn="0" w:lastRowFirstColumn="0" w:lastRowLastColumn="0"/>
              <w:rPr>
                <w:b w:val="0"/>
                <w:bCs w:val="0"/>
              </w:rPr>
            </w:pPr>
            <w:r w:rsidRPr="00D520AC">
              <w:t>AAS</w:t>
            </w:r>
          </w:p>
        </w:tc>
        <w:tc>
          <w:tcPr>
            <w:cnfStyle w:val="000100001000" w:firstRow="0" w:lastRow="0" w:firstColumn="0" w:lastColumn="1" w:oddVBand="0" w:evenVBand="0" w:oddHBand="0" w:evenHBand="0" w:firstRowFirstColumn="0" w:firstRowLastColumn="1" w:lastRowFirstColumn="0" w:lastRowLastColumn="0"/>
            <w:tcW w:w="880" w:type="dxa"/>
            <w:tcBorders>
              <w:left w:val="none" w:sz="0" w:space="0" w:color="auto"/>
              <w:bottom w:val="none" w:sz="0" w:space="0" w:color="auto"/>
            </w:tcBorders>
            <w:noWrap/>
            <w:hideMark/>
          </w:tcPr>
          <w:p w14:paraId="77240C6F" w14:textId="77777777" w:rsidR="00C80FA2" w:rsidRPr="00D520AC" w:rsidRDefault="00C80FA2" w:rsidP="00EF2495">
            <w:pPr>
              <w:rPr>
                <w:b w:val="0"/>
                <w:bCs w:val="0"/>
              </w:rPr>
            </w:pPr>
            <w:r w:rsidRPr="00D520AC">
              <w:t>Total</w:t>
            </w:r>
          </w:p>
        </w:tc>
      </w:tr>
      <w:tr w:rsidR="00C80FA2" w:rsidRPr="00EF2495" w14:paraId="36F9FC88" w14:textId="77777777" w:rsidTr="00857A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bottom w:val="none" w:sz="0" w:space="0" w:color="auto"/>
              <w:right w:val="none" w:sz="0" w:space="0" w:color="auto"/>
            </w:tcBorders>
            <w:noWrap/>
            <w:hideMark/>
          </w:tcPr>
          <w:p w14:paraId="7323A084" w14:textId="77777777" w:rsidR="00C80FA2" w:rsidRPr="00EF2495" w:rsidRDefault="00C80FA2" w:rsidP="00EF2495">
            <w:r w:rsidRPr="00EF2495">
              <w:t>01 - Natural and Physical Sciences</w:t>
            </w:r>
          </w:p>
        </w:tc>
        <w:tc>
          <w:tcPr>
            <w:cnfStyle w:val="000010000000" w:firstRow="0" w:lastRow="0" w:firstColumn="0" w:lastColumn="0" w:oddVBand="1" w:evenVBand="0" w:oddHBand="0" w:evenHBand="0" w:firstRowFirstColumn="0" w:firstRowLastColumn="0" w:lastRowFirstColumn="0" w:lastRowLastColumn="0"/>
            <w:tcW w:w="1286" w:type="dxa"/>
            <w:tcBorders>
              <w:top w:val="none" w:sz="0" w:space="0" w:color="auto"/>
              <w:left w:val="none" w:sz="0" w:space="0" w:color="auto"/>
              <w:bottom w:val="none" w:sz="0" w:space="0" w:color="auto"/>
              <w:right w:val="none" w:sz="0" w:space="0" w:color="auto"/>
            </w:tcBorders>
            <w:noWrap/>
            <w:hideMark/>
          </w:tcPr>
          <w:p w14:paraId="38D1CC35" w14:textId="77777777" w:rsidR="00C80FA2" w:rsidRPr="00EF2495" w:rsidRDefault="00C80FA2" w:rsidP="00EF2495">
            <w:r w:rsidRPr="00EF2495">
              <w:t>9%</w:t>
            </w:r>
          </w:p>
        </w:tc>
        <w:tc>
          <w:tcPr>
            <w:tcW w:w="880" w:type="dxa"/>
            <w:tcBorders>
              <w:top w:val="none" w:sz="0" w:space="0" w:color="auto"/>
              <w:bottom w:val="none" w:sz="0" w:space="0" w:color="auto"/>
            </w:tcBorders>
            <w:noWrap/>
            <w:hideMark/>
          </w:tcPr>
          <w:p w14:paraId="6393E897"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8%</w:t>
            </w:r>
          </w:p>
        </w:tc>
        <w:tc>
          <w:tcPr>
            <w:cnfStyle w:val="000100000000" w:firstRow="0" w:lastRow="0" w:firstColumn="0" w:lastColumn="1" w:oddVBand="0" w:evenVBand="0" w:oddHBand="0" w:evenHBand="0" w:firstRowFirstColumn="0" w:firstRowLastColumn="0" w:lastRowFirstColumn="0" w:lastRowLastColumn="0"/>
            <w:tcW w:w="880" w:type="dxa"/>
            <w:tcBorders>
              <w:top w:val="none" w:sz="0" w:space="0" w:color="auto"/>
              <w:left w:val="none" w:sz="0" w:space="0" w:color="auto"/>
              <w:bottom w:val="none" w:sz="0" w:space="0" w:color="auto"/>
            </w:tcBorders>
            <w:noWrap/>
            <w:hideMark/>
          </w:tcPr>
          <w:p w14:paraId="3C4ED2CE" w14:textId="77777777" w:rsidR="00C80FA2" w:rsidRPr="00EF2495" w:rsidRDefault="00C80FA2" w:rsidP="00EF2495">
            <w:r w:rsidRPr="00EF2495">
              <w:t>9%</w:t>
            </w:r>
          </w:p>
        </w:tc>
      </w:tr>
      <w:tr w:rsidR="00C80FA2" w:rsidRPr="00EF2495" w14:paraId="6A9C0CE9" w14:textId="77777777" w:rsidTr="00857A50">
        <w:trPr>
          <w:trHeight w:val="20"/>
        </w:trPr>
        <w:tc>
          <w:tcPr>
            <w:cnfStyle w:val="001000000000" w:firstRow="0" w:lastRow="0" w:firstColumn="1" w:lastColumn="0" w:oddVBand="0" w:evenVBand="0" w:oddHBand="0" w:evenHBand="0" w:firstRowFirstColumn="0" w:firstRowLastColumn="0" w:lastRowFirstColumn="0" w:lastRowLastColumn="0"/>
            <w:tcW w:w="5954" w:type="dxa"/>
            <w:tcBorders>
              <w:right w:val="none" w:sz="0" w:space="0" w:color="auto"/>
            </w:tcBorders>
            <w:noWrap/>
            <w:hideMark/>
          </w:tcPr>
          <w:p w14:paraId="2F59C320" w14:textId="77777777" w:rsidR="00C80FA2" w:rsidRPr="00EF2495" w:rsidRDefault="00C80FA2" w:rsidP="00EF2495">
            <w:r w:rsidRPr="00EF2495">
              <w:t>02 - Information Technology</w:t>
            </w:r>
          </w:p>
        </w:tc>
        <w:tc>
          <w:tcPr>
            <w:cnfStyle w:val="000010000000" w:firstRow="0" w:lastRow="0" w:firstColumn="0" w:lastColumn="0" w:oddVBand="1" w:evenVBand="0" w:oddHBand="0" w:evenHBand="0" w:firstRowFirstColumn="0" w:firstRowLastColumn="0" w:lastRowFirstColumn="0" w:lastRowLastColumn="0"/>
            <w:tcW w:w="1286" w:type="dxa"/>
            <w:tcBorders>
              <w:left w:val="none" w:sz="0" w:space="0" w:color="auto"/>
              <w:right w:val="none" w:sz="0" w:space="0" w:color="auto"/>
            </w:tcBorders>
            <w:noWrap/>
            <w:hideMark/>
          </w:tcPr>
          <w:p w14:paraId="219F74AC" w14:textId="77777777" w:rsidR="00C80FA2" w:rsidRPr="00EF2495" w:rsidRDefault="00C80FA2" w:rsidP="00EF2495">
            <w:r w:rsidRPr="00EF2495">
              <w:t>5%</w:t>
            </w:r>
          </w:p>
        </w:tc>
        <w:tc>
          <w:tcPr>
            <w:tcW w:w="880" w:type="dxa"/>
            <w:noWrap/>
            <w:hideMark/>
          </w:tcPr>
          <w:p w14:paraId="7D4BC059"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6%</w:t>
            </w:r>
          </w:p>
        </w:tc>
        <w:tc>
          <w:tcPr>
            <w:cnfStyle w:val="000100000000" w:firstRow="0" w:lastRow="0" w:firstColumn="0" w:lastColumn="1" w:oddVBand="0" w:evenVBand="0" w:oddHBand="0" w:evenHBand="0" w:firstRowFirstColumn="0" w:firstRowLastColumn="0" w:lastRowFirstColumn="0" w:lastRowLastColumn="0"/>
            <w:tcW w:w="880" w:type="dxa"/>
            <w:tcBorders>
              <w:left w:val="none" w:sz="0" w:space="0" w:color="auto"/>
            </w:tcBorders>
            <w:noWrap/>
            <w:hideMark/>
          </w:tcPr>
          <w:p w14:paraId="5E1F1CAD" w14:textId="77777777" w:rsidR="00C80FA2" w:rsidRPr="00EF2495" w:rsidRDefault="00C80FA2" w:rsidP="00EF2495">
            <w:r w:rsidRPr="00EF2495">
              <w:t>5%</w:t>
            </w:r>
          </w:p>
        </w:tc>
      </w:tr>
      <w:tr w:rsidR="00C80FA2" w:rsidRPr="00EF2495" w14:paraId="23ADA4F6" w14:textId="77777777" w:rsidTr="00857A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bottom w:val="none" w:sz="0" w:space="0" w:color="auto"/>
              <w:right w:val="none" w:sz="0" w:space="0" w:color="auto"/>
            </w:tcBorders>
            <w:noWrap/>
            <w:hideMark/>
          </w:tcPr>
          <w:p w14:paraId="7FA82E57" w14:textId="77777777" w:rsidR="00C80FA2" w:rsidRPr="00EF2495" w:rsidRDefault="00C80FA2" w:rsidP="00EF2495">
            <w:r w:rsidRPr="00EF2495">
              <w:t>03 - Engineering and Related Technologies</w:t>
            </w:r>
          </w:p>
        </w:tc>
        <w:tc>
          <w:tcPr>
            <w:cnfStyle w:val="000010000000" w:firstRow="0" w:lastRow="0" w:firstColumn="0" w:lastColumn="0" w:oddVBand="1" w:evenVBand="0" w:oddHBand="0" w:evenHBand="0" w:firstRowFirstColumn="0" w:firstRowLastColumn="0" w:lastRowFirstColumn="0" w:lastRowLastColumn="0"/>
            <w:tcW w:w="1286" w:type="dxa"/>
            <w:tcBorders>
              <w:top w:val="none" w:sz="0" w:space="0" w:color="auto"/>
              <w:left w:val="none" w:sz="0" w:space="0" w:color="auto"/>
              <w:bottom w:val="none" w:sz="0" w:space="0" w:color="auto"/>
              <w:right w:val="none" w:sz="0" w:space="0" w:color="auto"/>
            </w:tcBorders>
            <w:noWrap/>
            <w:hideMark/>
          </w:tcPr>
          <w:p w14:paraId="7206CECA" w14:textId="77777777" w:rsidR="00C80FA2" w:rsidRPr="00EF2495" w:rsidRDefault="00C80FA2" w:rsidP="00EF2495">
            <w:r w:rsidRPr="00EF2495">
              <w:t>4%</w:t>
            </w:r>
          </w:p>
        </w:tc>
        <w:tc>
          <w:tcPr>
            <w:tcW w:w="880" w:type="dxa"/>
            <w:tcBorders>
              <w:top w:val="none" w:sz="0" w:space="0" w:color="auto"/>
              <w:bottom w:val="none" w:sz="0" w:space="0" w:color="auto"/>
            </w:tcBorders>
            <w:noWrap/>
            <w:hideMark/>
          </w:tcPr>
          <w:p w14:paraId="0A382016"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7%</w:t>
            </w:r>
          </w:p>
        </w:tc>
        <w:tc>
          <w:tcPr>
            <w:cnfStyle w:val="000100000000" w:firstRow="0" w:lastRow="0" w:firstColumn="0" w:lastColumn="1" w:oddVBand="0" w:evenVBand="0" w:oddHBand="0" w:evenHBand="0" w:firstRowFirstColumn="0" w:firstRowLastColumn="0" w:lastRowFirstColumn="0" w:lastRowLastColumn="0"/>
            <w:tcW w:w="880" w:type="dxa"/>
            <w:tcBorders>
              <w:top w:val="none" w:sz="0" w:space="0" w:color="auto"/>
              <w:left w:val="none" w:sz="0" w:space="0" w:color="auto"/>
              <w:bottom w:val="none" w:sz="0" w:space="0" w:color="auto"/>
            </w:tcBorders>
            <w:noWrap/>
            <w:hideMark/>
          </w:tcPr>
          <w:p w14:paraId="2633937B" w14:textId="77777777" w:rsidR="00C80FA2" w:rsidRPr="00EF2495" w:rsidRDefault="00C80FA2" w:rsidP="00EF2495">
            <w:r w:rsidRPr="00EF2495">
              <w:t>5%</w:t>
            </w:r>
          </w:p>
        </w:tc>
      </w:tr>
      <w:tr w:rsidR="00C80FA2" w:rsidRPr="00EF2495" w14:paraId="64CF0240" w14:textId="77777777" w:rsidTr="00857A50">
        <w:trPr>
          <w:trHeight w:val="20"/>
        </w:trPr>
        <w:tc>
          <w:tcPr>
            <w:cnfStyle w:val="001000000000" w:firstRow="0" w:lastRow="0" w:firstColumn="1" w:lastColumn="0" w:oddVBand="0" w:evenVBand="0" w:oddHBand="0" w:evenHBand="0" w:firstRowFirstColumn="0" w:firstRowLastColumn="0" w:lastRowFirstColumn="0" w:lastRowLastColumn="0"/>
            <w:tcW w:w="5954" w:type="dxa"/>
            <w:tcBorders>
              <w:right w:val="none" w:sz="0" w:space="0" w:color="auto"/>
            </w:tcBorders>
            <w:noWrap/>
            <w:hideMark/>
          </w:tcPr>
          <w:p w14:paraId="579E2B96" w14:textId="77777777" w:rsidR="00C80FA2" w:rsidRPr="00EF2495" w:rsidRDefault="00C80FA2" w:rsidP="00EF2495">
            <w:r w:rsidRPr="00EF2495">
              <w:t>04 - Architecture and Building</w:t>
            </w:r>
          </w:p>
        </w:tc>
        <w:tc>
          <w:tcPr>
            <w:cnfStyle w:val="000010000000" w:firstRow="0" w:lastRow="0" w:firstColumn="0" w:lastColumn="0" w:oddVBand="1" w:evenVBand="0" w:oddHBand="0" w:evenHBand="0" w:firstRowFirstColumn="0" w:firstRowLastColumn="0" w:lastRowFirstColumn="0" w:lastRowLastColumn="0"/>
            <w:tcW w:w="1286" w:type="dxa"/>
            <w:tcBorders>
              <w:left w:val="none" w:sz="0" w:space="0" w:color="auto"/>
              <w:right w:val="none" w:sz="0" w:space="0" w:color="auto"/>
            </w:tcBorders>
            <w:noWrap/>
            <w:hideMark/>
          </w:tcPr>
          <w:p w14:paraId="69FAF880" w14:textId="77777777" w:rsidR="00C80FA2" w:rsidRPr="00EF2495" w:rsidRDefault="00C80FA2" w:rsidP="00EF2495">
            <w:r w:rsidRPr="00EF2495">
              <w:t>0%</w:t>
            </w:r>
          </w:p>
        </w:tc>
        <w:tc>
          <w:tcPr>
            <w:tcW w:w="880" w:type="dxa"/>
            <w:noWrap/>
            <w:hideMark/>
          </w:tcPr>
          <w:p w14:paraId="5C1C2CA0"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w:t>
            </w:r>
          </w:p>
        </w:tc>
        <w:tc>
          <w:tcPr>
            <w:cnfStyle w:val="000100000000" w:firstRow="0" w:lastRow="0" w:firstColumn="0" w:lastColumn="1" w:oddVBand="0" w:evenVBand="0" w:oddHBand="0" w:evenHBand="0" w:firstRowFirstColumn="0" w:firstRowLastColumn="0" w:lastRowFirstColumn="0" w:lastRowLastColumn="0"/>
            <w:tcW w:w="880" w:type="dxa"/>
            <w:tcBorders>
              <w:left w:val="none" w:sz="0" w:space="0" w:color="auto"/>
            </w:tcBorders>
            <w:noWrap/>
            <w:hideMark/>
          </w:tcPr>
          <w:p w14:paraId="3FE8E611" w14:textId="77777777" w:rsidR="00C80FA2" w:rsidRPr="00EF2495" w:rsidRDefault="00C80FA2" w:rsidP="00EF2495">
            <w:r w:rsidRPr="00EF2495">
              <w:t>0%</w:t>
            </w:r>
          </w:p>
        </w:tc>
      </w:tr>
      <w:tr w:rsidR="00C80FA2" w:rsidRPr="00EF2495" w14:paraId="350ADED3" w14:textId="77777777" w:rsidTr="00857A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bottom w:val="none" w:sz="0" w:space="0" w:color="auto"/>
              <w:right w:val="none" w:sz="0" w:space="0" w:color="auto"/>
            </w:tcBorders>
            <w:noWrap/>
            <w:hideMark/>
          </w:tcPr>
          <w:p w14:paraId="7496368D" w14:textId="77777777" w:rsidR="00C80FA2" w:rsidRPr="00EF2495" w:rsidRDefault="00C80FA2" w:rsidP="00EF2495">
            <w:r w:rsidRPr="00EF2495">
              <w:t>05 - Agriculture, Environmental and Related Studies</w:t>
            </w:r>
          </w:p>
        </w:tc>
        <w:tc>
          <w:tcPr>
            <w:cnfStyle w:val="000010000000" w:firstRow="0" w:lastRow="0" w:firstColumn="0" w:lastColumn="0" w:oddVBand="1" w:evenVBand="0" w:oddHBand="0" w:evenHBand="0" w:firstRowFirstColumn="0" w:firstRowLastColumn="0" w:lastRowFirstColumn="0" w:lastRowLastColumn="0"/>
            <w:tcW w:w="1286" w:type="dxa"/>
            <w:tcBorders>
              <w:top w:val="none" w:sz="0" w:space="0" w:color="auto"/>
              <w:left w:val="none" w:sz="0" w:space="0" w:color="auto"/>
              <w:bottom w:val="none" w:sz="0" w:space="0" w:color="auto"/>
              <w:right w:val="none" w:sz="0" w:space="0" w:color="auto"/>
            </w:tcBorders>
            <w:noWrap/>
            <w:hideMark/>
          </w:tcPr>
          <w:p w14:paraId="41B7AF3E" w14:textId="77777777" w:rsidR="00C80FA2" w:rsidRPr="00EF2495" w:rsidRDefault="00C80FA2" w:rsidP="00EF2495">
            <w:r w:rsidRPr="00EF2495">
              <w:t>4%</w:t>
            </w:r>
          </w:p>
        </w:tc>
        <w:tc>
          <w:tcPr>
            <w:tcW w:w="880" w:type="dxa"/>
            <w:tcBorders>
              <w:top w:val="none" w:sz="0" w:space="0" w:color="auto"/>
              <w:bottom w:val="none" w:sz="0" w:space="0" w:color="auto"/>
            </w:tcBorders>
            <w:noWrap/>
            <w:hideMark/>
          </w:tcPr>
          <w:p w14:paraId="3ECAA647"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7%</w:t>
            </w:r>
          </w:p>
        </w:tc>
        <w:tc>
          <w:tcPr>
            <w:cnfStyle w:val="000100000000" w:firstRow="0" w:lastRow="0" w:firstColumn="0" w:lastColumn="1" w:oddVBand="0" w:evenVBand="0" w:oddHBand="0" w:evenHBand="0" w:firstRowFirstColumn="0" w:firstRowLastColumn="0" w:lastRowFirstColumn="0" w:lastRowLastColumn="0"/>
            <w:tcW w:w="880" w:type="dxa"/>
            <w:tcBorders>
              <w:top w:val="none" w:sz="0" w:space="0" w:color="auto"/>
              <w:left w:val="none" w:sz="0" w:space="0" w:color="auto"/>
              <w:bottom w:val="none" w:sz="0" w:space="0" w:color="auto"/>
            </w:tcBorders>
            <w:noWrap/>
            <w:hideMark/>
          </w:tcPr>
          <w:p w14:paraId="7F59D9F1" w14:textId="77777777" w:rsidR="00C80FA2" w:rsidRPr="00EF2495" w:rsidRDefault="00C80FA2" w:rsidP="00EF2495">
            <w:r w:rsidRPr="00EF2495">
              <w:t>5%</w:t>
            </w:r>
          </w:p>
        </w:tc>
      </w:tr>
      <w:tr w:rsidR="00C80FA2" w:rsidRPr="00EF2495" w14:paraId="4F51BFF0" w14:textId="77777777" w:rsidTr="00857A50">
        <w:trPr>
          <w:trHeight w:val="20"/>
        </w:trPr>
        <w:tc>
          <w:tcPr>
            <w:cnfStyle w:val="001000000000" w:firstRow="0" w:lastRow="0" w:firstColumn="1" w:lastColumn="0" w:oddVBand="0" w:evenVBand="0" w:oddHBand="0" w:evenHBand="0" w:firstRowFirstColumn="0" w:firstRowLastColumn="0" w:lastRowFirstColumn="0" w:lastRowLastColumn="0"/>
            <w:tcW w:w="5954" w:type="dxa"/>
            <w:tcBorders>
              <w:right w:val="none" w:sz="0" w:space="0" w:color="auto"/>
            </w:tcBorders>
            <w:noWrap/>
            <w:hideMark/>
          </w:tcPr>
          <w:p w14:paraId="7D130A42" w14:textId="77777777" w:rsidR="00C80FA2" w:rsidRPr="00EF2495" w:rsidRDefault="00C80FA2" w:rsidP="00EF2495">
            <w:r w:rsidRPr="00EF2495">
              <w:t>06 - Health</w:t>
            </w:r>
          </w:p>
        </w:tc>
        <w:tc>
          <w:tcPr>
            <w:cnfStyle w:val="000010000000" w:firstRow="0" w:lastRow="0" w:firstColumn="0" w:lastColumn="0" w:oddVBand="1" w:evenVBand="0" w:oddHBand="0" w:evenHBand="0" w:firstRowFirstColumn="0" w:firstRowLastColumn="0" w:lastRowFirstColumn="0" w:lastRowLastColumn="0"/>
            <w:tcW w:w="1286" w:type="dxa"/>
            <w:tcBorders>
              <w:left w:val="none" w:sz="0" w:space="0" w:color="auto"/>
              <w:right w:val="none" w:sz="0" w:space="0" w:color="auto"/>
            </w:tcBorders>
            <w:noWrap/>
            <w:hideMark/>
          </w:tcPr>
          <w:p w14:paraId="5E7D7C5D" w14:textId="77777777" w:rsidR="00C80FA2" w:rsidRPr="00EF2495" w:rsidRDefault="00C80FA2" w:rsidP="00EF2495">
            <w:r w:rsidRPr="00EF2495">
              <w:t>33%</w:t>
            </w:r>
          </w:p>
        </w:tc>
        <w:tc>
          <w:tcPr>
            <w:tcW w:w="880" w:type="dxa"/>
            <w:noWrap/>
            <w:hideMark/>
          </w:tcPr>
          <w:p w14:paraId="0F18D554"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21%</w:t>
            </w:r>
          </w:p>
        </w:tc>
        <w:tc>
          <w:tcPr>
            <w:cnfStyle w:val="000100000000" w:firstRow="0" w:lastRow="0" w:firstColumn="0" w:lastColumn="1" w:oddVBand="0" w:evenVBand="0" w:oddHBand="0" w:evenHBand="0" w:firstRowFirstColumn="0" w:firstRowLastColumn="0" w:lastRowFirstColumn="0" w:lastRowLastColumn="0"/>
            <w:tcW w:w="880" w:type="dxa"/>
            <w:tcBorders>
              <w:left w:val="none" w:sz="0" w:space="0" w:color="auto"/>
            </w:tcBorders>
            <w:noWrap/>
            <w:hideMark/>
          </w:tcPr>
          <w:p w14:paraId="46BCAD50" w14:textId="77777777" w:rsidR="00C80FA2" w:rsidRPr="00EF2495" w:rsidRDefault="00C80FA2" w:rsidP="00EF2495">
            <w:r w:rsidRPr="00EF2495">
              <w:t>29%</w:t>
            </w:r>
          </w:p>
        </w:tc>
      </w:tr>
      <w:tr w:rsidR="00C80FA2" w:rsidRPr="00EF2495" w14:paraId="04A75FD8" w14:textId="77777777" w:rsidTr="00857A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bottom w:val="none" w:sz="0" w:space="0" w:color="auto"/>
              <w:right w:val="none" w:sz="0" w:space="0" w:color="auto"/>
            </w:tcBorders>
            <w:noWrap/>
            <w:hideMark/>
          </w:tcPr>
          <w:p w14:paraId="0E3D26EB" w14:textId="77777777" w:rsidR="00C80FA2" w:rsidRPr="00EF2495" w:rsidRDefault="00C80FA2" w:rsidP="00EF2495">
            <w:r w:rsidRPr="00EF2495">
              <w:t>07 - Education</w:t>
            </w:r>
          </w:p>
        </w:tc>
        <w:tc>
          <w:tcPr>
            <w:cnfStyle w:val="000010000000" w:firstRow="0" w:lastRow="0" w:firstColumn="0" w:lastColumn="0" w:oddVBand="1" w:evenVBand="0" w:oddHBand="0" w:evenHBand="0" w:firstRowFirstColumn="0" w:firstRowLastColumn="0" w:lastRowFirstColumn="0" w:lastRowLastColumn="0"/>
            <w:tcW w:w="1286" w:type="dxa"/>
            <w:tcBorders>
              <w:top w:val="none" w:sz="0" w:space="0" w:color="auto"/>
              <w:left w:val="none" w:sz="0" w:space="0" w:color="auto"/>
              <w:bottom w:val="none" w:sz="0" w:space="0" w:color="auto"/>
              <w:right w:val="none" w:sz="0" w:space="0" w:color="auto"/>
            </w:tcBorders>
            <w:noWrap/>
            <w:hideMark/>
          </w:tcPr>
          <w:p w14:paraId="5B0AB8D8" w14:textId="77777777" w:rsidR="00C80FA2" w:rsidRPr="00EF2495" w:rsidRDefault="00C80FA2" w:rsidP="00EF2495">
            <w:r w:rsidRPr="00EF2495">
              <w:t>10%</w:t>
            </w:r>
          </w:p>
        </w:tc>
        <w:tc>
          <w:tcPr>
            <w:tcW w:w="880" w:type="dxa"/>
            <w:tcBorders>
              <w:top w:val="none" w:sz="0" w:space="0" w:color="auto"/>
              <w:bottom w:val="none" w:sz="0" w:space="0" w:color="auto"/>
            </w:tcBorders>
            <w:noWrap/>
            <w:hideMark/>
          </w:tcPr>
          <w:p w14:paraId="45622E81"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8%</w:t>
            </w:r>
          </w:p>
        </w:tc>
        <w:tc>
          <w:tcPr>
            <w:cnfStyle w:val="000100000000" w:firstRow="0" w:lastRow="0" w:firstColumn="0" w:lastColumn="1" w:oddVBand="0" w:evenVBand="0" w:oddHBand="0" w:evenHBand="0" w:firstRowFirstColumn="0" w:firstRowLastColumn="0" w:lastRowFirstColumn="0" w:lastRowLastColumn="0"/>
            <w:tcW w:w="880" w:type="dxa"/>
            <w:tcBorders>
              <w:top w:val="none" w:sz="0" w:space="0" w:color="auto"/>
              <w:left w:val="none" w:sz="0" w:space="0" w:color="auto"/>
              <w:bottom w:val="none" w:sz="0" w:space="0" w:color="auto"/>
            </w:tcBorders>
            <w:noWrap/>
            <w:hideMark/>
          </w:tcPr>
          <w:p w14:paraId="629EE440" w14:textId="77777777" w:rsidR="00C80FA2" w:rsidRPr="00EF2495" w:rsidRDefault="00C80FA2" w:rsidP="00EF2495">
            <w:r w:rsidRPr="00EF2495">
              <w:t>9%</w:t>
            </w:r>
          </w:p>
        </w:tc>
      </w:tr>
      <w:tr w:rsidR="00C80FA2" w:rsidRPr="00EF2495" w14:paraId="46311CE6" w14:textId="77777777" w:rsidTr="00857A50">
        <w:trPr>
          <w:trHeight w:val="20"/>
        </w:trPr>
        <w:tc>
          <w:tcPr>
            <w:cnfStyle w:val="001000000000" w:firstRow="0" w:lastRow="0" w:firstColumn="1" w:lastColumn="0" w:oddVBand="0" w:evenVBand="0" w:oddHBand="0" w:evenHBand="0" w:firstRowFirstColumn="0" w:firstRowLastColumn="0" w:lastRowFirstColumn="0" w:lastRowLastColumn="0"/>
            <w:tcW w:w="5954" w:type="dxa"/>
            <w:tcBorders>
              <w:right w:val="none" w:sz="0" w:space="0" w:color="auto"/>
            </w:tcBorders>
            <w:noWrap/>
            <w:hideMark/>
          </w:tcPr>
          <w:p w14:paraId="241486DC" w14:textId="77777777" w:rsidR="00C80FA2" w:rsidRPr="00EF2495" w:rsidRDefault="00C80FA2" w:rsidP="00EF2495">
            <w:r w:rsidRPr="00EF2495">
              <w:t>08 - Management and Commerce</w:t>
            </w:r>
          </w:p>
        </w:tc>
        <w:tc>
          <w:tcPr>
            <w:cnfStyle w:val="000010000000" w:firstRow="0" w:lastRow="0" w:firstColumn="0" w:lastColumn="0" w:oddVBand="1" w:evenVBand="0" w:oddHBand="0" w:evenHBand="0" w:firstRowFirstColumn="0" w:firstRowLastColumn="0" w:lastRowFirstColumn="0" w:lastRowLastColumn="0"/>
            <w:tcW w:w="1286" w:type="dxa"/>
            <w:tcBorders>
              <w:left w:val="none" w:sz="0" w:space="0" w:color="auto"/>
              <w:right w:val="none" w:sz="0" w:space="0" w:color="auto"/>
            </w:tcBorders>
            <w:noWrap/>
            <w:hideMark/>
          </w:tcPr>
          <w:p w14:paraId="428671E6" w14:textId="77777777" w:rsidR="00C80FA2" w:rsidRPr="00EF2495" w:rsidRDefault="00C80FA2" w:rsidP="00EF2495">
            <w:r w:rsidRPr="00EF2495">
              <w:t>19%</w:t>
            </w:r>
          </w:p>
        </w:tc>
        <w:tc>
          <w:tcPr>
            <w:tcW w:w="880" w:type="dxa"/>
            <w:noWrap/>
            <w:hideMark/>
          </w:tcPr>
          <w:p w14:paraId="3ACC6570"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19%</w:t>
            </w:r>
          </w:p>
        </w:tc>
        <w:tc>
          <w:tcPr>
            <w:cnfStyle w:val="000100000000" w:firstRow="0" w:lastRow="0" w:firstColumn="0" w:lastColumn="1" w:oddVBand="0" w:evenVBand="0" w:oddHBand="0" w:evenHBand="0" w:firstRowFirstColumn="0" w:firstRowLastColumn="0" w:lastRowFirstColumn="0" w:lastRowLastColumn="0"/>
            <w:tcW w:w="880" w:type="dxa"/>
            <w:tcBorders>
              <w:left w:val="none" w:sz="0" w:space="0" w:color="auto"/>
            </w:tcBorders>
            <w:noWrap/>
            <w:hideMark/>
          </w:tcPr>
          <w:p w14:paraId="4E5C4E35" w14:textId="77777777" w:rsidR="00C80FA2" w:rsidRPr="00EF2495" w:rsidRDefault="00C80FA2" w:rsidP="00EF2495">
            <w:r w:rsidRPr="00EF2495">
              <w:t>19%</w:t>
            </w:r>
          </w:p>
        </w:tc>
      </w:tr>
      <w:tr w:rsidR="00C80FA2" w:rsidRPr="00EF2495" w14:paraId="2D169577" w14:textId="77777777" w:rsidTr="00857A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bottom w:val="none" w:sz="0" w:space="0" w:color="auto"/>
              <w:right w:val="none" w:sz="0" w:space="0" w:color="auto"/>
            </w:tcBorders>
            <w:noWrap/>
            <w:hideMark/>
          </w:tcPr>
          <w:p w14:paraId="652E6EA2" w14:textId="77777777" w:rsidR="00C80FA2" w:rsidRPr="00EF2495" w:rsidRDefault="00C80FA2" w:rsidP="00EF2495">
            <w:r w:rsidRPr="00EF2495">
              <w:t>09 - Society and Culture (Law)</w:t>
            </w:r>
          </w:p>
        </w:tc>
        <w:tc>
          <w:tcPr>
            <w:cnfStyle w:val="000010000000" w:firstRow="0" w:lastRow="0" w:firstColumn="0" w:lastColumn="0" w:oddVBand="1" w:evenVBand="0" w:oddHBand="0" w:evenHBand="0" w:firstRowFirstColumn="0" w:firstRowLastColumn="0" w:lastRowFirstColumn="0" w:lastRowLastColumn="0"/>
            <w:tcW w:w="1286" w:type="dxa"/>
            <w:tcBorders>
              <w:top w:val="none" w:sz="0" w:space="0" w:color="auto"/>
              <w:left w:val="none" w:sz="0" w:space="0" w:color="auto"/>
              <w:bottom w:val="none" w:sz="0" w:space="0" w:color="auto"/>
              <w:right w:val="none" w:sz="0" w:space="0" w:color="auto"/>
            </w:tcBorders>
            <w:noWrap/>
            <w:hideMark/>
          </w:tcPr>
          <w:p w14:paraId="415716D7" w14:textId="77777777" w:rsidR="00C80FA2" w:rsidRPr="00EF2495" w:rsidRDefault="00C80FA2" w:rsidP="00EF2495">
            <w:r w:rsidRPr="00EF2495">
              <w:t>7%</w:t>
            </w:r>
          </w:p>
        </w:tc>
        <w:tc>
          <w:tcPr>
            <w:tcW w:w="880" w:type="dxa"/>
            <w:tcBorders>
              <w:top w:val="none" w:sz="0" w:space="0" w:color="auto"/>
              <w:bottom w:val="none" w:sz="0" w:space="0" w:color="auto"/>
            </w:tcBorders>
            <w:noWrap/>
            <w:hideMark/>
          </w:tcPr>
          <w:p w14:paraId="451415B7"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3%</w:t>
            </w:r>
          </w:p>
        </w:tc>
        <w:tc>
          <w:tcPr>
            <w:cnfStyle w:val="000100000000" w:firstRow="0" w:lastRow="0" w:firstColumn="0" w:lastColumn="1" w:oddVBand="0" w:evenVBand="0" w:oddHBand="0" w:evenHBand="0" w:firstRowFirstColumn="0" w:firstRowLastColumn="0" w:lastRowFirstColumn="0" w:lastRowLastColumn="0"/>
            <w:tcW w:w="880" w:type="dxa"/>
            <w:tcBorders>
              <w:top w:val="none" w:sz="0" w:space="0" w:color="auto"/>
              <w:left w:val="none" w:sz="0" w:space="0" w:color="auto"/>
              <w:bottom w:val="none" w:sz="0" w:space="0" w:color="auto"/>
            </w:tcBorders>
            <w:noWrap/>
            <w:hideMark/>
          </w:tcPr>
          <w:p w14:paraId="2E91DEA1" w14:textId="77777777" w:rsidR="00C80FA2" w:rsidRPr="00EF2495" w:rsidRDefault="00C80FA2" w:rsidP="00EF2495">
            <w:r w:rsidRPr="00EF2495">
              <w:t>6%</w:t>
            </w:r>
          </w:p>
        </w:tc>
      </w:tr>
      <w:tr w:rsidR="00C80FA2" w:rsidRPr="00EF2495" w14:paraId="04382D57" w14:textId="77777777" w:rsidTr="00857A50">
        <w:trPr>
          <w:trHeight w:val="20"/>
        </w:trPr>
        <w:tc>
          <w:tcPr>
            <w:cnfStyle w:val="001000000000" w:firstRow="0" w:lastRow="0" w:firstColumn="1" w:lastColumn="0" w:oddVBand="0" w:evenVBand="0" w:oddHBand="0" w:evenHBand="0" w:firstRowFirstColumn="0" w:firstRowLastColumn="0" w:lastRowFirstColumn="0" w:lastRowLastColumn="0"/>
            <w:tcW w:w="5954" w:type="dxa"/>
            <w:tcBorders>
              <w:right w:val="none" w:sz="0" w:space="0" w:color="auto"/>
            </w:tcBorders>
            <w:noWrap/>
            <w:hideMark/>
          </w:tcPr>
          <w:p w14:paraId="5670BAF0" w14:textId="77777777" w:rsidR="00C80FA2" w:rsidRPr="00EF2495" w:rsidRDefault="00C80FA2" w:rsidP="00EF2495">
            <w:r w:rsidRPr="00EF2495">
              <w:t>09 - Society and Culture (Other)</w:t>
            </w:r>
          </w:p>
        </w:tc>
        <w:tc>
          <w:tcPr>
            <w:cnfStyle w:val="000010000000" w:firstRow="0" w:lastRow="0" w:firstColumn="0" w:lastColumn="0" w:oddVBand="1" w:evenVBand="0" w:oddHBand="0" w:evenHBand="0" w:firstRowFirstColumn="0" w:firstRowLastColumn="0" w:lastRowFirstColumn="0" w:lastRowLastColumn="0"/>
            <w:tcW w:w="1286" w:type="dxa"/>
            <w:tcBorders>
              <w:left w:val="none" w:sz="0" w:space="0" w:color="auto"/>
              <w:right w:val="none" w:sz="0" w:space="0" w:color="auto"/>
            </w:tcBorders>
            <w:noWrap/>
            <w:hideMark/>
          </w:tcPr>
          <w:p w14:paraId="3DC078AE" w14:textId="77777777" w:rsidR="00C80FA2" w:rsidRPr="00EF2495" w:rsidRDefault="00C80FA2" w:rsidP="00EF2495">
            <w:r w:rsidRPr="00EF2495">
              <w:t>8%</w:t>
            </w:r>
          </w:p>
        </w:tc>
        <w:tc>
          <w:tcPr>
            <w:tcW w:w="880" w:type="dxa"/>
            <w:noWrap/>
            <w:hideMark/>
          </w:tcPr>
          <w:p w14:paraId="1BE28FD8"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20%</w:t>
            </w:r>
          </w:p>
        </w:tc>
        <w:tc>
          <w:tcPr>
            <w:cnfStyle w:val="000100000000" w:firstRow="0" w:lastRow="0" w:firstColumn="0" w:lastColumn="1" w:oddVBand="0" w:evenVBand="0" w:oddHBand="0" w:evenHBand="0" w:firstRowFirstColumn="0" w:firstRowLastColumn="0" w:lastRowFirstColumn="0" w:lastRowLastColumn="0"/>
            <w:tcW w:w="880" w:type="dxa"/>
            <w:tcBorders>
              <w:left w:val="none" w:sz="0" w:space="0" w:color="auto"/>
            </w:tcBorders>
            <w:noWrap/>
            <w:hideMark/>
          </w:tcPr>
          <w:p w14:paraId="5DB502C5" w14:textId="77777777" w:rsidR="00C80FA2" w:rsidRPr="00EF2495" w:rsidRDefault="00C80FA2" w:rsidP="00EF2495">
            <w:r w:rsidRPr="00EF2495">
              <w:t>12%</w:t>
            </w:r>
          </w:p>
        </w:tc>
      </w:tr>
      <w:tr w:rsidR="00C80FA2" w:rsidRPr="00EF2495" w14:paraId="4D2BC970" w14:textId="77777777" w:rsidTr="00857A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bottom w:val="none" w:sz="0" w:space="0" w:color="auto"/>
              <w:right w:val="none" w:sz="0" w:space="0" w:color="auto"/>
            </w:tcBorders>
            <w:noWrap/>
            <w:hideMark/>
          </w:tcPr>
          <w:p w14:paraId="7A301A0D" w14:textId="77777777" w:rsidR="00C80FA2" w:rsidRPr="00EF2495" w:rsidRDefault="00C80FA2" w:rsidP="00EF2495">
            <w:r w:rsidRPr="00EF2495">
              <w:t>10 - Creative Arts</w:t>
            </w:r>
          </w:p>
        </w:tc>
        <w:tc>
          <w:tcPr>
            <w:cnfStyle w:val="000010000000" w:firstRow="0" w:lastRow="0" w:firstColumn="0" w:lastColumn="0" w:oddVBand="1" w:evenVBand="0" w:oddHBand="0" w:evenHBand="0" w:firstRowFirstColumn="0" w:firstRowLastColumn="0" w:lastRowFirstColumn="0" w:lastRowLastColumn="0"/>
            <w:tcW w:w="1286" w:type="dxa"/>
            <w:tcBorders>
              <w:top w:val="none" w:sz="0" w:space="0" w:color="auto"/>
              <w:left w:val="none" w:sz="0" w:space="0" w:color="auto"/>
              <w:bottom w:val="none" w:sz="0" w:space="0" w:color="auto"/>
              <w:right w:val="none" w:sz="0" w:space="0" w:color="auto"/>
            </w:tcBorders>
            <w:noWrap/>
            <w:hideMark/>
          </w:tcPr>
          <w:p w14:paraId="22644E73" w14:textId="77777777" w:rsidR="00C80FA2" w:rsidRPr="00EF2495" w:rsidRDefault="00C80FA2" w:rsidP="00EF2495">
            <w:r w:rsidRPr="00EF2495">
              <w:t>1%</w:t>
            </w:r>
          </w:p>
        </w:tc>
        <w:tc>
          <w:tcPr>
            <w:tcW w:w="880" w:type="dxa"/>
            <w:tcBorders>
              <w:top w:val="none" w:sz="0" w:space="0" w:color="auto"/>
              <w:bottom w:val="none" w:sz="0" w:space="0" w:color="auto"/>
            </w:tcBorders>
            <w:noWrap/>
            <w:hideMark/>
          </w:tcPr>
          <w:p w14:paraId="7D2250A4"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0%</w:t>
            </w:r>
          </w:p>
        </w:tc>
        <w:tc>
          <w:tcPr>
            <w:cnfStyle w:val="000100000000" w:firstRow="0" w:lastRow="0" w:firstColumn="0" w:lastColumn="1" w:oddVBand="0" w:evenVBand="0" w:oddHBand="0" w:evenHBand="0" w:firstRowFirstColumn="0" w:firstRowLastColumn="0" w:lastRowFirstColumn="0" w:lastRowLastColumn="0"/>
            <w:tcW w:w="880" w:type="dxa"/>
            <w:tcBorders>
              <w:top w:val="none" w:sz="0" w:space="0" w:color="auto"/>
              <w:left w:val="none" w:sz="0" w:space="0" w:color="auto"/>
              <w:bottom w:val="none" w:sz="0" w:space="0" w:color="auto"/>
            </w:tcBorders>
            <w:noWrap/>
            <w:hideMark/>
          </w:tcPr>
          <w:p w14:paraId="287C8CA1" w14:textId="77777777" w:rsidR="00C80FA2" w:rsidRPr="00EF2495" w:rsidRDefault="00C80FA2" w:rsidP="00EF2495">
            <w:r w:rsidRPr="00EF2495">
              <w:t>1%</w:t>
            </w:r>
          </w:p>
        </w:tc>
      </w:tr>
      <w:tr w:rsidR="00C80FA2" w:rsidRPr="00EF2495" w14:paraId="5CBA1CF0" w14:textId="77777777" w:rsidTr="00857A50">
        <w:trPr>
          <w:cnfStyle w:val="010000000000" w:firstRow="0" w:lastRow="1" w:firstColumn="0" w:lastColumn="0" w:oddVBand="0" w:evenVBand="0" w:oddHBand="0" w:evenHBand="0" w:firstRowFirstColumn="0" w:firstRowLastColumn="0" w:lastRowFirstColumn="0" w:lastRowLastColumn="0"/>
          <w:trHeight w:val="20"/>
        </w:trPr>
        <w:tc>
          <w:tcPr>
            <w:cnfStyle w:val="001000000001" w:firstRow="0" w:lastRow="0" w:firstColumn="1" w:lastColumn="0" w:oddVBand="0" w:evenVBand="0" w:oddHBand="0" w:evenHBand="0" w:firstRowFirstColumn="0" w:firstRowLastColumn="0" w:lastRowFirstColumn="1" w:lastRowLastColumn="0"/>
            <w:tcW w:w="5954" w:type="dxa"/>
            <w:tcBorders>
              <w:top w:val="none" w:sz="0" w:space="0" w:color="auto"/>
              <w:right w:val="none" w:sz="0" w:space="0" w:color="auto"/>
            </w:tcBorders>
            <w:noWrap/>
            <w:hideMark/>
          </w:tcPr>
          <w:p w14:paraId="23DBBC6F" w14:textId="77777777" w:rsidR="00C80FA2" w:rsidRPr="00EF2495" w:rsidRDefault="00C80FA2" w:rsidP="00EF2495">
            <w:r w:rsidRPr="00EF2495">
              <w:t>Total</w:t>
            </w:r>
          </w:p>
        </w:tc>
        <w:tc>
          <w:tcPr>
            <w:cnfStyle w:val="000010000000" w:firstRow="0" w:lastRow="0" w:firstColumn="0" w:lastColumn="0" w:oddVBand="1" w:evenVBand="0" w:oddHBand="0" w:evenHBand="0" w:firstRowFirstColumn="0" w:firstRowLastColumn="0" w:lastRowFirstColumn="0" w:lastRowLastColumn="0"/>
            <w:tcW w:w="1286" w:type="dxa"/>
            <w:tcBorders>
              <w:top w:val="none" w:sz="0" w:space="0" w:color="auto"/>
              <w:left w:val="none" w:sz="0" w:space="0" w:color="auto"/>
              <w:right w:val="none" w:sz="0" w:space="0" w:color="auto"/>
            </w:tcBorders>
            <w:noWrap/>
            <w:hideMark/>
          </w:tcPr>
          <w:p w14:paraId="3FD8B3A2" w14:textId="77777777" w:rsidR="00C80FA2" w:rsidRPr="00EF2495" w:rsidRDefault="00C80FA2" w:rsidP="00EF2495">
            <w:r w:rsidRPr="00EF2495">
              <w:t>100%</w:t>
            </w:r>
          </w:p>
        </w:tc>
        <w:tc>
          <w:tcPr>
            <w:tcW w:w="880" w:type="dxa"/>
            <w:tcBorders>
              <w:top w:val="none" w:sz="0" w:space="0" w:color="auto"/>
            </w:tcBorders>
            <w:noWrap/>
            <w:hideMark/>
          </w:tcPr>
          <w:p w14:paraId="7770285D"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cnfStyle w:val="000100000010" w:firstRow="0" w:lastRow="0" w:firstColumn="0" w:lastColumn="1" w:oddVBand="0" w:evenVBand="0" w:oddHBand="0" w:evenHBand="0" w:firstRowFirstColumn="0" w:firstRowLastColumn="0" w:lastRowFirstColumn="0" w:lastRowLastColumn="1"/>
            <w:tcW w:w="880" w:type="dxa"/>
            <w:tcBorders>
              <w:top w:val="none" w:sz="0" w:space="0" w:color="auto"/>
              <w:left w:val="none" w:sz="0" w:space="0" w:color="auto"/>
            </w:tcBorders>
            <w:noWrap/>
            <w:hideMark/>
          </w:tcPr>
          <w:p w14:paraId="24C961D0" w14:textId="77777777" w:rsidR="00C80FA2" w:rsidRPr="00EF2495" w:rsidRDefault="00C80FA2" w:rsidP="00EF2495">
            <w:r w:rsidRPr="00EF2495">
              <w:t>100%</w:t>
            </w:r>
          </w:p>
        </w:tc>
      </w:tr>
    </w:tbl>
    <w:p w14:paraId="536AE96A" w14:textId="2814BE63" w:rsidR="00C80FA2" w:rsidRPr="00EF2495" w:rsidRDefault="00C80FA2" w:rsidP="00EF2495">
      <w:pPr>
        <w:rPr>
          <w:lang w:val="en-US" w:eastAsia="en-AU"/>
        </w:rPr>
      </w:pPr>
      <w:r w:rsidRPr="00EF2495">
        <w:rPr>
          <w:lang w:val="en-US" w:eastAsia="en-AU"/>
        </w:rPr>
        <w:t xml:space="preserve">Table </w:t>
      </w:r>
      <w:r w:rsidRPr="00EF2495">
        <w:rPr>
          <w:lang w:val="en-US" w:eastAsia="en-AU"/>
        </w:rPr>
        <w:fldChar w:fldCharType="begin"/>
      </w:r>
      <w:r w:rsidRPr="00EF2495">
        <w:rPr>
          <w:lang w:val="en-US" w:eastAsia="en-AU"/>
        </w:rPr>
        <w:instrText xml:space="preserve"> SEQ Table \* ARABIC </w:instrText>
      </w:r>
      <w:r w:rsidRPr="00EF2495">
        <w:rPr>
          <w:lang w:val="en-US" w:eastAsia="en-AU"/>
        </w:rPr>
        <w:fldChar w:fldCharType="separate"/>
      </w:r>
      <w:r w:rsidR="003B4A8A" w:rsidRPr="00EF2495">
        <w:rPr>
          <w:lang w:val="en-US" w:eastAsia="en-AU"/>
        </w:rPr>
        <w:t>12</w:t>
      </w:r>
      <w:r w:rsidRPr="00EF2495">
        <w:rPr>
          <w:lang w:val="en-US" w:eastAsia="en-AU"/>
        </w:rPr>
        <w:fldChar w:fldCharType="end"/>
      </w:r>
      <w:r w:rsidRPr="00EF2495">
        <w:rPr>
          <w:lang w:val="en-US" w:eastAsia="en-AU"/>
        </w:rPr>
        <w:t>:   Award offers by broad field of education (and gender)</w:t>
      </w:r>
    </w:p>
    <w:tbl>
      <w:tblPr>
        <w:tblStyle w:val="ListTable3"/>
        <w:tblW w:w="7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3"/>
        <w:gridCol w:w="975"/>
        <w:gridCol w:w="779"/>
        <w:gridCol w:w="779"/>
      </w:tblGrid>
      <w:tr w:rsidR="00C80FA2" w:rsidRPr="00EF2495" w14:paraId="0E3B628C" w14:textId="77777777" w:rsidTr="00EA56B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5103" w:type="dxa"/>
            <w:tcBorders>
              <w:bottom w:val="none" w:sz="0" w:space="0" w:color="auto"/>
              <w:right w:val="none" w:sz="0" w:space="0" w:color="auto"/>
            </w:tcBorders>
            <w:noWrap/>
            <w:hideMark/>
          </w:tcPr>
          <w:p w14:paraId="47895A4E" w14:textId="77777777" w:rsidR="00C80FA2" w:rsidRPr="00D520AC" w:rsidRDefault="00C80FA2" w:rsidP="00EF2495">
            <w:pPr>
              <w:rPr>
                <w:b w:val="0"/>
                <w:bCs w:val="0"/>
              </w:rPr>
            </w:pPr>
            <w:r w:rsidRPr="00D520AC">
              <w:t>Broad field of study</w:t>
            </w:r>
          </w:p>
        </w:tc>
        <w:tc>
          <w:tcPr>
            <w:cnfStyle w:val="000010000000" w:firstRow="0" w:lastRow="0" w:firstColumn="0" w:lastColumn="0" w:oddVBand="1" w:evenVBand="0" w:oddHBand="0" w:evenHBand="0" w:firstRowFirstColumn="0" w:firstRowLastColumn="0" w:lastRowFirstColumn="0" w:lastRowLastColumn="0"/>
            <w:tcW w:w="717" w:type="dxa"/>
            <w:tcBorders>
              <w:left w:val="none" w:sz="0" w:space="0" w:color="auto"/>
              <w:right w:val="none" w:sz="0" w:space="0" w:color="auto"/>
            </w:tcBorders>
            <w:noWrap/>
            <w:hideMark/>
          </w:tcPr>
          <w:p w14:paraId="7B5A3128" w14:textId="04E4C356" w:rsidR="00C80FA2" w:rsidRPr="00D520AC" w:rsidRDefault="00C80FA2" w:rsidP="00EF2495">
            <w:pPr>
              <w:rPr>
                <w:b w:val="0"/>
                <w:bCs w:val="0"/>
              </w:rPr>
            </w:pPr>
            <w:r w:rsidRPr="00D520AC">
              <w:t>F</w:t>
            </w:r>
            <w:r w:rsidR="00857A50">
              <w:t>emale</w:t>
            </w:r>
          </w:p>
        </w:tc>
        <w:tc>
          <w:tcPr>
            <w:tcW w:w="717" w:type="dxa"/>
            <w:noWrap/>
            <w:hideMark/>
          </w:tcPr>
          <w:p w14:paraId="4E1CCF08" w14:textId="4471B956" w:rsidR="00C80FA2" w:rsidRPr="00D520AC" w:rsidRDefault="00857A50" w:rsidP="00EF2495">
            <w:pPr>
              <w:cnfStyle w:val="100000000000" w:firstRow="1" w:lastRow="0" w:firstColumn="0" w:lastColumn="0" w:oddVBand="0" w:evenVBand="0" w:oddHBand="0" w:evenHBand="0" w:firstRowFirstColumn="0" w:firstRowLastColumn="0" w:lastRowFirstColumn="0" w:lastRowLastColumn="0"/>
              <w:rPr>
                <w:b w:val="0"/>
                <w:bCs w:val="0"/>
              </w:rPr>
            </w:pPr>
            <w:r>
              <w:t>Male</w:t>
            </w:r>
          </w:p>
        </w:tc>
        <w:tc>
          <w:tcPr>
            <w:cnfStyle w:val="000100001000" w:firstRow="0" w:lastRow="0" w:firstColumn="0" w:lastColumn="1" w:oddVBand="0" w:evenVBand="0" w:oddHBand="0" w:evenHBand="0" w:firstRowFirstColumn="0" w:firstRowLastColumn="1" w:lastRowFirstColumn="0" w:lastRowLastColumn="0"/>
            <w:tcW w:w="717" w:type="dxa"/>
            <w:tcBorders>
              <w:left w:val="none" w:sz="0" w:space="0" w:color="auto"/>
              <w:bottom w:val="none" w:sz="0" w:space="0" w:color="auto"/>
            </w:tcBorders>
            <w:noWrap/>
            <w:hideMark/>
          </w:tcPr>
          <w:p w14:paraId="423F375A" w14:textId="77777777" w:rsidR="00C80FA2" w:rsidRPr="00D520AC" w:rsidRDefault="00C80FA2" w:rsidP="00EF2495">
            <w:pPr>
              <w:rPr>
                <w:b w:val="0"/>
                <w:bCs w:val="0"/>
              </w:rPr>
            </w:pPr>
            <w:r w:rsidRPr="00D520AC">
              <w:t>Total</w:t>
            </w:r>
          </w:p>
        </w:tc>
      </w:tr>
      <w:tr w:rsidR="00C80FA2" w:rsidRPr="00EF2495" w14:paraId="00F2609B"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noWrap/>
            <w:hideMark/>
          </w:tcPr>
          <w:p w14:paraId="17404916" w14:textId="77777777" w:rsidR="00C80FA2" w:rsidRPr="00EF2495" w:rsidRDefault="00C80FA2" w:rsidP="00EF2495">
            <w:r w:rsidRPr="00EF2495">
              <w:t>01 - Natural and Physical Sciences</w:t>
            </w:r>
          </w:p>
        </w:tc>
        <w:tc>
          <w:tcPr>
            <w:cnfStyle w:val="000010000000" w:firstRow="0" w:lastRow="0" w:firstColumn="0" w:lastColumn="0" w:oddVBand="1" w:evenVBand="0" w:oddHBand="0" w:evenHBand="0" w:firstRowFirstColumn="0" w:firstRowLastColumn="0" w:lastRowFirstColumn="0" w:lastRowLastColumn="0"/>
            <w:tcW w:w="717" w:type="dxa"/>
            <w:tcBorders>
              <w:top w:val="none" w:sz="0" w:space="0" w:color="auto"/>
              <w:left w:val="none" w:sz="0" w:space="0" w:color="auto"/>
              <w:bottom w:val="none" w:sz="0" w:space="0" w:color="auto"/>
              <w:right w:val="none" w:sz="0" w:space="0" w:color="auto"/>
            </w:tcBorders>
            <w:noWrap/>
            <w:hideMark/>
          </w:tcPr>
          <w:p w14:paraId="18409BA0" w14:textId="77777777" w:rsidR="00C80FA2" w:rsidRPr="00EF2495" w:rsidRDefault="00C80FA2" w:rsidP="00EF2495">
            <w:r w:rsidRPr="00EF2495">
              <w:t>7%</w:t>
            </w:r>
          </w:p>
        </w:tc>
        <w:tc>
          <w:tcPr>
            <w:tcW w:w="717" w:type="dxa"/>
            <w:tcBorders>
              <w:top w:val="none" w:sz="0" w:space="0" w:color="auto"/>
              <w:bottom w:val="none" w:sz="0" w:space="0" w:color="auto"/>
            </w:tcBorders>
            <w:noWrap/>
            <w:hideMark/>
          </w:tcPr>
          <w:p w14:paraId="019EF94F"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12%</w:t>
            </w:r>
          </w:p>
        </w:tc>
        <w:tc>
          <w:tcPr>
            <w:cnfStyle w:val="000100000000" w:firstRow="0" w:lastRow="0" w:firstColumn="0" w:lastColumn="1" w:oddVBand="0" w:evenVBand="0" w:oddHBand="0" w:evenHBand="0" w:firstRowFirstColumn="0" w:firstRowLastColumn="0" w:lastRowFirstColumn="0" w:lastRowLastColumn="0"/>
            <w:tcW w:w="717" w:type="dxa"/>
            <w:tcBorders>
              <w:top w:val="none" w:sz="0" w:space="0" w:color="auto"/>
              <w:left w:val="none" w:sz="0" w:space="0" w:color="auto"/>
              <w:bottom w:val="none" w:sz="0" w:space="0" w:color="auto"/>
            </w:tcBorders>
            <w:noWrap/>
            <w:hideMark/>
          </w:tcPr>
          <w:p w14:paraId="4ACEF74F" w14:textId="77777777" w:rsidR="00C80FA2" w:rsidRPr="00EF2495" w:rsidRDefault="00C80FA2" w:rsidP="00EF2495">
            <w:r w:rsidRPr="00EF2495">
              <w:t>9%</w:t>
            </w:r>
          </w:p>
        </w:tc>
      </w:tr>
      <w:tr w:rsidR="00C80FA2" w:rsidRPr="00EF2495" w14:paraId="68B91E0A"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noWrap/>
            <w:hideMark/>
          </w:tcPr>
          <w:p w14:paraId="6D70BD26" w14:textId="77777777" w:rsidR="00C80FA2" w:rsidRPr="00EF2495" w:rsidRDefault="00C80FA2" w:rsidP="00EF2495">
            <w:r w:rsidRPr="00EF2495">
              <w:t>02 - Information Technology</w:t>
            </w:r>
          </w:p>
        </w:tc>
        <w:tc>
          <w:tcPr>
            <w:cnfStyle w:val="000010000000" w:firstRow="0" w:lastRow="0" w:firstColumn="0" w:lastColumn="0" w:oddVBand="1" w:evenVBand="0" w:oddHBand="0" w:evenHBand="0" w:firstRowFirstColumn="0" w:firstRowLastColumn="0" w:lastRowFirstColumn="0" w:lastRowLastColumn="0"/>
            <w:tcW w:w="717" w:type="dxa"/>
            <w:tcBorders>
              <w:left w:val="none" w:sz="0" w:space="0" w:color="auto"/>
              <w:right w:val="none" w:sz="0" w:space="0" w:color="auto"/>
            </w:tcBorders>
            <w:noWrap/>
            <w:hideMark/>
          </w:tcPr>
          <w:p w14:paraId="19154668" w14:textId="77777777" w:rsidR="00C80FA2" w:rsidRPr="00EF2495" w:rsidRDefault="00C80FA2" w:rsidP="00EF2495">
            <w:r w:rsidRPr="00EF2495">
              <w:t>2%</w:t>
            </w:r>
          </w:p>
        </w:tc>
        <w:tc>
          <w:tcPr>
            <w:tcW w:w="717" w:type="dxa"/>
            <w:noWrap/>
            <w:hideMark/>
          </w:tcPr>
          <w:p w14:paraId="603ABC80"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11%</w:t>
            </w:r>
          </w:p>
        </w:tc>
        <w:tc>
          <w:tcPr>
            <w:cnfStyle w:val="000100000000" w:firstRow="0" w:lastRow="0" w:firstColumn="0" w:lastColumn="1" w:oddVBand="0" w:evenVBand="0" w:oddHBand="0" w:evenHBand="0" w:firstRowFirstColumn="0" w:firstRowLastColumn="0" w:lastRowFirstColumn="0" w:lastRowLastColumn="0"/>
            <w:tcW w:w="717" w:type="dxa"/>
            <w:tcBorders>
              <w:left w:val="none" w:sz="0" w:space="0" w:color="auto"/>
            </w:tcBorders>
            <w:noWrap/>
            <w:hideMark/>
          </w:tcPr>
          <w:p w14:paraId="485E6798" w14:textId="77777777" w:rsidR="00C80FA2" w:rsidRPr="00EF2495" w:rsidRDefault="00C80FA2" w:rsidP="00EF2495">
            <w:r w:rsidRPr="00EF2495">
              <w:t>5%</w:t>
            </w:r>
          </w:p>
        </w:tc>
      </w:tr>
      <w:tr w:rsidR="00C80FA2" w:rsidRPr="00EF2495" w14:paraId="1697DC71"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noWrap/>
            <w:hideMark/>
          </w:tcPr>
          <w:p w14:paraId="20C24E16" w14:textId="77777777" w:rsidR="00C80FA2" w:rsidRPr="00EF2495" w:rsidRDefault="00C80FA2" w:rsidP="00EF2495">
            <w:r w:rsidRPr="00EF2495">
              <w:t>03 - Engineering and Related Technologies</w:t>
            </w:r>
          </w:p>
        </w:tc>
        <w:tc>
          <w:tcPr>
            <w:cnfStyle w:val="000010000000" w:firstRow="0" w:lastRow="0" w:firstColumn="0" w:lastColumn="0" w:oddVBand="1" w:evenVBand="0" w:oddHBand="0" w:evenHBand="0" w:firstRowFirstColumn="0" w:firstRowLastColumn="0" w:lastRowFirstColumn="0" w:lastRowLastColumn="0"/>
            <w:tcW w:w="717" w:type="dxa"/>
            <w:tcBorders>
              <w:top w:val="none" w:sz="0" w:space="0" w:color="auto"/>
              <w:left w:val="none" w:sz="0" w:space="0" w:color="auto"/>
              <w:bottom w:val="none" w:sz="0" w:space="0" w:color="auto"/>
              <w:right w:val="none" w:sz="0" w:space="0" w:color="auto"/>
            </w:tcBorders>
            <w:noWrap/>
            <w:hideMark/>
          </w:tcPr>
          <w:p w14:paraId="593A5D69" w14:textId="77777777" w:rsidR="00C80FA2" w:rsidRPr="00EF2495" w:rsidRDefault="00C80FA2" w:rsidP="00EF2495">
            <w:r w:rsidRPr="00EF2495">
              <w:t>3%</w:t>
            </w:r>
          </w:p>
        </w:tc>
        <w:tc>
          <w:tcPr>
            <w:tcW w:w="717" w:type="dxa"/>
            <w:tcBorders>
              <w:top w:val="none" w:sz="0" w:space="0" w:color="auto"/>
              <w:bottom w:val="none" w:sz="0" w:space="0" w:color="auto"/>
            </w:tcBorders>
            <w:noWrap/>
            <w:hideMark/>
          </w:tcPr>
          <w:p w14:paraId="2F1E608F"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9%</w:t>
            </w:r>
          </w:p>
        </w:tc>
        <w:tc>
          <w:tcPr>
            <w:cnfStyle w:val="000100000000" w:firstRow="0" w:lastRow="0" w:firstColumn="0" w:lastColumn="1" w:oddVBand="0" w:evenVBand="0" w:oddHBand="0" w:evenHBand="0" w:firstRowFirstColumn="0" w:firstRowLastColumn="0" w:lastRowFirstColumn="0" w:lastRowLastColumn="0"/>
            <w:tcW w:w="717" w:type="dxa"/>
            <w:tcBorders>
              <w:top w:val="none" w:sz="0" w:space="0" w:color="auto"/>
              <w:left w:val="none" w:sz="0" w:space="0" w:color="auto"/>
              <w:bottom w:val="none" w:sz="0" w:space="0" w:color="auto"/>
            </w:tcBorders>
            <w:noWrap/>
            <w:hideMark/>
          </w:tcPr>
          <w:p w14:paraId="3B6B1881" w14:textId="77777777" w:rsidR="00C80FA2" w:rsidRPr="00EF2495" w:rsidRDefault="00C80FA2" w:rsidP="00EF2495">
            <w:r w:rsidRPr="00EF2495">
              <w:t>5%</w:t>
            </w:r>
          </w:p>
        </w:tc>
      </w:tr>
      <w:tr w:rsidR="00C80FA2" w:rsidRPr="00EF2495" w14:paraId="1906EB77"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noWrap/>
            <w:hideMark/>
          </w:tcPr>
          <w:p w14:paraId="5AF08AC7" w14:textId="77777777" w:rsidR="00C80FA2" w:rsidRPr="00EF2495" w:rsidRDefault="00C80FA2" w:rsidP="00EF2495">
            <w:r w:rsidRPr="00EF2495">
              <w:lastRenderedPageBreak/>
              <w:t>04 - Architecture and Building</w:t>
            </w:r>
          </w:p>
        </w:tc>
        <w:tc>
          <w:tcPr>
            <w:cnfStyle w:val="000010000000" w:firstRow="0" w:lastRow="0" w:firstColumn="0" w:lastColumn="0" w:oddVBand="1" w:evenVBand="0" w:oddHBand="0" w:evenHBand="0" w:firstRowFirstColumn="0" w:firstRowLastColumn="0" w:lastRowFirstColumn="0" w:lastRowLastColumn="0"/>
            <w:tcW w:w="717" w:type="dxa"/>
            <w:tcBorders>
              <w:left w:val="none" w:sz="0" w:space="0" w:color="auto"/>
              <w:right w:val="none" w:sz="0" w:space="0" w:color="auto"/>
            </w:tcBorders>
            <w:noWrap/>
            <w:hideMark/>
          </w:tcPr>
          <w:p w14:paraId="5908E92E" w14:textId="77777777" w:rsidR="00C80FA2" w:rsidRPr="00EF2495" w:rsidRDefault="00C80FA2" w:rsidP="00EF2495">
            <w:r w:rsidRPr="00EF2495">
              <w:t>0%</w:t>
            </w:r>
          </w:p>
        </w:tc>
        <w:tc>
          <w:tcPr>
            <w:tcW w:w="717" w:type="dxa"/>
            <w:noWrap/>
            <w:hideMark/>
          </w:tcPr>
          <w:p w14:paraId="45E67156"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0%</w:t>
            </w:r>
          </w:p>
        </w:tc>
        <w:tc>
          <w:tcPr>
            <w:cnfStyle w:val="000100000000" w:firstRow="0" w:lastRow="0" w:firstColumn="0" w:lastColumn="1" w:oddVBand="0" w:evenVBand="0" w:oddHBand="0" w:evenHBand="0" w:firstRowFirstColumn="0" w:firstRowLastColumn="0" w:lastRowFirstColumn="0" w:lastRowLastColumn="0"/>
            <w:tcW w:w="717" w:type="dxa"/>
            <w:tcBorders>
              <w:left w:val="none" w:sz="0" w:space="0" w:color="auto"/>
            </w:tcBorders>
            <w:noWrap/>
            <w:hideMark/>
          </w:tcPr>
          <w:p w14:paraId="3496D219" w14:textId="77777777" w:rsidR="00C80FA2" w:rsidRPr="00EF2495" w:rsidRDefault="00C80FA2" w:rsidP="00EF2495">
            <w:r w:rsidRPr="00EF2495">
              <w:t>0%</w:t>
            </w:r>
          </w:p>
        </w:tc>
      </w:tr>
      <w:tr w:rsidR="00C80FA2" w:rsidRPr="00EF2495" w14:paraId="7D5324D2"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noWrap/>
            <w:hideMark/>
          </w:tcPr>
          <w:p w14:paraId="3983FAAA" w14:textId="77777777" w:rsidR="00C80FA2" w:rsidRPr="00EF2495" w:rsidRDefault="00C80FA2" w:rsidP="00EF2495">
            <w:r w:rsidRPr="00EF2495">
              <w:t>05 - Agriculture, Environmental and Related Studies</w:t>
            </w:r>
          </w:p>
        </w:tc>
        <w:tc>
          <w:tcPr>
            <w:cnfStyle w:val="000010000000" w:firstRow="0" w:lastRow="0" w:firstColumn="0" w:lastColumn="0" w:oddVBand="1" w:evenVBand="0" w:oddHBand="0" w:evenHBand="0" w:firstRowFirstColumn="0" w:firstRowLastColumn="0" w:lastRowFirstColumn="0" w:lastRowLastColumn="0"/>
            <w:tcW w:w="717" w:type="dxa"/>
            <w:tcBorders>
              <w:top w:val="none" w:sz="0" w:space="0" w:color="auto"/>
              <w:left w:val="none" w:sz="0" w:space="0" w:color="auto"/>
              <w:bottom w:val="none" w:sz="0" w:space="0" w:color="auto"/>
              <w:right w:val="none" w:sz="0" w:space="0" w:color="auto"/>
            </w:tcBorders>
            <w:noWrap/>
            <w:hideMark/>
          </w:tcPr>
          <w:p w14:paraId="17341BB6" w14:textId="77777777" w:rsidR="00C80FA2" w:rsidRPr="00EF2495" w:rsidRDefault="00C80FA2" w:rsidP="00EF2495">
            <w:r w:rsidRPr="00EF2495">
              <w:t>4%</w:t>
            </w:r>
          </w:p>
        </w:tc>
        <w:tc>
          <w:tcPr>
            <w:tcW w:w="717" w:type="dxa"/>
            <w:tcBorders>
              <w:top w:val="none" w:sz="0" w:space="0" w:color="auto"/>
              <w:bottom w:val="none" w:sz="0" w:space="0" w:color="auto"/>
            </w:tcBorders>
            <w:noWrap/>
            <w:hideMark/>
          </w:tcPr>
          <w:p w14:paraId="4517C153"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5%</w:t>
            </w:r>
          </w:p>
        </w:tc>
        <w:tc>
          <w:tcPr>
            <w:cnfStyle w:val="000100000000" w:firstRow="0" w:lastRow="0" w:firstColumn="0" w:lastColumn="1" w:oddVBand="0" w:evenVBand="0" w:oddHBand="0" w:evenHBand="0" w:firstRowFirstColumn="0" w:firstRowLastColumn="0" w:lastRowFirstColumn="0" w:lastRowLastColumn="0"/>
            <w:tcW w:w="717" w:type="dxa"/>
            <w:tcBorders>
              <w:top w:val="none" w:sz="0" w:space="0" w:color="auto"/>
              <w:left w:val="none" w:sz="0" w:space="0" w:color="auto"/>
              <w:bottom w:val="none" w:sz="0" w:space="0" w:color="auto"/>
            </w:tcBorders>
            <w:noWrap/>
            <w:hideMark/>
          </w:tcPr>
          <w:p w14:paraId="3B606D70" w14:textId="77777777" w:rsidR="00C80FA2" w:rsidRPr="00EF2495" w:rsidRDefault="00C80FA2" w:rsidP="00EF2495">
            <w:r w:rsidRPr="00EF2495">
              <w:t>5%</w:t>
            </w:r>
          </w:p>
        </w:tc>
      </w:tr>
      <w:tr w:rsidR="00C80FA2" w:rsidRPr="00EF2495" w14:paraId="006CBE6E"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noWrap/>
            <w:hideMark/>
          </w:tcPr>
          <w:p w14:paraId="79B882E6" w14:textId="77777777" w:rsidR="00C80FA2" w:rsidRPr="00EF2495" w:rsidRDefault="00C80FA2" w:rsidP="00EF2495">
            <w:r w:rsidRPr="00EF2495">
              <w:t>06 - Health</w:t>
            </w:r>
          </w:p>
        </w:tc>
        <w:tc>
          <w:tcPr>
            <w:cnfStyle w:val="000010000000" w:firstRow="0" w:lastRow="0" w:firstColumn="0" w:lastColumn="0" w:oddVBand="1" w:evenVBand="0" w:oddHBand="0" w:evenHBand="0" w:firstRowFirstColumn="0" w:firstRowLastColumn="0" w:lastRowFirstColumn="0" w:lastRowLastColumn="0"/>
            <w:tcW w:w="717" w:type="dxa"/>
            <w:tcBorders>
              <w:left w:val="none" w:sz="0" w:space="0" w:color="auto"/>
              <w:right w:val="none" w:sz="0" w:space="0" w:color="auto"/>
            </w:tcBorders>
            <w:noWrap/>
            <w:hideMark/>
          </w:tcPr>
          <w:p w14:paraId="3682A013" w14:textId="77777777" w:rsidR="00C80FA2" w:rsidRPr="00EF2495" w:rsidRDefault="00C80FA2" w:rsidP="00EF2495">
            <w:r w:rsidRPr="00EF2495">
              <w:t>31%</w:t>
            </w:r>
          </w:p>
        </w:tc>
        <w:tc>
          <w:tcPr>
            <w:tcW w:w="717" w:type="dxa"/>
            <w:noWrap/>
            <w:hideMark/>
          </w:tcPr>
          <w:p w14:paraId="4C43CFBE"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27%</w:t>
            </w:r>
          </w:p>
        </w:tc>
        <w:tc>
          <w:tcPr>
            <w:cnfStyle w:val="000100000000" w:firstRow="0" w:lastRow="0" w:firstColumn="0" w:lastColumn="1" w:oddVBand="0" w:evenVBand="0" w:oddHBand="0" w:evenHBand="0" w:firstRowFirstColumn="0" w:firstRowLastColumn="0" w:lastRowFirstColumn="0" w:lastRowLastColumn="0"/>
            <w:tcW w:w="717" w:type="dxa"/>
            <w:tcBorders>
              <w:left w:val="none" w:sz="0" w:space="0" w:color="auto"/>
            </w:tcBorders>
            <w:noWrap/>
            <w:hideMark/>
          </w:tcPr>
          <w:p w14:paraId="608599DE" w14:textId="77777777" w:rsidR="00C80FA2" w:rsidRPr="00EF2495" w:rsidRDefault="00C80FA2" w:rsidP="00EF2495">
            <w:r w:rsidRPr="00EF2495">
              <w:t>29%</w:t>
            </w:r>
          </w:p>
        </w:tc>
      </w:tr>
      <w:tr w:rsidR="00C80FA2" w:rsidRPr="00EF2495" w14:paraId="042B5D7E"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noWrap/>
            <w:hideMark/>
          </w:tcPr>
          <w:p w14:paraId="66D24133" w14:textId="77777777" w:rsidR="00C80FA2" w:rsidRPr="00EF2495" w:rsidRDefault="00C80FA2" w:rsidP="00EF2495">
            <w:r w:rsidRPr="00EF2495">
              <w:t>07 - Education</w:t>
            </w:r>
          </w:p>
        </w:tc>
        <w:tc>
          <w:tcPr>
            <w:cnfStyle w:val="000010000000" w:firstRow="0" w:lastRow="0" w:firstColumn="0" w:lastColumn="0" w:oddVBand="1" w:evenVBand="0" w:oddHBand="0" w:evenHBand="0" w:firstRowFirstColumn="0" w:firstRowLastColumn="0" w:lastRowFirstColumn="0" w:lastRowLastColumn="0"/>
            <w:tcW w:w="717" w:type="dxa"/>
            <w:tcBorders>
              <w:top w:val="none" w:sz="0" w:space="0" w:color="auto"/>
              <w:left w:val="none" w:sz="0" w:space="0" w:color="auto"/>
              <w:bottom w:val="none" w:sz="0" w:space="0" w:color="auto"/>
              <w:right w:val="none" w:sz="0" w:space="0" w:color="auto"/>
            </w:tcBorders>
            <w:noWrap/>
            <w:hideMark/>
          </w:tcPr>
          <w:p w14:paraId="2B1C270F" w14:textId="77777777" w:rsidR="00C80FA2" w:rsidRPr="00EF2495" w:rsidRDefault="00C80FA2" w:rsidP="00EF2495">
            <w:r w:rsidRPr="00EF2495">
              <w:t>9%</w:t>
            </w:r>
          </w:p>
        </w:tc>
        <w:tc>
          <w:tcPr>
            <w:tcW w:w="717" w:type="dxa"/>
            <w:tcBorders>
              <w:top w:val="none" w:sz="0" w:space="0" w:color="auto"/>
              <w:bottom w:val="none" w:sz="0" w:space="0" w:color="auto"/>
            </w:tcBorders>
            <w:noWrap/>
            <w:hideMark/>
          </w:tcPr>
          <w:p w14:paraId="72132E1B"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9%</w:t>
            </w:r>
          </w:p>
        </w:tc>
        <w:tc>
          <w:tcPr>
            <w:cnfStyle w:val="000100000000" w:firstRow="0" w:lastRow="0" w:firstColumn="0" w:lastColumn="1" w:oddVBand="0" w:evenVBand="0" w:oddHBand="0" w:evenHBand="0" w:firstRowFirstColumn="0" w:firstRowLastColumn="0" w:lastRowFirstColumn="0" w:lastRowLastColumn="0"/>
            <w:tcW w:w="717" w:type="dxa"/>
            <w:tcBorders>
              <w:top w:val="none" w:sz="0" w:space="0" w:color="auto"/>
              <w:left w:val="none" w:sz="0" w:space="0" w:color="auto"/>
              <w:bottom w:val="none" w:sz="0" w:space="0" w:color="auto"/>
            </w:tcBorders>
            <w:noWrap/>
            <w:hideMark/>
          </w:tcPr>
          <w:p w14:paraId="64DCC2D5" w14:textId="77777777" w:rsidR="00C80FA2" w:rsidRPr="00EF2495" w:rsidRDefault="00C80FA2" w:rsidP="00EF2495">
            <w:r w:rsidRPr="00EF2495">
              <w:t>9%</w:t>
            </w:r>
          </w:p>
        </w:tc>
      </w:tr>
      <w:tr w:rsidR="00C80FA2" w:rsidRPr="00EF2495" w14:paraId="6D44320C"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noWrap/>
            <w:hideMark/>
          </w:tcPr>
          <w:p w14:paraId="0EAE64C5" w14:textId="77777777" w:rsidR="00C80FA2" w:rsidRPr="00EF2495" w:rsidRDefault="00C80FA2" w:rsidP="00EF2495">
            <w:r w:rsidRPr="00EF2495">
              <w:t>08 - Management and Commerce</w:t>
            </w:r>
          </w:p>
        </w:tc>
        <w:tc>
          <w:tcPr>
            <w:cnfStyle w:val="000010000000" w:firstRow="0" w:lastRow="0" w:firstColumn="0" w:lastColumn="0" w:oddVBand="1" w:evenVBand="0" w:oddHBand="0" w:evenHBand="0" w:firstRowFirstColumn="0" w:firstRowLastColumn="0" w:lastRowFirstColumn="0" w:lastRowLastColumn="0"/>
            <w:tcW w:w="717" w:type="dxa"/>
            <w:tcBorders>
              <w:left w:val="none" w:sz="0" w:space="0" w:color="auto"/>
              <w:right w:val="none" w:sz="0" w:space="0" w:color="auto"/>
            </w:tcBorders>
            <w:noWrap/>
            <w:hideMark/>
          </w:tcPr>
          <w:p w14:paraId="535CA3AB" w14:textId="77777777" w:rsidR="00C80FA2" w:rsidRPr="00EF2495" w:rsidRDefault="00C80FA2" w:rsidP="00EF2495">
            <w:r w:rsidRPr="00EF2495">
              <w:t>21%</w:t>
            </w:r>
          </w:p>
        </w:tc>
        <w:tc>
          <w:tcPr>
            <w:tcW w:w="717" w:type="dxa"/>
            <w:noWrap/>
            <w:hideMark/>
          </w:tcPr>
          <w:p w14:paraId="23FFC99D"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16%</w:t>
            </w:r>
          </w:p>
        </w:tc>
        <w:tc>
          <w:tcPr>
            <w:cnfStyle w:val="000100000000" w:firstRow="0" w:lastRow="0" w:firstColumn="0" w:lastColumn="1" w:oddVBand="0" w:evenVBand="0" w:oddHBand="0" w:evenHBand="0" w:firstRowFirstColumn="0" w:firstRowLastColumn="0" w:lastRowFirstColumn="0" w:lastRowLastColumn="0"/>
            <w:tcW w:w="717" w:type="dxa"/>
            <w:tcBorders>
              <w:left w:val="none" w:sz="0" w:space="0" w:color="auto"/>
            </w:tcBorders>
            <w:noWrap/>
            <w:hideMark/>
          </w:tcPr>
          <w:p w14:paraId="26E6547E" w14:textId="77777777" w:rsidR="00C80FA2" w:rsidRPr="00EF2495" w:rsidRDefault="00C80FA2" w:rsidP="00EF2495">
            <w:r w:rsidRPr="00EF2495">
              <w:t>19%</w:t>
            </w:r>
          </w:p>
        </w:tc>
      </w:tr>
      <w:tr w:rsidR="00C80FA2" w:rsidRPr="00EF2495" w14:paraId="7F3D9160"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noWrap/>
            <w:hideMark/>
          </w:tcPr>
          <w:p w14:paraId="6C40F31D" w14:textId="77777777" w:rsidR="00C80FA2" w:rsidRPr="00EF2495" w:rsidRDefault="00C80FA2" w:rsidP="00EF2495">
            <w:r w:rsidRPr="00EF2495">
              <w:t>09 - Society and Culture (Law)</w:t>
            </w:r>
          </w:p>
        </w:tc>
        <w:tc>
          <w:tcPr>
            <w:cnfStyle w:val="000010000000" w:firstRow="0" w:lastRow="0" w:firstColumn="0" w:lastColumn="0" w:oddVBand="1" w:evenVBand="0" w:oddHBand="0" w:evenHBand="0" w:firstRowFirstColumn="0" w:firstRowLastColumn="0" w:lastRowFirstColumn="0" w:lastRowLastColumn="0"/>
            <w:tcW w:w="717" w:type="dxa"/>
            <w:tcBorders>
              <w:top w:val="none" w:sz="0" w:space="0" w:color="auto"/>
              <w:left w:val="none" w:sz="0" w:space="0" w:color="auto"/>
              <w:bottom w:val="none" w:sz="0" w:space="0" w:color="auto"/>
              <w:right w:val="none" w:sz="0" w:space="0" w:color="auto"/>
            </w:tcBorders>
            <w:noWrap/>
            <w:hideMark/>
          </w:tcPr>
          <w:p w14:paraId="12BB8A03" w14:textId="77777777" w:rsidR="00C80FA2" w:rsidRPr="00EF2495" w:rsidRDefault="00C80FA2" w:rsidP="00EF2495">
            <w:r w:rsidRPr="00EF2495">
              <w:t>7%</w:t>
            </w:r>
          </w:p>
        </w:tc>
        <w:tc>
          <w:tcPr>
            <w:tcW w:w="717" w:type="dxa"/>
            <w:tcBorders>
              <w:top w:val="none" w:sz="0" w:space="0" w:color="auto"/>
              <w:bottom w:val="none" w:sz="0" w:space="0" w:color="auto"/>
            </w:tcBorders>
            <w:noWrap/>
            <w:hideMark/>
          </w:tcPr>
          <w:p w14:paraId="3FAA4CE9"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5%</w:t>
            </w:r>
          </w:p>
        </w:tc>
        <w:tc>
          <w:tcPr>
            <w:cnfStyle w:val="000100000000" w:firstRow="0" w:lastRow="0" w:firstColumn="0" w:lastColumn="1" w:oddVBand="0" w:evenVBand="0" w:oddHBand="0" w:evenHBand="0" w:firstRowFirstColumn="0" w:firstRowLastColumn="0" w:lastRowFirstColumn="0" w:lastRowLastColumn="0"/>
            <w:tcW w:w="717" w:type="dxa"/>
            <w:tcBorders>
              <w:top w:val="none" w:sz="0" w:space="0" w:color="auto"/>
              <w:left w:val="none" w:sz="0" w:space="0" w:color="auto"/>
              <w:bottom w:val="none" w:sz="0" w:space="0" w:color="auto"/>
            </w:tcBorders>
            <w:noWrap/>
            <w:hideMark/>
          </w:tcPr>
          <w:p w14:paraId="03556CDA" w14:textId="77777777" w:rsidR="00C80FA2" w:rsidRPr="00EF2495" w:rsidRDefault="00C80FA2" w:rsidP="00EF2495">
            <w:r w:rsidRPr="00EF2495">
              <w:t>6%</w:t>
            </w:r>
          </w:p>
        </w:tc>
      </w:tr>
      <w:tr w:rsidR="00C80FA2" w:rsidRPr="00EF2495" w14:paraId="0870F630"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noWrap/>
            <w:hideMark/>
          </w:tcPr>
          <w:p w14:paraId="77FF1A31" w14:textId="77777777" w:rsidR="00C80FA2" w:rsidRPr="00EF2495" w:rsidRDefault="00C80FA2" w:rsidP="00EF2495">
            <w:r w:rsidRPr="00EF2495">
              <w:t>09 - Society and Culture (Other)</w:t>
            </w:r>
          </w:p>
        </w:tc>
        <w:tc>
          <w:tcPr>
            <w:cnfStyle w:val="000010000000" w:firstRow="0" w:lastRow="0" w:firstColumn="0" w:lastColumn="0" w:oddVBand="1" w:evenVBand="0" w:oddHBand="0" w:evenHBand="0" w:firstRowFirstColumn="0" w:firstRowLastColumn="0" w:lastRowFirstColumn="0" w:lastRowLastColumn="0"/>
            <w:tcW w:w="717" w:type="dxa"/>
            <w:tcBorders>
              <w:left w:val="none" w:sz="0" w:space="0" w:color="auto"/>
              <w:right w:val="none" w:sz="0" w:space="0" w:color="auto"/>
            </w:tcBorders>
            <w:noWrap/>
            <w:hideMark/>
          </w:tcPr>
          <w:p w14:paraId="109CC68F" w14:textId="77777777" w:rsidR="00C80FA2" w:rsidRPr="00EF2495" w:rsidRDefault="00C80FA2" w:rsidP="00EF2495">
            <w:r w:rsidRPr="00EF2495">
              <w:t>15%</w:t>
            </w:r>
          </w:p>
        </w:tc>
        <w:tc>
          <w:tcPr>
            <w:tcW w:w="717" w:type="dxa"/>
            <w:noWrap/>
            <w:hideMark/>
          </w:tcPr>
          <w:p w14:paraId="697A200F"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6%</w:t>
            </w:r>
          </w:p>
        </w:tc>
        <w:tc>
          <w:tcPr>
            <w:cnfStyle w:val="000100000000" w:firstRow="0" w:lastRow="0" w:firstColumn="0" w:lastColumn="1" w:oddVBand="0" w:evenVBand="0" w:oddHBand="0" w:evenHBand="0" w:firstRowFirstColumn="0" w:firstRowLastColumn="0" w:lastRowFirstColumn="0" w:lastRowLastColumn="0"/>
            <w:tcW w:w="717" w:type="dxa"/>
            <w:tcBorders>
              <w:left w:val="none" w:sz="0" w:space="0" w:color="auto"/>
            </w:tcBorders>
            <w:noWrap/>
            <w:hideMark/>
          </w:tcPr>
          <w:p w14:paraId="0D2CBD90" w14:textId="77777777" w:rsidR="00C80FA2" w:rsidRPr="00EF2495" w:rsidRDefault="00C80FA2" w:rsidP="00EF2495">
            <w:r w:rsidRPr="00EF2495">
              <w:t>12%</w:t>
            </w:r>
          </w:p>
        </w:tc>
      </w:tr>
      <w:tr w:rsidR="00C80FA2" w:rsidRPr="00EF2495" w14:paraId="5D175309"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noWrap/>
            <w:hideMark/>
          </w:tcPr>
          <w:p w14:paraId="70A13DBE" w14:textId="77777777" w:rsidR="00C80FA2" w:rsidRPr="00EF2495" w:rsidRDefault="00C80FA2" w:rsidP="00EF2495">
            <w:r w:rsidRPr="00EF2495">
              <w:t>10 - Creative Arts</w:t>
            </w:r>
          </w:p>
        </w:tc>
        <w:tc>
          <w:tcPr>
            <w:cnfStyle w:val="000010000000" w:firstRow="0" w:lastRow="0" w:firstColumn="0" w:lastColumn="0" w:oddVBand="1" w:evenVBand="0" w:oddHBand="0" w:evenHBand="0" w:firstRowFirstColumn="0" w:firstRowLastColumn="0" w:lastRowFirstColumn="0" w:lastRowLastColumn="0"/>
            <w:tcW w:w="717" w:type="dxa"/>
            <w:tcBorders>
              <w:top w:val="none" w:sz="0" w:space="0" w:color="auto"/>
              <w:left w:val="none" w:sz="0" w:space="0" w:color="auto"/>
              <w:bottom w:val="none" w:sz="0" w:space="0" w:color="auto"/>
              <w:right w:val="none" w:sz="0" w:space="0" w:color="auto"/>
            </w:tcBorders>
            <w:noWrap/>
            <w:hideMark/>
          </w:tcPr>
          <w:p w14:paraId="74CA859A" w14:textId="77777777" w:rsidR="00C80FA2" w:rsidRPr="00EF2495" w:rsidRDefault="00C80FA2" w:rsidP="00EF2495">
            <w:r w:rsidRPr="00EF2495">
              <w:t>1%</w:t>
            </w:r>
          </w:p>
        </w:tc>
        <w:tc>
          <w:tcPr>
            <w:tcW w:w="717" w:type="dxa"/>
            <w:tcBorders>
              <w:top w:val="none" w:sz="0" w:space="0" w:color="auto"/>
              <w:bottom w:val="none" w:sz="0" w:space="0" w:color="auto"/>
            </w:tcBorders>
            <w:noWrap/>
            <w:hideMark/>
          </w:tcPr>
          <w:p w14:paraId="18744E39"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w:t>
            </w:r>
          </w:p>
        </w:tc>
        <w:tc>
          <w:tcPr>
            <w:cnfStyle w:val="000100000000" w:firstRow="0" w:lastRow="0" w:firstColumn="0" w:lastColumn="1" w:oddVBand="0" w:evenVBand="0" w:oddHBand="0" w:evenHBand="0" w:firstRowFirstColumn="0" w:firstRowLastColumn="0" w:lastRowFirstColumn="0" w:lastRowLastColumn="0"/>
            <w:tcW w:w="717" w:type="dxa"/>
            <w:tcBorders>
              <w:top w:val="none" w:sz="0" w:space="0" w:color="auto"/>
              <w:left w:val="none" w:sz="0" w:space="0" w:color="auto"/>
              <w:bottom w:val="none" w:sz="0" w:space="0" w:color="auto"/>
            </w:tcBorders>
            <w:noWrap/>
            <w:hideMark/>
          </w:tcPr>
          <w:p w14:paraId="40E99C20" w14:textId="77777777" w:rsidR="00C80FA2" w:rsidRPr="00EF2495" w:rsidRDefault="00C80FA2" w:rsidP="00EF2495">
            <w:r w:rsidRPr="00EF2495">
              <w:t>1%</w:t>
            </w:r>
          </w:p>
        </w:tc>
      </w:tr>
      <w:tr w:rsidR="00C80FA2" w:rsidRPr="00EF2495" w14:paraId="320B4136" w14:textId="77777777" w:rsidTr="008A2BAB">
        <w:trPr>
          <w:cnfStyle w:val="010000000000" w:firstRow="0" w:lastRow="1" w:firstColumn="0" w:lastColumn="0" w:oddVBand="0" w:evenVBand="0" w:oddHBand="0" w:evenHBand="0" w:firstRowFirstColumn="0" w:firstRowLastColumn="0" w:lastRowFirstColumn="0" w:lastRowLastColumn="0"/>
          <w:trHeight w:val="290"/>
        </w:trPr>
        <w:tc>
          <w:tcPr>
            <w:cnfStyle w:val="001000000001" w:firstRow="0" w:lastRow="0" w:firstColumn="1" w:lastColumn="0" w:oddVBand="0" w:evenVBand="0" w:oddHBand="0" w:evenHBand="0" w:firstRowFirstColumn="0" w:firstRowLastColumn="0" w:lastRowFirstColumn="1" w:lastRowLastColumn="0"/>
            <w:tcW w:w="5103" w:type="dxa"/>
            <w:tcBorders>
              <w:top w:val="none" w:sz="0" w:space="0" w:color="auto"/>
              <w:right w:val="none" w:sz="0" w:space="0" w:color="auto"/>
            </w:tcBorders>
            <w:noWrap/>
            <w:hideMark/>
          </w:tcPr>
          <w:p w14:paraId="62D9712F" w14:textId="77777777" w:rsidR="00C80FA2" w:rsidRPr="00EF2495" w:rsidRDefault="00C80FA2" w:rsidP="00EF2495">
            <w:r w:rsidRPr="00EF2495">
              <w:t>Total</w:t>
            </w:r>
          </w:p>
        </w:tc>
        <w:tc>
          <w:tcPr>
            <w:cnfStyle w:val="000010000000" w:firstRow="0" w:lastRow="0" w:firstColumn="0" w:lastColumn="0" w:oddVBand="1" w:evenVBand="0" w:oddHBand="0" w:evenHBand="0" w:firstRowFirstColumn="0" w:firstRowLastColumn="0" w:lastRowFirstColumn="0" w:lastRowLastColumn="0"/>
            <w:tcW w:w="717" w:type="dxa"/>
            <w:tcBorders>
              <w:top w:val="none" w:sz="0" w:space="0" w:color="auto"/>
              <w:left w:val="none" w:sz="0" w:space="0" w:color="auto"/>
              <w:right w:val="none" w:sz="0" w:space="0" w:color="auto"/>
            </w:tcBorders>
            <w:noWrap/>
            <w:hideMark/>
          </w:tcPr>
          <w:p w14:paraId="4AD80E03" w14:textId="77777777" w:rsidR="00C80FA2" w:rsidRPr="00EF2495" w:rsidRDefault="00C80FA2" w:rsidP="00EF2495">
            <w:r w:rsidRPr="00EF2495">
              <w:t>100%</w:t>
            </w:r>
          </w:p>
        </w:tc>
        <w:tc>
          <w:tcPr>
            <w:tcW w:w="717" w:type="dxa"/>
            <w:tcBorders>
              <w:top w:val="none" w:sz="0" w:space="0" w:color="auto"/>
            </w:tcBorders>
            <w:noWrap/>
            <w:hideMark/>
          </w:tcPr>
          <w:p w14:paraId="5D9E5F2E"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100%</w:t>
            </w:r>
          </w:p>
        </w:tc>
        <w:tc>
          <w:tcPr>
            <w:cnfStyle w:val="000100000010" w:firstRow="0" w:lastRow="0" w:firstColumn="0" w:lastColumn="1" w:oddVBand="0" w:evenVBand="0" w:oddHBand="0" w:evenHBand="0" w:firstRowFirstColumn="0" w:firstRowLastColumn="0" w:lastRowFirstColumn="0" w:lastRowLastColumn="1"/>
            <w:tcW w:w="717" w:type="dxa"/>
            <w:tcBorders>
              <w:top w:val="none" w:sz="0" w:space="0" w:color="auto"/>
              <w:left w:val="none" w:sz="0" w:space="0" w:color="auto"/>
            </w:tcBorders>
            <w:noWrap/>
            <w:hideMark/>
          </w:tcPr>
          <w:p w14:paraId="1FB65C9A" w14:textId="77777777" w:rsidR="00C80FA2" w:rsidRPr="00EF2495" w:rsidRDefault="00C80FA2" w:rsidP="00EF2495">
            <w:r w:rsidRPr="00EF2495">
              <w:t>100%</w:t>
            </w:r>
          </w:p>
        </w:tc>
      </w:tr>
    </w:tbl>
    <w:p w14:paraId="044769A4" w14:textId="01C1CC7A" w:rsidR="00C80FA2" w:rsidRPr="00EF2495" w:rsidRDefault="00C80FA2" w:rsidP="00EF2495">
      <w:pPr>
        <w:rPr>
          <w:lang w:val="en-US" w:eastAsia="en-AU"/>
        </w:rPr>
      </w:pPr>
    </w:p>
    <w:p w14:paraId="659EDA7C" w14:textId="77777777" w:rsidR="00C80FA2" w:rsidRPr="00EF2495" w:rsidRDefault="00C80FA2" w:rsidP="00EF2495">
      <w:pPr>
        <w:rPr>
          <w:lang w:eastAsia="en-AU"/>
        </w:rPr>
      </w:pPr>
      <w:r w:rsidRPr="00EF2495">
        <w:rPr>
          <w:lang w:eastAsia="en-AU"/>
        </w:rPr>
        <w:t>Number and percentage of total Australia Awards allocated to priority areas at a country level (core global indicator 1.3)</w:t>
      </w:r>
    </w:p>
    <w:p w14:paraId="57D2480A" w14:textId="0A49FDFF" w:rsidR="00C80FA2" w:rsidRPr="00EF2495" w:rsidRDefault="00C80FA2" w:rsidP="00EF2495">
      <w:r w:rsidRPr="00EF2495">
        <w:t>The governments of Australia and Tonga regularly together review the priority areas of study for the A</w:t>
      </w:r>
      <w:r w:rsidR="00AC3CC8" w:rsidRPr="00EF2495">
        <w:t xml:space="preserve">ustralia </w:t>
      </w:r>
      <w:r w:rsidRPr="00EF2495">
        <w:t>A</w:t>
      </w:r>
      <w:r w:rsidR="00AC3CC8" w:rsidRPr="00EF2495">
        <w:t>wards</w:t>
      </w:r>
      <w:r w:rsidRPr="00EF2495">
        <w:t xml:space="preserve"> to adjust the emphasis of the program.  As the priority areas have changed since 2001, it was not possible within the time available to analyses the allocation to the priority areas at the time the awards were offered. Instead, the analysis compares the percentage allocation of awards to the priority field of studies identified in:</w:t>
      </w:r>
    </w:p>
    <w:p w14:paraId="39228C30" w14:textId="6810954C" w:rsidR="00C80FA2" w:rsidRPr="00EF2495" w:rsidRDefault="00C80FA2" w:rsidP="00EF2495">
      <w:pPr>
        <w:rPr>
          <w:lang w:eastAsia="en-AU"/>
        </w:rPr>
      </w:pPr>
      <w:r w:rsidRPr="00EF2495">
        <w:t xml:space="preserve"> </w:t>
      </w:r>
      <w:r w:rsidRPr="00EF2495">
        <w:rPr>
          <w:lang w:eastAsia="en-AU"/>
        </w:rPr>
        <w:t xml:space="preserve">The </w:t>
      </w:r>
      <w:r w:rsidRPr="00EF2495">
        <w:t xml:space="preserve">Development Cooperation Factsheet, May 2024 indicates priorities for Tonga in areas </w:t>
      </w:r>
      <w:r w:rsidR="0000231A" w:rsidRPr="00EF2495">
        <w:t>of</w:t>
      </w:r>
      <w:r w:rsidRPr="00EF2495">
        <w:t xml:space="preserve"> economic sustainability, energy, security, infrastructure, social inclusion, health, education, climate change resilience, disaster preparedness and response, aviation, and agriculture.  The percentage of awards offered for these priority fields of study for the 2001-2024 intakes was 49% (and 46% for the 2024 intake).</w:t>
      </w:r>
    </w:p>
    <w:p w14:paraId="4408D89C" w14:textId="1F2E0590" w:rsidR="002E4577" w:rsidRPr="00EF2495" w:rsidRDefault="00C80FA2" w:rsidP="00EF2495">
      <w:r w:rsidRPr="00EF2495">
        <w:t>The priority areas targeted for the promotion of the Australia Awards for the 2025 intake were: Governance and Economics – including governance, public policy, economics, public financial management, and accounting; Health – all clinical qualifications, community and public health, and allied health qualifications particularly physiotherapy, speech therapy, occupational therapy, exercise physiology, and nutrition and dietetics; Infrastructure – engineering, surveying, and aviation policy and management;  Sciences – all scientific fields, including environmental management, agriculture, aquaculture / fisheries, energy, and climate change and disaster preparedness and resilience;  Education – teaching qualifications, policy and management; Information Technology and Cyber Security; Community Development and Inclusion – community and social development, including gender equality studies and disability inclusion; Journalism and media. The percentage of awards offered for these priority fields of study for the 2001-2024 intakes was 78% (and 75% for the 2024 intake).</w:t>
      </w:r>
    </w:p>
    <w:p w14:paraId="43C00DA5" w14:textId="552F1F73" w:rsidR="00C80FA2" w:rsidRPr="00EF2495" w:rsidRDefault="00C80FA2" w:rsidP="00EF2495">
      <w:pPr>
        <w:rPr>
          <w:lang w:val="en-US" w:eastAsia="en-AU"/>
        </w:rPr>
      </w:pPr>
      <w:r w:rsidRPr="00EF2495">
        <w:rPr>
          <w:lang w:val="en-US" w:eastAsia="en-AU"/>
        </w:rPr>
        <w:lastRenderedPageBreak/>
        <w:t xml:space="preserve">Table </w:t>
      </w:r>
      <w:r w:rsidRPr="00EF2495">
        <w:rPr>
          <w:lang w:val="en-US" w:eastAsia="en-AU"/>
        </w:rPr>
        <w:fldChar w:fldCharType="begin"/>
      </w:r>
      <w:r w:rsidRPr="00EF2495">
        <w:rPr>
          <w:lang w:val="en-US" w:eastAsia="en-AU"/>
        </w:rPr>
        <w:instrText xml:space="preserve"> SEQ Table \* ARABIC </w:instrText>
      </w:r>
      <w:r w:rsidRPr="00EF2495">
        <w:rPr>
          <w:lang w:val="en-US" w:eastAsia="en-AU"/>
        </w:rPr>
        <w:fldChar w:fldCharType="separate"/>
      </w:r>
      <w:r w:rsidR="003B4A8A" w:rsidRPr="00EF2495">
        <w:rPr>
          <w:lang w:val="en-US" w:eastAsia="en-AU"/>
        </w:rPr>
        <w:t>13</w:t>
      </w:r>
      <w:r w:rsidRPr="00EF2495">
        <w:rPr>
          <w:lang w:val="en-US" w:eastAsia="en-AU"/>
        </w:rPr>
        <w:fldChar w:fldCharType="end"/>
      </w:r>
      <w:r w:rsidRPr="00EF2495">
        <w:rPr>
          <w:lang w:val="en-US" w:eastAsia="en-AU"/>
        </w:rPr>
        <w:t xml:space="preserve">:   Award offers by broad field of education (and whether an award </w:t>
      </w:r>
      <w:r w:rsidR="00363E16" w:rsidRPr="00EF2495">
        <w:rPr>
          <w:lang w:val="en-US" w:eastAsia="en-AU"/>
        </w:rPr>
        <w:br/>
      </w:r>
      <w:r w:rsidRPr="00EF2495">
        <w:rPr>
          <w:lang w:val="en-US" w:eastAsia="en-AU"/>
        </w:rPr>
        <w:t>priority area – 2025 intake)</w:t>
      </w:r>
    </w:p>
    <w:tbl>
      <w:tblPr>
        <w:tblStyle w:val="ListTable3"/>
        <w:tblW w:w="7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0"/>
        <w:gridCol w:w="1020"/>
        <w:gridCol w:w="803"/>
        <w:gridCol w:w="742"/>
      </w:tblGrid>
      <w:tr w:rsidR="002D459B" w:rsidRPr="00EF2495" w14:paraId="5136F858" w14:textId="77777777" w:rsidTr="00EA56B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4680" w:type="dxa"/>
            <w:tcBorders>
              <w:bottom w:val="none" w:sz="0" w:space="0" w:color="auto"/>
              <w:right w:val="none" w:sz="0" w:space="0" w:color="auto"/>
            </w:tcBorders>
            <w:noWrap/>
            <w:hideMark/>
          </w:tcPr>
          <w:p w14:paraId="39D85326" w14:textId="77777777" w:rsidR="00C80FA2" w:rsidRPr="00AA65C6" w:rsidRDefault="00C80FA2" w:rsidP="00EF2495">
            <w:pPr>
              <w:rPr>
                <w:b w:val="0"/>
                <w:bCs w:val="0"/>
              </w:rPr>
            </w:pPr>
            <w:r w:rsidRPr="00AA65C6">
              <w:t>Broad field of study</w:t>
            </w:r>
          </w:p>
        </w:tc>
        <w:tc>
          <w:tcPr>
            <w:cnfStyle w:val="000010000000" w:firstRow="0" w:lastRow="0" w:firstColumn="0" w:lastColumn="0" w:oddVBand="1" w:evenVBand="0" w:oddHBand="0" w:evenHBand="0" w:firstRowFirstColumn="0" w:firstRowLastColumn="0" w:lastRowFirstColumn="0" w:lastRowLastColumn="0"/>
            <w:tcW w:w="1020" w:type="dxa"/>
            <w:tcBorders>
              <w:left w:val="none" w:sz="0" w:space="0" w:color="auto"/>
              <w:right w:val="none" w:sz="0" w:space="0" w:color="auto"/>
            </w:tcBorders>
            <w:noWrap/>
            <w:hideMark/>
          </w:tcPr>
          <w:p w14:paraId="3AFABB56" w14:textId="77777777" w:rsidR="00C80FA2" w:rsidRPr="00AA65C6" w:rsidRDefault="00C80FA2" w:rsidP="00EF2495">
            <w:pPr>
              <w:rPr>
                <w:b w:val="0"/>
                <w:bCs w:val="0"/>
              </w:rPr>
            </w:pPr>
            <w:r w:rsidRPr="00AA65C6">
              <w:t>Yes</w:t>
            </w:r>
          </w:p>
        </w:tc>
        <w:tc>
          <w:tcPr>
            <w:tcW w:w="732" w:type="dxa"/>
            <w:noWrap/>
            <w:hideMark/>
          </w:tcPr>
          <w:p w14:paraId="3FF1A69D" w14:textId="77777777" w:rsidR="00C80FA2" w:rsidRPr="00AA65C6" w:rsidRDefault="00C80FA2" w:rsidP="00EF2495">
            <w:pPr>
              <w:cnfStyle w:val="100000000000" w:firstRow="1" w:lastRow="0" w:firstColumn="0" w:lastColumn="0" w:oddVBand="0" w:evenVBand="0" w:oddHBand="0" w:evenHBand="0" w:firstRowFirstColumn="0" w:firstRowLastColumn="0" w:lastRowFirstColumn="0" w:lastRowLastColumn="0"/>
              <w:rPr>
                <w:b w:val="0"/>
                <w:bCs w:val="0"/>
              </w:rPr>
            </w:pPr>
            <w:r w:rsidRPr="00AA65C6">
              <w:t>Other</w:t>
            </w:r>
          </w:p>
        </w:tc>
        <w:tc>
          <w:tcPr>
            <w:cnfStyle w:val="000100001000" w:firstRow="0" w:lastRow="0" w:firstColumn="0" w:lastColumn="1" w:oddVBand="0" w:evenVBand="0" w:oddHBand="0" w:evenHBand="0" w:firstRowFirstColumn="0" w:firstRowLastColumn="1" w:lastRowFirstColumn="0" w:lastRowLastColumn="0"/>
            <w:tcW w:w="669" w:type="dxa"/>
            <w:tcBorders>
              <w:left w:val="none" w:sz="0" w:space="0" w:color="auto"/>
              <w:bottom w:val="none" w:sz="0" w:space="0" w:color="auto"/>
            </w:tcBorders>
            <w:noWrap/>
            <w:hideMark/>
          </w:tcPr>
          <w:p w14:paraId="34919CBE" w14:textId="77777777" w:rsidR="00C80FA2" w:rsidRPr="00AA65C6" w:rsidRDefault="00C80FA2" w:rsidP="00EF2495">
            <w:pPr>
              <w:rPr>
                <w:b w:val="0"/>
                <w:bCs w:val="0"/>
              </w:rPr>
            </w:pPr>
            <w:r w:rsidRPr="00AA65C6">
              <w:t>Total</w:t>
            </w:r>
          </w:p>
        </w:tc>
      </w:tr>
      <w:tr w:rsidR="00C80FA2" w:rsidRPr="00EF2495" w14:paraId="2CE576BE"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80" w:type="dxa"/>
            <w:tcBorders>
              <w:top w:val="none" w:sz="0" w:space="0" w:color="auto"/>
              <w:bottom w:val="none" w:sz="0" w:space="0" w:color="auto"/>
              <w:right w:val="none" w:sz="0" w:space="0" w:color="auto"/>
            </w:tcBorders>
            <w:noWrap/>
            <w:hideMark/>
          </w:tcPr>
          <w:p w14:paraId="44E22135" w14:textId="77777777" w:rsidR="00C80FA2" w:rsidRPr="00EF2495" w:rsidRDefault="00C80FA2" w:rsidP="00EF2495">
            <w:r w:rsidRPr="00EF2495">
              <w:t>01 - Natural and Physical Sciences</w:t>
            </w:r>
          </w:p>
        </w:tc>
        <w:tc>
          <w:tcPr>
            <w:cnfStyle w:val="000010000000" w:firstRow="0" w:lastRow="0" w:firstColumn="0" w:lastColumn="0" w:oddVBand="1"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noWrap/>
            <w:hideMark/>
          </w:tcPr>
          <w:p w14:paraId="3220D4E8" w14:textId="77777777" w:rsidR="00C80FA2" w:rsidRPr="00EF2495" w:rsidRDefault="00C80FA2" w:rsidP="00EF2495">
            <w:r w:rsidRPr="00EF2495">
              <w:t>47</w:t>
            </w:r>
          </w:p>
        </w:tc>
        <w:tc>
          <w:tcPr>
            <w:tcW w:w="732" w:type="dxa"/>
            <w:tcBorders>
              <w:top w:val="none" w:sz="0" w:space="0" w:color="auto"/>
              <w:bottom w:val="none" w:sz="0" w:space="0" w:color="auto"/>
            </w:tcBorders>
            <w:noWrap/>
            <w:hideMark/>
          </w:tcPr>
          <w:p w14:paraId="30949C47" w14:textId="6BC5EAF8" w:rsidR="00C80FA2" w:rsidRPr="00EF2495" w:rsidRDefault="00C50506" w:rsidP="00EF2495">
            <w:pPr>
              <w:cnfStyle w:val="000000100000" w:firstRow="0" w:lastRow="0" w:firstColumn="0" w:lastColumn="0" w:oddVBand="0" w:evenVBand="0" w:oddHBand="1"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669" w:type="dxa"/>
            <w:tcBorders>
              <w:top w:val="none" w:sz="0" w:space="0" w:color="auto"/>
              <w:left w:val="none" w:sz="0" w:space="0" w:color="auto"/>
              <w:bottom w:val="none" w:sz="0" w:space="0" w:color="auto"/>
            </w:tcBorders>
            <w:noWrap/>
            <w:hideMark/>
          </w:tcPr>
          <w:p w14:paraId="503C1B05" w14:textId="77777777" w:rsidR="00C80FA2" w:rsidRPr="00EF2495" w:rsidRDefault="00C80FA2" w:rsidP="00EF2495">
            <w:r w:rsidRPr="00EF2495">
              <w:t>47</w:t>
            </w:r>
          </w:p>
        </w:tc>
      </w:tr>
      <w:tr w:rsidR="00C80FA2" w:rsidRPr="00EF2495" w14:paraId="4A28C4D6"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4680" w:type="dxa"/>
            <w:tcBorders>
              <w:right w:val="none" w:sz="0" w:space="0" w:color="auto"/>
            </w:tcBorders>
            <w:noWrap/>
            <w:hideMark/>
          </w:tcPr>
          <w:p w14:paraId="7A092E63" w14:textId="77777777" w:rsidR="00C80FA2" w:rsidRPr="00EF2495" w:rsidRDefault="00C80FA2" w:rsidP="00EF2495">
            <w:r w:rsidRPr="00EF2495">
              <w:t>02 - Information Technology</w:t>
            </w:r>
          </w:p>
        </w:tc>
        <w:tc>
          <w:tcPr>
            <w:cnfStyle w:val="000010000000" w:firstRow="0" w:lastRow="0" w:firstColumn="0" w:lastColumn="0" w:oddVBand="1" w:evenVBand="0" w:oddHBand="0" w:evenHBand="0" w:firstRowFirstColumn="0" w:firstRowLastColumn="0" w:lastRowFirstColumn="0" w:lastRowLastColumn="0"/>
            <w:tcW w:w="1020" w:type="dxa"/>
            <w:tcBorders>
              <w:left w:val="none" w:sz="0" w:space="0" w:color="auto"/>
              <w:right w:val="none" w:sz="0" w:space="0" w:color="auto"/>
            </w:tcBorders>
            <w:noWrap/>
            <w:hideMark/>
          </w:tcPr>
          <w:p w14:paraId="4D458439" w14:textId="77777777" w:rsidR="00C80FA2" w:rsidRPr="00EF2495" w:rsidRDefault="00C80FA2" w:rsidP="00EF2495">
            <w:r w:rsidRPr="00EF2495">
              <w:t>29</w:t>
            </w:r>
          </w:p>
        </w:tc>
        <w:tc>
          <w:tcPr>
            <w:tcW w:w="732" w:type="dxa"/>
            <w:noWrap/>
            <w:hideMark/>
          </w:tcPr>
          <w:p w14:paraId="7EEE6D13" w14:textId="22D41718" w:rsidR="00C80FA2" w:rsidRPr="00EF2495" w:rsidRDefault="00C50506" w:rsidP="00EF2495">
            <w:pPr>
              <w:cnfStyle w:val="000000000000" w:firstRow="0" w:lastRow="0" w:firstColumn="0" w:lastColumn="0" w:oddVBand="0" w:evenVBand="0" w:oddHBand="0"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669" w:type="dxa"/>
            <w:tcBorders>
              <w:left w:val="none" w:sz="0" w:space="0" w:color="auto"/>
            </w:tcBorders>
            <w:noWrap/>
            <w:hideMark/>
          </w:tcPr>
          <w:p w14:paraId="1BDB6119" w14:textId="77777777" w:rsidR="00C80FA2" w:rsidRPr="00EF2495" w:rsidRDefault="00C80FA2" w:rsidP="00EF2495">
            <w:r w:rsidRPr="00EF2495">
              <w:t>29</w:t>
            </w:r>
          </w:p>
        </w:tc>
      </w:tr>
      <w:tr w:rsidR="00C80FA2" w:rsidRPr="00EF2495" w14:paraId="5997B9D2"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80" w:type="dxa"/>
            <w:tcBorders>
              <w:top w:val="none" w:sz="0" w:space="0" w:color="auto"/>
              <w:bottom w:val="none" w:sz="0" w:space="0" w:color="auto"/>
              <w:right w:val="none" w:sz="0" w:space="0" w:color="auto"/>
            </w:tcBorders>
            <w:noWrap/>
            <w:hideMark/>
          </w:tcPr>
          <w:p w14:paraId="19142DE5" w14:textId="77777777" w:rsidR="00C80FA2" w:rsidRPr="00EF2495" w:rsidRDefault="00C80FA2" w:rsidP="00EF2495">
            <w:r w:rsidRPr="00EF2495">
              <w:t>03 - Engineering and Related Technologies</w:t>
            </w:r>
          </w:p>
        </w:tc>
        <w:tc>
          <w:tcPr>
            <w:cnfStyle w:val="000010000000" w:firstRow="0" w:lastRow="0" w:firstColumn="0" w:lastColumn="0" w:oddVBand="1"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noWrap/>
            <w:hideMark/>
          </w:tcPr>
          <w:p w14:paraId="3631701A" w14:textId="77777777" w:rsidR="00C80FA2" w:rsidRPr="00EF2495" w:rsidRDefault="00C80FA2" w:rsidP="00EF2495">
            <w:r w:rsidRPr="00EF2495">
              <w:t>26</w:t>
            </w:r>
          </w:p>
        </w:tc>
        <w:tc>
          <w:tcPr>
            <w:tcW w:w="732" w:type="dxa"/>
            <w:tcBorders>
              <w:top w:val="none" w:sz="0" w:space="0" w:color="auto"/>
              <w:bottom w:val="none" w:sz="0" w:space="0" w:color="auto"/>
            </w:tcBorders>
            <w:noWrap/>
            <w:hideMark/>
          </w:tcPr>
          <w:p w14:paraId="21A65AFB" w14:textId="3D86B5E2" w:rsidR="00C80FA2" w:rsidRPr="00EF2495" w:rsidRDefault="00C50506" w:rsidP="00EF2495">
            <w:pPr>
              <w:cnfStyle w:val="000000100000" w:firstRow="0" w:lastRow="0" w:firstColumn="0" w:lastColumn="0" w:oddVBand="0" w:evenVBand="0" w:oddHBand="1"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669" w:type="dxa"/>
            <w:tcBorders>
              <w:top w:val="none" w:sz="0" w:space="0" w:color="auto"/>
              <w:left w:val="none" w:sz="0" w:space="0" w:color="auto"/>
              <w:bottom w:val="none" w:sz="0" w:space="0" w:color="auto"/>
            </w:tcBorders>
            <w:noWrap/>
            <w:hideMark/>
          </w:tcPr>
          <w:p w14:paraId="05FD183E" w14:textId="77777777" w:rsidR="00C80FA2" w:rsidRPr="00EF2495" w:rsidRDefault="00C80FA2" w:rsidP="00EF2495">
            <w:r w:rsidRPr="00EF2495">
              <w:t>26</w:t>
            </w:r>
          </w:p>
        </w:tc>
      </w:tr>
      <w:tr w:rsidR="00C80FA2" w:rsidRPr="00EF2495" w14:paraId="58D9A71A"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4680" w:type="dxa"/>
            <w:tcBorders>
              <w:right w:val="none" w:sz="0" w:space="0" w:color="auto"/>
            </w:tcBorders>
            <w:noWrap/>
            <w:hideMark/>
          </w:tcPr>
          <w:p w14:paraId="2CC08914" w14:textId="77777777" w:rsidR="00C80FA2" w:rsidRPr="00EF2495" w:rsidRDefault="00C80FA2" w:rsidP="00EF2495">
            <w:r w:rsidRPr="00EF2495">
              <w:t>04 - Architecture and Building</w:t>
            </w:r>
          </w:p>
        </w:tc>
        <w:tc>
          <w:tcPr>
            <w:cnfStyle w:val="000010000000" w:firstRow="0" w:lastRow="0" w:firstColumn="0" w:lastColumn="0" w:oddVBand="1" w:evenVBand="0" w:oddHBand="0" w:evenHBand="0" w:firstRowFirstColumn="0" w:firstRowLastColumn="0" w:lastRowFirstColumn="0" w:lastRowLastColumn="0"/>
            <w:tcW w:w="1020" w:type="dxa"/>
            <w:tcBorders>
              <w:left w:val="none" w:sz="0" w:space="0" w:color="auto"/>
              <w:right w:val="none" w:sz="0" w:space="0" w:color="auto"/>
            </w:tcBorders>
            <w:noWrap/>
            <w:hideMark/>
          </w:tcPr>
          <w:p w14:paraId="71578B4C" w14:textId="73FC617C" w:rsidR="00C80FA2" w:rsidRPr="00EF2495" w:rsidRDefault="00C50506" w:rsidP="00EF2495">
            <w:r>
              <w:t>0</w:t>
            </w:r>
          </w:p>
        </w:tc>
        <w:tc>
          <w:tcPr>
            <w:tcW w:w="732" w:type="dxa"/>
            <w:noWrap/>
            <w:hideMark/>
          </w:tcPr>
          <w:p w14:paraId="4687C3F1"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w:t>
            </w:r>
          </w:p>
        </w:tc>
        <w:tc>
          <w:tcPr>
            <w:cnfStyle w:val="000100000000" w:firstRow="0" w:lastRow="0" w:firstColumn="0" w:lastColumn="1" w:oddVBand="0" w:evenVBand="0" w:oddHBand="0" w:evenHBand="0" w:firstRowFirstColumn="0" w:firstRowLastColumn="0" w:lastRowFirstColumn="0" w:lastRowLastColumn="0"/>
            <w:tcW w:w="669" w:type="dxa"/>
            <w:tcBorders>
              <w:left w:val="none" w:sz="0" w:space="0" w:color="auto"/>
            </w:tcBorders>
            <w:noWrap/>
            <w:hideMark/>
          </w:tcPr>
          <w:p w14:paraId="6174CC97" w14:textId="77777777" w:rsidR="00C80FA2" w:rsidRPr="00EF2495" w:rsidRDefault="00C80FA2" w:rsidP="00EF2495">
            <w:r w:rsidRPr="00EF2495">
              <w:t>1</w:t>
            </w:r>
          </w:p>
        </w:tc>
      </w:tr>
      <w:tr w:rsidR="00C80FA2" w:rsidRPr="00EF2495" w14:paraId="77F14C3F"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80" w:type="dxa"/>
            <w:tcBorders>
              <w:top w:val="none" w:sz="0" w:space="0" w:color="auto"/>
              <w:bottom w:val="none" w:sz="0" w:space="0" w:color="auto"/>
              <w:right w:val="none" w:sz="0" w:space="0" w:color="auto"/>
            </w:tcBorders>
            <w:noWrap/>
            <w:hideMark/>
          </w:tcPr>
          <w:p w14:paraId="30EC8004" w14:textId="77777777" w:rsidR="00C80FA2" w:rsidRPr="00EF2495" w:rsidRDefault="00C80FA2" w:rsidP="00EF2495">
            <w:r w:rsidRPr="00EF2495">
              <w:t>05 - Agriculture, Environmental and Related Studies</w:t>
            </w:r>
          </w:p>
        </w:tc>
        <w:tc>
          <w:tcPr>
            <w:cnfStyle w:val="000010000000" w:firstRow="0" w:lastRow="0" w:firstColumn="0" w:lastColumn="0" w:oddVBand="1"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noWrap/>
            <w:hideMark/>
          </w:tcPr>
          <w:p w14:paraId="7BF7DEAF" w14:textId="77777777" w:rsidR="00C80FA2" w:rsidRPr="00EF2495" w:rsidRDefault="00C80FA2" w:rsidP="00EF2495">
            <w:r w:rsidRPr="00EF2495">
              <w:t>25</w:t>
            </w:r>
          </w:p>
        </w:tc>
        <w:tc>
          <w:tcPr>
            <w:tcW w:w="732" w:type="dxa"/>
            <w:tcBorders>
              <w:top w:val="none" w:sz="0" w:space="0" w:color="auto"/>
              <w:bottom w:val="none" w:sz="0" w:space="0" w:color="auto"/>
            </w:tcBorders>
            <w:noWrap/>
            <w:hideMark/>
          </w:tcPr>
          <w:p w14:paraId="6F26D97B" w14:textId="3434CFB4" w:rsidR="00C80FA2" w:rsidRPr="00EF2495" w:rsidRDefault="00C50506" w:rsidP="00EF2495">
            <w:pPr>
              <w:cnfStyle w:val="000000100000" w:firstRow="0" w:lastRow="0" w:firstColumn="0" w:lastColumn="0" w:oddVBand="0" w:evenVBand="0" w:oddHBand="1"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669" w:type="dxa"/>
            <w:tcBorders>
              <w:top w:val="none" w:sz="0" w:space="0" w:color="auto"/>
              <w:left w:val="none" w:sz="0" w:space="0" w:color="auto"/>
              <w:bottom w:val="none" w:sz="0" w:space="0" w:color="auto"/>
            </w:tcBorders>
            <w:noWrap/>
            <w:hideMark/>
          </w:tcPr>
          <w:p w14:paraId="407231E7" w14:textId="77777777" w:rsidR="00C80FA2" w:rsidRPr="00EF2495" w:rsidRDefault="00C80FA2" w:rsidP="00EF2495">
            <w:r w:rsidRPr="00EF2495">
              <w:t>25</w:t>
            </w:r>
          </w:p>
        </w:tc>
      </w:tr>
      <w:tr w:rsidR="00C80FA2" w:rsidRPr="00EF2495" w14:paraId="50E4418C"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4680" w:type="dxa"/>
            <w:tcBorders>
              <w:right w:val="none" w:sz="0" w:space="0" w:color="auto"/>
            </w:tcBorders>
            <w:noWrap/>
            <w:hideMark/>
          </w:tcPr>
          <w:p w14:paraId="7F070B36" w14:textId="77777777" w:rsidR="00C80FA2" w:rsidRPr="00EF2495" w:rsidRDefault="00C80FA2" w:rsidP="00EF2495">
            <w:r w:rsidRPr="00EF2495">
              <w:t>06 - Health</w:t>
            </w:r>
          </w:p>
        </w:tc>
        <w:tc>
          <w:tcPr>
            <w:cnfStyle w:val="000010000000" w:firstRow="0" w:lastRow="0" w:firstColumn="0" w:lastColumn="0" w:oddVBand="1" w:evenVBand="0" w:oddHBand="0" w:evenHBand="0" w:firstRowFirstColumn="0" w:firstRowLastColumn="0" w:lastRowFirstColumn="0" w:lastRowLastColumn="0"/>
            <w:tcW w:w="1020" w:type="dxa"/>
            <w:tcBorders>
              <w:left w:val="none" w:sz="0" w:space="0" w:color="auto"/>
              <w:right w:val="none" w:sz="0" w:space="0" w:color="auto"/>
            </w:tcBorders>
            <w:noWrap/>
            <w:hideMark/>
          </w:tcPr>
          <w:p w14:paraId="4C462069" w14:textId="77777777" w:rsidR="00C80FA2" w:rsidRPr="00EF2495" w:rsidRDefault="00C80FA2" w:rsidP="00EF2495">
            <w:r w:rsidRPr="00EF2495">
              <w:t>154</w:t>
            </w:r>
          </w:p>
        </w:tc>
        <w:tc>
          <w:tcPr>
            <w:tcW w:w="732" w:type="dxa"/>
            <w:noWrap/>
            <w:hideMark/>
          </w:tcPr>
          <w:p w14:paraId="3956377C" w14:textId="6910F764" w:rsidR="00C80FA2" w:rsidRPr="00EF2495" w:rsidRDefault="00C50506" w:rsidP="00EF2495">
            <w:pPr>
              <w:cnfStyle w:val="000000000000" w:firstRow="0" w:lastRow="0" w:firstColumn="0" w:lastColumn="0" w:oddVBand="0" w:evenVBand="0" w:oddHBand="0"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669" w:type="dxa"/>
            <w:tcBorders>
              <w:left w:val="none" w:sz="0" w:space="0" w:color="auto"/>
            </w:tcBorders>
            <w:noWrap/>
            <w:hideMark/>
          </w:tcPr>
          <w:p w14:paraId="3B9B53A2" w14:textId="77777777" w:rsidR="00C80FA2" w:rsidRPr="00EF2495" w:rsidRDefault="00C80FA2" w:rsidP="00EF2495">
            <w:r w:rsidRPr="00EF2495">
              <w:t>154</w:t>
            </w:r>
          </w:p>
        </w:tc>
      </w:tr>
      <w:tr w:rsidR="00C80FA2" w:rsidRPr="00EF2495" w14:paraId="5FE4ED0A"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80" w:type="dxa"/>
            <w:tcBorders>
              <w:top w:val="none" w:sz="0" w:space="0" w:color="auto"/>
              <w:bottom w:val="none" w:sz="0" w:space="0" w:color="auto"/>
              <w:right w:val="none" w:sz="0" w:space="0" w:color="auto"/>
            </w:tcBorders>
            <w:noWrap/>
            <w:hideMark/>
          </w:tcPr>
          <w:p w14:paraId="5FB36D93" w14:textId="77777777" w:rsidR="00C80FA2" w:rsidRPr="00EF2495" w:rsidRDefault="00C80FA2" w:rsidP="00EF2495">
            <w:r w:rsidRPr="00EF2495">
              <w:t>07 - Education</w:t>
            </w:r>
          </w:p>
        </w:tc>
        <w:tc>
          <w:tcPr>
            <w:cnfStyle w:val="000010000000" w:firstRow="0" w:lastRow="0" w:firstColumn="0" w:lastColumn="0" w:oddVBand="1"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noWrap/>
            <w:hideMark/>
          </w:tcPr>
          <w:p w14:paraId="017F98D1" w14:textId="77777777" w:rsidR="00C80FA2" w:rsidRPr="00EF2495" w:rsidRDefault="00C80FA2" w:rsidP="00EF2495">
            <w:r w:rsidRPr="00EF2495">
              <w:t>48</w:t>
            </w:r>
          </w:p>
        </w:tc>
        <w:tc>
          <w:tcPr>
            <w:tcW w:w="732" w:type="dxa"/>
            <w:tcBorders>
              <w:top w:val="none" w:sz="0" w:space="0" w:color="auto"/>
              <w:bottom w:val="none" w:sz="0" w:space="0" w:color="auto"/>
            </w:tcBorders>
            <w:noWrap/>
            <w:hideMark/>
          </w:tcPr>
          <w:p w14:paraId="1716396F" w14:textId="4AEFB0B6" w:rsidR="00C80FA2" w:rsidRPr="00EF2495" w:rsidRDefault="00C50506" w:rsidP="00EF2495">
            <w:pPr>
              <w:cnfStyle w:val="000000100000" w:firstRow="0" w:lastRow="0" w:firstColumn="0" w:lastColumn="0" w:oddVBand="0" w:evenVBand="0" w:oddHBand="1"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669" w:type="dxa"/>
            <w:tcBorders>
              <w:top w:val="none" w:sz="0" w:space="0" w:color="auto"/>
              <w:left w:val="none" w:sz="0" w:space="0" w:color="auto"/>
              <w:bottom w:val="none" w:sz="0" w:space="0" w:color="auto"/>
            </w:tcBorders>
            <w:noWrap/>
            <w:hideMark/>
          </w:tcPr>
          <w:p w14:paraId="4AA610F2" w14:textId="77777777" w:rsidR="00C80FA2" w:rsidRPr="00EF2495" w:rsidRDefault="00C80FA2" w:rsidP="00EF2495">
            <w:r w:rsidRPr="00EF2495">
              <w:t>48</w:t>
            </w:r>
          </w:p>
        </w:tc>
      </w:tr>
      <w:tr w:rsidR="00C80FA2" w:rsidRPr="00EF2495" w14:paraId="183E4F47"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4680" w:type="dxa"/>
            <w:tcBorders>
              <w:right w:val="none" w:sz="0" w:space="0" w:color="auto"/>
            </w:tcBorders>
            <w:noWrap/>
            <w:hideMark/>
          </w:tcPr>
          <w:p w14:paraId="6C6687F9" w14:textId="77777777" w:rsidR="00C80FA2" w:rsidRPr="00EF2495" w:rsidRDefault="00C80FA2" w:rsidP="00EF2495">
            <w:r w:rsidRPr="00EF2495">
              <w:t>08 - Management and Commerce</w:t>
            </w:r>
          </w:p>
        </w:tc>
        <w:tc>
          <w:tcPr>
            <w:cnfStyle w:val="000010000000" w:firstRow="0" w:lastRow="0" w:firstColumn="0" w:lastColumn="0" w:oddVBand="1" w:evenVBand="0" w:oddHBand="0" w:evenHBand="0" w:firstRowFirstColumn="0" w:firstRowLastColumn="0" w:lastRowFirstColumn="0" w:lastRowLastColumn="0"/>
            <w:tcW w:w="1020" w:type="dxa"/>
            <w:tcBorders>
              <w:left w:val="none" w:sz="0" w:space="0" w:color="auto"/>
              <w:right w:val="none" w:sz="0" w:space="0" w:color="auto"/>
            </w:tcBorders>
            <w:noWrap/>
            <w:hideMark/>
          </w:tcPr>
          <w:p w14:paraId="347B5883" w14:textId="77777777" w:rsidR="00C80FA2" w:rsidRPr="00EF2495" w:rsidRDefault="00C80FA2" w:rsidP="00EF2495">
            <w:r w:rsidRPr="00EF2495">
              <w:t>68</w:t>
            </w:r>
          </w:p>
        </w:tc>
        <w:tc>
          <w:tcPr>
            <w:tcW w:w="732" w:type="dxa"/>
            <w:noWrap/>
            <w:hideMark/>
          </w:tcPr>
          <w:p w14:paraId="7AFF7992"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32</w:t>
            </w:r>
          </w:p>
        </w:tc>
        <w:tc>
          <w:tcPr>
            <w:cnfStyle w:val="000100000000" w:firstRow="0" w:lastRow="0" w:firstColumn="0" w:lastColumn="1" w:oddVBand="0" w:evenVBand="0" w:oddHBand="0" w:evenHBand="0" w:firstRowFirstColumn="0" w:firstRowLastColumn="0" w:lastRowFirstColumn="0" w:lastRowLastColumn="0"/>
            <w:tcW w:w="669" w:type="dxa"/>
            <w:tcBorders>
              <w:left w:val="none" w:sz="0" w:space="0" w:color="auto"/>
            </w:tcBorders>
            <w:noWrap/>
            <w:hideMark/>
          </w:tcPr>
          <w:p w14:paraId="35E7CA07" w14:textId="77777777" w:rsidR="00C80FA2" w:rsidRPr="00EF2495" w:rsidRDefault="00C80FA2" w:rsidP="00EF2495">
            <w:r w:rsidRPr="00EF2495">
              <w:t>100</w:t>
            </w:r>
          </w:p>
        </w:tc>
      </w:tr>
      <w:tr w:rsidR="00C80FA2" w:rsidRPr="00EF2495" w14:paraId="2588FB20"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80" w:type="dxa"/>
            <w:tcBorders>
              <w:top w:val="none" w:sz="0" w:space="0" w:color="auto"/>
              <w:bottom w:val="none" w:sz="0" w:space="0" w:color="auto"/>
              <w:right w:val="none" w:sz="0" w:space="0" w:color="auto"/>
            </w:tcBorders>
            <w:noWrap/>
            <w:hideMark/>
          </w:tcPr>
          <w:p w14:paraId="29741D61" w14:textId="77777777" w:rsidR="00C80FA2" w:rsidRPr="00EF2495" w:rsidRDefault="00C80FA2" w:rsidP="00EF2495">
            <w:r w:rsidRPr="00EF2495">
              <w:t>09 - Society and Culture (Law)</w:t>
            </w:r>
          </w:p>
        </w:tc>
        <w:tc>
          <w:tcPr>
            <w:cnfStyle w:val="000010000000" w:firstRow="0" w:lastRow="0" w:firstColumn="0" w:lastColumn="0" w:oddVBand="1"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noWrap/>
            <w:hideMark/>
          </w:tcPr>
          <w:p w14:paraId="6697C9C2" w14:textId="685B19D8" w:rsidR="00C80FA2" w:rsidRPr="00EF2495" w:rsidRDefault="00C50506" w:rsidP="00EF2495">
            <w:r>
              <w:t>0</w:t>
            </w:r>
          </w:p>
        </w:tc>
        <w:tc>
          <w:tcPr>
            <w:tcW w:w="732" w:type="dxa"/>
            <w:tcBorders>
              <w:top w:val="none" w:sz="0" w:space="0" w:color="auto"/>
              <w:bottom w:val="none" w:sz="0" w:space="0" w:color="auto"/>
            </w:tcBorders>
            <w:noWrap/>
            <w:hideMark/>
          </w:tcPr>
          <w:p w14:paraId="6824082B"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31</w:t>
            </w:r>
          </w:p>
        </w:tc>
        <w:tc>
          <w:tcPr>
            <w:cnfStyle w:val="000100000000" w:firstRow="0" w:lastRow="0" w:firstColumn="0" w:lastColumn="1" w:oddVBand="0" w:evenVBand="0" w:oddHBand="0" w:evenHBand="0" w:firstRowFirstColumn="0" w:firstRowLastColumn="0" w:lastRowFirstColumn="0" w:lastRowLastColumn="0"/>
            <w:tcW w:w="669" w:type="dxa"/>
            <w:tcBorders>
              <w:top w:val="none" w:sz="0" w:space="0" w:color="auto"/>
              <w:left w:val="none" w:sz="0" w:space="0" w:color="auto"/>
              <w:bottom w:val="none" w:sz="0" w:space="0" w:color="auto"/>
            </w:tcBorders>
            <w:noWrap/>
            <w:hideMark/>
          </w:tcPr>
          <w:p w14:paraId="495A3AA7" w14:textId="77777777" w:rsidR="00C80FA2" w:rsidRPr="00EF2495" w:rsidRDefault="00C80FA2" w:rsidP="00EF2495">
            <w:r w:rsidRPr="00EF2495">
              <w:t>31</w:t>
            </w:r>
          </w:p>
        </w:tc>
      </w:tr>
      <w:tr w:rsidR="00C80FA2" w:rsidRPr="00EF2495" w14:paraId="0B8ADD79"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4680" w:type="dxa"/>
            <w:tcBorders>
              <w:right w:val="none" w:sz="0" w:space="0" w:color="auto"/>
            </w:tcBorders>
            <w:noWrap/>
            <w:hideMark/>
          </w:tcPr>
          <w:p w14:paraId="1316C807" w14:textId="77777777" w:rsidR="00C80FA2" w:rsidRPr="00EF2495" w:rsidRDefault="00C80FA2" w:rsidP="00EF2495">
            <w:r w:rsidRPr="00EF2495">
              <w:t>09 - Society and Culture (Other)</w:t>
            </w:r>
          </w:p>
        </w:tc>
        <w:tc>
          <w:tcPr>
            <w:cnfStyle w:val="000010000000" w:firstRow="0" w:lastRow="0" w:firstColumn="0" w:lastColumn="0" w:oddVBand="1" w:evenVBand="0" w:oddHBand="0" w:evenHBand="0" w:firstRowFirstColumn="0" w:firstRowLastColumn="0" w:lastRowFirstColumn="0" w:lastRowLastColumn="0"/>
            <w:tcW w:w="1020" w:type="dxa"/>
            <w:tcBorders>
              <w:left w:val="none" w:sz="0" w:space="0" w:color="auto"/>
              <w:right w:val="none" w:sz="0" w:space="0" w:color="auto"/>
            </w:tcBorders>
            <w:noWrap/>
            <w:hideMark/>
          </w:tcPr>
          <w:p w14:paraId="6C04805E" w14:textId="77777777" w:rsidR="00C80FA2" w:rsidRPr="00EF2495" w:rsidRDefault="00C80FA2" w:rsidP="00EF2495">
            <w:r w:rsidRPr="00EF2495">
              <w:t>7</w:t>
            </w:r>
          </w:p>
        </w:tc>
        <w:tc>
          <w:tcPr>
            <w:tcW w:w="732" w:type="dxa"/>
            <w:noWrap/>
            <w:hideMark/>
          </w:tcPr>
          <w:p w14:paraId="03BD8F76"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53</w:t>
            </w:r>
          </w:p>
        </w:tc>
        <w:tc>
          <w:tcPr>
            <w:cnfStyle w:val="000100000000" w:firstRow="0" w:lastRow="0" w:firstColumn="0" w:lastColumn="1" w:oddVBand="0" w:evenVBand="0" w:oddHBand="0" w:evenHBand="0" w:firstRowFirstColumn="0" w:firstRowLastColumn="0" w:lastRowFirstColumn="0" w:lastRowLastColumn="0"/>
            <w:tcW w:w="669" w:type="dxa"/>
            <w:tcBorders>
              <w:left w:val="none" w:sz="0" w:space="0" w:color="auto"/>
            </w:tcBorders>
            <w:noWrap/>
            <w:hideMark/>
          </w:tcPr>
          <w:p w14:paraId="1A355858" w14:textId="77777777" w:rsidR="00C80FA2" w:rsidRPr="00EF2495" w:rsidRDefault="00C80FA2" w:rsidP="00EF2495">
            <w:r w:rsidRPr="00EF2495">
              <w:t>60</w:t>
            </w:r>
          </w:p>
        </w:tc>
      </w:tr>
      <w:tr w:rsidR="00C80FA2" w:rsidRPr="00EF2495" w14:paraId="4258C3E3"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80" w:type="dxa"/>
            <w:tcBorders>
              <w:top w:val="none" w:sz="0" w:space="0" w:color="auto"/>
              <w:bottom w:val="none" w:sz="0" w:space="0" w:color="auto"/>
              <w:right w:val="none" w:sz="0" w:space="0" w:color="auto"/>
            </w:tcBorders>
            <w:noWrap/>
            <w:hideMark/>
          </w:tcPr>
          <w:p w14:paraId="695F1298" w14:textId="77777777" w:rsidR="00C80FA2" w:rsidRPr="00EF2495" w:rsidRDefault="00C80FA2" w:rsidP="00EF2495">
            <w:r w:rsidRPr="00EF2495">
              <w:t>10 - Creative Arts</w:t>
            </w:r>
          </w:p>
        </w:tc>
        <w:tc>
          <w:tcPr>
            <w:cnfStyle w:val="000010000000" w:firstRow="0" w:lastRow="0" w:firstColumn="0" w:lastColumn="0" w:oddVBand="1" w:evenVBand="0" w:oddHBand="0" w:evenHBand="0" w:firstRowFirstColumn="0" w:firstRowLastColumn="0" w:lastRowFirstColumn="0" w:lastRowLastColumn="0"/>
            <w:tcW w:w="1020" w:type="dxa"/>
            <w:tcBorders>
              <w:top w:val="none" w:sz="0" w:space="0" w:color="auto"/>
              <w:left w:val="none" w:sz="0" w:space="0" w:color="auto"/>
              <w:bottom w:val="none" w:sz="0" w:space="0" w:color="auto"/>
              <w:right w:val="none" w:sz="0" w:space="0" w:color="auto"/>
            </w:tcBorders>
            <w:noWrap/>
            <w:hideMark/>
          </w:tcPr>
          <w:p w14:paraId="7F592E6D" w14:textId="77777777" w:rsidR="00C80FA2" w:rsidRPr="00EF2495" w:rsidRDefault="00C80FA2" w:rsidP="00EF2495">
            <w:r w:rsidRPr="00EF2495">
              <w:t>3</w:t>
            </w:r>
          </w:p>
        </w:tc>
        <w:tc>
          <w:tcPr>
            <w:tcW w:w="732" w:type="dxa"/>
            <w:tcBorders>
              <w:top w:val="none" w:sz="0" w:space="0" w:color="auto"/>
              <w:bottom w:val="none" w:sz="0" w:space="0" w:color="auto"/>
            </w:tcBorders>
            <w:noWrap/>
            <w:hideMark/>
          </w:tcPr>
          <w:p w14:paraId="1B570A4E"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w:t>
            </w:r>
          </w:p>
        </w:tc>
        <w:tc>
          <w:tcPr>
            <w:cnfStyle w:val="000100000000" w:firstRow="0" w:lastRow="0" w:firstColumn="0" w:lastColumn="1" w:oddVBand="0" w:evenVBand="0" w:oddHBand="0" w:evenHBand="0" w:firstRowFirstColumn="0" w:firstRowLastColumn="0" w:lastRowFirstColumn="0" w:lastRowLastColumn="0"/>
            <w:tcW w:w="669" w:type="dxa"/>
            <w:tcBorders>
              <w:top w:val="none" w:sz="0" w:space="0" w:color="auto"/>
              <w:left w:val="none" w:sz="0" w:space="0" w:color="auto"/>
              <w:bottom w:val="none" w:sz="0" w:space="0" w:color="auto"/>
            </w:tcBorders>
            <w:noWrap/>
            <w:hideMark/>
          </w:tcPr>
          <w:p w14:paraId="75330BCE" w14:textId="77777777" w:rsidR="00C80FA2" w:rsidRPr="00EF2495" w:rsidRDefault="00C80FA2" w:rsidP="00EF2495">
            <w:r w:rsidRPr="00EF2495">
              <w:t>4</w:t>
            </w:r>
          </w:p>
        </w:tc>
      </w:tr>
      <w:tr w:rsidR="00C80FA2" w:rsidRPr="00EF2495" w14:paraId="5B5554A7" w14:textId="77777777" w:rsidTr="008A2BAB">
        <w:trPr>
          <w:cnfStyle w:val="010000000000" w:firstRow="0" w:lastRow="1" w:firstColumn="0" w:lastColumn="0" w:oddVBand="0" w:evenVBand="0" w:oddHBand="0" w:evenHBand="0" w:firstRowFirstColumn="0" w:firstRowLastColumn="0" w:lastRowFirstColumn="0" w:lastRowLastColumn="0"/>
          <w:trHeight w:val="290"/>
        </w:trPr>
        <w:tc>
          <w:tcPr>
            <w:cnfStyle w:val="001000000001" w:firstRow="0" w:lastRow="0" w:firstColumn="1" w:lastColumn="0" w:oddVBand="0" w:evenVBand="0" w:oddHBand="0" w:evenHBand="0" w:firstRowFirstColumn="0" w:firstRowLastColumn="0" w:lastRowFirstColumn="1" w:lastRowLastColumn="0"/>
            <w:tcW w:w="4680" w:type="dxa"/>
            <w:tcBorders>
              <w:top w:val="none" w:sz="0" w:space="0" w:color="auto"/>
              <w:right w:val="none" w:sz="0" w:space="0" w:color="auto"/>
            </w:tcBorders>
            <w:noWrap/>
            <w:hideMark/>
          </w:tcPr>
          <w:p w14:paraId="625FC496" w14:textId="77777777" w:rsidR="00C80FA2" w:rsidRPr="00EF2495" w:rsidRDefault="00C80FA2" w:rsidP="00EF2495">
            <w:r w:rsidRPr="00EF2495">
              <w:t>Total</w:t>
            </w:r>
          </w:p>
        </w:tc>
        <w:tc>
          <w:tcPr>
            <w:cnfStyle w:val="000010000000" w:firstRow="0" w:lastRow="0" w:firstColumn="0" w:lastColumn="0" w:oddVBand="1" w:evenVBand="0" w:oddHBand="0" w:evenHBand="0" w:firstRowFirstColumn="0" w:firstRowLastColumn="0" w:lastRowFirstColumn="0" w:lastRowLastColumn="0"/>
            <w:tcW w:w="1020" w:type="dxa"/>
            <w:tcBorders>
              <w:top w:val="none" w:sz="0" w:space="0" w:color="auto"/>
              <w:left w:val="none" w:sz="0" w:space="0" w:color="auto"/>
              <w:right w:val="none" w:sz="0" w:space="0" w:color="auto"/>
            </w:tcBorders>
            <w:noWrap/>
            <w:hideMark/>
          </w:tcPr>
          <w:p w14:paraId="0F05A8A1" w14:textId="77777777" w:rsidR="00C80FA2" w:rsidRPr="00EF2495" w:rsidRDefault="00C80FA2" w:rsidP="00EF2495">
            <w:r w:rsidRPr="00EF2495">
              <w:t>407</w:t>
            </w:r>
          </w:p>
        </w:tc>
        <w:tc>
          <w:tcPr>
            <w:tcW w:w="732" w:type="dxa"/>
            <w:tcBorders>
              <w:top w:val="none" w:sz="0" w:space="0" w:color="auto"/>
            </w:tcBorders>
            <w:noWrap/>
            <w:hideMark/>
          </w:tcPr>
          <w:p w14:paraId="6722DECF"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118</w:t>
            </w:r>
          </w:p>
        </w:tc>
        <w:tc>
          <w:tcPr>
            <w:cnfStyle w:val="000100000010" w:firstRow="0" w:lastRow="0" w:firstColumn="0" w:lastColumn="1" w:oddVBand="0" w:evenVBand="0" w:oddHBand="0" w:evenHBand="0" w:firstRowFirstColumn="0" w:firstRowLastColumn="0" w:lastRowFirstColumn="0" w:lastRowLastColumn="1"/>
            <w:tcW w:w="669" w:type="dxa"/>
            <w:tcBorders>
              <w:top w:val="none" w:sz="0" w:space="0" w:color="auto"/>
              <w:left w:val="none" w:sz="0" w:space="0" w:color="auto"/>
            </w:tcBorders>
            <w:noWrap/>
            <w:hideMark/>
          </w:tcPr>
          <w:p w14:paraId="3FCA9F7D" w14:textId="77777777" w:rsidR="00C80FA2" w:rsidRPr="00EF2495" w:rsidRDefault="00C80FA2" w:rsidP="00EF2495">
            <w:r w:rsidRPr="00EF2495">
              <w:t>525</w:t>
            </w:r>
          </w:p>
        </w:tc>
      </w:tr>
    </w:tbl>
    <w:p w14:paraId="77D1EEBD" w14:textId="1CA3BDCD" w:rsidR="002E4577" w:rsidRPr="00EF2495" w:rsidRDefault="00C80FA2" w:rsidP="00EF2495">
      <w:pPr>
        <w:rPr>
          <w:lang w:val="en-US"/>
        </w:rPr>
      </w:pPr>
      <w:r w:rsidRPr="00EF2495">
        <w:rPr>
          <w:lang w:val="en-US"/>
        </w:rPr>
        <w:t>The percentage of awards offered for these priority fields of study green and blue economies This (included fields of study in agriculture and fisheries, environment, sustainability, climate change, and marine science) for the 2001-2024 intakes was 8% (and 7% for the 2024 intake)</w:t>
      </w:r>
    </w:p>
    <w:p w14:paraId="2ECA6682" w14:textId="69D89178" w:rsidR="00C80FA2" w:rsidRPr="00EF2495" w:rsidRDefault="003E4E20" w:rsidP="001A765A">
      <w:pPr>
        <w:pStyle w:val="Heading3"/>
      </w:pPr>
      <w:bookmarkStart w:id="97" w:name="_Toc185321248"/>
      <w:r w:rsidRPr="00EF2495">
        <w:t>4</w:t>
      </w:r>
      <w:r w:rsidR="00C6690D" w:rsidRPr="00EF2495">
        <w:t>.4</w:t>
      </w:r>
      <w:r w:rsidR="00C6690D" w:rsidRPr="00EF2495">
        <w:tab/>
      </w:r>
      <w:r w:rsidR="00C80FA2" w:rsidRPr="00EF2495">
        <w:t>Completion rates</w:t>
      </w:r>
      <w:bookmarkEnd w:id="97"/>
    </w:p>
    <w:p w14:paraId="0D0948A8" w14:textId="16C249B9" w:rsidR="00C80FA2" w:rsidRPr="0010678F" w:rsidRDefault="00C80FA2" w:rsidP="00EF2495">
      <w:pPr>
        <w:rPr>
          <w:lang w:eastAsia="en-AU"/>
        </w:rPr>
      </w:pPr>
      <w:r w:rsidRPr="00EF2495">
        <w:rPr>
          <w:lang w:eastAsia="en-AU"/>
        </w:rPr>
        <w:t>Number and percentage of awardees who successfully complete an Australia Award course and obtain the course qualification (core Global A</w:t>
      </w:r>
      <w:r w:rsidR="001E6EDD" w:rsidRPr="00EF2495">
        <w:rPr>
          <w:lang w:eastAsia="en-AU"/>
        </w:rPr>
        <w:t xml:space="preserve">ustralia </w:t>
      </w:r>
      <w:r w:rsidRPr="00EF2495">
        <w:rPr>
          <w:lang w:eastAsia="en-AU"/>
        </w:rPr>
        <w:t>A</w:t>
      </w:r>
      <w:r w:rsidR="001E6EDD" w:rsidRPr="00EF2495">
        <w:rPr>
          <w:lang w:eastAsia="en-AU"/>
        </w:rPr>
        <w:t>wards</w:t>
      </w:r>
      <w:r w:rsidRPr="00EF2495">
        <w:rPr>
          <w:lang w:eastAsia="en-AU"/>
        </w:rPr>
        <w:t xml:space="preserve"> indicator 1.2).</w:t>
      </w:r>
      <w:r w:rsidRPr="00EF2495">
        <w:rPr>
          <w:lang w:eastAsia="en-AU"/>
        </w:rPr>
        <w:footnoteReference w:id="14"/>
      </w:r>
    </w:p>
    <w:p w14:paraId="3835182B" w14:textId="77777777" w:rsidR="00C80FA2" w:rsidRPr="00EF2495" w:rsidRDefault="00C80FA2" w:rsidP="00EF2495">
      <w:pPr>
        <w:rPr>
          <w:lang w:val="en-US"/>
        </w:rPr>
      </w:pPr>
      <w:r w:rsidRPr="00EF2495">
        <w:rPr>
          <w:lang w:val="en-US"/>
        </w:rPr>
        <w:t>375 have successfully passed their course of study, 58 did not complete their course of study, and 92 still on award or where results are pending.</w:t>
      </w:r>
    </w:p>
    <w:p w14:paraId="67ECF9DE" w14:textId="77777777" w:rsidR="00C80FA2" w:rsidRPr="00EF2495" w:rsidRDefault="00C80FA2" w:rsidP="00EF2495">
      <w:pPr>
        <w:rPr>
          <w:lang w:val="en-US"/>
        </w:rPr>
      </w:pPr>
      <w:r w:rsidRPr="00EF2495">
        <w:rPr>
          <w:lang w:val="en-US"/>
        </w:rPr>
        <w:t>Of the 433 awards that have finished, 13% did not pass their course of study.  There was a higher percentage of awardees that did not pass their course of study: for AAPS (16%) compared to AAS (5%), males (17%) compared to females (11%); undergraduate (18%) compared to postgraduates (4%)</w:t>
      </w:r>
    </w:p>
    <w:p w14:paraId="093AA819" w14:textId="77777777" w:rsidR="00C80FA2" w:rsidRPr="00EF2495" w:rsidRDefault="00C80FA2" w:rsidP="00EF2495">
      <w:pPr>
        <w:rPr>
          <w:lang w:val="en-US"/>
        </w:rPr>
      </w:pPr>
      <w:r w:rsidRPr="00EF2495">
        <w:rPr>
          <w:lang w:val="en-US"/>
        </w:rPr>
        <w:t xml:space="preserve">The percentage of awardees who do not complete their course of study has reduced to less than 10% since 2015.  The main factor behind this improved completion rate is likely to be the higher proportion of postgraduates with a proven record for university study and </w:t>
      </w:r>
      <w:r w:rsidRPr="00EF2495">
        <w:rPr>
          <w:lang w:val="en-US"/>
        </w:rPr>
        <w:lastRenderedPageBreak/>
        <w:t>experience living overseas. Since 2015 there has been a similar failure rate (4-6%) for postgraduates at both AAS and AAPS; whilst for undergraduates it was 13%.</w:t>
      </w:r>
    </w:p>
    <w:p w14:paraId="449C62F3" w14:textId="24CE2BE5" w:rsidR="00C80FA2" w:rsidRPr="00EF2495" w:rsidRDefault="00C80FA2" w:rsidP="00EF2495">
      <w:pPr>
        <w:rPr>
          <w:lang w:val="en-US"/>
        </w:rPr>
      </w:pPr>
      <w:r w:rsidRPr="00EF2495">
        <w:rPr>
          <w:lang w:val="en-US" w:eastAsia="en-AU"/>
        </w:rPr>
        <w:t xml:space="preserve">Table </w:t>
      </w:r>
      <w:r w:rsidRPr="00EF2495">
        <w:rPr>
          <w:lang w:val="en-US" w:eastAsia="en-AU"/>
        </w:rPr>
        <w:fldChar w:fldCharType="begin"/>
      </w:r>
      <w:r w:rsidRPr="00EF2495">
        <w:rPr>
          <w:lang w:val="en-US" w:eastAsia="en-AU"/>
        </w:rPr>
        <w:instrText xml:space="preserve"> SEQ Table \* ARABIC </w:instrText>
      </w:r>
      <w:r w:rsidRPr="00EF2495">
        <w:rPr>
          <w:lang w:val="en-US" w:eastAsia="en-AU"/>
        </w:rPr>
        <w:fldChar w:fldCharType="separate"/>
      </w:r>
      <w:r w:rsidR="003B4A8A" w:rsidRPr="00EF2495">
        <w:rPr>
          <w:lang w:val="en-US" w:eastAsia="en-AU"/>
        </w:rPr>
        <w:t>14</w:t>
      </w:r>
      <w:r w:rsidRPr="00EF2495">
        <w:rPr>
          <w:lang w:val="en-US" w:eastAsia="en-AU"/>
        </w:rPr>
        <w:fldChar w:fldCharType="end"/>
      </w:r>
      <w:r w:rsidRPr="00EF2495">
        <w:rPr>
          <w:lang w:val="en-US" w:eastAsia="en-AU"/>
        </w:rPr>
        <w:t>:   Award Completion status (by scheme)</w:t>
      </w:r>
    </w:p>
    <w:tbl>
      <w:tblPr>
        <w:tblStyle w:val="ListTable3"/>
        <w:tblW w:w="5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40"/>
        <w:gridCol w:w="1080"/>
        <w:gridCol w:w="681"/>
        <w:gridCol w:w="1140"/>
      </w:tblGrid>
      <w:tr w:rsidR="00C80FA2" w:rsidRPr="00EF2495" w14:paraId="14989B84" w14:textId="77777777" w:rsidTr="00EA56B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140" w:type="dxa"/>
            <w:tcBorders>
              <w:bottom w:val="none" w:sz="0" w:space="0" w:color="auto"/>
              <w:right w:val="none" w:sz="0" w:space="0" w:color="auto"/>
            </w:tcBorders>
            <w:noWrap/>
            <w:hideMark/>
          </w:tcPr>
          <w:p w14:paraId="3E8CECCD" w14:textId="77777777" w:rsidR="00C80FA2" w:rsidRPr="00AA65C6" w:rsidRDefault="00C80FA2" w:rsidP="00EF2495">
            <w:pPr>
              <w:rPr>
                <w:b w:val="0"/>
                <w:bCs w:val="0"/>
              </w:rPr>
            </w:pPr>
            <w:r w:rsidRPr="00AA65C6">
              <w:t>Completion status</w:t>
            </w:r>
          </w:p>
        </w:tc>
        <w:tc>
          <w:tcPr>
            <w:cnfStyle w:val="000010000000" w:firstRow="0" w:lastRow="0" w:firstColumn="0" w:lastColumn="0" w:oddVBand="1" w:evenVBand="0" w:oddHBand="0" w:evenHBand="0" w:firstRowFirstColumn="0" w:firstRowLastColumn="0" w:lastRowFirstColumn="0" w:lastRowLastColumn="0"/>
            <w:tcW w:w="1080" w:type="dxa"/>
            <w:tcBorders>
              <w:left w:val="none" w:sz="0" w:space="0" w:color="auto"/>
              <w:right w:val="none" w:sz="0" w:space="0" w:color="auto"/>
            </w:tcBorders>
            <w:noWrap/>
            <w:hideMark/>
          </w:tcPr>
          <w:p w14:paraId="3F655D39" w14:textId="77777777" w:rsidR="00C80FA2" w:rsidRPr="00AA65C6" w:rsidRDefault="00C80FA2" w:rsidP="00EF2495">
            <w:pPr>
              <w:rPr>
                <w:b w:val="0"/>
                <w:bCs w:val="0"/>
              </w:rPr>
            </w:pPr>
            <w:r w:rsidRPr="00AA65C6">
              <w:t>AAPS</w:t>
            </w:r>
          </w:p>
        </w:tc>
        <w:tc>
          <w:tcPr>
            <w:tcW w:w="578" w:type="dxa"/>
            <w:noWrap/>
            <w:hideMark/>
          </w:tcPr>
          <w:p w14:paraId="2EB62B00" w14:textId="77777777" w:rsidR="00C80FA2" w:rsidRPr="00AA65C6" w:rsidRDefault="00C80FA2" w:rsidP="00EF2495">
            <w:pPr>
              <w:cnfStyle w:val="100000000000" w:firstRow="1" w:lastRow="0" w:firstColumn="0" w:lastColumn="0" w:oddVBand="0" w:evenVBand="0" w:oddHBand="0" w:evenHBand="0" w:firstRowFirstColumn="0" w:firstRowLastColumn="0" w:lastRowFirstColumn="0" w:lastRowLastColumn="0"/>
              <w:rPr>
                <w:b w:val="0"/>
                <w:bCs w:val="0"/>
              </w:rPr>
            </w:pPr>
            <w:r w:rsidRPr="00AA65C6">
              <w:t>AAS</w:t>
            </w:r>
          </w:p>
        </w:tc>
        <w:tc>
          <w:tcPr>
            <w:cnfStyle w:val="000100001000" w:firstRow="0" w:lastRow="0" w:firstColumn="0" w:lastColumn="1" w:oddVBand="0" w:evenVBand="0" w:oddHBand="0" w:evenHBand="0" w:firstRowFirstColumn="0" w:firstRowLastColumn="1" w:lastRowFirstColumn="0" w:lastRowLastColumn="0"/>
            <w:tcW w:w="1140" w:type="dxa"/>
            <w:tcBorders>
              <w:left w:val="none" w:sz="0" w:space="0" w:color="auto"/>
              <w:bottom w:val="none" w:sz="0" w:space="0" w:color="auto"/>
            </w:tcBorders>
            <w:noWrap/>
            <w:hideMark/>
          </w:tcPr>
          <w:p w14:paraId="1D9C69EE" w14:textId="77777777" w:rsidR="00C80FA2" w:rsidRPr="00AA65C6" w:rsidRDefault="00C80FA2" w:rsidP="00EF2495">
            <w:pPr>
              <w:rPr>
                <w:b w:val="0"/>
                <w:bCs w:val="0"/>
              </w:rPr>
            </w:pPr>
            <w:r w:rsidRPr="00AA65C6">
              <w:t>Total</w:t>
            </w:r>
          </w:p>
        </w:tc>
      </w:tr>
      <w:tr w:rsidR="00C80FA2" w:rsidRPr="00EF2495" w14:paraId="20DB2682"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0" w:type="dxa"/>
            <w:tcBorders>
              <w:top w:val="none" w:sz="0" w:space="0" w:color="auto"/>
              <w:bottom w:val="none" w:sz="0" w:space="0" w:color="auto"/>
              <w:right w:val="none" w:sz="0" w:space="0" w:color="auto"/>
            </w:tcBorders>
            <w:noWrap/>
            <w:hideMark/>
          </w:tcPr>
          <w:p w14:paraId="3D92D871" w14:textId="77777777" w:rsidR="00C80FA2" w:rsidRPr="00EF2495" w:rsidRDefault="00C80FA2" w:rsidP="00EF2495">
            <w:r w:rsidRPr="00EF2495">
              <w:t>Did not complete</w:t>
            </w:r>
          </w:p>
        </w:tc>
        <w:tc>
          <w:tcPr>
            <w:cnfStyle w:val="000010000000" w:firstRow="0" w:lastRow="0" w:firstColumn="0" w:lastColumn="0" w:oddVBand="1" w:evenVBand="0" w:oddHBand="0" w:evenHBand="0" w:firstRowFirstColumn="0" w:firstRowLastColumn="0" w:lastRowFirstColumn="0" w:lastRowLastColumn="0"/>
            <w:tcW w:w="1080" w:type="dxa"/>
            <w:tcBorders>
              <w:top w:val="none" w:sz="0" w:space="0" w:color="auto"/>
              <w:left w:val="none" w:sz="0" w:space="0" w:color="auto"/>
              <w:bottom w:val="none" w:sz="0" w:space="0" w:color="auto"/>
              <w:right w:val="none" w:sz="0" w:space="0" w:color="auto"/>
            </w:tcBorders>
            <w:noWrap/>
            <w:hideMark/>
          </w:tcPr>
          <w:p w14:paraId="45863773" w14:textId="77777777" w:rsidR="00C80FA2" w:rsidRPr="00EF2495" w:rsidRDefault="00C80FA2" w:rsidP="008A2BAB">
            <w:pPr>
              <w:jc w:val="right"/>
            </w:pPr>
            <w:r w:rsidRPr="00EF2495">
              <w:t>53</w:t>
            </w:r>
          </w:p>
        </w:tc>
        <w:tc>
          <w:tcPr>
            <w:tcW w:w="578" w:type="dxa"/>
            <w:tcBorders>
              <w:top w:val="none" w:sz="0" w:space="0" w:color="auto"/>
              <w:bottom w:val="none" w:sz="0" w:space="0" w:color="auto"/>
            </w:tcBorders>
            <w:noWrap/>
            <w:hideMark/>
          </w:tcPr>
          <w:p w14:paraId="490A0CCB" w14:textId="77777777" w:rsidR="00C80FA2" w:rsidRPr="00EF2495" w:rsidRDefault="00C80FA2" w:rsidP="008A2BAB">
            <w:pPr>
              <w:jc w:val="right"/>
              <w:cnfStyle w:val="000000100000" w:firstRow="0" w:lastRow="0" w:firstColumn="0" w:lastColumn="0" w:oddVBand="0" w:evenVBand="0" w:oddHBand="1" w:evenHBand="0" w:firstRowFirstColumn="0" w:firstRowLastColumn="0" w:lastRowFirstColumn="0" w:lastRowLastColumn="0"/>
            </w:pPr>
            <w:r w:rsidRPr="00EF2495">
              <w:t>5</w:t>
            </w:r>
          </w:p>
        </w:tc>
        <w:tc>
          <w:tcPr>
            <w:cnfStyle w:val="000100000000" w:firstRow="0" w:lastRow="0" w:firstColumn="0" w:lastColumn="1"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tcBorders>
            <w:noWrap/>
            <w:hideMark/>
          </w:tcPr>
          <w:p w14:paraId="2199B5AB" w14:textId="77777777" w:rsidR="00C80FA2" w:rsidRPr="00EF2495" w:rsidRDefault="00C80FA2" w:rsidP="008A2BAB">
            <w:pPr>
              <w:jc w:val="right"/>
            </w:pPr>
            <w:r w:rsidRPr="00EF2495">
              <w:t>58</w:t>
            </w:r>
          </w:p>
        </w:tc>
      </w:tr>
      <w:tr w:rsidR="00C80FA2" w:rsidRPr="00EF2495" w14:paraId="1BC4D94B"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3140" w:type="dxa"/>
            <w:tcBorders>
              <w:right w:val="none" w:sz="0" w:space="0" w:color="auto"/>
            </w:tcBorders>
            <w:noWrap/>
            <w:hideMark/>
          </w:tcPr>
          <w:p w14:paraId="12610459" w14:textId="77777777" w:rsidR="00C80FA2" w:rsidRPr="00EF2495" w:rsidRDefault="00C80FA2" w:rsidP="00EF2495">
            <w:r w:rsidRPr="00EF2495">
              <w:t>Suspended</w:t>
            </w:r>
          </w:p>
        </w:tc>
        <w:tc>
          <w:tcPr>
            <w:cnfStyle w:val="000010000000" w:firstRow="0" w:lastRow="0" w:firstColumn="0" w:lastColumn="0" w:oddVBand="1" w:evenVBand="0" w:oddHBand="0" w:evenHBand="0" w:firstRowFirstColumn="0" w:firstRowLastColumn="0" w:lastRowFirstColumn="0" w:lastRowLastColumn="0"/>
            <w:tcW w:w="1080" w:type="dxa"/>
            <w:tcBorders>
              <w:left w:val="none" w:sz="0" w:space="0" w:color="auto"/>
              <w:right w:val="none" w:sz="0" w:space="0" w:color="auto"/>
            </w:tcBorders>
            <w:noWrap/>
            <w:hideMark/>
          </w:tcPr>
          <w:p w14:paraId="2EF089DF" w14:textId="77777777" w:rsidR="00C80FA2" w:rsidRPr="00EF2495" w:rsidRDefault="00C80FA2" w:rsidP="008A2BAB">
            <w:pPr>
              <w:jc w:val="right"/>
            </w:pPr>
            <w:r w:rsidRPr="00EF2495">
              <w:t>1</w:t>
            </w:r>
          </w:p>
        </w:tc>
        <w:tc>
          <w:tcPr>
            <w:tcW w:w="578" w:type="dxa"/>
            <w:noWrap/>
            <w:hideMark/>
          </w:tcPr>
          <w:p w14:paraId="5CE60B0C" w14:textId="4E735B5B" w:rsidR="00C80FA2" w:rsidRPr="00EF2495" w:rsidRDefault="00737E05" w:rsidP="008A2BAB">
            <w:pPr>
              <w:jc w:val="right"/>
              <w:cnfStyle w:val="000000000000" w:firstRow="0" w:lastRow="0" w:firstColumn="0" w:lastColumn="0" w:oddVBand="0" w:evenVBand="0" w:oddHBand="0"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1140" w:type="dxa"/>
            <w:tcBorders>
              <w:left w:val="none" w:sz="0" w:space="0" w:color="auto"/>
            </w:tcBorders>
            <w:noWrap/>
            <w:hideMark/>
          </w:tcPr>
          <w:p w14:paraId="0042BFCD" w14:textId="77777777" w:rsidR="00C80FA2" w:rsidRPr="00EF2495" w:rsidRDefault="00C80FA2" w:rsidP="008A2BAB">
            <w:pPr>
              <w:jc w:val="right"/>
            </w:pPr>
            <w:r w:rsidRPr="00EF2495">
              <w:t>1</w:t>
            </w:r>
          </w:p>
        </w:tc>
      </w:tr>
      <w:tr w:rsidR="00C80FA2" w:rsidRPr="00EF2495" w14:paraId="771037FD"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0" w:type="dxa"/>
            <w:tcBorders>
              <w:top w:val="none" w:sz="0" w:space="0" w:color="auto"/>
              <w:bottom w:val="none" w:sz="0" w:space="0" w:color="auto"/>
              <w:right w:val="none" w:sz="0" w:space="0" w:color="auto"/>
            </w:tcBorders>
            <w:noWrap/>
            <w:hideMark/>
          </w:tcPr>
          <w:p w14:paraId="69D0C01A" w14:textId="77777777" w:rsidR="00C80FA2" w:rsidRPr="00EF2495" w:rsidRDefault="00C80FA2" w:rsidP="00EF2495">
            <w:r w:rsidRPr="00EF2495">
              <w:t>Terminated</w:t>
            </w:r>
          </w:p>
        </w:tc>
        <w:tc>
          <w:tcPr>
            <w:cnfStyle w:val="000010000000" w:firstRow="0" w:lastRow="0" w:firstColumn="0" w:lastColumn="0" w:oddVBand="1" w:evenVBand="0" w:oddHBand="0" w:evenHBand="0" w:firstRowFirstColumn="0" w:firstRowLastColumn="0" w:lastRowFirstColumn="0" w:lastRowLastColumn="0"/>
            <w:tcW w:w="1080" w:type="dxa"/>
            <w:tcBorders>
              <w:top w:val="none" w:sz="0" w:space="0" w:color="auto"/>
              <w:left w:val="none" w:sz="0" w:space="0" w:color="auto"/>
              <w:bottom w:val="none" w:sz="0" w:space="0" w:color="auto"/>
              <w:right w:val="none" w:sz="0" w:space="0" w:color="auto"/>
            </w:tcBorders>
            <w:noWrap/>
            <w:hideMark/>
          </w:tcPr>
          <w:p w14:paraId="086693F8" w14:textId="77777777" w:rsidR="00C80FA2" w:rsidRPr="00EF2495" w:rsidRDefault="00C80FA2" w:rsidP="008A2BAB">
            <w:pPr>
              <w:jc w:val="right"/>
            </w:pPr>
            <w:r w:rsidRPr="00EF2495">
              <w:t>36</w:t>
            </w:r>
          </w:p>
        </w:tc>
        <w:tc>
          <w:tcPr>
            <w:tcW w:w="578" w:type="dxa"/>
            <w:tcBorders>
              <w:top w:val="none" w:sz="0" w:space="0" w:color="auto"/>
              <w:bottom w:val="none" w:sz="0" w:space="0" w:color="auto"/>
            </w:tcBorders>
            <w:noWrap/>
            <w:hideMark/>
          </w:tcPr>
          <w:p w14:paraId="6247417F" w14:textId="3A849BA2" w:rsidR="00C80FA2" w:rsidRPr="00EF2495" w:rsidRDefault="00737E05" w:rsidP="008A2BAB">
            <w:pPr>
              <w:jc w:val="right"/>
              <w:cnfStyle w:val="000000100000" w:firstRow="0" w:lastRow="0" w:firstColumn="0" w:lastColumn="0" w:oddVBand="0" w:evenVBand="0" w:oddHBand="1"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tcBorders>
            <w:noWrap/>
            <w:hideMark/>
          </w:tcPr>
          <w:p w14:paraId="62A88C03" w14:textId="77777777" w:rsidR="00C80FA2" w:rsidRPr="00EF2495" w:rsidRDefault="00C80FA2" w:rsidP="008A2BAB">
            <w:pPr>
              <w:jc w:val="right"/>
            </w:pPr>
            <w:r w:rsidRPr="00EF2495">
              <w:t>36</w:t>
            </w:r>
          </w:p>
        </w:tc>
      </w:tr>
      <w:tr w:rsidR="00C80FA2" w:rsidRPr="00EF2495" w14:paraId="10BB79BE"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3140" w:type="dxa"/>
            <w:tcBorders>
              <w:right w:val="none" w:sz="0" w:space="0" w:color="auto"/>
            </w:tcBorders>
            <w:noWrap/>
            <w:hideMark/>
          </w:tcPr>
          <w:p w14:paraId="4440CA23" w14:textId="77777777" w:rsidR="00C80FA2" w:rsidRPr="00EF2495" w:rsidRDefault="00C80FA2" w:rsidP="00EF2495">
            <w:r w:rsidRPr="00EF2495">
              <w:t>Withdrawn On Scholarship</w:t>
            </w:r>
          </w:p>
        </w:tc>
        <w:tc>
          <w:tcPr>
            <w:cnfStyle w:val="000010000000" w:firstRow="0" w:lastRow="0" w:firstColumn="0" w:lastColumn="0" w:oddVBand="1" w:evenVBand="0" w:oddHBand="0" w:evenHBand="0" w:firstRowFirstColumn="0" w:firstRowLastColumn="0" w:lastRowFirstColumn="0" w:lastRowLastColumn="0"/>
            <w:tcW w:w="1080" w:type="dxa"/>
            <w:tcBorders>
              <w:left w:val="none" w:sz="0" w:space="0" w:color="auto"/>
              <w:right w:val="none" w:sz="0" w:space="0" w:color="auto"/>
            </w:tcBorders>
            <w:noWrap/>
            <w:hideMark/>
          </w:tcPr>
          <w:p w14:paraId="049789D8" w14:textId="77777777" w:rsidR="00C80FA2" w:rsidRPr="00EF2495" w:rsidRDefault="00C80FA2" w:rsidP="008A2BAB">
            <w:pPr>
              <w:jc w:val="right"/>
            </w:pPr>
            <w:r w:rsidRPr="00EF2495">
              <w:t>4</w:t>
            </w:r>
          </w:p>
        </w:tc>
        <w:tc>
          <w:tcPr>
            <w:tcW w:w="578" w:type="dxa"/>
            <w:noWrap/>
            <w:hideMark/>
          </w:tcPr>
          <w:p w14:paraId="448FD0E0" w14:textId="77777777" w:rsidR="00C80FA2" w:rsidRPr="00EF2495" w:rsidRDefault="00C80FA2" w:rsidP="008A2BAB">
            <w:pPr>
              <w:jc w:val="right"/>
              <w:cnfStyle w:val="000000000000" w:firstRow="0" w:lastRow="0" w:firstColumn="0" w:lastColumn="0" w:oddVBand="0" w:evenVBand="0" w:oddHBand="0" w:evenHBand="0" w:firstRowFirstColumn="0" w:firstRowLastColumn="0" w:lastRowFirstColumn="0" w:lastRowLastColumn="0"/>
            </w:pPr>
            <w:r w:rsidRPr="00EF2495">
              <w:t>2</w:t>
            </w:r>
          </w:p>
        </w:tc>
        <w:tc>
          <w:tcPr>
            <w:cnfStyle w:val="000100000000" w:firstRow="0" w:lastRow="0" w:firstColumn="0" w:lastColumn="1" w:oddVBand="0" w:evenVBand="0" w:oddHBand="0" w:evenHBand="0" w:firstRowFirstColumn="0" w:firstRowLastColumn="0" w:lastRowFirstColumn="0" w:lastRowLastColumn="0"/>
            <w:tcW w:w="1140" w:type="dxa"/>
            <w:tcBorders>
              <w:left w:val="none" w:sz="0" w:space="0" w:color="auto"/>
            </w:tcBorders>
            <w:noWrap/>
            <w:hideMark/>
          </w:tcPr>
          <w:p w14:paraId="5C4CFE0F" w14:textId="77777777" w:rsidR="00C80FA2" w:rsidRPr="00EF2495" w:rsidRDefault="00C80FA2" w:rsidP="008A2BAB">
            <w:pPr>
              <w:jc w:val="right"/>
            </w:pPr>
            <w:r w:rsidRPr="00EF2495">
              <w:t>6</w:t>
            </w:r>
          </w:p>
        </w:tc>
      </w:tr>
      <w:tr w:rsidR="00C80FA2" w:rsidRPr="00EF2495" w14:paraId="5B8E3EC8"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0" w:type="dxa"/>
            <w:tcBorders>
              <w:top w:val="none" w:sz="0" w:space="0" w:color="auto"/>
              <w:bottom w:val="none" w:sz="0" w:space="0" w:color="auto"/>
              <w:right w:val="none" w:sz="0" w:space="0" w:color="auto"/>
            </w:tcBorders>
            <w:noWrap/>
            <w:hideMark/>
          </w:tcPr>
          <w:p w14:paraId="033A1DE8" w14:textId="77777777" w:rsidR="00C80FA2" w:rsidRPr="00EF2495" w:rsidRDefault="00C80FA2" w:rsidP="00EF2495">
            <w:r w:rsidRPr="00EF2495">
              <w:t>Finalised - fail</w:t>
            </w:r>
          </w:p>
        </w:tc>
        <w:tc>
          <w:tcPr>
            <w:cnfStyle w:val="000010000000" w:firstRow="0" w:lastRow="0" w:firstColumn="0" w:lastColumn="0" w:oddVBand="1" w:evenVBand="0" w:oddHBand="0" w:evenHBand="0" w:firstRowFirstColumn="0" w:firstRowLastColumn="0" w:lastRowFirstColumn="0" w:lastRowLastColumn="0"/>
            <w:tcW w:w="1080" w:type="dxa"/>
            <w:tcBorders>
              <w:top w:val="none" w:sz="0" w:space="0" w:color="auto"/>
              <w:left w:val="none" w:sz="0" w:space="0" w:color="auto"/>
              <w:bottom w:val="none" w:sz="0" w:space="0" w:color="auto"/>
              <w:right w:val="none" w:sz="0" w:space="0" w:color="auto"/>
            </w:tcBorders>
            <w:noWrap/>
            <w:hideMark/>
          </w:tcPr>
          <w:p w14:paraId="679A0361" w14:textId="77777777" w:rsidR="00C80FA2" w:rsidRPr="00EF2495" w:rsidRDefault="00C80FA2" w:rsidP="008A2BAB">
            <w:pPr>
              <w:jc w:val="right"/>
            </w:pPr>
            <w:r w:rsidRPr="00EF2495">
              <w:t>12</w:t>
            </w:r>
          </w:p>
        </w:tc>
        <w:tc>
          <w:tcPr>
            <w:tcW w:w="578" w:type="dxa"/>
            <w:tcBorders>
              <w:top w:val="none" w:sz="0" w:space="0" w:color="auto"/>
              <w:bottom w:val="none" w:sz="0" w:space="0" w:color="auto"/>
            </w:tcBorders>
            <w:noWrap/>
            <w:hideMark/>
          </w:tcPr>
          <w:p w14:paraId="1A807FA0" w14:textId="77777777" w:rsidR="00C80FA2" w:rsidRPr="00EF2495" w:rsidRDefault="00C80FA2" w:rsidP="008A2BAB">
            <w:pPr>
              <w:jc w:val="right"/>
              <w:cnfStyle w:val="000000100000" w:firstRow="0" w:lastRow="0" w:firstColumn="0" w:lastColumn="0" w:oddVBand="0" w:evenVBand="0" w:oddHBand="1" w:evenHBand="0" w:firstRowFirstColumn="0" w:firstRowLastColumn="0" w:lastRowFirstColumn="0" w:lastRowLastColumn="0"/>
            </w:pPr>
            <w:r w:rsidRPr="00EF2495">
              <w:t>3</w:t>
            </w:r>
          </w:p>
        </w:tc>
        <w:tc>
          <w:tcPr>
            <w:cnfStyle w:val="000100000000" w:firstRow="0" w:lastRow="0" w:firstColumn="0" w:lastColumn="1"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tcBorders>
            <w:noWrap/>
            <w:hideMark/>
          </w:tcPr>
          <w:p w14:paraId="4EACF05F" w14:textId="77777777" w:rsidR="00C80FA2" w:rsidRPr="00EF2495" w:rsidRDefault="00C80FA2" w:rsidP="008A2BAB">
            <w:pPr>
              <w:jc w:val="right"/>
            </w:pPr>
            <w:r w:rsidRPr="00EF2495">
              <w:t>15</w:t>
            </w:r>
          </w:p>
        </w:tc>
      </w:tr>
      <w:tr w:rsidR="00C80FA2" w:rsidRPr="00EF2495" w14:paraId="3693A8A5"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3140" w:type="dxa"/>
            <w:tcBorders>
              <w:right w:val="none" w:sz="0" w:space="0" w:color="auto"/>
            </w:tcBorders>
            <w:noWrap/>
            <w:hideMark/>
          </w:tcPr>
          <w:p w14:paraId="7B0B696D" w14:textId="77777777" w:rsidR="00C80FA2" w:rsidRPr="00EF2495" w:rsidRDefault="00C80FA2" w:rsidP="00EF2495">
            <w:r w:rsidRPr="00EF2495">
              <w:t>Completed - Passed</w:t>
            </w:r>
          </w:p>
        </w:tc>
        <w:tc>
          <w:tcPr>
            <w:cnfStyle w:val="000010000000" w:firstRow="0" w:lastRow="0" w:firstColumn="0" w:lastColumn="0" w:oddVBand="1" w:evenVBand="0" w:oddHBand="0" w:evenHBand="0" w:firstRowFirstColumn="0" w:firstRowLastColumn="0" w:lastRowFirstColumn="0" w:lastRowLastColumn="0"/>
            <w:tcW w:w="1080" w:type="dxa"/>
            <w:tcBorders>
              <w:left w:val="none" w:sz="0" w:space="0" w:color="auto"/>
              <w:right w:val="none" w:sz="0" w:space="0" w:color="auto"/>
            </w:tcBorders>
            <w:noWrap/>
            <w:hideMark/>
          </w:tcPr>
          <w:p w14:paraId="7FD87494" w14:textId="77777777" w:rsidR="00C80FA2" w:rsidRPr="00EF2495" w:rsidRDefault="00C80FA2" w:rsidP="008A2BAB">
            <w:pPr>
              <w:jc w:val="right"/>
            </w:pPr>
            <w:r w:rsidRPr="00EF2495">
              <w:t>274</w:t>
            </w:r>
          </w:p>
        </w:tc>
        <w:tc>
          <w:tcPr>
            <w:tcW w:w="578" w:type="dxa"/>
            <w:noWrap/>
            <w:hideMark/>
          </w:tcPr>
          <w:p w14:paraId="2DFD46E1" w14:textId="77777777" w:rsidR="00C80FA2" w:rsidRPr="00EF2495" w:rsidRDefault="00C80FA2" w:rsidP="008A2BAB">
            <w:pPr>
              <w:jc w:val="right"/>
              <w:cnfStyle w:val="000000000000" w:firstRow="0" w:lastRow="0" w:firstColumn="0" w:lastColumn="0" w:oddVBand="0" w:evenVBand="0" w:oddHBand="0" w:evenHBand="0" w:firstRowFirstColumn="0" w:firstRowLastColumn="0" w:lastRowFirstColumn="0" w:lastRowLastColumn="0"/>
            </w:pPr>
            <w:r w:rsidRPr="00EF2495">
              <w:t>101</w:t>
            </w:r>
          </w:p>
        </w:tc>
        <w:tc>
          <w:tcPr>
            <w:cnfStyle w:val="000100000000" w:firstRow="0" w:lastRow="0" w:firstColumn="0" w:lastColumn="1" w:oddVBand="0" w:evenVBand="0" w:oddHBand="0" w:evenHBand="0" w:firstRowFirstColumn="0" w:firstRowLastColumn="0" w:lastRowFirstColumn="0" w:lastRowLastColumn="0"/>
            <w:tcW w:w="1140" w:type="dxa"/>
            <w:tcBorders>
              <w:left w:val="none" w:sz="0" w:space="0" w:color="auto"/>
            </w:tcBorders>
            <w:noWrap/>
            <w:hideMark/>
          </w:tcPr>
          <w:p w14:paraId="6894FBFB" w14:textId="77777777" w:rsidR="00C80FA2" w:rsidRPr="00EF2495" w:rsidRDefault="00C80FA2" w:rsidP="008A2BAB">
            <w:pPr>
              <w:jc w:val="right"/>
            </w:pPr>
            <w:r w:rsidRPr="00EF2495">
              <w:t>375</w:t>
            </w:r>
          </w:p>
        </w:tc>
      </w:tr>
      <w:tr w:rsidR="00C80FA2" w:rsidRPr="00EF2495" w14:paraId="1608364A"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0" w:type="dxa"/>
            <w:tcBorders>
              <w:top w:val="none" w:sz="0" w:space="0" w:color="auto"/>
              <w:bottom w:val="none" w:sz="0" w:space="0" w:color="auto"/>
              <w:right w:val="none" w:sz="0" w:space="0" w:color="auto"/>
            </w:tcBorders>
            <w:noWrap/>
            <w:hideMark/>
          </w:tcPr>
          <w:p w14:paraId="59B9A153" w14:textId="77777777" w:rsidR="00C80FA2" w:rsidRPr="00EF2495" w:rsidRDefault="00C80FA2" w:rsidP="00EF2495">
            <w:r w:rsidRPr="00EF2495">
              <w:t>Completed</w:t>
            </w:r>
          </w:p>
        </w:tc>
        <w:tc>
          <w:tcPr>
            <w:cnfStyle w:val="000010000000" w:firstRow="0" w:lastRow="0" w:firstColumn="0" w:lastColumn="0" w:oddVBand="1" w:evenVBand="0" w:oddHBand="0" w:evenHBand="0" w:firstRowFirstColumn="0" w:firstRowLastColumn="0" w:lastRowFirstColumn="0" w:lastRowLastColumn="0"/>
            <w:tcW w:w="1080" w:type="dxa"/>
            <w:tcBorders>
              <w:top w:val="none" w:sz="0" w:space="0" w:color="auto"/>
              <w:left w:val="none" w:sz="0" w:space="0" w:color="auto"/>
              <w:bottom w:val="none" w:sz="0" w:space="0" w:color="auto"/>
              <w:right w:val="none" w:sz="0" w:space="0" w:color="auto"/>
            </w:tcBorders>
            <w:noWrap/>
            <w:hideMark/>
          </w:tcPr>
          <w:p w14:paraId="416ECFC2" w14:textId="77777777" w:rsidR="00C80FA2" w:rsidRPr="00EF2495" w:rsidRDefault="00C80FA2" w:rsidP="008A2BAB">
            <w:pPr>
              <w:jc w:val="right"/>
            </w:pPr>
            <w:r w:rsidRPr="00EF2495">
              <w:t>274</w:t>
            </w:r>
          </w:p>
        </w:tc>
        <w:tc>
          <w:tcPr>
            <w:tcW w:w="578" w:type="dxa"/>
            <w:tcBorders>
              <w:top w:val="none" w:sz="0" w:space="0" w:color="auto"/>
              <w:bottom w:val="none" w:sz="0" w:space="0" w:color="auto"/>
            </w:tcBorders>
            <w:noWrap/>
            <w:hideMark/>
          </w:tcPr>
          <w:p w14:paraId="532520D0" w14:textId="77777777" w:rsidR="00C80FA2" w:rsidRPr="00EF2495" w:rsidRDefault="00C80FA2" w:rsidP="008A2BAB">
            <w:pPr>
              <w:jc w:val="right"/>
              <w:cnfStyle w:val="000000100000" w:firstRow="0" w:lastRow="0" w:firstColumn="0" w:lastColumn="0" w:oddVBand="0" w:evenVBand="0" w:oddHBand="1" w:evenHBand="0" w:firstRowFirstColumn="0" w:firstRowLastColumn="0" w:lastRowFirstColumn="0" w:lastRowLastColumn="0"/>
            </w:pPr>
            <w:r w:rsidRPr="00EF2495">
              <w:t>101</w:t>
            </w:r>
          </w:p>
        </w:tc>
        <w:tc>
          <w:tcPr>
            <w:cnfStyle w:val="000100000000" w:firstRow="0" w:lastRow="0" w:firstColumn="0" w:lastColumn="1"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tcBorders>
            <w:noWrap/>
            <w:hideMark/>
          </w:tcPr>
          <w:p w14:paraId="5268B583" w14:textId="77777777" w:rsidR="00C80FA2" w:rsidRPr="00EF2495" w:rsidRDefault="00C80FA2" w:rsidP="008A2BAB">
            <w:pPr>
              <w:jc w:val="right"/>
            </w:pPr>
            <w:r w:rsidRPr="00EF2495">
              <w:t>375</w:t>
            </w:r>
          </w:p>
        </w:tc>
      </w:tr>
      <w:tr w:rsidR="00C80FA2" w:rsidRPr="00EF2495" w14:paraId="1F5F4084"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3140" w:type="dxa"/>
            <w:tcBorders>
              <w:right w:val="none" w:sz="0" w:space="0" w:color="auto"/>
            </w:tcBorders>
            <w:noWrap/>
            <w:hideMark/>
          </w:tcPr>
          <w:p w14:paraId="5417643D" w14:textId="77777777" w:rsidR="00C80FA2" w:rsidRPr="00EF2495" w:rsidRDefault="00C80FA2" w:rsidP="00EF2495">
            <w:proofErr w:type="gramStart"/>
            <w:r w:rsidRPr="00EF2495">
              <w:t>On-award</w:t>
            </w:r>
            <w:proofErr w:type="gramEnd"/>
            <w:r w:rsidRPr="00EF2495">
              <w:t>/Other</w:t>
            </w:r>
          </w:p>
        </w:tc>
        <w:tc>
          <w:tcPr>
            <w:cnfStyle w:val="000010000000" w:firstRow="0" w:lastRow="0" w:firstColumn="0" w:lastColumn="0" w:oddVBand="1" w:evenVBand="0" w:oddHBand="0" w:evenHBand="0" w:firstRowFirstColumn="0" w:firstRowLastColumn="0" w:lastRowFirstColumn="0" w:lastRowLastColumn="0"/>
            <w:tcW w:w="1080" w:type="dxa"/>
            <w:tcBorders>
              <w:left w:val="none" w:sz="0" w:space="0" w:color="auto"/>
              <w:right w:val="none" w:sz="0" w:space="0" w:color="auto"/>
            </w:tcBorders>
            <w:noWrap/>
            <w:hideMark/>
          </w:tcPr>
          <w:p w14:paraId="206D4A35" w14:textId="77777777" w:rsidR="00C80FA2" w:rsidRPr="00EF2495" w:rsidRDefault="00C80FA2" w:rsidP="008A2BAB">
            <w:pPr>
              <w:jc w:val="right"/>
            </w:pPr>
            <w:r w:rsidRPr="00EF2495">
              <w:t>42</w:t>
            </w:r>
          </w:p>
        </w:tc>
        <w:tc>
          <w:tcPr>
            <w:tcW w:w="578" w:type="dxa"/>
            <w:noWrap/>
            <w:hideMark/>
          </w:tcPr>
          <w:p w14:paraId="1BC4A920" w14:textId="77777777" w:rsidR="00C80FA2" w:rsidRPr="00EF2495" w:rsidRDefault="00C80FA2" w:rsidP="008A2BAB">
            <w:pPr>
              <w:jc w:val="right"/>
              <w:cnfStyle w:val="000000000000" w:firstRow="0" w:lastRow="0" w:firstColumn="0" w:lastColumn="0" w:oddVBand="0" w:evenVBand="0" w:oddHBand="0" w:evenHBand="0" w:firstRowFirstColumn="0" w:firstRowLastColumn="0" w:lastRowFirstColumn="0" w:lastRowLastColumn="0"/>
            </w:pPr>
            <w:r w:rsidRPr="00EF2495">
              <w:t>50</w:t>
            </w:r>
          </w:p>
        </w:tc>
        <w:tc>
          <w:tcPr>
            <w:cnfStyle w:val="000100000000" w:firstRow="0" w:lastRow="0" w:firstColumn="0" w:lastColumn="1" w:oddVBand="0" w:evenVBand="0" w:oddHBand="0" w:evenHBand="0" w:firstRowFirstColumn="0" w:firstRowLastColumn="0" w:lastRowFirstColumn="0" w:lastRowLastColumn="0"/>
            <w:tcW w:w="1140" w:type="dxa"/>
            <w:tcBorders>
              <w:left w:val="none" w:sz="0" w:space="0" w:color="auto"/>
            </w:tcBorders>
            <w:noWrap/>
            <w:hideMark/>
          </w:tcPr>
          <w:p w14:paraId="6298EA3E" w14:textId="77777777" w:rsidR="00C80FA2" w:rsidRPr="00EF2495" w:rsidRDefault="00C80FA2" w:rsidP="008A2BAB">
            <w:pPr>
              <w:jc w:val="right"/>
            </w:pPr>
            <w:r w:rsidRPr="00EF2495">
              <w:t>92</w:t>
            </w:r>
          </w:p>
        </w:tc>
      </w:tr>
      <w:tr w:rsidR="00C80FA2" w:rsidRPr="00EF2495" w14:paraId="2C40DB53"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0" w:type="dxa"/>
            <w:tcBorders>
              <w:top w:val="none" w:sz="0" w:space="0" w:color="auto"/>
              <w:bottom w:val="none" w:sz="0" w:space="0" w:color="auto"/>
              <w:right w:val="none" w:sz="0" w:space="0" w:color="auto"/>
            </w:tcBorders>
            <w:noWrap/>
            <w:hideMark/>
          </w:tcPr>
          <w:p w14:paraId="243AC253" w14:textId="77777777" w:rsidR="00C80FA2" w:rsidRPr="00EF2495" w:rsidRDefault="00C80FA2" w:rsidP="00EF2495">
            <w:r w:rsidRPr="00EF2495">
              <w:t>Accepted</w:t>
            </w:r>
          </w:p>
        </w:tc>
        <w:tc>
          <w:tcPr>
            <w:cnfStyle w:val="000010000000" w:firstRow="0" w:lastRow="0" w:firstColumn="0" w:lastColumn="0" w:oddVBand="1" w:evenVBand="0" w:oddHBand="0" w:evenHBand="0" w:firstRowFirstColumn="0" w:firstRowLastColumn="0" w:lastRowFirstColumn="0" w:lastRowLastColumn="0"/>
            <w:tcW w:w="1080" w:type="dxa"/>
            <w:tcBorders>
              <w:top w:val="none" w:sz="0" w:space="0" w:color="auto"/>
              <w:left w:val="none" w:sz="0" w:space="0" w:color="auto"/>
              <w:bottom w:val="none" w:sz="0" w:space="0" w:color="auto"/>
              <w:right w:val="none" w:sz="0" w:space="0" w:color="auto"/>
            </w:tcBorders>
            <w:noWrap/>
            <w:hideMark/>
          </w:tcPr>
          <w:p w14:paraId="7D3DB0BB" w14:textId="0C536D12" w:rsidR="00C80FA2" w:rsidRPr="00EF2495" w:rsidRDefault="00737E05" w:rsidP="008A2BAB">
            <w:pPr>
              <w:jc w:val="right"/>
            </w:pPr>
            <w:r>
              <w:t>0</w:t>
            </w:r>
          </w:p>
        </w:tc>
        <w:tc>
          <w:tcPr>
            <w:tcW w:w="578" w:type="dxa"/>
            <w:tcBorders>
              <w:top w:val="none" w:sz="0" w:space="0" w:color="auto"/>
              <w:bottom w:val="none" w:sz="0" w:space="0" w:color="auto"/>
            </w:tcBorders>
            <w:noWrap/>
            <w:hideMark/>
          </w:tcPr>
          <w:p w14:paraId="42B1FA2F" w14:textId="77777777" w:rsidR="00C80FA2" w:rsidRPr="00EF2495" w:rsidRDefault="00C80FA2" w:rsidP="008A2BAB">
            <w:pPr>
              <w:jc w:val="right"/>
              <w:cnfStyle w:val="000000100000" w:firstRow="0" w:lastRow="0" w:firstColumn="0" w:lastColumn="0" w:oddVBand="0" w:evenVBand="0" w:oddHBand="1" w:evenHBand="0" w:firstRowFirstColumn="0" w:firstRowLastColumn="0" w:lastRowFirstColumn="0" w:lastRowLastColumn="0"/>
            </w:pPr>
            <w:r w:rsidRPr="00EF2495">
              <w:t>1</w:t>
            </w:r>
          </w:p>
        </w:tc>
        <w:tc>
          <w:tcPr>
            <w:cnfStyle w:val="000100000000" w:firstRow="0" w:lastRow="0" w:firstColumn="0" w:lastColumn="1"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tcBorders>
            <w:noWrap/>
            <w:hideMark/>
          </w:tcPr>
          <w:p w14:paraId="40D7A77A" w14:textId="77777777" w:rsidR="00C80FA2" w:rsidRPr="00EF2495" w:rsidRDefault="00C80FA2" w:rsidP="008A2BAB">
            <w:pPr>
              <w:jc w:val="right"/>
            </w:pPr>
            <w:r w:rsidRPr="00EF2495">
              <w:t>1</w:t>
            </w:r>
          </w:p>
        </w:tc>
      </w:tr>
      <w:tr w:rsidR="00C80FA2" w:rsidRPr="00EF2495" w14:paraId="3A616548"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3140" w:type="dxa"/>
            <w:tcBorders>
              <w:right w:val="none" w:sz="0" w:space="0" w:color="auto"/>
            </w:tcBorders>
            <w:noWrap/>
            <w:hideMark/>
          </w:tcPr>
          <w:p w14:paraId="4F2AB720" w14:textId="77777777" w:rsidR="00C80FA2" w:rsidRPr="00EF2495" w:rsidRDefault="00C80FA2" w:rsidP="00EF2495">
            <w:r w:rsidRPr="00EF2495">
              <w:t>Deferred</w:t>
            </w:r>
          </w:p>
        </w:tc>
        <w:tc>
          <w:tcPr>
            <w:cnfStyle w:val="000010000000" w:firstRow="0" w:lastRow="0" w:firstColumn="0" w:lastColumn="0" w:oddVBand="1" w:evenVBand="0" w:oddHBand="0" w:evenHBand="0" w:firstRowFirstColumn="0" w:firstRowLastColumn="0" w:lastRowFirstColumn="0" w:lastRowLastColumn="0"/>
            <w:tcW w:w="1080" w:type="dxa"/>
            <w:tcBorders>
              <w:left w:val="none" w:sz="0" w:space="0" w:color="auto"/>
              <w:right w:val="none" w:sz="0" w:space="0" w:color="auto"/>
            </w:tcBorders>
            <w:noWrap/>
            <w:hideMark/>
          </w:tcPr>
          <w:p w14:paraId="34C01467" w14:textId="77777777" w:rsidR="00C80FA2" w:rsidRPr="00EF2495" w:rsidRDefault="00C80FA2" w:rsidP="008A2BAB">
            <w:pPr>
              <w:jc w:val="right"/>
            </w:pPr>
            <w:r w:rsidRPr="00EF2495">
              <w:t>1</w:t>
            </w:r>
          </w:p>
        </w:tc>
        <w:tc>
          <w:tcPr>
            <w:tcW w:w="578" w:type="dxa"/>
            <w:noWrap/>
            <w:hideMark/>
          </w:tcPr>
          <w:p w14:paraId="47DB7BB9" w14:textId="77777777" w:rsidR="00C80FA2" w:rsidRPr="00EF2495" w:rsidRDefault="00C80FA2" w:rsidP="008A2BAB">
            <w:pPr>
              <w:jc w:val="right"/>
              <w:cnfStyle w:val="000000000000" w:firstRow="0" w:lastRow="0" w:firstColumn="0" w:lastColumn="0" w:oddVBand="0" w:evenVBand="0" w:oddHBand="0" w:evenHBand="0" w:firstRowFirstColumn="0" w:firstRowLastColumn="0" w:lastRowFirstColumn="0" w:lastRowLastColumn="0"/>
            </w:pPr>
            <w:r w:rsidRPr="00EF2495">
              <w:t>2</w:t>
            </w:r>
          </w:p>
        </w:tc>
        <w:tc>
          <w:tcPr>
            <w:cnfStyle w:val="000100000000" w:firstRow="0" w:lastRow="0" w:firstColumn="0" w:lastColumn="1" w:oddVBand="0" w:evenVBand="0" w:oddHBand="0" w:evenHBand="0" w:firstRowFirstColumn="0" w:firstRowLastColumn="0" w:lastRowFirstColumn="0" w:lastRowLastColumn="0"/>
            <w:tcW w:w="1140" w:type="dxa"/>
            <w:tcBorders>
              <w:left w:val="none" w:sz="0" w:space="0" w:color="auto"/>
            </w:tcBorders>
            <w:noWrap/>
            <w:hideMark/>
          </w:tcPr>
          <w:p w14:paraId="4A264CE9" w14:textId="77777777" w:rsidR="00C80FA2" w:rsidRPr="00EF2495" w:rsidRDefault="00C80FA2" w:rsidP="008A2BAB">
            <w:pPr>
              <w:jc w:val="right"/>
            </w:pPr>
            <w:r w:rsidRPr="00EF2495">
              <w:t>3</w:t>
            </w:r>
          </w:p>
        </w:tc>
      </w:tr>
      <w:tr w:rsidR="00C80FA2" w:rsidRPr="00EF2495" w14:paraId="163611D1"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0" w:type="dxa"/>
            <w:tcBorders>
              <w:top w:val="none" w:sz="0" w:space="0" w:color="auto"/>
              <w:bottom w:val="none" w:sz="0" w:space="0" w:color="auto"/>
              <w:right w:val="none" w:sz="0" w:space="0" w:color="auto"/>
            </w:tcBorders>
            <w:noWrap/>
            <w:hideMark/>
          </w:tcPr>
          <w:p w14:paraId="45773E71" w14:textId="77777777" w:rsidR="00C80FA2" w:rsidRPr="00EF2495" w:rsidRDefault="00C80FA2" w:rsidP="00EF2495">
            <w:r w:rsidRPr="00EF2495">
              <w:t>Finalised Pending Results</w:t>
            </w:r>
          </w:p>
        </w:tc>
        <w:tc>
          <w:tcPr>
            <w:cnfStyle w:val="000010000000" w:firstRow="0" w:lastRow="0" w:firstColumn="0" w:lastColumn="0" w:oddVBand="1" w:evenVBand="0" w:oddHBand="0" w:evenHBand="0" w:firstRowFirstColumn="0" w:firstRowLastColumn="0" w:lastRowFirstColumn="0" w:lastRowLastColumn="0"/>
            <w:tcW w:w="1080" w:type="dxa"/>
            <w:tcBorders>
              <w:top w:val="none" w:sz="0" w:space="0" w:color="auto"/>
              <w:left w:val="none" w:sz="0" w:space="0" w:color="auto"/>
              <w:bottom w:val="none" w:sz="0" w:space="0" w:color="auto"/>
              <w:right w:val="none" w:sz="0" w:space="0" w:color="auto"/>
            </w:tcBorders>
            <w:noWrap/>
            <w:hideMark/>
          </w:tcPr>
          <w:p w14:paraId="0AA3533D" w14:textId="77777777" w:rsidR="00C80FA2" w:rsidRPr="00EF2495" w:rsidRDefault="00C80FA2" w:rsidP="008A2BAB">
            <w:pPr>
              <w:jc w:val="right"/>
            </w:pPr>
            <w:r w:rsidRPr="00EF2495">
              <w:t>3</w:t>
            </w:r>
          </w:p>
        </w:tc>
        <w:tc>
          <w:tcPr>
            <w:tcW w:w="578" w:type="dxa"/>
            <w:tcBorders>
              <w:top w:val="none" w:sz="0" w:space="0" w:color="auto"/>
              <w:bottom w:val="none" w:sz="0" w:space="0" w:color="auto"/>
            </w:tcBorders>
            <w:noWrap/>
            <w:hideMark/>
          </w:tcPr>
          <w:p w14:paraId="36BD0B00" w14:textId="77777777" w:rsidR="00C80FA2" w:rsidRPr="00EF2495" w:rsidRDefault="00C80FA2" w:rsidP="008A2BAB">
            <w:pPr>
              <w:jc w:val="right"/>
              <w:cnfStyle w:val="000000100000" w:firstRow="0" w:lastRow="0" w:firstColumn="0" w:lastColumn="0" w:oddVBand="0" w:evenVBand="0" w:oddHBand="1" w:evenHBand="0" w:firstRowFirstColumn="0" w:firstRowLastColumn="0" w:lastRowFirstColumn="0" w:lastRowLastColumn="0"/>
            </w:pPr>
            <w:r w:rsidRPr="00EF2495">
              <w:t>1</w:t>
            </w:r>
          </w:p>
        </w:tc>
        <w:tc>
          <w:tcPr>
            <w:cnfStyle w:val="000100000000" w:firstRow="0" w:lastRow="0" w:firstColumn="0" w:lastColumn="1"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tcBorders>
            <w:noWrap/>
            <w:hideMark/>
          </w:tcPr>
          <w:p w14:paraId="0D5BCF8D" w14:textId="77777777" w:rsidR="00C80FA2" w:rsidRPr="00EF2495" w:rsidRDefault="00C80FA2" w:rsidP="008A2BAB">
            <w:pPr>
              <w:jc w:val="right"/>
            </w:pPr>
            <w:r w:rsidRPr="00EF2495">
              <w:t>4</w:t>
            </w:r>
          </w:p>
        </w:tc>
      </w:tr>
      <w:tr w:rsidR="00C80FA2" w:rsidRPr="00EF2495" w14:paraId="779FD23C"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3140" w:type="dxa"/>
            <w:tcBorders>
              <w:right w:val="none" w:sz="0" w:space="0" w:color="auto"/>
            </w:tcBorders>
            <w:noWrap/>
            <w:hideMark/>
          </w:tcPr>
          <w:p w14:paraId="33563E3E" w14:textId="77777777" w:rsidR="00C80FA2" w:rsidRPr="00EF2495" w:rsidRDefault="00C80FA2" w:rsidP="00EF2495">
            <w:r w:rsidRPr="00EF2495">
              <w:t>On Scholarship</w:t>
            </w:r>
          </w:p>
        </w:tc>
        <w:tc>
          <w:tcPr>
            <w:cnfStyle w:val="000010000000" w:firstRow="0" w:lastRow="0" w:firstColumn="0" w:lastColumn="0" w:oddVBand="1" w:evenVBand="0" w:oddHBand="0" w:evenHBand="0" w:firstRowFirstColumn="0" w:firstRowLastColumn="0" w:lastRowFirstColumn="0" w:lastRowLastColumn="0"/>
            <w:tcW w:w="1080" w:type="dxa"/>
            <w:tcBorders>
              <w:left w:val="none" w:sz="0" w:space="0" w:color="auto"/>
              <w:right w:val="none" w:sz="0" w:space="0" w:color="auto"/>
            </w:tcBorders>
            <w:noWrap/>
            <w:hideMark/>
          </w:tcPr>
          <w:p w14:paraId="0E9E96A9" w14:textId="77777777" w:rsidR="00C80FA2" w:rsidRPr="00EF2495" w:rsidRDefault="00C80FA2" w:rsidP="008A2BAB">
            <w:pPr>
              <w:jc w:val="right"/>
            </w:pPr>
            <w:r w:rsidRPr="00EF2495">
              <w:t>35</w:t>
            </w:r>
          </w:p>
        </w:tc>
        <w:tc>
          <w:tcPr>
            <w:tcW w:w="578" w:type="dxa"/>
            <w:noWrap/>
            <w:hideMark/>
          </w:tcPr>
          <w:p w14:paraId="75068577" w14:textId="77777777" w:rsidR="00C80FA2" w:rsidRPr="00EF2495" w:rsidRDefault="00C80FA2" w:rsidP="008A2BAB">
            <w:pPr>
              <w:jc w:val="right"/>
              <w:cnfStyle w:val="000000000000" w:firstRow="0" w:lastRow="0" w:firstColumn="0" w:lastColumn="0" w:oddVBand="0" w:evenVBand="0" w:oddHBand="0" w:evenHBand="0" w:firstRowFirstColumn="0" w:firstRowLastColumn="0" w:lastRowFirstColumn="0" w:lastRowLastColumn="0"/>
            </w:pPr>
            <w:r w:rsidRPr="00EF2495">
              <w:t>46</w:t>
            </w:r>
          </w:p>
        </w:tc>
        <w:tc>
          <w:tcPr>
            <w:cnfStyle w:val="000100000000" w:firstRow="0" w:lastRow="0" w:firstColumn="0" w:lastColumn="1" w:oddVBand="0" w:evenVBand="0" w:oddHBand="0" w:evenHBand="0" w:firstRowFirstColumn="0" w:firstRowLastColumn="0" w:lastRowFirstColumn="0" w:lastRowLastColumn="0"/>
            <w:tcW w:w="1140" w:type="dxa"/>
            <w:tcBorders>
              <w:left w:val="none" w:sz="0" w:space="0" w:color="auto"/>
            </w:tcBorders>
            <w:noWrap/>
            <w:hideMark/>
          </w:tcPr>
          <w:p w14:paraId="163B2FA7" w14:textId="77777777" w:rsidR="00C80FA2" w:rsidRPr="00EF2495" w:rsidRDefault="00C80FA2" w:rsidP="008A2BAB">
            <w:pPr>
              <w:jc w:val="right"/>
            </w:pPr>
            <w:r w:rsidRPr="00EF2495">
              <w:t>81</w:t>
            </w:r>
          </w:p>
        </w:tc>
      </w:tr>
      <w:tr w:rsidR="00C80FA2" w:rsidRPr="00EF2495" w14:paraId="0CDC724E"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0" w:type="dxa"/>
            <w:tcBorders>
              <w:top w:val="none" w:sz="0" w:space="0" w:color="auto"/>
              <w:bottom w:val="none" w:sz="0" w:space="0" w:color="auto"/>
              <w:right w:val="none" w:sz="0" w:space="0" w:color="auto"/>
            </w:tcBorders>
            <w:noWrap/>
            <w:hideMark/>
          </w:tcPr>
          <w:p w14:paraId="49514D52" w14:textId="77777777" w:rsidR="00C80FA2" w:rsidRPr="00EF2495" w:rsidRDefault="00C80FA2" w:rsidP="00EF2495">
            <w:r w:rsidRPr="00EF2495">
              <w:t xml:space="preserve">Withdrawn </w:t>
            </w:r>
            <w:proofErr w:type="gramStart"/>
            <w:r w:rsidRPr="00EF2495">
              <w:t>Pre-Scholarship</w:t>
            </w:r>
            <w:proofErr w:type="gramEnd"/>
          </w:p>
        </w:tc>
        <w:tc>
          <w:tcPr>
            <w:cnfStyle w:val="000010000000" w:firstRow="0" w:lastRow="0" w:firstColumn="0" w:lastColumn="0" w:oddVBand="1" w:evenVBand="0" w:oddHBand="0" w:evenHBand="0" w:firstRowFirstColumn="0" w:firstRowLastColumn="0" w:lastRowFirstColumn="0" w:lastRowLastColumn="0"/>
            <w:tcW w:w="1080" w:type="dxa"/>
            <w:tcBorders>
              <w:top w:val="none" w:sz="0" w:space="0" w:color="auto"/>
              <w:left w:val="none" w:sz="0" w:space="0" w:color="auto"/>
              <w:bottom w:val="none" w:sz="0" w:space="0" w:color="auto"/>
              <w:right w:val="none" w:sz="0" w:space="0" w:color="auto"/>
            </w:tcBorders>
            <w:noWrap/>
            <w:hideMark/>
          </w:tcPr>
          <w:p w14:paraId="4F1010A4" w14:textId="77777777" w:rsidR="00C80FA2" w:rsidRPr="00EF2495" w:rsidRDefault="00C80FA2" w:rsidP="008A2BAB">
            <w:pPr>
              <w:jc w:val="right"/>
            </w:pPr>
            <w:r w:rsidRPr="00EF2495">
              <w:t>3</w:t>
            </w:r>
          </w:p>
        </w:tc>
        <w:tc>
          <w:tcPr>
            <w:tcW w:w="578" w:type="dxa"/>
            <w:tcBorders>
              <w:top w:val="none" w:sz="0" w:space="0" w:color="auto"/>
              <w:bottom w:val="none" w:sz="0" w:space="0" w:color="auto"/>
            </w:tcBorders>
            <w:noWrap/>
            <w:hideMark/>
          </w:tcPr>
          <w:p w14:paraId="365B32DA" w14:textId="778C0F7F" w:rsidR="00C80FA2" w:rsidRPr="00EF2495" w:rsidRDefault="00737E05" w:rsidP="008A2BAB">
            <w:pPr>
              <w:jc w:val="right"/>
              <w:cnfStyle w:val="000000100000" w:firstRow="0" w:lastRow="0" w:firstColumn="0" w:lastColumn="0" w:oddVBand="0" w:evenVBand="0" w:oddHBand="1"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tcBorders>
            <w:noWrap/>
            <w:hideMark/>
          </w:tcPr>
          <w:p w14:paraId="63BAB5C7" w14:textId="77777777" w:rsidR="00C80FA2" w:rsidRPr="00EF2495" w:rsidRDefault="00C80FA2" w:rsidP="008A2BAB">
            <w:pPr>
              <w:jc w:val="right"/>
            </w:pPr>
            <w:r w:rsidRPr="00EF2495">
              <w:t>3</w:t>
            </w:r>
          </w:p>
        </w:tc>
      </w:tr>
      <w:tr w:rsidR="00C80FA2" w:rsidRPr="00EF2495" w14:paraId="7A4C065B" w14:textId="77777777" w:rsidTr="008A2BAB">
        <w:trPr>
          <w:cnfStyle w:val="010000000000" w:firstRow="0" w:lastRow="1" w:firstColumn="0" w:lastColumn="0" w:oddVBand="0" w:evenVBand="0" w:oddHBand="0" w:evenHBand="0" w:firstRowFirstColumn="0" w:firstRowLastColumn="0" w:lastRowFirstColumn="0" w:lastRowLastColumn="0"/>
          <w:trHeight w:val="290"/>
        </w:trPr>
        <w:tc>
          <w:tcPr>
            <w:cnfStyle w:val="001000000001" w:firstRow="0" w:lastRow="0" w:firstColumn="1" w:lastColumn="0" w:oddVBand="0" w:evenVBand="0" w:oddHBand="0" w:evenHBand="0" w:firstRowFirstColumn="0" w:firstRowLastColumn="0" w:lastRowFirstColumn="1" w:lastRowLastColumn="0"/>
            <w:tcW w:w="3140" w:type="dxa"/>
            <w:tcBorders>
              <w:top w:val="none" w:sz="0" w:space="0" w:color="auto"/>
              <w:right w:val="none" w:sz="0" w:space="0" w:color="auto"/>
            </w:tcBorders>
            <w:noWrap/>
            <w:hideMark/>
          </w:tcPr>
          <w:p w14:paraId="0019DA1B" w14:textId="77777777" w:rsidR="00C80FA2" w:rsidRPr="00EF2495" w:rsidRDefault="00C80FA2" w:rsidP="00EF2495">
            <w:r w:rsidRPr="00EF2495">
              <w:t>Total</w:t>
            </w:r>
          </w:p>
        </w:tc>
        <w:tc>
          <w:tcPr>
            <w:cnfStyle w:val="000010000000" w:firstRow="0" w:lastRow="0" w:firstColumn="0" w:lastColumn="0" w:oddVBand="1" w:evenVBand="0" w:oddHBand="0" w:evenHBand="0" w:firstRowFirstColumn="0" w:firstRowLastColumn="0" w:lastRowFirstColumn="0" w:lastRowLastColumn="0"/>
            <w:tcW w:w="1080" w:type="dxa"/>
            <w:tcBorders>
              <w:top w:val="none" w:sz="0" w:space="0" w:color="auto"/>
              <w:left w:val="none" w:sz="0" w:space="0" w:color="auto"/>
              <w:right w:val="none" w:sz="0" w:space="0" w:color="auto"/>
            </w:tcBorders>
            <w:noWrap/>
            <w:hideMark/>
          </w:tcPr>
          <w:p w14:paraId="7AD0E106" w14:textId="77777777" w:rsidR="00C80FA2" w:rsidRPr="00EF2495" w:rsidRDefault="00C80FA2" w:rsidP="008A2BAB">
            <w:pPr>
              <w:jc w:val="right"/>
            </w:pPr>
            <w:r w:rsidRPr="00EF2495">
              <w:t>369</w:t>
            </w:r>
          </w:p>
        </w:tc>
        <w:tc>
          <w:tcPr>
            <w:tcW w:w="578" w:type="dxa"/>
            <w:tcBorders>
              <w:top w:val="none" w:sz="0" w:space="0" w:color="auto"/>
            </w:tcBorders>
            <w:noWrap/>
            <w:hideMark/>
          </w:tcPr>
          <w:p w14:paraId="3A558B42" w14:textId="77777777" w:rsidR="00C80FA2" w:rsidRPr="00EF2495" w:rsidRDefault="00C80FA2" w:rsidP="008A2BAB">
            <w:pPr>
              <w:jc w:val="right"/>
              <w:cnfStyle w:val="010000000000" w:firstRow="0" w:lastRow="1" w:firstColumn="0" w:lastColumn="0" w:oddVBand="0" w:evenVBand="0" w:oddHBand="0" w:evenHBand="0" w:firstRowFirstColumn="0" w:firstRowLastColumn="0" w:lastRowFirstColumn="0" w:lastRowLastColumn="0"/>
            </w:pPr>
            <w:r w:rsidRPr="00EF2495">
              <w:t>156</w:t>
            </w:r>
          </w:p>
        </w:tc>
        <w:tc>
          <w:tcPr>
            <w:cnfStyle w:val="000100000010" w:firstRow="0" w:lastRow="0" w:firstColumn="0" w:lastColumn="1" w:oddVBand="0" w:evenVBand="0" w:oddHBand="0" w:evenHBand="0" w:firstRowFirstColumn="0" w:firstRowLastColumn="0" w:lastRowFirstColumn="0" w:lastRowLastColumn="1"/>
            <w:tcW w:w="1140" w:type="dxa"/>
            <w:tcBorders>
              <w:top w:val="none" w:sz="0" w:space="0" w:color="auto"/>
              <w:left w:val="none" w:sz="0" w:space="0" w:color="auto"/>
            </w:tcBorders>
            <w:noWrap/>
            <w:hideMark/>
          </w:tcPr>
          <w:p w14:paraId="7ECC2FA0" w14:textId="77777777" w:rsidR="00C80FA2" w:rsidRPr="00EF2495" w:rsidRDefault="00C80FA2" w:rsidP="008A2BAB">
            <w:pPr>
              <w:jc w:val="right"/>
            </w:pPr>
            <w:r w:rsidRPr="00EF2495">
              <w:t>525</w:t>
            </w:r>
          </w:p>
        </w:tc>
      </w:tr>
    </w:tbl>
    <w:p w14:paraId="3A25AF09" w14:textId="2B0F9210" w:rsidR="00C80FA2" w:rsidRPr="00EF2495" w:rsidRDefault="00C80FA2" w:rsidP="00EF2495">
      <w:pPr>
        <w:rPr>
          <w:lang w:val="en-US" w:eastAsia="en-AU"/>
        </w:rPr>
      </w:pPr>
      <w:r w:rsidRPr="00EF2495">
        <w:rPr>
          <w:lang w:val="en-US" w:eastAsia="en-AU"/>
        </w:rPr>
        <w:t xml:space="preserve">Table </w:t>
      </w:r>
      <w:r w:rsidRPr="00EF2495">
        <w:rPr>
          <w:lang w:val="en-US" w:eastAsia="en-AU"/>
        </w:rPr>
        <w:fldChar w:fldCharType="begin"/>
      </w:r>
      <w:r w:rsidRPr="00EF2495">
        <w:rPr>
          <w:lang w:val="en-US" w:eastAsia="en-AU"/>
        </w:rPr>
        <w:instrText xml:space="preserve"> SEQ Table \* ARABIC </w:instrText>
      </w:r>
      <w:r w:rsidRPr="00EF2495">
        <w:rPr>
          <w:lang w:val="en-US" w:eastAsia="en-AU"/>
        </w:rPr>
        <w:fldChar w:fldCharType="separate"/>
      </w:r>
      <w:r w:rsidR="003B4A8A" w:rsidRPr="00EF2495">
        <w:rPr>
          <w:lang w:val="en-US" w:eastAsia="en-AU"/>
        </w:rPr>
        <w:t>15</w:t>
      </w:r>
      <w:r w:rsidRPr="00EF2495">
        <w:rPr>
          <w:lang w:val="en-US" w:eastAsia="en-AU"/>
        </w:rPr>
        <w:fldChar w:fldCharType="end"/>
      </w:r>
      <w:r w:rsidRPr="00EF2495">
        <w:rPr>
          <w:lang w:val="en-US" w:eastAsia="en-AU"/>
        </w:rPr>
        <w:t>:   Course of study completion rate (of those whose award has finished)</w:t>
      </w:r>
    </w:p>
    <w:tbl>
      <w:tblPr>
        <w:tblStyle w:val="ListTable3"/>
        <w:tblW w:w="6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60"/>
        <w:gridCol w:w="1645"/>
        <w:gridCol w:w="1182"/>
        <w:gridCol w:w="1453"/>
      </w:tblGrid>
      <w:tr w:rsidR="002D459B" w:rsidRPr="00AA65C6" w14:paraId="08C6A50F" w14:textId="77777777" w:rsidTr="00EA56B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2560" w:type="dxa"/>
            <w:tcBorders>
              <w:bottom w:val="none" w:sz="0" w:space="0" w:color="auto"/>
              <w:right w:val="none" w:sz="0" w:space="0" w:color="auto"/>
            </w:tcBorders>
            <w:noWrap/>
            <w:hideMark/>
          </w:tcPr>
          <w:p w14:paraId="52B8C941" w14:textId="77777777" w:rsidR="00C80FA2" w:rsidRPr="00AA65C6" w:rsidRDefault="00C80FA2" w:rsidP="00EF2495">
            <w:pPr>
              <w:rPr>
                <w:b w:val="0"/>
                <w:bCs w:val="0"/>
              </w:rPr>
            </w:pPr>
            <w:r w:rsidRPr="00AA65C6">
              <w:t>Intake round</w:t>
            </w:r>
          </w:p>
        </w:tc>
        <w:tc>
          <w:tcPr>
            <w:cnfStyle w:val="000010000000" w:firstRow="0" w:lastRow="0" w:firstColumn="0" w:lastColumn="0" w:oddVBand="1" w:evenVBand="0" w:oddHBand="0" w:evenHBand="0" w:firstRowFirstColumn="0" w:firstRowLastColumn="0" w:lastRowFirstColumn="0" w:lastRowLastColumn="0"/>
            <w:tcW w:w="1720" w:type="dxa"/>
            <w:tcBorders>
              <w:left w:val="none" w:sz="0" w:space="0" w:color="auto"/>
              <w:right w:val="none" w:sz="0" w:space="0" w:color="auto"/>
            </w:tcBorders>
          </w:tcPr>
          <w:p w14:paraId="160DAC6A" w14:textId="77777777" w:rsidR="00C80FA2" w:rsidRPr="00AA65C6" w:rsidRDefault="00C80FA2" w:rsidP="00EF2495">
            <w:pPr>
              <w:rPr>
                <w:b w:val="0"/>
                <w:bCs w:val="0"/>
              </w:rPr>
            </w:pPr>
            <w:r w:rsidRPr="00AA65C6">
              <w:t>Completed - Pass</w:t>
            </w:r>
          </w:p>
        </w:tc>
        <w:tc>
          <w:tcPr>
            <w:tcW w:w="1107" w:type="dxa"/>
            <w:noWrap/>
            <w:hideMark/>
          </w:tcPr>
          <w:p w14:paraId="259C2445" w14:textId="77777777" w:rsidR="00C80FA2" w:rsidRPr="00AA65C6" w:rsidRDefault="00C80FA2" w:rsidP="00EF2495">
            <w:pPr>
              <w:cnfStyle w:val="100000000000" w:firstRow="1" w:lastRow="0" w:firstColumn="0" w:lastColumn="0" w:oddVBand="0" w:evenVBand="0" w:oddHBand="0" w:evenHBand="0" w:firstRowFirstColumn="0" w:firstRowLastColumn="0" w:lastRowFirstColumn="0" w:lastRowLastColumn="0"/>
              <w:rPr>
                <w:b w:val="0"/>
                <w:bCs w:val="0"/>
              </w:rPr>
            </w:pPr>
            <w:r w:rsidRPr="00AA65C6">
              <w:t>Did not complete</w:t>
            </w:r>
          </w:p>
        </w:tc>
        <w:tc>
          <w:tcPr>
            <w:cnfStyle w:val="000100001000" w:firstRow="0" w:lastRow="0" w:firstColumn="0" w:lastColumn="1" w:oddVBand="0" w:evenVBand="0" w:oddHBand="0" w:evenHBand="0" w:firstRowFirstColumn="0" w:firstRowLastColumn="1" w:lastRowFirstColumn="0" w:lastRowLastColumn="0"/>
            <w:tcW w:w="1453" w:type="dxa"/>
            <w:tcBorders>
              <w:left w:val="none" w:sz="0" w:space="0" w:color="auto"/>
              <w:bottom w:val="none" w:sz="0" w:space="0" w:color="auto"/>
            </w:tcBorders>
            <w:noWrap/>
            <w:hideMark/>
          </w:tcPr>
          <w:p w14:paraId="722822A9" w14:textId="77777777" w:rsidR="00C80FA2" w:rsidRPr="00AA65C6" w:rsidRDefault="00C80FA2" w:rsidP="00EF2495">
            <w:pPr>
              <w:rPr>
                <w:b w:val="0"/>
                <w:bCs w:val="0"/>
              </w:rPr>
            </w:pPr>
            <w:r w:rsidRPr="00AA65C6">
              <w:t>Total</w:t>
            </w:r>
          </w:p>
        </w:tc>
      </w:tr>
      <w:tr w:rsidR="00C80FA2" w:rsidRPr="00EF2495" w14:paraId="04DC13D6"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60" w:type="dxa"/>
            <w:tcBorders>
              <w:top w:val="none" w:sz="0" w:space="0" w:color="auto"/>
              <w:bottom w:val="none" w:sz="0" w:space="0" w:color="auto"/>
              <w:right w:val="none" w:sz="0" w:space="0" w:color="auto"/>
            </w:tcBorders>
            <w:noWrap/>
            <w:hideMark/>
          </w:tcPr>
          <w:p w14:paraId="47B6E712" w14:textId="77777777" w:rsidR="00C80FA2" w:rsidRPr="00EF2495" w:rsidRDefault="00C80FA2" w:rsidP="00EF2495">
            <w:r w:rsidRPr="00EF2495">
              <w:t>Pre-2005</w:t>
            </w:r>
          </w:p>
        </w:tc>
        <w:tc>
          <w:tcPr>
            <w:cnfStyle w:val="000010000000" w:firstRow="0" w:lastRow="0" w:firstColumn="0" w:lastColumn="0" w:oddVBand="1" w:evenVBand="0" w:oddHBand="0" w:evenHBand="0" w:firstRowFirstColumn="0" w:firstRowLastColumn="0" w:lastRowFirstColumn="0" w:lastRowLastColumn="0"/>
            <w:tcW w:w="1720" w:type="dxa"/>
            <w:tcBorders>
              <w:top w:val="none" w:sz="0" w:space="0" w:color="auto"/>
              <w:left w:val="none" w:sz="0" w:space="0" w:color="auto"/>
              <w:bottom w:val="none" w:sz="0" w:space="0" w:color="auto"/>
              <w:right w:val="none" w:sz="0" w:space="0" w:color="auto"/>
            </w:tcBorders>
          </w:tcPr>
          <w:p w14:paraId="4ECB8756" w14:textId="77777777" w:rsidR="00C80FA2" w:rsidRPr="00EF2495" w:rsidRDefault="00C80FA2" w:rsidP="00EF2495">
            <w:r w:rsidRPr="00EF2495">
              <w:t>92%</w:t>
            </w:r>
          </w:p>
        </w:tc>
        <w:tc>
          <w:tcPr>
            <w:tcW w:w="1107" w:type="dxa"/>
            <w:tcBorders>
              <w:top w:val="none" w:sz="0" w:space="0" w:color="auto"/>
              <w:bottom w:val="none" w:sz="0" w:space="0" w:color="auto"/>
            </w:tcBorders>
            <w:noWrap/>
            <w:hideMark/>
          </w:tcPr>
          <w:p w14:paraId="7113DA5C"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8%</w:t>
            </w:r>
          </w:p>
        </w:tc>
        <w:tc>
          <w:tcPr>
            <w:cnfStyle w:val="000100000000" w:firstRow="0" w:lastRow="0" w:firstColumn="0" w:lastColumn="1" w:oddVBand="0" w:evenVBand="0" w:oddHBand="0" w:evenHBand="0" w:firstRowFirstColumn="0" w:firstRowLastColumn="0" w:lastRowFirstColumn="0" w:lastRowLastColumn="0"/>
            <w:tcW w:w="1453" w:type="dxa"/>
            <w:tcBorders>
              <w:top w:val="none" w:sz="0" w:space="0" w:color="auto"/>
              <w:left w:val="none" w:sz="0" w:space="0" w:color="auto"/>
              <w:bottom w:val="none" w:sz="0" w:space="0" w:color="auto"/>
            </w:tcBorders>
            <w:noWrap/>
            <w:hideMark/>
          </w:tcPr>
          <w:p w14:paraId="21ACFFBF" w14:textId="77777777" w:rsidR="00C80FA2" w:rsidRPr="00EF2495" w:rsidRDefault="00C80FA2" w:rsidP="00EF2495">
            <w:r w:rsidRPr="00EF2495">
              <w:t>100%</w:t>
            </w:r>
          </w:p>
        </w:tc>
      </w:tr>
      <w:tr w:rsidR="00C80FA2" w:rsidRPr="00EF2495" w14:paraId="3E8B6941"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2560" w:type="dxa"/>
            <w:tcBorders>
              <w:right w:val="none" w:sz="0" w:space="0" w:color="auto"/>
            </w:tcBorders>
            <w:noWrap/>
            <w:hideMark/>
          </w:tcPr>
          <w:p w14:paraId="09F1BD3B" w14:textId="77777777" w:rsidR="00C80FA2" w:rsidRPr="00EF2495" w:rsidRDefault="00C80FA2" w:rsidP="00EF2495">
            <w:r w:rsidRPr="00EF2495">
              <w:t>2005-2009</w:t>
            </w:r>
          </w:p>
        </w:tc>
        <w:tc>
          <w:tcPr>
            <w:cnfStyle w:val="000010000000" w:firstRow="0" w:lastRow="0" w:firstColumn="0" w:lastColumn="0" w:oddVBand="1" w:evenVBand="0" w:oddHBand="0" w:evenHBand="0" w:firstRowFirstColumn="0" w:firstRowLastColumn="0" w:lastRowFirstColumn="0" w:lastRowLastColumn="0"/>
            <w:tcW w:w="1720" w:type="dxa"/>
            <w:tcBorders>
              <w:left w:val="none" w:sz="0" w:space="0" w:color="auto"/>
              <w:right w:val="none" w:sz="0" w:space="0" w:color="auto"/>
            </w:tcBorders>
          </w:tcPr>
          <w:p w14:paraId="19F534A9" w14:textId="77777777" w:rsidR="00C80FA2" w:rsidRPr="00EF2495" w:rsidRDefault="00C80FA2" w:rsidP="00EF2495">
            <w:r w:rsidRPr="00EF2495">
              <w:t>87%</w:t>
            </w:r>
          </w:p>
        </w:tc>
        <w:tc>
          <w:tcPr>
            <w:tcW w:w="1107" w:type="dxa"/>
            <w:noWrap/>
            <w:hideMark/>
          </w:tcPr>
          <w:p w14:paraId="6EF20205"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13%</w:t>
            </w:r>
          </w:p>
        </w:tc>
        <w:tc>
          <w:tcPr>
            <w:cnfStyle w:val="000100000000" w:firstRow="0" w:lastRow="0" w:firstColumn="0" w:lastColumn="1" w:oddVBand="0" w:evenVBand="0" w:oddHBand="0" w:evenHBand="0" w:firstRowFirstColumn="0" w:firstRowLastColumn="0" w:lastRowFirstColumn="0" w:lastRowLastColumn="0"/>
            <w:tcW w:w="1453" w:type="dxa"/>
            <w:tcBorders>
              <w:left w:val="none" w:sz="0" w:space="0" w:color="auto"/>
            </w:tcBorders>
            <w:noWrap/>
            <w:hideMark/>
          </w:tcPr>
          <w:p w14:paraId="554476B9" w14:textId="77777777" w:rsidR="00C80FA2" w:rsidRPr="00EF2495" w:rsidRDefault="00C80FA2" w:rsidP="00EF2495">
            <w:r w:rsidRPr="00EF2495">
              <w:t>100%</w:t>
            </w:r>
          </w:p>
        </w:tc>
      </w:tr>
      <w:tr w:rsidR="00C80FA2" w:rsidRPr="00EF2495" w14:paraId="24153ED9"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60" w:type="dxa"/>
            <w:tcBorders>
              <w:top w:val="none" w:sz="0" w:space="0" w:color="auto"/>
              <w:bottom w:val="none" w:sz="0" w:space="0" w:color="auto"/>
              <w:right w:val="none" w:sz="0" w:space="0" w:color="auto"/>
            </w:tcBorders>
            <w:noWrap/>
            <w:hideMark/>
          </w:tcPr>
          <w:p w14:paraId="0551B87C" w14:textId="77777777" w:rsidR="00C80FA2" w:rsidRPr="00EF2495" w:rsidRDefault="00C80FA2" w:rsidP="00EF2495">
            <w:r w:rsidRPr="00EF2495">
              <w:t>2010-2014</w:t>
            </w:r>
          </w:p>
        </w:tc>
        <w:tc>
          <w:tcPr>
            <w:cnfStyle w:val="000010000000" w:firstRow="0" w:lastRow="0" w:firstColumn="0" w:lastColumn="0" w:oddVBand="1" w:evenVBand="0" w:oddHBand="0" w:evenHBand="0" w:firstRowFirstColumn="0" w:firstRowLastColumn="0" w:lastRowFirstColumn="0" w:lastRowLastColumn="0"/>
            <w:tcW w:w="1720" w:type="dxa"/>
            <w:tcBorders>
              <w:top w:val="none" w:sz="0" w:space="0" w:color="auto"/>
              <w:left w:val="none" w:sz="0" w:space="0" w:color="auto"/>
              <w:bottom w:val="none" w:sz="0" w:space="0" w:color="auto"/>
              <w:right w:val="none" w:sz="0" w:space="0" w:color="auto"/>
            </w:tcBorders>
          </w:tcPr>
          <w:p w14:paraId="2B1F26AB" w14:textId="77777777" w:rsidR="00C80FA2" w:rsidRPr="00EF2495" w:rsidRDefault="00C80FA2" w:rsidP="00EF2495">
            <w:r w:rsidRPr="00EF2495">
              <w:t>81%</w:t>
            </w:r>
          </w:p>
        </w:tc>
        <w:tc>
          <w:tcPr>
            <w:tcW w:w="1107" w:type="dxa"/>
            <w:tcBorders>
              <w:top w:val="none" w:sz="0" w:space="0" w:color="auto"/>
              <w:bottom w:val="none" w:sz="0" w:space="0" w:color="auto"/>
            </w:tcBorders>
            <w:noWrap/>
            <w:hideMark/>
          </w:tcPr>
          <w:p w14:paraId="651B3BBF"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19%</w:t>
            </w:r>
          </w:p>
        </w:tc>
        <w:tc>
          <w:tcPr>
            <w:cnfStyle w:val="000100000000" w:firstRow="0" w:lastRow="0" w:firstColumn="0" w:lastColumn="1" w:oddVBand="0" w:evenVBand="0" w:oddHBand="0" w:evenHBand="0" w:firstRowFirstColumn="0" w:firstRowLastColumn="0" w:lastRowFirstColumn="0" w:lastRowLastColumn="0"/>
            <w:tcW w:w="1453" w:type="dxa"/>
            <w:tcBorders>
              <w:top w:val="none" w:sz="0" w:space="0" w:color="auto"/>
              <w:left w:val="none" w:sz="0" w:space="0" w:color="auto"/>
              <w:bottom w:val="none" w:sz="0" w:space="0" w:color="auto"/>
            </w:tcBorders>
            <w:noWrap/>
            <w:hideMark/>
          </w:tcPr>
          <w:p w14:paraId="60CFEF1E" w14:textId="77777777" w:rsidR="00C80FA2" w:rsidRPr="00EF2495" w:rsidRDefault="00C80FA2" w:rsidP="00EF2495">
            <w:r w:rsidRPr="00EF2495">
              <w:t>100%</w:t>
            </w:r>
          </w:p>
        </w:tc>
      </w:tr>
      <w:tr w:rsidR="00C80FA2" w:rsidRPr="00EF2495" w14:paraId="2669C3FE" w14:textId="77777777" w:rsidTr="008A2BAB">
        <w:trPr>
          <w:trHeight w:val="290"/>
        </w:trPr>
        <w:tc>
          <w:tcPr>
            <w:cnfStyle w:val="001000000000" w:firstRow="0" w:lastRow="0" w:firstColumn="1" w:lastColumn="0" w:oddVBand="0" w:evenVBand="0" w:oddHBand="0" w:evenHBand="0" w:firstRowFirstColumn="0" w:firstRowLastColumn="0" w:lastRowFirstColumn="0" w:lastRowLastColumn="0"/>
            <w:tcW w:w="2560" w:type="dxa"/>
            <w:tcBorders>
              <w:right w:val="none" w:sz="0" w:space="0" w:color="auto"/>
            </w:tcBorders>
            <w:noWrap/>
            <w:hideMark/>
          </w:tcPr>
          <w:p w14:paraId="5E18C25A" w14:textId="77777777" w:rsidR="00C80FA2" w:rsidRPr="00EF2495" w:rsidRDefault="00C80FA2" w:rsidP="00EF2495">
            <w:r w:rsidRPr="00EF2495">
              <w:t>2015-2019</w:t>
            </w:r>
          </w:p>
        </w:tc>
        <w:tc>
          <w:tcPr>
            <w:cnfStyle w:val="000010000000" w:firstRow="0" w:lastRow="0" w:firstColumn="0" w:lastColumn="0" w:oddVBand="1" w:evenVBand="0" w:oddHBand="0" w:evenHBand="0" w:firstRowFirstColumn="0" w:firstRowLastColumn="0" w:lastRowFirstColumn="0" w:lastRowLastColumn="0"/>
            <w:tcW w:w="1720" w:type="dxa"/>
            <w:tcBorders>
              <w:left w:val="none" w:sz="0" w:space="0" w:color="auto"/>
              <w:right w:val="none" w:sz="0" w:space="0" w:color="auto"/>
            </w:tcBorders>
          </w:tcPr>
          <w:p w14:paraId="76E4E762" w14:textId="77777777" w:rsidR="00C80FA2" w:rsidRPr="00EF2495" w:rsidRDefault="00C80FA2" w:rsidP="00EF2495">
            <w:r w:rsidRPr="00EF2495">
              <w:t>90%</w:t>
            </w:r>
          </w:p>
        </w:tc>
        <w:tc>
          <w:tcPr>
            <w:tcW w:w="1107" w:type="dxa"/>
            <w:noWrap/>
            <w:hideMark/>
          </w:tcPr>
          <w:p w14:paraId="468DA1FF" w14:textId="77777777" w:rsidR="00C80FA2" w:rsidRPr="00EF2495" w:rsidRDefault="00C80FA2" w:rsidP="00EF2495">
            <w:pPr>
              <w:cnfStyle w:val="000000000000" w:firstRow="0" w:lastRow="0" w:firstColumn="0" w:lastColumn="0" w:oddVBand="0" w:evenVBand="0" w:oddHBand="0" w:evenHBand="0" w:firstRowFirstColumn="0" w:firstRowLastColumn="0" w:lastRowFirstColumn="0" w:lastRowLastColumn="0"/>
            </w:pPr>
            <w:r w:rsidRPr="00EF2495">
              <w:t>10%</w:t>
            </w:r>
          </w:p>
        </w:tc>
        <w:tc>
          <w:tcPr>
            <w:cnfStyle w:val="000100000000" w:firstRow="0" w:lastRow="0" w:firstColumn="0" w:lastColumn="1" w:oddVBand="0" w:evenVBand="0" w:oddHBand="0" w:evenHBand="0" w:firstRowFirstColumn="0" w:firstRowLastColumn="0" w:lastRowFirstColumn="0" w:lastRowLastColumn="0"/>
            <w:tcW w:w="1453" w:type="dxa"/>
            <w:tcBorders>
              <w:left w:val="none" w:sz="0" w:space="0" w:color="auto"/>
            </w:tcBorders>
            <w:noWrap/>
            <w:hideMark/>
          </w:tcPr>
          <w:p w14:paraId="428C962B" w14:textId="77777777" w:rsidR="00C80FA2" w:rsidRPr="00EF2495" w:rsidRDefault="00C80FA2" w:rsidP="00EF2495">
            <w:r w:rsidRPr="00EF2495">
              <w:t>100%</w:t>
            </w:r>
          </w:p>
        </w:tc>
      </w:tr>
      <w:tr w:rsidR="00C80FA2" w:rsidRPr="00EF2495" w14:paraId="5C490B13" w14:textId="77777777" w:rsidTr="008A2B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60" w:type="dxa"/>
            <w:tcBorders>
              <w:top w:val="none" w:sz="0" w:space="0" w:color="auto"/>
              <w:bottom w:val="none" w:sz="0" w:space="0" w:color="auto"/>
              <w:right w:val="none" w:sz="0" w:space="0" w:color="auto"/>
            </w:tcBorders>
            <w:noWrap/>
            <w:hideMark/>
          </w:tcPr>
          <w:p w14:paraId="4290AEFB" w14:textId="77777777" w:rsidR="00C80FA2" w:rsidRPr="00EF2495" w:rsidRDefault="00C80FA2" w:rsidP="00EF2495">
            <w:r w:rsidRPr="00EF2495">
              <w:t>2020-2024</w:t>
            </w:r>
          </w:p>
        </w:tc>
        <w:tc>
          <w:tcPr>
            <w:cnfStyle w:val="000010000000" w:firstRow="0" w:lastRow="0" w:firstColumn="0" w:lastColumn="0" w:oddVBand="1" w:evenVBand="0" w:oddHBand="0" w:evenHBand="0" w:firstRowFirstColumn="0" w:firstRowLastColumn="0" w:lastRowFirstColumn="0" w:lastRowLastColumn="0"/>
            <w:tcW w:w="1720" w:type="dxa"/>
            <w:tcBorders>
              <w:top w:val="none" w:sz="0" w:space="0" w:color="auto"/>
              <w:left w:val="none" w:sz="0" w:space="0" w:color="auto"/>
              <w:bottom w:val="none" w:sz="0" w:space="0" w:color="auto"/>
              <w:right w:val="none" w:sz="0" w:space="0" w:color="auto"/>
            </w:tcBorders>
          </w:tcPr>
          <w:p w14:paraId="4395A681" w14:textId="77777777" w:rsidR="00C80FA2" w:rsidRPr="00EF2495" w:rsidRDefault="00C80FA2" w:rsidP="00EF2495">
            <w:r w:rsidRPr="00EF2495">
              <w:t>93%</w:t>
            </w:r>
          </w:p>
        </w:tc>
        <w:tc>
          <w:tcPr>
            <w:tcW w:w="1107" w:type="dxa"/>
            <w:tcBorders>
              <w:top w:val="none" w:sz="0" w:space="0" w:color="auto"/>
              <w:bottom w:val="none" w:sz="0" w:space="0" w:color="auto"/>
            </w:tcBorders>
            <w:noWrap/>
            <w:hideMark/>
          </w:tcPr>
          <w:p w14:paraId="5F217C1A" w14:textId="77777777" w:rsidR="00C80FA2" w:rsidRPr="00EF2495" w:rsidRDefault="00C80FA2" w:rsidP="00EF2495">
            <w:pPr>
              <w:cnfStyle w:val="000000100000" w:firstRow="0" w:lastRow="0" w:firstColumn="0" w:lastColumn="0" w:oddVBand="0" w:evenVBand="0" w:oddHBand="1" w:evenHBand="0" w:firstRowFirstColumn="0" w:firstRowLastColumn="0" w:lastRowFirstColumn="0" w:lastRowLastColumn="0"/>
            </w:pPr>
            <w:r w:rsidRPr="00EF2495">
              <w:t>8%</w:t>
            </w:r>
          </w:p>
        </w:tc>
        <w:tc>
          <w:tcPr>
            <w:cnfStyle w:val="000100000000" w:firstRow="0" w:lastRow="0" w:firstColumn="0" w:lastColumn="1" w:oddVBand="0" w:evenVBand="0" w:oddHBand="0" w:evenHBand="0" w:firstRowFirstColumn="0" w:firstRowLastColumn="0" w:lastRowFirstColumn="0" w:lastRowLastColumn="0"/>
            <w:tcW w:w="1453" w:type="dxa"/>
            <w:tcBorders>
              <w:top w:val="none" w:sz="0" w:space="0" w:color="auto"/>
              <w:left w:val="none" w:sz="0" w:space="0" w:color="auto"/>
              <w:bottom w:val="none" w:sz="0" w:space="0" w:color="auto"/>
            </w:tcBorders>
            <w:noWrap/>
            <w:hideMark/>
          </w:tcPr>
          <w:p w14:paraId="22A2D819" w14:textId="77777777" w:rsidR="00C80FA2" w:rsidRPr="00EF2495" w:rsidRDefault="00C80FA2" w:rsidP="00EF2495">
            <w:r w:rsidRPr="00EF2495">
              <w:t>100%</w:t>
            </w:r>
          </w:p>
        </w:tc>
      </w:tr>
      <w:tr w:rsidR="002D459B" w:rsidRPr="00EF2495" w14:paraId="40F3F6AD" w14:textId="77777777" w:rsidTr="008A2BAB">
        <w:trPr>
          <w:cnfStyle w:val="010000000000" w:firstRow="0" w:lastRow="1" w:firstColumn="0" w:lastColumn="0" w:oddVBand="0" w:evenVBand="0" w:oddHBand="0" w:evenHBand="0" w:firstRowFirstColumn="0" w:firstRowLastColumn="0" w:lastRowFirstColumn="0" w:lastRowLastColumn="0"/>
          <w:trHeight w:val="290"/>
        </w:trPr>
        <w:tc>
          <w:tcPr>
            <w:cnfStyle w:val="001000000001" w:firstRow="0" w:lastRow="0" w:firstColumn="1" w:lastColumn="0" w:oddVBand="0" w:evenVBand="0" w:oddHBand="0" w:evenHBand="0" w:firstRowFirstColumn="0" w:firstRowLastColumn="0" w:lastRowFirstColumn="1" w:lastRowLastColumn="0"/>
            <w:tcW w:w="2560" w:type="dxa"/>
            <w:tcBorders>
              <w:top w:val="none" w:sz="0" w:space="0" w:color="auto"/>
              <w:right w:val="none" w:sz="0" w:space="0" w:color="auto"/>
            </w:tcBorders>
            <w:noWrap/>
            <w:hideMark/>
          </w:tcPr>
          <w:p w14:paraId="793AC97E" w14:textId="77777777" w:rsidR="00C80FA2" w:rsidRPr="00EF2495" w:rsidRDefault="00C80FA2" w:rsidP="00EF2495">
            <w:r w:rsidRPr="00EF2495">
              <w:t>Total</w:t>
            </w:r>
          </w:p>
        </w:tc>
        <w:tc>
          <w:tcPr>
            <w:cnfStyle w:val="000010000000" w:firstRow="0" w:lastRow="0" w:firstColumn="0" w:lastColumn="0" w:oddVBand="1" w:evenVBand="0" w:oddHBand="0" w:evenHBand="0" w:firstRowFirstColumn="0" w:firstRowLastColumn="0" w:lastRowFirstColumn="0" w:lastRowLastColumn="0"/>
            <w:tcW w:w="1720" w:type="dxa"/>
            <w:tcBorders>
              <w:top w:val="none" w:sz="0" w:space="0" w:color="auto"/>
              <w:left w:val="none" w:sz="0" w:space="0" w:color="auto"/>
              <w:right w:val="none" w:sz="0" w:space="0" w:color="auto"/>
            </w:tcBorders>
          </w:tcPr>
          <w:p w14:paraId="5F50CEB3" w14:textId="77777777" w:rsidR="00C80FA2" w:rsidRPr="00EF2495" w:rsidRDefault="00C80FA2" w:rsidP="00EF2495">
            <w:r w:rsidRPr="00EF2495">
              <w:t>87%</w:t>
            </w:r>
          </w:p>
        </w:tc>
        <w:tc>
          <w:tcPr>
            <w:tcW w:w="1107" w:type="dxa"/>
            <w:tcBorders>
              <w:top w:val="none" w:sz="0" w:space="0" w:color="auto"/>
            </w:tcBorders>
            <w:noWrap/>
            <w:hideMark/>
          </w:tcPr>
          <w:p w14:paraId="3A168078" w14:textId="77777777" w:rsidR="00C80FA2" w:rsidRPr="00EF2495" w:rsidRDefault="00C80FA2" w:rsidP="00EF2495">
            <w:pPr>
              <w:cnfStyle w:val="010000000000" w:firstRow="0" w:lastRow="1" w:firstColumn="0" w:lastColumn="0" w:oddVBand="0" w:evenVBand="0" w:oddHBand="0" w:evenHBand="0" w:firstRowFirstColumn="0" w:firstRowLastColumn="0" w:lastRowFirstColumn="0" w:lastRowLastColumn="0"/>
            </w:pPr>
            <w:r w:rsidRPr="00EF2495">
              <w:t>13%</w:t>
            </w:r>
          </w:p>
        </w:tc>
        <w:tc>
          <w:tcPr>
            <w:cnfStyle w:val="000100000010" w:firstRow="0" w:lastRow="0" w:firstColumn="0" w:lastColumn="1" w:oddVBand="0" w:evenVBand="0" w:oddHBand="0" w:evenHBand="0" w:firstRowFirstColumn="0" w:firstRowLastColumn="0" w:lastRowFirstColumn="0" w:lastRowLastColumn="1"/>
            <w:tcW w:w="1453" w:type="dxa"/>
            <w:tcBorders>
              <w:top w:val="none" w:sz="0" w:space="0" w:color="auto"/>
              <w:left w:val="none" w:sz="0" w:space="0" w:color="auto"/>
            </w:tcBorders>
            <w:noWrap/>
            <w:hideMark/>
          </w:tcPr>
          <w:p w14:paraId="0C4B5476" w14:textId="77777777" w:rsidR="00C80FA2" w:rsidRPr="00EF2495" w:rsidRDefault="00C80FA2" w:rsidP="00EF2495">
            <w:r w:rsidRPr="00EF2495">
              <w:t>100%</w:t>
            </w:r>
          </w:p>
        </w:tc>
      </w:tr>
    </w:tbl>
    <w:p w14:paraId="62018C21" w14:textId="5B55BAD0" w:rsidR="00C80FA2" w:rsidRPr="00EF2495" w:rsidRDefault="003E4E20" w:rsidP="0010678F">
      <w:pPr>
        <w:pStyle w:val="Heading2"/>
        <w:ind w:left="0" w:firstLine="0"/>
      </w:pPr>
      <w:bookmarkStart w:id="98" w:name="_Toc185321249"/>
      <w:r w:rsidRPr="00EF2495">
        <w:t>5</w:t>
      </w:r>
      <w:r w:rsidR="0055193A" w:rsidRPr="00EF2495">
        <w:t>.</w:t>
      </w:r>
      <w:r w:rsidR="0055193A" w:rsidRPr="00EF2495">
        <w:tab/>
      </w:r>
      <w:r w:rsidR="00C80FA2" w:rsidRPr="00EF2495">
        <w:t>A</w:t>
      </w:r>
      <w:r w:rsidR="001E6EDD" w:rsidRPr="00EF2495">
        <w:t xml:space="preserve">ustralia </w:t>
      </w:r>
      <w:r w:rsidR="00C80FA2" w:rsidRPr="00EF2495">
        <w:t>A</w:t>
      </w:r>
      <w:r w:rsidR="001E6EDD" w:rsidRPr="00EF2495">
        <w:t>wards</w:t>
      </w:r>
      <w:r w:rsidR="00C80FA2" w:rsidRPr="00EF2495">
        <w:t xml:space="preserve"> Fellowships in Tonga</w:t>
      </w:r>
      <w:bookmarkEnd w:id="98"/>
    </w:p>
    <w:p w14:paraId="1DD7169B" w14:textId="77777777" w:rsidR="00E025D3" w:rsidRDefault="00C80FA2" w:rsidP="00E025D3">
      <w:r w:rsidRPr="00EF2495">
        <w:lastRenderedPageBreak/>
        <w:t>The Fellowships are open competitive grants for Australian organisations to host cohorts of awardees (usually midcareer professionals). The A</w:t>
      </w:r>
      <w:r w:rsidR="001E6EDD" w:rsidRPr="00EF2495">
        <w:t xml:space="preserve">ustralia </w:t>
      </w:r>
      <w:r w:rsidRPr="00EF2495">
        <w:t>A</w:t>
      </w:r>
      <w:r w:rsidR="001E6EDD" w:rsidRPr="00EF2495">
        <w:t xml:space="preserve">wards </w:t>
      </w:r>
      <w:r w:rsidRPr="00EF2495">
        <w:t>F</w:t>
      </w:r>
      <w:r w:rsidR="001E6EDD" w:rsidRPr="00EF2495">
        <w:t>ellowships</w:t>
      </w:r>
      <w:r w:rsidRPr="00EF2495">
        <w:t xml:space="preserve"> </w:t>
      </w:r>
      <w:r w:rsidR="001E6EDD" w:rsidRPr="00EF2495">
        <w:t xml:space="preserve">(AAF) </w:t>
      </w:r>
      <w:r w:rsidRPr="00EF2495">
        <w:t xml:space="preserve">are available to Australian host organisations and institutions. The fellowships provide funding to bring current leaders from Timor-Leste (and the Asia-Pacific) to Australia for short-term study, research and/or professional development activities.  </w:t>
      </w:r>
      <w:proofErr w:type="gramStart"/>
      <w:r w:rsidRPr="00EF2495">
        <w:t>Funding of</w:t>
      </w:r>
      <w:proofErr w:type="gramEnd"/>
      <w:r w:rsidRPr="00EF2495">
        <w:t xml:space="preserve"> up to AUD $34,500 is available per fellow, to a maximum of 15 fellows per application. This funding can be used to cover:</w:t>
      </w:r>
    </w:p>
    <w:p w14:paraId="2E0887AE" w14:textId="762600E6" w:rsidR="00E025D3" w:rsidRDefault="00C80FA2" w:rsidP="00E025D3">
      <w:pPr>
        <w:pStyle w:val="ListParagraph"/>
        <w:numPr>
          <w:ilvl w:val="0"/>
          <w:numId w:val="29"/>
        </w:numPr>
      </w:pPr>
      <w:r w:rsidRPr="00EF2495">
        <w:t>Return economy air travel and relevant in-Australia travel</w:t>
      </w:r>
    </w:p>
    <w:p w14:paraId="4FDC016E" w14:textId="073E2534" w:rsidR="00E025D3" w:rsidRDefault="00C80FA2" w:rsidP="00E025D3">
      <w:pPr>
        <w:pStyle w:val="ListParagraph"/>
        <w:numPr>
          <w:ilvl w:val="0"/>
          <w:numId w:val="29"/>
        </w:numPr>
      </w:pPr>
      <w:r w:rsidRPr="00EF2495">
        <w:t>Costs to deliver training (excludes course development)</w:t>
      </w:r>
    </w:p>
    <w:p w14:paraId="71E239E1" w14:textId="46495B3E" w:rsidR="00E025D3" w:rsidRDefault="00C80FA2" w:rsidP="00E025D3">
      <w:pPr>
        <w:pStyle w:val="ListParagraph"/>
        <w:numPr>
          <w:ilvl w:val="0"/>
          <w:numId w:val="29"/>
        </w:numPr>
      </w:pPr>
      <w:r w:rsidRPr="00EF2495">
        <w:t>Accommodation and living expenses</w:t>
      </w:r>
    </w:p>
    <w:p w14:paraId="1DE9E701" w14:textId="400977E5" w:rsidR="00E025D3" w:rsidRDefault="00C80FA2" w:rsidP="00E025D3">
      <w:pPr>
        <w:pStyle w:val="ListParagraph"/>
        <w:numPr>
          <w:ilvl w:val="0"/>
          <w:numId w:val="29"/>
        </w:numPr>
      </w:pPr>
      <w:r w:rsidRPr="00EF2495">
        <w:t>Medical insurance costs when in Australia (for fellowship participant only)</w:t>
      </w:r>
    </w:p>
    <w:p w14:paraId="3D59D4BC" w14:textId="7C9D77CA" w:rsidR="00E025D3" w:rsidRDefault="00E025D3" w:rsidP="00E025D3">
      <w:pPr>
        <w:pStyle w:val="ListParagraph"/>
        <w:numPr>
          <w:ilvl w:val="0"/>
          <w:numId w:val="29"/>
        </w:numPr>
      </w:pPr>
      <w:r>
        <w:t>S</w:t>
      </w:r>
      <w:r w:rsidR="00C80FA2" w:rsidRPr="00EF2495">
        <w:t xml:space="preserve">pecial assistance for people with </w:t>
      </w:r>
      <w:proofErr w:type="gramStart"/>
      <w:r w:rsidR="00C80FA2" w:rsidRPr="00EF2495">
        <w:t>disability</w:t>
      </w:r>
      <w:proofErr w:type="gramEnd"/>
    </w:p>
    <w:p w14:paraId="7069C785" w14:textId="38E8282B" w:rsidR="00C80FA2" w:rsidRPr="00EF2495" w:rsidRDefault="00C80FA2" w:rsidP="00E025D3">
      <w:pPr>
        <w:pStyle w:val="ListParagraph"/>
        <w:numPr>
          <w:ilvl w:val="0"/>
          <w:numId w:val="29"/>
        </w:numPr>
      </w:pPr>
      <w:r w:rsidRPr="00EF2495">
        <w:t>Program overhead fees</w:t>
      </w:r>
    </w:p>
    <w:p w14:paraId="4A328862" w14:textId="3E5A31E8" w:rsidR="00C80FA2" w:rsidRPr="00EF2495" w:rsidRDefault="00C80FA2" w:rsidP="00EF2495">
      <w:r w:rsidRPr="00EF2495">
        <w:t xml:space="preserve">The AAF provide short-term opportunities for in-Australia study, research and professional development, hosted by Australian organisations – and do not lead to academic qualifications. The AAF target senior and mid-career officials and professionals who </w:t>
      </w:r>
      <w:proofErr w:type="gramStart"/>
      <w:r w:rsidRPr="00EF2495">
        <w:t>are in a position to</w:t>
      </w:r>
      <w:proofErr w:type="gramEnd"/>
      <w:r w:rsidRPr="00EF2495">
        <w:t xml:space="preserve"> advance development outcomes in priority areas and increase the institutional capacity of their country through their leadership. AAF application rounds are held through a competitive selection process managed centrally by DFAT Canberra.</w:t>
      </w:r>
      <w:r w:rsidR="003F5B42" w:rsidRPr="00EF2495">
        <w:t xml:space="preserve"> </w:t>
      </w:r>
      <w:r w:rsidRPr="00EF2495">
        <w:t xml:space="preserve">There have been 162 AAF recipients (54% female) from Tonga in 19 </w:t>
      </w:r>
      <w:hyperlink r:id="rId95" w:history="1">
        <w:r w:rsidRPr="00EF2495">
          <w:rPr>
            <w:rStyle w:val="Hyperlink"/>
          </w:rPr>
          <w:t>rounds</w:t>
        </w:r>
      </w:hyperlink>
      <w:r w:rsidRPr="00EF2495">
        <w:t xml:space="preserve"> (commencing in 2007, with a gap during the COVID-19 pandemic). The highest proportion of the Tongan fellows have been in the priority development sectors of education (53%) and health (21%). Almost half (44%) have had fellowships at an Australian university, 38% in a government agency and 18% in </w:t>
      </w:r>
      <w:proofErr w:type="gramStart"/>
      <w:r w:rsidR="00D50988" w:rsidRPr="00EF2495">
        <w:t>an</w:t>
      </w:r>
      <w:r w:rsidRPr="00EF2495">
        <w:t xml:space="preserve"> NGO/other</w:t>
      </w:r>
      <w:proofErr w:type="gramEnd"/>
      <w:r w:rsidRPr="00EF2495">
        <w:t xml:space="preserve"> institution.</w:t>
      </w:r>
    </w:p>
    <w:p w14:paraId="0FA6E5C1" w14:textId="495736F5" w:rsidR="00C80FA2" w:rsidRPr="00EF2495" w:rsidRDefault="003E4E20" w:rsidP="00435466">
      <w:pPr>
        <w:pStyle w:val="Heading2"/>
      </w:pPr>
      <w:bookmarkStart w:id="99" w:name="_Toc185321250"/>
      <w:r w:rsidRPr="00EF2495">
        <w:t>6</w:t>
      </w:r>
      <w:r w:rsidR="00767900" w:rsidRPr="00EF2495">
        <w:t>.</w:t>
      </w:r>
      <w:r w:rsidR="00767900" w:rsidRPr="00EF2495">
        <w:tab/>
      </w:r>
      <w:r w:rsidR="00C80FA2" w:rsidRPr="00EF2495">
        <w:t>ACIAR in Tonga</w:t>
      </w:r>
      <w:bookmarkEnd w:id="99"/>
    </w:p>
    <w:p w14:paraId="058F04A8" w14:textId="1AD19B8A" w:rsidR="00C80FA2" w:rsidRPr="00EF2495" w:rsidRDefault="003E4E20" w:rsidP="00435466">
      <w:pPr>
        <w:pStyle w:val="Heading3"/>
      </w:pPr>
      <w:bookmarkStart w:id="100" w:name="_Toc185321251"/>
      <w:r w:rsidRPr="00EF2495">
        <w:t>6</w:t>
      </w:r>
      <w:r w:rsidR="00BF32C1" w:rsidRPr="00EF2495">
        <w:t>.1</w:t>
      </w:r>
      <w:r w:rsidR="00BF32C1" w:rsidRPr="00EF2495">
        <w:tab/>
      </w:r>
      <w:r w:rsidR="00C80FA2" w:rsidRPr="00EF2495">
        <w:t>John Allwright Fellowships (JDF)</w:t>
      </w:r>
      <w:bookmarkEnd w:id="100"/>
    </w:p>
    <w:p w14:paraId="5AB25B2D" w14:textId="77777777" w:rsidR="00C80FA2" w:rsidRPr="00EF2495" w:rsidRDefault="00C80FA2" w:rsidP="00EF2495">
      <w:r w:rsidRPr="00EF2495">
        <w:t xml:space="preserve">The </w:t>
      </w:r>
      <w:hyperlink r:id="rId96" w:history="1">
        <w:r w:rsidRPr="00EF2495">
          <w:rPr>
            <w:rStyle w:val="Hyperlink"/>
          </w:rPr>
          <w:t>JDF Program</w:t>
        </w:r>
      </w:hyperlink>
      <w:r w:rsidRPr="00EF2495">
        <w:t xml:space="preserve"> the ACIAR (Australian Centre for International Agricultural Research) Fellowships Scheme provides the opportunity for partner country scientists involved in ACIAR-supported research projects to obtain postgraduate qualifications at Australian tertiary institutions, through the John Allwright and John Dillon Memorial fellowships.</w:t>
      </w:r>
    </w:p>
    <w:p w14:paraId="0760A564" w14:textId="77777777" w:rsidR="00C80FA2" w:rsidRPr="00EF2495" w:rsidRDefault="00C80FA2" w:rsidP="00EF2495">
      <w:r w:rsidRPr="00EF2495">
        <w:t>Immersive professional development workshop in country: 8- day face to face workshop covering key topics connected to leadership and management.</w:t>
      </w:r>
    </w:p>
    <w:p w14:paraId="21B5B137" w14:textId="77777777" w:rsidR="00C80FA2" w:rsidRPr="00EF2495" w:rsidRDefault="00C80FA2" w:rsidP="00EF2495">
      <w:r w:rsidRPr="00EF2495">
        <w:t>Short professional development projects undertaken in country: Over an 8 to 10-week period, teams of JDF will work collaboratively on short management and leadership projects focused on implementing learnings within their organisations from the program undertaken in their home country.</w:t>
      </w:r>
    </w:p>
    <w:p w14:paraId="525C542F" w14:textId="77777777" w:rsidR="00C80FA2" w:rsidRPr="00EF2495" w:rsidRDefault="00C80FA2" w:rsidP="00EF2495">
      <w:r w:rsidRPr="00EF2495">
        <w:t>Final reflective workshop in Australia: An 8-day final workshop to reflect on learning journeys and focussing on the next steps with the development of a personal and leadership strategy. This is followed by site visits to Australian organisations including interacting with staff at ACIAR House in Canberra, where they will present the learnings of the program and an analysis of results of the professional development projects.</w:t>
      </w:r>
    </w:p>
    <w:p w14:paraId="3B167AAC" w14:textId="77777777" w:rsidR="00C80FA2" w:rsidRPr="00EF2495" w:rsidRDefault="00C80FA2" w:rsidP="00EF2495">
      <w:r w:rsidRPr="00EF2495">
        <w:t xml:space="preserve">By the end of the program, it is expected that participants will have increased capability and confidence to lead and influence effective agricultural research in their organisations, particularly in the domains of Values-based Leadership; Collaboration and communication; </w:t>
      </w:r>
      <w:r w:rsidRPr="00EF2495">
        <w:lastRenderedPageBreak/>
        <w:t>Project management; and Gender equity and social inclusion. In 2024, there were approximately 38 JAFs studying in Australia at 18 universities across the country.</w:t>
      </w:r>
    </w:p>
    <w:p w14:paraId="35A7B6B0" w14:textId="5EB49672" w:rsidR="00C80FA2" w:rsidRPr="00EF2495" w:rsidRDefault="003E4E20" w:rsidP="00435466">
      <w:pPr>
        <w:pStyle w:val="Heading3"/>
      </w:pPr>
      <w:bookmarkStart w:id="101" w:name="_Toc185321252"/>
      <w:r w:rsidRPr="00EF2495">
        <w:t>6</w:t>
      </w:r>
      <w:r w:rsidR="00BF32C1" w:rsidRPr="00EF2495">
        <w:t>.2</w:t>
      </w:r>
      <w:r w:rsidR="00BF32C1" w:rsidRPr="00EF2495">
        <w:tab/>
      </w:r>
      <w:r w:rsidR="00C80FA2" w:rsidRPr="00EF2495">
        <w:t>ACIAR Pacific Agriculture Scholarships and Support Program</w:t>
      </w:r>
      <w:bookmarkEnd w:id="101"/>
    </w:p>
    <w:p w14:paraId="7E185839" w14:textId="77777777" w:rsidR="00C80FA2" w:rsidRPr="00EF2495" w:rsidRDefault="00C80FA2" w:rsidP="00EF2495">
      <w:r w:rsidRPr="00EF2495">
        <w:t xml:space="preserve">The ACIAR </w:t>
      </w:r>
      <w:hyperlink r:id="rId97" w:history="1">
        <w:r w:rsidRPr="00EF2495">
          <w:rPr>
            <w:rStyle w:val="Hyperlink"/>
          </w:rPr>
          <w:t>Pacific Agriculture Scholarships and Support and Climate Resilience Program</w:t>
        </w:r>
      </w:hyperlink>
      <w:r w:rsidRPr="00EF2495">
        <w:t xml:space="preserve"> seeks to provide the opportunity for partner country scientists associated with ACIAR-supported projects to obtain postgraduate research qualifications in an applied context within their own cultural settings.</w:t>
      </w:r>
    </w:p>
    <w:p w14:paraId="45DEDE77" w14:textId="493E333F" w:rsidR="00C80FA2" w:rsidRPr="00EF2495" w:rsidRDefault="00C80FA2" w:rsidP="00EF2495">
      <w:r w:rsidRPr="00EF2495">
        <w:t>By working in partnership with the University of the South Pacific, Fiji National Universities and affiliated Australian Universities, this scholarship scheme aims to provide Pacific Island students with enhanced learning and skills development outcomes, mentoring, and career developed opportunities, which better position scholarship graduates to gain employment in the national or regional agricultural innovation system.</w:t>
      </w:r>
    </w:p>
    <w:p w14:paraId="267690DD" w14:textId="72C58E46" w:rsidR="0019608E" w:rsidRPr="00EF2495" w:rsidRDefault="0019608E" w:rsidP="00EF2495">
      <w:bookmarkStart w:id="102" w:name="_Toc185321253"/>
    </w:p>
    <w:p w14:paraId="5D02EDAC" w14:textId="7AA4FC78" w:rsidR="00C80FA2" w:rsidRDefault="00C80FA2" w:rsidP="00435466">
      <w:pPr>
        <w:pStyle w:val="Heading1"/>
        <w:rPr>
          <w:color w:val="auto"/>
        </w:rPr>
      </w:pPr>
      <w:r w:rsidRPr="00AA65C6">
        <w:rPr>
          <w:color w:val="auto"/>
        </w:rPr>
        <w:t>Annex 8:  Consideration of implementation resourcing options</w:t>
      </w:r>
      <w:bookmarkEnd w:id="102"/>
    </w:p>
    <w:p w14:paraId="4CA94DE4" w14:textId="333CDB64" w:rsidR="00FF1864" w:rsidRPr="00FF1864" w:rsidRDefault="00BB0F5F" w:rsidP="00BB0F5F">
      <w:pPr>
        <w:pStyle w:val="Heading2"/>
      </w:pPr>
      <w:r>
        <w:t>Continued management and administration by AHC (in-sourcing)</w:t>
      </w:r>
    </w:p>
    <w:tbl>
      <w:tblPr>
        <w:tblStyle w:val="ListTable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3020"/>
        <w:gridCol w:w="3021"/>
      </w:tblGrid>
      <w:tr w:rsidR="001E7BEA" w14:paraId="569EAA7D" w14:textId="77777777" w:rsidTr="00EA56B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020" w:type="dxa"/>
            <w:tcBorders>
              <w:bottom w:val="none" w:sz="0" w:space="0" w:color="auto"/>
              <w:right w:val="none" w:sz="0" w:space="0" w:color="auto"/>
            </w:tcBorders>
          </w:tcPr>
          <w:p w14:paraId="0A0C8B38" w14:textId="0598A9C6" w:rsidR="001E7BEA" w:rsidRPr="001E7BEA" w:rsidRDefault="001E7BEA" w:rsidP="001E7BEA">
            <w:pPr>
              <w:rPr>
                <w:b w:val="0"/>
                <w:bCs w:val="0"/>
              </w:rPr>
            </w:pPr>
            <w:r w:rsidRPr="001E7BEA">
              <w:t>Option</w:t>
            </w:r>
          </w:p>
        </w:tc>
        <w:tc>
          <w:tcPr>
            <w:tcW w:w="3022" w:type="dxa"/>
          </w:tcPr>
          <w:p w14:paraId="1E4594F3" w14:textId="4CB5B14C" w:rsidR="001E7BEA" w:rsidRPr="001E7BEA" w:rsidRDefault="001E7BEA" w:rsidP="001E7BEA">
            <w:pPr>
              <w:cnfStyle w:val="100000000000" w:firstRow="1" w:lastRow="0" w:firstColumn="0" w:lastColumn="0" w:oddVBand="0" w:evenVBand="0" w:oddHBand="0" w:evenHBand="0" w:firstRowFirstColumn="0" w:firstRowLastColumn="0" w:lastRowFirstColumn="0" w:lastRowLastColumn="0"/>
              <w:rPr>
                <w:b w:val="0"/>
                <w:bCs w:val="0"/>
              </w:rPr>
            </w:pPr>
            <w:r w:rsidRPr="001E7BEA">
              <w:t>Advantages</w:t>
            </w:r>
          </w:p>
        </w:tc>
        <w:tc>
          <w:tcPr>
            <w:tcW w:w="3022" w:type="dxa"/>
          </w:tcPr>
          <w:p w14:paraId="6E6FEB31" w14:textId="715F9C6E" w:rsidR="001E7BEA" w:rsidRPr="001E7BEA" w:rsidRDefault="001E7BEA" w:rsidP="001E7BEA">
            <w:pPr>
              <w:cnfStyle w:val="100000000000" w:firstRow="1" w:lastRow="0" w:firstColumn="0" w:lastColumn="0" w:oddVBand="0" w:evenVBand="0" w:oddHBand="0" w:evenHBand="0" w:firstRowFirstColumn="0" w:firstRowLastColumn="0" w:lastRowFirstColumn="0" w:lastRowLastColumn="0"/>
              <w:rPr>
                <w:b w:val="0"/>
                <w:bCs w:val="0"/>
              </w:rPr>
            </w:pPr>
            <w:r w:rsidRPr="001E7BEA">
              <w:t>Considerations</w:t>
            </w:r>
          </w:p>
        </w:tc>
      </w:tr>
      <w:tr w:rsidR="00A94A0F" w14:paraId="593C9EE4" w14:textId="77777777" w:rsidTr="00084799">
        <w:trPr>
          <w:cnfStyle w:val="000000100000" w:firstRow="0" w:lastRow="0" w:firstColumn="0" w:lastColumn="0" w:oddVBand="0" w:evenVBand="0" w:oddHBand="1" w:evenHBand="0" w:firstRowFirstColumn="0" w:firstRowLastColumn="0" w:lastRowFirstColumn="0" w:lastRowLastColumn="0"/>
          <w:trHeight w:val="2933"/>
        </w:trPr>
        <w:tc>
          <w:tcPr>
            <w:cnfStyle w:val="001000000000" w:firstRow="0" w:lastRow="0" w:firstColumn="1" w:lastColumn="0" w:oddVBand="0" w:evenVBand="0" w:oddHBand="0" w:evenHBand="0" w:firstRowFirstColumn="0" w:firstRowLastColumn="0" w:lastRowFirstColumn="0" w:lastRowLastColumn="0"/>
            <w:tcW w:w="3020" w:type="dxa"/>
            <w:tcBorders>
              <w:top w:val="none" w:sz="0" w:space="0" w:color="auto"/>
              <w:bottom w:val="none" w:sz="0" w:space="0" w:color="auto"/>
              <w:right w:val="none" w:sz="0" w:space="0" w:color="auto"/>
            </w:tcBorders>
          </w:tcPr>
          <w:p w14:paraId="44C1B46F" w14:textId="77777777" w:rsidR="00A94A0F" w:rsidRPr="003448D4" w:rsidRDefault="00A94A0F" w:rsidP="00A94A0F">
            <w:r w:rsidRPr="003448D4">
              <w:t>No change – 1 permanent Scholarships Officer at AHC</w:t>
            </w:r>
          </w:p>
          <w:p w14:paraId="1FFF68A3" w14:textId="77777777" w:rsidR="00A94A0F" w:rsidRDefault="00A94A0F" w:rsidP="00A94A0F"/>
        </w:tc>
        <w:tc>
          <w:tcPr>
            <w:tcW w:w="3022" w:type="dxa"/>
            <w:tcBorders>
              <w:top w:val="none" w:sz="0" w:space="0" w:color="auto"/>
              <w:bottom w:val="none" w:sz="0" w:space="0" w:color="auto"/>
            </w:tcBorders>
          </w:tcPr>
          <w:p w14:paraId="245DE5EC" w14:textId="2C7F1A97" w:rsidR="00A94A0F" w:rsidRDefault="00A94A0F" w:rsidP="00A94A0F">
            <w:pPr>
              <w:cnfStyle w:val="000000100000" w:firstRow="0" w:lastRow="0" w:firstColumn="0" w:lastColumn="0" w:oddVBand="0" w:evenVBand="0" w:oddHBand="1" w:evenHBand="0" w:firstRowFirstColumn="0" w:firstRowLastColumn="0" w:lastRowFirstColumn="0" w:lastRowLastColumn="0"/>
            </w:pPr>
            <w:r w:rsidRPr="00B51287">
              <w:t>No additional program management cost</w:t>
            </w:r>
          </w:p>
        </w:tc>
        <w:tc>
          <w:tcPr>
            <w:tcW w:w="3022" w:type="dxa"/>
            <w:tcBorders>
              <w:top w:val="none" w:sz="0" w:space="0" w:color="auto"/>
              <w:bottom w:val="none" w:sz="0" w:space="0" w:color="auto"/>
            </w:tcBorders>
          </w:tcPr>
          <w:p w14:paraId="6F4BFE2D" w14:textId="77777777" w:rsidR="00E51324" w:rsidRDefault="00E51324" w:rsidP="00E51324">
            <w:pPr>
              <w:cnfStyle w:val="000000100000" w:firstRow="0" w:lastRow="0" w:firstColumn="0" w:lastColumn="0" w:oddVBand="0" w:evenVBand="0" w:oddHBand="1" w:evenHBand="0" w:firstRowFirstColumn="0" w:firstRowLastColumn="0" w:lastRowFirstColumn="0" w:lastRowLastColumn="0"/>
            </w:pPr>
            <w:r>
              <w:t>Reliance on availability/expertise of one person.</w:t>
            </w:r>
          </w:p>
          <w:p w14:paraId="5162F0B1" w14:textId="77777777" w:rsidR="00E51324" w:rsidRDefault="00E51324" w:rsidP="00E51324">
            <w:pPr>
              <w:cnfStyle w:val="000000100000" w:firstRow="0" w:lastRow="0" w:firstColumn="0" w:lastColumn="0" w:oddVBand="0" w:evenVBand="0" w:oddHBand="1" w:evenHBand="0" w:firstRowFirstColumn="0" w:firstRowLastColumn="0" w:lastRowFirstColumn="0" w:lastRowLastColumn="0"/>
            </w:pPr>
            <w:r>
              <w:t>Not able to undertake full scope of AA programming, especially Alumni engagement and other possible award modalities.</w:t>
            </w:r>
          </w:p>
          <w:p w14:paraId="414A44C2" w14:textId="5BB8A950" w:rsidR="00A94A0F" w:rsidRDefault="00E51324" w:rsidP="00E51324">
            <w:pPr>
              <w:cnfStyle w:val="000000100000" w:firstRow="0" w:lastRow="0" w:firstColumn="0" w:lastColumn="0" w:oddVBand="0" w:evenVBand="0" w:oddHBand="1" w:evenHBand="0" w:firstRowFirstColumn="0" w:firstRowLastColumn="0" w:lastRowFirstColumn="0" w:lastRowLastColumn="0"/>
            </w:pPr>
            <w:r>
              <w:t>No need for additional time and cost in making outsourced arrangements.</w:t>
            </w:r>
          </w:p>
        </w:tc>
      </w:tr>
      <w:tr w:rsidR="008808FB" w14:paraId="2C03CBD1" w14:textId="77777777" w:rsidTr="00084799">
        <w:tc>
          <w:tcPr>
            <w:cnfStyle w:val="001000000000" w:firstRow="0" w:lastRow="0" w:firstColumn="1" w:lastColumn="0" w:oddVBand="0" w:evenVBand="0" w:oddHBand="0" w:evenHBand="0" w:firstRowFirstColumn="0" w:firstRowLastColumn="0" w:lastRowFirstColumn="0" w:lastRowLastColumn="0"/>
            <w:tcW w:w="3020" w:type="dxa"/>
            <w:tcBorders>
              <w:right w:val="none" w:sz="0" w:space="0" w:color="auto"/>
            </w:tcBorders>
          </w:tcPr>
          <w:p w14:paraId="05A8778F" w14:textId="5229551B" w:rsidR="008808FB" w:rsidRDefault="00686740" w:rsidP="00EF2495">
            <w:r w:rsidRPr="00686740">
              <w:t>Plus continue role of 0.5 Alumni Officer at AHC</w:t>
            </w:r>
          </w:p>
        </w:tc>
        <w:tc>
          <w:tcPr>
            <w:tcW w:w="3022" w:type="dxa"/>
          </w:tcPr>
          <w:p w14:paraId="67D52D6D" w14:textId="77777777" w:rsidR="008672EB" w:rsidRDefault="008672EB" w:rsidP="008672EB">
            <w:pPr>
              <w:cnfStyle w:val="000000000000" w:firstRow="0" w:lastRow="0" w:firstColumn="0" w:lastColumn="0" w:oddVBand="0" w:evenVBand="0" w:oddHBand="0" w:evenHBand="0" w:firstRowFirstColumn="0" w:firstRowLastColumn="0" w:lastRowFirstColumn="0" w:lastRowLastColumn="0"/>
            </w:pPr>
            <w:r>
              <w:t>Alumni engagement remains with AHC</w:t>
            </w:r>
          </w:p>
          <w:p w14:paraId="783CA56E" w14:textId="77777777" w:rsidR="008672EB" w:rsidRDefault="008672EB" w:rsidP="008672EB">
            <w:pPr>
              <w:cnfStyle w:val="000000000000" w:firstRow="0" w:lastRow="0" w:firstColumn="0" w:lastColumn="0" w:oddVBand="0" w:evenVBand="0" w:oddHBand="0" w:evenHBand="0" w:firstRowFirstColumn="0" w:firstRowLastColumn="0" w:lastRowFirstColumn="0" w:lastRowLastColumn="0"/>
            </w:pPr>
            <w:r>
              <w:t>Less reliance on one person.</w:t>
            </w:r>
          </w:p>
          <w:p w14:paraId="2AFF5D8D" w14:textId="49A3704F" w:rsidR="008808FB" w:rsidRDefault="008672EB" w:rsidP="008672EB">
            <w:pPr>
              <w:cnfStyle w:val="000000000000" w:firstRow="0" w:lastRow="0" w:firstColumn="0" w:lastColumn="0" w:oddVBand="0" w:evenVBand="0" w:oddHBand="0" w:evenHBand="0" w:firstRowFirstColumn="0" w:firstRowLastColumn="0" w:lastRowFirstColumn="0" w:lastRowLastColumn="0"/>
            </w:pPr>
            <w:r>
              <w:t>Would be greater flexibility if contract a staff member in next two years (e.g. from TASP or as recruited by AHC).</w:t>
            </w:r>
          </w:p>
        </w:tc>
        <w:tc>
          <w:tcPr>
            <w:tcW w:w="3022" w:type="dxa"/>
          </w:tcPr>
          <w:p w14:paraId="0DEEE22D" w14:textId="77777777" w:rsidR="007F42E4" w:rsidRDefault="007F42E4" w:rsidP="007F42E4">
            <w:pPr>
              <w:cnfStyle w:val="000000000000" w:firstRow="0" w:lastRow="0" w:firstColumn="0" w:lastColumn="0" w:oddVBand="0" w:evenVBand="0" w:oddHBand="0" w:evenHBand="0" w:firstRowFirstColumn="0" w:firstRowLastColumn="0" w:lastRowFirstColumn="0" w:lastRowLastColumn="0"/>
            </w:pPr>
            <w:r>
              <w:t>Some additional salary/</w:t>
            </w:r>
            <w:proofErr w:type="gramStart"/>
            <w:r>
              <w:t>on-costs</w:t>
            </w:r>
            <w:proofErr w:type="gramEnd"/>
            <w:r>
              <w:t>, but no MC overhead.</w:t>
            </w:r>
          </w:p>
          <w:p w14:paraId="20678A54" w14:textId="77777777" w:rsidR="007F42E4" w:rsidRDefault="007F42E4" w:rsidP="007F42E4">
            <w:pPr>
              <w:cnfStyle w:val="000000000000" w:firstRow="0" w:lastRow="0" w:firstColumn="0" w:lastColumn="0" w:oddVBand="0" w:evenVBand="0" w:oddHBand="0" w:evenHBand="0" w:firstRowFirstColumn="0" w:firstRowLastColumn="0" w:lastRowFirstColumn="0" w:lastRowLastColumn="0"/>
            </w:pPr>
            <w:r>
              <w:t>Possible limited space at Post.</w:t>
            </w:r>
          </w:p>
          <w:p w14:paraId="3F3271E9" w14:textId="77777777" w:rsidR="007F42E4" w:rsidRDefault="007F42E4" w:rsidP="007F42E4">
            <w:pPr>
              <w:cnfStyle w:val="000000000000" w:firstRow="0" w:lastRow="0" w:firstColumn="0" w:lastColumn="0" w:oddVBand="0" w:evenVBand="0" w:oddHBand="0" w:evenHBand="0" w:firstRowFirstColumn="0" w:firstRowLastColumn="0" w:lastRowFirstColumn="0" w:lastRowLastColumn="0"/>
            </w:pPr>
            <w:r>
              <w:t>Would likely need to make separate arrangements for post-award MEL.</w:t>
            </w:r>
          </w:p>
          <w:p w14:paraId="21B4B155" w14:textId="0D48D6BB" w:rsidR="008808FB" w:rsidRDefault="007F42E4" w:rsidP="007F42E4">
            <w:pPr>
              <w:cnfStyle w:val="000000000000" w:firstRow="0" w:lastRow="0" w:firstColumn="0" w:lastColumn="0" w:oddVBand="0" w:evenVBand="0" w:oddHBand="0" w:evenHBand="0" w:firstRowFirstColumn="0" w:firstRowLastColumn="0" w:lastRowFirstColumn="0" w:lastRowLastColumn="0"/>
            </w:pPr>
            <w:r>
              <w:t>Does not have advantage of access to on-award and other activities managed by MC for other countries</w:t>
            </w:r>
          </w:p>
        </w:tc>
      </w:tr>
    </w:tbl>
    <w:p w14:paraId="65EFABBA" w14:textId="77777777" w:rsidR="007F42E4" w:rsidRPr="0019385F" w:rsidRDefault="007F42E4" w:rsidP="0019385F">
      <w:pPr>
        <w:pStyle w:val="Heading2"/>
      </w:pPr>
      <w:r w:rsidRPr="0019385F">
        <w:t>Outsourcing</w:t>
      </w:r>
    </w:p>
    <w:tbl>
      <w:tblPr>
        <w:tblStyle w:val="ListTable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3021"/>
        <w:gridCol w:w="3021"/>
      </w:tblGrid>
      <w:tr w:rsidR="007F42E4" w14:paraId="0D93AF22" w14:textId="77777777" w:rsidTr="00EA56B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020" w:type="dxa"/>
            <w:tcBorders>
              <w:bottom w:val="none" w:sz="0" w:space="0" w:color="auto"/>
              <w:right w:val="none" w:sz="0" w:space="0" w:color="auto"/>
            </w:tcBorders>
          </w:tcPr>
          <w:p w14:paraId="2E64493B" w14:textId="77777777" w:rsidR="007F42E4" w:rsidRPr="001E7BEA" w:rsidRDefault="007F42E4" w:rsidP="00567C40">
            <w:pPr>
              <w:rPr>
                <w:b w:val="0"/>
                <w:bCs w:val="0"/>
              </w:rPr>
            </w:pPr>
            <w:r w:rsidRPr="001E7BEA">
              <w:lastRenderedPageBreak/>
              <w:t>Option</w:t>
            </w:r>
          </w:p>
        </w:tc>
        <w:tc>
          <w:tcPr>
            <w:tcW w:w="3022" w:type="dxa"/>
          </w:tcPr>
          <w:p w14:paraId="585A2FE7" w14:textId="77777777" w:rsidR="007F42E4" w:rsidRPr="001E7BEA" w:rsidRDefault="007F42E4" w:rsidP="00567C40">
            <w:pPr>
              <w:cnfStyle w:val="100000000000" w:firstRow="1" w:lastRow="0" w:firstColumn="0" w:lastColumn="0" w:oddVBand="0" w:evenVBand="0" w:oddHBand="0" w:evenHBand="0" w:firstRowFirstColumn="0" w:firstRowLastColumn="0" w:lastRowFirstColumn="0" w:lastRowLastColumn="0"/>
              <w:rPr>
                <w:b w:val="0"/>
                <w:bCs w:val="0"/>
              </w:rPr>
            </w:pPr>
            <w:r w:rsidRPr="001E7BEA">
              <w:t>Advantages</w:t>
            </w:r>
          </w:p>
        </w:tc>
        <w:tc>
          <w:tcPr>
            <w:tcW w:w="3022" w:type="dxa"/>
          </w:tcPr>
          <w:p w14:paraId="16EC9819" w14:textId="77777777" w:rsidR="007F42E4" w:rsidRPr="001E7BEA" w:rsidRDefault="007F42E4" w:rsidP="00567C40">
            <w:pPr>
              <w:cnfStyle w:val="100000000000" w:firstRow="1" w:lastRow="0" w:firstColumn="0" w:lastColumn="0" w:oddVBand="0" w:evenVBand="0" w:oddHBand="0" w:evenHBand="0" w:firstRowFirstColumn="0" w:firstRowLastColumn="0" w:lastRowFirstColumn="0" w:lastRowLastColumn="0"/>
              <w:rPr>
                <w:b w:val="0"/>
                <w:bCs w:val="0"/>
              </w:rPr>
            </w:pPr>
            <w:r w:rsidRPr="001E7BEA">
              <w:t>Considerations</w:t>
            </w:r>
          </w:p>
        </w:tc>
      </w:tr>
      <w:tr w:rsidR="007F42E4" w14:paraId="272D2F2F" w14:textId="77777777" w:rsidTr="00363B76">
        <w:trPr>
          <w:cnfStyle w:val="000000100000" w:firstRow="0" w:lastRow="0" w:firstColumn="0" w:lastColumn="0" w:oddVBand="0" w:evenVBand="0" w:oddHBand="1" w:evenHBand="0" w:firstRowFirstColumn="0" w:firstRowLastColumn="0" w:lastRowFirstColumn="0" w:lastRowLastColumn="0"/>
          <w:trHeight w:val="2933"/>
        </w:trPr>
        <w:tc>
          <w:tcPr>
            <w:cnfStyle w:val="001000000000" w:firstRow="0" w:lastRow="0" w:firstColumn="1" w:lastColumn="0" w:oddVBand="0" w:evenVBand="0" w:oddHBand="0" w:evenHBand="0" w:firstRowFirstColumn="0" w:firstRowLastColumn="0" w:lastRowFirstColumn="0" w:lastRowLastColumn="0"/>
            <w:tcW w:w="3020" w:type="dxa"/>
            <w:tcBorders>
              <w:top w:val="none" w:sz="0" w:space="0" w:color="auto"/>
              <w:bottom w:val="none" w:sz="0" w:space="0" w:color="auto"/>
              <w:right w:val="none" w:sz="0" w:space="0" w:color="auto"/>
            </w:tcBorders>
          </w:tcPr>
          <w:p w14:paraId="75B259BB" w14:textId="602D7E18" w:rsidR="007F42E4" w:rsidRPr="003448D4" w:rsidRDefault="00B24A62" w:rsidP="00567C40">
            <w:r w:rsidRPr="00B24A62">
              <w:t>AAGSM (selected activities)</w:t>
            </w:r>
          </w:p>
          <w:p w14:paraId="5629457B" w14:textId="77777777" w:rsidR="007F42E4" w:rsidRDefault="007F42E4" w:rsidP="00567C40"/>
        </w:tc>
        <w:tc>
          <w:tcPr>
            <w:tcW w:w="3022" w:type="dxa"/>
            <w:tcBorders>
              <w:top w:val="none" w:sz="0" w:space="0" w:color="auto"/>
              <w:bottom w:val="none" w:sz="0" w:space="0" w:color="auto"/>
            </w:tcBorders>
          </w:tcPr>
          <w:p w14:paraId="4ED2094B" w14:textId="77777777" w:rsidR="00F1563C" w:rsidRDefault="00F1563C" w:rsidP="00F1563C">
            <w:pPr>
              <w:cnfStyle w:val="000000100000" w:firstRow="0" w:lastRow="0" w:firstColumn="0" w:lastColumn="0" w:oddVBand="0" w:evenVBand="0" w:oddHBand="1" w:evenHBand="0" w:firstRowFirstColumn="0" w:firstRowLastColumn="0" w:lastRowFirstColumn="0" w:lastRowLastColumn="0"/>
            </w:pPr>
            <w:r>
              <w:t xml:space="preserve">DFAT Canberra have tendered for an AAGSM to provide services for central support </w:t>
            </w:r>
            <w:proofErr w:type="gramStart"/>
            <w:r>
              <w:t>and also</w:t>
            </w:r>
            <w:proofErr w:type="gramEnd"/>
            <w:r>
              <w:t xml:space="preserve"> through tasking notes for additional services as required (and paid for by Posts).</w:t>
            </w:r>
          </w:p>
          <w:p w14:paraId="6ABB5617" w14:textId="77777777" w:rsidR="00F1563C" w:rsidRDefault="00F1563C" w:rsidP="00F1563C">
            <w:pPr>
              <w:cnfStyle w:val="000000100000" w:firstRow="0" w:lastRow="0" w:firstColumn="0" w:lastColumn="0" w:oddVBand="0" w:evenVBand="0" w:oddHBand="1" w:evenHBand="0" w:firstRowFirstColumn="0" w:firstRowLastColumn="0" w:lastRowFirstColumn="0" w:lastRowLastColumn="0"/>
            </w:pPr>
            <w:r>
              <w:t>Tasking for selected activities (e.g.) through AAGSM would be to an organisation already familiar with Australia Awards, has in-Australia capability and could bring expertise from range of countries to Tonga program. This could be used for example for the recruitment of an interview panel member/counselling expert, shared on-award activities etc.).</w:t>
            </w:r>
          </w:p>
          <w:p w14:paraId="085B64EA" w14:textId="2FE29403" w:rsidR="007F42E4" w:rsidRDefault="00F1563C" w:rsidP="00F1563C">
            <w:pPr>
              <w:cnfStyle w:val="000000100000" w:firstRow="0" w:lastRow="0" w:firstColumn="0" w:lastColumn="0" w:oddVBand="0" w:evenVBand="0" w:oddHBand="1" w:evenHBand="0" w:firstRowFirstColumn="0" w:firstRowLastColumn="0" w:lastRowFirstColumn="0" w:lastRowLastColumn="0"/>
            </w:pPr>
            <w:r>
              <w:t>A Tasking note would be simpler than a full MC arrangement.</w:t>
            </w:r>
          </w:p>
        </w:tc>
        <w:tc>
          <w:tcPr>
            <w:tcW w:w="3022" w:type="dxa"/>
            <w:tcBorders>
              <w:top w:val="none" w:sz="0" w:space="0" w:color="auto"/>
              <w:bottom w:val="none" w:sz="0" w:space="0" w:color="auto"/>
            </w:tcBorders>
          </w:tcPr>
          <w:p w14:paraId="4BFA0365" w14:textId="77777777" w:rsidR="000442BA" w:rsidRDefault="000442BA" w:rsidP="000442BA">
            <w:pPr>
              <w:cnfStyle w:val="000000100000" w:firstRow="0" w:lastRow="0" w:firstColumn="0" w:lastColumn="0" w:oddVBand="0" w:evenVBand="0" w:oddHBand="1" w:evenHBand="0" w:firstRowFirstColumn="0" w:firstRowLastColumn="0" w:lastRowFirstColumn="0" w:lastRowLastColumn="0"/>
            </w:pPr>
            <w:r>
              <w:t xml:space="preserve">Additional MC overhead cost compared to continued management by Post. </w:t>
            </w:r>
          </w:p>
          <w:p w14:paraId="5161110F" w14:textId="77777777" w:rsidR="000442BA" w:rsidRDefault="000442BA" w:rsidP="000442BA">
            <w:pPr>
              <w:cnfStyle w:val="000000100000" w:firstRow="0" w:lastRow="0" w:firstColumn="0" w:lastColumn="0" w:oddVBand="0" w:evenVBand="0" w:oddHBand="1" w:evenHBand="0" w:firstRowFirstColumn="0" w:firstRowLastColumn="0" w:lastRowFirstColumn="0" w:lastRowLastColumn="0"/>
            </w:pPr>
            <w:r>
              <w:t>Would need partial contract management in task design, implementation and reporting.</w:t>
            </w:r>
          </w:p>
          <w:p w14:paraId="64A84A09" w14:textId="13D83E59" w:rsidR="007F42E4" w:rsidRDefault="000442BA" w:rsidP="000442BA">
            <w:pPr>
              <w:cnfStyle w:val="000000100000" w:firstRow="0" w:lastRow="0" w:firstColumn="0" w:lastColumn="0" w:oddVBand="0" w:evenVBand="0" w:oddHBand="1" w:evenHBand="0" w:firstRowFirstColumn="0" w:firstRowLastColumn="0" w:lastRowFirstColumn="0" w:lastRowLastColumn="0"/>
            </w:pPr>
            <w:r>
              <w:t>AAGSM would not necessarily have access to local Tonga knowledge, expertise and contacts.</w:t>
            </w:r>
          </w:p>
        </w:tc>
      </w:tr>
      <w:tr w:rsidR="007F42E4" w14:paraId="4BA838CA" w14:textId="77777777" w:rsidTr="00363B76">
        <w:tc>
          <w:tcPr>
            <w:cnfStyle w:val="001000000000" w:firstRow="0" w:lastRow="0" w:firstColumn="1" w:lastColumn="0" w:oddVBand="0" w:evenVBand="0" w:oddHBand="0" w:evenHBand="0" w:firstRowFirstColumn="0" w:firstRowLastColumn="0" w:lastRowFirstColumn="0" w:lastRowLastColumn="0"/>
            <w:tcW w:w="3020" w:type="dxa"/>
            <w:tcBorders>
              <w:right w:val="none" w:sz="0" w:space="0" w:color="auto"/>
            </w:tcBorders>
          </w:tcPr>
          <w:p w14:paraId="0B77F7D8" w14:textId="67975948" w:rsidR="007F42E4" w:rsidRDefault="00B553D1" w:rsidP="00567C40">
            <w:r w:rsidRPr="00B553D1">
              <w:t>TASP (or its Tonga-based successor)</w:t>
            </w:r>
          </w:p>
        </w:tc>
        <w:tc>
          <w:tcPr>
            <w:tcW w:w="3022" w:type="dxa"/>
          </w:tcPr>
          <w:p w14:paraId="1AAE47F5" w14:textId="77777777" w:rsidR="00A12EA6" w:rsidRDefault="00A12EA6" w:rsidP="00A12EA6">
            <w:pPr>
              <w:cnfStyle w:val="000000000000" w:firstRow="0" w:lastRow="0" w:firstColumn="0" w:lastColumn="0" w:oddVBand="0" w:evenVBand="0" w:oddHBand="0" w:evenHBand="0" w:firstRowFirstColumn="0" w:firstRowLastColumn="0" w:lastRowFirstColumn="0" w:lastRowLastColumn="0"/>
            </w:pPr>
            <w:r>
              <w:t>Existing Post contract with MC (TASP) already in Tonga, with local knowledge and expertise.</w:t>
            </w:r>
          </w:p>
          <w:p w14:paraId="13C592F9" w14:textId="2B0B4584" w:rsidR="007F42E4" w:rsidRDefault="00A12EA6" w:rsidP="00A12EA6">
            <w:pPr>
              <w:cnfStyle w:val="000000000000" w:firstRow="0" w:lastRow="0" w:firstColumn="0" w:lastColumn="0" w:oddVBand="0" w:evenVBand="0" w:oddHBand="0" w:evenHBand="0" w:firstRowFirstColumn="0" w:firstRowLastColumn="0" w:lastRowFirstColumn="0" w:lastRowLastColumn="0"/>
            </w:pPr>
            <w:r>
              <w:t>Could do a range of activities through current Post Tasking Note arrangements. This could include in-Tonga event management, arranging alumni professional development events.</w:t>
            </w:r>
          </w:p>
        </w:tc>
        <w:tc>
          <w:tcPr>
            <w:tcW w:w="3022" w:type="dxa"/>
          </w:tcPr>
          <w:p w14:paraId="78237371" w14:textId="77777777" w:rsidR="0067555C" w:rsidRDefault="0067555C" w:rsidP="0067555C">
            <w:pPr>
              <w:cnfStyle w:val="000000000000" w:firstRow="0" w:lastRow="0" w:firstColumn="0" w:lastColumn="0" w:oddVBand="0" w:evenVBand="0" w:oddHBand="0" w:evenHBand="0" w:firstRowFirstColumn="0" w:firstRowLastColumn="0" w:lastRowFirstColumn="0" w:lastRowLastColumn="0"/>
            </w:pPr>
            <w:r>
              <w:t>Additional MC overhead cost compared to continued management by Post.</w:t>
            </w:r>
          </w:p>
          <w:p w14:paraId="0310A4B9" w14:textId="77777777" w:rsidR="0067555C" w:rsidRDefault="0067555C" w:rsidP="0067555C">
            <w:pPr>
              <w:cnfStyle w:val="000000000000" w:firstRow="0" w:lastRow="0" w:firstColumn="0" w:lastColumn="0" w:oddVBand="0" w:evenVBand="0" w:oddHBand="0" w:evenHBand="0" w:firstRowFirstColumn="0" w:firstRowLastColumn="0" w:lastRowFirstColumn="0" w:lastRowLastColumn="0"/>
            </w:pPr>
            <w:r>
              <w:t>Would need partial contract management of task design, implementation and reporting</w:t>
            </w:r>
          </w:p>
          <w:p w14:paraId="308C0BA0" w14:textId="77777777" w:rsidR="0067555C" w:rsidRDefault="0067555C" w:rsidP="0067555C">
            <w:pPr>
              <w:cnfStyle w:val="000000000000" w:firstRow="0" w:lastRow="0" w:firstColumn="0" w:lastColumn="0" w:oddVBand="0" w:evenVBand="0" w:oddHBand="0" w:evenHBand="0" w:firstRowFirstColumn="0" w:firstRowLastColumn="0" w:lastRowFirstColumn="0" w:lastRowLastColumn="0"/>
            </w:pPr>
            <w:r>
              <w:t>TASP finishes in 2025. DFAT still to make decision on its extension.</w:t>
            </w:r>
          </w:p>
          <w:p w14:paraId="07A6B85F" w14:textId="77777777" w:rsidR="0067555C" w:rsidRDefault="0067555C" w:rsidP="0067555C">
            <w:pPr>
              <w:cnfStyle w:val="000000000000" w:firstRow="0" w:lastRow="0" w:firstColumn="0" w:lastColumn="0" w:oddVBand="0" w:evenVBand="0" w:oddHBand="0" w:evenHBand="0" w:firstRowFirstColumn="0" w:firstRowLastColumn="0" w:lastRowFirstColumn="0" w:lastRowLastColumn="0"/>
            </w:pPr>
            <w:r>
              <w:t xml:space="preserve">Lesser alumni contact directly with Post. </w:t>
            </w:r>
          </w:p>
          <w:p w14:paraId="74390CAD" w14:textId="21FBC451" w:rsidR="007F42E4" w:rsidRDefault="0067555C" w:rsidP="0067555C">
            <w:pPr>
              <w:cnfStyle w:val="000000000000" w:firstRow="0" w:lastRow="0" w:firstColumn="0" w:lastColumn="0" w:oddVBand="0" w:evenVBand="0" w:oddHBand="0" w:evenHBand="0" w:firstRowFirstColumn="0" w:firstRowLastColumn="0" w:lastRowFirstColumn="0" w:lastRowLastColumn="0"/>
            </w:pPr>
            <w:r>
              <w:t>Would likely be more effective and perhaps not significantly greater cost in contracting out an annual cycle of activities, rather than more ad hoc tasks</w:t>
            </w:r>
          </w:p>
        </w:tc>
      </w:tr>
      <w:tr w:rsidR="007F42E4" w14:paraId="429F65C9" w14:textId="77777777" w:rsidTr="00363B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none" w:sz="0" w:space="0" w:color="auto"/>
              <w:bottom w:val="none" w:sz="0" w:space="0" w:color="auto"/>
              <w:right w:val="none" w:sz="0" w:space="0" w:color="auto"/>
            </w:tcBorders>
          </w:tcPr>
          <w:p w14:paraId="71811D84" w14:textId="4077C7E0" w:rsidR="007F42E4" w:rsidRPr="00686740" w:rsidRDefault="00E42279" w:rsidP="00567C40">
            <w:r w:rsidRPr="00E42279">
              <w:t>Tendered MC arrangement</w:t>
            </w:r>
          </w:p>
        </w:tc>
        <w:tc>
          <w:tcPr>
            <w:tcW w:w="3022" w:type="dxa"/>
            <w:tcBorders>
              <w:top w:val="none" w:sz="0" w:space="0" w:color="auto"/>
              <w:bottom w:val="none" w:sz="0" w:space="0" w:color="auto"/>
            </w:tcBorders>
          </w:tcPr>
          <w:p w14:paraId="01563C41" w14:textId="6B795146" w:rsidR="007F42E4" w:rsidRDefault="003A3BF2" w:rsidP="00567C40">
            <w:pPr>
              <w:cnfStyle w:val="000000100000" w:firstRow="0" w:lastRow="0" w:firstColumn="0" w:lastColumn="0" w:oddVBand="0" w:evenVBand="0" w:oddHBand="1" w:evenHBand="0" w:firstRowFirstColumn="0" w:firstRowLastColumn="0" w:lastRowFirstColumn="0" w:lastRowLastColumn="0"/>
            </w:pPr>
            <w:r w:rsidRPr="003A3BF2">
              <w:t>MC could leverage on post-award activities from the other Australia Awards countries managed.</w:t>
            </w:r>
          </w:p>
        </w:tc>
        <w:tc>
          <w:tcPr>
            <w:tcW w:w="3022" w:type="dxa"/>
            <w:tcBorders>
              <w:top w:val="none" w:sz="0" w:space="0" w:color="auto"/>
              <w:bottom w:val="none" w:sz="0" w:space="0" w:color="auto"/>
            </w:tcBorders>
          </w:tcPr>
          <w:p w14:paraId="764B6DE6" w14:textId="77777777" w:rsidR="00B37147" w:rsidRDefault="00B37147" w:rsidP="00B37147">
            <w:pPr>
              <w:cnfStyle w:val="000000100000" w:firstRow="0" w:lastRow="0" w:firstColumn="0" w:lastColumn="0" w:oddVBand="0" w:evenVBand="0" w:oddHBand="1" w:evenHBand="0" w:firstRowFirstColumn="0" w:firstRowLastColumn="0" w:lastRowFirstColumn="0" w:lastRowLastColumn="0"/>
            </w:pPr>
            <w:r>
              <w:t>For effectiveness, this would need to be for a full range of activities (including conduct of short courses etc.).</w:t>
            </w:r>
          </w:p>
          <w:p w14:paraId="46C41913" w14:textId="77777777" w:rsidR="00B37147" w:rsidRDefault="00B37147" w:rsidP="00B37147">
            <w:pPr>
              <w:cnfStyle w:val="000000100000" w:firstRow="0" w:lastRow="0" w:firstColumn="0" w:lastColumn="0" w:oddVBand="0" w:evenVBand="0" w:oddHBand="1" w:evenHBand="0" w:firstRowFirstColumn="0" w:firstRowLastColumn="0" w:lastRowFirstColumn="0" w:lastRowLastColumn="0"/>
            </w:pPr>
            <w:r>
              <w:lastRenderedPageBreak/>
              <w:t>Would be full procurement and contract management workload.</w:t>
            </w:r>
          </w:p>
          <w:p w14:paraId="64524148" w14:textId="6C02C5F1" w:rsidR="007F42E4" w:rsidRDefault="00B37147" w:rsidP="00B37147">
            <w:pPr>
              <w:cnfStyle w:val="000000100000" w:firstRow="0" w:lastRow="0" w:firstColumn="0" w:lastColumn="0" w:oddVBand="0" w:evenVBand="0" w:oddHBand="1" w:evenHBand="0" w:firstRowFirstColumn="0" w:firstRowLastColumn="0" w:lastRowFirstColumn="0" w:lastRowLastColumn="0"/>
            </w:pPr>
            <w:r>
              <w:t>Would be an additional contract. Given limited capability in Tonga, the contractor may need some supporting technical advice/quality assurance.</w:t>
            </w:r>
          </w:p>
        </w:tc>
      </w:tr>
      <w:tr w:rsidR="007F42E4" w14:paraId="59A78B91" w14:textId="77777777" w:rsidTr="00363B76">
        <w:tc>
          <w:tcPr>
            <w:cnfStyle w:val="001000000000" w:firstRow="0" w:lastRow="0" w:firstColumn="1" w:lastColumn="0" w:oddVBand="0" w:evenVBand="0" w:oddHBand="0" w:evenHBand="0" w:firstRowFirstColumn="0" w:firstRowLastColumn="0" w:lastRowFirstColumn="0" w:lastRowLastColumn="0"/>
            <w:tcW w:w="3020" w:type="dxa"/>
            <w:tcBorders>
              <w:right w:val="none" w:sz="0" w:space="0" w:color="auto"/>
            </w:tcBorders>
          </w:tcPr>
          <w:p w14:paraId="4DFAD8F4" w14:textId="7EE9867B" w:rsidR="007F42E4" w:rsidRPr="00686740" w:rsidRDefault="001160FB" w:rsidP="001160FB">
            <w:r w:rsidRPr="001160FB">
              <w:lastRenderedPageBreak/>
              <w:t>Local post-award MEL-specific contract</w:t>
            </w:r>
          </w:p>
        </w:tc>
        <w:tc>
          <w:tcPr>
            <w:tcW w:w="3022" w:type="dxa"/>
          </w:tcPr>
          <w:p w14:paraId="3C77B83C" w14:textId="77777777" w:rsidR="00E51A58" w:rsidRDefault="00E51A58" w:rsidP="00E51A58">
            <w:pPr>
              <w:cnfStyle w:val="000000000000" w:firstRow="0" w:lastRow="0" w:firstColumn="0" w:lastColumn="0" w:oddVBand="0" w:evenVBand="0" w:oddHBand="0" w:evenHBand="0" w:firstRowFirstColumn="0" w:firstRowLastColumn="0" w:lastRowFirstColumn="0" w:lastRowLastColumn="0"/>
            </w:pPr>
            <w:r>
              <w:t>Would provide local context and support local capacity development in MEL.</w:t>
            </w:r>
          </w:p>
          <w:p w14:paraId="2B61D97D" w14:textId="57E3A7EB" w:rsidR="007F42E4" w:rsidRDefault="00E51A58" w:rsidP="00E51A58">
            <w:pPr>
              <w:cnfStyle w:val="000000000000" w:firstRow="0" w:lastRow="0" w:firstColumn="0" w:lastColumn="0" w:oddVBand="0" w:evenVBand="0" w:oddHBand="0" w:evenHBand="0" w:firstRowFirstColumn="0" w:firstRowLastColumn="0" w:lastRowFirstColumn="0" w:lastRowLastColumn="0"/>
            </w:pPr>
            <w:r>
              <w:t>May increase level of participation by alumni and reduce positive bias in responses.</w:t>
            </w:r>
          </w:p>
        </w:tc>
        <w:tc>
          <w:tcPr>
            <w:tcW w:w="3022" w:type="dxa"/>
          </w:tcPr>
          <w:p w14:paraId="63E169DF" w14:textId="185B640D" w:rsidR="007F42E4" w:rsidRDefault="005B59E2" w:rsidP="001160FB">
            <w:pPr>
              <w:cnfStyle w:val="000000000000" w:firstRow="0" w:lastRow="0" w:firstColumn="0" w:lastColumn="0" w:oddVBand="0" w:evenVBand="0" w:oddHBand="0" w:evenHBand="0" w:firstRowFirstColumn="0" w:firstRowLastColumn="0" w:lastRowFirstColumn="0" w:lastRowLastColumn="0"/>
            </w:pPr>
            <w:r w:rsidRPr="005B59E2">
              <w:t>Would be an additional contract. Given limited capability in Tonga, the contractor may need some supporting technical advice/quality assurance.</w:t>
            </w:r>
          </w:p>
        </w:tc>
      </w:tr>
    </w:tbl>
    <w:p w14:paraId="6E509D55" w14:textId="77777777" w:rsidR="005B59E2" w:rsidRPr="0019385F" w:rsidRDefault="005B59E2" w:rsidP="0019385F">
      <w:pPr>
        <w:pStyle w:val="Heading2"/>
      </w:pPr>
      <w:r w:rsidRPr="0019385F">
        <w:t>Partnership arrangement</w:t>
      </w:r>
    </w:p>
    <w:tbl>
      <w:tblPr>
        <w:tblStyle w:val="ListTable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3021"/>
        <w:gridCol w:w="3021"/>
      </w:tblGrid>
      <w:tr w:rsidR="00D85BCC" w14:paraId="272B44D3" w14:textId="77777777" w:rsidTr="00EA56B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020" w:type="dxa"/>
            <w:tcBorders>
              <w:bottom w:val="none" w:sz="0" w:space="0" w:color="auto"/>
              <w:right w:val="none" w:sz="0" w:space="0" w:color="auto"/>
            </w:tcBorders>
          </w:tcPr>
          <w:p w14:paraId="3E84FF92" w14:textId="77777777" w:rsidR="00D85BCC" w:rsidRPr="001E7BEA" w:rsidRDefault="00D85BCC" w:rsidP="00567C40">
            <w:pPr>
              <w:rPr>
                <w:b w:val="0"/>
                <w:bCs w:val="0"/>
              </w:rPr>
            </w:pPr>
            <w:r w:rsidRPr="001E7BEA">
              <w:t>Option</w:t>
            </w:r>
          </w:p>
        </w:tc>
        <w:tc>
          <w:tcPr>
            <w:tcW w:w="3022" w:type="dxa"/>
          </w:tcPr>
          <w:p w14:paraId="0F4D4DEC" w14:textId="77777777" w:rsidR="00D85BCC" w:rsidRPr="001E7BEA" w:rsidRDefault="00D85BCC" w:rsidP="00567C40">
            <w:pPr>
              <w:cnfStyle w:val="100000000000" w:firstRow="1" w:lastRow="0" w:firstColumn="0" w:lastColumn="0" w:oddVBand="0" w:evenVBand="0" w:oddHBand="0" w:evenHBand="0" w:firstRowFirstColumn="0" w:firstRowLastColumn="0" w:lastRowFirstColumn="0" w:lastRowLastColumn="0"/>
              <w:rPr>
                <w:b w:val="0"/>
                <w:bCs w:val="0"/>
              </w:rPr>
            </w:pPr>
            <w:r w:rsidRPr="001E7BEA">
              <w:t>Advantages</w:t>
            </w:r>
          </w:p>
        </w:tc>
        <w:tc>
          <w:tcPr>
            <w:tcW w:w="3022" w:type="dxa"/>
          </w:tcPr>
          <w:p w14:paraId="23B30DF5" w14:textId="77777777" w:rsidR="00D85BCC" w:rsidRPr="001E7BEA" w:rsidRDefault="00D85BCC" w:rsidP="00567C40">
            <w:pPr>
              <w:cnfStyle w:val="100000000000" w:firstRow="1" w:lastRow="0" w:firstColumn="0" w:lastColumn="0" w:oddVBand="0" w:evenVBand="0" w:oddHBand="0" w:evenHBand="0" w:firstRowFirstColumn="0" w:firstRowLastColumn="0" w:lastRowFirstColumn="0" w:lastRowLastColumn="0"/>
              <w:rPr>
                <w:b w:val="0"/>
                <w:bCs w:val="0"/>
              </w:rPr>
            </w:pPr>
            <w:r w:rsidRPr="001E7BEA">
              <w:t>Considerations</w:t>
            </w:r>
          </w:p>
        </w:tc>
      </w:tr>
      <w:tr w:rsidR="00D85BCC" w14:paraId="4CCCCCE2" w14:textId="77777777" w:rsidTr="00363B76">
        <w:trPr>
          <w:cnfStyle w:val="000000100000" w:firstRow="0" w:lastRow="0" w:firstColumn="0" w:lastColumn="0" w:oddVBand="0" w:evenVBand="0" w:oddHBand="1" w:evenHBand="0" w:firstRowFirstColumn="0" w:firstRowLastColumn="0" w:lastRowFirstColumn="0" w:lastRowLastColumn="0"/>
          <w:trHeight w:val="2933"/>
        </w:trPr>
        <w:tc>
          <w:tcPr>
            <w:cnfStyle w:val="001000000000" w:firstRow="0" w:lastRow="0" w:firstColumn="1" w:lastColumn="0" w:oddVBand="0" w:evenVBand="0" w:oddHBand="0" w:evenHBand="0" w:firstRowFirstColumn="0" w:firstRowLastColumn="0" w:lastRowFirstColumn="0" w:lastRowLastColumn="0"/>
            <w:tcW w:w="3020" w:type="dxa"/>
            <w:tcBorders>
              <w:top w:val="none" w:sz="0" w:space="0" w:color="auto"/>
              <w:bottom w:val="none" w:sz="0" w:space="0" w:color="auto"/>
              <w:right w:val="none" w:sz="0" w:space="0" w:color="auto"/>
            </w:tcBorders>
          </w:tcPr>
          <w:p w14:paraId="41FC1DCE" w14:textId="36579429" w:rsidR="00D85BCC" w:rsidRPr="003448D4" w:rsidRDefault="004513E1" w:rsidP="00567C40">
            <w:r>
              <w:t>N</w:t>
            </w:r>
            <w:r w:rsidR="00351B2C">
              <w:t>ot Available</w:t>
            </w:r>
          </w:p>
          <w:p w14:paraId="001048CC" w14:textId="77777777" w:rsidR="00D85BCC" w:rsidRDefault="00D85BCC" w:rsidP="00567C40"/>
        </w:tc>
        <w:tc>
          <w:tcPr>
            <w:tcW w:w="3022" w:type="dxa"/>
            <w:tcBorders>
              <w:top w:val="none" w:sz="0" w:space="0" w:color="auto"/>
              <w:bottom w:val="none" w:sz="0" w:space="0" w:color="auto"/>
            </w:tcBorders>
          </w:tcPr>
          <w:p w14:paraId="0BC56F3D" w14:textId="2B1EC2CF" w:rsidR="00D85BCC" w:rsidRDefault="00351B2C" w:rsidP="00567C40">
            <w:pPr>
              <w:cnfStyle w:val="000000100000" w:firstRow="0" w:lastRow="0" w:firstColumn="0" w:lastColumn="0" w:oddVBand="0" w:evenVBand="0" w:oddHBand="1" w:evenHBand="0" w:firstRowFirstColumn="0" w:firstRowLastColumn="0" w:lastRowFirstColumn="0" w:lastRowLastColumn="0"/>
            </w:pPr>
            <w:r>
              <w:t>Not Available</w:t>
            </w:r>
          </w:p>
        </w:tc>
        <w:tc>
          <w:tcPr>
            <w:tcW w:w="3022" w:type="dxa"/>
            <w:tcBorders>
              <w:top w:val="none" w:sz="0" w:space="0" w:color="auto"/>
              <w:bottom w:val="none" w:sz="0" w:space="0" w:color="auto"/>
            </w:tcBorders>
          </w:tcPr>
          <w:p w14:paraId="30492252" w14:textId="77777777" w:rsidR="00D85BCC" w:rsidRDefault="00D85BCC" w:rsidP="00567C40">
            <w:pPr>
              <w:cnfStyle w:val="000000100000" w:firstRow="0" w:lastRow="0" w:firstColumn="0" w:lastColumn="0" w:oddVBand="0" w:evenVBand="0" w:oddHBand="1" w:evenHBand="0" w:firstRowFirstColumn="0" w:firstRowLastColumn="0" w:lastRowFirstColumn="0" w:lastRowLastColumn="0"/>
            </w:pPr>
            <w:r>
              <w:t>Reliance on availability/expertise of one person.</w:t>
            </w:r>
          </w:p>
          <w:p w14:paraId="00B67CE7" w14:textId="77777777" w:rsidR="00D85BCC" w:rsidRDefault="00D85BCC" w:rsidP="00567C40">
            <w:pPr>
              <w:cnfStyle w:val="000000100000" w:firstRow="0" w:lastRow="0" w:firstColumn="0" w:lastColumn="0" w:oddVBand="0" w:evenVBand="0" w:oddHBand="1" w:evenHBand="0" w:firstRowFirstColumn="0" w:firstRowLastColumn="0" w:lastRowFirstColumn="0" w:lastRowLastColumn="0"/>
            </w:pPr>
            <w:r>
              <w:t>Not able to undertake full scope of AA programming, especially Alumni engagement and other possible award modalities.</w:t>
            </w:r>
          </w:p>
          <w:p w14:paraId="73E25466" w14:textId="77777777" w:rsidR="00D85BCC" w:rsidRDefault="00D85BCC" w:rsidP="00567C40">
            <w:pPr>
              <w:cnfStyle w:val="000000100000" w:firstRow="0" w:lastRow="0" w:firstColumn="0" w:lastColumn="0" w:oddVBand="0" w:evenVBand="0" w:oddHBand="1" w:evenHBand="0" w:firstRowFirstColumn="0" w:firstRowLastColumn="0" w:lastRowFirstColumn="0" w:lastRowLastColumn="0"/>
            </w:pPr>
            <w:r>
              <w:t>No need for additional time and cost in making outsourced arrangements.</w:t>
            </w:r>
          </w:p>
        </w:tc>
      </w:tr>
    </w:tbl>
    <w:p w14:paraId="74C6B946" w14:textId="3E5E93C5" w:rsidR="00460688" w:rsidRPr="00680BDA" w:rsidRDefault="00460688" w:rsidP="00680BDA">
      <w:pPr>
        <w:spacing w:before="0" w:after="200"/>
        <w:rPr>
          <w:rFonts w:eastAsiaTheme="majorEastAsia" w:cstheme="majorBidi"/>
          <w:bCs/>
          <w:sz w:val="36"/>
          <w:szCs w:val="36"/>
        </w:rPr>
        <w:sectPr w:rsidR="00460688" w:rsidRPr="00680BDA" w:rsidSect="002D459B">
          <w:endnotePr>
            <w:numFmt w:val="decimal"/>
            <w:numStart w:val="2"/>
          </w:endnotePr>
          <w:pgSz w:w="11906" w:h="16838"/>
          <w:pgMar w:top="1418" w:right="1418" w:bottom="1418" w:left="1418" w:header="709" w:footer="709" w:gutter="0"/>
          <w:cols w:space="708"/>
          <w:docGrid w:linePitch="360"/>
        </w:sectPr>
      </w:pPr>
      <w:bookmarkStart w:id="103" w:name="_Toc185321254"/>
    </w:p>
    <w:p w14:paraId="6F9EFCB5" w14:textId="391B2A45" w:rsidR="00C80FA2" w:rsidRDefault="00C80FA2" w:rsidP="005745FC">
      <w:pPr>
        <w:pStyle w:val="Heading1"/>
        <w:rPr>
          <w:color w:val="auto"/>
        </w:rPr>
      </w:pPr>
      <w:r w:rsidRPr="00172F1A">
        <w:rPr>
          <w:color w:val="auto"/>
        </w:rPr>
        <w:lastRenderedPageBreak/>
        <w:t>Annex 9: Comparison of findings of Tonga Tracer Survey (2024) with that of other Australia Awards countries (Global Tracer Facility Surveys, 2022)</w:t>
      </w:r>
      <w:r w:rsidRPr="00172F1A">
        <w:rPr>
          <w:color w:val="auto"/>
        </w:rPr>
        <w:footnoteReference w:id="15"/>
      </w:r>
      <w:bookmarkEnd w:id="103"/>
    </w:p>
    <w:tbl>
      <w:tblPr>
        <w:tblStyle w:val="ListTable3"/>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5930"/>
        <w:gridCol w:w="1701"/>
        <w:gridCol w:w="1417"/>
        <w:gridCol w:w="1559"/>
        <w:gridCol w:w="1276"/>
        <w:gridCol w:w="1418"/>
      </w:tblGrid>
      <w:tr w:rsidR="00460688" w14:paraId="18497F1A" w14:textId="77777777" w:rsidTr="003223B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95" w:type="dxa"/>
            <w:tcBorders>
              <w:bottom w:val="none" w:sz="0" w:space="0" w:color="auto"/>
              <w:right w:val="none" w:sz="0" w:space="0" w:color="auto"/>
            </w:tcBorders>
          </w:tcPr>
          <w:p w14:paraId="57601DA8" w14:textId="7BF9442F" w:rsidR="00460688" w:rsidRDefault="006239D5" w:rsidP="00C8252C">
            <w:r>
              <w:t xml:space="preserve">Question number </w:t>
            </w:r>
          </w:p>
        </w:tc>
        <w:tc>
          <w:tcPr>
            <w:tcW w:w="5930" w:type="dxa"/>
          </w:tcPr>
          <w:p w14:paraId="1D5EAC0C" w14:textId="0F7FCFFA" w:rsidR="00460688" w:rsidRDefault="006239D5" w:rsidP="00C8252C">
            <w:pPr>
              <w:cnfStyle w:val="100000000000" w:firstRow="1" w:lastRow="0" w:firstColumn="0" w:lastColumn="0" w:oddVBand="0" w:evenVBand="0" w:oddHBand="0" w:evenHBand="0" w:firstRowFirstColumn="0" w:firstRowLastColumn="0" w:lastRowFirstColumn="0" w:lastRowLastColumn="0"/>
            </w:pPr>
            <w:r>
              <w:t xml:space="preserve">Question </w:t>
            </w:r>
          </w:p>
        </w:tc>
        <w:tc>
          <w:tcPr>
            <w:tcW w:w="1701" w:type="dxa"/>
          </w:tcPr>
          <w:p w14:paraId="53FAFF0E" w14:textId="674EBDE2" w:rsidR="00460688" w:rsidRDefault="00460688" w:rsidP="00C8252C">
            <w:pPr>
              <w:cnfStyle w:val="100000000000" w:firstRow="1" w:lastRow="0" w:firstColumn="0" w:lastColumn="0" w:oddVBand="0" w:evenVBand="0" w:oddHBand="0" w:evenHBand="0" w:firstRowFirstColumn="0" w:firstRowLastColumn="0" w:lastRowFirstColumn="0" w:lastRowLastColumn="0"/>
            </w:pPr>
            <w:r>
              <w:t>Tonga</w:t>
            </w:r>
          </w:p>
        </w:tc>
        <w:tc>
          <w:tcPr>
            <w:tcW w:w="1417" w:type="dxa"/>
          </w:tcPr>
          <w:p w14:paraId="5F17ACDA" w14:textId="0CD1C17E" w:rsidR="00460688" w:rsidRDefault="00460688" w:rsidP="00C8252C">
            <w:pPr>
              <w:cnfStyle w:val="100000000000" w:firstRow="1" w:lastRow="0" w:firstColumn="0" w:lastColumn="0" w:oddVBand="0" w:evenVBand="0" w:oddHBand="0" w:evenHBand="0" w:firstRowFirstColumn="0" w:firstRowLastColumn="0" w:lastRowFirstColumn="0" w:lastRowLastColumn="0"/>
            </w:pPr>
            <w:r>
              <w:t>Fiji</w:t>
            </w:r>
          </w:p>
        </w:tc>
        <w:tc>
          <w:tcPr>
            <w:tcW w:w="1559" w:type="dxa"/>
          </w:tcPr>
          <w:p w14:paraId="2A4F0F33" w14:textId="7A6836FA" w:rsidR="00460688" w:rsidRDefault="00460688" w:rsidP="00C8252C">
            <w:pPr>
              <w:cnfStyle w:val="100000000000" w:firstRow="1" w:lastRow="0" w:firstColumn="0" w:lastColumn="0" w:oddVBand="0" w:evenVBand="0" w:oddHBand="0" w:evenHBand="0" w:firstRowFirstColumn="0" w:firstRowLastColumn="0" w:lastRowFirstColumn="0" w:lastRowLastColumn="0"/>
            </w:pPr>
            <w:r>
              <w:t>Samoa</w:t>
            </w:r>
          </w:p>
        </w:tc>
        <w:tc>
          <w:tcPr>
            <w:tcW w:w="1276" w:type="dxa"/>
          </w:tcPr>
          <w:p w14:paraId="3606CF80" w14:textId="58EC4A0B" w:rsidR="00460688" w:rsidRDefault="00460688" w:rsidP="00C8252C">
            <w:pPr>
              <w:cnfStyle w:val="100000000000" w:firstRow="1" w:lastRow="0" w:firstColumn="0" w:lastColumn="0" w:oddVBand="0" w:evenVBand="0" w:oddHBand="0" w:evenHBand="0" w:firstRowFirstColumn="0" w:firstRowLastColumn="0" w:lastRowFirstColumn="0" w:lastRowLastColumn="0"/>
            </w:pPr>
            <w:r>
              <w:t>Solomon Islands</w:t>
            </w:r>
          </w:p>
        </w:tc>
        <w:tc>
          <w:tcPr>
            <w:tcW w:w="1418" w:type="dxa"/>
          </w:tcPr>
          <w:p w14:paraId="3E532F47" w14:textId="32E34D6A" w:rsidR="00460688" w:rsidRDefault="00460688" w:rsidP="00C8252C">
            <w:pPr>
              <w:cnfStyle w:val="100000000000" w:firstRow="1" w:lastRow="0" w:firstColumn="0" w:lastColumn="0" w:oddVBand="0" w:evenVBand="0" w:oddHBand="0" w:evenHBand="0" w:firstRowFirstColumn="0" w:firstRowLastColumn="0" w:lastRowFirstColumn="0" w:lastRowLastColumn="0"/>
            </w:pPr>
            <w:r>
              <w:t xml:space="preserve">Global Alumni </w:t>
            </w:r>
          </w:p>
        </w:tc>
      </w:tr>
      <w:tr w:rsidR="00460688" w14:paraId="75010C5A" w14:textId="77777777" w:rsidTr="00816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 w:type="dxa"/>
            <w:tcBorders>
              <w:top w:val="none" w:sz="0" w:space="0" w:color="auto"/>
              <w:bottom w:val="none" w:sz="0" w:space="0" w:color="auto"/>
              <w:right w:val="none" w:sz="0" w:space="0" w:color="auto"/>
            </w:tcBorders>
          </w:tcPr>
          <w:p w14:paraId="569DC6C9" w14:textId="6AC1CAB9" w:rsidR="00460688" w:rsidRDefault="001350EA" w:rsidP="00C8252C">
            <w:r>
              <w:t>3.2</w:t>
            </w:r>
          </w:p>
        </w:tc>
        <w:tc>
          <w:tcPr>
            <w:tcW w:w="5930" w:type="dxa"/>
            <w:tcBorders>
              <w:top w:val="none" w:sz="0" w:space="0" w:color="auto"/>
              <w:bottom w:val="none" w:sz="0" w:space="0" w:color="auto"/>
            </w:tcBorders>
          </w:tcPr>
          <w:p w14:paraId="7DDFEBA7" w14:textId="70958498" w:rsidR="00460688" w:rsidRDefault="001350EA" w:rsidP="00C8252C">
            <w:pPr>
              <w:cnfStyle w:val="000000100000" w:firstRow="0" w:lastRow="0" w:firstColumn="0" w:lastColumn="0" w:oddVBand="0" w:evenVBand="0" w:oddHBand="1" w:evenHBand="0" w:firstRowFirstColumn="0" w:firstRowLastColumn="0" w:lastRowFirstColumn="0" w:lastRowLastColumn="0"/>
            </w:pPr>
            <w:r>
              <w:t xml:space="preserve">As a result of my </w:t>
            </w:r>
            <w:proofErr w:type="gramStart"/>
            <w:r>
              <w:t>award</w:t>
            </w:r>
            <w:proofErr w:type="gramEnd"/>
            <w:r>
              <w:t xml:space="preserve"> I have used my new knowledge and skills to improve the organisation I work in</w:t>
            </w:r>
          </w:p>
        </w:tc>
        <w:tc>
          <w:tcPr>
            <w:tcW w:w="1701" w:type="dxa"/>
            <w:tcBorders>
              <w:top w:val="none" w:sz="0" w:space="0" w:color="auto"/>
              <w:bottom w:val="none" w:sz="0" w:space="0" w:color="auto"/>
            </w:tcBorders>
          </w:tcPr>
          <w:p w14:paraId="12604F52" w14:textId="3F5AA1BB" w:rsidR="00460688" w:rsidRDefault="00EA1F83" w:rsidP="00C8252C">
            <w:pPr>
              <w:cnfStyle w:val="000000100000" w:firstRow="0" w:lastRow="0" w:firstColumn="0" w:lastColumn="0" w:oddVBand="0" w:evenVBand="0" w:oddHBand="1" w:evenHBand="0" w:firstRowFirstColumn="0" w:firstRowLastColumn="0" w:lastRowFirstColumn="0" w:lastRowLastColumn="0"/>
            </w:pPr>
            <w:r>
              <w:t>97%</w:t>
            </w:r>
          </w:p>
        </w:tc>
        <w:tc>
          <w:tcPr>
            <w:tcW w:w="1417" w:type="dxa"/>
            <w:tcBorders>
              <w:top w:val="none" w:sz="0" w:space="0" w:color="auto"/>
              <w:bottom w:val="none" w:sz="0" w:space="0" w:color="auto"/>
            </w:tcBorders>
          </w:tcPr>
          <w:p w14:paraId="13CFB4C3" w14:textId="5B4C0E83" w:rsidR="00460688" w:rsidRDefault="00EA1F83" w:rsidP="00C8252C">
            <w:pPr>
              <w:cnfStyle w:val="000000100000" w:firstRow="0" w:lastRow="0" w:firstColumn="0" w:lastColumn="0" w:oddVBand="0" w:evenVBand="0" w:oddHBand="1" w:evenHBand="0" w:firstRowFirstColumn="0" w:firstRowLastColumn="0" w:lastRowFirstColumn="0" w:lastRowLastColumn="0"/>
            </w:pPr>
            <w:r>
              <w:t>98%</w:t>
            </w:r>
          </w:p>
        </w:tc>
        <w:tc>
          <w:tcPr>
            <w:tcW w:w="1559" w:type="dxa"/>
            <w:tcBorders>
              <w:top w:val="none" w:sz="0" w:space="0" w:color="auto"/>
              <w:bottom w:val="none" w:sz="0" w:space="0" w:color="auto"/>
            </w:tcBorders>
          </w:tcPr>
          <w:p w14:paraId="22566A9E" w14:textId="4A5EC91F" w:rsidR="00460688" w:rsidRDefault="00953AAF" w:rsidP="00C8252C">
            <w:pPr>
              <w:cnfStyle w:val="000000100000" w:firstRow="0" w:lastRow="0" w:firstColumn="0" w:lastColumn="0" w:oddVBand="0" w:evenVBand="0" w:oddHBand="1" w:evenHBand="0" w:firstRowFirstColumn="0" w:firstRowLastColumn="0" w:lastRowFirstColumn="0" w:lastRowLastColumn="0"/>
            </w:pPr>
            <w:r>
              <w:t>89%</w:t>
            </w:r>
          </w:p>
        </w:tc>
        <w:tc>
          <w:tcPr>
            <w:tcW w:w="1276" w:type="dxa"/>
            <w:tcBorders>
              <w:top w:val="none" w:sz="0" w:space="0" w:color="auto"/>
              <w:bottom w:val="none" w:sz="0" w:space="0" w:color="auto"/>
            </w:tcBorders>
          </w:tcPr>
          <w:p w14:paraId="6844F7B4" w14:textId="621E3E40" w:rsidR="00460688" w:rsidRDefault="00953AAF" w:rsidP="00C8252C">
            <w:pPr>
              <w:cnfStyle w:val="000000100000" w:firstRow="0" w:lastRow="0" w:firstColumn="0" w:lastColumn="0" w:oddVBand="0" w:evenVBand="0" w:oddHBand="1" w:evenHBand="0" w:firstRowFirstColumn="0" w:firstRowLastColumn="0" w:lastRowFirstColumn="0" w:lastRowLastColumn="0"/>
            </w:pPr>
            <w:r>
              <w:t>100%</w:t>
            </w:r>
          </w:p>
        </w:tc>
        <w:tc>
          <w:tcPr>
            <w:tcW w:w="1418" w:type="dxa"/>
            <w:tcBorders>
              <w:top w:val="none" w:sz="0" w:space="0" w:color="auto"/>
              <w:bottom w:val="none" w:sz="0" w:space="0" w:color="auto"/>
            </w:tcBorders>
          </w:tcPr>
          <w:p w14:paraId="38DF9918" w14:textId="01B2CCB3" w:rsidR="00460688" w:rsidRDefault="00953AAF" w:rsidP="00C8252C">
            <w:pPr>
              <w:cnfStyle w:val="000000100000" w:firstRow="0" w:lastRow="0" w:firstColumn="0" w:lastColumn="0" w:oddVBand="0" w:evenVBand="0" w:oddHBand="1" w:evenHBand="0" w:firstRowFirstColumn="0" w:firstRowLastColumn="0" w:lastRowFirstColumn="0" w:lastRowLastColumn="0"/>
            </w:pPr>
            <w:r>
              <w:t>97%</w:t>
            </w:r>
          </w:p>
        </w:tc>
      </w:tr>
      <w:tr w:rsidR="00460688" w14:paraId="6E6CE68B" w14:textId="77777777" w:rsidTr="00816B84">
        <w:tc>
          <w:tcPr>
            <w:cnfStyle w:val="001000000000" w:firstRow="0" w:lastRow="0" w:firstColumn="1" w:lastColumn="0" w:oddVBand="0" w:evenVBand="0" w:oddHBand="0" w:evenHBand="0" w:firstRowFirstColumn="0" w:firstRowLastColumn="0" w:lastRowFirstColumn="0" w:lastRowLastColumn="0"/>
            <w:tcW w:w="1295" w:type="dxa"/>
            <w:tcBorders>
              <w:right w:val="none" w:sz="0" w:space="0" w:color="auto"/>
            </w:tcBorders>
          </w:tcPr>
          <w:p w14:paraId="4443C258" w14:textId="74B28872" w:rsidR="00460688" w:rsidRDefault="009A46CA" w:rsidP="00C8252C">
            <w:r>
              <w:t>3.2</w:t>
            </w:r>
          </w:p>
        </w:tc>
        <w:tc>
          <w:tcPr>
            <w:tcW w:w="5930" w:type="dxa"/>
          </w:tcPr>
          <w:p w14:paraId="7683884D" w14:textId="20C0A05E" w:rsidR="00460688" w:rsidRDefault="009A46CA" w:rsidP="00C8252C">
            <w:pPr>
              <w:cnfStyle w:val="000000000000" w:firstRow="0" w:lastRow="0" w:firstColumn="0" w:lastColumn="0" w:oddVBand="0" w:evenVBand="0" w:oddHBand="0" w:evenHBand="0" w:firstRowFirstColumn="0" w:firstRowLastColumn="0" w:lastRowFirstColumn="0" w:lastRowLastColumn="0"/>
            </w:pPr>
            <w:r>
              <w:t xml:space="preserve">As a result of my </w:t>
            </w:r>
            <w:proofErr w:type="gramStart"/>
            <w:r>
              <w:t>award</w:t>
            </w:r>
            <w:proofErr w:type="gramEnd"/>
            <w:r>
              <w:t xml:space="preserve"> I have used my new knowledge and skills to make contributions to development at a national level in my country</w:t>
            </w:r>
          </w:p>
        </w:tc>
        <w:tc>
          <w:tcPr>
            <w:tcW w:w="1701" w:type="dxa"/>
          </w:tcPr>
          <w:p w14:paraId="2F10E61D" w14:textId="3B3AB8C1" w:rsidR="00460688" w:rsidRDefault="00EA1F83" w:rsidP="00C8252C">
            <w:pPr>
              <w:cnfStyle w:val="000000000000" w:firstRow="0" w:lastRow="0" w:firstColumn="0" w:lastColumn="0" w:oddVBand="0" w:evenVBand="0" w:oddHBand="0" w:evenHBand="0" w:firstRowFirstColumn="0" w:firstRowLastColumn="0" w:lastRowFirstColumn="0" w:lastRowLastColumn="0"/>
            </w:pPr>
            <w:r>
              <w:t>89%</w:t>
            </w:r>
          </w:p>
        </w:tc>
        <w:tc>
          <w:tcPr>
            <w:tcW w:w="1417" w:type="dxa"/>
          </w:tcPr>
          <w:p w14:paraId="3658AEFE" w14:textId="0379AC53" w:rsidR="00460688" w:rsidRDefault="00EA1F83" w:rsidP="00C8252C">
            <w:pPr>
              <w:cnfStyle w:val="000000000000" w:firstRow="0" w:lastRow="0" w:firstColumn="0" w:lastColumn="0" w:oddVBand="0" w:evenVBand="0" w:oddHBand="0" w:evenHBand="0" w:firstRowFirstColumn="0" w:firstRowLastColumn="0" w:lastRowFirstColumn="0" w:lastRowLastColumn="0"/>
            </w:pPr>
            <w:r>
              <w:t>97%</w:t>
            </w:r>
          </w:p>
        </w:tc>
        <w:tc>
          <w:tcPr>
            <w:tcW w:w="1559" w:type="dxa"/>
          </w:tcPr>
          <w:p w14:paraId="033E128E" w14:textId="297569E6" w:rsidR="00460688" w:rsidRDefault="00953AAF" w:rsidP="00C8252C">
            <w:pPr>
              <w:cnfStyle w:val="000000000000" w:firstRow="0" w:lastRow="0" w:firstColumn="0" w:lastColumn="0" w:oddVBand="0" w:evenVBand="0" w:oddHBand="0" w:evenHBand="0" w:firstRowFirstColumn="0" w:firstRowLastColumn="0" w:lastRowFirstColumn="0" w:lastRowLastColumn="0"/>
            </w:pPr>
            <w:r>
              <w:t>100%</w:t>
            </w:r>
          </w:p>
        </w:tc>
        <w:tc>
          <w:tcPr>
            <w:tcW w:w="1276" w:type="dxa"/>
          </w:tcPr>
          <w:p w14:paraId="7F5A819D" w14:textId="551E8099" w:rsidR="00460688" w:rsidRDefault="00953AAF" w:rsidP="00C8252C">
            <w:pPr>
              <w:cnfStyle w:val="000000000000" w:firstRow="0" w:lastRow="0" w:firstColumn="0" w:lastColumn="0" w:oddVBand="0" w:evenVBand="0" w:oddHBand="0" w:evenHBand="0" w:firstRowFirstColumn="0" w:firstRowLastColumn="0" w:lastRowFirstColumn="0" w:lastRowLastColumn="0"/>
            </w:pPr>
            <w:r>
              <w:t>100%</w:t>
            </w:r>
          </w:p>
        </w:tc>
        <w:tc>
          <w:tcPr>
            <w:tcW w:w="1418" w:type="dxa"/>
          </w:tcPr>
          <w:p w14:paraId="4E2B4E6F" w14:textId="349B8746" w:rsidR="00460688" w:rsidRDefault="00953AAF" w:rsidP="00C8252C">
            <w:pPr>
              <w:cnfStyle w:val="000000000000" w:firstRow="0" w:lastRow="0" w:firstColumn="0" w:lastColumn="0" w:oddVBand="0" w:evenVBand="0" w:oddHBand="0" w:evenHBand="0" w:firstRowFirstColumn="0" w:firstRowLastColumn="0" w:lastRowFirstColumn="0" w:lastRowLastColumn="0"/>
            </w:pPr>
            <w:r>
              <w:t>98%</w:t>
            </w:r>
          </w:p>
        </w:tc>
      </w:tr>
      <w:tr w:rsidR="00460688" w14:paraId="3148EA07" w14:textId="77777777" w:rsidTr="00816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 w:type="dxa"/>
            <w:tcBorders>
              <w:top w:val="none" w:sz="0" w:space="0" w:color="auto"/>
              <w:bottom w:val="none" w:sz="0" w:space="0" w:color="auto"/>
              <w:right w:val="none" w:sz="0" w:space="0" w:color="auto"/>
            </w:tcBorders>
          </w:tcPr>
          <w:p w14:paraId="62D543C0" w14:textId="0905226B" w:rsidR="00460688" w:rsidRDefault="009A46CA" w:rsidP="00C8252C">
            <w:r>
              <w:t>3.2</w:t>
            </w:r>
          </w:p>
        </w:tc>
        <w:tc>
          <w:tcPr>
            <w:tcW w:w="5930" w:type="dxa"/>
            <w:tcBorders>
              <w:top w:val="none" w:sz="0" w:space="0" w:color="auto"/>
              <w:bottom w:val="none" w:sz="0" w:space="0" w:color="auto"/>
            </w:tcBorders>
          </w:tcPr>
          <w:p w14:paraId="2A951443" w14:textId="2F6633AB" w:rsidR="00460688" w:rsidRDefault="009A46CA" w:rsidP="00C8252C">
            <w:pPr>
              <w:cnfStyle w:val="000000100000" w:firstRow="0" w:lastRow="0" w:firstColumn="0" w:lastColumn="0" w:oddVBand="0" w:evenVBand="0" w:oddHBand="1" w:evenHBand="0" w:firstRowFirstColumn="0" w:firstRowLastColumn="0" w:lastRowFirstColumn="0" w:lastRowLastColumn="0"/>
            </w:pPr>
            <w:r>
              <w:t xml:space="preserve">As a result of my </w:t>
            </w:r>
            <w:proofErr w:type="gramStart"/>
            <w:r>
              <w:t>award</w:t>
            </w:r>
            <w:proofErr w:type="gramEnd"/>
            <w:r>
              <w:t xml:space="preserve"> I have used my</w:t>
            </w:r>
            <w:r w:rsidR="00EA1F83">
              <w:t xml:space="preserve"> new knowledge and skills to make contributions to development at a regional and/or global level </w:t>
            </w:r>
          </w:p>
        </w:tc>
        <w:tc>
          <w:tcPr>
            <w:tcW w:w="1701" w:type="dxa"/>
            <w:tcBorders>
              <w:top w:val="none" w:sz="0" w:space="0" w:color="auto"/>
              <w:bottom w:val="none" w:sz="0" w:space="0" w:color="auto"/>
            </w:tcBorders>
          </w:tcPr>
          <w:p w14:paraId="34371D51" w14:textId="16042084" w:rsidR="00460688" w:rsidRDefault="00EA1F83" w:rsidP="00C8252C">
            <w:pPr>
              <w:cnfStyle w:val="000000100000" w:firstRow="0" w:lastRow="0" w:firstColumn="0" w:lastColumn="0" w:oddVBand="0" w:evenVBand="0" w:oddHBand="1" w:evenHBand="0" w:firstRowFirstColumn="0" w:firstRowLastColumn="0" w:lastRowFirstColumn="0" w:lastRowLastColumn="0"/>
            </w:pPr>
            <w:r>
              <w:t>84%</w:t>
            </w:r>
          </w:p>
        </w:tc>
        <w:tc>
          <w:tcPr>
            <w:tcW w:w="1417" w:type="dxa"/>
            <w:tcBorders>
              <w:top w:val="none" w:sz="0" w:space="0" w:color="auto"/>
              <w:bottom w:val="none" w:sz="0" w:space="0" w:color="auto"/>
            </w:tcBorders>
          </w:tcPr>
          <w:p w14:paraId="416C7123" w14:textId="63C7E9D0" w:rsidR="00460688" w:rsidRDefault="00953AAF" w:rsidP="00C8252C">
            <w:pPr>
              <w:cnfStyle w:val="000000100000" w:firstRow="0" w:lastRow="0" w:firstColumn="0" w:lastColumn="0" w:oddVBand="0" w:evenVBand="0" w:oddHBand="1" w:evenHBand="0" w:firstRowFirstColumn="0" w:firstRowLastColumn="0" w:lastRowFirstColumn="0" w:lastRowLastColumn="0"/>
            </w:pPr>
            <w:r>
              <w:t>83%</w:t>
            </w:r>
          </w:p>
        </w:tc>
        <w:tc>
          <w:tcPr>
            <w:tcW w:w="1559" w:type="dxa"/>
            <w:tcBorders>
              <w:top w:val="none" w:sz="0" w:space="0" w:color="auto"/>
              <w:bottom w:val="none" w:sz="0" w:space="0" w:color="auto"/>
            </w:tcBorders>
          </w:tcPr>
          <w:p w14:paraId="783D14D7" w14:textId="2836FACF" w:rsidR="00460688" w:rsidRDefault="00953AAF" w:rsidP="00C8252C">
            <w:pPr>
              <w:cnfStyle w:val="000000100000" w:firstRow="0" w:lastRow="0" w:firstColumn="0" w:lastColumn="0" w:oddVBand="0" w:evenVBand="0" w:oddHBand="1" w:evenHBand="0" w:firstRowFirstColumn="0" w:firstRowLastColumn="0" w:lastRowFirstColumn="0" w:lastRowLastColumn="0"/>
            </w:pPr>
            <w:r>
              <w:t>96%</w:t>
            </w:r>
          </w:p>
        </w:tc>
        <w:tc>
          <w:tcPr>
            <w:tcW w:w="1276" w:type="dxa"/>
            <w:tcBorders>
              <w:top w:val="none" w:sz="0" w:space="0" w:color="auto"/>
              <w:bottom w:val="none" w:sz="0" w:space="0" w:color="auto"/>
            </w:tcBorders>
          </w:tcPr>
          <w:p w14:paraId="5A558719" w14:textId="743A40BB" w:rsidR="00460688" w:rsidRDefault="00953AAF" w:rsidP="00C8252C">
            <w:pPr>
              <w:cnfStyle w:val="000000100000" w:firstRow="0" w:lastRow="0" w:firstColumn="0" w:lastColumn="0" w:oddVBand="0" w:evenVBand="0" w:oddHBand="1" w:evenHBand="0" w:firstRowFirstColumn="0" w:firstRowLastColumn="0" w:lastRowFirstColumn="0" w:lastRowLastColumn="0"/>
            </w:pPr>
            <w:r>
              <w:t>83%</w:t>
            </w:r>
          </w:p>
        </w:tc>
        <w:tc>
          <w:tcPr>
            <w:tcW w:w="1418" w:type="dxa"/>
            <w:tcBorders>
              <w:top w:val="none" w:sz="0" w:space="0" w:color="auto"/>
              <w:bottom w:val="none" w:sz="0" w:space="0" w:color="auto"/>
            </w:tcBorders>
          </w:tcPr>
          <w:p w14:paraId="1E2CA1D3" w14:textId="664CC7C9" w:rsidR="00460688" w:rsidRDefault="00953AAF" w:rsidP="00C8252C">
            <w:pPr>
              <w:cnfStyle w:val="000000100000" w:firstRow="0" w:lastRow="0" w:firstColumn="0" w:lastColumn="0" w:oddVBand="0" w:evenVBand="0" w:oddHBand="1" w:evenHBand="0" w:firstRowFirstColumn="0" w:firstRowLastColumn="0" w:lastRowFirstColumn="0" w:lastRowLastColumn="0"/>
            </w:pPr>
            <w:r>
              <w:t>78%</w:t>
            </w:r>
          </w:p>
        </w:tc>
      </w:tr>
      <w:tr w:rsidR="00460688" w14:paraId="098008C6" w14:textId="77777777" w:rsidTr="00816B84">
        <w:tc>
          <w:tcPr>
            <w:cnfStyle w:val="001000000000" w:firstRow="0" w:lastRow="0" w:firstColumn="1" w:lastColumn="0" w:oddVBand="0" w:evenVBand="0" w:oddHBand="0" w:evenHBand="0" w:firstRowFirstColumn="0" w:firstRowLastColumn="0" w:lastRowFirstColumn="0" w:lastRowLastColumn="0"/>
            <w:tcW w:w="1295" w:type="dxa"/>
            <w:tcBorders>
              <w:right w:val="none" w:sz="0" w:space="0" w:color="auto"/>
            </w:tcBorders>
          </w:tcPr>
          <w:p w14:paraId="5546E83B" w14:textId="2A6FF702" w:rsidR="00460688" w:rsidRDefault="00953AAF" w:rsidP="00C8252C">
            <w:r>
              <w:t xml:space="preserve">5.1 </w:t>
            </w:r>
          </w:p>
        </w:tc>
        <w:tc>
          <w:tcPr>
            <w:tcW w:w="5930" w:type="dxa"/>
          </w:tcPr>
          <w:p w14:paraId="1C480989" w14:textId="40920FB2" w:rsidR="00460688" w:rsidRDefault="00953AAF" w:rsidP="00C8252C">
            <w:pPr>
              <w:cnfStyle w:val="000000000000" w:firstRow="0" w:lastRow="0" w:firstColumn="0" w:lastColumn="0" w:oddVBand="0" w:evenVBand="0" w:oddHBand="0" w:evenHBand="0" w:firstRowFirstColumn="0" w:firstRowLastColumn="0" w:lastRowFirstColumn="0" w:lastRowLastColumn="0"/>
            </w:pPr>
            <w:r>
              <w:t>Since returning from award how often are you in contact with individuals in Australia</w:t>
            </w:r>
            <w:r w:rsidR="005315B7">
              <w:t>n businesses, professional associations and/or organisations working in your field (always, often, sometimes)</w:t>
            </w:r>
          </w:p>
        </w:tc>
        <w:tc>
          <w:tcPr>
            <w:tcW w:w="1701" w:type="dxa"/>
          </w:tcPr>
          <w:p w14:paraId="12A2880A" w14:textId="7604D10F" w:rsidR="00460688" w:rsidRDefault="001A6BD9" w:rsidP="00C8252C">
            <w:pPr>
              <w:cnfStyle w:val="000000000000" w:firstRow="0" w:lastRow="0" w:firstColumn="0" w:lastColumn="0" w:oddVBand="0" w:evenVBand="0" w:oddHBand="0" w:evenHBand="0" w:firstRowFirstColumn="0" w:firstRowLastColumn="0" w:lastRowFirstColumn="0" w:lastRowLastColumn="0"/>
            </w:pPr>
            <w:r>
              <w:t>66%</w:t>
            </w:r>
          </w:p>
        </w:tc>
        <w:tc>
          <w:tcPr>
            <w:tcW w:w="1417" w:type="dxa"/>
          </w:tcPr>
          <w:p w14:paraId="0049B51D" w14:textId="67BBC486" w:rsidR="00460688" w:rsidRDefault="001A6BD9" w:rsidP="00C8252C">
            <w:pPr>
              <w:cnfStyle w:val="000000000000" w:firstRow="0" w:lastRow="0" w:firstColumn="0" w:lastColumn="0" w:oddVBand="0" w:evenVBand="0" w:oddHBand="0" w:evenHBand="0" w:firstRowFirstColumn="0" w:firstRowLastColumn="0" w:lastRowFirstColumn="0" w:lastRowLastColumn="0"/>
            </w:pPr>
            <w:r>
              <w:t>92%</w:t>
            </w:r>
          </w:p>
        </w:tc>
        <w:tc>
          <w:tcPr>
            <w:tcW w:w="1559" w:type="dxa"/>
          </w:tcPr>
          <w:p w14:paraId="26B5C5F8" w14:textId="3ACEEF8E" w:rsidR="00460688" w:rsidRDefault="001A6BD9" w:rsidP="00C8252C">
            <w:pPr>
              <w:cnfStyle w:val="000000000000" w:firstRow="0" w:lastRow="0" w:firstColumn="0" w:lastColumn="0" w:oddVBand="0" w:evenVBand="0" w:oddHBand="0" w:evenHBand="0" w:firstRowFirstColumn="0" w:firstRowLastColumn="0" w:lastRowFirstColumn="0" w:lastRowLastColumn="0"/>
            </w:pPr>
            <w:r>
              <w:t>77%</w:t>
            </w:r>
          </w:p>
        </w:tc>
        <w:tc>
          <w:tcPr>
            <w:tcW w:w="1276" w:type="dxa"/>
          </w:tcPr>
          <w:p w14:paraId="267889EC" w14:textId="31F37EA6" w:rsidR="00460688" w:rsidRDefault="001A6BD9" w:rsidP="00C8252C">
            <w:pPr>
              <w:cnfStyle w:val="000000000000" w:firstRow="0" w:lastRow="0" w:firstColumn="0" w:lastColumn="0" w:oddVBand="0" w:evenVBand="0" w:oddHBand="0" w:evenHBand="0" w:firstRowFirstColumn="0" w:firstRowLastColumn="0" w:lastRowFirstColumn="0" w:lastRowLastColumn="0"/>
            </w:pPr>
            <w:r>
              <w:t>84%</w:t>
            </w:r>
          </w:p>
        </w:tc>
        <w:tc>
          <w:tcPr>
            <w:tcW w:w="1418" w:type="dxa"/>
          </w:tcPr>
          <w:p w14:paraId="794FE7E4" w14:textId="7A5481E4" w:rsidR="00460688" w:rsidRDefault="001A6BD9" w:rsidP="00C8252C">
            <w:pPr>
              <w:cnfStyle w:val="000000000000" w:firstRow="0" w:lastRow="0" w:firstColumn="0" w:lastColumn="0" w:oddVBand="0" w:evenVBand="0" w:oddHBand="0" w:evenHBand="0" w:firstRowFirstColumn="0" w:firstRowLastColumn="0" w:lastRowFirstColumn="0" w:lastRowLastColumn="0"/>
            </w:pPr>
            <w:r>
              <w:t>89%</w:t>
            </w:r>
          </w:p>
        </w:tc>
      </w:tr>
      <w:tr w:rsidR="00460688" w14:paraId="58DBD729" w14:textId="77777777" w:rsidTr="00816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 w:type="dxa"/>
            <w:tcBorders>
              <w:top w:val="none" w:sz="0" w:space="0" w:color="auto"/>
              <w:bottom w:val="none" w:sz="0" w:space="0" w:color="auto"/>
              <w:right w:val="none" w:sz="0" w:space="0" w:color="auto"/>
            </w:tcBorders>
          </w:tcPr>
          <w:p w14:paraId="0FDD399F" w14:textId="621BF6BE" w:rsidR="00460688" w:rsidRDefault="001A6BD9" w:rsidP="00C8252C">
            <w:r>
              <w:t xml:space="preserve">5.1 </w:t>
            </w:r>
          </w:p>
        </w:tc>
        <w:tc>
          <w:tcPr>
            <w:tcW w:w="5930" w:type="dxa"/>
            <w:tcBorders>
              <w:top w:val="none" w:sz="0" w:space="0" w:color="auto"/>
              <w:bottom w:val="none" w:sz="0" w:space="0" w:color="auto"/>
            </w:tcBorders>
          </w:tcPr>
          <w:p w14:paraId="34F84A40" w14:textId="4772ADA4" w:rsidR="00460688" w:rsidRDefault="001A6BD9" w:rsidP="00C8252C">
            <w:pPr>
              <w:cnfStyle w:val="000000100000" w:firstRow="0" w:lastRow="0" w:firstColumn="0" w:lastColumn="0" w:oddVBand="0" w:evenVBand="0" w:oddHBand="1" w:evenHBand="0" w:firstRowFirstColumn="0" w:firstRowLastColumn="0" w:lastRowFirstColumn="0" w:lastRowLastColumn="0"/>
            </w:pPr>
            <w:r>
              <w:t xml:space="preserve">Since returning from award how often are you in contact with the Australian High Commission / Embassy / </w:t>
            </w:r>
            <w:r w:rsidR="00FD761F">
              <w:t>Consulate</w:t>
            </w:r>
            <w:r>
              <w:t xml:space="preserve"> OR Awards </w:t>
            </w:r>
            <w:proofErr w:type="spellStart"/>
            <w:r>
              <w:t>Awards</w:t>
            </w:r>
            <w:proofErr w:type="spellEnd"/>
            <w:r>
              <w:t xml:space="preserve"> team in your</w:t>
            </w:r>
            <w:r w:rsidR="00FD761F">
              <w:t xml:space="preserve"> country (always, often, sometimes)</w:t>
            </w:r>
          </w:p>
        </w:tc>
        <w:tc>
          <w:tcPr>
            <w:tcW w:w="1701" w:type="dxa"/>
            <w:tcBorders>
              <w:top w:val="none" w:sz="0" w:space="0" w:color="auto"/>
              <w:bottom w:val="none" w:sz="0" w:space="0" w:color="auto"/>
            </w:tcBorders>
          </w:tcPr>
          <w:p w14:paraId="344549A6" w14:textId="2AFD5C8F" w:rsidR="00460688" w:rsidRDefault="00E025D3" w:rsidP="00E025D3">
            <w:pPr>
              <w:pStyle w:val="ListParagraph"/>
              <w:numPr>
                <w:ilvl w:val="0"/>
                <w:numId w:val="0"/>
              </w:numPr>
              <w:spacing w:line="240" w:lineRule="auto"/>
              <w:ind w:left="720"/>
              <w:cnfStyle w:val="000000100000" w:firstRow="0" w:lastRow="0" w:firstColumn="0" w:lastColumn="0" w:oddVBand="0" w:evenVBand="0" w:oddHBand="1" w:evenHBand="0" w:firstRowFirstColumn="0" w:firstRowLastColumn="0" w:lastRowFirstColumn="0" w:lastRowLastColumn="0"/>
            </w:pPr>
            <w:r>
              <w:t>-</w:t>
            </w:r>
          </w:p>
        </w:tc>
        <w:tc>
          <w:tcPr>
            <w:tcW w:w="1417" w:type="dxa"/>
            <w:tcBorders>
              <w:top w:val="none" w:sz="0" w:space="0" w:color="auto"/>
              <w:bottom w:val="none" w:sz="0" w:space="0" w:color="auto"/>
            </w:tcBorders>
          </w:tcPr>
          <w:p w14:paraId="61273B52" w14:textId="7C0CB6E4" w:rsidR="00460688" w:rsidRDefault="00FD761F" w:rsidP="00C8252C">
            <w:pPr>
              <w:cnfStyle w:val="000000100000" w:firstRow="0" w:lastRow="0" w:firstColumn="0" w:lastColumn="0" w:oddVBand="0" w:evenVBand="0" w:oddHBand="1" w:evenHBand="0" w:firstRowFirstColumn="0" w:firstRowLastColumn="0" w:lastRowFirstColumn="0" w:lastRowLastColumn="0"/>
            </w:pPr>
            <w:r>
              <w:t>79%</w:t>
            </w:r>
          </w:p>
        </w:tc>
        <w:tc>
          <w:tcPr>
            <w:tcW w:w="1559" w:type="dxa"/>
            <w:tcBorders>
              <w:top w:val="none" w:sz="0" w:space="0" w:color="auto"/>
              <w:bottom w:val="none" w:sz="0" w:space="0" w:color="auto"/>
            </w:tcBorders>
          </w:tcPr>
          <w:p w14:paraId="391BA6B6" w14:textId="29BD5FD1" w:rsidR="00460688" w:rsidRDefault="00FD761F" w:rsidP="00C8252C">
            <w:pPr>
              <w:cnfStyle w:val="000000100000" w:firstRow="0" w:lastRow="0" w:firstColumn="0" w:lastColumn="0" w:oddVBand="0" w:evenVBand="0" w:oddHBand="1" w:evenHBand="0" w:firstRowFirstColumn="0" w:firstRowLastColumn="0" w:lastRowFirstColumn="0" w:lastRowLastColumn="0"/>
            </w:pPr>
            <w:r>
              <w:t>88%</w:t>
            </w:r>
          </w:p>
        </w:tc>
        <w:tc>
          <w:tcPr>
            <w:tcW w:w="1276" w:type="dxa"/>
            <w:tcBorders>
              <w:top w:val="none" w:sz="0" w:space="0" w:color="auto"/>
              <w:bottom w:val="none" w:sz="0" w:space="0" w:color="auto"/>
            </w:tcBorders>
          </w:tcPr>
          <w:p w14:paraId="74D7597F" w14:textId="0290AC03" w:rsidR="00460688" w:rsidRDefault="00FD761F" w:rsidP="00C8252C">
            <w:pPr>
              <w:cnfStyle w:val="000000100000" w:firstRow="0" w:lastRow="0" w:firstColumn="0" w:lastColumn="0" w:oddVBand="0" w:evenVBand="0" w:oddHBand="1" w:evenHBand="0" w:firstRowFirstColumn="0" w:firstRowLastColumn="0" w:lastRowFirstColumn="0" w:lastRowLastColumn="0"/>
            </w:pPr>
            <w:r>
              <w:t>78%</w:t>
            </w:r>
          </w:p>
        </w:tc>
        <w:tc>
          <w:tcPr>
            <w:tcW w:w="1418" w:type="dxa"/>
            <w:tcBorders>
              <w:top w:val="none" w:sz="0" w:space="0" w:color="auto"/>
              <w:bottom w:val="none" w:sz="0" w:space="0" w:color="auto"/>
            </w:tcBorders>
          </w:tcPr>
          <w:p w14:paraId="049164FC" w14:textId="0C916E02" w:rsidR="00460688" w:rsidRDefault="00FD761F" w:rsidP="00C8252C">
            <w:pPr>
              <w:cnfStyle w:val="000000100000" w:firstRow="0" w:lastRow="0" w:firstColumn="0" w:lastColumn="0" w:oddVBand="0" w:evenVBand="0" w:oddHBand="1" w:evenHBand="0" w:firstRowFirstColumn="0" w:firstRowLastColumn="0" w:lastRowFirstColumn="0" w:lastRowLastColumn="0"/>
            </w:pPr>
            <w:r>
              <w:t>87%</w:t>
            </w:r>
          </w:p>
        </w:tc>
      </w:tr>
      <w:tr w:rsidR="00460688" w14:paraId="00BE3EA7" w14:textId="77777777" w:rsidTr="00816B84">
        <w:tc>
          <w:tcPr>
            <w:cnfStyle w:val="001000000000" w:firstRow="0" w:lastRow="0" w:firstColumn="1" w:lastColumn="0" w:oddVBand="0" w:evenVBand="0" w:oddHBand="0" w:evenHBand="0" w:firstRowFirstColumn="0" w:firstRowLastColumn="0" w:lastRowFirstColumn="0" w:lastRowLastColumn="0"/>
            <w:tcW w:w="1295" w:type="dxa"/>
            <w:tcBorders>
              <w:right w:val="none" w:sz="0" w:space="0" w:color="auto"/>
            </w:tcBorders>
          </w:tcPr>
          <w:p w14:paraId="04DA21E8" w14:textId="1BEA821A" w:rsidR="00460688" w:rsidRDefault="00FD761F" w:rsidP="00C8252C">
            <w:r>
              <w:t xml:space="preserve">5.1 </w:t>
            </w:r>
          </w:p>
        </w:tc>
        <w:tc>
          <w:tcPr>
            <w:tcW w:w="5930" w:type="dxa"/>
          </w:tcPr>
          <w:p w14:paraId="3F5364DF" w14:textId="47640818" w:rsidR="00460688" w:rsidRDefault="003223BF" w:rsidP="00C8252C">
            <w:pPr>
              <w:cnfStyle w:val="000000000000" w:firstRow="0" w:lastRow="0" w:firstColumn="0" w:lastColumn="0" w:oddVBand="0" w:evenVBand="0" w:oddHBand="0" w:evenHBand="0" w:firstRowFirstColumn="0" w:firstRowLastColumn="0" w:lastRowFirstColumn="0" w:lastRowLastColumn="0"/>
            </w:pPr>
            <w:r>
              <w:t xml:space="preserve">Since returning from award how often are you in contact with universities and lecturers in Australia (always, often, sometimes) </w:t>
            </w:r>
          </w:p>
        </w:tc>
        <w:tc>
          <w:tcPr>
            <w:tcW w:w="1701" w:type="dxa"/>
          </w:tcPr>
          <w:p w14:paraId="7D51A390" w14:textId="65BA3A18" w:rsidR="00460688" w:rsidRDefault="003223BF" w:rsidP="00C8252C">
            <w:pPr>
              <w:cnfStyle w:val="000000000000" w:firstRow="0" w:lastRow="0" w:firstColumn="0" w:lastColumn="0" w:oddVBand="0" w:evenVBand="0" w:oddHBand="0" w:evenHBand="0" w:firstRowFirstColumn="0" w:firstRowLastColumn="0" w:lastRowFirstColumn="0" w:lastRowLastColumn="0"/>
            </w:pPr>
            <w:r>
              <w:t>64%</w:t>
            </w:r>
          </w:p>
        </w:tc>
        <w:tc>
          <w:tcPr>
            <w:tcW w:w="1417" w:type="dxa"/>
          </w:tcPr>
          <w:p w14:paraId="3FFCC260" w14:textId="07EDDBA0" w:rsidR="00460688" w:rsidRDefault="003223BF" w:rsidP="00C8252C">
            <w:pPr>
              <w:cnfStyle w:val="000000000000" w:firstRow="0" w:lastRow="0" w:firstColumn="0" w:lastColumn="0" w:oddVBand="0" w:evenVBand="0" w:oddHBand="0" w:evenHBand="0" w:firstRowFirstColumn="0" w:firstRowLastColumn="0" w:lastRowFirstColumn="0" w:lastRowLastColumn="0"/>
            </w:pPr>
            <w:r>
              <w:t>9%</w:t>
            </w:r>
          </w:p>
        </w:tc>
        <w:tc>
          <w:tcPr>
            <w:tcW w:w="1559" w:type="dxa"/>
          </w:tcPr>
          <w:p w14:paraId="5EB9A87A" w14:textId="6A455737" w:rsidR="00460688" w:rsidRDefault="003223BF" w:rsidP="00C8252C">
            <w:pPr>
              <w:cnfStyle w:val="000000000000" w:firstRow="0" w:lastRow="0" w:firstColumn="0" w:lastColumn="0" w:oddVBand="0" w:evenVBand="0" w:oddHBand="0" w:evenHBand="0" w:firstRowFirstColumn="0" w:firstRowLastColumn="0" w:lastRowFirstColumn="0" w:lastRowLastColumn="0"/>
            </w:pPr>
            <w:r>
              <w:t>18%</w:t>
            </w:r>
          </w:p>
        </w:tc>
        <w:tc>
          <w:tcPr>
            <w:tcW w:w="1276" w:type="dxa"/>
          </w:tcPr>
          <w:p w14:paraId="138134BA" w14:textId="0EB5A9D8" w:rsidR="00460688" w:rsidRDefault="003223BF" w:rsidP="00C8252C">
            <w:pPr>
              <w:cnfStyle w:val="000000000000" w:firstRow="0" w:lastRow="0" w:firstColumn="0" w:lastColumn="0" w:oddVBand="0" w:evenVBand="0" w:oddHBand="0" w:evenHBand="0" w:firstRowFirstColumn="0" w:firstRowLastColumn="0" w:lastRowFirstColumn="0" w:lastRowLastColumn="0"/>
            </w:pPr>
            <w:r>
              <w:t>15%</w:t>
            </w:r>
          </w:p>
        </w:tc>
        <w:tc>
          <w:tcPr>
            <w:tcW w:w="1418" w:type="dxa"/>
          </w:tcPr>
          <w:p w14:paraId="5ED08654" w14:textId="54D4AE18" w:rsidR="00460688" w:rsidRDefault="00E025D3" w:rsidP="00E025D3">
            <w:pPr>
              <w:pStyle w:val="ListParagraph"/>
              <w:numPr>
                <w:ilvl w:val="0"/>
                <w:numId w:val="0"/>
              </w:numPr>
              <w:spacing w:line="240" w:lineRule="auto"/>
              <w:ind w:left="720"/>
              <w:cnfStyle w:val="000000000000" w:firstRow="0" w:lastRow="0" w:firstColumn="0" w:lastColumn="0" w:oddVBand="0" w:evenVBand="0" w:oddHBand="0" w:evenHBand="0" w:firstRowFirstColumn="0" w:firstRowLastColumn="0" w:lastRowFirstColumn="0" w:lastRowLastColumn="0"/>
            </w:pPr>
            <w:r>
              <w:t>-</w:t>
            </w:r>
          </w:p>
        </w:tc>
      </w:tr>
      <w:tr w:rsidR="003223BF" w14:paraId="21470F34" w14:textId="77777777" w:rsidTr="00816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 w:type="dxa"/>
          </w:tcPr>
          <w:p w14:paraId="1C732F99" w14:textId="6DBA0090" w:rsidR="003223BF" w:rsidRDefault="003223BF" w:rsidP="00C8252C">
            <w:r>
              <w:lastRenderedPageBreak/>
              <w:t>5.1</w:t>
            </w:r>
          </w:p>
        </w:tc>
        <w:tc>
          <w:tcPr>
            <w:tcW w:w="5930" w:type="dxa"/>
          </w:tcPr>
          <w:p w14:paraId="09F5D3D5" w14:textId="46F22C1E" w:rsidR="003223BF" w:rsidRDefault="003223BF" w:rsidP="00C8252C">
            <w:pPr>
              <w:cnfStyle w:val="000000100000" w:firstRow="0" w:lastRow="0" w:firstColumn="0" w:lastColumn="0" w:oddVBand="0" w:evenVBand="0" w:oddHBand="1" w:evenHBand="0" w:firstRowFirstColumn="0" w:firstRowLastColumn="0" w:lastRowFirstColumn="0" w:lastRowLastColumn="0"/>
            </w:pPr>
            <w:r>
              <w:t>Since returning from award</w:t>
            </w:r>
            <w:r w:rsidR="002E027E">
              <w:t xml:space="preserve"> have you developed professional partnerships with Australia </w:t>
            </w:r>
          </w:p>
        </w:tc>
        <w:tc>
          <w:tcPr>
            <w:tcW w:w="1701" w:type="dxa"/>
          </w:tcPr>
          <w:p w14:paraId="36CC3E4A" w14:textId="7C01F54E" w:rsidR="003223BF" w:rsidRDefault="002E027E" w:rsidP="00C8252C">
            <w:pPr>
              <w:cnfStyle w:val="000000100000" w:firstRow="0" w:lastRow="0" w:firstColumn="0" w:lastColumn="0" w:oddVBand="0" w:evenVBand="0" w:oddHBand="1" w:evenHBand="0" w:firstRowFirstColumn="0" w:firstRowLastColumn="0" w:lastRowFirstColumn="0" w:lastRowLastColumn="0"/>
            </w:pPr>
            <w:r>
              <w:t>49%</w:t>
            </w:r>
          </w:p>
        </w:tc>
        <w:tc>
          <w:tcPr>
            <w:tcW w:w="1417" w:type="dxa"/>
          </w:tcPr>
          <w:p w14:paraId="547E614B" w14:textId="5D52B73F" w:rsidR="003223BF" w:rsidRDefault="002E027E" w:rsidP="00C8252C">
            <w:pPr>
              <w:cnfStyle w:val="000000100000" w:firstRow="0" w:lastRow="0" w:firstColumn="0" w:lastColumn="0" w:oddVBand="0" w:evenVBand="0" w:oddHBand="1" w:evenHBand="0" w:firstRowFirstColumn="0" w:firstRowLastColumn="0" w:lastRowFirstColumn="0" w:lastRowLastColumn="0"/>
            </w:pPr>
            <w:r>
              <w:t>67%</w:t>
            </w:r>
          </w:p>
        </w:tc>
        <w:tc>
          <w:tcPr>
            <w:tcW w:w="1559" w:type="dxa"/>
          </w:tcPr>
          <w:p w14:paraId="0F674DDF" w14:textId="464B7778" w:rsidR="003223BF" w:rsidRDefault="002E027E" w:rsidP="00C8252C">
            <w:pPr>
              <w:cnfStyle w:val="000000100000" w:firstRow="0" w:lastRow="0" w:firstColumn="0" w:lastColumn="0" w:oddVBand="0" w:evenVBand="0" w:oddHBand="1" w:evenHBand="0" w:firstRowFirstColumn="0" w:firstRowLastColumn="0" w:lastRowFirstColumn="0" w:lastRowLastColumn="0"/>
            </w:pPr>
            <w:r>
              <w:t>86%</w:t>
            </w:r>
          </w:p>
        </w:tc>
        <w:tc>
          <w:tcPr>
            <w:tcW w:w="1276" w:type="dxa"/>
          </w:tcPr>
          <w:p w14:paraId="09230C67" w14:textId="1BC279B5" w:rsidR="003223BF" w:rsidRDefault="002E027E" w:rsidP="00C8252C">
            <w:pPr>
              <w:cnfStyle w:val="000000100000" w:firstRow="0" w:lastRow="0" w:firstColumn="0" w:lastColumn="0" w:oddVBand="0" w:evenVBand="0" w:oddHBand="1" w:evenHBand="0" w:firstRowFirstColumn="0" w:firstRowLastColumn="0" w:lastRowFirstColumn="0" w:lastRowLastColumn="0"/>
            </w:pPr>
            <w:r>
              <w:t>79%</w:t>
            </w:r>
          </w:p>
        </w:tc>
        <w:tc>
          <w:tcPr>
            <w:tcW w:w="1418" w:type="dxa"/>
          </w:tcPr>
          <w:p w14:paraId="209F7B39" w14:textId="77777777" w:rsidR="003223BF" w:rsidRDefault="003223BF" w:rsidP="003223BF">
            <w:pPr>
              <w:pStyle w:val="ListParagraph"/>
              <w:numPr>
                <w:ilvl w:val="0"/>
                <w:numId w:val="27"/>
              </w:numPr>
              <w:spacing w:line="240" w:lineRule="auto"/>
              <w:cnfStyle w:val="000000100000" w:firstRow="0" w:lastRow="0" w:firstColumn="0" w:lastColumn="0" w:oddVBand="0" w:evenVBand="0" w:oddHBand="1" w:evenHBand="0" w:firstRowFirstColumn="0" w:firstRowLastColumn="0" w:lastRowFirstColumn="0" w:lastRowLastColumn="0"/>
            </w:pPr>
          </w:p>
        </w:tc>
      </w:tr>
      <w:tr w:rsidR="002E027E" w14:paraId="7C1CA4DF" w14:textId="77777777" w:rsidTr="00816B84">
        <w:tc>
          <w:tcPr>
            <w:cnfStyle w:val="001000000000" w:firstRow="0" w:lastRow="0" w:firstColumn="1" w:lastColumn="0" w:oddVBand="0" w:evenVBand="0" w:oddHBand="0" w:evenHBand="0" w:firstRowFirstColumn="0" w:firstRowLastColumn="0" w:lastRowFirstColumn="0" w:lastRowLastColumn="0"/>
            <w:tcW w:w="1295" w:type="dxa"/>
          </w:tcPr>
          <w:p w14:paraId="05A4B583" w14:textId="371349CE" w:rsidR="002E027E" w:rsidRDefault="002E027E" w:rsidP="00C8252C">
            <w:r>
              <w:t>6.4</w:t>
            </w:r>
          </w:p>
        </w:tc>
        <w:tc>
          <w:tcPr>
            <w:tcW w:w="5930" w:type="dxa"/>
          </w:tcPr>
          <w:p w14:paraId="1AD408F5" w14:textId="4E28DE77" w:rsidR="002E027E" w:rsidRDefault="002E027E" w:rsidP="00C8252C">
            <w:pPr>
              <w:cnfStyle w:val="000000000000" w:firstRow="0" w:lastRow="0" w:firstColumn="0" w:lastColumn="0" w:oddVBand="0" w:evenVBand="0" w:oddHBand="0" w:evenHBand="0" w:firstRowFirstColumn="0" w:firstRowLastColumn="0" w:lastRowFirstColumn="0" w:lastRowLastColumn="0"/>
            </w:pPr>
            <w:r>
              <w:t xml:space="preserve">Do you hold a </w:t>
            </w:r>
            <w:r w:rsidR="00E941A6">
              <w:t>formal leadership role within your current employment</w:t>
            </w:r>
          </w:p>
        </w:tc>
        <w:tc>
          <w:tcPr>
            <w:tcW w:w="1701" w:type="dxa"/>
          </w:tcPr>
          <w:p w14:paraId="5368527B" w14:textId="7B528987" w:rsidR="002E027E" w:rsidRDefault="00E941A6" w:rsidP="00C8252C">
            <w:pPr>
              <w:cnfStyle w:val="000000000000" w:firstRow="0" w:lastRow="0" w:firstColumn="0" w:lastColumn="0" w:oddVBand="0" w:evenVBand="0" w:oddHBand="0" w:evenHBand="0" w:firstRowFirstColumn="0" w:firstRowLastColumn="0" w:lastRowFirstColumn="0" w:lastRowLastColumn="0"/>
            </w:pPr>
            <w:r>
              <w:t>72%</w:t>
            </w:r>
          </w:p>
        </w:tc>
        <w:tc>
          <w:tcPr>
            <w:tcW w:w="1417" w:type="dxa"/>
          </w:tcPr>
          <w:p w14:paraId="64310A5B" w14:textId="58242E17" w:rsidR="002E027E" w:rsidRDefault="002E027E" w:rsidP="00E941A6">
            <w:pPr>
              <w:pStyle w:val="ListParagraph"/>
              <w:numPr>
                <w:ilvl w:val="0"/>
                <w:numId w:val="27"/>
              </w:numPr>
              <w:spacing w:line="240" w:lineRule="auto"/>
              <w:cnfStyle w:val="000000000000" w:firstRow="0" w:lastRow="0" w:firstColumn="0" w:lastColumn="0" w:oddVBand="0" w:evenVBand="0" w:oddHBand="0" w:evenHBand="0" w:firstRowFirstColumn="0" w:firstRowLastColumn="0" w:lastRowFirstColumn="0" w:lastRowLastColumn="0"/>
            </w:pPr>
          </w:p>
        </w:tc>
        <w:tc>
          <w:tcPr>
            <w:tcW w:w="1559" w:type="dxa"/>
          </w:tcPr>
          <w:p w14:paraId="48671E73" w14:textId="1DC0CCA6" w:rsidR="002E027E" w:rsidRDefault="00E941A6" w:rsidP="00C8252C">
            <w:pPr>
              <w:cnfStyle w:val="000000000000" w:firstRow="0" w:lastRow="0" w:firstColumn="0" w:lastColumn="0" w:oddVBand="0" w:evenVBand="0" w:oddHBand="0" w:evenHBand="0" w:firstRowFirstColumn="0" w:firstRowLastColumn="0" w:lastRowFirstColumn="0" w:lastRowLastColumn="0"/>
            </w:pPr>
            <w:r>
              <w:t>58%</w:t>
            </w:r>
          </w:p>
        </w:tc>
        <w:tc>
          <w:tcPr>
            <w:tcW w:w="1276" w:type="dxa"/>
          </w:tcPr>
          <w:p w14:paraId="3707F001" w14:textId="2F1D00FB" w:rsidR="002E027E" w:rsidRDefault="00E941A6" w:rsidP="00C8252C">
            <w:pPr>
              <w:cnfStyle w:val="000000000000" w:firstRow="0" w:lastRow="0" w:firstColumn="0" w:lastColumn="0" w:oddVBand="0" w:evenVBand="0" w:oddHBand="0" w:evenHBand="0" w:firstRowFirstColumn="0" w:firstRowLastColumn="0" w:lastRowFirstColumn="0" w:lastRowLastColumn="0"/>
            </w:pPr>
            <w:r>
              <w:t>77%</w:t>
            </w:r>
          </w:p>
        </w:tc>
        <w:tc>
          <w:tcPr>
            <w:tcW w:w="1418" w:type="dxa"/>
          </w:tcPr>
          <w:p w14:paraId="468F221E" w14:textId="5E1B4BBB" w:rsidR="002E027E" w:rsidRDefault="00E941A6" w:rsidP="003223BF">
            <w:pPr>
              <w:pStyle w:val="ListParagraph"/>
              <w:numPr>
                <w:ilvl w:val="0"/>
                <w:numId w:val="27"/>
              </w:numPr>
              <w:spacing w:line="240" w:lineRule="auto"/>
              <w:cnfStyle w:val="000000000000" w:firstRow="0" w:lastRow="0" w:firstColumn="0" w:lastColumn="0" w:oddVBand="0" w:evenVBand="0" w:oddHBand="0" w:evenHBand="0" w:firstRowFirstColumn="0" w:firstRowLastColumn="0" w:lastRowFirstColumn="0" w:lastRowLastColumn="0"/>
            </w:pPr>
            <w:r>
              <w:t>69%</w:t>
            </w:r>
          </w:p>
        </w:tc>
      </w:tr>
      <w:tr w:rsidR="002E027E" w14:paraId="34037FAD" w14:textId="77777777" w:rsidTr="00816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 w:type="dxa"/>
          </w:tcPr>
          <w:p w14:paraId="61FA577D" w14:textId="2E4FE44F" w:rsidR="002E027E" w:rsidRDefault="00E941A6" w:rsidP="00C8252C">
            <w:r>
              <w:t xml:space="preserve">6.4 </w:t>
            </w:r>
          </w:p>
        </w:tc>
        <w:tc>
          <w:tcPr>
            <w:tcW w:w="5930" w:type="dxa"/>
          </w:tcPr>
          <w:p w14:paraId="5BFB4FDE" w14:textId="5258CFAE" w:rsidR="002E027E" w:rsidRDefault="00890ADB" w:rsidP="00C8252C">
            <w:pPr>
              <w:cnfStyle w:val="000000100000" w:firstRow="0" w:lastRow="0" w:firstColumn="0" w:lastColumn="0" w:oddVBand="0" w:evenVBand="0" w:oddHBand="1" w:evenHBand="0" w:firstRowFirstColumn="0" w:firstRowLastColumn="0" w:lastRowFirstColumn="0" w:lastRowLastColumn="0"/>
            </w:pPr>
            <w:r>
              <w:t xml:space="preserve">Do you hold an informal leadership role within your current employment </w:t>
            </w:r>
          </w:p>
        </w:tc>
        <w:tc>
          <w:tcPr>
            <w:tcW w:w="1701" w:type="dxa"/>
          </w:tcPr>
          <w:p w14:paraId="5333E258" w14:textId="6EDE00E6" w:rsidR="002E027E" w:rsidRDefault="00890ADB" w:rsidP="00C8252C">
            <w:pPr>
              <w:cnfStyle w:val="000000100000" w:firstRow="0" w:lastRow="0" w:firstColumn="0" w:lastColumn="0" w:oddVBand="0" w:evenVBand="0" w:oddHBand="1" w:evenHBand="0" w:firstRowFirstColumn="0" w:firstRowLastColumn="0" w:lastRowFirstColumn="0" w:lastRowLastColumn="0"/>
            </w:pPr>
            <w:r>
              <w:t>16%</w:t>
            </w:r>
          </w:p>
        </w:tc>
        <w:tc>
          <w:tcPr>
            <w:tcW w:w="1417" w:type="dxa"/>
          </w:tcPr>
          <w:p w14:paraId="087F3CFD" w14:textId="2325DEF8" w:rsidR="002E027E" w:rsidRDefault="002E027E" w:rsidP="00890ADB">
            <w:pPr>
              <w:pStyle w:val="ListParagraph"/>
              <w:numPr>
                <w:ilvl w:val="0"/>
                <w:numId w:val="27"/>
              </w:numPr>
              <w:spacing w:line="240" w:lineRule="auto"/>
              <w:cnfStyle w:val="000000100000" w:firstRow="0" w:lastRow="0" w:firstColumn="0" w:lastColumn="0" w:oddVBand="0" w:evenVBand="0" w:oddHBand="1" w:evenHBand="0" w:firstRowFirstColumn="0" w:firstRowLastColumn="0" w:lastRowFirstColumn="0" w:lastRowLastColumn="0"/>
            </w:pPr>
          </w:p>
        </w:tc>
        <w:tc>
          <w:tcPr>
            <w:tcW w:w="1559" w:type="dxa"/>
          </w:tcPr>
          <w:p w14:paraId="1453626C" w14:textId="3E964D79" w:rsidR="002E027E" w:rsidRDefault="00890ADB" w:rsidP="00C8252C">
            <w:pPr>
              <w:cnfStyle w:val="000000100000" w:firstRow="0" w:lastRow="0" w:firstColumn="0" w:lastColumn="0" w:oddVBand="0" w:evenVBand="0" w:oddHBand="1" w:evenHBand="0" w:firstRowFirstColumn="0" w:firstRowLastColumn="0" w:lastRowFirstColumn="0" w:lastRowLastColumn="0"/>
            </w:pPr>
            <w:r>
              <w:t>25%</w:t>
            </w:r>
          </w:p>
        </w:tc>
        <w:tc>
          <w:tcPr>
            <w:tcW w:w="1276" w:type="dxa"/>
          </w:tcPr>
          <w:p w14:paraId="5DF378AA" w14:textId="64FD1E41" w:rsidR="002E027E" w:rsidRDefault="00890ADB" w:rsidP="00C8252C">
            <w:pPr>
              <w:cnfStyle w:val="000000100000" w:firstRow="0" w:lastRow="0" w:firstColumn="0" w:lastColumn="0" w:oddVBand="0" w:evenVBand="0" w:oddHBand="1" w:evenHBand="0" w:firstRowFirstColumn="0" w:firstRowLastColumn="0" w:lastRowFirstColumn="0" w:lastRowLastColumn="0"/>
            </w:pPr>
            <w:r>
              <w:t>16%</w:t>
            </w:r>
          </w:p>
        </w:tc>
        <w:tc>
          <w:tcPr>
            <w:tcW w:w="1418" w:type="dxa"/>
          </w:tcPr>
          <w:p w14:paraId="6068EAC5" w14:textId="095BB205" w:rsidR="002E027E" w:rsidRDefault="00890ADB" w:rsidP="003223BF">
            <w:pPr>
              <w:pStyle w:val="ListParagraph"/>
              <w:numPr>
                <w:ilvl w:val="0"/>
                <w:numId w:val="27"/>
              </w:numPr>
              <w:spacing w:line="240" w:lineRule="auto"/>
              <w:cnfStyle w:val="000000100000" w:firstRow="0" w:lastRow="0" w:firstColumn="0" w:lastColumn="0" w:oddVBand="0" w:evenVBand="0" w:oddHBand="1" w:evenHBand="0" w:firstRowFirstColumn="0" w:firstRowLastColumn="0" w:lastRowFirstColumn="0" w:lastRowLastColumn="0"/>
            </w:pPr>
            <w:r>
              <w:t>17%</w:t>
            </w:r>
          </w:p>
        </w:tc>
      </w:tr>
      <w:bookmarkEnd w:id="2"/>
      <w:bookmarkEnd w:id="92"/>
    </w:tbl>
    <w:p w14:paraId="7EC7580D" w14:textId="77777777" w:rsidR="00D243C9" w:rsidRPr="00EF2495" w:rsidRDefault="00D243C9" w:rsidP="00E025D3"/>
    <w:sectPr w:rsidR="00D243C9" w:rsidRPr="00EF2495" w:rsidSect="00460688">
      <w:endnotePr>
        <w:numFmt w:val="decimal"/>
        <w:numStart w:val="2"/>
      </w:endnotePr>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7F2A" w14:textId="77777777" w:rsidR="005521A8" w:rsidRDefault="005521A8" w:rsidP="00F15DB2">
      <w:pPr>
        <w:spacing w:after="0" w:line="240" w:lineRule="auto"/>
      </w:pPr>
      <w:r>
        <w:separator/>
      </w:r>
    </w:p>
    <w:p w14:paraId="6ED64672" w14:textId="77777777" w:rsidR="005521A8" w:rsidRDefault="005521A8"/>
    <w:p w14:paraId="2D597B9A" w14:textId="77777777" w:rsidR="005521A8" w:rsidRDefault="005521A8" w:rsidP="008D6BBD"/>
  </w:endnote>
  <w:endnote w:type="continuationSeparator" w:id="0">
    <w:p w14:paraId="38BC47A1" w14:textId="77777777" w:rsidR="005521A8" w:rsidRDefault="005521A8" w:rsidP="00F15DB2">
      <w:pPr>
        <w:spacing w:after="0" w:line="240" w:lineRule="auto"/>
      </w:pPr>
      <w:r>
        <w:continuationSeparator/>
      </w:r>
    </w:p>
    <w:p w14:paraId="2A14B7FE" w14:textId="77777777" w:rsidR="005521A8" w:rsidRDefault="005521A8"/>
    <w:p w14:paraId="77E35034" w14:textId="77777777" w:rsidR="005521A8" w:rsidRDefault="005521A8" w:rsidP="008D6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F01D" w14:textId="7E0E3FC0" w:rsidR="00EB7EED" w:rsidRDefault="00EB7EED">
    <w:pPr>
      <w:pStyle w:val="Footer"/>
    </w:pPr>
    <w:r>
      <w:rPr>
        <w:noProof/>
      </w:rPr>
      <mc:AlternateContent>
        <mc:Choice Requires="wps">
          <w:drawing>
            <wp:anchor distT="0" distB="0" distL="0" distR="0" simplePos="0" relativeHeight="251658243" behindDoc="0" locked="0" layoutInCell="1" allowOverlap="1" wp14:anchorId="03B0AF07" wp14:editId="34975C6A">
              <wp:simplePos x="635" y="635"/>
              <wp:positionH relativeFrom="page">
                <wp:align>center</wp:align>
              </wp:positionH>
              <wp:positionV relativeFrom="page">
                <wp:align>bottom</wp:align>
              </wp:positionV>
              <wp:extent cx="622300" cy="480695"/>
              <wp:effectExtent l="0" t="0" r="6350" b="0"/>
              <wp:wrapNone/>
              <wp:docPr id="18340958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8E088CB" w14:textId="48EC8ECA" w:rsidR="00EB7EED" w:rsidRPr="00EB7EED" w:rsidRDefault="00EB7EED" w:rsidP="00EB7EED">
                          <w:pPr>
                            <w:spacing w:after="0"/>
                            <w:rPr>
                              <w:rFonts w:ascii="Aptos" w:eastAsia="Aptos" w:hAnsi="Aptos" w:cs="Aptos"/>
                              <w:noProof/>
                              <w:color w:val="FF0000"/>
                              <w:sz w:val="24"/>
                              <w:szCs w:val="24"/>
                            </w:rPr>
                          </w:pPr>
                          <w:r w:rsidRPr="00EB7EE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B0AF07" id="_x0000_t202" coordsize="21600,21600" o:spt="202" path="m,l,21600r21600,l21600,xe">
              <v:stroke joinstyle="miter"/>
              <v:path gradientshapeok="t" o:connecttype="rect"/>
            </v:shapetype>
            <v:shape id="Text Box 5" o:spid="_x0000_s1027"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28E088CB" w14:textId="48EC8ECA" w:rsidR="00EB7EED" w:rsidRPr="00EB7EED" w:rsidRDefault="00EB7EED" w:rsidP="00EB7EED">
                    <w:pPr>
                      <w:spacing w:after="0"/>
                      <w:rPr>
                        <w:rFonts w:ascii="Aptos" w:eastAsia="Aptos" w:hAnsi="Aptos" w:cs="Aptos"/>
                        <w:noProof/>
                        <w:color w:val="FF0000"/>
                        <w:sz w:val="24"/>
                        <w:szCs w:val="24"/>
                      </w:rPr>
                    </w:pPr>
                    <w:r w:rsidRPr="00EB7EE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BDB6" w14:textId="5201FB4E" w:rsidR="00C80FA2" w:rsidRPr="009F6E03" w:rsidRDefault="005521A8" w:rsidP="009F6E03">
    <w:pPr>
      <w:pStyle w:val="Footer"/>
      <w:tabs>
        <w:tab w:val="clear" w:pos="4513"/>
        <w:tab w:val="clear" w:pos="9026"/>
        <w:tab w:val="right" w:pos="9639"/>
      </w:tabs>
      <w:rPr>
        <w:color w:val="808080" w:themeColor="background1" w:themeShade="80"/>
        <w:sz w:val="15"/>
        <w:szCs w:val="15"/>
      </w:rPr>
    </w:pPr>
    <w:sdt>
      <w:sdtPr>
        <w:rPr>
          <w:color w:val="808080" w:themeColor="background1" w:themeShade="80"/>
          <w:sz w:val="15"/>
          <w:szCs w:val="15"/>
        </w:rPr>
        <w:id w:val="208694943"/>
        <w:docPartObj>
          <w:docPartGallery w:val="Page Numbers (Bottom of Page)"/>
          <w:docPartUnique/>
        </w:docPartObj>
      </w:sdtPr>
      <w:sdtEndPr>
        <w:rPr>
          <w:noProof/>
        </w:rPr>
      </w:sdtEndPr>
      <w:sdtContent>
        <w:r w:rsidR="009F6E03" w:rsidRPr="00092CF6">
          <w:rPr>
            <w:noProof/>
            <w:color w:val="808080" w:themeColor="background1" w:themeShade="80"/>
            <w:sz w:val="15"/>
            <w:szCs w:val="15"/>
          </w:rPr>
          <w:t>Review of the Australia Awards Tonga</w:t>
        </w:r>
        <w:r w:rsidR="005E1364">
          <w:rPr>
            <w:noProof/>
            <w:color w:val="808080" w:themeColor="background1" w:themeShade="80"/>
            <w:sz w:val="15"/>
            <w:szCs w:val="15"/>
          </w:rPr>
          <w:t xml:space="preserve"> </w:t>
        </w:r>
        <w:r w:rsidR="009F6E03" w:rsidRPr="00092CF6">
          <w:rPr>
            <w:noProof/>
            <w:color w:val="808080" w:themeColor="background1" w:themeShade="80"/>
            <w:sz w:val="15"/>
            <w:szCs w:val="15"/>
          </w:rPr>
          <w:t>(</w:t>
        </w:r>
        <w:r w:rsidR="005E1364">
          <w:rPr>
            <w:noProof/>
            <w:color w:val="808080" w:themeColor="background1" w:themeShade="80"/>
            <w:sz w:val="15"/>
            <w:szCs w:val="15"/>
          </w:rPr>
          <w:t xml:space="preserve">January </w:t>
        </w:r>
        <w:r w:rsidR="009F6E03" w:rsidRPr="00092CF6">
          <w:rPr>
            <w:noProof/>
            <w:color w:val="808080" w:themeColor="background1" w:themeShade="80"/>
            <w:sz w:val="15"/>
            <w:szCs w:val="15"/>
          </w:rPr>
          <w:t>202</w:t>
        </w:r>
        <w:r w:rsidR="005E1364">
          <w:rPr>
            <w:noProof/>
            <w:color w:val="808080" w:themeColor="background1" w:themeShade="80"/>
            <w:sz w:val="15"/>
            <w:szCs w:val="15"/>
          </w:rPr>
          <w:t>5</w:t>
        </w:r>
        <w:r w:rsidR="009F6E03" w:rsidRPr="00092CF6">
          <w:rPr>
            <w:noProof/>
            <w:color w:val="808080" w:themeColor="background1" w:themeShade="80"/>
            <w:sz w:val="15"/>
            <w:szCs w:val="15"/>
          </w:rPr>
          <w:t xml:space="preserve">) </w:t>
        </w:r>
        <w:r w:rsidR="009F6E03" w:rsidRPr="00092CF6">
          <w:rPr>
            <w:noProof/>
            <w:color w:val="808080" w:themeColor="background1" w:themeShade="80"/>
            <w:sz w:val="15"/>
            <w:szCs w:val="15"/>
          </w:rPr>
          <w:tab/>
        </w:r>
        <w:r w:rsidR="009F6E03">
          <w:rPr>
            <w:color w:val="808080" w:themeColor="background1" w:themeShade="80"/>
            <w:sz w:val="15"/>
            <w:szCs w:val="15"/>
          </w:rPr>
          <w:fldChar w:fldCharType="begin"/>
        </w:r>
        <w:r w:rsidR="009F6E03">
          <w:rPr>
            <w:color w:val="808080" w:themeColor="background1" w:themeShade="80"/>
            <w:sz w:val="15"/>
            <w:szCs w:val="15"/>
          </w:rPr>
          <w:instrText xml:space="preserve"> PAGE  \* Arabic  \* MERGEFORMAT </w:instrText>
        </w:r>
        <w:r w:rsidR="009F6E03">
          <w:rPr>
            <w:color w:val="808080" w:themeColor="background1" w:themeShade="80"/>
            <w:sz w:val="15"/>
            <w:szCs w:val="15"/>
          </w:rPr>
          <w:fldChar w:fldCharType="separate"/>
        </w:r>
        <w:r w:rsidR="009F6E03">
          <w:rPr>
            <w:color w:val="808080" w:themeColor="background1" w:themeShade="80"/>
            <w:sz w:val="15"/>
            <w:szCs w:val="15"/>
          </w:rPr>
          <w:t>40</w:t>
        </w:r>
        <w:r w:rsidR="009F6E03">
          <w:rPr>
            <w:color w:val="808080" w:themeColor="background1" w:themeShade="80"/>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A1B6" w14:textId="48E93507" w:rsidR="00EB7EED" w:rsidRDefault="00EB7EED">
    <w:pPr>
      <w:pStyle w:val="Footer"/>
    </w:pPr>
    <w:r>
      <w:rPr>
        <w:noProof/>
      </w:rPr>
      <mc:AlternateContent>
        <mc:Choice Requires="wps">
          <w:drawing>
            <wp:anchor distT="0" distB="0" distL="0" distR="0" simplePos="0" relativeHeight="251658245" behindDoc="0" locked="0" layoutInCell="1" allowOverlap="1" wp14:anchorId="35A43BD7" wp14:editId="026ABC8F">
              <wp:simplePos x="635" y="635"/>
              <wp:positionH relativeFrom="page">
                <wp:align>center</wp:align>
              </wp:positionH>
              <wp:positionV relativeFrom="page">
                <wp:align>bottom</wp:align>
              </wp:positionV>
              <wp:extent cx="622300" cy="480695"/>
              <wp:effectExtent l="0" t="0" r="6350" b="0"/>
              <wp:wrapNone/>
              <wp:docPr id="70962575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34E1805" w14:textId="55FC4F2F" w:rsidR="00EB7EED" w:rsidRPr="00EB7EED" w:rsidRDefault="00EB7EED" w:rsidP="00EB7EED">
                          <w:pPr>
                            <w:spacing w:after="0"/>
                            <w:rPr>
                              <w:rFonts w:ascii="Aptos" w:eastAsia="Aptos" w:hAnsi="Aptos" w:cs="Aptos"/>
                              <w:noProof/>
                              <w:color w:val="FF0000"/>
                              <w:sz w:val="24"/>
                              <w:szCs w:val="24"/>
                            </w:rPr>
                          </w:pPr>
                          <w:r w:rsidRPr="00EB7EE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43BD7" id="_x0000_t202" coordsize="21600,21600" o:spt="202" path="m,l,21600r21600,l21600,xe">
              <v:stroke joinstyle="miter"/>
              <v:path gradientshapeok="t" o:connecttype="rect"/>
            </v:shapetype>
            <v:shape id="Text Box 4" o:spid="_x0000_s1029" type="#_x0000_t202" alt="OFFICIAL" style="position:absolute;margin-left:0;margin-top:0;width:49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334E1805" w14:textId="55FC4F2F" w:rsidR="00EB7EED" w:rsidRPr="00EB7EED" w:rsidRDefault="00EB7EED" w:rsidP="00EB7EED">
                    <w:pPr>
                      <w:spacing w:after="0"/>
                      <w:rPr>
                        <w:rFonts w:ascii="Aptos" w:eastAsia="Aptos" w:hAnsi="Aptos" w:cs="Aptos"/>
                        <w:noProof/>
                        <w:color w:val="FF0000"/>
                        <w:sz w:val="24"/>
                        <w:szCs w:val="24"/>
                      </w:rPr>
                    </w:pPr>
                    <w:r w:rsidRPr="00EB7EE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B4FE8" w14:textId="77777777" w:rsidR="005521A8" w:rsidRDefault="005521A8" w:rsidP="00F15DB2">
      <w:pPr>
        <w:spacing w:after="0" w:line="240" w:lineRule="auto"/>
      </w:pPr>
      <w:r>
        <w:separator/>
      </w:r>
    </w:p>
  </w:footnote>
  <w:footnote w:type="continuationSeparator" w:id="0">
    <w:p w14:paraId="6BC60324" w14:textId="77777777" w:rsidR="005521A8" w:rsidRDefault="005521A8" w:rsidP="00F15DB2">
      <w:pPr>
        <w:spacing w:after="0" w:line="240" w:lineRule="auto"/>
      </w:pPr>
      <w:r>
        <w:continuationSeparator/>
      </w:r>
    </w:p>
    <w:p w14:paraId="26735C70" w14:textId="77777777" w:rsidR="005521A8" w:rsidRDefault="005521A8"/>
    <w:p w14:paraId="32ADFEF1" w14:textId="77777777" w:rsidR="005521A8" w:rsidRDefault="005521A8" w:rsidP="008D6BBD"/>
  </w:footnote>
  <w:footnote w:type="continuationNotice" w:id="1">
    <w:p w14:paraId="01BA969E" w14:textId="77777777" w:rsidR="005521A8" w:rsidRDefault="005521A8">
      <w:pPr>
        <w:spacing w:before="0" w:after="0" w:line="240" w:lineRule="auto"/>
      </w:pPr>
    </w:p>
  </w:footnote>
  <w:footnote w:id="2">
    <w:p w14:paraId="57F5574D" w14:textId="77777777" w:rsidR="00C80FA2" w:rsidRDefault="00C80FA2" w:rsidP="00C80FA2">
      <w:pPr>
        <w:pStyle w:val="FootnoteText"/>
      </w:pPr>
      <w:r>
        <w:rPr>
          <w:rStyle w:val="FootnoteReference"/>
        </w:rPr>
        <w:footnoteRef/>
      </w:r>
      <w:r>
        <w:t xml:space="preserve"> The Review Team notes that these figures are not consistent with the data (recording 525 awards offered from the 2001 intake) provided from OASIS (as in Annex 7, Table 6)</w:t>
      </w:r>
    </w:p>
  </w:footnote>
  <w:footnote w:id="3">
    <w:p w14:paraId="7A23018B" w14:textId="5A82B936" w:rsidR="00C80FA2" w:rsidRDefault="00C80FA2" w:rsidP="00C80FA2">
      <w:pPr>
        <w:pStyle w:val="NoSpacing"/>
        <w:rPr>
          <w:lang w:val="en-US"/>
        </w:rPr>
      </w:pPr>
      <w:r>
        <w:rPr>
          <w:rStyle w:val="FootnoteReference"/>
        </w:rPr>
        <w:footnoteRef/>
      </w:r>
      <w:r>
        <w:t xml:space="preserve"> </w:t>
      </w:r>
      <w:r w:rsidRPr="00B504CA">
        <w:rPr>
          <w:rStyle w:val="FootnoteTextChar"/>
          <w:rFonts w:eastAsiaTheme="minorHAnsi"/>
        </w:rPr>
        <w:t xml:space="preserve">Predecessor awards </w:t>
      </w:r>
      <w:r w:rsidR="0021545E" w:rsidRPr="00B504CA">
        <w:rPr>
          <w:rStyle w:val="FootnoteTextChar"/>
          <w:rFonts w:eastAsiaTheme="minorHAnsi"/>
        </w:rPr>
        <w:t>include</w:t>
      </w:r>
      <w:r w:rsidRPr="00B504CA">
        <w:rPr>
          <w:rStyle w:val="FootnoteTextChar"/>
          <w:rFonts w:eastAsiaTheme="minorHAnsi"/>
        </w:rPr>
        <w:t xml:space="preserve"> Australian Development Cooperation Scholarships; Australian Development Scholarships; Australian International Development Assistance Bureau Australian Leadership Awards</w:t>
      </w:r>
    </w:p>
    <w:p w14:paraId="2BFF2E7A" w14:textId="77777777" w:rsidR="00C80FA2" w:rsidRPr="00782107" w:rsidRDefault="00C80FA2" w:rsidP="00C80FA2">
      <w:pPr>
        <w:pStyle w:val="FootnoteText"/>
        <w:rPr>
          <w:lang w:val="en-US"/>
        </w:rPr>
      </w:pPr>
    </w:p>
  </w:footnote>
  <w:footnote w:id="4">
    <w:p w14:paraId="77A6D742" w14:textId="77777777" w:rsidR="00C80FA2" w:rsidRPr="00466C5D" w:rsidRDefault="00C80FA2" w:rsidP="00C80FA2">
      <w:pPr>
        <w:pStyle w:val="FootnoteText"/>
      </w:pPr>
      <w:r w:rsidRPr="00466C5D">
        <w:rPr>
          <w:rStyle w:val="FootnoteReference"/>
        </w:rPr>
        <w:footnoteRef/>
      </w:r>
      <w:r w:rsidRPr="00466C5D">
        <w:t xml:space="preserve"> </w:t>
      </w:r>
      <w:r w:rsidRPr="00466C5D">
        <w:rPr>
          <w:rStyle w:val="FootnoteTextChar"/>
          <w:rFonts w:eastAsiaTheme="minorHAnsi"/>
        </w:rPr>
        <w:t>This is the “target population” (as used by ACER, GTF 2022) – all alumni who fit the population definition (in this case alumni with completed awards) and have a ‘valid’ email address.</w:t>
      </w:r>
    </w:p>
  </w:footnote>
  <w:footnote w:id="5">
    <w:p w14:paraId="569CF01E" w14:textId="77777777" w:rsidR="00C80FA2" w:rsidRPr="000045FF" w:rsidRDefault="00C80FA2" w:rsidP="00C80FA2">
      <w:pPr>
        <w:pStyle w:val="FootnoteText"/>
      </w:pPr>
      <w:r w:rsidRPr="000045FF">
        <w:rPr>
          <w:rStyle w:val="FootnoteReference"/>
        </w:rPr>
        <w:footnoteRef/>
      </w:r>
      <w:r w:rsidRPr="000045FF">
        <w:t xml:space="preserve"> Hon Dr Pita Taufatofua, Governor </w:t>
      </w:r>
      <w:proofErr w:type="spellStart"/>
      <w:r w:rsidRPr="000045FF">
        <w:t>Ha’apai</w:t>
      </w:r>
      <w:proofErr w:type="spellEnd"/>
      <w:r w:rsidRPr="000045FF">
        <w:t xml:space="preserve">; Hon Dr Taniela Fusimalohi, MP, ’Eua; Mr Timote Solo, Disability Alumni/Teacher; Magistrate </w:t>
      </w:r>
      <w:proofErr w:type="spellStart"/>
      <w:r w:rsidRPr="000045FF">
        <w:t>Loupou</w:t>
      </w:r>
      <w:proofErr w:type="spellEnd"/>
      <w:r w:rsidRPr="000045FF">
        <w:t xml:space="preserve"> Kuli, Chief Magistrate, </w:t>
      </w:r>
      <w:proofErr w:type="spellStart"/>
      <w:r w:rsidRPr="000045FF">
        <w:t>Vava’u</w:t>
      </w:r>
      <w:proofErr w:type="spellEnd"/>
      <w:r w:rsidRPr="000045FF">
        <w:t xml:space="preserve">; Ms Mele Mangisi, Executive Director, Anti-Corruption Commission; Hon Dr ’Aisake Eke, </w:t>
      </w:r>
      <w:proofErr w:type="spellStart"/>
      <w:r w:rsidRPr="000045FF">
        <w:t>Tongatapu</w:t>
      </w:r>
      <w:proofErr w:type="spellEnd"/>
      <w:r w:rsidRPr="000045FF">
        <w:t xml:space="preserve"> MP.</w:t>
      </w:r>
    </w:p>
  </w:footnote>
  <w:footnote w:id="6">
    <w:p w14:paraId="203BAC91" w14:textId="77777777" w:rsidR="00C80FA2" w:rsidRPr="00BA1DD2" w:rsidRDefault="00C80FA2" w:rsidP="00C80FA2">
      <w:pPr>
        <w:pStyle w:val="FootnoteText"/>
        <w:rPr>
          <w:lang w:val="en-US"/>
        </w:rPr>
      </w:pPr>
      <w:r>
        <w:rPr>
          <w:rStyle w:val="FootnoteReference"/>
        </w:rPr>
        <w:footnoteRef/>
      </w:r>
      <w:r>
        <w:t xml:space="preserve"> </w:t>
      </w:r>
      <w:r>
        <w:rPr>
          <w:lang w:val="en-US"/>
        </w:rPr>
        <w:t>Data on Tongan student attendance at the USP campuses in Tonga was requested but not provided by USP</w:t>
      </w:r>
    </w:p>
  </w:footnote>
  <w:footnote w:id="7">
    <w:p w14:paraId="2C580115" w14:textId="77777777" w:rsidR="00C80FA2" w:rsidRPr="00BA1DD2" w:rsidRDefault="00C80FA2" w:rsidP="00C80FA2">
      <w:pPr>
        <w:pStyle w:val="FootnoteText"/>
        <w:rPr>
          <w:lang w:val="en-US"/>
        </w:rPr>
      </w:pPr>
      <w:r>
        <w:rPr>
          <w:rStyle w:val="FootnoteReference"/>
        </w:rPr>
        <w:footnoteRef/>
      </w:r>
      <w:r>
        <w:t xml:space="preserve"> </w:t>
      </w:r>
      <w:r w:rsidRPr="00BA1DD2">
        <w:t>Baker (2022). PAC I F I C REGIONAL INCLUSIVE EDUCATION REVIEW, 2022</w:t>
      </w:r>
    </w:p>
  </w:footnote>
  <w:footnote w:id="8">
    <w:p w14:paraId="472E4444" w14:textId="77777777" w:rsidR="00C80FA2" w:rsidRPr="008D58C1" w:rsidRDefault="00C80FA2" w:rsidP="00C80FA2">
      <w:pPr>
        <w:pStyle w:val="FootnoteText"/>
        <w:rPr>
          <w:lang w:val="en-US"/>
        </w:rPr>
      </w:pPr>
      <w:r>
        <w:rPr>
          <w:rStyle w:val="FootnoteReference"/>
        </w:rPr>
        <w:footnoteRef/>
      </w:r>
      <w:r>
        <w:t xml:space="preserve"> JRDS (2023). </w:t>
      </w:r>
      <w:r w:rsidRPr="008D58C1">
        <w:t>Labour Mobility Supply Management Strategy</w:t>
      </w:r>
    </w:p>
  </w:footnote>
  <w:footnote w:id="9">
    <w:p w14:paraId="54FDC309" w14:textId="77777777" w:rsidR="00C80FA2" w:rsidRPr="008064D1" w:rsidRDefault="00C80FA2" w:rsidP="00C80FA2">
      <w:pPr>
        <w:pStyle w:val="FootnoteText"/>
      </w:pPr>
      <w:r w:rsidRPr="008064D1">
        <w:rPr>
          <w:rStyle w:val="FootnoteReference"/>
        </w:rPr>
        <w:footnoteRef/>
      </w:r>
      <w:r w:rsidRPr="008064D1">
        <w:t xml:space="preserve"> PSDI (2024) Leadership Matters 2024: Benchmarking Women’s Business Leadership in the Pacific</w:t>
      </w:r>
    </w:p>
  </w:footnote>
  <w:footnote w:id="10">
    <w:p w14:paraId="26302469" w14:textId="5F3989F9" w:rsidR="00C80FA2" w:rsidRPr="008064D1" w:rsidRDefault="00C80FA2" w:rsidP="00C80FA2">
      <w:pPr>
        <w:pStyle w:val="FootnoteText"/>
      </w:pPr>
      <w:r w:rsidRPr="008064D1">
        <w:rPr>
          <w:rStyle w:val="FootnoteReference"/>
        </w:rPr>
        <w:footnoteRef/>
      </w:r>
      <w:r w:rsidRPr="008064D1">
        <w:t xml:space="preserve"> ADB (2024) </w:t>
      </w:r>
      <w:hyperlink r:id="rId1" w:history="1">
        <w:r w:rsidRPr="008064D1">
          <w:rPr>
            <w:rStyle w:val="Hyperlink"/>
          </w:rPr>
          <w:t>Asian Development Outlook</w:t>
        </w:r>
      </w:hyperlink>
      <w:r w:rsidRPr="008064D1">
        <w:t>, April 2024.</w:t>
      </w:r>
    </w:p>
  </w:footnote>
  <w:footnote w:id="11">
    <w:p w14:paraId="1FF19874" w14:textId="77777777" w:rsidR="00C80FA2" w:rsidRPr="008064D1" w:rsidRDefault="00C80FA2" w:rsidP="00C80FA2">
      <w:pPr>
        <w:pStyle w:val="FootnoteText"/>
      </w:pPr>
      <w:r w:rsidRPr="008064D1">
        <w:rPr>
          <w:rStyle w:val="FootnoteReference"/>
        </w:rPr>
        <w:footnoteRef/>
      </w:r>
      <w:r w:rsidRPr="008064D1">
        <w:t xml:space="preserve"> UNEP (2011). Green Economy Report; World Economic Forum (2023) – "The Future of Jobs Report" </w:t>
      </w:r>
    </w:p>
  </w:footnote>
  <w:footnote w:id="12">
    <w:p w14:paraId="1272587C" w14:textId="77777777" w:rsidR="00C80FA2" w:rsidRPr="00766EB0" w:rsidRDefault="00C80FA2" w:rsidP="00C80FA2">
      <w:pPr>
        <w:pStyle w:val="FootnoteText"/>
        <w:rPr>
          <w:rFonts w:cs="Arial"/>
          <w:sz w:val="18"/>
          <w:szCs w:val="18"/>
          <w:lang w:val="en-US"/>
        </w:rPr>
      </w:pPr>
      <w:r>
        <w:rPr>
          <w:rStyle w:val="FootnoteReference"/>
        </w:rPr>
        <w:footnoteRef/>
      </w:r>
      <w:r w:rsidRPr="0021326A">
        <w:rPr>
          <w:szCs w:val="16"/>
        </w:rPr>
        <w:t xml:space="preserve"> </w:t>
      </w:r>
      <w:r w:rsidRPr="0021326A">
        <w:rPr>
          <w:rFonts w:cs="Arial"/>
          <w:szCs w:val="16"/>
        </w:rPr>
        <w:t xml:space="preserve">World Economic Forum (2023) – "The Future of Jobs Report" </w:t>
      </w:r>
    </w:p>
  </w:footnote>
  <w:footnote w:id="13">
    <w:p w14:paraId="29A51E14" w14:textId="77777777" w:rsidR="00C80FA2" w:rsidRPr="00945C7C" w:rsidRDefault="00C80FA2" w:rsidP="00C80FA2">
      <w:pPr>
        <w:pStyle w:val="FootnoteText"/>
        <w:rPr>
          <w:lang w:val="en-US"/>
        </w:rPr>
      </w:pPr>
      <w:r>
        <w:rPr>
          <w:rStyle w:val="FootnoteReference"/>
        </w:rPr>
        <w:footnoteRef/>
      </w:r>
      <w:r>
        <w:t xml:space="preserve"> These tables report 5 award offers less than shown on the OASIS </w:t>
      </w:r>
      <w:r>
        <w:rPr>
          <w:lang w:val="en-US"/>
        </w:rPr>
        <w:t xml:space="preserve">records, where two records were merged where the awardee transferred from one course of study to another </w:t>
      </w:r>
    </w:p>
  </w:footnote>
  <w:footnote w:id="14">
    <w:p w14:paraId="3E7F9D16" w14:textId="77777777" w:rsidR="00C80FA2" w:rsidRPr="00DD4F16" w:rsidRDefault="00C80FA2" w:rsidP="00C80FA2">
      <w:pPr>
        <w:pStyle w:val="FootnoteText"/>
        <w:rPr>
          <w:lang w:val="en-US"/>
        </w:rPr>
      </w:pPr>
      <w:r>
        <w:rPr>
          <w:rStyle w:val="FootnoteReference"/>
        </w:rPr>
        <w:footnoteRef/>
      </w:r>
      <w:r>
        <w:t xml:space="preserve"> </w:t>
      </w:r>
      <w:r>
        <w:rPr>
          <w:lang w:val="en-US"/>
        </w:rPr>
        <w:t>Data on completion rates of AAPS students was requested from DFAT Fiji but not available by report completion.</w:t>
      </w:r>
    </w:p>
  </w:footnote>
  <w:footnote w:id="15">
    <w:p w14:paraId="40BA3B32" w14:textId="77777777" w:rsidR="00C80FA2" w:rsidRPr="006C6FF2" w:rsidRDefault="00C80FA2" w:rsidP="00C80FA2">
      <w:pPr>
        <w:pStyle w:val="FootnoteText"/>
        <w:rPr>
          <w:lang w:val="en-US"/>
        </w:rPr>
      </w:pPr>
      <w:r>
        <w:rPr>
          <w:rStyle w:val="FootnoteReference"/>
        </w:rPr>
        <w:footnoteRef/>
      </w:r>
      <w:r>
        <w:t xml:space="preserve"> </w:t>
      </w:r>
      <w:r w:rsidRPr="006C6FF2">
        <w:t>Hsien, M., &amp; Edwards, D. (2023). Australia Awards Alumni Global Tracer Survey 2022. Australia Awards Global Tracer Facility, Australian Department of Foreign Affairs and Trade.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4E0D" w14:textId="6801BAE6" w:rsidR="00EB7EED" w:rsidRDefault="00EB7EED">
    <w:pPr>
      <w:pStyle w:val="Header"/>
    </w:pPr>
    <w:r>
      <w:rPr>
        <w:noProof/>
      </w:rPr>
      <mc:AlternateContent>
        <mc:Choice Requires="wps">
          <w:drawing>
            <wp:anchor distT="0" distB="0" distL="0" distR="0" simplePos="0" relativeHeight="251658241" behindDoc="0" locked="0" layoutInCell="1" allowOverlap="1" wp14:anchorId="256BEBA3" wp14:editId="647159BC">
              <wp:simplePos x="635" y="635"/>
              <wp:positionH relativeFrom="page">
                <wp:align>center</wp:align>
              </wp:positionH>
              <wp:positionV relativeFrom="page">
                <wp:align>top</wp:align>
              </wp:positionV>
              <wp:extent cx="622300" cy="480695"/>
              <wp:effectExtent l="0" t="0" r="6350" b="14605"/>
              <wp:wrapNone/>
              <wp:docPr id="14425222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DF90AE0" w14:textId="062321C0" w:rsidR="00EB7EED" w:rsidRPr="00EB7EED" w:rsidRDefault="00EB7EED" w:rsidP="00EB7EED">
                          <w:pPr>
                            <w:spacing w:after="0"/>
                            <w:rPr>
                              <w:rFonts w:ascii="Aptos" w:eastAsia="Aptos" w:hAnsi="Aptos" w:cs="Aptos"/>
                              <w:noProof/>
                              <w:color w:val="FF0000"/>
                              <w:sz w:val="24"/>
                              <w:szCs w:val="24"/>
                            </w:rPr>
                          </w:pPr>
                          <w:r w:rsidRPr="00EB7EE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6BEBA3"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6DF90AE0" w14:textId="062321C0" w:rsidR="00EB7EED" w:rsidRPr="00EB7EED" w:rsidRDefault="00EB7EED" w:rsidP="00EB7EED">
                    <w:pPr>
                      <w:spacing w:after="0"/>
                      <w:rPr>
                        <w:rFonts w:ascii="Aptos" w:eastAsia="Aptos" w:hAnsi="Aptos" w:cs="Aptos"/>
                        <w:noProof/>
                        <w:color w:val="FF0000"/>
                        <w:sz w:val="24"/>
                        <w:szCs w:val="24"/>
                      </w:rPr>
                    </w:pPr>
                    <w:r w:rsidRPr="00EB7EE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0CB0" w14:textId="64BC9EC6" w:rsidR="00EB7EED" w:rsidRDefault="00EB7EED">
    <w:pPr>
      <w:pStyle w:val="Header"/>
    </w:pPr>
    <w:r>
      <w:rPr>
        <w:noProof/>
      </w:rPr>
      <mc:AlternateContent>
        <mc:Choice Requires="wps">
          <w:drawing>
            <wp:anchor distT="0" distB="0" distL="0" distR="0" simplePos="0" relativeHeight="251658244" behindDoc="0" locked="0" layoutInCell="1" allowOverlap="1" wp14:anchorId="3323FA3B" wp14:editId="5371B83A">
              <wp:simplePos x="635" y="635"/>
              <wp:positionH relativeFrom="page">
                <wp:align>center</wp:align>
              </wp:positionH>
              <wp:positionV relativeFrom="page">
                <wp:align>top</wp:align>
              </wp:positionV>
              <wp:extent cx="622300" cy="480695"/>
              <wp:effectExtent l="0" t="0" r="6350" b="14605"/>
              <wp:wrapNone/>
              <wp:docPr id="9160543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1FA3594" w14:textId="26E66BBF" w:rsidR="00EB7EED" w:rsidRPr="00EB7EED" w:rsidRDefault="00EB7EED" w:rsidP="00EB7EED">
                          <w:pPr>
                            <w:spacing w:after="0"/>
                            <w:rPr>
                              <w:rFonts w:ascii="Aptos" w:eastAsia="Aptos" w:hAnsi="Aptos" w:cs="Aptos"/>
                              <w:noProof/>
                              <w:color w:val="FF0000"/>
                              <w:sz w:val="24"/>
                              <w:szCs w:val="24"/>
                            </w:rPr>
                          </w:pPr>
                          <w:r w:rsidRPr="00EB7EE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3FA3B" id="_x0000_t202" coordsize="21600,21600" o:spt="202" path="m,l,21600r21600,l21600,xe">
              <v:stroke joinstyle="miter"/>
              <v:path gradientshapeok="t" o:connecttype="rect"/>
            </v:shapetype>
            <v:shape id="Text Box 1" o:spid="_x0000_s1028" type="#_x0000_t202" alt="OFFICIAL" style="position:absolute;margin-left:0;margin-top:0;width:49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ksDQ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Qln43d76A60VAehn0HJ9cNld6IgE/C04KpWxIt&#10;PtKhDXQlh7PFWQ3+59/8MZ94pyhnHQmm5JYUzZn5bmkfUVvJmN7kV5EMP7p3o2EP7R2QDKf0IpxM&#10;ZsxDM5raQ/tCcl7FQhQSVlK5kuNo3uGgXHoOUq1WKYlk5ARu7NbJCB3pilw+9y/CuzPhSJt6gFFN&#10;onjH+5Abbwa3OiCxn5YSqR2IPDNOEkxrPT+XqPG3/ynr8qiXvwA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hH2ZLA0CAAAcBAAA&#10;DgAAAAAAAAAAAAAAAAAuAgAAZHJzL2Uyb0RvYy54bWxQSwECLQAUAAYACAAAACEA/kqdbtkAAAAD&#10;AQAADwAAAAAAAAAAAAAAAABnBAAAZHJzL2Rvd25yZXYueG1sUEsFBgAAAAAEAAQA8wAAAG0FAAAA&#10;AA==&#10;" filled="f" stroked="f">
              <v:textbox style="mso-fit-shape-to-text:t" inset="0,15pt,0,0">
                <w:txbxContent>
                  <w:p w14:paraId="71FA3594" w14:textId="26E66BBF" w:rsidR="00EB7EED" w:rsidRPr="00EB7EED" w:rsidRDefault="00EB7EED" w:rsidP="00EB7EED">
                    <w:pPr>
                      <w:spacing w:after="0"/>
                      <w:rPr>
                        <w:rFonts w:ascii="Aptos" w:eastAsia="Aptos" w:hAnsi="Aptos" w:cs="Aptos"/>
                        <w:noProof/>
                        <w:color w:val="FF0000"/>
                        <w:sz w:val="24"/>
                        <w:szCs w:val="24"/>
                      </w:rPr>
                    </w:pPr>
                    <w:r w:rsidRPr="00EB7EE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9884277" o:spid="_x0000_i1025" type="#_x0000_t75" style="width:9.75pt;height:9.75pt;visibility:visible;mso-wrap-style:square" o:bullet="t">
        <v:imagedata r:id="rId1" o:title=""/>
      </v:shape>
    </w:pict>
  </w:numPicBullet>
  <w:numPicBullet w:numPicBulletId="1">
    <w:pict>
      <v:shape id="Picture 1722048053" o:spid="_x0000_i1026" type="#_x0000_t75" style="width:6pt;height:6.75pt;visibility:visible;mso-wrap-style:square" o:bullet="t">
        <v:imagedata r:id="rId2" o:title=""/>
      </v:shape>
    </w:pict>
  </w:numPicBullet>
  <w:numPicBullet w:numPicBulletId="2">
    <w:pict>
      <v:shape id="Picture 1445869340" o:spid="_x0000_i1027" type="#_x0000_t75" style="width:6pt;height:6.75pt;visibility:visible;mso-wrap-style:square" o:bullet="t">
        <v:imagedata r:id="rId3" o:title=""/>
      </v:shape>
    </w:pict>
  </w:numPicBullet>
  <w:numPicBullet w:numPicBulletId="3">
    <w:pict>
      <v:shape id="Picture 1038950192" o:spid="_x0000_i1028" type="#_x0000_t75" style="width:6pt;height:6.75pt;visibility:visible;mso-wrap-style:square" o:bullet="t">
        <v:imagedata r:id="rId4" o:title=""/>
      </v:shape>
    </w:pict>
  </w:numPicBullet>
  <w:numPicBullet w:numPicBulletId="4">
    <w:pict>
      <v:shape id="Picture 883895595" o:spid="_x0000_i1029" type="#_x0000_t75" style="width:6pt;height:6.75pt;visibility:visible;mso-wrap-style:square" o:bullet="t">
        <v:imagedata r:id="rId5" o:title=""/>
      </v:shape>
    </w:pict>
  </w:numPicBullet>
  <w:abstractNum w:abstractNumId="0" w15:restartNumberingAfterBreak="0">
    <w:nsid w:val="061576FC"/>
    <w:multiLevelType w:val="hybridMultilevel"/>
    <w:tmpl w:val="E7DC84FC"/>
    <w:lvl w:ilvl="0" w:tplc="16204C78">
      <w:start w:val="1"/>
      <w:numFmt w:val="bullet"/>
      <w:pStyle w:val="BulletedList6"/>
      <w:lvlText w:val=""/>
      <w:lvlPicBulletId w:val="4"/>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2F6B80"/>
    <w:multiLevelType w:val="multilevel"/>
    <w:tmpl w:val="73283DF8"/>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07E73C0"/>
    <w:multiLevelType w:val="hybridMultilevel"/>
    <w:tmpl w:val="A7526C68"/>
    <w:styleLink w:val="NewBullet"/>
    <w:lvl w:ilvl="0" w:tplc="0C09000F">
      <w:start w:val="1"/>
      <w:numFmt w:val="decimal"/>
      <w:pStyle w:val="ListNumber"/>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8C6E70"/>
    <w:multiLevelType w:val="hybridMultilevel"/>
    <w:tmpl w:val="2D72F206"/>
    <w:lvl w:ilvl="0" w:tplc="877E91E2">
      <w:start w:val="5"/>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541F6F"/>
    <w:multiLevelType w:val="hybridMultilevel"/>
    <w:tmpl w:val="3BB88D36"/>
    <w:lvl w:ilvl="0" w:tplc="DE585C24">
      <w:start w:val="1"/>
      <w:numFmt w:val="bullet"/>
      <w:pStyle w:val="BulletedList2"/>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83F32"/>
    <w:multiLevelType w:val="hybridMultilevel"/>
    <w:tmpl w:val="2ED8782A"/>
    <w:lvl w:ilvl="0" w:tplc="83A4B924">
      <w:start w:val="1"/>
      <w:numFmt w:val="bullet"/>
      <w:pStyle w:val="BulletedList5"/>
      <w:lvlText w:val=""/>
      <w:lvlPicBulletId w:val="3"/>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13586D"/>
    <w:multiLevelType w:val="hybridMultilevel"/>
    <w:tmpl w:val="4552C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2413D9"/>
    <w:multiLevelType w:val="hybridMultilevel"/>
    <w:tmpl w:val="FF946B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0C4B95"/>
    <w:multiLevelType w:val="hybridMultilevel"/>
    <w:tmpl w:val="ECF4075E"/>
    <w:lvl w:ilvl="0" w:tplc="D9FC2934">
      <w:start w:val="1"/>
      <w:numFmt w:val="lowerLetter"/>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D96407"/>
    <w:multiLevelType w:val="hybridMultilevel"/>
    <w:tmpl w:val="047A09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0317D5"/>
    <w:multiLevelType w:val="hybridMultilevel"/>
    <w:tmpl w:val="63A6381E"/>
    <w:lvl w:ilvl="0" w:tplc="3D0659B2">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5C6273"/>
    <w:multiLevelType w:val="hybridMultilevel"/>
    <w:tmpl w:val="493006AA"/>
    <w:lvl w:ilvl="0" w:tplc="194245F6">
      <w:start w:val="1"/>
      <w:numFmt w:val="bullet"/>
      <w:pStyle w:val="BulletListParagraph"/>
      <w:lvlText w:val=""/>
      <w:lvlJc w:val="left"/>
      <w:pPr>
        <w:ind w:left="405" w:hanging="360"/>
      </w:pPr>
      <w:rPr>
        <w:rFonts w:ascii="Wingdings" w:hAnsi="Wingdings" w:hint="default"/>
      </w:rPr>
    </w:lvl>
    <w:lvl w:ilvl="1" w:tplc="0C090003" w:tentative="1">
      <w:start w:val="1"/>
      <w:numFmt w:val="bullet"/>
      <w:lvlText w:val="o"/>
      <w:lvlJc w:val="left"/>
      <w:pPr>
        <w:ind w:left="1125" w:hanging="360"/>
      </w:pPr>
      <w:rPr>
        <w:rFonts w:ascii="Courier New" w:hAnsi="Courier New" w:hint="default"/>
      </w:rPr>
    </w:lvl>
    <w:lvl w:ilvl="2" w:tplc="0C090005" w:tentative="1">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2" w15:restartNumberingAfterBreak="0">
    <w:nsid w:val="405243E0"/>
    <w:multiLevelType w:val="hybridMultilevel"/>
    <w:tmpl w:val="66AA1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ED2AFA"/>
    <w:multiLevelType w:val="hybridMultilevel"/>
    <w:tmpl w:val="DC9CD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804334"/>
    <w:multiLevelType w:val="hybridMultilevel"/>
    <w:tmpl w:val="BC22EB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EBF4C6A"/>
    <w:multiLevelType w:val="hybridMultilevel"/>
    <w:tmpl w:val="7FEA9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9D712C"/>
    <w:multiLevelType w:val="hybridMultilevel"/>
    <w:tmpl w:val="BF92ECE2"/>
    <w:lvl w:ilvl="0" w:tplc="3DC64118">
      <w:start w:val="1"/>
      <w:numFmt w:val="lowerLetter"/>
      <w:pStyle w:val="Number"/>
      <w:lvlText w:val="%1."/>
      <w:lvlJc w:val="left"/>
      <w:pPr>
        <w:ind w:left="786"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7" w15:restartNumberingAfterBreak="0">
    <w:nsid w:val="556D09E7"/>
    <w:multiLevelType w:val="hybridMultilevel"/>
    <w:tmpl w:val="234EBE54"/>
    <w:lvl w:ilvl="0" w:tplc="1500019E">
      <w:start w:val="1"/>
      <w:numFmt w:val="bullet"/>
      <w:pStyle w:val="BulletedList3"/>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C95672"/>
    <w:multiLevelType w:val="hybridMultilevel"/>
    <w:tmpl w:val="218A1FE0"/>
    <w:lvl w:ilvl="0" w:tplc="477CF2F6">
      <w:start w:val="1"/>
      <w:numFmt w:val="bullet"/>
      <w:pStyle w:val="BulletedList4"/>
      <w:lvlText w:val=""/>
      <w:lvlPicBulletId w:val="2"/>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98A5214"/>
    <w:multiLevelType w:val="hybridMultilevel"/>
    <w:tmpl w:val="0B5AC610"/>
    <w:lvl w:ilvl="0" w:tplc="FFFFFFFF">
      <w:start w:val="1"/>
      <w:numFmt w:val="decimal"/>
      <w:pStyle w:val="TableListNumber"/>
      <w:lvlText w:val="%1."/>
      <w:lvlJc w:val="left"/>
      <w:pPr>
        <w:tabs>
          <w:tab w:val="num" w:pos="227"/>
        </w:tabs>
        <w:ind w:left="227" w:hanging="22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48812D9"/>
    <w:multiLevelType w:val="hybridMultilevel"/>
    <w:tmpl w:val="9F04D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986EFC"/>
    <w:multiLevelType w:val="hybridMultilevel"/>
    <w:tmpl w:val="05000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314545"/>
    <w:multiLevelType w:val="hybridMultilevel"/>
    <w:tmpl w:val="34506476"/>
    <w:lvl w:ilvl="0" w:tplc="9DBE15F6">
      <w:start w:val="1"/>
      <w:numFmt w:val="bullet"/>
      <w:pStyle w:val="BulletedList"/>
      <w:lvlText w:val=""/>
      <w:lvlJc w:val="left"/>
      <w:pPr>
        <w:ind w:left="360" w:hanging="360"/>
      </w:pPr>
      <w:rPr>
        <w:rFonts w:ascii="Symbol" w:hAnsi="Symbol" w:hint="default"/>
        <w:color w:val="05C3D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2121E8"/>
    <w:multiLevelType w:val="hybridMultilevel"/>
    <w:tmpl w:val="FE5A5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9963DB"/>
    <w:multiLevelType w:val="hybridMultilevel"/>
    <w:tmpl w:val="9A3216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D955EC"/>
    <w:multiLevelType w:val="hybridMultilevel"/>
    <w:tmpl w:val="0780F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B66E30"/>
    <w:multiLevelType w:val="hybridMultilevel"/>
    <w:tmpl w:val="C99AD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2F2624"/>
    <w:multiLevelType w:val="multilevel"/>
    <w:tmpl w:val="503EE192"/>
    <w:styleLink w:val="Numbered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sz w:val="28"/>
        <w:szCs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C9D6A96"/>
    <w:multiLevelType w:val="hybridMultilevel"/>
    <w:tmpl w:val="0BAC168E"/>
    <w:lvl w:ilvl="0" w:tplc="9F4EDD46">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798065">
    <w:abstractNumId w:val="4"/>
  </w:num>
  <w:num w:numId="2" w16cid:durableId="1034310933">
    <w:abstractNumId w:val="17"/>
  </w:num>
  <w:num w:numId="3" w16cid:durableId="601839287">
    <w:abstractNumId w:val="18"/>
  </w:num>
  <w:num w:numId="4" w16cid:durableId="607739901">
    <w:abstractNumId w:val="5"/>
  </w:num>
  <w:num w:numId="5" w16cid:durableId="2076581240">
    <w:abstractNumId w:val="0"/>
  </w:num>
  <w:num w:numId="6" w16cid:durableId="901522036">
    <w:abstractNumId w:val="22"/>
  </w:num>
  <w:num w:numId="7" w16cid:durableId="486674680">
    <w:abstractNumId w:val="8"/>
  </w:num>
  <w:num w:numId="8" w16cid:durableId="1454786990">
    <w:abstractNumId w:val="16"/>
  </w:num>
  <w:num w:numId="9" w16cid:durableId="1293828930">
    <w:abstractNumId w:val="27"/>
  </w:num>
  <w:num w:numId="10" w16cid:durableId="992444007">
    <w:abstractNumId w:val="10"/>
  </w:num>
  <w:num w:numId="11" w16cid:durableId="380903848">
    <w:abstractNumId w:val="2"/>
  </w:num>
  <w:num w:numId="12" w16cid:durableId="1904216786">
    <w:abstractNumId w:val="1"/>
  </w:num>
  <w:num w:numId="13" w16cid:durableId="955022649">
    <w:abstractNumId w:val="19"/>
  </w:num>
  <w:num w:numId="14" w16cid:durableId="808862610">
    <w:abstractNumId w:val="11"/>
  </w:num>
  <w:num w:numId="15" w16cid:durableId="157620923">
    <w:abstractNumId w:val="28"/>
  </w:num>
  <w:num w:numId="16" w16cid:durableId="7564351">
    <w:abstractNumId w:val="23"/>
  </w:num>
  <w:num w:numId="17" w16cid:durableId="2022857513">
    <w:abstractNumId w:val="26"/>
  </w:num>
  <w:num w:numId="18" w16cid:durableId="1659505082">
    <w:abstractNumId w:val="13"/>
  </w:num>
  <w:num w:numId="19" w16cid:durableId="869337390">
    <w:abstractNumId w:val="20"/>
  </w:num>
  <w:num w:numId="20" w16cid:durableId="288440941">
    <w:abstractNumId w:val="6"/>
  </w:num>
  <w:num w:numId="21" w16cid:durableId="1990093830">
    <w:abstractNumId w:val="9"/>
  </w:num>
  <w:num w:numId="22" w16cid:durableId="688025168">
    <w:abstractNumId w:val="12"/>
  </w:num>
  <w:num w:numId="23" w16cid:durableId="1103837193">
    <w:abstractNumId w:val="21"/>
  </w:num>
  <w:num w:numId="24" w16cid:durableId="1665743343">
    <w:abstractNumId w:val="24"/>
  </w:num>
  <w:num w:numId="25" w16cid:durableId="1601645290">
    <w:abstractNumId w:val="7"/>
  </w:num>
  <w:num w:numId="26" w16cid:durableId="1183006902">
    <w:abstractNumId w:val="15"/>
  </w:num>
  <w:num w:numId="27" w16cid:durableId="1095057353">
    <w:abstractNumId w:val="3"/>
  </w:num>
  <w:num w:numId="28" w16cid:durableId="585774346">
    <w:abstractNumId w:val="25"/>
  </w:num>
  <w:num w:numId="29" w16cid:durableId="442924008">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TableStyle"/>
  <w:characterSpacingControl w:val="doNotCompress"/>
  <w:hdrShapeDefaults>
    <o:shapedefaults v:ext="edit" spidmax="2050"/>
  </w:hdrShapeDefaults>
  <w:footnotePr>
    <w:footnote w:id="-1"/>
    <w:footnote w:id="0"/>
    <w:footnote w:id="1"/>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heme" w:val="Envision"/>
  </w:docVars>
  <w:rsids>
    <w:rsidRoot w:val="00D5494D"/>
    <w:rsid w:val="00000564"/>
    <w:rsid w:val="0000231A"/>
    <w:rsid w:val="00004470"/>
    <w:rsid w:val="00005D78"/>
    <w:rsid w:val="0001099B"/>
    <w:rsid w:val="000109D9"/>
    <w:rsid w:val="000125E5"/>
    <w:rsid w:val="00024D6A"/>
    <w:rsid w:val="000325BC"/>
    <w:rsid w:val="00032BD4"/>
    <w:rsid w:val="0003357B"/>
    <w:rsid w:val="00035A99"/>
    <w:rsid w:val="00037336"/>
    <w:rsid w:val="0003749A"/>
    <w:rsid w:val="00042D12"/>
    <w:rsid w:val="000442BA"/>
    <w:rsid w:val="00045D3D"/>
    <w:rsid w:val="00046353"/>
    <w:rsid w:val="00047EB3"/>
    <w:rsid w:val="000506F9"/>
    <w:rsid w:val="00050809"/>
    <w:rsid w:val="00051253"/>
    <w:rsid w:val="00051913"/>
    <w:rsid w:val="00053EB7"/>
    <w:rsid w:val="00055683"/>
    <w:rsid w:val="00057131"/>
    <w:rsid w:val="00060F6B"/>
    <w:rsid w:val="00061DCA"/>
    <w:rsid w:val="00064D51"/>
    <w:rsid w:val="00067BFE"/>
    <w:rsid w:val="000701CE"/>
    <w:rsid w:val="00073AA5"/>
    <w:rsid w:val="00073BA3"/>
    <w:rsid w:val="00074807"/>
    <w:rsid w:val="0007497C"/>
    <w:rsid w:val="00074BDA"/>
    <w:rsid w:val="00074FB7"/>
    <w:rsid w:val="000828BE"/>
    <w:rsid w:val="000829A0"/>
    <w:rsid w:val="00082E08"/>
    <w:rsid w:val="00084799"/>
    <w:rsid w:val="0008521C"/>
    <w:rsid w:val="00085B9E"/>
    <w:rsid w:val="00085E6C"/>
    <w:rsid w:val="00090EAD"/>
    <w:rsid w:val="000920B6"/>
    <w:rsid w:val="00092CF6"/>
    <w:rsid w:val="00095F83"/>
    <w:rsid w:val="000A0A44"/>
    <w:rsid w:val="000A18F1"/>
    <w:rsid w:val="000A55A6"/>
    <w:rsid w:val="000B11D7"/>
    <w:rsid w:val="000B3098"/>
    <w:rsid w:val="000B3CBB"/>
    <w:rsid w:val="000B42C4"/>
    <w:rsid w:val="000C35F9"/>
    <w:rsid w:val="000C47C2"/>
    <w:rsid w:val="000C7243"/>
    <w:rsid w:val="000D0714"/>
    <w:rsid w:val="000D1295"/>
    <w:rsid w:val="000E0CDB"/>
    <w:rsid w:val="000E11F2"/>
    <w:rsid w:val="000E15FB"/>
    <w:rsid w:val="000E1D38"/>
    <w:rsid w:val="000E22CD"/>
    <w:rsid w:val="000F1579"/>
    <w:rsid w:val="000F174C"/>
    <w:rsid w:val="000F291B"/>
    <w:rsid w:val="000F3D11"/>
    <w:rsid w:val="000F4641"/>
    <w:rsid w:val="000F504C"/>
    <w:rsid w:val="000F536B"/>
    <w:rsid w:val="000F636A"/>
    <w:rsid w:val="000F65F4"/>
    <w:rsid w:val="000F6644"/>
    <w:rsid w:val="000F752E"/>
    <w:rsid w:val="00101A6E"/>
    <w:rsid w:val="0010297D"/>
    <w:rsid w:val="00103020"/>
    <w:rsid w:val="00105023"/>
    <w:rsid w:val="001057CC"/>
    <w:rsid w:val="001064C9"/>
    <w:rsid w:val="0010678F"/>
    <w:rsid w:val="0010686D"/>
    <w:rsid w:val="00107D3E"/>
    <w:rsid w:val="00110264"/>
    <w:rsid w:val="001127E3"/>
    <w:rsid w:val="001153DF"/>
    <w:rsid w:val="001160FB"/>
    <w:rsid w:val="00116796"/>
    <w:rsid w:val="00117A2B"/>
    <w:rsid w:val="00117DCD"/>
    <w:rsid w:val="00117DE7"/>
    <w:rsid w:val="001204A4"/>
    <w:rsid w:val="00120C5D"/>
    <w:rsid w:val="00125526"/>
    <w:rsid w:val="00125695"/>
    <w:rsid w:val="00127AE3"/>
    <w:rsid w:val="00132B42"/>
    <w:rsid w:val="001350EA"/>
    <w:rsid w:val="0013565C"/>
    <w:rsid w:val="00135A3A"/>
    <w:rsid w:val="0013639F"/>
    <w:rsid w:val="001410FC"/>
    <w:rsid w:val="00142315"/>
    <w:rsid w:val="001425A7"/>
    <w:rsid w:val="00145FC6"/>
    <w:rsid w:val="001465D1"/>
    <w:rsid w:val="00147221"/>
    <w:rsid w:val="00147FB3"/>
    <w:rsid w:val="00154A9D"/>
    <w:rsid w:val="001552AE"/>
    <w:rsid w:val="00155552"/>
    <w:rsid w:val="00155CCD"/>
    <w:rsid w:val="00156593"/>
    <w:rsid w:val="00162EC1"/>
    <w:rsid w:val="00170EC8"/>
    <w:rsid w:val="00171386"/>
    <w:rsid w:val="0017181B"/>
    <w:rsid w:val="00171ABD"/>
    <w:rsid w:val="00172465"/>
    <w:rsid w:val="00172F1A"/>
    <w:rsid w:val="00173DF0"/>
    <w:rsid w:val="00174501"/>
    <w:rsid w:val="00175917"/>
    <w:rsid w:val="00175EBC"/>
    <w:rsid w:val="00177334"/>
    <w:rsid w:val="00182E76"/>
    <w:rsid w:val="00185525"/>
    <w:rsid w:val="00187527"/>
    <w:rsid w:val="00192910"/>
    <w:rsid w:val="00192F3F"/>
    <w:rsid w:val="0019385F"/>
    <w:rsid w:val="0019608E"/>
    <w:rsid w:val="001A0449"/>
    <w:rsid w:val="001A4E3C"/>
    <w:rsid w:val="001A576F"/>
    <w:rsid w:val="001A6BD9"/>
    <w:rsid w:val="001A6FAE"/>
    <w:rsid w:val="001A764B"/>
    <w:rsid w:val="001A765A"/>
    <w:rsid w:val="001B1C89"/>
    <w:rsid w:val="001B706C"/>
    <w:rsid w:val="001C000C"/>
    <w:rsid w:val="001C0046"/>
    <w:rsid w:val="001C0383"/>
    <w:rsid w:val="001C4DE8"/>
    <w:rsid w:val="001C5367"/>
    <w:rsid w:val="001C710F"/>
    <w:rsid w:val="001D76F4"/>
    <w:rsid w:val="001E0044"/>
    <w:rsid w:val="001E1B59"/>
    <w:rsid w:val="001E3F16"/>
    <w:rsid w:val="001E5D09"/>
    <w:rsid w:val="001E5FAF"/>
    <w:rsid w:val="001E6DD8"/>
    <w:rsid w:val="001E6EDD"/>
    <w:rsid w:val="001E76D7"/>
    <w:rsid w:val="001E7BEA"/>
    <w:rsid w:val="001F0121"/>
    <w:rsid w:val="001F3BB5"/>
    <w:rsid w:val="001F53BC"/>
    <w:rsid w:val="001F7C3C"/>
    <w:rsid w:val="0020248F"/>
    <w:rsid w:val="002028EB"/>
    <w:rsid w:val="00203F0E"/>
    <w:rsid w:val="00210424"/>
    <w:rsid w:val="00213079"/>
    <w:rsid w:val="0021326A"/>
    <w:rsid w:val="00213411"/>
    <w:rsid w:val="0021545E"/>
    <w:rsid w:val="00223636"/>
    <w:rsid w:val="00224A86"/>
    <w:rsid w:val="002300E6"/>
    <w:rsid w:val="00231010"/>
    <w:rsid w:val="002318C5"/>
    <w:rsid w:val="00234E68"/>
    <w:rsid w:val="002366AB"/>
    <w:rsid w:val="00244562"/>
    <w:rsid w:val="0024552E"/>
    <w:rsid w:val="00251472"/>
    <w:rsid w:val="0025438B"/>
    <w:rsid w:val="0025498C"/>
    <w:rsid w:val="0025499A"/>
    <w:rsid w:val="00271C4E"/>
    <w:rsid w:val="00272B62"/>
    <w:rsid w:val="00273B02"/>
    <w:rsid w:val="002746F7"/>
    <w:rsid w:val="002759E3"/>
    <w:rsid w:val="00280AB3"/>
    <w:rsid w:val="00281D79"/>
    <w:rsid w:val="00284F73"/>
    <w:rsid w:val="002876D0"/>
    <w:rsid w:val="00291AAF"/>
    <w:rsid w:val="00292A6A"/>
    <w:rsid w:val="002944AA"/>
    <w:rsid w:val="002956C9"/>
    <w:rsid w:val="00296858"/>
    <w:rsid w:val="002A01DF"/>
    <w:rsid w:val="002A41FF"/>
    <w:rsid w:val="002A694F"/>
    <w:rsid w:val="002B1A71"/>
    <w:rsid w:val="002B1C8D"/>
    <w:rsid w:val="002B47D4"/>
    <w:rsid w:val="002B56D2"/>
    <w:rsid w:val="002B64B0"/>
    <w:rsid w:val="002B7892"/>
    <w:rsid w:val="002B7DA7"/>
    <w:rsid w:val="002C4A77"/>
    <w:rsid w:val="002C7F53"/>
    <w:rsid w:val="002D2592"/>
    <w:rsid w:val="002D29B8"/>
    <w:rsid w:val="002D3B26"/>
    <w:rsid w:val="002D459B"/>
    <w:rsid w:val="002D45DB"/>
    <w:rsid w:val="002D46B3"/>
    <w:rsid w:val="002D6AAA"/>
    <w:rsid w:val="002E027E"/>
    <w:rsid w:val="002E0C49"/>
    <w:rsid w:val="002E2BEE"/>
    <w:rsid w:val="002E4577"/>
    <w:rsid w:val="002F2C2F"/>
    <w:rsid w:val="002F53CB"/>
    <w:rsid w:val="002F642D"/>
    <w:rsid w:val="00302D96"/>
    <w:rsid w:val="00303B45"/>
    <w:rsid w:val="00307139"/>
    <w:rsid w:val="0030741F"/>
    <w:rsid w:val="003079BB"/>
    <w:rsid w:val="00313648"/>
    <w:rsid w:val="00320D80"/>
    <w:rsid w:val="003223BF"/>
    <w:rsid w:val="0032402E"/>
    <w:rsid w:val="00326C4C"/>
    <w:rsid w:val="003306CB"/>
    <w:rsid w:val="003309AC"/>
    <w:rsid w:val="00331052"/>
    <w:rsid w:val="00332347"/>
    <w:rsid w:val="00340266"/>
    <w:rsid w:val="003422F4"/>
    <w:rsid w:val="003448D4"/>
    <w:rsid w:val="00350263"/>
    <w:rsid w:val="00350744"/>
    <w:rsid w:val="00351498"/>
    <w:rsid w:val="003515BC"/>
    <w:rsid w:val="00351662"/>
    <w:rsid w:val="0035168E"/>
    <w:rsid w:val="00351B2C"/>
    <w:rsid w:val="00352D38"/>
    <w:rsid w:val="00356F39"/>
    <w:rsid w:val="00360695"/>
    <w:rsid w:val="00363B76"/>
    <w:rsid w:val="00363E16"/>
    <w:rsid w:val="00366994"/>
    <w:rsid w:val="003707B7"/>
    <w:rsid w:val="00370AAD"/>
    <w:rsid w:val="003718D7"/>
    <w:rsid w:val="00371B42"/>
    <w:rsid w:val="003727F4"/>
    <w:rsid w:val="00372815"/>
    <w:rsid w:val="00373914"/>
    <w:rsid w:val="00374603"/>
    <w:rsid w:val="00375CB5"/>
    <w:rsid w:val="003808F4"/>
    <w:rsid w:val="00381596"/>
    <w:rsid w:val="00381AB7"/>
    <w:rsid w:val="00386AC0"/>
    <w:rsid w:val="0038763A"/>
    <w:rsid w:val="00390151"/>
    <w:rsid w:val="00390E90"/>
    <w:rsid w:val="003972B2"/>
    <w:rsid w:val="003A3BF2"/>
    <w:rsid w:val="003A3BF8"/>
    <w:rsid w:val="003A6885"/>
    <w:rsid w:val="003A6F0C"/>
    <w:rsid w:val="003B4A8A"/>
    <w:rsid w:val="003B794A"/>
    <w:rsid w:val="003B7C29"/>
    <w:rsid w:val="003C1302"/>
    <w:rsid w:val="003C2175"/>
    <w:rsid w:val="003C59BF"/>
    <w:rsid w:val="003C6F51"/>
    <w:rsid w:val="003D1A19"/>
    <w:rsid w:val="003D22AE"/>
    <w:rsid w:val="003D53FE"/>
    <w:rsid w:val="003E03DA"/>
    <w:rsid w:val="003E1176"/>
    <w:rsid w:val="003E2514"/>
    <w:rsid w:val="003E4E20"/>
    <w:rsid w:val="003E4E86"/>
    <w:rsid w:val="003E511A"/>
    <w:rsid w:val="003E5A7D"/>
    <w:rsid w:val="003F0A24"/>
    <w:rsid w:val="003F2E40"/>
    <w:rsid w:val="003F5B42"/>
    <w:rsid w:val="003F733B"/>
    <w:rsid w:val="003F7C63"/>
    <w:rsid w:val="00403935"/>
    <w:rsid w:val="004064C1"/>
    <w:rsid w:val="00413910"/>
    <w:rsid w:val="004165DA"/>
    <w:rsid w:val="00420A94"/>
    <w:rsid w:val="00421072"/>
    <w:rsid w:val="00421C42"/>
    <w:rsid w:val="00422682"/>
    <w:rsid w:val="00422896"/>
    <w:rsid w:val="00423835"/>
    <w:rsid w:val="0042489F"/>
    <w:rsid w:val="004259A1"/>
    <w:rsid w:val="004270E5"/>
    <w:rsid w:val="00427988"/>
    <w:rsid w:val="004328F6"/>
    <w:rsid w:val="00435466"/>
    <w:rsid w:val="004412DB"/>
    <w:rsid w:val="00441711"/>
    <w:rsid w:val="004442EC"/>
    <w:rsid w:val="004447A9"/>
    <w:rsid w:val="004449A4"/>
    <w:rsid w:val="004513E1"/>
    <w:rsid w:val="0045520E"/>
    <w:rsid w:val="00456577"/>
    <w:rsid w:val="00457BB6"/>
    <w:rsid w:val="00460688"/>
    <w:rsid w:val="0046456F"/>
    <w:rsid w:val="004662AA"/>
    <w:rsid w:val="00471139"/>
    <w:rsid w:val="004776AB"/>
    <w:rsid w:val="00477F9F"/>
    <w:rsid w:val="004802E6"/>
    <w:rsid w:val="00480BFC"/>
    <w:rsid w:val="00492111"/>
    <w:rsid w:val="004936F5"/>
    <w:rsid w:val="00493C4B"/>
    <w:rsid w:val="00495747"/>
    <w:rsid w:val="004A16B3"/>
    <w:rsid w:val="004A2992"/>
    <w:rsid w:val="004A3E0F"/>
    <w:rsid w:val="004A75BA"/>
    <w:rsid w:val="004A7A36"/>
    <w:rsid w:val="004B1679"/>
    <w:rsid w:val="004B5A01"/>
    <w:rsid w:val="004B636F"/>
    <w:rsid w:val="004B786A"/>
    <w:rsid w:val="004C3D2D"/>
    <w:rsid w:val="004D026C"/>
    <w:rsid w:val="004D4D91"/>
    <w:rsid w:val="004D5D61"/>
    <w:rsid w:val="004E207A"/>
    <w:rsid w:val="004E3EBF"/>
    <w:rsid w:val="004E7E5A"/>
    <w:rsid w:val="004F337B"/>
    <w:rsid w:val="004F353A"/>
    <w:rsid w:val="00502949"/>
    <w:rsid w:val="00502FB7"/>
    <w:rsid w:val="005030EE"/>
    <w:rsid w:val="00503CCC"/>
    <w:rsid w:val="005045B2"/>
    <w:rsid w:val="00505A55"/>
    <w:rsid w:val="00505D29"/>
    <w:rsid w:val="005061A1"/>
    <w:rsid w:val="00510DE8"/>
    <w:rsid w:val="0051122C"/>
    <w:rsid w:val="00512D66"/>
    <w:rsid w:val="005135FA"/>
    <w:rsid w:val="00513C96"/>
    <w:rsid w:val="00514F4A"/>
    <w:rsid w:val="005165E5"/>
    <w:rsid w:val="005169E2"/>
    <w:rsid w:val="005233EE"/>
    <w:rsid w:val="005315B7"/>
    <w:rsid w:val="0053604B"/>
    <w:rsid w:val="00540729"/>
    <w:rsid w:val="00540D38"/>
    <w:rsid w:val="00541BAF"/>
    <w:rsid w:val="00542BDA"/>
    <w:rsid w:val="005456E2"/>
    <w:rsid w:val="00546DA0"/>
    <w:rsid w:val="00547657"/>
    <w:rsid w:val="0055193A"/>
    <w:rsid w:val="00551CAF"/>
    <w:rsid w:val="005521A8"/>
    <w:rsid w:val="00562901"/>
    <w:rsid w:val="00563C3C"/>
    <w:rsid w:val="00574001"/>
    <w:rsid w:val="005745FC"/>
    <w:rsid w:val="00574FC7"/>
    <w:rsid w:val="0058008E"/>
    <w:rsid w:val="00580332"/>
    <w:rsid w:val="00580D1B"/>
    <w:rsid w:val="005813BB"/>
    <w:rsid w:val="00583A06"/>
    <w:rsid w:val="005904F8"/>
    <w:rsid w:val="0059056F"/>
    <w:rsid w:val="0059232E"/>
    <w:rsid w:val="005960BC"/>
    <w:rsid w:val="005966B9"/>
    <w:rsid w:val="005A2822"/>
    <w:rsid w:val="005A3579"/>
    <w:rsid w:val="005A540E"/>
    <w:rsid w:val="005A60DC"/>
    <w:rsid w:val="005A7014"/>
    <w:rsid w:val="005A7151"/>
    <w:rsid w:val="005B1979"/>
    <w:rsid w:val="005B59E2"/>
    <w:rsid w:val="005B5E38"/>
    <w:rsid w:val="005B756E"/>
    <w:rsid w:val="005C35DE"/>
    <w:rsid w:val="005D2C3B"/>
    <w:rsid w:val="005D4878"/>
    <w:rsid w:val="005D5573"/>
    <w:rsid w:val="005E1364"/>
    <w:rsid w:val="005E44C2"/>
    <w:rsid w:val="005E77BC"/>
    <w:rsid w:val="005F5344"/>
    <w:rsid w:val="005F5654"/>
    <w:rsid w:val="005F5921"/>
    <w:rsid w:val="0060448F"/>
    <w:rsid w:val="0060477C"/>
    <w:rsid w:val="006054D4"/>
    <w:rsid w:val="00605725"/>
    <w:rsid w:val="00606DDA"/>
    <w:rsid w:val="00607234"/>
    <w:rsid w:val="0061309C"/>
    <w:rsid w:val="00616B2B"/>
    <w:rsid w:val="00617E8C"/>
    <w:rsid w:val="0062126F"/>
    <w:rsid w:val="00621EE2"/>
    <w:rsid w:val="006239D5"/>
    <w:rsid w:val="006305DE"/>
    <w:rsid w:val="006316B0"/>
    <w:rsid w:val="006334BE"/>
    <w:rsid w:val="00634326"/>
    <w:rsid w:val="00634965"/>
    <w:rsid w:val="006356F6"/>
    <w:rsid w:val="006357C2"/>
    <w:rsid w:val="00635E6E"/>
    <w:rsid w:val="00636F46"/>
    <w:rsid w:val="00637658"/>
    <w:rsid w:val="006405CD"/>
    <w:rsid w:val="00640804"/>
    <w:rsid w:val="0064297A"/>
    <w:rsid w:val="006443B3"/>
    <w:rsid w:val="006462E2"/>
    <w:rsid w:val="006500C8"/>
    <w:rsid w:val="00650764"/>
    <w:rsid w:val="00651416"/>
    <w:rsid w:val="006535C5"/>
    <w:rsid w:val="00654034"/>
    <w:rsid w:val="00654E2E"/>
    <w:rsid w:val="00656D46"/>
    <w:rsid w:val="00663140"/>
    <w:rsid w:val="00667DFD"/>
    <w:rsid w:val="00671569"/>
    <w:rsid w:val="0067277B"/>
    <w:rsid w:val="00673B65"/>
    <w:rsid w:val="00674B4C"/>
    <w:rsid w:val="0067555C"/>
    <w:rsid w:val="00680BDA"/>
    <w:rsid w:val="00680E5A"/>
    <w:rsid w:val="0068110B"/>
    <w:rsid w:val="006835E6"/>
    <w:rsid w:val="00685B3D"/>
    <w:rsid w:val="00686740"/>
    <w:rsid w:val="00686820"/>
    <w:rsid w:val="00687087"/>
    <w:rsid w:val="006879E7"/>
    <w:rsid w:val="0069280A"/>
    <w:rsid w:val="00693741"/>
    <w:rsid w:val="00695CB8"/>
    <w:rsid w:val="006963C5"/>
    <w:rsid w:val="00697853"/>
    <w:rsid w:val="006A0357"/>
    <w:rsid w:val="006A0A96"/>
    <w:rsid w:val="006A4FD8"/>
    <w:rsid w:val="006A5EF4"/>
    <w:rsid w:val="006A7EC4"/>
    <w:rsid w:val="006B055B"/>
    <w:rsid w:val="006B20BC"/>
    <w:rsid w:val="006B3D26"/>
    <w:rsid w:val="006B4D26"/>
    <w:rsid w:val="006C048B"/>
    <w:rsid w:val="006C1C7F"/>
    <w:rsid w:val="006C522C"/>
    <w:rsid w:val="006C5342"/>
    <w:rsid w:val="006C7654"/>
    <w:rsid w:val="006D326A"/>
    <w:rsid w:val="006D3C02"/>
    <w:rsid w:val="006D6076"/>
    <w:rsid w:val="006E1E93"/>
    <w:rsid w:val="006E378A"/>
    <w:rsid w:val="006E3CD5"/>
    <w:rsid w:val="006E558F"/>
    <w:rsid w:val="006E65F1"/>
    <w:rsid w:val="006F123D"/>
    <w:rsid w:val="006F37D7"/>
    <w:rsid w:val="0070314F"/>
    <w:rsid w:val="00705BB8"/>
    <w:rsid w:val="0071014D"/>
    <w:rsid w:val="00715A81"/>
    <w:rsid w:val="007173B9"/>
    <w:rsid w:val="00717527"/>
    <w:rsid w:val="007207C7"/>
    <w:rsid w:val="00723553"/>
    <w:rsid w:val="00733DA2"/>
    <w:rsid w:val="00734BE1"/>
    <w:rsid w:val="00734EFF"/>
    <w:rsid w:val="00737E05"/>
    <w:rsid w:val="007428C8"/>
    <w:rsid w:val="00743296"/>
    <w:rsid w:val="00743F4B"/>
    <w:rsid w:val="0075011E"/>
    <w:rsid w:val="0075086C"/>
    <w:rsid w:val="007538F4"/>
    <w:rsid w:val="00753B28"/>
    <w:rsid w:val="007559A6"/>
    <w:rsid w:val="00757BCB"/>
    <w:rsid w:val="00760B60"/>
    <w:rsid w:val="0076614E"/>
    <w:rsid w:val="00767900"/>
    <w:rsid w:val="00772FE7"/>
    <w:rsid w:val="00776C81"/>
    <w:rsid w:val="0077755D"/>
    <w:rsid w:val="00777760"/>
    <w:rsid w:val="00781237"/>
    <w:rsid w:val="00781268"/>
    <w:rsid w:val="007833AC"/>
    <w:rsid w:val="007853CC"/>
    <w:rsid w:val="007902E5"/>
    <w:rsid w:val="00791508"/>
    <w:rsid w:val="007923BB"/>
    <w:rsid w:val="00792D3B"/>
    <w:rsid w:val="00797084"/>
    <w:rsid w:val="007A280B"/>
    <w:rsid w:val="007A341F"/>
    <w:rsid w:val="007A4917"/>
    <w:rsid w:val="007A5796"/>
    <w:rsid w:val="007A6B9B"/>
    <w:rsid w:val="007B62F4"/>
    <w:rsid w:val="007C1F6E"/>
    <w:rsid w:val="007C1F7C"/>
    <w:rsid w:val="007C4383"/>
    <w:rsid w:val="007C50A8"/>
    <w:rsid w:val="007C70C8"/>
    <w:rsid w:val="007D0B78"/>
    <w:rsid w:val="007D1519"/>
    <w:rsid w:val="007D43EE"/>
    <w:rsid w:val="007D5031"/>
    <w:rsid w:val="007E0358"/>
    <w:rsid w:val="007F42E4"/>
    <w:rsid w:val="007F4573"/>
    <w:rsid w:val="007F6028"/>
    <w:rsid w:val="007F7965"/>
    <w:rsid w:val="0080020A"/>
    <w:rsid w:val="0080059A"/>
    <w:rsid w:val="008019BF"/>
    <w:rsid w:val="00801B77"/>
    <w:rsid w:val="0080359B"/>
    <w:rsid w:val="00810F39"/>
    <w:rsid w:val="00812B65"/>
    <w:rsid w:val="0081680C"/>
    <w:rsid w:val="00816B84"/>
    <w:rsid w:val="00820622"/>
    <w:rsid w:val="008206DC"/>
    <w:rsid w:val="00820D28"/>
    <w:rsid w:val="00826817"/>
    <w:rsid w:val="00827A05"/>
    <w:rsid w:val="00827BDF"/>
    <w:rsid w:val="00831DE9"/>
    <w:rsid w:val="00834F85"/>
    <w:rsid w:val="0083639B"/>
    <w:rsid w:val="008459DF"/>
    <w:rsid w:val="00847305"/>
    <w:rsid w:val="00853006"/>
    <w:rsid w:val="00853511"/>
    <w:rsid w:val="008553E6"/>
    <w:rsid w:val="0085783B"/>
    <w:rsid w:val="00857A50"/>
    <w:rsid w:val="00857C49"/>
    <w:rsid w:val="008604B1"/>
    <w:rsid w:val="00860C7C"/>
    <w:rsid w:val="0086210F"/>
    <w:rsid w:val="008638F9"/>
    <w:rsid w:val="00864E41"/>
    <w:rsid w:val="008672EB"/>
    <w:rsid w:val="00870BB9"/>
    <w:rsid w:val="008711C6"/>
    <w:rsid w:val="00871FCA"/>
    <w:rsid w:val="00872F38"/>
    <w:rsid w:val="008808FB"/>
    <w:rsid w:val="00882299"/>
    <w:rsid w:val="00883AD5"/>
    <w:rsid w:val="00883F64"/>
    <w:rsid w:val="008846BF"/>
    <w:rsid w:val="00884770"/>
    <w:rsid w:val="00885514"/>
    <w:rsid w:val="0088594E"/>
    <w:rsid w:val="008860E6"/>
    <w:rsid w:val="0088611A"/>
    <w:rsid w:val="00887CE0"/>
    <w:rsid w:val="0089006A"/>
    <w:rsid w:val="00890587"/>
    <w:rsid w:val="00890687"/>
    <w:rsid w:val="00890931"/>
    <w:rsid w:val="00890ADB"/>
    <w:rsid w:val="0089404C"/>
    <w:rsid w:val="008A2368"/>
    <w:rsid w:val="008A2BAB"/>
    <w:rsid w:val="008A3229"/>
    <w:rsid w:val="008A45BA"/>
    <w:rsid w:val="008A5536"/>
    <w:rsid w:val="008B1A42"/>
    <w:rsid w:val="008B2951"/>
    <w:rsid w:val="008B4427"/>
    <w:rsid w:val="008B705F"/>
    <w:rsid w:val="008B7913"/>
    <w:rsid w:val="008C2696"/>
    <w:rsid w:val="008C6679"/>
    <w:rsid w:val="008C7E87"/>
    <w:rsid w:val="008D363A"/>
    <w:rsid w:val="008D5C62"/>
    <w:rsid w:val="008D6BBD"/>
    <w:rsid w:val="008E3163"/>
    <w:rsid w:val="008E4135"/>
    <w:rsid w:val="008E4897"/>
    <w:rsid w:val="008E6090"/>
    <w:rsid w:val="008E7068"/>
    <w:rsid w:val="008E7F3E"/>
    <w:rsid w:val="008F084A"/>
    <w:rsid w:val="008F3940"/>
    <w:rsid w:val="008F6AD7"/>
    <w:rsid w:val="009008CB"/>
    <w:rsid w:val="00901949"/>
    <w:rsid w:val="00901DD9"/>
    <w:rsid w:val="00904BEF"/>
    <w:rsid w:val="00904C0B"/>
    <w:rsid w:val="00905E81"/>
    <w:rsid w:val="0091010B"/>
    <w:rsid w:val="00910A7D"/>
    <w:rsid w:val="00912280"/>
    <w:rsid w:val="00912AB2"/>
    <w:rsid w:val="009157B7"/>
    <w:rsid w:val="0092443E"/>
    <w:rsid w:val="00927489"/>
    <w:rsid w:val="00930623"/>
    <w:rsid w:val="00930BF7"/>
    <w:rsid w:val="009326E5"/>
    <w:rsid w:val="00935FBF"/>
    <w:rsid w:val="00936044"/>
    <w:rsid w:val="00936CE1"/>
    <w:rsid w:val="00940866"/>
    <w:rsid w:val="009426EE"/>
    <w:rsid w:val="00944942"/>
    <w:rsid w:val="00951316"/>
    <w:rsid w:val="0095333E"/>
    <w:rsid w:val="00953890"/>
    <w:rsid w:val="00953AAF"/>
    <w:rsid w:val="009558DC"/>
    <w:rsid w:val="00957062"/>
    <w:rsid w:val="0096014D"/>
    <w:rsid w:val="009628B8"/>
    <w:rsid w:val="00963415"/>
    <w:rsid w:val="00965C04"/>
    <w:rsid w:val="00967EBE"/>
    <w:rsid w:val="009700AE"/>
    <w:rsid w:val="00971BCA"/>
    <w:rsid w:val="009723A5"/>
    <w:rsid w:val="0097312C"/>
    <w:rsid w:val="00973E7D"/>
    <w:rsid w:val="00975082"/>
    <w:rsid w:val="00976EC4"/>
    <w:rsid w:val="009807FB"/>
    <w:rsid w:val="0098162D"/>
    <w:rsid w:val="00983CAC"/>
    <w:rsid w:val="00983CCA"/>
    <w:rsid w:val="00987443"/>
    <w:rsid w:val="00996414"/>
    <w:rsid w:val="009A0BE2"/>
    <w:rsid w:val="009A38CE"/>
    <w:rsid w:val="009A4356"/>
    <w:rsid w:val="009A46CA"/>
    <w:rsid w:val="009A6826"/>
    <w:rsid w:val="009A69CD"/>
    <w:rsid w:val="009B2204"/>
    <w:rsid w:val="009C1220"/>
    <w:rsid w:val="009D19C2"/>
    <w:rsid w:val="009D2DA8"/>
    <w:rsid w:val="009D35D6"/>
    <w:rsid w:val="009D4546"/>
    <w:rsid w:val="009E07B4"/>
    <w:rsid w:val="009E2AE4"/>
    <w:rsid w:val="009E2F56"/>
    <w:rsid w:val="009F0EBF"/>
    <w:rsid w:val="009F4AF4"/>
    <w:rsid w:val="009F6E03"/>
    <w:rsid w:val="00A04FBE"/>
    <w:rsid w:val="00A12EA6"/>
    <w:rsid w:val="00A16186"/>
    <w:rsid w:val="00A24297"/>
    <w:rsid w:val="00A25564"/>
    <w:rsid w:val="00A25A5A"/>
    <w:rsid w:val="00A3288D"/>
    <w:rsid w:val="00A33EC1"/>
    <w:rsid w:val="00A40AC4"/>
    <w:rsid w:val="00A40DEE"/>
    <w:rsid w:val="00A427E4"/>
    <w:rsid w:val="00A43AD8"/>
    <w:rsid w:val="00A44FFB"/>
    <w:rsid w:val="00A45210"/>
    <w:rsid w:val="00A4615B"/>
    <w:rsid w:val="00A53FEC"/>
    <w:rsid w:val="00A5462E"/>
    <w:rsid w:val="00A5557A"/>
    <w:rsid w:val="00A5716C"/>
    <w:rsid w:val="00A62DAC"/>
    <w:rsid w:val="00A67E74"/>
    <w:rsid w:val="00A737D5"/>
    <w:rsid w:val="00A77AEA"/>
    <w:rsid w:val="00A8162E"/>
    <w:rsid w:val="00A82EA7"/>
    <w:rsid w:val="00A83633"/>
    <w:rsid w:val="00A84DE7"/>
    <w:rsid w:val="00A90035"/>
    <w:rsid w:val="00A90756"/>
    <w:rsid w:val="00A92FED"/>
    <w:rsid w:val="00A94A0F"/>
    <w:rsid w:val="00A95ABF"/>
    <w:rsid w:val="00AA313C"/>
    <w:rsid w:val="00AA522A"/>
    <w:rsid w:val="00AA65C6"/>
    <w:rsid w:val="00AA723F"/>
    <w:rsid w:val="00AA7FCF"/>
    <w:rsid w:val="00AB3C0B"/>
    <w:rsid w:val="00AB6DB0"/>
    <w:rsid w:val="00AB7C4F"/>
    <w:rsid w:val="00AC3CC8"/>
    <w:rsid w:val="00AC79BF"/>
    <w:rsid w:val="00AD0193"/>
    <w:rsid w:val="00AD169E"/>
    <w:rsid w:val="00AD1A64"/>
    <w:rsid w:val="00AD376E"/>
    <w:rsid w:val="00AE168A"/>
    <w:rsid w:val="00AE25CF"/>
    <w:rsid w:val="00AE7C9F"/>
    <w:rsid w:val="00AF2EF6"/>
    <w:rsid w:val="00AF48C1"/>
    <w:rsid w:val="00B01D87"/>
    <w:rsid w:val="00B02836"/>
    <w:rsid w:val="00B03186"/>
    <w:rsid w:val="00B05A29"/>
    <w:rsid w:val="00B061B8"/>
    <w:rsid w:val="00B068B1"/>
    <w:rsid w:val="00B06D73"/>
    <w:rsid w:val="00B10CC7"/>
    <w:rsid w:val="00B119EE"/>
    <w:rsid w:val="00B11C7C"/>
    <w:rsid w:val="00B141FF"/>
    <w:rsid w:val="00B203CA"/>
    <w:rsid w:val="00B24A62"/>
    <w:rsid w:val="00B30C9F"/>
    <w:rsid w:val="00B37147"/>
    <w:rsid w:val="00B37BE7"/>
    <w:rsid w:val="00B4503A"/>
    <w:rsid w:val="00B451AE"/>
    <w:rsid w:val="00B4638D"/>
    <w:rsid w:val="00B46A78"/>
    <w:rsid w:val="00B46F06"/>
    <w:rsid w:val="00B50815"/>
    <w:rsid w:val="00B51066"/>
    <w:rsid w:val="00B538E7"/>
    <w:rsid w:val="00B553D1"/>
    <w:rsid w:val="00B56FF4"/>
    <w:rsid w:val="00B61D31"/>
    <w:rsid w:val="00B63B91"/>
    <w:rsid w:val="00B65643"/>
    <w:rsid w:val="00B752B3"/>
    <w:rsid w:val="00B7625C"/>
    <w:rsid w:val="00B76391"/>
    <w:rsid w:val="00B76B81"/>
    <w:rsid w:val="00B83360"/>
    <w:rsid w:val="00B84A0A"/>
    <w:rsid w:val="00B84F52"/>
    <w:rsid w:val="00B92B41"/>
    <w:rsid w:val="00B95223"/>
    <w:rsid w:val="00B958B6"/>
    <w:rsid w:val="00BA02B5"/>
    <w:rsid w:val="00BA0977"/>
    <w:rsid w:val="00BB0F5F"/>
    <w:rsid w:val="00BB2E68"/>
    <w:rsid w:val="00BB5CAB"/>
    <w:rsid w:val="00BB6F9A"/>
    <w:rsid w:val="00BB7E58"/>
    <w:rsid w:val="00BC00EF"/>
    <w:rsid w:val="00BC1AF2"/>
    <w:rsid w:val="00BC3850"/>
    <w:rsid w:val="00BC3885"/>
    <w:rsid w:val="00BC5B6C"/>
    <w:rsid w:val="00BD267E"/>
    <w:rsid w:val="00BD43E5"/>
    <w:rsid w:val="00BD58BF"/>
    <w:rsid w:val="00BD73B4"/>
    <w:rsid w:val="00BE0BE7"/>
    <w:rsid w:val="00BE0EB1"/>
    <w:rsid w:val="00BE0EBF"/>
    <w:rsid w:val="00BE1191"/>
    <w:rsid w:val="00BE7ADA"/>
    <w:rsid w:val="00BF1507"/>
    <w:rsid w:val="00BF32C1"/>
    <w:rsid w:val="00BF3F63"/>
    <w:rsid w:val="00BF3F97"/>
    <w:rsid w:val="00BF4AC5"/>
    <w:rsid w:val="00C011DD"/>
    <w:rsid w:val="00C03D64"/>
    <w:rsid w:val="00C15BDC"/>
    <w:rsid w:val="00C1679D"/>
    <w:rsid w:val="00C17265"/>
    <w:rsid w:val="00C17DED"/>
    <w:rsid w:val="00C257B6"/>
    <w:rsid w:val="00C31217"/>
    <w:rsid w:val="00C326DA"/>
    <w:rsid w:val="00C366E8"/>
    <w:rsid w:val="00C374D7"/>
    <w:rsid w:val="00C413F4"/>
    <w:rsid w:val="00C443BB"/>
    <w:rsid w:val="00C45465"/>
    <w:rsid w:val="00C46E73"/>
    <w:rsid w:val="00C472DF"/>
    <w:rsid w:val="00C47F0E"/>
    <w:rsid w:val="00C50506"/>
    <w:rsid w:val="00C536BC"/>
    <w:rsid w:val="00C53BC1"/>
    <w:rsid w:val="00C53FFF"/>
    <w:rsid w:val="00C561C9"/>
    <w:rsid w:val="00C605BB"/>
    <w:rsid w:val="00C62BE3"/>
    <w:rsid w:val="00C6349F"/>
    <w:rsid w:val="00C64D01"/>
    <w:rsid w:val="00C65FE4"/>
    <w:rsid w:val="00C6690D"/>
    <w:rsid w:val="00C67FA4"/>
    <w:rsid w:val="00C702E5"/>
    <w:rsid w:val="00C703BD"/>
    <w:rsid w:val="00C72A96"/>
    <w:rsid w:val="00C73B71"/>
    <w:rsid w:val="00C7403C"/>
    <w:rsid w:val="00C74762"/>
    <w:rsid w:val="00C76BA8"/>
    <w:rsid w:val="00C80387"/>
    <w:rsid w:val="00C80FA2"/>
    <w:rsid w:val="00C82B2A"/>
    <w:rsid w:val="00C83369"/>
    <w:rsid w:val="00C84ADB"/>
    <w:rsid w:val="00C854A0"/>
    <w:rsid w:val="00C86963"/>
    <w:rsid w:val="00C86DEE"/>
    <w:rsid w:val="00C87B92"/>
    <w:rsid w:val="00C91904"/>
    <w:rsid w:val="00C93A7A"/>
    <w:rsid w:val="00C942BB"/>
    <w:rsid w:val="00C95A79"/>
    <w:rsid w:val="00C96179"/>
    <w:rsid w:val="00CA1DB5"/>
    <w:rsid w:val="00CA25E9"/>
    <w:rsid w:val="00CA4708"/>
    <w:rsid w:val="00CA5168"/>
    <w:rsid w:val="00CA5676"/>
    <w:rsid w:val="00CB009A"/>
    <w:rsid w:val="00CB2837"/>
    <w:rsid w:val="00CB377D"/>
    <w:rsid w:val="00CC2159"/>
    <w:rsid w:val="00CC2846"/>
    <w:rsid w:val="00CC2C58"/>
    <w:rsid w:val="00CC4C5C"/>
    <w:rsid w:val="00CD3D58"/>
    <w:rsid w:val="00CE3EF4"/>
    <w:rsid w:val="00CF19CD"/>
    <w:rsid w:val="00CF31FB"/>
    <w:rsid w:val="00CF5691"/>
    <w:rsid w:val="00CF6069"/>
    <w:rsid w:val="00CF69D7"/>
    <w:rsid w:val="00CF6E13"/>
    <w:rsid w:val="00CF7E1C"/>
    <w:rsid w:val="00D00C1F"/>
    <w:rsid w:val="00D0110F"/>
    <w:rsid w:val="00D015B6"/>
    <w:rsid w:val="00D02919"/>
    <w:rsid w:val="00D03F90"/>
    <w:rsid w:val="00D041B1"/>
    <w:rsid w:val="00D055A3"/>
    <w:rsid w:val="00D069FF"/>
    <w:rsid w:val="00D1084E"/>
    <w:rsid w:val="00D14917"/>
    <w:rsid w:val="00D155EA"/>
    <w:rsid w:val="00D230C9"/>
    <w:rsid w:val="00D243C9"/>
    <w:rsid w:val="00D274A7"/>
    <w:rsid w:val="00D27692"/>
    <w:rsid w:val="00D335EF"/>
    <w:rsid w:val="00D341C0"/>
    <w:rsid w:val="00D35678"/>
    <w:rsid w:val="00D37672"/>
    <w:rsid w:val="00D413C1"/>
    <w:rsid w:val="00D4244C"/>
    <w:rsid w:val="00D43738"/>
    <w:rsid w:val="00D4580F"/>
    <w:rsid w:val="00D45FDF"/>
    <w:rsid w:val="00D504B9"/>
    <w:rsid w:val="00D50988"/>
    <w:rsid w:val="00D50DCA"/>
    <w:rsid w:val="00D51C4A"/>
    <w:rsid w:val="00D520AC"/>
    <w:rsid w:val="00D52308"/>
    <w:rsid w:val="00D54131"/>
    <w:rsid w:val="00D5494D"/>
    <w:rsid w:val="00D56619"/>
    <w:rsid w:val="00D56926"/>
    <w:rsid w:val="00D571A2"/>
    <w:rsid w:val="00D5776C"/>
    <w:rsid w:val="00D611BF"/>
    <w:rsid w:val="00D61EF6"/>
    <w:rsid w:val="00D6388D"/>
    <w:rsid w:val="00D6458D"/>
    <w:rsid w:val="00D67D0D"/>
    <w:rsid w:val="00D72503"/>
    <w:rsid w:val="00D73BCF"/>
    <w:rsid w:val="00D8195C"/>
    <w:rsid w:val="00D85025"/>
    <w:rsid w:val="00D85BCC"/>
    <w:rsid w:val="00D87A78"/>
    <w:rsid w:val="00D905B7"/>
    <w:rsid w:val="00D914DF"/>
    <w:rsid w:val="00D92392"/>
    <w:rsid w:val="00D95AEB"/>
    <w:rsid w:val="00D960D5"/>
    <w:rsid w:val="00D967B0"/>
    <w:rsid w:val="00D97933"/>
    <w:rsid w:val="00DA3A85"/>
    <w:rsid w:val="00DA577E"/>
    <w:rsid w:val="00DB1778"/>
    <w:rsid w:val="00DB30B8"/>
    <w:rsid w:val="00DB555D"/>
    <w:rsid w:val="00DB5A46"/>
    <w:rsid w:val="00DC022A"/>
    <w:rsid w:val="00DC619C"/>
    <w:rsid w:val="00DC61F4"/>
    <w:rsid w:val="00DD443E"/>
    <w:rsid w:val="00DE2DFF"/>
    <w:rsid w:val="00DE5437"/>
    <w:rsid w:val="00DE65B0"/>
    <w:rsid w:val="00DE6CEB"/>
    <w:rsid w:val="00DE728D"/>
    <w:rsid w:val="00DF0795"/>
    <w:rsid w:val="00DF1D25"/>
    <w:rsid w:val="00DF54FF"/>
    <w:rsid w:val="00DF59E9"/>
    <w:rsid w:val="00DF6D12"/>
    <w:rsid w:val="00E017D9"/>
    <w:rsid w:val="00E025D3"/>
    <w:rsid w:val="00E029E8"/>
    <w:rsid w:val="00E03915"/>
    <w:rsid w:val="00E044C0"/>
    <w:rsid w:val="00E12898"/>
    <w:rsid w:val="00E14592"/>
    <w:rsid w:val="00E14F01"/>
    <w:rsid w:val="00E22A40"/>
    <w:rsid w:val="00E232EF"/>
    <w:rsid w:val="00E264E3"/>
    <w:rsid w:val="00E3215C"/>
    <w:rsid w:val="00E322A4"/>
    <w:rsid w:val="00E35641"/>
    <w:rsid w:val="00E3733B"/>
    <w:rsid w:val="00E37CAC"/>
    <w:rsid w:val="00E37D5A"/>
    <w:rsid w:val="00E42279"/>
    <w:rsid w:val="00E43419"/>
    <w:rsid w:val="00E43D72"/>
    <w:rsid w:val="00E502CB"/>
    <w:rsid w:val="00E50E0C"/>
    <w:rsid w:val="00E51324"/>
    <w:rsid w:val="00E51A58"/>
    <w:rsid w:val="00E53D1E"/>
    <w:rsid w:val="00E6169D"/>
    <w:rsid w:val="00E61856"/>
    <w:rsid w:val="00E62CE3"/>
    <w:rsid w:val="00E63722"/>
    <w:rsid w:val="00E64343"/>
    <w:rsid w:val="00E65EF4"/>
    <w:rsid w:val="00E709B8"/>
    <w:rsid w:val="00E71891"/>
    <w:rsid w:val="00E74E2F"/>
    <w:rsid w:val="00E77D32"/>
    <w:rsid w:val="00E806C8"/>
    <w:rsid w:val="00E83177"/>
    <w:rsid w:val="00E8433D"/>
    <w:rsid w:val="00E8599F"/>
    <w:rsid w:val="00E928CA"/>
    <w:rsid w:val="00E941A6"/>
    <w:rsid w:val="00E94AA1"/>
    <w:rsid w:val="00E96B27"/>
    <w:rsid w:val="00E96F23"/>
    <w:rsid w:val="00E97D95"/>
    <w:rsid w:val="00EA0BC0"/>
    <w:rsid w:val="00EA1F83"/>
    <w:rsid w:val="00EA2741"/>
    <w:rsid w:val="00EA3AEC"/>
    <w:rsid w:val="00EA3F7A"/>
    <w:rsid w:val="00EA4002"/>
    <w:rsid w:val="00EA56B2"/>
    <w:rsid w:val="00EA6F60"/>
    <w:rsid w:val="00EA7108"/>
    <w:rsid w:val="00EA7948"/>
    <w:rsid w:val="00EB11E0"/>
    <w:rsid w:val="00EB267A"/>
    <w:rsid w:val="00EB3850"/>
    <w:rsid w:val="00EB4446"/>
    <w:rsid w:val="00EB50F0"/>
    <w:rsid w:val="00EB7E51"/>
    <w:rsid w:val="00EB7EED"/>
    <w:rsid w:val="00EC07FD"/>
    <w:rsid w:val="00EC1A38"/>
    <w:rsid w:val="00EC2BC0"/>
    <w:rsid w:val="00EC3083"/>
    <w:rsid w:val="00EC400E"/>
    <w:rsid w:val="00EC448F"/>
    <w:rsid w:val="00EC5E8C"/>
    <w:rsid w:val="00EC6252"/>
    <w:rsid w:val="00EC66CF"/>
    <w:rsid w:val="00ED0CEB"/>
    <w:rsid w:val="00ED0D35"/>
    <w:rsid w:val="00ED0FE5"/>
    <w:rsid w:val="00ED67CF"/>
    <w:rsid w:val="00EE0143"/>
    <w:rsid w:val="00EE02B2"/>
    <w:rsid w:val="00EE09E3"/>
    <w:rsid w:val="00EE0DB7"/>
    <w:rsid w:val="00EE0FFF"/>
    <w:rsid w:val="00EE3753"/>
    <w:rsid w:val="00EF2495"/>
    <w:rsid w:val="00EF36A0"/>
    <w:rsid w:val="00EF4A3E"/>
    <w:rsid w:val="00EF4D34"/>
    <w:rsid w:val="00EF7968"/>
    <w:rsid w:val="00F033A7"/>
    <w:rsid w:val="00F04600"/>
    <w:rsid w:val="00F0762A"/>
    <w:rsid w:val="00F1055A"/>
    <w:rsid w:val="00F11020"/>
    <w:rsid w:val="00F11A06"/>
    <w:rsid w:val="00F11FF8"/>
    <w:rsid w:val="00F13B3C"/>
    <w:rsid w:val="00F14EEA"/>
    <w:rsid w:val="00F150CA"/>
    <w:rsid w:val="00F1563C"/>
    <w:rsid w:val="00F157AF"/>
    <w:rsid w:val="00F15DB2"/>
    <w:rsid w:val="00F1632D"/>
    <w:rsid w:val="00F16337"/>
    <w:rsid w:val="00F16AE6"/>
    <w:rsid w:val="00F17DCD"/>
    <w:rsid w:val="00F2131E"/>
    <w:rsid w:val="00F21EB1"/>
    <w:rsid w:val="00F228E2"/>
    <w:rsid w:val="00F2459B"/>
    <w:rsid w:val="00F309C9"/>
    <w:rsid w:val="00F31224"/>
    <w:rsid w:val="00F316D6"/>
    <w:rsid w:val="00F36045"/>
    <w:rsid w:val="00F372A9"/>
    <w:rsid w:val="00F42C9B"/>
    <w:rsid w:val="00F43393"/>
    <w:rsid w:val="00F456DD"/>
    <w:rsid w:val="00F508DF"/>
    <w:rsid w:val="00F50E0F"/>
    <w:rsid w:val="00F520D3"/>
    <w:rsid w:val="00F54E63"/>
    <w:rsid w:val="00F56705"/>
    <w:rsid w:val="00F62416"/>
    <w:rsid w:val="00F62E29"/>
    <w:rsid w:val="00F631E0"/>
    <w:rsid w:val="00F663B7"/>
    <w:rsid w:val="00F66890"/>
    <w:rsid w:val="00F71637"/>
    <w:rsid w:val="00F75B33"/>
    <w:rsid w:val="00F766BF"/>
    <w:rsid w:val="00F77082"/>
    <w:rsid w:val="00F77DF2"/>
    <w:rsid w:val="00F80B3A"/>
    <w:rsid w:val="00F82827"/>
    <w:rsid w:val="00F848A9"/>
    <w:rsid w:val="00F852CA"/>
    <w:rsid w:val="00F92B2C"/>
    <w:rsid w:val="00F958D9"/>
    <w:rsid w:val="00FA233C"/>
    <w:rsid w:val="00FA35A5"/>
    <w:rsid w:val="00FA3BAD"/>
    <w:rsid w:val="00FB13BD"/>
    <w:rsid w:val="00FB25AD"/>
    <w:rsid w:val="00FB52E3"/>
    <w:rsid w:val="00FB7208"/>
    <w:rsid w:val="00FC2BE8"/>
    <w:rsid w:val="00FC3264"/>
    <w:rsid w:val="00FC3CF1"/>
    <w:rsid w:val="00FC4276"/>
    <w:rsid w:val="00FD11BD"/>
    <w:rsid w:val="00FD3210"/>
    <w:rsid w:val="00FD5924"/>
    <w:rsid w:val="00FD5BCC"/>
    <w:rsid w:val="00FD761F"/>
    <w:rsid w:val="00FE0060"/>
    <w:rsid w:val="00FE159B"/>
    <w:rsid w:val="00FE18CA"/>
    <w:rsid w:val="00FE2F75"/>
    <w:rsid w:val="00FE3638"/>
    <w:rsid w:val="00FE49E4"/>
    <w:rsid w:val="00FE717C"/>
    <w:rsid w:val="00FE79E7"/>
    <w:rsid w:val="00FF1864"/>
    <w:rsid w:val="00FF2F4C"/>
    <w:rsid w:val="00FF312E"/>
    <w:rsid w:val="00FF37CE"/>
    <w:rsid w:val="00FF3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5A037"/>
  <w15:docId w15:val="{146D82A3-D47C-471E-8459-18C30FA1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BCC"/>
    <w:pPr>
      <w:spacing w:before="120" w:after="120"/>
    </w:pPr>
    <w:rPr>
      <w:rFonts w:ascii="Arial" w:hAnsi="Arial"/>
    </w:rPr>
  </w:style>
  <w:style w:type="paragraph" w:styleId="Heading1">
    <w:name w:val="heading 1"/>
    <w:basedOn w:val="Normal"/>
    <w:next w:val="Normal"/>
    <w:link w:val="Heading1Char"/>
    <w:uiPriority w:val="9"/>
    <w:qFormat/>
    <w:rsid w:val="0088611A"/>
    <w:pPr>
      <w:contextualSpacing/>
      <w:outlineLvl w:val="0"/>
    </w:pPr>
    <w:rPr>
      <w:rFonts w:eastAsiaTheme="majorEastAsia" w:cstheme="majorBidi"/>
      <w:bCs/>
      <w:color w:val="05C3DE"/>
      <w:sz w:val="36"/>
      <w:szCs w:val="36"/>
    </w:rPr>
  </w:style>
  <w:style w:type="paragraph" w:styleId="Heading2">
    <w:name w:val="heading 2"/>
    <w:basedOn w:val="Normal"/>
    <w:next w:val="Normal"/>
    <w:link w:val="Heading2Char"/>
    <w:uiPriority w:val="9"/>
    <w:unhideWhenUsed/>
    <w:qFormat/>
    <w:rsid w:val="001057CC"/>
    <w:pPr>
      <w:spacing w:before="240" w:after="0" w:line="240" w:lineRule="auto"/>
      <w:ind w:left="709" w:hanging="709"/>
      <w:outlineLvl w:val="1"/>
    </w:pPr>
    <w:rPr>
      <w:rFonts w:eastAsiaTheme="majorEastAsia" w:cstheme="majorBidi"/>
      <w:bCs/>
      <w:sz w:val="28"/>
      <w:szCs w:val="25"/>
    </w:rPr>
  </w:style>
  <w:style w:type="paragraph" w:styleId="Heading3">
    <w:name w:val="heading 3"/>
    <w:basedOn w:val="Normal"/>
    <w:next w:val="Normal"/>
    <w:link w:val="Heading3Char"/>
    <w:uiPriority w:val="9"/>
    <w:unhideWhenUsed/>
    <w:qFormat/>
    <w:rsid w:val="00A33EC1"/>
    <w:pPr>
      <w:spacing w:before="240" w:line="271" w:lineRule="auto"/>
      <w:outlineLvl w:val="2"/>
    </w:pPr>
    <w:rPr>
      <w:rFonts w:eastAsia="Calibri Light" w:cstheme="majorBidi"/>
      <w:b/>
      <w:color w:val="000000" w:themeColor="text1"/>
      <w:lang w:val="en-US"/>
    </w:rPr>
  </w:style>
  <w:style w:type="paragraph" w:styleId="Heading4">
    <w:name w:val="heading 4"/>
    <w:basedOn w:val="Normal"/>
    <w:next w:val="Normal"/>
    <w:link w:val="Heading4Char"/>
    <w:unhideWhenUsed/>
    <w:qFormat/>
    <w:rsid w:val="00477F9F"/>
    <w:pPr>
      <w:outlineLvl w:val="3"/>
    </w:pPr>
    <w:rPr>
      <w:rFonts w:eastAsiaTheme="majorEastAsia" w:cstheme="majorBidi"/>
      <w:bCs/>
      <w:iCs/>
      <w:sz w:val="30"/>
    </w:rPr>
  </w:style>
  <w:style w:type="paragraph" w:styleId="Heading5">
    <w:name w:val="heading 5"/>
    <w:basedOn w:val="Normal"/>
    <w:next w:val="Normal"/>
    <w:link w:val="Heading5Char"/>
    <w:unhideWhenUsed/>
    <w:qFormat/>
    <w:rsid w:val="002B1C8D"/>
    <w:pPr>
      <w:outlineLvl w:val="4"/>
    </w:pPr>
    <w:rPr>
      <w:rFonts w:eastAsiaTheme="majorEastAsia" w:cstheme="majorBidi"/>
      <w:b/>
      <w:bCs/>
      <w:sz w:val="26"/>
    </w:rPr>
  </w:style>
  <w:style w:type="paragraph" w:styleId="Heading6">
    <w:name w:val="heading 6"/>
    <w:basedOn w:val="Normal"/>
    <w:next w:val="Normal"/>
    <w:link w:val="Heading6Char"/>
    <w:uiPriority w:val="9"/>
    <w:unhideWhenUsed/>
    <w:qFormat/>
    <w:rsid w:val="002B1C8D"/>
    <w:pPr>
      <w:spacing w:line="271" w:lineRule="auto"/>
      <w:outlineLvl w:val="5"/>
    </w:pPr>
    <w:rPr>
      <w:rFonts w:eastAsiaTheme="majorEastAsia" w:cstheme="majorBidi"/>
      <w:b/>
      <w:bCs/>
      <w:iCs/>
    </w:rPr>
  </w:style>
  <w:style w:type="paragraph" w:styleId="Heading7">
    <w:name w:val="heading 7"/>
    <w:aliases w:val="Appendix Major"/>
    <w:basedOn w:val="Normal"/>
    <w:next w:val="Normal"/>
    <w:link w:val="Heading7Char"/>
    <w:uiPriority w:val="9"/>
    <w:unhideWhenUsed/>
    <w:qFormat/>
    <w:rsid w:val="00AE16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AE16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AE16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11A"/>
    <w:rPr>
      <w:rFonts w:ascii="Arial" w:eastAsiaTheme="majorEastAsia" w:hAnsi="Arial" w:cstheme="majorBidi"/>
      <w:bCs/>
      <w:color w:val="05C3DE"/>
      <w:sz w:val="36"/>
      <w:szCs w:val="36"/>
    </w:rPr>
  </w:style>
  <w:style w:type="character" w:customStyle="1" w:styleId="Heading2Char">
    <w:name w:val="Heading 2 Char"/>
    <w:basedOn w:val="DefaultParagraphFont"/>
    <w:link w:val="Heading2"/>
    <w:uiPriority w:val="9"/>
    <w:rsid w:val="001057CC"/>
    <w:rPr>
      <w:rFonts w:ascii="Arial" w:eastAsiaTheme="majorEastAsia" w:hAnsi="Arial" w:cstheme="majorBidi"/>
      <w:bCs/>
      <w:sz w:val="28"/>
      <w:szCs w:val="25"/>
    </w:rPr>
  </w:style>
  <w:style w:type="character" w:customStyle="1" w:styleId="Heading3Char">
    <w:name w:val="Heading 3 Char"/>
    <w:basedOn w:val="DefaultParagraphFont"/>
    <w:link w:val="Heading3"/>
    <w:uiPriority w:val="9"/>
    <w:rsid w:val="00A33EC1"/>
    <w:rPr>
      <w:rFonts w:ascii="Arial" w:eastAsia="Calibri Light" w:hAnsi="Arial" w:cstheme="majorBidi"/>
      <w:b/>
      <w:color w:val="000000" w:themeColor="text1"/>
      <w:lang w:val="en-US"/>
    </w:rPr>
  </w:style>
  <w:style w:type="character" w:customStyle="1" w:styleId="Heading4Char">
    <w:name w:val="Heading 4 Char"/>
    <w:basedOn w:val="DefaultParagraphFont"/>
    <w:link w:val="Heading4"/>
    <w:rsid w:val="00477F9F"/>
    <w:rPr>
      <w:rFonts w:ascii="Arial" w:eastAsiaTheme="majorEastAsia" w:hAnsi="Arial" w:cstheme="majorBidi"/>
      <w:bCs/>
      <w:iCs/>
      <w:sz w:val="30"/>
    </w:rPr>
  </w:style>
  <w:style w:type="character" w:customStyle="1" w:styleId="Heading5Char">
    <w:name w:val="Heading 5 Char"/>
    <w:basedOn w:val="DefaultParagraphFont"/>
    <w:link w:val="Heading5"/>
    <w:rsid w:val="002B1C8D"/>
    <w:rPr>
      <w:rFonts w:ascii="Arial" w:eastAsiaTheme="majorEastAsia" w:hAnsi="Arial" w:cstheme="majorBidi"/>
      <w:b/>
      <w:bCs/>
      <w:sz w:val="26"/>
    </w:rPr>
  </w:style>
  <w:style w:type="character" w:customStyle="1" w:styleId="Heading6Char">
    <w:name w:val="Heading 6 Char"/>
    <w:basedOn w:val="DefaultParagraphFont"/>
    <w:link w:val="Heading6"/>
    <w:uiPriority w:val="9"/>
    <w:rsid w:val="002B1C8D"/>
    <w:rPr>
      <w:rFonts w:ascii="Arial" w:eastAsiaTheme="majorEastAsia" w:hAnsi="Arial" w:cstheme="majorBidi"/>
      <w:b/>
      <w:bCs/>
      <w:iCs/>
    </w:rPr>
  </w:style>
  <w:style w:type="character" w:customStyle="1" w:styleId="Heading7Char">
    <w:name w:val="Heading 7 Char"/>
    <w:aliases w:val="Appendix Major Char"/>
    <w:basedOn w:val="DefaultParagraphFont"/>
    <w:link w:val="Heading7"/>
    <w:uiPriority w:val="9"/>
    <w:rsid w:val="00AE16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AE16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AE168A"/>
    <w:rPr>
      <w:rFonts w:asciiTheme="majorHAnsi" w:eastAsiaTheme="majorEastAsia" w:hAnsiTheme="majorHAnsi" w:cstheme="majorBidi"/>
      <w:i/>
      <w:iCs/>
      <w:spacing w:val="5"/>
      <w:sz w:val="20"/>
      <w:szCs w:val="20"/>
    </w:rPr>
  </w:style>
  <w:style w:type="paragraph" w:styleId="Caption">
    <w:name w:val="caption"/>
    <w:basedOn w:val="Normal"/>
    <w:next w:val="Normal"/>
    <w:uiPriority w:val="35"/>
    <w:unhideWhenUsed/>
    <w:qFormat/>
    <w:rsid w:val="009F0EBF"/>
    <w:pPr>
      <w:spacing w:line="240" w:lineRule="auto"/>
    </w:pPr>
    <w:rPr>
      <w:b/>
      <w:bCs/>
      <w:smallCaps/>
      <w:color w:val="000000" w:themeColor="text2"/>
      <w:spacing w:val="6"/>
      <w:szCs w:val="18"/>
      <w:lang w:bidi="hi-IN"/>
    </w:rPr>
  </w:style>
  <w:style w:type="paragraph" w:styleId="Title">
    <w:name w:val="Title"/>
    <w:basedOn w:val="Normal"/>
    <w:next w:val="Normal"/>
    <w:link w:val="TitleChar"/>
    <w:uiPriority w:val="10"/>
    <w:qFormat/>
    <w:rsid w:val="00AE16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E16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E16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E168A"/>
    <w:rPr>
      <w:rFonts w:asciiTheme="majorHAnsi" w:eastAsiaTheme="majorEastAsia" w:hAnsiTheme="majorHAnsi" w:cstheme="majorBidi"/>
      <w:i/>
      <w:iCs/>
      <w:spacing w:val="13"/>
      <w:sz w:val="24"/>
      <w:szCs w:val="24"/>
    </w:rPr>
  </w:style>
  <w:style w:type="character" w:styleId="Strong">
    <w:name w:val="Strong"/>
    <w:uiPriority w:val="22"/>
    <w:qFormat/>
    <w:rsid w:val="00AE168A"/>
    <w:rPr>
      <w:b/>
      <w:bCs/>
    </w:rPr>
  </w:style>
  <w:style w:type="character" w:styleId="Emphasis">
    <w:name w:val="Emphasis"/>
    <w:uiPriority w:val="20"/>
    <w:rsid w:val="00AE168A"/>
    <w:rPr>
      <w:b/>
      <w:bCs/>
      <w:i/>
      <w:iCs/>
      <w:spacing w:val="10"/>
      <w:bdr w:val="none" w:sz="0" w:space="0" w:color="auto"/>
      <w:shd w:val="clear" w:color="auto" w:fill="auto"/>
    </w:rPr>
  </w:style>
  <w:style w:type="paragraph" w:styleId="NoSpacing">
    <w:name w:val="No Spacing"/>
    <w:basedOn w:val="Normal"/>
    <w:link w:val="NoSpacingChar"/>
    <w:uiPriority w:val="1"/>
    <w:qFormat/>
    <w:rsid w:val="00AE168A"/>
    <w:pPr>
      <w:spacing w:after="0" w:line="240" w:lineRule="auto"/>
    </w:pPr>
  </w:style>
  <w:style w:type="character" w:customStyle="1" w:styleId="NoSpacingChar">
    <w:name w:val="No Spacing Char"/>
    <w:basedOn w:val="DefaultParagraphFont"/>
    <w:link w:val="NoSpacing"/>
    <w:uiPriority w:val="1"/>
    <w:rsid w:val="009F0EBF"/>
  </w:style>
  <w:style w:type="paragraph" w:styleId="ListParagraph">
    <w:name w:val="List Paragraph"/>
    <w:aliases w:val="Bullets,Bullet paras,List Paragraph1,Recommendation,List Paragraph11,L,CV text,Table text,F5 List Paragraph,Dot pt,List Paragraph111,Medium Grid 1 - Accent 21,Numbered Paragraph,Bullet List,FooterText,List Paragraph2,ADB List Paragraph,lp"/>
    <w:basedOn w:val="Normal"/>
    <w:link w:val="ListParagraphChar"/>
    <w:uiPriority w:val="1"/>
    <w:qFormat/>
    <w:rsid w:val="00EA0BC0"/>
    <w:pPr>
      <w:numPr>
        <w:numId w:val="7"/>
      </w:numPr>
      <w:spacing w:before="0" w:line="240" w:lineRule="atLeast"/>
      <w:contextualSpacing/>
    </w:pPr>
    <w:rPr>
      <w:lang w:val="en-US"/>
    </w:rPr>
  </w:style>
  <w:style w:type="paragraph" w:styleId="Quote">
    <w:name w:val="Quote"/>
    <w:basedOn w:val="Normal"/>
    <w:next w:val="Normal"/>
    <w:link w:val="QuoteChar"/>
    <w:uiPriority w:val="29"/>
    <w:qFormat/>
    <w:rsid w:val="00AE168A"/>
    <w:pPr>
      <w:spacing w:before="200" w:after="0"/>
      <w:ind w:left="360" w:right="360"/>
    </w:pPr>
    <w:rPr>
      <w:i/>
      <w:iCs/>
    </w:rPr>
  </w:style>
  <w:style w:type="character" w:customStyle="1" w:styleId="QuoteChar">
    <w:name w:val="Quote Char"/>
    <w:basedOn w:val="DefaultParagraphFont"/>
    <w:link w:val="Quote"/>
    <w:uiPriority w:val="29"/>
    <w:rsid w:val="00AE168A"/>
    <w:rPr>
      <w:i/>
      <w:iCs/>
    </w:rPr>
  </w:style>
  <w:style w:type="paragraph" w:styleId="IntenseQuote">
    <w:name w:val="Intense Quote"/>
    <w:basedOn w:val="Normal"/>
    <w:next w:val="Normal"/>
    <w:link w:val="IntenseQuoteChar"/>
    <w:uiPriority w:val="30"/>
    <w:qFormat/>
    <w:rsid w:val="00AE16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E168A"/>
    <w:rPr>
      <w:b/>
      <w:bCs/>
      <w:i/>
      <w:iCs/>
    </w:rPr>
  </w:style>
  <w:style w:type="character" w:styleId="SubtleEmphasis">
    <w:name w:val="Subtle Emphasis"/>
    <w:uiPriority w:val="19"/>
    <w:rsid w:val="00AE168A"/>
    <w:rPr>
      <w:i/>
      <w:iCs/>
    </w:rPr>
  </w:style>
  <w:style w:type="character" w:styleId="IntenseEmphasis">
    <w:name w:val="Intense Emphasis"/>
    <w:uiPriority w:val="21"/>
    <w:qFormat/>
    <w:rsid w:val="00AE168A"/>
    <w:rPr>
      <w:b/>
      <w:bCs/>
    </w:rPr>
  </w:style>
  <w:style w:type="character" w:styleId="SubtleReference">
    <w:name w:val="Subtle Reference"/>
    <w:uiPriority w:val="31"/>
    <w:rsid w:val="00AE168A"/>
    <w:rPr>
      <w:smallCaps/>
    </w:rPr>
  </w:style>
  <w:style w:type="character" w:styleId="IntenseReference">
    <w:name w:val="Intense Reference"/>
    <w:uiPriority w:val="32"/>
    <w:qFormat/>
    <w:rsid w:val="00AE168A"/>
    <w:rPr>
      <w:smallCaps/>
      <w:spacing w:val="5"/>
      <w:u w:val="single"/>
    </w:rPr>
  </w:style>
  <w:style w:type="character" w:styleId="BookTitle">
    <w:name w:val="Book Title"/>
    <w:uiPriority w:val="33"/>
    <w:rsid w:val="00AE168A"/>
    <w:rPr>
      <w:i/>
      <w:iCs/>
      <w:smallCaps/>
      <w:spacing w:val="5"/>
    </w:rPr>
  </w:style>
  <w:style w:type="paragraph" w:styleId="TOCHeading">
    <w:name w:val="TOC Heading"/>
    <w:basedOn w:val="Heading1"/>
    <w:next w:val="Normal"/>
    <w:uiPriority w:val="39"/>
    <w:unhideWhenUsed/>
    <w:qFormat/>
    <w:rsid w:val="00AE168A"/>
    <w:pPr>
      <w:outlineLvl w:val="9"/>
    </w:pPr>
    <w:rPr>
      <w:lang w:bidi="en-US"/>
    </w:rPr>
  </w:style>
  <w:style w:type="paragraph" w:customStyle="1" w:styleId="ThemeStatement">
    <w:name w:val="Theme Statement"/>
    <w:qFormat/>
    <w:rsid w:val="002B1C8D"/>
    <w:pPr>
      <w:spacing w:before="120" w:after="120"/>
    </w:pPr>
    <w:rPr>
      <w:rFonts w:ascii="Arial" w:eastAsiaTheme="majorEastAsia" w:hAnsi="Arial" w:cstheme="majorBidi"/>
      <w:bCs/>
      <w:color w:val="05C3DE"/>
      <w:sz w:val="26"/>
      <w:szCs w:val="28"/>
    </w:rPr>
  </w:style>
  <w:style w:type="paragraph" w:styleId="Header">
    <w:name w:val="header"/>
    <w:basedOn w:val="Normal"/>
    <w:link w:val="HeaderChar"/>
    <w:uiPriority w:val="99"/>
    <w:unhideWhenUsed/>
    <w:rsid w:val="00F15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DB2"/>
  </w:style>
  <w:style w:type="paragraph" w:styleId="Footer">
    <w:name w:val="footer"/>
    <w:basedOn w:val="Normal"/>
    <w:link w:val="FooterChar"/>
    <w:uiPriority w:val="99"/>
    <w:unhideWhenUsed/>
    <w:qFormat/>
    <w:rsid w:val="00B031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03186"/>
    <w:rPr>
      <w:rFonts w:ascii="Arial" w:hAnsi="Arial"/>
    </w:rPr>
  </w:style>
  <w:style w:type="paragraph" w:customStyle="1" w:styleId="Feature1">
    <w:name w:val="Feature 1"/>
    <w:basedOn w:val="Heading1"/>
    <w:rsid w:val="00F15DB2"/>
    <w:rPr>
      <w:sz w:val="130"/>
    </w:rPr>
  </w:style>
  <w:style w:type="paragraph" w:customStyle="1" w:styleId="Feature2">
    <w:name w:val="Feature 2"/>
    <w:basedOn w:val="Feature1"/>
    <w:rsid w:val="00F15DB2"/>
    <w:rPr>
      <w:color w:val="64A70B"/>
    </w:rPr>
  </w:style>
  <w:style w:type="table" w:styleId="TableGrid">
    <w:name w:val="Table Grid"/>
    <w:aliases w:val="Plain Table,GRM Table,Coffey table"/>
    <w:basedOn w:val="TableNormal"/>
    <w:uiPriority w:val="39"/>
    <w:rsid w:val="00871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 1"/>
    <w:basedOn w:val="TableNormal"/>
    <w:uiPriority w:val="99"/>
    <w:rsid w:val="00870BB9"/>
    <w:pPr>
      <w:spacing w:after="0" w:line="240" w:lineRule="auto"/>
    </w:pPr>
    <w:tblPr/>
  </w:style>
  <w:style w:type="table" w:styleId="LightShading-Accent1">
    <w:name w:val="Light Shading Accent 1"/>
    <w:basedOn w:val="TableNormal"/>
    <w:uiPriority w:val="60"/>
    <w:rsid w:val="00CB2837"/>
    <w:pPr>
      <w:spacing w:after="0" w:line="240" w:lineRule="auto"/>
    </w:pPr>
    <w:rPr>
      <w:color w:val="0391A6" w:themeColor="accent1" w:themeShade="BF"/>
    </w:rPr>
    <w:tblPr>
      <w:tblStyleRowBandSize w:val="1"/>
      <w:tblStyleColBandSize w:val="1"/>
      <w:tblBorders>
        <w:top w:val="single" w:sz="8" w:space="0" w:color="05C3DE" w:themeColor="accent1"/>
        <w:bottom w:val="single" w:sz="8" w:space="0" w:color="05C3DE" w:themeColor="accent1"/>
      </w:tblBorders>
    </w:tblPr>
    <w:tblStylePr w:type="firstRow">
      <w:pPr>
        <w:spacing w:before="0" w:after="0" w:line="240" w:lineRule="auto"/>
      </w:pPr>
      <w:rPr>
        <w:b/>
        <w:bCs/>
      </w:rPr>
      <w:tblPr/>
      <w:tcPr>
        <w:tcBorders>
          <w:top w:val="single" w:sz="8" w:space="0" w:color="05C3DE" w:themeColor="accent1"/>
          <w:left w:val="nil"/>
          <w:bottom w:val="single" w:sz="8" w:space="0" w:color="05C3DE" w:themeColor="accent1"/>
          <w:right w:val="nil"/>
          <w:insideH w:val="nil"/>
          <w:insideV w:val="nil"/>
        </w:tcBorders>
      </w:tcPr>
    </w:tblStylePr>
    <w:tblStylePr w:type="lastRow">
      <w:pPr>
        <w:spacing w:before="0" w:after="0" w:line="240" w:lineRule="auto"/>
      </w:pPr>
      <w:rPr>
        <w:b/>
        <w:bCs/>
      </w:rPr>
      <w:tblPr/>
      <w:tcPr>
        <w:tcBorders>
          <w:top w:val="single" w:sz="8" w:space="0" w:color="05C3DE" w:themeColor="accent1"/>
          <w:left w:val="nil"/>
          <w:bottom w:val="single" w:sz="8" w:space="0" w:color="05C3D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F5FD" w:themeFill="accent1" w:themeFillTint="3F"/>
      </w:tcPr>
    </w:tblStylePr>
    <w:tblStylePr w:type="band1Horz">
      <w:tblPr/>
      <w:tcPr>
        <w:tcBorders>
          <w:left w:val="nil"/>
          <w:right w:val="nil"/>
          <w:insideH w:val="nil"/>
          <w:insideV w:val="nil"/>
        </w:tcBorders>
        <w:shd w:val="clear" w:color="auto" w:fill="BAF5FD" w:themeFill="accent1" w:themeFillTint="3F"/>
      </w:tcPr>
    </w:tblStylePr>
  </w:style>
  <w:style w:type="table" w:customStyle="1" w:styleId="TableStyle">
    <w:name w:val="Table Style"/>
    <w:basedOn w:val="TableNormal"/>
    <w:uiPriority w:val="99"/>
    <w:rsid w:val="001E0044"/>
    <w:pPr>
      <w:spacing w:after="0" w:line="240" w:lineRule="auto"/>
    </w:pPr>
    <w:rPr>
      <w:rFonts w:ascii="Arial" w:hAnsi="Arial"/>
      <w:sz w:val="20"/>
    </w:rPr>
    <w:tblPr>
      <w:tblStyleRowBandSize w:val="1"/>
      <w:tblBorders>
        <w:top w:val="single" w:sz="4" w:space="0" w:color="auto"/>
        <w:bottom w:val="single" w:sz="4" w:space="0" w:color="auto"/>
      </w:tblBorders>
      <w:tblCellMar>
        <w:top w:w="113" w:type="dxa"/>
        <w:left w:w="85" w:type="dxa"/>
        <w:bottom w:w="113" w:type="dxa"/>
        <w:right w:w="9" w:type="dxa"/>
      </w:tblCellMar>
    </w:tblPr>
    <w:tblStylePr w:type="firstRow">
      <w:rPr>
        <w:rFonts w:ascii="Arial" w:hAnsi="Arial"/>
        <w:b/>
        <w:color w:val="05C3DE"/>
        <w:sz w:val="20"/>
      </w:rPr>
    </w:tblStylePr>
    <w:tblStylePr w:type="firstCol">
      <w:rPr>
        <w:color w:val="auto"/>
      </w:rPr>
      <w:tblPr/>
      <w:tcPr>
        <w:shd w:val="clear" w:color="auto" w:fill="CDF2F8"/>
      </w:tcPr>
    </w:tblStylePr>
    <w:tblStylePr w:type="band1Horz">
      <w:tblPr/>
      <w:tcPr>
        <w:shd w:val="clear" w:color="auto" w:fill="EDEDED"/>
      </w:tcPr>
    </w:tblStylePr>
    <w:tblStylePr w:type="nwCell">
      <w:rPr>
        <w:rFonts w:ascii="Arial" w:hAnsi="Arial"/>
        <w:color w:val="auto"/>
        <w:sz w:val="20"/>
      </w:rPr>
      <w:tblPr/>
      <w:tcPr>
        <w:shd w:val="clear" w:color="auto" w:fill="FFFFFF" w:themeFill="background1"/>
      </w:tcPr>
    </w:tblStylePr>
  </w:style>
  <w:style w:type="table" w:customStyle="1" w:styleId="styleAbbrv">
    <w:name w:val="styleAbbrv"/>
    <w:basedOn w:val="TableNormal"/>
    <w:uiPriority w:val="99"/>
    <w:rsid w:val="006E65F1"/>
    <w:pPr>
      <w:spacing w:after="0" w:line="240" w:lineRule="auto"/>
    </w:pPr>
    <w:tblPr/>
    <w:tblStylePr w:type="firstCol">
      <w:rPr>
        <w:rFonts w:ascii="Arial" w:hAnsi="Arial"/>
        <w:color w:val="64A70B"/>
        <w:sz w:val="24"/>
      </w:rPr>
    </w:tblStylePr>
  </w:style>
  <w:style w:type="paragraph" w:customStyle="1" w:styleId="BulletedList">
    <w:name w:val="Bulleted List"/>
    <w:basedOn w:val="Normal"/>
    <w:uiPriority w:val="10"/>
    <w:qFormat/>
    <w:rsid w:val="00E63722"/>
    <w:pPr>
      <w:numPr>
        <w:numId w:val="6"/>
      </w:numPr>
    </w:pPr>
    <w:rPr>
      <w:rFonts w:eastAsiaTheme="minorHAnsi"/>
      <w:sz w:val="20"/>
      <w:szCs w:val="20"/>
      <w:lang w:eastAsia="en-US"/>
    </w:rPr>
  </w:style>
  <w:style w:type="table" w:customStyle="1" w:styleId="CVTable">
    <w:name w:val="CVTable"/>
    <w:basedOn w:val="TableNormal"/>
    <w:uiPriority w:val="99"/>
    <w:rsid w:val="007853CC"/>
    <w:pPr>
      <w:spacing w:after="0" w:line="240" w:lineRule="auto"/>
    </w:pPr>
    <w:tblPr>
      <w:tblStyleRowBandSize w:val="1"/>
      <w:tblCellSpacing w:w="28" w:type="dxa"/>
      <w:tblBorders>
        <w:top w:val="single" w:sz="4" w:space="0" w:color="auto"/>
        <w:bottom w:val="single" w:sz="4" w:space="0" w:color="auto"/>
      </w:tblBorders>
    </w:tblPr>
    <w:trPr>
      <w:tblCellSpacing w:w="28" w:type="dxa"/>
    </w:trPr>
    <w:tblStylePr w:type="firstCol">
      <w:rPr>
        <w:b/>
        <w:color w:val="auto"/>
      </w:rPr>
    </w:tblStylePr>
    <w:tblStylePr w:type="band1Horz">
      <w:tblPr/>
      <w:tcPr>
        <w:shd w:val="clear" w:color="auto" w:fill="F2F2F2" w:themeFill="background1" w:themeFillShade="F2"/>
      </w:tcPr>
    </w:tblStylePr>
  </w:style>
  <w:style w:type="paragraph" w:customStyle="1" w:styleId="BulletedList2">
    <w:name w:val="Bulleted List 2"/>
    <w:basedOn w:val="Normal"/>
    <w:uiPriority w:val="10"/>
    <w:qFormat/>
    <w:rsid w:val="002B1C8D"/>
    <w:pPr>
      <w:numPr>
        <w:numId w:val="1"/>
      </w:numPr>
      <w:ind w:left="714" w:hanging="357"/>
    </w:pPr>
  </w:style>
  <w:style w:type="paragraph" w:customStyle="1" w:styleId="CallOutTextGrey">
    <w:name w:val="Call Out Text Grey"/>
    <w:basedOn w:val="Heading1"/>
    <w:rsid w:val="004D026C"/>
    <w:rPr>
      <w:color w:val="333333"/>
      <w:sz w:val="18"/>
    </w:rPr>
  </w:style>
  <w:style w:type="paragraph" w:customStyle="1" w:styleId="CallOutTextSecondary">
    <w:name w:val="Call Out Text Secondary"/>
    <w:basedOn w:val="CallOutTextGrey"/>
    <w:rsid w:val="004D026C"/>
    <w:rPr>
      <w:color w:val="05C3DE"/>
    </w:rPr>
  </w:style>
  <w:style w:type="paragraph" w:customStyle="1" w:styleId="BulletedList3">
    <w:name w:val="Bulleted List 3"/>
    <w:basedOn w:val="Normal"/>
    <w:link w:val="BulletedList3Char"/>
    <w:uiPriority w:val="10"/>
    <w:qFormat/>
    <w:rsid w:val="002B1C8D"/>
    <w:pPr>
      <w:numPr>
        <w:numId w:val="2"/>
      </w:numPr>
      <w:ind w:left="714" w:hanging="357"/>
    </w:pPr>
  </w:style>
  <w:style w:type="paragraph" w:customStyle="1" w:styleId="BulletedList4">
    <w:name w:val="Bulleted List 4"/>
    <w:basedOn w:val="Normal"/>
    <w:link w:val="BulletedList4Char"/>
    <w:uiPriority w:val="10"/>
    <w:qFormat/>
    <w:rsid w:val="002B1C8D"/>
    <w:pPr>
      <w:numPr>
        <w:numId w:val="3"/>
      </w:numPr>
      <w:ind w:left="1077" w:hanging="357"/>
    </w:pPr>
  </w:style>
  <w:style w:type="character" w:customStyle="1" w:styleId="BulletedList3Char">
    <w:name w:val="Bulleted List 3 Char"/>
    <w:basedOn w:val="DefaultParagraphFont"/>
    <w:link w:val="BulletedList3"/>
    <w:uiPriority w:val="10"/>
    <w:rsid w:val="002B1C8D"/>
    <w:rPr>
      <w:rFonts w:ascii="Arial" w:hAnsi="Arial"/>
    </w:rPr>
  </w:style>
  <w:style w:type="paragraph" w:customStyle="1" w:styleId="BulletedList5">
    <w:name w:val="Bulleted List 5"/>
    <w:basedOn w:val="Normal"/>
    <w:link w:val="BulletedList5Char"/>
    <w:uiPriority w:val="10"/>
    <w:qFormat/>
    <w:rsid w:val="002B1C8D"/>
    <w:pPr>
      <w:numPr>
        <w:numId w:val="4"/>
      </w:numPr>
      <w:ind w:left="1434" w:hanging="357"/>
    </w:pPr>
  </w:style>
  <w:style w:type="character" w:customStyle="1" w:styleId="BulletedList4Char">
    <w:name w:val="Bulleted List 4 Char"/>
    <w:basedOn w:val="DefaultParagraphFont"/>
    <w:link w:val="BulletedList4"/>
    <w:uiPriority w:val="10"/>
    <w:rsid w:val="002B1C8D"/>
    <w:rPr>
      <w:rFonts w:ascii="Arial" w:hAnsi="Arial"/>
    </w:rPr>
  </w:style>
  <w:style w:type="paragraph" w:customStyle="1" w:styleId="BulletedList6">
    <w:name w:val="Bulleted List 6"/>
    <w:basedOn w:val="Normal"/>
    <w:link w:val="BulletedList6Char"/>
    <w:uiPriority w:val="10"/>
    <w:qFormat/>
    <w:rsid w:val="00477F9F"/>
    <w:pPr>
      <w:numPr>
        <w:numId w:val="5"/>
      </w:numPr>
      <w:ind w:left="1797" w:hanging="357"/>
    </w:pPr>
  </w:style>
  <w:style w:type="character" w:customStyle="1" w:styleId="BulletedList5Char">
    <w:name w:val="Bulleted List 5 Char"/>
    <w:basedOn w:val="DefaultParagraphFont"/>
    <w:link w:val="BulletedList5"/>
    <w:uiPriority w:val="10"/>
    <w:rsid w:val="002B1C8D"/>
    <w:rPr>
      <w:rFonts w:ascii="Arial" w:hAnsi="Arial"/>
    </w:rPr>
  </w:style>
  <w:style w:type="character" w:customStyle="1" w:styleId="BulletedList6Char">
    <w:name w:val="Bulleted List 6 Char"/>
    <w:basedOn w:val="DefaultParagraphFont"/>
    <w:link w:val="BulletedList6"/>
    <w:uiPriority w:val="10"/>
    <w:rsid w:val="00477F9F"/>
    <w:rPr>
      <w:rFonts w:ascii="Arial" w:hAnsi="Arial"/>
    </w:rPr>
  </w:style>
  <w:style w:type="paragraph" w:customStyle="1" w:styleId="NormalTableBold">
    <w:name w:val="Normal Table Bold"/>
    <w:basedOn w:val="Normal"/>
    <w:next w:val="Normal"/>
    <w:uiPriority w:val="10"/>
    <w:qFormat/>
    <w:rsid w:val="009E2AE4"/>
    <w:rPr>
      <w:b/>
      <w:sz w:val="20"/>
    </w:rPr>
  </w:style>
  <w:style w:type="paragraph" w:customStyle="1" w:styleId="NormalTable">
    <w:name w:val="NormalTable"/>
    <w:basedOn w:val="Normal"/>
    <w:next w:val="Normal"/>
    <w:link w:val="NormalTableChar"/>
    <w:uiPriority w:val="10"/>
    <w:qFormat/>
    <w:rsid w:val="009E2AE4"/>
    <w:pPr>
      <w:spacing w:line="240" w:lineRule="auto"/>
    </w:pPr>
    <w:rPr>
      <w:sz w:val="20"/>
    </w:rPr>
  </w:style>
  <w:style w:type="character" w:customStyle="1" w:styleId="NormalTableChar">
    <w:name w:val="NormalTable Char"/>
    <w:basedOn w:val="DefaultParagraphFont"/>
    <w:link w:val="NormalTable"/>
    <w:uiPriority w:val="10"/>
    <w:rsid w:val="009E2AE4"/>
    <w:rPr>
      <w:rFonts w:ascii="Arial" w:hAnsi="Arial"/>
      <w:sz w:val="20"/>
    </w:rPr>
  </w:style>
  <w:style w:type="character" w:customStyle="1" w:styleId="ListParagraphChar">
    <w:name w:val="List Paragraph Char"/>
    <w:aliases w:val="Bullets Char,Bullet paras Char,List Paragraph1 Char,Recommendation Char,List Paragraph11 Char,L Char,CV text Char,Table text Char,F5 List Paragraph Char,Dot pt Char,List Paragraph111 Char,Medium Grid 1 - Accent 21 Char,lp Char"/>
    <w:link w:val="ListParagraph"/>
    <w:uiPriority w:val="1"/>
    <w:qFormat/>
    <w:locked/>
    <w:rsid w:val="00EA0BC0"/>
    <w:rPr>
      <w:rFonts w:ascii="Arial" w:hAnsi="Arial"/>
      <w:lang w:val="en-US"/>
    </w:rPr>
  </w:style>
  <w:style w:type="character" w:styleId="Hyperlink">
    <w:name w:val="Hyperlink"/>
    <w:uiPriority w:val="99"/>
    <w:rsid w:val="0068110B"/>
    <w:rPr>
      <w:color w:val="0000FF"/>
      <w:u w:val="single"/>
    </w:rPr>
  </w:style>
  <w:style w:type="paragraph" w:styleId="FootnoteText">
    <w:name w:val="footnote text"/>
    <w:aliases w:val="Footnote Text Char2,Footnote Text Char Char,Footnote Text Char1 Char Char,Footnote Text Char Char Char Char,Footnote Text Char1 Char Char Char Char,Footnote Text Char Char Char Char Char Char,Footnote Text Char1 Char,fn,ft,single space,ADB"/>
    <w:basedOn w:val="Normal"/>
    <w:link w:val="FootnoteTextChar"/>
    <w:uiPriority w:val="99"/>
    <w:qFormat/>
    <w:rsid w:val="003422F4"/>
    <w:pPr>
      <w:spacing w:before="40" w:after="0" w:line="240" w:lineRule="auto"/>
    </w:pPr>
    <w:rPr>
      <w:rFonts w:eastAsia="Times New Roman" w:cs="Times New Roman"/>
      <w:sz w:val="16"/>
      <w:szCs w:val="20"/>
      <w:lang w:val="en-AU" w:eastAsia="en-AU"/>
    </w:rPr>
  </w:style>
  <w:style w:type="character" w:customStyle="1" w:styleId="FootnoteTextChar">
    <w:name w:val="Footnote Text Char"/>
    <w:aliases w:val="Footnote Text Char2 Char,Footnote Text Char Char Char,Footnote Text Char1 Char Char Char,Footnote Text Char Char Char Char Char,Footnote Text Char1 Char Char Char Char Char,Footnote Text Char Char Char Char Char Char Char,fn Char"/>
    <w:basedOn w:val="DefaultParagraphFont"/>
    <w:link w:val="FootnoteText"/>
    <w:uiPriority w:val="99"/>
    <w:rsid w:val="003422F4"/>
    <w:rPr>
      <w:rFonts w:ascii="Arial" w:eastAsia="Times New Roman" w:hAnsi="Arial" w:cs="Times New Roman"/>
      <w:sz w:val="16"/>
      <w:szCs w:val="20"/>
      <w:lang w:val="en-AU" w:eastAsia="en-AU"/>
    </w:rPr>
  </w:style>
  <w:style w:type="character" w:styleId="FootnoteReference">
    <w:name w:val="footnote reference"/>
    <w:aliases w:val="ftref,footnote ref,16 Point,Superscript 6 Point,(NECG) Footnote Reference,Ref,de nota al pie,FnR-ANZDEC,Fußnotenzeichen DISS,fr,Footnote Ref in FtNote,SUPERS,BVI fnr,Normal + Font:9 Point,Superscript 3 Point Times,Footnote Reference1"/>
    <w:link w:val="ftrefCharCharCharCharCharCharChar"/>
    <w:uiPriority w:val="99"/>
    <w:rsid w:val="0068110B"/>
    <w:rPr>
      <w:vertAlign w:val="superscript"/>
    </w:rPr>
  </w:style>
  <w:style w:type="paragraph" w:customStyle="1" w:styleId="ftrefCharCharCharCharCharCharChar">
    <w:name w:val="ftref Char Char Char Char Char Char Char"/>
    <w:aliases w:val="BVI fnr Char Char Char Char Char Char Char,Footnote Char Char Char Char Char Char Char,16 Point Char Char Char Char Char Char Char,Superscript 6 Point Char Char Char Char Char Char Char Char"/>
    <w:basedOn w:val="Normal"/>
    <w:link w:val="FootnoteReference"/>
    <w:uiPriority w:val="99"/>
    <w:rsid w:val="0068110B"/>
    <w:pPr>
      <w:spacing w:before="0" w:line="240" w:lineRule="exact"/>
    </w:pPr>
    <w:rPr>
      <w:rFonts w:asciiTheme="minorHAnsi" w:hAnsiTheme="minorHAnsi"/>
      <w:vertAlign w:val="superscript"/>
    </w:rPr>
  </w:style>
  <w:style w:type="paragraph" w:customStyle="1" w:styleId="Bullet">
    <w:name w:val="Bullet"/>
    <w:aliases w:val="b"/>
    <w:basedOn w:val="BulletedList"/>
    <w:link w:val="BulletChar"/>
    <w:qFormat/>
    <w:rsid w:val="00E63722"/>
  </w:style>
  <w:style w:type="character" w:customStyle="1" w:styleId="BulletChar">
    <w:name w:val="Bullet Char"/>
    <w:aliases w:val="b Char"/>
    <w:link w:val="Bullet"/>
    <w:rsid w:val="00E63722"/>
    <w:rPr>
      <w:rFonts w:ascii="Arial" w:eastAsiaTheme="minorHAnsi" w:hAnsi="Arial"/>
      <w:sz w:val="20"/>
      <w:szCs w:val="20"/>
      <w:lang w:eastAsia="en-US"/>
    </w:rPr>
  </w:style>
  <w:style w:type="paragraph" w:customStyle="1" w:styleId="Number">
    <w:name w:val="Number"/>
    <w:aliases w:val="n"/>
    <w:basedOn w:val="ListParagraph"/>
    <w:qFormat/>
    <w:rsid w:val="008A3229"/>
    <w:pPr>
      <w:numPr>
        <w:numId w:val="8"/>
      </w:numPr>
      <w:contextualSpacing w:val="0"/>
    </w:pPr>
    <w:rPr>
      <w:sz w:val="20"/>
    </w:rPr>
  </w:style>
  <w:style w:type="paragraph" w:customStyle="1" w:styleId="Bodycopy">
    <w:name w:val="Body copy"/>
    <w:basedOn w:val="Normal"/>
    <w:qFormat/>
    <w:rsid w:val="00D87A78"/>
    <w:pPr>
      <w:spacing w:line="288" w:lineRule="auto"/>
    </w:pPr>
    <w:rPr>
      <w:rFonts w:eastAsia="Arial"/>
      <w:sz w:val="20"/>
      <w:szCs w:val="20"/>
    </w:rPr>
  </w:style>
  <w:style w:type="paragraph" w:styleId="BodyText">
    <w:name w:val="Body Text"/>
    <w:basedOn w:val="Normal"/>
    <w:link w:val="BodyTextChar"/>
    <w:uiPriority w:val="1"/>
    <w:qFormat/>
    <w:rsid w:val="0076614E"/>
    <w:pPr>
      <w:spacing w:after="240" w:line="240" w:lineRule="auto"/>
      <w:jc w:val="both"/>
    </w:pPr>
    <w:rPr>
      <w:rFonts w:eastAsia="Arial" w:cs="Arial"/>
      <w:sz w:val="20"/>
      <w:lang w:eastAsia="en-US"/>
    </w:rPr>
  </w:style>
  <w:style w:type="character" w:customStyle="1" w:styleId="BodyTextChar">
    <w:name w:val="Body Text Char"/>
    <w:basedOn w:val="DefaultParagraphFont"/>
    <w:link w:val="BodyText"/>
    <w:uiPriority w:val="1"/>
    <w:rsid w:val="0076614E"/>
    <w:rPr>
      <w:rFonts w:ascii="Arial" w:eastAsia="Arial" w:hAnsi="Arial" w:cs="Arial"/>
      <w:sz w:val="20"/>
      <w:lang w:eastAsia="en-US"/>
    </w:rPr>
  </w:style>
  <w:style w:type="numbering" w:customStyle="1" w:styleId="Numberedlist">
    <w:name w:val="Numbered list"/>
    <w:uiPriority w:val="99"/>
    <w:rsid w:val="0076614E"/>
    <w:pPr>
      <w:numPr>
        <w:numId w:val="9"/>
      </w:numPr>
    </w:pPr>
  </w:style>
  <w:style w:type="character" w:styleId="CommentReference">
    <w:name w:val="annotation reference"/>
    <w:uiPriority w:val="99"/>
    <w:unhideWhenUsed/>
    <w:rsid w:val="00FB25AD"/>
    <w:rPr>
      <w:sz w:val="16"/>
      <w:szCs w:val="16"/>
    </w:rPr>
  </w:style>
  <w:style w:type="paragraph" w:styleId="CommentText">
    <w:name w:val="annotation text"/>
    <w:basedOn w:val="Normal"/>
    <w:link w:val="CommentTextChar"/>
    <w:uiPriority w:val="99"/>
    <w:unhideWhenUsed/>
    <w:rsid w:val="00FB25AD"/>
    <w:pPr>
      <w:spacing w:before="0" w:line="240" w:lineRule="auto"/>
    </w:pPr>
    <w:rPr>
      <w:rFonts w:eastAsia="Calibri" w:cs="Arial"/>
      <w:sz w:val="20"/>
      <w:szCs w:val="20"/>
      <w:lang w:val="en-US" w:eastAsia="en-US"/>
    </w:rPr>
  </w:style>
  <w:style w:type="paragraph" w:styleId="EndnoteText">
    <w:name w:val="endnote text"/>
    <w:basedOn w:val="Normal"/>
    <w:link w:val="EndnoteTextChar"/>
    <w:uiPriority w:val="99"/>
    <w:semiHidden/>
    <w:unhideWhenUsed/>
    <w:rsid w:val="0076614E"/>
    <w:pPr>
      <w:spacing w:before="0" w:after="0" w:line="240" w:lineRule="auto"/>
    </w:pPr>
    <w:rPr>
      <w:rFonts w:eastAsia="Calibri" w:cs="Arial"/>
      <w:sz w:val="20"/>
      <w:szCs w:val="20"/>
      <w:lang w:val="en-AU" w:eastAsia="en-US"/>
    </w:rPr>
  </w:style>
  <w:style w:type="character" w:customStyle="1" w:styleId="EndnoteTextChar">
    <w:name w:val="Endnote Text Char"/>
    <w:basedOn w:val="DefaultParagraphFont"/>
    <w:link w:val="EndnoteText"/>
    <w:uiPriority w:val="99"/>
    <w:semiHidden/>
    <w:rsid w:val="0076614E"/>
    <w:rPr>
      <w:rFonts w:ascii="Arial" w:eastAsia="Calibri" w:hAnsi="Arial" w:cs="Arial"/>
      <w:sz w:val="20"/>
      <w:szCs w:val="20"/>
      <w:lang w:val="en-AU" w:eastAsia="en-US"/>
    </w:rPr>
  </w:style>
  <w:style w:type="character" w:styleId="EndnoteReference">
    <w:name w:val="endnote reference"/>
    <w:uiPriority w:val="99"/>
    <w:semiHidden/>
    <w:unhideWhenUsed/>
    <w:rsid w:val="0076614E"/>
    <w:rPr>
      <w:vertAlign w:val="superscript"/>
    </w:rPr>
  </w:style>
  <w:style w:type="character" w:customStyle="1" w:styleId="CommentTextChar">
    <w:name w:val="Comment Text Char"/>
    <w:basedOn w:val="DefaultParagraphFont"/>
    <w:link w:val="CommentText"/>
    <w:uiPriority w:val="99"/>
    <w:rsid w:val="00FB25AD"/>
    <w:rPr>
      <w:rFonts w:ascii="Arial" w:eastAsia="Calibri" w:hAnsi="Arial" w:cs="Arial"/>
      <w:sz w:val="20"/>
      <w:szCs w:val="20"/>
      <w:lang w:val="en-US" w:eastAsia="en-US"/>
    </w:rPr>
  </w:style>
  <w:style w:type="paragraph" w:customStyle="1" w:styleId="BoxText">
    <w:name w:val="BoxText"/>
    <w:basedOn w:val="Normal"/>
    <w:link w:val="BoxTextChar"/>
    <w:qFormat/>
    <w:rsid w:val="00FB25AD"/>
    <w:pPr>
      <w:pBdr>
        <w:top w:val="single" w:sz="4" w:space="4" w:color="007FAD"/>
        <w:left w:val="single" w:sz="4" w:space="4" w:color="007FAD"/>
        <w:bottom w:val="single" w:sz="4" w:space="4" w:color="007FAD"/>
        <w:right w:val="single" w:sz="4" w:space="4" w:color="007FAD"/>
      </w:pBdr>
      <w:shd w:val="clear" w:color="auto" w:fill="ECF1F7"/>
      <w:spacing w:before="0" w:line="240" w:lineRule="auto"/>
    </w:pPr>
    <w:rPr>
      <w:rFonts w:ascii="Franklin Gothic Book" w:eastAsia="Times New Roman" w:hAnsi="Franklin Gothic Book" w:cs="Times New Roman"/>
      <w:sz w:val="21"/>
      <w:szCs w:val="20"/>
      <w:lang w:val="en-AU" w:eastAsia="en-AU"/>
    </w:rPr>
  </w:style>
  <w:style w:type="character" w:customStyle="1" w:styleId="BoxTextChar">
    <w:name w:val="BoxText Char"/>
    <w:link w:val="BoxText"/>
    <w:rsid w:val="00FB25AD"/>
    <w:rPr>
      <w:rFonts w:ascii="Franklin Gothic Book" w:eastAsia="Times New Roman" w:hAnsi="Franklin Gothic Book" w:cs="Times New Roman"/>
      <w:sz w:val="21"/>
      <w:szCs w:val="20"/>
      <w:shd w:val="clear" w:color="auto" w:fill="ECF1F7"/>
      <w:lang w:val="en-AU" w:eastAsia="en-AU"/>
    </w:rPr>
  </w:style>
  <w:style w:type="paragraph" w:styleId="BalloonText">
    <w:name w:val="Balloon Text"/>
    <w:basedOn w:val="Normal"/>
    <w:link w:val="BalloonTextChar"/>
    <w:uiPriority w:val="99"/>
    <w:semiHidden/>
    <w:unhideWhenUsed/>
    <w:rsid w:val="00FB25AD"/>
    <w:pPr>
      <w:spacing w:before="0" w:after="0" w:line="240" w:lineRule="auto"/>
    </w:pPr>
    <w:rPr>
      <w:rFonts w:ascii="Segoe UI" w:eastAsia="Calibri" w:hAnsi="Segoe UI" w:cs="Segoe UI"/>
      <w:sz w:val="18"/>
      <w:szCs w:val="18"/>
      <w:lang w:val="en-AU" w:eastAsia="en-US"/>
    </w:rPr>
  </w:style>
  <w:style w:type="character" w:customStyle="1" w:styleId="BalloonTextChar">
    <w:name w:val="Balloon Text Char"/>
    <w:basedOn w:val="DefaultParagraphFont"/>
    <w:link w:val="BalloonText"/>
    <w:uiPriority w:val="99"/>
    <w:semiHidden/>
    <w:rsid w:val="00FB25AD"/>
    <w:rPr>
      <w:rFonts w:ascii="Segoe UI" w:eastAsia="Calibri" w:hAnsi="Segoe UI" w:cs="Segoe UI"/>
      <w:sz w:val="18"/>
      <w:szCs w:val="18"/>
      <w:lang w:val="en-AU" w:eastAsia="en-US"/>
    </w:rPr>
  </w:style>
  <w:style w:type="table" w:customStyle="1" w:styleId="TableGrid4">
    <w:name w:val="Table Grid4"/>
    <w:basedOn w:val="TableNormal"/>
    <w:next w:val="TableGrid"/>
    <w:uiPriority w:val="59"/>
    <w:rsid w:val="00FB25AD"/>
    <w:pPr>
      <w:spacing w:after="0" w:line="240" w:lineRule="auto"/>
    </w:pPr>
    <w:rPr>
      <w:rFonts w:ascii="Calibri" w:eastAsia="Calibri" w:hAnsi="Calibri" w:cs="Arial"/>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FB25AD"/>
    <w:pPr>
      <w:keepNext/>
      <w:spacing w:before="60" w:after="60" w:line="240" w:lineRule="auto"/>
      <w:contextualSpacing/>
    </w:pPr>
    <w:rPr>
      <w:rFonts w:eastAsia="Times New Roman" w:cs="Times New Roman"/>
      <w:color w:val="000000"/>
      <w:sz w:val="20"/>
      <w:szCs w:val="21"/>
      <w:lang w:val="en-AU" w:eastAsia="en-AU"/>
    </w:rPr>
  </w:style>
  <w:style w:type="paragraph" w:customStyle="1" w:styleId="TableHeading">
    <w:name w:val="TableHeading"/>
    <w:basedOn w:val="TableText"/>
    <w:qFormat/>
    <w:rsid w:val="00FB25AD"/>
    <w:pPr>
      <w:spacing w:before="160" w:after="120"/>
    </w:pPr>
    <w:rPr>
      <w:rFonts w:ascii="Calibri" w:hAnsi="Calibri"/>
      <w:bCs/>
      <w:sz w:val="22"/>
    </w:rPr>
  </w:style>
  <w:style w:type="paragraph" w:customStyle="1" w:styleId="BodyCopy0">
    <w:name w:val="Body Copy"/>
    <w:basedOn w:val="Bodycopy"/>
    <w:link w:val="BodyCopyChar"/>
    <w:qFormat/>
    <w:rsid w:val="004E207A"/>
  </w:style>
  <w:style w:type="character" w:customStyle="1" w:styleId="BodyCopyChar">
    <w:name w:val="Body Copy Char"/>
    <w:link w:val="BodyCopy0"/>
    <w:rsid w:val="004E207A"/>
    <w:rPr>
      <w:rFonts w:ascii="Arial" w:eastAsia="Arial" w:hAnsi="Arial"/>
      <w:sz w:val="20"/>
      <w:szCs w:val="20"/>
    </w:rPr>
  </w:style>
  <w:style w:type="paragraph" w:customStyle="1" w:styleId="NumberBullet">
    <w:name w:val="Number Bullet"/>
    <w:basedOn w:val="BodyCopy0"/>
    <w:qFormat/>
    <w:rsid w:val="00FB25AD"/>
    <w:pPr>
      <w:numPr>
        <w:numId w:val="10"/>
      </w:numPr>
      <w:tabs>
        <w:tab w:val="left" w:pos="2880"/>
      </w:tabs>
      <w:suppressAutoHyphens/>
      <w:autoSpaceDE w:val="0"/>
      <w:autoSpaceDN w:val="0"/>
      <w:adjustRightInd w:val="0"/>
      <w:textAlignment w:val="center"/>
    </w:pPr>
    <w:rPr>
      <w:color w:val="000000"/>
      <w:lang w:val="en-AU" w:eastAsia="en-AU"/>
    </w:rPr>
  </w:style>
  <w:style w:type="numbering" w:customStyle="1" w:styleId="NewBullet">
    <w:name w:val="New Bullet"/>
    <w:uiPriority w:val="99"/>
    <w:rsid w:val="00FB25AD"/>
    <w:pPr>
      <w:numPr>
        <w:numId w:val="11"/>
      </w:numPr>
    </w:pPr>
  </w:style>
  <w:style w:type="paragraph" w:styleId="TOC1">
    <w:name w:val="toc 1"/>
    <w:basedOn w:val="Normal"/>
    <w:next w:val="Normal"/>
    <w:autoRedefine/>
    <w:uiPriority w:val="39"/>
    <w:unhideWhenUsed/>
    <w:rsid w:val="00827BDF"/>
    <w:pPr>
      <w:tabs>
        <w:tab w:val="left" w:pos="440"/>
        <w:tab w:val="right" w:leader="dot" w:pos="9638"/>
      </w:tabs>
      <w:spacing w:before="0" w:after="100" w:line="240" w:lineRule="atLeast"/>
      <w:ind w:left="426" w:hanging="426"/>
    </w:pPr>
    <w:rPr>
      <w:rFonts w:eastAsia="Calibri" w:cs="Arial"/>
      <w:b/>
      <w:bCs/>
      <w:noProof/>
      <w:sz w:val="20"/>
      <w:lang w:val="en-AU" w:eastAsia="en-US"/>
    </w:rPr>
  </w:style>
  <w:style w:type="paragraph" w:styleId="TOC2">
    <w:name w:val="toc 2"/>
    <w:basedOn w:val="Normal"/>
    <w:next w:val="Normal"/>
    <w:autoRedefine/>
    <w:uiPriority w:val="39"/>
    <w:unhideWhenUsed/>
    <w:rsid w:val="001057CC"/>
    <w:pPr>
      <w:tabs>
        <w:tab w:val="left" w:pos="960"/>
        <w:tab w:val="right" w:leader="dot" w:pos="9638"/>
      </w:tabs>
      <w:spacing w:before="0" w:after="100" w:line="240" w:lineRule="atLeast"/>
      <w:ind w:left="220"/>
    </w:pPr>
    <w:rPr>
      <w:rFonts w:eastAsia="Calibri" w:cs="Arial"/>
      <w:sz w:val="20"/>
      <w:lang w:val="en-AU" w:eastAsia="en-US"/>
    </w:rPr>
  </w:style>
  <w:style w:type="paragraph" w:styleId="TOC3">
    <w:name w:val="toc 3"/>
    <w:basedOn w:val="Normal"/>
    <w:next w:val="Normal"/>
    <w:autoRedefine/>
    <w:uiPriority w:val="39"/>
    <w:unhideWhenUsed/>
    <w:rsid w:val="001057CC"/>
    <w:pPr>
      <w:tabs>
        <w:tab w:val="right" w:leader="dot" w:pos="9638"/>
      </w:tabs>
      <w:spacing w:before="0" w:after="100" w:line="240" w:lineRule="atLeast"/>
      <w:ind w:left="440"/>
    </w:pPr>
    <w:rPr>
      <w:rFonts w:eastAsia="Calibri" w:cs="Arial"/>
      <w:sz w:val="20"/>
      <w:lang w:val="en-AU" w:eastAsia="en-US"/>
    </w:rPr>
  </w:style>
  <w:style w:type="paragraph" w:styleId="CommentSubject">
    <w:name w:val="annotation subject"/>
    <w:basedOn w:val="CommentText"/>
    <w:next w:val="CommentText"/>
    <w:link w:val="CommentSubjectChar"/>
    <w:uiPriority w:val="99"/>
    <w:semiHidden/>
    <w:unhideWhenUsed/>
    <w:rsid w:val="00FB25AD"/>
    <w:rPr>
      <w:b/>
      <w:bCs/>
      <w:lang w:val="en-AU"/>
    </w:rPr>
  </w:style>
  <w:style w:type="character" w:customStyle="1" w:styleId="CommentSubjectChar">
    <w:name w:val="Comment Subject Char"/>
    <w:basedOn w:val="CommentTextChar"/>
    <w:link w:val="CommentSubject"/>
    <w:uiPriority w:val="99"/>
    <w:semiHidden/>
    <w:rsid w:val="00FB25AD"/>
    <w:rPr>
      <w:rFonts w:ascii="Arial" w:eastAsia="Calibri" w:hAnsi="Arial" w:cs="Arial"/>
      <w:b/>
      <w:bCs/>
      <w:sz w:val="20"/>
      <w:szCs w:val="20"/>
      <w:lang w:val="en-AU" w:eastAsia="en-US"/>
    </w:rPr>
  </w:style>
  <w:style w:type="paragraph" w:customStyle="1" w:styleId="FigureName">
    <w:name w:val="FigureName"/>
    <w:basedOn w:val="Normal"/>
    <w:next w:val="Normal"/>
    <w:rsid w:val="00FB25AD"/>
    <w:pPr>
      <w:keepNext/>
      <w:keepLines/>
      <w:tabs>
        <w:tab w:val="left" w:pos="1080"/>
      </w:tabs>
      <w:spacing w:before="80" w:after="80" w:line="288" w:lineRule="auto"/>
      <w:ind w:left="1077" w:hanging="1077"/>
    </w:pPr>
    <w:rPr>
      <w:rFonts w:ascii="Franklin Gothic Book" w:eastAsia="Times New Roman" w:hAnsi="Franklin Gothic Book" w:cs="Times New Roman"/>
      <w:b/>
      <w:bCs/>
      <w:sz w:val="20"/>
      <w:szCs w:val="20"/>
      <w:lang w:val="en-AU" w:eastAsia="en-AU"/>
    </w:rPr>
  </w:style>
  <w:style w:type="table" w:customStyle="1" w:styleId="TableGrid41">
    <w:name w:val="Table Grid41"/>
    <w:basedOn w:val="TableNormal"/>
    <w:next w:val="TableGrid"/>
    <w:uiPriority w:val="59"/>
    <w:rsid w:val="00FB25AD"/>
    <w:pPr>
      <w:spacing w:after="0" w:line="240" w:lineRule="auto"/>
    </w:pPr>
    <w:rPr>
      <w:rFonts w:ascii="Calibri" w:eastAsia="Calibri" w:hAnsi="Calibri" w:cs="Times New Roman"/>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B25AD"/>
    <w:pPr>
      <w:spacing w:after="0" w:line="240" w:lineRule="auto"/>
    </w:pPr>
    <w:rPr>
      <w:rFonts w:ascii="Calibri" w:eastAsia="Calibri" w:hAnsi="Calibri" w:cs="Times New Roman"/>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25AD"/>
    <w:pPr>
      <w:spacing w:before="100" w:beforeAutospacing="1" w:after="100" w:afterAutospacing="1" w:line="240" w:lineRule="auto"/>
    </w:pPr>
    <w:rPr>
      <w:rFonts w:ascii="Times New Roman" w:eastAsia="Yu Mincho" w:hAnsi="Times New Roman" w:cs="Times New Roman"/>
      <w:sz w:val="24"/>
      <w:szCs w:val="24"/>
      <w:lang w:val="en-AU" w:eastAsia="en-AU"/>
    </w:rPr>
  </w:style>
  <w:style w:type="paragraph" w:styleId="Bibliography">
    <w:name w:val="Bibliography"/>
    <w:basedOn w:val="Normal"/>
    <w:next w:val="Normal"/>
    <w:uiPriority w:val="37"/>
    <w:unhideWhenUsed/>
    <w:rsid w:val="00FB25AD"/>
    <w:pPr>
      <w:spacing w:before="0" w:line="240" w:lineRule="atLeast"/>
    </w:pPr>
    <w:rPr>
      <w:rFonts w:eastAsia="Calibri" w:cs="Arial"/>
      <w:sz w:val="20"/>
      <w:lang w:val="en-AU" w:eastAsia="en-US"/>
    </w:rPr>
  </w:style>
  <w:style w:type="table" w:styleId="GridTable5Dark-Accent5">
    <w:name w:val="Grid Table 5 Dark Accent 5"/>
    <w:basedOn w:val="TableNormal"/>
    <w:uiPriority w:val="50"/>
    <w:rsid w:val="00FB25AD"/>
    <w:pPr>
      <w:spacing w:after="0" w:line="240" w:lineRule="auto"/>
    </w:pPr>
    <w:rPr>
      <w:rFonts w:ascii="Calibri" w:eastAsia="Calibri" w:hAnsi="Calibri" w:cs="Times New Roman"/>
      <w:sz w:val="20"/>
      <w:szCs w:val="20"/>
      <w:lang w:val="en-AU" w:eastAsia="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ListNumber">
    <w:name w:val="List Number"/>
    <w:basedOn w:val="BodyText"/>
    <w:uiPriority w:val="99"/>
    <w:qFormat/>
    <w:rsid w:val="00FB25AD"/>
    <w:pPr>
      <w:keepLines/>
      <w:numPr>
        <w:numId w:val="11"/>
      </w:numPr>
      <w:spacing w:line="240" w:lineRule="atLeast"/>
      <w:ind w:left="426" w:hanging="426"/>
      <w:jc w:val="left"/>
    </w:pPr>
  </w:style>
  <w:style w:type="paragraph" w:customStyle="1" w:styleId="TableName">
    <w:name w:val="TableName"/>
    <w:basedOn w:val="TableHeading"/>
    <w:qFormat/>
    <w:rsid w:val="00FB25AD"/>
  </w:style>
  <w:style w:type="paragraph" w:customStyle="1" w:styleId="Draftingnote">
    <w:name w:val="Drafting note"/>
    <w:basedOn w:val="Normal"/>
    <w:link w:val="DraftingnoteChar"/>
    <w:qFormat/>
    <w:rsid w:val="00FB25AD"/>
    <w:pPr>
      <w:spacing w:before="40" w:line="288" w:lineRule="auto"/>
    </w:pPr>
    <w:rPr>
      <w:rFonts w:ascii="Franklin Gothic Book" w:eastAsia="Times New Roman" w:hAnsi="Franklin Gothic Book" w:cs="Times New Roman"/>
      <w:b/>
      <w:color w:val="FF0000"/>
      <w:sz w:val="20"/>
      <w:szCs w:val="20"/>
      <w:u w:val="dotted"/>
      <w:lang w:val="en-AU" w:eastAsia="en-AU"/>
    </w:rPr>
  </w:style>
  <w:style w:type="character" w:customStyle="1" w:styleId="DraftingnoteChar">
    <w:name w:val="Drafting note Char"/>
    <w:link w:val="Draftingnote"/>
    <w:rsid w:val="00FB25AD"/>
    <w:rPr>
      <w:rFonts w:ascii="Franklin Gothic Book" w:eastAsia="Times New Roman" w:hAnsi="Franklin Gothic Book" w:cs="Times New Roman"/>
      <w:b/>
      <w:color w:val="FF0000"/>
      <w:sz w:val="20"/>
      <w:szCs w:val="20"/>
      <w:u w:val="dotted"/>
      <w:lang w:val="en-AU" w:eastAsia="en-AU"/>
    </w:rPr>
  </w:style>
  <w:style w:type="paragraph" w:customStyle="1" w:styleId="FigureHeading">
    <w:name w:val="Figure Heading"/>
    <w:qFormat/>
    <w:rsid w:val="00FB25AD"/>
    <w:pPr>
      <w:spacing w:after="120" w:line="259" w:lineRule="auto"/>
    </w:pPr>
    <w:rPr>
      <w:rFonts w:ascii="Arial" w:eastAsia="Times New Roman" w:hAnsi="Arial" w:cs="Arial"/>
      <w:b/>
      <w:bCs/>
      <w:sz w:val="20"/>
      <w:szCs w:val="20"/>
      <w:lang w:val="en-AU" w:eastAsia="en-AU"/>
    </w:rPr>
  </w:style>
  <w:style w:type="table" w:customStyle="1" w:styleId="FacilityTable">
    <w:name w:val="Facility Table"/>
    <w:basedOn w:val="TableNormal"/>
    <w:uiPriority w:val="99"/>
    <w:rsid w:val="00FB25AD"/>
    <w:pPr>
      <w:spacing w:after="0" w:line="240" w:lineRule="auto"/>
    </w:pPr>
    <w:rPr>
      <w:rFonts w:ascii="Arial" w:eastAsia="Calibri" w:hAnsi="Arial" w:cs="Arial"/>
      <w:sz w:val="20"/>
      <w:szCs w:val="20"/>
      <w:lang w:val="en-US" w:eastAsia="en-AU"/>
    </w:rPr>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cPr>
      <w:shd w:val="clear" w:color="auto" w:fill="FFFFFF"/>
    </w:tcPr>
    <w:tblStylePr w:type="firstRow">
      <w:tblPr/>
      <w:tcPr>
        <w:shd w:val="clear" w:color="auto" w:fill="8EAADB"/>
      </w:tcPr>
    </w:tblStylePr>
  </w:style>
  <w:style w:type="paragraph" w:styleId="Revision">
    <w:name w:val="Revision"/>
    <w:hidden/>
    <w:uiPriority w:val="99"/>
    <w:semiHidden/>
    <w:rsid w:val="00FB25AD"/>
    <w:pPr>
      <w:spacing w:after="0" w:line="240" w:lineRule="auto"/>
    </w:pPr>
    <w:rPr>
      <w:rFonts w:ascii="Calibri" w:eastAsia="Calibri" w:hAnsi="Calibri" w:cs="Arial"/>
      <w:lang w:val="en-AU" w:eastAsia="en-US"/>
    </w:rPr>
  </w:style>
  <w:style w:type="paragraph" w:customStyle="1" w:styleId="Leveli">
    <w:name w:val="Level (i)"/>
    <w:basedOn w:val="Normal"/>
    <w:uiPriority w:val="99"/>
    <w:rsid w:val="00FB25AD"/>
    <w:pPr>
      <w:spacing w:before="240" w:after="0" w:line="240" w:lineRule="auto"/>
      <w:ind w:left="2160" w:hanging="720"/>
    </w:pPr>
    <w:rPr>
      <w:rFonts w:ascii="Times New Roman" w:eastAsia="Calibri" w:hAnsi="Times New Roman" w:cs="Times New Roman"/>
      <w:sz w:val="24"/>
      <w:szCs w:val="24"/>
      <w:lang w:val="en-AU" w:eastAsia="en-US"/>
    </w:rPr>
  </w:style>
  <w:style w:type="paragraph" w:customStyle="1" w:styleId="Default">
    <w:name w:val="Default"/>
    <w:rsid w:val="00FB25AD"/>
    <w:pPr>
      <w:autoSpaceDE w:val="0"/>
      <w:autoSpaceDN w:val="0"/>
      <w:adjustRightInd w:val="0"/>
      <w:spacing w:after="0" w:line="240" w:lineRule="auto"/>
    </w:pPr>
    <w:rPr>
      <w:rFonts w:ascii="Arial" w:eastAsia="Calibri" w:hAnsi="Arial" w:cs="Arial"/>
      <w:color w:val="000000"/>
      <w:sz w:val="24"/>
      <w:szCs w:val="24"/>
      <w:lang w:val="en-AU" w:eastAsia="en-US"/>
    </w:rPr>
  </w:style>
  <w:style w:type="paragraph" w:customStyle="1" w:styleId="NumberedList1">
    <w:name w:val="Numbered List 1"/>
    <w:basedOn w:val="Normal"/>
    <w:qFormat/>
    <w:rsid w:val="00FB25AD"/>
    <w:pPr>
      <w:numPr>
        <w:numId w:val="12"/>
      </w:numPr>
      <w:suppressAutoHyphens/>
      <w:spacing w:before="0" w:after="60" w:line="230" w:lineRule="atLeast"/>
    </w:pPr>
    <w:rPr>
      <w:rFonts w:ascii="Calibri" w:eastAsia="Calibri" w:hAnsi="Calibri" w:cs="Arial"/>
      <w:color w:val="44546A"/>
      <w:lang w:eastAsia="en-US"/>
    </w:rPr>
  </w:style>
  <w:style w:type="paragraph" w:customStyle="1" w:styleId="NumberedList2">
    <w:name w:val="Numbered List 2"/>
    <w:basedOn w:val="NumberedList1"/>
    <w:qFormat/>
    <w:rsid w:val="00FB25AD"/>
    <w:pPr>
      <w:numPr>
        <w:ilvl w:val="1"/>
      </w:numPr>
    </w:pPr>
  </w:style>
  <w:style w:type="paragraph" w:customStyle="1" w:styleId="NumberedList3">
    <w:name w:val="Numbered List 3"/>
    <w:basedOn w:val="NumberedList2"/>
    <w:qFormat/>
    <w:rsid w:val="00FB25AD"/>
    <w:pPr>
      <w:numPr>
        <w:ilvl w:val="2"/>
      </w:numPr>
    </w:pPr>
  </w:style>
  <w:style w:type="table" w:customStyle="1" w:styleId="PlainTable11">
    <w:name w:val="Plain Table 11"/>
    <w:basedOn w:val="TableNormal"/>
    <w:next w:val="TableGrid"/>
    <w:uiPriority w:val="59"/>
    <w:rsid w:val="00FB25AD"/>
    <w:pPr>
      <w:spacing w:after="0" w:line="240" w:lineRule="auto"/>
    </w:pPr>
    <w:rPr>
      <w:rFonts w:ascii="Calibri" w:eastAsia="Calibri" w:hAnsi="Calibri" w:cs="Arial"/>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ffey">
    <w:name w:val="Coffey"/>
    <w:basedOn w:val="TableNormal"/>
    <w:uiPriority w:val="99"/>
    <w:rsid w:val="00FB25AD"/>
    <w:pPr>
      <w:spacing w:after="0" w:line="240" w:lineRule="auto"/>
    </w:pPr>
    <w:rPr>
      <w:rFonts w:ascii="Calibri" w:eastAsia="Calibri" w:hAnsi="Calibri" w:cs="Arial"/>
      <w:sz w:val="20"/>
      <w:szCs w:val="20"/>
      <w:lang w:val="en-AU" w:eastAsia="en-AU"/>
    </w:rPr>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cPr>
      <w:shd w:val="clear" w:color="auto" w:fill="auto"/>
    </w:tcPr>
    <w:tblStylePr w:type="firstRow">
      <w:tblPr/>
      <w:tcPr>
        <w:shd w:val="clear" w:color="auto" w:fill="9CC2E5"/>
      </w:tcPr>
    </w:tblStylePr>
  </w:style>
  <w:style w:type="paragraph" w:customStyle="1" w:styleId="TableTextEntries">
    <w:name w:val="Table Text Entries"/>
    <w:rsid w:val="00FB25AD"/>
    <w:pPr>
      <w:keepLines/>
      <w:spacing w:before="40" w:after="40" w:line="200" w:lineRule="atLeast"/>
    </w:pPr>
    <w:rPr>
      <w:rFonts w:ascii="Franklin Gothic Book" w:eastAsia="Times New Roman" w:hAnsi="Franklin Gothic Book" w:cs="Times New Roman"/>
      <w:iCs/>
      <w:sz w:val="17"/>
      <w:szCs w:val="17"/>
      <w:lang w:val="en-AU" w:eastAsia="en-US"/>
    </w:rPr>
  </w:style>
  <w:style w:type="table" w:customStyle="1" w:styleId="DFATTable">
    <w:name w:val="DFAT Table"/>
    <w:basedOn w:val="TableNormal"/>
    <w:uiPriority w:val="99"/>
    <w:rsid w:val="00FB25AD"/>
    <w:pPr>
      <w:spacing w:after="0" w:line="240" w:lineRule="auto"/>
    </w:pPr>
    <w:rPr>
      <w:rFonts w:ascii="Helvetica" w:eastAsia="Calibri" w:hAnsi="Helvetica" w:cs="Arial"/>
      <w:sz w:val="17"/>
      <w:szCs w:val="20"/>
      <w:lang w:val="en-AU" w:eastAsia="en-AU"/>
    </w:rPr>
    <w:tblPr>
      <w:tblBorders>
        <w:top w:val="single" w:sz="12" w:space="0" w:color="auto"/>
        <w:bottom w:val="single" w:sz="12" w:space="0" w:color="auto"/>
      </w:tblBorders>
    </w:tblPr>
  </w:style>
  <w:style w:type="paragraph" w:customStyle="1" w:styleId="TableHeading1">
    <w:name w:val="Table Heading 1"/>
    <w:basedOn w:val="TableTextEntries"/>
    <w:next w:val="TableTextEntries"/>
    <w:rsid w:val="00FB25AD"/>
    <w:pPr>
      <w:spacing w:before="80" w:after="80"/>
    </w:pPr>
    <w:rPr>
      <w:b/>
    </w:rPr>
  </w:style>
  <w:style w:type="paragraph" w:customStyle="1" w:styleId="TableListNumber">
    <w:name w:val="Table List Number"/>
    <w:basedOn w:val="TableTextEntries"/>
    <w:rsid w:val="00FB25AD"/>
    <w:pPr>
      <w:numPr>
        <w:numId w:val="13"/>
      </w:numPr>
      <w:ind w:left="284" w:hanging="284"/>
    </w:pPr>
    <w:rPr>
      <w:rFonts w:ascii="Helvetica" w:hAnsi="Helvetica"/>
    </w:rPr>
  </w:style>
  <w:style w:type="paragraph" w:customStyle="1" w:styleId="Normal0">
    <w:name w:val="[Normal]"/>
    <w:rsid w:val="00FB25AD"/>
    <w:pPr>
      <w:widowControl w:val="0"/>
      <w:autoSpaceDE w:val="0"/>
      <w:autoSpaceDN w:val="0"/>
      <w:adjustRightInd w:val="0"/>
      <w:spacing w:after="0" w:line="240" w:lineRule="auto"/>
    </w:pPr>
    <w:rPr>
      <w:rFonts w:ascii="Arial" w:eastAsia="Calibri" w:hAnsi="Arial" w:cs="Arial"/>
      <w:sz w:val="24"/>
      <w:szCs w:val="24"/>
      <w:lang w:val="en-AU" w:eastAsia="en-US"/>
    </w:rPr>
  </w:style>
  <w:style w:type="character" w:styleId="FollowedHyperlink">
    <w:name w:val="FollowedHyperlink"/>
    <w:uiPriority w:val="99"/>
    <w:semiHidden/>
    <w:unhideWhenUsed/>
    <w:rsid w:val="00FB25AD"/>
    <w:rPr>
      <w:color w:val="954F72"/>
      <w:u w:val="single"/>
    </w:rPr>
  </w:style>
  <w:style w:type="paragraph" w:customStyle="1" w:styleId="TableParagraph">
    <w:name w:val="Table Paragraph"/>
    <w:basedOn w:val="Normal"/>
    <w:uiPriority w:val="1"/>
    <w:qFormat/>
    <w:rsid w:val="00FB25AD"/>
    <w:pPr>
      <w:widowControl w:val="0"/>
      <w:autoSpaceDE w:val="0"/>
      <w:autoSpaceDN w:val="0"/>
      <w:spacing w:before="0" w:after="0" w:line="240" w:lineRule="auto"/>
    </w:pPr>
    <w:rPr>
      <w:rFonts w:ascii="Calibri" w:eastAsia="Calibri" w:hAnsi="Calibri" w:cs="Calibri"/>
      <w:lang w:val="en-US" w:eastAsia="en-US"/>
    </w:rPr>
  </w:style>
  <w:style w:type="character" w:styleId="UnresolvedMention">
    <w:name w:val="Unresolved Mention"/>
    <w:uiPriority w:val="99"/>
    <w:rsid w:val="00FB25AD"/>
    <w:rPr>
      <w:color w:val="605E5C"/>
      <w:shd w:val="clear" w:color="auto" w:fill="E1DFDD"/>
    </w:rPr>
  </w:style>
  <w:style w:type="character" w:customStyle="1" w:styleId="normaltextrun">
    <w:name w:val="normaltextrun"/>
    <w:basedOn w:val="DefaultParagraphFont"/>
    <w:rsid w:val="00FB25AD"/>
  </w:style>
  <w:style w:type="character" w:customStyle="1" w:styleId="eop">
    <w:name w:val="eop"/>
    <w:basedOn w:val="DefaultParagraphFont"/>
    <w:rsid w:val="00FB25AD"/>
  </w:style>
  <w:style w:type="table" w:customStyle="1" w:styleId="DPSTableGrid1">
    <w:name w:val="DPS Table Grid1"/>
    <w:basedOn w:val="TableNormal"/>
    <w:next w:val="TableGrid"/>
    <w:uiPriority w:val="59"/>
    <w:rsid w:val="00FB25AD"/>
    <w:pPr>
      <w:spacing w:after="0" w:line="240" w:lineRule="auto"/>
    </w:pPr>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qFormat/>
    <w:rsid w:val="00FB25AD"/>
    <w:pPr>
      <w:suppressAutoHyphens/>
      <w:spacing w:before="60" w:after="60" w:line="240" w:lineRule="auto"/>
    </w:pPr>
    <w:rPr>
      <w:rFonts w:ascii="Times New Roman" w:eastAsia="MS Mincho" w:hAnsi="Times New Roman" w:cs="Arial"/>
      <w:szCs w:val="20"/>
      <w:lang w:val="en-AU" w:eastAsia="ja-JP"/>
    </w:rPr>
  </w:style>
  <w:style w:type="character" w:customStyle="1" w:styleId="cf01">
    <w:name w:val="cf01"/>
    <w:rsid w:val="00FB25AD"/>
    <w:rPr>
      <w:rFonts w:ascii="Segoe UI" w:hAnsi="Segoe UI" w:cs="Segoe UI" w:hint="default"/>
      <w:sz w:val="18"/>
      <w:szCs w:val="18"/>
    </w:rPr>
  </w:style>
  <w:style w:type="table" w:styleId="GridTable4-Accent5">
    <w:name w:val="Grid Table 4 Accent 5"/>
    <w:basedOn w:val="TableNormal"/>
    <w:uiPriority w:val="49"/>
    <w:rsid w:val="00FB25AD"/>
    <w:pPr>
      <w:spacing w:after="0" w:line="240" w:lineRule="auto"/>
    </w:pPr>
    <w:rPr>
      <w:rFonts w:ascii="Calibri" w:eastAsia="Calibri" w:hAnsi="Calibri" w:cs="Arial"/>
      <w:sz w:val="20"/>
      <w:szCs w:val="20"/>
      <w:lang w:val="en-AU" w:eastAsia="en-A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ody">
    <w:name w:val="Body"/>
    <w:link w:val="BodyChar"/>
    <w:qFormat/>
    <w:rsid w:val="00FB25AD"/>
    <w:pPr>
      <w:suppressAutoHyphens/>
      <w:spacing w:before="200" w:line="264" w:lineRule="auto"/>
    </w:pPr>
    <w:rPr>
      <w:rFonts w:ascii="Arial" w:eastAsia="Arial" w:hAnsi="Arial" w:cs="Arial"/>
      <w:color w:val="000000"/>
      <w:sz w:val="20"/>
      <w:lang w:eastAsia="en-US"/>
    </w:rPr>
  </w:style>
  <w:style w:type="character" w:customStyle="1" w:styleId="BodyChar">
    <w:name w:val="Body Char"/>
    <w:link w:val="Body"/>
    <w:rsid w:val="00FB25AD"/>
    <w:rPr>
      <w:rFonts w:ascii="Arial" w:eastAsia="Arial" w:hAnsi="Arial" w:cs="Arial"/>
      <w:color w:val="000000"/>
      <w:sz w:val="20"/>
      <w:lang w:eastAsia="en-US"/>
    </w:rPr>
  </w:style>
  <w:style w:type="table" w:customStyle="1" w:styleId="DPSTableGrid2">
    <w:name w:val="DPS Table Grid2"/>
    <w:basedOn w:val="TableNormal"/>
    <w:next w:val="TableGrid"/>
    <w:uiPriority w:val="59"/>
    <w:rsid w:val="00FB25AD"/>
    <w:pPr>
      <w:spacing w:after="0" w:line="240" w:lineRule="auto"/>
    </w:pPr>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PSTableGrid3">
    <w:name w:val="DPS Table Grid3"/>
    <w:basedOn w:val="TableNormal"/>
    <w:next w:val="TableGrid"/>
    <w:uiPriority w:val="59"/>
    <w:rsid w:val="00FB25AD"/>
    <w:pPr>
      <w:spacing w:after="0" w:line="240" w:lineRule="auto"/>
    </w:pPr>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PSTableGrid4">
    <w:name w:val="DPS Table Grid4"/>
    <w:basedOn w:val="TableNormal"/>
    <w:next w:val="TableGrid"/>
    <w:rsid w:val="00FB25AD"/>
    <w:pPr>
      <w:spacing w:after="0" w:line="240" w:lineRule="auto"/>
    </w:pPr>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B25AD"/>
  </w:style>
  <w:style w:type="paragraph" w:customStyle="1" w:styleId="Heading1NoNumbering">
    <w:name w:val="Heading 1 No Numbering"/>
    <w:basedOn w:val="Heading1"/>
    <w:qFormat/>
    <w:rsid w:val="00FB25AD"/>
    <w:pPr>
      <w:keepNext/>
      <w:keepLines/>
      <w:spacing w:before="240" w:after="400" w:line="680" w:lineRule="exact"/>
      <w:contextualSpacing w:val="0"/>
    </w:pPr>
    <w:rPr>
      <w:rFonts w:ascii="Times New Roman" w:eastAsia="Yu Gothic Light" w:hAnsi="Times New Roman" w:cs="Times New Roman"/>
      <w:bCs w:val="0"/>
      <w:color w:val="002B51"/>
      <w:sz w:val="60"/>
      <w:szCs w:val="60"/>
      <w:lang w:val="en-AU" w:eastAsia="en-US"/>
    </w:rPr>
  </w:style>
  <w:style w:type="paragraph" w:customStyle="1" w:styleId="BulletListParagraph">
    <w:name w:val="Bullet List Paragraph"/>
    <w:basedOn w:val="ListParagraph"/>
    <w:qFormat/>
    <w:rsid w:val="00FB25AD"/>
    <w:pPr>
      <w:widowControl w:val="0"/>
      <w:numPr>
        <w:numId w:val="14"/>
      </w:numPr>
      <w:spacing w:after="200" w:line="240" w:lineRule="auto"/>
    </w:pPr>
    <w:rPr>
      <w:rFonts w:ascii="Calibri" w:eastAsia="Calibri" w:hAnsi="Calibri" w:cs="Calibri"/>
      <w:bCs/>
      <w:sz w:val="24"/>
      <w:szCs w:val="24"/>
      <w:lang w:val="en-AU" w:eastAsia="en-US"/>
    </w:rPr>
  </w:style>
  <w:style w:type="paragraph" w:customStyle="1" w:styleId="Figure">
    <w:name w:val="Figure"/>
    <w:basedOn w:val="Caption"/>
    <w:qFormat/>
    <w:rsid w:val="00FB25AD"/>
    <w:pPr>
      <w:keepNext/>
      <w:spacing w:before="240" w:after="200"/>
    </w:pPr>
    <w:rPr>
      <w:rFonts w:eastAsia="Calibri" w:cs="Arial"/>
      <w:smallCaps w:val="0"/>
      <w:color w:val="000000"/>
      <w:spacing w:val="0"/>
      <w:sz w:val="20"/>
      <w:szCs w:val="22"/>
      <w:lang w:val="en-AU" w:eastAsia="en-US" w:bidi="ar-SA"/>
    </w:rPr>
  </w:style>
  <w:style w:type="paragraph" w:customStyle="1" w:styleId="paragraph">
    <w:name w:val="paragraph"/>
    <w:basedOn w:val="Normal"/>
    <w:rsid w:val="00FB25A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scxp223577342">
    <w:name w:val="scxp223577342"/>
    <w:basedOn w:val="DefaultParagraphFont"/>
    <w:rsid w:val="00FB25AD"/>
  </w:style>
  <w:style w:type="character" w:customStyle="1" w:styleId="superscript">
    <w:name w:val="superscript"/>
    <w:basedOn w:val="DefaultParagraphFont"/>
    <w:rsid w:val="00FB25AD"/>
  </w:style>
  <w:style w:type="table" w:customStyle="1" w:styleId="GRMTable1">
    <w:name w:val="GRM Table1"/>
    <w:basedOn w:val="TableNormal"/>
    <w:next w:val="TableGrid"/>
    <w:uiPriority w:val="39"/>
    <w:rsid w:val="00C80FA2"/>
    <w:pPr>
      <w:spacing w:after="0" w:line="240" w:lineRule="auto"/>
    </w:pPr>
    <w:rPr>
      <w:rFonts w:ascii="Arial" w:eastAsiaTheme="minorHAnsi" w:hAnsi="Arial" w:cs="Times New Roman"/>
      <w:sz w:val="20"/>
      <w:szCs w:val="20"/>
      <w:lang w:val="en-AU" w:eastAsia="en-US"/>
    </w:rPr>
    <w:tblPr>
      <w:tblCellMar>
        <w:left w:w="0" w:type="dxa"/>
        <w:right w:w="0" w:type="dxa"/>
      </w:tblCellMar>
    </w:tblPr>
  </w:style>
  <w:style w:type="table" w:customStyle="1" w:styleId="TableGrid1">
    <w:name w:val="Table Grid1"/>
    <w:basedOn w:val="TableNormal"/>
    <w:next w:val="TableGrid"/>
    <w:uiPriority w:val="59"/>
    <w:rsid w:val="00C80FA2"/>
    <w:pPr>
      <w:spacing w:after="0" w:line="240" w:lineRule="auto"/>
    </w:pPr>
    <w:rPr>
      <w:rFonts w:eastAsiaTheme="minorHAnsi"/>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bullet">
    <w:name w:val="Table: bullet"/>
    <w:basedOn w:val="BodyCopy0"/>
    <w:qFormat/>
    <w:rsid w:val="00C80FA2"/>
    <w:pPr>
      <w:numPr>
        <w:numId w:val="15"/>
      </w:numPr>
      <w:tabs>
        <w:tab w:val="num" w:pos="720"/>
      </w:tabs>
      <w:spacing w:before="0" w:line="260" w:lineRule="exact"/>
      <w:ind w:left="365" w:hanging="355"/>
    </w:pPr>
    <w:rPr>
      <w:rFonts w:eastAsia="Calibri" w:cs="Arial"/>
      <w:szCs w:val="22"/>
      <w:lang w:val="en-AU" w:eastAsia="en-US"/>
    </w:rPr>
  </w:style>
  <w:style w:type="character" w:customStyle="1" w:styleId="white-space-pre">
    <w:name w:val="white-space-pre"/>
    <w:basedOn w:val="DefaultParagraphFont"/>
    <w:rsid w:val="00C80FA2"/>
  </w:style>
  <w:style w:type="paragraph" w:customStyle="1" w:styleId="Footnote">
    <w:name w:val="Footnote"/>
    <w:basedOn w:val="FootnoteText"/>
    <w:qFormat/>
    <w:rsid w:val="00C80FA2"/>
    <w:pPr>
      <w:spacing w:before="60"/>
      <w:ind w:left="284" w:hanging="284"/>
    </w:pPr>
    <w:rPr>
      <w:rFonts w:eastAsiaTheme="minorHAnsi" w:cstheme="minorBidi"/>
      <w:szCs w:val="16"/>
      <w:lang w:eastAsia="en-US"/>
    </w:rPr>
  </w:style>
  <w:style w:type="paragraph" w:customStyle="1" w:styleId="Annextitle">
    <w:name w:val="Annex title"/>
    <w:basedOn w:val="ThemeStatement"/>
    <w:qFormat/>
    <w:rsid w:val="00331052"/>
  </w:style>
  <w:style w:type="table" w:styleId="ListTable3">
    <w:name w:val="List Table 3"/>
    <w:basedOn w:val="TableNormal"/>
    <w:uiPriority w:val="48"/>
    <w:rsid w:val="00BC5B6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3820">
      <w:bodyDiv w:val="1"/>
      <w:marLeft w:val="0"/>
      <w:marRight w:val="0"/>
      <w:marTop w:val="0"/>
      <w:marBottom w:val="0"/>
      <w:divBdr>
        <w:top w:val="none" w:sz="0" w:space="0" w:color="auto"/>
        <w:left w:val="none" w:sz="0" w:space="0" w:color="auto"/>
        <w:bottom w:val="none" w:sz="0" w:space="0" w:color="auto"/>
        <w:right w:val="none" w:sz="0" w:space="0" w:color="auto"/>
      </w:divBdr>
    </w:div>
    <w:div w:id="441655602">
      <w:bodyDiv w:val="1"/>
      <w:marLeft w:val="0"/>
      <w:marRight w:val="0"/>
      <w:marTop w:val="0"/>
      <w:marBottom w:val="0"/>
      <w:divBdr>
        <w:top w:val="none" w:sz="0" w:space="0" w:color="auto"/>
        <w:left w:val="none" w:sz="0" w:space="0" w:color="auto"/>
        <w:bottom w:val="none" w:sz="0" w:space="0" w:color="auto"/>
        <w:right w:val="none" w:sz="0" w:space="0" w:color="auto"/>
      </w:divBdr>
    </w:div>
    <w:div w:id="541131938">
      <w:bodyDiv w:val="1"/>
      <w:marLeft w:val="0"/>
      <w:marRight w:val="0"/>
      <w:marTop w:val="0"/>
      <w:marBottom w:val="0"/>
      <w:divBdr>
        <w:top w:val="none" w:sz="0" w:space="0" w:color="auto"/>
        <w:left w:val="none" w:sz="0" w:space="0" w:color="auto"/>
        <w:bottom w:val="none" w:sz="0" w:space="0" w:color="auto"/>
        <w:right w:val="none" w:sz="0" w:space="0" w:color="auto"/>
      </w:divBdr>
    </w:div>
    <w:div w:id="669867871">
      <w:bodyDiv w:val="1"/>
      <w:marLeft w:val="0"/>
      <w:marRight w:val="0"/>
      <w:marTop w:val="0"/>
      <w:marBottom w:val="0"/>
      <w:divBdr>
        <w:top w:val="none" w:sz="0" w:space="0" w:color="auto"/>
        <w:left w:val="none" w:sz="0" w:space="0" w:color="auto"/>
        <w:bottom w:val="none" w:sz="0" w:space="0" w:color="auto"/>
        <w:right w:val="none" w:sz="0" w:space="0" w:color="auto"/>
      </w:divBdr>
    </w:div>
    <w:div w:id="735974018">
      <w:bodyDiv w:val="1"/>
      <w:marLeft w:val="0"/>
      <w:marRight w:val="0"/>
      <w:marTop w:val="0"/>
      <w:marBottom w:val="0"/>
      <w:divBdr>
        <w:top w:val="none" w:sz="0" w:space="0" w:color="auto"/>
        <w:left w:val="none" w:sz="0" w:space="0" w:color="auto"/>
        <w:bottom w:val="none" w:sz="0" w:space="0" w:color="auto"/>
        <w:right w:val="none" w:sz="0" w:space="0" w:color="auto"/>
      </w:divBdr>
    </w:div>
    <w:div w:id="105404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fat.gov.au/about-us/publications/dfat-design-monitoring-evaluation-learning-standards" TargetMode="External"/><Relationship Id="rId21" Type="http://schemas.openxmlformats.org/officeDocument/2006/relationships/hyperlink" Target="https://www.dfat.gov.au/sites/default/files/indigenous-diplomacy-agenda.pdf" TargetMode="External"/><Relationship Id="rId42" Type="http://schemas.openxmlformats.org/officeDocument/2006/relationships/hyperlink" Target="https://www.dfat.gov.au/publications/people-people/mobile-alumni-case-study" TargetMode="External"/><Relationship Id="rId47" Type="http://schemas.openxmlformats.org/officeDocument/2006/relationships/hyperlink" Target="https://www.bing.com/search?q=Tonga-Australia+Aid+Investment+Plan&amp;cvid=0dbe7356f6b846e3a2959142783e168c&amp;gs_lcrp=EgZjaHJvbWUyBggAEEUYOTIGCAEQABhAMgYIAhAAGEAyBggDEAAYQDIGCAQQABhA0gEIMTI2OWowajmoAgiwAgE&amp;FORM=ANAB01&amp;PC=DCTS" TargetMode="External"/><Relationship Id="rId63" Type="http://schemas.openxmlformats.org/officeDocument/2006/relationships/hyperlink" Target="https://projects.worldbank.org/en/projects-operations/project-detail/P161541" TargetMode="External"/><Relationship Id="rId68" Type="http://schemas.openxmlformats.org/officeDocument/2006/relationships/hyperlink" Target="https://www.nzscholarships.govt.nz/types-of-manaaki-scholarships/" TargetMode="External"/><Relationship Id="rId84" Type="http://schemas.openxmlformats.org/officeDocument/2006/relationships/hyperlink" Target="https://finance.gov.to/sites/default/files/2024-05/Budget%20Statement%202024%20-%202025.pdf" TargetMode="External"/><Relationship Id="rId89" Type="http://schemas.openxmlformats.org/officeDocument/2006/relationships/hyperlink" Target="https://palladiumgroupaus.sharepoint.com/sites/AustraliaAwardsTonga/Shared%20Documents/General/4.%20Deliverables/2.%20Review%20Report/UNEP%20Green%20Economy%20Report%20(2011):" TargetMode="External"/><Relationship Id="rId16" Type="http://schemas.openxmlformats.org/officeDocument/2006/relationships/footer" Target="footer2.xml"/><Relationship Id="rId11" Type="http://schemas.openxmlformats.org/officeDocument/2006/relationships/hyperlink" Target="https://www.dfat.gov.au/about-us/publications/australia-awards-global-strategic-framework-and-global-monitoring-and-evaluation-framework" TargetMode="External"/><Relationship Id="rId32" Type="http://schemas.openxmlformats.org/officeDocument/2006/relationships/hyperlink" Target="https://www.dfat.gov.au/sites/default/files/australia-awards-linkages-good-practice-guide.pdf" TargetMode="External"/><Relationship Id="rId37" Type="http://schemas.openxmlformats.org/officeDocument/2006/relationships/hyperlink" Target="https://www.dfat.gov.au/sites/default/files/australia-awards-guidance-note-3-core-global-indicators.docx" TargetMode="External"/><Relationship Id="rId53" Type="http://schemas.openxmlformats.org/officeDocument/2006/relationships/hyperlink" Target="https://www.adb.org/sites/default/files/linked-documents/cobp-tim-2014-2016-sd-02.pdf" TargetMode="External"/><Relationship Id="rId58" Type="http://schemas.openxmlformats.org/officeDocument/2006/relationships/hyperlink" Target="https://www.mfat.govt.nz/assets/Uploads/New-Zealand-Aid-Scholarships-Evaluation-report.pdf" TargetMode="External"/><Relationship Id="rId74" Type="http://schemas.openxmlformats.org/officeDocument/2006/relationships/hyperlink" Target="https://tongastats.gov.to/census-2/population-census-3/census-tables/" TargetMode="External"/><Relationship Id="rId79" Type="http://schemas.openxmlformats.org/officeDocument/2006/relationships/hyperlink" Target="https://tongastats.gov.to/survey/labour-force-survey/" TargetMode="External"/><Relationship Id="rId5" Type="http://schemas.openxmlformats.org/officeDocument/2006/relationships/numbering" Target="numbering.xml"/><Relationship Id="rId90" Type="http://schemas.openxmlformats.org/officeDocument/2006/relationships/hyperlink" Target="https://www.lse.ac.uk/granthaminstitute/explainers/what-is-the-blue-economy/" TargetMode="External"/><Relationship Id="rId95" Type="http://schemas.openxmlformats.org/officeDocument/2006/relationships/hyperlink" Target="https://www.bulletpoint.com.au/wp-content/uploads/2017/11/aa-fellowships-previous-rounds.pdf" TargetMode="External"/><Relationship Id="rId22" Type="http://schemas.openxmlformats.org/officeDocument/2006/relationships/hyperlink" Target="https://www.dfat.gov.au/sites/default/files/ethical-research-evaluation-guidance-note.pdf" TargetMode="External"/><Relationship Id="rId27" Type="http://schemas.openxmlformats.org/officeDocument/2006/relationships/hyperlink" Target="https://www.dfat.gov.au/international-relations/themes/gender-equality/new-international-gender-equality-strategy" TargetMode="External"/><Relationship Id="rId43" Type="http://schemas.openxmlformats.org/officeDocument/2006/relationships/hyperlink" Target="https://research.acer.edu.au/tracer/46/" TargetMode="External"/><Relationship Id="rId48" Type="http://schemas.openxmlformats.org/officeDocument/2006/relationships/hyperlink" Target="https://www.dfat.gov.au/publications/development/2022-23-tonga-development-program-progress-report" TargetMode="External"/><Relationship Id="rId64" Type="http://schemas.openxmlformats.org/officeDocument/2006/relationships/hyperlink" Target="https://www.dfat.gov.au/geo/pacific/development-assistance/education" TargetMode="External"/><Relationship Id="rId69" Type="http://schemas.openxmlformats.org/officeDocument/2006/relationships/hyperlink" Target="https://globalcampus.co.in/blogs/manaaki-new-zealand-scholarship/" TargetMode="External"/><Relationship Id="rId80" Type="http://schemas.openxmlformats.org/officeDocument/2006/relationships/hyperlink" Target="https://palladiumgroupaus-my.sharepoint.com/personal/lisa_campanella_thepalladiumgroup_com/Documents/Desktop/Design%20&amp;%20Tenders/Project%20Management/2021%20Household%20Income%20and%20Expenditure%20Survey" TargetMode="External"/><Relationship Id="rId85" Type="http://schemas.openxmlformats.org/officeDocument/2006/relationships/hyperlink" Target="https://www.ilo.org/addressing-skills-shortages-and-high-youth-unemployment-through-cookery" TargetMode="External"/><Relationship Id="rId3" Type="http://schemas.openxmlformats.org/officeDocument/2006/relationships/customXml" Target="../customXml/item3.xml"/><Relationship Id="rId12" Type="http://schemas.openxmlformats.org/officeDocument/2006/relationships/hyperlink" Target="https://www.dfat.gov.au/sites/default/files/dfat-design-monitoring-evaluation-learning-standards.pdf" TargetMode="External"/><Relationship Id="rId17" Type="http://schemas.openxmlformats.org/officeDocument/2006/relationships/header" Target="header2.xml"/><Relationship Id="rId25" Type="http://schemas.openxmlformats.org/officeDocument/2006/relationships/hyperlink" Target="https://www.dfat.gov.au/sites/default/files/monitoring-evaluating-development-factsheet.pdf" TargetMode="External"/><Relationship Id="rId33" Type="http://schemas.openxmlformats.org/officeDocument/2006/relationships/hyperlink" Target="https://www.dfat.gov.au/people-to-people/australia-awards/Pages/australia-awards-connecting-australia" TargetMode="External"/><Relationship Id="rId38" Type="http://schemas.openxmlformats.org/officeDocument/2006/relationships/hyperlink" Target="https://www.dfat.gov.au/sites/default/files/australia-awards-annual-investment-reporting-content-guide.docx" TargetMode="External"/><Relationship Id="rId46" Type="http://schemas.openxmlformats.org/officeDocument/2006/relationships/hyperlink" Target="https://www.dfat.gov.au/sites/default/files/covid-response-plan-timor-leste.pdf" TargetMode="External"/><Relationship Id="rId59" Type="http://schemas.openxmlformats.org/officeDocument/2006/relationships/hyperlink" Target="https://recovery.preventionweb.net/media/83335/download?startDownload=20240801" TargetMode="External"/><Relationship Id="rId67" Type="http://schemas.openxmlformats.org/officeDocument/2006/relationships/hyperlink" Target="https://matangitonga.to/2024/01/26/about-400-tongans-have-graduated-chinas-universities" TargetMode="External"/><Relationship Id="rId20" Type="http://schemas.openxmlformats.org/officeDocument/2006/relationships/hyperlink" Target="https://www.dfat.gov.au/sites/default/files/disability-inclusive-development-guidance-note.pdf" TargetMode="External"/><Relationship Id="rId41" Type="http://schemas.openxmlformats.org/officeDocument/2006/relationships/hyperlink" Target="https://www.dfat.gov.au/sites/default/files/australia-awards-gtf-survey-yr-3-tonga-alumni-2011-2016.pdf" TargetMode="External"/><Relationship Id="rId54" Type="http://schemas.openxmlformats.org/officeDocument/2006/relationships/hyperlink" Target="http://timor-leste.gov.tl/wp-content/uploads/2020/10/EN-PRE_screen.pdf" TargetMode="External"/><Relationship Id="rId62" Type="http://schemas.openxmlformats.org/officeDocument/2006/relationships/hyperlink" Target="https://pmo.gov.to/index.php/tonga-sustainable-development-goal/" TargetMode="External"/><Relationship Id="rId70" Type="http://schemas.openxmlformats.org/officeDocument/2006/relationships/hyperlink" Target="https://www.mfat.govt.nz/en/countries-and-regions/australia-and-pacific/tonga/new-zealand-high-commission/new-zealand-short-term-training-scholarships-kingdom-of-tonga" TargetMode="External"/><Relationship Id="rId75" Type="http://schemas.openxmlformats.org/officeDocument/2006/relationships/hyperlink" Target="https://data.worldbank.org/indicator/SL.EMP.SMGT.FE.ZS?locations=TO" TargetMode="External"/><Relationship Id="rId83" Type="http://schemas.openxmlformats.org/officeDocument/2006/relationships/hyperlink" Target="https://www.mted.gov.to/wp-content/uploads/2023/07/FINAL_Final-TLMSMS_23-March-20231.pdf" TargetMode="External"/><Relationship Id="rId88" Type="http://schemas.openxmlformats.org/officeDocument/2006/relationships/hyperlink" Target="https://gggi.org/country/tonga/" TargetMode="External"/><Relationship Id="rId91" Type="http://schemas.openxmlformats.org/officeDocument/2006/relationships/hyperlink" Target="https://www.worldbank.org/en/news/infographic/2017/06/06/blue-economy" TargetMode="External"/><Relationship Id="rId96" Type="http://schemas.openxmlformats.org/officeDocument/2006/relationships/hyperlink" Target="https://www.aciar.gov.au/scholarships/john-allwright-fellowsh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dfat.gov.au/sites/default/files/international-development-policy.docx" TargetMode="External"/><Relationship Id="rId28" Type="http://schemas.openxmlformats.org/officeDocument/2006/relationships/hyperlink" Target="https://www.dfat.gov.au/sites/default/files/australia-awards-global-strategy.pdf" TargetMode="External"/><Relationship Id="rId36" Type="http://schemas.openxmlformats.org/officeDocument/2006/relationships/hyperlink" Target="https://www.dfat.gov.au/sites/default/files/australia-awards-guidance-note-1-program-logic.docx" TargetMode="External"/><Relationship Id="rId49" Type="http://schemas.openxmlformats.org/officeDocument/2006/relationships/hyperlink" Target="https://www.dfat.gov.au/geo/tonga/tonga-country-brief" TargetMode="External"/><Relationship Id="rId57" Type="http://schemas.openxmlformats.org/officeDocument/2006/relationships/hyperlink" Target="https://pacificpsdi.org/assets/Unlocking-Potential-GIPS-framework-Tonga-assessment.pdf" TargetMode="External"/><Relationship Id="rId10" Type="http://schemas.openxmlformats.org/officeDocument/2006/relationships/endnotes" Target="endnotes.xml"/><Relationship Id="rId31" Type="http://schemas.openxmlformats.org/officeDocument/2006/relationships/hyperlink" Target="https://view.officeapps.live.com/op/view.aspx?src=https%3A%2F%2Fwww.dfat.gov.au%2Fsites%2Fdefault%2Ffiles%2Faus-awards-scholarships-policy-handbook.docx&amp;wdOrigin=BROWSELINK" TargetMode="External"/><Relationship Id="rId44" Type="http://schemas.openxmlformats.org/officeDocument/2006/relationships/hyperlink" Target="https://www.dfat.gov.au/publications/people-people/australia-awards-global-tracer-facility-year-7-results" TargetMode="External"/><Relationship Id="rId52" Type="http://schemas.openxmlformats.org/officeDocument/2006/relationships/hyperlink" Target="https://www.dfat.gov.au/sites/default/files/australia-awards-tonga-information-for-intake.pdf" TargetMode="External"/><Relationship Id="rId60" Type="http://schemas.openxmlformats.org/officeDocument/2006/relationships/hyperlink" Target="https://climateknowledgeportal.worldbank.org/country/tonga/vulnerability" TargetMode="External"/><Relationship Id="rId65" Type="http://schemas.openxmlformats.org/officeDocument/2006/relationships/hyperlink" Target="https://www.usp.ac.fj/wp-content/uploads/2023/11/2022-Annual-Report.pdf" TargetMode="External"/><Relationship Id="rId73" Type="http://schemas.openxmlformats.org/officeDocument/2006/relationships/hyperlink" Target="http://to.china-embassy.gov.cn/eng/sgxw/202301/t20230105_11000988.htm" TargetMode="External"/><Relationship Id="rId78" Type="http://schemas.openxmlformats.org/officeDocument/2006/relationships/hyperlink" Target="https://finance.gov.to/sites/default/files/2024-05/Budget%20Statement%202024%20-%202025.pdf" TargetMode="External"/><Relationship Id="rId81" Type="http://schemas.openxmlformats.org/officeDocument/2006/relationships/hyperlink" Target="https://finance.gov.to/sites/default/files/2023-07/Budget%20Statement%202023%20-%202024.pdf" TargetMode="External"/><Relationship Id="rId86" Type="http://schemas.openxmlformats.org/officeDocument/2006/relationships/hyperlink" Target="https://www.mted.gov.to/wp-content/uploads/2023/07/FINAL_Final-TLMSMS_23-March-20231.pdf" TargetMode="External"/><Relationship Id="rId94" Type="http://schemas.openxmlformats.org/officeDocument/2006/relationships/hyperlink" Target="https://aciar.gov.au/scholarships/john-allwright-fellowsh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fat.gov.au/sites/default/files/ethical-research-evaluation-guidance-note.pdf" TargetMode="External"/><Relationship Id="rId18" Type="http://schemas.openxmlformats.org/officeDocument/2006/relationships/footer" Target="footer3.xml"/><Relationship Id="rId39" Type="http://schemas.openxmlformats.org/officeDocument/2006/relationships/hyperlink" Target="https://www.dfat.gov.au/people-to-people/australia-awards/Pages/australia-awards-connecting-australia" TargetMode="External"/><Relationship Id="rId34" Type="http://schemas.openxmlformats.org/officeDocument/2006/relationships/hyperlink" Target="https://www.dfat.gov.au/sites/default/files/australia-awards-linkages-guide-scholars.pdf" TargetMode="External"/><Relationship Id="rId50" Type="http://schemas.openxmlformats.org/officeDocument/2006/relationships/hyperlink" Target="https://www.dfat.gov.au/sites/default/files/tnga-cef.pdf" TargetMode="External"/><Relationship Id="rId55" Type="http://schemas.openxmlformats.org/officeDocument/2006/relationships/hyperlink" Target="http://psc.gov.to/wp-content/uploads/2022/07/PSC-Annual-Report-2020_2021.pdf" TargetMode="External"/><Relationship Id="rId76" Type="http://schemas.openxmlformats.org/officeDocument/2006/relationships/hyperlink" Target="https://finance.gov.to/sites/default/files/2024-05/Budget%20Statement%202024%20-%202025.pdf" TargetMode="External"/><Relationship Id="rId97" Type="http://schemas.openxmlformats.org/officeDocument/2006/relationships/hyperlink" Target="https://www.passcrprogram.com/news/welcome-to-the-2023-aciar-pass-cr-scholars" TargetMode="External"/><Relationship Id="rId7" Type="http://schemas.openxmlformats.org/officeDocument/2006/relationships/settings" Target="settings.xml"/><Relationship Id="rId71" Type="http://schemas.openxmlformats.org/officeDocument/2006/relationships/hyperlink" Target="https://www.ton.emb-japan.go.jp/itpr_ja/00_000085.html" TargetMode="External"/><Relationship Id="rId92" Type="http://schemas.openxmlformats.org/officeDocument/2006/relationships/hyperlink" Target="https://openknowledge.worldbank.org/server/api/core/bitstreams/cee24b6c-2e2f-5579-b1a4-457011419425/content" TargetMode="External"/><Relationship Id="rId2" Type="http://schemas.openxmlformats.org/officeDocument/2006/relationships/customXml" Target="../customXml/item2.xml"/><Relationship Id="rId29" Type="http://schemas.openxmlformats.org/officeDocument/2006/relationships/hyperlink" Target="https://www.dfat.gov.au/about-us/publications/Pages/australia-global-alumni-engagement-strategy-2016-2020.aspx" TargetMode="External"/><Relationship Id="rId24" Type="http://schemas.openxmlformats.org/officeDocument/2006/relationships/hyperlink" Target="https://www.dfat.gov.au/sites/default/files/performance-delivery-framework.docx" TargetMode="External"/><Relationship Id="rId40" Type="http://schemas.openxmlformats.org/officeDocument/2006/relationships/hyperlink" Target="https://www.dfat.gov.au/people-people/australia-awards/australia-awards-fellowships" TargetMode="External"/><Relationship Id="rId45" Type="http://schemas.openxmlformats.org/officeDocument/2006/relationships/hyperlink" Target="file:///C:/Google%20Drive/Ceri%20Mar%202020/0%20TL%20AA%20Jun21/8%20Deliverables/1%20Review%20Plan/timor-leste-australia-alumni-engagement-strategy-2017-2019.pdf%20(dfat.gov.au)" TargetMode="External"/><Relationship Id="rId66" Type="http://schemas.openxmlformats.org/officeDocument/2006/relationships/hyperlink" Target="https://www.facebook.com/photo.php?fbid=708662767954258&amp;id=100064316246472&amp;set=a.458778069609397" TargetMode="External"/><Relationship Id="rId87" Type="http://schemas.openxmlformats.org/officeDocument/2006/relationships/hyperlink" Target="https://www.ilo.org/resource/news/tongas-first-ever-national-employment-policy-begins-take-shape" TargetMode="External"/><Relationship Id="rId61" Type="http://schemas.openxmlformats.org/officeDocument/2006/relationships/hyperlink" Target="https://gggi.org/country/tonga/" TargetMode="External"/><Relationship Id="rId82" Type="http://schemas.openxmlformats.org/officeDocument/2006/relationships/hyperlink" Target="https://www.macrotrends.net/global-metrics/countries/TON/tonga/net-migration" TargetMode="External"/><Relationship Id="rId19" Type="http://schemas.openxmlformats.org/officeDocument/2006/relationships/hyperlink" Target="https://www.dfat.gov.au/about-us/publications/Pages/gender-equality-and-womens-empowerment-strategy" TargetMode="External"/><Relationship Id="rId14" Type="http://schemas.openxmlformats.org/officeDocument/2006/relationships/header" Target="header1.xml"/><Relationship Id="rId30" Type="http://schemas.openxmlformats.org/officeDocument/2006/relationships/hyperlink" Target="https://www.dfat.gov.au/about-us/publications/australia-awards-pacific-scholarships-policy-handbook" TargetMode="External"/><Relationship Id="rId35" Type="http://schemas.openxmlformats.org/officeDocument/2006/relationships/hyperlink" Target="https://www.dfat.gov.au/about-us/publications/australia-awards-global-strategic-framework-and-global-monitoring-and-evaluation-framework" TargetMode="External"/><Relationship Id="rId56" Type="http://schemas.openxmlformats.org/officeDocument/2006/relationships/hyperlink" Target="https://www.mted.gov.to/wp-content/uploads/2023/07/FINAL_Final-TLMSMS_23-March-20231.pdf" TargetMode="External"/><Relationship Id="rId77" Type="http://schemas.openxmlformats.org/officeDocument/2006/relationships/hyperlink" Target="https://finance.gov.to/sites/default/files/2024-05/Budget%20Statement%202024%20-%202025.pdf" TargetMode="External"/><Relationship Id="rId8" Type="http://schemas.openxmlformats.org/officeDocument/2006/relationships/webSettings" Target="webSettings.xml"/><Relationship Id="rId51" Type="http://schemas.openxmlformats.org/officeDocument/2006/relationships/hyperlink" Target="https://www.dfat.gov.au/about-us/publications/development-cooperation-fact-sheets-for-country-regional-and-sector-thematic-programs/kingdom-tonga" TargetMode="External"/><Relationship Id="rId72" Type="http://schemas.openxmlformats.org/officeDocument/2006/relationships/hyperlink" Target="https://www.ton.emb-japan.go.jp/itpr_ja/00_000085.html" TargetMode="External"/><Relationship Id="rId93" Type="http://schemas.openxmlformats.org/officeDocument/2006/relationships/hyperlink" Target="https://palladiumgroupaus-my.sharepoint.com/personal/lisa_campanella_thepalladiumgroup_com/Documents/Desktop/Design%20&amp;%20Tenders/Project%20Management/IMF%20(2024):%20Staff%20Concluding%20Statement%20of%20the%202024%20Article%20IV%20Mission,%20Tonga" TargetMode="External"/><Relationship Id="rId98"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db.org/publications/asian-development-outlook-april-2024"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Palladium">
      <a:dk1>
        <a:sysClr val="windowText" lastClr="000000"/>
      </a:dk1>
      <a:lt1>
        <a:sysClr val="window" lastClr="FFFFFF"/>
      </a:lt1>
      <a:dk2>
        <a:srgbClr val="000000"/>
      </a:dk2>
      <a:lt2>
        <a:srgbClr val="FFFFFF"/>
      </a:lt2>
      <a:accent1>
        <a:srgbClr val="05C3DE"/>
      </a:accent1>
      <a:accent2>
        <a:srgbClr val="64A70B"/>
      </a:accent2>
      <a:accent3>
        <a:srgbClr val="FFB500"/>
      </a:accent3>
      <a:accent4>
        <a:srgbClr val="E57200"/>
      </a:accent4>
      <a:accent5>
        <a:srgbClr val="BA0C2F"/>
      </a:accent5>
      <a:accent6>
        <a:srgbClr val="8D6E97"/>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2C2A6566128D419AD09E6156C1E442" ma:contentTypeVersion="11" ma:contentTypeDescription="Create a new document." ma:contentTypeScope="" ma:versionID="e42edbd1ec0e8d2b1a8f1ab8c7c2d5b1">
  <xsd:schema xmlns:xsd="http://www.w3.org/2001/XMLSchema" xmlns:xs="http://www.w3.org/2001/XMLSchema" xmlns:p="http://schemas.microsoft.com/office/2006/metadata/properties" xmlns:ns2="aedc00c4-ffa6-4bb5-a59f-4e75e907786f" xmlns:ns3="997b70e3-a1d6-4a2f-ac8d-f369b703885b" targetNamespace="http://schemas.microsoft.com/office/2006/metadata/properties" ma:root="true" ma:fieldsID="f9eacfb25a999595e86f7c5b5b3b26ca" ns2:_="" ns3:_="">
    <xsd:import namespace="aedc00c4-ffa6-4bb5-a59f-4e75e907786f"/>
    <xsd:import namespace="997b70e3-a1d6-4a2f-ac8d-f369b70388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c00c4-ffa6-4bb5-a59f-4e75e9077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7b70e3-a1d6-4a2f-ac8d-f369b70388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9E65B-D3B4-4E11-A184-6C175266DBC7}">
  <ds:schemaRefs>
    <ds:schemaRef ds:uri="http://schemas.openxmlformats.org/officeDocument/2006/bibliography"/>
  </ds:schemaRefs>
</ds:datastoreItem>
</file>

<file path=customXml/itemProps2.xml><?xml version="1.0" encoding="utf-8"?>
<ds:datastoreItem xmlns:ds="http://schemas.openxmlformats.org/officeDocument/2006/customXml" ds:itemID="{E736CFB4-7C14-4583-A1F6-656F2D9BC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c00c4-ffa6-4bb5-a59f-4e75e907786f"/>
    <ds:schemaRef ds:uri="997b70e3-a1d6-4a2f-ac8d-f369b7038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07E44-0276-4D9C-AE62-11876BF122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06FF23-2EA3-4DA7-8021-E50889AF799D}">
  <ds:schemaRefs>
    <ds:schemaRef ds:uri="http://schemas.microsoft.com/sharepoint/v3/contenttype/forms"/>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43</Pages>
  <Words>15997</Words>
  <Characters>91184</Characters>
  <Application>Microsoft Office Word</Application>
  <DocSecurity>4</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Terms of Reference - Review of the Australia Awards Program (Tonga) (Summary)</dc:title>
  <dc:creator>Campanella, Lisa</dc:creator>
  <cp:revision>2</cp:revision>
  <cp:lastPrinted>2025-02-11T03:18:00Z</cp:lastPrinted>
  <dcterms:created xsi:type="dcterms:W3CDTF">2026-06-12T01:10:00Z</dcterms:created>
  <dcterms:modified xsi:type="dcterms:W3CDTF">2026-06-12T01:10:00Z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0x010100E02C2A6566128D419AD09E6156C1E442</vt:lpwstr>
  </property>
  <property fmtid="{D5CDD505-2E9C-101B-9397-08002B2CF9AE}" pid="3" name="ClassificationContentMarkingHeaderShapeIds">
    <vt:lpwstr>3699e174,55fb24a8,7c0cf3a8</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2a4c0797,6d5214de,67bcfabe</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ies>
</file>