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9D2420" w14:textId="2954407B" w:rsidR="00110C57" w:rsidRPr="0070613B" w:rsidRDefault="00D853DC" w:rsidP="00A72ECF">
      <w:pPr>
        <w:pStyle w:val="Title"/>
        <w:rPr>
          <w:color w:val="auto"/>
          <w:sz w:val="40"/>
          <w:szCs w:val="40"/>
        </w:rPr>
      </w:pPr>
      <w:r w:rsidRPr="0070613B">
        <w:rPr>
          <w:color w:val="auto"/>
          <w:sz w:val="40"/>
          <w:szCs w:val="40"/>
        </w:rPr>
        <w:t>202</w:t>
      </w:r>
      <w:r w:rsidR="000514F3" w:rsidRPr="0070613B">
        <w:rPr>
          <w:color w:val="auto"/>
          <w:sz w:val="40"/>
          <w:szCs w:val="40"/>
        </w:rPr>
        <w:t>3</w:t>
      </w:r>
      <w:r w:rsidRPr="0070613B">
        <w:rPr>
          <w:color w:val="auto"/>
          <w:sz w:val="40"/>
          <w:szCs w:val="40"/>
        </w:rPr>
        <w:t>-2</w:t>
      </w:r>
      <w:r w:rsidR="000514F3" w:rsidRPr="0070613B">
        <w:rPr>
          <w:color w:val="auto"/>
          <w:sz w:val="40"/>
          <w:szCs w:val="40"/>
        </w:rPr>
        <w:t>4</w:t>
      </w:r>
      <w:r w:rsidR="00411E0D" w:rsidRPr="0070613B">
        <w:rPr>
          <w:color w:val="auto"/>
          <w:sz w:val="40"/>
          <w:szCs w:val="40"/>
        </w:rPr>
        <w:t xml:space="preserve"> </w:t>
      </w:r>
      <w:r w:rsidR="00110C57" w:rsidRPr="0070613B">
        <w:rPr>
          <w:color w:val="auto"/>
          <w:sz w:val="40"/>
          <w:szCs w:val="40"/>
        </w:rPr>
        <w:t>Australian NGO Cooperation Program</w:t>
      </w:r>
      <w:r w:rsidR="000514F3" w:rsidRPr="0070613B">
        <w:rPr>
          <w:color w:val="auto"/>
          <w:sz w:val="40"/>
          <w:szCs w:val="40"/>
        </w:rPr>
        <w:t xml:space="preserve"> </w:t>
      </w:r>
      <w:r w:rsidR="00D73EA0" w:rsidRPr="0070613B">
        <w:rPr>
          <w:color w:val="auto"/>
          <w:sz w:val="40"/>
          <w:szCs w:val="40"/>
        </w:rPr>
        <w:t>Performance snapshot</w:t>
      </w:r>
    </w:p>
    <w:p w14:paraId="4C6158B9" w14:textId="64ADDE46" w:rsidR="00EF41B4" w:rsidRDefault="000F1140" w:rsidP="00967934">
      <w:pPr>
        <w:spacing w:after="240" w:line="240" w:lineRule="auto"/>
        <w:jc w:val="both"/>
        <w:rPr>
          <w:color w:val="auto"/>
          <w:sz w:val="24"/>
          <w:szCs w:val="24"/>
        </w:rPr>
      </w:pPr>
      <w:r w:rsidRPr="007D0F80">
        <w:rPr>
          <w:color w:val="000000" w:themeColor="text1"/>
          <w:sz w:val="24"/>
          <w:szCs w:val="24"/>
        </w:rPr>
        <w:t>The A</w:t>
      </w:r>
      <w:r w:rsidR="0017173E" w:rsidRPr="007D0F80">
        <w:rPr>
          <w:color w:val="000000" w:themeColor="text1"/>
          <w:sz w:val="24"/>
          <w:szCs w:val="24"/>
        </w:rPr>
        <w:t>ustralian NGO Cooperation Program (A</w:t>
      </w:r>
      <w:r w:rsidRPr="007D0F80">
        <w:rPr>
          <w:color w:val="000000" w:themeColor="text1"/>
          <w:sz w:val="24"/>
          <w:szCs w:val="24"/>
        </w:rPr>
        <w:t>NCP</w:t>
      </w:r>
      <w:r w:rsidR="0017173E" w:rsidRPr="007D0F80">
        <w:rPr>
          <w:color w:val="000000" w:themeColor="text1"/>
          <w:sz w:val="24"/>
          <w:szCs w:val="24"/>
        </w:rPr>
        <w:t>)</w:t>
      </w:r>
      <w:r w:rsidRPr="007D0F80">
        <w:rPr>
          <w:color w:val="000000" w:themeColor="text1"/>
          <w:sz w:val="24"/>
          <w:szCs w:val="24"/>
        </w:rPr>
        <w:t xml:space="preserve"> supports </w:t>
      </w:r>
      <w:r w:rsidR="0022166A" w:rsidRPr="007D0F80">
        <w:rPr>
          <w:color w:val="000000" w:themeColor="text1"/>
          <w:sz w:val="24"/>
          <w:szCs w:val="24"/>
        </w:rPr>
        <w:t xml:space="preserve">accredited </w:t>
      </w:r>
      <w:r w:rsidRPr="007D0F80">
        <w:rPr>
          <w:color w:val="000000" w:themeColor="text1"/>
          <w:sz w:val="24"/>
          <w:szCs w:val="24"/>
        </w:rPr>
        <w:t xml:space="preserve">Australian-based development NGOs through flexible annual grants </w:t>
      </w:r>
      <w:r w:rsidR="00411E0D" w:rsidRPr="007D0F80">
        <w:rPr>
          <w:color w:val="000000" w:themeColor="text1"/>
          <w:sz w:val="24"/>
          <w:szCs w:val="24"/>
        </w:rPr>
        <w:t>to</w:t>
      </w:r>
      <w:r w:rsidR="00BE0D96">
        <w:rPr>
          <w:color w:val="000000" w:themeColor="text1"/>
          <w:sz w:val="24"/>
          <w:szCs w:val="24"/>
        </w:rPr>
        <w:t xml:space="preserve"> </w:t>
      </w:r>
      <w:r w:rsidR="0056134D">
        <w:rPr>
          <w:color w:val="000000" w:themeColor="text1"/>
          <w:sz w:val="24"/>
          <w:szCs w:val="24"/>
        </w:rPr>
        <w:t>progress</w:t>
      </w:r>
      <w:r w:rsidR="0067418A" w:rsidRPr="007D0F80">
        <w:rPr>
          <w:color w:val="000000" w:themeColor="text1"/>
          <w:sz w:val="24"/>
          <w:szCs w:val="24"/>
        </w:rPr>
        <w:t xml:space="preserve"> </w:t>
      </w:r>
      <w:r w:rsidR="00213053" w:rsidRPr="007D0F80">
        <w:rPr>
          <w:color w:val="000000" w:themeColor="text1"/>
          <w:sz w:val="24"/>
          <w:szCs w:val="24"/>
        </w:rPr>
        <w:t>sustainable and inclusive development</w:t>
      </w:r>
      <w:r w:rsidRPr="007D0F80">
        <w:rPr>
          <w:color w:val="000000" w:themeColor="text1"/>
          <w:sz w:val="24"/>
          <w:szCs w:val="24"/>
        </w:rPr>
        <w:t xml:space="preserve">. </w:t>
      </w:r>
      <w:r w:rsidR="00052D24" w:rsidRPr="007D0F80">
        <w:rPr>
          <w:color w:val="000000" w:themeColor="text1"/>
          <w:sz w:val="24"/>
          <w:szCs w:val="24"/>
        </w:rPr>
        <w:t>In 202</w:t>
      </w:r>
      <w:r w:rsidR="000514F3">
        <w:rPr>
          <w:color w:val="000000" w:themeColor="text1"/>
          <w:sz w:val="24"/>
          <w:szCs w:val="24"/>
        </w:rPr>
        <w:t>3</w:t>
      </w:r>
      <w:r w:rsidR="00052D24" w:rsidRPr="007D0F80">
        <w:rPr>
          <w:color w:val="000000" w:themeColor="text1"/>
          <w:sz w:val="24"/>
          <w:szCs w:val="24"/>
        </w:rPr>
        <w:t>-2</w:t>
      </w:r>
      <w:r w:rsidR="000514F3">
        <w:rPr>
          <w:color w:val="000000" w:themeColor="text1"/>
          <w:sz w:val="24"/>
          <w:szCs w:val="24"/>
        </w:rPr>
        <w:t>4</w:t>
      </w:r>
      <w:r w:rsidR="00411E0D" w:rsidRPr="007D0F80">
        <w:rPr>
          <w:color w:val="000000" w:themeColor="text1"/>
          <w:sz w:val="24"/>
          <w:szCs w:val="24"/>
        </w:rPr>
        <w:t>,</w:t>
      </w:r>
      <w:r w:rsidR="00052D24" w:rsidRPr="007D0F80">
        <w:rPr>
          <w:color w:val="000000" w:themeColor="text1"/>
          <w:sz w:val="24"/>
          <w:szCs w:val="24"/>
        </w:rPr>
        <w:t xml:space="preserve"> the ANCP supported </w:t>
      </w:r>
      <w:r w:rsidR="00052D24" w:rsidRPr="003D776E">
        <w:rPr>
          <w:color w:val="auto"/>
          <w:sz w:val="24"/>
          <w:szCs w:val="24"/>
        </w:rPr>
        <w:t>5</w:t>
      </w:r>
      <w:r w:rsidR="00411E0D" w:rsidRPr="003D776E">
        <w:rPr>
          <w:color w:val="auto"/>
          <w:sz w:val="24"/>
          <w:szCs w:val="24"/>
        </w:rPr>
        <w:t>9</w:t>
      </w:r>
      <w:r w:rsidR="00052D24" w:rsidRPr="003D776E">
        <w:rPr>
          <w:color w:val="auto"/>
          <w:sz w:val="24"/>
          <w:szCs w:val="24"/>
        </w:rPr>
        <w:t xml:space="preserve"> NGOs to deliver </w:t>
      </w:r>
      <w:r w:rsidR="003D776E" w:rsidRPr="003D776E">
        <w:rPr>
          <w:color w:val="auto"/>
          <w:sz w:val="24"/>
          <w:szCs w:val="24"/>
        </w:rPr>
        <w:t>382</w:t>
      </w:r>
      <w:r w:rsidR="00052D24" w:rsidRPr="003D776E">
        <w:rPr>
          <w:color w:val="auto"/>
          <w:sz w:val="24"/>
          <w:szCs w:val="24"/>
        </w:rPr>
        <w:t xml:space="preserve"> projects in </w:t>
      </w:r>
      <w:r w:rsidR="001A2E4D" w:rsidRPr="003D776E">
        <w:rPr>
          <w:color w:val="auto"/>
          <w:sz w:val="24"/>
          <w:szCs w:val="24"/>
        </w:rPr>
        <w:t>5</w:t>
      </w:r>
      <w:r w:rsidR="003D776E" w:rsidRPr="003D776E">
        <w:rPr>
          <w:color w:val="auto"/>
          <w:sz w:val="24"/>
          <w:szCs w:val="24"/>
        </w:rPr>
        <w:t>1</w:t>
      </w:r>
      <w:r w:rsidR="00052D24" w:rsidRPr="003D776E">
        <w:rPr>
          <w:color w:val="auto"/>
          <w:sz w:val="24"/>
          <w:szCs w:val="24"/>
        </w:rPr>
        <w:t xml:space="preserve"> countries. </w:t>
      </w:r>
      <w:r w:rsidRPr="003D776E">
        <w:rPr>
          <w:color w:val="auto"/>
          <w:sz w:val="24"/>
          <w:szCs w:val="24"/>
        </w:rPr>
        <w:t xml:space="preserve">This snapshot </w:t>
      </w:r>
      <w:r w:rsidR="006A2D61" w:rsidRPr="003D776E">
        <w:rPr>
          <w:color w:val="auto"/>
          <w:sz w:val="24"/>
          <w:szCs w:val="24"/>
        </w:rPr>
        <w:t>p</w:t>
      </w:r>
      <w:r w:rsidR="00052D24" w:rsidRPr="003D776E">
        <w:rPr>
          <w:color w:val="auto"/>
          <w:sz w:val="24"/>
          <w:szCs w:val="24"/>
        </w:rPr>
        <w:t>resents</w:t>
      </w:r>
      <w:r w:rsidRPr="003D776E">
        <w:rPr>
          <w:color w:val="auto"/>
          <w:sz w:val="24"/>
          <w:szCs w:val="24"/>
        </w:rPr>
        <w:t xml:space="preserve"> aggregated d</w:t>
      </w:r>
      <w:r w:rsidRPr="005D4D0B">
        <w:rPr>
          <w:color w:val="auto"/>
          <w:sz w:val="24"/>
          <w:szCs w:val="24"/>
        </w:rPr>
        <w:t xml:space="preserve">ata on </w:t>
      </w:r>
      <w:r w:rsidR="00052D24" w:rsidRPr="005D4D0B">
        <w:rPr>
          <w:color w:val="auto"/>
          <w:sz w:val="24"/>
          <w:szCs w:val="24"/>
        </w:rPr>
        <w:t>202</w:t>
      </w:r>
      <w:r w:rsidR="003D776E" w:rsidRPr="005D4D0B">
        <w:rPr>
          <w:color w:val="auto"/>
          <w:sz w:val="24"/>
          <w:szCs w:val="24"/>
        </w:rPr>
        <w:t>3</w:t>
      </w:r>
      <w:r w:rsidR="00052D24" w:rsidRPr="005D4D0B">
        <w:rPr>
          <w:color w:val="auto"/>
          <w:sz w:val="24"/>
          <w:szCs w:val="24"/>
        </w:rPr>
        <w:t>-2</w:t>
      </w:r>
      <w:r w:rsidR="003D776E" w:rsidRPr="005D4D0B">
        <w:rPr>
          <w:color w:val="auto"/>
          <w:sz w:val="24"/>
          <w:szCs w:val="24"/>
        </w:rPr>
        <w:t>4</w:t>
      </w:r>
      <w:r w:rsidR="00052D24" w:rsidRPr="005D4D0B">
        <w:rPr>
          <w:color w:val="auto"/>
          <w:sz w:val="24"/>
          <w:szCs w:val="24"/>
        </w:rPr>
        <w:t xml:space="preserve"> </w:t>
      </w:r>
      <w:r w:rsidRPr="005D4D0B">
        <w:rPr>
          <w:color w:val="auto"/>
          <w:sz w:val="24"/>
          <w:szCs w:val="24"/>
        </w:rPr>
        <w:t>program</w:t>
      </w:r>
      <w:r w:rsidR="00D811EB" w:rsidRPr="005D4D0B">
        <w:rPr>
          <w:color w:val="auto"/>
          <w:sz w:val="24"/>
          <w:szCs w:val="24"/>
        </w:rPr>
        <w:t>-wide</w:t>
      </w:r>
      <w:r w:rsidRPr="005D4D0B">
        <w:rPr>
          <w:color w:val="auto"/>
          <w:sz w:val="24"/>
          <w:szCs w:val="24"/>
        </w:rPr>
        <w:t xml:space="preserve"> performance</w:t>
      </w:r>
      <w:r w:rsidR="00844208" w:rsidRPr="005D4D0B">
        <w:rPr>
          <w:color w:val="auto"/>
          <w:sz w:val="24"/>
          <w:szCs w:val="24"/>
        </w:rPr>
        <w:t xml:space="preserve">, against </w:t>
      </w:r>
      <w:r w:rsidR="004561A8" w:rsidRPr="005D4D0B">
        <w:rPr>
          <w:color w:val="auto"/>
          <w:sz w:val="24"/>
          <w:szCs w:val="24"/>
        </w:rPr>
        <w:t>agreed</w:t>
      </w:r>
      <w:r w:rsidR="006A2D61" w:rsidRPr="005D4D0B">
        <w:rPr>
          <w:color w:val="auto"/>
          <w:sz w:val="24"/>
          <w:szCs w:val="24"/>
        </w:rPr>
        <w:t xml:space="preserve"> and common</w:t>
      </w:r>
      <w:r w:rsidR="00844208" w:rsidRPr="005D4D0B">
        <w:rPr>
          <w:color w:val="auto"/>
          <w:sz w:val="24"/>
          <w:szCs w:val="24"/>
        </w:rPr>
        <w:t xml:space="preserve"> </w:t>
      </w:r>
      <w:r w:rsidR="003F001A" w:rsidRPr="005D4D0B">
        <w:rPr>
          <w:color w:val="auto"/>
          <w:sz w:val="24"/>
          <w:szCs w:val="24"/>
        </w:rPr>
        <w:t>indicators</w:t>
      </w:r>
      <w:r w:rsidR="007C739B">
        <w:rPr>
          <w:color w:val="auto"/>
          <w:sz w:val="24"/>
          <w:szCs w:val="24"/>
        </w:rPr>
        <w:t xml:space="preserve">, which </w:t>
      </w:r>
      <w:r w:rsidR="00822780">
        <w:rPr>
          <w:color w:val="auto"/>
          <w:sz w:val="24"/>
          <w:szCs w:val="24"/>
        </w:rPr>
        <w:t>is drawn from</w:t>
      </w:r>
      <w:r w:rsidR="000235F3">
        <w:rPr>
          <w:color w:val="auto"/>
          <w:sz w:val="24"/>
          <w:szCs w:val="24"/>
        </w:rPr>
        <w:t xml:space="preserve"> annual progress reporting by ANCP NGOs.</w:t>
      </w:r>
      <w:r w:rsidR="0056134D" w:rsidRPr="005D4D0B">
        <w:rPr>
          <w:color w:val="auto"/>
          <w:sz w:val="24"/>
          <w:szCs w:val="24"/>
        </w:rPr>
        <w:t xml:space="preserve"> It also provides</w:t>
      </w:r>
      <w:r w:rsidR="00411E0D" w:rsidRPr="005D4D0B">
        <w:rPr>
          <w:color w:val="auto"/>
          <w:sz w:val="24"/>
          <w:szCs w:val="24"/>
        </w:rPr>
        <w:t xml:space="preserve"> </w:t>
      </w:r>
      <w:r w:rsidR="00AF30DC" w:rsidRPr="005D4D0B">
        <w:rPr>
          <w:color w:val="auto"/>
          <w:sz w:val="24"/>
          <w:szCs w:val="24"/>
        </w:rPr>
        <w:t xml:space="preserve">an overview </w:t>
      </w:r>
      <w:r w:rsidR="00372F0B" w:rsidRPr="005D4D0B">
        <w:rPr>
          <w:color w:val="auto"/>
          <w:sz w:val="24"/>
          <w:szCs w:val="24"/>
        </w:rPr>
        <w:t xml:space="preserve">of </w:t>
      </w:r>
      <w:r w:rsidR="00991F06" w:rsidRPr="005D4D0B">
        <w:rPr>
          <w:color w:val="auto"/>
          <w:sz w:val="24"/>
          <w:szCs w:val="24"/>
        </w:rPr>
        <w:t xml:space="preserve">how </w:t>
      </w:r>
      <w:r w:rsidR="00AF2D46">
        <w:rPr>
          <w:color w:val="auto"/>
          <w:sz w:val="24"/>
          <w:szCs w:val="24"/>
        </w:rPr>
        <w:t xml:space="preserve">the </w:t>
      </w:r>
      <w:r w:rsidR="00991F06" w:rsidRPr="005D4D0B">
        <w:rPr>
          <w:color w:val="auto"/>
          <w:sz w:val="24"/>
          <w:szCs w:val="24"/>
        </w:rPr>
        <w:t>ANCP continue</w:t>
      </w:r>
      <w:r w:rsidR="003D776E" w:rsidRPr="005D4D0B">
        <w:rPr>
          <w:color w:val="auto"/>
          <w:sz w:val="24"/>
          <w:szCs w:val="24"/>
        </w:rPr>
        <w:t>s</w:t>
      </w:r>
      <w:r w:rsidR="00991F06" w:rsidRPr="005D4D0B">
        <w:rPr>
          <w:color w:val="auto"/>
          <w:sz w:val="24"/>
          <w:szCs w:val="24"/>
        </w:rPr>
        <w:t xml:space="preserve"> to respond to Australian development program priorities</w:t>
      </w:r>
      <w:r w:rsidR="003D776E" w:rsidRPr="005D4D0B">
        <w:rPr>
          <w:color w:val="auto"/>
          <w:sz w:val="24"/>
          <w:szCs w:val="24"/>
        </w:rPr>
        <w:t>,</w:t>
      </w:r>
      <w:r w:rsidR="00991F06" w:rsidRPr="005D4D0B">
        <w:rPr>
          <w:color w:val="auto"/>
          <w:sz w:val="24"/>
          <w:szCs w:val="24"/>
        </w:rPr>
        <w:t xml:space="preserve"> including gender equality, disability inclusion and </w:t>
      </w:r>
      <w:r w:rsidR="00346E2E" w:rsidRPr="005D4D0B">
        <w:rPr>
          <w:color w:val="auto"/>
          <w:sz w:val="24"/>
          <w:szCs w:val="24"/>
        </w:rPr>
        <w:t>locally led</w:t>
      </w:r>
      <w:r w:rsidR="00991F06" w:rsidRPr="005D4D0B">
        <w:rPr>
          <w:color w:val="auto"/>
          <w:sz w:val="24"/>
          <w:szCs w:val="24"/>
        </w:rPr>
        <w:t xml:space="preserve"> development. </w:t>
      </w:r>
    </w:p>
    <w:p w14:paraId="1A63855F" w14:textId="02FA4551" w:rsidR="00262EA6" w:rsidRPr="000957E7" w:rsidRDefault="00262EA6" w:rsidP="00967934">
      <w:pPr>
        <w:spacing w:after="240" w:line="240" w:lineRule="auto"/>
        <w:jc w:val="both"/>
        <w:rPr>
          <w:color w:val="FF0000"/>
          <w:sz w:val="24"/>
          <w:szCs w:val="24"/>
        </w:rPr>
      </w:pPr>
      <w:r w:rsidRPr="00465206">
        <w:rPr>
          <w:b/>
          <w:bCs/>
          <w:noProof/>
        </w:rPr>
        <w:drawing>
          <wp:inline distT="0" distB="0" distL="0" distR="0" wp14:anchorId="5641F443" wp14:editId="33F57D9F">
            <wp:extent cx="5943600" cy="1881505"/>
            <wp:effectExtent l="0" t="0" r="0" b="4445"/>
            <wp:docPr id="210906638" name="Picture 1" descr="Infographic with four sections summarizing ANCP 2023–24 highlights. Section 1: Funding – $142.2 million from DFAT plus $41.3 million from NGO contributions. Section 2: Partnerships – 59 accredited Australian NGOs collaborated with over 2,200 implementing partners. Section 3: Beneficiaries – 4.1 million people benefitted, including 57.9% women and girls, and 2.5% people with disability. Section 4: Reach – 382 projects across 51 countries, with 72.8% of expenditure in the Indo-Pacific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6638" name="Picture 1" descr="Infographic with four sections summarizing ANCP 2023–24 highlights. Section 1: Funding – $142.2 million from DFAT plus $41.3 million from NGO contributions. Section 2: Partnerships – 59 accredited Australian NGOs collaborated with over 2,200 implementing partners. Section 3: Beneficiaries – 4.1 million people benefitted, including 57.9% women and girls, and 2.5% people with disability. Section 4: Reach – 382 projects across 51 countries, with 72.8% of expenditure in the Indo-Pacific region."/>
                    <pic:cNvPicPr/>
                  </pic:nvPicPr>
                  <pic:blipFill>
                    <a:blip r:embed="rId8"/>
                    <a:stretch>
                      <a:fillRect/>
                    </a:stretch>
                  </pic:blipFill>
                  <pic:spPr>
                    <a:xfrm>
                      <a:off x="0" y="0"/>
                      <a:ext cx="5943600" cy="1881505"/>
                    </a:xfrm>
                    <a:prstGeom prst="rect">
                      <a:avLst/>
                    </a:prstGeom>
                  </pic:spPr>
                </pic:pic>
              </a:graphicData>
            </a:graphic>
          </wp:inline>
        </w:drawing>
      </w:r>
    </w:p>
    <w:p w14:paraId="60278DA3" w14:textId="7EED664E" w:rsidR="00485073" w:rsidRPr="00485073" w:rsidRDefault="00437FB2" w:rsidP="00485073">
      <w:pPr>
        <w:pStyle w:val="Caption"/>
        <w:keepNext/>
        <w:spacing w:after="0"/>
        <w:rPr>
          <w:sz w:val="24"/>
          <w:szCs w:val="24"/>
        </w:rPr>
      </w:pPr>
      <w:r w:rsidRPr="00206CAA">
        <w:rPr>
          <w:sz w:val="24"/>
          <w:szCs w:val="24"/>
        </w:rPr>
        <w:t xml:space="preserve">Figure </w:t>
      </w:r>
      <w:r w:rsidRPr="00206CAA">
        <w:rPr>
          <w:sz w:val="24"/>
          <w:szCs w:val="24"/>
        </w:rPr>
        <w:fldChar w:fldCharType="begin"/>
      </w:r>
      <w:r w:rsidRPr="00206CAA">
        <w:rPr>
          <w:sz w:val="24"/>
          <w:szCs w:val="24"/>
        </w:rPr>
        <w:instrText xml:space="preserve"> SEQ Figure \* ARABIC </w:instrText>
      </w:r>
      <w:r w:rsidRPr="00206CAA">
        <w:rPr>
          <w:sz w:val="24"/>
          <w:szCs w:val="24"/>
        </w:rPr>
        <w:fldChar w:fldCharType="separate"/>
      </w:r>
      <w:r w:rsidR="007A3B92">
        <w:rPr>
          <w:noProof/>
          <w:sz w:val="24"/>
          <w:szCs w:val="24"/>
        </w:rPr>
        <w:t>1</w:t>
      </w:r>
      <w:r w:rsidRPr="00206CAA">
        <w:rPr>
          <w:sz w:val="24"/>
          <w:szCs w:val="24"/>
        </w:rPr>
        <w:fldChar w:fldCharType="end"/>
      </w:r>
      <w:r w:rsidRPr="00206CAA">
        <w:rPr>
          <w:sz w:val="24"/>
          <w:szCs w:val="24"/>
        </w:rPr>
        <w:t>: 202</w:t>
      </w:r>
      <w:r w:rsidR="007D35D5">
        <w:rPr>
          <w:sz w:val="24"/>
          <w:szCs w:val="24"/>
        </w:rPr>
        <w:t>3</w:t>
      </w:r>
      <w:r w:rsidRPr="00206CAA">
        <w:rPr>
          <w:sz w:val="24"/>
          <w:szCs w:val="24"/>
        </w:rPr>
        <w:t>-2</w:t>
      </w:r>
      <w:r w:rsidR="007D35D5">
        <w:rPr>
          <w:sz w:val="24"/>
          <w:szCs w:val="24"/>
        </w:rPr>
        <w:t>4</w:t>
      </w:r>
      <w:r w:rsidRPr="00206CAA">
        <w:rPr>
          <w:sz w:val="24"/>
          <w:szCs w:val="24"/>
        </w:rPr>
        <w:t xml:space="preserve"> expenditure by region</w:t>
      </w:r>
      <w:r w:rsidR="00485073">
        <w:rPr>
          <w:sz w:val="24"/>
          <w:szCs w:val="24"/>
        </w:rPr>
        <w:br/>
      </w:r>
    </w:p>
    <w:p w14:paraId="07E2A4EE" w14:textId="16843AF3" w:rsidR="00287E7B" w:rsidRPr="000235F3" w:rsidRDefault="00CA0958" w:rsidP="000235F3">
      <w:pPr>
        <w:suppressAutoHyphens w:val="0"/>
        <w:spacing w:before="0" w:after="120" w:line="440" w:lineRule="atLeast"/>
        <w:rPr>
          <w:b/>
          <w:bCs/>
          <w:color w:val="FF0000"/>
        </w:rPr>
      </w:pPr>
      <w:r w:rsidRPr="00CA0958">
        <w:rPr>
          <w:b/>
          <w:bCs/>
          <w:noProof/>
          <w:color w:val="FF0000"/>
        </w:rPr>
        <w:drawing>
          <wp:inline distT="0" distB="0" distL="0" distR="0" wp14:anchorId="6F52D56B" wp14:editId="21C98E67">
            <wp:extent cx="6012815" cy="3820014"/>
            <wp:effectExtent l="0" t="0" r="6985" b="9525"/>
            <wp:docPr id="118046504" name="Picture 8" descr="A world map depicting ANCP 2023-24 expenditure by region: 72.8 per cent Indo-Pacific, 34.4 per cent South East and East Asia, 25.1 per cent Africa, 21.4 per cent Pacific, 1.7 per cent Middle East and 0.36 per cent Latin and the Caribbean. ">
              <a:extLst xmlns:a="http://schemas.openxmlformats.org/drawingml/2006/main">
                <a:ext uri="{FF2B5EF4-FFF2-40B4-BE49-F238E27FC236}">
                  <a16:creationId xmlns:a16="http://schemas.microsoft.com/office/drawing/2014/main" id="{4646B18D-3046-8D4D-93DE-D028A8098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6504" name="Picture 8" descr="A world map depicting ANCP 2023-24 expenditure by region: 72.8 per cent Indo-Pacific, 34.4 per cent South East and East Asia, 25.1 per cent Africa, 21.4 per cent Pacific, 1.7 per cent Middle East and 0.36 per cent Latin and the Caribbean. ">
                      <a:extLst>
                        <a:ext uri="{FF2B5EF4-FFF2-40B4-BE49-F238E27FC236}">
                          <a16:creationId xmlns:a16="http://schemas.microsoft.com/office/drawing/2014/main" id="{4646B18D-3046-8D4D-93DE-D028A8098084}"/>
                        </a:ext>
                      </a:extLst>
                    </pic:cNvPr>
                    <pic:cNvPicPr>
                      <a:picLocks noChangeAspect="1"/>
                    </pic:cNvPicPr>
                  </pic:nvPicPr>
                  <pic:blipFill rotWithShape="1">
                    <a:blip r:embed="rId9"/>
                    <a:srcRect t="14836" r="392" b="1188"/>
                    <a:stretch/>
                  </pic:blipFill>
                  <pic:spPr bwMode="auto">
                    <a:xfrm>
                      <a:off x="0" y="0"/>
                      <a:ext cx="6012815" cy="3820014"/>
                    </a:xfrm>
                    <a:prstGeom prst="rect">
                      <a:avLst/>
                    </a:prstGeom>
                    <a:ln>
                      <a:noFill/>
                    </a:ln>
                    <a:extLst>
                      <a:ext uri="{53640926-AAD7-44D8-BBD7-CCE9431645EC}">
                        <a14:shadowObscured xmlns:a14="http://schemas.microsoft.com/office/drawing/2010/main"/>
                      </a:ext>
                    </a:extLst>
                  </pic:spPr>
                </pic:pic>
              </a:graphicData>
            </a:graphic>
          </wp:inline>
        </w:drawing>
      </w:r>
    </w:p>
    <w:p w14:paraId="08B41800" w14:textId="77777777" w:rsidR="00F32A72" w:rsidRDefault="00F32A72" w:rsidP="00287E7B">
      <w:pPr>
        <w:suppressAutoHyphens w:val="0"/>
        <w:rPr>
          <w:color w:val="000000" w:themeColor="text1"/>
          <w:sz w:val="24"/>
          <w:szCs w:val="24"/>
        </w:rPr>
      </w:pPr>
    </w:p>
    <w:p w14:paraId="04503A4A" w14:textId="77777777" w:rsidR="00F32A72" w:rsidRDefault="00F32A72" w:rsidP="00287E7B">
      <w:pPr>
        <w:suppressAutoHyphens w:val="0"/>
        <w:rPr>
          <w:color w:val="000000" w:themeColor="text1"/>
          <w:sz w:val="24"/>
          <w:szCs w:val="24"/>
        </w:rPr>
      </w:pPr>
    </w:p>
    <w:p w14:paraId="463B8652" w14:textId="00096ABB" w:rsidR="00287E7B" w:rsidRDefault="00D2625F" w:rsidP="00287E7B">
      <w:pPr>
        <w:suppressAutoHyphens w:val="0"/>
        <w:rPr>
          <w:color w:val="000000" w:themeColor="text1"/>
          <w:sz w:val="24"/>
          <w:szCs w:val="24"/>
        </w:rPr>
      </w:pPr>
      <w:r w:rsidRPr="00D0306A">
        <w:rPr>
          <w:color w:val="000000" w:themeColor="text1"/>
          <w:sz w:val="24"/>
          <w:szCs w:val="24"/>
        </w:rPr>
        <w:lastRenderedPageBreak/>
        <w:t>In 202</w:t>
      </w:r>
      <w:r w:rsidR="0029542E" w:rsidRPr="00D0306A">
        <w:rPr>
          <w:color w:val="000000" w:themeColor="text1"/>
          <w:sz w:val="24"/>
          <w:szCs w:val="24"/>
        </w:rPr>
        <w:t>3</w:t>
      </w:r>
      <w:r w:rsidRPr="00D0306A">
        <w:rPr>
          <w:color w:val="000000" w:themeColor="text1"/>
          <w:sz w:val="24"/>
          <w:szCs w:val="24"/>
        </w:rPr>
        <w:t>-2</w:t>
      </w:r>
      <w:r w:rsidR="0029542E" w:rsidRPr="00D0306A">
        <w:rPr>
          <w:color w:val="000000" w:themeColor="text1"/>
          <w:sz w:val="24"/>
          <w:szCs w:val="24"/>
        </w:rPr>
        <w:t>4</w:t>
      </w:r>
      <w:r w:rsidR="00733754" w:rsidRPr="00D0306A">
        <w:rPr>
          <w:color w:val="000000" w:themeColor="text1"/>
          <w:sz w:val="24"/>
          <w:szCs w:val="24"/>
        </w:rPr>
        <w:t>,</w:t>
      </w:r>
      <w:r w:rsidRPr="00D0306A">
        <w:rPr>
          <w:color w:val="000000" w:themeColor="text1"/>
          <w:sz w:val="24"/>
          <w:szCs w:val="24"/>
        </w:rPr>
        <w:t xml:space="preserve"> </w:t>
      </w:r>
      <w:r w:rsidR="00A86855" w:rsidRPr="00D0306A">
        <w:rPr>
          <w:color w:val="000000" w:themeColor="text1"/>
          <w:sz w:val="24"/>
          <w:szCs w:val="24"/>
        </w:rPr>
        <w:t xml:space="preserve">ANCP </w:t>
      </w:r>
      <w:r w:rsidRPr="00D0306A">
        <w:rPr>
          <w:color w:val="000000" w:themeColor="text1"/>
          <w:sz w:val="24"/>
          <w:szCs w:val="24"/>
        </w:rPr>
        <w:t xml:space="preserve">grants amounted to </w:t>
      </w:r>
      <w:r w:rsidR="00A86855" w:rsidRPr="00D0306A">
        <w:rPr>
          <w:color w:val="000000" w:themeColor="text1"/>
          <w:sz w:val="24"/>
          <w:szCs w:val="24"/>
        </w:rPr>
        <w:t>$142.</w:t>
      </w:r>
      <w:r w:rsidR="00733754" w:rsidRPr="00D0306A">
        <w:rPr>
          <w:color w:val="000000" w:themeColor="text1"/>
          <w:sz w:val="24"/>
          <w:szCs w:val="24"/>
        </w:rPr>
        <w:t>2</w:t>
      </w:r>
      <w:r w:rsidR="00A86855" w:rsidRPr="00D0306A">
        <w:rPr>
          <w:color w:val="000000" w:themeColor="text1"/>
          <w:sz w:val="24"/>
          <w:szCs w:val="24"/>
        </w:rPr>
        <w:t xml:space="preserve"> million. </w:t>
      </w:r>
      <w:r w:rsidR="00AB3FAA" w:rsidRPr="00D0306A">
        <w:rPr>
          <w:color w:val="000000" w:themeColor="text1"/>
          <w:sz w:val="24"/>
          <w:szCs w:val="24"/>
        </w:rPr>
        <w:t>This include</w:t>
      </w:r>
      <w:r w:rsidR="002A4CCD" w:rsidRPr="00D0306A">
        <w:rPr>
          <w:color w:val="000000" w:themeColor="text1"/>
          <w:sz w:val="24"/>
          <w:szCs w:val="24"/>
        </w:rPr>
        <w:t>d</w:t>
      </w:r>
      <w:r w:rsidR="00AB3FAA" w:rsidRPr="00D0306A">
        <w:rPr>
          <w:color w:val="000000" w:themeColor="text1"/>
          <w:sz w:val="24"/>
          <w:szCs w:val="24"/>
        </w:rPr>
        <w:t xml:space="preserve"> $7.5 million as part of the</w:t>
      </w:r>
      <w:r w:rsidR="00A46EF1">
        <w:rPr>
          <w:color w:val="000000" w:themeColor="text1"/>
          <w:sz w:val="24"/>
          <w:szCs w:val="24"/>
        </w:rPr>
        <w:t xml:space="preserve"> </w:t>
      </w:r>
      <w:r w:rsidR="00AB3FAA" w:rsidRPr="00D0306A">
        <w:rPr>
          <w:color w:val="000000" w:themeColor="text1"/>
          <w:sz w:val="24"/>
          <w:szCs w:val="24"/>
        </w:rPr>
        <w:t xml:space="preserve">Government’s election commitment of an additional $30 million for ANCP over four years. </w:t>
      </w:r>
    </w:p>
    <w:p w14:paraId="1847EA67" w14:textId="081FC7AA" w:rsidR="00A86855" w:rsidRPr="00D0306A" w:rsidRDefault="000028D9" w:rsidP="00A46EF1">
      <w:pPr>
        <w:rPr>
          <w:color w:val="000000" w:themeColor="text1"/>
          <w:sz w:val="24"/>
          <w:szCs w:val="24"/>
        </w:rPr>
      </w:pPr>
      <w:r w:rsidRPr="00D0306A">
        <w:rPr>
          <w:color w:val="000000" w:themeColor="text1"/>
          <w:sz w:val="24"/>
          <w:szCs w:val="24"/>
        </w:rPr>
        <w:t>The ANCP modality requires an NGO contribution, typically at least 20 per cent. In 202</w:t>
      </w:r>
      <w:r w:rsidR="00FA785C">
        <w:rPr>
          <w:color w:val="000000" w:themeColor="text1"/>
          <w:sz w:val="24"/>
          <w:szCs w:val="24"/>
        </w:rPr>
        <w:t>3</w:t>
      </w:r>
      <w:r w:rsidRPr="00D0306A">
        <w:rPr>
          <w:color w:val="000000" w:themeColor="text1"/>
          <w:sz w:val="24"/>
          <w:szCs w:val="24"/>
        </w:rPr>
        <w:t>-2</w:t>
      </w:r>
      <w:r w:rsidR="00FA785C">
        <w:rPr>
          <w:color w:val="000000" w:themeColor="text1"/>
          <w:sz w:val="24"/>
          <w:szCs w:val="24"/>
        </w:rPr>
        <w:t>4,</w:t>
      </w:r>
      <w:r w:rsidRPr="00D0306A">
        <w:rPr>
          <w:color w:val="000000" w:themeColor="text1"/>
          <w:sz w:val="24"/>
          <w:szCs w:val="24"/>
        </w:rPr>
        <w:t xml:space="preserve"> the total NGO contribution to the ANCP was</w:t>
      </w:r>
      <w:r w:rsidR="002B5AC1" w:rsidRPr="00D0306A">
        <w:rPr>
          <w:color w:val="000000" w:themeColor="text1"/>
          <w:sz w:val="24"/>
          <w:szCs w:val="24"/>
        </w:rPr>
        <w:t xml:space="preserve"> </w:t>
      </w:r>
      <w:r w:rsidR="0010146A" w:rsidRPr="00D0306A">
        <w:rPr>
          <w:color w:val="000000" w:themeColor="text1"/>
          <w:sz w:val="24"/>
          <w:szCs w:val="24"/>
        </w:rPr>
        <w:t>$</w:t>
      </w:r>
      <w:r w:rsidR="00AD04B7" w:rsidRPr="00D0306A">
        <w:rPr>
          <w:color w:val="000000" w:themeColor="text1"/>
          <w:sz w:val="24"/>
          <w:szCs w:val="24"/>
        </w:rPr>
        <w:t>4</w:t>
      </w:r>
      <w:r w:rsidR="00FA785C">
        <w:rPr>
          <w:color w:val="000000" w:themeColor="text1"/>
          <w:sz w:val="24"/>
          <w:szCs w:val="24"/>
        </w:rPr>
        <w:t>1</w:t>
      </w:r>
      <w:r w:rsidR="00AD04B7" w:rsidRPr="00D0306A">
        <w:rPr>
          <w:color w:val="000000" w:themeColor="text1"/>
          <w:sz w:val="24"/>
          <w:szCs w:val="24"/>
        </w:rPr>
        <w:t>.</w:t>
      </w:r>
      <w:r w:rsidR="00FA785C">
        <w:rPr>
          <w:color w:val="000000" w:themeColor="text1"/>
          <w:sz w:val="24"/>
          <w:szCs w:val="24"/>
        </w:rPr>
        <w:t>3</w:t>
      </w:r>
      <w:r w:rsidR="0010146A" w:rsidRPr="00D0306A">
        <w:rPr>
          <w:color w:val="000000" w:themeColor="text1"/>
          <w:sz w:val="24"/>
          <w:szCs w:val="24"/>
        </w:rPr>
        <w:t xml:space="preserve"> million</w:t>
      </w:r>
      <w:r w:rsidR="00720DAB" w:rsidRPr="00D0306A">
        <w:rPr>
          <w:color w:val="000000" w:themeColor="text1"/>
          <w:sz w:val="24"/>
          <w:szCs w:val="24"/>
        </w:rPr>
        <w:t xml:space="preserve"> </w:t>
      </w:r>
      <w:r w:rsidR="006D5F64" w:rsidRPr="00D0306A">
        <w:rPr>
          <w:color w:val="000000" w:themeColor="text1"/>
          <w:sz w:val="24"/>
          <w:szCs w:val="24"/>
        </w:rPr>
        <w:t>(</w:t>
      </w:r>
      <w:r w:rsidR="00C026E4">
        <w:rPr>
          <w:color w:val="000000" w:themeColor="text1"/>
          <w:sz w:val="24"/>
          <w:szCs w:val="24"/>
        </w:rPr>
        <w:t>29</w:t>
      </w:r>
      <w:r w:rsidR="000372AA">
        <w:rPr>
          <w:color w:val="000000" w:themeColor="text1"/>
          <w:sz w:val="24"/>
          <w:szCs w:val="24"/>
        </w:rPr>
        <w:t xml:space="preserve"> per cent</w:t>
      </w:r>
      <w:r w:rsidR="006D5F64" w:rsidRPr="00D0306A">
        <w:rPr>
          <w:color w:val="000000" w:themeColor="text1"/>
          <w:sz w:val="24"/>
          <w:szCs w:val="24"/>
        </w:rPr>
        <w:t>)</w:t>
      </w:r>
      <w:r w:rsidR="00AC7955" w:rsidRPr="00D0306A">
        <w:rPr>
          <w:color w:val="000000" w:themeColor="text1"/>
          <w:sz w:val="24"/>
          <w:szCs w:val="24"/>
        </w:rPr>
        <w:t xml:space="preserve">, compared to </w:t>
      </w:r>
      <w:r w:rsidRPr="00D0306A">
        <w:rPr>
          <w:color w:val="000000" w:themeColor="text1"/>
          <w:sz w:val="24"/>
          <w:szCs w:val="24"/>
        </w:rPr>
        <w:t>$</w:t>
      </w:r>
      <w:r w:rsidR="00D56F33">
        <w:rPr>
          <w:color w:val="000000" w:themeColor="text1"/>
          <w:sz w:val="24"/>
          <w:szCs w:val="24"/>
        </w:rPr>
        <w:t>40</w:t>
      </w:r>
      <w:r w:rsidRPr="00D0306A">
        <w:rPr>
          <w:color w:val="000000" w:themeColor="text1"/>
          <w:sz w:val="24"/>
          <w:szCs w:val="24"/>
        </w:rPr>
        <w:t>.</w:t>
      </w:r>
      <w:r w:rsidR="00D56F33">
        <w:rPr>
          <w:color w:val="000000" w:themeColor="text1"/>
          <w:sz w:val="24"/>
          <w:szCs w:val="24"/>
        </w:rPr>
        <w:t>1</w:t>
      </w:r>
      <w:r w:rsidRPr="00D0306A">
        <w:rPr>
          <w:color w:val="000000" w:themeColor="text1"/>
          <w:sz w:val="24"/>
          <w:szCs w:val="24"/>
        </w:rPr>
        <w:t xml:space="preserve"> million</w:t>
      </w:r>
      <w:r w:rsidR="00AC7955" w:rsidRPr="00D0306A">
        <w:rPr>
          <w:color w:val="000000" w:themeColor="text1"/>
          <w:sz w:val="24"/>
          <w:szCs w:val="24"/>
        </w:rPr>
        <w:t xml:space="preserve"> in 202</w:t>
      </w:r>
      <w:r w:rsidR="00D56F33">
        <w:rPr>
          <w:color w:val="000000" w:themeColor="text1"/>
          <w:sz w:val="24"/>
          <w:szCs w:val="24"/>
        </w:rPr>
        <w:t>2</w:t>
      </w:r>
      <w:r w:rsidR="00AC7955" w:rsidRPr="00D0306A">
        <w:rPr>
          <w:color w:val="000000" w:themeColor="text1"/>
          <w:sz w:val="24"/>
          <w:szCs w:val="24"/>
        </w:rPr>
        <w:t>-2</w:t>
      </w:r>
      <w:r w:rsidR="00D56F33">
        <w:rPr>
          <w:color w:val="000000" w:themeColor="text1"/>
          <w:sz w:val="24"/>
          <w:szCs w:val="24"/>
        </w:rPr>
        <w:t>3</w:t>
      </w:r>
      <w:r w:rsidR="006D5F64" w:rsidRPr="00D0306A">
        <w:rPr>
          <w:color w:val="000000" w:themeColor="text1"/>
          <w:sz w:val="24"/>
          <w:szCs w:val="24"/>
        </w:rPr>
        <w:t xml:space="preserve"> (2</w:t>
      </w:r>
      <w:r w:rsidR="00BF1CE9">
        <w:rPr>
          <w:color w:val="000000" w:themeColor="text1"/>
          <w:sz w:val="24"/>
          <w:szCs w:val="24"/>
        </w:rPr>
        <w:t>8</w:t>
      </w:r>
      <w:r w:rsidR="000372AA">
        <w:rPr>
          <w:color w:val="000000" w:themeColor="text1"/>
          <w:sz w:val="24"/>
          <w:szCs w:val="24"/>
        </w:rPr>
        <w:t xml:space="preserve"> per cent</w:t>
      </w:r>
      <w:r w:rsidR="006D5F64" w:rsidRPr="00D0306A">
        <w:rPr>
          <w:color w:val="000000" w:themeColor="text1"/>
          <w:sz w:val="24"/>
          <w:szCs w:val="24"/>
        </w:rPr>
        <w:t>)</w:t>
      </w:r>
      <w:r w:rsidR="00C42D54" w:rsidRPr="00D0306A">
        <w:rPr>
          <w:color w:val="000000" w:themeColor="text1"/>
          <w:sz w:val="24"/>
          <w:szCs w:val="24"/>
        </w:rPr>
        <w:t>.</w:t>
      </w:r>
      <w:r w:rsidR="00832FFA" w:rsidRPr="00D0306A">
        <w:rPr>
          <w:color w:val="000000" w:themeColor="text1"/>
          <w:sz w:val="24"/>
          <w:szCs w:val="24"/>
        </w:rPr>
        <w:t xml:space="preserve"> </w:t>
      </w:r>
      <w:r w:rsidRPr="00D0306A">
        <w:rPr>
          <w:color w:val="000000" w:themeColor="text1"/>
          <w:sz w:val="24"/>
          <w:szCs w:val="24"/>
        </w:rPr>
        <w:t>In addition</w:t>
      </w:r>
      <w:r w:rsidR="00EB2240" w:rsidRPr="00D0306A">
        <w:rPr>
          <w:color w:val="000000" w:themeColor="text1"/>
          <w:sz w:val="24"/>
          <w:szCs w:val="24"/>
        </w:rPr>
        <w:t>,</w:t>
      </w:r>
      <w:r w:rsidRPr="00D0306A">
        <w:rPr>
          <w:color w:val="000000" w:themeColor="text1"/>
          <w:sz w:val="24"/>
          <w:szCs w:val="24"/>
        </w:rPr>
        <w:t xml:space="preserve"> </w:t>
      </w:r>
      <w:r w:rsidR="00E95ECE">
        <w:rPr>
          <w:color w:val="000000" w:themeColor="text1"/>
          <w:sz w:val="24"/>
          <w:szCs w:val="24"/>
        </w:rPr>
        <w:t>16 per cent of projects re</w:t>
      </w:r>
      <w:r w:rsidR="00FC5BC2">
        <w:rPr>
          <w:color w:val="000000" w:themeColor="text1"/>
          <w:sz w:val="24"/>
          <w:szCs w:val="24"/>
        </w:rPr>
        <w:t>ceived funding from other sources, down from 23</w:t>
      </w:r>
      <w:r w:rsidR="008C1395">
        <w:rPr>
          <w:color w:val="000000" w:themeColor="text1"/>
          <w:sz w:val="24"/>
          <w:szCs w:val="24"/>
        </w:rPr>
        <w:t xml:space="preserve"> </w:t>
      </w:r>
      <w:r w:rsidR="006C64E0" w:rsidRPr="00D0306A">
        <w:rPr>
          <w:color w:val="000000" w:themeColor="text1"/>
          <w:sz w:val="24"/>
          <w:szCs w:val="24"/>
        </w:rPr>
        <w:t xml:space="preserve">per cent in </w:t>
      </w:r>
      <w:r w:rsidRPr="00D0306A">
        <w:rPr>
          <w:color w:val="000000" w:themeColor="text1"/>
          <w:sz w:val="24"/>
          <w:szCs w:val="24"/>
        </w:rPr>
        <w:t>202</w:t>
      </w:r>
      <w:r w:rsidR="008C1395">
        <w:rPr>
          <w:color w:val="000000" w:themeColor="text1"/>
          <w:sz w:val="24"/>
          <w:szCs w:val="24"/>
        </w:rPr>
        <w:t>2</w:t>
      </w:r>
      <w:r w:rsidRPr="00D0306A">
        <w:rPr>
          <w:color w:val="000000" w:themeColor="text1"/>
          <w:sz w:val="24"/>
          <w:szCs w:val="24"/>
        </w:rPr>
        <w:t>-2</w:t>
      </w:r>
      <w:r w:rsidR="008C1395">
        <w:rPr>
          <w:color w:val="000000" w:themeColor="text1"/>
          <w:sz w:val="24"/>
          <w:szCs w:val="24"/>
        </w:rPr>
        <w:t>3</w:t>
      </w:r>
      <w:r w:rsidRPr="00D0306A">
        <w:rPr>
          <w:color w:val="000000" w:themeColor="text1"/>
          <w:sz w:val="24"/>
          <w:szCs w:val="24"/>
        </w:rPr>
        <w:t xml:space="preserve">. </w:t>
      </w:r>
      <w:r w:rsidR="00B001A8" w:rsidRPr="00D0306A">
        <w:rPr>
          <w:color w:val="000000" w:themeColor="text1"/>
          <w:sz w:val="24"/>
          <w:szCs w:val="24"/>
        </w:rPr>
        <w:t xml:space="preserve">These funds were largely leveraged from </w:t>
      </w:r>
      <w:r w:rsidR="005A7CF6" w:rsidRPr="00D0306A">
        <w:rPr>
          <w:color w:val="000000" w:themeColor="text1"/>
          <w:sz w:val="24"/>
          <w:szCs w:val="24"/>
        </w:rPr>
        <w:t>other Government</w:t>
      </w:r>
      <w:r w:rsidR="00465BF8" w:rsidRPr="00D0306A">
        <w:rPr>
          <w:color w:val="000000" w:themeColor="text1"/>
          <w:sz w:val="24"/>
          <w:szCs w:val="24"/>
        </w:rPr>
        <w:t xml:space="preserve"> sources</w:t>
      </w:r>
      <w:r w:rsidR="009070DF" w:rsidRPr="00D0306A">
        <w:rPr>
          <w:color w:val="000000" w:themeColor="text1"/>
          <w:sz w:val="24"/>
          <w:szCs w:val="24"/>
        </w:rPr>
        <w:t xml:space="preserve"> (including </w:t>
      </w:r>
      <w:r w:rsidR="00E87BCE" w:rsidRPr="00D0306A">
        <w:rPr>
          <w:color w:val="000000" w:themeColor="text1"/>
          <w:sz w:val="24"/>
          <w:szCs w:val="24"/>
        </w:rPr>
        <w:t xml:space="preserve">local, provincial and national </w:t>
      </w:r>
      <w:r w:rsidR="009070DF" w:rsidRPr="00D0306A">
        <w:rPr>
          <w:color w:val="000000" w:themeColor="text1"/>
          <w:sz w:val="24"/>
          <w:szCs w:val="24"/>
        </w:rPr>
        <w:t xml:space="preserve">governments in-country and other </w:t>
      </w:r>
      <w:r w:rsidR="00F51718" w:rsidRPr="00D0306A">
        <w:rPr>
          <w:color w:val="000000" w:themeColor="text1"/>
          <w:sz w:val="24"/>
          <w:szCs w:val="24"/>
        </w:rPr>
        <w:t>G</w:t>
      </w:r>
      <w:r w:rsidR="009070DF" w:rsidRPr="00D0306A">
        <w:rPr>
          <w:color w:val="000000" w:themeColor="text1"/>
          <w:sz w:val="24"/>
          <w:szCs w:val="24"/>
        </w:rPr>
        <w:t>overnment donors</w:t>
      </w:r>
      <w:r w:rsidR="00523482" w:rsidRPr="00D0306A">
        <w:rPr>
          <w:color w:val="000000" w:themeColor="text1"/>
          <w:sz w:val="24"/>
          <w:szCs w:val="24"/>
        </w:rPr>
        <w:t xml:space="preserve"> </w:t>
      </w:r>
      <w:r w:rsidR="00523482" w:rsidRPr="00F260F1">
        <w:rPr>
          <w:color w:val="000000" w:themeColor="text1"/>
          <w:sz w:val="24"/>
          <w:szCs w:val="24"/>
        </w:rPr>
        <w:t xml:space="preserve">such as </w:t>
      </w:r>
      <w:r w:rsidR="00130F63" w:rsidRPr="00F260F1">
        <w:rPr>
          <w:color w:val="000000" w:themeColor="text1"/>
          <w:sz w:val="24"/>
          <w:szCs w:val="24"/>
        </w:rPr>
        <w:t>I</w:t>
      </w:r>
      <w:r w:rsidR="00523482" w:rsidRPr="00F260F1">
        <w:rPr>
          <w:color w:val="000000" w:themeColor="text1"/>
          <w:sz w:val="24"/>
          <w:szCs w:val="24"/>
        </w:rPr>
        <w:t xml:space="preserve">rish Aid, </w:t>
      </w:r>
      <w:r w:rsidR="00123647" w:rsidRPr="00F260F1">
        <w:rPr>
          <w:color w:val="000000" w:themeColor="text1"/>
          <w:sz w:val="24"/>
          <w:szCs w:val="24"/>
        </w:rPr>
        <w:t>USAID</w:t>
      </w:r>
      <w:r w:rsidR="00D9110F" w:rsidRPr="00F260F1">
        <w:rPr>
          <w:color w:val="000000" w:themeColor="text1"/>
          <w:sz w:val="24"/>
          <w:szCs w:val="24"/>
        </w:rPr>
        <w:t>, MFAT</w:t>
      </w:r>
      <w:r w:rsidR="009070DF" w:rsidRPr="00D0306A">
        <w:rPr>
          <w:color w:val="000000" w:themeColor="text1"/>
          <w:sz w:val="24"/>
          <w:szCs w:val="24"/>
        </w:rPr>
        <w:t>)</w:t>
      </w:r>
      <w:r w:rsidR="00907B43" w:rsidRPr="00D0306A">
        <w:rPr>
          <w:color w:val="000000" w:themeColor="text1"/>
          <w:sz w:val="24"/>
          <w:szCs w:val="24"/>
        </w:rPr>
        <w:t xml:space="preserve">, </w:t>
      </w:r>
      <w:r w:rsidR="0003108D" w:rsidRPr="00D0306A">
        <w:rPr>
          <w:color w:val="000000" w:themeColor="text1"/>
          <w:sz w:val="24"/>
          <w:szCs w:val="24"/>
        </w:rPr>
        <w:t xml:space="preserve">other International NGOs </w:t>
      </w:r>
      <w:r w:rsidR="00463048" w:rsidRPr="00D0306A">
        <w:rPr>
          <w:color w:val="000000" w:themeColor="text1"/>
          <w:sz w:val="24"/>
          <w:szCs w:val="24"/>
        </w:rPr>
        <w:t>and</w:t>
      </w:r>
      <w:r w:rsidR="0003108D" w:rsidRPr="00D0306A">
        <w:rPr>
          <w:color w:val="000000" w:themeColor="text1"/>
          <w:sz w:val="24"/>
          <w:szCs w:val="24"/>
        </w:rPr>
        <w:t xml:space="preserve"> CSOs, </w:t>
      </w:r>
      <w:r w:rsidR="00907B43" w:rsidRPr="00D0306A">
        <w:rPr>
          <w:color w:val="000000" w:themeColor="text1"/>
          <w:sz w:val="24"/>
          <w:szCs w:val="24"/>
        </w:rPr>
        <w:t>private sector, multilateral organisations</w:t>
      </w:r>
      <w:r w:rsidR="009B6397" w:rsidRPr="00D0306A">
        <w:rPr>
          <w:color w:val="000000" w:themeColor="text1"/>
          <w:sz w:val="24"/>
          <w:szCs w:val="24"/>
        </w:rPr>
        <w:t xml:space="preserve"> and faith</w:t>
      </w:r>
      <w:r w:rsidR="00DB2BA6" w:rsidRPr="00D0306A">
        <w:rPr>
          <w:color w:val="000000" w:themeColor="text1"/>
          <w:sz w:val="24"/>
          <w:szCs w:val="24"/>
        </w:rPr>
        <w:t>-</w:t>
      </w:r>
      <w:r w:rsidR="009B6397" w:rsidRPr="00D0306A">
        <w:rPr>
          <w:color w:val="000000" w:themeColor="text1"/>
          <w:sz w:val="24"/>
          <w:szCs w:val="24"/>
        </w:rPr>
        <w:t>based organisations.</w:t>
      </w:r>
      <w:r w:rsidR="00C454A4" w:rsidRPr="00D0306A">
        <w:rPr>
          <w:color w:val="000000" w:themeColor="text1"/>
          <w:sz w:val="24"/>
          <w:szCs w:val="24"/>
        </w:rPr>
        <w:t xml:space="preserve"> </w:t>
      </w:r>
    </w:p>
    <w:p w14:paraId="119F27C7" w14:textId="77777777" w:rsidR="004F2C6B" w:rsidRPr="00876C87" w:rsidRDefault="004F2C6B" w:rsidP="00876C87">
      <w:pPr>
        <w:pStyle w:val="Heading2"/>
      </w:pPr>
      <w:r w:rsidRPr="00876C87">
        <w:t>Key development results</w:t>
      </w:r>
    </w:p>
    <w:p w14:paraId="5C383412" w14:textId="7B242386" w:rsidR="00472D4E" w:rsidRDefault="00472D4E" w:rsidP="003C7CCC">
      <w:pPr>
        <w:rPr>
          <w:iCs/>
          <w:color w:val="000000" w:themeColor="text1"/>
          <w:sz w:val="24"/>
          <w:szCs w:val="24"/>
        </w:rPr>
      </w:pPr>
      <w:r>
        <w:rPr>
          <w:iCs/>
          <w:color w:val="000000" w:themeColor="text1"/>
          <w:sz w:val="24"/>
          <w:szCs w:val="24"/>
        </w:rPr>
        <w:t>In 2023-24, the ANCP reached 4.1 million people</w:t>
      </w:r>
      <w:r w:rsidR="00C40346">
        <w:rPr>
          <w:iCs/>
          <w:color w:val="000000" w:themeColor="text1"/>
          <w:sz w:val="24"/>
          <w:szCs w:val="24"/>
        </w:rPr>
        <w:t xml:space="preserve"> and achieved the following </w:t>
      </w:r>
      <w:r w:rsidR="000A358F">
        <w:rPr>
          <w:iCs/>
          <w:color w:val="000000" w:themeColor="text1"/>
          <w:sz w:val="24"/>
          <w:szCs w:val="24"/>
        </w:rPr>
        <w:t xml:space="preserve">development </w:t>
      </w:r>
      <w:r>
        <w:rPr>
          <w:iCs/>
          <w:color w:val="000000" w:themeColor="text1"/>
          <w:sz w:val="24"/>
          <w:szCs w:val="24"/>
        </w:rPr>
        <w:t>results:</w:t>
      </w:r>
    </w:p>
    <w:p w14:paraId="2947D0CF" w14:textId="437C0BA5" w:rsidR="00755252" w:rsidRPr="00755252" w:rsidRDefault="00755252" w:rsidP="00755252">
      <w:pPr>
        <w:pStyle w:val="ListParagraph"/>
        <w:numPr>
          <w:ilvl w:val="0"/>
          <w:numId w:val="24"/>
        </w:numPr>
        <w:rPr>
          <w:iCs/>
          <w:color w:val="000000" w:themeColor="text1"/>
          <w:sz w:val="24"/>
          <w:szCs w:val="24"/>
        </w:rPr>
      </w:pPr>
      <w:r w:rsidRPr="00755252">
        <w:rPr>
          <w:iCs/>
          <w:color w:val="000000" w:themeColor="text1"/>
          <w:sz w:val="24"/>
          <w:szCs w:val="24"/>
        </w:rPr>
        <w:t>Over 3 million people received improved health services (65.7 per cent women and girls, 1.2 per cent people with disabilities)</w:t>
      </w:r>
      <w:r w:rsidR="00335273">
        <w:rPr>
          <w:iCs/>
          <w:color w:val="000000" w:themeColor="text1"/>
          <w:sz w:val="24"/>
          <w:szCs w:val="24"/>
        </w:rPr>
        <w:t>.</w:t>
      </w:r>
    </w:p>
    <w:p w14:paraId="432262C0" w14:textId="08D7A105" w:rsidR="00755252" w:rsidRPr="00755252" w:rsidRDefault="00755252" w:rsidP="00755252">
      <w:pPr>
        <w:pStyle w:val="ListParagraph"/>
        <w:numPr>
          <w:ilvl w:val="0"/>
          <w:numId w:val="24"/>
        </w:numPr>
        <w:rPr>
          <w:iCs/>
          <w:color w:val="000000" w:themeColor="text1"/>
          <w:sz w:val="24"/>
          <w:szCs w:val="24"/>
        </w:rPr>
      </w:pPr>
      <w:r w:rsidRPr="00755252">
        <w:rPr>
          <w:iCs/>
          <w:color w:val="000000" w:themeColor="text1"/>
          <w:sz w:val="24"/>
          <w:szCs w:val="24"/>
        </w:rPr>
        <w:t>Over 600,000 people benefitted from household-level access to improved drinking water sources and/or sanitation facilities (60.8 per cent women and girls and 5.1 per cent people with disabilities)</w:t>
      </w:r>
      <w:r w:rsidR="00335273">
        <w:rPr>
          <w:iCs/>
          <w:color w:val="000000" w:themeColor="text1"/>
          <w:sz w:val="24"/>
          <w:szCs w:val="24"/>
        </w:rPr>
        <w:t>.</w:t>
      </w:r>
    </w:p>
    <w:p w14:paraId="19333984" w14:textId="5348FBC1" w:rsidR="00755252" w:rsidRPr="00755252" w:rsidRDefault="00755252" w:rsidP="00755252">
      <w:pPr>
        <w:pStyle w:val="ListParagraph"/>
        <w:numPr>
          <w:ilvl w:val="0"/>
          <w:numId w:val="24"/>
        </w:numPr>
        <w:rPr>
          <w:iCs/>
          <w:color w:val="000000" w:themeColor="text1"/>
          <w:sz w:val="24"/>
          <w:szCs w:val="24"/>
        </w:rPr>
      </w:pPr>
      <w:r w:rsidRPr="00755252">
        <w:rPr>
          <w:iCs/>
          <w:color w:val="000000" w:themeColor="text1"/>
          <w:sz w:val="24"/>
          <w:szCs w:val="24"/>
        </w:rPr>
        <w:t>Over 200,000 people received increased access to sufficient food (51.7 women and girls and 1.8 per cent people with disabilities)</w:t>
      </w:r>
      <w:r w:rsidR="00335273">
        <w:rPr>
          <w:iCs/>
          <w:color w:val="000000" w:themeColor="text1"/>
          <w:sz w:val="24"/>
          <w:szCs w:val="24"/>
        </w:rPr>
        <w:t>.</w:t>
      </w:r>
    </w:p>
    <w:p w14:paraId="5D3247A8" w14:textId="31EF0B22" w:rsidR="00755252" w:rsidRPr="00755252" w:rsidRDefault="00755252" w:rsidP="00755252">
      <w:pPr>
        <w:pStyle w:val="ListParagraph"/>
        <w:numPr>
          <w:ilvl w:val="0"/>
          <w:numId w:val="24"/>
        </w:numPr>
        <w:rPr>
          <w:iCs/>
          <w:color w:val="000000" w:themeColor="text1"/>
          <w:sz w:val="24"/>
          <w:szCs w:val="24"/>
        </w:rPr>
      </w:pPr>
      <w:r w:rsidRPr="00755252">
        <w:rPr>
          <w:iCs/>
          <w:color w:val="000000" w:themeColor="text1"/>
          <w:sz w:val="24"/>
          <w:szCs w:val="24"/>
        </w:rPr>
        <w:t>Over 50,000 people reached with new or improved social protection programs (54.1 women and girls and 3.5 per cent people with disabilities)</w:t>
      </w:r>
      <w:r w:rsidR="00335273">
        <w:rPr>
          <w:iCs/>
          <w:color w:val="000000" w:themeColor="text1"/>
          <w:sz w:val="24"/>
          <w:szCs w:val="24"/>
        </w:rPr>
        <w:t>.</w:t>
      </w:r>
    </w:p>
    <w:p w14:paraId="6CF3D58A" w14:textId="3A8AE008" w:rsidR="00755252" w:rsidRPr="00755252" w:rsidRDefault="00755252" w:rsidP="00755252">
      <w:pPr>
        <w:pStyle w:val="ListParagraph"/>
        <w:numPr>
          <w:ilvl w:val="0"/>
          <w:numId w:val="24"/>
        </w:numPr>
        <w:rPr>
          <w:iCs/>
          <w:color w:val="000000" w:themeColor="text1"/>
          <w:sz w:val="24"/>
          <w:szCs w:val="24"/>
        </w:rPr>
      </w:pPr>
      <w:r w:rsidRPr="00755252">
        <w:rPr>
          <w:iCs/>
          <w:color w:val="000000" w:themeColor="text1"/>
          <w:sz w:val="24"/>
          <w:szCs w:val="24"/>
        </w:rPr>
        <w:t>More than 45,000 women supported to assume leadership roles (3.2 cent women with disabilities)</w:t>
      </w:r>
      <w:r w:rsidR="00335273">
        <w:rPr>
          <w:iCs/>
          <w:color w:val="000000" w:themeColor="text1"/>
          <w:sz w:val="24"/>
          <w:szCs w:val="24"/>
        </w:rPr>
        <w:t>.</w:t>
      </w:r>
    </w:p>
    <w:p w14:paraId="2D0EFB3A" w14:textId="7CC17416" w:rsidR="00755252" w:rsidRDefault="00755252" w:rsidP="00EA4286">
      <w:pPr>
        <w:pStyle w:val="ListParagraph"/>
        <w:numPr>
          <w:ilvl w:val="0"/>
          <w:numId w:val="24"/>
        </w:numPr>
        <w:spacing w:before="0" w:after="0" w:line="240" w:lineRule="auto"/>
        <w:ind w:left="357" w:hanging="357"/>
        <w:contextualSpacing w:val="0"/>
        <w:rPr>
          <w:iCs/>
          <w:color w:val="000000" w:themeColor="text1"/>
          <w:sz w:val="24"/>
          <w:szCs w:val="24"/>
        </w:rPr>
      </w:pPr>
      <w:r w:rsidRPr="00755252">
        <w:rPr>
          <w:iCs/>
          <w:color w:val="000000" w:themeColor="text1"/>
          <w:sz w:val="24"/>
          <w:szCs w:val="24"/>
        </w:rPr>
        <w:t>Over 30,000 additional girls and boys enrolled in school (48.6 per cent girls and 5.4 per cent people with disabilities)</w:t>
      </w:r>
      <w:r w:rsidR="00335273">
        <w:rPr>
          <w:iCs/>
          <w:color w:val="000000" w:themeColor="text1"/>
          <w:sz w:val="24"/>
          <w:szCs w:val="24"/>
        </w:rPr>
        <w:t>.</w:t>
      </w:r>
      <w:r w:rsidR="00EA4286">
        <w:rPr>
          <w:iCs/>
          <w:color w:val="000000" w:themeColor="text1"/>
          <w:sz w:val="24"/>
          <w:szCs w:val="24"/>
        </w:rPr>
        <w:br/>
      </w:r>
    </w:p>
    <w:p w14:paraId="55FD7EF3" w14:textId="7DBF842D" w:rsidR="00EA4286" w:rsidRDefault="00262EA6" w:rsidP="00EA4286">
      <w:pPr>
        <w:spacing w:before="0" w:after="240"/>
        <w:rPr>
          <w:color w:val="000000" w:themeColor="text1"/>
          <w:sz w:val="24"/>
          <w:szCs w:val="24"/>
        </w:rPr>
      </w:pPr>
      <w:r w:rsidRPr="00465206">
        <w:rPr>
          <w:b/>
          <w:bCs/>
          <w:noProof/>
        </w:rPr>
        <w:drawing>
          <wp:inline distT="0" distB="0" distL="0" distR="0" wp14:anchorId="373E9BEC" wp14:editId="1F15E37C">
            <wp:extent cx="5943600" cy="3256280"/>
            <wp:effectExtent l="0" t="0" r="0" b="1270"/>
            <wp:docPr id="1101985944" name="Picture 1" descr="Bar graph titled 'Graph 1: 2023–24 ANCP Expenditure by SDG (%)'. It displays the percentage of expenditure allocated to various Sustainable Development Goals (SDGs). The highest allocations are: Goal 3 – Good Health and Well-being (24%), Goal 5 – Gender Equality (14.1%), Goal 1 – No Poverty (10.8%), and Goal 2 – Zero Hunger (8.3%). Other goals such as Quality Education (8.1%), Climate Action (7.5%), and Reduced Inequalities (6.8%) follow. Remaining goals receive less than 5%, with the lowest un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85944" name="Picture 1" descr="Bar graph titled 'Graph 1: 2023–24 ANCP Expenditure by SDG (%)'. It displays the percentage of expenditure allocated to various Sustainable Development Goals (SDGs). The highest allocations are: Goal 3 – Good Health and Well-being (24%), Goal 5 – Gender Equality (14.1%), Goal 1 – No Poverty (10.8%), and Goal 2 – Zero Hunger (8.3%). Other goals such as Quality Education (8.1%), Climate Action (7.5%), and Reduced Inequalities (6.8%) follow. Remaining goals receive less than 5%, with the lowest under 1%."/>
                    <pic:cNvPicPr/>
                  </pic:nvPicPr>
                  <pic:blipFill>
                    <a:blip r:embed="rId10"/>
                    <a:stretch>
                      <a:fillRect/>
                    </a:stretch>
                  </pic:blipFill>
                  <pic:spPr>
                    <a:xfrm>
                      <a:off x="0" y="0"/>
                      <a:ext cx="5943600" cy="3256280"/>
                    </a:xfrm>
                    <a:prstGeom prst="rect">
                      <a:avLst/>
                    </a:prstGeom>
                  </pic:spPr>
                </pic:pic>
              </a:graphicData>
            </a:graphic>
          </wp:inline>
        </w:drawing>
      </w:r>
    </w:p>
    <w:p w14:paraId="30E732EF" w14:textId="5DDF2E3B" w:rsidR="00977296" w:rsidRPr="007D0F80" w:rsidRDefault="00977296" w:rsidP="00977296">
      <w:pPr>
        <w:spacing w:after="240"/>
        <w:rPr>
          <w:color w:val="000000" w:themeColor="text1"/>
          <w:sz w:val="24"/>
          <w:szCs w:val="24"/>
        </w:rPr>
      </w:pPr>
      <w:r w:rsidRPr="007D0F80">
        <w:rPr>
          <w:color w:val="000000" w:themeColor="text1"/>
          <w:sz w:val="24"/>
          <w:szCs w:val="24"/>
        </w:rPr>
        <w:lastRenderedPageBreak/>
        <w:t>The objective of the ANCP is to progress Sustainable Development Goals (SDGs) through supporting inclusive development, and open and transparent civil society. Graph 1 shows ANCP expenditure (percentage) in 202</w:t>
      </w:r>
      <w:r w:rsidR="0034068B">
        <w:rPr>
          <w:color w:val="000000" w:themeColor="text1"/>
          <w:sz w:val="24"/>
          <w:szCs w:val="24"/>
        </w:rPr>
        <w:t>3</w:t>
      </w:r>
      <w:r w:rsidRPr="007D0F80">
        <w:rPr>
          <w:color w:val="000000" w:themeColor="text1"/>
          <w:sz w:val="24"/>
          <w:szCs w:val="24"/>
        </w:rPr>
        <w:t>-2</w:t>
      </w:r>
      <w:r w:rsidR="0034068B">
        <w:rPr>
          <w:color w:val="000000" w:themeColor="text1"/>
          <w:sz w:val="24"/>
          <w:szCs w:val="24"/>
        </w:rPr>
        <w:t>4</w:t>
      </w:r>
      <w:r w:rsidRPr="007D0F80">
        <w:rPr>
          <w:color w:val="000000" w:themeColor="text1"/>
          <w:sz w:val="24"/>
          <w:szCs w:val="24"/>
        </w:rPr>
        <w:t xml:space="preserve"> against each SDG. The largest expenditure related to: Good Health and Wellbeing (Goal 3); Gender Equality (Goal 5)</w:t>
      </w:r>
      <w:r w:rsidR="00C10F2C" w:rsidRPr="007D0F80">
        <w:rPr>
          <w:color w:val="000000" w:themeColor="text1"/>
          <w:sz w:val="24"/>
          <w:szCs w:val="24"/>
        </w:rPr>
        <w:t>;</w:t>
      </w:r>
      <w:r w:rsidR="00B54098" w:rsidRPr="007D0F80">
        <w:rPr>
          <w:color w:val="000000" w:themeColor="text1"/>
          <w:sz w:val="24"/>
          <w:szCs w:val="24"/>
        </w:rPr>
        <w:t xml:space="preserve"> No Poverty (Goal 1)</w:t>
      </w:r>
      <w:r w:rsidRPr="007D0F80">
        <w:rPr>
          <w:color w:val="000000" w:themeColor="text1"/>
          <w:sz w:val="24"/>
          <w:szCs w:val="24"/>
        </w:rPr>
        <w:t xml:space="preserve"> and </w:t>
      </w:r>
      <w:r w:rsidR="00272DF9">
        <w:rPr>
          <w:color w:val="000000" w:themeColor="text1"/>
          <w:sz w:val="24"/>
          <w:szCs w:val="24"/>
        </w:rPr>
        <w:t>Zero Hunger</w:t>
      </w:r>
      <w:r w:rsidRPr="007D0F80">
        <w:rPr>
          <w:color w:val="000000" w:themeColor="text1"/>
          <w:sz w:val="24"/>
          <w:szCs w:val="24"/>
        </w:rPr>
        <w:t xml:space="preserve"> (Goal </w:t>
      </w:r>
      <w:r w:rsidR="00272DF9">
        <w:rPr>
          <w:color w:val="000000" w:themeColor="text1"/>
          <w:sz w:val="24"/>
          <w:szCs w:val="24"/>
        </w:rPr>
        <w:t>2</w:t>
      </w:r>
      <w:r w:rsidRPr="007D0F80">
        <w:rPr>
          <w:color w:val="000000" w:themeColor="text1"/>
          <w:sz w:val="24"/>
          <w:szCs w:val="24"/>
        </w:rPr>
        <w:t>).</w:t>
      </w:r>
    </w:p>
    <w:p w14:paraId="336CE0FB" w14:textId="4EB0300D" w:rsidR="001C2D7F" w:rsidRPr="00AC4F71" w:rsidRDefault="001C2D7F" w:rsidP="00876C87">
      <w:pPr>
        <w:pStyle w:val="Heading2"/>
      </w:pPr>
      <w:r w:rsidRPr="007D0F80">
        <w:t>Locally</w:t>
      </w:r>
      <w:r w:rsidR="00065B28">
        <w:t xml:space="preserve"> </w:t>
      </w:r>
      <w:r w:rsidRPr="007D0F80">
        <w:t>led development</w:t>
      </w:r>
      <w:r w:rsidRPr="007D0F80">
        <w:rPr>
          <w:i/>
          <w:iCs/>
        </w:rPr>
        <w:t xml:space="preserve"> </w:t>
      </w:r>
    </w:p>
    <w:p w14:paraId="45E231D9" w14:textId="7F7188D0" w:rsidR="004F2C6B" w:rsidRDefault="00A4267E" w:rsidP="005D3948">
      <w:pPr>
        <w:rPr>
          <w:color w:val="000000" w:themeColor="text1"/>
          <w:sz w:val="24"/>
          <w:szCs w:val="24"/>
        </w:rPr>
      </w:pPr>
      <w:r w:rsidRPr="007D0F80">
        <w:rPr>
          <w:color w:val="000000" w:themeColor="text1"/>
          <w:sz w:val="24"/>
          <w:szCs w:val="24"/>
        </w:rPr>
        <w:t>DFAT is exploring how locally led approaches can be strengthened through the ANCP</w:t>
      </w:r>
      <w:r w:rsidR="001C2D7F" w:rsidRPr="007D0F80">
        <w:rPr>
          <w:color w:val="000000" w:themeColor="text1"/>
          <w:sz w:val="24"/>
          <w:szCs w:val="24"/>
        </w:rPr>
        <w:t xml:space="preserve"> and the development program more broadly. This has been reinforced </w:t>
      </w:r>
      <w:r w:rsidR="00407F2D" w:rsidRPr="007D0F80">
        <w:rPr>
          <w:color w:val="000000" w:themeColor="text1"/>
          <w:sz w:val="24"/>
          <w:szCs w:val="24"/>
        </w:rPr>
        <w:t>by</w:t>
      </w:r>
      <w:r w:rsidR="001764C1">
        <w:rPr>
          <w:color w:val="000000" w:themeColor="text1"/>
          <w:sz w:val="24"/>
          <w:szCs w:val="24"/>
        </w:rPr>
        <w:t xml:space="preserve"> the commitment in</w:t>
      </w:r>
      <w:r w:rsidR="00191641" w:rsidRPr="007D0F80">
        <w:rPr>
          <w:color w:val="000000" w:themeColor="text1"/>
          <w:sz w:val="24"/>
          <w:szCs w:val="24"/>
        </w:rPr>
        <w:t xml:space="preserve"> </w:t>
      </w:r>
      <w:r w:rsidR="00AD2300" w:rsidRPr="007D0F80">
        <w:rPr>
          <w:color w:val="000000" w:themeColor="text1"/>
          <w:sz w:val="24"/>
          <w:szCs w:val="24"/>
        </w:rPr>
        <w:t>Australia</w:t>
      </w:r>
      <w:r w:rsidR="00065B28">
        <w:rPr>
          <w:color w:val="000000" w:themeColor="text1"/>
          <w:sz w:val="24"/>
          <w:szCs w:val="24"/>
        </w:rPr>
        <w:t>’s</w:t>
      </w:r>
      <w:r w:rsidR="00AD2300" w:rsidRPr="007D0F80">
        <w:rPr>
          <w:color w:val="000000" w:themeColor="text1"/>
          <w:sz w:val="24"/>
          <w:szCs w:val="24"/>
        </w:rPr>
        <w:t xml:space="preserve"> International Development Policy</w:t>
      </w:r>
      <w:r w:rsidR="001764C1">
        <w:rPr>
          <w:color w:val="000000" w:themeColor="text1"/>
          <w:sz w:val="24"/>
          <w:szCs w:val="24"/>
        </w:rPr>
        <w:t xml:space="preserve"> </w:t>
      </w:r>
      <w:r w:rsidR="00AD2300" w:rsidRPr="007D0F80">
        <w:rPr>
          <w:color w:val="000000" w:themeColor="text1"/>
          <w:sz w:val="24"/>
          <w:szCs w:val="24"/>
        </w:rPr>
        <w:t xml:space="preserve">to </w:t>
      </w:r>
      <w:r w:rsidR="00202E0C" w:rsidRPr="007D0F80">
        <w:rPr>
          <w:color w:val="000000" w:themeColor="text1"/>
          <w:sz w:val="24"/>
          <w:szCs w:val="24"/>
        </w:rPr>
        <w:t xml:space="preserve">support </w:t>
      </w:r>
      <w:r w:rsidR="0056134D">
        <w:rPr>
          <w:color w:val="000000" w:themeColor="text1"/>
          <w:sz w:val="24"/>
          <w:szCs w:val="24"/>
        </w:rPr>
        <w:t>local</w:t>
      </w:r>
      <w:r w:rsidR="00202E0C" w:rsidRPr="007D0F80">
        <w:rPr>
          <w:color w:val="000000" w:themeColor="text1"/>
          <w:sz w:val="24"/>
          <w:szCs w:val="24"/>
        </w:rPr>
        <w:t xml:space="preserve"> </w:t>
      </w:r>
      <w:r w:rsidR="00964D35" w:rsidRPr="007D0F80">
        <w:rPr>
          <w:color w:val="000000" w:themeColor="text1"/>
          <w:sz w:val="24"/>
          <w:szCs w:val="24"/>
        </w:rPr>
        <w:t>leadership, solutions</w:t>
      </w:r>
      <w:r w:rsidR="00065B28">
        <w:rPr>
          <w:color w:val="000000" w:themeColor="text1"/>
          <w:sz w:val="24"/>
          <w:szCs w:val="24"/>
        </w:rPr>
        <w:t>,</w:t>
      </w:r>
      <w:r w:rsidR="00964D35" w:rsidRPr="007D0F80">
        <w:rPr>
          <w:color w:val="000000" w:themeColor="text1"/>
          <w:sz w:val="24"/>
          <w:szCs w:val="24"/>
        </w:rPr>
        <w:t xml:space="preserve"> and accountabilit</w:t>
      </w:r>
      <w:r w:rsidRPr="007D0F80">
        <w:rPr>
          <w:color w:val="000000" w:themeColor="text1"/>
          <w:sz w:val="24"/>
          <w:szCs w:val="24"/>
        </w:rPr>
        <w:t xml:space="preserve">y, including channelling </w:t>
      </w:r>
      <w:r w:rsidR="00A20F0E" w:rsidRPr="007D0F80">
        <w:rPr>
          <w:color w:val="000000" w:themeColor="text1"/>
          <w:sz w:val="24"/>
          <w:szCs w:val="24"/>
        </w:rPr>
        <w:t xml:space="preserve">funding </w:t>
      </w:r>
      <w:r w:rsidRPr="007D0F80">
        <w:rPr>
          <w:color w:val="000000" w:themeColor="text1"/>
          <w:sz w:val="24"/>
          <w:szCs w:val="24"/>
        </w:rPr>
        <w:t>to local actors.</w:t>
      </w:r>
      <w:r w:rsidR="00F50E9E" w:rsidRPr="007D0F80">
        <w:rPr>
          <w:color w:val="000000" w:themeColor="text1"/>
          <w:sz w:val="24"/>
          <w:szCs w:val="24"/>
        </w:rPr>
        <w:t xml:space="preserve"> </w:t>
      </w:r>
      <w:r w:rsidR="001C2D7F" w:rsidRPr="007D0F80">
        <w:rPr>
          <w:color w:val="000000" w:themeColor="text1"/>
          <w:sz w:val="24"/>
          <w:szCs w:val="24"/>
        </w:rPr>
        <w:t xml:space="preserve">Graph 2 </w:t>
      </w:r>
      <w:r w:rsidR="009F50D3">
        <w:rPr>
          <w:color w:val="000000" w:themeColor="text1"/>
          <w:sz w:val="24"/>
          <w:szCs w:val="24"/>
        </w:rPr>
        <w:t>shows</w:t>
      </w:r>
      <w:r w:rsidR="001C2D7F" w:rsidRPr="007D0F80">
        <w:rPr>
          <w:color w:val="000000" w:themeColor="text1"/>
          <w:sz w:val="24"/>
          <w:szCs w:val="24"/>
        </w:rPr>
        <w:t xml:space="preserve"> implementing partner type across the ANCP, </w:t>
      </w:r>
      <w:r w:rsidR="009F50D3">
        <w:rPr>
          <w:color w:val="000000" w:themeColor="text1"/>
          <w:sz w:val="24"/>
          <w:szCs w:val="24"/>
        </w:rPr>
        <w:t xml:space="preserve">which </w:t>
      </w:r>
      <w:r w:rsidR="001C2D7F" w:rsidRPr="007D0F80">
        <w:rPr>
          <w:color w:val="000000" w:themeColor="text1"/>
          <w:sz w:val="24"/>
          <w:szCs w:val="24"/>
        </w:rPr>
        <w:t xml:space="preserve">reflects the prevalence of working with local implementing partners. </w:t>
      </w:r>
    </w:p>
    <w:p w14:paraId="12F0031A" w14:textId="7586C42B" w:rsidR="001C2D7F" w:rsidRPr="0053378A" w:rsidRDefault="00CC2A24" w:rsidP="00396B20">
      <w:pPr>
        <w:rPr>
          <w:color w:val="000000" w:themeColor="text1"/>
          <w:sz w:val="24"/>
          <w:szCs w:val="24"/>
        </w:rPr>
      </w:pPr>
      <w:r w:rsidRPr="00465206">
        <w:rPr>
          <w:b/>
          <w:bCs/>
          <w:noProof/>
        </w:rPr>
        <w:drawing>
          <wp:inline distT="0" distB="0" distL="0" distR="0" wp14:anchorId="4E20A2FA" wp14:editId="0A0DC3C6">
            <wp:extent cx="5943600" cy="3223260"/>
            <wp:effectExtent l="0" t="0" r="0" b="0"/>
            <wp:docPr id="497143235" name="Picture 1" descr="Horizontal bar graph titled 'Graph 2: 2023–24 Implementing Partner Type (%)' showing the percentage distribution of partner types. Local NGO/CSO leads with 48%, followed by Faith Based Organisation and Civil Society Organisation (13% each), International NGO/CSO (12%), and smaller percentages for Government, DPOs, Committees, Health, Private Sector, Research Institutions, Women's Equality Organisations, an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3235" name="Picture 1" descr="Horizontal bar graph titled 'Graph 2: 2023–24 Implementing Partner Type (%)' showing the percentage distribution of partner types. Local NGO/CSO leads with 48%, followed by Faith Based Organisation and Civil Society Organisation (13% each), International NGO/CSO (12%), and smaller percentages for Government, DPOs, Committees, Health, Private Sector, Research Institutions, Women's Equality Organisations, and Education."/>
                    <pic:cNvPicPr/>
                  </pic:nvPicPr>
                  <pic:blipFill>
                    <a:blip r:embed="rId11"/>
                    <a:stretch>
                      <a:fillRect/>
                    </a:stretch>
                  </pic:blipFill>
                  <pic:spPr>
                    <a:xfrm>
                      <a:off x="0" y="0"/>
                      <a:ext cx="5943600" cy="3223260"/>
                    </a:xfrm>
                    <a:prstGeom prst="rect">
                      <a:avLst/>
                    </a:prstGeom>
                  </pic:spPr>
                </pic:pic>
              </a:graphicData>
            </a:graphic>
          </wp:inline>
        </w:drawing>
      </w:r>
    </w:p>
    <w:p w14:paraId="1C8576F3" w14:textId="09E15734" w:rsidR="00003433" w:rsidRDefault="00396B20" w:rsidP="002A2E82">
      <w:pPr>
        <w:spacing w:before="240"/>
        <w:rPr>
          <w:color w:val="000000" w:themeColor="text1"/>
          <w:sz w:val="24"/>
          <w:szCs w:val="24"/>
        </w:rPr>
      </w:pPr>
      <w:r w:rsidRPr="007D0F80">
        <w:rPr>
          <w:color w:val="000000" w:themeColor="text1"/>
          <w:sz w:val="24"/>
          <w:szCs w:val="24"/>
        </w:rPr>
        <w:t xml:space="preserve">In 2022-23 DFAT piloted a funding pass-down to local partners, where ANGOs were required to allocate a minimum of $5,000 of their annual ANCP grant to local implementing partners for administration and overheads costs. </w:t>
      </w:r>
      <w:r w:rsidR="00E34B86" w:rsidRPr="007D0F80">
        <w:rPr>
          <w:color w:val="000000" w:themeColor="text1"/>
          <w:sz w:val="24"/>
          <w:szCs w:val="24"/>
        </w:rPr>
        <w:t>In 2023-24, the local pass down</w:t>
      </w:r>
      <w:r w:rsidR="00426F3B">
        <w:rPr>
          <w:color w:val="000000" w:themeColor="text1"/>
          <w:sz w:val="24"/>
          <w:szCs w:val="24"/>
        </w:rPr>
        <w:t xml:space="preserve"> value</w:t>
      </w:r>
      <w:r w:rsidR="00E34B86" w:rsidRPr="007D0F80">
        <w:rPr>
          <w:color w:val="000000" w:themeColor="text1"/>
          <w:sz w:val="24"/>
          <w:szCs w:val="24"/>
        </w:rPr>
        <w:t xml:space="preserve"> increased to $10,000</w:t>
      </w:r>
      <w:r w:rsidR="00AF6081">
        <w:rPr>
          <w:color w:val="000000" w:themeColor="text1"/>
          <w:sz w:val="24"/>
          <w:szCs w:val="24"/>
        </w:rPr>
        <w:t xml:space="preserve"> </w:t>
      </w:r>
      <w:r w:rsidR="002C4980">
        <w:rPr>
          <w:color w:val="000000" w:themeColor="text1"/>
          <w:sz w:val="24"/>
          <w:szCs w:val="24"/>
        </w:rPr>
        <w:t xml:space="preserve">and included funding </w:t>
      </w:r>
      <w:r w:rsidR="00C53191">
        <w:rPr>
          <w:color w:val="000000" w:themeColor="text1"/>
          <w:sz w:val="24"/>
          <w:szCs w:val="24"/>
        </w:rPr>
        <w:t xml:space="preserve">flows to local partners </w:t>
      </w:r>
      <w:r w:rsidR="007B60E9">
        <w:rPr>
          <w:color w:val="000000" w:themeColor="text1"/>
          <w:sz w:val="24"/>
          <w:szCs w:val="24"/>
        </w:rPr>
        <w:t xml:space="preserve">for </w:t>
      </w:r>
      <w:r w:rsidR="00707919" w:rsidRPr="007D0F80">
        <w:rPr>
          <w:color w:val="000000" w:themeColor="text1"/>
          <w:sz w:val="24"/>
          <w:szCs w:val="24"/>
        </w:rPr>
        <w:t>implementing project activities</w:t>
      </w:r>
      <w:r w:rsidR="00E34B86" w:rsidRPr="007D0F80">
        <w:rPr>
          <w:color w:val="000000" w:themeColor="text1"/>
          <w:sz w:val="24"/>
          <w:szCs w:val="24"/>
        </w:rPr>
        <w:t xml:space="preserve">. </w:t>
      </w:r>
      <w:r w:rsidR="00003433">
        <w:rPr>
          <w:color w:val="000000" w:themeColor="text1"/>
          <w:sz w:val="24"/>
          <w:szCs w:val="24"/>
        </w:rPr>
        <w:t xml:space="preserve">Over </w:t>
      </w:r>
      <w:r w:rsidR="009213A1">
        <w:rPr>
          <w:color w:val="000000" w:themeColor="text1"/>
          <w:sz w:val="24"/>
          <w:szCs w:val="24"/>
        </w:rPr>
        <w:t xml:space="preserve">$1.3 million </w:t>
      </w:r>
      <w:r w:rsidR="00414C85">
        <w:rPr>
          <w:color w:val="000000" w:themeColor="text1"/>
          <w:sz w:val="24"/>
          <w:szCs w:val="24"/>
        </w:rPr>
        <w:t xml:space="preserve">was passed down </w:t>
      </w:r>
      <w:r w:rsidR="009E369C">
        <w:rPr>
          <w:color w:val="000000" w:themeColor="text1"/>
          <w:sz w:val="24"/>
          <w:szCs w:val="24"/>
        </w:rPr>
        <w:t xml:space="preserve">in 2023-24, up from </w:t>
      </w:r>
      <w:r w:rsidR="009E369C" w:rsidRPr="007D0F80">
        <w:rPr>
          <w:color w:val="000000" w:themeColor="text1"/>
          <w:sz w:val="24"/>
          <w:szCs w:val="24"/>
        </w:rPr>
        <w:t>$465,000</w:t>
      </w:r>
      <w:r w:rsidR="00741304" w:rsidRPr="00741304">
        <w:rPr>
          <w:color w:val="000000" w:themeColor="text1"/>
          <w:sz w:val="24"/>
          <w:szCs w:val="24"/>
        </w:rPr>
        <w:t xml:space="preserve"> </w:t>
      </w:r>
      <w:r w:rsidR="00741304" w:rsidRPr="007D0F80">
        <w:rPr>
          <w:color w:val="000000" w:themeColor="text1"/>
          <w:sz w:val="24"/>
          <w:szCs w:val="24"/>
        </w:rPr>
        <w:t>in 2022-23.</w:t>
      </w:r>
    </w:p>
    <w:p w14:paraId="2A18B577" w14:textId="1E721525" w:rsidR="0001106A" w:rsidRPr="00CA0E21" w:rsidRDefault="00454514" w:rsidP="00876C87">
      <w:pPr>
        <w:pStyle w:val="Heading2"/>
        <w:rPr>
          <w:color w:val="auto"/>
        </w:rPr>
      </w:pPr>
      <w:r w:rsidRPr="00CA0E21">
        <w:rPr>
          <w:color w:val="auto"/>
        </w:rPr>
        <w:t>Gender</w:t>
      </w:r>
      <w:r w:rsidR="008B5F14" w:rsidRPr="00CA0E21">
        <w:rPr>
          <w:color w:val="auto"/>
        </w:rPr>
        <w:t xml:space="preserve"> </w:t>
      </w:r>
      <w:r w:rsidR="00EA4286">
        <w:rPr>
          <w:color w:val="auto"/>
        </w:rPr>
        <w:t>e</w:t>
      </w:r>
      <w:r w:rsidR="008B5F14" w:rsidRPr="00CA0E21">
        <w:rPr>
          <w:color w:val="auto"/>
        </w:rPr>
        <w:t>quality</w:t>
      </w:r>
      <w:r w:rsidRPr="00CA0E21">
        <w:rPr>
          <w:color w:val="auto"/>
        </w:rPr>
        <w:t xml:space="preserve"> and </w:t>
      </w:r>
      <w:r w:rsidR="00EA4286">
        <w:rPr>
          <w:color w:val="auto"/>
        </w:rPr>
        <w:t>d</w:t>
      </w:r>
      <w:r w:rsidRPr="00CA0E21">
        <w:rPr>
          <w:color w:val="auto"/>
        </w:rPr>
        <w:t xml:space="preserve">isability </w:t>
      </w:r>
      <w:r w:rsidR="00EA4286">
        <w:rPr>
          <w:color w:val="auto"/>
        </w:rPr>
        <w:t>i</w:t>
      </w:r>
      <w:r w:rsidR="008B5F14" w:rsidRPr="00CA0E21">
        <w:rPr>
          <w:color w:val="auto"/>
        </w:rPr>
        <w:t>nclusion</w:t>
      </w:r>
      <w:r w:rsidR="00E111D0" w:rsidRPr="00CA0E21">
        <w:rPr>
          <w:color w:val="auto"/>
        </w:rPr>
        <w:t xml:space="preserve"> </w:t>
      </w:r>
    </w:p>
    <w:p w14:paraId="27D48692" w14:textId="097020D8" w:rsidR="00BE63C0" w:rsidRDefault="00FD527A" w:rsidP="00741EDE">
      <w:pPr>
        <w:rPr>
          <w:color w:val="000000" w:themeColor="text1"/>
          <w:sz w:val="24"/>
          <w:szCs w:val="24"/>
        </w:rPr>
      </w:pPr>
      <w:r>
        <w:rPr>
          <w:color w:val="000000" w:themeColor="text1"/>
          <w:sz w:val="24"/>
          <w:szCs w:val="24"/>
        </w:rPr>
        <w:t xml:space="preserve">Social inclusion is an integral part of ANCP’s Program Logic. </w:t>
      </w:r>
      <w:r w:rsidR="00E168AC" w:rsidRPr="00E168AC">
        <w:rPr>
          <w:color w:val="000000" w:themeColor="text1"/>
          <w:sz w:val="24"/>
          <w:szCs w:val="24"/>
        </w:rPr>
        <w:t>DFAT accreditation</w:t>
      </w:r>
      <w:r w:rsidR="00A5294D">
        <w:rPr>
          <w:color w:val="000000" w:themeColor="text1"/>
          <w:sz w:val="24"/>
          <w:szCs w:val="24"/>
        </w:rPr>
        <w:t xml:space="preserve"> verifies that ANCP NGOs have appropriate </w:t>
      </w:r>
      <w:r w:rsidR="00FF05A7">
        <w:rPr>
          <w:color w:val="000000" w:themeColor="text1"/>
          <w:sz w:val="24"/>
          <w:szCs w:val="24"/>
        </w:rPr>
        <w:t>policies, systems and capacity to promote gender equality and incorporate disability inclusive practice</w:t>
      </w:r>
      <w:r w:rsidR="00A22D1B">
        <w:rPr>
          <w:color w:val="000000" w:themeColor="text1"/>
          <w:sz w:val="24"/>
          <w:szCs w:val="24"/>
        </w:rPr>
        <w:t xml:space="preserve">s in development </w:t>
      </w:r>
      <w:r w:rsidR="00294837">
        <w:rPr>
          <w:color w:val="000000" w:themeColor="text1"/>
          <w:sz w:val="24"/>
          <w:szCs w:val="24"/>
        </w:rPr>
        <w:t xml:space="preserve">programming. Of the </w:t>
      </w:r>
      <w:r w:rsidR="003C6F13">
        <w:rPr>
          <w:color w:val="000000" w:themeColor="text1"/>
          <w:sz w:val="24"/>
          <w:szCs w:val="24"/>
        </w:rPr>
        <w:t xml:space="preserve">4.1 million direct participants, </w:t>
      </w:r>
      <w:r w:rsidR="00550E16" w:rsidRPr="00550E16">
        <w:rPr>
          <w:color w:val="000000" w:themeColor="text1"/>
          <w:sz w:val="24"/>
          <w:szCs w:val="24"/>
        </w:rPr>
        <w:t>5</w:t>
      </w:r>
      <w:r w:rsidR="00D13368">
        <w:rPr>
          <w:color w:val="000000" w:themeColor="text1"/>
          <w:sz w:val="24"/>
          <w:szCs w:val="24"/>
        </w:rPr>
        <w:t>8</w:t>
      </w:r>
      <w:r w:rsidR="00550E16">
        <w:rPr>
          <w:color w:val="000000" w:themeColor="text1"/>
          <w:sz w:val="24"/>
          <w:szCs w:val="24"/>
        </w:rPr>
        <w:t xml:space="preserve"> per cent were</w:t>
      </w:r>
      <w:r w:rsidR="00550E16" w:rsidRPr="00550E16">
        <w:rPr>
          <w:color w:val="000000" w:themeColor="text1"/>
          <w:sz w:val="24"/>
          <w:szCs w:val="24"/>
        </w:rPr>
        <w:t xml:space="preserve"> women </w:t>
      </w:r>
      <w:r w:rsidR="00550E16">
        <w:rPr>
          <w:color w:val="000000" w:themeColor="text1"/>
          <w:sz w:val="24"/>
          <w:szCs w:val="24"/>
        </w:rPr>
        <w:t>or</w:t>
      </w:r>
      <w:r w:rsidR="00550E16" w:rsidRPr="00550E16">
        <w:rPr>
          <w:color w:val="000000" w:themeColor="text1"/>
          <w:sz w:val="24"/>
          <w:szCs w:val="24"/>
        </w:rPr>
        <w:t xml:space="preserve"> girls </w:t>
      </w:r>
      <w:r w:rsidR="00391943">
        <w:rPr>
          <w:color w:val="000000" w:themeColor="text1"/>
          <w:sz w:val="24"/>
          <w:szCs w:val="24"/>
        </w:rPr>
        <w:t>(</w:t>
      </w:r>
      <w:r w:rsidR="00BD0014">
        <w:rPr>
          <w:color w:val="000000" w:themeColor="text1"/>
          <w:sz w:val="24"/>
          <w:szCs w:val="24"/>
        </w:rPr>
        <w:t>down from</w:t>
      </w:r>
      <w:r w:rsidR="00F702BD">
        <w:rPr>
          <w:color w:val="000000" w:themeColor="text1"/>
          <w:sz w:val="24"/>
          <w:szCs w:val="24"/>
        </w:rPr>
        <w:t xml:space="preserve"> 6</w:t>
      </w:r>
      <w:r w:rsidR="00DE6B34">
        <w:rPr>
          <w:color w:val="000000" w:themeColor="text1"/>
          <w:sz w:val="24"/>
          <w:szCs w:val="24"/>
        </w:rPr>
        <w:t>1</w:t>
      </w:r>
      <w:r w:rsidR="00F702BD">
        <w:rPr>
          <w:color w:val="000000" w:themeColor="text1"/>
          <w:sz w:val="24"/>
          <w:szCs w:val="24"/>
        </w:rPr>
        <w:t xml:space="preserve"> per cent in 2022-23</w:t>
      </w:r>
      <w:r w:rsidR="00391943">
        <w:rPr>
          <w:color w:val="000000" w:themeColor="text1"/>
          <w:sz w:val="24"/>
          <w:szCs w:val="24"/>
        </w:rPr>
        <w:t>) and</w:t>
      </w:r>
      <w:r w:rsidR="00550E16" w:rsidRPr="00550E16">
        <w:rPr>
          <w:color w:val="000000" w:themeColor="text1"/>
          <w:sz w:val="24"/>
          <w:szCs w:val="24"/>
        </w:rPr>
        <w:t xml:space="preserve"> 2.5</w:t>
      </w:r>
      <w:r w:rsidR="00391943">
        <w:rPr>
          <w:color w:val="000000" w:themeColor="text1"/>
          <w:sz w:val="24"/>
          <w:szCs w:val="24"/>
        </w:rPr>
        <w:t xml:space="preserve"> per cent were</w:t>
      </w:r>
      <w:r w:rsidR="00550E16" w:rsidRPr="00550E16">
        <w:rPr>
          <w:color w:val="000000" w:themeColor="text1"/>
          <w:sz w:val="24"/>
          <w:szCs w:val="24"/>
        </w:rPr>
        <w:t xml:space="preserve"> people with </w:t>
      </w:r>
      <w:r w:rsidR="00391943">
        <w:rPr>
          <w:color w:val="000000" w:themeColor="text1"/>
          <w:sz w:val="24"/>
          <w:szCs w:val="24"/>
        </w:rPr>
        <w:t xml:space="preserve">disabilities (up from </w:t>
      </w:r>
      <w:r w:rsidR="00F702BD">
        <w:rPr>
          <w:color w:val="000000" w:themeColor="text1"/>
          <w:sz w:val="24"/>
          <w:szCs w:val="24"/>
        </w:rPr>
        <w:t>2.4 per cent in 2022-23).</w:t>
      </w:r>
      <w:r w:rsidR="002B5E2E">
        <w:rPr>
          <w:color w:val="000000" w:themeColor="text1"/>
          <w:sz w:val="24"/>
          <w:szCs w:val="24"/>
        </w:rPr>
        <w:t xml:space="preserve"> </w:t>
      </w:r>
      <w:r w:rsidR="005D1756" w:rsidRPr="007D0F80">
        <w:rPr>
          <w:color w:val="000000" w:themeColor="text1"/>
          <w:sz w:val="24"/>
          <w:szCs w:val="24"/>
        </w:rPr>
        <w:t xml:space="preserve">Overall and in line with previous reporting, inclusion of gender equality approaches in ANCP </w:t>
      </w:r>
      <w:r w:rsidR="00753A38" w:rsidRPr="007D0F80">
        <w:rPr>
          <w:color w:val="000000" w:themeColor="text1"/>
          <w:sz w:val="24"/>
          <w:szCs w:val="24"/>
        </w:rPr>
        <w:t xml:space="preserve">are stronger </w:t>
      </w:r>
      <w:r w:rsidR="006F2BE6">
        <w:rPr>
          <w:color w:val="000000" w:themeColor="text1"/>
          <w:sz w:val="24"/>
          <w:szCs w:val="24"/>
        </w:rPr>
        <w:t>than</w:t>
      </w:r>
      <w:r w:rsidR="00753A38" w:rsidRPr="007D0F80">
        <w:rPr>
          <w:color w:val="000000" w:themeColor="text1"/>
          <w:sz w:val="24"/>
          <w:szCs w:val="24"/>
        </w:rPr>
        <w:t xml:space="preserve"> </w:t>
      </w:r>
      <w:r w:rsidR="00CB669F">
        <w:rPr>
          <w:color w:val="000000" w:themeColor="text1"/>
          <w:sz w:val="24"/>
          <w:szCs w:val="24"/>
        </w:rPr>
        <w:t xml:space="preserve">those for </w:t>
      </w:r>
      <w:r w:rsidR="00EA78A3" w:rsidRPr="007D0F80">
        <w:rPr>
          <w:color w:val="000000" w:themeColor="text1"/>
          <w:sz w:val="24"/>
          <w:szCs w:val="24"/>
        </w:rPr>
        <w:t>disability inclusion.</w:t>
      </w:r>
    </w:p>
    <w:p w14:paraId="39A2FAE6" w14:textId="77777777" w:rsidR="006F2BE6" w:rsidRPr="007D0F80" w:rsidRDefault="006F2BE6" w:rsidP="00741EDE">
      <w:pPr>
        <w:rPr>
          <w:color w:val="000000" w:themeColor="text1"/>
          <w:sz w:val="24"/>
          <w:szCs w:val="24"/>
        </w:rPr>
      </w:pPr>
    </w:p>
    <w:p w14:paraId="1E96A863" w14:textId="45C355FA" w:rsidR="002A2E82" w:rsidRDefault="00CC2A24" w:rsidP="00CC2A24">
      <w:pPr>
        <w:suppressAutoHyphens w:val="0"/>
        <w:spacing w:before="0" w:after="120" w:line="440" w:lineRule="atLeast"/>
        <w:rPr>
          <w:color w:val="000000" w:themeColor="text1"/>
          <w:sz w:val="24"/>
          <w:szCs w:val="24"/>
        </w:rPr>
      </w:pPr>
      <w:r>
        <w:rPr>
          <w:color w:val="000000" w:themeColor="text1"/>
          <w:sz w:val="24"/>
          <w:szCs w:val="24"/>
        </w:rPr>
        <w:br w:type="page"/>
      </w:r>
    </w:p>
    <w:p w14:paraId="1941FBDE" w14:textId="6EB50E7F" w:rsidR="002607AE" w:rsidRDefault="004062EA" w:rsidP="004C29FC">
      <w:pPr>
        <w:spacing w:before="0" w:after="0" w:line="240" w:lineRule="auto"/>
        <w:rPr>
          <w:color w:val="000000" w:themeColor="text1"/>
          <w:sz w:val="24"/>
          <w:szCs w:val="24"/>
        </w:rPr>
      </w:pPr>
      <w:r w:rsidRPr="007D0F80">
        <w:rPr>
          <w:color w:val="000000" w:themeColor="text1"/>
          <w:sz w:val="24"/>
          <w:szCs w:val="24"/>
        </w:rPr>
        <w:lastRenderedPageBreak/>
        <w:t>In 202</w:t>
      </w:r>
      <w:r w:rsidR="00A12F3A">
        <w:rPr>
          <w:color w:val="000000" w:themeColor="text1"/>
          <w:sz w:val="24"/>
          <w:szCs w:val="24"/>
        </w:rPr>
        <w:t>3</w:t>
      </w:r>
      <w:r w:rsidRPr="007D0F80">
        <w:rPr>
          <w:color w:val="000000" w:themeColor="text1"/>
          <w:sz w:val="24"/>
          <w:szCs w:val="24"/>
        </w:rPr>
        <w:t>-2</w:t>
      </w:r>
      <w:r w:rsidR="00A12F3A">
        <w:rPr>
          <w:color w:val="000000" w:themeColor="text1"/>
          <w:sz w:val="24"/>
          <w:szCs w:val="24"/>
        </w:rPr>
        <w:t>4,</w:t>
      </w:r>
      <w:r w:rsidRPr="007D0F80">
        <w:rPr>
          <w:color w:val="000000" w:themeColor="text1"/>
          <w:sz w:val="24"/>
          <w:szCs w:val="24"/>
        </w:rPr>
        <w:t xml:space="preserve"> the ANCP supported the following</w:t>
      </w:r>
      <w:r w:rsidR="00550182" w:rsidRPr="007D0F80">
        <w:rPr>
          <w:color w:val="000000" w:themeColor="text1"/>
          <w:sz w:val="24"/>
          <w:szCs w:val="24"/>
        </w:rPr>
        <w:t xml:space="preserve"> indicator results for gender equality</w:t>
      </w:r>
      <w:r w:rsidRPr="007D0F80">
        <w:rPr>
          <w:color w:val="000000" w:themeColor="text1"/>
          <w:sz w:val="24"/>
          <w:szCs w:val="24"/>
        </w:rPr>
        <w:t>:</w:t>
      </w:r>
    </w:p>
    <w:p w14:paraId="68C5D8E4" w14:textId="248F6063" w:rsidR="00D07E2D" w:rsidRDefault="008F5648" w:rsidP="004C29FC">
      <w:pPr>
        <w:pStyle w:val="ListParagraph"/>
        <w:numPr>
          <w:ilvl w:val="0"/>
          <w:numId w:val="26"/>
        </w:numPr>
        <w:spacing w:before="0" w:after="0" w:line="240" w:lineRule="auto"/>
        <w:rPr>
          <w:color w:val="000000" w:themeColor="text1"/>
          <w:sz w:val="24"/>
          <w:szCs w:val="24"/>
        </w:rPr>
      </w:pPr>
      <w:r w:rsidRPr="008F5648">
        <w:rPr>
          <w:color w:val="000000" w:themeColor="text1"/>
          <w:sz w:val="24"/>
          <w:szCs w:val="24"/>
        </w:rPr>
        <w:t>376,292</w:t>
      </w:r>
      <w:r w:rsidR="00930CBC">
        <w:rPr>
          <w:color w:val="000000" w:themeColor="text1"/>
          <w:sz w:val="24"/>
          <w:szCs w:val="24"/>
        </w:rPr>
        <w:t xml:space="preserve"> </w:t>
      </w:r>
      <w:r w:rsidR="00930CBC" w:rsidRPr="00930CBC">
        <w:rPr>
          <w:color w:val="000000" w:themeColor="text1"/>
          <w:sz w:val="24"/>
          <w:szCs w:val="24"/>
        </w:rPr>
        <w:t>people participated in sessions on gender issues and women's equal rights</w:t>
      </w:r>
      <w:r w:rsidR="00930CBC">
        <w:rPr>
          <w:color w:val="000000" w:themeColor="text1"/>
          <w:sz w:val="24"/>
          <w:szCs w:val="24"/>
        </w:rPr>
        <w:t xml:space="preserve"> (</w:t>
      </w:r>
      <w:r w:rsidR="00B23760">
        <w:rPr>
          <w:color w:val="000000" w:themeColor="text1"/>
          <w:sz w:val="24"/>
          <w:szCs w:val="24"/>
        </w:rPr>
        <w:t>64.3 per cent women and girls, 2.4 per cent people with disabilities</w:t>
      </w:r>
      <w:r w:rsidR="00B937F9">
        <w:rPr>
          <w:color w:val="000000" w:themeColor="text1"/>
          <w:sz w:val="24"/>
          <w:szCs w:val="24"/>
        </w:rPr>
        <w:t xml:space="preserve">), up from </w:t>
      </w:r>
      <w:r w:rsidR="00B937F9" w:rsidRPr="00B937F9">
        <w:rPr>
          <w:color w:val="000000" w:themeColor="text1"/>
          <w:sz w:val="24"/>
          <w:szCs w:val="24"/>
        </w:rPr>
        <w:t>368,421</w:t>
      </w:r>
      <w:r w:rsidR="00B937F9">
        <w:rPr>
          <w:color w:val="000000" w:themeColor="text1"/>
          <w:sz w:val="24"/>
          <w:szCs w:val="24"/>
        </w:rPr>
        <w:t xml:space="preserve"> people in </w:t>
      </w:r>
      <w:r w:rsidR="002B2336">
        <w:rPr>
          <w:color w:val="000000" w:themeColor="text1"/>
          <w:sz w:val="24"/>
          <w:szCs w:val="24"/>
        </w:rPr>
        <w:t xml:space="preserve">2022-23 and </w:t>
      </w:r>
      <w:r w:rsidR="002B2336" w:rsidRPr="002B2336">
        <w:rPr>
          <w:color w:val="000000" w:themeColor="text1"/>
          <w:sz w:val="24"/>
          <w:szCs w:val="24"/>
        </w:rPr>
        <w:t>354,680 people in 2021-2</w:t>
      </w:r>
      <w:r w:rsidR="000E1343">
        <w:rPr>
          <w:color w:val="000000" w:themeColor="text1"/>
          <w:sz w:val="24"/>
          <w:szCs w:val="24"/>
        </w:rPr>
        <w:t>2</w:t>
      </w:r>
      <w:r w:rsidR="00D07E2D" w:rsidRPr="000E1343">
        <w:rPr>
          <w:color w:val="000000" w:themeColor="text1"/>
          <w:sz w:val="24"/>
          <w:szCs w:val="24"/>
        </w:rPr>
        <w:t xml:space="preserve"> (Indicator G.02)</w:t>
      </w:r>
      <w:r w:rsidR="00335273">
        <w:rPr>
          <w:color w:val="000000" w:themeColor="text1"/>
          <w:sz w:val="24"/>
          <w:szCs w:val="24"/>
        </w:rPr>
        <w:t>.</w:t>
      </w:r>
    </w:p>
    <w:p w14:paraId="10A1B60F" w14:textId="2B717B20" w:rsidR="00E1735D" w:rsidRDefault="00716DB6" w:rsidP="004C29FC">
      <w:pPr>
        <w:pStyle w:val="ListParagraph"/>
        <w:numPr>
          <w:ilvl w:val="0"/>
          <w:numId w:val="26"/>
        </w:numPr>
        <w:spacing w:before="0" w:after="0" w:line="240" w:lineRule="auto"/>
        <w:rPr>
          <w:color w:val="000000" w:themeColor="text1"/>
          <w:sz w:val="24"/>
          <w:szCs w:val="24"/>
        </w:rPr>
      </w:pPr>
      <w:r w:rsidRPr="00716DB6">
        <w:rPr>
          <w:color w:val="000000" w:themeColor="text1"/>
          <w:sz w:val="24"/>
          <w:szCs w:val="24"/>
        </w:rPr>
        <w:t>47,512</w:t>
      </w:r>
      <w:r>
        <w:rPr>
          <w:color w:val="000000" w:themeColor="text1"/>
          <w:sz w:val="24"/>
          <w:szCs w:val="24"/>
        </w:rPr>
        <w:t xml:space="preserve"> </w:t>
      </w:r>
      <w:r w:rsidR="00FC74AB">
        <w:rPr>
          <w:color w:val="000000" w:themeColor="text1"/>
          <w:sz w:val="24"/>
          <w:szCs w:val="24"/>
        </w:rPr>
        <w:t xml:space="preserve">women were </w:t>
      </w:r>
      <w:r w:rsidR="00FC74AB" w:rsidRPr="00FC74AB">
        <w:rPr>
          <w:color w:val="000000" w:themeColor="text1"/>
          <w:sz w:val="24"/>
          <w:szCs w:val="24"/>
        </w:rPr>
        <w:t>supported to assume leadership roles</w:t>
      </w:r>
      <w:r w:rsidR="00FC74AB">
        <w:rPr>
          <w:color w:val="000000" w:themeColor="text1"/>
          <w:sz w:val="24"/>
          <w:szCs w:val="24"/>
        </w:rPr>
        <w:t xml:space="preserve"> (</w:t>
      </w:r>
      <w:r w:rsidR="005F6A73">
        <w:rPr>
          <w:color w:val="000000" w:themeColor="text1"/>
          <w:sz w:val="24"/>
          <w:szCs w:val="24"/>
        </w:rPr>
        <w:t>3.2 per cent women with disabilities),</w:t>
      </w:r>
      <w:r w:rsidR="00E039C6">
        <w:rPr>
          <w:color w:val="000000" w:themeColor="text1"/>
          <w:sz w:val="24"/>
          <w:szCs w:val="24"/>
        </w:rPr>
        <w:t xml:space="preserve"> up from 30,029 women in 2022-23 and </w:t>
      </w:r>
      <w:r w:rsidR="00CA13EF" w:rsidRPr="00CA13EF">
        <w:rPr>
          <w:color w:val="000000" w:themeColor="text1"/>
          <w:sz w:val="24"/>
          <w:szCs w:val="24"/>
        </w:rPr>
        <w:t>31,509 women in 2021-22</w:t>
      </w:r>
      <w:r w:rsidR="00E1735D" w:rsidRPr="00CA13EF">
        <w:rPr>
          <w:color w:val="000000" w:themeColor="text1"/>
          <w:sz w:val="24"/>
          <w:szCs w:val="24"/>
        </w:rPr>
        <w:t xml:space="preserve"> (Indicator G.04)</w:t>
      </w:r>
      <w:r w:rsidR="00335273">
        <w:rPr>
          <w:color w:val="000000" w:themeColor="text1"/>
          <w:sz w:val="24"/>
          <w:szCs w:val="24"/>
        </w:rPr>
        <w:t>.</w:t>
      </w:r>
    </w:p>
    <w:p w14:paraId="6561E5B3" w14:textId="3B8D4734" w:rsidR="00210402" w:rsidRDefault="000F23C6" w:rsidP="004C29FC">
      <w:pPr>
        <w:pStyle w:val="ListParagraph"/>
        <w:numPr>
          <w:ilvl w:val="0"/>
          <w:numId w:val="26"/>
        </w:numPr>
        <w:spacing w:before="0" w:after="0" w:line="240" w:lineRule="auto"/>
        <w:rPr>
          <w:color w:val="000000" w:themeColor="text1"/>
          <w:sz w:val="24"/>
          <w:szCs w:val="24"/>
        </w:rPr>
      </w:pPr>
      <w:r w:rsidRPr="000F23C6">
        <w:rPr>
          <w:color w:val="000000" w:themeColor="text1"/>
          <w:sz w:val="24"/>
          <w:szCs w:val="24"/>
        </w:rPr>
        <w:t>44,766</w:t>
      </w:r>
      <w:r>
        <w:rPr>
          <w:color w:val="000000" w:themeColor="text1"/>
          <w:sz w:val="24"/>
          <w:szCs w:val="24"/>
        </w:rPr>
        <w:t xml:space="preserve"> female entrepreneurs were provided with </w:t>
      </w:r>
      <w:r w:rsidRPr="000F23C6">
        <w:rPr>
          <w:color w:val="000000" w:themeColor="text1"/>
          <w:sz w:val="24"/>
          <w:szCs w:val="24"/>
        </w:rPr>
        <w:t>financial and/or business development services</w:t>
      </w:r>
      <w:r>
        <w:rPr>
          <w:color w:val="000000" w:themeColor="text1"/>
          <w:sz w:val="24"/>
          <w:szCs w:val="24"/>
        </w:rPr>
        <w:t xml:space="preserve"> (</w:t>
      </w:r>
      <w:r w:rsidR="00485B85">
        <w:rPr>
          <w:color w:val="000000" w:themeColor="text1"/>
          <w:sz w:val="24"/>
          <w:szCs w:val="24"/>
        </w:rPr>
        <w:t xml:space="preserve">2.7 </w:t>
      </w:r>
      <w:r w:rsidRPr="000F23C6">
        <w:rPr>
          <w:color w:val="000000" w:themeColor="text1"/>
          <w:sz w:val="24"/>
          <w:szCs w:val="24"/>
        </w:rPr>
        <w:t>per cent women with disabilities</w:t>
      </w:r>
      <w:r>
        <w:rPr>
          <w:color w:val="000000" w:themeColor="text1"/>
          <w:sz w:val="24"/>
          <w:szCs w:val="24"/>
        </w:rPr>
        <w:t>), up from</w:t>
      </w:r>
      <w:r w:rsidR="00485B85">
        <w:rPr>
          <w:color w:val="000000" w:themeColor="text1"/>
          <w:sz w:val="24"/>
          <w:szCs w:val="24"/>
        </w:rPr>
        <w:t xml:space="preserve"> </w:t>
      </w:r>
      <w:r w:rsidR="00355176" w:rsidRPr="00485B85">
        <w:rPr>
          <w:color w:val="000000" w:themeColor="text1"/>
          <w:sz w:val="24"/>
          <w:szCs w:val="24"/>
        </w:rPr>
        <w:t>14,043</w:t>
      </w:r>
      <w:r w:rsidR="00485B85">
        <w:rPr>
          <w:color w:val="000000" w:themeColor="text1"/>
          <w:sz w:val="24"/>
          <w:szCs w:val="24"/>
        </w:rPr>
        <w:t xml:space="preserve"> in </w:t>
      </w:r>
      <w:r w:rsidR="00463811">
        <w:rPr>
          <w:color w:val="000000" w:themeColor="text1"/>
          <w:sz w:val="24"/>
          <w:szCs w:val="24"/>
        </w:rPr>
        <w:t xml:space="preserve">2022-23 and </w:t>
      </w:r>
      <w:r w:rsidR="00562D6C" w:rsidRPr="00485B85">
        <w:rPr>
          <w:color w:val="000000" w:themeColor="text1"/>
          <w:sz w:val="24"/>
          <w:szCs w:val="24"/>
        </w:rPr>
        <w:t xml:space="preserve">10,239 </w:t>
      </w:r>
      <w:r w:rsidR="004405C6" w:rsidRPr="00485B85">
        <w:rPr>
          <w:color w:val="000000" w:themeColor="text1"/>
          <w:sz w:val="24"/>
          <w:szCs w:val="24"/>
        </w:rPr>
        <w:t>in 202</w:t>
      </w:r>
      <w:r w:rsidR="002A2301" w:rsidRPr="00485B85">
        <w:rPr>
          <w:color w:val="000000" w:themeColor="text1"/>
          <w:sz w:val="24"/>
          <w:szCs w:val="24"/>
        </w:rPr>
        <w:t>1</w:t>
      </w:r>
      <w:r w:rsidR="004405C6" w:rsidRPr="00485B85">
        <w:rPr>
          <w:color w:val="000000" w:themeColor="text1"/>
          <w:sz w:val="24"/>
          <w:szCs w:val="24"/>
        </w:rPr>
        <w:t>-2</w:t>
      </w:r>
      <w:r w:rsidR="002A2301" w:rsidRPr="00485B85">
        <w:rPr>
          <w:color w:val="000000" w:themeColor="text1"/>
          <w:sz w:val="24"/>
          <w:szCs w:val="24"/>
        </w:rPr>
        <w:t>2</w:t>
      </w:r>
      <w:r w:rsidR="00765AF9" w:rsidRPr="00485B85">
        <w:rPr>
          <w:color w:val="000000" w:themeColor="text1"/>
          <w:sz w:val="24"/>
          <w:szCs w:val="24"/>
        </w:rPr>
        <w:t xml:space="preserve"> </w:t>
      </w:r>
      <w:r w:rsidR="00332D26" w:rsidRPr="00485B85">
        <w:rPr>
          <w:color w:val="000000" w:themeColor="text1"/>
          <w:sz w:val="24"/>
          <w:szCs w:val="24"/>
        </w:rPr>
        <w:t>(Indicator G.05)</w:t>
      </w:r>
      <w:r w:rsidR="00335273">
        <w:rPr>
          <w:color w:val="000000" w:themeColor="text1"/>
          <w:sz w:val="24"/>
          <w:szCs w:val="24"/>
        </w:rPr>
        <w:t>.</w:t>
      </w:r>
    </w:p>
    <w:p w14:paraId="1BE8DF36" w14:textId="35F161CB" w:rsidR="006F2BE6" w:rsidRPr="004C29FC" w:rsidRDefault="00BB2653" w:rsidP="004C29FC">
      <w:pPr>
        <w:pStyle w:val="ListParagraph"/>
        <w:numPr>
          <w:ilvl w:val="0"/>
          <w:numId w:val="26"/>
        </w:numPr>
        <w:spacing w:before="0" w:after="0" w:line="240" w:lineRule="auto"/>
        <w:rPr>
          <w:color w:val="000000" w:themeColor="text1"/>
          <w:sz w:val="24"/>
          <w:szCs w:val="24"/>
        </w:rPr>
      </w:pPr>
      <w:r w:rsidRPr="00BB2653">
        <w:rPr>
          <w:color w:val="000000" w:themeColor="text1"/>
          <w:sz w:val="24"/>
          <w:szCs w:val="24"/>
        </w:rPr>
        <w:t>3,453</w:t>
      </w:r>
      <w:r>
        <w:rPr>
          <w:color w:val="000000" w:themeColor="text1"/>
          <w:sz w:val="24"/>
          <w:szCs w:val="24"/>
        </w:rPr>
        <w:t xml:space="preserve"> </w:t>
      </w:r>
      <w:r w:rsidR="007554F7">
        <w:rPr>
          <w:color w:val="000000" w:themeColor="text1"/>
          <w:sz w:val="24"/>
          <w:szCs w:val="24"/>
        </w:rPr>
        <w:t xml:space="preserve">women’s groups, organisations and coalitions were actively involved across </w:t>
      </w:r>
      <w:r w:rsidR="00A16C9F">
        <w:rPr>
          <w:color w:val="000000" w:themeColor="text1"/>
          <w:sz w:val="24"/>
          <w:szCs w:val="24"/>
        </w:rPr>
        <w:t xml:space="preserve">projects, </w:t>
      </w:r>
      <w:r w:rsidR="003E6797">
        <w:rPr>
          <w:color w:val="000000" w:themeColor="text1"/>
          <w:sz w:val="24"/>
          <w:szCs w:val="24"/>
        </w:rPr>
        <w:t>compared to</w:t>
      </w:r>
      <w:r w:rsidR="00A16C9F">
        <w:rPr>
          <w:color w:val="000000" w:themeColor="text1"/>
          <w:sz w:val="24"/>
          <w:szCs w:val="24"/>
        </w:rPr>
        <w:t xml:space="preserve"> 3,490 in 2022-23 and </w:t>
      </w:r>
      <w:r w:rsidR="00A16C9F" w:rsidRPr="007D0F80">
        <w:rPr>
          <w:color w:val="000000" w:themeColor="text1"/>
          <w:sz w:val="24"/>
          <w:szCs w:val="24"/>
        </w:rPr>
        <w:t>3,213 in 2021-22</w:t>
      </w:r>
      <w:r w:rsidR="00A16C9F">
        <w:rPr>
          <w:color w:val="000000" w:themeColor="text1"/>
          <w:sz w:val="24"/>
          <w:szCs w:val="24"/>
        </w:rPr>
        <w:t xml:space="preserve"> </w:t>
      </w:r>
      <w:r w:rsidR="00A16C9F" w:rsidRPr="007D0F80">
        <w:rPr>
          <w:color w:val="000000" w:themeColor="text1"/>
          <w:sz w:val="24"/>
          <w:szCs w:val="24"/>
        </w:rPr>
        <w:t>(Indicator G.06)</w:t>
      </w:r>
      <w:r w:rsidR="00335273">
        <w:rPr>
          <w:color w:val="000000" w:themeColor="text1"/>
          <w:sz w:val="24"/>
          <w:szCs w:val="24"/>
        </w:rPr>
        <w:t>.</w:t>
      </w:r>
    </w:p>
    <w:p w14:paraId="2929356C" w14:textId="77777777" w:rsidR="004C29FC" w:rsidRDefault="004C29FC" w:rsidP="004C29FC">
      <w:pPr>
        <w:spacing w:before="0" w:after="0" w:line="240" w:lineRule="auto"/>
        <w:rPr>
          <w:color w:val="000000" w:themeColor="text1"/>
          <w:sz w:val="24"/>
          <w:szCs w:val="24"/>
          <w:lang w:val="en-AU"/>
        </w:rPr>
      </w:pPr>
    </w:p>
    <w:p w14:paraId="5AB567B7" w14:textId="358ACEB8" w:rsidR="004C29FC" w:rsidRDefault="003E665D" w:rsidP="004C29FC">
      <w:pPr>
        <w:spacing w:before="0" w:after="0" w:line="240" w:lineRule="auto"/>
        <w:rPr>
          <w:color w:val="000000" w:themeColor="text1"/>
          <w:sz w:val="24"/>
          <w:szCs w:val="24"/>
          <w:lang w:val="en-AU"/>
        </w:rPr>
      </w:pPr>
      <w:r w:rsidRPr="007D0F80">
        <w:rPr>
          <w:color w:val="000000" w:themeColor="text1"/>
          <w:sz w:val="24"/>
          <w:szCs w:val="24"/>
          <w:lang w:val="en-AU"/>
        </w:rPr>
        <w:t xml:space="preserve">Table </w:t>
      </w:r>
      <w:r w:rsidR="00A557D4">
        <w:rPr>
          <w:color w:val="000000" w:themeColor="text1"/>
          <w:sz w:val="24"/>
          <w:szCs w:val="24"/>
          <w:lang w:val="en-AU"/>
        </w:rPr>
        <w:t>1</w:t>
      </w:r>
      <w:r w:rsidRPr="007D0F80">
        <w:rPr>
          <w:color w:val="000000" w:themeColor="text1"/>
          <w:sz w:val="24"/>
          <w:szCs w:val="24"/>
          <w:lang w:val="en-AU"/>
        </w:rPr>
        <w:t xml:space="preserve"> shows</w:t>
      </w:r>
      <w:r w:rsidR="008153C6" w:rsidRPr="007D0F80">
        <w:rPr>
          <w:color w:val="000000" w:themeColor="text1"/>
          <w:sz w:val="24"/>
          <w:szCs w:val="24"/>
          <w:lang w:val="en-AU"/>
        </w:rPr>
        <w:t xml:space="preserve"> 6</w:t>
      </w:r>
      <w:r w:rsidR="00DF5840">
        <w:rPr>
          <w:color w:val="000000" w:themeColor="text1"/>
          <w:sz w:val="24"/>
          <w:szCs w:val="24"/>
          <w:lang w:val="en-AU"/>
        </w:rPr>
        <w:t>9</w:t>
      </w:r>
      <w:r w:rsidRPr="007D0F80">
        <w:rPr>
          <w:color w:val="000000" w:themeColor="text1"/>
          <w:sz w:val="24"/>
          <w:szCs w:val="24"/>
          <w:lang w:val="en-AU"/>
        </w:rPr>
        <w:t xml:space="preserve"> per cent</w:t>
      </w:r>
      <w:r w:rsidR="008153C6" w:rsidRPr="007D0F80">
        <w:rPr>
          <w:color w:val="000000" w:themeColor="text1"/>
          <w:sz w:val="24"/>
          <w:szCs w:val="24"/>
          <w:lang w:val="en-AU"/>
        </w:rPr>
        <w:t xml:space="preserve"> of </w:t>
      </w:r>
      <w:r w:rsidR="00515CEB" w:rsidRPr="007D0F80">
        <w:rPr>
          <w:color w:val="000000" w:themeColor="text1"/>
          <w:sz w:val="24"/>
          <w:szCs w:val="24"/>
          <w:lang w:val="en-AU"/>
        </w:rPr>
        <w:t>202</w:t>
      </w:r>
      <w:r w:rsidR="00A557D4">
        <w:rPr>
          <w:color w:val="000000" w:themeColor="text1"/>
          <w:sz w:val="24"/>
          <w:szCs w:val="24"/>
          <w:lang w:val="en-AU"/>
        </w:rPr>
        <w:t>3</w:t>
      </w:r>
      <w:r w:rsidR="00515CEB" w:rsidRPr="007D0F80">
        <w:rPr>
          <w:color w:val="000000" w:themeColor="text1"/>
          <w:sz w:val="24"/>
          <w:szCs w:val="24"/>
          <w:lang w:val="en-AU"/>
        </w:rPr>
        <w:t>-2</w:t>
      </w:r>
      <w:r w:rsidR="00A557D4">
        <w:rPr>
          <w:color w:val="000000" w:themeColor="text1"/>
          <w:sz w:val="24"/>
          <w:szCs w:val="24"/>
          <w:lang w:val="en-AU"/>
        </w:rPr>
        <w:t>4</w:t>
      </w:r>
      <w:r w:rsidR="00515CEB" w:rsidRPr="007D0F80">
        <w:rPr>
          <w:color w:val="000000" w:themeColor="text1"/>
          <w:sz w:val="24"/>
          <w:szCs w:val="24"/>
          <w:lang w:val="en-AU"/>
        </w:rPr>
        <w:t xml:space="preserve"> </w:t>
      </w:r>
      <w:r w:rsidR="008153C6" w:rsidRPr="007D0F80">
        <w:rPr>
          <w:color w:val="000000" w:themeColor="text1"/>
          <w:sz w:val="24"/>
          <w:szCs w:val="24"/>
          <w:lang w:val="en-AU"/>
        </w:rPr>
        <w:t xml:space="preserve">ANCP projects explicitly targeted gender equality (demonstrated through the </w:t>
      </w:r>
      <w:r w:rsidR="00937862" w:rsidRPr="007D0F80">
        <w:rPr>
          <w:color w:val="000000" w:themeColor="text1"/>
          <w:sz w:val="24"/>
          <w:szCs w:val="24"/>
          <w:lang w:val="en-AU"/>
        </w:rPr>
        <w:t>selection</w:t>
      </w:r>
      <w:r w:rsidR="008153C6" w:rsidRPr="007D0F80">
        <w:rPr>
          <w:color w:val="000000" w:themeColor="text1"/>
          <w:sz w:val="24"/>
          <w:szCs w:val="24"/>
          <w:lang w:val="en-AU"/>
        </w:rPr>
        <w:t xml:space="preserve"> of the principal and significant </w:t>
      </w:r>
      <w:r w:rsidR="00FC78EB" w:rsidRPr="007D0F80">
        <w:rPr>
          <w:color w:val="000000" w:themeColor="text1"/>
          <w:sz w:val="24"/>
          <w:szCs w:val="24"/>
          <w:lang w:val="en-AU"/>
        </w:rPr>
        <w:t xml:space="preserve">DAC gender equality </w:t>
      </w:r>
      <w:r w:rsidR="008153C6" w:rsidRPr="007D0F80">
        <w:rPr>
          <w:color w:val="000000" w:themeColor="text1"/>
          <w:sz w:val="24"/>
          <w:szCs w:val="24"/>
          <w:lang w:val="en-AU"/>
        </w:rPr>
        <w:t xml:space="preserve">markers), </w:t>
      </w:r>
      <w:r w:rsidR="00163291">
        <w:rPr>
          <w:color w:val="000000" w:themeColor="text1"/>
          <w:sz w:val="24"/>
          <w:szCs w:val="24"/>
          <w:lang w:val="en-AU"/>
        </w:rPr>
        <w:t xml:space="preserve">up from </w:t>
      </w:r>
      <w:r w:rsidR="00BA137D">
        <w:rPr>
          <w:color w:val="000000" w:themeColor="text1"/>
          <w:sz w:val="24"/>
          <w:szCs w:val="24"/>
          <w:lang w:val="en-AU"/>
        </w:rPr>
        <w:t xml:space="preserve">63 per cent of projects in 2022-23 and </w:t>
      </w:r>
      <w:r w:rsidR="00853D2B" w:rsidRPr="007D0F80">
        <w:rPr>
          <w:color w:val="000000" w:themeColor="text1"/>
          <w:sz w:val="24"/>
          <w:szCs w:val="24"/>
          <w:lang w:val="en-AU"/>
        </w:rPr>
        <w:t>6</w:t>
      </w:r>
      <w:r w:rsidR="00A53246" w:rsidRPr="007D0F80">
        <w:rPr>
          <w:color w:val="000000" w:themeColor="text1"/>
          <w:sz w:val="24"/>
          <w:szCs w:val="24"/>
          <w:lang w:val="en-AU"/>
        </w:rPr>
        <w:t>1</w:t>
      </w:r>
      <w:r w:rsidR="00853D2B" w:rsidRPr="007D0F80">
        <w:rPr>
          <w:color w:val="000000" w:themeColor="text1"/>
          <w:sz w:val="24"/>
          <w:szCs w:val="24"/>
          <w:lang w:val="en-AU"/>
        </w:rPr>
        <w:t xml:space="preserve"> per cent of projects </w:t>
      </w:r>
      <w:r w:rsidR="00FC78EB" w:rsidRPr="007D0F80">
        <w:rPr>
          <w:color w:val="000000" w:themeColor="text1"/>
          <w:sz w:val="24"/>
          <w:szCs w:val="24"/>
          <w:lang w:val="en-AU"/>
        </w:rPr>
        <w:t>in 202</w:t>
      </w:r>
      <w:r w:rsidR="00A53246" w:rsidRPr="007D0F80">
        <w:rPr>
          <w:color w:val="000000" w:themeColor="text1"/>
          <w:sz w:val="24"/>
          <w:szCs w:val="24"/>
          <w:lang w:val="en-AU"/>
        </w:rPr>
        <w:t>1</w:t>
      </w:r>
      <w:r w:rsidR="00FC78EB" w:rsidRPr="007D0F80">
        <w:rPr>
          <w:color w:val="000000" w:themeColor="text1"/>
          <w:sz w:val="24"/>
          <w:szCs w:val="24"/>
          <w:lang w:val="en-AU"/>
        </w:rPr>
        <w:t>-2</w:t>
      </w:r>
      <w:r w:rsidR="00A53246" w:rsidRPr="007D0F80">
        <w:rPr>
          <w:color w:val="000000" w:themeColor="text1"/>
          <w:sz w:val="24"/>
          <w:szCs w:val="24"/>
          <w:lang w:val="en-AU"/>
        </w:rPr>
        <w:t>2</w:t>
      </w:r>
      <w:r w:rsidR="008153C6" w:rsidRPr="007D0F80">
        <w:rPr>
          <w:color w:val="000000" w:themeColor="text1"/>
          <w:sz w:val="24"/>
          <w:szCs w:val="24"/>
          <w:lang w:val="en-AU"/>
        </w:rPr>
        <w:t>.</w:t>
      </w:r>
      <w:r w:rsidR="00826C3B">
        <w:rPr>
          <w:color w:val="000000" w:themeColor="text1"/>
          <w:sz w:val="24"/>
          <w:szCs w:val="24"/>
          <w:lang w:val="en-AU"/>
        </w:rPr>
        <w:t xml:space="preserve"> </w:t>
      </w:r>
      <w:r w:rsidR="00CA682E">
        <w:rPr>
          <w:color w:val="000000" w:themeColor="text1"/>
          <w:sz w:val="24"/>
          <w:szCs w:val="24"/>
          <w:lang w:val="en-AU"/>
        </w:rPr>
        <w:t>Gender equality data for 2023-24</w:t>
      </w:r>
      <w:r w:rsidR="009F7315">
        <w:rPr>
          <w:color w:val="000000" w:themeColor="text1"/>
          <w:sz w:val="24"/>
          <w:szCs w:val="24"/>
          <w:lang w:val="en-AU"/>
        </w:rPr>
        <w:t xml:space="preserve"> </w:t>
      </w:r>
      <w:r w:rsidR="00910CB1" w:rsidRPr="00910CB1">
        <w:rPr>
          <w:color w:val="000000" w:themeColor="text1"/>
          <w:sz w:val="24"/>
          <w:szCs w:val="24"/>
          <w:lang w:val="en-AU"/>
        </w:rPr>
        <w:t xml:space="preserve">reflects </w:t>
      </w:r>
      <w:r w:rsidR="00880253">
        <w:rPr>
          <w:color w:val="000000" w:themeColor="text1"/>
          <w:sz w:val="24"/>
          <w:szCs w:val="24"/>
          <w:lang w:val="en-AU"/>
        </w:rPr>
        <w:t>the</w:t>
      </w:r>
      <w:r w:rsidR="00910CB1" w:rsidRPr="00910CB1">
        <w:rPr>
          <w:color w:val="000000" w:themeColor="text1"/>
          <w:sz w:val="24"/>
          <w:szCs w:val="24"/>
          <w:lang w:val="en-AU"/>
        </w:rPr>
        <w:t xml:space="preserve"> remov</w:t>
      </w:r>
      <w:r w:rsidR="00880253">
        <w:rPr>
          <w:color w:val="000000" w:themeColor="text1"/>
          <w:sz w:val="24"/>
          <w:szCs w:val="24"/>
          <w:lang w:val="en-AU"/>
        </w:rPr>
        <w:t>al of</w:t>
      </w:r>
      <w:r w:rsidR="00910CB1" w:rsidRPr="00910CB1">
        <w:rPr>
          <w:color w:val="000000" w:themeColor="text1"/>
          <w:sz w:val="24"/>
          <w:szCs w:val="24"/>
          <w:lang w:val="en-AU"/>
        </w:rPr>
        <w:t xml:space="preserve"> the </w:t>
      </w:r>
      <w:r w:rsidR="00826C3B">
        <w:rPr>
          <w:color w:val="000000" w:themeColor="text1"/>
          <w:sz w:val="24"/>
          <w:szCs w:val="24"/>
          <w:lang w:val="en-AU"/>
        </w:rPr>
        <w:t>mainstreaming approach to gender equality in the ANCP</w:t>
      </w:r>
      <w:r w:rsidR="00880253">
        <w:rPr>
          <w:color w:val="000000" w:themeColor="text1"/>
          <w:sz w:val="24"/>
          <w:szCs w:val="24"/>
          <w:lang w:val="en-AU"/>
        </w:rPr>
        <w:t xml:space="preserve">. </w:t>
      </w:r>
      <w:r w:rsidR="006753B2">
        <w:rPr>
          <w:color w:val="000000" w:themeColor="text1"/>
          <w:sz w:val="24"/>
          <w:szCs w:val="24"/>
          <w:lang w:val="en-AU"/>
        </w:rPr>
        <w:t xml:space="preserve">Table 1 </w:t>
      </w:r>
      <w:r w:rsidR="00910CB1" w:rsidRPr="00910CB1">
        <w:rPr>
          <w:color w:val="000000" w:themeColor="text1"/>
          <w:sz w:val="24"/>
          <w:szCs w:val="24"/>
          <w:lang w:val="en-AU"/>
        </w:rPr>
        <w:t>reflect</w:t>
      </w:r>
      <w:r w:rsidR="00DA233B">
        <w:rPr>
          <w:color w:val="000000" w:themeColor="text1"/>
          <w:sz w:val="24"/>
          <w:szCs w:val="24"/>
          <w:lang w:val="en-AU"/>
        </w:rPr>
        <w:t>s</w:t>
      </w:r>
      <w:r w:rsidR="00910CB1" w:rsidRPr="00910CB1">
        <w:rPr>
          <w:color w:val="000000" w:themeColor="text1"/>
          <w:sz w:val="24"/>
          <w:szCs w:val="24"/>
          <w:lang w:val="en-AU"/>
        </w:rPr>
        <w:t xml:space="preserve"> this transition phase</w:t>
      </w:r>
      <w:r w:rsidR="00DA233B">
        <w:rPr>
          <w:color w:val="000000" w:themeColor="text1"/>
          <w:sz w:val="24"/>
          <w:szCs w:val="24"/>
          <w:lang w:val="en-AU"/>
        </w:rPr>
        <w:t xml:space="preserve"> </w:t>
      </w:r>
      <w:r w:rsidR="000F52E9">
        <w:rPr>
          <w:color w:val="000000" w:themeColor="text1"/>
          <w:sz w:val="24"/>
          <w:szCs w:val="24"/>
          <w:lang w:val="en-AU"/>
        </w:rPr>
        <w:t>with an increase in the proportion of projects in the not targeted category compared to 202</w:t>
      </w:r>
      <w:r w:rsidR="00341E46">
        <w:rPr>
          <w:color w:val="000000" w:themeColor="text1"/>
          <w:sz w:val="24"/>
          <w:szCs w:val="24"/>
          <w:lang w:val="en-AU"/>
        </w:rPr>
        <w:t>2-23.</w:t>
      </w:r>
      <w:r w:rsidR="00B20ADB">
        <w:rPr>
          <w:color w:val="000000" w:themeColor="text1"/>
          <w:sz w:val="24"/>
          <w:szCs w:val="24"/>
          <w:lang w:val="en-AU"/>
        </w:rPr>
        <w:t xml:space="preserve"> </w:t>
      </w:r>
    </w:p>
    <w:p w14:paraId="52AB6C6C" w14:textId="77777777" w:rsidR="004C29FC" w:rsidRDefault="004C29FC" w:rsidP="004C29FC">
      <w:pPr>
        <w:spacing w:before="0" w:after="0" w:line="240" w:lineRule="auto"/>
        <w:rPr>
          <w:color w:val="000000" w:themeColor="text1"/>
          <w:sz w:val="24"/>
          <w:szCs w:val="24"/>
          <w:lang w:val="en-AU"/>
        </w:rPr>
      </w:pPr>
    </w:p>
    <w:p w14:paraId="7479A921" w14:textId="4616A3A8" w:rsidR="008153C6" w:rsidRDefault="00952C42" w:rsidP="004C29FC">
      <w:pPr>
        <w:spacing w:before="0" w:after="120" w:line="240" w:lineRule="auto"/>
        <w:rPr>
          <w:b/>
          <w:bCs/>
          <w:color w:val="000000" w:themeColor="text1"/>
          <w:sz w:val="24"/>
          <w:szCs w:val="24"/>
        </w:rPr>
      </w:pPr>
      <w:bookmarkStart w:id="0" w:name="_Hlk122601635"/>
      <w:r w:rsidRPr="00571E9D">
        <w:rPr>
          <w:b/>
          <w:bCs/>
          <w:color w:val="000000" w:themeColor="text1"/>
          <w:sz w:val="24"/>
          <w:szCs w:val="24"/>
        </w:rPr>
        <w:t xml:space="preserve">Table </w:t>
      </w:r>
      <w:r w:rsidR="0081756C">
        <w:rPr>
          <w:b/>
          <w:bCs/>
          <w:color w:val="000000" w:themeColor="text1"/>
          <w:sz w:val="24"/>
          <w:szCs w:val="24"/>
        </w:rPr>
        <w:t>1</w:t>
      </w:r>
      <w:r w:rsidRPr="00571E9D">
        <w:rPr>
          <w:b/>
          <w:bCs/>
          <w:color w:val="000000" w:themeColor="text1"/>
          <w:sz w:val="24"/>
          <w:szCs w:val="24"/>
        </w:rPr>
        <w:t xml:space="preserve">: </w:t>
      </w:r>
      <w:r w:rsidR="00183156">
        <w:rPr>
          <w:b/>
          <w:bCs/>
          <w:color w:val="000000" w:themeColor="text1"/>
          <w:sz w:val="24"/>
          <w:szCs w:val="24"/>
        </w:rPr>
        <w:t>P</w:t>
      </w:r>
      <w:r w:rsidR="0010548A" w:rsidRPr="00571E9D">
        <w:rPr>
          <w:b/>
          <w:bCs/>
          <w:color w:val="000000" w:themeColor="text1"/>
          <w:sz w:val="24"/>
          <w:szCs w:val="24"/>
        </w:rPr>
        <w:t>roject-level approach to gender equality</w:t>
      </w:r>
    </w:p>
    <w:p w14:paraId="71B39378" w14:textId="77777777" w:rsidR="00CC2A24" w:rsidRPr="00571E9D" w:rsidRDefault="00CC2A24" w:rsidP="004C29FC">
      <w:pPr>
        <w:spacing w:before="0" w:after="120" w:line="240" w:lineRule="auto"/>
        <w:rPr>
          <w:color w:val="000000" w:themeColor="text1"/>
          <w:lang w:val="en-AU"/>
        </w:rPr>
      </w:pPr>
    </w:p>
    <w:tbl>
      <w:tblPr>
        <w:tblStyle w:val="PlainTable21"/>
        <w:tblW w:w="9351" w:type="dxa"/>
        <w:tblLook w:val="04A0" w:firstRow="1" w:lastRow="0" w:firstColumn="1" w:lastColumn="0" w:noHBand="0" w:noVBand="1"/>
      </w:tblPr>
      <w:tblGrid>
        <w:gridCol w:w="2251"/>
        <w:gridCol w:w="1837"/>
        <w:gridCol w:w="1630"/>
        <w:gridCol w:w="1682"/>
        <w:gridCol w:w="1951"/>
      </w:tblGrid>
      <w:tr w:rsidR="00571E9D" w:rsidRPr="00E50625" w14:paraId="21DFEEEA" w14:textId="77777777" w:rsidTr="00CC2A24">
        <w:trPr>
          <w:cnfStyle w:val="100000000000" w:firstRow="1" w:lastRow="0" w:firstColumn="0" w:lastColumn="0" w:oddVBand="0" w:evenVBand="0" w:oddHBand="0" w:evenHBand="0" w:firstRowFirstColumn="0" w:firstRowLastColumn="0" w:lastRowFirstColumn="0" w:lastRowLastColumn="0"/>
          <w:trHeight w:val="811"/>
          <w:tblHeader/>
        </w:trPr>
        <w:tc>
          <w:tcPr>
            <w:cnfStyle w:val="001000000000" w:firstRow="0" w:lastRow="0" w:firstColumn="1" w:lastColumn="0" w:oddVBand="0" w:evenVBand="0" w:oddHBand="0" w:evenHBand="0" w:firstRowFirstColumn="0" w:firstRowLastColumn="0" w:lastRowFirstColumn="0" w:lastRowLastColumn="0"/>
            <w:tcW w:w="2251" w:type="dxa"/>
            <w:noWrap/>
            <w:hideMark/>
          </w:tcPr>
          <w:bookmarkEnd w:id="0"/>
          <w:p w14:paraId="7A5A5F21" w14:textId="77777777" w:rsidR="008153C6" w:rsidRPr="009B2A2A" w:rsidRDefault="008153C6" w:rsidP="004C29FC">
            <w:pPr>
              <w:suppressAutoHyphens w:val="0"/>
              <w:spacing w:before="0" w:after="0" w:line="240" w:lineRule="auto"/>
              <w:rPr>
                <w:rFonts w:ascii="Calibri" w:eastAsia="Times New Roman" w:hAnsi="Calibri" w:cs="Calibri"/>
                <w:b/>
                <w:bCs w:val="0"/>
                <w:color w:val="000000" w:themeColor="text1"/>
                <w:sz w:val="24"/>
                <w:szCs w:val="24"/>
                <w:lang w:val="en-AU" w:eastAsia="en-AU"/>
              </w:rPr>
            </w:pPr>
            <w:r w:rsidRPr="009B2A2A">
              <w:rPr>
                <w:rFonts w:ascii="Calibri" w:eastAsia="Times New Roman" w:hAnsi="Calibri" w:cs="Calibri"/>
                <w:b/>
                <w:color w:val="000000" w:themeColor="text1"/>
                <w:sz w:val="24"/>
                <w:szCs w:val="24"/>
                <w:lang w:val="en-AU" w:eastAsia="en-AU"/>
              </w:rPr>
              <w:t>Gender marker</w:t>
            </w:r>
          </w:p>
        </w:tc>
        <w:tc>
          <w:tcPr>
            <w:tcW w:w="1837" w:type="dxa"/>
            <w:hideMark/>
          </w:tcPr>
          <w:p w14:paraId="780076D6" w14:textId="45DC086C" w:rsidR="008153C6" w:rsidRPr="009B2A2A" w:rsidRDefault="008153C6" w:rsidP="004C29FC">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9B2A2A">
              <w:rPr>
                <w:rFonts w:ascii="Calibri" w:eastAsia="Times New Roman" w:hAnsi="Calibri" w:cs="Calibri"/>
                <w:b/>
                <w:color w:val="000000" w:themeColor="text1"/>
                <w:sz w:val="24"/>
                <w:szCs w:val="24"/>
                <w:lang w:val="en-AU" w:eastAsia="en-AU"/>
              </w:rPr>
              <w:t># of projects 202</w:t>
            </w:r>
            <w:r w:rsidR="00571E9D" w:rsidRPr="009B2A2A">
              <w:rPr>
                <w:rFonts w:ascii="Calibri" w:eastAsia="Times New Roman" w:hAnsi="Calibri" w:cs="Calibri"/>
                <w:b/>
                <w:color w:val="000000" w:themeColor="text1"/>
                <w:sz w:val="24"/>
                <w:szCs w:val="24"/>
                <w:lang w:val="en-AU" w:eastAsia="en-AU"/>
              </w:rPr>
              <w:t>2</w:t>
            </w:r>
            <w:r w:rsidR="00B33AE8" w:rsidRPr="009B2A2A">
              <w:rPr>
                <w:rFonts w:ascii="Calibri" w:eastAsia="Times New Roman" w:hAnsi="Calibri" w:cs="Calibri"/>
                <w:b/>
                <w:color w:val="000000" w:themeColor="text1"/>
                <w:sz w:val="24"/>
                <w:szCs w:val="24"/>
                <w:lang w:val="en-AU" w:eastAsia="en-AU"/>
              </w:rPr>
              <w:t>-2</w:t>
            </w:r>
            <w:r w:rsidR="00571E9D" w:rsidRPr="009B2A2A">
              <w:rPr>
                <w:rFonts w:ascii="Calibri" w:eastAsia="Times New Roman" w:hAnsi="Calibri" w:cs="Calibri"/>
                <w:b/>
                <w:color w:val="000000" w:themeColor="text1"/>
                <w:sz w:val="24"/>
                <w:szCs w:val="24"/>
                <w:lang w:val="en-AU" w:eastAsia="en-AU"/>
              </w:rPr>
              <w:t>3</w:t>
            </w:r>
          </w:p>
        </w:tc>
        <w:tc>
          <w:tcPr>
            <w:tcW w:w="1630" w:type="dxa"/>
            <w:hideMark/>
          </w:tcPr>
          <w:p w14:paraId="44DBE7B4" w14:textId="76009861" w:rsidR="008153C6" w:rsidRPr="009B2A2A" w:rsidRDefault="008153C6" w:rsidP="004C29FC">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9B2A2A">
              <w:rPr>
                <w:rFonts w:ascii="Calibri" w:eastAsia="Times New Roman" w:hAnsi="Calibri" w:cs="Calibri"/>
                <w:b/>
                <w:color w:val="000000" w:themeColor="text1"/>
                <w:sz w:val="24"/>
                <w:szCs w:val="24"/>
                <w:lang w:val="en-AU" w:eastAsia="en-AU"/>
              </w:rPr>
              <w:t>% of projects 202</w:t>
            </w:r>
            <w:r w:rsidR="00571E9D" w:rsidRPr="009B2A2A">
              <w:rPr>
                <w:rFonts w:ascii="Calibri" w:eastAsia="Times New Roman" w:hAnsi="Calibri" w:cs="Calibri"/>
                <w:b/>
                <w:color w:val="000000" w:themeColor="text1"/>
                <w:sz w:val="24"/>
                <w:szCs w:val="24"/>
                <w:lang w:val="en-AU" w:eastAsia="en-AU"/>
              </w:rPr>
              <w:t>2</w:t>
            </w:r>
            <w:r w:rsidR="00B33AE8" w:rsidRPr="009B2A2A">
              <w:rPr>
                <w:rFonts w:ascii="Calibri" w:eastAsia="Times New Roman" w:hAnsi="Calibri" w:cs="Calibri"/>
                <w:b/>
                <w:color w:val="000000" w:themeColor="text1"/>
                <w:sz w:val="24"/>
                <w:szCs w:val="24"/>
                <w:lang w:val="en-AU" w:eastAsia="en-AU"/>
              </w:rPr>
              <w:t>-2</w:t>
            </w:r>
            <w:r w:rsidR="00571E9D" w:rsidRPr="009B2A2A">
              <w:rPr>
                <w:rFonts w:ascii="Calibri" w:eastAsia="Times New Roman" w:hAnsi="Calibri" w:cs="Calibri"/>
                <w:b/>
                <w:color w:val="000000" w:themeColor="text1"/>
                <w:sz w:val="24"/>
                <w:szCs w:val="24"/>
                <w:lang w:val="en-AU" w:eastAsia="en-AU"/>
              </w:rPr>
              <w:t>3</w:t>
            </w:r>
          </w:p>
        </w:tc>
        <w:tc>
          <w:tcPr>
            <w:tcW w:w="1682" w:type="dxa"/>
            <w:hideMark/>
          </w:tcPr>
          <w:p w14:paraId="4354B6E3" w14:textId="67D4AE5C" w:rsidR="008153C6" w:rsidRPr="009B2A2A" w:rsidRDefault="008153C6" w:rsidP="004C29FC">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9B2A2A">
              <w:rPr>
                <w:rFonts w:ascii="Calibri" w:eastAsia="Times New Roman" w:hAnsi="Calibri" w:cs="Calibri"/>
                <w:b/>
                <w:color w:val="000000" w:themeColor="text1"/>
                <w:sz w:val="24"/>
                <w:szCs w:val="24"/>
                <w:lang w:val="en-AU" w:eastAsia="en-AU"/>
              </w:rPr>
              <w:t># of projects 20</w:t>
            </w:r>
            <w:r w:rsidR="00B33AE8" w:rsidRPr="009B2A2A">
              <w:rPr>
                <w:rFonts w:ascii="Calibri" w:eastAsia="Times New Roman" w:hAnsi="Calibri" w:cs="Calibri"/>
                <w:b/>
                <w:color w:val="000000" w:themeColor="text1"/>
                <w:sz w:val="24"/>
                <w:szCs w:val="24"/>
                <w:lang w:val="en-AU" w:eastAsia="en-AU"/>
              </w:rPr>
              <w:t>2</w:t>
            </w:r>
            <w:r w:rsidR="00E45F62" w:rsidRPr="009B2A2A">
              <w:rPr>
                <w:rFonts w:ascii="Calibri" w:eastAsia="Times New Roman" w:hAnsi="Calibri" w:cs="Calibri"/>
                <w:b/>
                <w:color w:val="000000" w:themeColor="text1"/>
                <w:sz w:val="24"/>
                <w:szCs w:val="24"/>
                <w:lang w:val="en-AU" w:eastAsia="en-AU"/>
              </w:rPr>
              <w:t>3</w:t>
            </w:r>
            <w:r w:rsidR="00B33AE8" w:rsidRPr="009B2A2A">
              <w:rPr>
                <w:rFonts w:ascii="Calibri" w:eastAsia="Times New Roman" w:hAnsi="Calibri" w:cs="Calibri"/>
                <w:b/>
                <w:color w:val="000000" w:themeColor="text1"/>
                <w:sz w:val="24"/>
                <w:szCs w:val="24"/>
                <w:lang w:val="en-AU" w:eastAsia="en-AU"/>
              </w:rPr>
              <w:t>-2</w:t>
            </w:r>
            <w:r w:rsidR="00E45F62" w:rsidRPr="009B2A2A">
              <w:rPr>
                <w:rFonts w:ascii="Calibri" w:eastAsia="Times New Roman" w:hAnsi="Calibri" w:cs="Calibri"/>
                <w:b/>
                <w:color w:val="000000" w:themeColor="text1"/>
                <w:sz w:val="24"/>
                <w:szCs w:val="24"/>
                <w:lang w:val="en-AU" w:eastAsia="en-AU"/>
              </w:rPr>
              <w:t>4</w:t>
            </w:r>
          </w:p>
        </w:tc>
        <w:tc>
          <w:tcPr>
            <w:tcW w:w="1951" w:type="dxa"/>
            <w:hideMark/>
          </w:tcPr>
          <w:p w14:paraId="23F8FBC8" w14:textId="47448B64" w:rsidR="008153C6" w:rsidRPr="009B2A2A" w:rsidRDefault="008153C6" w:rsidP="004C29FC">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9B2A2A">
              <w:rPr>
                <w:rFonts w:ascii="Calibri" w:eastAsia="Times New Roman" w:hAnsi="Calibri" w:cs="Calibri"/>
                <w:b/>
                <w:color w:val="000000" w:themeColor="text1"/>
                <w:sz w:val="24"/>
                <w:szCs w:val="24"/>
                <w:lang w:val="en-AU" w:eastAsia="en-AU"/>
              </w:rPr>
              <w:t>% of projects 20</w:t>
            </w:r>
            <w:r w:rsidR="00B33AE8" w:rsidRPr="009B2A2A">
              <w:rPr>
                <w:rFonts w:ascii="Calibri" w:eastAsia="Times New Roman" w:hAnsi="Calibri" w:cs="Calibri"/>
                <w:b/>
                <w:color w:val="000000" w:themeColor="text1"/>
                <w:sz w:val="24"/>
                <w:szCs w:val="24"/>
                <w:lang w:val="en-AU" w:eastAsia="en-AU"/>
              </w:rPr>
              <w:t>2</w:t>
            </w:r>
            <w:r w:rsidR="00E45F62" w:rsidRPr="009B2A2A">
              <w:rPr>
                <w:rFonts w:ascii="Calibri" w:eastAsia="Times New Roman" w:hAnsi="Calibri" w:cs="Calibri"/>
                <w:b/>
                <w:color w:val="000000" w:themeColor="text1"/>
                <w:sz w:val="24"/>
                <w:szCs w:val="24"/>
                <w:lang w:val="en-AU" w:eastAsia="en-AU"/>
              </w:rPr>
              <w:t>3</w:t>
            </w:r>
            <w:r w:rsidR="00B33AE8" w:rsidRPr="009B2A2A">
              <w:rPr>
                <w:rFonts w:ascii="Calibri" w:eastAsia="Times New Roman" w:hAnsi="Calibri" w:cs="Calibri"/>
                <w:b/>
                <w:color w:val="000000" w:themeColor="text1"/>
                <w:sz w:val="24"/>
                <w:szCs w:val="24"/>
                <w:lang w:val="en-AU" w:eastAsia="en-AU"/>
              </w:rPr>
              <w:t>-2</w:t>
            </w:r>
            <w:r w:rsidR="00E45F62" w:rsidRPr="009B2A2A">
              <w:rPr>
                <w:rFonts w:ascii="Calibri" w:eastAsia="Times New Roman" w:hAnsi="Calibri" w:cs="Calibri"/>
                <w:b/>
                <w:color w:val="000000" w:themeColor="text1"/>
                <w:sz w:val="24"/>
                <w:szCs w:val="24"/>
                <w:lang w:val="en-AU" w:eastAsia="en-AU"/>
              </w:rPr>
              <w:t>4</w:t>
            </w:r>
          </w:p>
        </w:tc>
      </w:tr>
      <w:tr w:rsidR="005F7352" w:rsidRPr="00E50625" w14:paraId="3ACE1737" w14:textId="77777777" w:rsidTr="00CC2A24">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51" w:type="dxa"/>
            <w:noWrap/>
            <w:hideMark/>
          </w:tcPr>
          <w:p w14:paraId="26DD56E2" w14:textId="77777777" w:rsidR="005F7352" w:rsidRPr="009B2A2A" w:rsidRDefault="005F7352" w:rsidP="004C29FC">
            <w:pPr>
              <w:suppressAutoHyphens w:val="0"/>
              <w:spacing w:before="0" w:after="0" w:line="240" w:lineRule="auto"/>
              <w:rPr>
                <w:rFonts w:ascii="Calibri" w:eastAsia="Times New Roman" w:hAnsi="Calibri" w:cs="Calibri"/>
                <w:b w:val="0"/>
                <w:bCs w:val="0"/>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Principal</w:t>
            </w:r>
          </w:p>
        </w:tc>
        <w:tc>
          <w:tcPr>
            <w:tcW w:w="1837" w:type="dxa"/>
            <w:noWrap/>
          </w:tcPr>
          <w:p w14:paraId="145AE7B5" w14:textId="69CB62F8" w:rsidR="005F7352" w:rsidRPr="009B2A2A" w:rsidRDefault="005F7352"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69</w:t>
            </w:r>
          </w:p>
        </w:tc>
        <w:tc>
          <w:tcPr>
            <w:tcW w:w="1630" w:type="dxa"/>
            <w:noWrap/>
          </w:tcPr>
          <w:p w14:paraId="7E77C8CB" w14:textId="6CDE8B58" w:rsidR="005F7352" w:rsidRPr="009B2A2A" w:rsidRDefault="0058250B"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17</w:t>
            </w:r>
          </w:p>
        </w:tc>
        <w:tc>
          <w:tcPr>
            <w:tcW w:w="1682" w:type="dxa"/>
            <w:noWrap/>
          </w:tcPr>
          <w:p w14:paraId="545EFCDF" w14:textId="6F1CADA2" w:rsidR="005F7352" w:rsidRPr="009B2A2A" w:rsidRDefault="00BB4D7C"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70</w:t>
            </w:r>
          </w:p>
        </w:tc>
        <w:tc>
          <w:tcPr>
            <w:tcW w:w="1951" w:type="dxa"/>
            <w:noWrap/>
          </w:tcPr>
          <w:p w14:paraId="5B17CADB" w14:textId="09561E96" w:rsidR="005F7352" w:rsidRPr="009B2A2A" w:rsidRDefault="00BB4D7C"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18</w:t>
            </w:r>
          </w:p>
        </w:tc>
      </w:tr>
      <w:tr w:rsidR="005F7352" w:rsidRPr="00E50625" w14:paraId="0E774B2F" w14:textId="77777777" w:rsidTr="00CC2A24">
        <w:trPr>
          <w:trHeight w:val="486"/>
        </w:trPr>
        <w:tc>
          <w:tcPr>
            <w:cnfStyle w:val="001000000000" w:firstRow="0" w:lastRow="0" w:firstColumn="1" w:lastColumn="0" w:oddVBand="0" w:evenVBand="0" w:oddHBand="0" w:evenHBand="0" w:firstRowFirstColumn="0" w:firstRowLastColumn="0" w:lastRowFirstColumn="0" w:lastRowLastColumn="0"/>
            <w:tcW w:w="2251" w:type="dxa"/>
            <w:noWrap/>
            <w:hideMark/>
          </w:tcPr>
          <w:p w14:paraId="0F5D62CA" w14:textId="77777777" w:rsidR="005F7352" w:rsidRPr="009B2A2A" w:rsidRDefault="005F7352" w:rsidP="004C29FC">
            <w:pPr>
              <w:suppressAutoHyphens w:val="0"/>
              <w:spacing w:before="0" w:after="0" w:line="240" w:lineRule="auto"/>
              <w:rPr>
                <w:rFonts w:ascii="Calibri" w:eastAsia="Times New Roman" w:hAnsi="Calibri" w:cs="Calibri"/>
                <w:b w:val="0"/>
                <w:bCs w:val="0"/>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Significant</w:t>
            </w:r>
          </w:p>
        </w:tc>
        <w:tc>
          <w:tcPr>
            <w:tcW w:w="1837" w:type="dxa"/>
            <w:noWrap/>
          </w:tcPr>
          <w:p w14:paraId="0CA38FA4" w14:textId="527AEDCB" w:rsidR="005F7352" w:rsidRPr="009B2A2A" w:rsidRDefault="005F7352"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185</w:t>
            </w:r>
          </w:p>
        </w:tc>
        <w:tc>
          <w:tcPr>
            <w:tcW w:w="1630" w:type="dxa"/>
            <w:noWrap/>
          </w:tcPr>
          <w:p w14:paraId="79CA3927" w14:textId="4FAA03D7" w:rsidR="005F7352" w:rsidRPr="009B2A2A" w:rsidRDefault="0058250B"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46</w:t>
            </w:r>
          </w:p>
        </w:tc>
        <w:tc>
          <w:tcPr>
            <w:tcW w:w="1682" w:type="dxa"/>
            <w:noWrap/>
          </w:tcPr>
          <w:p w14:paraId="5DFF7E4F" w14:textId="0584E47C" w:rsidR="005F7352" w:rsidRPr="009B2A2A" w:rsidRDefault="00BB4D7C"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196</w:t>
            </w:r>
          </w:p>
        </w:tc>
        <w:tc>
          <w:tcPr>
            <w:tcW w:w="1951" w:type="dxa"/>
            <w:noWrap/>
          </w:tcPr>
          <w:p w14:paraId="2D9D8154" w14:textId="47E008A7" w:rsidR="005F7352" w:rsidRPr="009B2A2A" w:rsidRDefault="00BB4D7C"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51</w:t>
            </w:r>
          </w:p>
        </w:tc>
      </w:tr>
      <w:tr w:rsidR="00F31C10" w:rsidRPr="00E50625" w14:paraId="3B1177F8" w14:textId="77777777" w:rsidTr="00CC2A24">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51" w:type="dxa"/>
            <w:noWrap/>
          </w:tcPr>
          <w:p w14:paraId="76DED7E1" w14:textId="53AC608B" w:rsidR="00F31C10" w:rsidRPr="009B2A2A" w:rsidRDefault="00F31C10" w:rsidP="004C29FC">
            <w:pPr>
              <w:suppressAutoHyphens w:val="0"/>
              <w:spacing w:before="0" w:after="0" w:line="240" w:lineRule="auto"/>
              <w:rPr>
                <w:rFonts w:ascii="Calibri" w:eastAsia="Times New Roman" w:hAnsi="Calibri" w:cs="Calibri"/>
                <w:b w:val="0"/>
                <w:bCs w:val="0"/>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Mainstream</w:t>
            </w:r>
          </w:p>
        </w:tc>
        <w:tc>
          <w:tcPr>
            <w:tcW w:w="1837" w:type="dxa"/>
            <w:noWrap/>
          </w:tcPr>
          <w:p w14:paraId="5E0CCAEC" w14:textId="17008965" w:rsidR="00F31C10" w:rsidRPr="009B2A2A" w:rsidRDefault="00F31C10"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102</w:t>
            </w:r>
          </w:p>
        </w:tc>
        <w:tc>
          <w:tcPr>
            <w:tcW w:w="1630" w:type="dxa"/>
            <w:noWrap/>
          </w:tcPr>
          <w:p w14:paraId="2BD1A710" w14:textId="0AA39374" w:rsidR="00F31C10" w:rsidRPr="009B2A2A" w:rsidRDefault="00F31C10"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25</w:t>
            </w:r>
          </w:p>
        </w:tc>
        <w:tc>
          <w:tcPr>
            <w:tcW w:w="1682" w:type="dxa"/>
            <w:noWrap/>
          </w:tcPr>
          <w:p w14:paraId="2502D6CC" w14:textId="25552F53" w:rsidR="00F31C10" w:rsidRPr="009B2A2A" w:rsidRDefault="00BB4D7C"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45</w:t>
            </w:r>
          </w:p>
        </w:tc>
        <w:tc>
          <w:tcPr>
            <w:tcW w:w="1951" w:type="dxa"/>
            <w:noWrap/>
          </w:tcPr>
          <w:p w14:paraId="78F71C9C" w14:textId="78B8D64A" w:rsidR="00F31C10" w:rsidRPr="009B2A2A" w:rsidRDefault="00BB4D7C" w:rsidP="004C29FC">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12</w:t>
            </w:r>
          </w:p>
        </w:tc>
      </w:tr>
      <w:tr w:rsidR="00F31C10" w:rsidRPr="00571E9D" w14:paraId="5F4C0828" w14:textId="77777777" w:rsidTr="00CC2A24">
        <w:trPr>
          <w:trHeight w:val="486"/>
        </w:trPr>
        <w:tc>
          <w:tcPr>
            <w:cnfStyle w:val="001000000000" w:firstRow="0" w:lastRow="0" w:firstColumn="1" w:lastColumn="0" w:oddVBand="0" w:evenVBand="0" w:oddHBand="0" w:evenHBand="0" w:firstRowFirstColumn="0" w:firstRowLastColumn="0" w:lastRowFirstColumn="0" w:lastRowLastColumn="0"/>
            <w:tcW w:w="2251" w:type="dxa"/>
            <w:noWrap/>
          </w:tcPr>
          <w:p w14:paraId="35E768FD" w14:textId="3BD7F67E" w:rsidR="00F31C10" w:rsidRPr="009B2A2A" w:rsidRDefault="00F31C10" w:rsidP="004C29FC">
            <w:pPr>
              <w:suppressAutoHyphens w:val="0"/>
              <w:spacing w:before="0" w:after="0" w:line="240" w:lineRule="auto"/>
              <w:rPr>
                <w:rFonts w:ascii="Calibri" w:eastAsia="Times New Roman" w:hAnsi="Calibri" w:cs="Calibri"/>
                <w:b w:val="0"/>
                <w:bCs w:val="0"/>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Not Targeted</w:t>
            </w:r>
          </w:p>
        </w:tc>
        <w:tc>
          <w:tcPr>
            <w:tcW w:w="1837" w:type="dxa"/>
            <w:noWrap/>
          </w:tcPr>
          <w:p w14:paraId="09B38F59" w14:textId="67181DE2" w:rsidR="00F31C10" w:rsidRPr="009B2A2A" w:rsidRDefault="00F31C10"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46</w:t>
            </w:r>
          </w:p>
        </w:tc>
        <w:tc>
          <w:tcPr>
            <w:tcW w:w="1630" w:type="dxa"/>
            <w:noWrap/>
          </w:tcPr>
          <w:p w14:paraId="488F1037" w14:textId="7B51EA7C" w:rsidR="00F31C10" w:rsidRPr="009B2A2A" w:rsidRDefault="00F31C10"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w:t>
            </w:r>
            <w:r w:rsidR="00F121EC" w:rsidRPr="009B2A2A">
              <w:rPr>
                <w:rFonts w:ascii="Calibri" w:eastAsia="Times New Roman" w:hAnsi="Calibri" w:cs="Calibri"/>
                <w:color w:val="000000" w:themeColor="text1"/>
                <w:sz w:val="24"/>
                <w:szCs w:val="24"/>
                <w:lang w:val="en-AU" w:eastAsia="en-AU"/>
              </w:rPr>
              <w:t>2</w:t>
            </w:r>
          </w:p>
        </w:tc>
        <w:tc>
          <w:tcPr>
            <w:tcW w:w="1682" w:type="dxa"/>
            <w:noWrap/>
          </w:tcPr>
          <w:p w14:paraId="336DE160" w14:textId="73584CCB" w:rsidR="00F31C10" w:rsidRPr="009B2A2A" w:rsidRDefault="00BB4D7C"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71</w:t>
            </w:r>
          </w:p>
        </w:tc>
        <w:tc>
          <w:tcPr>
            <w:tcW w:w="1951" w:type="dxa"/>
            <w:noWrap/>
          </w:tcPr>
          <w:p w14:paraId="196C0016" w14:textId="6601DD1A" w:rsidR="00F31C10" w:rsidRPr="009B2A2A" w:rsidRDefault="004D38A2" w:rsidP="004C29FC">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9B2A2A">
              <w:rPr>
                <w:rFonts w:ascii="Calibri" w:eastAsia="Times New Roman" w:hAnsi="Calibri" w:cs="Calibri"/>
                <w:color w:val="000000" w:themeColor="text1"/>
                <w:sz w:val="24"/>
                <w:szCs w:val="24"/>
                <w:lang w:val="en-AU" w:eastAsia="en-AU"/>
              </w:rPr>
              <w:t>19</w:t>
            </w:r>
          </w:p>
        </w:tc>
      </w:tr>
    </w:tbl>
    <w:p w14:paraId="12387FA7" w14:textId="77777777" w:rsidR="004C29FC" w:rsidRDefault="004C29FC" w:rsidP="004C29FC">
      <w:pPr>
        <w:spacing w:before="0" w:after="0" w:line="240" w:lineRule="auto"/>
        <w:rPr>
          <w:iCs/>
          <w:color w:val="000000" w:themeColor="text1"/>
          <w:sz w:val="24"/>
          <w:szCs w:val="24"/>
        </w:rPr>
      </w:pPr>
    </w:p>
    <w:p w14:paraId="64211242" w14:textId="7C3ED9DA" w:rsidR="00AA08E9" w:rsidRDefault="00E44C11" w:rsidP="004C29FC">
      <w:pPr>
        <w:spacing w:before="0" w:after="0" w:line="240" w:lineRule="auto"/>
        <w:rPr>
          <w:iCs/>
          <w:color w:val="000000" w:themeColor="text1"/>
          <w:sz w:val="24"/>
          <w:szCs w:val="24"/>
        </w:rPr>
      </w:pPr>
      <w:r w:rsidRPr="007D0F80">
        <w:rPr>
          <w:iCs/>
          <w:color w:val="000000" w:themeColor="text1"/>
          <w:sz w:val="24"/>
          <w:szCs w:val="24"/>
        </w:rPr>
        <w:t>ANCP r</w:t>
      </w:r>
      <w:r w:rsidR="000224DC" w:rsidRPr="007D0F80">
        <w:rPr>
          <w:iCs/>
          <w:color w:val="000000" w:themeColor="text1"/>
          <w:sz w:val="24"/>
          <w:szCs w:val="24"/>
        </w:rPr>
        <w:t>eporting collect</w:t>
      </w:r>
      <w:r w:rsidR="00A43C7C" w:rsidRPr="007D0F80">
        <w:rPr>
          <w:iCs/>
          <w:color w:val="000000" w:themeColor="text1"/>
          <w:sz w:val="24"/>
          <w:szCs w:val="24"/>
        </w:rPr>
        <w:t>s</w:t>
      </w:r>
      <w:r w:rsidR="00500CFA" w:rsidRPr="007D0F80">
        <w:rPr>
          <w:iCs/>
          <w:color w:val="000000" w:themeColor="text1"/>
          <w:sz w:val="24"/>
          <w:szCs w:val="24"/>
        </w:rPr>
        <w:t xml:space="preserve"> </w:t>
      </w:r>
      <w:r w:rsidR="000224DC" w:rsidRPr="007D0F80">
        <w:rPr>
          <w:iCs/>
          <w:color w:val="000000" w:themeColor="text1"/>
          <w:sz w:val="24"/>
          <w:szCs w:val="24"/>
        </w:rPr>
        <w:t xml:space="preserve">information on whether people with disabilities or </w:t>
      </w:r>
      <w:r w:rsidR="006955E7" w:rsidRPr="007D0F80">
        <w:rPr>
          <w:iCs/>
          <w:color w:val="000000" w:themeColor="text1"/>
          <w:sz w:val="24"/>
          <w:szCs w:val="24"/>
        </w:rPr>
        <w:t>organisations of people with disabilities (OPDs)</w:t>
      </w:r>
      <w:r w:rsidR="000224DC" w:rsidRPr="007D0F80">
        <w:rPr>
          <w:iCs/>
          <w:color w:val="000000" w:themeColor="text1"/>
          <w:sz w:val="24"/>
          <w:szCs w:val="24"/>
        </w:rPr>
        <w:t xml:space="preserve"> are involved in project planning, implement</w:t>
      </w:r>
      <w:r w:rsidR="004C5DBE">
        <w:rPr>
          <w:iCs/>
          <w:color w:val="000000" w:themeColor="text1"/>
          <w:sz w:val="24"/>
          <w:szCs w:val="24"/>
        </w:rPr>
        <w:t xml:space="preserve">ation </w:t>
      </w:r>
      <w:r w:rsidR="000224DC" w:rsidRPr="007D0F80">
        <w:rPr>
          <w:iCs/>
          <w:color w:val="000000" w:themeColor="text1"/>
          <w:sz w:val="24"/>
          <w:szCs w:val="24"/>
        </w:rPr>
        <w:t>and review processes. </w:t>
      </w:r>
      <w:r w:rsidR="00AA08E9">
        <w:rPr>
          <w:iCs/>
          <w:color w:val="000000" w:themeColor="text1"/>
          <w:sz w:val="24"/>
          <w:szCs w:val="24"/>
        </w:rPr>
        <w:t xml:space="preserve">In 2023-24, </w:t>
      </w:r>
      <w:r w:rsidR="009823D2">
        <w:rPr>
          <w:iCs/>
          <w:color w:val="000000" w:themeColor="text1"/>
          <w:sz w:val="24"/>
          <w:szCs w:val="24"/>
        </w:rPr>
        <w:t>6</w:t>
      </w:r>
      <w:r w:rsidR="00103140">
        <w:rPr>
          <w:iCs/>
          <w:color w:val="000000" w:themeColor="text1"/>
          <w:sz w:val="24"/>
          <w:szCs w:val="24"/>
        </w:rPr>
        <w:t xml:space="preserve">36 </w:t>
      </w:r>
      <w:r w:rsidR="00103140" w:rsidRPr="00103140">
        <w:rPr>
          <w:iCs/>
          <w:color w:val="000000" w:themeColor="text1"/>
          <w:sz w:val="24"/>
          <w:szCs w:val="24"/>
        </w:rPr>
        <w:t>OPDs were engaged across all projects with a principal or significant disability focus,</w:t>
      </w:r>
      <w:r w:rsidR="00103140">
        <w:rPr>
          <w:iCs/>
          <w:color w:val="000000" w:themeColor="text1"/>
          <w:sz w:val="24"/>
          <w:szCs w:val="24"/>
        </w:rPr>
        <w:t xml:space="preserve"> </w:t>
      </w:r>
      <w:r w:rsidR="00103140" w:rsidRPr="00103140">
        <w:rPr>
          <w:iCs/>
          <w:color w:val="000000" w:themeColor="text1"/>
          <w:sz w:val="24"/>
          <w:szCs w:val="24"/>
        </w:rPr>
        <w:t xml:space="preserve">compared to </w:t>
      </w:r>
      <w:r w:rsidR="00C316C1">
        <w:rPr>
          <w:iCs/>
          <w:color w:val="000000" w:themeColor="text1"/>
          <w:sz w:val="24"/>
          <w:szCs w:val="24"/>
        </w:rPr>
        <w:t xml:space="preserve">527 in 2022-23 and </w:t>
      </w:r>
      <w:r w:rsidR="00103140" w:rsidRPr="00103140">
        <w:rPr>
          <w:iCs/>
          <w:color w:val="000000" w:themeColor="text1"/>
          <w:sz w:val="24"/>
          <w:szCs w:val="24"/>
        </w:rPr>
        <w:t>643 in 2021-22.</w:t>
      </w:r>
    </w:p>
    <w:p w14:paraId="565967EC" w14:textId="77777777" w:rsidR="004C29FC" w:rsidRDefault="004C29FC" w:rsidP="004C29FC">
      <w:pPr>
        <w:spacing w:before="0" w:after="0" w:line="240" w:lineRule="auto"/>
        <w:rPr>
          <w:iCs/>
          <w:color w:val="000000" w:themeColor="text1"/>
          <w:sz w:val="24"/>
          <w:szCs w:val="24"/>
        </w:rPr>
      </w:pPr>
    </w:p>
    <w:p w14:paraId="3459FEE8" w14:textId="77777777" w:rsidR="00602556" w:rsidRDefault="009A100A" w:rsidP="004C29FC">
      <w:pPr>
        <w:spacing w:before="0" w:after="0" w:line="240" w:lineRule="auto"/>
        <w:rPr>
          <w:iCs/>
          <w:color w:val="000000" w:themeColor="text1"/>
          <w:sz w:val="24"/>
          <w:szCs w:val="24"/>
        </w:rPr>
      </w:pPr>
      <w:r w:rsidRPr="007D0F80">
        <w:rPr>
          <w:iCs/>
          <w:color w:val="000000" w:themeColor="text1"/>
          <w:sz w:val="24"/>
          <w:szCs w:val="24"/>
        </w:rPr>
        <w:t xml:space="preserve">Beyond quantitative parameters, there is limited </w:t>
      </w:r>
      <w:r w:rsidR="00252073" w:rsidRPr="007D0F80">
        <w:rPr>
          <w:iCs/>
          <w:color w:val="000000" w:themeColor="text1"/>
          <w:sz w:val="24"/>
          <w:szCs w:val="24"/>
        </w:rPr>
        <w:t xml:space="preserve">systematically collected </w:t>
      </w:r>
      <w:r w:rsidRPr="007D0F80">
        <w:rPr>
          <w:iCs/>
          <w:color w:val="000000" w:themeColor="text1"/>
          <w:sz w:val="24"/>
          <w:szCs w:val="24"/>
        </w:rPr>
        <w:t xml:space="preserve">evidence </w:t>
      </w:r>
      <w:r w:rsidR="0023100A" w:rsidRPr="007D0F80">
        <w:rPr>
          <w:iCs/>
          <w:color w:val="000000" w:themeColor="text1"/>
          <w:sz w:val="24"/>
          <w:szCs w:val="24"/>
        </w:rPr>
        <w:t xml:space="preserve">and analysis </w:t>
      </w:r>
      <w:r w:rsidRPr="007D0F80">
        <w:rPr>
          <w:iCs/>
          <w:color w:val="000000" w:themeColor="text1"/>
          <w:sz w:val="24"/>
          <w:szCs w:val="24"/>
        </w:rPr>
        <w:t>on which to report</w:t>
      </w:r>
      <w:r w:rsidR="00B471B0" w:rsidRPr="007D0F80">
        <w:rPr>
          <w:iCs/>
          <w:color w:val="000000" w:themeColor="text1"/>
          <w:sz w:val="24"/>
          <w:szCs w:val="24"/>
        </w:rPr>
        <w:t xml:space="preserve"> disability inclusion</w:t>
      </w:r>
      <w:r w:rsidRPr="007D0F80">
        <w:rPr>
          <w:iCs/>
          <w:color w:val="000000" w:themeColor="text1"/>
          <w:sz w:val="24"/>
          <w:szCs w:val="24"/>
        </w:rPr>
        <w:t xml:space="preserve"> </w:t>
      </w:r>
      <w:r w:rsidR="00252073" w:rsidRPr="007D0F80">
        <w:rPr>
          <w:iCs/>
          <w:color w:val="000000" w:themeColor="text1"/>
          <w:sz w:val="24"/>
          <w:szCs w:val="24"/>
        </w:rPr>
        <w:t>outcomes</w:t>
      </w:r>
      <w:r w:rsidRPr="007D0F80">
        <w:rPr>
          <w:iCs/>
          <w:color w:val="000000" w:themeColor="text1"/>
          <w:sz w:val="24"/>
          <w:szCs w:val="24"/>
        </w:rPr>
        <w:t xml:space="preserve">. </w:t>
      </w:r>
      <w:r w:rsidR="00CC37E0" w:rsidRPr="007D0F80">
        <w:rPr>
          <w:iCs/>
          <w:color w:val="000000" w:themeColor="text1"/>
          <w:sz w:val="24"/>
          <w:szCs w:val="24"/>
        </w:rPr>
        <w:t>E</w:t>
      </w:r>
      <w:r w:rsidR="0066249C" w:rsidRPr="007D0F80">
        <w:rPr>
          <w:iCs/>
          <w:color w:val="000000" w:themeColor="text1"/>
          <w:sz w:val="24"/>
          <w:szCs w:val="24"/>
        </w:rPr>
        <w:t>xamples of inclusive approaches</w:t>
      </w:r>
      <w:r w:rsidR="00681745" w:rsidRPr="007D0F80">
        <w:rPr>
          <w:iCs/>
          <w:color w:val="000000" w:themeColor="text1"/>
          <w:sz w:val="24"/>
          <w:szCs w:val="24"/>
        </w:rPr>
        <w:t xml:space="preserve"> </w:t>
      </w:r>
      <w:r w:rsidR="00823BB6" w:rsidRPr="007D0F80">
        <w:rPr>
          <w:iCs/>
          <w:color w:val="000000" w:themeColor="text1"/>
          <w:sz w:val="24"/>
          <w:szCs w:val="24"/>
        </w:rPr>
        <w:t>include</w:t>
      </w:r>
      <w:r w:rsidR="005A304D" w:rsidRPr="007D0F80">
        <w:rPr>
          <w:iCs/>
          <w:color w:val="000000" w:themeColor="text1"/>
          <w:sz w:val="24"/>
          <w:szCs w:val="24"/>
        </w:rPr>
        <w:t xml:space="preserve">d participation by </w:t>
      </w:r>
      <w:r w:rsidR="008D0536" w:rsidRPr="007D0F80">
        <w:rPr>
          <w:iCs/>
          <w:color w:val="000000" w:themeColor="text1"/>
          <w:sz w:val="24"/>
          <w:szCs w:val="24"/>
        </w:rPr>
        <w:t xml:space="preserve">OPDs in needs assessments, </w:t>
      </w:r>
      <w:r w:rsidR="00841CD9" w:rsidRPr="007D0F80">
        <w:rPr>
          <w:iCs/>
          <w:color w:val="000000" w:themeColor="text1"/>
          <w:sz w:val="24"/>
          <w:szCs w:val="24"/>
        </w:rPr>
        <w:t>strengthening of disability inclusion awareness and</w:t>
      </w:r>
      <w:r w:rsidR="00917ED4" w:rsidRPr="007D0F80">
        <w:rPr>
          <w:iCs/>
          <w:color w:val="000000" w:themeColor="text1"/>
          <w:sz w:val="24"/>
          <w:szCs w:val="24"/>
        </w:rPr>
        <w:t xml:space="preserve"> resources and </w:t>
      </w:r>
      <w:r w:rsidR="00935D03" w:rsidRPr="007D0F80">
        <w:rPr>
          <w:iCs/>
          <w:color w:val="000000" w:themeColor="text1"/>
          <w:sz w:val="24"/>
          <w:szCs w:val="24"/>
        </w:rPr>
        <w:t xml:space="preserve">participation by people with disabilities in project governance. </w:t>
      </w:r>
    </w:p>
    <w:p w14:paraId="2A554A50" w14:textId="77777777" w:rsidR="00F32A72" w:rsidRDefault="00F32A72" w:rsidP="004C29FC">
      <w:pPr>
        <w:spacing w:before="0" w:after="0" w:line="240" w:lineRule="auto"/>
        <w:rPr>
          <w:iCs/>
          <w:color w:val="000000" w:themeColor="text1"/>
          <w:sz w:val="24"/>
          <w:szCs w:val="24"/>
        </w:rPr>
      </w:pPr>
    </w:p>
    <w:p w14:paraId="1919CF33" w14:textId="0E2E992B" w:rsidR="004C29FC" w:rsidRDefault="0009058F" w:rsidP="0009058F">
      <w:pPr>
        <w:suppressAutoHyphens w:val="0"/>
        <w:spacing w:before="0" w:after="120" w:line="440" w:lineRule="atLeast"/>
        <w:rPr>
          <w:iCs/>
          <w:color w:val="000000" w:themeColor="text1"/>
          <w:sz w:val="24"/>
          <w:szCs w:val="24"/>
        </w:rPr>
      </w:pPr>
      <w:r>
        <w:rPr>
          <w:iCs/>
          <w:color w:val="000000" w:themeColor="text1"/>
          <w:sz w:val="24"/>
          <w:szCs w:val="24"/>
        </w:rPr>
        <w:br w:type="page"/>
      </w:r>
    </w:p>
    <w:p w14:paraId="4516E5FE" w14:textId="40A878CD" w:rsidR="00D07E2D" w:rsidRDefault="00D07E2D" w:rsidP="00486D28">
      <w:pPr>
        <w:rPr>
          <w:iCs/>
          <w:color w:val="000000" w:themeColor="text1"/>
          <w:sz w:val="24"/>
          <w:szCs w:val="24"/>
        </w:rPr>
      </w:pPr>
      <w:r w:rsidRPr="007D0F80">
        <w:rPr>
          <w:iCs/>
          <w:color w:val="000000" w:themeColor="text1"/>
          <w:sz w:val="24"/>
          <w:szCs w:val="24"/>
        </w:rPr>
        <w:lastRenderedPageBreak/>
        <w:t>In 202</w:t>
      </w:r>
      <w:r w:rsidR="00D22125">
        <w:rPr>
          <w:iCs/>
          <w:color w:val="000000" w:themeColor="text1"/>
          <w:sz w:val="24"/>
          <w:szCs w:val="24"/>
        </w:rPr>
        <w:t>3</w:t>
      </w:r>
      <w:r w:rsidRPr="007D0F80">
        <w:rPr>
          <w:iCs/>
          <w:color w:val="000000" w:themeColor="text1"/>
          <w:sz w:val="24"/>
          <w:szCs w:val="24"/>
        </w:rPr>
        <w:t>-2</w:t>
      </w:r>
      <w:r w:rsidR="00D22125">
        <w:rPr>
          <w:iCs/>
          <w:color w:val="000000" w:themeColor="text1"/>
          <w:sz w:val="24"/>
          <w:szCs w:val="24"/>
        </w:rPr>
        <w:t>4</w:t>
      </w:r>
      <w:r w:rsidR="00B96FD0">
        <w:rPr>
          <w:iCs/>
          <w:color w:val="000000" w:themeColor="text1"/>
          <w:sz w:val="24"/>
          <w:szCs w:val="24"/>
        </w:rPr>
        <w:t>,</w:t>
      </w:r>
      <w:r w:rsidRPr="007D0F80">
        <w:rPr>
          <w:iCs/>
          <w:color w:val="000000" w:themeColor="text1"/>
          <w:sz w:val="24"/>
          <w:szCs w:val="24"/>
        </w:rPr>
        <w:t xml:space="preserve"> the ANCP supported</w:t>
      </w:r>
      <w:r w:rsidR="00D22125">
        <w:rPr>
          <w:iCs/>
          <w:color w:val="000000" w:themeColor="text1"/>
          <w:sz w:val="24"/>
          <w:szCs w:val="24"/>
        </w:rPr>
        <w:t xml:space="preserve"> </w:t>
      </w:r>
      <w:r w:rsidR="00D22125" w:rsidRPr="00D22125">
        <w:rPr>
          <w:iCs/>
          <w:color w:val="000000" w:themeColor="text1"/>
          <w:sz w:val="24"/>
          <w:szCs w:val="24"/>
        </w:rPr>
        <w:t xml:space="preserve">the following indicator results for </w:t>
      </w:r>
      <w:r w:rsidR="00D22125">
        <w:rPr>
          <w:iCs/>
          <w:color w:val="000000" w:themeColor="text1"/>
          <w:sz w:val="24"/>
          <w:szCs w:val="24"/>
        </w:rPr>
        <w:t>disability inclusion</w:t>
      </w:r>
      <w:r w:rsidRPr="007D0F80">
        <w:rPr>
          <w:iCs/>
          <w:color w:val="000000" w:themeColor="text1"/>
          <w:sz w:val="24"/>
          <w:szCs w:val="24"/>
        </w:rPr>
        <w:t xml:space="preserve">: </w:t>
      </w:r>
    </w:p>
    <w:p w14:paraId="7010937C" w14:textId="084182AA" w:rsidR="00B93B69" w:rsidRPr="00B93B69" w:rsidRDefault="00B93B69" w:rsidP="00B93B69">
      <w:pPr>
        <w:pStyle w:val="ListParagraph"/>
        <w:numPr>
          <w:ilvl w:val="0"/>
          <w:numId w:val="27"/>
        </w:numPr>
        <w:rPr>
          <w:iCs/>
          <w:color w:val="000000" w:themeColor="text1"/>
          <w:sz w:val="24"/>
          <w:szCs w:val="24"/>
        </w:rPr>
      </w:pPr>
      <w:r w:rsidRPr="00134B97">
        <w:rPr>
          <w:iCs/>
          <w:color w:val="000000" w:themeColor="text1"/>
          <w:sz w:val="24"/>
          <w:szCs w:val="24"/>
        </w:rPr>
        <w:t>17,756 people received disability support services specific to their needs (</w:t>
      </w:r>
      <w:r>
        <w:rPr>
          <w:iCs/>
          <w:color w:val="000000" w:themeColor="text1"/>
          <w:sz w:val="24"/>
          <w:szCs w:val="24"/>
        </w:rPr>
        <w:t>51.4</w:t>
      </w:r>
      <w:r w:rsidRPr="00134B97">
        <w:rPr>
          <w:iCs/>
          <w:color w:val="000000" w:themeColor="text1"/>
          <w:sz w:val="24"/>
          <w:szCs w:val="24"/>
        </w:rPr>
        <w:t xml:space="preserve"> per cent women and girls), </w:t>
      </w:r>
      <w:r>
        <w:rPr>
          <w:iCs/>
          <w:color w:val="000000" w:themeColor="text1"/>
          <w:sz w:val="24"/>
          <w:szCs w:val="24"/>
        </w:rPr>
        <w:t>up</w:t>
      </w:r>
      <w:r w:rsidRPr="00134B97">
        <w:rPr>
          <w:iCs/>
          <w:color w:val="000000" w:themeColor="text1"/>
          <w:sz w:val="24"/>
          <w:szCs w:val="24"/>
        </w:rPr>
        <w:t xml:space="preserve"> from </w:t>
      </w:r>
      <w:r>
        <w:rPr>
          <w:iCs/>
          <w:color w:val="000000" w:themeColor="text1"/>
          <w:sz w:val="24"/>
          <w:szCs w:val="24"/>
        </w:rPr>
        <w:t>11,721</w:t>
      </w:r>
      <w:r w:rsidRPr="00134B97">
        <w:rPr>
          <w:iCs/>
          <w:color w:val="000000" w:themeColor="text1"/>
          <w:sz w:val="24"/>
          <w:szCs w:val="24"/>
        </w:rPr>
        <w:t xml:space="preserve"> people </w:t>
      </w:r>
      <w:r>
        <w:rPr>
          <w:iCs/>
          <w:color w:val="000000" w:themeColor="text1"/>
          <w:sz w:val="24"/>
          <w:szCs w:val="24"/>
        </w:rPr>
        <w:t>in 2022-23</w:t>
      </w:r>
      <w:r w:rsidRPr="00134B97">
        <w:rPr>
          <w:iCs/>
          <w:color w:val="000000" w:themeColor="text1"/>
          <w:sz w:val="24"/>
          <w:szCs w:val="24"/>
        </w:rPr>
        <w:t xml:space="preserve"> (</w:t>
      </w:r>
      <w:r w:rsidR="00A83EF8">
        <w:rPr>
          <w:iCs/>
          <w:color w:val="000000" w:themeColor="text1"/>
          <w:sz w:val="24"/>
          <w:szCs w:val="24"/>
        </w:rPr>
        <w:t>I</w:t>
      </w:r>
      <w:r w:rsidRPr="00134B97">
        <w:rPr>
          <w:iCs/>
          <w:color w:val="000000" w:themeColor="text1"/>
          <w:sz w:val="24"/>
          <w:szCs w:val="24"/>
        </w:rPr>
        <w:t>ndicator G.</w:t>
      </w:r>
      <w:r>
        <w:rPr>
          <w:iCs/>
          <w:color w:val="000000" w:themeColor="text1"/>
          <w:sz w:val="24"/>
          <w:szCs w:val="24"/>
        </w:rPr>
        <w:t>7</w:t>
      </w:r>
      <w:r w:rsidRPr="00134B97">
        <w:rPr>
          <w:iCs/>
          <w:color w:val="000000" w:themeColor="text1"/>
          <w:sz w:val="24"/>
          <w:szCs w:val="24"/>
        </w:rPr>
        <w:t>)</w:t>
      </w:r>
      <w:r w:rsidR="00335273">
        <w:rPr>
          <w:iCs/>
          <w:color w:val="000000" w:themeColor="text1"/>
          <w:sz w:val="24"/>
          <w:szCs w:val="24"/>
        </w:rPr>
        <w:t>.</w:t>
      </w:r>
    </w:p>
    <w:p w14:paraId="6E1B6D8F" w14:textId="543E6609" w:rsidR="00D042CE" w:rsidRPr="00B93B69" w:rsidRDefault="00A156FB" w:rsidP="00D042CE">
      <w:pPr>
        <w:pStyle w:val="ListParagraph"/>
        <w:numPr>
          <w:ilvl w:val="0"/>
          <w:numId w:val="27"/>
        </w:numPr>
        <w:rPr>
          <w:iCs/>
          <w:color w:val="000000" w:themeColor="text1"/>
          <w:sz w:val="24"/>
          <w:szCs w:val="24"/>
        </w:rPr>
      </w:pPr>
      <w:r w:rsidRPr="00D042CE">
        <w:rPr>
          <w:color w:val="000000" w:themeColor="text1"/>
          <w:sz w:val="24"/>
          <w:szCs w:val="24"/>
        </w:rPr>
        <w:t>1</w:t>
      </w:r>
      <w:r w:rsidR="009055A6">
        <w:rPr>
          <w:color w:val="000000" w:themeColor="text1"/>
          <w:sz w:val="24"/>
          <w:szCs w:val="24"/>
        </w:rPr>
        <w:t>38</w:t>
      </w:r>
      <w:r w:rsidRPr="00D042CE">
        <w:rPr>
          <w:color w:val="000000" w:themeColor="text1"/>
          <w:sz w:val="24"/>
          <w:szCs w:val="24"/>
        </w:rPr>
        <w:t>,</w:t>
      </w:r>
      <w:r w:rsidR="003C183D">
        <w:rPr>
          <w:color w:val="000000" w:themeColor="text1"/>
          <w:sz w:val="24"/>
          <w:szCs w:val="24"/>
        </w:rPr>
        <w:t>509</w:t>
      </w:r>
      <w:r w:rsidR="00B1409E" w:rsidRPr="00D042CE">
        <w:rPr>
          <w:color w:val="000000" w:themeColor="text1"/>
          <w:sz w:val="24"/>
          <w:szCs w:val="24"/>
        </w:rPr>
        <w:t xml:space="preserve"> </w:t>
      </w:r>
      <w:r w:rsidR="00D07E2D" w:rsidRPr="00D042CE">
        <w:rPr>
          <w:color w:val="000000" w:themeColor="text1"/>
          <w:sz w:val="24"/>
          <w:szCs w:val="24"/>
        </w:rPr>
        <w:t xml:space="preserve">people trained in disability awareness and inclusion, </w:t>
      </w:r>
      <w:r w:rsidR="00145355">
        <w:rPr>
          <w:color w:val="000000" w:themeColor="text1"/>
          <w:sz w:val="24"/>
          <w:szCs w:val="24"/>
        </w:rPr>
        <w:t>up</w:t>
      </w:r>
      <w:r w:rsidR="00D07E2D" w:rsidRPr="00D042CE">
        <w:rPr>
          <w:color w:val="000000" w:themeColor="text1"/>
          <w:sz w:val="24"/>
          <w:szCs w:val="24"/>
        </w:rPr>
        <w:t xml:space="preserve"> from </w:t>
      </w:r>
      <w:r w:rsidR="00145355" w:rsidRPr="00145355">
        <w:rPr>
          <w:color w:val="000000" w:themeColor="text1"/>
          <w:sz w:val="24"/>
          <w:szCs w:val="24"/>
        </w:rPr>
        <w:t xml:space="preserve">105,891 </w:t>
      </w:r>
      <w:r w:rsidR="00D07E2D" w:rsidRPr="00D042CE">
        <w:rPr>
          <w:color w:val="000000" w:themeColor="text1"/>
          <w:sz w:val="24"/>
          <w:szCs w:val="24"/>
        </w:rPr>
        <w:t xml:space="preserve">people </w:t>
      </w:r>
      <w:r w:rsidR="00ED3880">
        <w:rPr>
          <w:color w:val="000000" w:themeColor="text1"/>
          <w:sz w:val="24"/>
          <w:szCs w:val="24"/>
        </w:rPr>
        <w:t>in 2022-23</w:t>
      </w:r>
      <w:r w:rsidR="00D07E2D" w:rsidRPr="00D042CE">
        <w:rPr>
          <w:color w:val="000000" w:themeColor="text1"/>
          <w:sz w:val="24"/>
          <w:szCs w:val="24"/>
        </w:rPr>
        <w:t xml:space="preserve"> (Indicator G.0</w:t>
      </w:r>
      <w:r w:rsidR="00A47722" w:rsidRPr="00D042CE">
        <w:rPr>
          <w:color w:val="000000" w:themeColor="text1"/>
          <w:sz w:val="24"/>
          <w:szCs w:val="24"/>
        </w:rPr>
        <w:t>9</w:t>
      </w:r>
      <w:r w:rsidR="00D07E2D" w:rsidRPr="00D042CE">
        <w:rPr>
          <w:color w:val="000000" w:themeColor="text1"/>
          <w:sz w:val="24"/>
          <w:szCs w:val="24"/>
        </w:rPr>
        <w:t>)</w:t>
      </w:r>
      <w:r w:rsidR="00335273">
        <w:rPr>
          <w:color w:val="000000" w:themeColor="text1"/>
          <w:sz w:val="24"/>
          <w:szCs w:val="24"/>
        </w:rPr>
        <w:t>.</w:t>
      </w:r>
    </w:p>
    <w:p w14:paraId="556B4769" w14:textId="78DD3C89" w:rsidR="00F17A77" w:rsidRPr="00E95ED9" w:rsidRDefault="00AB4B3F" w:rsidP="00F17A77">
      <w:pPr>
        <w:pStyle w:val="ListParagraph"/>
        <w:numPr>
          <w:ilvl w:val="0"/>
          <w:numId w:val="27"/>
        </w:numPr>
        <w:rPr>
          <w:iCs/>
          <w:color w:val="000000" w:themeColor="text1"/>
          <w:sz w:val="24"/>
          <w:szCs w:val="24"/>
        </w:rPr>
      </w:pPr>
      <w:r>
        <w:rPr>
          <w:color w:val="000000" w:themeColor="text1"/>
          <w:sz w:val="24"/>
          <w:szCs w:val="24"/>
        </w:rPr>
        <w:t>6,534 people were trained in delivery of disability support services (</w:t>
      </w:r>
      <w:r w:rsidR="003873FF">
        <w:rPr>
          <w:color w:val="000000" w:themeColor="text1"/>
          <w:sz w:val="24"/>
          <w:szCs w:val="24"/>
        </w:rPr>
        <w:t xml:space="preserve">58.9 per cent women and girls), </w:t>
      </w:r>
      <w:r w:rsidR="00937890">
        <w:rPr>
          <w:color w:val="000000" w:themeColor="text1"/>
          <w:sz w:val="24"/>
          <w:szCs w:val="24"/>
        </w:rPr>
        <w:t xml:space="preserve">up from </w:t>
      </w:r>
      <w:r w:rsidR="00A83EF8">
        <w:rPr>
          <w:color w:val="000000" w:themeColor="text1"/>
          <w:sz w:val="24"/>
          <w:szCs w:val="24"/>
        </w:rPr>
        <w:t>4,667 people in 2022-23 (Indicator G.10)</w:t>
      </w:r>
      <w:r w:rsidR="00335273">
        <w:rPr>
          <w:color w:val="000000" w:themeColor="text1"/>
          <w:sz w:val="24"/>
          <w:szCs w:val="24"/>
        </w:rPr>
        <w:t>.</w:t>
      </w:r>
    </w:p>
    <w:p w14:paraId="0C739C22" w14:textId="74F2662C" w:rsidR="00546A34" w:rsidRDefault="00940C7A" w:rsidP="00142100">
      <w:pPr>
        <w:spacing w:before="240" w:after="240"/>
        <w:rPr>
          <w:color w:val="000000" w:themeColor="text1"/>
          <w:sz w:val="24"/>
          <w:szCs w:val="24"/>
          <w:lang w:val="en-AU"/>
        </w:rPr>
      </w:pPr>
      <w:r w:rsidRPr="00C03E3E">
        <w:rPr>
          <w:color w:val="auto"/>
          <w:sz w:val="24"/>
          <w:szCs w:val="24"/>
          <w:lang w:val="en-AU"/>
        </w:rPr>
        <w:t xml:space="preserve">Table </w:t>
      </w:r>
      <w:r w:rsidR="00060BFC" w:rsidRPr="00C03E3E">
        <w:rPr>
          <w:color w:val="auto"/>
          <w:sz w:val="24"/>
          <w:szCs w:val="24"/>
          <w:lang w:val="en-AU"/>
        </w:rPr>
        <w:t>2</w:t>
      </w:r>
      <w:r w:rsidRPr="00C03E3E">
        <w:rPr>
          <w:color w:val="auto"/>
          <w:sz w:val="24"/>
          <w:szCs w:val="24"/>
          <w:lang w:val="en-AU"/>
        </w:rPr>
        <w:t xml:space="preserve"> </w:t>
      </w:r>
      <w:r w:rsidRPr="007D0F80">
        <w:rPr>
          <w:color w:val="000000" w:themeColor="text1"/>
          <w:sz w:val="24"/>
          <w:szCs w:val="24"/>
          <w:lang w:val="en-AU"/>
        </w:rPr>
        <w:t>shows</w:t>
      </w:r>
      <w:r w:rsidR="008C3A21">
        <w:rPr>
          <w:color w:val="000000" w:themeColor="text1"/>
          <w:sz w:val="24"/>
          <w:szCs w:val="24"/>
          <w:lang w:val="en-AU"/>
        </w:rPr>
        <w:t xml:space="preserve"> </w:t>
      </w:r>
      <w:r w:rsidR="00E66683">
        <w:rPr>
          <w:color w:val="000000" w:themeColor="text1"/>
          <w:sz w:val="24"/>
          <w:szCs w:val="24"/>
          <w:lang w:val="en-AU"/>
        </w:rPr>
        <w:t>five</w:t>
      </w:r>
      <w:r w:rsidR="00E365C6" w:rsidRPr="007D0F80">
        <w:rPr>
          <w:color w:val="000000" w:themeColor="text1"/>
          <w:sz w:val="24"/>
          <w:szCs w:val="24"/>
          <w:lang w:val="en-AU"/>
        </w:rPr>
        <w:t xml:space="preserve"> per cent </w:t>
      </w:r>
      <w:r w:rsidRPr="007D0F80">
        <w:rPr>
          <w:color w:val="000000" w:themeColor="text1"/>
          <w:sz w:val="24"/>
          <w:szCs w:val="24"/>
          <w:lang w:val="en-AU"/>
        </w:rPr>
        <w:t xml:space="preserve">of </w:t>
      </w:r>
      <w:r w:rsidR="008C3A21">
        <w:rPr>
          <w:color w:val="000000" w:themeColor="text1"/>
          <w:sz w:val="24"/>
          <w:szCs w:val="24"/>
          <w:lang w:val="en-AU"/>
        </w:rPr>
        <w:t xml:space="preserve">2023-24 ANCP </w:t>
      </w:r>
      <w:r w:rsidRPr="007D0F80">
        <w:rPr>
          <w:color w:val="000000" w:themeColor="text1"/>
          <w:sz w:val="24"/>
          <w:szCs w:val="24"/>
          <w:lang w:val="en-AU"/>
        </w:rPr>
        <w:t xml:space="preserve">projects </w:t>
      </w:r>
      <w:r w:rsidR="00E365C6" w:rsidRPr="007D0F80">
        <w:rPr>
          <w:color w:val="000000" w:themeColor="text1"/>
          <w:sz w:val="24"/>
          <w:szCs w:val="24"/>
          <w:lang w:val="en-AU"/>
        </w:rPr>
        <w:t>had a principal focus on disability inclusion</w:t>
      </w:r>
      <w:r w:rsidR="00D37917" w:rsidRPr="007D0F80">
        <w:rPr>
          <w:color w:val="000000" w:themeColor="text1"/>
          <w:sz w:val="24"/>
          <w:szCs w:val="24"/>
          <w:lang w:val="en-AU"/>
        </w:rPr>
        <w:t xml:space="preserve">, </w:t>
      </w:r>
      <w:r w:rsidR="00871439">
        <w:rPr>
          <w:color w:val="000000" w:themeColor="text1"/>
          <w:sz w:val="24"/>
          <w:szCs w:val="24"/>
          <w:lang w:val="en-AU"/>
        </w:rPr>
        <w:t>70 per cent</w:t>
      </w:r>
      <w:r w:rsidR="001C4084" w:rsidRPr="007D0F80">
        <w:rPr>
          <w:color w:val="000000" w:themeColor="text1"/>
          <w:sz w:val="24"/>
          <w:szCs w:val="24"/>
          <w:lang w:val="en-AU"/>
        </w:rPr>
        <w:t xml:space="preserve"> </w:t>
      </w:r>
      <w:r w:rsidR="00B8266A" w:rsidRPr="007D0F80">
        <w:rPr>
          <w:color w:val="000000" w:themeColor="text1"/>
          <w:sz w:val="24"/>
          <w:szCs w:val="24"/>
          <w:lang w:val="en-AU"/>
        </w:rPr>
        <w:t>had a significant focus (</w:t>
      </w:r>
      <w:r w:rsidR="0028153C" w:rsidRPr="007D0F80">
        <w:rPr>
          <w:color w:val="000000" w:themeColor="text1"/>
          <w:sz w:val="24"/>
          <w:szCs w:val="24"/>
          <w:lang w:val="en-AU"/>
        </w:rPr>
        <w:t xml:space="preserve">including both </w:t>
      </w:r>
      <w:r w:rsidR="00B8266A" w:rsidRPr="007D0F80">
        <w:rPr>
          <w:color w:val="000000" w:themeColor="text1"/>
          <w:sz w:val="24"/>
          <w:szCs w:val="24"/>
          <w:lang w:val="en-AU"/>
        </w:rPr>
        <w:t xml:space="preserve">twin track </w:t>
      </w:r>
      <w:r w:rsidR="0028153C" w:rsidRPr="007D0F80">
        <w:rPr>
          <w:color w:val="000000" w:themeColor="text1"/>
          <w:sz w:val="24"/>
          <w:szCs w:val="24"/>
          <w:lang w:val="en-AU"/>
        </w:rPr>
        <w:t>or mainstream approach)</w:t>
      </w:r>
      <w:r w:rsidR="00E365C6" w:rsidRPr="007D0F80">
        <w:rPr>
          <w:color w:val="000000" w:themeColor="text1"/>
          <w:sz w:val="24"/>
          <w:szCs w:val="24"/>
          <w:lang w:val="en-AU"/>
        </w:rPr>
        <w:t xml:space="preserve"> and </w:t>
      </w:r>
      <w:r w:rsidR="001E0852">
        <w:rPr>
          <w:color w:val="000000" w:themeColor="text1"/>
          <w:sz w:val="24"/>
          <w:szCs w:val="24"/>
          <w:lang w:val="en-AU"/>
        </w:rPr>
        <w:t>2</w:t>
      </w:r>
      <w:r w:rsidR="00DC6F6D">
        <w:rPr>
          <w:color w:val="000000" w:themeColor="text1"/>
          <w:sz w:val="24"/>
          <w:szCs w:val="24"/>
          <w:lang w:val="en-AU"/>
        </w:rPr>
        <w:t>5</w:t>
      </w:r>
      <w:r w:rsidR="001E0852">
        <w:rPr>
          <w:color w:val="000000" w:themeColor="text1"/>
          <w:sz w:val="24"/>
          <w:szCs w:val="24"/>
          <w:lang w:val="en-AU"/>
        </w:rPr>
        <w:t xml:space="preserve"> percent </w:t>
      </w:r>
      <w:r w:rsidR="00CE4EF5" w:rsidRPr="007D0F80">
        <w:rPr>
          <w:color w:val="000000" w:themeColor="text1"/>
          <w:sz w:val="24"/>
          <w:szCs w:val="24"/>
          <w:lang w:val="en-AU"/>
        </w:rPr>
        <w:t>did not target disability inclusion.</w:t>
      </w:r>
    </w:p>
    <w:p w14:paraId="123B0A5D" w14:textId="29308207" w:rsidR="000A799D" w:rsidRPr="00F94037" w:rsidRDefault="00D1455D" w:rsidP="000A1091">
      <w:pPr>
        <w:spacing w:before="240" w:after="120"/>
        <w:rPr>
          <w:color w:val="000000" w:themeColor="text1"/>
          <w:sz w:val="24"/>
          <w:szCs w:val="24"/>
          <w:lang w:val="en-AU"/>
        </w:rPr>
      </w:pPr>
      <w:r w:rsidRPr="009B2A2A">
        <w:rPr>
          <w:b/>
          <w:bCs/>
          <w:color w:val="000000" w:themeColor="text1"/>
          <w:sz w:val="24"/>
          <w:szCs w:val="24"/>
        </w:rPr>
        <w:t xml:space="preserve">Table </w:t>
      </w:r>
      <w:r w:rsidR="00060BFC" w:rsidRPr="009B2A2A">
        <w:rPr>
          <w:b/>
          <w:bCs/>
          <w:color w:val="000000" w:themeColor="text1"/>
          <w:sz w:val="24"/>
          <w:szCs w:val="24"/>
        </w:rPr>
        <w:t>2</w:t>
      </w:r>
      <w:r w:rsidRPr="009B2A2A">
        <w:rPr>
          <w:b/>
          <w:bCs/>
          <w:color w:val="000000" w:themeColor="text1"/>
          <w:sz w:val="24"/>
          <w:szCs w:val="24"/>
        </w:rPr>
        <w:t xml:space="preserve">: </w:t>
      </w:r>
      <w:r w:rsidR="00811B2B" w:rsidRPr="009B2A2A">
        <w:rPr>
          <w:b/>
          <w:bCs/>
          <w:color w:val="000000" w:themeColor="text1"/>
          <w:sz w:val="24"/>
          <w:szCs w:val="24"/>
        </w:rPr>
        <w:t>P</w:t>
      </w:r>
      <w:r w:rsidRPr="009B2A2A">
        <w:rPr>
          <w:b/>
          <w:bCs/>
          <w:color w:val="000000" w:themeColor="text1"/>
          <w:sz w:val="24"/>
          <w:szCs w:val="24"/>
        </w:rPr>
        <w:t xml:space="preserve">roject-level approach to </w:t>
      </w:r>
      <w:r w:rsidR="00811B2B" w:rsidRPr="009B2A2A">
        <w:rPr>
          <w:b/>
          <w:bCs/>
          <w:color w:val="000000" w:themeColor="text1"/>
          <w:sz w:val="24"/>
          <w:szCs w:val="24"/>
        </w:rPr>
        <w:t>disability inclusion</w:t>
      </w:r>
    </w:p>
    <w:tbl>
      <w:tblPr>
        <w:tblStyle w:val="PlainTable21"/>
        <w:tblW w:w="8711" w:type="dxa"/>
        <w:tblLook w:val="04A0" w:firstRow="1" w:lastRow="0" w:firstColumn="1" w:lastColumn="0" w:noHBand="0" w:noVBand="1"/>
      </w:tblPr>
      <w:tblGrid>
        <w:gridCol w:w="1986"/>
        <w:gridCol w:w="1558"/>
        <w:gridCol w:w="1701"/>
        <w:gridCol w:w="1559"/>
        <w:gridCol w:w="1907"/>
      </w:tblGrid>
      <w:tr w:rsidR="008C558B" w:rsidRPr="000848B2" w14:paraId="25862B70" w14:textId="566B2117" w:rsidTr="00B3793B">
        <w:trPr>
          <w:cnfStyle w:val="100000000000" w:firstRow="1" w:lastRow="0" w:firstColumn="0" w:lastColumn="0" w:oddVBand="0" w:evenVBand="0" w:oddHBand="0" w:evenHBand="0" w:firstRowFirstColumn="0" w:firstRowLastColumn="0" w:lastRowFirstColumn="0" w:lastRowLastColumn="0"/>
          <w:trHeight w:val="579"/>
          <w:tblHeader/>
        </w:trPr>
        <w:tc>
          <w:tcPr>
            <w:cnfStyle w:val="001000000000" w:firstRow="0" w:lastRow="0" w:firstColumn="1" w:lastColumn="0" w:oddVBand="0" w:evenVBand="0" w:oddHBand="0" w:evenHBand="0" w:firstRowFirstColumn="0" w:firstRowLastColumn="0" w:lastRowFirstColumn="0" w:lastRowLastColumn="0"/>
            <w:tcW w:w="1986" w:type="dxa"/>
            <w:noWrap/>
            <w:hideMark/>
          </w:tcPr>
          <w:p w14:paraId="6B69F15E" w14:textId="3A02E421" w:rsidR="008C558B" w:rsidRPr="000848B2" w:rsidRDefault="008C558B" w:rsidP="008C558B">
            <w:pPr>
              <w:suppressAutoHyphens w:val="0"/>
              <w:spacing w:after="0" w:line="240" w:lineRule="auto"/>
              <w:rPr>
                <w:rFonts w:ascii="Calibri" w:eastAsia="Times New Roman" w:hAnsi="Calibri" w:cs="Calibri"/>
                <w:b/>
                <w:bCs w:val="0"/>
                <w:color w:val="000000" w:themeColor="text1"/>
                <w:sz w:val="24"/>
                <w:szCs w:val="24"/>
                <w:lang w:val="en-AU" w:eastAsia="en-AU"/>
              </w:rPr>
            </w:pPr>
            <w:r w:rsidRPr="000848B2">
              <w:rPr>
                <w:rFonts w:ascii="Calibri" w:eastAsia="Times New Roman" w:hAnsi="Calibri" w:cs="Calibri"/>
                <w:b/>
                <w:color w:val="000000" w:themeColor="text1"/>
                <w:sz w:val="24"/>
                <w:szCs w:val="24"/>
                <w:lang w:val="en-AU" w:eastAsia="en-AU"/>
              </w:rPr>
              <w:t>Disability marker</w:t>
            </w:r>
          </w:p>
        </w:tc>
        <w:tc>
          <w:tcPr>
            <w:tcW w:w="1558" w:type="dxa"/>
          </w:tcPr>
          <w:p w14:paraId="5A5D8467" w14:textId="0908CAEF" w:rsidR="008C558B" w:rsidRPr="000848B2" w:rsidRDefault="008C558B" w:rsidP="008C558B">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0848B2">
              <w:rPr>
                <w:rFonts w:ascii="Calibri" w:eastAsia="Times New Roman" w:hAnsi="Calibri" w:cs="Calibri"/>
                <w:b/>
                <w:color w:val="000000" w:themeColor="text1"/>
                <w:sz w:val="24"/>
                <w:szCs w:val="24"/>
                <w:lang w:val="en-AU" w:eastAsia="en-AU"/>
              </w:rPr>
              <w:t># of projects</w:t>
            </w:r>
            <w:r w:rsidR="00975CB7">
              <w:rPr>
                <w:rFonts w:ascii="Calibri" w:eastAsia="Times New Roman" w:hAnsi="Calibri" w:cs="Calibri"/>
                <w:b/>
                <w:color w:val="000000" w:themeColor="text1"/>
                <w:sz w:val="24"/>
                <w:szCs w:val="24"/>
                <w:lang w:val="en-AU" w:eastAsia="en-AU"/>
              </w:rPr>
              <w:t xml:space="preserve"> 2022-23</w:t>
            </w:r>
          </w:p>
        </w:tc>
        <w:tc>
          <w:tcPr>
            <w:tcW w:w="1701" w:type="dxa"/>
          </w:tcPr>
          <w:p w14:paraId="49A2617F" w14:textId="7C196C76" w:rsidR="008C558B" w:rsidRPr="00FF0D37" w:rsidRDefault="008C558B" w:rsidP="008C558B">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0848B2">
              <w:rPr>
                <w:rFonts w:ascii="Calibri" w:eastAsia="Times New Roman" w:hAnsi="Calibri" w:cs="Calibri"/>
                <w:b/>
                <w:color w:val="000000" w:themeColor="text1"/>
                <w:sz w:val="24"/>
                <w:szCs w:val="24"/>
                <w:lang w:val="en-AU" w:eastAsia="en-AU"/>
              </w:rPr>
              <w:t>% of projects</w:t>
            </w:r>
            <w:r w:rsidR="00975CB7">
              <w:rPr>
                <w:rFonts w:ascii="Calibri" w:eastAsia="Times New Roman" w:hAnsi="Calibri" w:cs="Calibri"/>
                <w:b/>
                <w:color w:val="000000" w:themeColor="text1"/>
                <w:sz w:val="24"/>
                <w:szCs w:val="24"/>
                <w:lang w:val="en-AU" w:eastAsia="en-AU"/>
              </w:rPr>
              <w:t xml:space="preserve"> 2022-23</w:t>
            </w:r>
          </w:p>
        </w:tc>
        <w:tc>
          <w:tcPr>
            <w:tcW w:w="1559" w:type="dxa"/>
          </w:tcPr>
          <w:p w14:paraId="23A8C9A0" w14:textId="09659EE5" w:rsidR="008C558B" w:rsidRPr="00FF0D37" w:rsidRDefault="008C558B" w:rsidP="008C558B">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0848B2">
              <w:rPr>
                <w:rFonts w:ascii="Calibri" w:eastAsia="Times New Roman" w:hAnsi="Calibri" w:cs="Calibri"/>
                <w:b/>
                <w:color w:val="000000" w:themeColor="text1"/>
                <w:sz w:val="24"/>
                <w:szCs w:val="24"/>
                <w:lang w:val="en-AU" w:eastAsia="en-AU"/>
              </w:rPr>
              <w:t># of projects</w:t>
            </w:r>
            <w:r w:rsidR="00975CB7">
              <w:rPr>
                <w:rFonts w:ascii="Calibri" w:eastAsia="Times New Roman" w:hAnsi="Calibri" w:cs="Calibri"/>
                <w:b/>
                <w:color w:val="000000" w:themeColor="text1"/>
                <w:sz w:val="24"/>
                <w:szCs w:val="24"/>
                <w:lang w:val="en-AU" w:eastAsia="en-AU"/>
              </w:rPr>
              <w:t xml:space="preserve"> 2023-24</w:t>
            </w:r>
          </w:p>
        </w:tc>
        <w:tc>
          <w:tcPr>
            <w:tcW w:w="1907" w:type="dxa"/>
          </w:tcPr>
          <w:p w14:paraId="66E1575B" w14:textId="3DD1D8D6" w:rsidR="008C558B" w:rsidRPr="00FF0D37" w:rsidRDefault="008C558B" w:rsidP="008C558B">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val="0"/>
                <w:color w:val="000000" w:themeColor="text1"/>
                <w:sz w:val="24"/>
                <w:szCs w:val="24"/>
                <w:lang w:val="en-AU" w:eastAsia="en-AU"/>
              </w:rPr>
            </w:pPr>
            <w:r w:rsidRPr="000848B2">
              <w:rPr>
                <w:rFonts w:ascii="Calibri" w:eastAsia="Times New Roman" w:hAnsi="Calibri" w:cs="Calibri"/>
                <w:b/>
                <w:color w:val="000000" w:themeColor="text1"/>
                <w:sz w:val="24"/>
                <w:szCs w:val="24"/>
                <w:lang w:val="en-AU" w:eastAsia="en-AU"/>
              </w:rPr>
              <w:t>% of projects</w:t>
            </w:r>
            <w:r w:rsidR="00975CB7">
              <w:rPr>
                <w:rFonts w:ascii="Calibri" w:eastAsia="Times New Roman" w:hAnsi="Calibri" w:cs="Calibri"/>
                <w:b/>
                <w:color w:val="000000" w:themeColor="text1"/>
                <w:sz w:val="24"/>
                <w:szCs w:val="24"/>
                <w:lang w:val="en-AU" w:eastAsia="en-AU"/>
              </w:rPr>
              <w:t xml:space="preserve"> 2023-24</w:t>
            </w:r>
          </w:p>
        </w:tc>
      </w:tr>
      <w:tr w:rsidR="008C558B" w:rsidRPr="000848B2" w14:paraId="29C5A222" w14:textId="33C0EC69" w:rsidTr="007D49F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273D2C66" w14:textId="77777777" w:rsidR="008C558B" w:rsidRPr="000848B2" w:rsidRDefault="008C558B" w:rsidP="008C558B">
            <w:pPr>
              <w:suppressAutoHyphens w:val="0"/>
              <w:spacing w:after="0" w:line="240" w:lineRule="auto"/>
              <w:rPr>
                <w:rFonts w:ascii="Calibri" w:eastAsia="Times New Roman" w:hAnsi="Calibri" w:cs="Calibri"/>
                <w:b w:val="0"/>
                <w:bCs w:val="0"/>
                <w:color w:val="000000" w:themeColor="text1"/>
                <w:sz w:val="24"/>
                <w:szCs w:val="24"/>
                <w:lang w:val="en-AU" w:eastAsia="en-AU"/>
              </w:rPr>
            </w:pPr>
            <w:r w:rsidRPr="000848B2">
              <w:rPr>
                <w:rFonts w:ascii="Calibri" w:eastAsia="Times New Roman" w:hAnsi="Calibri" w:cs="Calibri"/>
                <w:color w:val="000000" w:themeColor="text1"/>
                <w:sz w:val="24"/>
                <w:szCs w:val="24"/>
                <w:lang w:val="en-AU" w:eastAsia="en-AU"/>
              </w:rPr>
              <w:t>Principal</w:t>
            </w:r>
          </w:p>
        </w:tc>
        <w:tc>
          <w:tcPr>
            <w:tcW w:w="1558" w:type="dxa"/>
            <w:noWrap/>
          </w:tcPr>
          <w:p w14:paraId="70DD0E2F" w14:textId="4CE4A322" w:rsidR="008C558B" w:rsidRPr="00DA63CC" w:rsidRDefault="00086BE0" w:rsidP="007D49FE">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16</w:t>
            </w:r>
          </w:p>
        </w:tc>
        <w:tc>
          <w:tcPr>
            <w:tcW w:w="1701" w:type="dxa"/>
          </w:tcPr>
          <w:p w14:paraId="3F9FEDBF" w14:textId="2D836559" w:rsidR="008C558B" w:rsidRPr="00DA63CC" w:rsidRDefault="00086BE0"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4</w:t>
            </w:r>
          </w:p>
        </w:tc>
        <w:tc>
          <w:tcPr>
            <w:tcW w:w="1559" w:type="dxa"/>
          </w:tcPr>
          <w:p w14:paraId="522A7E15" w14:textId="3F69FE5B" w:rsidR="008C558B" w:rsidRPr="00DA63CC" w:rsidRDefault="00133A03"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19</w:t>
            </w:r>
          </w:p>
        </w:tc>
        <w:tc>
          <w:tcPr>
            <w:tcW w:w="1907" w:type="dxa"/>
          </w:tcPr>
          <w:p w14:paraId="0B3A3D75" w14:textId="5C9C4E1B" w:rsidR="008C558B" w:rsidRPr="00DA63CC" w:rsidRDefault="00DA63CC"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5</w:t>
            </w:r>
          </w:p>
        </w:tc>
      </w:tr>
      <w:tr w:rsidR="008C558B" w:rsidRPr="000848B2" w14:paraId="3657E1BD" w14:textId="7963DDF6" w:rsidTr="00CB37C7">
        <w:trPr>
          <w:trHeight w:val="5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1DE9C0CE" w14:textId="77777777" w:rsidR="008C558B" w:rsidRPr="000848B2" w:rsidRDefault="008C558B" w:rsidP="008C558B">
            <w:pPr>
              <w:suppressAutoHyphens w:val="0"/>
              <w:spacing w:after="0" w:line="240" w:lineRule="auto"/>
              <w:rPr>
                <w:rFonts w:ascii="Calibri" w:eastAsia="Times New Roman" w:hAnsi="Calibri" w:cs="Calibri"/>
                <w:b w:val="0"/>
                <w:bCs w:val="0"/>
                <w:color w:val="000000" w:themeColor="text1"/>
                <w:sz w:val="24"/>
                <w:szCs w:val="24"/>
                <w:lang w:val="en-AU" w:eastAsia="en-AU"/>
              </w:rPr>
            </w:pPr>
            <w:r w:rsidRPr="000848B2">
              <w:rPr>
                <w:rFonts w:ascii="Calibri" w:eastAsia="Times New Roman" w:hAnsi="Calibri" w:cs="Calibri"/>
                <w:color w:val="000000" w:themeColor="text1"/>
                <w:sz w:val="24"/>
                <w:szCs w:val="24"/>
                <w:lang w:val="en-AU" w:eastAsia="en-AU"/>
              </w:rPr>
              <w:t>Significant</w:t>
            </w:r>
          </w:p>
        </w:tc>
        <w:tc>
          <w:tcPr>
            <w:tcW w:w="1558" w:type="dxa"/>
            <w:noWrap/>
          </w:tcPr>
          <w:p w14:paraId="2B965922" w14:textId="7F48AFF8" w:rsidR="008C558B" w:rsidRPr="00DA63CC" w:rsidRDefault="00E103FB" w:rsidP="007D49FE">
            <w:pPr>
              <w:suppressAutoHyphens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276</w:t>
            </w:r>
          </w:p>
        </w:tc>
        <w:tc>
          <w:tcPr>
            <w:tcW w:w="1701" w:type="dxa"/>
          </w:tcPr>
          <w:p w14:paraId="35C8755F" w14:textId="24D3D602" w:rsidR="008C558B" w:rsidRPr="00DA63CC" w:rsidRDefault="005B53E5" w:rsidP="008C558B">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69</w:t>
            </w:r>
          </w:p>
        </w:tc>
        <w:tc>
          <w:tcPr>
            <w:tcW w:w="1559" w:type="dxa"/>
          </w:tcPr>
          <w:p w14:paraId="7EEA96F5" w14:textId="6C4888EE" w:rsidR="008C558B" w:rsidRPr="00DA63CC" w:rsidRDefault="00DA63CC" w:rsidP="008C558B">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267</w:t>
            </w:r>
          </w:p>
        </w:tc>
        <w:tc>
          <w:tcPr>
            <w:tcW w:w="1907" w:type="dxa"/>
          </w:tcPr>
          <w:p w14:paraId="07471E55" w14:textId="40204647" w:rsidR="008C558B" w:rsidRPr="00DA63CC" w:rsidRDefault="00DA63CC" w:rsidP="008C558B">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70</w:t>
            </w:r>
          </w:p>
        </w:tc>
      </w:tr>
      <w:tr w:rsidR="008C558B" w:rsidRPr="000848B2" w14:paraId="0603F289" w14:textId="3685000A" w:rsidTr="00CB37C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986" w:type="dxa"/>
            <w:noWrap/>
          </w:tcPr>
          <w:p w14:paraId="19EE9FCC" w14:textId="07B9A4EE" w:rsidR="008C558B" w:rsidRPr="00DF173F" w:rsidRDefault="008C558B" w:rsidP="008C558B">
            <w:pPr>
              <w:suppressAutoHyphens w:val="0"/>
              <w:spacing w:after="0" w:line="240" w:lineRule="auto"/>
              <w:rPr>
                <w:rFonts w:ascii="Calibri" w:eastAsia="Times New Roman" w:hAnsi="Calibri" w:cs="Calibri"/>
                <w:b w:val="0"/>
                <w:bCs w:val="0"/>
                <w:i/>
                <w:iCs/>
                <w:color w:val="000000" w:themeColor="text1"/>
                <w:sz w:val="24"/>
                <w:szCs w:val="24"/>
                <w:lang w:val="en-AU" w:eastAsia="en-AU"/>
              </w:rPr>
            </w:pPr>
            <w:r w:rsidRPr="00DF173F">
              <w:rPr>
                <w:rFonts w:ascii="Calibri" w:eastAsia="Times New Roman" w:hAnsi="Calibri" w:cs="Calibri"/>
                <w:b w:val="0"/>
                <w:bCs w:val="0"/>
                <w:i/>
                <w:iCs/>
                <w:color w:val="000000" w:themeColor="text1"/>
                <w:sz w:val="24"/>
                <w:szCs w:val="24"/>
                <w:lang w:val="en-AU" w:eastAsia="en-AU"/>
              </w:rPr>
              <w:t>Twin tracked</w:t>
            </w:r>
          </w:p>
        </w:tc>
        <w:tc>
          <w:tcPr>
            <w:tcW w:w="1558" w:type="dxa"/>
            <w:noWrap/>
          </w:tcPr>
          <w:p w14:paraId="72752162" w14:textId="19A3B4D8" w:rsidR="008C558B" w:rsidRPr="00DA63CC" w:rsidRDefault="00E103FB" w:rsidP="007D49FE">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90</w:t>
            </w:r>
          </w:p>
        </w:tc>
        <w:tc>
          <w:tcPr>
            <w:tcW w:w="1701" w:type="dxa"/>
          </w:tcPr>
          <w:p w14:paraId="6FA8D225" w14:textId="6DC5D9EC" w:rsidR="008C558B" w:rsidRPr="00DA63CC" w:rsidRDefault="00015A59"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22</w:t>
            </w:r>
          </w:p>
        </w:tc>
        <w:tc>
          <w:tcPr>
            <w:tcW w:w="1559" w:type="dxa"/>
          </w:tcPr>
          <w:p w14:paraId="518298F5" w14:textId="39630F71" w:rsidR="008C558B" w:rsidRPr="00DA63CC" w:rsidRDefault="00DA63CC"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98</w:t>
            </w:r>
          </w:p>
        </w:tc>
        <w:tc>
          <w:tcPr>
            <w:tcW w:w="1907" w:type="dxa"/>
          </w:tcPr>
          <w:p w14:paraId="275F4F82" w14:textId="58851D66" w:rsidR="008C558B" w:rsidRPr="00DA63CC" w:rsidRDefault="00DA63CC"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26</w:t>
            </w:r>
          </w:p>
        </w:tc>
      </w:tr>
      <w:tr w:rsidR="008C558B" w:rsidRPr="000848B2" w14:paraId="6B8FA434" w14:textId="4D05D7FF" w:rsidTr="00CB37C7">
        <w:trPr>
          <w:trHeight w:val="500"/>
        </w:trPr>
        <w:tc>
          <w:tcPr>
            <w:cnfStyle w:val="001000000000" w:firstRow="0" w:lastRow="0" w:firstColumn="1" w:lastColumn="0" w:oddVBand="0" w:evenVBand="0" w:oddHBand="0" w:evenHBand="0" w:firstRowFirstColumn="0" w:firstRowLastColumn="0" w:lastRowFirstColumn="0" w:lastRowLastColumn="0"/>
            <w:tcW w:w="1986" w:type="dxa"/>
            <w:noWrap/>
          </w:tcPr>
          <w:p w14:paraId="189E0964" w14:textId="3F8E625F" w:rsidR="008C558B" w:rsidRPr="00DF173F" w:rsidRDefault="008C558B" w:rsidP="008C558B">
            <w:pPr>
              <w:suppressAutoHyphens w:val="0"/>
              <w:spacing w:after="0" w:line="240" w:lineRule="auto"/>
              <w:rPr>
                <w:rFonts w:ascii="Calibri" w:eastAsia="Times New Roman" w:hAnsi="Calibri" w:cs="Calibri"/>
                <w:b w:val="0"/>
                <w:bCs w:val="0"/>
                <w:i/>
                <w:iCs/>
                <w:color w:val="000000" w:themeColor="text1"/>
                <w:sz w:val="24"/>
                <w:szCs w:val="24"/>
                <w:lang w:val="en-AU" w:eastAsia="en-AU"/>
              </w:rPr>
            </w:pPr>
            <w:r w:rsidRPr="00DF173F">
              <w:rPr>
                <w:rFonts w:ascii="Calibri" w:eastAsia="Times New Roman" w:hAnsi="Calibri" w:cs="Calibri"/>
                <w:b w:val="0"/>
                <w:bCs w:val="0"/>
                <w:i/>
                <w:iCs/>
                <w:color w:val="000000" w:themeColor="text1"/>
                <w:sz w:val="24"/>
                <w:szCs w:val="24"/>
                <w:lang w:val="en-AU" w:eastAsia="en-AU"/>
              </w:rPr>
              <w:t>Mainstream</w:t>
            </w:r>
          </w:p>
        </w:tc>
        <w:tc>
          <w:tcPr>
            <w:tcW w:w="1558" w:type="dxa"/>
            <w:noWrap/>
          </w:tcPr>
          <w:p w14:paraId="01DB042B" w14:textId="1F78D7AF" w:rsidR="008C558B" w:rsidRPr="00DA63CC" w:rsidRDefault="00E103FB" w:rsidP="007D49FE">
            <w:pPr>
              <w:suppressAutoHyphens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186</w:t>
            </w:r>
          </w:p>
        </w:tc>
        <w:tc>
          <w:tcPr>
            <w:tcW w:w="1701" w:type="dxa"/>
          </w:tcPr>
          <w:p w14:paraId="6A4B7256" w14:textId="5A4632B6" w:rsidR="008C558B" w:rsidRPr="00DA63CC" w:rsidRDefault="00015A59" w:rsidP="008C558B">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4</w:t>
            </w:r>
            <w:r w:rsidR="00DD1B96" w:rsidRPr="00DA63CC">
              <w:rPr>
                <w:rFonts w:ascii="Calibri" w:eastAsia="Times New Roman" w:hAnsi="Calibri" w:cs="Calibri"/>
                <w:color w:val="000000" w:themeColor="text1"/>
                <w:sz w:val="24"/>
                <w:szCs w:val="24"/>
                <w:lang w:val="en-AU" w:eastAsia="en-AU"/>
              </w:rPr>
              <w:t>7</w:t>
            </w:r>
          </w:p>
        </w:tc>
        <w:tc>
          <w:tcPr>
            <w:tcW w:w="1559" w:type="dxa"/>
          </w:tcPr>
          <w:p w14:paraId="108C6E46" w14:textId="5ED35C61" w:rsidR="008C558B" w:rsidRPr="00DA63CC" w:rsidRDefault="00DA63CC" w:rsidP="008C558B">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169</w:t>
            </w:r>
          </w:p>
        </w:tc>
        <w:tc>
          <w:tcPr>
            <w:tcW w:w="1907" w:type="dxa"/>
          </w:tcPr>
          <w:p w14:paraId="743C257B" w14:textId="0D09AEBA" w:rsidR="008C558B" w:rsidRPr="00DA63CC" w:rsidRDefault="00DA63CC" w:rsidP="008C558B">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44</w:t>
            </w:r>
          </w:p>
        </w:tc>
      </w:tr>
      <w:tr w:rsidR="008C558B" w:rsidRPr="000848B2" w14:paraId="54526030" w14:textId="230C1481" w:rsidTr="00CB37C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6" w:type="dxa"/>
            <w:noWrap/>
            <w:hideMark/>
          </w:tcPr>
          <w:p w14:paraId="647BD99D" w14:textId="77777777" w:rsidR="008C558B" w:rsidRPr="000848B2" w:rsidRDefault="008C558B" w:rsidP="008C558B">
            <w:pPr>
              <w:suppressAutoHyphens w:val="0"/>
              <w:spacing w:after="0" w:line="240" w:lineRule="auto"/>
              <w:rPr>
                <w:rFonts w:ascii="Calibri" w:eastAsia="Times New Roman" w:hAnsi="Calibri" w:cs="Calibri"/>
                <w:b w:val="0"/>
                <w:bCs w:val="0"/>
                <w:color w:val="000000" w:themeColor="text1"/>
                <w:sz w:val="24"/>
                <w:szCs w:val="24"/>
                <w:lang w:val="en-AU" w:eastAsia="en-AU"/>
              </w:rPr>
            </w:pPr>
            <w:r w:rsidRPr="000848B2">
              <w:rPr>
                <w:rFonts w:ascii="Calibri" w:eastAsia="Times New Roman" w:hAnsi="Calibri" w:cs="Calibri"/>
                <w:color w:val="000000" w:themeColor="text1"/>
                <w:sz w:val="24"/>
                <w:szCs w:val="24"/>
                <w:lang w:val="en-AU" w:eastAsia="en-AU"/>
              </w:rPr>
              <w:t>Not Targeted</w:t>
            </w:r>
          </w:p>
        </w:tc>
        <w:tc>
          <w:tcPr>
            <w:tcW w:w="1558" w:type="dxa"/>
            <w:noWrap/>
          </w:tcPr>
          <w:p w14:paraId="7E584096" w14:textId="4F51B774" w:rsidR="008C558B" w:rsidRPr="00DA63CC" w:rsidRDefault="00E103FB" w:rsidP="007D49FE">
            <w:pPr>
              <w:suppressAutoHyphens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110</w:t>
            </w:r>
          </w:p>
        </w:tc>
        <w:tc>
          <w:tcPr>
            <w:tcW w:w="1701" w:type="dxa"/>
          </w:tcPr>
          <w:p w14:paraId="7CF37A08" w14:textId="5214533F" w:rsidR="008C558B" w:rsidRPr="00DA63CC" w:rsidRDefault="00E103FB"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27</w:t>
            </w:r>
          </w:p>
        </w:tc>
        <w:tc>
          <w:tcPr>
            <w:tcW w:w="1559" w:type="dxa"/>
          </w:tcPr>
          <w:p w14:paraId="3E5E32D0" w14:textId="2890F88F" w:rsidR="008C558B" w:rsidRPr="00DA63CC" w:rsidRDefault="00DA63CC"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96</w:t>
            </w:r>
          </w:p>
        </w:tc>
        <w:tc>
          <w:tcPr>
            <w:tcW w:w="1907" w:type="dxa"/>
          </w:tcPr>
          <w:p w14:paraId="217B6990" w14:textId="3331DD15" w:rsidR="008C558B" w:rsidRPr="00DA63CC" w:rsidRDefault="00DA63CC" w:rsidP="008C558B">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4"/>
                <w:szCs w:val="24"/>
                <w:lang w:val="en-AU" w:eastAsia="en-AU"/>
              </w:rPr>
            </w:pPr>
            <w:r w:rsidRPr="00DA63CC">
              <w:rPr>
                <w:rFonts w:ascii="Calibri" w:eastAsia="Times New Roman" w:hAnsi="Calibri" w:cs="Calibri"/>
                <w:color w:val="000000" w:themeColor="text1"/>
                <w:sz w:val="24"/>
                <w:szCs w:val="24"/>
                <w:lang w:val="en-AU" w:eastAsia="en-AU"/>
              </w:rPr>
              <w:t>25</w:t>
            </w:r>
          </w:p>
        </w:tc>
      </w:tr>
    </w:tbl>
    <w:p w14:paraId="622A1372" w14:textId="77777777" w:rsidR="005C7EEC" w:rsidRDefault="005C7EEC" w:rsidP="005C7EEC">
      <w:pPr>
        <w:spacing w:before="240" w:after="240"/>
        <w:rPr>
          <w:color w:val="000000" w:themeColor="text1"/>
          <w:sz w:val="24"/>
          <w:szCs w:val="24"/>
          <w:lang w:val="en-AU"/>
        </w:rPr>
      </w:pPr>
      <w:r w:rsidRPr="00F6680A">
        <w:rPr>
          <w:color w:val="000000" w:themeColor="text1"/>
          <w:sz w:val="24"/>
          <w:szCs w:val="24"/>
          <w:lang w:val="en-AU"/>
        </w:rPr>
        <w:t xml:space="preserve">In 2024, DFAT commissioned a review to explore barriers and opportunities for integrating disability equity and inclusion across </w:t>
      </w:r>
      <w:r>
        <w:rPr>
          <w:color w:val="000000" w:themeColor="text1"/>
          <w:sz w:val="24"/>
          <w:szCs w:val="24"/>
          <w:lang w:val="en-AU"/>
        </w:rPr>
        <w:t xml:space="preserve">the </w:t>
      </w:r>
      <w:r w:rsidRPr="00F6680A">
        <w:rPr>
          <w:color w:val="000000" w:themeColor="text1"/>
          <w:sz w:val="24"/>
          <w:szCs w:val="24"/>
          <w:lang w:val="en-AU"/>
        </w:rPr>
        <w:t>ANCP. Th</w:t>
      </w:r>
      <w:r>
        <w:rPr>
          <w:color w:val="000000" w:themeColor="text1"/>
          <w:sz w:val="24"/>
          <w:szCs w:val="24"/>
          <w:lang w:val="en-AU"/>
        </w:rPr>
        <w:t>e</w:t>
      </w:r>
      <w:r w:rsidRPr="00F6680A">
        <w:rPr>
          <w:color w:val="000000" w:themeColor="text1"/>
          <w:sz w:val="24"/>
          <w:szCs w:val="24"/>
          <w:lang w:val="en-AU"/>
        </w:rPr>
        <w:t xml:space="preserve"> </w:t>
      </w:r>
      <w:r>
        <w:rPr>
          <w:color w:val="000000" w:themeColor="text1"/>
          <w:sz w:val="24"/>
          <w:szCs w:val="24"/>
          <w:lang w:val="en-AU"/>
        </w:rPr>
        <w:t>review</w:t>
      </w:r>
      <w:r w:rsidRPr="00F6680A">
        <w:rPr>
          <w:color w:val="000000" w:themeColor="text1"/>
          <w:sz w:val="24"/>
          <w:szCs w:val="24"/>
          <w:lang w:val="en-AU"/>
        </w:rPr>
        <w:t xml:space="preserve"> </w:t>
      </w:r>
      <w:r>
        <w:rPr>
          <w:color w:val="000000" w:themeColor="text1"/>
          <w:sz w:val="24"/>
          <w:szCs w:val="24"/>
          <w:lang w:val="en-AU"/>
        </w:rPr>
        <w:t xml:space="preserve">found that </w:t>
      </w:r>
      <w:r w:rsidRPr="00142100">
        <w:rPr>
          <w:color w:val="000000" w:themeColor="text1"/>
          <w:sz w:val="24"/>
          <w:szCs w:val="24"/>
          <w:lang w:val="en-AU"/>
        </w:rPr>
        <w:t>accredited ANCP NGOs are largely demonstrating strong and active commitment to disability equity within projects and are working to promote inclusive practice. Most agencies are showing moderate and improving performance on disability equity. Reflecting the wider sector, disability equity is integrated into the thinking and practice of ANCP NGOs</w:t>
      </w:r>
      <w:r>
        <w:rPr>
          <w:color w:val="000000" w:themeColor="text1"/>
          <w:sz w:val="24"/>
          <w:szCs w:val="24"/>
          <w:lang w:val="en-AU"/>
        </w:rPr>
        <w:t xml:space="preserve">. </w:t>
      </w:r>
      <w:r w:rsidRPr="00142100">
        <w:rPr>
          <w:color w:val="000000" w:themeColor="text1"/>
          <w:sz w:val="24"/>
          <w:szCs w:val="24"/>
          <w:lang w:val="en-AU"/>
        </w:rPr>
        <w:t>Some are engaging with OPDs; however, this remains an area of weakness.</w:t>
      </w:r>
      <w:r>
        <w:rPr>
          <w:color w:val="000000" w:themeColor="text1"/>
          <w:sz w:val="24"/>
          <w:szCs w:val="24"/>
          <w:lang w:val="en-AU"/>
        </w:rPr>
        <w:t xml:space="preserve"> </w:t>
      </w:r>
    </w:p>
    <w:p w14:paraId="0338F5E0" w14:textId="033B8E48" w:rsidR="005C7EEC" w:rsidRPr="00142100" w:rsidRDefault="005C7EEC" w:rsidP="005C7EEC">
      <w:pPr>
        <w:spacing w:before="240" w:after="240"/>
        <w:rPr>
          <w:color w:val="000000" w:themeColor="text1"/>
          <w:sz w:val="24"/>
          <w:szCs w:val="24"/>
          <w:lang w:val="en-AU"/>
        </w:rPr>
      </w:pPr>
      <w:r w:rsidRPr="009A5194">
        <w:rPr>
          <w:color w:val="000000" w:themeColor="text1"/>
          <w:sz w:val="24"/>
          <w:szCs w:val="24"/>
          <w:lang w:val="en-AU"/>
        </w:rPr>
        <w:t>While core principles required for disability equity should be consistent across projects, the diversity within</w:t>
      </w:r>
      <w:r>
        <w:rPr>
          <w:color w:val="000000" w:themeColor="text1"/>
          <w:sz w:val="24"/>
          <w:szCs w:val="24"/>
          <w:lang w:val="en-AU"/>
        </w:rPr>
        <w:t xml:space="preserve"> the</w:t>
      </w:r>
      <w:r w:rsidRPr="009A5194">
        <w:rPr>
          <w:color w:val="000000" w:themeColor="text1"/>
          <w:sz w:val="24"/>
          <w:szCs w:val="24"/>
          <w:lang w:val="en-AU"/>
        </w:rPr>
        <w:t xml:space="preserve"> ANCP means the practices needed to implement these can differ widely across projects. What works for large agencies may be impractical for small agencies; what is effective in densely populated urban contexts may not be effective in remote and sparsely populated islands. Coupled with this is the fact that best practice in disability equity is still emerging – the sector is to some extent ‘learning as </w:t>
      </w:r>
      <w:r>
        <w:rPr>
          <w:color w:val="000000" w:themeColor="text1"/>
          <w:sz w:val="24"/>
          <w:szCs w:val="24"/>
          <w:lang w:val="en-AU"/>
        </w:rPr>
        <w:t>we</w:t>
      </w:r>
      <w:r w:rsidRPr="009A5194">
        <w:rPr>
          <w:color w:val="000000" w:themeColor="text1"/>
          <w:sz w:val="24"/>
          <w:szCs w:val="24"/>
          <w:lang w:val="en-AU"/>
        </w:rPr>
        <w:t xml:space="preserve"> go’. Other key factors impacting achievement on disability equity include the availability of funding, resources and technical advice; the need to address multiple cross-cutting issues within projects; support from DFAT Posts; and capacity gaps on disability equity.</w:t>
      </w:r>
    </w:p>
    <w:p w14:paraId="3B3D56B6" w14:textId="3DD9C488" w:rsidR="005C7EEC" w:rsidRDefault="005C7EEC" w:rsidP="005C7EEC">
      <w:pPr>
        <w:spacing w:before="240" w:after="240"/>
        <w:rPr>
          <w:color w:val="000000" w:themeColor="text1"/>
          <w:sz w:val="24"/>
          <w:szCs w:val="24"/>
          <w:lang w:val="en-AU"/>
        </w:rPr>
      </w:pPr>
      <w:r>
        <w:rPr>
          <w:color w:val="000000" w:themeColor="text1"/>
          <w:sz w:val="24"/>
          <w:szCs w:val="24"/>
          <w:lang w:val="en-AU"/>
        </w:rPr>
        <w:t xml:space="preserve">In 2025, </w:t>
      </w:r>
      <w:r w:rsidRPr="003B28BB">
        <w:rPr>
          <w:color w:val="000000" w:themeColor="text1"/>
          <w:sz w:val="24"/>
          <w:szCs w:val="24"/>
          <w:lang w:val="en-AU"/>
        </w:rPr>
        <w:t>DFAT will work with ACFID to ensure capacity building on disability inclusion programming remains a priority for ANCP NGOs. This aligns with the commitment in Australia’s International Development Policy to support all people to fulfil their potential</w:t>
      </w:r>
      <w:r>
        <w:rPr>
          <w:color w:val="000000" w:themeColor="text1"/>
          <w:sz w:val="24"/>
          <w:szCs w:val="24"/>
          <w:lang w:val="en-AU"/>
        </w:rPr>
        <w:t xml:space="preserve">, </w:t>
      </w:r>
      <w:r w:rsidR="00800BAA">
        <w:rPr>
          <w:color w:val="000000" w:themeColor="text1"/>
          <w:sz w:val="24"/>
          <w:szCs w:val="24"/>
          <w:lang w:val="en-AU"/>
        </w:rPr>
        <w:t xml:space="preserve">which is reflected in </w:t>
      </w:r>
      <w:r>
        <w:rPr>
          <w:color w:val="000000" w:themeColor="text1"/>
          <w:sz w:val="24"/>
          <w:szCs w:val="24"/>
          <w:lang w:val="en-AU"/>
        </w:rPr>
        <w:t xml:space="preserve">Australia’s </w:t>
      </w:r>
      <w:r w:rsidRPr="00970153">
        <w:rPr>
          <w:color w:val="000000" w:themeColor="text1"/>
          <w:sz w:val="24"/>
          <w:szCs w:val="24"/>
          <w:lang w:val="en-AU"/>
        </w:rPr>
        <w:t>International Disability Equity and Rights Strategy</w:t>
      </w:r>
      <w:r>
        <w:rPr>
          <w:color w:val="000000" w:themeColor="text1"/>
          <w:sz w:val="24"/>
          <w:szCs w:val="24"/>
          <w:lang w:val="en-AU"/>
        </w:rPr>
        <w:t>, published in November 2024.</w:t>
      </w:r>
    </w:p>
    <w:p w14:paraId="2E79FCEA" w14:textId="04A3E5D4" w:rsidR="00725F4E" w:rsidRPr="007D0F80" w:rsidRDefault="00855B58" w:rsidP="002A2E82">
      <w:pPr>
        <w:pStyle w:val="Heading2"/>
        <w:spacing w:before="0"/>
      </w:pPr>
      <w:r w:rsidRPr="007D0F80">
        <w:lastRenderedPageBreak/>
        <w:t>C</w:t>
      </w:r>
      <w:r w:rsidR="00725F4E" w:rsidRPr="007D0F80">
        <w:t xml:space="preserve">limate </w:t>
      </w:r>
      <w:r w:rsidR="00FD61EA">
        <w:t>change</w:t>
      </w:r>
    </w:p>
    <w:p w14:paraId="7066B0F1" w14:textId="7A62EBBB" w:rsidR="000169ED" w:rsidRDefault="00EC7FE0" w:rsidP="003B35B8">
      <w:pPr>
        <w:rPr>
          <w:color w:val="000000" w:themeColor="text1"/>
          <w:sz w:val="24"/>
          <w:szCs w:val="24"/>
          <w:lang w:val="en-AU"/>
        </w:rPr>
      </w:pPr>
      <w:r w:rsidRPr="007D0F80">
        <w:rPr>
          <w:color w:val="000000" w:themeColor="text1"/>
          <w:sz w:val="24"/>
          <w:szCs w:val="24"/>
          <w:lang w:val="en-AU"/>
        </w:rPr>
        <w:t xml:space="preserve">ANCP NGOs are playing an increasing role in climate change action </w:t>
      </w:r>
      <w:r w:rsidR="005A0DBE" w:rsidRPr="007D0F80">
        <w:rPr>
          <w:color w:val="000000" w:themeColor="text1"/>
          <w:sz w:val="24"/>
          <w:szCs w:val="24"/>
          <w:lang w:val="en-AU"/>
        </w:rPr>
        <w:t>in the Australian development program</w:t>
      </w:r>
      <w:r w:rsidRPr="007D0F80">
        <w:rPr>
          <w:color w:val="000000" w:themeColor="text1"/>
          <w:sz w:val="24"/>
          <w:szCs w:val="24"/>
          <w:lang w:val="en-AU"/>
        </w:rPr>
        <w:t xml:space="preserve">. This is reflected in </w:t>
      </w:r>
      <w:r w:rsidR="009B4DBA" w:rsidRPr="007D0F80">
        <w:rPr>
          <w:color w:val="000000" w:themeColor="text1"/>
          <w:sz w:val="24"/>
          <w:szCs w:val="24"/>
          <w:lang w:val="en-AU"/>
        </w:rPr>
        <w:t xml:space="preserve">increasing ANCP contribution </w:t>
      </w:r>
      <w:r w:rsidRPr="007D0F80">
        <w:rPr>
          <w:color w:val="000000" w:themeColor="text1"/>
          <w:sz w:val="24"/>
          <w:szCs w:val="24"/>
          <w:lang w:val="en-AU"/>
        </w:rPr>
        <w:t>to climate finance over time</w:t>
      </w:r>
      <w:r w:rsidR="005A0DBE" w:rsidRPr="007D0F80">
        <w:rPr>
          <w:color w:val="000000" w:themeColor="text1"/>
          <w:sz w:val="24"/>
          <w:szCs w:val="24"/>
          <w:lang w:val="en-AU"/>
        </w:rPr>
        <w:t xml:space="preserve"> (Graph </w:t>
      </w:r>
      <w:r w:rsidR="008B6F36">
        <w:rPr>
          <w:color w:val="000000" w:themeColor="text1"/>
          <w:sz w:val="24"/>
          <w:szCs w:val="24"/>
          <w:lang w:val="en-AU"/>
        </w:rPr>
        <w:t>3</w:t>
      </w:r>
      <w:r w:rsidR="005A0DBE" w:rsidRPr="007D0F80">
        <w:rPr>
          <w:color w:val="000000" w:themeColor="text1"/>
          <w:sz w:val="24"/>
          <w:szCs w:val="24"/>
          <w:lang w:val="en-AU"/>
        </w:rPr>
        <w:t>)</w:t>
      </w:r>
      <w:r w:rsidR="00A82651" w:rsidRPr="007D0F80">
        <w:rPr>
          <w:rStyle w:val="FootnoteReference"/>
          <w:color w:val="000000" w:themeColor="text1"/>
          <w:sz w:val="24"/>
          <w:szCs w:val="24"/>
          <w:lang w:val="en-AU"/>
        </w:rPr>
        <w:footnoteReference w:id="1"/>
      </w:r>
      <w:r w:rsidRPr="007D0F80">
        <w:rPr>
          <w:color w:val="000000" w:themeColor="text1"/>
          <w:sz w:val="24"/>
          <w:szCs w:val="24"/>
          <w:lang w:val="en-AU"/>
        </w:rPr>
        <w:t>.</w:t>
      </w:r>
      <w:r w:rsidR="005A0DBE" w:rsidRPr="007D0F80">
        <w:rPr>
          <w:color w:val="000000" w:themeColor="text1"/>
          <w:sz w:val="24"/>
          <w:szCs w:val="24"/>
          <w:lang w:val="en-AU"/>
        </w:rPr>
        <w:t xml:space="preserve"> </w:t>
      </w:r>
    </w:p>
    <w:p w14:paraId="3E774303" w14:textId="2B42BFF7" w:rsidR="000B18EC" w:rsidRDefault="001A4A2C" w:rsidP="003B35B8">
      <w:pPr>
        <w:rPr>
          <w:color w:val="000000" w:themeColor="text1"/>
          <w:sz w:val="24"/>
          <w:szCs w:val="24"/>
          <w:lang w:val="en-AU"/>
        </w:rPr>
      </w:pPr>
      <w:r w:rsidRPr="007D0F80">
        <w:rPr>
          <w:color w:val="000000" w:themeColor="text1"/>
          <w:sz w:val="24"/>
          <w:szCs w:val="24"/>
          <w:lang w:val="en-AU"/>
        </w:rPr>
        <w:t>In 202</w:t>
      </w:r>
      <w:r w:rsidR="00237A52">
        <w:rPr>
          <w:color w:val="000000" w:themeColor="text1"/>
          <w:sz w:val="24"/>
          <w:szCs w:val="24"/>
          <w:lang w:val="en-AU"/>
        </w:rPr>
        <w:t>3</w:t>
      </w:r>
      <w:r w:rsidRPr="007D0F80">
        <w:rPr>
          <w:color w:val="000000" w:themeColor="text1"/>
          <w:sz w:val="24"/>
          <w:szCs w:val="24"/>
          <w:lang w:val="en-AU"/>
        </w:rPr>
        <w:t>-2</w:t>
      </w:r>
      <w:r w:rsidR="00237A52">
        <w:rPr>
          <w:color w:val="000000" w:themeColor="text1"/>
          <w:sz w:val="24"/>
          <w:szCs w:val="24"/>
          <w:lang w:val="en-AU"/>
        </w:rPr>
        <w:t>4</w:t>
      </w:r>
      <w:r w:rsidR="009F4979" w:rsidRPr="007D0F80">
        <w:rPr>
          <w:color w:val="000000" w:themeColor="text1"/>
          <w:sz w:val="24"/>
          <w:szCs w:val="24"/>
          <w:lang w:val="en-AU"/>
        </w:rPr>
        <w:t xml:space="preserve">, </w:t>
      </w:r>
      <w:r w:rsidR="00D04F2F">
        <w:rPr>
          <w:color w:val="000000" w:themeColor="text1"/>
          <w:sz w:val="24"/>
          <w:szCs w:val="24"/>
          <w:lang w:val="en-AU"/>
        </w:rPr>
        <w:t>35</w:t>
      </w:r>
      <w:r w:rsidR="001E3F78">
        <w:rPr>
          <w:color w:val="000000" w:themeColor="text1"/>
          <w:sz w:val="24"/>
          <w:szCs w:val="24"/>
          <w:lang w:val="en-AU"/>
        </w:rPr>
        <w:t xml:space="preserve"> ANCP NGOs implemented climate change activities across </w:t>
      </w:r>
      <w:r w:rsidR="00BC5D2E">
        <w:rPr>
          <w:color w:val="000000" w:themeColor="text1"/>
          <w:sz w:val="24"/>
          <w:szCs w:val="24"/>
          <w:lang w:val="en-AU"/>
        </w:rPr>
        <w:t>131 projects (</w:t>
      </w:r>
      <w:r w:rsidR="00362F40">
        <w:rPr>
          <w:color w:val="000000" w:themeColor="text1"/>
          <w:sz w:val="24"/>
          <w:szCs w:val="24"/>
          <w:lang w:val="en-AU"/>
        </w:rPr>
        <w:t>34 per cent of all projects)</w:t>
      </w:r>
      <w:r w:rsidR="002A5AE8">
        <w:rPr>
          <w:color w:val="000000" w:themeColor="text1"/>
          <w:sz w:val="24"/>
          <w:szCs w:val="24"/>
          <w:lang w:val="en-AU"/>
        </w:rPr>
        <w:t xml:space="preserve">, compared to 33 NGOs across </w:t>
      </w:r>
      <w:r w:rsidR="00E64F34">
        <w:rPr>
          <w:color w:val="000000" w:themeColor="text1"/>
          <w:sz w:val="24"/>
          <w:szCs w:val="24"/>
          <w:lang w:val="en-AU"/>
        </w:rPr>
        <w:t xml:space="preserve">130 projects in 2022-23 (32 per cent of all projects) and </w:t>
      </w:r>
      <w:r w:rsidR="002B6466" w:rsidRPr="007D0F80">
        <w:rPr>
          <w:color w:val="000000" w:themeColor="text1"/>
          <w:sz w:val="24"/>
          <w:szCs w:val="24"/>
          <w:lang w:val="en-AU"/>
        </w:rPr>
        <w:t>27 NGOs across 79 projects in 2021-22</w:t>
      </w:r>
      <w:r w:rsidR="009F4979" w:rsidRPr="007D0F80">
        <w:rPr>
          <w:color w:val="000000" w:themeColor="text1"/>
          <w:sz w:val="24"/>
          <w:szCs w:val="24"/>
          <w:lang w:val="en-AU"/>
        </w:rPr>
        <w:t xml:space="preserve"> (</w:t>
      </w:r>
      <w:r w:rsidR="009A62BF" w:rsidRPr="007D0F80">
        <w:rPr>
          <w:color w:val="000000" w:themeColor="text1"/>
          <w:sz w:val="24"/>
          <w:szCs w:val="24"/>
          <w:lang w:val="en-AU"/>
        </w:rPr>
        <w:t>20 per cent of all projects)</w:t>
      </w:r>
      <w:r w:rsidR="002B6466" w:rsidRPr="007D0F80">
        <w:rPr>
          <w:color w:val="000000" w:themeColor="text1"/>
          <w:sz w:val="24"/>
          <w:szCs w:val="24"/>
          <w:lang w:val="en-AU"/>
        </w:rPr>
        <w:t>.</w:t>
      </w:r>
      <w:r w:rsidR="00666999" w:rsidRPr="007D0F80">
        <w:rPr>
          <w:color w:val="000000" w:themeColor="text1"/>
          <w:sz w:val="24"/>
          <w:szCs w:val="24"/>
          <w:lang w:val="en-AU"/>
        </w:rPr>
        <w:t xml:space="preserve"> </w:t>
      </w:r>
      <w:r w:rsidR="00954000">
        <w:rPr>
          <w:color w:val="000000" w:themeColor="text1"/>
          <w:sz w:val="24"/>
          <w:szCs w:val="24"/>
          <w:lang w:val="en-AU"/>
        </w:rPr>
        <w:t xml:space="preserve">Forty per cent of </w:t>
      </w:r>
      <w:r w:rsidR="00F10C65">
        <w:rPr>
          <w:color w:val="000000" w:themeColor="text1"/>
          <w:sz w:val="24"/>
          <w:szCs w:val="24"/>
          <w:lang w:val="en-AU"/>
        </w:rPr>
        <w:t xml:space="preserve">climate funding supported adaptation activities, 16 per cent supported </w:t>
      </w:r>
      <w:r w:rsidR="007B74D7">
        <w:rPr>
          <w:color w:val="000000" w:themeColor="text1"/>
          <w:sz w:val="24"/>
          <w:szCs w:val="24"/>
          <w:lang w:val="en-AU"/>
        </w:rPr>
        <w:t xml:space="preserve">mitigation activities, and 44 per cent </w:t>
      </w:r>
      <w:r w:rsidR="0094042A">
        <w:rPr>
          <w:color w:val="000000" w:themeColor="text1"/>
          <w:sz w:val="24"/>
          <w:szCs w:val="24"/>
          <w:lang w:val="en-AU"/>
        </w:rPr>
        <w:t xml:space="preserve">supported activities that included both </w:t>
      </w:r>
      <w:r w:rsidR="00AB5672" w:rsidRPr="007D0F80">
        <w:rPr>
          <w:color w:val="000000" w:themeColor="text1"/>
          <w:sz w:val="24"/>
          <w:szCs w:val="24"/>
          <w:lang w:val="en-AU"/>
        </w:rPr>
        <w:t>adaptation and mitigation where the split could not be determined.</w:t>
      </w:r>
    </w:p>
    <w:p w14:paraId="7BF63C4C" w14:textId="1142910E" w:rsidR="00F170E3" w:rsidRDefault="005B1C5D" w:rsidP="003B35B8">
      <w:pPr>
        <w:rPr>
          <w:color w:val="000000" w:themeColor="text1"/>
          <w:sz w:val="24"/>
          <w:szCs w:val="24"/>
          <w:lang w:val="en-AU"/>
        </w:rPr>
      </w:pPr>
      <w:r w:rsidRPr="007D0F80">
        <w:rPr>
          <w:color w:val="000000" w:themeColor="text1"/>
          <w:sz w:val="24"/>
          <w:szCs w:val="24"/>
          <w:lang w:val="en-AU"/>
        </w:rPr>
        <w:t>Climate change was most often a secondary objective at the project level</w:t>
      </w:r>
      <w:r w:rsidR="002B6466" w:rsidRPr="007D0F80">
        <w:rPr>
          <w:color w:val="000000" w:themeColor="text1"/>
          <w:sz w:val="24"/>
          <w:szCs w:val="24"/>
          <w:lang w:val="en-AU"/>
        </w:rPr>
        <w:t xml:space="preserve"> (2</w:t>
      </w:r>
      <w:r w:rsidR="007F37DC">
        <w:rPr>
          <w:color w:val="000000" w:themeColor="text1"/>
          <w:sz w:val="24"/>
          <w:szCs w:val="24"/>
          <w:lang w:val="en-AU"/>
        </w:rPr>
        <w:t>5</w:t>
      </w:r>
      <w:r w:rsidR="002B6466" w:rsidRPr="007D0F80">
        <w:rPr>
          <w:color w:val="000000" w:themeColor="text1"/>
          <w:sz w:val="24"/>
          <w:szCs w:val="24"/>
          <w:lang w:val="en-AU"/>
        </w:rPr>
        <w:t xml:space="preserve"> per cent of </w:t>
      </w:r>
      <w:r w:rsidR="007F37DC">
        <w:rPr>
          <w:color w:val="000000" w:themeColor="text1"/>
          <w:sz w:val="24"/>
          <w:szCs w:val="24"/>
          <w:lang w:val="en-AU"/>
        </w:rPr>
        <w:t xml:space="preserve">all </w:t>
      </w:r>
      <w:r w:rsidR="002B6466" w:rsidRPr="007D0F80">
        <w:rPr>
          <w:color w:val="000000" w:themeColor="text1"/>
          <w:sz w:val="24"/>
          <w:szCs w:val="24"/>
          <w:lang w:val="en-AU"/>
        </w:rPr>
        <w:t>projects)</w:t>
      </w:r>
      <w:r w:rsidR="003F20C7">
        <w:rPr>
          <w:color w:val="000000" w:themeColor="text1"/>
          <w:sz w:val="24"/>
          <w:szCs w:val="24"/>
          <w:lang w:val="en-AU"/>
        </w:rPr>
        <w:t xml:space="preserve">, </w:t>
      </w:r>
      <w:r w:rsidRPr="007D0F80">
        <w:rPr>
          <w:color w:val="000000" w:themeColor="text1"/>
          <w:sz w:val="24"/>
          <w:szCs w:val="24"/>
          <w:lang w:val="en-AU"/>
        </w:rPr>
        <w:t xml:space="preserve">with </w:t>
      </w:r>
      <w:r w:rsidR="00F948EC" w:rsidRPr="007D0F80">
        <w:rPr>
          <w:color w:val="000000" w:themeColor="text1"/>
          <w:sz w:val="24"/>
          <w:szCs w:val="24"/>
          <w:lang w:val="en-AU"/>
        </w:rPr>
        <w:t xml:space="preserve">activities supporting sectors </w:t>
      </w:r>
      <w:r w:rsidR="00425050">
        <w:rPr>
          <w:color w:val="000000" w:themeColor="text1"/>
          <w:sz w:val="24"/>
          <w:szCs w:val="24"/>
          <w:lang w:val="en-AU"/>
        </w:rPr>
        <w:t>such as</w:t>
      </w:r>
      <w:r w:rsidR="00F948EC" w:rsidRPr="007D0F80">
        <w:rPr>
          <w:color w:val="000000" w:themeColor="text1"/>
          <w:sz w:val="24"/>
          <w:szCs w:val="24"/>
          <w:lang w:val="en-AU"/>
        </w:rPr>
        <w:t xml:space="preserve"> </w:t>
      </w:r>
      <w:r w:rsidR="00F22015" w:rsidRPr="007D0F80">
        <w:rPr>
          <w:color w:val="000000" w:themeColor="text1"/>
          <w:sz w:val="24"/>
          <w:szCs w:val="24"/>
          <w:lang w:val="en-AU"/>
        </w:rPr>
        <w:t>livelihoods and economic development,</w:t>
      </w:r>
      <w:r w:rsidR="00E42566" w:rsidRPr="007D0F80">
        <w:rPr>
          <w:color w:val="000000" w:themeColor="text1"/>
          <w:sz w:val="24"/>
          <w:szCs w:val="24"/>
          <w:lang w:val="en-AU"/>
        </w:rPr>
        <w:t xml:space="preserve"> disaster risk reduction a</w:t>
      </w:r>
      <w:r w:rsidR="00F948EC" w:rsidRPr="007D0F80">
        <w:rPr>
          <w:color w:val="000000" w:themeColor="text1"/>
          <w:sz w:val="24"/>
          <w:szCs w:val="24"/>
          <w:lang w:val="en-AU"/>
        </w:rPr>
        <w:t xml:space="preserve">nd food security. </w:t>
      </w:r>
      <w:r w:rsidR="00F170E3">
        <w:rPr>
          <w:color w:val="000000" w:themeColor="text1"/>
          <w:sz w:val="24"/>
          <w:szCs w:val="24"/>
          <w:lang w:val="en-AU"/>
        </w:rPr>
        <w:t xml:space="preserve">In 2024, </w:t>
      </w:r>
      <w:r w:rsidR="000953D5">
        <w:rPr>
          <w:color w:val="000000" w:themeColor="text1"/>
          <w:sz w:val="24"/>
          <w:szCs w:val="24"/>
          <w:lang w:val="en-AU"/>
        </w:rPr>
        <w:t xml:space="preserve">DFAT </w:t>
      </w:r>
      <w:r w:rsidR="000953D5" w:rsidRPr="000953D5">
        <w:rPr>
          <w:color w:val="000000" w:themeColor="text1"/>
          <w:sz w:val="24"/>
          <w:szCs w:val="24"/>
          <w:lang w:val="en-AU"/>
        </w:rPr>
        <w:t>work</w:t>
      </w:r>
      <w:r w:rsidR="000953D5">
        <w:rPr>
          <w:color w:val="000000" w:themeColor="text1"/>
          <w:sz w:val="24"/>
          <w:szCs w:val="24"/>
          <w:lang w:val="en-AU"/>
        </w:rPr>
        <w:t>ed</w:t>
      </w:r>
      <w:r w:rsidR="000953D5" w:rsidRPr="000953D5">
        <w:rPr>
          <w:color w:val="000000" w:themeColor="text1"/>
          <w:sz w:val="24"/>
          <w:szCs w:val="24"/>
          <w:lang w:val="en-AU"/>
        </w:rPr>
        <w:t xml:space="preserve"> with ACFID </w:t>
      </w:r>
      <w:r w:rsidR="007146BD">
        <w:rPr>
          <w:color w:val="000000" w:themeColor="text1"/>
          <w:sz w:val="24"/>
          <w:szCs w:val="24"/>
          <w:lang w:val="en-AU"/>
        </w:rPr>
        <w:t xml:space="preserve">and </w:t>
      </w:r>
      <w:r w:rsidR="007146BD" w:rsidRPr="007D0F80">
        <w:rPr>
          <w:color w:val="000000" w:themeColor="text1"/>
          <w:sz w:val="24"/>
          <w:szCs w:val="24"/>
          <w:lang w:val="en-AU"/>
        </w:rPr>
        <w:t xml:space="preserve">ANCP partners to further strengthen climate change programming </w:t>
      </w:r>
      <w:r w:rsidR="007146BD">
        <w:rPr>
          <w:color w:val="000000" w:themeColor="text1"/>
          <w:sz w:val="24"/>
          <w:szCs w:val="24"/>
          <w:lang w:val="en-AU"/>
        </w:rPr>
        <w:t>in</w:t>
      </w:r>
      <w:r w:rsidR="007146BD" w:rsidRPr="007D0F80">
        <w:rPr>
          <w:color w:val="000000" w:themeColor="text1"/>
          <w:sz w:val="24"/>
          <w:szCs w:val="24"/>
          <w:lang w:val="en-AU"/>
        </w:rPr>
        <w:t xml:space="preserve"> the ANCP, in line with the commitment in Australia’s International Development Policy to increase climate investments and better address climate risk.</w:t>
      </w:r>
    </w:p>
    <w:p w14:paraId="2D20E16F" w14:textId="47A83CEA" w:rsidR="00F423B5" w:rsidRPr="00D85220" w:rsidRDefault="00E50625" w:rsidP="00F423B5">
      <w:pPr>
        <w:rPr>
          <w:color w:val="000000" w:themeColor="text1"/>
          <w:sz w:val="24"/>
          <w:szCs w:val="24"/>
          <w:lang w:val="en-AU"/>
        </w:rPr>
      </w:pPr>
      <w:r w:rsidRPr="00465206">
        <w:rPr>
          <w:b/>
          <w:bCs/>
          <w:noProof/>
        </w:rPr>
        <w:drawing>
          <wp:inline distT="0" distB="0" distL="0" distR="0" wp14:anchorId="1C35C490" wp14:editId="0C803504">
            <wp:extent cx="5943600" cy="2906395"/>
            <wp:effectExtent l="0" t="0" r="0" b="8255"/>
            <wp:docPr id="430683915" name="Picture 1" descr="Bar graph titled 'Graph 3: ANCP Climate Finance (AUD millions)' showing annual climate finance from 2018–19 to 2023–24. The values are: 3.8 million AUD (2018–19), 4.2 million AUD (2019–20), 5.5 million AUD (2020–21), 9.5 million AUD (2021–22), 15.7 million AUD (2022–23), and a projected 17.7 million AUD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83915" name="Picture 1" descr="Bar graph titled 'Graph 3: ANCP Climate Finance (AUD millions)' showing annual climate finance from 2018–19 to 2023–24. The values are: 3.8 million AUD (2018–19), 4.2 million AUD (2019–20), 5.5 million AUD (2020–21), 9.5 million AUD (2021–22), 15.7 million AUD (2022–23), and a projected 17.7 million AUD (2023–24)"/>
                    <pic:cNvPicPr/>
                  </pic:nvPicPr>
                  <pic:blipFill>
                    <a:blip r:embed="rId12"/>
                    <a:stretch>
                      <a:fillRect/>
                    </a:stretch>
                  </pic:blipFill>
                  <pic:spPr>
                    <a:xfrm>
                      <a:off x="0" y="0"/>
                      <a:ext cx="5943600" cy="2906395"/>
                    </a:xfrm>
                    <a:prstGeom prst="rect">
                      <a:avLst/>
                    </a:prstGeom>
                  </pic:spPr>
                </pic:pic>
              </a:graphicData>
            </a:graphic>
          </wp:inline>
        </w:drawing>
      </w:r>
    </w:p>
    <w:p w14:paraId="62FB6ECC" w14:textId="425C27CB" w:rsidR="007D43E8" w:rsidRPr="00486E39" w:rsidRDefault="007D43E8" w:rsidP="00876C87">
      <w:pPr>
        <w:pStyle w:val="Heading2"/>
        <w:rPr>
          <w:rFonts w:eastAsia="Times New Roman"/>
          <w:color w:val="auto"/>
        </w:rPr>
      </w:pPr>
      <w:r w:rsidRPr="00486E39">
        <w:rPr>
          <w:rFonts w:eastAsia="Times New Roman"/>
          <w:color w:val="auto"/>
        </w:rPr>
        <w:t>Accreditation</w:t>
      </w:r>
    </w:p>
    <w:p w14:paraId="3FEE3ED3" w14:textId="35F9EC26" w:rsidR="00E85CD9" w:rsidRDefault="007D43E8" w:rsidP="007D43E8">
      <w:pPr>
        <w:rPr>
          <w:color w:val="000000" w:themeColor="text1"/>
          <w:sz w:val="24"/>
          <w:szCs w:val="24"/>
        </w:rPr>
      </w:pPr>
      <w:r w:rsidRPr="007D0F80">
        <w:rPr>
          <w:color w:val="000000" w:themeColor="text1"/>
          <w:sz w:val="24"/>
          <w:szCs w:val="24"/>
        </w:rPr>
        <w:t>Fifteen accreditation reviews were undertaken in 202</w:t>
      </w:r>
      <w:r w:rsidR="00AC02AB">
        <w:rPr>
          <w:color w:val="000000" w:themeColor="text1"/>
          <w:sz w:val="24"/>
          <w:szCs w:val="24"/>
        </w:rPr>
        <w:t>3</w:t>
      </w:r>
      <w:r w:rsidRPr="007D0F80">
        <w:rPr>
          <w:color w:val="000000" w:themeColor="text1"/>
          <w:sz w:val="24"/>
          <w:szCs w:val="24"/>
        </w:rPr>
        <w:t>-2</w:t>
      </w:r>
      <w:r w:rsidR="00AC02AB">
        <w:rPr>
          <w:color w:val="000000" w:themeColor="text1"/>
          <w:sz w:val="24"/>
          <w:szCs w:val="24"/>
        </w:rPr>
        <w:t>4</w:t>
      </w:r>
      <w:r w:rsidRPr="007D0F80">
        <w:rPr>
          <w:color w:val="000000" w:themeColor="text1"/>
          <w:sz w:val="24"/>
          <w:szCs w:val="24"/>
        </w:rPr>
        <w:t>. </w:t>
      </w:r>
      <w:r w:rsidR="00E85CD9">
        <w:rPr>
          <w:color w:val="000000" w:themeColor="text1"/>
          <w:sz w:val="24"/>
          <w:szCs w:val="24"/>
        </w:rPr>
        <w:t>Seven</w:t>
      </w:r>
      <w:r w:rsidRPr="007D0F80">
        <w:rPr>
          <w:color w:val="000000" w:themeColor="text1"/>
          <w:sz w:val="24"/>
          <w:szCs w:val="24"/>
        </w:rPr>
        <w:t xml:space="preserve"> were completed as part of the five-year re-accreditation cycle, </w:t>
      </w:r>
      <w:r w:rsidR="00E85CD9">
        <w:rPr>
          <w:color w:val="000000" w:themeColor="text1"/>
          <w:sz w:val="24"/>
          <w:szCs w:val="24"/>
        </w:rPr>
        <w:t xml:space="preserve">with all re-accrediting at the same level. </w:t>
      </w:r>
      <w:r w:rsidR="00A00EA9">
        <w:rPr>
          <w:color w:val="000000" w:themeColor="text1"/>
          <w:sz w:val="24"/>
          <w:szCs w:val="24"/>
        </w:rPr>
        <w:t>There were no applications for upgrades</w:t>
      </w:r>
      <w:r w:rsidR="00117DA3">
        <w:rPr>
          <w:color w:val="000000" w:themeColor="text1"/>
          <w:sz w:val="24"/>
          <w:szCs w:val="24"/>
        </w:rPr>
        <w:t xml:space="preserve">. </w:t>
      </w:r>
      <w:r w:rsidR="00772A68">
        <w:rPr>
          <w:color w:val="000000" w:themeColor="text1"/>
          <w:sz w:val="24"/>
          <w:szCs w:val="24"/>
        </w:rPr>
        <w:t xml:space="preserve">There were five new applications, three at </w:t>
      </w:r>
      <w:r w:rsidR="00CE4ACC">
        <w:rPr>
          <w:color w:val="000000" w:themeColor="text1"/>
          <w:sz w:val="24"/>
          <w:szCs w:val="24"/>
        </w:rPr>
        <w:t xml:space="preserve">base level and two at full level. </w:t>
      </w:r>
    </w:p>
    <w:p w14:paraId="3AC6B954" w14:textId="7E11569B" w:rsidR="00442355" w:rsidRDefault="00442355" w:rsidP="00442355">
      <w:pPr>
        <w:pStyle w:val="ListParagraph"/>
        <w:numPr>
          <w:ilvl w:val="0"/>
          <w:numId w:val="30"/>
        </w:numPr>
        <w:rPr>
          <w:color w:val="000000" w:themeColor="text1"/>
          <w:sz w:val="24"/>
          <w:szCs w:val="24"/>
        </w:rPr>
      </w:pPr>
      <w:r>
        <w:rPr>
          <w:color w:val="000000" w:themeColor="text1"/>
          <w:sz w:val="24"/>
          <w:szCs w:val="24"/>
        </w:rPr>
        <w:t xml:space="preserve">Of the seven applications for re-accreditation, six </w:t>
      </w:r>
      <w:r w:rsidR="007D0A65">
        <w:rPr>
          <w:color w:val="000000" w:themeColor="text1"/>
          <w:sz w:val="24"/>
          <w:szCs w:val="24"/>
        </w:rPr>
        <w:t xml:space="preserve">ANGOs were </w:t>
      </w:r>
      <w:r w:rsidR="009D4A28">
        <w:rPr>
          <w:color w:val="000000" w:themeColor="text1"/>
          <w:sz w:val="24"/>
          <w:szCs w:val="24"/>
        </w:rPr>
        <w:t xml:space="preserve">re-accredited </w:t>
      </w:r>
      <w:r w:rsidR="00B504DC">
        <w:rPr>
          <w:color w:val="000000" w:themeColor="text1"/>
          <w:sz w:val="24"/>
          <w:szCs w:val="24"/>
        </w:rPr>
        <w:t xml:space="preserve">at full </w:t>
      </w:r>
      <w:r w:rsidR="00560D72">
        <w:rPr>
          <w:color w:val="000000" w:themeColor="text1"/>
          <w:sz w:val="24"/>
          <w:szCs w:val="24"/>
        </w:rPr>
        <w:t xml:space="preserve">level </w:t>
      </w:r>
      <w:r w:rsidR="009D4A28">
        <w:rPr>
          <w:color w:val="000000" w:themeColor="text1"/>
          <w:sz w:val="24"/>
          <w:szCs w:val="24"/>
        </w:rPr>
        <w:t xml:space="preserve">and </w:t>
      </w:r>
      <w:r w:rsidR="00B504DC">
        <w:rPr>
          <w:color w:val="000000" w:themeColor="text1"/>
          <w:sz w:val="24"/>
          <w:szCs w:val="24"/>
        </w:rPr>
        <w:t>one ANGO was re-accredited</w:t>
      </w:r>
      <w:r w:rsidR="0046158D">
        <w:rPr>
          <w:color w:val="000000" w:themeColor="text1"/>
          <w:sz w:val="24"/>
          <w:szCs w:val="24"/>
        </w:rPr>
        <w:t xml:space="preserve"> at base</w:t>
      </w:r>
      <w:r w:rsidR="00560D72">
        <w:rPr>
          <w:color w:val="000000" w:themeColor="text1"/>
          <w:sz w:val="24"/>
          <w:szCs w:val="24"/>
        </w:rPr>
        <w:t xml:space="preserve"> level</w:t>
      </w:r>
      <w:r w:rsidR="00B504DC">
        <w:rPr>
          <w:color w:val="000000" w:themeColor="text1"/>
          <w:sz w:val="24"/>
          <w:szCs w:val="24"/>
        </w:rPr>
        <w:t>.</w:t>
      </w:r>
    </w:p>
    <w:p w14:paraId="1789F5AF" w14:textId="30182C10" w:rsidR="00B504DC" w:rsidRDefault="00B504DC" w:rsidP="00442355">
      <w:pPr>
        <w:pStyle w:val="ListParagraph"/>
        <w:numPr>
          <w:ilvl w:val="0"/>
          <w:numId w:val="30"/>
        </w:numPr>
        <w:rPr>
          <w:color w:val="000000" w:themeColor="text1"/>
          <w:sz w:val="24"/>
          <w:szCs w:val="24"/>
        </w:rPr>
      </w:pPr>
      <w:r>
        <w:rPr>
          <w:color w:val="000000" w:themeColor="text1"/>
          <w:sz w:val="24"/>
          <w:szCs w:val="24"/>
        </w:rPr>
        <w:t xml:space="preserve">Of the </w:t>
      </w:r>
      <w:r w:rsidR="002E41D2">
        <w:rPr>
          <w:color w:val="000000" w:themeColor="text1"/>
          <w:sz w:val="24"/>
          <w:szCs w:val="24"/>
        </w:rPr>
        <w:t>five new applications, two withdrew and three were unsuccessful.</w:t>
      </w:r>
    </w:p>
    <w:p w14:paraId="099708FB" w14:textId="40A98C40" w:rsidR="007D43E8" w:rsidRPr="00474E01" w:rsidRDefault="00474E01" w:rsidP="00474E01">
      <w:pPr>
        <w:pStyle w:val="ListParagraph"/>
        <w:numPr>
          <w:ilvl w:val="0"/>
          <w:numId w:val="30"/>
        </w:numPr>
        <w:rPr>
          <w:color w:val="000000" w:themeColor="text1"/>
          <w:sz w:val="24"/>
          <w:szCs w:val="24"/>
        </w:rPr>
      </w:pPr>
      <w:r>
        <w:rPr>
          <w:color w:val="000000" w:themeColor="text1"/>
          <w:sz w:val="24"/>
          <w:szCs w:val="24"/>
        </w:rPr>
        <w:t>Three subject-to reviews were successfully completed.</w:t>
      </w:r>
    </w:p>
    <w:sectPr w:rsidR="007D43E8" w:rsidRPr="00474E01" w:rsidSect="00461970">
      <w:headerReference w:type="default" r:id="rId13"/>
      <w:footerReference w:type="default" r:id="rId14"/>
      <w:headerReference w:type="first" r:id="rId15"/>
      <w:footerReference w:type="first" r:id="rId16"/>
      <w:pgSz w:w="11906" w:h="16838" w:code="9"/>
      <w:pgMar w:top="1701" w:right="1134" w:bottom="1276"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3471" w14:textId="77777777" w:rsidR="002D3C8E" w:rsidRDefault="002D3C8E" w:rsidP="00D37B04">
      <w:r>
        <w:separator/>
      </w:r>
    </w:p>
  </w:endnote>
  <w:endnote w:type="continuationSeparator" w:id="0">
    <w:p w14:paraId="758ED29F" w14:textId="77777777" w:rsidR="002D3C8E" w:rsidRDefault="002D3C8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697184928"/>
      <w:docPartObj>
        <w:docPartGallery w:val="Page Numbers (Bottom of Page)"/>
        <w:docPartUnique/>
      </w:docPartObj>
    </w:sdtPr>
    <w:sdtEndPr>
      <w:rPr>
        <w:noProof/>
      </w:rPr>
    </w:sdtEndPr>
    <w:sdtContent>
      <w:p w14:paraId="597AF30D" w14:textId="2B633168" w:rsidR="008F620B" w:rsidRPr="003666ED" w:rsidRDefault="008F620B">
        <w:pPr>
          <w:pStyle w:val="Footer"/>
          <w:jc w:val="right"/>
          <w:rPr>
            <w:color w:val="auto"/>
          </w:rPr>
        </w:pPr>
        <w:r w:rsidRPr="003666ED">
          <w:rPr>
            <w:color w:val="auto"/>
          </w:rPr>
          <w:fldChar w:fldCharType="begin"/>
        </w:r>
        <w:r w:rsidRPr="003666ED">
          <w:rPr>
            <w:color w:val="auto"/>
          </w:rPr>
          <w:instrText xml:space="preserve"> PAGE   \* MERGEFORMAT </w:instrText>
        </w:r>
        <w:r w:rsidRPr="003666ED">
          <w:rPr>
            <w:color w:val="auto"/>
          </w:rPr>
          <w:fldChar w:fldCharType="separate"/>
        </w:r>
        <w:r w:rsidR="00D27B4A" w:rsidRPr="003666ED">
          <w:rPr>
            <w:noProof/>
            <w:color w:val="auto"/>
          </w:rPr>
          <w:t>6</w:t>
        </w:r>
        <w:r w:rsidRPr="003666ED">
          <w:rPr>
            <w:noProof/>
            <w:color w:val="auto"/>
          </w:rPr>
          <w:fldChar w:fldCharType="end"/>
        </w:r>
      </w:p>
    </w:sdtContent>
  </w:sdt>
  <w:p w14:paraId="1E6BF486" w14:textId="1482FFFF" w:rsidR="008F620B" w:rsidRPr="003666ED" w:rsidRDefault="008F620B" w:rsidP="008F620B">
    <w:pPr>
      <w:pStyle w:val="Footer"/>
      <w:tabs>
        <w:tab w:val="left" w:pos="8340"/>
      </w:tabs>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314142270"/>
      <w:docPartObj>
        <w:docPartGallery w:val="Page Numbers (Bottom of Page)"/>
        <w:docPartUnique/>
      </w:docPartObj>
    </w:sdtPr>
    <w:sdtEndPr>
      <w:rPr>
        <w:noProof/>
      </w:rPr>
    </w:sdtEndPr>
    <w:sdtContent>
      <w:p w14:paraId="1FBFF1BA" w14:textId="082B16F3" w:rsidR="008F620B" w:rsidRPr="003666ED" w:rsidRDefault="008F620B">
        <w:pPr>
          <w:pStyle w:val="Footer"/>
          <w:jc w:val="right"/>
          <w:rPr>
            <w:color w:val="auto"/>
          </w:rPr>
        </w:pPr>
        <w:r w:rsidRPr="003666ED">
          <w:rPr>
            <w:color w:val="auto"/>
          </w:rPr>
          <w:fldChar w:fldCharType="begin"/>
        </w:r>
        <w:r w:rsidRPr="003666ED">
          <w:rPr>
            <w:color w:val="auto"/>
          </w:rPr>
          <w:instrText xml:space="preserve"> PAGE   \* MERGEFORMAT </w:instrText>
        </w:r>
        <w:r w:rsidRPr="003666ED">
          <w:rPr>
            <w:color w:val="auto"/>
          </w:rPr>
          <w:fldChar w:fldCharType="separate"/>
        </w:r>
        <w:r w:rsidR="00B82A22" w:rsidRPr="003666ED">
          <w:rPr>
            <w:noProof/>
            <w:color w:val="auto"/>
          </w:rPr>
          <w:t>1</w:t>
        </w:r>
        <w:r w:rsidRPr="003666ED">
          <w:rPr>
            <w:noProof/>
            <w:color w:val="auto"/>
          </w:rPr>
          <w:fldChar w:fldCharType="end"/>
        </w:r>
      </w:p>
    </w:sdtContent>
  </w:sdt>
  <w:p w14:paraId="60978CAD" w14:textId="4797A5C9" w:rsidR="00B637DD" w:rsidRPr="003666ED" w:rsidRDefault="00B637DD" w:rsidP="00EC3C2D">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EF983" w14:textId="77777777" w:rsidR="002D3C8E" w:rsidRPr="008C5A0E" w:rsidRDefault="002D3C8E" w:rsidP="00D37B04">
      <w:pPr>
        <w:pStyle w:val="Footer"/>
      </w:pPr>
    </w:p>
  </w:footnote>
  <w:footnote w:type="continuationSeparator" w:id="0">
    <w:p w14:paraId="4CE1595D" w14:textId="77777777" w:rsidR="002D3C8E" w:rsidRDefault="002D3C8E" w:rsidP="00D37B04">
      <w:r>
        <w:continuationSeparator/>
      </w:r>
    </w:p>
  </w:footnote>
  <w:footnote w:id="1">
    <w:p w14:paraId="698BB09C" w14:textId="79DD03FC" w:rsidR="00A82651" w:rsidRPr="00DE2DDC" w:rsidRDefault="00A82651">
      <w:pPr>
        <w:pStyle w:val="FootnoteText"/>
        <w:rPr>
          <w:b/>
          <w:bCs/>
          <w:color w:val="auto"/>
          <w:sz w:val="15"/>
          <w:szCs w:val="15"/>
          <w:lang w:val="en-AU"/>
        </w:rPr>
      </w:pPr>
      <w:r w:rsidRPr="00DE2DDC">
        <w:rPr>
          <w:rStyle w:val="FootnoteReference"/>
          <w:b/>
          <w:bCs/>
          <w:color w:val="auto"/>
          <w:sz w:val="15"/>
          <w:szCs w:val="15"/>
        </w:rPr>
        <w:footnoteRef/>
      </w:r>
      <w:r w:rsidRPr="00DE2DDC">
        <w:rPr>
          <w:b/>
          <w:bCs/>
          <w:color w:val="auto"/>
          <w:sz w:val="15"/>
          <w:szCs w:val="15"/>
        </w:rPr>
        <w:t xml:space="preserve"> </w:t>
      </w:r>
      <w:r w:rsidRPr="00DE2DDC">
        <w:rPr>
          <w:b/>
          <w:bCs/>
          <w:color w:val="auto"/>
          <w:sz w:val="15"/>
          <w:szCs w:val="15"/>
          <w:lang w:val="en-AU"/>
        </w:rPr>
        <w:t xml:space="preserve">Note: 2021-22 was the first year </w:t>
      </w:r>
      <w:r w:rsidR="00DC6174" w:rsidRPr="00DE2DDC">
        <w:rPr>
          <w:b/>
          <w:bCs/>
          <w:color w:val="auto"/>
          <w:sz w:val="15"/>
          <w:szCs w:val="15"/>
          <w:lang w:val="en-AU"/>
        </w:rPr>
        <w:t>that</w:t>
      </w:r>
      <w:r w:rsidRPr="00DE2DDC">
        <w:rPr>
          <w:b/>
          <w:bCs/>
          <w:color w:val="auto"/>
          <w:sz w:val="15"/>
          <w:szCs w:val="15"/>
          <w:lang w:val="en-AU"/>
        </w:rPr>
        <w:t xml:space="preserve"> reporting on ANCP climate finance expenditure was mandatory.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ED28"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20ABCBE5" wp14:editId="097C395C">
          <wp:simplePos x="0" y="0"/>
          <wp:positionH relativeFrom="margin">
            <wp:align>center</wp:align>
          </wp:positionH>
          <wp:positionV relativeFrom="page">
            <wp:posOffset>-6985</wp:posOffset>
          </wp:positionV>
          <wp:extent cx="7447280" cy="10480675"/>
          <wp:effectExtent l="0" t="0" r="127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DFA2"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68129797" wp14:editId="6A24D364">
          <wp:simplePos x="0" y="0"/>
          <wp:positionH relativeFrom="page">
            <wp:posOffset>46990</wp:posOffset>
          </wp:positionH>
          <wp:positionV relativeFrom="page">
            <wp:posOffset>5080</wp:posOffset>
          </wp:positionV>
          <wp:extent cx="7512050" cy="10639425"/>
          <wp:effectExtent l="0" t="0" r="0"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1.5pt;visibility:visible;mso-wrap-style:square" o:bullet="t">
        <v:imagedata r:id="rId1" o:title=""/>
      </v:shape>
    </w:pict>
  </w:numPicBullet>
  <w:abstractNum w:abstractNumId="0" w15:restartNumberingAfterBreak="0">
    <w:nsid w:val="06C866AA"/>
    <w:multiLevelType w:val="hybridMultilevel"/>
    <w:tmpl w:val="CE68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1F13AA"/>
    <w:multiLevelType w:val="hybridMultilevel"/>
    <w:tmpl w:val="09961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4A926FC"/>
    <w:multiLevelType w:val="hybridMultilevel"/>
    <w:tmpl w:val="7A4AE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51DA5"/>
    <w:multiLevelType w:val="hybridMultilevel"/>
    <w:tmpl w:val="F50EA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8461864"/>
    <w:multiLevelType w:val="hybridMultilevel"/>
    <w:tmpl w:val="BF5A8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D121612"/>
    <w:multiLevelType w:val="hybridMultilevel"/>
    <w:tmpl w:val="332A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623866"/>
    <w:multiLevelType w:val="hybridMultilevel"/>
    <w:tmpl w:val="CCD6D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983DB1"/>
    <w:multiLevelType w:val="hybridMultilevel"/>
    <w:tmpl w:val="E9DE7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565667"/>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2" w15:restartNumberingAfterBreak="0">
    <w:nsid w:val="514928F1"/>
    <w:multiLevelType w:val="hybridMultilevel"/>
    <w:tmpl w:val="C6C27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553D9F"/>
    <w:multiLevelType w:val="multilevel"/>
    <w:tmpl w:val="A6FA45D0"/>
    <w:numStyleLink w:val="BulletsList"/>
  </w:abstractNum>
  <w:abstractNum w:abstractNumId="14" w15:restartNumberingAfterBreak="0">
    <w:nsid w:val="53F06160"/>
    <w:multiLevelType w:val="hybridMultilevel"/>
    <w:tmpl w:val="0AFEF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76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76B710B"/>
    <w:multiLevelType w:val="hybridMultilevel"/>
    <w:tmpl w:val="18B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4B44C2"/>
    <w:multiLevelType w:val="hybridMultilevel"/>
    <w:tmpl w:val="234C62EA"/>
    <w:lvl w:ilvl="0" w:tplc="0C090001">
      <w:start w:val="1"/>
      <w:numFmt w:val="bullet"/>
      <w:lvlText w:val=""/>
      <w:lvlJc w:val="left"/>
      <w:pPr>
        <w:ind w:left="10" w:hanging="360"/>
      </w:pPr>
      <w:rPr>
        <w:rFonts w:ascii="Symbol" w:hAnsi="Symbol" w:hint="default"/>
      </w:rPr>
    </w:lvl>
    <w:lvl w:ilvl="1" w:tplc="0C090003" w:tentative="1">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0143855"/>
    <w:multiLevelType w:val="hybridMultilevel"/>
    <w:tmpl w:val="8758B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4E96AA7"/>
    <w:multiLevelType w:val="hybridMultilevel"/>
    <w:tmpl w:val="CCCAF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06092C"/>
    <w:multiLevelType w:val="hybridMultilevel"/>
    <w:tmpl w:val="1D606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F801BA7"/>
    <w:multiLevelType w:val="hybridMultilevel"/>
    <w:tmpl w:val="03CA9576"/>
    <w:lvl w:ilvl="0" w:tplc="59EE5B86">
      <w:start w:val="1"/>
      <w:numFmt w:val="bullet"/>
      <w:lvlText w:val=""/>
      <w:lvlPicBulletId w:val="0"/>
      <w:lvlJc w:val="left"/>
      <w:pPr>
        <w:tabs>
          <w:tab w:val="num" w:pos="720"/>
        </w:tabs>
        <w:ind w:left="720" w:hanging="360"/>
      </w:pPr>
      <w:rPr>
        <w:rFonts w:ascii="Symbol" w:hAnsi="Symbol" w:hint="default"/>
      </w:rPr>
    </w:lvl>
    <w:lvl w:ilvl="1" w:tplc="AC688C60" w:tentative="1">
      <w:start w:val="1"/>
      <w:numFmt w:val="bullet"/>
      <w:lvlText w:val=""/>
      <w:lvlJc w:val="left"/>
      <w:pPr>
        <w:tabs>
          <w:tab w:val="num" w:pos="1440"/>
        </w:tabs>
        <w:ind w:left="1440" w:hanging="360"/>
      </w:pPr>
      <w:rPr>
        <w:rFonts w:ascii="Symbol" w:hAnsi="Symbol" w:hint="default"/>
      </w:rPr>
    </w:lvl>
    <w:lvl w:ilvl="2" w:tplc="DA488180" w:tentative="1">
      <w:start w:val="1"/>
      <w:numFmt w:val="bullet"/>
      <w:lvlText w:val=""/>
      <w:lvlJc w:val="left"/>
      <w:pPr>
        <w:tabs>
          <w:tab w:val="num" w:pos="2160"/>
        </w:tabs>
        <w:ind w:left="2160" w:hanging="360"/>
      </w:pPr>
      <w:rPr>
        <w:rFonts w:ascii="Symbol" w:hAnsi="Symbol" w:hint="default"/>
      </w:rPr>
    </w:lvl>
    <w:lvl w:ilvl="3" w:tplc="8C507B7A" w:tentative="1">
      <w:start w:val="1"/>
      <w:numFmt w:val="bullet"/>
      <w:lvlText w:val=""/>
      <w:lvlJc w:val="left"/>
      <w:pPr>
        <w:tabs>
          <w:tab w:val="num" w:pos="2880"/>
        </w:tabs>
        <w:ind w:left="2880" w:hanging="360"/>
      </w:pPr>
      <w:rPr>
        <w:rFonts w:ascii="Symbol" w:hAnsi="Symbol" w:hint="default"/>
      </w:rPr>
    </w:lvl>
    <w:lvl w:ilvl="4" w:tplc="8C04DE3E" w:tentative="1">
      <w:start w:val="1"/>
      <w:numFmt w:val="bullet"/>
      <w:lvlText w:val=""/>
      <w:lvlJc w:val="left"/>
      <w:pPr>
        <w:tabs>
          <w:tab w:val="num" w:pos="3600"/>
        </w:tabs>
        <w:ind w:left="3600" w:hanging="360"/>
      </w:pPr>
      <w:rPr>
        <w:rFonts w:ascii="Symbol" w:hAnsi="Symbol" w:hint="default"/>
      </w:rPr>
    </w:lvl>
    <w:lvl w:ilvl="5" w:tplc="A300A172" w:tentative="1">
      <w:start w:val="1"/>
      <w:numFmt w:val="bullet"/>
      <w:lvlText w:val=""/>
      <w:lvlJc w:val="left"/>
      <w:pPr>
        <w:tabs>
          <w:tab w:val="num" w:pos="4320"/>
        </w:tabs>
        <w:ind w:left="4320" w:hanging="360"/>
      </w:pPr>
      <w:rPr>
        <w:rFonts w:ascii="Symbol" w:hAnsi="Symbol" w:hint="default"/>
      </w:rPr>
    </w:lvl>
    <w:lvl w:ilvl="6" w:tplc="08F8814A" w:tentative="1">
      <w:start w:val="1"/>
      <w:numFmt w:val="bullet"/>
      <w:lvlText w:val=""/>
      <w:lvlJc w:val="left"/>
      <w:pPr>
        <w:tabs>
          <w:tab w:val="num" w:pos="5040"/>
        </w:tabs>
        <w:ind w:left="5040" w:hanging="360"/>
      </w:pPr>
      <w:rPr>
        <w:rFonts w:ascii="Symbol" w:hAnsi="Symbol" w:hint="default"/>
      </w:rPr>
    </w:lvl>
    <w:lvl w:ilvl="7" w:tplc="894496DE" w:tentative="1">
      <w:start w:val="1"/>
      <w:numFmt w:val="bullet"/>
      <w:lvlText w:val=""/>
      <w:lvlJc w:val="left"/>
      <w:pPr>
        <w:tabs>
          <w:tab w:val="num" w:pos="5760"/>
        </w:tabs>
        <w:ind w:left="5760" w:hanging="360"/>
      </w:pPr>
      <w:rPr>
        <w:rFonts w:ascii="Symbol" w:hAnsi="Symbol" w:hint="default"/>
      </w:rPr>
    </w:lvl>
    <w:lvl w:ilvl="8" w:tplc="4C68B014" w:tentative="1">
      <w:start w:val="1"/>
      <w:numFmt w:val="bullet"/>
      <w:lvlText w:val=""/>
      <w:lvlJc w:val="left"/>
      <w:pPr>
        <w:tabs>
          <w:tab w:val="num" w:pos="6480"/>
        </w:tabs>
        <w:ind w:left="6480" w:hanging="360"/>
      </w:pPr>
      <w:rPr>
        <w:rFonts w:ascii="Symbol" w:hAnsi="Symbol" w:hint="default"/>
      </w:rPr>
    </w:lvl>
  </w:abstractNum>
  <w:num w:numId="1" w16cid:durableId="480971910">
    <w:abstractNumId w:val="20"/>
  </w:num>
  <w:num w:numId="2" w16cid:durableId="759254111">
    <w:abstractNumId w:val="1"/>
  </w:num>
  <w:num w:numId="3" w16cid:durableId="844326260">
    <w:abstractNumId w:val="6"/>
  </w:num>
  <w:num w:numId="4" w16cid:durableId="770515987">
    <w:abstractNumId w:val="16"/>
  </w:num>
  <w:num w:numId="5" w16cid:durableId="1806434996">
    <w:abstractNumId w:val="18"/>
  </w:num>
  <w:num w:numId="6" w16cid:durableId="1370647012">
    <w:abstractNumId w:val="6"/>
  </w:num>
  <w:num w:numId="7" w16cid:durableId="1645432506">
    <w:abstractNumId w:val="1"/>
  </w:num>
  <w:num w:numId="8" w16cid:durableId="543637739">
    <w:abstractNumId w:val="3"/>
  </w:num>
  <w:num w:numId="9" w16cid:durableId="186918901">
    <w:abstractNumId w:val="23"/>
  </w:num>
  <w:num w:numId="10" w16cid:durableId="320160929">
    <w:abstractNumId w:val="13"/>
  </w:num>
  <w:num w:numId="11" w16cid:durableId="509369439">
    <w:abstractNumId w:val="17"/>
  </w:num>
  <w:num w:numId="12" w16cid:durableId="1453986346">
    <w:abstractNumId w:val="0"/>
  </w:num>
  <w:num w:numId="13" w16cid:durableId="828448617">
    <w:abstractNumId w:val="4"/>
  </w:num>
  <w:num w:numId="14" w16cid:durableId="976177677">
    <w:abstractNumId w:val="15"/>
  </w:num>
  <w:num w:numId="15" w16cid:durableId="2002615016">
    <w:abstractNumId w:val="24"/>
  </w:num>
  <w:num w:numId="16" w16cid:durableId="874729931">
    <w:abstractNumId w:val="11"/>
  </w:num>
  <w:num w:numId="17" w16cid:durableId="1887833506">
    <w:abstractNumId w:val="13"/>
  </w:num>
  <w:num w:numId="18" w16cid:durableId="514420108">
    <w:abstractNumId w:val="17"/>
  </w:num>
  <w:num w:numId="19" w16cid:durableId="1337271571">
    <w:abstractNumId w:val="19"/>
  </w:num>
  <w:num w:numId="20" w16cid:durableId="1516115017">
    <w:abstractNumId w:val="2"/>
  </w:num>
  <w:num w:numId="21" w16cid:durableId="1968505776">
    <w:abstractNumId w:val="19"/>
  </w:num>
  <w:num w:numId="22" w16cid:durableId="233400239">
    <w:abstractNumId w:val="8"/>
  </w:num>
  <w:num w:numId="23" w16cid:durableId="1829901050">
    <w:abstractNumId w:val="14"/>
  </w:num>
  <w:num w:numId="24" w16cid:durableId="366295751">
    <w:abstractNumId w:val="5"/>
  </w:num>
  <w:num w:numId="25" w16cid:durableId="1742412689">
    <w:abstractNumId w:val="9"/>
  </w:num>
  <w:num w:numId="26" w16cid:durableId="356005836">
    <w:abstractNumId w:val="10"/>
  </w:num>
  <w:num w:numId="27" w16cid:durableId="1726028477">
    <w:abstractNumId w:val="22"/>
  </w:num>
  <w:num w:numId="28" w16cid:durableId="202451748">
    <w:abstractNumId w:val="12"/>
  </w:num>
  <w:num w:numId="29" w16cid:durableId="1933396852">
    <w:abstractNumId w:val="21"/>
  </w:num>
  <w:num w:numId="30" w16cid:durableId="202782233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632"/>
    <w:rsid w:val="0000133E"/>
    <w:rsid w:val="00001622"/>
    <w:rsid w:val="00001DA8"/>
    <w:rsid w:val="000020C1"/>
    <w:rsid w:val="00002503"/>
    <w:rsid w:val="00002536"/>
    <w:rsid w:val="000028CA"/>
    <w:rsid w:val="000028D9"/>
    <w:rsid w:val="000029F2"/>
    <w:rsid w:val="00002D49"/>
    <w:rsid w:val="00003433"/>
    <w:rsid w:val="0000361F"/>
    <w:rsid w:val="00005037"/>
    <w:rsid w:val="000055B4"/>
    <w:rsid w:val="00005AE1"/>
    <w:rsid w:val="000061A0"/>
    <w:rsid w:val="0000621B"/>
    <w:rsid w:val="000066F9"/>
    <w:rsid w:val="00010853"/>
    <w:rsid w:val="0001106A"/>
    <w:rsid w:val="000113A2"/>
    <w:rsid w:val="0001142D"/>
    <w:rsid w:val="00015783"/>
    <w:rsid w:val="00015A59"/>
    <w:rsid w:val="000169ED"/>
    <w:rsid w:val="0002080A"/>
    <w:rsid w:val="00021875"/>
    <w:rsid w:val="00021A5A"/>
    <w:rsid w:val="000224DC"/>
    <w:rsid w:val="000235F3"/>
    <w:rsid w:val="0002782F"/>
    <w:rsid w:val="0003108D"/>
    <w:rsid w:val="000311E2"/>
    <w:rsid w:val="0003405F"/>
    <w:rsid w:val="00035BBF"/>
    <w:rsid w:val="00036D95"/>
    <w:rsid w:val="000372AA"/>
    <w:rsid w:val="000378BA"/>
    <w:rsid w:val="00037AAF"/>
    <w:rsid w:val="00040DF1"/>
    <w:rsid w:val="00041B60"/>
    <w:rsid w:val="00042AC5"/>
    <w:rsid w:val="00044388"/>
    <w:rsid w:val="00045479"/>
    <w:rsid w:val="0004632B"/>
    <w:rsid w:val="00046645"/>
    <w:rsid w:val="000468A3"/>
    <w:rsid w:val="00047150"/>
    <w:rsid w:val="0005030C"/>
    <w:rsid w:val="00050806"/>
    <w:rsid w:val="000509F1"/>
    <w:rsid w:val="000514F3"/>
    <w:rsid w:val="00051D7F"/>
    <w:rsid w:val="000525D7"/>
    <w:rsid w:val="00052D24"/>
    <w:rsid w:val="00053C87"/>
    <w:rsid w:val="000546D9"/>
    <w:rsid w:val="000549CF"/>
    <w:rsid w:val="00054AAA"/>
    <w:rsid w:val="00054CE0"/>
    <w:rsid w:val="00054E4D"/>
    <w:rsid w:val="00055FA9"/>
    <w:rsid w:val="000563B1"/>
    <w:rsid w:val="00060073"/>
    <w:rsid w:val="000601E3"/>
    <w:rsid w:val="00060BFC"/>
    <w:rsid w:val="000616C6"/>
    <w:rsid w:val="000627AB"/>
    <w:rsid w:val="00062FD4"/>
    <w:rsid w:val="0006380B"/>
    <w:rsid w:val="00063CC4"/>
    <w:rsid w:val="000640FF"/>
    <w:rsid w:val="00064585"/>
    <w:rsid w:val="00064E96"/>
    <w:rsid w:val="000656B9"/>
    <w:rsid w:val="00065B28"/>
    <w:rsid w:val="0006629B"/>
    <w:rsid w:val="00066BFE"/>
    <w:rsid w:val="00067CB4"/>
    <w:rsid w:val="0007034D"/>
    <w:rsid w:val="00070A9B"/>
    <w:rsid w:val="00071788"/>
    <w:rsid w:val="0007245C"/>
    <w:rsid w:val="0007333F"/>
    <w:rsid w:val="00073739"/>
    <w:rsid w:val="0007465C"/>
    <w:rsid w:val="00074CE2"/>
    <w:rsid w:val="00076277"/>
    <w:rsid w:val="000763F9"/>
    <w:rsid w:val="0007752C"/>
    <w:rsid w:val="0007754E"/>
    <w:rsid w:val="00081621"/>
    <w:rsid w:val="00083323"/>
    <w:rsid w:val="000833D5"/>
    <w:rsid w:val="00083505"/>
    <w:rsid w:val="00083F49"/>
    <w:rsid w:val="000848B2"/>
    <w:rsid w:val="00084E2D"/>
    <w:rsid w:val="000854FD"/>
    <w:rsid w:val="0008696B"/>
    <w:rsid w:val="00086BE0"/>
    <w:rsid w:val="0009058F"/>
    <w:rsid w:val="00094FD0"/>
    <w:rsid w:val="000953D5"/>
    <w:rsid w:val="000957E7"/>
    <w:rsid w:val="00095830"/>
    <w:rsid w:val="00095DD1"/>
    <w:rsid w:val="000A0A15"/>
    <w:rsid w:val="000A1091"/>
    <w:rsid w:val="000A27DF"/>
    <w:rsid w:val="000A3256"/>
    <w:rsid w:val="000A358F"/>
    <w:rsid w:val="000A379A"/>
    <w:rsid w:val="000A409A"/>
    <w:rsid w:val="000A48C1"/>
    <w:rsid w:val="000A4CDD"/>
    <w:rsid w:val="000A63EE"/>
    <w:rsid w:val="000A671A"/>
    <w:rsid w:val="000A7208"/>
    <w:rsid w:val="000A72EF"/>
    <w:rsid w:val="000A799D"/>
    <w:rsid w:val="000A7B90"/>
    <w:rsid w:val="000B0DAC"/>
    <w:rsid w:val="000B18EC"/>
    <w:rsid w:val="000B1D94"/>
    <w:rsid w:val="000B26BD"/>
    <w:rsid w:val="000B2A14"/>
    <w:rsid w:val="000B30EC"/>
    <w:rsid w:val="000B37F5"/>
    <w:rsid w:val="000B40BA"/>
    <w:rsid w:val="000B531E"/>
    <w:rsid w:val="000B5753"/>
    <w:rsid w:val="000B5EBD"/>
    <w:rsid w:val="000B67D3"/>
    <w:rsid w:val="000C0ECF"/>
    <w:rsid w:val="000C19AB"/>
    <w:rsid w:val="000C1E98"/>
    <w:rsid w:val="000C344C"/>
    <w:rsid w:val="000C45DA"/>
    <w:rsid w:val="000C4CF9"/>
    <w:rsid w:val="000C5205"/>
    <w:rsid w:val="000C59AB"/>
    <w:rsid w:val="000C5F58"/>
    <w:rsid w:val="000C6C18"/>
    <w:rsid w:val="000D06BD"/>
    <w:rsid w:val="000D0D1A"/>
    <w:rsid w:val="000D1AA3"/>
    <w:rsid w:val="000D31C8"/>
    <w:rsid w:val="000D516A"/>
    <w:rsid w:val="000D5375"/>
    <w:rsid w:val="000D66D6"/>
    <w:rsid w:val="000D6E0F"/>
    <w:rsid w:val="000D7B61"/>
    <w:rsid w:val="000E1343"/>
    <w:rsid w:val="000E1B92"/>
    <w:rsid w:val="000E1D0C"/>
    <w:rsid w:val="000E2D90"/>
    <w:rsid w:val="000E43EC"/>
    <w:rsid w:val="000E4710"/>
    <w:rsid w:val="000E5163"/>
    <w:rsid w:val="000E6064"/>
    <w:rsid w:val="000E7E89"/>
    <w:rsid w:val="000F0924"/>
    <w:rsid w:val="000F1140"/>
    <w:rsid w:val="000F12BA"/>
    <w:rsid w:val="000F1346"/>
    <w:rsid w:val="000F23C6"/>
    <w:rsid w:val="000F27F0"/>
    <w:rsid w:val="000F47ED"/>
    <w:rsid w:val="000F51F1"/>
    <w:rsid w:val="000F52E9"/>
    <w:rsid w:val="000F6A4A"/>
    <w:rsid w:val="000F725F"/>
    <w:rsid w:val="00100C54"/>
    <w:rsid w:val="00100E81"/>
    <w:rsid w:val="001010FF"/>
    <w:rsid w:val="0010146A"/>
    <w:rsid w:val="0010205D"/>
    <w:rsid w:val="001022A6"/>
    <w:rsid w:val="00102AA5"/>
    <w:rsid w:val="00103140"/>
    <w:rsid w:val="00103229"/>
    <w:rsid w:val="00103C34"/>
    <w:rsid w:val="00103C43"/>
    <w:rsid w:val="00105214"/>
    <w:rsid w:val="0010548A"/>
    <w:rsid w:val="00105F81"/>
    <w:rsid w:val="00110C57"/>
    <w:rsid w:val="00110C81"/>
    <w:rsid w:val="00112A44"/>
    <w:rsid w:val="00113288"/>
    <w:rsid w:val="00116CF5"/>
    <w:rsid w:val="00117DA3"/>
    <w:rsid w:val="001214BE"/>
    <w:rsid w:val="00121E5B"/>
    <w:rsid w:val="00122140"/>
    <w:rsid w:val="00122662"/>
    <w:rsid w:val="00122F1F"/>
    <w:rsid w:val="0012341E"/>
    <w:rsid w:val="00123647"/>
    <w:rsid w:val="001245C3"/>
    <w:rsid w:val="00126D0D"/>
    <w:rsid w:val="00127FA7"/>
    <w:rsid w:val="00130C65"/>
    <w:rsid w:val="00130F63"/>
    <w:rsid w:val="0013101C"/>
    <w:rsid w:val="00132E6B"/>
    <w:rsid w:val="001331B8"/>
    <w:rsid w:val="001334AE"/>
    <w:rsid w:val="00133A03"/>
    <w:rsid w:val="00134325"/>
    <w:rsid w:val="00134AE9"/>
    <w:rsid w:val="00134B97"/>
    <w:rsid w:val="00135C12"/>
    <w:rsid w:val="00137D80"/>
    <w:rsid w:val="00142100"/>
    <w:rsid w:val="001428E9"/>
    <w:rsid w:val="00142E86"/>
    <w:rsid w:val="00144E98"/>
    <w:rsid w:val="00145355"/>
    <w:rsid w:val="001461D6"/>
    <w:rsid w:val="00147892"/>
    <w:rsid w:val="001519A0"/>
    <w:rsid w:val="001527FC"/>
    <w:rsid w:val="00152838"/>
    <w:rsid w:val="001529C6"/>
    <w:rsid w:val="00152DB1"/>
    <w:rsid w:val="00153625"/>
    <w:rsid w:val="00153818"/>
    <w:rsid w:val="00153910"/>
    <w:rsid w:val="001541EA"/>
    <w:rsid w:val="001547CF"/>
    <w:rsid w:val="00155212"/>
    <w:rsid w:val="00155B7B"/>
    <w:rsid w:val="00155C44"/>
    <w:rsid w:val="00157872"/>
    <w:rsid w:val="001613A1"/>
    <w:rsid w:val="001616D0"/>
    <w:rsid w:val="00161B3F"/>
    <w:rsid w:val="00161BBD"/>
    <w:rsid w:val="0016309B"/>
    <w:rsid w:val="00163291"/>
    <w:rsid w:val="00164083"/>
    <w:rsid w:val="0016498E"/>
    <w:rsid w:val="00164E83"/>
    <w:rsid w:val="001655D0"/>
    <w:rsid w:val="00166DB6"/>
    <w:rsid w:val="00167DBF"/>
    <w:rsid w:val="0017015E"/>
    <w:rsid w:val="001701DA"/>
    <w:rsid w:val="00170384"/>
    <w:rsid w:val="001703CD"/>
    <w:rsid w:val="001711A4"/>
    <w:rsid w:val="0017173E"/>
    <w:rsid w:val="00171FDA"/>
    <w:rsid w:val="00172198"/>
    <w:rsid w:val="001727A9"/>
    <w:rsid w:val="00172A1C"/>
    <w:rsid w:val="00172DB3"/>
    <w:rsid w:val="00173440"/>
    <w:rsid w:val="001734CE"/>
    <w:rsid w:val="001751BD"/>
    <w:rsid w:val="001764C1"/>
    <w:rsid w:val="0018048D"/>
    <w:rsid w:val="00180F4D"/>
    <w:rsid w:val="00182271"/>
    <w:rsid w:val="00182333"/>
    <w:rsid w:val="001826F6"/>
    <w:rsid w:val="00182882"/>
    <w:rsid w:val="00183156"/>
    <w:rsid w:val="001838FB"/>
    <w:rsid w:val="00185B32"/>
    <w:rsid w:val="001861F6"/>
    <w:rsid w:val="00186233"/>
    <w:rsid w:val="0018762D"/>
    <w:rsid w:val="001907AA"/>
    <w:rsid w:val="00191641"/>
    <w:rsid w:val="001921B2"/>
    <w:rsid w:val="00192AEF"/>
    <w:rsid w:val="001930E5"/>
    <w:rsid w:val="001943A4"/>
    <w:rsid w:val="00194EB8"/>
    <w:rsid w:val="0019509C"/>
    <w:rsid w:val="001954DA"/>
    <w:rsid w:val="001962F2"/>
    <w:rsid w:val="00196FFE"/>
    <w:rsid w:val="001A1298"/>
    <w:rsid w:val="001A1987"/>
    <w:rsid w:val="001A1E2A"/>
    <w:rsid w:val="001A2B2E"/>
    <w:rsid w:val="001A2E4D"/>
    <w:rsid w:val="001A3407"/>
    <w:rsid w:val="001A3F90"/>
    <w:rsid w:val="001A4A2C"/>
    <w:rsid w:val="001A4DF0"/>
    <w:rsid w:val="001A50CF"/>
    <w:rsid w:val="001A7ED5"/>
    <w:rsid w:val="001A7FA9"/>
    <w:rsid w:val="001B054B"/>
    <w:rsid w:val="001B08AD"/>
    <w:rsid w:val="001B0BCB"/>
    <w:rsid w:val="001B5042"/>
    <w:rsid w:val="001B6E79"/>
    <w:rsid w:val="001C0A33"/>
    <w:rsid w:val="001C2D7F"/>
    <w:rsid w:val="001C3631"/>
    <w:rsid w:val="001C4084"/>
    <w:rsid w:val="001C4C83"/>
    <w:rsid w:val="001C4F9A"/>
    <w:rsid w:val="001C50B3"/>
    <w:rsid w:val="001C525A"/>
    <w:rsid w:val="001C5540"/>
    <w:rsid w:val="001C6C91"/>
    <w:rsid w:val="001D0EDA"/>
    <w:rsid w:val="001D2467"/>
    <w:rsid w:val="001D4183"/>
    <w:rsid w:val="001D46C1"/>
    <w:rsid w:val="001D663E"/>
    <w:rsid w:val="001E04BA"/>
    <w:rsid w:val="001E075B"/>
    <w:rsid w:val="001E0852"/>
    <w:rsid w:val="001E137C"/>
    <w:rsid w:val="001E15A8"/>
    <w:rsid w:val="001E1DC0"/>
    <w:rsid w:val="001E2C38"/>
    <w:rsid w:val="001E2C8B"/>
    <w:rsid w:val="001E2EE8"/>
    <w:rsid w:val="001E3A04"/>
    <w:rsid w:val="001E3BA5"/>
    <w:rsid w:val="001E3F78"/>
    <w:rsid w:val="001E73F2"/>
    <w:rsid w:val="001F0A97"/>
    <w:rsid w:val="001F18C9"/>
    <w:rsid w:val="001F1FE6"/>
    <w:rsid w:val="001F2160"/>
    <w:rsid w:val="001F2D15"/>
    <w:rsid w:val="001F4AAC"/>
    <w:rsid w:val="001F4ACC"/>
    <w:rsid w:val="001F6233"/>
    <w:rsid w:val="001F62D1"/>
    <w:rsid w:val="001F6F55"/>
    <w:rsid w:val="001F7F05"/>
    <w:rsid w:val="001F7F9C"/>
    <w:rsid w:val="00200482"/>
    <w:rsid w:val="00202E0C"/>
    <w:rsid w:val="00203277"/>
    <w:rsid w:val="00204274"/>
    <w:rsid w:val="00205865"/>
    <w:rsid w:val="00205B2E"/>
    <w:rsid w:val="00206142"/>
    <w:rsid w:val="002068B7"/>
    <w:rsid w:val="00206CAA"/>
    <w:rsid w:val="00207EA4"/>
    <w:rsid w:val="00210402"/>
    <w:rsid w:val="00210938"/>
    <w:rsid w:val="00212D60"/>
    <w:rsid w:val="00213053"/>
    <w:rsid w:val="00213438"/>
    <w:rsid w:val="002134F2"/>
    <w:rsid w:val="00213A13"/>
    <w:rsid w:val="00213A46"/>
    <w:rsid w:val="00213B8D"/>
    <w:rsid w:val="00214B9B"/>
    <w:rsid w:val="0021540C"/>
    <w:rsid w:val="00215691"/>
    <w:rsid w:val="002156EA"/>
    <w:rsid w:val="0021678A"/>
    <w:rsid w:val="00217BC3"/>
    <w:rsid w:val="00220F0A"/>
    <w:rsid w:val="0022166A"/>
    <w:rsid w:val="00222BB2"/>
    <w:rsid w:val="00223263"/>
    <w:rsid w:val="00223C97"/>
    <w:rsid w:val="002241D1"/>
    <w:rsid w:val="002252C2"/>
    <w:rsid w:val="00225B1F"/>
    <w:rsid w:val="00225DD3"/>
    <w:rsid w:val="0022631C"/>
    <w:rsid w:val="00230777"/>
    <w:rsid w:val="0023087F"/>
    <w:rsid w:val="00230B67"/>
    <w:rsid w:val="0023100A"/>
    <w:rsid w:val="00231DE8"/>
    <w:rsid w:val="0023354D"/>
    <w:rsid w:val="00235E0C"/>
    <w:rsid w:val="00235EAB"/>
    <w:rsid w:val="00237A52"/>
    <w:rsid w:val="0024043D"/>
    <w:rsid w:val="0024052C"/>
    <w:rsid w:val="00240AE7"/>
    <w:rsid w:val="00240D59"/>
    <w:rsid w:val="002416CA"/>
    <w:rsid w:val="00241BC1"/>
    <w:rsid w:val="00241C1F"/>
    <w:rsid w:val="00242FF6"/>
    <w:rsid w:val="0024337B"/>
    <w:rsid w:val="00246A75"/>
    <w:rsid w:val="00246F86"/>
    <w:rsid w:val="00246FD8"/>
    <w:rsid w:val="002478FD"/>
    <w:rsid w:val="0025047C"/>
    <w:rsid w:val="00250B2C"/>
    <w:rsid w:val="00250EDF"/>
    <w:rsid w:val="00252073"/>
    <w:rsid w:val="00252C04"/>
    <w:rsid w:val="00254164"/>
    <w:rsid w:val="0025449E"/>
    <w:rsid w:val="002561D1"/>
    <w:rsid w:val="00256555"/>
    <w:rsid w:val="00257F61"/>
    <w:rsid w:val="002607AE"/>
    <w:rsid w:val="00260B93"/>
    <w:rsid w:val="00260E2E"/>
    <w:rsid w:val="00261B51"/>
    <w:rsid w:val="0026204B"/>
    <w:rsid w:val="002627DA"/>
    <w:rsid w:val="00262EA6"/>
    <w:rsid w:val="00262F5B"/>
    <w:rsid w:val="00263A6E"/>
    <w:rsid w:val="00263AED"/>
    <w:rsid w:val="002646C3"/>
    <w:rsid w:val="00265C5E"/>
    <w:rsid w:val="00265DDB"/>
    <w:rsid w:val="002662AC"/>
    <w:rsid w:val="00266A9A"/>
    <w:rsid w:val="00267450"/>
    <w:rsid w:val="00272DF9"/>
    <w:rsid w:val="002763A1"/>
    <w:rsid w:val="00276A54"/>
    <w:rsid w:val="00276AD2"/>
    <w:rsid w:val="00280A39"/>
    <w:rsid w:val="0028153C"/>
    <w:rsid w:val="00283CCB"/>
    <w:rsid w:val="002842C3"/>
    <w:rsid w:val="0028602A"/>
    <w:rsid w:val="0028636C"/>
    <w:rsid w:val="00286A34"/>
    <w:rsid w:val="00286E7E"/>
    <w:rsid w:val="0028754E"/>
    <w:rsid w:val="0028754F"/>
    <w:rsid w:val="00287E7B"/>
    <w:rsid w:val="002918E0"/>
    <w:rsid w:val="0029333B"/>
    <w:rsid w:val="00294837"/>
    <w:rsid w:val="002949CD"/>
    <w:rsid w:val="00294D66"/>
    <w:rsid w:val="0029534B"/>
    <w:rsid w:val="0029542E"/>
    <w:rsid w:val="00295C25"/>
    <w:rsid w:val="00296629"/>
    <w:rsid w:val="002969D2"/>
    <w:rsid w:val="0029720E"/>
    <w:rsid w:val="002976AF"/>
    <w:rsid w:val="00297A1C"/>
    <w:rsid w:val="002A0748"/>
    <w:rsid w:val="002A2301"/>
    <w:rsid w:val="002A2E82"/>
    <w:rsid w:val="002A33C3"/>
    <w:rsid w:val="002A360D"/>
    <w:rsid w:val="002A40EA"/>
    <w:rsid w:val="002A4337"/>
    <w:rsid w:val="002A4B1F"/>
    <w:rsid w:val="002A4CCD"/>
    <w:rsid w:val="002A5AE8"/>
    <w:rsid w:val="002A5DFD"/>
    <w:rsid w:val="002A6E9E"/>
    <w:rsid w:val="002A7F56"/>
    <w:rsid w:val="002B0E54"/>
    <w:rsid w:val="002B16A5"/>
    <w:rsid w:val="002B2336"/>
    <w:rsid w:val="002B268E"/>
    <w:rsid w:val="002B5AC1"/>
    <w:rsid w:val="002B5E10"/>
    <w:rsid w:val="002B5E2E"/>
    <w:rsid w:val="002B61FA"/>
    <w:rsid w:val="002B6466"/>
    <w:rsid w:val="002B7C19"/>
    <w:rsid w:val="002C03B3"/>
    <w:rsid w:val="002C0A22"/>
    <w:rsid w:val="002C290F"/>
    <w:rsid w:val="002C298C"/>
    <w:rsid w:val="002C32F3"/>
    <w:rsid w:val="002C3844"/>
    <w:rsid w:val="002C4980"/>
    <w:rsid w:val="002C4CDE"/>
    <w:rsid w:val="002C693E"/>
    <w:rsid w:val="002C6FCF"/>
    <w:rsid w:val="002C72F9"/>
    <w:rsid w:val="002C77B5"/>
    <w:rsid w:val="002C793D"/>
    <w:rsid w:val="002D02BC"/>
    <w:rsid w:val="002D1980"/>
    <w:rsid w:val="002D1FAA"/>
    <w:rsid w:val="002D2D14"/>
    <w:rsid w:val="002D3C8E"/>
    <w:rsid w:val="002D42BD"/>
    <w:rsid w:val="002D4588"/>
    <w:rsid w:val="002D48D0"/>
    <w:rsid w:val="002D4A42"/>
    <w:rsid w:val="002D4BCF"/>
    <w:rsid w:val="002D5B25"/>
    <w:rsid w:val="002D722B"/>
    <w:rsid w:val="002D7C50"/>
    <w:rsid w:val="002E1200"/>
    <w:rsid w:val="002E2495"/>
    <w:rsid w:val="002E2683"/>
    <w:rsid w:val="002E309D"/>
    <w:rsid w:val="002E371B"/>
    <w:rsid w:val="002E3FAC"/>
    <w:rsid w:val="002E41D2"/>
    <w:rsid w:val="002E42EB"/>
    <w:rsid w:val="002E4F74"/>
    <w:rsid w:val="002E52BB"/>
    <w:rsid w:val="002E5F32"/>
    <w:rsid w:val="002E705F"/>
    <w:rsid w:val="002E7FAF"/>
    <w:rsid w:val="002F07AE"/>
    <w:rsid w:val="002F0A4F"/>
    <w:rsid w:val="002F41BA"/>
    <w:rsid w:val="002F4F2B"/>
    <w:rsid w:val="002F641D"/>
    <w:rsid w:val="002F6E96"/>
    <w:rsid w:val="002F6ED4"/>
    <w:rsid w:val="002F7FB3"/>
    <w:rsid w:val="003002C0"/>
    <w:rsid w:val="00301144"/>
    <w:rsid w:val="00302119"/>
    <w:rsid w:val="0030220F"/>
    <w:rsid w:val="003031C6"/>
    <w:rsid w:val="00304984"/>
    <w:rsid w:val="00304B43"/>
    <w:rsid w:val="003055E3"/>
    <w:rsid w:val="00306445"/>
    <w:rsid w:val="00306769"/>
    <w:rsid w:val="003069F3"/>
    <w:rsid w:val="00310077"/>
    <w:rsid w:val="00310B56"/>
    <w:rsid w:val="00311061"/>
    <w:rsid w:val="00312BB6"/>
    <w:rsid w:val="00312BF8"/>
    <w:rsid w:val="00313CAB"/>
    <w:rsid w:val="003148B7"/>
    <w:rsid w:val="003158C3"/>
    <w:rsid w:val="00315A1F"/>
    <w:rsid w:val="00315B89"/>
    <w:rsid w:val="00315E22"/>
    <w:rsid w:val="003167BD"/>
    <w:rsid w:val="00320374"/>
    <w:rsid w:val="00321205"/>
    <w:rsid w:val="0032159B"/>
    <w:rsid w:val="00322174"/>
    <w:rsid w:val="003257AF"/>
    <w:rsid w:val="00326576"/>
    <w:rsid w:val="003267E5"/>
    <w:rsid w:val="00326EB8"/>
    <w:rsid w:val="003274CD"/>
    <w:rsid w:val="00327A58"/>
    <w:rsid w:val="00327E75"/>
    <w:rsid w:val="00330E12"/>
    <w:rsid w:val="00330F01"/>
    <w:rsid w:val="00331EE2"/>
    <w:rsid w:val="00332917"/>
    <w:rsid w:val="00332D26"/>
    <w:rsid w:val="00333501"/>
    <w:rsid w:val="003346F6"/>
    <w:rsid w:val="00334BEA"/>
    <w:rsid w:val="00335273"/>
    <w:rsid w:val="0033546F"/>
    <w:rsid w:val="003361CF"/>
    <w:rsid w:val="003365E4"/>
    <w:rsid w:val="0034068B"/>
    <w:rsid w:val="00340871"/>
    <w:rsid w:val="00341E46"/>
    <w:rsid w:val="0034202C"/>
    <w:rsid w:val="00342B1C"/>
    <w:rsid w:val="00343922"/>
    <w:rsid w:val="00343BD3"/>
    <w:rsid w:val="00345699"/>
    <w:rsid w:val="003457C4"/>
    <w:rsid w:val="00346278"/>
    <w:rsid w:val="00346E2E"/>
    <w:rsid w:val="003500CF"/>
    <w:rsid w:val="00350A03"/>
    <w:rsid w:val="00350A88"/>
    <w:rsid w:val="0035119D"/>
    <w:rsid w:val="003514E7"/>
    <w:rsid w:val="00353A4D"/>
    <w:rsid w:val="00354A4A"/>
    <w:rsid w:val="00355176"/>
    <w:rsid w:val="00355DF7"/>
    <w:rsid w:val="00355EC8"/>
    <w:rsid w:val="00355FAE"/>
    <w:rsid w:val="0035614A"/>
    <w:rsid w:val="00356506"/>
    <w:rsid w:val="00362F40"/>
    <w:rsid w:val="00363286"/>
    <w:rsid w:val="00363934"/>
    <w:rsid w:val="003640F2"/>
    <w:rsid w:val="00365569"/>
    <w:rsid w:val="00365927"/>
    <w:rsid w:val="003666DB"/>
    <w:rsid w:val="003666ED"/>
    <w:rsid w:val="00366750"/>
    <w:rsid w:val="0037188E"/>
    <w:rsid w:val="003727C9"/>
    <w:rsid w:val="00372F0B"/>
    <w:rsid w:val="00372FC5"/>
    <w:rsid w:val="00373AD4"/>
    <w:rsid w:val="003742D7"/>
    <w:rsid w:val="00375208"/>
    <w:rsid w:val="003753EF"/>
    <w:rsid w:val="00377508"/>
    <w:rsid w:val="00377F77"/>
    <w:rsid w:val="00380A40"/>
    <w:rsid w:val="00380AE5"/>
    <w:rsid w:val="00381338"/>
    <w:rsid w:val="003831C1"/>
    <w:rsid w:val="00383596"/>
    <w:rsid w:val="00383E11"/>
    <w:rsid w:val="00384D40"/>
    <w:rsid w:val="00385898"/>
    <w:rsid w:val="00385F62"/>
    <w:rsid w:val="00386DB2"/>
    <w:rsid w:val="00386E86"/>
    <w:rsid w:val="003873FF"/>
    <w:rsid w:val="00387404"/>
    <w:rsid w:val="0038758D"/>
    <w:rsid w:val="00390104"/>
    <w:rsid w:val="00390118"/>
    <w:rsid w:val="00390828"/>
    <w:rsid w:val="00391943"/>
    <w:rsid w:val="00392152"/>
    <w:rsid w:val="003925AE"/>
    <w:rsid w:val="00392726"/>
    <w:rsid w:val="00392D17"/>
    <w:rsid w:val="00392F56"/>
    <w:rsid w:val="0039344A"/>
    <w:rsid w:val="0039473A"/>
    <w:rsid w:val="003949DB"/>
    <w:rsid w:val="00395163"/>
    <w:rsid w:val="003957BC"/>
    <w:rsid w:val="00396B20"/>
    <w:rsid w:val="00396F92"/>
    <w:rsid w:val="003A0191"/>
    <w:rsid w:val="003A1D96"/>
    <w:rsid w:val="003A566D"/>
    <w:rsid w:val="003A572D"/>
    <w:rsid w:val="003A5AFA"/>
    <w:rsid w:val="003A6D94"/>
    <w:rsid w:val="003B0864"/>
    <w:rsid w:val="003B28BB"/>
    <w:rsid w:val="003B28E3"/>
    <w:rsid w:val="003B35B8"/>
    <w:rsid w:val="003B442E"/>
    <w:rsid w:val="003B4F12"/>
    <w:rsid w:val="003B556D"/>
    <w:rsid w:val="003B5BA4"/>
    <w:rsid w:val="003B7FB8"/>
    <w:rsid w:val="003C01B9"/>
    <w:rsid w:val="003C183D"/>
    <w:rsid w:val="003C22B8"/>
    <w:rsid w:val="003C248E"/>
    <w:rsid w:val="003C2C2E"/>
    <w:rsid w:val="003C34EB"/>
    <w:rsid w:val="003C6F13"/>
    <w:rsid w:val="003C7281"/>
    <w:rsid w:val="003C72F9"/>
    <w:rsid w:val="003C7CCC"/>
    <w:rsid w:val="003D0D22"/>
    <w:rsid w:val="003D0FE7"/>
    <w:rsid w:val="003D1A84"/>
    <w:rsid w:val="003D28BF"/>
    <w:rsid w:val="003D2DE0"/>
    <w:rsid w:val="003D36BF"/>
    <w:rsid w:val="003D40ED"/>
    <w:rsid w:val="003D4C6F"/>
    <w:rsid w:val="003D66A7"/>
    <w:rsid w:val="003D776E"/>
    <w:rsid w:val="003E1DA9"/>
    <w:rsid w:val="003E21AF"/>
    <w:rsid w:val="003E2892"/>
    <w:rsid w:val="003E29AF"/>
    <w:rsid w:val="003E341F"/>
    <w:rsid w:val="003E3D85"/>
    <w:rsid w:val="003E665D"/>
    <w:rsid w:val="003E6797"/>
    <w:rsid w:val="003F001A"/>
    <w:rsid w:val="003F175C"/>
    <w:rsid w:val="003F2041"/>
    <w:rsid w:val="003F20C7"/>
    <w:rsid w:val="003F256A"/>
    <w:rsid w:val="003F2EFC"/>
    <w:rsid w:val="003F37B7"/>
    <w:rsid w:val="003F4107"/>
    <w:rsid w:val="003F55FC"/>
    <w:rsid w:val="003F5A07"/>
    <w:rsid w:val="003F65E8"/>
    <w:rsid w:val="003F65FC"/>
    <w:rsid w:val="003F68E0"/>
    <w:rsid w:val="003F71A3"/>
    <w:rsid w:val="00401532"/>
    <w:rsid w:val="004016AE"/>
    <w:rsid w:val="00402989"/>
    <w:rsid w:val="00402A50"/>
    <w:rsid w:val="00402ACC"/>
    <w:rsid w:val="004033DC"/>
    <w:rsid w:val="00404502"/>
    <w:rsid w:val="004056B1"/>
    <w:rsid w:val="004062EA"/>
    <w:rsid w:val="004076B7"/>
    <w:rsid w:val="00407F2D"/>
    <w:rsid w:val="0041136A"/>
    <w:rsid w:val="00411E0D"/>
    <w:rsid w:val="004120EC"/>
    <w:rsid w:val="00413406"/>
    <w:rsid w:val="00413862"/>
    <w:rsid w:val="00413BAD"/>
    <w:rsid w:val="00414A9D"/>
    <w:rsid w:val="00414ADE"/>
    <w:rsid w:val="00414C85"/>
    <w:rsid w:val="004151DF"/>
    <w:rsid w:val="0041564D"/>
    <w:rsid w:val="004158EF"/>
    <w:rsid w:val="004159DE"/>
    <w:rsid w:val="00415A1D"/>
    <w:rsid w:val="00415FC8"/>
    <w:rsid w:val="0041622B"/>
    <w:rsid w:val="00416969"/>
    <w:rsid w:val="004221A6"/>
    <w:rsid w:val="00423E8A"/>
    <w:rsid w:val="00423F31"/>
    <w:rsid w:val="0042483E"/>
    <w:rsid w:val="00425050"/>
    <w:rsid w:val="00425A4F"/>
    <w:rsid w:val="00426F3B"/>
    <w:rsid w:val="00427096"/>
    <w:rsid w:val="0042728C"/>
    <w:rsid w:val="004313E5"/>
    <w:rsid w:val="00431899"/>
    <w:rsid w:val="0043396F"/>
    <w:rsid w:val="0043438C"/>
    <w:rsid w:val="0043477F"/>
    <w:rsid w:val="00434AF6"/>
    <w:rsid w:val="004352FF"/>
    <w:rsid w:val="00437392"/>
    <w:rsid w:val="00437FB2"/>
    <w:rsid w:val="004405C6"/>
    <w:rsid w:val="004408D2"/>
    <w:rsid w:val="0044097A"/>
    <w:rsid w:val="00442055"/>
    <w:rsid w:val="0044234F"/>
    <w:rsid w:val="00442355"/>
    <w:rsid w:val="004449D1"/>
    <w:rsid w:val="00444AA1"/>
    <w:rsid w:val="004453F4"/>
    <w:rsid w:val="0044640F"/>
    <w:rsid w:val="004464BC"/>
    <w:rsid w:val="00447274"/>
    <w:rsid w:val="0045063B"/>
    <w:rsid w:val="00452298"/>
    <w:rsid w:val="00454514"/>
    <w:rsid w:val="00454ED7"/>
    <w:rsid w:val="004561A8"/>
    <w:rsid w:val="004570FF"/>
    <w:rsid w:val="00457F15"/>
    <w:rsid w:val="0046158D"/>
    <w:rsid w:val="004615CA"/>
    <w:rsid w:val="00461970"/>
    <w:rsid w:val="00462063"/>
    <w:rsid w:val="00462615"/>
    <w:rsid w:val="00463048"/>
    <w:rsid w:val="00463140"/>
    <w:rsid w:val="00463337"/>
    <w:rsid w:val="00463575"/>
    <w:rsid w:val="00463811"/>
    <w:rsid w:val="00464F6C"/>
    <w:rsid w:val="00465BF8"/>
    <w:rsid w:val="00467305"/>
    <w:rsid w:val="00467422"/>
    <w:rsid w:val="0047164A"/>
    <w:rsid w:val="00471765"/>
    <w:rsid w:val="0047182C"/>
    <w:rsid w:val="00472D4E"/>
    <w:rsid w:val="00474639"/>
    <w:rsid w:val="004747AB"/>
    <w:rsid w:val="00474A6B"/>
    <w:rsid w:val="00474E01"/>
    <w:rsid w:val="004763E1"/>
    <w:rsid w:val="00476404"/>
    <w:rsid w:val="00476A58"/>
    <w:rsid w:val="00476ADD"/>
    <w:rsid w:val="004775E5"/>
    <w:rsid w:val="00480378"/>
    <w:rsid w:val="00481A16"/>
    <w:rsid w:val="00481A65"/>
    <w:rsid w:val="00482AE8"/>
    <w:rsid w:val="0048300A"/>
    <w:rsid w:val="0048492D"/>
    <w:rsid w:val="00485073"/>
    <w:rsid w:val="00485B85"/>
    <w:rsid w:val="00486454"/>
    <w:rsid w:val="00486804"/>
    <w:rsid w:val="00486D28"/>
    <w:rsid w:val="00486E39"/>
    <w:rsid w:val="00487D03"/>
    <w:rsid w:val="00490B4F"/>
    <w:rsid w:val="00490CDE"/>
    <w:rsid w:val="00490EDB"/>
    <w:rsid w:val="00491ADA"/>
    <w:rsid w:val="00492585"/>
    <w:rsid w:val="00492D2F"/>
    <w:rsid w:val="004939C4"/>
    <w:rsid w:val="004944E7"/>
    <w:rsid w:val="0049476B"/>
    <w:rsid w:val="00494986"/>
    <w:rsid w:val="00494E1E"/>
    <w:rsid w:val="00494F98"/>
    <w:rsid w:val="004975F5"/>
    <w:rsid w:val="004A0293"/>
    <w:rsid w:val="004A0684"/>
    <w:rsid w:val="004A1019"/>
    <w:rsid w:val="004A2239"/>
    <w:rsid w:val="004A258D"/>
    <w:rsid w:val="004A31BA"/>
    <w:rsid w:val="004A4803"/>
    <w:rsid w:val="004A5AD4"/>
    <w:rsid w:val="004A6C95"/>
    <w:rsid w:val="004A7B38"/>
    <w:rsid w:val="004B1618"/>
    <w:rsid w:val="004B1B7F"/>
    <w:rsid w:val="004B283D"/>
    <w:rsid w:val="004B2B5A"/>
    <w:rsid w:val="004B3775"/>
    <w:rsid w:val="004B3C33"/>
    <w:rsid w:val="004B3E82"/>
    <w:rsid w:val="004B3FA7"/>
    <w:rsid w:val="004B6BFF"/>
    <w:rsid w:val="004B7D5A"/>
    <w:rsid w:val="004C0337"/>
    <w:rsid w:val="004C280D"/>
    <w:rsid w:val="004C29FC"/>
    <w:rsid w:val="004C4A79"/>
    <w:rsid w:val="004C4AD2"/>
    <w:rsid w:val="004C5598"/>
    <w:rsid w:val="004C59FD"/>
    <w:rsid w:val="004C5DBE"/>
    <w:rsid w:val="004C6342"/>
    <w:rsid w:val="004C6AD4"/>
    <w:rsid w:val="004C78D0"/>
    <w:rsid w:val="004D0BA0"/>
    <w:rsid w:val="004D1511"/>
    <w:rsid w:val="004D1958"/>
    <w:rsid w:val="004D38A2"/>
    <w:rsid w:val="004D4276"/>
    <w:rsid w:val="004D5E13"/>
    <w:rsid w:val="004D7873"/>
    <w:rsid w:val="004D7A6B"/>
    <w:rsid w:val="004E058F"/>
    <w:rsid w:val="004E07AD"/>
    <w:rsid w:val="004E139D"/>
    <w:rsid w:val="004E3671"/>
    <w:rsid w:val="004E3B87"/>
    <w:rsid w:val="004E40FF"/>
    <w:rsid w:val="004E58F7"/>
    <w:rsid w:val="004E6600"/>
    <w:rsid w:val="004E6C10"/>
    <w:rsid w:val="004E7084"/>
    <w:rsid w:val="004F0966"/>
    <w:rsid w:val="004F1341"/>
    <w:rsid w:val="004F2438"/>
    <w:rsid w:val="004F2C6B"/>
    <w:rsid w:val="004F3789"/>
    <w:rsid w:val="004F486C"/>
    <w:rsid w:val="0050079C"/>
    <w:rsid w:val="00500CFA"/>
    <w:rsid w:val="00503F64"/>
    <w:rsid w:val="0050489D"/>
    <w:rsid w:val="005051C1"/>
    <w:rsid w:val="00505577"/>
    <w:rsid w:val="005060AB"/>
    <w:rsid w:val="0050704E"/>
    <w:rsid w:val="0051089F"/>
    <w:rsid w:val="00510921"/>
    <w:rsid w:val="00510AD3"/>
    <w:rsid w:val="00512933"/>
    <w:rsid w:val="00512A39"/>
    <w:rsid w:val="00512C37"/>
    <w:rsid w:val="00513348"/>
    <w:rsid w:val="00513AD8"/>
    <w:rsid w:val="0051425B"/>
    <w:rsid w:val="00515A5E"/>
    <w:rsid w:val="00515CEB"/>
    <w:rsid w:val="005204D2"/>
    <w:rsid w:val="00522396"/>
    <w:rsid w:val="00522CF9"/>
    <w:rsid w:val="00523099"/>
    <w:rsid w:val="00523482"/>
    <w:rsid w:val="005237C6"/>
    <w:rsid w:val="00523853"/>
    <w:rsid w:val="0052450E"/>
    <w:rsid w:val="005249B2"/>
    <w:rsid w:val="005254AE"/>
    <w:rsid w:val="00525571"/>
    <w:rsid w:val="00525F18"/>
    <w:rsid w:val="005266D2"/>
    <w:rsid w:val="005324B0"/>
    <w:rsid w:val="00532FC6"/>
    <w:rsid w:val="0053378A"/>
    <w:rsid w:val="00533944"/>
    <w:rsid w:val="00533B5D"/>
    <w:rsid w:val="00534142"/>
    <w:rsid w:val="005353EF"/>
    <w:rsid w:val="00540F3A"/>
    <w:rsid w:val="00542CE1"/>
    <w:rsid w:val="00542EA8"/>
    <w:rsid w:val="00543038"/>
    <w:rsid w:val="00544AA9"/>
    <w:rsid w:val="00544D1B"/>
    <w:rsid w:val="005453FE"/>
    <w:rsid w:val="005456B8"/>
    <w:rsid w:val="0054637A"/>
    <w:rsid w:val="00546A34"/>
    <w:rsid w:val="00550182"/>
    <w:rsid w:val="00550624"/>
    <w:rsid w:val="00550E16"/>
    <w:rsid w:val="0055102D"/>
    <w:rsid w:val="00552B72"/>
    <w:rsid w:val="00552C93"/>
    <w:rsid w:val="00552E79"/>
    <w:rsid w:val="00553696"/>
    <w:rsid w:val="00553AB7"/>
    <w:rsid w:val="00554D9C"/>
    <w:rsid w:val="00555787"/>
    <w:rsid w:val="00555C50"/>
    <w:rsid w:val="005561AA"/>
    <w:rsid w:val="00560A55"/>
    <w:rsid w:val="00560D72"/>
    <w:rsid w:val="0056134D"/>
    <w:rsid w:val="0056180E"/>
    <w:rsid w:val="0056186D"/>
    <w:rsid w:val="00562931"/>
    <w:rsid w:val="00562D6C"/>
    <w:rsid w:val="005631B8"/>
    <w:rsid w:val="005634FB"/>
    <w:rsid w:val="00564844"/>
    <w:rsid w:val="00564F34"/>
    <w:rsid w:val="005656A2"/>
    <w:rsid w:val="00566618"/>
    <w:rsid w:val="0056773F"/>
    <w:rsid w:val="005701D3"/>
    <w:rsid w:val="005702CE"/>
    <w:rsid w:val="005706B9"/>
    <w:rsid w:val="0057113E"/>
    <w:rsid w:val="00571E9D"/>
    <w:rsid w:val="0057223B"/>
    <w:rsid w:val="00573624"/>
    <w:rsid w:val="005750B7"/>
    <w:rsid w:val="0057510D"/>
    <w:rsid w:val="005758BA"/>
    <w:rsid w:val="00577C8D"/>
    <w:rsid w:val="00580804"/>
    <w:rsid w:val="00580DD6"/>
    <w:rsid w:val="00581514"/>
    <w:rsid w:val="00582370"/>
    <w:rsid w:val="0058250B"/>
    <w:rsid w:val="00582DE3"/>
    <w:rsid w:val="00583D10"/>
    <w:rsid w:val="00584B1F"/>
    <w:rsid w:val="00584FE1"/>
    <w:rsid w:val="00585AB9"/>
    <w:rsid w:val="0058607B"/>
    <w:rsid w:val="00586176"/>
    <w:rsid w:val="00586477"/>
    <w:rsid w:val="00587426"/>
    <w:rsid w:val="005876FD"/>
    <w:rsid w:val="00587D3B"/>
    <w:rsid w:val="00587FBE"/>
    <w:rsid w:val="00590002"/>
    <w:rsid w:val="00591B5F"/>
    <w:rsid w:val="00592BD2"/>
    <w:rsid w:val="0059396D"/>
    <w:rsid w:val="00593D6B"/>
    <w:rsid w:val="005943DA"/>
    <w:rsid w:val="00594F0F"/>
    <w:rsid w:val="00597C37"/>
    <w:rsid w:val="005A0DBE"/>
    <w:rsid w:val="005A1C0A"/>
    <w:rsid w:val="005A20F6"/>
    <w:rsid w:val="005A304D"/>
    <w:rsid w:val="005A36B9"/>
    <w:rsid w:val="005A4786"/>
    <w:rsid w:val="005A6BAF"/>
    <w:rsid w:val="005A6BB5"/>
    <w:rsid w:val="005A6C7B"/>
    <w:rsid w:val="005A74FE"/>
    <w:rsid w:val="005A7CF6"/>
    <w:rsid w:val="005A7E28"/>
    <w:rsid w:val="005B11A5"/>
    <w:rsid w:val="005B1B44"/>
    <w:rsid w:val="005B1C5D"/>
    <w:rsid w:val="005B1D92"/>
    <w:rsid w:val="005B53E5"/>
    <w:rsid w:val="005B551F"/>
    <w:rsid w:val="005B55E8"/>
    <w:rsid w:val="005B612D"/>
    <w:rsid w:val="005B79DE"/>
    <w:rsid w:val="005C0697"/>
    <w:rsid w:val="005C0DE2"/>
    <w:rsid w:val="005C1603"/>
    <w:rsid w:val="005C215F"/>
    <w:rsid w:val="005C56E7"/>
    <w:rsid w:val="005C75E9"/>
    <w:rsid w:val="005C7EEC"/>
    <w:rsid w:val="005D0D60"/>
    <w:rsid w:val="005D1756"/>
    <w:rsid w:val="005D1842"/>
    <w:rsid w:val="005D3655"/>
    <w:rsid w:val="005D3948"/>
    <w:rsid w:val="005D3B96"/>
    <w:rsid w:val="005D3CD0"/>
    <w:rsid w:val="005D417A"/>
    <w:rsid w:val="005D4D0B"/>
    <w:rsid w:val="005D4E15"/>
    <w:rsid w:val="005D4F6C"/>
    <w:rsid w:val="005D63A7"/>
    <w:rsid w:val="005D7263"/>
    <w:rsid w:val="005E4830"/>
    <w:rsid w:val="005E5F1A"/>
    <w:rsid w:val="005E7929"/>
    <w:rsid w:val="005E7EE0"/>
    <w:rsid w:val="005F2E9A"/>
    <w:rsid w:val="005F30D6"/>
    <w:rsid w:val="005F3D16"/>
    <w:rsid w:val="005F42E6"/>
    <w:rsid w:val="005F6A73"/>
    <w:rsid w:val="005F6BE4"/>
    <w:rsid w:val="005F7352"/>
    <w:rsid w:val="005F7CB9"/>
    <w:rsid w:val="00600CE2"/>
    <w:rsid w:val="0060100D"/>
    <w:rsid w:val="00601CD2"/>
    <w:rsid w:val="006024AC"/>
    <w:rsid w:val="00602556"/>
    <w:rsid w:val="00602B9A"/>
    <w:rsid w:val="006040BF"/>
    <w:rsid w:val="00604CD6"/>
    <w:rsid w:val="006058E5"/>
    <w:rsid w:val="006058FB"/>
    <w:rsid w:val="0060613F"/>
    <w:rsid w:val="006079ED"/>
    <w:rsid w:val="00610BDB"/>
    <w:rsid w:val="00610E35"/>
    <w:rsid w:val="00610F03"/>
    <w:rsid w:val="0061220C"/>
    <w:rsid w:val="00612910"/>
    <w:rsid w:val="006148A9"/>
    <w:rsid w:val="00617160"/>
    <w:rsid w:val="00622024"/>
    <w:rsid w:val="00622748"/>
    <w:rsid w:val="00622B86"/>
    <w:rsid w:val="00623BA1"/>
    <w:rsid w:val="00624090"/>
    <w:rsid w:val="00625153"/>
    <w:rsid w:val="006259F5"/>
    <w:rsid w:val="006279BC"/>
    <w:rsid w:val="00627DD9"/>
    <w:rsid w:val="00630544"/>
    <w:rsid w:val="00630BBA"/>
    <w:rsid w:val="00631E43"/>
    <w:rsid w:val="00631F17"/>
    <w:rsid w:val="00632A94"/>
    <w:rsid w:val="00632B23"/>
    <w:rsid w:val="0063314E"/>
    <w:rsid w:val="006346BC"/>
    <w:rsid w:val="00634D67"/>
    <w:rsid w:val="00635361"/>
    <w:rsid w:val="0064049B"/>
    <w:rsid w:val="006416DA"/>
    <w:rsid w:val="00641C3E"/>
    <w:rsid w:val="00641D30"/>
    <w:rsid w:val="0064305B"/>
    <w:rsid w:val="0064406C"/>
    <w:rsid w:val="00645518"/>
    <w:rsid w:val="00646DBA"/>
    <w:rsid w:val="00646E2B"/>
    <w:rsid w:val="00651213"/>
    <w:rsid w:val="0065251C"/>
    <w:rsid w:val="00652810"/>
    <w:rsid w:val="00653D9A"/>
    <w:rsid w:val="0065632D"/>
    <w:rsid w:val="00660121"/>
    <w:rsid w:val="0066249C"/>
    <w:rsid w:val="00662763"/>
    <w:rsid w:val="00664281"/>
    <w:rsid w:val="00664DFE"/>
    <w:rsid w:val="0066532A"/>
    <w:rsid w:val="0066652A"/>
    <w:rsid w:val="00666999"/>
    <w:rsid w:val="0066739F"/>
    <w:rsid w:val="00667907"/>
    <w:rsid w:val="0067090E"/>
    <w:rsid w:val="006719C3"/>
    <w:rsid w:val="00672228"/>
    <w:rsid w:val="0067355E"/>
    <w:rsid w:val="0067418A"/>
    <w:rsid w:val="006753B2"/>
    <w:rsid w:val="006775C6"/>
    <w:rsid w:val="006775D3"/>
    <w:rsid w:val="00677853"/>
    <w:rsid w:val="0067788C"/>
    <w:rsid w:val="00680512"/>
    <w:rsid w:val="00680522"/>
    <w:rsid w:val="00680DE5"/>
    <w:rsid w:val="00681745"/>
    <w:rsid w:val="00681923"/>
    <w:rsid w:val="00682167"/>
    <w:rsid w:val="006845C5"/>
    <w:rsid w:val="006861D0"/>
    <w:rsid w:val="00686664"/>
    <w:rsid w:val="0069240A"/>
    <w:rsid w:val="00694C11"/>
    <w:rsid w:val="00694EDF"/>
    <w:rsid w:val="006955E7"/>
    <w:rsid w:val="00696A79"/>
    <w:rsid w:val="006A04F5"/>
    <w:rsid w:val="006A2D61"/>
    <w:rsid w:val="006A69F0"/>
    <w:rsid w:val="006A787F"/>
    <w:rsid w:val="006B158F"/>
    <w:rsid w:val="006B15F9"/>
    <w:rsid w:val="006B1A03"/>
    <w:rsid w:val="006B1D05"/>
    <w:rsid w:val="006B2FA3"/>
    <w:rsid w:val="006B3438"/>
    <w:rsid w:val="006B3571"/>
    <w:rsid w:val="006B5772"/>
    <w:rsid w:val="006B6681"/>
    <w:rsid w:val="006B7D68"/>
    <w:rsid w:val="006C0907"/>
    <w:rsid w:val="006C0E52"/>
    <w:rsid w:val="006C126A"/>
    <w:rsid w:val="006C1739"/>
    <w:rsid w:val="006C2470"/>
    <w:rsid w:val="006C42AF"/>
    <w:rsid w:val="006C5143"/>
    <w:rsid w:val="006C5F6A"/>
    <w:rsid w:val="006C626E"/>
    <w:rsid w:val="006C64E0"/>
    <w:rsid w:val="006C6834"/>
    <w:rsid w:val="006C6F88"/>
    <w:rsid w:val="006D1917"/>
    <w:rsid w:val="006D23DC"/>
    <w:rsid w:val="006D2FFE"/>
    <w:rsid w:val="006D394C"/>
    <w:rsid w:val="006D5BBB"/>
    <w:rsid w:val="006D5D84"/>
    <w:rsid w:val="006D5F64"/>
    <w:rsid w:val="006D61A7"/>
    <w:rsid w:val="006E06A8"/>
    <w:rsid w:val="006E28CF"/>
    <w:rsid w:val="006E292E"/>
    <w:rsid w:val="006E2EC0"/>
    <w:rsid w:val="006E42A8"/>
    <w:rsid w:val="006E501F"/>
    <w:rsid w:val="006E6F80"/>
    <w:rsid w:val="006E716D"/>
    <w:rsid w:val="006E71C2"/>
    <w:rsid w:val="006E75A3"/>
    <w:rsid w:val="006F05D0"/>
    <w:rsid w:val="006F1DE5"/>
    <w:rsid w:val="006F2BE6"/>
    <w:rsid w:val="006F47F3"/>
    <w:rsid w:val="006F56DA"/>
    <w:rsid w:val="006F58E7"/>
    <w:rsid w:val="006F6F74"/>
    <w:rsid w:val="006F7BD2"/>
    <w:rsid w:val="007006B3"/>
    <w:rsid w:val="00701B6F"/>
    <w:rsid w:val="00701D13"/>
    <w:rsid w:val="007031B5"/>
    <w:rsid w:val="007033B2"/>
    <w:rsid w:val="007040A0"/>
    <w:rsid w:val="00704932"/>
    <w:rsid w:val="00704A46"/>
    <w:rsid w:val="0070613B"/>
    <w:rsid w:val="00706E4E"/>
    <w:rsid w:val="007073AF"/>
    <w:rsid w:val="0070759E"/>
    <w:rsid w:val="00707919"/>
    <w:rsid w:val="007107C0"/>
    <w:rsid w:val="00711163"/>
    <w:rsid w:val="00711260"/>
    <w:rsid w:val="00711D8E"/>
    <w:rsid w:val="00712672"/>
    <w:rsid w:val="0071275F"/>
    <w:rsid w:val="007146BD"/>
    <w:rsid w:val="00714EA4"/>
    <w:rsid w:val="00715351"/>
    <w:rsid w:val="0071660C"/>
    <w:rsid w:val="00716AC7"/>
    <w:rsid w:val="00716DB6"/>
    <w:rsid w:val="0071709B"/>
    <w:rsid w:val="00720DAB"/>
    <w:rsid w:val="00720E58"/>
    <w:rsid w:val="007221D2"/>
    <w:rsid w:val="007243B2"/>
    <w:rsid w:val="00724B67"/>
    <w:rsid w:val="00725BB1"/>
    <w:rsid w:val="00725F4E"/>
    <w:rsid w:val="007307EE"/>
    <w:rsid w:val="007322EC"/>
    <w:rsid w:val="007325FC"/>
    <w:rsid w:val="00733754"/>
    <w:rsid w:val="0073382C"/>
    <w:rsid w:val="00733BF4"/>
    <w:rsid w:val="00733C14"/>
    <w:rsid w:val="00734E3F"/>
    <w:rsid w:val="007350D0"/>
    <w:rsid w:val="00735512"/>
    <w:rsid w:val="007358C2"/>
    <w:rsid w:val="00735F82"/>
    <w:rsid w:val="00736985"/>
    <w:rsid w:val="00736DC7"/>
    <w:rsid w:val="007402B2"/>
    <w:rsid w:val="00740F8C"/>
    <w:rsid w:val="00741113"/>
    <w:rsid w:val="00741304"/>
    <w:rsid w:val="00741EDE"/>
    <w:rsid w:val="00742489"/>
    <w:rsid w:val="00743214"/>
    <w:rsid w:val="0074437C"/>
    <w:rsid w:val="00744A98"/>
    <w:rsid w:val="00745DF5"/>
    <w:rsid w:val="00746C87"/>
    <w:rsid w:val="007470FA"/>
    <w:rsid w:val="00747E4C"/>
    <w:rsid w:val="00750695"/>
    <w:rsid w:val="00750EBB"/>
    <w:rsid w:val="007513F5"/>
    <w:rsid w:val="00751A97"/>
    <w:rsid w:val="007539A8"/>
    <w:rsid w:val="00753A38"/>
    <w:rsid w:val="00754ED3"/>
    <w:rsid w:val="00755252"/>
    <w:rsid w:val="007554F7"/>
    <w:rsid w:val="00756E39"/>
    <w:rsid w:val="007618BA"/>
    <w:rsid w:val="0076250F"/>
    <w:rsid w:val="00763BFB"/>
    <w:rsid w:val="00765537"/>
    <w:rsid w:val="00765AF9"/>
    <w:rsid w:val="007679A8"/>
    <w:rsid w:val="007679FF"/>
    <w:rsid w:val="007706B8"/>
    <w:rsid w:val="00770944"/>
    <w:rsid w:val="00771984"/>
    <w:rsid w:val="00772A68"/>
    <w:rsid w:val="00774EE4"/>
    <w:rsid w:val="00776850"/>
    <w:rsid w:val="0077744B"/>
    <w:rsid w:val="00777C72"/>
    <w:rsid w:val="0078081E"/>
    <w:rsid w:val="00780FA5"/>
    <w:rsid w:val="00783FC5"/>
    <w:rsid w:val="0078445D"/>
    <w:rsid w:val="00785390"/>
    <w:rsid w:val="00786013"/>
    <w:rsid w:val="007875FD"/>
    <w:rsid w:val="007876CB"/>
    <w:rsid w:val="00787F37"/>
    <w:rsid w:val="00787F7E"/>
    <w:rsid w:val="00790171"/>
    <w:rsid w:val="00790AF0"/>
    <w:rsid w:val="00790B10"/>
    <w:rsid w:val="00791D3C"/>
    <w:rsid w:val="00792BF4"/>
    <w:rsid w:val="007974C2"/>
    <w:rsid w:val="007A0466"/>
    <w:rsid w:val="007A199F"/>
    <w:rsid w:val="007A1E63"/>
    <w:rsid w:val="007A2EAD"/>
    <w:rsid w:val="007A3B3A"/>
    <w:rsid w:val="007A3B92"/>
    <w:rsid w:val="007A5328"/>
    <w:rsid w:val="007A6663"/>
    <w:rsid w:val="007B06DC"/>
    <w:rsid w:val="007B1170"/>
    <w:rsid w:val="007B2F89"/>
    <w:rsid w:val="007B3B6D"/>
    <w:rsid w:val="007B44F3"/>
    <w:rsid w:val="007B59BC"/>
    <w:rsid w:val="007B60E9"/>
    <w:rsid w:val="007B6200"/>
    <w:rsid w:val="007B6FF6"/>
    <w:rsid w:val="007B735A"/>
    <w:rsid w:val="007B74D7"/>
    <w:rsid w:val="007B7A60"/>
    <w:rsid w:val="007C1273"/>
    <w:rsid w:val="007C1B1E"/>
    <w:rsid w:val="007C1E22"/>
    <w:rsid w:val="007C3BE3"/>
    <w:rsid w:val="007C42DA"/>
    <w:rsid w:val="007C4B56"/>
    <w:rsid w:val="007C5AC9"/>
    <w:rsid w:val="007C5CB4"/>
    <w:rsid w:val="007C739B"/>
    <w:rsid w:val="007D0A65"/>
    <w:rsid w:val="007D0F80"/>
    <w:rsid w:val="007D1AA0"/>
    <w:rsid w:val="007D35D5"/>
    <w:rsid w:val="007D3E77"/>
    <w:rsid w:val="007D43E8"/>
    <w:rsid w:val="007D49FE"/>
    <w:rsid w:val="007D517C"/>
    <w:rsid w:val="007D543A"/>
    <w:rsid w:val="007D6E0D"/>
    <w:rsid w:val="007D7171"/>
    <w:rsid w:val="007E155E"/>
    <w:rsid w:val="007E3550"/>
    <w:rsid w:val="007E3FF9"/>
    <w:rsid w:val="007E4969"/>
    <w:rsid w:val="007E6C2B"/>
    <w:rsid w:val="007E7CEC"/>
    <w:rsid w:val="007F087B"/>
    <w:rsid w:val="007F0A71"/>
    <w:rsid w:val="007F0DE9"/>
    <w:rsid w:val="007F0F10"/>
    <w:rsid w:val="007F1170"/>
    <w:rsid w:val="007F1F33"/>
    <w:rsid w:val="007F3395"/>
    <w:rsid w:val="007F37DC"/>
    <w:rsid w:val="007F4849"/>
    <w:rsid w:val="007F5519"/>
    <w:rsid w:val="007F5AF1"/>
    <w:rsid w:val="007F6EFE"/>
    <w:rsid w:val="00800BAA"/>
    <w:rsid w:val="00801A76"/>
    <w:rsid w:val="00801B9F"/>
    <w:rsid w:val="00801E4D"/>
    <w:rsid w:val="0080204D"/>
    <w:rsid w:val="00802D7F"/>
    <w:rsid w:val="0080364E"/>
    <w:rsid w:val="00803ADC"/>
    <w:rsid w:val="0080460B"/>
    <w:rsid w:val="008058C4"/>
    <w:rsid w:val="00805B9C"/>
    <w:rsid w:val="00806BDC"/>
    <w:rsid w:val="00807111"/>
    <w:rsid w:val="008072D2"/>
    <w:rsid w:val="00810213"/>
    <w:rsid w:val="00810FA1"/>
    <w:rsid w:val="00811B2B"/>
    <w:rsid w:val="00813F7B"/>
    <w:rsid w:val="008142AC"/>
    <w:rsid w:val="00814D91"/>
    <w:rsid w:val="008153C6"/>
    <w:rsid w:val="008154D1"/>
    <w:rsid w:val="00815BD2"/>
    <w:rsid w:val="00816872"/>
    <w:rsid w:val="00817240"/>
    <w:rsid w:val="00817351"/>
    <w:rsid w:val="0081756C"/>
    <w:rsid w:val="00817615"/>
    <w:rsid w:val="0081786F"/>
    <w:rsid w:val="00817CA7"/>
    <w:rsid w:val="00817DE6"/>
    <w:rsid w:val="00817EBD"/>
    <w:rsid w:val="00821DCB"/>
    <w:rsid w:val="00822091"/>
    <w:rsid w:val="00822780"/>
    <w:rsid w:val="00823B7F"/>
    <w:rsid w:val="00823BB6"/>
    <w:rsid w:val="00825DFF"/>
    <w:rsid w:val="00826C3B"/>
    <w:rsid w:val="00826EE0"/>
    <w:rsid w:val="0083052F"/>
    <w:rsid w:val="00832C09"/>
    <w:rsid w:val="00832FEA"/>
    <w:rsid w:val="00832FFA"/>
    <w:rsid w:val="0083389D"/>
    <w:rsid w:val="008349C0"/>
    <w:rsid w:val="00834C06"/>
    <w:rsid w:val="00834E71"/>
    <w:rsid w:val="00837139"/>
    <w:rsid w:val="00837C33"/>
    <w:rsid w:val="0084081B"/>
    <w:rsid w:val="00841AC9"/>
    <w:rsid w:val="00841CD9"/>
    <w:rsid w:val="0084328E"/>
    <w:rsid w:val="00843AB4"/>
    <w:rsid w:val="00844208"/>
    <w:rsid w:val="008443F2"/>
    <w:rsid w:val="008463E4"/>
    <w:rsid w:val="00846A86"/>
    <w:rsid w:val="008474AC"/>
    <w:rsid w:val="008475F0"/>
    <w:rsid w:val="00847E90"/>
    <w:rsid w:val="00851149"/>
    <w:rsid w:val="00851FD1"/>
    <w:rsid w:val="00853D2B"/>
    <w:rsid w:val="00853E0B"/>
    <w:rsid w:val="00854659"/>
    <w:rsid w:val="008557A7"/>
    <w:rsid w:val="00855B58"/>
    <w:rsid w:val="00857F38"/>
    <w:rsid w:val="00857F64"/>
    <w:rsid w:val="0086028C"/>
    <w:rsid w:val="00863E02"/>
    <w:rsid w:val="00864468"/>
    <w:rsid w:val="00864FBF"/>
    <w:rsid w:val="008664A5"/>
    <w:rsid w:val="00867ADC"/>
    <w:rsid w:val="00867F31"/>
    <w:rsid w:val="0087037F"/>
    <w:rsid w:val="00870523"/>
    <w:rsid w:val="0087078D"/>
    <w:rsid w:val="00870928"/>
    <w:rsid w:val="00871439"/>
    <w:rsid w:val="00872862"/>
    <w:rsid w:val="0087510A"/>
    <w:rsid w:val="00875A9B"/>
    <w:rsid w:val="00876C87"/>
    <w:rsid w:val="00877271"/>
    <w:rsid w:val="008779B7"/>
    <w:rsid w:val="00877F46"/>
    <w:rsid w:val="00880253"/>
    <w:rsid w:val="00880AFF"/>
    <w:rsid w:val="00882219"/>
    <w:rsid w:val="008844B1"/>
    <w:rsid w:val="00885A62"/>
    <w:rsid w:val="00885C0F"/>
    <w:rsid w:val="00886672"/>
    <w:rsid w:val="0088680F"/>
    <w:rsid w:val="00886EC6"/>
    <w:rsid w:val="00887BF8"/>
    <w:rsid w:val="00890132"/>
    <w:rsid w:val="0089076B"/>
    <w:rsid w:val="008908F2"/>
    <w:rsid w:val="00891A1A"/>
    <w:rsid w:val="008936C4"/>
    <w:rsid w:val="0089375A"/>
    <w:rsid w:val="00893E3F"/>
    <w:rsid w:val="0089405C"/>
    <w:rsid w:val="008946BD"/>
    <w:rsid w:val="00895621"/>
    <w:rsid w:val="00895A91"/>
    <w:rsid w:val="00895D34"/>
    <w:rsid w:val="00896871"/>
    <w:rsid w:val="00897153"/>
    <w:rsid w:val="00897DA2"/>
    <w:rsid w:val="00897DAB"/>
    <w:rsid w:val="00897FA2"/>
    <w:rsid w:val="008A1518"/>
    <w:rsid w:val="008A289D"/>
    <w:rsid w:val="008A4858"/>
    <w:rsid w:val="008A497A"/>
    <w:rsid w:val="008A571E"/>
    <w:rsid w:val="008A5AFE"/>
    <w:rsid w:val="008A5D76"/>
    <w:rsid w:val="008A616F"/>
    <w:rsid w:val="008A7212"/>
    <w:rsid w:val="008B0638"/>
    <w:rsid w:val="008B0826"/>
    <w:rsid w:val="008B2B6A"/>
    <w:rsid w:val="008B32AF"/>
    <w:rsid w:val="008B3F32"/>
    <w:rsid w:val="008B515B"/>
    <w:rsid w:val="008B5F14"/>
    <w:rsid w:val="008B6111"/>
    <w:rsid w:val="008B6C96"/>
    <w:rsid w:val="008B6F36"/>
    <w:rsid w:val="008B7A2D"/>
    <w:rsid w:val="008B7CD0"/>
    <w:rsid w:val="008B7EB1"/>
    <w:rsid w:val="008C1395"/>
    <w:rsid w:val="008C3A21"/>
    <w:rsid w:val="008C3C02"/>
    <w:rsid w:val="008C48F9"/>
    <w:rsid w:val="008C558B"/>
    <w:rsid w:val="008C5A0E"/>
    <w:rsid w:val="008C70A2"/>
    <w:rsid w:val="008D0536"/>
    <w:rsid w:val="008D076D"/>
    <w:rsid w:val="008D1551"/>
    <w:rsid w:val="008D5E08"/>
    <w:rsid w:val="008D6698"/>
    <w:rsid w:val="008D6E5A"/>
    <w:rsid w:val="008E1064"/>
    <w:rsid w:val="008E15FB"/>
    <w:rsid w:val="008E1F06"/>
    <w:rsid w:val="008E30AD"/>
    <w:rsid w:val="008E3AC1"/>
    <w:rsid w:val="008E3DCE"/>
    <w:rsid w:val="008E4581"/>
    <w:rsid w:val="008E4835"/>
    <w:rsid w:val="008E5528"/>
    <w:rsid w:val="008E6A20"/>
    <w:rsid w:val="008E7925"/>
    <w:rsid w:val="008F006E"/>
    <w:rsid w:val="008F0590"/>
    <w:rsid w:val="008F20C2"/>
    <w:rsid w:val="008F3505"/>
    <w:rsid w:val="008F38AC"/>
    <w:rsid w:val="008F5648"/>
    <w:rsid w:val="008F620B"/>
    <w:rsid w:val="008F72C8"/>
    <w:rsid w:val="008F7312"/>
    <w:rsid w:val="008F7651"/>
    <w:rsid w:val="008F781B"/>
    <w:rsid w:val="008F7CAE"/>
    <w:rsid w:val="009008D0"/>
    <w:rsid w:val="00900D03"/>
    <w:rsid w:val="00903410"/>
    <w:rsid w:val="00904216"/>
    <w:rsid w:val="009055A6"/>
    <w:rsid w:val="00906EFE"/>
    <w:rsid w:val="009070DF"/>
    <w:rsid w:val="00907924"/>
    <w:rsid w:val="00907B43"/>
    <w:rsid w:val="00907DE1"/>
    <w:rsid w:val="009104E2"/>
    <w:rsid w:val="00910CB1"/>
    <w:rsid w:val="0091186E"/>
    <w:rsid w:val="009152BF"/>
    <w:rsid w:val="00915A57"/>
    <w:rsid w:val="00915FD7"/>
    <w:rsid w:val="00917449"/>
    <w:rsid w:val="00917E7A"/>
    <w:rsid w:val="00917ED4"/>
    <w:rsid w:val="00920218"/>
    <w:rsid w:val="00920889"/>
    <w:rsid w:val="009213A1"/>
    <w:rsid w:val="00922621"/>
    <w:rsid w:val="009228D9"/>
    <w:rsid w:val="00923643"/>
    <w:rsid w:val="00924C80"/>
    <w:rsid w:val="009250A0"/>
    <w:rsid w:val="00925D96"/>
    <w:rsid w:val="009267AD"/>
    <w:rsid w:val="00927172"/>
    <w:rsid w:val="009278D2"/>
    <w:rsid w:val="00930CBC"/>
    <w:rsid w:val="00931B87"/>
    <w:rsid w:val="009325E4"/>
    <w:rsid w:val="00934D17"/>
    <w:rsid w:val="00935ABC"/>
    <w:rsid w:val="00935D03"/>
    <w:rsid w:val="00937862"/>
    <w:rsid w:val="00937890"/>
    <w:rsid w:val="0094042A"/>
    <w:rsid w:val="00940C7A"/>
    <w:rsid w:val="00941177"/>
    <w:rsid w:val="00943730"/>
    <w:rsid w:val="009449C7"/>
    <w:rsid w:val="00944CFB"/>
    <w:rsid w:val="00944F7B"/>
    <w:rsid w:val="00944F92"/>
    <w:rsid w:val="00944FDB"/>
    <w:rsid w:val="00945A39"/>
    <w:rsid w:val="00947427"/>
    <w:rsid w:val="00947806"/>
    <w:rsid w:val="0095053A"/>
    <w:rsid w:val="0095099F"/>
    <w:rsid w:val="00951414"/>
    <w:rsid w:val="00952C42"/>
    <w:rsid w:val="00952FED"/>
    <w:rsid w:val="00954000"/>
    <w:rsid w:val="00954ABA"/>
    <w:rsid w:val="00954E2F"/>
    <w:rsid w:val="00955E5F"/>
    <w:rsid w:val="009564F2"/>
    <w:rsid w:val="00956FDA"/>
    <w:rsid w:val="00961E72"/>
    <w:rsid w:val="009625CF"/>
    <w:rsid w:val="00962FC4"/>
    <w:rsid w:val="00963503"/>
    <w:rsid w:val="00963ABA"/>
    <w:rsid w:val="00963FA4"/>
    <w:rsid w:val="0096424D"/>
    <w:rsid w:val="00964D35"/>
    <w:rsid w:val="009650E8"/>
    <w:rsid w:val="009657E7"/>
    <w:rsid w:val="009660F5"/>
    <w:rsid w:val="009663AE"/>
    <w:rsid w:val="00966849"/>
    <w:rsid w:val="00967934"/>
    <w:rsid w:val="00970153"/>
    <w:rsid w:val="00971AF6"/>
    <w:rsid w:val="009728DB"/>
    <w:rsid w:val="009734B3"/>
    <w:rsid w:val="00973FF1"/>
    <w:rsid w:val="00974EAF"/>
    <w:rsid w:val="00975B36"/>
    <w:rsid w:val="00975CA5"/>
    <w:rsid w:val="00975CB7"/>
    <w:rsid w:val="00977296"/>
    <w:rsid w:val="00977676"/>
    <w:rsid w:val="00980574"/>
    <w:rsid w:val="009811E4"/>
    <w:rsid w:val="00981DA0"/>
    <w:rsid w:val="009823D2"/>
    <w:rsid w:val="00983AED"/>
    <w:rsid w:val="0098441E"/>
    <w:rsid w:val="009850DE"/>
    <w:rsid w:val="00985209"/>
    <w:rsid w:val="00985307"/>
    <w:rsid w:val="00986590"/>
    <w:rsid w:val="00986D69"/>
    <w:rsid w:val="00987867"/>
    <w:rsid w:val="00990571"/>
    <w:rsid w:val="00991E0C"/>
    <w:rsid w:val="00991E90"/>
    <w:rsid w:val="00991F06"/>
    <w:rsid w:val="00991F9E"/>
    <w:rsid w:val="00992C76"/>
    <w:rsid w:val="00992EDE"/>
    <w:rsid w:val="0099350E"/>
    <w:rsid w:val="009954A2"/>
    <w:rsid w:val="0099658D"/>
    <w:rsid w:val="009969D6"/>
    <w:rsid w:val="009972C2"/>
    <w:rsid w:val="00997536"/>
    <w:rsid w:val="009A0908"/>
    <w:rsid w:val="009A0951"/>
    <w:rsid w:val="009A0F83"/>
    <w:rsid w:val="009A100A"/>
    <w:rsid w:val="009A16C6"/>
    <w:rsid w:val="009A191C"/>
    <w:rsid w:val="009A27AC"/>
    <w:rsid w:val="009A27CB"/>
    <w:rsid w:val="009A3DD2"/>
    <w:rsid w:val="009A49D2"/>
    <w:rsid w:val="009A5194"/>
    <w:rsid w:val="009A59B2"/>
    <w:rsid w:val="009A62BF"/>
    <w:rsid w:val="009A68C9"/>
    <w:rsid w:val="009A6ACD"/>
    <w:rsid w:val="009B17DB"/>
    <w:rsid w:val="009B1F5B"/>
    <w:rsid w:val="009B2A2A"/>
    <w:rsid w:val="009B470C"/>
    <w:rsid w:val="009B4D3B"/>
    <w:rsid w:val="009B4DBA"/>
    <w:rsid w:val="009B5EB7"/>
    <w:rsid w:val="009B6397"/>
    <w:rsid w:val="009B7942"/>
    <w:rsid w:val="009B7BE3"/>
    <w:rsid w:val="009C1C30"/>
    <w:rsid w:val="009C3C9A"/>
    <w:rsid w:val="009C41D4"/>
    <w:rsid w:val="009C5700"/>
    <w:rsid w:val="009C6AFE"/>
    <w:rsid w:val="009C7772"/>
    <w:rsid w:val="009D0328"/>
    <w:rsid w:val="009D07ED"/>
    <w:rsid w:val="009D18D6"/>
    <w:rsid w:val="009D1E82"/>
    <w:rsid w:val="009D2976"/>
    <w:rsid w:val="009D377C"/>
    <w:rsid w:val="009D47B6"/>
    <w:rsid w:val="009D4A28"/>
    <w:rsid w:val="009D57C0"/>
    <w:rsid w:val="009D5ACA"/>
    <w:rsid w:val="009D5F84"/>
    <w:rsid w:val="009D65EA"/>
    <w:rsid w:val="009D6A16"/>
    <w:rsid w:val="009D7407"/>
    <w:rsid w:val="009D7929"/>
    <w:rsid w:val="009D7FA1"/>
    <w:rsid w:val="009E0866"/>
    <w:rsid w:val="009E0B6C"/>
    <w:rsid w:val="009E1587"/>
    <w:rsid w:val="009E1CF6"/>
    <w:rsid w:val="009E20BA"/>
    <w:rsid w:val="009E273C"/>
    <w:rsid w:val="009E28A2"/>
    <w:rsid w:val="009E369C"/>
    <w:rsid w:val="009E3E79"/>
    <w:rsid w:val="009E47A6"/>
    <w:rsid w:val="009E565E"/>
    <w:rsid w:val="009E60C2"/>
    <w:rsid w:val="009E6642"/>
    <w:rsid w:val="009E738B"/>
    <w:rsid w:val="009E7889"/>
    <w:rsid w:val="009F0A57"/>
    <w:rsid w:val="009F0B9D"/>
    <w:rsid w:val="009F0CDF"/>
    <w:rsid w:val="009F0FEB"/>
    <w:rsid w:val="009F1295"/>
    <w:rsid w:val="009F1350"/>
    <w:rsid w:val="009F1577"/>
    <w:rsid w:val="009F239D"/>
    <w:rsid w:val="009F248A"/>
    <w:rsid w:val="009F4979"/>
    <w:rsid w:val="009F50D3"/>
    <w:rsid w:val="009F6423"/>
    <w:rsid w:val="009F713D"/>
    <w:rsid w:val="009F7315"/>
    <w:rsid w:val="00A00220"/>
    <w:rsid w:val="00A00872"/>
    <w:rsid w:val="00A00EA9"/>
    <w:rsid w:val="00A024CC"/>
    <w:rsid w:val="00A036F3"/>
    <w:rsid w:val="00A0474A"/>
    <w:rsid w:val="00A05B8B"/>
    <w:rsid w:val="00A0665E"/>
    <w:rsid w:val="00A11662"/>
    <w:rsid w:val="00A12F3A"/>
    <w:rsid w:val="00A13FA0"/>
    <w:rsid w:val="00A156FB"/>
    <w:rsid w:val="00A15B8D"/>
    <w:rsid w:val="00A169DE"/>
    <w:rsid w:val="00A16C9F"/>
    <w:rsid w:val="00A17269"/>
    <w:rsid w:val="00A175B3"/>
    <w:rsid w:val="00A20F0E"/>
    <w:rsid w:val="00A21162"/>
    <w:rsid w:val="00A22940"/>
    <w:rsid w:val="00A22D1B"/>
    <w:rsid w:val="00A23495"/>
    <w:rsid w:val="00A24A62"/>
    <w:rsid w:val="00A25C7C"/>
    <w:rsid w:val="00A2765A"/>
    <w:rsid w:val="00A27A85"/>
    <w:rsid w:val="00A31985"/>
    <w:rsid w:val="00A31BCE"/>
    <w:rsid w:val="00A31C9F"/>
    <w:rsid w:val="00A35285"/>
    <w:rsid w:val="00A353DD"/>
    <w:rsid w:val="00A361A3"/>
    <w:rsid w:val="00A3768F"/>
    <w:rsid w:val="00A40B96"/>
    <w:rsid w:val="00A4144F"/>
    <w:rsid w:val="00A419EA"/>
    <w:rsid w:val="00A41FEE"/>
    <w:rsid w:val="00A42580"/>
    <w:rsid w:val="00A4267E"/>
    <w:rsid w:val="00A42C95"/>
    <w:rsid w:val="00A43820"/>
    <w:rsid w:val="00A43C7C"/>
    <w:rsid w:val="00A447A3"/>
    <w:rsid w:val="00A4671C"/>
    <w:rsid w:val="00A46EF1"/>
    <w:rsid w:val="00A47722"/>
    <w:rsid w:val="00A47D3A"/>
    <w:rsid w:val="00A506D4"/>
    <w:rsid w:val="00A52012"/>
    <w:rsid w:val="00A5294D"/>
    <w:rsid w:val="00A53164"/>
    <w:rsid w:val="00A53246"/>
    <w:rsid w:val="00A55528"/>
    <w:rsid w:val="00A557D4"/>
    <w:rsid w:val="00A56D33"/>
    <w:rsid w:val="00A56EA4"/>
    <w:rsid w:val="00A57DB8"/>
    <w:rsid w:val="00A60CC0"/>
    <w:rsid w:val="00A611AD"/>
    <w:rsid w:val="00A613AA"/>
    <w:rsid w:val="00A614E9"/>
    <w:rsid w:val="00A61B4D"/>
    <w:rsid w:val="00A63493"/>
    <w:rsid w:val="00A63917"/>
    <w:rsid w:val="00A63FEC"/>
    <w:rsid w:val="00A65929"/>
    <w:rsid w:val="00A66659"/>
    <w:rsid w:val="00A66CC5"/>
    <w:rsid w:val="00A6701A"/>
    <w:rsid w:val="00A670DE"/>
    <w:rsid w:val="00A709DA"/>
    <w:rsid w:val="00A72D21"/>
    <w:rsid w:val="00A72ECF"/>
    <w:rsid w:val="00A73619"/>
    <w:rsid w:val="00A746E7"/>
    <w:rsid w:val="00A749BC"/>
    <w:rsid w:val="00A74E8C"/>
    <w:rsid w:val="00A75159"/>
    <w:rsid w:val="00A7531B"/>
    <w:rsid w:val="00A77D41"/>
    <w:rsid w:val="00A77D7B"/>
    <w:rsid w:val="00A80495"/>
    <w:rsid w:val="00A80A67"/>
    <w:rsid w:val="00A80F95"/>
    <w:rsid w:val="00A81383"/>
    <w:rsid w:val="00A82003"/>
    <w:rsid w:val="00A82651"/>
    <w:rsid w:val="00A82B90"/>
    <w:rsid w:val="00A83EF8"/>
    <w:rsid w:val="00A85F5B"/>
    <w:rsid w:val="00A86855"/>
    <w:rsid w:val="00A86AD7"/>
    <w:rsid w:val="00A86DA6"/>
    <w:rsid w:val="00A87499"/>
    <w:rsid w:val="00A87E59"/>
    <w:rsid w:val="00A901FC"/>
    <w:rsid w:val="00A90E47"/>
    <w:rsid w:val="00A91795"/>
    <w:rsid w:val="00A92084"/>
    <w:rsid w:val="00A935FE"/>
    <w:rsid w:val="00A940CA"/>
    <w:rsid w:val="00A944C8"/>
    <w:rsid w:val="00A94685"/>
    <w:rsid w:val="00A95881"/>
    <w:rsid w:val="00A96FDE"/>
    <w:rsid w:val="00A9723E"/>
    <w:rsid w:val="00A97BF1"/>
    <w:rsid w:val="00AA08E9"/>
    <w:rsid w:val="00AA0FF9"/>
    <w:rsid w:val="00AA14F8"/>
    <w:rsid w:val="00AA298A"/>
    <w:rsid w:val="00AA315B"/>
    <w:rsid w:val="00AA3526"/>
    <w:rsid w:val="00AA372B"/>
    <w:rsid w:val="00AB0056"/>
    <w:rsid w:val="00AB0AF6"/>
    <w:rsid w:val="00AB13AE"/>
    <w:rsid w:val="00AB2AB6"/>
    <w:rsid w:val="00AB376E"/>
    <w:rsid w:val="00AB3FAA"/>
    <w:rsid w:val="00AB4389"/>
    <w:rsid w:val="00AB4B3F"/>
    <w:rsid w:val="00AB4BDC"/>
    <w:rsid w:val="00AB5672"/>
    <w:rsid w:val="00AB5BA2"/>
    <w:rsid w:val="00AB6753"/>
    <w:rsid w:val="00AB7C0C"/>
    <w:rsid w:val="00AC02AB"/>
    <w:rsid w:val="00AC164A"/>
    <w:rsid w:val="00AC17FF"/>
    <w:rsid w:val="00AC4758"/>
    <w:rsid w:val="00AC4F71"/>
    <w:rsid w:val="00AC68FC"/>
    <w:rsid w:val="00AC7955"/>
    <w:rsid w:val="00AC7E03"/>
    <w:rsid w:val="00AD04B7"/>
    <w:rsid w:val="00AD09F9"/>
    <w:rsid w:val="00AD1400"/>
    <w:rsid w:val="00AD1FBD"/>
    <w:rsid w:val="00AD21D9"/>
    <w:rsid w:val="00AD2300"/>
    <w:rsid w:val="00AD2A2F"/>
    <w:rsid w:val="00AD3EBE"/>
    <w:rsid w:val="00AD6AB3"/>
    <w:rsid w:val="00AD7CE8"/>
    <w:rsid w:val="00AE10E7"/>
    <w:rsid w:val="00AE179E"/>
    <w:rsid w:val="00AE1858"/>
    <w:rsid w:val="00AE1F88"/>
    <w:rsid w:val="00AE2336"/>
    <w:rsid w:val="00AE24E3"/>
    <w:rsid w:val="00AE3CF0"/>
    <w:rsid w:val="00AE424A"/>
    <w:rsid w:val="00AE448A"/>
    <w:rsid w:val="00AE48AD"/>
    <w:rsid w:val="00AE5B3A"/>
    <w:rsid w:val="00AE79A7"/>
    <w:rsid w:val="00AF0F4A"/>
    <w:rsid w:val="00AF146A"/>
    <w:rsid w:val="00AF1DD9"/>
    <w:rsid w:val="00AF2050"/>
    <w:rsid w:val="00AF211A"/>
    <w:rsid w:val="00AF23C4"/>
    <w:rsid w:val="00AF2AF6"/>
    <w:rsid w:val="00AF2D46"/>
    <w:rsid w:val="00AF30DC"/>
    <w:rsid w:val="00AF35AE"/>
    <w:rsid w:val="00AF404A"/>
    <w:rsid w:val="00AF5332"/>
    <w:rsid w:val="00AF5D94"/>
    <w:rsid w:val="00AF6081"/>
    <w:rsid w:val="00AF6B07"/>
    <w:rsid w:val="00AF6FF3"/>
    <w:rsid w:val="00AF75D6"/>
    <w:rsid w:val="00B0008E"/>
    <w:rsid w:val="00B001A8"/>
    <w:rsid w:val="00B00DAB"/>
    <w:rsid w:val="00B0140D"/>
    <w:rsid w:val="00B01D1D"/>
    <w:rsid w:val="00B0385D"/>
    <w:rsid w:val="00B03CA8"/>
    <w:rsid w:val="00B046D5"/>
    <w:rsid w:val="00B05089"/>
    <w:rsid w:val="00B06CC7"/>
    <w:rsid w:val="00B07921"/>
    <w:rsid w:val="00B103DF"/>
    <w:rsid w:val="00B12034"/>
    <w:rsid w:val="00B120ED"/>
    <w:rsid w:val="00B12EA7"/>
    <w:rsid w:val="00B1409E"/>
    <w:rsid w:val="00B14C8E"/>
    <w:rsid w:val="00B15360"/>
    <w:rsid w:val="00B15BC3"/>
    <w:rsid w:val="00B16FE3"/>
    <w:rsid w:val="00B17F31"/>
    <w:rsid w:val="00B20186"/>
    <w:rsid w:val="00B20ADB"/>
    <w:rsid w:val="00B224E7"/>
    <w:rsid w:val="00B23760"/>
    <w:rsid w:val="00B24D70"/>
    <w:rsid w:val="00B27EE8"/>
    <w:rsid w:val="00B30FF0"/>
    <w:rsid w:val="00B318E8"/>
    <w:rsid w:val="00B31B76"/>
    <w:rsid w:val="00B32CA0"/>
    <w:rsid w:val="00B32D6F"/>
    <w:rsid w:val="00B32EAA"/>
    <w:rsid w:val="00B3319E"/>
    <w:rsid w:val="00B3332A"/>
    <w:rsid w:val="00B33480"/>
    <w:rsid w:val="00B337D5"/>
    <w:rsid w:val="00B33AE8"/>
    <w:rsid w:val="00B33C0A"/>
    <w:rsid w:val="00B3523B"/>
    <w:rsid w:val="00B35909"/>
    <w:rsid w:val="00B3793B"/>
    <w:rsid w:val="00B37E75"/>
    <w:rsid w:val="00B41C49"/>
    <w:rsid w:val="00B43A77"/>
    <w:rsid w:val="00B4430C"/>
    <w:rsid w:val="00B44F02"/>
    <w:rsid w:val="00B46E5D"/>
    <w:rsid w:val="00B471B0"/>
    <w:rsid w:val="00B47795"/>
    <w:rsid w:val="00B503B1"/>
    <w:rsid w:val="00B504DC"/>
    <w:rsid w:val="00B50CF8"/>
    <w:rsid w:val="00B535AB"/>
    <w:rsid w:val="00B54098"/>
    <w:rsid w:val="00B55ABC"/>
    <w:rsid w:val="00B55E19"/>
    <w:rsid w:val="00B56936"/>
    <w:rsid w:val="00B56B09"/>
    <w:rsid w:val="00B620BC"/>
    <w:rsid w:val="00B637DD"/>
    <w:rsid w:val="00B647D0"/>
    <w:rsid w:val="00B6495A"/>
    <w:rsid w:val="00B66722"/>
    <w:rsid w:val="00B667D9"/>
    <w:rsid w:val="00B66843"/>
    <w:rsid w:val="00B67D9F"/>
    <w:rsid w:val="00B70907"/>
    <w:rsid w:val="00B70B50"/>
    <w:rsid w:val="00B7114C"/>
    <w:rsid w:val="00B715F8"/>
    <w:rsid w:val="00B744BC"/>
    <w:rsid w:val="00B74E19"/>
    <w:rsid w:val="00B754C6"/>
    <w:rsid w:val="00B76248"/>
    <w:rsid w:val="00B7702E"/>
    <w:rsid w:val="00B77CBC"/>
    <w:rsid w:val="00B80F35"/>
    <w:rsid w:val="00B818AD"/>
    <w:rsid w:val="00B81D1C"/>
    <w:rsid w:val="00B821F1"/>
    <w:rsid w:val="00B8266A"/>
    <w:rsid w:val="00B82945"/>
    <w:rsid w:val="00B82A22"/>
    <w:rsid w:val="00B82AF8"/>
    <w:rsid w:val="00B83270"/>
    <w:rsid w:val="00B84926"/>
    <w:rsid w:val="00B84BE4"/>
    <w:rsid w:val="00B850E8"/>
    <w:rsid w:val="00B852A7"/>
    <w:rsid w:val="00B8557A"/>
    <w:rsid w:val="00B85B39"/>
    <w:rsid w:val="00B85CE6"/>
    <w:rsid w:val="00B86412"/>
    <w:rsid w:val="00B865E8"/>
    <w:rsid w:val="00B87605"/>
    <w:rsid w:val="00B903CE"/>
    <w:rsid w:val="00B90741"/>
    <w:rsid w:val="00B92576"/>
    <w:rsid w:val="00B927C4"/>
    <w:rsid w:val="00B937F9"/>
    <w:rsid w:val="00B93B69"/>
    <w:rsid w:val="00B93C9B"/>
    <w:rsid w:val="00B94758"/>
    <w:rsid w:val="00B951E2"/>
    <w:rsid w:val="00B96FD0"/>
    <w:rsid w:val="00B97B39"/>
    <w:rsid w:val="00BA03A7"/>
    <w:rsid w:val="00BA0538"/>
    <w:rsid w:val="00BA137D"/>
    <w:rsid w:val="00BA21BD"/>
    <w:rsid w:val="00BA2223"/>
    <w:rsid w:val="00BA26EB"/>
    <w:rsid w:val="00BA2E6B"/>
    <w:rsid w:val="00BA386C"/>
    <w:rsid w:val="00BA4B6D"/>
    <w:rsid w:val="00BA61E8"/>
    <w:rsid w:val="00BA65A6"/>
    <w:rsid w:val="00BA6613"/>
    <w:rsid w:val="00BB0596"/>
    <w:rsid w:val="00BB063A"/>
    <w:rsid w:val="00BB0796"/>
    <w:rsid w:val="00BB10CF"/>
    <w:rsid w:val="00BB164C"/>
    <w:rsid w:val="00BB210F"/>
    <w:rsid w:val="00BB2653"/>
    <w:rsid w:val="00BB26C5"/>
    <w:rsid w:val="00BB2FB1"/>
    <w:rsid w:val="00BB499E"/>
    <w:rsid w:val="00BB4D7C"/>
    <w:rsid w:val="00BB5872"/>
    <w:rsid w:val="00BB65F3"/>
    <w:rsid w:val="00BB7E6C"/>
    <w:rsid w:val="00BC106D"/>
    <w:rsid w:val="00BC1AFC"/>
    <w:rsid w:val="00BC2538"/>
    <w:rsid w:val="00BC31BD"/>
    <w:rsid w:val="00BC3AC1"/>
    <w:rsid w:val="00BC42AE"/>
    <w:rsid w:val="00BC51E5"/>
    <w:rsid w:val="00BC52CF"/>
    <w:rsid w:val="00BC5CD2"/>
    <w:rsid w:val="00BC5D2E"/>
    <w:rsid w:val="00BD0014"/>
    <w:rsid w:val="00BD120E"/>
    <w:rsid w:val="00BD2CB3"/>
    <w:rsid w:val="00BD346B"/>
    <w:rsid w:val="00BD4276"/>
    <w:rsid w:val="00BD50B1"/>
    <w:rsid w:val="00BD57DC"/>
    <w:rsid w:val="00BD7A23"/>
    <w:rsid w:val="00BD7C4A"/>
    <w:rsid w:val="00BD7D58"/>
    <w:rsid w:val="00BE0D96"/>
    <w:rsid w:val="00BE29B2"/>
    <w:rsid w:val="00BE3051"/>
    <w:rsid w:val="00BE3363"/>
    <w:rsid w:val="00BE40A6"/>
    <w:rsid w:val="00BE497F"/>
    <w:rsid w:val="00BE5F3A"/>
    <w:rsid w:val="00BE63C0"/>
    <w:rsid w:val="00BE68B7"/>
    <w:rsid w:val="00BE6B6D"/>
    <w:rsid w:val="00BF0AEB"/>
    <w:rsid w:val="00BF1A79"/>
    <w:rsid w:val="00BF1CE9"/>
    <w:rsid w:val="00BF4650"/>
    <w:rsid w:val="00BF4DE6"/>
    <w:rsid w:val="00BF69AF"/>
    <w:rsid w:val="00BF6E18"/>
    <w:rsid w:val="00C018FE"/>
    <w:rsid w:val="00C01BB8"/>
    <w:rsid w:val="00C026E4"/>
    <w:rsid w:val="00C02C73"/>
    <w:rsid w:val="00C03595"/>
    <w:rsid w:val="00C0398B"/>
    <w:rsid w:val="00C03E3E"/>
    <w:rsid w:val="00C06B13"/>
    <w:rsid w:val="00C06CA1"/>
    <w:rsid w:val="00C10F2C"/>
    <w:rsid w:val="00C11165"/>
    <w:rsid w:val="00C130D0"/>
    <w:rsid w:val="00C1317F"/>
    <w:rsid w:val="00C139C8"/>
    <w:rsid w:val="00C1599D"/>
    <w:rsid w:val="00C165F6"/>
    <w:rsid w:val="00C1704C"/>
    <w:rsid w:val="00C21FD1"/>
    <w:rsid w:val="00C22DF3"/>
    <w:rsid w:val="00C233EA"/>
    <w:rsid w:val="00C23E74"/>
    <w:rsid w:val="00C23F2A"/>
    <w:rsid w:val="00C27401"/>
    <w:rsid w:val="00C27596"/>
    <w:rsid w:val="00C27C0B"/>
    <w:rsid w:val="00C27D25"/>
    <w:rsid w:val="00C27D57"/>
    <w:rsid w:val="00C30BFA"/>
    <w:rsid w:val="00C316C1"/>
    <w:rsid w:val="00C32299"/>
    <w:rsid w:val="00C3474E"/>
    <w:rsid w:val="00C357E4"/>
    <w:rsid w:val="00C36C76"/>
    <w:rsid w:val="00C40346"/>
    <w:rsid w:val="00C408E3"/>
    <w:rsid w:val="00C4171A"/>
    <w:rsid w:val="00C421C7"/>
    <w:rsid w:val="00C42541"/>
    <w:rsid w:val="00C42CDE"/>
    <w:rsid w:val="00C42D45"/>
    <w:rsid w:val="00C42D54"/>
    <w:rsid w:val="00C42EC2"/>
    <w:rsid w:val="00C44FBC"/>
    <w:rsid w:val="00C4513F"/>
    <w:rsid w:val="00C45145"/>
    <w:rsid w:val="00C454A4"/>
    <w:rsid w:val="00C4732A"/>
    <w:rsid w:val="00C47A8E"/>
    <w:rsid w:val="00C50087"/>
    <w:rsid w:val="00C505F3"/>
    <w:rsid w:val="00C5182A"/>
    <w:rsid w:val="00C52BBC"/>
    <w:rsid w:val="00C53191"/>
    <w:rsid w:val="00C532CD"/>
    <w:rsid w:val="00C5463F"/>
    <w:rsid w:val="00C56509"/>
    <w:rsid w:val="00C56BF3"/>
    <w:rsid w:val="00C5771C"/>
    <w:rsid w:val="00C608E9"/>
    <w:rsid w:val="00C612E4"/>
    <w:rsid w:val="00C61313"/>
    <w:rsid w:val="00C613A4"/>
    <w:rsid w:val="00C6333E"/>
    <w:rsid w:val="00C63EE9"/>
    <w:rsid w:val="00C65DEC"/>
    <w:rsid w:val="00C71481"/>
    <w:rsid w:val="00C71532"/>
    <w:rsid w:val="00C71C4C"/>
    <w:rsid w:val="00C72AB8"/>
    <w:rsid w:val="00C72B98"/>
    <w:rsid w:val="00C73880"/>
    <w:rsid w:val="00C74495"/>
    <w:rsid w:val="00C745CE"/>
    <w:rsid w:val="00C75C7C"/>
    <w:rsid w:val="00C76B87"/>
    <w:rsid w:val="00C77FBC"/>
    <w:rsid w:val="00C80517"/>
    <w:rsid w:val="00C80AE3"/>
    <w:rsid w:val="00C838A9"/>
    <w:rsid w:val="00C83902"/>
    <w:rsid w:val="00C84F37"/>
    <w:rsid w:val="00C858A1"/>
    <w:rsid w:val="00C871CA"/>
    <w:rsid w:val="00C90869"/>
    <w:rsid w:val="00C91388"/>
    <w:rsid w:val="00C9175B"/>
    <w:rsid w:val="00C919E5"/>
    <w:rsid w:val="00C94CE4"/>
    <w:rsid w:val="00C94D49"/>
    <w:rsid w:val="00C95C3F"/>
    <w:rsid w:val="00C96E91"/>
    <w:rsid w:val="00C976C4"/>
    <w:rsid w:val="00CA0958"/>
    <w:rsid w:val="00CA0E21"/>
    <w:rsid w:val="00CA13EF"/>
    <w:rsid w:val="00CA16F3"/>
    <w:rsid w:val="00CA316D"/>
    <w:rsid w:val="00CA37B1"/>
    <w:rsid w:val="00CA4934"/>
    <w:rsid w:val="00CA682E"/>
    <w:rsid w:val="00CA6930"/>
    <w:rsid w:val="00CA6E3F"/>
    <w:rsid w:val="00CB1959"/>
    <w:rsid w:val="00CB29EA"/>
    <w:rsid w:val="00CB37C7"/>
    <w:rsid w:val="00CB38EB"/>
    <w:rsid w:val="00CB5EFA"/>
    <w:rsid w:val="00CB63EC"/>
    <w:rsid w:val="00CB669F"/>
    <w:rsid w:val="00CC0933"/>
    <w:rsid w:val="00CC0B4D"/>
    <w:rsid w:val="00CC0EB5"/>
    <w:rsid w:val="00CC2A24"/>
    <w:rsid w:val="00CC37E0"/>
    <w:rsid w:val="00CC38DC"/>
    <w:rsid w:val="00CC3A15"/>
    <w:rsid w:val="00CC72DE"/>
    <w:rsid w:val="00CC741B"/>
    <w:rsid w:val="00CC76D2"/>
    <w:rsid w:val="00CC787B"/>
    <w:rsid w:val="00CC7CF5"/>
    <w:rsid w:val="00CD055D"/>
    <w:rsid w:val="00CD0E4B"/>
    <w:rsid w:val="00CD1DA4"/>
    <w:rsid w:val="00CD2A94"/>
    <w:rsid w:val="00CD2C9A"/>
    <w:rsid w:val="00CD348C"/>
    <w:rsid w:val="00CD3AF1"/>
    <w:rsid w:val="00CD3FD5"/>
    <w:rsid w:val="00CD4930"/>
    <w:rsid w:val="00CD655E"/>
    <w:rsid w:val="00CD6B0A"/>
    <w:rsid w:val="00CD710F"/>
    <w:rsid w:val="00CD72A2"/>
    <w:rsid w:val="00CD7DB9"/>
    <w:rsid w:val="00CE0147"/>
    <w:rsid w:val="00CE04C9"/>
    <w:rsid w:val="00CE0551"/>
    <w:rsid w:val="00CE08A7"/>
    <w:rsid w:val="00CE0AF7"/>
    <w:rsid w:val="00CE122B"/>
    <w:rsid w:val="00CE2C23"/>
    <w:rsid w:val="00CE4ACC"/>
    <w:rsid w:val="00CE4C89"/>
    <w:rsid w:val="00CE4E14"/>
    <w:rsid w:val="00CE4EF5"/>
    <w:rsid w:val="00CE624D"/>
    <w:rsid w:val="00CE6838"/>
    <w:rsid w:val="00CF07BA"/>
    <w:rsid w:val="00CF13CF"/>
    <w:rsid w:val="00CF189E"/>
    <w:rsid w:val="00CF521A"/>
    <w:rsid w:val="00CF6C83"/>
    <w:rsid w:val="00CF72EA"/>
    <w:rsid w:val="00D00153"/>
    <w:rsid w:val="00D00254"/>
    <w:rsid w:val="00D0028B"/>
    <w:rsid w:val="00D00565"/>
    <w:rsid w:val="00D0296C"/>
    <w:rsid w:val="00D0306A"/>
    <w:rsid w:val="00D031DD"/>
    <w:rsid w:val="00D03700"/>
    <w:rsid w:val="00D042CE"/>
    <w:rsid w:val="00D04A8B"/>
    <w:rsid w:val="00D04F2F"/>
    <w:rsid w:val="00D0578B"/>
    <w:rsid w:val="00D057C9"/>
    <w:rsid w:val="00D06D30"/>
    <w:rsid w:val="00D07898"/>
    <w:rsid w:val="00D07E2D"/>
    <w:rsid w:val="00D102D8"/>
    <w:rsid w:val="00D11D63"/>
    <w:rsid w:val="00D12550"/>
    <w:rsid w:val="00D13368"/>
    <w:rsid w:val="00D1455D"/>
    <w:rsid w:val="00D169C7"/>
    <w:rsid w:val="00D17A83"/>
    <w:rsid w:val="00D20819"/>
    <w:rsid w:val="00D22125"/>
    <w:rsid w:val="00D23247"/>
    <w:rsid w:val="00D23DA3"/>
    <w:rsid w:val="00D24178"/>
    <w:rsid w:val="00D24893"/>
    <w:rsid w:val="00D252EA"/>
    <w:rsid w:val="00D253F5"/>
    <w:rsid w:val="00D25D74"/>
    <w:rsid w:val="00D2610F"/>
    <w:rsid w:val="00D2625F"/>
    <w:rsid w:val="00D26602"/>
    <w:rsid w:val="00D26ED5"/>
    <w:rsid w:val="00D27247"/>
    <w:rsid w:val="00D27B4A"/>
    <w:rsid w:val="00D306B3"/>
    <w:rsid w:val="00D308B8"/>
    <w:rsid w:val="00D308C7"/>
    <w:rsid w:val="00D30E2E"/>
    <w:rsid w:val="00D32592"/>
    <w:rsid w:val="00D32D6F"/>
    <w:rsid w:val="00D341D5"/>
    <w:rsid w:val="00D34811"/>
    <w:rsid w:val="00D35CC8"/>
    <w:rsid w:val="00D360C1"/>
    <w:rsid w:val="00D3649F"/>
    <w:rsid w:val="00D37560"/>
    <w:rsid w:val="00D37917"/>
    <w:rsid w:val="00D37B04"/>
    <w:rsid w:val="00D40D70"/>
    <w:rsid w:val="00D416D8"/>
    <w:rsid w:val="00D42544"/>
    <w:rsid w:val="00D4363B"/>
    <w:rsid w:val="00D440EA"/>
    <w:rsid w:val="00D44970"/>
    <w:rsid w:val="00D46835"/>
    <w:rsid w:val="00D46B1E"/>
    <w:rsid w:val="00D50BF0"/>
    <w:rsid w:val="00D50C10"/>
    <w:rsid w:val="00D51BF0"/>
    <w:rsid w:val="00D52FDC"/>
    <w:rsid w:val="00D53741"/>
    <w:rsid w:val="00D540C6"/>
    <w:rsid w:val="00D542E2"/>
    <w:rsid w:val="00D565CA"/>
    <w:rsid w:val="00D56F33"/>
    <w:rsid w:val="00D60D59"/>
    <w:rsid w:val="00D6266E"/>
    <w:rsid w:val="00D6302E"/>
    <w:rsid w:val="00D640E2"/>
    <w:rsid w:val="00D64686"/>
    <w:rsid w:val="00D64BD1"/>
    <w:rsid w:val="00D64C89"/>
    <w:rsid w:val="00D64EFD"/>
    <w:rsid w:val="00D65749"/>
    <w:rsid w:val="00D66245"/>
    <w:rsid w:val="00D6787B"/>
    <w:rsid w:val="00D67D57"/>
    <w:rsid w:val="00D7180F"/>
    <w:rsid w:val="00D72FD2"/>
    <w:rsid w:val="00D73EA0"/>
    <w:rsid w:val="00D75734"/>
    <w:rsid w:val="00D75D4C"/>
    <w:rsid w:val="00D7679B"/>
    <w:rsid w:val="00D80B84"/>
    <w:rsid w:val="00D80CDB"/>
    <w:rsid w:val="00D811EB"/>
    <w:rsid w:val="00D813DF"/>
    <w:rsid w:val="00D81A5B"/>
    <w:rsid w:val="00D8249F"/>
    <w:rsid w:val="00D82BD8"/>
    <w:rsid w:val="00D83017"/>
    <w:rsid w:val="00D8415C"/>
    <w:rsid w:val="00D846FE"/>
    <w:rsid w:val="00D85220"/>
    <w:rsid w:val="00D853DC"/>
    <w:rsid w:val="00D863D8"/>
    <w:rsid w:val="00D9024A"/>
    <w:rsid w:val="00D90FC1"/>
    <w:rsid w:val="00D9110F"/>
    <w:rsid w:val="00D91315"/>
    <w:rsid w:val="00D92254"/>
    <w:rsid w:val="00D93BC6"/>
    <w:rsid w:val="00D93BCD"/>
    <w:rsid w:val="00D954B3"/>
    <w:rsid w:val="00D96D9B"/>
    <w:rsid w:val="00D9710F"/>
    <w:rsid w:val="00DA035B"/>
    <w:rsid w:val="00DA0649"/>
    <w:rsid w:val="00DA0975"/>
    <w:rsid w:val="00DA0DD1"/>
    <w:rsid w:val="00DA1BD1"/>
    <w:rsid w:val="00DA233B"/>
    <w:rsid w:val="00DA2FC9"/>
    <w:rsid w:val="00DA3192"/>
    <w:rsid w:val="00DA548F"/>
    <w:rsid w:val="00DA57FE"/>
    <w:rsid w:val="00DA63CC"/>
    <w:rsid w:val="00DA7097"/>
    <w:rsid w:val="00DA7862"/>
    <w:rsid w:val="00DB2BA6"/>
    <w:rsid w:val="00DB39F5"/>
    <w:rsid w:val="00DB48C8"/>
    <w:rsid w:val="00DB7245"/>
    <w:rsid w:val="00DB7E51"/>
    <w:rsid w:val="00DC005E"/>
    <w:rsid w:val="00DC0210"/>
    <w:rsid w:val="00DC0754"/>
    <w:rsid w:val="00DC0F3C"/>
    <w:rsid w:val="00DC1259"/>
    <w:rsid w:val="00DC379F"/>
    <w:rsid w:val="00DC5EE7"/>
    <w:rsid w:val="00DC6174"/>
    <w:rsid w:val="00DC6F6D"/>
    <w:rsid w:val="00DD1656"/>
    <w:rsid w:val="00DD1B96"/>
    <w:rsid w:val="00DD263E"/>
    <w:rsid w:val="00DD4BF0"/>
    <w:rsid w:val="00DD4EEC"/>
    <w:rsid w:val="00DD589B"/>
    <w:rsid w:val="00DD5C2A"/>
    <w:rsid w:val="00DE084C"/>
    <w:rsid w:val="00DE08E8"/>
    <w:rsid w:val="00DE122E"/>
    <w:rsid w:val="00DE2DDC"/>
    <w:rsid w:val="00DE2E92"/>
    <w:rsid w:val="00DE3A55"/>
    <w:rsid w:val="00DE4311"/>
    <w:rsid w:val="00DE588F"/>
    <w:rsid w:val="00DE6B34"/>
    <w:rsid w:val="00DF1683"/>
    <w:rsid w:val="00DF173F"/>
    <w:rsid w:val="00DF2888"/>
    <w:rsid w:val="00DF2D4A"/>
    <w:rsid w:val="00DF2EB5"/>
    <w:rsid w:val="00DF3EB3"/>
    <w:rsid w:val="00DF4512"/>
    <w:rsid w:val="00DF5840"/>
    <w:rsid w:val="00DF6841"/>
    <w:rsid w:val="00DF721D"/>
    <w:rsid w:val="00DF7732"/>
    <w:rsid w:val="00E00C6E"/>
    <w:rsid w:val="00E024B1"/>
    <w:rsid w:val="00E036AC"/>
    <w:rsid w:val="00E039C6"/>
    <w:rsid w:val="00E07A33"/>
    <w:rsid w:val="00E1004F"/>
    <w:rsid w:val="00E103FB"/>
    <w:rsid w:val="00E111D0"/>
    <w:rsid w:val="00E14F51"/>
    <w:rsid w:val="00E15FAD"/>
    <w:rsid w:val="00E168AC"/>
    <w:rsid w:val="00E16954"/>
    <w:rsid w:val="00E1735D"/>
    <w:rsid w:val="00E17A36"/>
    <w:rsid w:val="00E17FA1"/>
    <w:rsid w:val="00E20AFD"/>
    <w:rsid w:val="00E2181A"/>
    <w:rsid w:val="00E21EFF"/>
    <w:rsid w:val="00E22BE1"/>
    <w:rsid w:val="00E24391"/>
    <w:rsid w:val="00E25032"/>
    <w:rsid w:val="00E251E9"/>
    <w:rsid w:val="00E2531D"/>
    <w:rsid w:val="00E27220"/>
    <w:rsid w:val="00E31C1B"/>
    <w:rsid w:val="00E34B86"/>
    <w:rsid w:val="00E34D31"/>
    <w:rsid w:val="00E357B7"/>
    <w:rsid w:val="00E35957"/>
    <w:rsid w:val="00E35984"/>
    <w:rsid w:val="00E36280"/>
    <w:rsid w:val="00E365C6"/>
    <w:rsid w:val="00E42566"/>
    <w:rsid w:val="00E425F0"/>
    <w:rsid w:val="00E430A5"/>
    <w:rsid w:val="00E44699"/>
    <w:rsid w:val="00E4471A"/>
    <w:rsid w:val="00E44C11"/>
    <w:rsid w:val="00E45963"/>
    <w:rsid w:val="00E45AB2"/>
    <w:rsid w:val="00E45F62"/>
    <w:rsid w:val="00E469D1"/>
    <w:rsid w:val="00E47D18"/>
    <w:rsid w:val="00E503C4"/>
    <w:rsid w:val="00E50625"/>
    <w:rsid w:val="00E52C17"/>
    <w:rsid w:val="00E53694"/>
    <w:rsid w:val="00E53800"/>
    <w:rsid w:val="00E547BE"/>
    <w:rsid w:val="00E5505A"/>
    <w:rsid w:val="00E55C0C"/>
    <w:rsid w:val="00E55EB7"/>
    <w:rsid w:val="00E57717"/>
    <w:rsid w:val="00E57C16"/>
    <w:rsid w:val="00E6081F"/>
    <w:rsid w:val="00E6103C"/>
    <w:rsid w:val="00E61633"/>
    <w:rsid w:val="00E62D2D"/>
    <w:rsid w:val="00E6310E"/>
    <w:rsid w:val="00E634A5"/>
    <w:rsid w:val="00E63B9D"/>
    <w:rsid w:val="00E6489B"/>
    <w:rsid w:val="00E64938"/>
    <w:rsid w:val="00E64F34"/>
    <w:rsid w:val="00E655FE"/>
    <w:rsid w:val="00E66683"/>
    <w:rsid w:val="00E67C7C"/>
    <w:rsid w:val="00E71FA3"/>
    <w:rsid w:val="00E730AD"/>
    <w:rsid w:val="00E73968"/>
    <w:rsid w:val="00E74245"/>
    <w:rsid w:val="00E75E08"/>
    <w:rsid w:val="00E760DC"/>
    <w:rsid w:val="00E8296D"/>
    <w:rsid w:val="00E834B1"/>
    <w:rsid w:val="00E83AD4"/>
    <w:rsid w:val="00E83F1F"/>
    <w:rsid w:val="00E841A3"/>
    <w:rsid w:val="00E8457B"/>
    <w:rsid w:val="00E858AF"/>
    <w:rsid w:val="00E85CD9"/>
    <w:rsid w:val="00E8711E"/>
    <w:rsid w:val="00E87BCE"/>
    <w:rsid w:val="00E91D9F"/>
    <w:rsid w:val="00E9287F"/>
    <w:rsid w:val="00E92EA2"/>
    <w:rsid w:val="00E949A3"/>
    <w:rsid w:val="00E94B2E"/>
    <w:rsid w:val="00E95ECE"/>
    <w:rsid w:val="00E95ED9"/>
    <w:rsid w:val="00E96222"/>
    <w:rsid w:val="00E963F5"/>
    <w:rsid w:val="00E9694D"/>
    <w:rsid w:val="00EA04B2"/>
    <w:rsid w:val="00EA08DE"/>
    <w:rsid w:val="00EA09FC"/>
    <w:rsid w:val="00EA20F3"/>
    <w:rsid w:val="00EA29D2"/>
    <w:rsid w:val="00EA33EC"/>
    <w:rsid w:val="00EA3714"/>
    <w:rsid w:val="00EA4286"/>
    <w:rsid w:val="00EA57F1"/>
    <w:rsid w:val="00EA7365"/>
    <w:rsid w:val="00EA78A3"/>
    <w:rsid w:val="00EB2240"/>
    <w:rsid w:val="00EB2326"/>
    <w:rsid w:val="00EB23D5"/>
    <w:rsid w:val="00EB398C"/>
    <w:rsid w:val="00EB43D4"/>
    <w:rsid w:val="00EB5B19"/>
    <w:rsid w:val="00EB6943"/>
    <w:rsid w:val="00EB70E5"/>
    <w:rsid w:val="00EB742D"/>
    <w:rsid w:val="00EC1AC9"/>
    <w:rsid w:val="00EC2209"/>
    <w:rsid w:val="00EC2A5C"/>
    <w:rsid w:val="00EC2B00"/>
    <w:rsid w:val="00EC3C2D"/>
    <w:rsid w:val="00EC527F"/>
    <w:rsid w:val="00EC53BA"/>
    <w:rsid w:val="00EC69FC"/>
    <w:rsid w:val="00EC7FE0"/>
    <w:rsid w:val="00ED01BF"/>
    <w:rsid w:val="00ED2831"/>
    <w:rsid w:val="00ED3880"/>
    <w:rsid w:val="00ED3EA4"/>
    <w:rsid w:val="00ED43D1"/>
    <w:rsid w:val="00ED5110"/>
    <w:rsid w:val="00ED5169"/>
    <w:rsid w:val="00ED5C91"/>
    <w:rsid w:val="00ED5D28"/>
    <w:rsid w:val="00ED5F00"/>
    <w:rsid w:val="00ED62F8"/>
    <w:rsid w:val="00EE1027"/>
    <w:rsid w:val="00EE1B80"/>
    <w:rsid w:val="00EE25F4"/>
    <w:rsid w:val="00EE3DBA"/>
    <w:rsid w:val="00EE3F3C"/>
    <w:rsid w:val="00EE482E"/>
    <w:rsid w:val="00EE4EE1"/>
    <w:rsid w:val="00EE6BF5"/>
    <w:rsid w:val="00EE789A"/>
    <w:rsid w:val="00EE7B50"/>
    <w:rsid w:val="00EE7CDF"/>
    <w:rsid w:val="00EF0A90"/>
    <w:rsid w:val="00EF1B3C"/>
    <w:rsid w:val="00EF38F6"/>
    <w:rsid w:val="00EF3A1C"/>
    <w:rsid w:val="00EF41B4"/>
    <w:rsid w:val="00EF4574"/>
    <w:rsid w:val="00EF4AE0"/>
    <w:rsid w:val="00EF4BE4"/>
    <w:rsid w:val="00EF5F23"/>
    <w:rsid w:val="00EF5FB3"/>
    <w:rsid w:val="00EF7D96"/>
    <w:rsid w:val="00F00E6C"/>
    <w:rsid w:val="00F0232B"/>
    <w:rsid w:val="00F02418"/>
    <w:rsid w:val="00F02B3D"/>
    <w:rsid w:val="00F031DF"/>
    <w:rsid w:val="00F066D4"/>
    <w:rsid w:val="00F06BC4"/>
    <w:rsid w:val="00F06F53"/>
    <w:rsid w:val="00F07779"/>
    <w:rsid w:val="00F10726"/>
    <w:rsid w:val="00F10C65"/>
    <w:rsid w:val="00F11C83"/>
    <w:rsid w:val="00F121EC"/>
    <w:rsid w:val="00F13A79"/>
    <w:rsid w:val="00F13B24"/>
    <w:rsid w:val="00F14D1F"/>
    <w:rsid w:val="00F15622"/>
    <w:rsid w:val="00F1681D"/>
    <w:rsid w:val="00F170E3"/>
    <w:rsid w:val="00F17A77"/>
    <w:rsid w:val="00F17B49"/>
    <w:rsid w:val="00F20A54"/>
    <w:rsid w:val="00F21A60"/>
    <w:rsid w:val="00F21A88"/>
    <w:rsid w:val="00F22015"/>
    <w:rsid w:val="00F22449"/>
    <w:rsid w:val="00F22A59"/>
    <w:rsid w:val="00F25446"/>
    <w:rsid w:val="00F25A93"/>
    <w:rsid w:val="00F260F1"/>
    <w:rsid w:val="00F2684E"/>
    <w:rsid w:val="00F27332"/>
    <w:rsid w:val="00F277C4"/>
    <w:rsid w:val="00F27BC0"/>
    <w:rsid w:val="00F30087"/>
    <w:rsid w:val="00F31C10"/>
    <w:rsid w:val="00F32A72"/>
    <w:rsid w:val="00F32C8B"/>
    <w:rsid w:val="00F33281"/>
    <w:rsid w:val="00F333EE"/>
    <w:rsid w:val="00F33916"/>
    <w:rsid w:val="00F33A22"/>
    <w:rsid w:val="00F33ACE"/>
    <w:rsid w:val="00F34257"/>
    <w:rsid w:val="00F3458B"/>
    <w:rsid w:val="00F34D07"/>
    <w:rsid w:val="00F366DB"/>
    <w:rsid w:val="00F377FC"/>
    <w:rsid w:val="00F40C75"/>
    <w:rsid w:val="00F41131"/>
    <w:rsid w:val="00F416BF"/>
    <w:rsid w:val="00F42257"/>
    <w:rsid w:val="00F423B5"/>
    <w:rsid w:val="00F4248B"/>
    <w:rsid w:val="00F424C5"/>
    <w:rsid w:val="00F42DEC"/>
    <w:rsid w:val="00F430C7"/>
    <w:rsid w:val="00F4572B"/>
    <w:rsid w:val="00F45B59"/>
    <w:rsid w:val="00F47017"/>
    <w:rsid w:val="00F500DF"/>
    <w:rsid w:val="00F50E9E"/>
    <w:rsid w:val="00F51718"/>
    <w:rsid w:val="00F51CDB"/>
    <w:rsid w:val="00F53465"/>
    <w:rsid w:val="00F5404C"/>
    <w:rsid w:val="00F54557"/>
    <w:rsid w:val="00F5505C"/>
    <w:rsid w:val="00F566EC"/>
    <w:rsid w:val="00F57019"/>
    <w:rsid w:val="00F577BF"/>
    <w:rsid w:val="00F6098C"/>
    <w:rsid w:val="00F60E02"/>
    <w:rsid w:val="00F60FED"/>
    <w:rsid w:val="00F617F9"/>
    <w:rsid w:val="00F6262B"/>
    <w:rsid w:val="00F64FFF"/>
    <w:rsid w:val="00F6530F"/>
    <w:rsid w:val="00F6539A"/>
    <w:rsid w:val="00F6680A"/>
    <w:rsid w:val="00F66863"/>
    <w:rsid w:val="00F70001"/>
    <w:rsid w:val="00F70022"/>
    <w:rsid w:val="00F702BD"/>
    <w:rsid w:val="00F718D5"/>
    <w:rsid w:val="00F72015"/>
    <w:rsid w:val="00F721E9"/>
    <w:rsid w:val="00F723A5"/>
    <w:rsid w:val="00F729EF"/>
    <w:rsid w:val="00F72B15"/>
    <w:rsid w:val="00F72E85"/>
    <w:rsid w:val="00F73829"/>
    <w:rsid w:val="00F74286"/>
    <w:rsid w:val="00F744A2"/>
    <w:rsid w:val="00F74546"/>
    <w:rsid w:val="00F74BCF"/>
    <w:rsid w:val="00F74EC9"/>
    <w:rsid w:val="00F758C1"/>
    <w:rsid w:val="00F77CAE"/>
    <w:rsid w:val="00F82271"/>
    <w:rsid w:val="00F82560"/>
    <w:rsid w:val="00F83428"/>
    <w:rsid w:val="00F84AFE"/>
    <w:rsid w:val="00F84CC9"/>
    <w:rsid w:val="00F90E76"/>
    <w:rsid w:val="00F9207E"/>
    <w:rsid w:val="00F92299"/>
    <w:rsid w:val="00F94037"/>
    <w:rsid w:val="00F948EC"/>
    <w:rsid w:val="00F950F7"/>
    <w:rsid w:val="00F951B8"/>
    <w:rsid w:val="00F96BB9"/>
    <w:rsid w:val="00F975E2"/>
    <w:rsid w:val="00F97D1A"/>
    <w:rsid w:val="00FA194C"/>
    <w:rsid w:val="00FA2AF3"/>
    <w:rsid w:val="00FA2B4A"/>
    <w:rsid w:val="00FA3EAA"/>
    <w:rsid w:val="00FA4557"/>
    <w:rsid w:val="00FA5152"/>
    <w:rsid w:val="00FA673B"/>
    <w:rsid w:val="00FA69AF"/>
    <w:rsid w:val="00FA6C44"/>
    <w:rsid w:val="00FA6F7C"/>
    <w:rsid w:val="00FA7120"/>
    <w:rsid w:val="00FA738C"/>
    <w:rsid w:val="00FA7833"/>
    <w:rsid w:val="00FA785C"/>
    <w:rsid w:val="00FA7B7B"/>
    <w:rsid w:val="00FB514A"/>
    <w:rsid w:val="00FB51C5"/>
    <w:rsid w:val="00FB61F3"/>
    <w:rsid w:val="00FB6C46"/>
    <w:rsid w:val="00FB6D8C"/>
    <w:rsid w:val="00FB6EEB"/>
    <w:rsid w:val="00FB76C6"/>
    <w:rsid w:val="00FB77A1"/>
    <w:rsid w:val="00FB78D8"/>
    <w:rsid w:val="00FC0FD0"/>
    <w:rsid w:val="00FC322F"/>
    <w:rsid w:val="00FC4A7D"/>
    <w:rsid w:val="00FC5BC2"/>
    <w:rsid w:val="00FC74AB"/>
    <w:rsid w:val="00FC78EB"/>
    <w:rsid w:val="00FD06B2"/>
    <w:rsid w:val="00FD07FF"/>
    <w:rsid w:val="00FD32BC"/>
    <w:rsid w:val="00FD33B2"/>
    <w:rsid w:val="00FD3614"/>
    <w:rsid w:val="00FD3762"/>
    <w:rsid w:val="00FD41C1"/>
    <w:rsid w:val="00FD45ED"/>
    <w:rsid w:val="00FD527A"/>
    <w:rsid w:val="00FD61EA"/>
    <w:rsid w:val="00FE0735"/>
    <w:rsid w:val="00FE23FA"/>
    <w:rsid w:val="00FE3678"/>
    <w:rsid w:val="00FE3D15"/>
    <w:rsid w:val="00FE416B"/>
    <w:rsid w:val="00FE49E6"/>
    <w:rsid w:val="00FE4E29"/>
    <w:rsid w:val="00FE4E89"/>
    <w:rsid w:val="00FE6202"/>
    <w:rsid w:val="00FE6D51"/>
    <w:rsid w:val="00FE6F2A"/>
    <w:rsid w:val="00FF0293"/>
    <w:rsid w:val="00FF05A7"/>
    <w:rsid w:val="00FF0C73"/>
    <w:rsid w:val="00FF0D37"/>
    <w:rsid w:val="00FF18F7"/>
    <w:rsid w:val="00FF228F"/>
    <w:rsid w:val="00FF320C"/>
    <w:rsid w:val="00FF33DA"/>
    <w:rsid w:val="00FF4020"/>
    <w:rsid w:val="00FF416C"/>
    <w:rsid w:val="00FF4990"/>
    <w:rsid w:val="00FF6636"/>
    <w:rsid w:val="00FF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23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37354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876C87"/>
    <w:pPr>
      <w:keepNext/>
      <w:keepLines/>
      <w:spacing w:before="240" w:after="120" w:line="360" w:lineRule="atLeast"/>
      <w:contextualSpacing/>
      <w:outlineLvl w:val="1"/>
    </w:pPr>
    <w:rPr>
      <w:rFonts w:asciiTheme="majorHAnsi" w:eastAsiaTheme="majorEastAsia" w:hAnsiTheme="majorHAnsi" w:cstheme="majorBidi"/>
      <w:bCs/>
      <w:color w:val="000000" w:themeColor="text1"/>
      <w:sz w:val="30"/>
      <w:szCs w:val="26"/>
    </w:rPr>
  </w:style>
  <w:style w:type="paragraph" w:styleId="Heading3">
    <w:name w:val="heading 3"/>
    <w:basedOn w:val="Heading2"/>
    <w:next w:val="Normal"/>
    <w:link w:val="Heading3Char"/>
    <w:uiPriority w:val="9"/>
    <w:unhideWhenUsed/>
    <w:qFormat/>
    <w:rsid w:val="00ED2831"/>
    <w:pPr>
      <w:outlineLvl w:val="2"/>
    </w:pPr>
    <w:rPr>
      <w:bCs w:val="0"/>
      <w:caps/>
    </w:rPr>
  </w:style>
  <w:style w:type="paragraph" w:styleId="Heading4">
    <w:name w:val="heading 4"/>
    <w:basedOn w:val="Heading3"/>
    <w:next w:val="Normal"/>
    <w:link w:val="Heading4Char"/>
    <w:uiPriority w:val="9"/>
    <w:unhideWhenUsed/>
    <w:qFormat/>
    <w:rsid w:val="00A4144F"/>
    <w:pPr>
      <w:spacing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1A495C"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373545" w:themeColor="text2"/>
      <w:sz w:val="38"/>
      <w:szCs w:val="28"/>
      <w:lang w:val="en-GB"/>
    </w:rPr>
  </w:style>
  <w:style w:type="character" w:customStyle="1" w:styleId="Heading2Char">
    <w:name w:val="Heading 2 Char"/>
    <w:basedOn w:val="DefaultParagraphFont"/>
    <w:link w:val="Heading2"/>
    <w:uiPriority w:val="9"/>
    <w:rsid w:val="00876C87"/>
    <w:rPr>
      <w:rFonts w:asciiTheme="majorHAnsi" w:eastAsiaTheme="majorEastAsia" w:hAnsiTheme="majorHAnsi" w:cstheme="majorBidi"/>
      <w:bCs/>
      <w:color w:val="000000" w:themeColor="text1"/>
      <w:sz w:val="30"/>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37354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37354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37354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val="0"/>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373545" w:themeColor="text2"/>
      <w:sz w:val="24"/>
      <w:szCs w:val="26"/>
    </w:rPr>
  </w:style>
  <w:style w:type="paragraph" w:styleId="TOC1">
    <w:name w:val="toc 1"/>
    <w:basedOn w:val="Normal"/>
    <w:next w:val="Normal"/>
    <w:autoRedefine/>
    <w:uiPriority w:val="39"/>
    <w:unhideWhenUsed/>
    <w:rsid w:val="00ED2831"/>
    <w:pPr>
      <w:pBdr>
        <w:top w:val="single" w:sz="4" w:space="6" w:color="3494BA" w:themeColor="accent1"/>
        <w:between w:val="single" w:sz="4" w:space="6" w:color="3494BA" w:themeColor="accent1"/>
      </w:pBdr>
      <w:tabs>
        <w:tab w:val="right" w:pos="9639"/>
      </w:tabs>
      <w:spacing w:after="100" w:line="320" w:lineRule="atLeast"/>
    </w:pPr>
    <w:rPr>
      <w:b/>
      <w:caps/>
      <w:color w:val="3494BA"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58B6C0"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37354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37354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1A495C"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1A495C"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A9A7BB" w:themeColor="text2" w:themeTint="66"/>
    </w:rPr>
  </w:style>
  <w:style w:type="character" w:styleId="PageNumber">
    <w:name w:val="page number"/>
    <w:basedOn w:val="DefaultParagraphFont"/>
    <w:uiPriority w:val="99"/>
    <w:unhideWhenUsed/>
    <w:rsid w:val="00F5404C"/>
    <w:rPr>
      <w:color w:val="37354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37354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37354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58B6C0"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373545" w:themeColor="text2"/>
        <w:bottom w:val="single" w:sz="4" w:space="0" w:color="373545" w:themeColor="text2"/>
        <w:insideH w:val="single" w:sz="4" w:space="0" w:color="373545" w:themeColor="text2"/>
      </w:tblBorders>
      <w:tblCellMar>
        <w:top w:w="57" w:type="dxa"/>
        <w:bottom w:w="57" w:type="dxa"/>
      </w:tblCellMar>
    </w:tblPr>
    <w:tblStylePr w:type="firstRow">
      <w:rPr>
        <w:b w:val="0"/>
      </w:rPr>
      <w:tblPr/>
      <w:tcPr>
        <w:tcBorders>
          <w:top w:val="single" w:sz="4" w:space="0" w:color="3494BA" w:themeColor="accent1"/>
          <w:bottom w:val="single" w:sz="4" w:space="0" w:color="3494BA" w:themeColor="accent1"/>
          <w:insideH w:val="single" w:sz="4" w:space="0" w:color="3494BA" w:themeColor="accent1"/>
        </w:tcBorders>
        <w:shd w:val="clear" w:color="auto" w:fill="3494BA" w:themeFill="accent1"/>
      </w:tcPr>
    </w:tblStylePr>
    <w:tblStylePr w:type="lastRow">
      <w:rPr>
        <w:b/>
        <w:color w:val="FFFFFF"/>
      </w:rPr>
      <w:tblPr/>
      <w:tcPr>
        <w:shd w:val="clear" w:color="auto" w:fill="373545" w:themeFill="text2"/>
      </w:tcPr>
    </w:tblStylePr>
    <w:tblStylePr w:type="firstCol">
      <w:tblPr/>
      <w:tcPr>
        <w:shd w:val="clear" w:color="auto" w:fill="CEDBE6" w:themeFill="background2"/>
      </w:tcPr>
    </w:tblStylePr>
    <w:tblStylePr w:type="lastCol">
      <w:tblPr/>
      <w:tcPr>
        <w:shd w:val="clear" w:color="auto" w:fill="CEDBE6" w:themeFill="background2"/>
      </w:tcPr>
    </w:tblStylePr>
    <w:tblStylePr w:type="band1Vert">
      <w:tblPr/>
      <w:tcPr>
        <w:shd w:val="clear" w:color="auto" w:fill="D4EAF3" w:themeFill="accent1" w:themeFillTint="33"/>
      </w:tcPr>
    </w:tblStylePr>
    <w:tblStylePr w:type="band2Vert">
      <w:tblPr/>
      <w:tcPr>
        <w:shd w:val="clear" w:color="auto" w:fill="A9D5E7" w:themeFill="accent1" w:themeFillTint="66"/>
      </w:tcPr>
    </w:tblStylePr>
    <w:tblStylePr w:type="band1Horz">
      <w:tblPr/>
      <w:tcPr>
        <w:shd w:val="clear" w:color="auto" w:fill="D4EAF3" w:themeFill="accent1" w:themeFillTint="33"/>
      </w:tcPr>
    </w:tblStylePr>
    <w:tblStylePr w:type="band2Horz">
      <w:tblPr/>
      <w:tcPr>
        <w:shd w:val="clear" w:color="auto" w:fill="A9D5E7" w:themeFill="accent1" w:themeFillTint="66"/>
      </w:tcPr>
    </w:tblStylePr>
  </w:style>
  <w:style w:type="paragraph" w:customStyle="1" w:styleId="FootnoteSeparator">
    <w:name w:val="Footnote Separator"/>
    <w:basedOn w:val="Footer"/>
    <w:qFormat/>
    <w:rsid w:val="00ED2831"/>
    <w:pPr>
      <w:pBdr>
        <w:top w:val="single" w:sz="4" w:space="1" w:color="373545" w:themeColor="text2"/>
      </w:pBdr>
      <w:tabs>
        <w:tab w:val="right" w:pos="9356"/>
        <w:tab w:val="center" w:pos="10036"/>
      </w:tabs>
      <w:spacing w:line="220" w:lineRule="atLeast"/>
      <w:ind w:right="0"/>
    </w:pPr>
    <w:rPr>
      <w:color w:val="37354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37354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3494BA" w:themeColor="accent1"/>
        <w:left w:val="single" w:sz="4" w:space="14" w:color="3494BA" w:themeColor="accent1"/>
        <w:bottom w:val="single" w:sz="4" w:space="14" w:color="3494BA" w:themeColor="accent1"/>
        <w:right w:val="single" w:sz="4" w:space="14" w:color="3494BA"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373545" w:themeColor="text2"/>
        <w:left w:val="single" w:sz="4" w:space="14" w:color="373545" w:themeColor="text2"/>
        <w:bottom w:val="single" w:sz="4" w:space="14" w:color="373545" w:themeColor="text2"/>
        <w:right w:val="single" w:sz="4" w:space="14" w:color="373545" w:themeColor="text2"/>
      </w:pBdr>
      <w:shd w:val="clear" w:color="auto" w:fill="37354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37354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37354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37354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37354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37354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373545" w:themeColor="text2"/>
      <w:lang w:val="en-GB"/>
    </w:rPr>
  </w:style>
  <w:style w:type="paragraph" w:styleId="BlockText">
    <w:name w:val="Block Text"/>
    <w:basedOn w:val="Normal"/>
    <w:uiPriority w:val="99"/>
    <w:unhideWhenUsed/>
    <w:locked/>
    <w:rsid w:val="00E8457B"/>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rFonts w:eastAsiaTheme="minorEastAsia"/>
      <w:i/>
      <w:iCs/>
      <w:color w:val="3494BA" w:themeColor="accent1"/>
    </w:rPr>
  </w:style>
  <w:style w:type="table" w:customStyle="1" w:styleId="DFATTable2">
    <w:name w:val="DFAT Table 2"/>
    <w:basedOn w:val="TableNormal"/>
    <w:uiPriority w:val="99"/>
    <w:rsid w:val="00482AE8"/>
    <w:pPr>
      <w:spacing w:after="0" w:line="260" w:lineRule="atLeast"/>
    </w:pPr>
    <w:rPr>
      <w:rFonts w:ascii="Calibri" w:hAnsi="Calibri"/>
      <w:color w:val="37354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37354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373545" w:themeColor="text2"/>
      <w:sz w:val="20"/>
      <w:szCs w:val="20"/>
      <w:lang w:val="en-GB"/>
    </w:rPr>
  </w:style>
  <w:style w:type="character" w:customStyle="1" w:styleId="ColourAccent1">
    <w:name w:val="Colour Accent 1"/>
    <w:basedOn w:val="DefaultParagraphFont"/>
    <w:uiPriority w:val="1"/>
    <w:qFormat/>
    <w:locked/>
    <w:rsid w:val="001214BE"/>
    <w:rPr>
      <w:color w:val="3494BA"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37354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373545" w:themeColor="text2"/>
      <w:lang w:val="en-GB"/>
    </w:rPr>
  </w:style>
  <w:style w:type="table" w:styleId="GridTable1Light-Accent1">
    <w:name w:val="Grid Table 1 Light Accent 1"/>
    <w:basedOn w:val="TableNormal"/>
    <w:uiPriority w:val="46"/>
    <w:locked/>
    <w:rsid w:val="006D5BBB"/>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07921"/>
    <w:rPr>
      <w:color w:val="605E5C"/>
      <w:shd w:val="clear" w:color="auto" w:fill="E1DFDD"/>
    </w:rPr>
  </w:style>
  <w:style w:type="character" w:styleId="UnresolvedMention">
    <w:name w:val="Unresolved Mention"/>
    <w:basedOn w:val="DefaultParagraphFont"/>
    <w:uiPriority w:val="99"/>
    <w:semiHidden/>
    <w:unhideWhenUsed/>
    <w:rsid w:val="00EC2B00"/>
    <w:rPr>
      <w:color w:val="605E5C"/>
      <w:shd w:val="clear" w:color="auto" w:fill="E1DFDD"/>
    </w:rPr>
  </w:style>
  <w:style w:type="character" w:styleId="FollowedHyperlink">
    <w:name w:val="FollowedHyperlink"/>
    <w:basedOn w:val="DefaultParagraphFont"/>
    <w:uiPriority w:val="99"/>
    <w:semiHidden/>
    <w:unhideWhenUsed/>
    <w:rsid w:val="007325FC"/>
    <w:rPr>
      <w:color w:val="9F6715" w:themeColor="followedHyperlink"/>
      <w:u w:val="single"/>
    </w:rPr>
  </w:style>
  <w:style w:type="paragraph" w:customStyle="1" w:styleId="BodyCopy">
    <w:name w:val="Body Copy"/>
    <w:link w:val="BodyCopyChar"/>
    <w:qFormat/>
    <w:rsid w:val="008B6C96"/>
    <w:pPr>
      <w:spacing w:before="40" w:line="240" w:lineRule="auto"/>
    </w:pPr>
    <w:rPr>
      <w:rFonts w:ascii="Calibri Light" w:eastAsia="Calibri" w:hAnsi="Calibri Light" w:cs="Calibri Light"/>
      <w:color w:val="313E48"/>
      <w:szCs w:val="21"/>
    </w:rPr>
  </w:style>
  <w:style w:type="character" w:customStyle="1" w:styleId="BodyCopyChar">
    <w:name w:val="Body Copy Char"/>
    <w:basedOn w:val="DefaultParagraphFont"/>
    <w:link w:val="BodyCopy"/>
    <w:rsid w:val="008B6C96"/>
    <w:rPr>
      <w:rFonts w:ascii="Calibri Light" w:eastAsia="Calibri" w:hAnsi="Calibri Light" w:cs="Calibri Light"/>
      <w:color w:val="313E4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4857">
      <w:bodyDiv w:val="1"/>
      <w:marLeft w:val="0"/>
      <w:marRight w:val="0"/>
      <w:marTop w:val="0"/>
      <w:marBottom w:val="0"/>
      <w:divBdr>
        <w:top w:val="none" w:sz="0" w:space="0" w:color="auto"/>
        <w:left w:val="none" w:sz="0" w:space="0" w:color="auto"/>
        <w:bottom w:val="none" w:sz="0" w:space="0" w:color="auto"/>
        <w:right w:val="none" w:sz="0" w:space="0" w:color="auto"/>
      </w:divBdr>
    </w:div>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10036837">
      <w:bodyDiv w:val="1"/>
      <w:marLeft w:val="0"/>
      <w:marRight w:val="0"/>
      <w:marTop w:val="0"/>
      <w:marBottom w:val="0"/>
      <w:divBdr>
        <w:top w:val="none" w:sz="0" w:space="0" w:color="auto"/>
        <w:left w:val="none" w:sz="0" w:space="0" w:color="auto"/>
        <w:bottom w:val="none" w:sz="0" w:space="0" w:color="auto"/>
        <w:right w:val="none" w:sz="0" w:space="0" w:color="auto"/>
      </w:divBdr>
    </w:div>
    <w:div w:id="38632413">
      <w:bodyDiv w:val="1"/>
      <w:marLeft w:val="0"/>
      <w:marRight w:val="0"/>
      <w:marTop w:val="0"/>
      <w:marBottom w:val="0"/>
      <w:divBdr>
        <w:top w:val="none" w:sz="0" w:space="0" w:color="auto"/>
        <w:left w:val="none" w:sz="0" w:space="0" w:color="auto"/>
        <w:bottom w:val="none" w:sz="0" w:space="0" w:color="auto"/>
        <w:right w:val="none" w:sz="0" w:space="0" w:color="auto"/>
      </w:divBdr>
    </w:div>
    <w:div w:id="216740541">
      <w:bodyDiv w:val="1"/>
      <w:marLeft w:val="0"/>
      <w:marRight w:val="0"/>
      <w:marTop w:val="0"/>
      <w:marBottom w:val="0"/>
      <w:divBdr>
        <w:top w:val="none" w:sz="0" w:space="0" w:color="auto"/>
        <w:left w:val="none" w:sz="0" w:space="0" w:color="auto"/>
        <w:bottom w:val="none" w:sz="0" w:space="0" w:color="auto"/>
        <w:right w:val="none" w:sz="0" w:space="0" w:color="auto"/>
      </w:divBdr>
    </w:div>
    <w:div w:id="282928961">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25854261">
      <w:bodyDiv w:val="1"/>
      <w:marLeft w:val="0"/>
      <w:marRight w:val="0"/>
      <w:marTop w:val="0"/>
      <w:marBottom w:val="0"/>
      <w:divBdr>
        <w:top w:val="none" w:sz="0" w:space="0" w:color="auto"/>
        <w:left w:val="none" w:sz="0" w:space="0" w:color="auto"/>
        <w:bottom w:val="none" w:sz="0" w:space="0" w:color="auto"/>
        <w:right w:val="none" w:sz="0" w:space="0" w:color="auto"/>
      </w:divBdr>
    </w:div>
    <w:div w:id="443689880">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726149727">
      <w:bodyDiv w:val="1"/>
      <w:marLeft w:val="0"/>
      <w:marRight w:val="0"/>
      <w:marTop w:val="0"/>
      <w:marBottom w:val="0"/>
      <w:divBdr>
        <w:top w:val="none" w:sz="0" w:space="0" w:color="auto"/>
        <w:left w:val="none" w:sz="0" w:space="0" w:color="auto"/>
        <w:bottom w:val="none" w:sz="0" w:space="0" w:color="auto"/>
        <w:right w:val="none" w:sz="0" w:space="0" w:color="auto"/>
      </w:divBdr>
    </w:div>
    <w:div w:id="733357451">
      <w:bodyDiv w:val="1"/>
      <w:marLeft w:val="0"/>
      <w:marRight w:val="0"/>
      <w:marTop w:val="0"/>
      <w:marBottom w:val="0"/>
      <w:divBdr>
        <w:top w:val="none" w:sz="0" w:space="0" w:color="auto"/>
        <w:left w:val="none" w:sz="0" w:space="0" w:color="auto"/>
        <w:bottom w:val="none" w:sz="0" w:space="0" w:color="auto"/>
        <w:right w:val="none" w:sz="0" w:space="0" w:color="auto"/>
      </w:divBdr>
    </w:div>
    <w:div w:id="783813484">
      <w:bodyDiv w:val="1"/>
      <w:marLeft w:val="0"/>
      <w:marRight w:val="0"/>
      <w:marTop w:val="0"/>
      <w:marBottom w:val="0"/>
      <w:divBdr>
        <w:top w:val="none" w:sz="0" w:space="0" w:color="auto"/>
        <w:left w:val="none" w:sz="0" w:space="0" w:color="auto"/>
        <w:bottom w:val="none" w:sz="0" w:space="0" w:color="auto"/>
        <w:right w:val="none" w:sz="0" w:space="0" w:color="auto"/>
      </w:divBdr>
    </w:div>
    <w:div w:id="87242095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099641288">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63416423">
      <w:bodyDiv w:val="1"/>
      <w:marLeft w:val="0"/>
      <w:marRight w:val="0"/>
      <w:marTop w:val="0"/>
      <w:marBottom w:val="0"/>
      <w:divBdr>
        <w:top w:val="none" w:sz="0" w:space="0" w:color="auto"/>
        <w:left w:val="none" w:sz="0" w:space="0" w:color="auto"/>
        <w:bottom w:val="none" w:sz="0" w:space="0" w:color="auto"/>
        <w:right w:val="none" w:sz="0" w:space="0" w:color="auto"/>
      </w:divBdr>
    </w:div>
    <w:div w:id="1340739369">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431584995">
      <w:bodyDiv w:val="1"/>
      <w:marLeft w:val="0"/>
      <w:marRight w:val="0"/>
      <w:marTop w:val="0"/>
      <w:marBottom w:val="0"/>
      <w:divBdr>
        <w:top w:val="none" w:sz="0" w:space="0" w:color="auto"/>
        <w:left w:val="none" w:sz="0" w:space="0" w:color="auto"/>
        <w:bottom w:val="none" w:sz="0" w:space="0" w:color="auto"/>
        <w:right w:val="none" w:sz="0" w:space="0" w:color="auto"/>
      </w:divBdr>
    </w:div>
    <w:div w:id="1511870680">
      <w:bodyDiv w:val="1"/>
      <w:marLeft w:val="0"/>
      <w:marRight w:val="0"/>
      <w:marTop w:val="0"/>
      <w:marBottom w:val="0"/>
      <w:divBdr>
        <w:top w:val="none" w:sz="0" w:space="0" w:color="auto"/>
        <w:left w:val="none" w:sz="0" w:space="0" w:color="auto"/>
        <w:bottom w:val="none" w:sz="0" w:space="0" w:color="auto"/>
        <w:right w:val="none" w:sz="0" w:space="0" w:color="auto"/>
      </w:divBdr>
    </w:div>
    <w:div w:id="1549803562">
      <w:bodyDiv w:val="1"/>
      <w:marLeft w:val="0"/>
      <w:marRight w:val="0"/>
      <w:marTop w:val="0"/>
      <w:marBottom w:val="0"/>
      <w:divBdr>
        <w:top w:val="none" w:sz="0" w:space="0" w:color="auto"/>
        <w:left w:val="none" w:sz="0" w:space="0" w:color="auto"/>
        <w:bottom w:val="none" w:sz="0" w:space="0" w:color="auto"/>
        <w:right w:val="none" w:sz="0" w:space="0" w:color="auto"/>
      </w:divBdr>
    </w:div>
    <w:div w:id="1618293977">
      <w:bodyDiv w:val="1"/>
      <w:marLeft w:val="0"/>
      <w:marRight w:val="0"/>
      <w:marTop w:val="0"/>
      <w:marBottom w:val="0"/>
      <w:divBdr>
        <w:top w:val="none" w:sz="0" w:space="0" w:color="auto"/>
        <w:left w:val="none" w:sz="0" w:space="0" w:color="auto"/>
        <w:bottom w:val="none" w:sz="0" w:space="0" w:color="auto"/>
        <w:right w:val="none" w:sz="0" w:space="0" w:color="auto"/>
      </w:divBdr>
    </w:div>
    <w:div w:id="1649163866">
      <w:bodyDiv w:val="1"/>
      <w:marLeft w:val="0"/>
      <w:marRight w:val="0"/>
      <w:marTop w:val="0"/>
      <w:marBottom w:val="0"/>
      <w:divBdr>
        <w:top w:val="none" w:sz="0" w:space="0" w:color="auto"/>
        <w:left w:val="none" w:sz="0" w:space="0" w:color="auto"/>
        <w:bottom w:val="none" w:sz="0" w:space="0" w:color="auto"/>
        <w:right w:val="none" w:sz="0" w:space="0" w:color="auto"/>
      </w:divBdr>
      <w:divsChild>
        <w:div w:id="726031262">
          <w:marLeft w:val="274"/>
          <w:marRight w:val="0"/>
          <w:marTop w:val="0"/>
          <w:marBottom w:val="120"/>
          <w:divBdr>
            <w:top w:val="none" w:sz="0" w:space="0" w:color="auto"/>
            <w:left w:val="none" w:sz="0" w:space="0" w:color="auto"/>
            <w:bottom w:val="none" w:sz="0" w:space="0" w:color="auto"/>
            <w:right w:val="none" w:sz="0" w:space="0" w:color="auto"/>
          </w:divBdr>
        </w:div>
        <w:div w:id="589117039">
          <w:marLeft w:val="274"/>
          <w:marRight w:val="0"/>
          <w:marTop w:val="0"/>
          <w:marBottom w:val="120"/>
          <w:divBdr>
            <w:top w:val="none" w:sz="0" w:space="0" w:color="auto"/>
            <w:left w:val="none" w:sz="0" w:space="0" w:color="auto"/>
            <w:bottom w:val="none" w:sz="0" w:space="0" w:color="auto"/>
            <w:right w:val="none" w:sz="0" w:space="0" w:color="auto"/>
          </w:divBdr>
        </w:div>
      </w:divsChild>
    </w:div>
    <w:div w:id="1650674076">
      <w:bodyDiv w:val="1"/>
      <w:marLeft w:val="0"/>
      <w:marRight w:val="0"/>
      <w:marTop w:val="0"/>
      <w:marBottom w:val="0"/>
      <w:divBdr>
        <w:top w:val="none" w:sz="0" w:space="0" w:color="auto"/>
        <w:left w:val="none" w:sz="0" w:space="0" w:color="auto"/>
        <w:bottom w:val="none" w:sz="0" w:space="0" w:color="auto"/>
        <w:right w:val="none" w:sz="0" w:space="0" w:color="auto"/>
      </w:divBdr>
    </w:div>
    <w:div w:id="1652755404">
      <w:bodyDiv w:val="1"/>
      <w:marLeft w:val="0"/>
      <w:marRight w:val="0"/>
      <w:marTop w:val="0"/>
      <w:marBottom w:val="0"/>
      <w:divBdr>
        <w:top w:val="none" w:sz="0" w:space="0" w:color="auto"/>
        <w:left w:val="none" w:sz="0" w:space="0" w:color="auto"/>
        <w:bottom w:val="none" w:sz="0" w:space="0" w:color="auto"/>
        <w:right w:val="none" w:sz="0" w:space="0" w:color="auto"/>
      </w:divBdr>
    </w:div>
    <w:div w:id="1659458436">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839492614">
      <w:bodyDiv w:val="1"/>
      <w:marLeft w:val="0"/>
      <w:marRight w:val="0"/>
      <w:marTop w:val="0"/>
      <w:marBottom w:val="0"/>
      <w:divBdr>
        <w:top w:val="none" w:sz="0" w:space="0" w:color="auto"/>
        <w:left w:val="none" w:sz="0" w:space="0" w:color="auto"/>
        <w:bottom w:val="none" w:sz="0" w:space="0" w:color="auto"/>
        <w:right w:val="none" w:sz="0" w:space="0" w:color="auto"/>
      </w:divBdr>
    </w:div>
    <w:div w:id="1942175525">
      <w:bodyDiv w:val="1"/>
      <w:marLeft w:val="0"/>
      <w:marRight w:val="0"/>
      <w:marTop w:val="0"/>
      <w:marBottom w:val="0"/>
      <w:divBdr>
        <w:top w:val="none" w:sz="0" w:space="0" w:color="auto"/>
        <w:left w:val="none" w:sz="0" w:space="0" w:color="auto"/>
        <w:bottom w:val="none" w:sz="0" w:space="0" w:color="auto"/>
        <w:right w:val="none" w:sz="0" w:space="0" w:color="auto"/>
      </w:divBdr>
    </w:div>
    <w:div w:id="1955936619">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 w:id="21077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FAT Corporate - Standard">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A8F1-6BB0-49D4-BEAD-4C04A833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9638</Characters>
  <Application>Microsoft Office Word</Application>
  <DocSecurity>0</DocSecurity>
  <Lines>219</Lines>
  <Paragraphs>119</Paragraphs>
  <ScaleCrop>false</ScaleCrop>
  <HeadingPairs>
    <vt:vector size="2" baseType="variant">
      <vt:variant>
        <vt:lpstr>Title</vt:lpstr>
      </vt:variant>
      <vt:variant>
        <vt:i4>1</vt:i4>
      </vt:variant>
    </vt:vector>
  </HeadingPairs>
  <TitlesOfParts>
    <vt:vector size="1" baseType="lpstr">
      <vt:lpstr>Australian NGO Cooperation Program (ANCP) Performance Snapshot 2022-23</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NGO Cooperation Program (ANCP) Performance Snapshot 2022-23</dc:title>
  <dc:creator/>
  <cp:keywords>[SEC=OFFICIAL]</cp:keywords>
  <cp:lastModifiedBy/>
  <cp:revision>1</cp:revision>
  <dcterms:created xsi:type="dcterms:W3CDTF">2025-06-27T04:31:00Z</dcterms:created>
  <dcterms:modified xsi:type="dcterms:W3CDTF">2025-06-27T06:29:00Z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v=2022.1;a=SHA256;h=C1BDF3D0710CFE1098890354ADDBC91EBED988CC95D5888C6D77C8AFC9576EEA</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0CF5233A809D4E779FD6B07730BA6E53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2023-02-01T23:08:54Z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7A4BB109CCA6F0338AD353DA1C275B92</vt:lpwstr>
  </property>
  <property fmtid="{D5CDD505-2E9C-101B-9397-08002B2CF9AE}" pid="20" name="PM_Hash_Salt">
    <vt:lpwstr>A109AFB05F0B2856174D2FCCF319F887</vt:lpwstr>
  </property>
  <property fmtid="{D5CDD505-2E9C-101B-9397-08002B2CF9AE}" pid="21" name="PM_Hash_SHA1">
    <vt:lpwstr>CC3338CBE170A692516D5590A00311B63118B0F4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