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C9C542" w14:textId="0CB4DF3A" w:rsidR="00110C57" w:rsidRPr="00E2531D" w:rsidRDefault="00D853DC" w:rsidP="00BE6B6D">
      <w:pPr>
        <w:pStyle w:val="Title"/>
        <w:jc w:val="center"/>
        <w:rPr>
          <w:color w:val="auto"/>
          <w:sz w:val="40"/>
          <w:szCs w:val="40"/>
        </w:rPr>
      </w:pPr>
      <w:r>
        <w:rPr>
          <w:color w:val="auto"/>
          <w:sz w:val="40"/>
          <w:szCs w:val="40"/>
        </w:rPr>
        <w:t xml:space="preserve">2021-22 </w:t>
      </w:r>
      <w:r w:rsidR="00110C57" w:rsidRPr="00E2531D">
        <w:rPr>
          <w:color w:val="auto"/>
          <w:sz w:val="40"/>
          <w:szCs w:val="40"/>
        </w:rPr>
        <w:t xml:space="preserve">Australian NGO Cooperation Program </w:t>
      </w:r>
    </w:p>
    <w:p w14:paraId="499D2420" w14:textId="07157A74" w:rsidR="00110C57" w:rsidRPr="00E2531D" w:rsidRDefault="00D73EA0" w:rsidP="00BE6B6D">
      <w:pPr>
        <w:pStyle w:val="Title"/>
        <w:jc w:val="center"/>
        <w:rPr>
          <w:color w:val="auto"/>
          <w:sz w:val="40"/>
          <w:szCs w:val="40"/>
        </w:rPr>
      </w:pPr>
      <w:r>
        <w:rPr>
          <w:color w:val="auto"/>
          <w:sz w:val="40"/>
          <w:szCs w:val="40"/>
        </w:rPr>
        <w:t>Performance snapshot</w:t>
      </w:r>
    </w:p>
    <w:p w14:paraId="4C6158B9" w14:textId="4B1370D5" w:rsidR="00EF41B4" w:rsidRPr="00213438" w:rsidRDefault="000F1140" w:rsidP="00EF41B4">
      <w:pPr>
        <w:spacing w:after="0" w:line="240" w:lineRule="auto"/>
        <w:rPr>
          <w:color w:val="auto"/>
          <w:sz w:val="24"/>
          <w:szCs w:val="24"/>
        </w:rPr>
      </w:pPr>
      <w:r w:rsidRPr="00213438">
        <w:rPr>
          <w:color w:val="auto"/>
          <w:sz w:val="24"/>
          <w:szCs w:val="24"/>
        </w:rPr>
        <w:t>The A</w:t>
      </w:r>
      <w:r w:rsidR="0017173E">
        <w:rPr>
          <w:color w:val="auto"/>
          <w:sz w:val="24"/>
          <w:szCs w:val="24"/>
        </w:rPr>
        <w:t>ustralian NGO Cooperation Program (A</w:t>
      </w:r>
      <w:r w:rsidRPr="00213438">
        <w:rPr>
          <w:color w:val="auto"/>
          <w:sz w:val="24"/>
          <w:szCs w:val="24"/>
        </w:rPr>
        <w:t>NCP</w:t>
      </w:r>
      <w:r w:rsidR="0017173E">
        <w:rPr>
          <w:color w:val="auto"/>
          <w:sz w:val="24"/>
          <w:szCs w:val="24"/>
        </w:rPr>
        <w:t>)</w:t>
      </w:r>
      <w:r w:rsidRPr="00213438">
        <w:rPr>
          <w:color w:val="auto"/>
          <w:sz w:val="24"/>
          <w:szCs w:val="24"/>
        </w:rPr>
        <w:t xml:space="preserve"> supports </w:t>
      </w:r>
      <w:r w:rsidR="0022166A">
        <w:rPr>
          <w:color w:val="auto"/>
          <w:sz w:val="24"/>
          <w:szCs w:val="24"/>
        </w:rPr>
        <w:t xml:space="preserve">accredited </w:t>
      </w:r>
      <w:r w:rsidRPr="00213438">
        <w:rPr>
          <w:color w:val="auto"/>
          <w:sz w:val="24"/>
          <w:szCs w:val="24"/>
        </w:rPr>
        <w:t xml:space="preserve">Australian-based development NGOs through flexible annual grants for effective </w:t>
      </w:r>
      <w:r w:rsidR="0064049B" w:rsidRPr="00213438">
        <w:rPr>
          <w:color w:val="auto"/>
          <w:sz w:val="24"/>
          <w:szCs w:val="24"/>
        </w:rPr>
        <w:t xml:space="preserve">international </w:t>
      </w:r>
      <w:r w:rsidRPr="00213438">
        <w:rPr>
          <w:color w:val="auto"/>
          <w:sz w:val="24"/>
          <w:szCs w:val="24"/>
        </w:rPr>
        <w:t xml:space="preserve">development projects. </w:t>
      </w:r>
      <w:r w:rsidR="00052D24">
        <w:rPr>
          <w:color w:val="auto"/>
          <w:sz w:val="24"/>
          <w:szCs w:val="24"/>
        </w:rPr>
        <w:t xml:space="preserve">In 2021-22 the ANCP supported 57 NGOs to deliver 392 projects in over 50 countries. </w:t>
      </w:r>
      <w:r w:rsidRPr="00213438">
        <w:rPr>
          <w:color w:val="auto"/>
          <w:sz w:val="24"/>
          <w:szCs w:val="24"/>
        </w:rPr>
        <w:t xml:space="preserve">This snapshot </w:t>
      </w:r>
      <w:r w:rsidR="006A2D61" w:rsidRPr="00213438">
        <w:rPr>
          <w:color w:val="auto"/>
          <w:sz w:val="24"/>
          <w:szCs w:val="24"/>
        </w:rPr>
        <w:t>p</w:t>
      </w:r>
      <w:r w:rsidR="00052D24">
        <w:rPr>
          <w:color w:val="auto"/>
          <w:sz w:val="24"/>
          <w:szCs w:val="24"/>
        </w:rPr>
        <w:t>resents</w:t>
      </w:r>
      <w:r w:rsidRPr="00213438">
        <w:rPr>
          <w:color w:val="auto"/>
          <w:sz w:val="24"/>
          <w:szCs w:val="24"/>
        </w:rPr>
        <w:t xml:space="preserve"> aggregated data on </w:t>
      </w:r>
      <w:r w:rsidR="00052D24">
        <w:rPr>
          <w:color w:val="auto"/>
          <w:sz w:val="24"/>
          <w:szCs w:val="24"/>
        </w:rPr>
        <w:t xml:space="preserve">2021-22 </w:t>
      </w:r>
      <w:r w:rsidRPr="00213438">
        <w:rPr>
          <w:color w:val="auto"/>
          <w:sz w:val="24"/>
          <w:szCs w:val="24"/>
        </w:rPr>
        <w:t>program</w:t>
      </w:r>
      <w:r w:rsidR="00D811EB">
        <w:rPr>
          <w:color w:val="auto"/>
          <w:sz w:val="24"/>
          <w:szCs w:val="24"/>
        </w:rPr>
        <w:t>-wide</w:t>
      </w:r>
      <w:r w:rsidRPr="00213438">
        <w:rPr>
          <w:color w:val="auto"/>
          <w:sz w:val="24"/>
          <w:szCs w:val="24"/>
        </w:rPr>
        <w:t xml:space="preserve"> performance</w:t>
      </w:r>
      <w:r w:rsidR="00844208" w:rsidRPr="00213438">
        <w:rPr>
          <w:color w:val="auto"/>
          <w:sz w:val="24"/>
          <w:szCs w:val="24"/>
        </w:rPr>
        <w:t xml:space="preserve">, against </w:t>
      </w:r>
      <w:r w:rsidR="004561A8" w:rsidRPr="00213438">
        <w:rPr>
          <w:color w:val="auto"/>
          <w:sz w:val="24"/>
          <w:szCs w:val="24"/>
        </w:rPr>
        <w:t>agreed</w:t>
      </w:r>
      <w:r w:rsidR="006A2D61" w:rsidRPr="00213438">
        <w:rPr>
          <w:color w:val="auto"/>
          <w:sz w:val="24"/>
          <w:szCs w:val="24"/>
        </w:rPr>
        <w:t xml:space="preserve"> and common</w:t>
      </w:r>
      <w:r w:rsidR="00844208" w:rsidRPr="00213438">
        <w:rPr>
          <w:color w:val="auto"/>
          <w:sz w:val="24"/>
          <w:szCs w:val="24"/>
        </w:rPr>
        <w:t xml:space="preserve"> </w:t>
      </w:r>
      <w:r w:rsidR="003F001A" w:rsidRPr="00213438">
        <w:rPr>
          <w:color w:val="auto"/>
          <w:sz w:val="24"/>
          <w:szCs w:val="24"/>
        </w:rPr>
        <w:t>indicators</w:t>
      </w:r>
      <w:r w:rsidR="006A2D61" w:rsidRPr="00213438">
        <w:rPr>
          <w:color w:val="auto"/>
          <w:sz w:val="24"/>
          <w:szCs w:val="24"/>
          <w:vertAlign w:val="superscript"/>
        </w:rPr>
        <w:footnoteReference w:id="1"/>
      </w:r>
      <w:r w:rsidR="00844208" w:rsidRPr="00213438">
        <w:rPr>
          <w:color w:val="auto"/>
          <w:sz w:val="24"/>
          <w:szCs w:val="24"/>
        </w:rPr>
        <w:t>,</w:t>
      </w:r>
      <w:r w:rsidRPr="00213438">
        <w:rPr>
          <w:color w:val="auto"/>
          <w:sz w:val="24"/>
          <w:szCs w:val="24"/>
        </w:rPr>
        <w:t xml:space="preserve"> as well as </w:t>
      </w:r>
      <w:r w:rsidR="00AF30DC" w:rsidRPr="00213438">
        <w:rPr>
          <w:color w:val="auto"/>
          <w:sz w:val="24"/>
          <w:szCs w:val="24"/>
        </w:rPr>
        <w:t xml:space="preserve">an overview of </w:t>
      </w:r>
      <w:r w:rsidR="006A2D61" w:rsidRPr="00213438">
        <w:rPr>
          <w:color w:val="auto"/>
          <w:sz w:val="24"/>
          <w:szCs w:val="24"/>
        </w:rPr>
        <w:t xml:space="preserve">how </w:t>
      </w:r>
      <w:r w:rsidR="00052D24">
        <w:rPr>
          <w:color w:val="auto"/>
          <w:sz w:val="24"/>
          <w:szCs w:val="24"/>
        </w:rPr>
        <w:t xml:space="preserve">the </w:t>
      </w:r>
      <w:r w:rsidR="006A2D61" w:rsidRPr="00213438">
        <w:rPr>
          <w:color w:val="auto"/>
          <w:sz w:val="24"/>
          <w:szCs w:val="24"/>
        </w:rPr>
        <w:t xml:space="preserve">ANCP </w:t>
      </w:r>
      <w:r w:rsidR="00280A39" w:rsidRPr="00213438">
        <w:rPr>
          <w:color w:val="auto"/>
          <w:sz w:val="24"/>
          <w:szCs w:val="24"/>
        </w:rPr>
        <w:t xml:space="preserve">continued to respond to </w:t>
      </w:r>
      <w:r w:rsidR="00817615" w:rsidRPr="00213438">
        <w:rPr>
          <w:color w:val="auto"/>
          <w:sz w:val="24"/>
          <w:szCs w:val="24"/>
        </w:rPr>
        <w:t xml:space="preserve">Australian development program </w:t>
      </w:r>
      <w:r w:rsidR="00D440EA">
        <w:rPr>
          <w:color w:val="auto"/>
          <w:sz w:val="24"/>
          <w:szCs w:val="24"/>
        </w:rPr>
        <w:t xml:space="preserve">priorities </w:t>
      </w:r>
      <w:r w:rsidR="00817615" w:rsidRPr="00213438">
        <w:rPr>
          <w:color w:val="auto"/>
          <w:sz w:val="24"/>
          <w:szCs w:val="24"/>
        </w:rPr>
        <w:t>including COVID-19 recovery</w:t>
      </w:r>
      <w:r w:rsidR="00D811EB">
        <w:rPr>
          <w:color w:val="auto"/>
          <w:sz w:val="24"/>
          <w:szCs w:val="24"/>
        </w:rPr>
        <w:t xml:space="preserve"> and</w:t>
      </w:r>
      <w:r w:rsidR="00817615" w:rsidRPr="00213438">
        <w:rPr>
          <w:color w:val="auto"/>
          <w:sz w:val="24"/>
          <w:szCs w:val="24"/>
        </w:rPr>
        <w:t xml:space="preserve"> </w:t>
      </w:r>
      <w:r w:rsidR="00816872" w:rsidRPr="00213438">
        <w:rPr>
          <w:color w:val="auto"/>
          <w:sz w:val="24"/>
          <w:szCs w:val="24"/>
        </w:rPr>
        <w:t xml:space="preserve">gender equality. </w:t>
      </w:r>
    </w:p>
    <w:p w14:paraId="75683F98" w14:textId="062EC9FF" w:rsidR="002478FD" w:rsidRPr="00213438" w:rsidRDefault="003E665D" w:rsidP="00AD1FBD">
      <w:pPr>
        <w:spacing w:before="240" w:after="120"/>
        <w:rPr>
          <w:b/>
          <w:bCs/>
          <w:color w:val="auto"/>
          <w:sz w:val="24"/>
          <w:szCs w:val="24"/>
        </w:rPr>
      </w:pPr>
      <w:r>
        <w:rPr>
          <w:b/>
          <w:bCs/>
          <w:color w:val="auto"/>
          <w:sz w:val="24"/>
          <w:szCs w:val="24"/>
        </w:rPr>
        <w:t>Table</w:t>
      </w:r>
      <w:r w:rsidR="00F031DF">
        <w:rPr>
          <w:b/>
          <w:bCs/>
          <w:color w:val="auto"/>
          <w:sz w:val="24"/>
          <w:szCs w:val="24"/>
        </w:rPr>
        <w:t xml:space="preserve"> 1: </w:t>
      </w:r>
      <w:r w:rsidR="00B715F8" w:rsidRPr="00213438">
        <w:rPr>
          <w:b/>
          <w:bCs/>
          <w:color w:val="auto"/>
          <w:sz w:val="24"/>
          <w:szCs w:val="24"/>
        </w:rPr>
        <w:t>ANCP overview</w:t>
      </w:r>
      <w:r w:rsidR="00404502" w:rsidRPr="00213438">
        <w:rPr>
          <w:b/>
          <w:bCs/>
          <w:color w:val="auto"/>
          <w:sz w:val="24"/>
          <w:szCs w:val="24"/>
        </w:rPr>
        <w:t xml:space="preserve"> statistics for the</w:t>
      </w:r>
      <w:r w:rsidR="00052D24">
        <w:rPr>
          <w:b/>
          <w:bCs/>
          <w:color w:val="auto"/>
          <w:sz w:val="24"/>
          <w:szCs w:val="24"/>
        </w:rPr>
        <w:t xml:space="preserve"> last</w:t>
      </w:r>
      <w:r w:rsidR="00404502" w:rsidRPr="00213438">
        <w:rPr>
          <w:b/>
          <w:bCs/>
          <w:color w:val="auto"/>
          <w:sz w:val="24"/>
          <w:szCs w:val="24"/>
        </w:rPr>
        <w:t xml:space="preserve"> three </w:t>
      </w:r>
      <w:r w:rsidR="00B14C8E" w:rsidRPr="00213438">
        <w:rPr>
          <w:b/>
          <w:bCs/>
          <w:color w:val="auto"/>
          <w:sz w:val="24"/>
          <w:szCs w:val="24"/>
        </w:rPr>
        <w:t xml:space="preserve">COVID-19 impacted </w:t>
      </w:r>
      <w:r w:rsidR="00AF23C4" w:rsidRPr="00213438">
        <w:rPr>
          <w:b/>
          <w:bCs/>
          <w:color w:val="auto"/>
          <w:sz w:val="24"/>
          <w:szCs w:val="24"/>
        </w:rPr>
        <w:t>years</w:t>
      </w:r>
    </w:p>
    <w:tbl>
      <w:tblPr>
        <w:tblW w:w="9522" w:type="dxa"/>
        <w:tblCellMar>
          <w:left w:w="0" w:type="dxa"/>
          <w:right w:w="0" w:type="dxa"/>
        </w:tblCellMar>
        <w:tblLook w:val="04A0" w:firstRow="1" w:lastRow="0" w:firstColumn="1" w:lastColumn="0" w:noHBand="0" w:noVBand="1"/>
      </w:tblPr>
      <w:tblGrid>
        <w:gridCol w:w="4476"/>
        <w:gridCol w:w="1756"/>
        <w:gridCol w:w="1756"/>
        <w:gridCol w:w="1534"/>
      </w:tblGrid>
      <w:tr w:rsidR="00AF23C4" w:rsidRPr="00FF4EB7" w14:paraId="328C030F" w14:textId="77777777" w:rsidTr="0017173E">
        <w:trPr>
          <w:trHeight w:val="334"/>
        </w:trPr>
        <w:tc>
          <w:tcPr>
            <w:tcW w:w="4476" w:type="dxa"/>
            <w:tcBorders>
              <w:top w:val="single" w:sz="4" w:space="0" w:color="auto"/>
              <w:left w:val="single" w:sz="4" w:space="0" w:color="auto"/>
              <w:bottom w:val="single" w:sz="24" w:space="0" w:color="FFFFFF"/>
              <w:right w:val="single" w:sz="8" w:space="0" w:color="FFFFFF"/>
            </w:tcBorders>
            <w:shd w:val="clear" w:color="auto" w:fill="65C5B4"/>
            <w:tcMar>
              <w:top w:w="15" w:type="dxa"/>
              <w:left w:w="90" w:type="dxa"/>
              <w:bottom w:w="0" w:type="dxa"/>
              <w:right w:w="90" w:type="dxa"/>
            </w:tcMar>
            <w:hideMark/>
          </w:tcPr>
          <w:p w14:paraId="17E080BA" w14:textId="77777777" w:rsidR="00AF23C4" w:rsidRPr="00553696" w:rsidRDefault="00AF23C4" w:rsidP="00046645">
            <w:pPr>
              <w:spacing w:before="0" w:after="0" w:line="240" w:lineRule="auto"/>
              <w:rPr>
                <w:color w:val="auto"/>
              </w:rPr>
            </w:pPr>
            <w:r w:rsidRPr="00553696">
              <w:rPr>
                <w:color w:val="auto"/>
              </w:rPr>
              <w:t> </w:t>
            </w:r>
          </w:p>
        </w:tc>
        <w:tc>
          <w:tcPr>
            <w:tcW w:w="1756" w:type="dxa"/>
            <w:tcBorders>
              <w:top w:val="single" w:sz="4" w:space="0" w:color="auto"/>
              <w:left w:val="single" w:sz="8" w:space="0" w:color="FFFFFF"/>
              <w:bottom w:val="single" w:sz="24" w:space="0" w:color="FFFFFF"/>
              <w:right w:val="single" w:sz="8" w:space="0" w:color="FFFFFF"/>
            </w:tcBorders>
            <w:shd w:val="clear" w:color="auto" w:fill="65C5B4"/>
          </w:tcPr>
          <w:p w14:paraId="1AB721E2" w14:textId="77777777" w:rsidR="00AF23C4" w:rsidRPr="00553696" w:rsidRDefault="00AF23C4" w:rsidP="00046645">
            <w:pPr>
              <w:spacing w:before="0" w:after="0" w:line="240" w:lineRule="auto"/>
              <w:rPr>
                <w:b/>
                <w:bCs/>
                <w:color w:val="auto"/>
              </w:rPr>
            </w:pPr>
            <w:r w:rsidRPr="00553696">
              <w:rPr>
                <w:b/>
                <w:bCs/>
                <w:color w:val="auto"/>
              </w:rPr>
              <w:t>2019-20</w:t>
            </w:r>
          </w:p>
        </w:tc>
        <w:tc>
          <w:tcPr>
            <w:tcW w:w="1756" w:type="dxa"/>
            <w:tcBorders>
              <w:top w:val="single" w:sz="4" w:space="0" w:color="auto"/>
              <w:left w:val="single" w:sz="8" w:space="0" w:color="FFFFFF"/>
              <w:bottom w:val="single" w:sz="24" w:space="0" w:color="FFFFFF"/>
              <w:right w:val="single" w:sz="8" w:space="0" w:color="FFFFFF"/>
            </w:tcBorders>
            <w:shd w:val="clear" w:color="auto" w:fill="65C5B4"/>
          </w:tcPr>
          <w:p w14:paraId="7E9BAB6C" w14:textId="77777777" w:rsidR="00AF23C4" w:rsidRPr="00553696" w:rsidRDefault="00AF23C4" w:rsidP="00046645">
            <w:pPr>
              <w:spacing w:before="0" w:after="0" w:line="240" w:lineRule="auto"/>
              <w:rPr>
                <w:b/>
                <w:bCs/>
                <w:color w:val="auto"/>
              </w:rPr>
            </w:pPr>
            <w:r w:rsidRPr="00553696">
              <w:rPr>
                <w:b/>
                <w:bCs/>
                <w:color w:val="auto"/>
              </w:rPr>
              <w:t>2020-21</w:t>
            </w:r>
          </w:p>
        </w:tc>
        <w:tc>
          <w:tcPr>
            <w:tcW w:w="1534" w:type="dxa"/>
            <w:tcBorders>
              <w:top w:val="single" w:sz="4" w:space="0" w:color="auto"/>
              <w:left w:val="single" w:sz="8" w:space="0" w:color="FFFFFF"/>
              <w:bottom w:val="single" w:sz="24" w:space="0" w:color="FFFFFF"/>
              <w:right w:val="single" w:sz="4" w:space="0" w:color="auto"/>
            </w:tcBorders>
            <w:shd w:val="clear" w:color="auto" w:fill="65C5B4"/>
          </w:tcPr>
          <w:p w14:paraId="350C43A6" w14:textId="77777777" w:rsidR="00AF23C4" w:rsidRPr="00553696" w:rsidRDefault="00AF23C4" w:rsidP="00046645">
            <w:pPr>
              <w:spacing w:before="0" w:after="0" w:line="240" w:lineRule="auto"/>
              <w:rPr>
                <w:b/>
                <w:bCs/>
                <w:color w:val="auto"/>
              </w:rPr>
            </w:pPr>
            <w:r w:rsidRPr="00553696">
              <w:rPr>
                <w:b/>
                <w:bCs/>
                <w:color w:val="auto"/>
              </w:rPr>
              <w:t>2021-22</w:t>
            </w:r>
          </w:p>
        </w:tc>
      </w:tr>
      <w:tr w:rsidR="00AF23C4" w:rsidRPr="00FF4EB7" w14:paraId="66ABDDD8" w14:textId="77777777" w:rsidTr="0017173E">
        <w:trPr>
          <w:trHeight w:val="334"/>
        </w:trPr>
        <w:tc>
          <w:tcPr>
            <w:tcW w:w="4476" w:type="dxa"/>
            <w:tcBorders>
              <w:top w:val="single" w:sz="24"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405E226D" w14:textId="5D81C697" w:rsidR="00AF23C4" w:rsidRPr="00553696" w:rsidRDefault="00AF23C4" w:rsidP="00046645">
            <w:pPr>
              <w:spacing w:before="0" w:after="0" w:line="240" w:lineRule="auto"/>
              <w:rPr>
                <w:color w:val="auto"/>
              </w:rPr>
            </w:pPr>
            <w:r w:rsidRPr="00553696">
              <w:rPr>
                <w:color w:val="auto"/>
              </w:rPr>
              <w:t xml:space="preserve">ANCP </w:t>
            </w:r>
            <w:r w:rsidR="00CC7CF5">
              <w:rPr>
                <w:color w:val="auto"/>
              </w:rPr>
              <w:t>g</w:t>
            </w:r>
            <w:r w:rsidRPr="00553696">
              <w:rPr>
                <w:color w:val="auto"/>
              </w:rPr>
              <w:t>rants to NGOs (AUD million)</w:t>
            </w:r>
          </w:p>
        </w:tc>
        <w:tc>
          <w:tcPr>
            <w:tcW w:w="1756" w:type="dxa"/>
            <w:tcBorders>
              <w:top w:val="single" w:sz="24" w:space="0" w:color="FFFFFF"/>
              <w:left w:val="single" w:sz="8" w:space="0" w:color="FFFFFF"/>
              <w:bottom w:val="single" w:sz="8" w:space="0" w:color="FFFFFF"/>
              <w:right w:val="single" w:sz="8" w:space="0" w:color="FFFFFF"/>
            </w:tcBorders>
            <w:shd w:val="clear" w:color="auto" w:fill="D3EAE5"/>
          </w:tcPr>
          <w:p w14:paraId="765B907A" w14:textId="77777777" w:rsidR="00AF23C4" w:rsidRPr="00553696" w:rsidRDefault="00AF23C4" w:rsidP="00046645">
            <w:pPr>
              <w:spacing w:before="0" w:after="0" w:line="240" w:lineRule="auto"/>
              <w:rPr>
                <w:color w:val="auto"/>
              </w:rPr>
            </w:pPr>
            <w:r w:rsidRPr="00553696">
              <w:rPr>
                <w:color w:val="auto"/>
              </w:rPr>
              <w:t>131.8</w:t>
            </w:r>
          </w:p>
        </w:tc>
        <w:tc>
          <w:tcPr>
            <w:tcW w:w="1756" w:type="dxa"/>
            <w:tcBorders>
              <w:top w:val="single" w:sz="24" w:space="0" w:color="FFFFFF"/>
              <w:left w:val="single" w:sz="8" w:space="0" w:color="FFFFFF"/>
              <w:bottom w:val="single" w:sz="8" w:space="0" w:color="FFFFFF"/>
              <w:right w:val="single" w:sz="8" w:space="0" w:color="FFFFFF"/>
            </w:tcBorders>
            <w:shd w:val="clear" w:color="auto" w:fill="D3EAE5"/>
          </w:tcPr>
          <w:p w14:paraId="31C29334" w14:textId="77777777" w:rsidR="00AF23C4" w:rsidRPr="00553696" w:rsidRDefault="00AF23C4" w:rsidP="00046645">
            <w:pPr>
              <w:spacing w:before="0" w:after="0" w:line="240" w:lineRule="auto"/>
              <w:rPr>
                <w:color w:val="auto"/>
              </w:rPr>
            </w:pPr>
            <w:r w:rsidRPr="00553696">
              <w:rPr>
                <w:color w:val="auto"/>
              </w:rPr>
              <w:t>132.9</w:t>
            </w:r>
          </w:p>
        </w:tc>
        <w:tc>
          <w:tcPr>
            <w:tcW w:w="1534" w:type="dxa"/>
            <w:tcBorders>
              <w:top w:val="single" w:sz="24" w:space="0" w:color="FFFFFF"/>
              <w:left w:val="single" w:sz="8" w:space="0" w:color="FFFFFF"/>
              <w:bottom w:val="single" w:sz="8" w:space="0" w:color="FFFFFF"/>
              <w:right w:val="single" w:sz="4" w:space="0" w:color="auto"/>
            </w:tcBorders>
            <w:shd w:val="clear" w:color="auto" w:fill="D3EAE5"/>
          </w:tcPr>
          <w:p w14:paraId="10960789" w14:textId="77777777" w:rsidR="00AF23C4" w:rsidRPr="00553696" w:rsidRDefault="00AF23C4" w:rsidP="00046645">
            <w:pPr>
              <w:spacing w:before="0" w:after="0" w:line="240" w:lineRule="auto"/>
              <w:rPr>
                <w:color w:val="auto"/>
              </w:rPr>
            </w:pPr>
            <w:r w:rsidRPr="00553696">
              <w:rPr>
                <w:color w:val="auto"/>
              </w:rPr>
              <w:t>132.8</w:t>
            </w:r>
          </w:p>
        </w:tc>
      </w:tr>
      <w:tr w:rsidR="00AF23C4" w:rsidRPr="00FF4EB7" w14:paraId="639F1501"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6A6AA7D2" w14:textId="77777777" w:rsidR="00AF23C4" w:rsidRPr="00553696" w:rsidRDefault="00AF23C4" w:rsidP="00046645">
            <w:pPr>
              <w:spacing w:before="0" w:after="0" w:line="240" w:lineRule="auto"/>
              <w:rPr>
                <w:color w:val="auto"/>
              </w:rPr>
            </w:pPr>
            <w:r w:rsidRPr="00553696">
              <w:rPr>
                <w:color w:val="auto"/>
              </w:rPr>
              <w:t>NGO contributions (AUD million)</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18B502E6" w14:textId="77777777" w:rsidR="00AF23C4" w:rsidRPr="00553696" w:rsidRDefault="00AF23C4" w:rsidP="00046645">
            <w:pPr>
              <w:spacing w:before="0" w:after="0" w:line="240" w:lineRule="auto"/>
              <w:rPr>
                <w:color w:val="auto"/>
              </w:rPr>
            </w:pPr>
            <w:r w:rsidRPr="00553696">
              <w:rPr>
                <w:color w:val="auto"/>
              </w:rPr>
              <w:t>30.15</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733D02B3" w14:textId="77777777" w:rsidR="00AF23C4" w:rsidRPr="00553696" w:rsidRDefault="00AF23C4" w:rsidP="00046645">
            <w:pPr>
              <w:spacing w:before="0" w:after="0" w:line="240" w:lineRule="auto"/>
              <w:rPr>
                <w:color w:val="auto"/>
              </w:rPr>
            </w:pPr>
            <w:r w:rsidRPr="00553696">
              <w:rPr>
                <w:color w:val="auto"/>
              </w:rPr>
              <w:t>21.44</w:t>
            </w:r>
          </w:p>
        </w:tc>
        <w:tc>
          <w:tcPr>
            <w:tcW w:w="1534" w:type="dxa"/>
            <w:tcBorders>
              <w:top w:val="single" w:sz="8" w:space="0" w:color="FFFFFF"/>
              <w:left w:val="single" w:sz="8" w:space="0" w:color="FFFFFF"/>
              <w:bottom w:val="single" w:sz="8" w:space="0" w:color="FFFFFF"/>
              <w:right w:val="single" w:sz="4" w:space="0" w:color="auto"/>
            </w:tcBorders>
            <w:shd w:val="clear" w:color="auto" w:fill="EAF5F2"/>
          </w:tcPr>
          <w:p w14:paraId="069D825E" w14:textId="77777777" w:rsidR="00AF23C4" w:rsidRPr="00553696" w:rsidRDefault="00AF23C4" w:rsidP="00046645">
            <w:pPr>
              <w:spacing w:before="0" w:after="0" w:line="240" w:lineRule="auto"/>
              <w:rPr>
                <w:color w:val="auto"/>
              </w:rPr>
            </w:pPr>
            <w:r w:rsidRPr="00553696">
              <w:rPr>
                <w:color w:val="auto"/>
              </w:rPr>
              <w:t>34.7</w:t>
            </w:r>
          </w:p>
        </w:tc>
      </w:tr>
      <w:tr w:rsidR="00AF23C4" w:rsidRPr="00FF4EB7" w14:paraId="11A87281"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68F5C4CB" w14:textId="77777777" w:rsidR="00AF23C4" w:rsidRPr="00553696" w:rsidRDefault="00AF23C4" w:rsidP="00046645">
            <w:pPr>
              <w:spacing w:before="0" w:after="0" w:line="240" w:lineRule="auto"/>
              <w:rPr>
                <w:color w:val="auto"/>
              </w:rPr>
            </w:pPr>
            <w:r w:rsidRPr="00553696">
              <w:rPr>
                <w:color w:val="auto"/>
              </w:rPr>
              <w:t>NGO contribution percentage</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378B7C22" w14:textId="77777777" w:rsidR="00AF23C4" w:rsidRPr="00553696" w:rsidRDefault="00AF23C4" w:rsidP="00046645">
            <w:pPr>
              <w:spacing w:before="0" w:after="0" w:line="240" w:lineRule="auto"/>
              <w:rPr>
                <w:color w:val="auto"/>
              </w:rPr>
            </w:pPr>
            <w:r w:rsidRPr="00553696">
              <w:rPr>
                <w:color w:val="auto"/>
              </w:rPr>
              <w:t>23</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7D25FCC3" w14:textId="77777777" w:rsidR="00AF23C4" w:rsidRPr="00553696" w:rsidRDefault="00AF23C4" w:rsidP="00046645">
            <w:pPr>
              <w:spacing w:before="0" w:after="0" w:line="240" w:lineRule="auto"/>
              <w:rPr>
                <w:color w:val="auto"/>
              </w:rPr>
            </w:pPr>
            <w:r w:rsidRPr="00553696">
              <w:rPr>
                <w:color w:val="auto"/>
              </w:rPr>
              <w:t>16</w:t>
            </w:r>
          </w:p>
        </w:tc>
        <w:tc>
          <w:tcPr>
            <w:tcW w:w="1534" w:type="dxa"/>
            <w:tcBorders>
              <w:top w:val="single" w:sz="8" w:space="0" w:color="FFFFFF"/>
              <w:left w:val="single" w:sz="8" w:space="0" w:color="FFFFFF"/>
              <w:bottom w:val="single" w:sz="8" w:space="0" w:color="FFFFFF"/>
              <w:right w:val="single" w:sz="4" w:space="0" w:color="auto"/>
            </w:tcBorders>
            <w:shd w:val="clear" w:color="auto" w:fill="D3EAE5"/>
          </w:tcPr>
          <w:p w14:paraId="355ED1EE" w14:textId="77777777" w:rsidR="00AF23C4" w:rsidRPr="00553696" w:rsidRDefault="00AF23C4" w:rsidP="00046645">
            <w:pPr>
              <w:spacing w:before="0" w:after="0" w:line="240" w:lineRule="auto"/>
              <w:rPr>
                <w:color w:val="auto"/>
              </w:rPr>
            </w:pPr>
            <w:r w:rsidRPr="00553696">
              <w:rPr>
                <w:color w:val="auto"/>
              </w:rPr>
              <w:t>26</w:t>
            </w:r>
          </w:p>
        </w:tc>
      </w:tr>
      <w:tr w:rsidR="00AF23C4" w:rsidRPr="00FF4EB7" w14:paraId="7F3B93DD"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063D6694" w14:textId="1709E05F" w:rsidR="00AF23C4" w:rsidRPr="00553696" w:rsidRDefault="006148A9" w:rsidP="00046645">
            <w:pPr>
              <w:spacing w:before="0" w:after="0" w:line="240" w:lineRule="auto"/>
              <w:rPr>
                <w:color w:val="auto"/>
              </w:rPr>
            </w:pPr>
            <w:r>
              <w:rPr>
                <w:color w:val="auto"/>
              </w:rPr>
              <w:t>External contributions</w:t>
            </w:r>
            <w:r w:rsidR="00AF23C4" w:rsidRPr="00553696">
              <w:rPr>
                <w:color w:val="auto"/>
              </w:rPr>
              <w:t xml:space="preserve"> (AUD million)</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7C94F994" w14:textId="77777777" w:rsidR="00AF23C4" w:rsidRPr="00553696" w:rsidRDefault="00AF23C4" w:rsidP="00046645">
            <w:pPr>
              <w:spacing w:before="0" w:after="0" w:line="240" w:lineRule="auto"/>
              <w:rPr>
                <w:color w:val="auto"/>
              </w:rPr>
            </w:pPr>
            <w:r w:rsidRPr="00553696">
              <w:rPr>
                <w:color w:val="auto"/>
              </w:rPr>
              <w:t>25.6</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7A379D58" w14:textId="77777777" w:rsidR="00AF23C4" w:rsidRPr="00553696" w:rsidRDefault="00AF23C4" w:rsidP="00046645">
            <w:pPr>
              <w:spacing w:before="0" w:after="0" w:line="240" w:lineRule="auto"/>
              <w:rPr>
                <w:color w:val="auto"/>
              </w:rPr>
            </w:pPr>
            <w:r w:rsidRPr="00553696">
              <w:rPr>
                <w:color w:val="auto"/>
              </w:rPr>
              <w:t>21.47</w:t>
            </w:r>
          </w:p>
        </w:tc>
        <w:tc>
          <w:tcPr>
            <w:tcW w:w="1534" w:type="dxa"/>
            <w:tcBorders>
              <w:top w:val="single" w:sz="8" w:space="0" w:color="FFFFFF"/>
              <w:left w:val="single" w:sz="8" w:space="0" w:color="FFFFFF"/>
              <w:bottom w:val="single" w:sz="8" w:space="0" w:color="FFFFFF"/>
              <w:right w:val="single" w:sz="4" w:space="0" w:color="auto"/>
            </w:tcBorders>
            <w:shd w:val="clear" w:color="auto" w:fill="EAF5F2"/>
          </w:tcPr>
          <w:p w14:paraId="429C3F77" w14:textId="77777777" w:rsidR="00AF23C4" w:rsidRPr="00553696" w:rsidRDefault="00AF23C4" w:rsidP="00046645">
            <w:pPr>
              <w:spacing w:before="0" w:after="0" w:line="240" w:lineRule="auto"/>
              <w:rPr>
                <w:color w:val="auto"/>
              </w:rPr>
            </w:pPr>
            <w:r w:rsidRPr="00553696">
              <w:rPr>
                <w:color w:val="auto"/>
              </w:rPr>
              <w:t>21.65</w:t>
            </w:r>
          </w:p>
        </w:tc>
      </w:tr>
      <w:tr w:rsidR="00AF23C4" w:rsidRPr="00FF4EB7" w14:paraId="11324DD5"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2BA48B1C" w14:textId="475AB7E7" w:rsidR="00AF23C4" w:rsidRPr="00553696" w:rsidRDefault="00AF23C4" w:rsidP="00046645">
            <w:pPr>
              <w:spacing w:before="0" w:after="0" w:line="240" w:lineRule="auto"/>
              <w:rPr>
                <w:color w:val="auto"/>
              </w:rPr>
            </w:pPr>
            <w:r w:rsidRPr="00553696">
              <w:rPr>
                <w:color w:val="auto"/>
              </w:rPr>
              <w:t xml:space="preserve">Number of </w:t>
            </w:r>
            <w:r w:rsidR="00CC7CF5">
              <w:rPr>
                <w:color w:val="auto"/>
              </w:rPr>
              <w:t>a</w:t>
            </w:r>
            <w:r w:rsidRPr="00553696">
              <w:rPr>
                <w:color w:val="auto"/>
              </w:rPr>
              <w:t>ccredited NGOs</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62797488" w14:textId="77777777" w:rsidR="00AF23C4" w:rsidRPr="00553696" w:rsidRDefault="00AF23C4" w:rsidP="00046645">
            <w:pPr>
              <w:spacing w:before="0" w:after="0" w:line="240" w:lineRule="auto"/>
              <w:rPr>
                <w:color w:val="auto"/>
              </w:rPr>
            </w:pPr>
            <w:r w:rsidRPr="00553696">
              <w:rPr>
                <w:color w:val="auto"/>
              </w:rPr>
              <w:t>57</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68786A8F" w14:textId="77777777" w:rsidR="00AF23C4" w:rsidRPr="00553696" w:rsidRDefault="00AF23C4" w:rsidP="00046645">
            <w:pPr>
              <w:spacing w:before="0" w:after="0" w:line="240" w:lineRule="auto"/>
              <w:rPr>
                <w:color w:val="auto"/>
              </w:rPr>
            </w:pPr>
            <w:r w:rsidRPr="00553696">
              <w:rPr>
                <w:color w:val="auto"/>
              </w:rPr>
              <w:t>57</w:t>
            </w:r>
          </w:p>
        </w:tc>
        <w:tc>
          <w:tcPr>
            <w:tcW w:w="1534" w:type="dxa"/>
            <w:tcBorders>
              <w:top w:val="single" w:sz="8" w:space="0" w:color="FFFFFF"/>
              <w:left w:val="single" w:sz="8" w:space="0" w:color="FFFFFF"/>
              <w:bottom w:val="single" w:sz="8" w:space="0" w:color="FFFFFF"/>
              <w:right w:val="single" w:sz="4" w:space="0" w:color="auto"/>
            </w:tcBorders>
            <w:shd w:val="clear" w:color="auto" w:fill="D3EAE5"/>
          </w:tcPr>
          <w:p w14:paraId="6E9CD207" w14:textId="77777777" w:rsidR="00AF23C4" w:rsidRPr="00553696" w:rsidRDefault="00AF23C4" w:rsidP="00046645">
            <w:pPr>
              <w:spacing w:before="0" w:after="0" w:line="240" w:lineRule="auto"/>
              <w:rPr>
                <w:color w:val="auto"/>
              </w:rPr>
            </w:pPr>
            <w:r w:rsidRPr="00553696">
              <w:rPr>
                <w:color w:val="auto"/>
              </w:rPr>
              <w:t>57</w:t>
            </w:r>
          </w:p>
        </w:tc>
      </w:tr>
      <w:tr w:rsidR="00AF23C4" w:rsidRPr="00FF4EB7" w14:paraId="0DF36DF7"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51E09E73" w14:textId="0DDFDFBD" w:rsidR="00AF23C4" w:rsidRPr="00553696" w:rsidRDefault="00AF23C4" w:rsidP="00046645">
            <w:pPr>
              <w:spacing w:before="0" w:after="0" w:line="240" w:lineRule="auto"/>
              <w:rPr>
                <w:color w:val="auto"/>
              </w:rPr>
            </w:pPr>
            <w:r w:rsidRPr="00553696">
              <w:rPr>
                <w:color w:val="auto"/>
              </w:rPr>
              <w:t xml:space="preserve">Number of </w:t>
            </w:r>
            <w:r w:rsidR="00CC7CF5">
              <w:rPr>
                <w:color w:val="auto"/>
              </w:rPr>
              <w:t>i</w:t>
            </w:r>
            <w:r w:rsidRPr="00553696">
              <w:rPr>
                <w:color w:val="auto"/>
              </w:rPr>
              <w:t>mplementing partners</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312B72DA" w14:textId="77777777" w:rsidR="00AF23C4" w:rsidRPr="00553696" w:rsidRDefault="00AF23C4" w:rsidP="00046645">
            <w:pPr>
              <w:spacing w:before="0" w:after="0" w:line="240" w:lineRule="auto"/>
              <w:rPr>
                <w:color w:val="auto"/>
              </w:rPr>
            </w:pPr>
            <w:r w:rsidRPr="00553696">
              <w:rPr>
                <w:color w:val="auto"/>
              </w:rPr>
              <w:t>Over 2,000</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6AE1DD33" w14:textId="77777777" w:rsidR="00AF23C4" w:rsidRPr="00553696" w:rsidRDefault="00AF23C4" w:rsidP="00046645">
            <w:pPr>
              <w:spacing w:before="0" w:after="0" w:line="240" w:lineRule="auto"/>
              <w:rPr>
                <w:color w:val="auto"/>
              </w:rPr>
            </w:pPr>
            <w:r w:rsidRPr="00553696">
              <w:rPr>
                <w:color w:val="auto"/>
              </w:rPr>
              <w:t>Over 2,500</w:t>
            </w:r>
          </w:p>
        </w:tc>
        <w:tc>
          <w:tcPr>
            <w:tcW w:w="1534" w:type="dxa"/>
            <w:tcBorders>
              <w:top w:val="single" w:sz="8" w:space="0" w:color="FFFFFF"/>
              <w:left w:val="single" w:sz="8" w:space="0" w:color="FFFFFF"/>
              <w:bottom w:val="single" w:sz="8" w:space="0" w:color="FFFFFF"/>
              <w:right w:val="single" w:sz="4" w:space="0" w:color="auto"/>
            </w:tcBorders>
            <w:shd w:val="clear" w:color="auto" w:fill="EAF5F2"/>
          </w:tcPr>
          <w:p w14:paraId="75EFDCB8" w14:textId="77777777" w:rsidR="00AF23C4" w:rsidRPr="00553696" w:rsidRDefault="00AF23C4" w:rsidP="00046645">
            <w:pPr>
              <w:spacing w:before="0" w:after="0" w:line="240" w:lineRule="auto"/>
              <w:rPr>
                <w:color w:val="auto"/>
              </w:rPr>
            </w:pPr>
            <w:r w:rsidRPr="00553696">
              <w:rPr>
                <w:color w:val="auto"/>
              </w:rPr>
              <w:t>Over 2,200</w:t>
            </w:r>
          </w:p>
        </w:tc>
      </w:tr>
      <w:tr w:rsidR="00AF23C4" w:rsidRPr="00FF4EB7" w14:paraId="0ACAA3D1"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4ECE5E98" w14:textId="20BBAD8E" w:rsidR="00AF23C4" w:rsidRPr="00553696" w:rsidRDefault="00AF23C4" w:rsidP="00046645">
            <w:pPr>
              <w:spacing w:before="0" w:after="0" w:line="240" w:lineRule="auto"/>
              <w:rPr>
                <w:color w:val="auto"/>
              </w:rPr>
            </w:pPr>
            <w:r w:rsidRPr="00553696">
              <w:rPr>
                <w:color w:val="auto"/>
              </w:rPr>
              <w:t xml:space="preserve">Number of </w:t>
            </w:r>
            <w:r w:rsidR="00CC7CF5">
              <w:rPr>
                <w:color w:val="auto"/>
              </w:rPr>
              <w:t>d</w:t>
            </w:r>
            <w:r w:rsidRPr="00553696">
              <w:rPr>
                <w:color w:val="auto"/>
              </w:rPr>
              <w:t>irect participants (million)</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5E0FBA18" w14:textId="77777777" w:rsidR="00AF23C4" w:rsidRPr="00553696" w:rsidRDefault="00AF23C4" w:rsidP="00046645">
            <w:pPr>
              <w:spacing w:before="0" w:after="0" w:line="240" w:lineRule="auto"/>
              <w:rPr>
                <w:color w:val="auto"/>
              </w:rPr>
            </w:pPr>
            <w:r w:rsidRPr="00553696">
              <w:rPr>
                <w:color w:val="auto"/>
              </w:rPr>
              <w:t>Over 11.8</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1C63127F" w14:textId="77777777" w:rsidR="00AF23C4" w:rsidRPr="00553696" w:rsidRDefault="00AF23C4" w:rsidP="00046645">
            <w:pPr>
              <w:spacing w:before="0" w:after="0" w:line="240" w:lineRule="auto"/>
              <w:rPr>
                <w:color w:val="auto"/>
              </w:rPr>
            </w:pPr>
            <w:r w:rsidRPr="00553696">
              <w:rPr>
                <w:color w:val="auto"/>
              </w:rPr>
              <w:t>Over 9.0</w:t>
            </w:r>
          </w:p>
        </w:tc>
        <w:tc>
          <w:tcPr>
            <w:tcW w:w="1534" w:type="dxa"/>
            <w:tcBorders>
              <w:top w:val="single" w:sz="8" w:space="0" w:color="FFFFFF"/>
              <w:left w:val="single" w:sz="8" w:space="0" w:color="FFFFFF"/>
              <w:bottom w:val="single" w:sz="8" w:space="0" w:color="FFFFFF"/>
              <w:right w:val="single" w:sz="4" w:space="0" w:color="auto"/>
            </w:tcBorders>
            <w:shd w:val="clear" w:color="auto" w:fill="D3EAE5"/>
          </w:tcPr>
          <w:p w14:paraId="1FC95B92" w14:textId="77777777" w:rsidR="00AF23C4" w:rsidRPr="00553696" w:rsidRDefault="00AF23C4" w:rsidP="00046645">
            <w:pPr>
              <w:spacing w:before="0" w:after="0" w:line="240" w:lineRule="auto"/>
              <w:rPr>
                <w:color w:val="auto"/>
              </w:rPr>
            </w:pPr>
            <w:r w:rsidRPr="00553696">
              <w:rPr>
                <w:color w:val="auto"/>
              </w:rPr>
              <w:t>Over 5.4</w:t>
            </w:r>
          </w:p>
        </w:tc>
      </w:tr>
      <w:tr w:rsidR="00AF23C4" w:rsidRPr="00FF4EB7" w14:paraId="745B51D5"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1AFB501C" w14:textId="77777777" w:rsidR="00AF23C4" w:rsidRPr="00553696" w:rsidRDefault="00AF23C4" w:rsidP="00046645">
            <w:pPr>
              <w:spacing w:before="0" w:after="0" w:line="240" w:lineRule="auto"/>
              <w:rPr>
                <w:color w:val="auto"/>
              </w:rPr>
            </w:pPr>
            <w:r w:rsidRPr="00553696">
              <w:rPr>
                <w:color w:val="auto"/>
              </w:rPr>
              <w:t>Participants: women and girls (%)</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363D0B14" w14:textId="77777777" w:rsidR="00AF23C4" w:rsidRPr="00553696" w:rsidRDefault="00AF23C4" w:rsidP="00046645">
            <w:pPr>
              <w:spacing w:before="0" w:after="0" w:line="240" w:lineRule="auto"/>
              <w:rPr>
                <w:color w:val="auto"/>
              </w:rPr>
            </w:pPr>
            <w:r w:rsidRPr="00553696">
              <w:rPr>
                <w:color w:val="auto"/>
              </w:rPr>
              <w:t>57</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5EDECDFD" w14:textId="77777777" w:rsidR="00AF23C4" w:rsidRPr="00553696" w:rsidRDefault="00AF23C4" w:rsidP="00046645">
            <w:pPr>
              <w:spacing w:before="0" w:after="0" w:line="240" w:lineRule="auto"/>
              <w:rPr>
                <w:color w:val="auto"/>
              </w:rPr>
            </w:pPr>
            <w:r w:rsidRPr="00553696">
              <w:rPr>
                <w:color w:val="auto"/>
              </w:rPr>
              <w:t>52.36</w:t>
            </w:r>
          </w:p>
        </w:tc>
        <w:tc>
          <w:tcPr>
            <w:tcW w:w="1534" w:type="dxa"/>
            <w:tcBorders>
              <w:top w:val="single" w:sz="8" w:space="0" w:color="FFFFFF"/>
              <w:left w:val="single" w:sz="8" w:space="0" w:color="FFFFFF"/>
              <w:bottom w:val="single" w:sz="8" w:space="0" w:color="FFFFFF"/>
              <w:right w:val="single" w:sz="4" w:space="0" w:color="auto"/>
            </w:tcBorders>
            <w:shd w:val="clear" w:color="auto" w:fill="EAF5F2"/>
          </w:tcPr>
          <w:p w14:paraId="249146F1" w14:textId="77777777" w:rsidR="00AF23C4" w:rsidRPr="00553696" w:rsidRDefault="00AF23C4" w:rsidP="00046645">
            <w:pPr>
              <w:spacing w:before="0" w:after="0" w:line="240" w:lineRule="auto"/>
              <w:rPr>
                <w:color w:val="auto"/>
              </w:rPr>
            </w:pPr>
            <w:r w:rsidRPr="00553696">
              <w:rPr>
                <w:color w:val="auto"/>
              </w:rPr>
              <w:t>56.13</w:t>
            </w:r>
          </w:p>
        </w:tc>
      </w:tr>
      <w:tr w:rsidR="00AF23C4" w:rsidRPr="00FF4EB7" w14:paraId="23B6C619"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6E5F40C0" w14:textId="77777777" w:rsidR="00AF23C4" w:rsidRPr="00553696" w:rsidRDefault="00AF23C4" w:rsidP="00046645">
            <w:pPr>
              <w:spacing w:before="0" w:after="0" w:line="240" w:lineRule="auto"/>
              <w:rPr>
                <w:color w:val="auto"/>
              </w:rPr>
            </w:pPr>
            <w:r w:rsidRPr="00553696">
              <w:rPr>
                <w:color w:val="auto"/>
              </w:rPr>
              <w:t>Participants: people with disabilities (%)</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57440700" w14:textId="77777777" w:rsidR="00AF23C4" w:rsidRPr="00553696" w:rsidRDefault="00AF23C4" w:rsidP="00046645">
            <w:pPr>
              <w:spacing w:before="0" w:after="0" w:line="240" w:lineRule="auto"/>
              <w:rPr>
                <w:color w:val="auto"/>
              </w:rPr>
            </w:pPr>
            <w:r w:rsidRPr="00553696">
              <w:rPr>
                <w:color w:val="auto"/>
              </w:rPr>
              <w:t>8.0</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67CD7193" w14:textId="77777777" w:rsidR="00AF23C4" w:rsidRPr="00553696" w:rsidRDefault="00AF23C4" w:rsidP="00046645">
            <w:pPr>
              <w:spacing w:before="0" w:after="0" w:line="240" w:lineRule="auto"/>
              <w:rPr>
                <w:color w:val="auto"/>
              </w:rPr>
            </w:pPr>
            <w:r w:rsidRPr="00553696">
              <w:rPr>
                <w:color w:val="auto"/>
              </w:rPr>
              <w:t>5.82</w:t>
            </w:r>
          </w:p>
        </w:tc>
        <w:tc>
          <w:tcPr>
            <w:tcW w:w="1534" w:type="dxa"/>
            <w:tcBorders>
              <w:top w:val="single" w:sz="8" w:space="0" w:color="FFFFFF"/>
              <w:left w:val="single" w:sz="8" w:space="0" w:color="FFFFFF"/>
              <w:bottom w:val="single" w:sz="8" w:space="0" w:color="FFFFFF"/>
              <w:right w:val="single" w:sz="4" w:space="0" w:color="auto"/>
            </w:tcBorders>
            <w:shd w:val="clear" w:color="auto" w:fill="D3EAE5"/>
          </w:tcPr>
          <w:p w14:paraId="4F8B07CB" w14:textId="77777777" w:rsidR="00AF23C4" w:rsidRPr="00553696" w:rsidRDefault="00AF23C4" w:rsidP="00046645">
            <w:pPr>
              <w:spacing w:before="0" w:after="0" w:line="240" w:lineRule="auto"/>
              <w:rPr>
                <w:color w:val="auto"/>
              </w:rPr>
            </w:pPr>
            <w:r w:rsidRPr="00553696">
              <w:rPr>
                <w:color w:val="auto"/>
              </w:rPr>
              <w:t>2.6</w:t>
            </w:r>
          </w:p>
        </w:tc>
      </w:tr>
      <w:tr w:rsidR="00AF23C4" w:rsidRPr="00FF4EB7" w14:paraId="72D0A0F8"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35DA6E45" w14:textId="5BED3FBC" w:rsidR="00AF23C4" w:rsidRPr="00553696" w:rsidRDefault="00AF23C4" w:rsidP="00046645">
            <w:pPr>
              <w:spacing w:before="0" w:after="0" w:line="240" w:lineRule="auto"/>
              <w:rPr>
                <w:color w:val="auto"/>
              </w:rPr>
            </w:pPr>
            <w:r w:rsidRPr="00553696">
              <w:rPr>
                <w:color w:val="auto"/>
              </w:rPr>
              <w:t xml:space="preserve">Number of </w:t>
            </w:r>
            <w:r w:rsidR="00CC7CF5">
              <w:rPr>
                <w:color w:val="auto"/>
              </w:rPr>
              <w:t>p</w:t>
            </w:r>
            <w:r w:rsidRPr="00553696">
              <w:rPr>
                <w:color w:val="auto"/>
              </w:rPr>
              <w:t>rojects</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17C527F5" w14:textId="77777777" w:rsidR="00AF23C4" w:rsidRPr="00553696" w:rsidRDefault="00AF23C4" w:rsidP="00046645">
            <w:pPr>
              <w:spacing w:before="0" w:after="0" w:line="240" w:lineRule="auto"/>
              <w:rPr>
                <w:color w:val="auto"/>
              </w:rPr>
            </w:pPr>
            <w:r w:rsidRPr="00553696">
              <w:rPr>
                <w:color w:val="auto"/>
              </w:rPr>
              <w:t>424</w:t>
            </w:r>
          </w:p>
        </w:tc>
        <w:tc>
          <w:tcPr>
            <w:tcW w:w="1756" w:type="dxa"/>
            <w:tcBorders>
              <w:top w:val="single" w:sz="8" w:space="0" w:color="FFFFFF"/>
              <w:left w:val="single" w:sz="8" w:space="0" w:color="FFFFFF"/>
              <w:bottom w:val="single" w:sz="8" w:space="0" w:color="FFFFFF"/>
              <w:right w:val="single" w:sz="8" w:space="0" w:color="FFFFFF"/>
            </w:tcBorders>
            <w:shd w:val="clear" w:color="auto" w:fill="EAF5F2"/>
          </w:tcPr>
          <w:p w14:paraId="019AA226" w14:textId="77777777" w:rsidR="00AF23C4" w:rsidRPr="00553696" w:rsidRDefault="00AF23C4" w:rsidP="00046645">
            <w:pPr>
              <w:spacing w:before="0" w:after="0" w:line="240" w:lineRule="auto"/>
              <w:rPr>
                <w:color w:val="auto"/>
              </w:rPr>
            </w:pPr>
            <w:r w:rsidRPr="00553696">
              <w:rPr>
                <w:color w:val="auto"/>
              </w:rPr>
              <w:t>406</w:t>
            </w:r>
          </w:p>
        </w:tc>
        <w:tc>
          <w:tcPr>
            <w:tcW w:w="1534" w:type="dxa"/>
            <w:tcBorders>
              <w:top w:val="single" w:sz="8" w:space="0" w:color="FFFFFF"/>
              <w:left w:val="single" w:sz="8" w:space="0" w:color="FFFFFF"/>
              <w:bottom w:val="single" w:sz="8" w:space="0" w:color="FFFFFF"/>
              <w:right w:val="single" w:sz="4" w:space="0" w:color="auto"/>
            </w:tcBorders>
            <w:shd w:val="clear" w:color="auto" w:fill="EAF5F2"/>
          </w:tcPr>
          <w:p w14:paraId="244B2B80" w14:textId="77777777" w:rsidR="00AF23C4" w:rsidRPr="00553696" w:rsidRDefault="00AF23C4" w:rsidP="00046645">
            <w:pPr>
              <w:spacing w:before="0" w:after="0" w:line="240" w:lineRule="auto"/>
              <w:rPr>
                <w:color w:val="auto"/>
              </w:rPr>
            </w:pPr>
            <w:r w:rsidRPr="00553696">
              <w:rPr>
                <w:color w:val="auto"/>
              </w:rPr>
              <w:t>392</w:t>
            </w:r>
          </w:p>
        </w:tc>
      </w:tr>
      <w:tr w:rsidR="00AF23C4" w:rsidRPr="00FF4EB7" w14:paraId="6BFC28F1" w14:textId="77777777" w:rsidTr="0017173E">
        <w:trPr>
          <w:trHeight w:val="334"/>
        </w:trPr>
        <w:tc>
          <w:tcPr>
            <w:tcW w:w="4476" w:type="dxa"/>
            <w:tcBorders>
              <w:top w:val="single" w:sz="8" w:space="0" w:color="FFFFFF"/>
              <w:left w:val="single" w:sz="4" w:space="0" w:color="auto"/>
              <w:bottom w:val="single" w:sz="8" w:space="0" w:color="FFFFFF"/>
              <w:right w:val="single" w:sz="8" w:space="0" w:color="FFFFFF"/>
            </w:tcBorders>
            <w:shd w:val="clear" w:color="auto" w:fill="65C5B4"/>
            <w:tcMar>
              <w:top w:w="15" w:type="dxa"/>
              <w:left w:w="90" w:type="dxa"/>
              <w:bottom w:w="0" w:type="dxa"/>
              <w:right w:w="90" w:type="dxa"/>
            </w:tcMar>
            <w:hideMark/>
          </w:tcPr>
          <w:p w14:paraId="48BC3CC5" w14:textId="67B79D97" w:rsidR="00AF23C4" w:rsidRPr="00553696" w:rsidRDefault="00AF23C4" w:rsidP="00046645">
            <w:pPr>
              <w:spacing w:before="0" w:after="0" w:line="240" w:lineRule="auto"/>
              <w:rPr>
                <w:color w:val="auto"/>
              </w:rPr>
            </w:pPr>
            <w:r w:rsidRPr="00553696">
              <w:rPr>
                <w:color w:val="auto"/>
              </w:rPr>
              <w:t xml:space="preserve">Number of </w:t>
            </w:r>
            <w:r w:rsidR="00CC7CF5">
              <w:rPr>
                <w:color w:val="auto"/>
              </w:rPr>
              <w:t>c</w:t>
            </w:r>
            <w:r w:rsidRPr="00553696">
              <w:rPr>
                <w:color w:val="auto"/>
              </w:rPr>
              <w:t>ountries</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78743EBC" w14:textId="77777777" w:rsidR="00AF23C4" w:rsidRPr="00553696" w:rsidRDefault="00AF23C4" w:rsidP="00046645">
            <w:pPr>
              <w:spacing w:before="0" w:after="0" w:line="240" w:lineRule="auto"/>
              <w:rPr>
                <w:color w:val="auto"/>
              </w:rPr>
            </w:pPr>
            <w:r w:rsidRPr="00553696">
              <w:rPr>
                <w:color w:val="auto"/>
              </w:rPr>
              <w:t>58</w:t>
            </w:r>
          </w:p>
        </w:tc>
        <w:tc>
          <w:tcPr>
            <w:tcW w:w="1756" w:type="dxa"/>
            <w:tcBorders>
              <w:top w:val="single" w:sz="8" w:space="0" w:color="FFFFFF"/>
              <w:left w:val="single" w:sz="8" w:space="0" w:color="FFFFFF"/>
              <w:bottom w:val="single" w:sz="8" w:space="0" w:color="FFFFFF"/>
              <w:right w:val="single" w:sz="8" w:space="0" w:color="FFFFFF"/>
            </w:tcBorders>
            <w:shd w:val="clear" w:color="auto" w:fill="D3EAE5"/>
          </w:tcPr>
          <w:p w14:paraId="1E97A517" w14:textId="77777777" w:rsidR="00AF23C4" w:rsidRPr="00553696" w:rsidRDefault="00AF23C4" w:rsidP="00046645">
            <w:pPr>
              <w:spacing w:before="0" w:after="0" w:line="240" w:lineRule="auto"/>
              <w:rPr>
                <w:color w:val="auto"/>
              </w:rPr>
            </w:pPr>
            <w:r w:rsidRPr="00553696">
              <w:rPr>
                <w:color w:val="auto"/>
              </w:rPr>
              <w:t>50</w:t>
            </w:r>
          </w:p>
        </w:tc>
        <w:tc>
          <w:tcPr>
            <w:tcW w:w="1534" w:type="dxa"/>
            <w:tcBorders>
              <w:top w:val="single" w:sz="8" w:space="0" w:color="FFFFFF"/>
              <w:left w:val="single" w:sz="8" w:space="0" w:color="FFFFFF"/>
              <w:bottom w:val="single" w:sz="8" w:space="0" w:color="FFFFFF"/>
              <w:right w:val="single" w:sz="4" w:space="0" w:color="auto"/>
            </w:tcBorders>
            <w:shd w:val="clear" w:color="auto" w:fill="D3EAE5"/>
          </w:tcPr>
          <w:p w14:paraId="3AA52152" w14:textId="77777777" w:rsidR="00AF23C4" w:rsidRPr="00553696" w:rsidRDefault="00AF23C4" w:rsidP="00046645">
            <w:pPr>
              <w:spacing w:before="0" w:after="0" w:line="240" w:lineRule="auto"/>
              <w:rPr>
                <w:color w:val="auto"/>
              </w:rPr>
            </w:pPr>
            <w:r w:rsidRPr="00553696">
              <w:rPr>
                <w:color w:val="auto"/>
              </w:rPr>
              <w:t>52</w:t>
            </w:r>
          </w:p>
        </w:tc>
      </w:tr>
      <w:tr w:rsidR="00AF23C4" w:rsidRPr="00FF4EB7" w14:paraId="73CDB8DF" w14:textId="77777777" w:rsidTr="0017173E">
        <w:trPr>
          <w:trHeight w:val="334"/>
        </w:trPr>
        <w:tc>
          <w:tcPr>
            <w:tcW w:w="4476" w:type="dxa"/>
            <w:tcBorders>
              <w:top w:val="single" w:sz="8" w:space="0" w:color="FFFFFF"/>
              <w:left w:val="single" w:sz="4" w:space="0" w:color="auto"/>
              <w:bottom w:val="single" w:sz="4" w:space="0" w:color="auto"/>
              <w:right w:val="single" w:sz="8" w:space="0" w:color="FFFFFF"/>
            </w:tcBorders>
            <w:shd w:val="clear" w:color="auto" w:fill="65C5B4"/>
            <w:tcMar>
              <w:top w:w="15" w:type="dxa"/>
              <w:left w:w="90" w:type="dxa"/>
              <w:bottom w:w="0" w:type="dxa"/>
              <w:right w:w="90" w:type="dxa"/>
            </w:tcMar>
            <w:hideMark/>
          </w:tcPr>
          <w:p w14:paraId="43BBA3CE" w14:textId="77777777" w:rsidR="00AF23C4" w:rsidRPr="00553696" w:rsidRDefault="00AF23C4" w:rsidP="00046645">
            <w:pPr>
              <w:spacing w:before="0" w:after="0" w:line="240" w:lineRule="auto"/>
              <w:rPr>
                <w:color w:val="auto"/>
              </w:rPr>
            </w:pPr>
            <w:r w:rsidRPr="00553696">
              <w:rPr>
                <w:color w:val="auto"/>
              </w:rPr>
              <w:t>Indo-Pacific expenditure (%)</w:t>
            </w:r>
          </w:p>
        </w:tc>
        <w:tc>
          <w:tcPr>
            <w:tcW w:w="1756" w:type="dxa"/>
            <w:tcBorders>
              <w:top w:val="single" w:sz="8" w:space="0" w:color="FFFFFF"/>
              <w:left w:val="single" w:sz="8" w:space="0" w:color="FFFFFF"/>
              <w:bottom w:val="single" w:sz="4" w:space="0" w:color="auto"/>
              <w:right w:val="single" w:sz="8" w:space="0" w:color="FFFFFF"/>
            </w:tcBorders>
            <w:shd w:val="clear" w:color="auto" w:fill="EAF5F2"/>
          </w:tcPr>
          <w:p w14:paraId="1087F23A" w14:textId="77777777" w:rsidR="00AF23C4" w:rsidRPr="00553696" w:rsidRDefault="00AF23C4" w:rsidP="00046645">
            <w:pPr>
              <w:spacing w:before="0" w:after="0" w:line="240" w:lineRule="auto"/>
              <w:rPr>
                <w:color w:val="auto"/>
              </w:rPr>
            </w:pPr>
            <w:r w:rsidRPr="00553696">
              <w:rPr>
                <w:color w:val="auto"/>
              </w:rPr>
              <w:t>83</w:t>
            </w:r>
          </w:p>
        </w:tc>
        <w:tc>
          <w:tcPr>
            <w:tcW w:w="1756" w:type="dxa"/>
            <w:tcBorders>
              <w:top w:val="single" w:sz="8" w:space="0" w:color="FFFFFF"/>
              <w:left w:val="single" w:sz="8" w:space="0" w:color="FFFFFF"/>
              <w:bottom w:val="single" w:sz="4" w:space="0" w:color="auto"/>
              <w:right w:val="single" w:sz="8" w:space="0" w:color="FFFFFF"/>
            </w:tcBorders>
            <w:shd w:val="clear" w:color="auto" w:fill="EAF5F2"/>
          </w:tcPr>
          <w:p w14:paraId="4A644D1F" w14:textId="77777777" w:rsidR="00AF23C4" w:rsidRPr="00553696" w:rsidRDefault="00AF23C4" w:rsidP="00046645">
            <w:pPr>
              <w:spacing w:before="0" w:after="0" w:line="240" w:lineRule="auto"/>
              <w:rPr>
                <w:color w:val="auto"/>
              </w:rPr>
            </w:pPr>
            <w:r w:rsidRPr="00553696">
              <w:rPr>
                <w:color w:val="auto"/>
              </w:rPr>
              <w:t>75</w:t>
            </w:r>
          </w:p>
        </w:tc>
        <w:tc>
          <w:tcPr>
            <w:tcW w:w="1534" w:type="dxa"/>
            <w:tcBorders>
              <w:top w:val="single" w:sz="8" w:space="0" w:color="FFFFFF"/>
              <w:left w:val="single" w:sz="8" w:space="0" w:color="FFFFFF"/>
              <w:bottom w:val="single" w:sz="4" w:space="0" w:color="auto"/>
              <w:right w:val="single" w:sz="4" w:space="0" w:color="auto"/>
            </w:tcBorders>
            <w:shd w:val="clear" w:color="auto" w:fill="EAF5F2"/>
          </w:tcPr>
          <w:p w14:paraId="04EF84FE" w14:textId="77777777" w:rsidR="00AF23C4" w:rsidRPr="00553696" w:rsidRDefault="00AF23C4" w:rsidP="00046645">
            <w:pPr>
              <w:spacing w:before="0" w:after="0" w:line="240" w:lineRule="auto"/>
              <w:rPr>
                <w:color w:val="auto"/>
              </w:rPr>
            </w:pPr>
            <w:r w:rsidRPr="00553696">
              <w:rPr>
                <w:color w:val="auto"/>
              </w:rPr>
              <w:t>74</w:t>
            </w:r>
          </w:p>
        </w:tc>
      </w:tr>
    </w:tbl>
    <w:p w14:paraId="2D010E39" w14:textId="33EB661E" w:rsidR="002478FD" w:rsidRPr="00F031DF" w:rsidRDefault="00F031DF" w:rsidP="00AD1FBD">
      <w:pPr>
        <w:spacing w:before="240" w:after="120" w:line="240" w:lineRule="auto"/>
        <w:rPr>
          <w:b/>
          <w:bCs/>
          <w:color w:val="auto"/>
          <w:sz w:val="24"/>
          <w:szCs w:val="24"/>
        </w:rPr>
      </w:pPr>
      <w:r w:rsidRPr="00F031DF">
        <w:rPr>
          <w:b/>
          <w:bCs/>
          <w:color w:val="auto"/>
          <w:sz w:val="24"/>
          <w:szCs w:val="24"/>
        </w:rPr>
        <w:t xml:space="preserve">Map 1: </w:t>
      </w:r>
      <w:r w:rsidR="00EF41B4" w:rsidRPr="00F031DF">
        <w:rPr>
          <w:b/>
          <w:bCs/>
          <w:color w:val="auto"/>
          <w:sz w:val="24"/>
          <w:szCs w:val="24"/>
        </w:rPr>
        <w:t xml:space="preserve">2021-22 </w:t>
      </w:r>
      <w:r w:rsidR="00C858A1" w:rsidRPr="00F031DF">
        <w:rPr>
          <w:b/>
          <w:bCs/>
          <w:color w:val="auto"/>
          <w:sz w:val="24"/>
          <w:szCs w:val="24"/>
        </w:rPr>
        <w:t>e</w:t>
      </w:r>
      <w:r w:rsidR="00EF41B4" w:rsidRPr="00F031DF">
        <w:rPr>
          <w:b/>
          <w:bCs/>
          <w:color w:val="auto"/>
          <w:sz w:val="24"/>
          <w:szCs w:val="24"/>
        </w:rPr>
        <w:t>xpenditure by region</w:t>
      </w:r>
    </w:p>
    <w:p w14:paraId="038E3294" w14:textId="2E70D565" w:rsidR="00D416D8" w:rsidRDefault="00AD1FBD">
      <w:pPr>
        <w:suppressAutoHyphens w:val="0"/>
        <w:spacing w:before="0" w:after="120" w:line="440" w:lineRule="atLeast"/>
        <w:rPr>
          <w:rFonts w:asciiTheme="majorHAnsi" w:eastAsiaTheme="majorEastAsia" w:hAnsiTheme="majorHAnsi" w:cstheme="majorBidi"/>
          <w:b/>
          <w:bCs/>
          <w:caps/>
          <w:color w:val="auto"/>
          <w:sz w:val="38"/>
          <w:szCs w:val="26"/>
        </w:rPr>
      </w:pPr>
      <w:r>
        <w:rPr>
          <w:noProof/>
        </w:rPr>
        <w:drawing>
          <wp:inline distT="0" distB="0" distL="0" distR="0" wp14:anchorId="39B75271" wp14:editId="39C372B3">
            <wp:extent cx="6013425" cy="2705100"/>
            <wp:effectExtent l="19050" t="19050" r="26035" b="19050"/>
            <wp:docPr id="1" name="Picture 1" descr="Global map showing 2021-22 ANCP expenditure (percentage of total DFAT ANCP grant amount) by region.  18.25% in the Pacific, 36.7% in South East and East Asia, 18.7% in South and West Asia, 23.3% in Africa and 0.25% in Latin America and the Caribbean. 73.7% in the Indo=Pacif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bal map showing 2021-22 ANCP expenditure (percentage of total DFAT ANCP grant amount) by region.  18.25% in the Pacific, 36.7% in South East and East Asia, 18.7% in South and West Asia, 23.3% in Africa and 0.25% in Latin America and the Caribbean. 73.7% in the Indo=Pacific. "/>
                    <pic:cNvPicPr/>
                  </pic:nvPicPr>
                  <pic:blipFill rotWithShape="1">
                    <a:blip r:embed="rId8"/>
                    <a:srcRect l="22567" t="46241" r="14868" b="6234"/>
                    <a:stretch/>
                  </pic:blipFill>
                  <pic:spPr bwMode="auto">
                    <a:xfrm>
                      <a:off x="0" y="0"/>
                      <a:ext cx="6048410" cy="2720838"/>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r w:rsidR="00D416D8">
        <w:rPr>
          <w:b/>
          <w:bCs/>
          <w:color w:val="auto"/>
        </w:rPr>
        <w:br w:type="page"/>
      </w:r>
    </w:p>
    <w:p w14:paraId="1A514FAE" w14:textId="135373CD" w:rsidR="00C61313" w:rsidRPr="008D076D" w:rsidRDefault="00110C57" w:rsidP="00A77D41">
      <w:pPr>
        <w:pStyle w:val="Heading2"/>
        <w:spacing w:before="360"/>
        <w:rPr>
          <w:b/>
          <w:bCs/>
          <w:color w:val="auto"/>
        </w:rPr>
      </w:pPr>
      <w:r w:rsidRPr="008D076D">
        <w:rPr>
          <w:b/>
          <w:bCs/>
          <w:color w:val="auto"/>
        </w:rPr>
        <w:lastRenderedPageBreak/>
        <w:t xml:space="preserve">ANCP </w:t>
      </w:r>
      <w:r w:rsidR="00C61313" w:rsidRPr="008D076D">
        <w:rPr>
          <w:b/>
          <w:bCs/>
          <w:color w:val="auto"/>
        </w:rPr>
        <w:t>COVID-19 Development Response</w:t>
      </w:r>
    </w:p>
    <w:p w14:paraId="7B20743A" w14:textId="66A667F7" w:rsidR="000D516A" w:rsidRPr="008D076D" w:rsidRDefault="00E55C0C" w:rsidP="00F566EC">
      <w:pPr>
        <w:spacing w:after="0"/>
        <w:rPr>
          <w:color w:val="auto"/>
          <w:sz w:val="24"/>
          <w:szCs w:val="24"/>
        </w:rPr>
      </w:pPr>
      <w:r w:rsidRPr="008D076D">
        <w:rPr>
          <w:color w:val="auto"/>
          <w:sz w:val="24"/>
          <w:szCs w:val="24"/>
        </w:rPr>
        <w:t xml:space="preserve">In 2021-22 </w:t>
      </w:r>
      <w:r w:rsidR="00F566EC" w:rsidRPr="008D076D">
        <w:rPr>
          <w:color w:val="auto"/>
          <w:sz w:val="24"/>
          <w:szCs w:val="24"/>
        </w:rPr>
        <w:t>A</w:t>
      </w:r>
      <w:r w:rsidR="00D64EFD" w:rsidRPr="008D076D">
        <w:rPr>
          <w:color w:val="auto"/>
          <w:sz w:val="24"/>
          <w:szCs w:val="24"/>
        </w:rPr>
        <w:t xml:space="preserve">NCP </w:t>
      </w:r>
      <w:r w:rsidR="00F566EC" w:rsidRPr="008D076D">
        <w:rPr>
          <w:color w:val="auto"/>
          <w:sz w:val="24"/>
          <w:szCs w:val="24"/>
        </w:rPr>
        <w:t xml:space="preserve">NGOs </w:t>
      </w:r>
      <w:r w:rsidR="00052D24" w:rsidRPr="008D076D">
        <w:rPr>
          <w:color w:val="auto"/>
          <w:sz w:val="24"/>
          <w:szCs w:val="24"/>
        </w:rPr>
        <w:t>and their</w:t>
      </w:r>
      <w:r w:rsidR="00F566EC" w:rsidRPr="008D076D">
        <w:rPr>
          <w:color w:val="auto"/>
          <w:sz w:val="24"/>
          <w:szCs w:val="24"/>
        </w:rPr>
        <w:t xml:space="preserve"> partners </w:t>
      </w:r>
      <w:r w:rsidR="00052D24" w:rsidRPr="008D076D">
        <w:rPr>
          <w:color w:val="auto"/>
          <w:sz w:val="24"/>
          <w:szCs w:val="24"/>
        </w:rPr>
        <w:t>delivered</w:t>
      </w:r>
      <w:r w:rsidR="00F566EC" w:rsidRPr="008D076D">
        <w:rPr>
          <w:color w:val="auto"/>
          <w:sz w:val="24"/>
          <w:szCs w:val="24"/>
        </w:rPr>
        <w:t xml:space="preserve"> programs </w:t>
      </w:r>
      <w:r w:rsidR="00B318E8" w:rsidRPr="008D076D">
        <w:rPr>
          <w:color w:val="auto"/>
          <w:sz w:val="24"/>
          <w:szCs w:val="24"/>
        </w:rPr>
        <w:t xml:space="preserve">that </w:t>
      </w:r>
      <w:r w:rsidR="00987867" w:rsidRPr="008D076D">
        <w:rPr>
          <w:color w:val="auto"/>
          <w:sz w:val="24"/>
          <w:szCs w:val="24"/>
        </w:rPr>
        <w:t>responded</w:t>
      </w:r>
      <w:r w:rsidR="00B318E8" w:rsidRPr="008D076D">
        <w:rPr>
          <w:color w:val="auto"/>
          <w:sz w:val="24"/>
          <w:szCs w:val="24"/>
        </w:rPr>
        <w:t xml:space="preserve"> t</w:t>
      </w:r>
      <w:r w:rsidR="00F566EC" w:rsidRPr="008D076D">
        <w:rPr>
          <w:color w:val="auto"/>
          <w:sz w:val="24"/>
          <w:szCs w:val="24"/>
        </w:rPr>
        <w:t>o the impact</w:t>
      </w:r>
      <w:r w:rsidR="00283CCB" w:rsidRPr="008D076D">
        <w:rPr>
          <w:color w:val="auto"/>
          <w:sz w:val="24"/>
          <w:szCs w:val="24"/>
        </w:rPr>
        <w:t>s</w:t>
      </w:r>
      <w:r w:rsidR="00F566EC" w:rsidRPr="008D076D">
        <w:rPr>
          <w:color w:val="auto"/>
          <w:sz w:val="24"/>
          <w:szCs w:val="24"/>
        </w:rPr>
        <w:t xml:space="preserve"> of the pandemic, in line with</w:t>
      </w:r>
      <w:r w:rsidR="0065632D" w:rsidRPr="008D076D">
        <w:rPr>
          <w:color w:val="auto"/>
          <w:sz w:val="24"/>
          <w:szCs w:val="24"/>
        </w:rPr>
        <w:t xml:space="preserve"> the then</w:t>
      </w:r>
      <w:r w:rsidR="00AB5BA2" w:rsidRPr="008D076D">
        <w:rPr>
          <w:color w:val="auto"/>
          <w:sz w:val="24"/>
          <w:szCs w:val="24"/>
        </w:rPr>
        <w:t xml:space="preserve"> </w:t>
      </w:r>
      <w:r w:rsidR="00F566EC" w:rsidRPr="008D076D">
        <w:rPr>
          <w:i/>
          <w:iCs/>
          <w:color w:val="auto"/>
          <w:sz w:val="24"/>
          <w:szCs w:val="24"/>
          <w:u w:color="0070C0"/>
        </w:rPr>
        <w:t>Partnerships for Recovery</w:t>
      </w:r>
      <w:r w:rsidR="00AB5BA2" w:rsidRPr="008D076D">
        <w:rPr>
          <w:i/>
          <w:iCs/>
          <w:color w:val="auto"/>
          <w:sz w:val="24"/>
          <w:szCs w:val="24"/>
        </w:rPr>
        <w:t>: Australia’s COVID-19 Development Response</w:t>
      </w:r>
      <w:r w:rsidR="00F566EC" w:rsidRPr="008D076D">
        <w:rPr>
          <w:color w:val="auto"/>
          <w:sz w:val="24"/>
          <w:szCs w:val="24"/>
        </w:rPr>
        <w:t xml:space="preserve">. </w:t>
      </w:r>
      <w:r w:rsidR="00052D24" w:rsidRPr="008D076D">
        <w:rPr>
          <w:color w:val="auto"/>
          <w:sz w:val="24"/>
          <w:szCs w:val="24"/>
        </w:rPr>
        <w:t xml:space="preserve">The top five countries for </w:t>
      </w:r>
      <w:r w:rsidR="00D811EB" w:rsidRPr="008D076D">
        <w:rPr>
          <w:color w:val="auto"/>
          <w:sz w:val="24"/>
          <w:szCs w:val="24"/>
        </w:rPr>
        <w:t xml:space="preserve">2021-22 </w:t>
      </w:r>
      <w:r w:rsidR="00052D24" w:rsidRPr="008D076D">
        <w:rPr>
          <w:color w:val="auto"/>
          <w:sz w:val="24"/>
          <w:szCs w:val="24"/>
        </w:rPr>
        <w:t>COVID-19 expenditure</w:t>
      </w:r>
      <w:r w:rsidR="0065632D" w:rsidRPr="008D076D">
        <w:rPr>
          <w:rStyle w:val="FootnoteReference"/>
          <w:color w:val="auto"/>
          <w:sz w:val="24"/>
          <w:szCs w:val="24"/>
        </w:rPr>
        <w:footnoteReference w:id="2"/>
      </w:r>
      <w:r w:rsidR="00052D24" w:rsidRPr="008D076D">
        <w:rPr>
          <w:color w:val="auto"/>
          <w:sz w:val="24"/>
          <w:szCs w:val="24"/>
        </w:rPr>
        <w:t xml:space="preserve"> were Timor-Leste, Nepal, Solomon Islands, Cambodia and the Philippines. </w:t>
      </w:r>
      <w:r w:rsidR="00AB2AB6" w:rsidRPr="008D076D">
        <w:rPr>
          <w:color w:val="auto"/>
          <w:sz w:val="24"/>
          <w:szCs w:val="24"/>
        </w:rPr>
        <w:t xml:space="preserve">All projects aligned with one or more </w:t>
      </w:r>
      <w:r w:rsidR="00AB2AB6" w:rsidRPr="008D076D">
        <w:rPr>
          <w:i/>
          <w:iCs/>
          <w:color w:val="auto"/>
          <w:sz w:val="24"/>
          <w:szCs w:val="24"/>
        </w:rPr>
        <w:t>Partnerships for Recovery</w:t>
      </w:r>
      <w:r w:rsidR="00AB2AB6" w:rsidRPr="008D076D">
        <w:rPr>
          <w:color w:val="auto"/>
          <w:sz w:val="24"/>
          <w:szCs w:val="24"/>
        </w:rPr>
        <w:t xml:space="preserve"> pillar</w:t>
      </w:r>
      <w:r w:rsidR="00052D24" w:rsidRPr="008D076D">
        <w:rPr>
          <w:color w:val="auto"/>
          <w:sz w:val="24"/>
          <w:szCs w:val="24"/>
        </w:rPr>
        <w:t xml:space="preserve">: </w:t>
      </w:r>
      <w:r w:rsidR="00630BBA" w:rsidRPr="008D076D">
        <w:rPr>
          <w:color w:val="auto"/>
          <w:sz w:val="24"/>
          <w:szCs w:val="24"/>
        </w:rPr>
        <w:t>38</w:t>
      </w:r>
      <w:r w:rsidR="00AB2AB6" w:rsidRPr="008D076D">
        <w:rPr>
          <w:color w:val="auto"/>
          <w:sz w:val="24"/>
          <w:szCs w:val="24"/>
        </w:rPr>
        <w:t xml:space="preserve"> per cent support</w:t>
      </w:r>
      <w:r w:rsidR="00052D24" w:rsidRPr="008D076D">
        <w:rPr>
          <w:color w:val="auto"/>
          <w:sz w:val="24"/>
          <w:szCs w:val="24"/>
        </w:rPr>
        <w:t>ed</w:t>
      </w:r>
      <w:r w:rsidR="00AB2AB6" w:rsidRPr="008D076D">
        <w:rPr>
          <w:color w:val="auto"/>
          <w:sz w:val="24"/>
          <w:szCs w:val="24"/>
        </w:rPr>
        <w:t xml:space="preserve"> health security, </w:t>
      </w:r>
      <w:r w:rsidR="00242FF6" w:rsidRPr="008D076D">
        <w:rPr>
          <w:color w:val="auto"/>
          <w:sz w:val="24"/>
          <w:szCs w:val="24"/>
        </w:rPr>
        <w:t>35</w:t>
      </w:r>
      <w:r w:rsidR="00AB2AB6" w:rsidRPr="008D076D">
        <w:rPr>
          <w:color w:val="auto"/>
          <w:sz w:val="24"/>
          <w:szCs w:val="24"/>
        </w:rPr>
        <w:t xml:space="preserve"> per cent support</w:t>
      </w:r>
      <w:r w:rsidR="00052D24" w:rsidRPr="008D076D">
        <w:rPr>
          <w:color w:val="auto"/>
          <w:sz w:val="24"/>
          <w:szCs w:val="24"/>
        </w:rPr>
        <w:t>ed</w:t>
      </w:r>
      <w:r w:rsidR="00AB2AB6" w:rsidRPr="008D076D">
        <w:rPr>
          <w:color w:val="auto"/>
          <w:sz w:val="24"/>
          <w:szCs w:val="24"/>
        </w:rPr>
        <w:t xml:space="preserve"> stability and 2</w:t>
      </w:r>
      <w:r w:rsidR="00242FF6" w:rsidRPr="008D076D">
        <w:rPr>
          <w:color w:val="auto"/>
          <w:sz w:val="24"/>
          <w:szCs w:val="24"/>
        </w:rPr>
        <w:t>7</w:t>
      </w:r>
      <w:r w:rsidR="00AB2AB6" w:rsidRPr="008D076D">
        <w:rPr>
          <w:color w:val="auto"/>
          <w:sz w:val="24"/>
          <w:szCs w:val="24"/>
        </w:rPr>
        <w:t xml:space="preserve"> per cent support</w:t>
      </w:r>
      <w:r w:rsidR="00052D24" w:rsidRPr="008D076D">
        <w:rPr>
          <w:color w:val="auto"/>
          <w:sz w:val="24"/>
          <w:szCs w:val="24"/>
        </w:rPr>
        <w:t>ed</w:t>
      </w:r>
      <w:r w:rsidR="00AB2AB6" w:rsidRPr="008D076D">
        <w:rPr>
          <w:color w:val="auto"/>
          <w:sz w:val="24"/>
          <w:szCs w:val="24"/>
        </w:rPr>
        <w:t xml:space="preserve"> economic recovery. </w:t>
      </w:r>
      <w:r w:rsidR="00052D24" w:rsidRPr="008D076D">
        <w:rPr>
          <w:color w:val="auto"/>
          <w:sz w:val="24"/>
          <w:szCs w:val="24"/>
        </w:rPr>
        <w:t>There was</w:t>
      </w:r>
      <w:r w:rsidR="00DC5EE7" w:rsidRPr="008D076D">
        <w:rPr>
          <w:color w:val="auto"/>
          <w:sz w:val="24"/>
          <w:szCs w:val="24"/>
        </w:rPr>
        <w:t xml:space="preserve"> </w:t>
      </w:r>
      <w:r w:rsidR="001954DA" w:rsidRPr="008D076D">
        <w:rPr>
          <w:color w:val="auto"/>
          <w:sz w:val="24"/>
          <w:szCs w:val="24"/>
        </w:rPr>
        <w:t>a</w:t>
      </w:r>
      <w:r w:rsidR="00DC5EE7" w:rsidRPr="008D076D">
        <w:rPr>
          <w:color w:val="auto"/>
          <w:sz w:val="24"/>
          <w:szCs w:val="24"/>
        </w:rPr>
        <w:t xml:space="preserve"> </w:t>
      </w:r>
      <w:r w:rsidR="007C1B1E" w:rsidRPr="008D076D">
        <w:rPr>
          <w:color w:val="auto"/>
          <w:sz w:val="24"/>
          <w:szCs w:val="24"/>
        </w:rPr>
        <w:t>re</w:t>
      </w:r>
      <w:r w:rsidR="00A3768F" w:rsidRPr="008D076D">
        <w:rPr>
          <w:color w:val="auto"/>
          <w:sz w:val="24"/>
          <w:szCs w:val="24"/>
        </w:rPr>
        <w:t xml:space="preserve">duction in COVID-19 specific programming in 2021-22, </w:t>
      </w:r>
      <w:r w:rsidR="00F02B3D" w:rsidRPr="008D076D">
        <w:rPr>
          <w:color w:val="auto"/>
          <w:sz w:val="24"/>
          <w:szCs w:val="24"/>
        </w:rPr>
        <w:t xml:space="preserve">reflecting </w:t>
      </w:r>
      <w:r w:rsidR="00A3768F" w:rsidRPr="008D076D">
        <w:rPr>
          <w:color w:val="auto"/>
          <w:sz w:val="24"/>
          <w:szCs w:val="24"/>
        </w:rPr>
        <w:t xml:space="preserve">the mainstreaming of COVID-19 </w:t>
      </w:r>
      <w:r w:rsidR="00052D24" w:rsidRPr="008D076D">
        <w:rPr>
          <w:color w:val="auto"/>
          <w:sz w:val="24"/>
          <w:szCs w:val="24"/>
        </w:rPr>
        <w:t>activities</w:t>
      </w:r>
      <w:r w:rsidR="00A3768F" w:rsidRPr="008D076D">
        <w:rPr>
          <w:color w:val="auto"/>
          <w:sz w:val="24"/>
          <w:szCs w:val="24"/>
        </w:rPr>
        <w:t xml:space="preserve"> </w:t>
      </w:r>
      <w:r w:rsidR="00AB4BDC" w:rsidRPr="008D076D">
        <w:rPr>
          <w:color w:val="auto"/>
          <w:sz w:val="24"/>
          <w:szCs w:val="24"/>
        </w:rPr>
        <w:t xml:space="preserve">and a return to </w:t>
      </w:r>
      <w:r w:rsidR="00D057C9" w:rsidRPr="008D076D">
        <w:rPr>
          <w:color w:val="auto"/>
          <w:sz w:val="24"/>
          <w:szCs w:val="24"/>
        </w:rPr>
        <w:t>ongoing</w:t>
      </w:r>
      <w:r w:rsidR="00E73968" w:rsidRPr="008D076D">
        <w:rPr>
          <w:color w:val="auto"/>
          <w:sz w:val="24"/>
          <w:szCs w:val="24"/>
        </w:rPr>
        <w:t xml:space="preserve"> programming priorities</w:t>
      </w:r>
      <w:r w:rsidR="0059396D" w:rsidRPr="008D076D">
        <w:rPr>
          <w:color w:val="auto"/>
          <w:sz w:val="24"/>
          <w:szCs w:val="24"/>
        </w:rPr>
        <w:t xml:space="preserve">. </w:t>
      </w:r>
      <w:r w:rsidR="00073739" w:rsidRPr="008D076D">
        <w:rPr>
          <w:color w:val="auto"/>
          <w:sz w:val="24"/>
          <w:szCs w:val="24"/>
        </w:rPr>
        <w:t>For example</w:t>
      </w:r>
      <w:r w:rsidR="008A497A" w:rsidRPr="008D076D">
        <w:rPr>
          <w:color w:val="auto"/>
          <w:sz w:val="24"/>
          <w:szCs w:val="24"/>
        </w:rPr>
        <w:t>,</w:t>
      </w:r>
      <w:r w:rsidR="00073739" w:rsidRPr="008D076D">
        <w:rPr>
          <w:color w:val="auto"/>
          <w:sz w:val="24"/>
          <w:szCs w:val="24"/>
        </w:rPr>
        <w:t xml:space="preserve"> i</w:t>
      </w:r>
      <w:r w:rsidR="00751A97" w:rsidRPr="008D076D">
        <w:rPr>
          <w:color w:val="auto"/>
          <w:sz w:val="24"/>
          <w:szCs w:val="24"/>
        </w:rPr>
        <w:t xml:space="preserve">n 2021-22 </w:t>
      </w:r>
      <w:r w:rsidR="00E45AB2" w:rsidRPr="008D076D">
        <w:rPr>
          <w:color w:val="auto"/>
          <w:sz w:val="24"/>
          <w:szCs w:val="24"/>
        </w:rPr>
        <w:t>$4.3 million of Australian Government ANCP funding was used to support COVID-19</w:t>
      </w:r>
      <w:r w:rsidR="004775E5" w:rsidRPr="008D076D">
        <w:rPr>
          <w:color w:val="auto"/>
          <w:sz w:val="24"/>
          <w:szCs w:val="24"/>
        </w:rPr>
        <w:t xml:space="preserve"> activities</w:t>
      </w:r>
      <w:r w:rsidR="00E45AB2" w:rsidRPr="008D076D">
        <w:rPr>
          <w:color w:val="auto"/>
          <w:sz w:val="24"/>
          <w:szCs w:val="24"/>
        </w:rPr>
        <w:t xml:space="preserve">, down from </w:t>
      </w:r>
      <w:r w:rsidR="001D0EDA" w:rsidRPr="008D076D">
        <w:rPr>
          <w:color w:val="auto"/>
          <w:sz w:val="24"/>
          <w:szCs w:val="24"/>
        </w:rPr>
        <w:t xml:space="preserve">$7.9 million </w:t>
      </w:r>
      <w:r w:rsidR="008A497A" w:rsidRPr="008D076D">
        <w:rPr>
          <w:color w:val="auto"/>
          <w:sz w:val="24"/>
          <w:szCs w:val="24"/>
        </w:rPr>
        <w:t>in 2020-21</w:t>
      </w:r>
      <w:r w:rsidR="001D0EDA" w:rsidRPr="008D076D">
        <w:rPr>
          <w:color w:val="auto"/>
          <w:sz w:val="24"/>
          <w:szCs w:val="24"/>
        </w:rPr>
        <w:t xml:space="preserve">. </w:t>
      </w:r>
      <w:r w:rsidR="00740F8C" w:rsidRPr="008D076D">
        <w:rPr>
          <w:color w:val="auto"/>
          <w:sz w:val="24"/>
          <w:szCs w:val="24"/>
        </w:rPr>
        <w:t>Similarly,</w:t>
      </w:r>
      <w:r w:rsidR="005F30D6" w:rsidRPr="008D076D">
        <w:rPr>
          <w:color w:val="auto"/>
          <w:sz w:val="24"/>
          <w:szCs w:val="24"/>
        </w:rPr>
        <w:t xml:space="preserve"> 875,095 people were reached through </w:t>
      </w:r>
      <w:r w:rsidR="008A497A" w:rsidRPr="008D076D">
        <w:rPr>
          <w:color w:val="auto"/>
          <w:sz w:val="24"/>
          <w:szCs w:val="24"/>
        </w:rPr>
        <w:t xml:space="preserve">specific </w:t>
      </w:r>
      <w:r w:rsidR="005F30D6" w:rsidRPr="008D076D">
        <w:rPr>
          <w:color w:val="auto"/>
          <w:sz w:val="24"/>
          <w:szCs w:val="24"/>
        </w:rPr>
        <w:t xml:space="preserve">COVID-19 activities in 2021-22, down from </w:t>
      </w:r>
      <w:r w:rsidR="00E45AB2" w:rsidRPr="008D076D">
        <w:rPr>
          <w:color w:val="auto"/>
          <w:sz w:val="24"/>
          <w:szCs w:val="24"/>
        </w:rPr>
        <w:t>over 4 million</w:t>
      </w:r>
      <w:r w:rsidR="005F30D6" w:rsidRPr="008D076D">
        <w:rPr>
          <w:color w:val="auto"/>
          <w:sz w:val="24"/>
          <w:szCs w:val="24"/>
        </w:rPr>
        <w:t xml:space="preserve"> in 2020-21</w:t>
      </w:r>
      <w:r w:rsidR="00E45AB2" w:rsidRPr="008D076D">
        <w:rPr>
          <w:color w:val="auto"/>
          <w:sz w:val="24"/>
          <w:szCs w:val="24"/>
        </w:rPr>
        <w:t>.</w:t>
      </w:r>
      <w:r w:rsidR="007974C2" w:rsidRPr="008D076D">
        <w:rPr>
          <w:color w:val="auto"/>
          <w:sz w:val="24"/>
          <w:szCs w:val="24"/>
        </w:rPr>
        <w:t xml:space="preserve"> </w:t>
      </w:r>
    </w:p>
    <w:p w14:paraId="0C5C5EF8" w14:textId="197AFBC3" w:rsidR="00481A65" w:rsidRPr="008D076D" w:rsidRDefault="00641C3E" w:rsidP="001A1E2A">
      <w:pPr>
        <w:pStyle w:val="Heading3"/>
        <w:spacing w:before="240" w:line="240" w:lineRule="auto"/>
        <w:contextualSpacing w:val="0"/>
        <w:rPr>
          <w:rFonts w:asciiTheme="minorHAnsi" w:eastAsiaTheme="minorHAnsi" w:hAnsiTheme="minorHAnsi" w:cstheme="minorBidi"/>
          <w:b/>
          <w:color w:val="auto"/>
          <w:sz w:val="24"/>
          <w:szCs w:val="24"/>
        </w:rPr>
      </w:pPr>
      <w:r w:rsidRPr="008D076D">
        <w:rPr>
          <w:rFonts w:asciiTheme="minorHAnsi" w:eastAsiaTheme="minorHAnsi" w:hAnsiTheme="minorHAnsi" w:cstheme="minorBidi"/>
          <w:b/>
          <w:color w:val="auto"/>
          <w:sz w:val="24"/>
          <w:szCs w:val="24"/>
        </w:rPr>
        <w:t>P</w:t>
      </w:r>
      <w:r w:rsidR="00083F49" w:rsidRPr="008D076D">
        <w:rPr>
          <w:rFonts w:asciiTheme="minorHAnsi" w:eastAsiaTheme="minorHAnsi" w:hAnsiTheme="minorHAnsi" w:cstheme="minorBidi"/>
          <w:b/>
          <w:color w:val="auto"/>
          <w:sz w:val="24"/>
          <w:szCs w:val="24"/>
        </w:rPr>
        <w:t xml:space="preserve">artnerships for Recovery Pillar 1: </w:t>
      </w:r>
      <w:r w:rsidR="00481A65" w:rsidRPr="008D076D">
        <w:rPr>
          <w:rFonts w:asciiTheme="minorHAnsi" w:eastAsiaTheme="minorHAnsi" w:hAnsiTheme="minorHAnsi" w:cstheme="minorBidi"/>
          <w:b/>
          <w:color w:val="auto"/>
          <w:sz w:val="24"/>
          <w:szCs w:val="24"/>
        </w:rPr>
        <w:t>Health Security</w:t>
      </w:r>
    </w:p>
    <w:p w14:paraId="4EB41374" w14:textId="100F3C94" w:rsidR="00481A65" w:rsidRPr="008D076D" w:rsidRDefault="00481A65" w:rsidP="00110C57">
      <w:pPr>
        <w:keepNext/>
        <w:keepLines/>
        <w:rPr>
          <w:color w:val="auto"/>
          <w:sz w:val="24"/>
          <w:szCs w:val="24"/>
        </w:rPr>
      </w:pPr>
      <w:r w:rsidRPr="008D076D">
        <w:rPr>
          <w:color w:val="auto"/>
          <w:sz w:val="24"/>
          <w:szCs w:val="24"/>
        </w:rPr>
        <w:t>In 20</w:t>
      </w:r>
      <w:r w:rsidR="00EC527F" w:rsidRPr="008D076D">
        <w:rPr>
          <w:color w:val="auto"/>
          <w:sz w:val="24"/>
          <w:szCs w:val="24"/>
        </w:rPr>
        <w:t>21-22</w:t>
      </w:r>
      <w:r w:rsidRPr="008D076D">
        <w:rPr>
          <w:color w:val="auto"/>
          <w:sz w:val="24"/>
          <w:szCs w:val="24"/>
        </w:rPr>
        <w:t xml:space="preserve">, </w:t>
      </w:r>
      <w:r w:rsidR="001B5042" w:rsidRPr="008D076D">
        <w:rPr>
          <w:color w:val="auto"/>
          <w:sz w:val="24"/>
          <w:szCs w:val="24"/>
        </w:rPr>
        <w:t>1</w:t>
      </w:r>
      <w:r w:rsidR="00153818" w:rsidRPr="008D076D">
        <w:rPr>
          <w:color w:val="auto"/>
          <w:sz w:val="24"/>
          <w:szCs w:val="24"/>
        </w:rPr>
        <w:t>49</w:t>
      </w:r>
      <w:r w:rsidRPr="008D076D">
        <w:rPr>
          <w:color w:val="auto"/>
          <w:sz w:val="24"/>
          <w:szCs w:val="24"/>
        </w:rPr>
        <w:t xml:space="preserve"> ANCP projects </w:t>
      </w:r>
      <w:r w:rsidR="009D0328" w:rsidRPr="008D076D">
        <w:rPr>
          <w:color w:val="auto"/>
          <w:sz w:val="24"/>
          <w:szCs w:val="24"/>
        </w:rPr>
        <w:t>supported</w:t>
      </w:r>
      <w:r w:rsidRPr="008D076D">
        <w:rPr>
          <w:color w:val="auto"/>
          <w:sz w:val="24"/>
          <w:szCs w:val="24"/>
        </w:rPr>
        <w:t xml:space="preserve"> communities and </w:t>
      </w:r>
      <w:r w:rsidR="005A6BAF" w:rsidRPr="008D076D">
        <w:rPr>
          <w:color w:val="auto"/>
          <w:sz w:val="24"/>
          <w:szCs w:val="24"/>
        </w:rPr>
        <w:t xml:space="preserve">governments </w:t>
      </w:r>
      <w:r w:rsidRPr="008D076D">
        <w:rPr>
          <w:color w:val="auto"/>
          <w:sz w:val="24"/>
          <w:szCs w:val="24"/>
        </w:rPr>
        <w:t xml:space="preserve">to </w:t>
      </w:r>
      <w:r w:rsidR="00153910" w:rsidRPr="008D076D">
        <w:rPr>
          <w:color w:val="auto"/>
          <w:sz w:val="24"/>
          <w:szCs w:val="24"/>
        </w:rPr>
        <w:t xml:space="preserve">address </w:t>
      </w:r>
      <w:r w:rsidR="00790B10" w:rsidRPr="008D076D">
        <w:rPr>
          <w:color w:val="auto"/>
          <w:sz w:val="24"/>
          <w:szCs w:val="24"/>
        </w:rPr>
        <w:t>health security</w:t>
      </w:r>
      <w:r w:rsidRPr="008D076D">
        <w:rPr>
          <w:color w:val="auto"/>
          <w:sz w:val="24"/>
          <w:szCs w:val="24"/>
        </w:rPr>
        <w:t xml:space="preserve"> risk</w:t>
      </w:r>
      <w:r w:rsidR="00223263" w:rsidRPr="008D076D">
        <w:rPr>
          <w:color w:val="auto"/>
          <w:sz w:val="24"/>
          <w:szCs w:val="24"/>
        </w:rPr>
        <w:t>s</w:t>
      </w:r>
      <w:r w:rsidRPr="008D076D">
        <w:rPr>
          <w:color w:val="auto"/>
          <w:sz w:val="24"/>
          <w:szCs w:val="24"/>
        </w:rPr>
        <w:t xml:space="preserve"> </w:t>
      </w:r>
      <w:r w:rsidR="00550624" w:rsidRPr="008D076D">
        <w:rPr>
          <w:color w:val="auto"/>
          <w:sz w:val="24"/>
          <w:szCs w:val="24"/>
        </w:rPr>
        <w:t>and impact</w:t>
      </w:r>
      <w:r w:rsidR="00223263" w:rsidRPr="008D076D">
        <w:rPr>
          <w:color w:val="auto"/>
          <w:sz w:val="24"/>
          <w:szCs w:val="24"/>
        </w:rPr>
        <w:t>s</w:t>
      </w:r>
      <w:r w:rsidR="00550624" w:rsidRPr="008D076D">
        <w:rPr>
          <w:color w:val="auto"/>
          <w:sz w:val="24"/>
          <w:szCs w:val="24"/>
        </w:rPr>
        <w:t xml:space="preserve"> </w:t>
      </w:r>
      <w:r w:rsidRPr="008D076D">
        <w:rPr>
          <w:color w:val="auto"/>
          <w:sz w:val="24"/>
          <w:szCs w:val="24"/>
        </w:rPr>
        <w:t>of COVID-</w:t>
      </w:r>
      <w:r w:rsidR="00153910" w:rsidRPr="008D076D">
        <w:rPr>
          <w:color w:val="auto"/>
          <w:sz w:val="24"/>
          <w:szCs w:val="24"/>
        </w:rPr>
        <w:t>19</w:t>
      </w:r>
      <w:r w:rsidRPr="008D076D">
        <w:rPr>
          <w:color w:val="auto"/>
          <w:sz w:val="24"/>
          <w:szCs w:val="24"/>
        </w:rPr>
        <w:t>.</w:t>
      </w:r>
      <w:r w:rsidR="009A59B2" w:rsidRPr="008D076D">
        <w:rPr>
          <w:color w:val="auto"/>
          <w:sz w:val="24"/>
          <w:szCs w:val="24"/>
        </w:rPr>
        <w:t xml:space="preserve"> </w:t>
      </w:r>
      <w:r w:rsidR="00E24391" w:rsidRPr="008D076D">
        <w:rPr>
          <w:color w:val="auto"/>
          <w:sz w:val="24"/>
          <w:szCs w:val="24"/>
        </w:rPr>
        <w:t xml:space="preserve">COVID-19 </w:t>
      </w:r>
      <w:r w:rsidR="00DA7097" w:rsidRPr="008D076D">
        <w:rPr>
          <w:color w:val="auto"/>
          <w:sz w:val="24"/>
          <w:szCs w:val="24"/>
        </w:rPr>
        <w:t>specific health security</w:t>
      </w:r>
      <w:r w:rsidR="00E24391" w:rsidRPr="008D076D">
        <w:rPr>
          <w:color w:val="auto"/>
          <w:sz w:val="24"/>
          <w:szCs w:val="24"/>
        </w:rPr>
        <w:t xml:space="preserve"> indicator results were generally </w:t>
      </w:r>
      <w:r w:rsidR="008A497A" w:rsidRPr="008D076D">
        <w:rPr>
          <w:color w:val="auto"/>
          <w:sz w:val="24"/>
          <w:szCs w:val="24"/>
        </w:rPr>
        <w:t>lower</w:t>
      </w:r>
      <w:r w:rsidR="00582DE3" w:rsidRPr="008D076D">
        <w:rPr>
          <w:color w:val="auto"/>
          <w:sz w:val="24"/>
          <w:szCs w:val="24"/>
        </w:rPr>
        <w:t xml:space="preserve"> than the previous two years of the pandemic</w:t>
      </w:r>
      <w:r w:rsidR="00851FD1" w:rsidRPr="008D076D">
        <w:rPr>
          <w:color w:val="auto"/>
          <w:sz w:val="24"/>
          <w:szCs w:val="24"/>
        </w:rPr>
        <w:t xml:space="preserve">. </w:t>
      </w:r>
      <w:r w:rsidRPr="008D076D">
        <w:rPr>
          <w:color w:val="auto"/>
          <w:sz w:val="24"/>
          <w:szCs w:val="24"/>
        </w:rPr>
        <w:t>In 20</w:t>
      </w:r>
      <w:r w:rsidR="00AD2A2F" w:rsidRPr="008D076D">
        <w:rPr>
          <w:color w:val="auto"/>
          <w:sz w:val="24"/>
          <w:szCs w:val="24"/>
        </w:rPr>
        <w:t>2</w:t>
      </w:r>
      <w:r w:rsidR="00153818" w:rsidRPr="008D076D">
        <w:rPr>
          <w:color w:val="auto"/>
          <w:sz w:val="24"/>
          <w:szCs w:val="24"/>
        </w:rPr>
        <w:t>1-22</w:t>
      </w:r>
      <w:r w:rsidR="0056773F" w:rsidRPr="008D076D">
        <w:rPr>
          <w:color w:val="auto"/>
          <w:sz w:val="24"/>
          <w:szCs w:val="24"/>
        </w:rPr>
        <w:t xml:space="preserve"> </w:t>
      </w:r>
      <w:r w:rsidR="00EF7D96" w:rsidRPr="008D076D">
        <w:rPr>
          <w:color w:val="auto"/>
          <w:sz w:val="24"/>
          <w:szCs w:val="24"/>
        </w:rPr>
        <w:t xml:space="preserve">the </w:t>
      </w:r>
      <w:r w:rsidR="0056773F" w:rsidRPr="008D076D">
        <w:rPr>
          <w:color w:val="auto"/>
          <w:sz w:val="24"/>
          <w:szCs w:val="24"/>
        </w:rPr>
        <w:t>ANCP supported the following</w:t>
      </w:r>
      <w:r w:rsidRPr="008D076D">
        <w:rPr>
          <w:color w:val="auto"/>
          <w:sz w:val="24"/>
          <w:szCs w:val="24"/>
        </w:rPr>
        <w:t>:</w:t>
      </w:r>
    </w:p>
    <w:p w14:paraId="6EC6CA71" w14:textId="26C4E149" w:rsidR="00166DB6" w:rsidRPr="008D076D" w:rsidRDefault="00D811EB" w:rsidP="00BF4650">
      <w:pPr>
        <w:pStyle w:val="ListParagraph"/>
        <w:numPr>
          <w:ilvl w:val="0"/>
          <w:numId w:val="11"/>
        </w:numPr>
        <w:ind w:left="567" w:hanging="425"/>
        <w:rPr>
          <w:color w:val="auto"/>
          <w:sz w:val="24"/>
          <w:szCs w:val="24"/>
        </w:rPr>
      </w:pPr>
      <w:r w:rsidRPr="008D076D">
        <w:rPr>
          <w:color w:val="auto"/>
          <w:sz w:val="24"/>
          <w:szCs w:val="24"/>
        </w:rPr>
        <w:t xml:space="preserve">844,081 new or improved therapeutics, diagnostics, vaccines and additional equipment was made accessible in partner countries up from 668,916 in 2020-21 </w:t>
      </w:r>
      <w:r w:rsidR="00F11C83" w:rsidRPr="008D076D">
        <w:rPr>
          <w:color w:val="auto"/>
          <w:sz w:val="24"/>
          <w:szCs w:val="24"/>
        </w:rPr>
        <w:t>(ANCP Indicator H.0</w:t>
      </w:r>
      <w:r w:rsidRPr="008D076D">
        <w:rPr>
          <w:color w:val="auto"/>
          <w:sz w:val="24"/>
          <w:szCs w:val="24"/>
        </w:rPr>
        <w:t>4</w:t>
      </w:r>
      <w:r w:rsidR="00F11C83" w:rsidRPr="008D076D">
        <w:rPr>
          <w:color w:val="auto"/>
          <w:sz w:val="24"/>
          <w:szCs w:val="24"/>
        </w:rPr>
        <w:t>, Tier 2 Indicator)</w:t>
      </w:r>
    </w:p>
    <w:p w14:paraId="5C98C277" w14:textId="626196BD" w:rsidR="00FB61F3" w:rsidRPr="008D076D" w:rsidRDefault="00A11662" w:rsidP="00BF4650">
      <w:pPr>
        <w:pStyle w:val="ListParagraph"/>
        <w:numPr>
          <w:ilvl w:val="0"/>
          <w:numId w:val="11"/>
        </w:numPr>
        <w:ind w:left="567" w:hanging="425"/>
        <w:rPr>
          <w:color w:val="auto"/>
          <w:sz w:val="24"/>
          <w:szCs w:val="24"/>
        </w:rPr>
      </w:pPr>
      <w:r w:rsidRPr="008D076D">
        <w:rPr>
          <w:color w:val="auto"/>
          <w:sz w:val="24"/>
          <w:szCs w:val="24"/>
        </w:rPr>
        <w:t>1,747,360</w:t>
      </w:r>
      <w:r w:rsidR="00A709DA" w:rsidRPr="008D076D">
        <w:rPr>
          <w:color w:val="auto"/>
          <w:sz w:val="24"/>
          <w:szCs w:val="24"/>
        </w:rPr>
        <w:t xml:space="preserve"> people </w:t>
      </w:r>
      <w:r w:rsidR="004D7873" w:rsidRPr="008D076D">
        <w:rPr>
          <w:color w:val="auto"/>
          <w:sz w:val="24"/>
          <w:szCs w:val="24"/>
        </w:rPr>
        <w:t xml:space="preserve">were </w:t>
      </w:r>
      <w:r w:rsidR="00A709DA" w:rsidRPr="008D076D">
        <w:rPr>
          <w:color w:val="auto"/>
          <w:sz w:val="24"/>
          <w:szCs w:val="24"/>
        </w:rPr>
        <w:t>targeted through one-way messaging on COVID-19 prevention and access to services (</w:t>
      </w:r>
      <w:r w:rsidR="0016498E" w:rsidRPr="008D076D">
        <w:rPr>
          <w:color w:val="auto"/>
          <w:sz w:val="24"/>
          <w:szCs w:val="24"/>
        </w:rPr>
        <w:t xml:space="preserve">45.27 </w:t>
      </w:r>
      <w:r w:rsidR="00A709DA" w:rsidRPr="008D076D">
        <w:rPr>
          <w:color w:val="auto"/>
          <w:sz w:val="24"/>
          <w:szCs w:val="24"/>
        </w:rPr>
        <w:t xml:space="preserve">% women and girls and </w:t>
      </w:r>
      <w:r w:rsidR="0016498E" w:rsidRPr="008D076D">
        <w:rPr>
          <w:color w:val="auto"/>
          <w:sz w:val="24"/>
          <w:szCs w:val="24"/>
        </w:rPr>
        <w:t>6.35</w:t>
      </w:r>
      <w:r w:rsidR="00A709DA" w:rsidRPr="008D076D">
        <w:rPr>
          <w:color w:val="auto"/>
          <w:sz w:val="24"/>
          <w:szCs w:val="24"/>
        </w:rPr>
        <w:t xml:space="preserve">% people with disabilities) </w:t>
      </w:r>
      <w:r w:rsidR="002C3844" w:rsidRPr="008D076D">
        <w:rPr>
          <w:color w:val="auto"/>
          <w:sz w:val="24"/>
          <w:szCs w:val="24"/>
        </w:rPr>
        <w:t>down</w:t>
      </w:r>
      <w:r w:rsidR="00A709DA" w:rsidRPr="008D076D">
        <w:rPr>
          <w:color w:val="auto"/>
          <w:sz w:val="24"/>
          <w:szCs w:val="24"/>
        </w:rPr>
        <w:t xml:space="preserve"> from </w:t>
      </w:r>
      <w:r w:rsidR="00D253F5" w:rsidRPr="008D076D">
        <w:rPr>
          <w:color w:val="auto"/>
          <w:sz w:val="24"/>
          <w:szCs w:val="24"/>
        </w:rPr>
        <w:t xml:space="preserve">6,979,396 in 2020-21 and </w:t>
      </w:r>
      <w:r w:rsidR="00A709DA" w:rsidRPr="008D076D">
        <w:rPr>
          <w:color w:val="auto"/>
          <w:sz w:val="24"/>
          <w:szCs w:val="24"/>
        </w:rPr>
        <w:t>4</w:t>
      </w:r>
      <w:r w:rsidR="00196FFE" w:rsidRPr="008D076D">
        <w:rPr>
          <w:color w:val="auto"/>
          <w:sz w:val="24"/>
          <w:szCs w:val="24"/>
        </w:rPr>
        <w:t>,</w:t>
      </w:r>
      <w:r w:rsidR="00A709DA" w:rsidRPr="008D076D">
        <w:rPr>
          <w:color w:val="auto"/>
          <w:sz w:val="24"/>
          <w:szCs w:val="24"/>
        </w:rPr>
        <w:t xml:space="preserve">171,431 in 2019-20 </w:t>
      </w:r>
      <w:r w:rsidR="008F0590" w:rsidRPr="008D076D">
        <w:rPr>
          <w:color w:val="auto"/>
          <w:sz w:val="24"/>
          <w:szCs w:val="24"/>
        </w:rPr>
        <w:t>(</w:t>
      </w:r>
      <w:r w:rsidR="006F7BD2" w:rsidRPr="008D076D">
        <w:rPr>
          <w:color w:val="auto"/>
          <w:sz w:val="24"/>
          <w:szCs w:val="24"/>
        </w:rPr>
        <w:t xml:space="preserve">ANCP </w:t>
      </w:r>
      <w:r w:rsidR="008F0590" w:rsidRPr="008D076D">
        <w:rPr>
          <w:color w:val="auto"/>
          <w:sz w:val="24"/>
          <w:szCs w:val="24"/>
        </w:rPr>
        <w:t>Indicator H.</w:t>
      </w:r>
      <w:r w:rsidR="0016498E" w:rsidRPr="008D076D">
        <w:rPr>
          <w:color w:val="auto"/>
          <w:sz w:val="24"/>
          <w:szCs w:val="24"/>
        </w:rPr>
        <w:t>12</w:t>
      </w:r>
      <w:r w:rsidR="008F0590" w:rsidRPr="008D076D">
        <w:rPr>
          <w:color w:val="auto"/>
          <w:sz w:val="24"/>
          <w:szCs w:val="24"/>
        </w:rPr>
        <w:t>)</w:t>
      </w:r>
    </w:p>
    <w:p w14:paraId="267CBC8F" w14:textId="685625AC" w:rsidR="00594F0F" w:rsidRPr="008D076D" w:rsidRDefault="00594F0F" w:rsidP="00594F0F">
      <w:pPr>
        <w:pStyle w:val="ListParagraph"/>
        <w:numPr>
          <w:ilvl w:val="0"/>
          <w:numId w:val="11"/>
        </w:numPr>
        <w:ind w:left="567" w:hanging="425"/>
        <w:rPr>
          <w:color w:val="auto"/>
          <w:sz w:val="24"/>
          <w:szCs w:val="24"/>
        </w:rPr>
      </w:pPr>
      <w:r w:rsidRPr="008D076D">
        <w:rPr>
          <w:color w:val="auto"/>
          <w:sz w:val="24"/>
          <w:szCs w:val="24"/>
        </w:rPr>
        <w:t>289,445 items of PPE were distributed, down from 1,175,725 in 2020-21 and 630,948 in 2019-20 (ANCP Indicator H.14)</w:t>
      </w:r>
    </w:p>
    <w:p w14:paraId="562D3A00" w14:textId="24DC9630" w:rsidR="00FC4A7D" w:rsidRPr="008D076D" w:rsidRDefault="00B83270" w:rsidP="00FC4A7D">
      <w:pPr>
        <w:pStyle w:val="ListParagraph"/>
        <w:numPr>
          <w:ilvl w:val="0"/>
          <w:numId w:val="11"/>
        </w:numPr>
        <w:ind w:left="567" w:hanging="425"/>
        <w:rPr>
          <w:color w:val="auto"/>
          <w:sz w:val="24"/>
          <w:szCs w:val="24"/>
        </w:rPr>
      </w:pPr>
      <w:r w:rsidRPr="008D076D">
        <w:rPr>
          <w:color w:val="auto"/>
          <w:sz w:val="24"/>
          <w:szCs w:val="24"/>
        </w:rPr>
        <w:t>178,011</w:t>
      </w:r>
      <w:r w:rsidR="00481A65" w:rsidRPr="008D076D">
        <w:rPr>
          <w:color w:val="auto"/>
          <w:sz w:val="24"/>
          <w:szCs w:val="24"/>
        </w:rPr>
        <w:t xml:space="preserve"> people </w:t>
      </w:r>
      <w:r w:rsidR="00EC2B00" w:rsidRPr="008D076D">
        <w:rPr>
          <w:color w:val="auto"/>
          <w:sz w:val="24"/>
          <w:szCs w:val="24"/>
        </w:rPr>
        <w:t>were provided</w:t>
      </w:r>
      <w:r w:rsidR="00481A65" w:rsidRPr="008D076D">
        <w:rPr>
          <w:color w:val="auto"/>
          <w:sz w:val="24"/>
          <w:szCs w:val="24"/>
        </w:rPr>
        <w:t xml:space="preserve"> household access to handwashing facilities (</w:t>
      </w:r>
      <w:r w:rsidR="00241C1F" w:rsidRPr="008D076D">
        <w:rPr>
          <w:color w:val="auto"/>
          <w:sz w:val="24"/>
          <w:szCs w:val="24"/>
        </w:rPr>
        <w:t>5</w:t>
      </w:r>
      <w:r w:rsidRPr="008D076D">
        <w:rPr>
          <w:color w:val="auto"/>
          <w:sz w:val="24"/>
          <w:szCs w:val="24"/>
        </w:rPr>
        <w:t>0.46</w:t>
      </w:r>
      <w:r w:rsidR="00481A65" w:rsidRPr="008D076D">
        <w:rPr>
          <w:color w:val="auto"/>
          <w:sz w:val="24"/>
          <w:szCs w:val="24"/>
        </w:rPr>
        <w:t xml:space="preserve">% women and girls, </w:t>
      </w:r>
      <w:r w:rsidR="002D42BD" w:rsidRPr="008D076D">
        <w:rPr>
          <w:color w:val="auto"/>
          <w:sz w:val="24"/>
          <w:szCs w:val="24"/>
        </w:rPr>
        <w:t>3.58</w:t>
      </w:r>
      <w:r w:rsidR="00481A65" w:rsidRPr="008D076D">
        <w:rPr>
          <w:color w:val="auto"/>
          <w:sz w:val="24"/>
          <w:szCs w:val="24"/>
        </w:rPr>
        <w:t>% people with disabilities)</w:t>
      </w:r>
      <w:r w:rsidR="00241C1F" w:rsidRPr="008D076D">
        <w:rPr>
          <w:color w:val="auto"/>
          <w:sz w:val="24"/>
          <w:szCs w:val="24"/>
        </w:rPr>
        <w:t xml:space="preserve"> </w:t>
      </w:r>
      <w:r w:rsidR="006861D0" w:rsidRPr="008D076D">
        <w:rPr>
          <w:color w:val="auto"/>
          <w:sz w:val="24"/>
          <w:szCs w:val="24"/>
        </w:rPr>
        <w:t xml:space="preserve">down from 309,295 people in 2020-21 and </w:t>
      </w:r>
      <w:r w:rsidR="00241C1F" w:rsidRPr="008D076D">
        <w:rPr>
          <w:color w:val="auto"/>
          <w:sz w:val="24"/>
          <w:szCs w:val="24"/>
        </w:rPr>
        <w:t>267,601 in 2019-20</w:t>
      </w:r>
      <w:r w:rsidR="008F0590" w:rsidRPr="008D076D">
        <w:rPr>
          <w:color w:val="auto"/>
          <w:sz w:val="24"/>
          <w:szCs w:val="24"/>
        </w:rPr>
        <w:t xml:space="preserve"> (</w:t>
      </w:r>
      <w:r w:rsidR="006F7BD2" w:rsidRPr="008D076D">
        <w:rPr>
          <w:color w:val="auto"/>
          <w:sz w:val="24"/>
          <w:szCs w:val="24"/>
        </w:rPr>
        <w:t xml:space="preserve">ANCP </w:t>
      </w:r>
      <w:r w:rsidR="008F0590" w:rsidRPr="008D076D">
        <w:rPr>
          <w:color w:val="auto"/>
          <w:sz w:val="24"/>
          <w:szCs w:val="24"/>
        </w:rPr>
        <w:t>Indicator W.03</w:t>
      </w:r>
      <w:r w:rsidR="003B0864" w:rsidRPr="008D076D">
        <w:rPr>
          <w:color w:val="auto"/>
          <w:sz w:val="24"/>
          <w:szCs w:val="24"/>
        </w:rPr>
        <w:t>)</w:t>
      </w:r>
    </w:p>
    <w:p w14:paraId="22E74A84" w14:textId="2ABF1291" w:rsidR="00481A65" w:rsidRPr="008D076D" w:rsidRDefault="00FC4A7D" w:rsidP="001A1E2A">
      <w:pPr>
        <w:spacing w:before="240" w:after="120" w:line="240" w:lineRule="auto"/>
        <w:rPr>
          <w:color w:val="auto"/>
          <w:sz w:val="24"/>
          <w:szCs w:val="24"/>
        </w:rPr>
      </w:pPr>
      <w:r w:rsidRPr="008D076D">
        <w:rPr>
          <w:b/>
          <w:color w:val="auto"/>
          <w:sz w:val="24"/>
          <w:szCs w:val="24"/>
        </w:rPr>
        <w:t>P</w:t>
      </w:r>
      <w:r w:rsidR="00153910" w:rsidRPr="008D076D">
        <w:rPr>
          <w:b/>
          <w:color w:val="auto"/>
          <w:sz w:val="24"/>
          <w:szCs w:val="24"/>
        </w:rPr>
        <w:t xml:space="preserve">artnerships for Recovery Pillar 2: </w:t>
      </w:r>
      <w:r w:rsidR="00481A65" w:rsidRPr="008D076D">
        <w:rPr>
          <w:b/>
          <w:color w:val="auto"/>
          <w:sz w:val="24"/>
          <w:szCs w:val="24"/>
        </w:rPr>
        <w:t>Stability</w:t>
      </w:r>
    </w:p>
    <w:p w14:paraId="1E226D04" w14:textId="14C3675E" w:rsidR="00481A65" w:rsidRPr="008D076D" w:rsidRDefault="00481A65" w:rsidP="00481A65">
      <w:pPr>
        <w:rPr>
          <w:color w:val="auto"/>
          <w:sz w:val="24"/>
          <w:szCs w:val="24"/>
        </w:rPr>
      </w:pPr>
      <w:r w:rsidRPr="008D076D">
        <w:rPr>
          <w:color w:val="auto"/>
          <w:sz w:val="24"/>
          <w:szCs w:val="24"/>
        </w:rPr>
        <w:t>In 20</w:t>
      </w:r>
      <w:r w:rsidR="00B903CE" w:rsidRPr="008D076D">
        <w:rPr>
          <w:color w:val="auto"/>
          <w:sz w:val="24"/>
          <w:szCs w:val="24"/>
        </w:rPr>
        <w:t>21-22</w:t>
      </w:r>
      <w:r w:rsidRPr="008D076D">
        <w:rPr>
          <w:color w:val="auto"/>
          <w:sz w:val="24"/>
          <w:szCs w:val="24"/>
        </w:rPr>
        <w:t xml:space="preserve">, </w:t>
      </w:r>
      <w:r w:rsidR="006416DA" w:rsidRPr="008D076D">
        <w:rPr>
          <w:color w:val="auto"/>
          <w:sz w:val="24"/>
          <w:szCs w:val="24"/>
        </w:rPr>
        <w:t xml:space="preserve">ANCP NGOs </w:t>
      </w:r>
      <w:r w:rsidR="00585AB9" w:rsidRPr="008D076D">
        <w:rPr>
          <w:color w:val="auto"/>
          <w:sz w:val="24"/>
          <w:szCs w:val="24"/>
        </w:rPr>
        <w:t xml:space="preserve">continued to </w:t>
      </w:r>
      <w:r w:rsidR="00D846FE" w:rsidRPr="008D076D">
        <w:rPr>
          <w:color w:val="auto"/>
          <w:sz w:val="24"/>
          <w:szCs w:val="24"/>
        </w:rPr>
        <w:t>address</w:t>
      </w:r>
      <w:r w:rsidR="006416DA" w:rsidRPr="008D076D">
        <w:rPr>
          <w:color w:val="auto"/>
          <w:sz w:val="24"/>
          <w:szCs w:val="24"/>
        </w:rPr>
        <w:t xml:space="preserve"> the social impacts of COVID-19 </w:t>
      </w:r>
      <w:r w:rsidR="00D846FE" w:rsidRPr="008D076D">
        <w:rPr>
          <w:color w:val="auto"/>
          <w:sz w:val="24"/>
          <w:szCs w:val="24"/>
        </w:rPr>
        <w:t>by</w:t>
      </w:r>
      <w:r w:rsidRPr="008D076D">
        <w:rPr>
          <w:color w:val="auto"/>
          <w:sz w:val="24"/>
          <w:szCs w:val="24"/>
        </w:rPr>
        <w:t xml:space="preserve"> support</w:t>
      </w:r>
      <w:r w:rsidR="00D846FE" w:rsidRPr="008D076D">
        <w:rPr>
          <w:color w:val="auto"/>
          <w:sz w:val="24"/>
          <w:szCs w:val="24"/>
        </w:rPr>
        <w:t>ing</w:t>
      </w:r>
      <w:r w:rsidRPr="008D076D">
        <w:rPr>
          <w:color w:val="auto"/>
          <w:sz w:val="24"/>
          <w:szCs w:val="24"/>
        </w:rPr>
        <w:t xml:space="preserve"> </w:t>
      </w:r>
      <w:r w:rsidR="00E71FA3" w:rsidRPr="008D076D">
        <w:rPr>
          <w:color w:val="auto"/>
          <w:sz w:val="24"/>
          <w:szCs w:val="24"/>
        </w:rPr>
        <w:t xml:space="preserve">activities focussed on </w:t>
      </w:r>
      <w:r w:rsidR="00B86412" w:rsidRPr="008D076D">
        <w:rPr>
          <w:color w:val="auto"/>
          <w:sz w:val="24"/>
          <w:szCs w:val="24"/>
        </w:rPr>
        <w:t xml:space="preserve">social cohesion, </w:t>
      </w:r>
      <w:r w:rsidRPr="008D076D">
        <w:rPr>
          <w:color w:val="auto"/>
          <w:sz w:val="24"/>
          <w:szCs w:val="24"/>
        </w:rPr>
        <w:t xml:space="preserve">social protection, </w:t>
      </w:r>
      <w:r w:rsidR="009660F5" w:rsidRPr="008D076D">
        <w:rPr>
          <w:color w:val="auto"/>
          <w:sz w:val="24"/>
          <w:szCs w:val="24"/>
        </w:rPr>
        <w:t xml:space="preserve">improved food security, </w:t>
      </w:r>
      <w:r w:rsidRPr="008D076D">
        <w:rPr>
          <w:color w:val="auto"/>
          <w:sz w:val="24"/>
          <w:szCs w:val="24"/>
        </w:rPr>
        <w:t>education and resilience to threats such as climate change.</w:t>
      </w:r>
      <w:r w:rsidR="00330F01" w:rsidRPr="008D076D">
        <w:rPr>
          <w:color w:val="auto"/>
          <w:sz w:val="24"/>
          <w:szCs w:val="24"/>
        </w:rPr>
        <w:t xml:space="preserve"> I</w:t>
      </w:r>
      <w:r w:rsidRPr="008D076D">
        <w:rPr>
          <w:color w:val="auto"/>
          <w:sz w:val="24"/>
          <w:szCs w:val="24"/>
        </w:rPr>
        <w:t>n 2</w:t>
      </w:r>
      <w:r w:rsidR="00E91D9F" w:rsidRPr="008D076D">
        <w:rPr>
          <w:color w:val="auto"/>
          <w:sz w:val="24"/>
          <w:szCs w:val="24"/>
        </w:rPr>
        <w:t>02</w:t>
      </w:r>
      <w:r w:rsidR="00632B23" w:rsidRPr="008D076D">
        <w:rPr>
          <w:color w:val="auto"/>
          <w:sz w:val="24"/>
          <w:szCs w:val="24"/>
        </w:rPr>
        <w:t>1-22</w:t>
      </w:r>
      <w:r w:rsidR="0056773F" w:rsidRPr="008D076D">
        <w:rPr>
          <w:color w:val="auto"/>
          <w:sz w:val="24"/>
          <w:szCs w:val="24"/>
        </w:rPr>
        <w:t xml:space="preserve"> </w:t>
      </w:r>
      <w:r w:rsidR="004062EA" w:rsidRPr="008D076D">
        <w:rPr>
          <w:color w:val="auto"/>
          <w:sz w:val="24"/>
          <w:szCs w:val="24"/>
        </w:rPr>
        <w:t xml:space="preserve">the </w:t>
      </w:r>
      <w:r w:rsidR="0056773F" w:rsidRPr="008D076D">
        <w:rPr>
          <w:color w:val="auto"/>
          <w:sz w:val="24"/>
          <w:szCs w:val="24"/>
        </w:rPr>
        <w:t>ANCP supported the following</w:t>
      </w:r>
      <w:r w:rsidRPr="008D076D">
        <w:rPr>
          <w:color w:val="auto"/>
          <w:sz w:val="24"/>
          <w:szCs w:val="24"/>
        </w:rPr>
        <w:t>:</w:t>
      </w:r>
    </w:p>
    <w:p w14:paraId="45E63527" w14:textId="6BBCD98A" w:rsidR="005561AA" w:rsidRPr="008D076D" w:rsidRDefault="005561AA" w:rsidP="00BF4650">
      <w:pPr>
        <w:pStyle w:val="ListParagraph"/>
        <w:numPr>
          <w:ilvl w:val="0"/>
          <w:numId w:val="11"/>
        </w:numPr>
        <w:ind w:left="567" w:hanging="425"/>
        <w:rPr>
          <w:color w:val="auto"/>
          <w:sz w:val="24"/>
          <w:szCs w:val="24"/>
        </w:rPr>
      </w:pPr>
      <w:r w:rsidRPr="008D076D">
        <w:rPr>
          <w:color w:val="auto"/>
          <w:sz w:val="24"/>
          <w:szCs w:val="24"/>
        </w:rPr>
        <w:t>7,984 women survivors of violence received services such as counselling (17.79% women with disabilities) up from 4,249 women in 2020-21 and 3,196 in 2019-20 (ANCP Indicator G.03, Tier 2 Indicator)</w:t>
      </w:r>
    </w:p>
    <w:p w14:paraId="46F26DFB" w14:textId="5248D6F9" w:rsidR="00B865E8" w:rsidRPr="008D076D" w:rsidRDefault="00B865E8" w:rsidP="00BF4650">
      <w:pPr>
        <w:pStyle w:val="ListParagraph"/>
        <w:numPr>
          <w:ilvl w:val="0"/>
          <w:numId w:val="11"/>
        </w:numPr>
        <w:ind w:left="567" w:hanging="425"/>
        <w:rPr>
          <w:color w:val="auto"/>
          <w:sz w:val="24"/>
          <w:szCs w:val="24"/>
        </w:rPr>
      </w:pPr>
      <w:r w:rsidRPr="008D076D">
        <w:rPr>
          <w:color w:val="auto"/>
          <w:sz w:val="24"/>
          <w:szCs w:val="24"/>
        </w:rPr>
        <w:t>46,046 additional children enrolled in school (46.46% girls, 6.33% girls with disabilities) down from 63,</w:t>
      </w:r>
      <w:r w:rsidR="004B6BFF" w:rsidRPr="008D076D">
        <w:rPr>
          <w:color w:val="auto"/>
          <w:sz w:val="24"/>
          <w:szCs w:val="24"/>
        </w:rPr>
        <w:t>062 in 2020-21 and up from 40,279 in 2019-20 (ANCP Indicator E.01, Tier 2 Indicator)</w:t>
      </w:r>
    </w:p>
    <w:p w14:paraId="235CEEB3" w14:textId="77777777" w:rsidR="00594F0F" w:rsidRPr="008D076D" w:rsidRDefault="00594F0F" w:rsidP="00594F0F">
      <w:pPr>
        <w:pStyle w:val="ListParagraph"/>
        <w:numPr>
          <w:ilvl w:val="0"/>
          <w:numId w:val="11"/>
        </w:numPr>
        <w:ind w:left="567" w:hanging="425"/>
        <w:rPr>
          <w:color w:val="auto"/>
          <w:sz w:val="24"/>
          <w:szCs w:val="24"/>
        </w:rPr>
      </w:pPr>
      <w:r w:rsidRPr="008D076D">
        <w:rPr>
          <w:color w:val="auto"/>
          <w:sz w:val="24"/>
          <w:szCs w:val="24"/>
        </w:rPr>
        <w:t>425,412 people participated in sessions on prevention, reduction and response to violence, abuse and exploitation of children (55.59% women and girls and 2% people with disabilities), down from 660,028 in 2020-21 and 442,749 in 2019-20 (ANCP Indicator CP.01)</w:t>
      </w:r>
    </w:p>
    <w:p w14:paraId="4B401987" w14:textId="57C82A2C" w:rsidR="00815BD2" w:rsidRPr="008D076D" w:rsidRDefault="00F500DF" w:rsidP="00C47A8E">
      <w:pPr>
        <w:pStyle w:val="ListParagraph"/>
        <w:numPr>
          <w:ilvl w:val="0"/>
          <w:numId w:val="11"/>
        </w:numPr>
        <w:ind w:left="567" w:hanging="425"/>
        <w:rPr>
          <w:color w:val="auto"/>
          <w:sz w:val="24"/>
          <w:szCs w:val="24"/>
        </w:rPr>
      </w:pPr>
      <w:r w:rsidRPr="008D076D">
        <w:rPr>
          <w:color w:val="auto"/>
          <w:sz w:val="24"/>
          <w:szCs w:val="24"/>
        </w:rPr>
        <w:t>201,033</w:t>
      </w:r>
      <w:r w:rsidR="00F70022" w:rsidRPr="008D076D">
        <w:rPr>
          <w:color w:val="auto"/>
          <w:sz w:val="24"/>
          <w:szCs w:val="24"/>
        </w:rPr>
        <w:t xml:space="preserve"> people had improved access to sufficient food (5</w:t>
      </w:r>
      <w:r w:rsidR="001703CD" w:rsidRPr="008D076D">
        <w:rPr>
          <w:color w:val="auto"/>
          <w:sz w:val="24"/>
          <w:szCs w:val="24"/>
        </w:rPr>
        <w:t>2.2</w:t>
      </w:r>
      <w:r w:rsidR="00F70022" w:rsidRPr="008D076D">
        <w:rPr>
          <w:color w:val="auto"/>
          <w:sz w:val="24"/>
          <w:szCs w:val="24"/>
        </w:rPr>
        <w:t xml:space="preserve">% women and girls, </w:t>
      </w:r>
      <w:r w:rsidR="001703CD" w:rsidRPr="008D076D">
        <w:rPr>
          <w:color w:val="auto"/>
          <w:sz w:val="24"/>
          <w:szCs w:val="24"/>
        </w:rPr>
        <w:t>2.59</w:t>
      </w:r>
      <w:r w:rsidR="00F70022" w:rsidRPr="008D076D">
        <w:rPr>
          <w:color w:val="auto"/>
          <w:sz w:val="24"/>
          <w:szCs w:val="24"/>
        </w:rPr>
        <w:t xml:space="preserve">% people with disabilities), down from </w:t>
      </w:r>
      <w:r w:rsidRPr="008D076D">
        <w:rPr>
          <w:color w:val="auto"/>
          <w:sz w:val="24"/>
          <w:szCs w:val="24"/>
        </w:rPr>
        <w:t xml:space="preserve">215,075 in 2020-21 and </w:t>
      </w:r>
      <w:r w:rsidR="00F70022" w:rsidRPr="008D076D">
        <w:rPr>
          <w:color w:val="auto"/>
          <w:sz w:val="24"/>
          <w:szCs w:val="24"/>
        </w:rPr>
        <w:t>321,</w:t>
      </w:r>
      <w:r w:rsidR="001A1298" w:rsidRPr="008D076D">
        <w:rPr>
          <w:color w:val="auto"/>
          <w:sz w:val="24"/>
          <w:szCs w:val="24"/>
        </w:rPr>
        <w:t xml:space="preserve">174 </w:t>
      </w:r>
      <w:r w:rsidRPr="008D076D">
        <w:rPr>
          <w:color w:val="auto"/>
          <w:sz w:val="24"/>
          <w:szCs w:val="24"/>
        </w:rPr>
        <w:t>in 2019-20</w:t>
      </w:r>
      <w:r w:rsidR="008B7A2D" w:rsidRPr="008D076D">
        <w:rPr>
          <w:color w:val="auto"/>
          <w:sz w:val="24"/>
          <w:szCs w:val="24"/>
        </w:rPr>
        <w:t xml:space="preserve"> (</w:t>
      </w:r>
      <w:r w:rsidR="00330F01" w:rsidRPr="008D076D">
        <w:rPr>
          <w:color w:val="auto"/>
          <w:sz w:val="24"/>
          <w:szCs w:val="24"/>
        </w:rPr>
        <w:t xml:space="preserve">ANCP </w:t>
      </w:r>
      <w:r w:rsidR="008B7A2D" w:rsidRPr="008D076D">
        <w:rPr>
          <w:color w:val="auto"/>
          <w:sz w:val="24"/>
          <w:szCs w:val="24"/>
        </w:rPr>
        <w:t>Indicator F.01)</w:t>
      </w:r>
    </w:p>
    <w:p w14:paraId="032F6647" w14:textId="32B96EE3" w:rsidR="00481A65" w:rsidRPr="008D076D" w:rsidRDefault="00213438" w:rsidP="00A00220">
      <w:pPr>
        <w:suppressAutoHyphens w:val="0"/>
        <w:spacing w:before="0" w:after="120" w:line="440" w:lineRule="atLeast"/>
        <w:rPr>
          <w:b/>
          <w:color w:val="auto"/>
          <w:sz w:val="24"/>
          <w:szCs w:val="24"/>
        </w:rPr>
      </w:pPr>
      <w:r w:rsidRPr="008D076D">
        <w:rPr>
          <w:b/>
          <w:color w:val="auto"/>
          <w:sz w:val="24"/>
          <w:szCs w:val="24"/>
        </w:rPr>
        <w:br w:type="page"/>
      </w:r>
      <w:r w:rsidR="00196FFE" w:rsidRPr="008D076D">
        <w:rPr>
          <w:b/>
          <w:color w:val="auto"/>
          <w:sz w:val="24"/>
          <w:szCs w:val="24"/>
        </w:rPr>
        <w:lastRenderedPageBreak/>
        <w:t xml:space="preserve">Partnerships for Recovery Pillar 3: </w:t>
      </w:r>
      <w:r w:rsidR="00481A65" w:rsidRPr="008D076D">
        <w:rPr>
          <w:b/>
          <w:color w:val="auto"/>
          <w:sz w:val="24"/>
          <w:szCs w:val="24"/>
        </w:rPr>
        <w:t>Economic Recovery</w:t>
      </w:r>
    </w:p>
    <w:p w14:paraId="4C735861" w14:textId="2EA6C1BB" w:rsidR="00481A65" w:rsidRPr="008D076D" w:rsidRDefault="00481A65" w:rsidP="00481A65">
      <w:pPr>
        <w:rPr>
          <w:color w:val="auto"/>
          <w:sz w:val="24"/>
          <w:szCs w:val="24"/>
        </w:rPr>
      </w:pPr>
      <w:r w:rsidRPr="008D076D">
        <w:rPr>
          <w:color w:val="auto"/>
          <w:sz w:val="24"/>
          <w:szCs w:val="24"/>
        </w:rPr>
        <w:t>In 20</w:t>
      </w:r>
      <w:r w:rsidR="00ED62F8" w:rsidRPr="008D076D">
        <w:rPr>
          <w:color w:val="auto"/>
          <w:sz w:val="24"/>
          <w:szCs w:val="24"/>
        </w:rPr>
        <w:t>2</w:t>
      </w:r>
      <w:r w:rsidR="000D1AA3" w:rsidRPr="008D076D">
        <w:rPr>
          <w:color w:val="auto"/>
          <w:sz w:val="24"/>
          <w:szCs w:val="24"/>
        </w:rPr>
        <w:t>1-22</w:t>
      </w:r>
      <w:r w:rsidR="00DD263E" w:rsidRPr="008D076D">
        <w:rPr>
          <w:color w:val="auto"/>
          <w:sz w:val="24"/>
          <w:szCs w:val="24"/>
        </w:rPr>
        <w:t>,</w:t>
      </w:r>
      <w:r w:rsidRPr="008D076D">
        <w:rPr>
          <w:color w:val="auto"/>
          <w:sz w:val="24"/>
          <w:szCs w:val="24"/>
        </w:rPr>
        <w:t xml:space="preserve"> economic recovery efforts were supported</w:t>
      </w:r>
      <w:r w:rsidR="007513F5" w:rsidRPr="008D076D">
        <w:rPr>
          <w:color w:val="auto"/>
          <w:sz w:val="24"/>
          <w:szCs w:val="24"/>
        </w:rPr>
        <w:t xml:space="preserve"> under the ANCP</w:t>
      </w:r>
      <w:r w:rsidRPr="008D076D">
        <w:rPr>
          <w:color w:val="auto"/>
          <w:sz w:val="24"/>
          <w:szCs w:val="24"/>
        </w:rPr>
        <w:t xml:space="preserve"> through training and support for improved livelihoods and rural development</w:t>
      </w:r>
      <w:r w:rsidR="009660F5" w:rsidRPr="008D076D">
        <w:rPr>
          <w:color w:val="auto"/>
          <w:sz w:val="24"/>
          <w:szCs w:val="24"/>
        </w:rPr>
        <w:t xml:space="preserve"> and improved </w:t>
      </w:r>
      <w:r w:rsidRPr="008D076D">
        <w:rPr>
          <w:color w:val="auto"/>
          <w:sz w:val="24"/>
          <w:szCs w:val="24"/>
        </w:rPr>
        <w:t>access to financial services</w:t>
      </w:r>
      <w:r w:rsidR="009660F5" w:rsidRPr="008D076D">
        <w:rPr>
          <w:color w:val="auto"/>
          <w:sz w:val="24"/>
          <w:szCs w:val="24"/>
        </w:rPr>
        <w:t xml:space="preserve"> and social transfers</w:t>
      </w:r>
      <w:r w:rsidRPr="008D076D">
        <w:rPr>
          <w:color w:val="auto"/>
          <w:sz w:val="24"/>
          <w:szCs w:val="24"/>
        </w:rPr>
        <w:t>.</w:t>
      </w:r>
      <w:r w:rsidR="00327A58" w:rsidRPr="008D076D">
        <w:rPr>
          <w:color w:val="auto"/>
          <w:sz w:val="24"/>
          <w:szCs w:val="24"/>
        </w:rPr>
        <w:t xml:space="preserve"> </w:t>
      </w:r>
      <w:r w:rsidRPr="008D076D">
        <w:rPr>
          <w:color w:val="auto"/>
          <w:sz w:val="24"/>
          <w:szCs w:val="24"/>
        </w:rPr>
        <w:t>In 20</w:t>
      </w:r>
      <w:r w:rsidR="00ED62F8" w:rsidRPr="008D076D">
        <w:rPr>
          <w:color w:val="auto"/>
          <w:sz w:val="24"/>
          <w:szCs w:val="24"/>
        </w:rPr>
        <w:t>2</w:t>
      </w:r>
      <w:r w:rsidR="009D07ED" w:rsidRPr="008D076D">
        <w:rPr>
          <w:color w:val="auto"/>
          <w:sz w:val="24"/>
          <w:szCs w:val="24"/>
        </w:rPr>
        <w:t>1-22</w:t>
      </w:r>
      <w:r w:rsidR="00765537" w:rsidRPr="008D076D">
        <w:rPr>
          <w:color w:val="auto"/>
          <w:sz w:val="24"/>
          <w:szCs w:val="24"/>
        </w:rPr>
        <w:t xml:space="preserve"> </w:t>
      </w:r>
      <w:r w:rsidR="004062EA" w:rsidRPr="008D076D">
        <w:rPr>
          <w:color w:val="auto"/>
          <w:sz w:val="24"/>
          <w:szCs w:val="24"/>
        </w:rPr>
        <w:t xml:space="preserve">the </w:t>
      </w:r>
      <w:r w:rsidR="00765537" w:rsidRPr="008D076D">
        <w:rPr>
          <w:color w:val="auto"/>
          <w:sz w:val="24"/>
          <w:szCs w:val="24"/>
        </w:rPr>
        <w:t>ANCP supported the following</w:t>
      </w:r>
      <w:r w:rsidRPr="008D076D">
        <w:rPr>
          <w:color w:val="auto"/>
          <w:sz w:val="24"/>
          <w:szCs w:val="24"/>
        </w:rPr>
        <w:t>:</w:t>
      </w:r>
    </w:p>
    <w:p w14:paraId="37E48834" w14:textId="77777777" w:rsidR="00B865E8" w:rsidRPr="008D076D" w:rsidRDefault="00B865E8" w:rsidP="00B865E8">
      <w:pPr>
        <w:pStyle w:val="ListParagraph"/>
        <w:numPr>
          <w:ilvl w:val="0"/>
          <w:numId w:val="11"/>
        </w:numPr>
        <w:ind w:left="567" w:hanging="425"/>
        <w:rPr>
          <w:color w:val="auto"/>
          <w:sz w:val="24"/>
          <w:szCs w:val="24"/>
        </w:rPr>
      </w:pPr>
      <w:r w:rsidRPr="008D076D">
        <w:rPr>
          <w:color w:val="auto"/>
          <w:sz w:val="24"/>
          <w:szCs w:val="24"/>
        </w:rPr>
        <w:t>10,239 female entrepreneurs were provided with financial and/or business development services (3.99% women with disabilities) down from 41,980 in 2020-21 (ANCP Indicator G.05, Tier 2 Indicator)</w:t>
      </w:r>
    </w:p>
    <w:p w14:paraId="00126FFD" w14:textId="7EF35DF6" w:rsidR="00481A65" w:rsidRPr="008D076D" w:rsidRDefault="00F70022" w:rsidP="00BF4650">
      <w:pPr>
        <w:pStyle w:val="ListParagraph"/>
        <w:numPr>
          <w:ilvl w:val="0"/>
          <w:numId w:val="11"/>
        </w:numPr>
        <w:ind w:left="567" w:hanging="425"/>
        <w:rPr>
          <w:color w:val="auto"/>
          <w:sz w:val="24"/>
          <w:szCs w:val="24"/>
        </w:rPr>
      </w:pPr>
      <w:r w:rsidRPr="008D076D">
        <w:rPr>
          <w:color w:val="auto"/>
          <w:sz w:val="24"/>
          <w:szCs w:val="24"/>
        </w:rPr>
        <w:t>1</w:t>
      </w:r>
      <w:r w:rsidR="00BA61E8" w:rsidRPr="008D076D">
        <w:rPr>
          <w:color w:val="auto"/>
          <w:sz w:val="24"/>
          <w:szCs w:val="24"/>
        </w:rPr>
        <w:t>15,180</w:t>
      </w:r>
      <w:r w:rsidR="00481A65" w:rsidRPr="008D076D">
        <w:rPr>
          <w:color w:val="auto"/>
          <w:sz w:val="24"/>
          <w:szCs w:val="24"/>
        </w:rPr>
        <w:t xml:space="preserve"> </w:t>
      </w:r>
      <w:r w:rsidR="001F2160" w:rsidRPr="008D076D">
        <w:rPr>
          <w:color w:val="auto"/>
          <w:sz w:val="24"/>
          <w:szCs w:val="24"/>
        </w:rPr>
        <w:t xml:space="preserve">people </w:t>
      </w:r>
      <w:r w:rsidR="00481A65" w:rsidRPr="008D076D">
        <w:rPr>
          <w:color w:val="auto"/>
          <w:sz w:val="24"/>
          <w:szCs w:val="24"/>
        </w:rPr>
        <w:t>increas</w:t>
      </w:r>
      <w:r w:rsidR="00A21162" w:rsidRPr="008D076D">
        <w:rPr>
          <w:color w:val="auto"/>
          <w:sz w:val="24"/>
          <w:szCs w:val="24"/>
        </w:rPr>
        <w:t>e</w:t>
      </w:r>
      <w:r w:rsidR="008B7A2D" w:rsidRPr="008D076D">
        <w:rPr>
          <w:color w:val="auto"/>
          <w:sz w:val="24"/>
          <w:szCs w:val="24"/>
        </w:rPr>
        <w:t>d</w:t>
      </w:r>
      <w:r w:rsidR="00A21162" w:rsidRPr="008D076D">
        <w:rPr>
          <w:color w:val="auto"/>
          <w:sz w:val="24"/>
          <w:szCs w:val="24"/>
        </w:rPr>
        <w:t xml:space="preserve"> their</w:t>
      </w:r>
      <w:r w:rsidR="00481A65" w:rsidRPr="008D076D">
        <w:rPr>
          <w:color w:val="auto"/>
          <w:sz w:val="24"/>
          <w:szCs w:val="24"/>
        </w:rPr>
        <w:t xml:space="preserve"> incomes (5</w:t>
      </w:r>
      <w:r w:rsidR="00BA61E8" w:rsidRPr="008D076D">
        <w:rPr>
          <w:color w:val="auto"/>
          <w:sz w:val="24"/>
          <w:szCs w:val="24"/>
        </w:rPr>
        <w:t>7.94</w:t>
      </w:r>
      <w:r w:rsidR="00481A65" w:rsidRPr="008D076D">
        <w:rPr>
          <w:color w:val="auto"/>
          <w:sz w:val="24"/>
          <w:szCs w:val="24"/>
        </w:rPr>
        <w:t xml:space="preserve">% women and girls, </w:t>
      </w:r>
      <w:r w:rsidR="007F1170" w:rsidRPr="008D076D">
        <w:rPr>
          <w:color w:val="auto"/>
          <w:sz w:val="24"/>
          <w:szCs w:val="24"/>
        </w:rPr>
        <w:t>4.07</w:t>
      </w:r>
      <w:r w:rsidR="00481A65" w:rsidRPr="008D076D">
        <w:rPr>
          <w:color w:val="auto"/>
          <w:sz w:val="24"/>
          <w:szCs w:val="24"/>
        </w:rPr>
        <w:t>% people with disabilities)</w:t>
      </w:r>
      <w:r w:rsidRPr="008D076D">
        <w:rPr>
          <w:color w:val="auto"/>
          <w:sz w:val="24"/>
          <w:szCs w:val="24"/>
        </w:rPr>
        <w:t xml:space="preserve">, </w:t>
      </w:r>
      <w:r w:rsidR="007F1170" w:rsidRPr="008D076D">
        <w:rPr>
          <w:color w:val="auto"/>
          <w:sz w:val="24"/>
          <w:szCs w:val="24"/>
        </w:rPr>
        <w:t xml:space="preserve">down from 133,503 in 2020-21 and </w:t>
      </w:r>
      <w:r w:rsidRPr="008D076D">
        <w:rPr>
          <w:color w:val="auto"/>
          <w:sz w:val="24"/>
          <w:szCs w:val="24"/>
        </w:rPr>
        <w:t xml:space="preserve">up from 108,746 people </w:t>
      </w:r>
      <w:r w:rsidR="007F1170" w:rsidRPr="008D076D">
        <w:rPr>
          <w:color w:val="auto"/>
          <w:sz w:val="24"/>
          <w:szCs w:val="24"/>
        </w:rPr>
        <w:t>in 2019-20</w:t>
      </w:r>
      <w:r w:rsidR="008B7A2D" w:rsidRPr="008D076D">
        <w:rPr>
          <w:color w:val="auto"/>
          <w:sz w:val="24"/>
          <w:szCs w:val="24"/>
        </w:rPr>
        <w:t xml:space="preserve"> (</w:t>
      </w:r>
      <w:r w:rsidR="00677853" w:rsidRPr="008D076D">
        <w:rPr>
          <w:color w:val="auto"/>
          <w:sz w:val="24"/>
          <w:szCs w:val="24"/>
        </w:rPr>
        <w:t xml:space="preserve">ANCP </w:t>
      </w:r>
      <w:r w:rsidR="008B7A2D" w:rsidRPr="008D076D">
        <w:rPr>
          <w:color w:val="auto"/>
          <w:sz w:val="24"/>
          <w:szCs w:val="24"/>
        </w:rPr>
        <w:t>Indicator L.02)</w:t>
      </w:r>
    </w:p>
    <w:p w14:paraId="23E54A8D" w14:textId="5D18DF07" w:rsidR="001F2160" w:rsidRPr="008D076D" w:rsidRDefault="00152DB1" w:rsidP="00BF4650">
      <w:pPr>
        <w:pStyle w:val="ListParagraph"/>
        <w:numPr>
          <w:ilvl w:val="0"/>
          <w:numId w:val="11"/>
        </w:numPr>
        <w:ind w:left="567" w:hanging="425"/>
        <w:rPr>
          <w:color w:val="auto"/>
          <w:sz w:val="24"/>
          <w:szCs w:val="24"/>
        </w:rPr>
      </w:pPr>
      <w:r w:rsidRPr="008D076D">
        <w:rPr>
          <w:color w:val="auto"/>
          <w:sz w:val="24"/>
          <w:szCs w:val="24"/>
        </w:rPr>
        <w:t xml:space="preserve">24,356 </w:t>
      </w:r>
      <w:r w:rsidR="003E2892" w:rsidRPr="008D076D">
        <w:rPr>
          <w:color w:val="auto"/>
          <w:sz w:val="24"/>
          <w:szCs w:val="24"/>
        </w:rPr>
        <w:t>people accessed</w:t>
      </w:r>
      <w:r w:rsidR="001F2160" w:rsidRPr="008D076D">
        <w:rPr>
          <w:color w:val="auto"/>
          <w:sz w:val="24"/>
          <w:szCs w:val="24"/>
        </w:rPr>
        <w:t xml:space="preserve"> social transfers (such as cash &amp; voucher assistance)</w:t>
      </w:r>
      <w:r w:rsidR="003E2892" w:rsidRPr="008D076D">
        <w:rPr>
          <w:color w:val="auto"/>
          <w:sz w:val="24"/>
          <w:szCs w:val="24"/>
        </w:rPr>
        <w:t xml:space="preserve"> (5</w:t>
      </w:r>
      <w:r w:rsidR="00F60E02" w:rsidRPr="008D076D">
        <w:rPr>
          <w:color w:val="auto"/>
          <w:sz w:val="24"/>
          <w:szCs w:val="24"/>
        </w:rPr>
        <w:t>8.61</w:t>
      </w:r>
      <w:r w:rsidR="003E2892" w:rsidRPr="008D076D">
        <w:rPr>
          <w:color w:val="auto"/>
          <w:sz w:val="24"/>
          <w:szCs w:val="24"/>
        </w:rPr>
        <w:t xml:space="preserve">% women and girls, </w:t>
      </w:r>
      <w:r w:rsidR="006E501F" w:rsidRPr="008D076D">
        <w:rPr>
          <w:color w:val="auto"/>
          <w:sz w:val="24"/>
          <w:szCs w:val="24"/>
        </w:rPr>
        <w:t>6.88</w:t>
      </w:r>
      <w:r w:rsidR="003E2892" w:rsidRPr="008D076D">
        <w:rPr>
          <w:color w:val="auto"/>
          <w:sz w:val="24"/>
          <w:szCs w:val="24"/>
        </w:rPr>
        <w:t xml:space="preserve">% people with disabilities) </w:t>
      </w:r>
      <w:r w:rsidRPr="008D076D">
        <w:rPr>
          <w:color w:val="auto"/>
          <w:sz w:val="24"/>
          <w:szCs w:val="24"/>
        </w:rPr>
        <w:t>down</w:t>
      </w:r>
      <w:r w:rsidR="003E2892" w:rsidRPr="008D076D">
        <w:rPr>
          <w:color w:val="auto"/>
          <w:sz w:val="24"/>
          <w:szCs w:val="24"/>
        </w:rPr>
        <w:t xml:space="preserve"> from </w:t>
      </w:r>
      <w:r w:rsidRPr="008D076D">
        <w:rPr>
          <w:color w:val="auto"/>
          <w:sz w:val="24"/>
          <w:szCs w:val="24"/>
        </w:rPr>
        <w:t xml:space="preserve">39,585 in 2020-21 and </w:t>
      </w:r>
      <w:r w:rsidR="003E2892" w:rsidRPr="008D076D">
        <w:rPr>
          <w:color w:val="auto"/>
          <w:sz w:val="24"/>
          <w:szCs w:val="24"/>
        </w:rPr>
        <w:t xml:space="preserve">35,887 people </w:t>
      </w:r>
      <w:r w:rsidRPr="008D076D">
        <w:rPr>
          <w:color w:val="auto"/>
          <w:sz w:val="24"/>
          <w:szCs w:val="24"/>
        </w:rPr>
        <w:t>in 2019-20</w:t>
      </w:r>
      <w:r w:rsidR="008B7A2D" w:rsidRPr="008D076D">
        <w:rPr>
          <w:color w:val="auto"/>
          <w:sz w:val="24"/>
          <w:szCs w:val="24"/>
        </w:rPr>
        <w:t xml:space="preserve"> (</w:t>
      </w:r>
      <w:r w:rsidR="00677853" w:rsidRPr="008D076D">
        <w:rPr>
          <w:color w:val="auto"/>
          <w:sz w:val="24"/>
          <w:szCs w:val="24"/>
        </w:rPr>
        <w:t xml:space="preserve">ANCP </w:t>
      </w:r>
      <w:r w:rsidR="008B7A2D" w:rsidRPr="008D076D">
        <w:rPr>
          <w:color w:val="auto"/>
          <w:sz w:val="24"/>
          <w:szCs w:val="24"/>
        </w:rPr>
        <w:t>Indicator L.04)</w:t>
      </w:r>
    </w:p>
    <w:p w14:paraId="1DE380A3" w14:textId="0FC28381" w:rsidR="00481A65" w:rsidRPr="005B79DE" w:rsidRDefault="006B1A03" w:rsidP="00BF4650">
      <w:pPr>
        <w:pStyle w:val="Heading2"/>
        <w:rPr>
          <w:b/>
          <w:bCs/>
          <w:color w:val="auto"/>
        </w:rPr>
      </w:pPr>
      <w:r>
        <w:rPr>
          <w:b/>
          <w:bCs/>
          <w:color w:val="auto"/>
        </w:rPr>
        <w:t>2021-22</w:t>
      </w:r>
      <w:r w:rsidR="00E2531D">
        <w:rPr>
          <w:b/>
          <w:bCs/>
          <w:color w:val="auto"/>
        </w:rPr>
        <w:t xml:space="preserve"> ANCP</w:t>
      </w:r>
      <w:r w:rsidR="00454514" w:rsidRPr="005B79DE">
        <w:rPr>
          <w:b/>
          <w:bCs/>
          <w:color w:val="auto"/>
        </w:rPr>
        <w:t xml:space="preserve"> </w:t>
      </w:r>
      <w:r w:rsidR="009C6AFE" w:rsidRPr="005B79DE">
        <w:rPr>
          <w:b/>
          <w:bCs/>
          <w:color w:val="auto"/>
        </w:rPr>
        <w:t>Highlights</w:t>
      </w:r>
    </w:p>
    <w:p w14:paraId="7DF3212A" w14:textId="75263A65" w:rsidR="00963ABA" w:rsidRDefault="000A27DF" w:rsidP="00580804">
      <w:pPr>
        <w:rPr>
          <w:color w:val="auto"/>
          <w:sz w:val="24"/>
          <w:szCs w:val="24"/>
        </w:rPr>
      </w:pPr>
      <w:r w:rsidRPr="00100C54">
        <w:rPr>
          <w:color w:val="auto"/>
          <w:sz w:val="24"/>
          <w:szCs w:val="24"/>
        </w:rPr>
        <w:t>In 202</w:t>
      </w:r>
      <w:r w:rsidR="00100C54">
        <w:rPr>
          <w:color w:val="auto"/>
          <w:sz w:val="24"/>
          <w:szCs w:val="24"/>
        </w:rPr>
        <w:t>1-22</w:t>
      </w:r>
      <w:r w:rsidRPr="00100C54">
        <w:rPr>
          <w:color w:val="auto"/>
          <w:sz w:val="24"/>
          <w:szCs w:val="24"/>
        </w:rPr>
        <w:t xml:space="preserve"> </w:t>
      </w:r>
      <w:r w:rsidR="009152BF">
        <w:rPr>
          <w:color w:val="auto"/>
          <w:sz w:val="24"/>
          <w:szCs w:val="24"/>
        </w:rPr>
        <w:t>p</w:t>
      </w:r>
      <w:r w:rsidR="00D32592">
        <w:rPr>
          <w:color w:val="auto"/>
          <w:sz w:val="24"/>
          <w:szCs w:val="24"/>
        </w:rPr>
        <w:t xml:space="preserve">rogramming in Myanmar continued to be impacted by the </w:t>
      </w:r>
      <w:r w:rsidR="0016309B">
        <w:rPr>
          <w:color w:val="auto"/>
          <w:sz w:val="24"/>
          <w:szCs w:val="24"/>
        </w:rPr>
        <w:t>coup</w:t>
      </w:r>
      <w:r w:rsidR="008F7CAE">
        <w:rPr>
          <w:color w:val="auto"/>
          <w:sz w:val="24"/>
          <w:szCs w:val="24"/>
        </w:rPr>
        <w:t xml:space="preserve"> while </w:t>
      </w:r>
      <w:r w:rsidR="00F47017">
        <w:rPr>
          <w:color w:val="auto"/>
          <w:sz w:val="24"/>
          <w:szCs w:val="24"/>
        </w:rPr>
        <w:t xml:space="preserve">other </w:t>
      </w:r>
      <w:r w:rsidR="008F7CAE">
        <w:rPr>
          <w:color w:val="auto"/>
          <w:sz w:val="24"/>
          <w:szCs w:val="24"/>
        </w:rPr>
        <w:t>pro</w:t>
      </w:r>
      <w:r w:rsidR="006F58E7">
        <w:rPr>
          <w:color w:val="auto"/>
          <w:sz w:val="24"/>
          <w:szCs w:val="24"/>
        </w:rPr>
        <w:t>jects</w:t>
      </w:r>
      <w:r w:rsidR="00837139">
        <w:rPr>
          <w:color w:val="auto"/>
          <w:sz w:val="24"/>
          <w:szCs w:val="24"/>
        </w:rPr>
        <w:t xml:space="preserve">, particularly </w:t>
      </w:r>
      <w:r w:rsidR="006F58E7">
        <w:rPr>
          <w:color w:val="auto"/>
          <w:sz w:val="24"/>
          <w:szCs w:val="24"/>
        </w:rPr>
        <w:t>those</w:t>
      </w:r>
      <w:r w:rsidR="00837139">
        <w:rPr>
          <w:color w:val="auto"/>
          <w:sz w:val="24"/>
          <w:szCs w:val="24"/>
        </w:rPr>
        <w:t xml:space="preserve"> focussed on </w:t>
      </w:r>
      <w:r w:rsidR="00F13A79">
        <w:rPr>
          <w:color w:val="auto"/>
          <w:sz w:val="24"/>
          <w:szCs w:val="24"/>
        </w:rPr>
        <w:t>education</w:t>
      </w:r>
      <w:r w:rsidR="00837139">
        <w:rPr>
          <w:color w:val="auto"/>
          <w:sz w:val="24"/>
          <w:szCs w:val="24"/>
        </w:rPr>
        <w:t xml:space="preserve"> and other public services,</w:t>
      </w:r>
      <w:r w:rsidR="008F7CAE">
        <w:rPr>
          <w:color w:val="auto"/>
          <w:sz w:val="24"/>
          <w:szCs w:val="24"/>
        </w:rPr>
        <w:t xml:space="preserve"> </w:t>
      </w:r>
      <w:r w:rsidR="007513F5">
        <w:rPr>
          <w:color w:val="auto"/>
          <w:sz w:val="24"/>
          <w:szCs w:val="24"/>
        </w:rPr>
        <w:t>remained</w:t>
      </w:r>
      <w:r w:rsidR="008F7CAE">
        <w:rPr>
          <w:color w:val="auto"/>
          <w:sz w:val="24"/>
          <w:szCs w:val="24"/>
        </w:rPr>
        <w:t xml:space="preserve"> impacted by </w:t>
      </w:r>
      <w:r w:rsidR="00F47017">
        <w:rPr>
          <w:color w:val="auto"/>
          <w:sz w:val="24"/>
          <w:szCs w:val="24"/>
        </w:rPr>
        <w:t>COVID-19 restrictions</w:t>
      </w:r>
      <w:r w:rsidR="00837139">
        <w:rPr>
          <w:color w:val="auto"/>
          <w:sz w:val="24"/>
          <w:szCs w:val="24"/>
        </w:rPr>
        <w:t xml:space="preserve">. </w:t>
      </w:r>
      <w:r w:rsidR="00E75E08">
        <w:rPr>
          <w:color w:val="auto"/>
          <w:sz w:val="24"/>
          <w:szCs w:val="24"/>
        </w:rPr>
        <w:t>T</w:t>
      </w:r>
      <w:r w:rsidR="00AA0FF9">
        <w:rPr>
          <w:color w:val="auto"/>
          <w:sz w:val="24"/>
          <w:szCs w:val="24"/>
        </w:rPr>
        <w:t xml:space="preserve">he ANCP-wide direct participant </w:t>
      </w:r>
      <w:r w:rsidR="006F58E7">
        <w:rPr>
          <w:color w:val="auto"/>
          <w:sz w:val="24"/>
          <w:szCs w:val="24"/>
        </w:rPr>
        <w:t>totals</w:t>
      </w:r>
      <w:r w:rsidR="00AA0FF9">
        <w:rPr>
          <w:color w:val="auto"/>
          <w:sz w:val="24"/>
          <w:szCs w:val="24"/>
        </w:rPr>
        <w:t xml:space="preserve"> dropped significantly </w:t>
      </w:r>
      <w:r w:rsidR="007513F5">
        <w:rPr>
          <w:color w:val="auto"/>
          <w:sz w:val="24"/>
          <w:szCs w:val="24"/>
        </w:rPr>
        <w:t xml:space="preserve">since the start of the pandemic </w:t>
      </w:r>
      <w:r w:rsidR="00AA0FF9">
        <w:rPr>
          <w:color w:val="auto"/>
          <w:sz w:val="24"/>
          <w:szCs w:val="24"/>
        </w:rPr>
        <w:t xml:space="preserve">from </w:t>
      </w:r>
      <w:r w:rsidR="004464BC">
        <w:rPr>
          <w:color w:val="auto"/>
          <w:sz w:val="24"/>
          <w:szCs w:val="24"/>
        </w:rPr>
        <w:t xml:space="preserve">over 11.8 million in 2019-20 to just over 5.4 million in 2021-22. </w:t>
      </w:r>
      <w:r w:rsidR="009152BF">
        <w:rPr>
          <w:color w:val="auto"/>
          <w:sz w:val="24"/>
          <w:szCs w:val="24"/>
        </w:rPr>
        <w:t>T</w:t>
      </w:r>
      <w:r w:rsidR="00B31B76">
        <w:rPr>
          <w:color w:val="auto"/>
          <w:sz w:val="24"/>
          <w:szCs w:val="24"/>
        </w:rPr>
        <w:t>he</w:t>
      </w:r>
      <w:r w:rsidR="00103C43">
        <w:rPr>
          <w:color w:val="auto"/>
          <w:sz w:val="24"/>
          <w:szCs w:val="24"/>
        </w:rPr>
        <w:t xml:space="preserve"> drop reflects </w:t>
      </w:r>
      <w:r w:rsidR="007513F5">
        <w:rPr>
          <w:color w:val="auto"/>
          <w:sz w:val="24"/>
          <w:szCs w:val="24"/>
        </w:rPr>
        <w:t xml:space="preserve">pandemic-related </w:t>
      </w:r>
      <w:r w:rsidR="00103C43">
        <w:rPr>
          <w:color w:val="auto"/>
          <w:sz w:val="24"/>
          <w:szCs w:val="24"/>
        </w:rPr>
        <w:t>implementation challenges</w:t>
      </w:r>
      <w:r w:rsidR="00963ABA">
        <w:rPr>
          <w:color w:val="auto"/>
          <w:sz w:val="24"/>
          <w:szCs w:val="24"/>
        </w:rPr>
        <w:t xml:space="preserve">. </w:t>
      </w:r>
    </w:p>
    <w:p w14:paraId="28614479" w14:textId="77777777" w:rsidR="00F10726" w:rsidRDefault="00180F4D" w:rsidP="00F10726">
      <w:pPr>
        <w:spacing w:after="240"/>
        <w:rPr>
          <w:color w:val="auto"/>
          <w:sz w:val="24"/>
          <w:szCs w:val="24"/>
        </w:rPr>
      </w:pPr>
      <w:r w:rsidRPr="00100C54">
        <w:rPr>
          <w:color w:val="auto"/>
          <w:sz w:val="24"/>
          <w:szCs w:val="24"/>
        </w:rPr>
        <w:t>The objective of the ANCP is to progress Sustainable Development Goals</w:t>
      </w:r>
      <w:r w:rsidR="00486454">
        <w:rPr>
          <w:color w:val="auto"/>
          <w:sz w:val="24"/>
          <w:szCs w:val="24"/>
        </w:rPr>
        <w:t xml:space="preserve"> (SDGs)</w:t>
      </w:r>
      <w:r w:rsidRPr="00100C54">
        <w:rPr>
          <w:color w:val="auto"/>
          <w:sz w:val="24"/>
          <w:szCs w:val="24"/>
        </w:rPr>
        <w:t xml:space="preserve"> through supporting inclusive development, and open and transparent civil society. </w:t>
      </w:r>
      <w:r w:rsidR="003F65E8" w:rsidRPr="00100C54">
        <w:rPr>
          <w:color w:val="auto"/>
          <w:sz w:val="24"/>
          <w:szCs w:val="24"/>
        </w:rPr>
        <w:t xml:space="preserve">Graph </w:t>
      </w:r>
      <w:r w:rsidR="00A81383" w:rsidRPr="00100C54">
        <w:rPr>
          <w:color w:val="auto"/>
          <w:sz w:val="24"/>
          <w:szCs w:val="24"/>
        </w:rPr>
        <w:t>1</w:t>
      </w:r>
      <w:r w:rsidR="00486D28" w:rsidRPr="00100C54">
        <w:rPr>
          <w:color w:val="auto"/>
          <w:sz w:val="24"/>
          <w:szCs w:val="24"/>
        </w:rPr>
        <w:t xml:space="preserve"> shows ANCP expenditure </w:t>
      </w:r>
      <w:r w:rsidR="00147892" w:rsidRPr="00100C54">
        <w:rPr>
          <w:color w:val="auto"/>
          <w:sz w:val="24"/>
          <w:szCs w:val="24"/>
        </w:rPr>
        <w:t xml:space="preserve">(percentage) </w:t>
      </w:r>
      <w:r w:rsidR="00486D28" w:rsidRPr="00100C54">
        <w:rPr>
          <w:color w:val="auto"/>
          <w:sz w:val="24"/>
          <w:szCs w:val="24"/>
        </w:rPr>
        <w:t>in 20</w:t>
      </w:r>
      <w:r w:rsidR="00602B9A" w:rsidRPr="00100C54">
        <w:rPr>
          <w:color w:val="auto"/>
          <w:sz w:val="24"/>
          <w:szCs w:val="24"/>
        </w:rPr>
        <w:t>2</w:t>
      </w:r>
      <w:r w:rsidR="000029F2">
        <w:rPr>
          <w:color w:val="auto"/>
          <w:sz w:val="24"/>
          <w:szCs w:val="24"/>
        </w:rPr>
        <w:t>1-22</w:t>
      </w:r>
      <w:r w:rsidR="00486D28" w:rsidRPr="00100C54">
        <w:rPr>
          <w:color w:val="auto"/>
          <w:sz w:val="24"/>
          <w:szCs w:val="24"/>
        </w:rPr>
        <w:t xml:space="preserve"> against </w:t>
      </w:r>
      <w:r w:rsidR="00F82560">
        <w:rPr>
          <w:color w:val="auto"/>
          <w:sz w:val="24"/>
          <w:szCs w:val="24"/>
        </w:rPr>
        <w:t xml:space="preserve">each </w:t>
      </w:r>
      <w:r w:rsidR="00486D28" w:rsidRPr="00100C54">
        <w:rPr>
          <w:color w:val="auto"/>
          <w:sz w:val="24"/>
          <w:szCs w:val="24"/>
        </w:rPr>
        <w:t>SDG</w:t>
      </w:r>
      <w:r w:rsidR="003267E5" w:rsidRPr="00100C54">
        <w:rPr>
          <w:color w:val="auto"/>
          <w:sz w:val="24"/>
          <w:szCs w:val="24"/>
        </w:rPr>
        <w:t>.</w:t>
      </w:r>
      <w:r w:rsidR="00147892" w:rsidRPr="00100C54">
        <w:rPr>
          <w:color w:val="auto"/>
          <w:sz w:val="24"/>
          <w:szCs w:val="24"/>
        </w:rPr>
        <w:t xml:space="preserve"> </w:t>
      </w:r>
      <w:r w:rsidR="00467305">
        <w:rPr>
          <w:color w:val="auto"/>
          <w:sz w:val="24"/>
          <w:szCs w:val="24"/>
        </w:rPr>
        <w:t xml:space="preserve">In </w:t>
      </w:r>
      <w:r w:rsidR="007513F5">
        <w:rPr>
          <w:color w:val="auto"/>
          <w:sz w:val="24"/>
          <w:szCs w:val="24"/>
        </w:rPr>
        <w:t xml:space="preserve">both </w:t>
      </w:r>
      <w:r w:rsidR="00583D10">
        <w:rPr>
          <w:color w:val="auto"/>
          <w:sz w:val="24"/>
          <w:szCs w:val="24"/>
        </w:rPr>
        <w:t xml:space="preserve">2020-21 and 2021-22 expenditure against Goal 3 increased by </w:t>
      </w:r>
      <w:r w:rsidR="00A65929">
        <w:rPr>
          <w:color w:val="auto"/>
          <w:sz w:val="24"/>
          <w:szCs w:val="24"/>
        </w:rPr>
        <w:t>25 per cent</w:t>
      </w:r>
      <w:r w:rsidR="00AE179E">
        <w:rPr>
          <w:color w:val="auto"/>
          <w:sz w:val="24"/>
          <w:szCs w:val="24"/>
        </w:rPr>
        <w:t xml:space="preserve"> from 2019-20,</w:t>
      </w:r>
      <w:r w:rsidR="009A49D2" w:rsidRPr="00100C54">
        <w:rPr>
          <w:color w:val="auto"/>
          <w:sz w:val="24"/>
          <w:szCs w:val="24"/>
        </w:rPr>
        <w:t xml:space="preserve"> reflecting the COVID-19 response</w:t>
      </w:r>
      <w:r w:rsidR="002E309D">
        <w:rPr>
          <w:color w:val="auto"/>
          <w:sz w:val="24"/>
          <w:szCs w:val="24"/>
        </w:rPr>
        <w:t xml:space="preserve"> pivot</w:t>
      </w:r>
      <w:r w:rsidR="009A49D2" w:rsidRPr="00100C54">
        <w:rPr>
          <w:color w:val="auto"/>
          <w:sz w:val="24"/>
          <w:szCs w:val="24"/>
        </w:rPr>
        <w:t xml:space="preserve">. </w:t>
      </w:r>
    </w:p>
    <w:p w14:paraId="43C9AFEF" w14:textId="75786FAD" w:rsidR="00F10726" w:rsidRDefault="00F10726" w:rsidP="00F10726">
      <w:pPr>
        <w:spacing w:after="240"/>
        <w:rPr>
          <w:color w:val="auto"/>
        </w:rPr>
      </w:pPr>
      <w:r>
        <w:rPr>
          <w:noProof/>
          <w:color w:val="auto"/>
        </w:rPr>
        <w:drawing>
          <wp:inline distT="0" distB="0" distL="0" distR="0" wp14:anchorId="647E38E9" wp14:editId="237DD5D0">
            <wp:extent cx="6059805" cy="3114675"/>
            <wp:effectExtent l="0" t="0" r="0" b="9525"/>
            <wp:docPr id="19" name="Picture 19" descr="Graph 1: 2021-22 ANCP Project Expenditure by SDG (%). Goal 1: No Poverty 5.5%. Goal 2: Zero Hunger 8.1%. Goal 3: Good Health and Well-being 27%. Goal 4: Quality Education 9.2%. Goal 5: Gender Equality 13%. Goal 6: Clean Water and Sanitation 5.8%. Goal 7: Affordable and Clean Energy 0.2%. Goal 8: Decent Work and Economic Growth 4.1%. Goal 9: Industry, Innovation and Infrastructure 1.7%. Goal 10: Reduced Inequalities 7.4%. Goal 11: Sustainable Cities and Communities 1.3%. Goal 12: Responsible Consumption and Production 0.1%. Goal 13: Climate Action 4.9%. Goal 14: Life Below Water 0.1%. Goal 15: Life an Land 4.8%. Goal 16: Peace, Justice and Strong Institutions 5.7%. Goal 17: Partnerships for the Goa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 1: 2021-22 ANCP Project Expenditure by SDG (%). Goal 1: No Poverty 5.5%. Goal 2: Zero Hunger 8.1%. Goal 3: Good Health and Well-being 27%. Goal 4: Quality Education 9.2%. Goal 5: Gender Equality 13%. Goal 6: Clean Water and Sanitation 5.8%. Goal 7: Affordable and Clean Energy 0.2%. Goal 8: Decent Work and Economic Growth 4.1%. Goal 9: Industry, Innovation and Infrastructure 1.7%. Goal 10: Reduced Inequalities 7.4%. Goal 11: Sustainable Cities and Communities 1.3%. Goal 12: Responsible Consumption and Production 0.1%. Goal 13: Climate Action 4.9%. Goal 14: Life Below Water 0.1%. Goal 15: Life an Land 4.8%. Goal 16: Peace, Justice and Strong Institutions 5.7%. Goal 17: Partnerships for the Goals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114675"/>
                    </a:xfrm>
                    <a:prstGeom prst="rect">
                      <a:avLst/>
                    </a:prstGeom>
                    <a:noFill/>
                  </pic:spPr>
                </pic:pic>
              </a:graphicData>
            </a:graphic>
          </wp:inline>
        </w:drawing>
      </w:r>
    </w:p>
    <w:p w14:paraId="707CA82F" w14:textId="2B6F4EF9" w:rsidR="000028D9" w:rsidRPr="00EB2326" w:rsidRDefault="000028D9" w:rsidP="000028D9">
      <w:pPr>
        <w:pStyle w:val="Heading3"/>
        <w:spacing w:before="240"/>
        <w:rPr>
          <w:color w:val="auto"/>
        </w:rPr>
      </w:pPr>
      <w:r>
        <w:rPr>
          <w:color w:val="auto"/>
        </w:rPr>
        <w:lastRenderedPageBreak/>
        <w:t>F</w:t>
      </w:r>
      <w:r w:rsidRPr="00EB2326">
        <w:rPr>
          <w:color w:val="auto"/>
        </w:rPr>
        <w:t xml:space="preserve">inancial </w:t>
      </w:r>
      <w:r>
        <w:rPr>
          <w:color w:val="auto"/>
        </w:rPr>
        <w:t>co-c</w:t>
      </w:r>
      <w:r w:rsidRPr="00EB2326">
        <w:rPr>
          <w:color w:val="auto"/>
        </w:rPr>
        <w:t>ontributions</w:t>
      </w:r>
    </w:p>
    <w:p w14:paraId="794D03EA" w14:textId="0A1070BE" w:rsidR="000028D9" w:rsidRPr="00652810" w:rsidRDefault="000028D9" w:rsidP="000028D9">
      <w:pPr>
        <w:rPr>
          <w:color w:val="auto"/>
          <w:sz w:val="24"/>
          <w:szCs w:val="24"/>
          <w:highlight w:val="yellow"/>
        </w:rPr>
      </w:pPr>
      <w:r w:rsidRPr="00652810">
        <w:rPr>
          <w:color w:val="auto"/>
          <w:sz w:val="24"/>
          <w:szCs w:val="24"/>
        </w:rPr>
        <w:t xml:space="preserve">The ANCP modality requires an NGO contribution, typically at least 20 per cent. In 2021-22 the total NGO contribution to the ANCP was $34.7 million, a significant recovery from 2020-21 </w:t>
      </w:r>
      <w:r w:rsidR="008B515B">
        <w:rPr>
          <w:color w:val="auto"/>
          <w:sz w:val="24"/>
          <w:szCs w:val="24"/>
        </w:rPr>
        <w:t xml:space="preserve">(NGO contribution of $21.4 million) </w:t>
      </w:r>
      <w:r w:rsidR="00832FFA" w:rsidRPr="00652810">
        <w:rPr>
          <w:color w:val="auto"/>
          <w:sz w:val="24"/>
          <w:szCs w:val="24"/>
        </w:rPr>
        <w:t xml:space="preserve">when the co-contribution </w:t>
      </w:r>
      <w:r w:rsidR="006C64E0">
        <w:rPr>
          <w:color w:val="auto"/>
          <w:sz w:val="24"/>
          <w:szCs w:val="24"/>
        </w:rPr>
        <w:t>requirement</w:t>
      </w:r>
      <w:r w:rsidR="00832FFA" w:rsidRPr="00652810">
        <w:rPr>
          <w:color w:val="auto"/>
          <w:sz w:val="24"/>
          <w:szCs w:val="24"/>
        </w:rPr>
        <w:t xml:space="preserve"> was</w:t>
      </w:r>
      <w:r w:rsidR="006C64E0">
        <w:rPr>
          <w:color w:val="auto"/>
          <w:sz w:val="24"/>
          <w:szCs w:val="24"/>
        </w:rPr>
        <w:t xml:space="preserve"> temporarily set at </w:t>
      </w:r>
      <w:r w:rsidR="00832FFA" w:rsidRPr="00652810">
        <w:rPr>
          <w:color w:val="auto"/>
          <w:sz w:val="24"/>
          <w:szCs w:val="24"/>
        </w:rPr>
        <w:t xml:space="preserve">10 per cent. </w:t>
      </w:r>
      <w:r w:rsidRPr="00652810">
        <w:rPr>
          <w:color w:val="auto"/>
          <w:sz w:val="24"/>
          <w:szCs w:val="24"/>
        </w:rPr>
        <w:t xml:space="preserve">In addition to the NGO </w:t>
      </w:r>
      <w:r w:rsidR="00C21FD1" w:rsidRPr="00652810">
        <w:rPr>
          <w:color w:val="auto"/>
          <w:sz w:val="24"/>
          <w:szCs w:val="24"/>
        </w:rPr>
        <w:t>co-</w:t>
      </w:r>
      <w:r w:rsidRPr="00652810">
        <w:rPr>
          <w:color w:val="auto"/>
          <w:sz w:val="24"/>
          <w:szCs w:val="24"/>
        </w:rPr>
        <w:t xml:space="preserve">contributions, </w:t>
      </w:r>
      <w:r w:rsidR="006C64E0">
        <w:rPr>
          <w:color w:val="auto"/>
          <w:sz w:val="24"/>
          <w:szCs w:val="24"/>
        </w:rPr>
        <w:t>19 per cent of</w:t>
      </w:r>
      <w:r w:rsidRPr="00652810">
        <w:rPr>
          <w:color w:val="auto"/>
          <w:sz w:val="24"/>
          <w:szCs w:val="24"/>
        </w:rPr>
        <w:t xml:space="preserve"> projects received funding from other </w:t>
      </w:r>
      <w:r w:rsidR="00C21FD1" w:rsidRPr="00652810">
        <w:rPr>
          <w:color w:val="auto"/>
          <w:sz w:val="24"/>
          <w:szCs w:val="24"/>
        </w:rPr>
        <w:t>sources</w:t>
      </w:r>
      <w:r w:rsidRPr="00652810">
        <w:rPr>
          <w:color w:val="auto"/>
          <w:sz w:val="24"/>
          <w:szCs w:val="24"/>
        </w:rPr>
        <w:t xml:space="preserve">, up from </w:t>
      </w:r>
      <w:r w:rsidR="006C64E0">
        <w:rPr>
          <w:color w:val="auto"/>
          <w:sz w:val="24"/>
          <w:szCs w:val="24"/>
        </w:rPr>
        <w:t xml:space="preserve">8 per cent of projects in </w:t>
      </w:r>
      <w:r w:rsidRPr="00652810">
        <w:rPr>
          <w:color w:val="auto"/>
          <w:sz w:val="24"/>
          <w:szCs w:val="24"/>
        </w:rPr>
        <w:t xml:space="preserve">2020-21. These funds included: </w:t>
      </w:r>
    </w:p>
    <w:p w14:paraId="02013F8E" w14:textId="77777777" w:rsidR="00893E3F" w:rsidRPr="00652810" w:rsidRDefault="00893E3F" w:rsidP="00893E3F">
      <w:pPr>
        <w:pStyle w:val="ListParagraph"/>
        <w:numPr>
          <w:ilvl w:val="0"/>
          <w:numId w:val="11"/>
        </w:numPr>
        <w:ind w:left="567" w:hanging="425"/>
        <w:rPr>
          <w:color w:val="auto"/>
          <w:sz w:val="24"/>
          <w:szCs w:val="24"/>
        </w:rPr>
      </w:pPr>
      <w:r w:rsidRPr="00652810">
        <w:rPr>
          <w:color w:val="auto"/>
          <w:sz w:val="24"/>
          <w:szCs w:val="24"/>
        </w:rPr>
        <w:t xml:space="preserve">$7.2 million from Government sources (including local governments in-country and other Government donors </w:t>
      </w:r>
      <w:r>
        <w:rPr>
          <w:color w:val="auto"/>
          <w:sz w:val="24"/>
          <w:szCs w:val="24"/>
        </w:rPr>
        <w:t>including</w:t>
      </w:r>
      <w:r w:rsidRPr="00652810">
        <w:rPr>
          <w:color w:val="auto"/>
          <w:sz w:val="24"/>
          <w:szCs w:val="24"/>
        </w:rPr>
        <w:t xml:space="preserve"> Irish Aid, MFAT, UK FCDO)</w:t>
      </w:r>
    </w:p>
    <w:p w14:paraId="1A9C1721" w14:textId="7E77DC64" w:rsidR="000028D9" w:rsidRDefault="000028D9" w:rsidP="000028D9">
      <w:pPr>
        <w:pStyle w:val="ListParagraph"/>
        <w:numPr>
          <w:ilvl w:val="0"/>
          <w:numId w:val="11"/>
        </w:numPr>
        <w:ind w:left="567" w:hanging="425"/>
        <w:rPr>
          <w:color w:val="auto"/>
          <w:sz w:val="24"/>
          <w:szCs w:val="24"/>
        </w:rPr>
      </w:pPr>
      <w:r w:rsidRPr="00652810">
        <w:rPr>
          <w:color w:val="auto"/>
          <w:sz w:val="24"/>
          <w:szCs w:val="24"/>
        </w:rPr>
        <w:t>$6.9 million from International NGOs &amp; CSOs</w:t>
      </w:r>
    </w:p>
    <w:p w14:paraId="0ABC4DD1" w14:textId="77777777" w:rsidR="00893E3F" w:rsidRPr="00652810" w:rsidRDefault="00893E3F" w:rsidP="00893E3F">
      <w:pPr>
        <w:pStyle w:val="ListParagraph"/>
        <w:numPr>
          <w:ilvl w:val="0"/>
          <w:numId w:val="11"/>
        </w:numPr>
        <w:ind w:left="567" w:hanging="425"/>
        <w:rPr>
          <w:color w:val="auto"/>
          <w:sz w:val="24"/>
          <w:szCs w:val="24"/>
        </w:rPr>
      </w:pPr>
      <w:r w:rsidRPr="00652810">
        <w:rPr>
          <w:color w:val="auto"/>
          <w:sz w:val="24"/>
          <w:szCs w:val="24"/>
        </w:rPr>
        <w:t>$3.7 million from the private sector</w:t>
      </w:r>
    </w:p>
    <w:p w14:paraId="5BB68E12" w14:textId="77777777" w:rsidR="000028D9" w:rsidRPr="00652810" w:rsidRDefault="000028D9" w:rsidP="000028D9">
      <w:pPr>
        <w:pStyle w:val="ListParagraph"/>
        <w:numPr>
          <w:ilvl w:val="0"/>
          <w:numId w:val="11"/>
        </w:numPr>
        <w:ind w:left="567" w:hanging="425"/>
        <w:rPr>
          <w:color w:val="auto"/>
          <w:sz w:val="24"/>
          <w:szCs w:val="24"/>
        </w:rPr>
      </w:pPr>
      <w:r w:rsidRPr="00652810">
        <w:rPr>
          <w:color w:val="auto"/>
          <w:sz w:val="24"/>
          <w:szCs w:val="24"/>
        </w:rPr>
        <w:t>$1.7 million from faith-based organisations</w:t>
      </w:r>
    </w:p>
    <w:p w14:paraId="05753078" w14:textId="77777777" w:rsidR="000028D9" w:rsidRPr="00652810" w:rsidRDefault="000028D9" w:rsidP="000028D9">
      <w:pPr>
        <w:pStyle w:val="ListParagraph"/>
        <w:numPr>
          <w:ilvl w:val="0"/>
          <w:numId w:val="11"/>
        </w:numPr>
        <w:ind w:left="567" w:hanging="425"/>
        <w:rPr>
          <w:color w:val="auto"/>
          <w:sz w:val="24"/>
          <w:szCs w:val="24"/>
        </w:rPr>
      </w:pPr>
      <w:r w:rsidRPr="00652810">
        <w:rPr>
          <w:color w:val="auto"/>
          <w:sz w:val="24"/>
          <w:szCs w:val="24"/>
        </w:rPr>
        <w:t>$0.9 million from multilateral organisations</w:t>
      </w:r>
    </w:p>
    <w:p w14:paraId="65635394" w14:textId="22A80F85" w:rsidR="00EE7B50" w:rsidRDefault="00C91388" w:rsidP="00CE4E14">
      <w:pPr>
        <w:pStyle w:val="Heading3"/>
        <w:spacing w:before="240"/>
        <w:contextualSpacing w:val="0"/>
        <w:rPr>
          <w:color w:val="auto"/>
        </w:rPr>
      </w:pPr>
      <w:r>
        <w:rPr>
          <w:color w:val="auto"/>
        </w:rPr>
        <w:t>I</w:t>
      </w:r>
      <w:r w:rsidR="00A506D4">
        <w:rPr>
          <w:color w:val="auto"/>
        </w:rPr>
        <w:t xml:space="preserve">nnovation, </w:t>
      </w:r>
      <w:r w:rsidR="00652810">
        <w:rPr>
          <w:color w:val="auto"/>
        </w:rPr>
        <w:t>locally led</w:t>
      </w:r>
      <w:r w:rsidR="00BB2FB1">
        <w:rPr>
          <w:color w:val="auto"/>
        </w:rPr>
        <w:t xml:space="preserve"> development</w:t>
      </w:r>
      <w:r w:rsidR="005C56E7">
        <w:rPr>
          <w:color w:val="auto"/>
        </w:rPr>
        <w:t xml:space="preserve"> </w:t>
      </w:r>
      <w:r w:rsidR="00BB2FB1">
        <w:rPr>
          <w:color w:val="auto"/>
        </w:rPr>
        <w:t xml:space="preserve">and </w:t>
      </w:r>
      <w:r w:rsidR="00A74E8C">
        <w:rPr>
          <w:color w:val="auto"/>
        </w:rPr>
        <w:t xml:space="preserve">Indigenous </w:t>
      </w:r>
      <w:r w:rsidR="00BB5872">
        <w:rPr>
          <w:color w:val="auto"/>
        </w:rPr>
        <w:t xml:space="preserve">engagement </w:t>
      </w:r>
    </w:p>
    <w:p w14:paraId="52D2DAF2" w14:textId="060A65A6" w:rsidR="00CE4E14" w:rsidRPr="00652810" w:rsidRDefault="006C64E0" w:rsidP="009B470C">
      <w:pPr>
        <w:pStyle w:val="Heading3"/>
        <w:spacing w:before="120" w:after="60" w:line="240" w:lineRule="auto"/>
        <w:contextualSpacing w:val="0"/>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The ANCP includes</w:t>
      </w:r>
      <w:r w:rsidR="007618BA" w:rsidRPr="00652810">
        <w:rPr>
          <w:rFonts w:asciiTheme="minorHAnsi" w:eastAsiaTheme="minorHAnsi" w:hAnsiTheme="minorHAnsi" w:cstheme="minorBidi"/>
          <w:bCs w:val="0"/>
          <w:color w:val="auto"/>
          <w:sz w:val="24"/>
          <w:szCs w:val="24"/>
        </w:rPr>
        <w:t xml:space="preserve"> examples of innovative practice i</w:t>
      </w:r>
      <w:r w:rsidR="003F4107" w:rsidRPr="00652810">
        <w:rPr>
          <w:rFonts w:asciiTheme="minorHAnsi" w:eastAsiaTheme="minorHAnsi" w:hAnsiTheme="minorHAnsi" w:cstheme="minorBidi"/>
          <w:bCs w:val="0"/>
          <w:color w:val="auto"/>
          <w:sz w:val="24"/>
          <w:szCs w:val="24"/>
        </w:rPr>
        <w:t xml:space="preserve">n </w:t>
      </w:r>
      <w:r w:rsidR="00DF2888" w:rsidRPr="00652810">
        <w:rPr>
          <w:rFonts w:asciiTheme="minorHAnsi" w:eastAsiaTheme="minorHAnsi" w:hAnsiTheme="minorHAnsi" w:cstheme="minorBidi"/>
          <w:bCs w:val="0"/>
          <w:color w:val="auto"/>
          <w:sz w:val="24"/>
          <w:szCs w:val="24"/>
        </w:rPr>
        <w:t>priority areas</w:t>
      </w:r>
      <w:r w:rsidR="003F4107" w:rsidRPr="00652810">
        <w:rPr>
          <w:rFonts w:asciiTheme="minorHAnsi" w:eastAsiaTheme="minorHAnsi" w:hAnsiTheme="minorHAnsi" w:cstheme="minorBidi"/>
          <w:bCs w:val="0"/>
          <w:color w:val="auto"/>
          <w:sz w:val="24"/>
          <w:szCs w:val="24"/>
        </w:rPr>
        <w:t xml:space="preserve"> for the Australian development program</w:t>
      </w:r>
      <w:r w:rsidR="00261B51">
        <w:rPr>
          <w:rFonts w:asciiTheme="minorHAnsi" w:eastAsiaTheme="minorHAnsi" w:hAnsiTheme="minorHAnsi" w:cstheme="minorBidi"/>
          <w:bCs w:val="0"/>
          <w:color w:val="auto"/>
          <w:sz w:val="24"/>
          <w:szCs w:val="24"/>
        </w:rPr>
        <w:t xml:space="preserve"> including health systems strengthening and</w:t>
      </w:r>
      <w:r w:rsidR="001F62D1">
        <w:rPr>
          <w:rFonts w:asciiTheme="minorHAnsi" w:eastAsiaTheme="minorHAnsi" w:hAnsiTheme="minorHAnsi" w:cstheme="minorBidi"/>
          <w:bCs w:val="0"/>
          <w:color w:val="auto"/>
          <w:sz w:val="24"/>
          <w:szCs w:val="24"/>
        </w:rPr>
        <w:t xml:space="preserve"> livelihoods support</w:t>
      </w:r>
      <w:r w:rsidR="003F4107" w:rsidRPr="00652810">
        <w:rPr>
          <w:rFonts w:asciiTheme="minorHAnsi" w:eastAsiaTheme="minorHAnsi" w:hAnsiTheme="minorHAnsi" w:cstheme="minorBidi"/>
          <w:bCs w:val="0"/>
          <w:color w:val="auto"/>
          <w:sz w:val="24"/>
          <w:szCs w:val="24"/>
        </w:rPr>
        <w:t xml:space="preserve">. </w:t>
      </w:r>
      <w:r w:rsidR="00925D96" w:rsidRPr="00652810">
        <w:rPr>
          <w:rFonts w:asciiTheme="minorHAnsi" w:eastAsiaTheme="minorHAnsi" w:hAnsiTheme="minorHAnsi" w:cstheme="minorBidi"/>
          <w:bCs w:val="0"/>
          <w:color w:val="auto"/>
          <w:sz w:val="24"/>
          <w:szCs w:val="24"/>
        </w:rPr>
        <w:t xml:space="preserve">The flexibility of the ANCP has long enabled the trialling of new approaches. </w:t>
      </w:r>
      <w:r w:rsidR="004158EF" w:rsidRPr="00652810">
        <w:rPr>
          <w:rFonts w:asciiTheme="minorHAnsi" w:eastAsiaTheme="minorHAnsi" w:hAnsiTheme="minorHAnsi" w:cstheme="minorBidi"/>
          <w:bCs w:val="0"/>
          <w:color w:val="auto"/>
          <w:sz w:val="24"/>
          <w:szCs w:val="24"/>
        </w:rPr>
        <w:t xml:space="preserve">In 2021-22 over 40 per cent of projects </w:t>
      </w:r>
      <w:r w:rsidR="00122662" w:rsidRPr="00652810">
        <w:rPr>
          <w:rFonts w:asciiTheme="minorHAnsi" w:eastAsiaTheme="minorHAnsi" w:hAnsiTheme="minorHAnsi" w:cstheme="minorBidi"/>
          <w:bCs w:val="0"/>
          <w:color w:val="auto"/>
          <w:sz w:val="24"/>
          <w:szCs w:val="24"/>
        </w:rPr>
        <w:t xml:space="preserve">reported </w:t>
      </w:r>
      <w:r w:rsidR="00BE3363" w:rsidRPr="00652810">
        <w:rPr>
          <w:rFonts w:asciiTheme="minorHAnsi" w:eastAsiaTheme="minorHAnsi" w:hAnsiTheme="minorHAnsi" w:cstheme="minorBidi"/>
          <w:bCs w:val="0"/>
          <w:color w:val="auto"/>
          <w:sz w:val="24"/>
          <w:szCs w:val="24"/>
        </w:rPr>
        <w:t>some innovation</w:t>
      </w:r>
      <w:r w:rsidR="00380AE5" w:rsidRPr="00652810">
        <w:rPr>
          <w:rFonts w:asciiTheme="minorHAnsi" w:eastAsiaTheme="minorHAnsi" w:hAnsiTheme="minorHAnsi" w:cstheme="minorBidi"/>
          <w:bCs w:val="0"/>
          <w:color w:val="auto"/>
          <w:sz w:val="24"/>
          <w:szCs w:val="24"/>
        </w:rPr>
        <w:t xml:space="preserve">, </w:t>
      </w:r>
      <w:r w:rsidR="00E16954" w:rsidRPr="00652810">
        <w:rPr>
          <w:rFonts w:asciiTheme="minorHAnsi" w:eastAsiaTheme="minorHAnsi" w:hAnsiTheme="minorHAnsi" w:cstheme="minorBidi"/>
          <w:bCs w:val="0"/>
          <w:color w:val="auto"/>
          <w:sz w:val="24"/>
          <w:szCs w:val="24"/>
        </w:rPr>
        <w:t>including</w:t>
      </w:r>
      <w:r w:rsidR="00380AE5" w:rsidRPr="00652810">
        <w:rPr>
          <w:rFonts w:asciiTheme="minorHAnsi" w:eastAsiaTheme="minorHAnsi" w:hAnsiTheme="minorHAnsi" w:cstheme="minorBidi"/>
          <w:bCs w:val="0"/>
          <w:color w:val="auto"/>
          <w:sz w:val="24"/>
          <w:szCs w:val="24"/>
        </w:rPr>
        <w:t xml:space="preserve"> </w:t>
      </w:r>
      <w:r w:rsidR="009152BF">
        <w:rPr>
          <w:rFonts w:asciiTheme="minorHAnsi" w:eastAsiaTheme="minorHAnsi" w:hAnsiTheme="minorHAnsi" w:cstheme="minorBidi"/>
          <w:bCs w:val="0"/>
          <w:color w:val="auto"/>
          <w:sz w:val="24"/>
          <w:szCs w:val="24"/>
        </w:rPr>
        <w:t>electronic</w:t>
      </w:r>
      <w:r w:rsidR="000833D5" w:rsidRPr="00652810">
        <w:rPr>
          <w:rFonts w:asciiTheme="minorHAnsi" w:eastAsiaTheme="minorHAnsi" w:hAnsiTheme="minorHAnsi" w:cstheme="minorBidi"/>
          <w:bCs w:val="0"/>
          <w:color w:val="auto"/>
          <w:sz w:val="24"/>
          <w:szCs w:val="24"/>
        </w:rPr>
        <w:t xml:space="preserve"> solutions</w:t>
      </w:r>
      <w:r w:rsidR="00E547BE" w:rsidRPr="00652810">
        <w:rPr>
          <w:rFonts w:asciiTheme="minorHAnsi" w:eastAsiaTheme="minorHAnsi" w:hAnsiTheme="minorHAnsi" w:cstheme="minorBidi"/>
          <w:bCs w:val="0"/>
          <w:color w:val="auto"/>
          <w:sz w:val="24"/>
          <w:szCs w:val="24"/>
        </w:rPr>
        <w:t xml:space="preserve">, </w:t>
      </w:r>
      <w:r w:rsidR="00E94B2E" w:rsidRPr="00652810">
        <w:rPr>
          <w:rFonts w:asciiTheme="minorHAnsi" w:eastAsiaTheme="minorHAnsi" w:hAnsiTheme="minorHAnsi" w:cstheme="minorBidi"/>
          <w:bCs w:val="0"/>
          <w:color w:val="auto"/>
          <w:sz w:val="24"/>
          <w:szCs w:val="24"/>
        </w:rPr>
        <w:t>remote monitoring</w:t>
      </w:r>
      <w:r w:rsidR="00E16954" w:rsidRPr="00652810">
        <w:rPr>
          <w:rFonts w:asciiTheme="minorHAnsi" w:eastAsiaTheme="minorHAnsi" w:hAnsiTheme="minorHAnsi" w:cstheme="minorBidi"/>
          <w:bCs w:val="0"/>
          <w:color w:val="auto"/>
          <w:sz w:val="24"/>
          <w:szCs w:val="24"/>
        </w:rPr>
        <w:t xml:space="preserve"> and </w:t>
      </w:r>
      <w:r w:rsidR="000833D5" w:rsidRPr="00652810">
        <w:rPr>
          <w:rFonts w:asciiTheme="minorHAnsi" w:eastAsiaTheme="minorHAnsi" w:hAnsiTheme="minorHAnsi" w:cstheme="minorBidi"/>
          <w:bCs w:val="0"/>
          <w:color w:val="auto"/>
          <w:sz w:val="24"/>
          <w:szCs w:val="24"/>
        </w:rPr>
        <w:t>data capture</w:t>
      </w:r>
      <w:r w:rsidR="00E16954" w:rsidRPr="00652810">
        <w:rPr>
          <w:rFonts w:asciiTheme="minorHAnsi" w:eastAsiaTheme="minorHAnsi" w:hAnsiTheme="minorHAnsi" w:cstheme="minorBidi"/>
          <w:bCs w:val="0"/>
          <w:color w:val="auto"/>
          <w:sz w:val="24"/>
          <w:szCs w:val="24"/>
        </w:rPr>
        <w:t xml:space="preserve"> and usage</w:t>
      </w:r>
      <w:r w:rsidR="009B470C" w:rsidRPr="00652810">
        <w:rPr>
          <w:rFonts w:asciiTheme="minorHAnsi" w:eastAsiaTheme="minorHAnsi" w:hAnsiTheme="minorHAnsi" w:cstheme="minorBidi"/>
          <w:bCs w:val="0"/>
          <w:color w:val="auto"/>
          <w:sz w:val="24"/>
          <w:szCs w:val="24"/>
        </w:rPr>
        <w:t xml:space="preserve">. </w:t>
      </w:r>
      <w:r w:rsidR="00D6266E" w:rsidRPr="00652810">
        <w:rPr>
          <w:rFonts w:asciiTheme="minorHAnsi" w:eastAsiaTheme="minorHAnsi" w:hAnsiTheme="minorHAnsi" w:cstheme="minorBidi"/>
          <w:bCs w:val="0"/>
          <w:color w:val="auto"/>
          <w:sz w:val="24"/>
          <w:szCs w:val="24"/>
        </w:rPr>
        <w:t xml:space="preserve">DFAT acknowledges this </w:t>
      </w:r>
      <w:r w:rsidR="00D6266E">
        <w:rPr>
          <w:rFonts w:asciiTheme="minorHAnsi" w:eastAsiaTheme="minorHAnsi" w:hAnsiTheme="minorHAnsi" w:cstheme="minorBidi"/>
          <w:bCs w:val="0"/>
          <w:color w:val="auto"/>
          <w:sz w:val="24"/>
          <w:szCs w:val="24"/>
        </w:rPr>
        <w:t>innovation</w:t>
      </w:r>
      <w:r w:rsidR="00D6266E" w:rsidRPr="00652810">
        <w:rPr>
          <w:rFonts w:asciiTheme="minorHAnsi" w:eastAsiaTheme="minorHAnsi" w:hAnsiTheme="minorHAnsi" w:cstheme="minorBidi"/>
          <w:bCs w:val="0"/>
          <w:color w:val="auto"/>
          <w:sz w:val="24"/>
          <w:szCs w:val="24"/>
        </w:rPr>
        <w:t xml:space="preserve"> could be better leveraged to inform projects across the development program. The learning agenda will support this going forward.</w:t>
      </w:r>
    </w:p>
    <w:p w14:paraId="71AE2E83" w14:textId="6A2392F9" w:rsidR="00917449" w:rsidRPr="00652810" w:rsidRDefault="00652810" w:rsidP="00917449">
      <w:pPr>
        <w:rPr>
          <w:color w:val="auto"/>
          <w:sz w:val="24"/>
          <w:szCs w:val="24"/>
        </w:rPr>
      </w:pPr>
      <w:r w:rsidRPr="00652810">
        <w:rPr>
          <w:color w:val="auto"/>
          <w:sz w:val="24"/>
          <w:szCs w:val="24"/>
        </w:rPr>
        <w:t>Locally led</w:t>
      </w:r>
      <w:r w:rsidR="009B470C" w:rsidRPr="00652810">
        <w:rPr>
          <w:color w:val="auto"/>
          <w:sz w:val="24"/>
          <w:szCs w:val="24"/>
        </w:rPr>
        <w:t xml:space="preserve"> development </w:t>
      </w:r>
      <w:r w:rsidR="00917449">
        <w:rPr>
          <w:color w:val="auto"/>
          <w:sz w:val="24"/>
          <w:szCs w:val="24"/>
        </w:rPr>
        <w:t>is</w:t>
      </w:r>
      <w:r w:rsidR="009B470C" w:rsidRPr="00652810">
        <w:rPr>
          <w:color w:val="auto"/>
          <w:sz w:val="24"/>
          <w:szCs w:val="24"/>
        </w:rPr>
        <w:t xml:space="preserve"> </w:t>
      </w:r>
      <w:r w:rsidR="00FF0C73" w:rsidRPr="00652810">
        <w:rPr>
          <w:color w:val="auto"/>
          <w:sz w:val="24"/>
          <w:szCs w:val="24"/>
        </w:rPr>
        <w:t xml:space="preserve">an area of growing </w:t>
      </w:r>
      <w:r w:rsidR="00CD710F" w:rsidRPr="00652810">
        <w:rPr>
          <w:color w:val="auto"/>
          <w:sz w:val="24"/>
          <w:szCs w:val="24"/>
        </w:rPr>
        <w:t>focus</w:t>
      </w:r>
      <w:r w:rsidR="004E6C10" w:rsidRPr="00652810">
        <w:rPr>
          <w:color w:val="auto"/>
          <w:sz w:val="24"/>
          <w:szCs w:val="24"/>
        </w:rPr>
        <w:t xml:space="preserve"> </w:t>
      </w:r>
      <w:r w:rsidR="00D46B1E" w:rsidRPr="00652810">
        <w:rPr>
          <w:color w:val="auto"/>
          <w:sz w:val="24"/>
          <w:szCs w:val="24"/>
        </w:rPr>
        <w:t>in the ANCP</w:t>
      </w:r>
      <w:r w:rsidR="00BC42AE" w:rsidRPr="00652810">
        <w:rPr>
          <w:color w:val="auto"/>
          <w:sz w:val="24"/>
          <w:szCs w:val="24"/>
        </w:rPr>
        <w:t xml:space="preserve"> and the Australian development program more broadly</w:t>
      </w:r>
      <w:r w:rsidR="00FF0C73" w:rsidRPr="00652810">
        <w:rPr>
          <w:color w:val="auto"/>
          <w:sz w:val="24"/>
          <w:szCs w:val="24"/>
        </w:rPr>
        <w:t>.</w:t>
      </w:r>
      <w:r w:rsidR="000F6A4A" w:rsidRPr="00652810">
        <w:rPr>
          <w:color w:val="auto"/>
          <w:sz w:val="24"/>
          <w:szCs w:val="24"/>
        </w:rPr>
        <w:t xml:space="preserve"> </w:t>
      </w:r>
      <w:r w:rsidR="00BC42AE" w:rsidRPr="00652810">
        <w:rPr>
          <w:color w:val="auto"/>
          <w:sz w:val="24"/>
          <w:szCs w:val="24"/>
        </w:rPr>
        <w:t>Graph 2</w:t>
      </w:r>
      <w:r w:rsidR="007D517C" w:rsidRPr="00652810">
        <w:rPr>
          <w:color w:val="auto"/>
          <w:sz w:val="24"/>
          <w:szCs w:val="24"/>
        </w:rPr>
        <w:t xml:space="preserve">, which shows the </w:t>
      </w:r>
      <w:r w:rsidR="005B11A5" w:rsidRPr="00652810">
        <w:rPr>
          <w:color w:val="auto"/>
          <w:sz w:val="24"/>
          <w:szCs w:val="24"/>
        </w:rPr>
        <w:t xml:space="preserve">implementing partner type </w:t>
      </w:r>
      <w:r w:rsidR="00390104" w:rsidRPr="00652810">
        <w:rPr>
          <w:color w:val="auto"/>
          <w:sz w:val="24"/>
          <w:szCs w:val="24"/>
        </w:rPr>
        <w:t>across</w:t>
      </w:r>
      <w:r w:rsidR="005B11A5" w:rsidRPr="00652810">
        <w:rPr>
          <w:color w:val="auto"/>
          <w:sz w:val="24"/>
          <w:szCs w:val="24"/>
        </w:rPr>
        <w:t xml:space="preserve"> the ANCP, </w:t>
      </w:r>
      <w:r w:rsidR="00641D30" w:rsidRPr="00652810">
        <w:rPr>
          <w:color w:val="auto"/>
          <w:sz w:val="24"/>
          <w:szCs w:val="24"/>
        </w:rPr>
        <w:t xml:space="preserve">reflects the </w:t>
      </w:r>
      <w:r w:rsidR="000D06BD" w:rsidRPr="00652810">
        <w:rPr>
          <w:color w:val="auto"/>
          <w:sz w:val="24"/>
          <w:szCs w:val="24"/>
        </w:rPr>
        <w:t>prevalence</w:t>
      </w:r>
      <w:r w:rsidR="004221A6" w:rsidRPr="00652810">
        <w:rPr>
          <w:color w:val="auto"/>
          <w:sz w:val="24"/>
          <w:szCs w:val="24"/>
        </w:rPr>
        <w:t xml:space="preserve"> of </w:t>
      </w:r>
      <w:r w:rsidR="00464F6C" w:rsidRPr="00652810">
        <w:rPr>
          <w:color w:val="auto"/>
          <w:sz w:val="24"/>
          <w:szCs w:val="24"/>
        </w:rPr>
        <w:t>working</w:t>
      </w:r>
      <w:r w:rsidR="004221A6" w:rsidRPr="00652810">
        <w:rPr>
          <w:color w:val="auto"/>
          <w:sz w:val="24"/>
          <w:szCs w:val="24"/>
        </w:rPr>
        <w:t xml:space="preserve"> with loca</w:t>
      </w:r>
      <w:r w:rsidR="00464F6C" w:rsidRPr="00652810">
        <w:rPr>
          <w:color w:val="auto"/>
          <w:sz w:val="24"/>
          <w:szCs w:val="24"/>
        </w:rPr>
        <w:t xml:space="preserve">l </w:t>
      </w:r>
      <w:r w:rsidR="004221A6" w:rsidRPr="00652810">
        <w:rPr>
          <w:color w:val="auto"/>
          <w:sz w:val="24"/>
          <w:szCs w:val="24"/>
        </w:rPr>
        <w:t xml:space="preserve">implementing partners. </w:t>
      </w:r>
      <w:r w:rsidR="00917449" w:rsidRPr="00652810">
        <w:rPr>
          <w:color w:val="auto"/>
          <w:sz w:val="24"/>
          <w:szCs w:val="24"/>
        </w:rPr>
        <w:t>In 2021-22 ANCP NGOs voluntarily report</w:t>
      </w:r>
      <w:r w:rsidR="00917449">
        <w:rPr>
          <w:color w:val="auto"/>
          <w:sz w:val="24"/>
          <w:szCs w:val="24"/>
        </w:rPr>
        <w:t>ed</w:t>
      </w:r>
      <w:r w:rsidR="00917449" w:rsidRPr="00652810">
        <w:rPr>
          <w:color w:val="auto"/>
          <w:sz w:val="24"/>
          <w:szCs w:val="24"/>
        </w:rPr>
        <w:t xml:space="preserve"> their organisational approaches to locally led development. Several themes emerged from the summaries provided by 42 </w:t>
      </w:r>
      <w:r w:rsidR="00895621">
        <w:rPr>
          <w:color w:val="auto"/>
          <w:sz w:val="24"/>
          <w:szCs w:val="24"/>
        </w:rPr>
        <w:t xml:space="preserve">ANCP </w:t>
      </w:r>
      <w:r w:rsidR="00917449" w:rsidRPr="00652810">
        <w:rPr>
          <w:color w:val="auto"/>
          <w:sz w:val="24"/>
          <w:szCs w:val="24"/>
        </w:rPr>
        <w:t>NGOs:</w:t>
      </w:r>
    </w:p>
    <w:p w14:paraId="423B419D" w14:textId="0BFFDA59" w:rsidR="00917449" w:rsidRPr="005D4E15" w:rsidRDefault="00917449" w:rsidP="00917449">
      <w:pPr>
        <w:pStyle w:val="ListParagraph"/>
        <w:numPr>
          <w:ilvl w:val="0"/>
          <w:numId w:val="11"/>
        </w:numPr>
        <w:spacing w:before="0"/>
        <w:ind w:left="567" w:hanging="425"/>
        <w:rPr>
          <w:color w:val="auto"/>
          <w:sz w:val="24"/>
          <w:szCs w:val="24"/>
        </w:rPr>
      </w:pPr>
      <w:r w:rsidRPr="005D4E15">
        <w:rPr>
          <w:color w:val="auto"/>
          <w:sz w:val="24"/>
          <w:szCs w:val="24"/>
        </w:rPr>
        <w:t xml:space="preserve">Commitment to locally led development in organisational governance: some NGOs reported </w:t>
      </w:r>
      <w:r>
        <w:rPr>
          <w:color w:val="auto"/>
          <w:sz w:val="24"/>
          <w:szCs w:val="24"/>
        </w:rPr>
        <w:t xml:space="preserve">their </w:t>
      </w:r>
      <w:r w:rsidRPr="005D4E15">
        <w:rPr>
          <w:color w:val="auto"/>
          <w:sz w:val="24"/>
          <w:szCs w:val="24"/>
        </w:rPr>
        <w:t xml:space="preserve">commitment to locally led development in Strategic Plans or similar. Others reported </w:t>
      </w:r>
      <w:r>
        <w:rPr>
          <w:color w:val="auto"/>
          <w:sz w:val="24"/>
          <w:szCs w:val="24"/>
        </w:rPr>
        <w:t xml:space="preserve">recent </w:t>
      </w:r>
      <w:r w:rsidRPr="005D4E15">
        <w:rPr>
          <w:color w:val="auto"/>
          <w:sz w:val="24"/>
          <w:szCs w:val="24"/>
        </w:rPr>
        <w:t xml:space="preserve">revisions to program logics or the development of specific policies to help guide approaches to locally led development. </w:t>
      </w:r>
    </w:p>
    <w:p w14:paraId="7650FEC5" w14:textId="77777777" w:rsidR="00917449" w:rsidRPr="005D4E15" w:rsidRDefault="00917449" w:rsidP="00917449">
      <w:pPr>
        <w:pStyle w:val="ListParagraph"/>
        <w:numPr>
          <w:ilvl w:val="0"/>
          <w:numId w:val="11"/>
        </w:numPr>
        <w:ind w:left="567" w:hanging="425"/>
        <w:rPr>
          <w:color w:val="auto"/>
          <w:sz w:val="24"/>
          <w:szCs w:val="24"/>
        </w:rPr>
      </w:pPr>
      <w:r w:rsidRPr="005D4E15">
        <w:rPr>
          <w:color w:val="auto"/>
          <w:sz w:val="24"/>
          <w:szCs w:val="24"/>
        </w:rPr>
        <w:t xml:space="preserve">Partner-led design and implementation: many NGOs reported their design and needs assessments are led by local partners and communities, drawing on deep contextualised knowledge of the implementing environment.  </w:t>
      </w:r>
    </w:p>
    <w:p w14:paraId="15DE4EA9" w14:textId="77777777" w:rsidR="00E96222" w:rsidRDefault="00917449" w:rsidP="00E96222">
      <w:pPr>
        <w:pStyle w:val="ListParagraph"/>
        <w:numPr>
          <w:ilvl w:val="0"/>
          <w:numId w:val="11"/>
        </w:numPr>
        <w:ind w:left="567" w:hanging="425"/>
        <w:rPr>
          <w:color w:val="auto"/>
          <w:sz w:val="24"/>
          <w:szCs w:val="24"/>
        </w:rPr>
      </w:pPr>
      <w:r w:rsidRPr="005D4E15">
        <w:rPr>
          <w:color w:val="auto"/>
          <w:sz w:val="24"/>
          <w:szCs w:val="24"/>
        </w:rPr>
        <w:t>Mutual accountab</w:t>
      </w:r>
      <w:r>
        <w:rPr>
          <w:color w:val="auto"/>
          <w:sz w:val="24"/>
          <w:szCs w:val="24"/>
        </w:rPr>
        <w:t>ility</w:t>
      </w:r>
      <w:r w:rsidRPr="005D4E15">
        <w:rPr>
          <w:color w:val="auto"/>
          <w:sz w:val="24"/>
          <w:szCs w:val="24"/>
        </w:rPr>
        <w:t xml:space="preserve"> partnership models: some NGOs are using partnership</w:t>
      </w:r>
      <w:r>
        <w:rPr>
          <w:color w:val="auto"/>
          <w:sz w:val="24"/>
          <w:szCs w:val="24"/>
        </w:rPr>
        <w:t xml:space="preserve"> model</w:t>
      </w:r>
      <w:r w:rsidRPr="005D4E15">
        <w:rPr>
          <w:color w:val="auto"/>
          <w:sz w:val="24"/>
          <w:szCs w:val="24"/>
        </w:rPr>
        <w:t xml:space="preserve">s that </w:t>
      </w:r>
      <w:r w:rsidRPr="00E96222">
        <w:rPr>
          <w:color w:val="auto"/>
          <w:sz w:val="24"/>
          <w:szCs w:val="24"/>
        </w:rPr>
        <w:t>include mutual accountability frameworks, decision making autonomy and shared objectives.</w:t>
      </w:r>
    </w:p>
    <w:p w14:paraId="7C473895" w14:textId="3CE1345F" w:rsidR="00917449" w:rsidRPr="00E96222" w:rsidRDefault="00917449" w:rsidP="00E96222">
      <w:pPr>
        <w:pStyle w:val="ListParagraph"/>
        <w:numPr>
          <w:ilvl w:val="0"/>
          <w:numId w:val="11"/>
        </w:numPr>
        <w:ind w:left="567" w:hanging="425"/>
        <w:rPr>
          <w:color w:val="auto"/>
          <w:sz w:val="24"/>
          <w:szCs w:val="24"/>
        </w:rPr>
      </w:pPr>
      <w:r w:rsidRPr="00E96222">
        <w:rPr>
          <w:color w:val="auto"/>
          <w:sz w:val="24"/>
          <w:szCs w:val="24"/>
        </w:rPr>
        <w:t>Local partner institutional / capacity strengthening: NGOs noted the importance of long-term capacity development to enable locally led development. Long-term capacity building of local partners contributed to the early and effective response by ANCP partners to the pandemic. Graph 3 summarises</w:t>
      </w:r>
      <w:r w:rsidR="00C80AE3" w:rsidRPr="00E96222">
        <w:rPr>
          <w:color w:val="auto"/>
          <w:sz w:val="24"/>
          <w:szCs w:val="24"/>
        </w:rPr>
        <w:t xml:space="preserve"> development and</w:t>
      </w:r>
      <w:r w:rsidRPr="00E96222">
        <w:rPr>
          <w:color w:val="auto"/>
          <w:sz w:val="24"/>
          <w:szCs w:val="24"/>
        </w:rPr>
        <w:t xml:space="preserve"> capacity </w:t>
      </w:r>
      <w:r w:rsidR="00A90E47" w:rsidRPr="00E96222">
        <w:rPr>
          <w:color w:val="auto"/>
          <w:sz w:val="24"/>
          <w:szCs w:val="24"/>
        </w:rPr>
        <w:t xml:space="preserve">building </w:t>
      </w:r>
      <w:r w:rsidR="00C80AE3" w:rsidRPr="00E96222">
        <w:rPr>
          <w:color w:val="auto"/>
          <w:sz w:val="24"/>
          <w:szCs w:val="24"/>
        </w:rPr>
        <w:t>outcomes</w:t>
      </w:r>
      <w:r w:rsidRPr="00E96222">
        <w:rPr>
          <w:color w:val="auto"/>
          <w:sz w:val="24"/>
          <w:szCs w:val="24"/>
        </w:rPr>
        <w:t xml:space="preserve"> in the ANCP. The most reported development outcome under Program Logic Pathway 2</w:t>
      </w:r>
      <w:r w:rsidR="00252073">
        <w:rPr>
          <w:rStyle w:val="FootnoteReference"/>
          <w:color w:val="auto"/>
          <w:sz w:val="24"/>
          <w:szCs w:val="24"/>
        </w:rPr>
        <w:footnoteReference w:id="3"/>
      </w:r>
      <w:r w:rsidRPr="00E96222">
        <w:rPr>
          <w:color w:val="auto"/>
          <w:sz w:val="24"/>
          <w:szCs w:val="24"/>
        </w:rPr>
        <w:t xml:space="preserve"> focussed on strengthening capacity</w:t>
      </w:r>
      <w:r w:rsidR="0071660C" w:rsidRPr="00E96222">
        <w:rPr>
          <w:color w:val="auto"/>
          <w:sz w:val="24"/>
          <w:szCs w:val="24"/>
        </w:rPr>
        <w:t xml:space="preserve">. Capacity building efforts included skills and knowledge exchanges and long-term partnership building. </w:t>
      </w:r>
      <w:r w:rsidR="00F277C4" w:rsidRPr="00E96222">
        <w:rPr>
          <w:color w:val="auto"/>
          <w:sz w:val="24"/>
          <w:szCs w:val="24"/>
        </w:rPr>
        <w:t>For example, several A</w:t>
      </w:r>
      <w:r w:rsidR="000640FF">
        <w:rPr>
          <w:color w:val="auto"/>
          <w:sz w:val="24"/>
          <w:szCs w:val="24"/>
        </w:rPr>
        <w:t xml:space="preserve">NCP </w:t>
      </w:r>
      <w:r w:rsidR="00F277C4" w:rsidRPr="00E96222">
        <w:rPr>
          <w:color w:val="auto"/>
          <w:sz w:val="24"/>
          <w:szCs w:val="24"/>
        </w:rPr>
        <w:t xml:space="preserve">NGOs reported long-standing relationships </w:t>
      </w:r>
      <w:r w:rsidR="00F277C4" w:rsidRPr="00E96222">
        <w:rPr>
          <w:color w:val="auto"/>
          <w:sz w:val="24"/>
          <w:szCs w:val="24"/>
        </w:rPr>
        <w:lastRenderedPageBreak/>
        <w:t>with local partners that draw on</w:t>
      </w:r>
      <w:r w:rsidR="003D0FE7">
        <w:rPr>
          <w:color w:val="auto"/>
          <w:sz w:val="24"/>
          <w:szCs w:val="24"/>
        </w:rPr>
        <w:t xml:space="preserve"> and leverage off</w:t>
      </w:r>
      <w:r w:rsidR="00F277C4" w:rsidRPr="00E96222">
        <w:rPr>
          <w:color w:val="auto"/>
          <w:sz w:val="24"/>
          <w:szCs w:val="24"/>
        </w:rPr>
        <w:t xml:space="preserve"> profession</w:t>
      </w:r>
      <w:r w:rsidR="00E00C6E">
        <w:rPr>
          <w:color w:val="auto"/>
          <w:sz w:val="24"/>
          <w:szCs w:val="24"/>
        </w:rPr>
        <w:t>al</w:t>
      </w:r>
      <w:r w:rsidR="00F277C4" w:rsidRPr="00E96222">
        <w:rPr>
          <w:color w:val="auto"/>
          <w:sz w:val="24"/>
          <w:szCs w:val="24"/>
        </w:rPr>
        <w:t xml:space="preserve"> networks or faith-based alliances. </w:t>
      </w:r>
    </w:p>
    <w:p w14:paraId="0D0E7A71" w14:textId="2A8431B3" w:rsidR="004C0337" w:rsidRDefault="004C0337" w:rsidP="004C0337">
      <w:pPr>
        <w:spacing w:after="240"/>
        <w:rPr>
          <w:color w:val="auto"/>
          <w:sz w:val="24"/>
          <w:szCs w:val="24"/>
        </w:rPr>
      </w:pPr>
      <w:r w:rsidRPr="00652810">
        <w:rPr>
          <w:color w:val="auto"/>
          <w:sz w:val="24"/>
          <w:szCs w:val="24"/>
        </w:rPr>
        <w:t xml:space="preserve">Barriers to locally led development reported by ANCP NGOs included compliance requirements, contractual limitations to risk sharing and management arrangements, and the capacity of local NGOs. </w:t>
      </w:r>
      <w:r w:rsidR="00893E3F">
        <w:rPr>
          <w:color w:val="auto"/>
          <w:sz w:val="24"/>
          <w:szCs w:val="24"/>
        </w:rPr>
        <w:t>In 2023 t</w:t>
      </w:r>
      <w:r w:rsidRPr="00652810">
        <w:rPr>
          <w:color w:val="auto"/>
          <w:sz w:val="24"/>
          <w:szCs w:val="24"/>
        </w:rPr>
        <w:t xml:space="preserve">he ANCP will look to how locally led development can be better supported as part of </w:t>
      </w:r>
      <w:r w:rsidR="0071660C">
        <w:rPr>
          <w:color w:val="auto"/>
          <w:sz w:val="24"/>
          <w:szCs w:val="24"/>
        </w:rPr>
        <w:t xml:space="preserve">program </w:t>
      </w:r>
      <w:r w:rsidRPr="00652810">
        <w:rPr>
          <w:color w:val="auto"/>
          <w:sz w:val="24"/>
          <w:szCs w:val="24"/>
        </w:rPr>
        <w:t>reform</w:t>
      </w:r>
      <w:r w:rsidR="0071660C">
        <w:rPr>
          <w:color w:val="auto"/>
          <w:sz w:val="24"/>
          <w:szCs w:val="24"/>
        </w:rPr>
        <w:t>s recommended in t</w:t>
      </w:r>
      <w:r w:rsidRPr="00652810">
        <w:rPr>
          <w:color w:val="auto"/>
          <w:sz w:val="24"/>
          <w:szCs w:val="24"/>
        </w:rPr>
        <w:t xml:space="preserve">he 2022 ANCP Independent Evaluation. </w:t>
      </w:r>
    </w:p>
    <w:p w14:paraId="2C736424" w14:textId="7E36DFE3" w:rsidR="00E503C4" w:rsidRDefault="00E503C4" w:rsidP="004C0337">
      <w:pPr>
        <w:spacing w:after="240"/>
        <w:rPr>
          <w:color w:val="auto"/>
          <w:sz w:val="24"/>
          <w:szCs w:val="24"/>
        </w:rPr>
      </w:pPr>
      <w:r>
        <w:rPr>
          <w:noProof/>
          <w:color w:val="auto"/>
          <w:sz w:val="24"/>
          <w:szCs w:val="24"/>
        </w:rPr>
        <w:drawing>
          <wp:inline distT="0" distB="0" distL="0" distR="0" wp14:anchorId="01C606C5" wp14:editId="2E9C7A93">
            <wp:extent cx="6132830" cy="2651760"/>
            <wp:effectExtent l="0" t="0" r="1270" b="0"/>
            <wp:docPr id="20" name="Picture 20" descr="Graph 2: 2021-22 Implementing partners by type (%). Research or Technical Institution 2.38%. Private Sector 5.24%. Multi-lateral 2.1%. Local NGO/CSO 23.67%. International NGO/CSO 12.19%. Health (Hospital, Medical Centre) 3.02%. Government(Local/Provincial/National) 30.7%. Faith Based Organisation 4.01%. education (School. University, Training) 3.02%. Disabled Persons Organisation 3.73%. Committee/Network/Stakeholder Group 5.84%. Auxiliary to Government 1.8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 2: 2021-22 Implementing partners by type (%). Research or Technical Institution 2.38%. Private Sector 5.24%. Multi-lateral 2.1%. Local NGO/CSO 23.67%. International NGO/CSO 12.19%. Health (Hospital, Medical Centre) 3.02%. Government(Local/Provincial/National) 30.7%. Faith Based Organisation 4.01%. education (School. University, Training) 3.02%. Disabled Persons Organisation 3.73%. Committee/Network/Stakeholder Group 5.84%. Auxiliary to Government 1.82%.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2651760"/>
                    </a:xfrm>
                    <a:prstGeom prst="rect">
                      <a:avLst/>
                    </a:prstGeom>
                    <a:noFill/>
                  </pic:spPr>
                </pic:pic>
              </a:graphicData>
            </a:graphic>
          </wp:inline>
        </w:drawing>
      </w:r>
    </w:p>
    <w:p w14:paraId="16B5CF57" w14:textId="7AB31846" w:rsidR="00E503C4" w:rsidRDefault="00E503C4" w:rsidP="00D93BCD">
      <w:pPr>
        <w:spacing w:before="240" w:after="240"/>
        <w:rPr>
          <w:iCs/>
          <w:color w:val="auto"/>
          <w:sz w:val="24"/>
          <w:szCs w:val="24"/>
        </w:rPr>
      </w:pPr>
      <w:r>
        <w:rPr>
          <w:iCs/>
          <w:noProof/>
          <w:color w:val="auto"/>
          <w:sz w:val="24"/>
          <w:szCs w:val="24"/>
        </w:rPr>
        <w:drawing>
          <wp:inline distT="0" distB="0" distL="0" distR="0" wp14:anchorId="02D150E6" wp14:editId="3A856D94">
            <wp:extent cx="6132830" cy="2212975"/>
            <wp:effectExtent l="0" t="0" r="1270" b="0"/>
            <wp:docPr id="21" name="Picture 21" descr="Graph 3: ANCP Pathway 2: Development outcomes (number of NGOs). ANGOs, with in-country partners, deliver effective development programs with a focus on gender equality and social inclusion 19. ANGOs support locally led development processes 13. ANGOs strengthen capacity of in-country partner and civil society more broadly 33. ANGOs progress selected SDGs, focusing on groups whose needs are greatest 19. ANGOs maintain quality relationships with in-country partners 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 3: ANCP Pathway 2: Development outcomes (number of NGOs). ANGOs, with in-country partners, deliver effective development programs with a focus on gender equality and social inclusion 19. ANGOs support locally led development processes 13. ANGOs strengthen capacity of in-country partner and civil society more broadly 33. ANGOs progress selected SDGs, focusing on groups whose needs are greatest 19. ANGOs maintain quality relationships with in-country partners 15.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830" cy="2212975"/>
                    </a:xfrm>
                    <a:prstGeom prst="rect">
                      <a:avLst/>
                    </a:prstGeom>
                    <a:noFill/>
                  </pic:spPr>
                </pic:pic>
              </a:graphicData>
            </a:graphic>
          </wp:inline>
        </w:drawing>
      </w:r>
    </w:p>
    <w:p w14:paraId="4CC2EAA4" w14:textId="6D4139BB" w:rsidR="00714EA4" w:rsidRPr="00652810" w:rsidRDefault="00F17B49" w:rsidP="00D93BCD">
      <w:pPr>
        <w:spacing w:before="240" w:after="240"/>
        <w:rPr>
          <w:color w:val="auto"/>
          <w:sz w:val="24"/>
          <w:szCs w:val="24"/>
        </w:rPr>
      </w:pPr>
      <w:r w:rsidRPr="00652810">
        <w:rPr>
          <w:iCs/>
          <w:color w:val="auto"/>
          <w:sz w:val="24"/>
          <w:szCs w:val="24"/>
        </w:rPr>
        <w:t xml:space="preserve">2021-22 saw </w:t>
      </w:r>
      <w:r w:rsidR="00C608E9" w:rsidRPr="00652810">
        <w:rPr>
          <w:iCs/>
          <w:color w:val="auto"/>
          <w:sz w:val="24"/>
          <w:szCs w:val="24"/>
        </w:rPr>
        <w:t xml:space="preserve">an increased focus on </w:t>
      </w:r>
      <w:r w:rsidR="00893E3F">
        <w:rPr>
          <w:iCs/>
          <w:color w:val="auto"/>
          <w:sz w:val="24"/>
          <w:szCs w:val="24"/>
        </w:rPr>
        <w:t>I</w:t>
      </w:r>
      <w:r w:rsidR="00C608E9" w:rsidRPr="00652810">
        <w:rPr>
          <w:iCs/>
          <w:color w:val="auto"/>
          <w:sz w:val="24"/>
          <w:szCs w:val="24"/>
        </w:rPr>
        <w:t xml:space="preserve">ndigenous engagement in the </w:t>
      </w:r>
      <w:r w:rsidR="000A48C1" w:rsidRPr="00652810">
        <w:rPr>
          <w:iCs/>
          <w:color w:val="auto"/>
          <w:sz w:val="24"/>
          <w:szCs w:val="24"/>
        </w:rPr>
        <w:t xml:space="preserve">Australian </w:t>
      </w:r>
      <w:r w:rsidR="00C608E9" w:rsidRPr="00652810">
        <w:rPr>
          <w:iCs/>
          <w:color w:val="auto"/>
          <w:sz w:val="24"/>
          <w:szCs w:val="24"/>
        </w:rPr>
        <w:t>development program.</w:t>
      </w:r>
      <w:r w:rsidR="005249B2" w:rsidRPr="00652810">
        <w:rPr>
          <w:iCs/>
          <w:color w:val="auto"/>
          <w:sz w:val="24"/>
          <w:szCs w:val="24"/>
        </w:rPr>
        <w:t xml:space="preserve"> More recently</w:t>
      </w:r>
      <w:r w:rsidR="00B15BC3" w:rsidRPr="00652810">
        <w:rPr>
          <w:iCs/>
          <w:color w:val="auto"/>
          <w:sz w:val="24"/>
          <w:szCs w:val="24"/>
        </w:rPr>
        <w:t xml:space="preserve"> </w:t>
      </w:r>
      <w:r w:rsidR="00E036AC" w:rsidRPr="00652810">
        <w:rPr>
          <w:iCs/>
          <w:color w:val="auto"/>
          <w:sz w:val="24"/>
          <w:szCs w:val="24"/>
        </w:rPr>
        <w:t xml:space="preserve">the government has announced </w:t>
      </w:r>
      <w:r w:rsidR="00DF1683" w:rsidRPr="00652810">
        <w:rPr>
          <w:iCs/>
          <w:color w:val="auto"/>
          <w:sz w:val="24"/>
          <w:szCs w:val="24"/>
        </w:rPr>
        <w:t>it will apply a First Nation’s approach to Australia’s foreign policy</w:t>
      </w:r>
      <w:r w:rsidR="002A360D" w:rsidRPr="00652810">
        <w:rPr>
          <w:iCs/>
          <w:color w:val="auto"/>
          <w:sz w:val="24"/>
          <w:szCs w:val="24"/>
        </w:rPr>
        <w:t xml:space="preserve">, further lifting the profile </w:t>
      </w:r>
      <w:r w:rsidR="00103229" w:rsidRPr="00652810">
        <w:rPr>
          <w:iCs/>
          <w:color w:val="auto"/>
          <w:sz w:val="24"/>
          <w:szCs w:val="24"/>
        </w:rPr>
        <w:t xml:space="preserve">of </w:t>
      </w:r>
      <w:r w:rsidR="00C27401" w:rsidRPr="00652810">
        <w:rPr>
          <w:iCs/>
          <w:color w:val="auto"/>
          <w:sz w:val="24"/>
          <w:szCs w:val="24"/>
        </w:rPr>
        <w:t xml:space="preserve">programs engaging </w:t>
      </w:r>
      <w:r w:rsidR="002A360D" w:rsidRPr="00652810">
        <w:rPr>
          <w:iCs/>
          <w:color w:val="auto"/>
          <w:sz w:val="24"/>
          <w:szCs w:val="24"/>
        </w:rPr>
        <w:t xml:space="preserve">with </w:t>
      </w:r>
      <w:r w:rsidR="0088680F" w:rsidRPr="00652810">
        <w:rPr>
          <w:iCs/>
          <w:color w:val="auto"/>
          <w:sz w:val="24"/>
          <w:szCs w:val="24"/>
        </w:rPr>
        <w:t xml:space="preserve">Indigenous </w:t>
      </w:r>
      <w:r w:rsidR="00CE0551" w:rsidRPr="00652810">
        <w:rPr>
          <w:iCs/>
          <w:color w:val="auto"/>
          <w:sz w:val="24"/>
          <w:szCs w:val="24"/>
        </w:rPr>
        <w:t>and ethnic minorities</w:t>
      </w:r>
      <w:r w:rsidR="00C27401" w:rsidRPr="00652810">
        <w:rPr>
          <w:iCs/>
          <w:color w:val="auto"/>
          <w:sz w:val="24"/>
          <w:szCs w:val="24"/>
        </w:rPr>
        <w:t>, including in the ANCP</w:t>
      </w:r>
      <w:r w:rsidR="007C42DA" w:rsidRPr="00652810">
        <w:rPr>
          <w:iCs/>
          <w:color w:val="auto"/>
          <w:sz w:val="24"/>
          <w:szCs w:val="24"/>
        </w:rPr>
        <w:t xml:space="preserve">. </w:t>
      </w:r>
      <w:r w:rsidR="00532FC6" w:rsidRPr="00652810">
        <w:rPr>
          <w:iCs/>
          <w:color w:val="auto"/>
          <w:sz w:val="24"/>
          <w:szCs w:val="24"/>
        </w:rPr>
        <w:t>About one quarter of ANCP projects</w:t>
      </w:r>
      <w:r w:rsidR="003E341F" w:rsidRPr="00652810">
        <w:rPr>
          <w:iCs/>
          <w:color w:val="auto"/>
          <w:sz w:val="24"/>
          <w:szCs w:val="24"/>
        </w:rPr>
        <w:t xml:space="preserve">, implemented by 34 NGOs, </w:t>
      </w:r>
      <w:r w:rsidR="00532FC6" w:rsidRPr="00652810">
        <w:rPr>
          <w:iCs/>
          <w:color w:val="auto"/>
          <w:sz w:val="24"/>
          <w:szCs w:val="24"/>
        </w:rPr>
        <w:t xml:space="preserve">reported </w:t>
      </w:r>
      <w:r w:rsidR="00AD7CE8" w:rsidRPr="00652810">
        <w:rPr>
          <w:iCs/>
          <w:color w:val="auto"/>
          <w:sz w:val="24"/>
          <w:szCs w:val="24"/>
        </w:rPr>
        <w:t xml:space="preserve">active involvement with Indigenous peoples or ethnic minorities in 2021-22. Many NGOs reported </w:t>
      </w:r>
      <w:r w:rsidR="00343BD3" w:rsidRPr="00652810">
        <w:rPr>
          <w:iCs/>
          <w:color w:val="auto"/>
          <w:sz w:val="24"/>
          <w:szCs w:val="24"/>
        </w:rPr>
        <w:t xml:space="preserve">on how barriers to participation were addressed to support greater engagement in all aspects of the program cycle from </w:t>
      </w:r>
      <w:r w:rsidR="00454ED7" w:rsidRPr="00652810">
        <w:rPr>
          <w:iCs/>
          <w:color w:val="auto"/>
          <w:sz w:val="24"/>
          <w:szCs w:val="24"/>
        </w:rPr>
        <w:t xml:space="preserve">design to evaluation. Some common practices </w:t>
      </w:r>
      <w:r w:rsidR="00855B58" w:rsidRPr="00652810">
        <w:rPr>
          <w:iCs/>
          <w:color w:val="auto"/>
          <w:sz w:val="24"/>
          <w:szCs w:val="24"/>
        </w:rPr>
        <w:t xml:space="preserve">to reduce barriers </w:t>
      </w:r>
      <w:r w:rsidR="00631E43" w:rsidRPr="00652810">
        <w:rPr>
          <w:iCs/>
          <w:color w:val="auto"/>
          <w:sz w:val="24"/>
          <w:szCs w:val="24"/>
        </w:rPr>
        <w:t xml:space="preserve">to participation </w:t>
      </w:r>
      <w:r w:rsidR="00855B58" w:rsidRPr="00652810">
        <w:rPr>
          <w:iCs/>
          <w:color w:val="auto"/>
          <w:sz w:val="24"/>
          <w:szCs w:val="24"/>
        </w:rPr>
        <w:t xml:space="preserve">included </w:t>
      </w:r>
      <w:r w:rsidR="002D4A42" w:rsidRPr="00652810">
        <w:rPr>
          <w:iCs/>
          <w:color w:val="auto"/>
          <w:sz w:val="24"/>
          <w:szCs w:val="24"/>
        </w:rPr>
        <w:t xml:space="preserve">the use of local languages in project communications and meetings, </w:t>
      </w:r>
      <w:r w:rsidR="000B5EBD" w:rsidRPr="00652810">
        <w:rPr>
          <w:iCs/>
          <w:color w:val="auto"/>
          <w:sz w:val="24"/>
          <w:szCs w:val="24"/>
        </w:rPr>
        <w:t xml:space="preserve">fostering of long-term relationships between local implementing partners and Indigenous </w:t>
      </w:r>
      <w:r w:rsidR="00592BD2" w:rsidRPr="00652810">
        <w:rPr>
          <w:iCs/>
          <w:color w:val="auto"/>
          <w:sz w:val="24"/>
          <w:szCs w:val="24"/>
        </w:rPr>
        <w:t xml:space="preserve">peoples or ethnic minorities, and </w:t>
      </w:r>
      <w:r w:rsidR="00962FC4" w:rsidRPr="00652810">
        <w:rPr>
          <w:iCs/>
          <w:color w:val="auto"/>
          <w:sz w:val="24"/>
          <w:szCs w:val="24"/>
        </w:rPr>
        <w:t xml:space="preserve">targeted promotion of the project in </w:t>
      </w:r>
      <w:r w:rsidR="00552C93" w:rsidRPr="00652810">
        <w:rPr>
          <w:iCs/>
          <w:color w:val="auto"/>
          <w:sz w:val="24"/>
          <w:szCs w:val="24"/>
        </w:rPr>
        <w:t xml:space="preserve">remote communities. </w:t>
      </w:r>
      <w:r w:rsidR="00EF0A90" w:rsidRPr="00652810">
        <w:rPr>
          <w:iCs/>
          <w:color w:val="auto"/>
          <w:sz w:val="24"/>
          <w:szCs w:val="24"/>
        </w:rPr>
        <w:t xml:space="preserve"> </w:t>
      </w:r>
    </w:p>
    <w:p w14:paraId="402342FB" w14:textId="2F1C667B" w:rsidR="00454514" w:rsidRPr="00577C8D" w:rsidRDefault="00454514" w:rsidP="004F0966">
      <w:pPr>
        <w:pStyle w:val="Heading3"/>
        <w:spacing w:before="240"/>
        <w:contextualSpacing w:val="0"/>
        <w:rPr>
          <w:color w:val="auto"/>
        </w:rPr>
      </w:pPr>
      <w:r w:rsidRPr="00577C8D">
        <w:rPr>
          <w:color w:val="auto"/>
        </w:rPr>
        <w:lastRenderedPageBreak/>
        <w:t>Gender</w:t>
      </w:r>
      <w:r w:rsidR="008B5F14">
        <w:rPr>
          <w:color w:val="auto"/>
        </w:rPr>
        <w:t xml:space="preserve"> Equality</w:t>
      </w:r>
      <w:r w:rsidRPr="00577C8D">
        <w:rPr>
          <w:color w:val="auto"/>
        </w:rPr>
        <w:t xml:space="preserve"> and Disability </w:t>
      </w:r>
      <w:r w:rsidR="008B5F14">
        <w:rPr>
          <w:color w:val="auto"/>
        </w:rPr>
        <w:t>Inclusion</w:t>
      </w:r>
    </w:p>
    <w:p w14:paraId="2B631BC8" w14:textId="3594979B" w:rsidR="00741EDE" w:rsidRPr="00652810" w:rsidRDefault="005A74FE" w:rsidP="00741EDE">
      <w:pPr>
        <w:rPr>
          <w:color w:val="auto"/>
          <w:sz w:val="24"/>
          <w:szCs w:val="24"/>
        </w:rPr>
      </w:pPr>
      <w:r w:rsidRPr="00652810">
        <w:rPr>
          <w:color w:val="auto"/>
          <w:sz w:val="24"/>
          <w:szCs w:val="24"/>
        </w:rPr>
        <w:t xml:space="preserve">Social inclusion is an integral part of ANCP’s </w:t>
      </w:r>
      <w:r w:rsidR="00414A9D" w:rsidRPr="00652810">
        <w:rPr>
          <w:color w:val="auto"/>
          <w:sz w:val="24"/>
          <w:szCs w:val="24"/>
        </w:rPr>
        <w:t>P</w:t>
      </w:r>
      <w:r w:rsidRPr="00652810">
        <w:rPr>
          <w:color w:val="auto"/>
          <w:sz w:val="24"/>
          <w:szCs w:val="24"/>
        </w:rPr>
        <w:t>rogram </w:t>
      </w:r>
      <w:r w:rsidR="00414A9D" w:rsidRPr="00652810">
        <w:rPr>
          <w:color w:val="auto"/>
          <w:sz w:val="24"/>
          <w:szCs w:val="24"/>
        </w:rPr>
        <w:t>L</w:t>
      </w:r>
      <w:r w:rsidRPr="00652810">
        <w:rPr>
          <w:color w:val="auto"/>
          <w:sz w:val="24"/>
          <w:szCs w:val="24"/>
        </w:rPr>
        <w:t>ogic.</w:t>
      </w:r>
      <w:r w:rsidR="000224DC" w:rsidRPr="00652810">
        <w:rPr>
          <w:rFonts w:ascii="Calibri Light" w:hAnsi="Calibri Light" w:cs="Calibri Light"/>
          <w:color w:val="000000"/>
          <w:sz w:val="24"/>
          <w:szCs w:val="24"/>
          <w:shd w:val="clear" w:color="auto" w:fill="FFFFFF"/>
        </w:rPr>
        <w:t xml:space="preserve"> </w:t>
      </w:r>
      <w:r w:rsidR="001B6E79" w:rsidRPr="00652810">
        <w:rPr>
          <w:rFonts w:ascii="Calibri Light" w:hAnsi="Calibri Light" w:cs="Calibri Light"/>
          <w:color w:val="000000"/>
          <w:sz w:val="24"/>
          <w:szCs w:val="24"/>
          <w:shd w:val="clear" w:color="auto" w:fill="FFFFFF"/>
        </w:rPr>
        <w:t>Accreditation verifies that A</w:t>
      </w:r>
      <w:r w:rsidR="00814D91" w:rsidRPr="00652810">
        <w:rPr>
          <w:rFonts w:ascii="Calibri Light" w:hAnsi="Calibri Light" w:cs="Calibri Light"/>
          <w:color w:val="000000"/>
          <w:sz w:val="24"/>
          <w:szCs w:val="24"/>
          <w:shd w:val="clear" w:color="auto" w:fill="FFFFFF"/>
        </w:rPr>
        <w:t xml:space="preserve">NCP </w:t>
      </w:r>
      <w:r w:rsidR="001B6E79" w:rsidRPr="00652810">
        <w:rPr>
          <w:rFonts w:ascii="Calibri Light" w:hAnsi="Calibri Light" w:cs="Calibri Light"/>
          <w:color w:val="000000"/>
          <w:sz w:val="24"/>
          <w:szCs w:val="24"/>
          <w:shd w:val="clear" w:color="auto" w:fill="FFFFFF"/>
        </w:rPr>
        <w:t xml:space="preserve">NGOs </w:t>
      </w:r>
      <w:r w:rsidR="00D72FD2" w:rsidRPr="00652810">
        <w:rPr>
          <w:rFonts w:ascii="Calibri Light" w:hAnsi="Calibri Light" w:cs="Calibri Light"/>
          <w:color w:val="000000"/>
          <w:sz w:val="24"/>
          <w:szCs w:val="24"/>
          <w:shd w:val="clear" w:color="auto" w:fill="FFFFFF"/>
        </w:rPr>
        <w:t xml:space="preserve">have appropriate policies, systems and capacity to promote gender equality and </w:t>
      </w:r>
      <w:r w:rsidR="001B6E79" w:rsidRPr="00652810">
        <w:rPr>
          <w:rFonts w:ascii="Calibri Light" w:hAnsi="Calibri Light" w:cs="Calibri Light"/>
          <w:color w:val="000000"/>
          <w:sz w:val="24"/>
          <w:szCs w:val="24"/>
          <w:shd w:val="clear" w:color="auto" w:fill="FFFFFF"/>
        </w:rPr>
        <w:t>incorporate disability inclusive practices including analysis of barriers for people with disability, opportunities to enable inclusion and targeted M&amp;E. </w:t>
      </w:r>
      <w:r w:rsidR="00741EDE" w:rsidRPr="00652810">
        <w:rPr>
          <w:color w:val="auto"/>
          <w:sz w:val="24"/>
          <w:szCs w:val="24"/>
        </w:rPr>
        <w:t>In 202</w:t>
      </w:r>
      <w:r w:rsidR="00D308B8" w:rsidRPr="00652810">
        <w:rPr>
          <w:color w:val="auto"/>
          <w:sz w:val="24"/>
          <w:szCs w:val="24"/>
        </w:rPr>
        <w:t>1</w:t>
      </w:r>
      <w:r w:rsidR="00741EDE" w:rsidRPr="00652810">
        <w:rPr>
          <w:color w:val="auto"/>
          <w:sz w:val="24"/>
          <w:szCs w:val="24"/>
        </w:rPr>
        <w:t xml:space="preserve">-22 </w:t>
      </w:r>
      <w:r w:rsidR="00947806" w:rsidRPr="00652810">
        <w:rPr>
          <w:color w:val="auto"/>
          <w:sz w:val="24"/>
          <w:szCs w:val="24"/>
        </w:rPr>
        <w:t xml:space="preserve">results were mixed </w:t>
      </w:r>
      <w:r w:rsidR="000549CF" w:rsidRPr="00652810">
        <w:rPr>
          <w:color w:val="auto"/>
          <w:sz w:val="24"/>
          <w:szCs w:val="24"/>
        </w:rPr>
        <w:t>at the highest aggregation of participant data</w:t>
      </w:r>
      <w:r w:rsidR="00741EDE" w:rsidRPr="00652810">
        <w:rPr>
          <w:color w:val="auto"/>
          <w:sz w:val="24"/>
          <w:szCs w:val="24"/>
        </w:rPr>
        <w:t xml:space="preserve">. </w:t>
      </w:r>
      <w:r w:rsidR="004570FF" w:rsidRPr="00652810">
        <w:rPr>
          <w:color w:val="auto"/>
          <w:sz w:val="24"/>
          <w:szCs w:val="24"/>
        </w:rPr>
        <w:t>Of the</w:t>
      </w:r>
      <w:r w:rsidR="00741EDE" w:rsidRPr="00652810">
        <w:rPr>
          <w:color w:val="auto"/>
          <w:sz w:val="24"/>
          <w:szCs w:val="24"/>
        </w:rPr>
        <w:t xml:space="preserve"> </w:t>
      </w:r>
      <w:r w:rsidR="001B054B" w:rsidRPr="00652810">
        <w:rPr>
          <w:color w:val="auto"/>
          <w:sz w:val="24"/>
          <w:szCs w:val="24"/>
        </w:rPr>
        <w:t xml:space="preserve">5.46 </w:t>
      </w:r>
      <w:r w:rsidR="00C03595" w:rsidRPr="00652810">
        <w:rPr>
          <w:color w:val="auto"/>
          <w:sz w:val="24"/>
          <w:szCs w:val="24"/>
        </w:rPr>
        <w:t xml:space="preserve">million direct participants reached, </w:t>
      </w:r>
      <w:r w:rsidR="00296629" w:rsidRPr="00652810">
        <w:rPr>
          <w:color w:val="auto"/>
          <w:sz w:val="24"/>
          <w:szCs w:val="24"/>
        </w:rPr>
        <w:t xml:space="preserve">56.13 per cent were women or girls </w:t>
      </w:r>
      <w:r w:rsidR="000549CF" w:rsidRPr="00652810">
        <w:rPr>
          <w:color w:val="auto"/>
          <w:sz w:val="24"/>
          <w:szCs w:val="24"/>
        </w:rPr>
        <w:t xml:space="preserve">(up from 52.36 per cent in 2020-21) </w:t>
      </w:r>
      <w:r w:rsidR="00296629" w:rsidRPr="00652810">
        <w:rPr>
          <w:color w:val="auto"/>
          <w:sz w:val="24"/>
          <w:szCs w:val="24"/>
        </w:rPr>
        <w:t xml:space="preserve">and </w:t>
      </w:r>
      <w:r w:rsidR="00C03595" w:rsidRPr="00652810">
        <w:rPr>
          <w:color w:val="auto"/>
          <w:sz w:val="24"/>
          <w:szCs w:val="24"/>
        </w:rPr>
        <w:t>2.58 per cent were people with disabilities</w:t>
      </w:r>
      <w:r w:rsidR="00296629" w:rsidRPr="00652810">
        <w:rPr>
          <w:color w:val="auto"/>
          <w:sz w:val="24"/>
          <w:szCs w:val="24"/>
        </w:rPr>
        <w:t xml:space="preserve"> (</w:t>
      </w:r>
      <w:r w:rsidR="000549CF" w:rsidRPr="00652810">
        <w:rPr>
          <w:color w:val="auto"/>
          <w:sz w:val="24"/>
          <w:szCs w:val="24"/>
        </w:rPr>
        <w:t>down from 5.82 per cent in 2020-21</w:t>
      </w:r>
      <w:r w:rsidR="008F72C8">
        <w:rPr>
          <w:color w:val="auto"/>
          <w:sz w:val="24"/>
          <w:szCs w:val="24"/>
        </w:rPr>
        <w:t xml:space="preserve"> and 8 per cent in 2019-20</w:t>
      </w:r>
      <w:r w:rsidR="00296629" w:rsidRPr="00652810">
        <w:rPr>
          <w:color w:val="auto"/>
          <w:sz w:val="24"/>
          <w:szCs w:val="24"/>
        </w:rPr>
        <w:t xml:space="preserve">). </w:t>
      </w:r>
    </w:p>
    <w:p w14:paraId="1941FBDE" w14:textId="064714D9" w:rsidR="002607AE" w:rsidRPr="00652810" w:rsidRDefault="004062EA" w:rsidP="00741EDE">
      <w:pPr>
        <w:rPr>
          <w:color w:val="auto"/>
          <w:sz w:val="24"/>
          <w:szCs w:val="24"/>
        </w:rPr>
      </w:pPr>
      <w:r w:rsidRPr="00652810">
        <w:rPr>
          <w:color w:val="auto"/>
          <w:sz w:val="24"/>
          <w:szCs w:val="24"/>
        </w:rPr>
        <w:t>In 2021-22 the ANCP supported the following</w:t>
      </w:r>
      <w:r w:rsidR="00550182" w:rsidRPr="00652810">
        <w:rPr>
          <w:color w:val="auto"/>
          <w:sz w:val="24"/>
          <w:szCs w:val="24"/>
        </w:rPr>
        <w:t xml:space="preserve"> indicator results for gender equality</w:t>
      </w:r>
      <w:r w:rsidRPr="00652810">
        <w:rPr>
          <w:color w:val="auto"/>
          <w:sz w:val="24"/>
          <w:szCs w:val="24"/>
        </w:rPr>
        <w:t>:</w:t>
      </w:r>
    </w:p>
    <w:p w14:paraId="68C5D8E4" w14:textId="01E7227B" w:rsidR="00D07E2D" w:rsidRPr="00652810" w:rsidRDefault="00951414" w:rsidP="00D07E2D">
      <w:pPr>
        <w:pStyle w:val="ListParagraph"/>
        <w:numPr>
          <w:ilvl w:val="0"/>
          <w:numId w:val="11"/>
        </w:numPr>
        <w:ind w:left="567" w:hanging="425"/>
        <w:rPr>
          <w:color w:val="auto"/>
          <w:sz w:val="24"/>
          <w:szCs w:val="24"/>
        </w:rPr>
      </w:pPr>
      <w:r w:rsidRPr="00652810">
        <w:rPr>
          <w:color w:val="auto"/>
          <w:sz w:val="24"/>
          <w:szCs w:val="24"/>
        </w:rPr>
        <w:t>354</w:t>
      </w:r>
      <w:r w:rsidR="004076B7" w:rsidRPr="00652810">
        <w:rPr>
          <w:color w:val="auto"/>
          <w:sz w:val="24"/>
          <w:szCs w:val="24"/>
        </w:rPr>
        <w:t xml:space="preserve">,680 </w:t>
      </w:r>
      <w:r w:rsidR="00D07E2D" w:rsidRPr="00652810">
        <w:rPr>
          <w:color w:val="auto"/>
          <w:sz w:val="24"/>
          <w:szCs w:val="24"/>
        </w:rPr>
        <w:t>people participated in sessions on gender issues and women's equal rights (60.</w:t>
      </w:r>
      <w:r w:rsidR="00EA7365" w:rsidRPr="00652810">
        <w:rPr>
          <w:color w:val="auto"/>
          <w:sz w:val="24"/>
          <w:szCs w:val="24"/>
        </w:rPr>
        <w:t>26</w:t>
      </w:r>
      <w:r w:rsidR="00D07E2D" w:rsidRPr="00652810">
        <w:rPr>
          <w:color w:val="auto"/>
          <w:sz w:val="24"/>
          <w:szCs w:val="24"/>
        </w:rPr>
        <w:t xml:space="preserve">% women and girls, </w:t>
      </w:r>
      <w:r w:rsidR="00EA7365" w:rsidRPr="00652810">
        <w:rPr>
          <w:color w:val="auto"/>
          <w:sz w:val="24"/>
          <w:szCs w:val="24"/>
        </w:rPr>
        <w:t>1.66</w:t>
      </w:r>
      <w:r w:rsidR="00D07E2D" w:rsidRPr="00652810">
        <w:rPr>
          <w:color w:val="auto"/>
          <w:sz w:val="24"/>
          <w:szCs w:val="24"/>
        </w:rPr>
        <w:t xml:space="preserve">% people with disabilities) </w:t>
      </w:r>
      <w:r w:rsidR="004076B7" w:rsidRPr="00652810">
        <w:rPr>
          <w:color w:val="auto"/>
          <w:sz w:val="24"/>
          <w:szCs w:val="24"/>
        </w:rPr>
        <w:t>down</w:t>
      </w:r>
      <w:r w:rsidR="00D07E2D" w:rsidRPr="00652810">
        <w:rPr>
          <w:color w:val="auto"/>
          <w:sz w:val="24"/>
          <w:szCs w:val="24"/>
        </w:rPr>
        <w:t xml:space="preserve"> from </w:t>
      </w:r>
      <w:r w:rsidR="004076B7" w:rsidRPr="00652810">
        <w:rPr>
          <w:color w:val="auto"/>
          <w:sz w:val="24"/>
          <w:szCs w:val="24"/>
        </w:rPr>
        <w:t xml:space="preserve">669,114 people in 2020-21 and </w:t>
      </w:r>
      <w:r w:rsidR="00D07E2D" w:rsidRPr="00652810">
        <w:rPr>
          <w:color w:val="auto"/>
          <w:sz w:val="24"/>
          <w:szCs w:val="24"/>
        </w:rPr>
        <w:t xml:space="preserve">431,828 people </w:t>
      </w:r>
      <w:r w:rsidR="004076B7" w:rsidRPr="00652810">
        <w:rPr>
          <w:color w:val="auto"/>
          <w:sz w:val="24"/>
          <w:szCs w:val="24"/>
        </w:rPr>
        <w:t>in 2019-20</w:t>
      </w:r>
      <w:r w:rsidR="00D07E2D" w:rsidRPr="00652810">
        <w:rPr>
          <w:color w:val="auto"/>
          <w:sz w:val="24"/>
          <w:szCs w:val="24"/>
        </w:rPr>
        <w:t xml:space="preserve"> (Indicator G.02)</w:t>
      </w:r>
    </w:p>
    <w:p w14:paraId="10A1B60F" w14:textId="5E2C5265" w:rsidR="00E1735D" w:rsidRPr="00652810" w:rsidRDefault="002D1980" w:rsidP="00E1735D">
      <w:pPr>
        <w:pStyle w:val="ListParagraph"/>
        <w:numPr>
          <w:ilvl w:val="0"/>
          <w:numId w:val="11"/>
        </w:numPr>
        <w:ind w:left="567" w:hanging="425"/>
        <w:rPr>
          <w:color w:val="auto"/>
          <w:sz w:val="24"/>
          <w:szCs w:val="24"/>
        </w:rPr>
      </w:pPr>
      <w:r w:rsidRPr="00652810">
        <w:rPr>
          <w:color w:val="auto"/>
          <w:sz w:val="24"/>
          <w:szCs w:val="24"/>
        </w:rPr>
        <w:t xml:space="preserve">31,509 </w:t>
      </w:r>
      <w:r w:rsidR="00E1735D" w:rsidRPr="00652810">
        <w:rPr>
          <w:color w:val="auto"/>
          <w:sz w:val="24"/>
          <w:szCs w:val="24"/>
        </w:rPr>
        <w:t>women were supported to assume leadership roles (</w:t>
      </w:r>
      <w:r w:rsidRPr="00652810">
        <w:rPr>
          <w:color w:val="auto"/>
          <w:sz w:val="24"/>
          <w:szCs w:val="24"/>
        </w:rPr>
        <w:t>2.29</w:t>
      </w:r>
      <w:r w:rsidR="00E1735D" w:rsidRPr="00652810">
        <w:rPr>
          <w:color w:val="auto"/>
          <w:sz w:val="24"/>
          <w:szCs w:val="24"/>
        </w:rPr>
        <w:t xml:space="preserve">% women with disabilities), </w:t>
      </w:r>
      <w:r w:rsidRPr="00652810">
        <w:rPr>
          <w:color w:val="auto"/>
          <w:sz w:val="24"/>
          <w:szCs w:val="24"/>
        </w:rPr>
        <w:t xml:space="preserve">up from 21,599 women in 2020-21 and </w:t>
      </w:r>
      <w:r w:rsidR="00E1735D" w:rsidRPr="00652810">
        <w:rPr>
          <w:color w:val="auto"/>
          <w:sz w:val="24"/>
          <w:szCs w:val="24"/>
        </w:rPr>
        <w:t xml:space="preserve">down from 66,698 </w:t>
      </w:r>
      <w:r w:rsidR="00BE29B2" w:rsidRPr="00652810">
        <w:rPr>
          <w:color w:val="auto"/>
          <w:sz w:val="24"/>
          <w:szCs w:val="24"/>
        </w:rPr>
        <w:t>in 2019-20</w:t>
      </w:r>
      <w:r w:rsidR="00E1735D" w:rsidRPr="00652810">
        <w:rPr>
          <w:color w:val="auto"/>
          <w:sz w:val="24"/>
          <w:szCs w:val="24"/>
        </w:rPr>
        <w:t xml:space="preserve"> (Indicator G.04)</w:t>
      </w:r>
    </w:p>
    <w:p w14:paraId="6561E5B3" w14:textId="1328DA34" w:rsidR="00210402" w:rsidRPr="00652810" w:rsidRDefault="00D23DA3" w:rsidP="00E1735D">
      <w:pPr>
        <w:pStyle w:val="ListParagraph"/>
        <w:numPr>
          <w:ilvl w:val="0"/>
          <w:numId w:val="11"/>
        </w:numPr>
        <w:ind w:left="567" w:hanging="425"/>
        <w:rPr>
          <w:color w:val="auto"/>
          <w:sz w:val="24"/>
          <w:szCs w:val="24"/>
        </w:rPr>
      </w:pPr>
      <w:r w:rsidRPr="00652810">
        <w:rPr>
          <w:color w:val="auto"/>
          <w:sz w:val="24"/>
          <w:szCs w:val="24"/>
        </w:rPr>
        <w:t>1</w:t>
      </w:r>
      <w:r w:rsidR="007C1E22" w:rsidRPr="00652810">
        <w:rPr>
          <w:color w:val="auto"/>
          <w:sz w:val="24"/>
          <w:szCs w:val="24"/>
        </w:rPr>
        <w:t xml:space="preserve">0,239 female entrepreneurs provided with financial </w:t>
      </w:r>
      <w:r w:rsidR="004405C6" w:rsidRPr="00652810">
        <w:rPr>
          <w:color w:val="auto"/>
          <w:sz w:val="24"/>
          <w:szCs w:val="24"/>
        </w:rPr>
        <w:t>and/or business development services (3.99% women with disabilities) down from</w:t>
      </w:r>
      <w:r w:rsidR="00210938" w:rsidRPr="00652810">
        <w:rPr>
          <w:color w:val="auto"/>
          <w:sz w:val="24"/>
          <w:szCs w:val="24"/>
        </w:rPr>
        <w:t xml:space="preserve"> 46,</w:t>
      </w:r>
      <w:r w:rsidR="00990571" w:rsidRPr="00652810">
        <w:rPr>
          <w:color w:val="auto"/>
          <w:sz w:val="24"/>
          <w:szCs w:val="24"/>
        </w:rPr>
        <w:t>424</w:t>
      </w:r>
      <w:r w:rsidR="004405C6" w:rsidRPr="00652810">
        <w:rPr>
          <w:color w:val="auto"/>
          <w:sz w:val="24"/>
          <w:szCs w:val="24"/>
        </w:rPr>
        <w:t xml:space="preserve"> in 2020-21 </w:t>
      </w:r>
      <w:r w:rsidR="00332D26" w:rsidRPr="00652810">
        <w:rPr>
          <w:color w:val="auto"/>
          <w:sz w:val="24"/>
          <w:szCs w:val="24"/>
        </w:rPr>
        <w:t>(Indicator G.05)</w:t>
      </w:r>
    </w:p>
    <w:p w14:paraId="70473133" w14:textId="2F09063B" w:rsidR="008153C6" w:rsidRPr="00652810" w:rsidRDefault="007A199F" w:rsidP="008153C6">
      <w:pPr>
        <w:rPr>
          <w:color w:val="auto"/>
          <w:sz w:val="24"/>
          <w:szCs w:val="24"/>
          <w:lang w:val="en-AU"/>
        </w:rPr>
      </w:pPr>
      <w:r w:rsidRPr="00652810">
        <w:rPr>
          <w:color w:val="auto"/>
          <w:sz w:val="24"/>
          <w:szCs w:val="24"/>
          <w:lang w:val="en-AU"/>
        </w:rPr>
        <w:t xml:space="preserve">The Australian Government has reconfirmed its commitment to improving gender equality across its development program. </w:t>
      </w:r>
      <w:r w:rsidR="003E665D" w:rsidRPr="00652810">
        <w:rPr>
          <w:color w:val="auto"/>
          <w:sz w:val="24"/>
          <w:szCs w:val="24"/>
          <w:lang w:val="en-AU"/>
        </w:rPr>
        <w:t>As Table 2 shows</w:t>
      </w:r>
      <w:r w:rsidR="008153C6" w:rsidRPr="00652810">
        <w:rPr>
          <w:color w:val="auto"/>
          <w:sz w:val="24"/>
          <w:szCs w:val="24"/>
          <w:lang w:val="en-AU"/>
        </w:rPr>
        <w:t>, 6</w:t>
      </w:r>
      <w:r w:rsidR="003E665D" w:rsidRPr="00652810">
        <w:rPr>
          <w:color w:val="auto"/>
          <w:sz w:val="24"/>
          <w:szCs w:val="24"/>
          <w:lang w:val="en-AU"/>
        </w:rPr>
        <w:t>1 per cent</w:t>
      </w:r>
      <w:r w:rsidR="008153C6" w:rsidRPr="00652810">
        <w:rPr>
          <w:color w:val="auto"/>
          <w:sz w:val="24"/>
          <w:szCs w:val="24"/>
          <w:lang w:val="en-AU"/>
        </w:rPr>
        <w:t xml:space="preserve"> of </w:t>
      </w:r>
      <w:r w:rsidR="00515CEB" w:rsidRPr="00652810">
        <w:rPr>
          <w:color w:val="auto"/>
          <w:sz w:val="24"/>
          <w:szCs w:val="24"/>
          <w:lang w:val="en-AU"/>
        </w:rPr>
        <w:t xml:space="preserve">2021-22 </w:t>
      </w:r>
      <w:r w:rsidR="008153C6" w:rsidRPr="00652810">
        <w:rPr>
          <w:color w:val="auto"/>
          <w:sz w:val="24"/>
          <w:szCs w:val="24"/>
          <w:lang w:val="en-AU"/>
        </w:rPr>
        <w:t xml:space="preserve">ANCP projects explicitly targeted gender equality (demonstrated through the </w:t>
      </w:r>
      <w:r w:rsidR="00937862" w:rsidRPr="00652810">
        <w:rPr>
          <w:color w:val="auto"/>
          <w:sz w:val="24"/>
          <w:szCs w:val="24"/>
          <w:lang w:val="en-AU"/>
        </w:rPr>
        <w:t>selection</w:t>
      </w:r>
      <w:r w:rsidR="008153C6" w:rsidRPr="00652810">
        <w:rPr>
          <w:color w:val="auto"/>
          <w:sz w:val="24"/>
          <w:szCs w:val="24"/>
          <w:lang w:val="en-AU"/>
        </w:rPr>
        <w:t xml:space="preserve"> of the principal and significant </w:t>
      </w:r>
      <w:r w:rsidR="00FC78EB" w:rsidRPr="00652810">
        <w:rPr>
          <w:color w:val="auto"/>
          <w:sz w:val="24"/>
          <w:szCs w:val="24"/>
          <w:lang w:val="en-AU"/>
        </w:rPr>
        <w:t xml:space="preserve">DAC gender equality </w:t>
      </w:r>
      <w:r w:rsidR="008153C6" w:rsidRPr="00652810">
        <w:rPr>
          <w:color w:val="auto"/>
          <w:sz w:val="24"/>
          <w:szCs w:val="24"/>
          <w:lang w:val="en-AU"/>
        </w:rPr>
        <w:t xml:space="preserve">markers), </w:t>
      </w:r>
      <w:r w:rsidR="00853D2B" w:rsidRPr="00652810">
        <w:rPr>
          <w:color w:val="auto"/>
          <w:sz w:val="24"/>
          <w:szCs w:val="24"/>
          <w:lang w:val="en-AU"/>
        </w:rPr>
        <w:t>similar to</w:t>
      </w:r>
      <w:r w:rsidR="00662763" w:rsidRPr="00652810">
        <w:rPr>
          <w:color w:val="auto"/>
          <w:sz w:val="24"/>
          <w:szCs w:val="24"/>
          <w:lang w:val="en-AU"/>
        </w:rPr>
        <w:t xml:space="preserve"> the</w:t>
      </w:r>
      <w:r w:rsidR="00853D2B" w:rsidRPr="00652810">
        <w:rPr>
          <w:color w:val="auto"/>
          <w:sz w:val="24"/>
          <w:szCs w:val="24"/>
          <w:lang w:val="en-AU"/>
        </w:rPr>
        <w:t xml:space="preserve"> 62 per cent of projects </w:t>
      </w:r>
      <w:r w:rsidR="00FC78EB" w:rsidRPr="00652810">
        <w:rPr>
          <w:color w:val="auto"/>
          <w:sz w:val="24"/>
          <w:szCs w:val="24"/>
          <w:lang w:val="en-AU"/>
        </w:rPr>
        <w:t>in 2020-21</w:t>
      </w:r>
      <w:r w:rsidR="008153C6" w:rsidRPr="00652810">
        <w:rPr>
          <w:color w:val="auto"/>
          <w:sz w:val="24"/>
          <w:szCs w:val="24"/>
          <w:lang w:val="en-AU"/>
        </w:rPr>
        <w:t xml:space="preserve">. </w:t>
      </w:r>
      <w:r w:rsidR="005656A2" w:rsidRPr="00652810">
        <w:rPr>
          <w:color w:val="auto"/>
          <w:sz w:val="24"/>
          <w:szCs w:val="24"/>
          <w:lang w:val="en-AU"/>
        </w:rPr>
        <w:t>Also c</w:t>
      </w:r>
      <w:r w:rsidR="002B16A5" w:rsidRPr="00652810">
        <w:rPr>
          <w:color w:val="auto"/>
          <w:sz w:val="24"/>
          <w:szCs w:val="24"/>
          <w:lang w:val="en-AU"/>
        </w:rPr>
        <w:t>onsistent with 2020-21</w:t>
      </w:r>
      <w:r w:rsidR="00AF6B07" w:rsidRPr="00652810">
        <w:rPr>
          <w:color w:val="auto"/>
          <w:sz w:val="24"/>
          <w:szCs w:val="24"/>
          <w:lang w:val="en-AU"/>
        </w:rPr>
        <w:t xml:space="preserve"> results</w:t>
      </w:r>
      <w:r w:rsidR="002B16A5" w:rsidRPr="00652810">
        <w:rPr>
          <w:color w:val="auto"/>
          <w:sz w:val="24"/>
          <w:szCs w:val="24"/>
          <w:lang w:val="en-AU"/>
        </w:rPr>
        <w:t xml:space="preserve">, </w:t>
      </w:r>
      <w:r w:rsidR="005656A2" w:rsidRPr="00652810">
        <w:rPr>
          <w:color w:val="auto"/>
          <w:sz w:val="24"/>
          <w:szCs w:val="24"/>
          <w:lang w:val="en-AU"/>
        </w:rPr>
        <w:t xml:space="preserve">in 2021-22 </w:t>
      </w:r>
      <w:r w:rsidR="00533944" w:rsidRPr="00652810">
        <w:rPr>
          <w:color w:val="auto"/>
          <w:sz w:val="24"/>
          <w:szCs w:val="24"/>
          <w:lang w:val="en-AU"/>
        </w:rPr>
        <w:t xml:space="preserve">ANCP NGOs reported that </w:t>
      </w:r>
      <w:r w:rsidR="00DC0210" w:rsidRPr="00652810">
        <w:rPr>
          <w:color w:val="auto"/>
          <w:sz w:val="24"/>
          <w:szCs w:val="24"/>
          <w:lang w:val="en-AU"/>
        </w:rPr>
        <w:t>13 per cent of project expenditure contributed to SDG Goal 5 (Gender Equality)</w:t>
      </w:r>
      <w:r w:rsidR="00392726" w:rsidRPr="00652810">
        <w:rPr>
          <w:color w:val="auto"/>
          <w:sz w:val="24"/>
          <w:szCs w:val="24"/>
          <w:lang w:val="en-AU"/>
        </w:rPr>
        <w:t xml:space="preserve">. </w:t>
      </w:r>
      <w:r w:rsidR="005C215F" w:rsidRPr="00652810">
        <w:rPr>
          <w:color w:val="auto"/>
          <w:sz w:val="24"/>
          <w:szCs w:val="24"/>
          <w:lang w:val="en-AU"/>
        </w:rPr>
        <w:t xml:space="preserve">While </w:t>
      </w:r>
      <w:r w:rsidR="00813F7B" w:rsidRPr="00652810">
        <w:rPr>
          <w:color w:val="auto"/>
          <w:sz w:val="24"/>
          <w:szCs w:val="24"/>
          <w:lang w:val="en-AU"/>
        </w:rPr>
        <w:t xml:space="preserve">data aggregated to </w:t>
      </w:r>
      <w:r w:rsidR="00132E6B">
        <w:rPr>
          <w:color w:val="auto"/>
          <w:sz w:val="24"/>
          <w:szCs w:val="24"/>
          <w:lang w:val="en-AU"/>
        </w:rPr>
        <w:t>program</w:t>
      </w:r>
      <w:r w:rsidR="00813F7B" w:rsidRPr="00652810">
        <w:rPr>
          <w:color w:val="auto"/>
          <w:sz w:val="24"/>
          <w:szCs w:val="24"/>
          <w:lang w:val="en-AU"/>
        </w:rPr>
        <w:t xml:space="preserve">-wide performance indicates </w:t>
      </w:r>
      <w:r w:rsidR="005C75E9" w:rsidRPr="00652810">
        <w:rPr>
          <w:color w:val="auto"/>
          <w:sz w:val="24"/>
          <w:szCs w:val="24"/>
          <w:lang w:val="en-AU"/>
        </w:rPr>
        <w:t>activities focussed on gender equality has held steady between 2020-21 and 2021-22, the q</w:t>
      </w:r>
      <w:r w:rsidR="00801A76" w:rsidRPr="00652810">
        <w:rPr>
          <w:color w:val="auto"/>
          <w:sz w:val="24"/>
          <w:szCs w:val="24"/>
          <w:lang w:val="en-AU"/>
        </w:rPr>
        <w:t xml:space="preserve">ualitative data </w:t>
      </w:r>
      <w:r w:rsidR="00135C12" w:rsidRPr="00652810">
        <w:rPr>
          <w:color w:val="auto"/>
          <w:sz w:val="24"/>
          <w:szCs w:val="24"/>
          <w:lang w:val="en-AU"/>
        </w:rPr>
        <w:t xml:space="preserve">supporting </w:t>
      </w:r>
      <w:r w:rsidR="005C75E9" w:rsidRPr="00652810">
        <w:rPr>
          <w:color w:val="auto"/>
          <w:sz w:val="24"/>
          <w:szCs w:val="24"/>
          <w:lang w:val="en-AU"/>
        </w:rPr>
        <w:t xml:space="preserve">this </w:t>
      </w:r>
      <w:r w:rsidR="00225B1F" w:rsidRPr="00652810">
        <w:rPr>
          <w:color w:val="auto"/>
          <w:sz w:val="24"/>
          <w:szCs w:val="24"/>
          <w:lang w:val="en-AU"/>
        </w:rPr>
        <w:t xml:space="preserve">summation </w:t>
      </w:r>
      <w:r w:rsidR="005C75E9" w:rsidRPr="00652810">
        <w:rPr>
          <w:color w:val="auto"/>
          <w:sz w:val="24"/>
          <w:szCs w:val="24"/>
          <w:lang w:val="en-AU"/>
        </w:rPr>
        <w:t xml:space="preserve">is </w:t>
      </w:r>
      <w:r w:rsidR="00F54557" w:rsidRPr="00652810">
        <w:rPr>
          <w:color w:val="auto"/>
          <w:sz w:val="24"/>
          <w:szCs w:val="24"/>
          <w:lang w:val="en-AU"/>
        </w:rPr>
        <w:t xml:space="preserve">varied and </w:t>
      </w:r>
      <w:r w:rsidR="000B26BD" w:rsidRPr="00652810">
        <w:rPr>
          <w:color w:val="auto"/>
          <w:sz w:val="24"/>
          <w:szCs w:val="24"/>
          <w:lang w:val="en-AU"/>
        </w:rPr>
        <w:t>evidence of the impact of gender equality measures is often limited.</w:t>
      </w:r>
      <w:r w:rsidR="001E04BA" w:rsidRPr="00652810">
        <w:rPr>
          <w:color w:val="auto"/>
          <w:sz w:val="24"/>
          <w:szCs w:val="24"/>
          <w:lang w:val="en-AU"/>
        </w:rPr>
        <w:t xml:space="preserve"> </w:t>
      </w:r>
      <w:r w:rsidR="00895621">
        <w:rPr>
          <w:color w:val="auto"/>
          <w:sz w:val="24"/>
          <w:szCs w:val="24"/>
          <w:lang w:val="en-AU"/>
        </w:rPr>
        <w:t xml:space="preserve">In 2023, </w:t>
      </w:r>
      <w:r w:rsidR="002C298C" w:rsidRPr="00652810">
        <w:rPr>
          <w:color w:val="auto"/>
          <w:sz w:val="24"/>
          <w:szCs w:val="24"/>
          <w:lang w:val="en-AU"/>
        </w:rPr>
        <w:t>DFAT</w:t>
      </w:r>
      <w:r w:rsidR="001E04BA" w:rsidRPr="00652810">
        <w:rPr>
          <w:color w:val="auto"/>
          <w:sz w:val="24"/>
          <w:szCs w:val="24"/>
          <w:lang w:val="en-AU"/>
        </w:rPr>
        <w:t xml:space="preserve"> will </w:t>
      </w:r>
      <w:r w:rsidR="00895621">
        <w:rPr>
          <w:color w:val="auto"/>
          <w:sz w:val="24"/>
          <w:szCs w:val="24"/>
          <w:lang w:val="en-AU"/>
        </w:rPr>
        <w:t xml:space="preserve">work with ANCP NGOs </w:t>
      </w:r>
      <w:r w:rsidR="00E9694D">
        <w:rPr>
          <w:color w:val="auto"/>
          <w:sz w:val="24"/>
          <w:szCs w:val="24"/>
          <w:lang w:val="en-AU"/>
        </w:rPr>
        <w:t xml:space="preserve">to </w:t>
      </w:r>
      <w:r w:rsidR="00895621">
        <w:rPr>
          <w:color w:val="auto"/>
          <w:sz w:val="24"/>
          <w:szCs w:val="24"/>
          <w:lang w:val="en-AU"/>
        </w:rPr>
        <w:t>apply its revised gender equality requirements</w:t>
      </w:r>
      <w:r w:rsidR="00E9694D">
        <w:rPr>
          <w:color w:val="auto"/>
          <w:sz w:val="24"/>
          <w:szCs w:val="24"/>
          <w:lang w:val="en-AU"/>
        </w:rPr>
        <w:t>, taking a nuanced approach in recognition of the flexible and decentralised nature of the ANCP modality.</w:t>
      </w:r>
      <w:r w:rsidR="00895621">
        <w:rPr>
          <w:color w:val="auto"/>
          <w:sz w:val="24"/>
          <w:szCs w:val="24"/>
          <w:lang w:val="en-AU"/>
        </w:rPr>
        <w:t xml:space="preserve"> </w:t>
      </w:r>
      <w:r w:rsidR="00736DC7" w:rsidRPr="00652810">
        <w:rPr>
          <w:color w:val="auto"/>
          <w:sz w:val="24"/>
          <w:szCs w:val="24"/>
          <w:lang w:val="en-AU"/>
        </w:rPr>
        <w:t xml:space="preserve"> </w:t>
      </w:r>
    </w:p>
    <w:p w14:paraId="7479A921" w14:textId="6A6F1AB6" w:rsidR="008153C6" w:rsidRDefault="00952C42" w:rsidP="00952C42">
      <w:pPr>
        <w:spacing w:before="240" w:after="120"/>
        <w:rPr>
          <w:lang w:val="en-AU"/>
        </w:rPr>
      </w:pPr>
      <w:bookmarkStart w:id="0" w:name="_Hlk122601635"/>
      <w:r>
        <w:rPr>
          <w:b/>
          <w:bCs/>
          <w:color w:val="auto"/>
          <w:sz w:val="24"/>
          <w:szCs w:val="24"/>
        </w:rPr>
        <w:t xml:space="preserve">Table 2: </w:t>
      </w:r>
      <w:r w:rsidR="0010548A">
        <w:rPr>
          <w:b/>
          <w:bCs/>
          <w:color w:val="auto"/>
          <w:sz w:val="24"/>
          <w:szCs w:val="24"/>
        </w:rPr>
        <w:t>project-level approach to gender equality</w:t>
      </w:r>
    </w:p>
    <w:tbl>
      <w:tblPr>
        <w:tblStyle w:val="PlainTable21"/>
        <w:tblW w:w="9351" w:type="dxa"/>
        <w:tblLook w:val="04A0" w:firstRow="1" w:lastRow="0" w:firstColumn="1" w:lastColumn="0" w:noHBand="0" w:noVBand="1"/>
      </w:tblPr>
      <w:tblGrid>
        <w:gridCol w:w="2251"/>
        <w:gridCol w:w="1837"/>
        <w:gridCol w:w="1630"/>
        <w:gridCol w:w="1682"/>
        <w:gridCol w:w="1951"/>
      </w:tblGrid>
      <w:tr w:rsidR="008153C6" w:rsidRPr="00F72E85" w14:paraId="21DFEEEA" w14:textId="77777777" w:rsidTr="00E21BF9">
        <w:trPr>
          <w:cnfStyle w:val="100000000000" w:firstRow="1" w:lastRow="0" w:firstColumn="0" w:lastColumn="0" w:oddVBand="0" w:evenVBand="0" w:oddHBand="0"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2251" w:type="dxa"/>
            <w:noWrap/>
            <w:hideMark/>
          </w:tcPr>
          <w:bookmarkEnd w:id="0"/>
          <w:p w14:paraId="7A5A5F21" w14:textId="77777777" w:rsidR="008153C6" w:rsidRPr="002561D1" w:rsidRDefault="008153C6" w:rsidP="00E21BF9">
            <w:pPr>
              <w:suppressAutoHyphens w:val="0"/>
              <w:spacing w:after="0" w:line="240" w:lineRule="auto"/>
              <w:rPr>
                <w:rFonts w:ascii="Calibri" w:eastAsia="Times New Roman" w:hAnsi="Calibri" w:cs="Calibri"/>
                <w:b/>
                <w:bCs w:val="0"/>
                <w:color w:val="auto"/>
                <w:sz w:val="24"/>
                <w:szCs w:val="24"/>
                <w:lang w:val="en-AU" w:eastAsia="en-AU"/>
              </w:rPr>
            </w:pPr>
            <w:r w:rsidRPr="002561D1">
              <w:rPr>
                <w:rFonts w:ascii="Calibri" w:eastAsia="Times New Roman" w:hAnsi="Calibri" w:cs="Calibri"/>
                <w:b/>
                <w:color w:val="auto"/>
                <w:sz w:val="24"/>
                <w:szCs w:val="24"/>
                <w:lang w:val="en-AU" w:eastAsia="en-AU"/>
              </w:rPr>
              <w:t>Gender marker</w:t>
            </w:r>
          </w:p>
        </w:tc>
        <w:tc>
          <w:tcPr>
            <w:tcW w:w="1837" w:type="dxa"/>
            <w:hideMark/>
          </w:tcPr>
          <w:p w14:paraId="780076D6" w14:textId="023BED04" w:rsidR="008153C6" w:rsidRPr="002561D1" w:rsidRDefault="008153C6" w:rsidP="00E21BF9">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24"/>
                <w:szCs w:val="24"/>
                <w:lang w:val="en-AU" w:eastAsia="en-AU"/>
              </w:rPr>
            </w:pPr>
            <w:r w:rsidRPr="002561D1">
              <w:rPr>
                <w:rFonts w:ascii="Calibri" w:eastAsia="Times New Roman" w:hAnsi="Calibri" w:cs="Calibri"/>
                <w:b/>
                <w:color w:val="auto"/>
                <w:sz w:val="24"/>
                <w:szCs w:val="24"/>
                <w:lang w:val="en-AU" w:eastAsia="en-AU"/>
              </w:rPr>
              <w:t># of projects 202</w:t>
            </w:r>
            <w:r w:rsidR="00B33AE8">
              <w:rPr>
                <w:rFonts w:ascii="Calibri" w:eastAsia="Times New Roman" w:hAnsi="Calibri" w:cs="Calibri"/>
                <w:b/>
                <w:color w:val="auto"/>
                <w:sz w:val="24"/>
                <w:szCs w:val="24"/>
                <w:lang w:val="en-AU" w:eastAsia="en-AU"/>
              </w:rPr>
              <w:t>1-22</w:t>
            </w:r>
          </w:p>
        </w:tc>
        <w:tc>
          <w:tcPr>
            <w:tcW w:w="1630" w:type="dxa"/>
            <w:hideMark/>
          </w:tcPr>
          <w:p w14:paraId="44DBE7B4" w14:textId="1E291521" w:rsidR="008153C6" w:rsidRPr="002561D1" w:rsidRDefault="008153C6" w:rsidP="00E21BF9">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24"/>
                <w:szCs w:val="24"/>
                <w:lang w:val="en-AU" w:eastAsia="en-AU"/>
              </w:rPr>
            </w:pPr>
            <w:r w:rsidRPr="002561D1">
              <w:rPr>
                <w:rFonts w:ascii="Calibri" w:eastAsia="Times New Roman" w:hAnsi="Calibri" w:cs="Calibri"/>
                <w:b/>
                <w:color w:val="auto"/>
                <w:sz w:val="24"/>
                <w:szCs w:val="24"/>
                <w:lang w:val="en-AU" w:eastAsia="en-AU"/>
              </w:rPr>
              <w:t>% of projects 202</w:t>
            </w:r>
            <w:r w:rsidR="00B33AE8">
              <w:rPr>
                <w:rFonts w:ascii="Calibri" w:eastAsia="Times New Roman" w:hAnsi="Calibri" w:cs="Calibri"/>
                <w:b/>
                <w:color w:val="auto"/>
                <w:sz w:val="24"/>
                <w:szCs w:val="24"/>
                <w:lang w:val="en-AU" w:eastAsia="en-AU"/>
              </w:rPr>
              <w:t>1-22</w:t>
            </w:r>
          </w:p>
        </w:tc>
        <w:tc>
          <w:tcPr>
            <w:tcW w:w="1682" w:type="dxa"/>
            <w:hideMark/>
          </w:tcPr>
          <w:p w14:paraId="4354B6E3" w14:textId="46A5818F" w:rsidR="008153C6" w:rsidRPr="002561D1" w:rsidRDefault="008153C6" w:rsidP="00E21BF9">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24"/>
                <w:szCs w:val="24"/>
                <w:lang w:val="en-AU" w:eastAsia="en-AU"/>
              </w:rPr>
            </w:pPr>
            <w:r w:rsidRPr="002561D1">
              <w:rPr>
                <w:rFonts w:ascii="Calibri" w:eastAsia="Times New Roman" w:hAnsi="Calibri" w:cs="Calibri"/>
                <w:b/>
                <w:color w:val="auto"/>
                <w:sz w:val="24"/>
                <w:szCs w:val="24"/>
                <w:lang w:val="en-AU" w:eastAsia="en-AU"/>
              </w:rPr>
              <w:t># of projects 20</w:t>
            </w:r>
            <w:r w:rsidR="00B33AE8">
              <w:rPr>
                <w:rFonts w:ascii="Calibri" w:eastAsia="Times New Roman" w:hAnsi="Calibri" w:cs="Calibri"/>
                <w:b/>
                <w:color w:val="auto"/>
                <w:sz w:val="24"/>
                <w:szCs w:val="24"/>
                <w:lang w:val="en-AU" w:eastAsia="en-AU"/>
              </w:rPr>
              <w:t>20-21</w:t>
            </w:r>
          </w:p>
        </w:tc>
        <w:tc>
          <w:tcPr>
            <w:tcW w:w="1951" w:type="dxa"/>
            <w:hideMark/>
          </w:tcPr>
          <w:p w14:paraId="23F8FBC8" w14:textId="7434D663" w:rsidR="008153C6" w:rsidRPr="002561D1" w:rsidRDefault="008153C6" w:rsidP="00E21BF9">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24"/>
                <w:szCs w:val="24"/>
                <w:lang w:val="en-AU" w:eastAsia="en-AU"/>
              </w:rPr>
            </w:pPr>
            <w:r w:rsidRPr="002561D1">
              <w:rPr>
                <w:rFonts w:ascii="Calibri" w:eastAsia="Times New Roman" w:hAnsi="Calibri" w:cs="Calibri"/>
                <w:b/>
                <w:color w:val="auto"/>
                <w:sz w:val="24"/>
                <w:szCs w:val="24"/>
                <w:lang w:val="en-AU" w:eastAsia="en-AU"/>
              </w:rPr>
              <w:t>% of projects 20</w:t>
            </w:r>
            <w:r w:rsidR="00B33AE8">
              <w:rPr>
                <w:rFonts w:ascii="Calibri" w:eastAsia="Times New Roman" w:hAnsi="Calibri" w:cs="Calibri"/>
                <w:b/>
                <w:color w:val="auto"/>
                <w:sz w:val="24"/>
                <w:szCs w:val="24"/>
                <w:lang w:val="en-AU" w:eastAsia="en-AU"/>
              </w:rPr>
              <w:t>20-21</w:t>
            </w:r>
          </w:p>
        </w:tc>
      </w:tr>
      <w:tr w:rsidR="008153C6" w:rsidRPr="00F72E85" w14:paraId="3ACE1737" w14:textId="77777777" w:rsidTr="00E21BF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251" w:type="dxa"/>
            <w:noWrap/>
            <w:hideMark/>
          </w:tcPr>
          <w:p w14:paraId="26DD56E2" w14:textId="77777777" w:rsidR="008153C6" w:rsidRPr="002561D1" w:rsidRDefault="008153C6" w:rsidP="00E21BF9">
            <w:pPr>
              <w:suppressAutoHyphens w:val="0"/>
              <w:spacing w:after="0" w:line="240" w:lineRule="auto"/>
              <w:rPr>
                <w:rFonts w:ascii="Calibri" w:eastAsia="Times New Roman" w:hAnsi="Calibri" w:cs="Calibri"/>
                <w:b w:val="0"/>
                <w:bCs w:val="0"/>
                <w:color w:val="auto"/>
                <w:sz w:val="24"/>
                <w:szCs w:val="24"/>
                <w:lang w:val="en-AU" w:eastAsia="en-AU"/>
              </w:rPr>
            </w:pPr>
            <w:r w:rsidRPr="002561D1">
              <w:rPr>
                <w:rFonts w:ascii="Calibri" w:eastAsia="Times New Roman" w:hAnsi="Calibri" w:cs="Calibri"/>
                <w:color w:val="auto"/>
                <w:sz w:val="24"/>
                <w:szCs w:val="24"/>
                <w:lang w:val="en-AU" w:eastAsia="en-AU"/>
              </w:rPr>
              <w:t>Principal</w:t>
            </w:r>
          </w:p>
        </w:tc>
        <w:tc>
          <w:tcPr>
            <w:tcW w:w="1837" w:type="dxa"/>
            <w:noWrap/>
            <w:hideMark/>
          </w:tcPr>
          <w:p w14:paraId="145AE7B5" w14:textId="53D0A6DF" w:rsidR="008153C6" w:rsidRPr="002561D1" w:rsidRDefault="00D17A83"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71</w:t>
            </w:r>
          </w:p>
        </w:tc>
        <w:tc>
          <w:tcPr>
            <w:tcW w:w="1630" w:type="dxa"/>
            <w:noWrap/>
            <w:hideMark/>
          </w:tcPr>
          <w:p w14:paraId="7E77C8CB" w14:textId="63A0A676" w:rsidR="008153C6" w:rsidRPr="002561D1" w:rsidRDefault="00CF189E"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18</w:t>
            </w:r>
          </w:p>
        </w:tc>
        <w:tc>
          <w:tcPr>
            <w:tcW w:w="1682" w:type="dxa"/>
            <w:noWrap/>
            <w:hideMark/>
          </w:tcPr>
          <w:p w14:paraId="545EFCDF" w14:textId="3E99BFF4" w:rsidR="008153C6" w:rsidRPr="002561D1" w:rsidRDefault="00B33AE8"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78</w:t>
            </w:r>
          </w:p>
        </w:tc>
        <w:tc>
          <w:tcPr>
            <w:tcW w:w="1951" w:type="dxa"/>
            <w:noWrap/>
            <w:hideMark/>
          </w:tcPr>
          <w:p w14:paraId="5B17CADB" w14:textId="792754C5" w:rsidR="008153C6" w:rsidRPr="002561D1" w:rsidRDefault="00B33AE8"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19</w:t>
            </w:r>
          </w:p>
        </w:tc>
      </w:tr>
      <w:tr w:rsidR="008153C6" w:rsidRPr="00F72E85" w14:paraId="0E774B2F" w14:textId="77777777" w:rsidTr="00E21BF9">
        <w:trPr>
          <w:trHeight w:val="486"/>
        </w:trPr>
        <w:tc>
          <w:tcPr>
            <w:cnfStyle w:val="001000000000" w:firstRow="0" w:lastRow="0" w:firstColumn="1" w:lastColumn="0" w:oddVBand="0" w:evenVBand="0" w:oddHBand="0" w:evenHBand="0" w:firstRowFirstColumn="0" w:firstRowLastColumn="0" w:lastRowFirstColumn="0" w:lastRowLastColumn="0"/>
            <w:tcW w:w="2251" w:type="dxa"/>
            <w:noWrap/>
            <w:hideMark/>
          </w:tcPr>
          <w:p w14:paraId="0F5D62CA" w14:textId="77777777" w:rsidR="008153C6" w:rsidRPr="002561D1" w:rsidRDefault="008153C6" w:rsidP="00E21BF9">
            <w:pPr>
              <w:suppressAutoHyphens w:val="0"/>
              <w:spacing w:after="0" w:line="240" w:lineRule="auto"/>
              <w:rPr>
                <w:rFonts w:ascii="Calibri" w:eastAsia="Times New Roman" w:hAnsi="Calibri" w:cs="Calibri"/>
                <w:b w:val="0"/>
                <w:bCs w:val="0"/>
                <w:color w:val="auto"/>
                <w:sz w:val="24"/>
                <w:szCs w:val="24"/>
                <w:lang w:val="en-AU" w:eastAsia="en-AU"/>
              </w:rPr>
            </w:pPr>
            <w:r w:rsidRPr="002561D1">
              <w:rPr>
                <w:rFonts w:ascii="Calibri" w:eastAsia="Times New Roman" w:hAnsi="Calibri" w:cs="Calibri"/>
                <w:color w:val="auto"/>
                <w:sz w:val="24"/>
                <w:szCs w:val="24"/>
                <w:lang w:val="en-AU" w:eastAsia="en-AU"/>
              </w:rPr>
              <w:t>Significant</w:t>
            </w:r>
          </w:p>
        </w:tc>
        <w:tc>
          <w:tcPr>
            <w:tcW w:w="1837" w:type="dxa"/>
            <w:noWrap/>
            <w:hideMark/>
          </w:tcPr>
          <w:p w14:paraId="0CA38FA4" w14:textId="4607107D" w:rsidR="008153C6" w:rsidRPr="002561D1" w:rsidRDefault="001E3A04" w:rsidP="00E21BF9">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169</w:t>
            </w:r>
          </w:p>
        </w:tc>
        <w:tc>
          <w:tcPr>
            <w:tcW w:w="1630" w:type="dxa"/>
            <w:noWrap/>
            <w:hideMark/>
          </w:tcPr>
          <w:p w14:paraId="79CA3927" w14:textId="2B78CB6B" w:rsidR="008153C6" w:rsidRPr="002561D1" w:rsidRDefault="00CF189E" w:rsidP="00E21BF9">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43</w:t>
            </w:r>
          </w:p>
        </w:tc>
        <w:tc>
          <w:tcPr>
            <w:tcW w:w="1682" w:type="dxa"/>
            <w:noWrap/>
            <w:hideMark/>
          </w:tcPr>
          <w:p w14:paraId="5DFF7E4F" w14:textId="7BCE12D5" w:rsidR="008153C6" w:rsidRPr="002561D1" w:rsidRDefault="00B33AE8" w:rsidP="00E21BF9">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176</w:t>
            </w:r>
          </w:p>
        </w:tc>
        <w:tc>
          <w:tcPr>
            <w:tcW w:w="1951" w:type="dxa"/>
            <w:noWrap/>
            <w:hideMark/>
          </w:tcPr>
          <w:p w14:paraId="2D9D8154" w14:textId="6902A29B" w:rsidR="008153C6" w:rsidRPr="002561D1" w:rsidRDefault="00B33AE8" w:rsidP="00E21BF9">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43</w:t>
            </w:r>
          </w:p>
        </w:tc>
      </w:tr>
      <w:tr w:rsidR="008153C6" w:rsidRPr="00F72E85" w14:paraId="47468165" w14:textId="77777777" w:rsidTr="00E21BF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251" w:type="dxa"/>
            <w:noWrap/>
            <w:hideMark/>
          </w:tcPr>
          <w:p w14:paraId="118C117C" w14:textId="77777777" w:rsidR="008153C6" w:rsidRPr="002561D1" w:rsidRDefault="008153C6" w:rsidP="00E21BF9">
            <w:pPr>
              <w:suppressAutoHyphens w:val="0"/>
              <w:spacing w:after="0" w:line="240" w:lineRule="auto"/>
              <w:rPr>
                <w:rFonts w:ascii="Calibri" w:eastAsia="Times New Roman" w:hAnsi="Calibri" w:cs="Calibri"/>
                <w:b w:val="0"/>
                <w:bCs w:val="0"/>
                <w:color w:val="auto"/>
                <w:sz w:val="24"/>
                <w:szCs w:val="24"/>
                <w:lang w:val="en-AU" w:eastAsia="en-AU"/>
              </w:rPr>
            </w:pPr>
            <w:r w:rsidRPr="002561D1">
              <w:rPr>
                <w:rFonts w:ascii="Calibri" w:eastAsia="Times New Roman" w:hAnsi="Calibri" w:cs="Calibri"/>
                <w:color w:val="auto"/>
                <w:sz w:val="24"/>
                <w:szCs w:val="24"/>
                <w:lang w:val="en-AU" w:eastAsia="en-AU"/>
              </w:rPr>
              <w:t>Not Targeted</w:t>
            </w:r>
          </w:p>
        </w:tc>
        <w:tc>
          <w:tcPr>
            <w:tcW w:w="1837" w:type="dxa"/>
            <w:noWrap/>
            <w:hideMark/>
          </w:tcPr>
          <w:p w14:paraId="4587797E" w14:textId="2CF912EF" w:rsidR="008153C6" w:rsidRPr="002561D1" w:rsidRDefault="00515A5E"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78</w:t>
            </w:r>
          </w:p>
        </w:tc>
        <w:tc>
          <w:tcPr>
            <w:tcW w:w="1630" w:type="dxa"/>
            <w:noWrap/>
            <w:hideMark/>
          </w:tcPr>
          <w:p w14:paraId="794CC07E" w14:textId="00F18B6D" w:rsidR="008153C6" w:rsidRPr="002561D1" w:rsidRDefault="00CF189E"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20</w:t>
            </w:r>
          </w:p>
        </w:tc>
        <w:tc>
          <w:tcPr>
            <w:tcW w:w="1682" w:type="dxa"/>
            <w:noWrap/>
            <w:hideMark/>
          </w:tcPr>
          <w:p w14:paraId="1081AD4B" w14:textId="154C93EB" w:rsidR="008153C6" w:rsidRPr="002561D1" w:rsidRDefault="00B33AE8"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98</w:t>
            </w:r>
          </w:p>
        </w:tc>
        <w:tc>
          <w:tcPr>
            <w:tcW w:w="1951" w:type="dxa"/>
            <w:noWrap/>
            <w:hideMark/>
          </w:tcPr>
          <w:p w14:paraId="59E1D21D" w14:textId="09170B11" w:rsidR="008153C6" w:rsidRPr="002561D1" w:rsidRDefault="00B33AE8"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24</w:t>
            </w:r>
          </w:p>
        </w:tc>
      </w:tr>
      <w:tr w:rsidR="008153C6" w:rsidRPr="00F72E85" w14:paraId="3B1177F8" w14:textId="77777777" w:rsidTr="00E21BF9">
        <w:trPr>
          <w:trHeight w:val="486"/>
        </w:trPr>
        <w:tc>
          <w:tcPr>
            <w:cnfStyle w:val="001000000000" w:firstRow="0" w:lastRow="0" w:firstColumn="1" w:lastColumn="0" w:oddVBand="0" w:evenVBand="0" w:oddHBand="0" w:evenHBand="0" w:firstRowFirstColumn="0" w:firstRowLastColumn="0" w:lastRowFirstColumn="0" w:lastRowLastColumn="0"/>
            <w:tcW w:w="2251" w:type="dxa"/>
            <w:noWrap/>
            <w:hideMark/>
          </w:tcPr>
          <w:p w14:paraId="76DED7E1" w14:textId="77777777" w:rsidR="008153C6" w:rsidRPr="002561D1" w:rsidRDefault="008153C6" w:rsidP="00E21BF9">
            <w:pPr>
              <w:suppressAutoHyphens w:val="0"/>
              <w:spacing w:after="0" w:line="240" w:lineRule="auto"/>
              <w:rPr>
                <w:rFonts w:ascii="Calibri" w:eastAsia="Times New Roman" w:hAnsi="Calibri" w:cs="Calibri"/>
                <w:b w:val="0"/>
                <w:bCs w:val="0"/>
                <w:color w:val="auto"/>
                <w:sz w:val="24"/>
                <w:szCs w:val="24"/>
                <w:lang w:val="en-AU" w:eastAsia="en-AU"/>
              </w:rPr>
            </w:pPr>
            <w:r w:rsidRPr="002561D1">
              <w:rPr>
                <w:rFonts w:ascii="Calibri" w:eastAsia="Times New Roman" w:hAnsi="Calibri" w:cs="Calibri"/>
                <w:color w:val="auto"/>
                <w:sz w:val="24"/>
                <w:szCs w:val="24"/>
                <w:lang w:val="en-AU" w:eastAsia="en-AU"/>
              </w:rPr>
              <w:t>Mainstream</w:t>
            </w:r>
          </w:p>
        </w:tc>
        <w:tc>
          <w:tcPr>
            <w:tcW w:w="1837" w:type="dxa"/>
            <w:noWrap/>
            <w:hideMark/>
          </w:tcPr>
          <w:p w14:paraId="5E0CCAEC" w14:textId="523B1F45" w:rsidR="008153C6" w:rsidRPr="002561D1" w:rsidRDefault="00E949A3" w:rsidP="00E21BF9">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74</w:t>
            </w:r>
          </w:p>
        </w:tc>
        <w:tc>
          <w:tcPr>
            <w:tcW w:w="1630" w:type="dxa"/>
            <w:noWrap/>
            <w:hideMark/>
          </w:tcPr>
          <w:p w14:paraId="2BD1A710" w14:textId="1689D70A" w:rsidR="008153C6" w:rsidRPr="002561D1" w:rsidRDefault="00F3458B" w:rsidP="00E21BF9">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19</w:t>
            </w:r>
          </w:p>
        </w:tc>
        <w:tc>
          <w:tcPr>
            <w:tcW w:w="1682" w:type="dxa"/>
            <w:noWrap/>
            <w:hideMark/>
          </w:tcPr>
          <w:p w14:paraId="2502D6CC" w14:textId="0C71932A" w:rsidR="008153C6" w:rsidRPr="002561D1" w:rsidRDefault="00B33AE8" w:rsidP="00E21BF9">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54</w:t>
            </w:r>
          </w:p>
        </w:tc>
        <w:tc>
          <w:tcPr>
            <w:tcW w:w="1951" w:type="dxa"/>
            <w:noWrap/>
            <w:hideMark/>
          </w:tcPr>
          <w:p w14:paraId="78F71C9C" w14:textId="10177C38" w:rsidR="008153C6" w:rsidRPr="002561D1" w:rsidRDefault="00B33AE8" w:rsidP="00E21BF9">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13</w:t>
            </w:r>
          </w:p>
        </w:tc>
      </w:tr>
      <w:tr w:rsidR="008153C6" w:rsidRPr="00F72E85" w14:paraId="2E08C8EB" w14:textId="77777777" w:rsidTr="00E21BF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251" w:type="dxa"/>
            <w:noWrap/>
            <w:hideMark/>
          </w:tcPr>
          <w:p w14:paraId="28344321" w14:textId="77777777" w:rsidR="008153C6" w:rsidRPr="002561D1" w:rsidRDefault="008153C6" w:rsidP="00E21BF9">
            <w:pPr>
              <w:suppressAutoHyphens w:val="0"/>
              <w:spacing w:after="0" w:line="240" w:lineRule="auto"/>
              <w:rPr>
                <w:rFonts w:ascii="Calibri" w:eastAsia="Times New Roman" w:hAnsi="Calibri" w:cs="Calibri"/>
                <w:b w:val="0"/>
                <w:bCs w:val="0"/>
                <w:color w:val="auto"/>
                <w:sz w:val="24"/>
                <w:szCs w:val="24"/>
                <w:lang w:val="en-AU" w:eastAsia="en-AU"/>
              </w:rPr>
            </w:pPr>
            <w:r w:rsidRPr="002561D1">
              <w:rPr>
                <w:rFonts w:ascii="Calibri" w:eastAsia="Times New Roman" w:hAnsi="Calibri" w:cs="Calibri"/>
                <w:color w:val="auto"/>
                <w:sz w:val="24"/>
                <w:szCs w:val="24"/>
                <w:lang w:val="en-AU" w:eastAsia="en-AU"/>
              </w:rPr>
              <w:t>Total</w:t>
            </w:r>
          </w:p>
        </w:tc>
        <w:tc>
          <w:tcPr>
            <w:tcW w:w="1837" w:type="dxa"/>
            <w:noWrap/>
            <w:hideMark/>
          </w:tcPr>
          <w:p w14:paraId="78002140" w14:textId="2397F079" w:rsidR="008153C6" w:rsidRPr="002561D1" w:rsidRDefault="00B33AE8"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4"/>
                <w:szCs w:val="24"/>
                <w:lang w:val="en-AU" w:eastAsia="en-AU"/>
              </w:rPr>
            </w:pPr>
            <w:r>
              <w:rPr>
                <w:rFonts w:ascii="Calibri" w:eastAsia="Times New Roman" w:hAnsi="Calibri" w:cs="Calibri"/>
                <w:b/>
                <w:bCs/>
                <w:color w:val="auto"/>
                <w:sz w:val="24"/>
                <w:szCs w:val="24"/>
                <w:lang w:val="en-AU" w:eastAsia="en-AU"/>
              </w:rPr>
              <w:t>392</w:t>
            </w:r>
          </w:p>
        </w:tc>
        <w:tc>
          <w:tcPr>
            <w:tcW w:w="1630" w:type="dxa"/>
            <w:noWrap/>
            <w:hideMark/>
          </w:tcPr>
          <w:p w14:paraId="38089367" w14:textId="7D017FFA" w:rsidR="008153C6" w:rsidRPr="002561D1" w:rsidRDefault="008153C6"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4"/>
                <w:szCs w:val="24"/>
                <w:lang w:val="en-AU" w:eastAsia="en-AU"/>
              </w:rPr>
            </w:pPr>
            <w:r w:rsidRPr="002561D1">
              <w:rPr>
                <w:rFonts w:ascii="Calibri" w:eastAsia="Times New Roman" w:hAnsi="Calibri" w:cs="Calibri"/>
                <w:b/>
                <w:bCs/>
                <w:color w:val="auto"/>
                <w:sz w:val="24"/>
                <w:szCs w:val="24"/>
                <w:lang w:val="en-AU" w:eastAsia="en-AU"/>
              </w:rPr>
              <w:t> </w:t>
            </w:r>
            <w:r w:rsidR="00F3458B">
              <w:rPr>
                <w:rFonts w:ascii="Calibri" w:eastAsia="Times New Roman" w:hAnsi="Calibri" w:cs="Calibri"/>
                <w:b/>
                <w:bCs/>
                <w:color w:val="auto"/>
                <w:sz w:val="24"/>
                <w:szCs w:val="24"/>
                <w:lang w:val="en-AU" w:eastAsia="en-AU"/>
              </w:rPr>
              <w:t>100</w:t>
            </w:r>
          </w:p>
        </w:tc>
        <w:tc>
          <w:tcPr>
            <w:tcW w:w="1682" w:type="dxa"/>
            <w:noWrap/>
            <w:hideMark/>
          </w:tcPr>
          <w:p w14:paraId="3C0BB9B3" w14:textId="17C3893C" w:rsidR="008153C6" w:rsidRPr="002561D1" w:rsidRDefault="008153C6"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4"/>
                <w:szCs w:val="24"/>
                <w:lang w:val="en-AU" w:eastAsia="en-AU"/>
              </w:rPr>
            </w:pPr>
            <w:r w:rsidRPr="002561D1">
              <w:rPr>
                <w:rFonts w:ascii="Calibri" w:eastAsia="Times New Roman" w:hAnsi="Calibri" w:cs="Calibri"/>
                <w:b/>
                <w:bCs/>
                <w:color w:val="auto"/>
                <w:sz w:val="24"/>
                <w:szCs w:val="24"/>
                <w:lang w:val="en-AU" w:eastAsia="en-AU"/>
              </w:rPr>
              <w:t>4</w:t>
            </w:r>
            <w:r w:rsidR="00B33AE8">
              <w:rPr>
                <w:rFonts w:ascii="Calibri" w:eastAsia="Times New Roman" w:hAnsi="Calibri" w:cs="Calibri"/>
                <w:b/>
                <w:bCs/>
                <w:color w:val="auto"/>
                <w:sz w:val="24"/>
                <w:szCs w:val="24"/>
                <w:lang w:val="en-AU" w:eastAsia="en-AU"/>
              </w:rPr>
              <w:t>06</w:t>
            </w:r>
          </w:p>
        </w:tc>
        <w:tc>
          <w:tcPr>
            <w:tcW w:w="1951" w:type="dxa"/>
            <w:noWrap/>
            <w:hideMark/>
          </w:tcPr>
          <w:p w14:paraId="28DFD55B" w14:textId="4CA813F4" w:rsidR="008153C6" w:rsidRPr="002561D1" w:rsidRDefault="008153C6" w:rsidP="00E21BF9">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val="en-AU" w:eastAsia="en-AU"/>
              </w:rPr>
            </w:pPr>
            <w:r w:rsidRPr="002561D1">
              <w:rPr>
                <w:rFonts w:ascii="Calibri" w:eastAsia="Times New Roman" w:hAnsi="Calibri" w:cs="Calibri"/>
                <w:b/>
                <w:bCs/>
                <w:color w:val="000000"/>
                <w:sz w:val="24"/>
                <w:szCs w:val="24"/>
                <w:lang w:val="en-AU" w:eastAsia="en-AU"/>
              </w:rPr>
              <w:t> </w:t>
            </w:r>
            <w:r w:rsidR="00F3458B">
              <w:rPr>
                <w:rFonts w:ascii="Calibri" w:eastAsia="Times New Roman" w:hAnsi="Calibri" w:cs="Calibri"/>
                <w:b/>
                <w:bCs/>
                <w:color w:val="000000"/>
                <w:sz w:val="24"/>
                <w:szCs w:val="24"/>
                <w:lang w:val="en-AU" w:eastAsia="en-AU"/>
              </w:rPr>
              <w:t>100</w:t>
            </w:r>
          </w:p>
        </w:tc>
      </w:tr>
    </w:tbl>
    <w:p w14:paraId="24A9FEA1" w14:textId="762268B4" w:rsidR="00E21EFF" w:rsidRPr="00652810" w:rsidRDefault="00C90869" w:rsidP="00257F61">
      <w:pPr>
        <w:spacing w:before="240"/>
        <w:rPr>
          <w:iCs/>
          <w:color w:val="auto"/>
          <w:sz w:val="24"/>
          <w:szCs w:val="24"/>
        </w:rPr>
      </w:pPr>
      <w:r w:rsidRPr="00652810">
        <w:rPr>
          <w:iCs/>
          <w:color w:val="auto"/>
          <w:sz w:val="24"/>
          <w:szCs w:val="24"/>
        </w:rPr>
        <w:t xml:space="preserve">Disability inclusive practice across the ANCP is varied </w:t>
      </w:r>
      <w:r w:rsidR="001010FF" w:rsidRPr="00652810">
        <w:rPr>
          <w:iCs/>
          <w:color w:val="auto"/>
          <w:sz w:val="24"/>
          <w:szCs w:val="24"/>
        </w:rPr>
        <w:t>and it</w:t>
      </w:r>
      <w:r w:rsidR="00396F92" w:rsidRPr="00652810">
        <w:rPr>
          <w:iCs/>
          <w:color w:val="auto"/>
          <w:sz w:val="24"/>
          <w:szCs w:val="24"/>
        </w:rPr>
        <w:t xml:space="preserve"> remains an acknowledged area for improvement</w:t>
      </w:r>
      <w:r w:rsidR="00F6539A">
        <w:rPr>
          <w:iCs/>
          <w:color w:val="auto"/>
          <w:sz w:val="24"/>
          <w:szCs w:val="24"/>
        </w:rPr>
        <w:t>. Disability inclusion will be a focus of the</w:t>
      </w:r>
      <w:r w:rsidR="00401532">
        <w:rPr>
          <w:iCs/>
          <w:color w:val="auto"/>
          <w:sz w:val="24"/>
          <w:szCs w:val="24"/>
        </w:rPr>
        <w:t xml:space="preserve"> </w:t>
      </w:r>
      <w:r w:rsidR="00402989" w:rsidRPr="00652810">
        <w:rPr>
          <w:iCs/>
          <w:color w:val="auto"/>
          <w:sz w:val="24"/>
          <w:szCs w:val="24"/>
        </w:rPr>
        <w:t>202</w:t>
      </w:r>
      <w:r w:rsidR="00895621">
        <w:rPr>
          <w:iCs/>
          <w:color w:val="auto"/>
          <w:sz w:val="24"/>
          <w:szCs w:val="24"/>
        </w:rPr>
        <w:t>3</w:t>
      </w:r>
      <w:r w:rsidR="00402989" w:rsidRPr="00652810">
        <w:rPr>
          <w:iCs/>
          <w:color w:val="auto"/>
          <w:sz w:val="24"/>
          <w:szCs w:val="24"/>
        </w:rPr>
        <w:t xml:space="preserve"> ANCP learning agenda</w:t>
      </w:r>
      <w:r w:rsidR="00F6539A">
        <w:rPr>
          <w:iCs/>
          <w:color w:val="auto"/>
          <w:sz w:val="24"/>
          <w:szCs w:val="24"/>
        </w:rPr>
        <w:t>.</w:t>
      </w:r>
      <w:r w:rsidR="00402989" w:rsidRPr="00652810">
        <w:rPr>
          <w:iCs/>
          <w:color w:val="auto"/>
          <w:sz w:val="24"/>
          <w:szCs w:val="24"/>
        </w:rPr>
        <w:t xml:space="preserve"> </w:t>
      </w:r>
      <w:r w:rsidR="00E44C11" w:rsidRPr="00652810">
        <w:rPr>
          <w:iCs/>
          <w:color w:val="auto"/>
          <w:sz w:val="24"/>
          <w:szCs w:val="24"/>
        </w:rPr>
        <w:t>ANCP r</w:t>
      </w:r>
      <w:r w:rsidR="000224DC" w:rsidRPr="00652810">
        <w:rPr>
          <w:iCs/>
          <w:color w:val="auto"/>
          <w:sz w:val="24"/>
          <w:szCs w:val="24"/>
        </w:rPr>
        <w:t>eporting collect</w:t>
      </w:r>
      <w:r w:rsidR="00A43C7C" w:rsidRPr="00652810">
        <w:rPr>
          <w:iCs/>
          <w:color w:val="auto"/>
          <w:sz w:val="24"/>
          <w:szCs w:val="24"/>
        </w:rPr>
        <w:t>s</w:t>
      </w:r>
      <w:r w:rsidR="00500CFA" w:rsidRPr="00652810">
        <w:rPr>
          <w:iCs/>
          <w:color w:val="auto"/>
          <w:sz w:val="24"/>
          <w:szCs w:val="24"/>
        </w:rPr>
        <w:t xml:space="preserve"> </w:t>
      </w:r>
      <w:r w:rsidR="000224DC" w:rsidRPr="00652810">
        <w:rPr>
          <w:iCs/>
          <w:color w:val="auto"/>
          <w:sz w:val="24"/>
          <w:szCs w:val="24"/>
        </w:rPr>
        <w:t xml:space="preserve">information on whether people with disabilities or </w:t>
      </w:r>
      <w:r w:rsidR="006955E7" w:rsidRPr="00652810">
        <w:rPr>
          <w:iCs/>
          <w:color w:val="auto"/>
          <w:sz w:val="24"/>
          <w:szCs w:val="24"/>
        </w:rPr>
        <w:t xml:space="preserve">organisations of people with disabilities </w:t>
      </w:r>
      <w:r w:rsidR="006955E7" w:rsidRPr="00652810">
        <w:rPr>
          <w:iCs/>
          <w:color w:val="auto"/>
          <w:sz w:val="24"/>
          <w:szCs w:val="24"/>
        </w:rPr>
        <w:lastRenderedPageBreak/>
        <w:t>(OPDs)</w:t>
      </w:r>
      <w:r w:rsidR="000224DC" w:rsidRPr="00652810">
        <w:rPr>
          <w:iCs/>
          <w:color w:val="auto"/>
          <w:sz w:val="24"/>
          <w:szCs w:val="24"/>
        </w:rPr>
        <w:t xml:space="preserve"> are involved in project planning, implementation and review processes. </w:t>
      </w:r>
      <w:r w:rsidR="00B97B39" w:rsidRPr="00652810">
        <w:rPr>
          <w:iCs/>
          <w:color w:val="auto"/>
          <w:sz w:val="24"/>
          <w:szCs w:val="24"/>
        </w:rPr>
        <w:t>In 2021-22, 66 projects (</w:t>
      </w:r>
      <w:r w:rsidR="000066F9" w:rsidRPr="00652810">
        <w:rPr>
          <w:iCs/>
          <w:color w:val="auto"/>
          <w:sz w:val="24"/>
          <w:szCs w:val="24"/>
        </w:rPr>
        <w:t>17 per cent of the total) reported</w:t>
      </w:r>
      <w:r w:rsidR="00315E22" w:rsidRPr="00652810">
        <w:rPr>
          <w:iCs/>
          <w:color w:val="auto"/>
          <w:sz w:val="24"/>
          <w:szCs w:val="24"/>
        </w:rPr>
        <w:t xml:space="preserve"> engagement with </w:t>
      </w:r>
      <w:r w:rsidR="00F33916" w:rsidRPr="00652810">
        <w:rPr>
          <w:iCs/>
          <w:color w:val="auto"/>
          <w:sz w:val="24"/>
          <w:szCs w:val="24"/>
        </w:rPr>
        <w:t xml:space="preserve">at least one OPD. This is an increase from </w:t>
      </w:r>
      <w:r w:rsidR="00A0474A" w:rsidRPr="00652810">
        <w:rPr>
          <w:iCs/>
          <w:color w:val="auto"/>
          <w:sz w:val="24"/>
          <w:szCs w:val="24"/>
        </w:rPr>
        <w:t xml:space="preserve">11 per cent of projects in 2020-21 and </w:t>
      </w:r>
      <w:r w:rsidR="00C871CA" w:rsidRPr="00652810">
        <w:rPr>
          <w:iCs/>
          <w:color w:val="auto"/>
          <w:sz w:val="24"/>
          <w:szCs w:val="24"/>
        </w:rPr>
        <w:t xml:space="preserve">7 per cent of projects in 2019-20. </w:t>
      </w:r>
    </w:p>
    <w:p w14:paraId="4516E5FE" w14:textId="1B1C3CFA" w:rsidR="00D07E2D" w:rsidRPr="00652810" w:rsidRDefault="009A100A" w:rsidP="00486D28">
      <w:pPr>
        <w:rPr>
          <w:iCs/>
          <w:color w:val="auto"/>
          <w:sz w:val="24"/>
          <w:szCs w:val="24"/>
        </w:rPr>
      </w:pPr>
      <w:r w:rsidRPr="00652810">
        <w:rPr>
          <w:iCs/>
          <w:color w:val="auto"/>
          <w:sz w:val="24"/>
          <w:szCs w:val="24"/>
        </w:rPr>
        <w:t xml:space="preserve">Beyond quantitative parameters, there is limited </w:t>
      </w:r>
      <w:r w:rsidR="00252073">
        <w:rPr>
          <w:iCs/>
          <w:color w:val="auto"/>
          <w:sz w:val="24"/>
          <w:szCs w:val="24"/>
        </w:rPr>
        <w:t xml:space="preserve">systematically collected </w:t>
      </w:r>
      <w:r w:rsidRPr="00652810">
        <w:rPr>
          <w:iCs/>
          <w:color w:val="auto"/>
          <w:sz w:val="24"/>
          <w:szCs w:val="24"/>
        </w:rPr>
        <w:t>evidence on which to report</w:t>
      </w:r>
      <w:r w:rsidR="00B471B0" w:rsidRPr="00652810">
        <w:rPr>
          <w:iCs/>
          <w:color w:val="auto"/>
          <w:sz w:val="24"/>
          <w:szCs w:val="24"/>
        </w:rPr>
        <w:t xml:space="preserve"> disability inclusion</w:t>
      </w:r>
      <w:r w:rsidRPr="00652810">
        <w:rPr>
          <w:iCs/>
          <w:color w:val="auto"/>
          <w:sz w:val="24"/>
          <w:szCs w:val="24"/>
        </w:rPr>
        <w:t xml:space="preserve"> </w:t>
      </w:r>
      <w:r w:rsidR="00252073">
        <w:rPr>
          <w:iCs/>
          <w:color w:val="auto"/>
          <w:sz w:val="24"/>
          <w:szCs w:val="24"/>
        </w:rPr>
        <w:t>outcomes</w:t>
      </w:r>
      <w:r w:rsidRPr="00652810">
        <w:rPr>
          <w:iCs/>
          <w:color w:val="auto"/>
          <w:sz w:val="24"/>
          <w:szCs w:val="24"/>
        </w:rPr>
        <w:t xml:space="preserve">. </w:t>
      </w:r>
      <w:r w:rsidR="00CC37E0">
        <w:rPr>
          <w:iCs/>
          <w:color w:val="auto"/>
          <w:sz w:val="24"/>
          <w:szCs w:val="24"/>
        </w:rPr>
        <w:t>E</w:t>
      </w:r>
      <w:r w:rsidR="0066249C" w:rsidRPr="00652810">
        <w:rPr>
          <w:iCs/>
          <w:color w:val="auto"/>
          <w:sz w:val="24"/>
          <w:szCs w:val="24"/>
        </w:rPr>
        <w:t>xamples of inclusive approaches</w:t>
      </w:r>
      <w:r w:rsidR="00681745">
        <w:rPr>
          <w:iCs/>
          <w:color w:val="auto"/>
          <w:sz w:val="24"/>
          <w:szCs w:val="24"/>
        </w:rPr>
        <w:t xml:space="preserve"> </w:t>
      </w:r>
      <w:r w:rsidR="00823BB6" w:rsidRPr="00652810">
        <w:rPr>
          <w:iCs/>
          <w:color w:val="auto"/>
          <w:sz w:val="24"/>
          <w:szCs w:val="24"/>
        </w:rPr>
        <w:t>include</w:t>
      </w:r>
      <w:r w:rsidR="005A304D" w:rsidRPr="00652810">
        <w:rPr>
          <w:iCs/>
          <w:color w:val="auto"/>
          <w:sz w:val="24"/>
          <w:szCs w:val="24"/>
        </w:rPr>
        <w:t xml:space="preserve">d participation by </w:t>
      </w:r>
      <w:r w:rsidR="008D0536" w:rsidRPr="00652810">
        <w:rPr>
          <w:iCs/>
          <w:color w:val="auto"/>
          <w:sz w:val="24"/>
          <w:szCs w:val="24"/>
        </w:rPr>
        <w:t xml:space="preserve">OPDs in needs assessments, </w:t>
      </w:r>
      <w:r w:rsidR="00841CD9" w:rsidRPr="00652810">
        <w:rPr>
          <w:iCs/>
          <w:color w:val="auto"/>
          <w:sz w:val="24"/>
          <w:szCs w:val="24"/>
        </w:rPr>
        <w:t>strengthening of disability inclusion awareness and</w:t>
      </w:r>
      <w:r w:rsidR="00917ED4" w:rsidRPr="00652810">
        <w:rPr>
          <w:iCs/>
          <w:color w:val="auto"/>
          <w:sz w:val="24"/>
          <w:szCs w:val="24"/>
        </w:rPr>
        <w:t xml:space="preserve"> resources and </w:t>
      </w:r>
      <w:r w:rsidR="00935D03" w:rsidRPr="00652810">
        <w:rPr>
          <w:iCs/>
          <w:color w:val="auto"/>
          <w:sz w:val="24"/>
          <w:szCs w:val="24"/>
        </w:rPr>
        <w:t xml:space="preserve">participation by people with disabilities in project governance. </w:t>
      </w:r>
      <w:r w:rsidR="00D07E2D" w:rsidRPr="00652810">
        <w:rPr>
          <w:iCs/>
          <w:color w:val="auto"/>
          <w:sz w:val="24"/>
          <w:szCs w:val="24"/>
        </w:rPr>
        <w:t xml:space="preserve">In 2021-22 the ANCP supported: </w:t>
      </w:r>
    </w:p>
    <w:p w14:paraId="611ADD65" w14:textId="4478A0F9" w:rsidR="00D07E2D" w:rsidRPr="00652810" w:rsidRDefault="00A63FEC" w:rsidP="00D07E2D">
      <w:pPr>
        <w:pStyle w:val="ListParagraph"/>
        <w:numPr>
          <w:ilvl w:val="0"/>
          <w:numId w:val="11"/>
        </w:numPr>
        <w:ind w:left="567" w:hanging="425"/>
        <w:rPr>
          <w:color w:val="auto"/>
          <w:sz w:val="24"/>
          <w:szCs w:val="24"/>
        </w:rPr>
      </w:pPr>
      <w:r w:rsidRPr="00652810">
        <w:rPr>
          <w:color w:val="auto"/>
          <w:sz w:val="24"/>
          <w:szCs w:val="24"/>
        </w:rPr>
        <w:t>180</w:t>
      </w:r>
      <w:r w:rsidR="00A47722" w:rsidRPr="00652810">
        <w:rPr>
          <w:color w:val="auto"/>
          <w:sz w:val="24"/>
          <w:szCs w:val="24"/>
        </w:rPr>
        <w:t>,407</w:t>
      </w:r>
      <w:r w:rsidR="00D07E2D" w:rsidRPr="00652810">
        <w:rPr>
          <w:color w:val="auto"/>
          <w:sz w:val="24"/>
          <w:szCs w:val="24"/>
        </w:rPr>
        <w:t xml:space="preserve"> people trained in disability awareness and inclusion, </w:t>
      </w:r>
      <w:r w:rsidR="00A47722" w:rsidRPr="00652810">
        <w:rPr>
          <w:color w:val="auto"/>
          <w:sz w:val="24"/>
          <w:szCs w:val="24"/>
        </w:rPr>
        <w:t>up</w:t>
      </w:r>
      <w:r w:rsidR="00D07E2D" w:rsidRPr="00652810">
        <w:rPr>
          <w:color w:val="auto"/>
          <w:sz w:val="24"/>
          <w:szCs w:val="24"/>
        </w:rPr>
        <w:t xml:space="preserve"> from </w:t>
      </w:r>
      <w:r w:rsidR="00E1735D" w:rsidRPr="00652810">
        <w:rPr>
          <w:color w:val="auto"/>
          <w:sz w:val="24"/>
          <w:szCs w:val="24"/>
        </w:rPr>
        <w:t>120,161</w:t>
      </w:r>
      <w:r w:rsidR="00D07E2D" w:rsidRPr="00652810">
        <w:rPr>
          <w:color w:val="auto"/>
          <w:sz w:val="24"/>
          <w:szCs w:val="24"/>
        </w:rPr>
        <w:t xml:space="preserve"> people the previous year (Indicator G.0</w:t>
      </w:r>
      <w:r w:rsidR="00A47722" w:rsidRPr="00652810">
        <w:rPr>
          <w:color w:val="auto"/>
          <w:sz w:val="24"/>
          <w:szCs w:val="24"/>
        </w:rPr>
        <w:t>9</w:t>
      </w:r>
      <w:r w:rsidR="00D07E2D" w:rsidRPr="00652810">
        <w:rPr>
          <w:color w:val="auto"/>
          <w:sz w:val="24"/>
          <w:szCs w:val="24"/>
        </w:rPr>
        <w:t>)</w:t>
      </w:r>
    </w:p>
    <w:p w14:paraId="12D19A20" w14:textId="4BFB161B" w:rsidR="00D07E2D" w:rsidRPr="00652810" w:rsidRDefault="00402989" w:rsidP="00D07E2D">
      <w:pPr>
        <w:pStyle w:val="ListParagraph"/>
        <w:numPr>
          <w:ilvl w:val="0"/>
          <w:numId w:val="11"/>
        </w:numPr>
        <w:ind w:left="567" w:hanging="425"/>
        <w:rPr>
          <w:color w:val="auto"/>
          <w:sz w:val="24"/>
          <w:szCs w:val="24"/>
        </w:rPr>
      </w:pPr>
      <w:r w:rsidRPr="00652810">
        <w:rPr>
          <w:color w:val="auto"/>
          <w:sz w:val="24"/>
          <w:szCs w:val="24"/>
        </w:rPr>
        <w:t>6,401</w:t>
      </w:r>
      <w:r w:rsidR="00D07E2D" w:rsidRPr="00652810">
        <w:rPr>
          <w:color w:val="auto"/>
          <w:sz w:val="24"/>
          <w:szCs w:val="24"/>
        </w:rPr>
        <w:t xml:space="preserve"> people received disability support services specific to their needs (46% women and girls), </w:t>
      </w:r>
      <w:r w:rsidR="00A47722" w:rsidRPr="00652810">
        <w:rPr>
          <w:color w:val="auto"/>
          <w:sz w:val="24"/>
          <w:szCs w:val="24"/>
        </w:rPr>
        <w:t xml:space="preserve">down from </w:t>
      </w:r>
      <w:r w:rsidRPr="00652810">
        <w:rPr>
          <w:color w:val="auto"/>
          <w:sz w:val="24"/>
          <w:szCs w:val="24"/>
        </w:rPr>
        <w:t>22,349 people the previous year</w:t>
      </w:r>
      <w:r w:rsidR="00D07E2D" w:rsidRPr="00652810">
        <w:rPr>
          <w:color w:val="auto"/>
          <w:sz w:val="24"/>
          <w:szCs w:val="24"/>
        </w:rPr>
        <w:t xml:space="preserve"> (indicator G.</w:t>
      </w:r>
      <w:r w:rsidRPr="00652810">
        <w:rPr>
          <w:color w:val="auto"/>
          <w:sz w:val="24"/>
          <w:szCs w:val="24"/>
        </w:rPr>
        <w:t>10</w:t>
      </w:r>
      <w:r w:rsidR="00D07E2D" w:rsidRPr="00652810">
        <w:rPr>
          <w:color w:val="auto"/>
          <w:sz w:val="24"/>
          <w:szCs w:val="24"/>
        </w:rPr>
        <w:t>)</w:t>
      </w:r>
    </w:p>
    <w:p w14:paraId="4B21D15E" w14:textId="7850DCD4" w:rsidR="000A799D" w:rsidRPr="00652810" w:rsidRDefault="00161B3F" w:rsidP="00ED5C91">
      <w:pPr>
        <w:spacing w:before="240" w:after="240"/>
        <w:rPr>
          <w:color w:val="auto"/>
          <w:sz w:val="24"/>
          <w:szCs w:val="24"/>
          <w:lang w:val="en-AU"/>
        </w:rPr>
      </w:pPr>
      <w:r w:rsidRPr="00652810">
        <w:rPr>
          <w:color w:val="auto"/>
          <w:sz w:val="24"/>
          <w:szCs w:val="24"/>
          <w:lang w:val="en-AU"/>
        </w:rPr>
        <w:t xml:space="preserve">In 2021-22 the </w:t>
      </w:r>
      <w:r w:rsidR="00B8557A" w:rsidRPr="00652810">
        <w:rPr>
          <w:color w:val="auto"/>
          <w:sz w:val="24"/>
          <w:szCs w:val="24"/>
          <w:lang w:val="en-AU"/>
        </w:rPr>
        <w:t xml:space="preserve">ANCP </w:t>
      </w:r>
      <w:r w:rsidRPr="00652810">
        <w:rPr>
          <w:color w:val="auto"/>
          <w:sz w:val="24"/>
          <w:szCs w:val="24"/>
          <w:lang w:val="en-AU"/>
        </w:rPr>
        <w:t xml:space="preserve">disability markers were adjusted to align with DFAT’s </w:t>
      </w:r>
      <w:r w:rsidR="008936C4" w:rsidRPr="00652810">
        <w:rPr>
          <w:color w:val="auto"/>
          <w:sz w:val="24"/>
          <w:szCs w:val="24"/>
          <w:lang w:val="en-AU"/>
        </w:rPr>
        <w:t xml:space="preserve">OECD </w:t>
      </w:r>
      <w:r w:rsidR="000E6064" w:rsidRPr="00652810">
        <w:rPr>
          <w:color w:val="auto"/>
          <w:sz w:val="24"/>
          <w:szCs w:val="24"/>
          <w:lang w:val="en-AU"/>
        </w:rPr>
        <w:t>DAC</w:t>
      </w:r>
      <w:r w:rsidRPr="00652810">
        <w:rPr>
          <w:color w:val="auto"/>
          <w:sz w:val="24"/>
          <w:szCs w:val="24"/>
          <w:lang w:val="en-AU"/>
        </w:rPr>
        <w:t xml:space="preserve"> reporting requirements.</w:t>
      </w:r>
      <w:r w:rsidR="00CE4EF5" w:rsidRPr="00652810">
        <w:rPr>
          <w:color w:val="auto"/>
          <w:sz w:val="24"/>
          <w:szCs w:val="24"/>
          <w:lang w:val="en-AU"/>
        </w:rPr>
        <w:t xml:space="preserve"> As a result, comparisons with earlier years </w:t>
      </w:r>
      <w:r w:rsidR="00954ABA" w:rsidRPr="00652810">
        <w:rPr>
          <w:color w:val="auto"/>
          <w:sz w:val="24"/>
          <w:szCs w:val="24"/>
          <w:lang w:val="en-AU"/>
        </w:rPr>
        <w:t xml:space="preserve">are </w:t>
      </w:r>
      <w:r w:rsidR="005C0697">
        <w:rPr>
          <w:color w:val="auto"/>
          <w:sz w:val="24"/>
          <w:szCs w:val="24"/>
          <w:lang w:val="en-AU"/>
        </w:rPr>
        <w:t>not valid</w:t>
      </w:r>
      <w:r w:rsidR="00954ABA" w:rsidRPr="00652810">
        <w:rPr>
          <w:color w:val="auto"/>
          <w:sz w:val="24"/>
          <w:szCs w:val="24"/>
          <w:lang w:val="en-AU"/>
        </w:rPr>
        <w:t xml:space="preserve">. </w:t>
      </w:r>
      <w:r w:rsidR="00CE4EF5" w:rsidRPr="00652810">
        <w:rPr>
          <w:color w:val="auto"/>
          <w:sz w:val="24"/>
          <w:szCs w:val="24"/>
          <w:lang w:val="en-AU"/>
        </w:rPr>
        <w:t xml:space="preserve">Reflecting the opportunity for </w:t>
      </w:r>
      <w:r w:rsidR="00A82651">
        <w:rPr>
          <w:color w:val="auto"/>
          <w:sz w:val="24"/>
          <w:szCs w:val="24"/>
          <w:lang w:val="en-AU"/>
        </w:rPr>
        <w:t xml:space="preserve">better </w:t>
      </w:r>
      <w:r w:rsidR="00CE4EF5" w:rsidRPr="00652810">
        <w:rPr>
          <w:color w:val="auto"/>
          <w:sz w:val="24"/>
          <w:szCs w:val="24"/>
          <w:lang w:val="en-AU"/>
        </w:rPr>
        <w:t>disability inclusion</w:t>
      </w:r>
      <w:r w:rsidR="00E365C6" w:rsidRPr="00652810">
        <w:rPr>
          <w:color w:val="auto"/>
          <w:sz w:val="24"/>
          <w:szCs w:val="24"/>
          <w:lang w:val="en-AU"/>
        </w:rPr>
        <w:t xml:space="preserve">, </w:t>
      </w:r>
      <w:r w:rsidR="00940C7A" w:rsidRPr="00652810">
        <w:rPr>
          <w:color w:val="auto"/>
          <w:sz w:val="24"/>
          <w:szCs w:val="24"/>
          <w:lang w:val="en-AU"/>
        </w:rPr>
        <w:t xml:space="preserve">Table 3 shows </w:t>
      </w:r>
      <w:r w:rsidR="00E365C6" w:rsidRPr="00652810">
        <w:rPr>
          <w:color w:val="auto"/>
          <w:sz w:val="24"/>
          <w:szCs w:val="24"/>
          <w:lang w:val="en-AU"/>
        </w:rPr>
        <w:t xml:space="preserve">less than five per cent </w:t>
      </w:r>
      <w:r w:rsidR="00940C7A" w:rsidRPr="00652810">
        <w:rPr>
          <w:color w:val="auto"/>
          <w:sz w:val="24"/>
          <w:szCs w:val="24"/>
          <w:lang w:val="en-AU"/>
        </w:rPr>
        <w:t xml:space="preserve">of projects </w:t>
      </w:r>
      <w:r w:rsidR="00E365C6" w:rsidRPr="00652810">
        <w:rPr>
          <w:color w:val="auto"/>
          <w:sz w:val="24"/>
          <w:szCs w:val="24"/>
          <w:lang w:val="en-AU"/>
        </w:rPr>
        <w:t xml:space="preserve">had a principal focus on disability inclusion and </w:t>
      </w:r>
      <w:r w:rsidR="00CE4EF5" w:rsidRPr="00652810">
        <w:rPr>
          <w:color w:val="auto"/>
          <w:sz w:val="24"/>
          <w:szCs w:val="24"/>
          <w:lang w:val="en-AU"/>
        </w:rPr>
        <w:t xml:space="preserve">almost one third of projects did not target disability inclusion. </w:t>
      </w:r>
    </w:p>
    <w:p w14:paraId="123B0A5D" w14:textId="102CDEBC" w:rsidR="000A799D" w:rsidRPr="00D1455D" w:rsidRDefault="00D1455D" w:rsidP="00D1455D">
      <w:pPr>
        <w:spacing w:before="240" w:after="120"/>
        <w:rPr>
          <w:lang w:val="en-AU"/>
        </w:rPr>
      </w:pPr>
      <w:r>
        <w:rPr>
          <w:b/>
          <w:bCs/>
          <w:color w:val="auto"/>
          <w:sz w:val="24"/>
          <w:szCs w:val="24"/>
        </w:rPr>
        <w:t>Table 3: project-level approach to gender equality</w:t>
      </w:r>
    </w:p>
    <w:tbl>
      <w:tblPr>
        <w:tblStyle w:val="PlainTable21"/>
        <w:tblW w:w="7938" w:type="dxa"/>
        <w:tblLook w:val="04A0" w:firstRow="1" w:lastRow="0" w:firstColumn="1" w:lastColumn="0" w:noHBand="0" w:noVBand="1"/>
      </w:tblPr>
      <w:tblGrid>
        <w:gridCol w:w="2268"/>
        <w:gridCol w:w="3004"/>
        <w:gridCol w:w="2666"/>
      </w:tblGrid>
      <w:tr w:rsidR="000601E3" w:rsidRPr="002561D1" w14:paraId="25862B70" w14:textId="77777777" w:rsidTr="000763F9">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B69F15E" w14:textId="3A02E421" w:rsidR="000601E3" w:rsidRPr="002561D1" w:rsidRDefault="009B1F5B" w:rsidP="00552EFF">
            <w:pPr>
              <w:suppressAutoHyphens w:val="0"/>
              <w:spacing w:after="0" w:line="240" w:lineRule="auto"/>
              <w:rPr>
                <w:rFonts w:ascii="Calibri" w:eastAsia="Times New Roman" w:hAnsi="Calibri" w:cs="Calibri"/>
                <w:b/>
                <w:bCs w:val="0"/>
                <w:color w:val="auto"/>
                <w:sz w:val="24"/>
                <w:szCs w:val="24"/>
                <w:lang w:val="en-AU" w:eastAsia="en-AU"/>
              </w:rPr>
            </w:pPr>
            <w:r>
              <w:rPr>
                <w:rFonts w:ascii="Calibri" w:eastAsia="Times New Roman" w:hAnsi="Calibri" w:cs="Calibri"/>
                <w:b/>
                <w:color w:val="auto"/>
                <w:sz w:val="24"/>
                <w:szCs w:val="24"/>
                <w:lang w:val="en-AU" w:eastAsia="en-AU"/>
              </w:rPr>
              <w:t>Disability</w:t>
            </w:r>
            <w:r w:rsidR="000601E3" w:rsidRPr="002561D1">
              <w:rPr>
                <w:rFonts w:ascii="Calibri" w:eastAsia="Times New Roman" w:hAnsi="Calibri" w:cs="Calibri"/>
                <w:b/>
                <w:color w:val="auto"/>
                <w:sz w:val="24"/>
                <w:szCs w:val="24"/>
                <w:lang w:val="en-AU" w:eastAsia="en-AU"/>
              </w:rPr>
              <w:t xml:space="preserve"> marker</w:t>
            </w:r>
          </w:p>
        </w:tc>
        <w:tc>
          <w:tcPr>
            <w:tcW w:w="3004" w:type="dxa"/>
            <w:hideMark/>
          </w:tcPr>
          <w:p w14:paraId="5A5D8467" w14:textId="6110A689" w:rsidR="000601E3" w:rsidRPr="002561D1" w:rsidRDefault="000601E3" w:rsidP="00552EFF">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24"/>
                <w:szCs w:val="24"/>
                <w:lang w:val="en-AU" w:eastAsia="en-AU"/>
              </w:rPr>
            </w:pPr>
            <w:r w:rsidRPr="002561D1">
              <w:rPr>
                <w:rFonts w:ascii="Calibri" w:eastAsia="Times New Roman" w:hAnsi="Calibri" w:cs="Calibri"/>
                <w:b/>
                <w:color w:val="auto"/>
                <w:sz w:val="24"/>
                <w:szCs w:val="24"/>
                <w:lang w:val="en-AU" w:eastAsia="en-AU"/>
              </w:rPr>
              <w:t># of projects 202</w:t>
            </w:r>
            <w:r w:rsidR="00920889">
              <w:rPr>
                <w:rFonts w:ascii="Calibri" w:eastAsia="Times New Roman" w:hAnsi="Calibri" w:cs="Calibri"/>
                <w:b/>
                <w:color w:val="auto"/>
                <w:sz w:val="24"/>
                <w:szCs w:val="24"/>
                <w:lang w:val="en-AU" w:eastAsia="en-AU"/>
              </w:rPr>
              <w:t>1-22</w:t>
            </w:r>
          </w:p>
        </w:tc>
        <w:tc>
          <w:tcPr>
            <w:tcW w:w="2666" w:type="dxa"/>
            <w:hideMark/>
          </w:tcPr>
          <w:p w14:paraId="50AD5AEE" w14:textId="361C442D" w:rsidR="000601E3" w:rsidRPr="002561D1" w:rsidRDefault="000601E3" w:rsidP="00552EFF">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24"/>
                <w:szCs w:val="24"/>
                <w:lang w:val="en-AU" w:eastAsia="en-AU"/>
              </w:rPr>
            </w:pPr>
            <w:r w:rsidRPr="002561D1">
              <w:rPr>
                <w:rFonts w:ascii="Calibri" w:eastAsia="Times New Roman" w:hAnsi="Calibri" w:cs="Calibri"/>
                <w:b/>
                <w:color w:val="auto"/>
                <w:sz w:val="24"/>
                <w:szCs w:val="24"/>
                <w:lang w:val="en-AU" w:eastAsia="en-AU"/>
              </w:rPr>
              <w:t>% of projects 202</w:t>
            </w:r>
            <w:r w:rsidR="00095830">
              <w:rPr>
                <w:rFonts w:ascii="Calibri" w:eastAsia="Times New Roman" w:hAnsi="Calibri" w:cs="Calibri"/>
                <w:b/>
                <w:color w:val="auto"/>
                <w:sz w:val="24"/>
                <w:szCs w:val="24"/>
                <w:lang w:val="en-AU" w:eastAsia="en-AU"/>
              </w:rPr>
              <w:t>1-22</w:t>
            </w:r>
          </w:p>
        </w:tc>
      </w:tr>
      <w:tr w:rsidR="000601E3" w:rsidRPr="002561D1" w14:paraId="29C5A222" w14:textId="77777777" w:rsidTr="000763F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73D2C66" w14:textId="77777777" w:rsidR="000601E3" w:rsidRPr="002561D1" w:rsidRDefault="000601E3" w:rsidP="00552EFF">
            <w:pPr>
              <w:suppressAutoHyphens w:val="0"/>
              <w:spacing w:after="0" w:line="240" w:lineRule="auto"/>
              <w:rPr>
                <w:rFonts w:ascii="Calibri" w:eastAsia="Times New Roman" w:hAnsi="Calibri" w:cs="Calibri"/>
                <w:b w:val="0"/>
                <w:bCs w:val="0"/>
                <w:color w:val="auto"/>
                <w:sz w:val="24"/>
                <w:szCs w:val="24"/>
                <w:lang w:val="en-AU" w:eastAsia="en-AU"/>
              </w:rPr>
            </w:pPr>
            <w:r w:rsidRPr="002561D1">
              <w:rPr>
                <w:rFonts w:ascii="Calibri" w:eastAsia="Times New Roman" w:hAnsi="Calibri" w:cs="Calibri"/>
                <w:color w:val="auto"/>
                <w:sz w:val="24"/>
                <w:szCs w:val="24"/>
                <w:lang w:val="en-AU" w:eastAsia="en-AU"/>
              </w:rPr>
              <w:t>Principal</w:t>
            </w:r>
          </w:p>
        </w:tc>
        <w:tc>
          <w:tcPr>
            <w:tcW w:w="3004" w:type="dxa"/>
            <w:noWrap/>
            <w:hideMark/>
          </w:tcPr>
          <w:p w14:paraId="70DD0E2F" w14:textId="7EC1F2F9" w:rsidR="000601E3" w:rsidRPr="002561D1" w:rsidRDefault="00920889" w:rsidP="00552EF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18</w:t>
            </w:r>
          </w:p>
        </w:tc>
        <w:tc>
          <w:tcPr>
            <w:tcW w:w="2666" w:type="dxa"/>
            <w:noWrap/>
            <w:hideMark/>
          </w:tcPr>
          <w:p w14:paraId="6B7605B3" w14:textId="1309574E" w:rsidR="000601E3" w:rsidRPr="002561D1" w:rsidRDefault="00AD09F9" w:rsidP="00552EF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4.6</w:t>
            </w:r>
          </w:p>
        </w:tc>
      </w:tr>
      <w:tr w:rsidR="000601E3" w:rsidRPr="002561D1" w14:paraId="3657E1BD" w14:textId="77777777" w:rsidTr="000763F9">
        <w:trPr>
          <w:trHeight w:val="486"/>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DE9C0CE" w14:textId="77777777" w:rsidR="000601E3" w:rsidRPr="002561D1" w:rsidRDefault="000601E3" w:rsidP="00552EFF">
            <w:pPr>
              <w:suppressAutoHyphens w:val="0"/>
              <w:spacing w:after="0" w:line="240" w:lineRule="auto"/>
              <w:rPr>
                <w:rFonts w:ascii="Calibri" w:eastAsia="Times New Roman" w:hAnsi="Calibri" w:cs="Calibri"/>
                <w:b w:val="0"/>
                <w:bCs w:val="0"/>
                <w:color w:val="auto"/>
                <w:sz w:val="24"/>
                <w:szCs w:val="24"/>
                <w:lang w:val="en-AU" w:eastAsia="en-AU"/>
              </w:rPr>
            </w:pPr>
            <w:r w:rsidRPr="002561D1">
              <w:rPr>
                <w:rFonts w:ascii="Calibri" w:eastAsia="Times New Roman" w:hAnsi="Calibri" w:cs="Calibri"/>
                <w:color w:val="auto"/>
                <w:sz w:val="24"/>
                <w:szCs w:val="24"/>
                <w:lang w:val="en-AU" w:eastAsia="en-AU"/>
              </w:rPr>
              <w:t>Significant</w:t>
            </w:r>
          </w:p>
        </w:tc>
        <w:tc>
          <w:tcPr>
            <w:tcW w:w="3004" w:type="dxa"/>
            <w:noWrap/>
            <w:hideMark/>
          </w:tcPr>
          <w:p w14:paraId="2B965922" w14:textId="2CC6A41D" w:rsidR="000601E3" w:rsidRPr="002561D1" w:rsidRDefault="00AD09F9" w:rsidP="00552EF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246</w:t>
            </w:r>
          </w:p>
        </w:tc>
        <w:tc>
          <w:tcPr>
            <w:tcW w:w="2666" w:type="dxa"/>
            <w:noWrap/>
            <w:hideMark/>
          </w:tcPr>
          <w:p w14:paraId="41E62CF7" w14:textId="5DEF20C4" w:rsidR="000601E3" w:rsidRPr="002561D1" w:rsidRDefault="00AD09F9" w:rsidP="00552EF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62.</w:t>
            </w:r>
            <w:r w:rsidR="009734B3">
              <w:rPr>
                <w:rFonts w:ascii="Calibri" w:eastAsia="Times New Roman" w:hAnsi="Calibri" w:cs="Calibri"/>
                <w:color w:val="auto"/>
                <w:sz w:val="24"/>
                <w:szCs w:val="24"/>
                <w:lang w:val="en-AU" w:eastAsia="en-AU"/>
              </w:rPr>
              <w:t>8</w:t>
            </w:r>
          </w:p>
        </w:tc>
      </w:tr>
      <w:tr w:rsidR="000601E3" w:rsidRPr="002561D1" w14:paraId="54526030" w14:textId="77777777" w:rsidTr="000763F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47BD99D" w14:textId="77777777" w:rsidR="000601E3" w:rsidRPr="002561D1" w:rsidRDefault="000601E3" w:rsidP="00552EFF">
            <w:pPr>
              <w:suppressAutoHyphens w:val="0"/>
              <w:spacing w:after="0" w:line="240" w:lineRule="auto"/>
              <w:rPr>
                <w:rFonts w:ascii="Calibri" w:eastAsia="Times New Roman" w:hAnsi="Calibri" w:cs="Calibri"/>
                <w:b w:val="0"/>
                <w:bCs w:val="0"/>
                <w:color w:val="auto"/>
                <w:sz w:val="24"/>
                <w:szCs w:val="24"/>
                <w:lang w:val="en-AU" w:eastAsia="en-AU"/>
              </w:rPr>
            </w:pPr>
            <w:r w:rsidRPr="002561D1">
              <w:rPr>
                <w:rFonts w:ascii="Calibri" w:eastAsia="Times New Roman" w:hAnsi="Calibri" w:cs="Calibri"/>
                <w:color w:val="auto"/>
                <w:sz w:val="24"/>
                <w:szCs w:val="24"/>
                <w:lang w:val="en-AU" w:eastAsia="en-AU"/>
              </w:rPr>
              <w:t>Not Targeted</w:t>
            </w:r>
          </w:p>
        </w:tc>
        <w:tc>
          <w:tcPr>
            <w:tcW w:w="3004" w:type="dxa"/>
            <w:noWrap/>
            <w:hideMark/>
          </w:tcPr>
          <w:p w14:paraId="7E584096" w14:textId="7F24E164" w:rsidR="000601E3" w:rsidRPr="002561D1" w:rsidRDefault="00AD09F9" w:rsidP="00552EF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128</w:t>
            </w:r>
          </w:p>
        </w:tc>
        <w:tc>
          <w:tcPr>
            <w:tcW w:w="2666" w:type="dxa"/>
            <w:noWrap/>
            <w:hideMark/>
          </w:tcPr>
          <w:p w14:paraId="1AB2B18E" w14:textId="39C8D66C" w:rsidR="000601E3" w:rsidRPr="002561D1" w:rsidRDefault="00AD09F9" w:rsidP="00552EF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lang w:val="en-AU" w:eastAsia="en-AU"/>
              </w:rPr>
            </w:pPr>
            <w:r>
              <w:rPr>
                <w:rFonts w:ascii="Calibri" w:eastAsia="Times New Roman" w:hAnsi="Calibri" w:cs="Calibri"/>
                <w:color w:val="auto"/>
                <w:sz w:val="24"/>
                <w:szCs w:val="24"/>
                <w:lang w:val="en-AU" w:eastAsia="en-AU"/>
              </w:rPr>
              <w:t>32.6</w:t>
            </w:r>
          </w:p>
        </w:tc>
      </w:tr>
      <w:tr w:rsidR="000601E3" w:rsidRPr="002561D1" w14:paraId="72D15872" w14:textId="77777777" w:rsidTr="000763F9">
        <w:trPr>
          <w:trHeight w:val="486"/>
        </w:trPr>
        <w:tc>
          <w:tcPr>
            <w:cnfStyle w:val="001000000000" w:firstRow="0" w:lastRow="0" w:firstColumn="1" w:lastColumn="0" w:oddVBand="0" w:evenVBand="0" w:oddHBand="0" w:evenHBand="0" w:firstRowFirstColumn="0" w:firstRowLastColumn="0" w:lastRowFirstColumn="0" w:lastRowLastColumn="0"/>
            <w:tcW w:w="2268" w:type="dxa"/>
            <w:noWrap/>
          </w:tcPr>
          <w:p w14:paraId="7740F5D7" w14:textId="62DAA38F" w:rsidR="000601E3" w:rsidRPr="00C745CE" w:rsidRDefault="000763F9" w:rsidP="00552EFF">
            <w:pPr>
              <w:suppressAutoHyphens w:val="0"/>
              <w:spacing w:after="0" w:line="240" w:lineRule="auto"/>
              <w:rPr>
                <w:rFonts w:ascii="Calibri" w:eastAsia="Times New Roman" w:hAnsi="Calibri" w:cs="Calibri"/>
                <w:color w:val="auto"/>
                <w:sz w:val="24"/>
                <w:szCs w:val="24"/>
                <w:lang w:val="en-AU" w:eastAsia="en-AU"/>
              </w:rPr>
            </w:pPr>
            <w:r w:rsidRPr="00C745CE">
              <w:rPr>
                <w:rFonts w:ascii="Calibri" w:eastAsia="Times New Roman" w:hAnsi="Calibri" w:cs="Calibri"/>
                <w:color w:val="auto"/>
                <w:sz w:val="24"/>
                <w:szCs w:val="24"/>
                <w:lang w:val="en-AU" w:eastAsia="en-AU"/>
              </w:rPr>
              <w:t>Total</w:t>
            </w:r>
          </w:p>
        </w:tc>
        <w:tc>
          <w:tcPr>
            <w:tcW w:w="3004" w:type="dxa"/>
            <w:noWrap/>
          </w:tcPr>
          <w:p w14:paraId="1224223C" w14:textId="00B5FB7D" w:rsidR="000601E3" w:rsidRPr="00B0140D" w:rsidRDefault="000763F9" w:rsidP="00552EF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4"/>
                <w:szCs w:val="24"/>
                <w:lang w:val="en-AU" w:eastAsia="en-AU"/>
              </w:rPr>
            </w:pPr>
            <w:r w:rsidRPr="00B0140D">
              <w:rPr>
                <w:rFonts w:ascii="Calibri" w:eastAsia="Times New Roman" w:hAnsi="Calibri" w:cs="Calibri"/>
                <w:b/>
                <w:bCs/>
                <w:color w:val="auto"/>
                <w:sz w:val="24"/>
                <w:szCs w:val="24"/>
                <w:lang w:val="en-AU" w:eastAsia="en-AU"/>
              </w:rPr>
              <w:t>392</w:t>
            </w:r>
          </w:p>
        </w:tc>
        <w:tc>
          <w:tcPr>
            <w:tcW w:w="2666" w:type="dxa"/>
            <w:noWrap/>
          </w:tcPr>
          <w:p w14:paraId="0F420548" w14:textId="020CE8F4" w:rsidR="000601E3" w:rsidRPr="00B0140D" w:rsidRDefault="000763F9" w:rsidP="00552EF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4"/>
                <w:szCs w:val="24"/>
                <w:lang w:val="en-AU" w:eastAsia="en-AU"/>
              </w:rPr>
            </w:pPr>
            <w:r w:rsidRPr="00B0140D">
              <w:rPr>
                <w:rFonts w:ascii="Calibri" w:eastAsia="Times New Roman" w:hAnsi="Calibri" w:cs="Calibri"/>
                <w:b/>
                <w:bCs/>
                <w:color w:val="auto"/>
                <w:sz w:val="24"/>
                <w:szCs w:val="24"/>
                <w:lang w:val="en-AU" w:eastAsia="en-AU"/>
              </w:rPr>
              <w:t>100</w:t>
            </w:r>
          </w:p>
        </w:tc>
      </w:tr>
    </w:tbl>
    <w:p w14:paraId="2E79FCEA" w14:textId="7BC94CE2" w:rsidR="00725F4E" w:rsidRPr="00971AF6" w:rsidRDefault="00855B58" w:rsidP="00135C12">
      <w:pPr>
        <w:pStyle w:val="Heading3"/>
        <w:spacing w:before="360"/>
        <w:rPr>
          <w:color w:val="auto"/>
        </w:rPr>
      </w:pPr>
      <w:r w:rsidRPr="00971AF6">
        <w:rPr>
          <w:color w:val="auto"/>
        </w:rPr>
        <w:t>C</w:t>
      </w:r>
      <w:r w:rsidR="00725F4E" w:rsidRPr="00971AF6">
        <w:rPr>
          <w:color w:val="auto"/>
        </w:rPr>
        <w:t>limate finance data 202</w:t>
      </w:r>
      <w:r w:rsidR="008153C6" w:rsidRPr="00971AF6">
        <w:rPr>
          <w:color w:val="auto"/>
        </w:rPr>
        <w:t>1-22</w:t>
      </w:r>
      <w:r w:rsidRPr="00971AF6">
        <w:rPr>
          <w:color w:val="auto"/>
        </w:rPr>
        <w:t xml:space="preserve"> </w:t>
      </w:r>
      <w:r w:rsidR="007A3B3A" w:rsidRPr="00971AF6">
        <w:rPr>
          <w:color w:val="auto"/>
        </w:rPr>
        <w:t>(estimate)</w:t>
      </w:r>
    </w:p>
    <w:p w14:paraId="0639F82A" w14:textId="3ABAD969" w:rsidR="001F4ACC" w:rsidRPr="00652810" w:rsidRDefault="00EC7FE0" w:rsidP="00610E35">
      <w:pPr>
        <w:rPr>
          <w:color w:val="auto"/>
          <w:sz w:val="24"/>
          <w:szCs w:val="24"/>
          <w:lang w:val="en-AU"/>
        </w:rPr>
      </w:pPr>
      <w:r w:rsidRPr="00652810">
        <w:rPr>
          <w:color w:val="auto"/>
          <w:sz w:val="24"/>
          <w:szCs w:val="24"/>
          <w:lang w:val="en-AU"/>
        </w:rPr>
        <w:t xml:space="preserve">ANCP NGOs are playing an increasing role in climate change action </w:t>
      </w:r>
      <w:r w:rsidR="005A0DBE" w:rsidRPr="00652810">
        <w:rPr>
          <w:color w:val="auto"/>
          <w:sz w:val="24"/>
          <w:szCs w:val="24"/>
          <w:lang w:val="en-AU"/>
        </w:rPr>
        <w:t>in the Australian development program</w:t>
      </w:r>
      <w:r w:rsidRPr="00652810">
        <w:rPr>
          <w:color w:val="auto"/>
          <w:sz w:val="24"/>
          <w:szCs w:val="24"/>
          <w:lang w:val="en-AU"/>
        </w:rPr>
        <w:t xml:space="preserve">. This is </w:t>
      </w:r>
      <w:r w:rsidR="009B4DBA" w:rsidRPr="00652810">
        <w:rPr>
          <w:color w:val="auto"/>
          <w:sz w:val="24"/>
          <w:szCs w:val="24"/>
          <w:lang w:val="en-AU"/>
        </w:rPr>
        <w:t xml:space="preserve">in part </w:t>
      </w:r>
      <w:r w:rsidRPr="00652810">
        <w:rPr>
          <w:color w:val="auto"/>
          <w:sz w:val="24"/>
          <w:szCs w:val="24"/>
          <w:lang w:val="en-AU"/>
        </w:rPr>
        <w:t xml:space="preserve">reflected in the </w:t>
      </w:r>
      <w:r w:rsidR="009B4DBA" w:rsidRPr="00652810">
        <w:rPr>
          <w:color w:val="auto"/>
          <w:sz w:val="24"/>
          <w:szCs w:val="24"/>
          <w:lang w:val="en-AU"/>
        </w:rPr>
        <w:t xml:space="preserve">increasing ANCP contribution </w:t>
      </w:r>
      <w:r w:rsidRPr="00652810">
        <w:rPr>
          <w:color w:val="auto"/>
          <w:sz w:val="24"/>
          <w:szCs w:val="24"/>
          <w:lang w:val="en-AU"/>
        </w:rPr>
        <w:t>to climate finance over time</w:t>
      </w:r>
      <w:r w:rsidR="005A0DBE" w:rsidRPr="00652810">
        <w:rPr>
          <w:color w:val="auto"/>
          <w:sz w:val="24"/>
          <w:szCs w:val="24"/>
          <w:lang w:val="en-AU"/>
        </w:rPr>
        <w:t xml:space="preserve"> (Graph 4)</w:t>
      </w:r>
      <w:r w:rsidR="00A82651">
        <w:rPr>
          <w:rStyle w:val="FootnoteReference"/>
          <w:color w:val="auto"/>
          <w:sz w:val="24"/>
          <w:szCs w:val="24"/>
          <w:lang w:val="en-AU"/>
        </w:rPr>
        <w:footnoteReference w:id="4"/>
      </w:r>
      <w:r w:rsidRPr="00652810">
        <w:rPr>
          <w:color w:val="auto"/>
          <w:sz w:val="24"/>
          <w:szCs w:val="24"/>
          <w:lang w:val="en-AU"/>
        </w:rPr>
        <w:t>.</w:t>
      </w:r>
      <w:r w:rsidR="005A0DBE" w:rsidRPr="00652810">
        <w:rPr>
          <w:color w:val="auto"/>
          <w:sz w:val="24"/>
          <w:szCs w:val="24"/>
          <w:lang w:val="en-AU"/>
        </w:rPr>
        <w:t xml:space="preserve"> </w:t>
      </w:r>
      <w:r w:rsidR="001A4A2C" w:rsidRPr="00652810">
        <w:rPr>
          <w:color w:val="auto"/>
          <w:sz w:val="24"/>
          <w:szCs w:val="24"/>
          <w:lang w:val="en-AU"/>
        </w:rPr>
        <w:t>In 2021-22 27</w:t>
      </w:r>
      <w:r w:rsidR="00D83017" w:rsidRPr="00652810">
        <w:rPr>
          <w:color w:val="auto"/>
          <w:sz w:val="24"/>
          <w:szCs w:val="24"/>
          <w:lang w:val="en-AU"/>
        </w:rPr>
        <w:t xml:space="preserve"> ANCP NGOs </w:t>
      </w:r>
      <w:r w:rsidR="001A4A2C" w:rsidRPr="00652810">
        <w:rPr>
          <w:color w:val="auto"/>
          <w:sz w:val="24"/>
          <w:szCs w:val="24"/>
          <w:lang w:val="en-AU"/>
        </w:rPr>
        <w:t xml:space="preserve">implemented </w:t>
      </w:r>
      <w:r w:rsidR="008443F2" w:rsidRPr="00652810">
        <w:rPr>
          <w:color w:val="auto"/>
          <w:sz w:val="24"/>
          <w:szCs w:val="24"/>
          <w:lang w:val="en-AU"/>
        </w:rPr>
        <w:t>climate change activities</w:t>
      </w:r>
      <w:r w:rsidR="009E738B" w:rsidRPr="00652810">
        <w:rPr>
          <w:color w:val="auto"/>
          <w:sz w:val="24"/>
          <w:szCs w:val="24"/>
          <w:lang w:val="en-AU"/>
        </w:rPr>
        <w:t xml:space="preserve"> </w:t>
      </w:r>
      <w:r w:rsidR="009C5700" w:rsidRPr="00652810">
        <w:rPr>
          <w:color w:val="auto"/>
          <w:sz w:val="24"/>
          <w:szCs w:val="24"/>
          <w:lang w:val="en-AU"/>
        </w:rPr>
        <w:t>across</w:t>
      </w:r>
      <w:r w:rsidR="009E738B" w:rsidRPr="00652810">
        <w:rPr>
          <w:color w:val="auto"/>
          <w:sz w:val="24"/>
          <w:szCs w:val="24"/>
          <w:lang w:val="en-AU"/>
        </w:rPr>
        <w:t xml:space="preserve"> </w:t>
      </w:r>
      <w:r w:rsidR="00F6530F" w:rsidRPr="00652810">
        <w:rPr>
          <w:color w:val="auto"/>
          <w:sz w:val="24"/>
          <w:szCs w:val="24"/>
          <w:lang w:val="en-AU"/>
        </w:rPr>
        <w:t>79</w:t>
      </w:r>
      <w:r w:rsidR="009E738B" w:rsidRPr="00652810">
        <w:rPr>
          <w:color w:val="auto"/>
          <w:sz w:val="24"/>
          <w:szCs w:val="24"/>
          <w:lang w:val="en-AU"/>
        </w:rPr>
        <w:t xml:space="preserve"> projects</w:t>
      </w:r>
      <w:r w:rsidR="008443F2" w:rsidRPr="00652810">
        <w:rPr>
          <w:color w:val="auto"/>
          <w:sz w:val="24"/>
          <w:szCs w:val="24"/>
          <w:lang w:val="en-AU"/>
        </w:rPr>
        <w:t xml:space="preserve">. </w:t>
      </w:r>
      <w:r w:rsidR="00B82AF8" w:rsidRPr="00652810">
        <w:rPr>
          <w:color w:val="auto"/>
          <w:sz w:val="24"/>
          <w:szCs w:val="24"/>
          <w:lang w:val="en-AU"/>
        </w:rPr>
        <w:t>58 per cent of</w:t>
      </w:r>
      <w:r w:rsidR="002B268E" w:rsidRPr="00652810">
        <w:rPr>
          <w:color w:val="auto"/>
          <w:sz w:val="24"/>
          <w:szCs w:val="24"/>
          <w:lang w:val="en-AU"/>
        </w:rPr>
        <w:t xml:space="preserve"> expenditure supported adaptation activities</w:t>
      </w:r>
      <w:r w:rsidR="00666999" w:rsidRPr="00652810">
        <w:rPr>
          <w:color w:val="auto"/>
          <w:sz w:val="24"/>
          <w:szCs w:val="24"/>
          <w:lang w:val="en-AU"/>
        </w:rPr>
        <w:t xml:space="preserve">, 34.5 per cent supported mitigation activities and the remainder supported activities that </w:t>
      </w:r>
      <w:r w:rsidR="00B818AD" w:rsidRPr="00652810">
        <w:rPr>
          <w:color w:val="auto"/>
          <w:sz w:val="24"/>
          <w:szCs w:val="24"/>
          <w:lang w:val="en-AU"/>
        </w:rPr>
        <w:t xml:space="preserve">included both adaptation and mitigation </w:t>
      </w:r>
      <w:r w:rsidR="001F4ACC" w:rsidRPr="00652810">
        <w:rPr>
          <w:color w:val="auto"/>
          <w:sz w:val="24"/>
          <w:szCs w:val="24"/>
          <w:lang w:val="en-AU"/>
        </w:rPr>
        <w:t xml:space="preserve">where the split could not be determined. </w:t>
      </w:r>
      <w:r w:rsidR="005B1C5D" w:rsidRPr="00652810">
        <w:rPr>
          <w:color w:val="auto"/>
          <w:sz w:val="24"/>
          <w:szCs w:val="24"/>
          <w:lang w:val="en-AU"/>
        </w:rPr>
        <w:t xml:space="preserve">Climate change was most often a secondary objective at the project level, with common </w:t>
      </w:r>
      <w:r w:rsidR="00F948EC" w:rsidRPr="00652810">
        <w:rPr>
          <w:color w:val="auto"/>
          <w:sz w:val="24"/>
          <w:szCs w:val="24"/>
          <w:lang w:val="en-AU"/>
        </w:rPr>
        <w:t xml:space="preserve">activities supporting sectors </w:t>
      </w:r>
      <w:r w:rsidR="00F22015" w:rsidRPr="00652810">
        <w:rPr>
          <w:color w:val="auto"/>
          <w:sz w:val="24"/>
          <w:szCs w:val="24"/>
          <w:lang w:val="en-AU"/>
        </w:rPr>
        <w:t>including</w:t>
      </w:r>
      <w:r w:rsidR="00F948EC" w:rsidRPr="00652810">
        <w:rPr>
          <w:color w:val="auto"/>
          <w:sz w:val="24"/>
          <w:szCs w:val="24"/>
          <w:lang w:val="en-AU"/>
        </w:rPr>
        <w:t xml:space="preserve"> </w:t>
      </w:r>
      <w:r w:rsidR="00F22015" w:rsidRPr="00652810">
        <w:rPr>
          <w:color w:val="auto"/>
          <w:sz w:val="24"/>
          <w:szCs w:val="24"/>
          <w:lang w:val="en-AU"/>
        </w:rPr>
        <w:t>livelihoods and economic development,</w:t>
      </w:r>
      <w:r w:rsidR="00E42566" w:rsidRPr="00652810">
        <w:rPr>
          <w:color w:val="auto"/>
          <w:sz w:val="24"/>
          <w:szCs w:val="24"/>
          <w:lang w:val="en-AU"/>
        </w:rPr>
        <w:t xml:space="preserve"> disaster risk reduction a</w:t>
      </w:r>
      <w:r w:rsidR="00F948EC" w:rsidRPr="00652810">
        <w:rPr>
          <w:color w:val="auto"/>
          <w:sz w:val="24"/>
          <w:szCs w:val="24"/>
          <w:lang w:val="en-AU"/>
        </w:rPr>
        <w:t xml:space="preserve">nd food security. </w:t>
      </w:r>
      <w:r w:rsidR="00EA08DE">
        <w:rPr>
          <w:color w:val="auto"/>
          <w:sz w:val="24"/>
          <w:szCs w:val="24"/>
          <w:lang w:val="en-AU"/>
        </w:rPr>
        <w:t xml:space="preserve">DFAT looks forward to working with ANCP partners to further strengthen climate change programming under the ANCP. </w:t>
      </w:r>
    </w:p>
    <w:p w14:paraId="1B7F3D19" w14:textId="014D73BA" w:rsidR="00F00E6C" w:rsidRDefault="00F00E6C" w:rsidP="00F948EC">
      <w:pPr>
        <w:rPr>
          <w:color w:val="auto"/>
          <w:lang w:val="en-AU"/>
        </w:rPr>
      </w:pPr>
    </w:p>
    <w:p w14:paraId="6216F900" w14:textId="593A5486" w:rsidR="00DD4EEC" w:rsidRDefault="00DD4EEC" w:rsidP="008F72C8">
      <w:pPr>
        <w:pStyle w:val="Heading3"/>
        <w:spacing w:before="360"/>
        <w:contextualSpacing w:val="0"/>
        <w:rPr>
          <w:color w:val="auto"/>
        </w:rPr>
      </w:pPr>
      <w:r>
        <w:rPr>
          <w:noProof/>
          <w:color w:val="auto"/>
        </w:rPr>
        <w:lastRenderedPageBreak/>
        <w:drawing>
          <wp:inline distT="0" distB="0" distL="0" distR="0" wp14:anchorId="44B584D8" wp14:editId="4EAF5767">
            <wp:extent cx="6096635" cy="2743200"/>
            <wp:effectExtent l="0" t="0" r="0" b="0"/>
            <wp:docPr id="23" name="Picture 23" descr="Graph 4: ANCP climate finance AUD millions (estimate). 2016-17: 1.8 AUD million. 2017-18: 0.8 AUD million. 2018-19 3.8 AUD million. 2019-20: 4.2 AUD million. 2020-21 5.5 AUD million. 2021-22 9.5 AUD mil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 4: ANCP climate finance AUD millions (estimate). 2016-17: 1.8 AUD million. 2017-18: 0.8 AUD million. 2018-19 3.8 AUD million. 2019-20: 4.2 AUD million. 2020-21 5.5 AUD million. 2021-22 9.5 AUD mill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2743200"/>
                    </a:xfrm>
                    <a:prstGeom prst="rect">
                      <a:avLst/>
                    </a:prstGeom>
                    <a:noFill/>
                  </pic:spPr>
                </pic:pic>
              </a:graphicData>
            </a:graphic>
          </wp:inline>
        </w:drawing>
      </w:r>
    </w:p>
    <w:p w14:paraId="74922EC0" w14:textId="6D1012A3" w:rsidR="008F72C8" w:rsidRDefault="008F72C8" w:rsidP="008F72C8">
      <w:pPr>
        <w:pStyle w:val="Heading3"/>
        <w:spacing w:before="360"/>
        <w:contextualSpacing w:val="0"/>
        <w:rPr>
          <w:color w:val="auto"/>
        </w:rPr>
      </w:pPr>
      <w:r>
        <w:rPr>
          <w:color w:val="auto"/>
        </w:rPr>
        <w:t>A</w:t>
      </w:r>
      <w:r w:rsidRPr="00EB2326">
        <w:rPr>
          <w:color w:val="auto"/>
        </w:rPr>
        <w:t>ccreditation</w:t>
      </w:r>
    </w:p>
    <w:p w14:paraId="27187A15" w14:textId="77777777" w:rsidR="008F72C8" w:rsidRPr="00817240" w:rsidRDefault="008F72C8" w:rsidP="008F72C8">
      <w:pPr>
        <w:rPr>
          <w:color w:val="auto"/>
          <w:sz w:val="24"/>
          <w:szCs w:val="24"/>
          <w:lang w:val="en-AU"/>
        </w:rPr>
      </w:pPr>
      <w:r w:rsidRPr="00817240">
        <w:rPr>
          <w:color w:val="auto"/>
          <w:sz w:val="24"/>
          <w:szCs w:val="24"/>
          <w:lang w:val="en-AU"/>
        </w:rPr>
        <w:t xml:space="preserve">Twenty accreditation reviews were </w:t>
      </w:r>
      <w:r>
        <w:rPr>
          <w:color w:val="auto"/>
          <w:sz w:val="24"/>
          <w:szCs w:val="24"/>
          <w:lang w:val="en-AU"/>
        </w:rPr>
        <w:t>done</w:t>
      </w:r>
      <w:r w:rsidRPr="00817240">
        <w:rPr>
          <w:color w:val="auto"/>
          <w:sz w:val="24"/>
          <w:szCs w:val="24"/>
          <w:lang w:val="en-AU"/>
        </w:rPr>
        <w:t xml:space="preserve"> in 2021-22. </w:t>
      </w:r>
      <w:r>
        <w:rPr>
          <w:color w:val="auto"/>
          <w:sz w:val="24"/>
          <w:szCs w:val="24"/>
          <w:lang w:val="en-AU"/>
        </w:rPr>
        <w:t>Half</w:t>
      </w:r>
      <w:r w:rsidRPr="00817240">
        <w:rPr>
          <w:color w:val="auto"/>
          <w:sz w:val="24"/>
          <w:szCs w:val="24"/>
          <w:lang w:val="en-AU"/>
        </w:rPr>
        <w:t xml:space="preserve"> were completed as part of the five-year accreditation cycle, two were applications for upgrades and eight were new applications:</w:t>
      </w:r>
    </w:p>
    <w:p w14:paraId="711034B1" w14:textId="77777777" w:rsidR="008F72C8" w:rsidRPr="00817240" w:rsidRDefault="008F72C8" w:rsidP="008F72C8">
      <w:pPr>
        <w:pStyle w:val="ListParagraph"/>
        <w:numPr>
          <w:ilvl w:val="0"/>
          <w:numId w:val="19"/>
        </w:numPr>
        <w:rPr>
          <w:color w:val="auto"/>
          <w:sz w:val="24"/>
          <w:szCs w:val="24"/>
          <w:lang w:val="en-AU"/>
        </w:rPr>
      </w:pPr>
      <w:r w:rsidRPr="00817240">
        <w:rPr>
          <w:color w:val="auto"/>
          <w:sz w:val="24"/>
          <w:szCs w:val="24"/>
          <w:lang w:val="en-AU"/>
        </w:rPr>
        <w:t xml:space="preserve">Of the ten applications for re-accreditation, eight were re-accredited at Full and two at Base </w:t>
      </w:r>
    </w:p>
    <w:p w14:paraId="15C26BEE" w14:textId="77777777" w:rsidR="008F72C8" w:rsidRPr="00817240" w:rsidRDefault="008F72C8" w:rsidP="008F72C8">
      <w:pPr>
        <w:pStyle w:val="ListParagraph"/>
        <w:numPr>
          <w:ilvl w:val="0"/>
          <w:numId w:val="19"/>
        </w:numPr>
        <w:rPr>
          <w:color w:val="auto"/>
          <w:sz w:val="24"/>
          <w:szCs w:val="24"/>
          <w:lang w:val="en-AU"/>
        </w:rPr>
      </w:pPr>
      <w:r w:rsidRPr="00817240">
        <w:rPr>
          <w:color w:val="auto"/>
          <w:sz w:val="24"/>
          <w:szCs w:val="24"/>
          <w:lang w:val="en-AU"/>
        </w:rPr>
        <w:t xml:space="preserve">Of the two applications for upgrades, one was successful, and </w:t>
      </w:r>
      <w:r>
        <w:rPr>
          <w:color w:val="auto"/>
          <w:sz w:val="24"/>
          <w:szCs w:val="24"/>
          <w:lang w:val="en-AU"/>
        </w:rPr>
        <w:t>one</w:t>
      </w:r>
      <w:r w:rsidRPr="00817240">
        <w:rPr>
          <w:color w:val="auto"/>
          <w:sz w:val="24"/>
          <w:szCs w:val="24"/>
          <w:lang w:val="en-AU"/>
        </w:rPr>
        <w:t xml:space="preserve"> was re-accredited at Base </w:t>
      </w:r>
    </w:p>
    <w:p w14:paraId="5EB3463A" w14:textId="77777777" w:rsidR="008F72C8" w:rsidRPr="00817240" w:rsidRDefault="008F72C8" w:rsidP="008F72C8">
      <w:pPr>
        <w:pStyle w:val="ListParagraph"/>
        <w:numPr>
          <w:ilvl w:val="0"/>
          <w:numId w:val="19"/>
        </w:numPr>
        <w:rPr>
          <w:color w:val="auto"/>
          <w:sz w:val="24"/>
          <w:szCs w:val="24"/>
          <w:lang w:val="en-AU"/>
        </w:rPr>
      </w:pPr>
      <w:r w:rsidRPr="00817240">
        <w:rPr>
          <w:color w:val="auto"/>
          <w:sz w:val="24"/>
          <w:szCs w:val="24"/>
          <w:lang w:val="en-AU"/>
        </w:rPr>
        <w:t>Of the eight new applications, three applications were withdrawn, two applications failed (both applied for Base) and three were successful at Base (one had applied for Full accreditation)</w:t>
      </w:r>
      <w:r>
        <w:rPr>
          <w:color w:val="auto"/>
          <w:sz w:val="24"/>
          <w:szCs w:val="24"/>
          <w:lang w:val="en-AU"/>
        </w:rPr>
        <w:t>.</w:t>
      </w:r>
    </w:p>
    <w:p w14:paraId="1E9A04D3" w14:textId="77777777" w:rsidR="008F72C8" w:rsidRPr="00817240" w:rsidRDefault="008F72C8" w:rsidP="008F72C8">
      <w:pPr>
        <w:rPr>
          <w:color w:val="auto"/>
          <w:sz w:val="24"/>
          <w:szCs w:val="24"/>
          <w:lang w:val="en-AU"/>
        </w:rPr>
      </w:pPr>
      <w:r w:rsidRPr="00817240">
        <w:rPr>
          <w:color w:val="auto"/>
          <w:sz w:val="24"/>
          <w:szCs w:val="24"/>
          <w:lang w:val="en-AU"/>
        </w:rPr>
        <w:t xml:space="preserve">DFAT provided four NGOs with Technical Assistance to help prepare for accreditation.  </w:t>
      </w:r>
    </w:p>
    <w:p w14:paraId="0807E70C" w14:textId="77777777" w:rsidR="008F72C8" w:rsidRDefault="008F72C8" w:rsidP="00F948EC">
      <w:pPr>
        <w:rPr>
          <w:color w:val="auto"/>
          <w:lang w:val="en-AU"/>
        </w:rPr>
      </w:pPr>
    </w:p>
    <w:sectPr w:rsidR="008F72C8" w:rsidSect="00461970">
      <w:headerReference w:type="default" r:id="rId13"/>
      <w:footerReference w:type="default" r:id="rId14"/>
      <w:headerReference w:type="first" r:id="rId15"/>
      <w:footerReference w:type="first" r:id="rId16"/>
      <w:pgSz w:w="11906" w:h="16838" w:code="9"/>
      <w:pgMar w:top="1701" w:right="1134" w:bottom="1276"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7EA3" w14:textId="77777777" w:rsidR="0056180E" w:rsidRDefault="0056180E" w:rsidP="00D37B04">
      <w:r>
        <w:separator/>
      </w:r>
    </w:p>
  </w:endnote>
  <w:endnote w:type="continuationSeparator" w:id="0">
    <w:p w14:paraId="5B362A6D" w14:textId="77777777" w:rsidR="0056180E" w:rsidRDefault="0056180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184928"/>
      <w:docPartObj>
        <w:docPartGallery w:val="Page Numbers (Bottom of Page)"/>
        <w:docPartUnique/>
      </w:docPartObj>
    </w:sdtPr>
    <w:sdtEndPr>
      <w:rPr>
        <w:noProof/>
      </w:rPr>
    </w:sdtEndPr>
    <w:sdtContent>
      <w:p w14:paraId="597AF30D" w14:textId="2B633168" w:rsidR="008F620B" w:rsidRDefault="008F620B">
        <w:pPr>
          <w:pStyle w:val="Footer"/>
          <w:jc w:val="right"/>
        </w:pPr>
        <w:r>
          <w:fldChar w:fldCharType="begin"/>
        </w:r>
        <w:r>
          <w:instrText xml:space="preserve"> PAGE   \* MERGEFORMAT </w:instrText>
        </w:r>
        <w:r>
          <w:fldChar w:fldCharType="separate"/>
        </w:r>
        <w:r w:rsidR="00D27B4A">
          <w:rPr>
            <w:noProof/>
          </w:rPr>
          <w:t>6</w:t>
        </w:r>
        <w:r>
          <w:rPr>
            <w:noProof/>
          </w:rPr>
          <w:fldChar w:fldCharType="end"/>
        </w:r>
      </w:p>
    </w:sdtContent>
  </w:sdt>
  <w:p w14:paraId="1E6BF486" w14:textId="1482FFFF" w:rsidR="008F620B" w:rsidRDefault="008F620B" w:rsidP="008F620B">
    <w:pPr>
      <w:pStyle w:val="Footer"/>
      <w:tabs>
        <w:tab w:val="left" w:pos="83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142270"/>
      <w:docPartObj>
        <w:docPartGallery w:val="Page Numbers (Bottom of Page)"/>
        <w:docPartUnique/>
      </w:docPartObj>
    </w:sdtPr>
    <w:sdtEndPr>
      <w:rPr>
        <w:noProof/>
      </w:rPr>
    </w:sdtEndPr>
    <w:sdtContent>
      <w:p w14:paraId="1FBFF1BA" w14:textId="082B16F3" w:rsidR="008F620B" w:rsidRDefault="008F620B">
        <w:pPr>
          <w:pStyle w:val="Footer"/>
          <w:jc w:val="right"/>
        </w:pPr>
        <w:r>
          <w:fldChar w:fldCharType="begin"/>
        </w:r>
        <w:r>
          <w:instrText xml:space="preserve"> PAGE   \* MERGEFORMAT </w:instrText>
        </w:r>
        <w:r>
          <w:fldChar w:fldCharType="separate"/>
        </w:r>
        <w:r w:rsidR="00B82A22">
          <w:rPr>
            <w:noProof/>
          </w:rPr>
          <w:t>1</w:t>
        </w:r>
        <w:r>
          <w:rPr>
            <w:noProof/>
          </w:rPr>
          <w:fldChar w:fldCharType="end"/>
        </w:r>
      </w:p>
    </w:sdtContent>
  </w:sdt>
  <w:p w14:paraId="60978CAD" w14:textId="4797A5C9"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5FDD" w14:textId="77777777" w:rsidR="0056180E" w:rsidRPr="008C5A0E" w:rsidRDefault="0056180E" w:rsidP="00D37B04">
      <w:pPr>
        <w:pStyle w:val="Footer"/>
      </w:pPr>
    </w:p>
  </w:footnote>
  <w:footnote w:type="continuationSeparator" w:id="0">
    <w:p w14:paraId="416876A9" w14:textId="77777777" w:rsidR="0056180E" w:rsidRDefault="0056180E" w:rsidP="00D37B04">
      <w:r>
        <w:continuationSeparator/>
      </w:r>
    </w:p>
  </w:footnote>
  <w:footnote w:id="1">
    <w:p w14:paraId="09440374" w14:textId="1D6B0892" w:rsidR="006A2D61" w:rsidRPr="00461970" w:rsidRDefault="006A2D61" w:rsidP="006A2D61">
      <w:pPr>
        <w:pStyle w:val="FootnoteText"/>
        <w:rPr>
          <w:b/>
          <w:bCs/>
          <w:color w:val="auto"/>
          <w:lang w:val="en-AU"/>
        </w:rPr>
      </w:pPr>
      <w:r w:rsidRPr="00461970">
        <w:rPr>
          <w:rStyle w:val="FootnoteReference"/>
          <w:b/>
          <w:bCs/>
          <w:color w:val="auto"/>
        </w:rPr>
        <w:footnoteRef/>
      </w:r>
      <w:r w:rsidRPr="00461970">
        <w:rPr>
          <w:b/>
          <w:bCs/>
          <w:color w:val="auto"/>
        </w:rPr>
        <w:t xml:space="preserve"> The data provided in the Annual Snapshot is drawn from annual progress reporting by ANCP NGOs. </w:t>
      </w:r>
      <w:r w:rsidRPr="00461970">
        <w:rPr>
          <w:b/>
          <w:bCs/>
          <w:color w:val="auto"/>
          <w:lang w:val="en-AU"/>
        </w:rPr>
        <w:t>The ANCP captures both quantitative and qualitative data in its annual progress reporting. Quantitative data is reported under 4</w:t>
      </w:r>
      <w:r w:rsidR="00CC7CF5" w:rsidRPr="00461970">
        <w:rPr>
          <w:b/>
          <w:bCs/>
          <w:color w:val="auto"/>
          <w:lang w:val="en-AU"/>
        </w:rPr>
        <w:t>8</w:t>
      </w:r>
      <w:r w:rsidRPr="00461970">
        <w:rPr>
          <w:b/>
          <w:bCs/>
          <w:color w:val="auto"/>
          <w:lang w:val="en-AU"/>
        </w:rPr>
        <w:t xml:space="preserve"> program indicators</w:t>
      </w:r>
      <w:r w:rsidR="00C858A1" w:rsidRPr="00461970">
        <w:rPr>
          <w:b/>
          <w:bCs/>
          <w:color w:val="auto"/>
          <w:lang w:val="en-AU"/>
        </w:rPr>
        <w:t>.</w:t>
      </w:r>
      <w:r w:rsidRPr="00461970">
        <w:rPr>
          <w:b/>
          <w:bCs/>
          <w:color w:val="auto"/>
          <w:lang w:val="en-AU"/>
        </w:rPr>
        <w:t xml:space="preserve">  </w:t>
      </w:r>
    </w:p>
  </w:footnote>
  <w:footnote w:id="2">
    <w:p w14:paraId="5B25A654" w14:textId="53487830" w:rsidR="0065632D" w:rsidRPr="00461970" w:rsidRDefault="0065632D">
      <w:pPr>
        <w:pStyle w:val="FootnoteText"/>
        <w:rPr>
          <w:b/>
          <w:bCs/>
          <w:color w:val="auto"/>
          <w:lang w:val="en-AU"/>
        </w:rPr>
      </w:pPr>
      <w:r w:rsidRPr="00461970">
        <w:rPr>
          <w:rStyle w:val="FootnoteReference"/>
          <w:b/>
          <w:bCs/>
          <w:color w:val="auto"/>
        </w:rPr>
        <w:footnoteRef/>
      </w:r>
      <w:r w:rsidRPr="00461970">
        <w:rPr>
          <w:b/>
          <w:bCs/>
          <w:color w:val="auto"/>
        </w:rPr>
        <w:t xml:space="preserve"> </w:t>
      </w:r>
      <w:r w:rsidRPr="00461970">
        <w:rPr>
          <w:b/>
          <w:bCs/>
          <w:color w:val="auto"/>
          <w:lang w:val="en-AU"/>
        </w:rPr>
        <w:t>COVID-19 expenditure is the amount of DFAT grant funding used for activities in response to COVID-19 such as public health messagin</w:t>
      </w:r>
      <w:r w:rsidR="00461970" w:rsidRPr="00461970">
        <w:rPr>
          <w:b/>
          <w:bCs/>
          <w:color w:val="auto"/>
          <w:lang w:val="en-AU"/>
        </w:rPr>
        <w:t>g.</w:t>
      </w:r>
      <w:r w:rsidRPr="00461970">
        <w:rPr>
          <w:b/>
          <w:bCs/>
          <w:color w:val="auto"/>
          <w:lang w:val="en-AU"/>
        </w:rPr>
        <w:t xml:space="preserve"> </w:t>
      </w:r>
    </w:p>
  </w:footnote>
  <w:footnote w:id="3">
    <w:p w14:paraId="2CED666D" w14:textId="4B4B81A2" w:rsidR="00252073" w:rsidRPr="00215691" w:rsidRDefault="00252073">
      <w:pPr>
        <w:pStyle w:val="FootnoteText"/>
        <w:rPr>
          <w:b/>
          <w:bCs/>
          <w:color w:val="auto"/>
          <w:lang w:val="en-AU"/>
        </w:rPr>
      </w:pPr>
      <w:r w:rsidRPr="00215691">
        <w:rPr>
          <w:rStyle w:val="FootnoteReference"/>
          <w:b/>
          <w:bCs/>
          <w:color w:val="auto"/>
        </w:rPr>
        <w:footnoteRef/>
      </w:r>
      <w:r w:rsidRPr="00215691">
        <w:rPr>
          <w:b/>
          <w:bCs/>
          <w:color w:val="auto"/>
        </w:rPr>
        <w:t xml:space="preserve"> In 2021-22 </w:t>
      </w:r>
      <w:r w:rsidRPr="00215691">
        <w:rPr>
          <w:b/>
          <w:bCs/>
          <w:color w:val="auto"/>
          <w:lang w:val="en-AU"/>
        </w:rPr>
        <w:t xml:space="preserve">NGOs were required to report one to three of the five Intermediate Outcomes under </w:t>
      </w:r>
      <w:r w:rsidR="00215691">
        <w:rPr>
          <w:b/>
          <w:bCs/>
          <w:color w:val="auto"/>
          <w:lang w:val="en-AU"/>
        </w:rPr>
        <w:t xml:space="preserve">ANCP </w:t>
      </w:r>
      <w:r w:rsidRPr="00215691">
        <w:rPr>
          <w:b/>
          <w:bCs/>
          <w:color w:val="auto"/>
          <w:lang w:val="en-AU"/>
        </w:rPr>
        <w:t>Pathway 2. Therefore, not all ANCP NGOs reported against the capacity strengthening outcome.</w:t>
      </w:r>
    </w:p>
  </w:footnote>
  <w:footnote w:id="4">
    <w:p w14:paraId="698BB09C" w14:textId="1F79FA39" w:rsidR="00A82651" w:rsidRPr="00CF72EA" w:rsidRDefault="00A82651">
      <w:pPr>
        <w:pStyle w:val="FootnoteText"/>
        <w:rPr>
          <w:b/>
          <w:bCs/>
          <w:color w:val="auto"/>
          <w:szCs w:val="12"/>
          <w:lang w:val="en-AU"/>
        </w:rPr>
      </w:pPr>
      <w:r w:rsidRPr="00CF72EA">
        <w:rPr>
          <w:rStyle w:val="FootnoteReference"/>
          <w:b/>
          <w:bCs/>
          <w:color w:val="auto"/>
        </w:rPr>
        <w:footnoteRef/>
      </w:r>
      <w:r w:rsidRPr="00CF72EA">
        <w:rPr>
          <w:b/>
          <w:bCs/>
          <w:color w:val="auto"/>
        </w:rPr>
        <w:t xml:space="preserve"> </w:t>
      </w:r>
      <w:r w:rsidRPr="00CF72EA">
        <w:rPr>
          <w:b/>
          <w:bCs/>
          <w:color w:val="auto"/>
          <w:szCs w:val="12"/>
          <w:lang w:val="en-AU"/>
        </w:rPr>
        <w:t>Note: 2021-22 was the first year in which reporting on ANCP climate finance expenditure was mandatory.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ED28"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20ABCBE5" wp14:editId="21CE9E23">
          <wp:simplePos x="0" y="0"/>
          <wp:positionH relativeFrom="page">
            <wp:posOffset>52705</wp:posOffset>
          </wp:positionH>
          <wp:positionV relativeFrom="page">
            <wp:posOffset>158115</wp:posOffset>
          </wp:positionV>
          <wp:extent cx="7447280" cy="10480675"/>
          <wp:effectExtent l="0" t="0" r="127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DFA2"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68129797" wp14:editId="6A24D364">
          <wp:simplePos x="0" y="0"/>
          <wp:positionH relativeFrom="page">
            <wp:posOffset>46990</wp:posOffset>
          </wp:positionH>
          <wp:positionV relativeFrom="page">
            <wp:posOffset>5080</wp:posOffset>
          </wp:positionV>
          <wp:extent cx="7512050" cy="10639425"/>
          <wp:effectExtent l="0" t="0" r="0" b="952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6C866AA"/>
    <w:multiLevelType w:val="hybridMultilevel"/>
    <w:tmpl w:val="CE68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1F13AA"/>
    <w:multiLevelType w:val="hybridMultilevel"/>
    <w:tmpl w:val="099615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4A926FC"/>
    <w:multiLevelType w:val="hybridMultilevel"/>
    <w:tmpl w:val="7A4AE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565667"/>
    <w:multiLevelType w:val="multilevel"/>
    <w:tmpl w:val="5D9A3B7C"/>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7" w15:restartNumberingAfterBreak="0">
    <w:nsid w:val="52553D9F"/>
    <w:multiLevelType w:val="multilevel"/>
    <w:tmpl w:val="A6FA45D0"/>
    <w:numStyleLink w:val="BulletsList"/>
  </w:abstractNum>
  <w:abstractNum w:abstractNumId="8" w15:restartNumberingAfterBreak="0">
    <w:nsid w:val="576B710B"/>
    <w:multiLevelType w:val="hybridMultilevel"/>
    <w:tmpl w:val="18B2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4B44C2"/>
    <w:multiLevelType w:val="hybridMultilevel"/>
    <w:tmpl w:val="234C6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0143855"/>
    <w:multiLevelType w:val="hybridMultilevel"/>
    <w:tmpl w:val="8758B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7F801BA7"/>
    <w:multiLevelType w:val="hybridMultilevel"/>
    <w:tmpl w:val="03CA9576"/>
    <w:lvl w:ilvl="0" w:tplc="59EE5B86">
      <w:start w:val="1"/>
      <w:numFmt w:val="bullet"/>
      <w:lvlText w:val=""/>
      <w:lvlPicBulletId w:val="0"/>
      <w:lvlJc w:val="left"/>
      <w:pPr>
        <w:tabs>
          <w:tab w:val="num" w:pos="720"/>
        </w:tabs>
        <w:ind w:left="720" w:hanging="360"/>
      </w:pPr>
      <w:rPr>
        <w:rFonts w:ascii="Symbol" w:hAnsi="Symbol" w:hint="default"/>
      </w:rPr>
    </w:lvl>
    <w:lvl w:ilvl="1" w:tplc="AC688C60" w:tentative="1">
      <w:start w:val="1"/>
      <w:numFmt w:val="bullet"/>
      <w:lvlText w:val=""/>
      <w:lvlJc w:val="left"/>
      <w:pPr>
        <w:tabs>
          <w:tab w:val="num" w:pos="1440"/>
        </w:tabs>
        <w:ind w:left="1440" w:hanging="360"/>
      </w:pPr>
      <w:rPr>
        <w:rFonts w:ascii="Symbol" w:hAnsi="Symbol" w:hint="default"/>
      </w:rPr>
    </w:lvl>
    <w:lvl w:ilvl="2" w:tplc="DA488180" w:tentative="1">
      <w:start w:val="1"/>
      <w:numFmt w:val="bullet"/>
      <w:lvlText w:val=""/>
      <w:lvlJc w:val="left"/>
      <w:pPr>
        <w:tabs>
          <w:tab w:val="num" w:pos="2160"/>
        </w:tabs>
        <w:ind w:left="2160" w:hanging="360"/>
      </w:pPr>
      <w:rPr>
        <w:rFonts w:ascii="Symbol" w:hAnsi="Symbol" w:hint="default"/>
      </w:rPr>
    </w:lvl>
    <w:lvl w:ilvl="3" w:tplc="8C507B7A" w:tentative="1">
      <w:start w:val="1"/>
      <w:numFmt w:val="bullet"/>
      <w:lvlText w:val=""/>
      <w:lvlJc w:val="left"/>
      <w:pPr>
        <w:tabs>
          <w:tab w:val="num" w:pos="2880"/>
        </w:tabs>
        <w:ind w:left="2880" w:hanging="360"/>
      </w:pPr>
      <w:rPr>
        <w:rFonts w:ascii="Symbol" w:hAnsi="Symbol" w:hint="default"/>
      </w:rPr>
    </w:lvl>
    <w:lvl w:ilvl="4" w:tplc="8C04DE3E" w:tentative="1">
      <w:start w:val="1"/>
      <w:numFmt w:val="bullet"/>
      <w:lvlText w:val=""/>
      <w:lvlJc w:val="left"/>
      <w:pPr>
        <w:tabs>
          <w:tab w:val="num" w:pos="3600"/>
        </w:tabs>
        <w:ind w:left="3600" w:hanging="360"/>
      </w:pPr>
      <w:rPr>
        <w:rFonts w:ascii="Symbol" w:hAnsi="Symbol" w:hint="default"/>
      </w:rPr>
    </w:lvl>
    <w:lvl w:ilvl="5" w:tplc="A300A172" w:tentative="1">
      <w:start w:val="1"/>
      <w:numFmt w:val="bullet"/>
      <w:lvlText w:val=""/>
      <w:lvlJc w:val="left"/>
      <w:pPr>
        <w:tabs>
          <w:tab w:val="num" w:pos="4320"/>
        </w:tabs>
        <w:ind w:left="4320" w:hanging="360"/>
      </w:pPr>
      <w:rPr>
        <w:rFonts w:ascii="Symbol" w:hAnsi="Symbol" w:hint="default"/>
      </w:rPr>
    </w:lvl>
    <w:lvl w:ilvl="6" w:tplc="08F8814A" w:tentative="1">
      <w:start w:val="1"/>
      <w:numFmt w:val="bullet"/>
      <w:lvlText w:val=""/>
      <w:lvlJc w:val="left"/>
      <w:pPr>
        <w:tabs>
          <w:tab w:val="num" w:pos="5040"/>
        </w:tabs>
        <w:ind w:left="5040" w:hanging="360"/>
      </w:pPr>
      <w:rPr>
        <w:rFonts w:ascii="Symbol" w:hAnsi="Symbol" w:hint="default"/>
      </w:rPr>
    </w:lvl>
    <w:lvl w:ilvl="7" w:tplc="894496DE" w:tentative="1">
      <w:start w:val="1"/>
      <w:numFmt w:val="bullet"/>
      <w:lvlText w:val=""/>
      <w:lvlJc w:val="left"/>
      <w:pPr>
        <w:tabs>
          <w:tab w:val="num" w:pos="5760"/>
        </w:tabs>
        <w:ind w:left="5760" w:hanging="360"/>
      </w:pPr>
      <w:rPr>
        <w:rFonts w:ascii="Symbol" w:hAnsi="Symbol" w:hint="default"/>
      </w:rPr>
    </w:lvl>
    <w:lvl w:ilvl="8" w:tplc="4C68B014"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1"/>
  </w:num>
  <w:num w:numId="3">
    <w:abstractNumId w:val="5"/>
  </w:num>
  <w:num w:numId="4">
    <w:abstractNumId w:val="9"/>
  </w:num>
  <w:num w:numId="5">
    <w:abstractNumId w:val="11"/>
  </w:num>
  <w:num w:numId="6">
    <w:abstractNumId w:val="5"/>
  </w:num>
  <w:num w:numId="7">
    <w:abstractNumId w:val="1"/>
  </w:num>
  <w:num w:numId="8">
    <w:abstractNumId w:val="3"/>
  </w:num>
  <w:num w:numId="9">
    <w:abstractNumId w:val="14"/>
  </w:num>
  <w:num w:numId="10">
    <w:abstractNumId w:val="7"/>
  </w:num>
  <w:num w:numId="11">
    <w:abstractNumId w:val="10"/>
  </w:num>
  <w:num w:numId="12">
    <w:abstractNumId w:val="0"/>
  </w:num>
  <w:num w:numId="13">
    <w:abstractNumId w:val="4"/>
  </w:num>
  <w:num w:numId="14">
    <w:abstractNumId w:val="8"/>
  </w:num>
  <w:num w:numId="15">
    <w:abstractNumId w:val="15"/>
  </w:num>
  <w:num w:numId="16">
    <w:abstractNumId w:val="6"/>
  </w:num>
  <w:num w:numId="17">
    <w:abstractNumId w:val="7"/>
  </w:num>
  <w:num w:numId="18">
    <w:abstractNumId w:val="10"/>
  </w:num>
  <w:num w:numId="19">
    <w:abstractNumId w:val="12"/>
  </w:num>
  <w:num w:numId="2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2503"/>
    <w:rsid w:val="00002536"/>
    <w:rsid w:val="000028CA"/>
    <w:rsid w:val="000028D9"/>
    <w:rsid w:val="000029F2"/>
    <w:rsid w:val="00002D49"/>
    <w:rsid w:val="0000361F"/>
    <w:rsid w:val="00005037"/>
    <w:rsid w:val="0000621B"/>
    <w:rsid w:val="000066F9"/>
    <w:rsid w:val="00010853"/>
    <w:rsid w:val="000113A2"/>
    <w:rsid w:val="00015783"/>
    <w:rsid w:val="0002080A"/>
    <w:rsid w:val="00021875"/>
    <w:rsid w:val="000224DC"/>
    <w:rsid w:val="0002782F"/>
    <w:rsid w:val="000311E2"/>
    <w:rsid w:val="0003405F"/>
    <w:rsid w:val="00035BBF"/>
    <w:rsid w:val="00036D95"/>
    <w:rsid w:val="000378BA"/>
    <w:rsid w:val="00040DF1"/>
    <w:rsid w:val="00041B60"/>
    <w:rsid w:val="00044388"/>
    <w:rsid w:val="00045479"/>
    <w:rsid w:val="00046645"/>
    <w:rsid w:val="00047150"/>
    <w:rsid w:val="0005030C"/>
    <w:rsid w:val="00050806"/>
    <w:rsid w:val="000509F1"/>
    <w:rsid w:val="00051D7F"/>
    <w:rsid w:val="00052D24"/>
    <w:rsid w:val="00053C87"/>
    <w:rsid w:val="000546D9"/>
    <w:rsid w:val="000549CF"/>
    <w:rsid w:val="00054AAA"/>
    <w:rsid w:val="00054CE0"/>
    <w:rsid w:val="00054E4D"/>
    <w:rsid w:val="000563B1"/>
    <w:rsid w:val="00060073"/>
    <w:rsid w:val="000601E3"/>
    <w:rsid w:val="000616C6"/>
    <w:rsid w:val="000627AB"/>
    <w:rsid w:val="00063CC4"/>
    <w:rsid w:val="000640FF"/>
    <w:rsid w:val="00064585"/>
    <w:rsid w:val="00064E96"/>
    <w:rsid w:val="000656B9"/>
    <w:rsid w:val="0006629B"/>
    <w:rsid w:val="00066BFE"/>
    <w:rsid w:val="00067CB4"/>
    <w:rsid w:val="0007034D"/>
    <w:rsid w:val="00070A9B"/>
    <w:rsid w:val="00071788"/>
    <w:rsid w:val="0007333F"/>
    <w:rsid w:val="00073739"/>
    <w:rsid w:val="00074CE2"/>
    <w:rsid w:val="00076277"/>
    <w:rsid w:val="000763F9"/>
    <w:rsid w:val="0007752C"/>
    <w:rsid w:val="00081621"/>
    <w:rsid w:val="000833D5"/>
    <w:rsid w:val="00083F49"/>
    <w:rsid w:val="00084E2D"/>
    <w:rsid w:val="000854FD"/>
    <w:rsid w:val="0008696B"/>
    <w:rsid w:val="00094FD0"/>
    <w:rsid w:val="00095830"/>
    <w:rsid w:val="00095DD1"/>
    <w:rsid w:val="000A0A15"/>
    <w:rsid w:val="000A27DF"/>
    <w:rsid w:val="000A3256"/>
    <w:rsid w:val="000A409A"/>
    <w:rsid w:val="000A48C1"/>
    <w:rsid w:val="000A4CDD"/>
    <w:rsid w:val="000A63EE"/>
    <w:rsid w:val="000A799D"/>
    <w:rsid w:val="000B1D94"/>
    <w:rsid w:val="000B26BD"/>
    <w:rsid w:val="000B2A14"/>
    <w:rsid w:val="000B30EC"/>
    <w:rsid w:val="000B37F5"/>
    <w:rsid w:val="000B40BA"/>
    <w:rsid w:val="000B531E"/>
    <w:rsid w:val="000B5EBD"/>
    <w:rsid w:val="000B67D3"/>
    <w:rsid w:val="000C1E98"/>
    <w:rsid w:val="000C45DA"/>
    <w:rsid w:val="000C5205"/>
    <w:rsid w:val="000C59AB"/>
    <w:rsid w:val="000D06BD"/>
    <w:rsid w:val="000D0D1A"/>
    <w:rsid w:val="000D1AA3"/>
    <w:rsid w:val="000D31C8"/>
    <w:rsid w:val="000D516A"/>
    <w:rsid w:val="000D5375"/>
    <w:rsid w:val="000D66D6"/>
    <w:rsid w:val="000D6E0F"/>
    <w:rsid w:val="000E4710"/>
    <w:rsid w:val="000E5163"/>
    <w:rsid w:val="000E6064"/>
    <w:rsid w:val="000F1140"/>
    <w:rsid w:val="000F12BA"/>
    <w:rsid w:val="000F27F0"/>
    <w:rsid w:val="000F6A4A"/>
    <w:rsid w:val="00100C54"/>
    <w:rsid w:val="00100E81"/>
    <w:rsid w:val="001010FF"/>
    <w:rsid w:val="0010205D"/>
    <w:rsid w:val="00102AA5"/>
    <w:rsid w:val="00103229"/>
    <w:rsid w:val="00103C43"/>
    <w:rsid w:val="0010548A"/>
    <w:rsid w:val="00105F81"/>
    <w:rsid w:val="00110C57"/>
    <w:rsid w:val="00110C81"/>
    <w:rsid w:val="00112A44"/>
    <w:rsid w:val="00113288"/>
    <w:rsid w:val="00116CF5"/>
    <w:rsid w:val="001214BE"/>
    <w:rsid w:val="00122140"/>
    <w:rsid w:val="00122662"/>
    <w:rsid w:val="00126D0D"/>
    <w:rsid w:val="00127FA7"/>
    <w:rsid w:val="0013101C"/>
    <w:rsid w:val="00132E6B"/>
    <w:rsid w:val="001331B8"/>
    <w:rsid w:val="001334AE"/>
    <w:rsid w:val="00134AE9"/>
    <w:rsid w:val="00135C12"/>
    <w:rsid w:val="001428E9"/>
    <w:rsid w:val="00142E86"/>
    <w:rsid w:val="001461D6"/>
    <w:rsid w:val="00147892"/>
    <w:rsid w:val="00152838"/>
    <w:rsid w:val="001529C6"/>
    <w:rsid w:val="00152DB1"/>
    <w:rsid w:val="00153625"/>
    <w:rsid w:val="00153818"/>
    <w:rsid w:val="00153910"/>
    <w:rsid w:val="001541EA"/>
    <w:rsid w:val="00155C44"/>
    <w:rsid w:val="00157872"/>
    <w:rsid w:val="001613A1"/>
    <w:rsid w:val="001616D0"/>
    <w:rsid w:val="00161B3F"/>
    <w:rsid w:val="00161BBD"/>
    <w:rsid w:val="0016309B"/>
    <w:rsid w:val="0016498E"/>
    <w:rsid w:val="00166DB6"/>
    <w:rsid w:val="0017015E"/>
    <w:rsid w:val="001701DA"/>
    <w:rsid w:val="00170384"/>
    <w:rsid w:val="001703CD"/>
    <w:rsid w:val="001711A4"/>
    <w:rsid w:val="0017173E"/>
    <w:rsid w:val="00171FDA"/>
    <w:rsid w:val="001727A9"/>
    <w:rsid w:val="00172A1C"/>
    <w:rsid w:val="00172DB3"/>
    <w:rsid w:val="00173440"/>
    <w:rsid w:val="001734CE"/>
    <w:rsid w:val="0018048D"/>
    <w:rsid w:val="00180F4D"/>
    <w:rsid w:val="00182271"/>
    <w:rsid w:val="00182333"/>
    <w:rsid w:val="001826F6"/>
    <w:rsid w:val="00182882"/>
    <w:rsid w:val="00185B32"/>
    <w:rsid w:val="001861F6"/>
    <w:rsid w:val="00186233"/>
    <w:rsid w:val="0018762D"/>
    <w:rsid w:val="001907AA"/>
    <w:rsid w:val="001921B2"/>
    <w:rsid w:val="00192AEF"/>
    <w:rsid w:val="001930E5"/>
    <w:rsid w:val="001943A4"/>
    <w:rsid w:val="00194EB8"/>
    <w:rsid w:val="0019509C"/>
    <w:rsid w:val="001954DA"/>
    <w:rsid w:val="001962F2"/>
    <w:rsid w:val="00196FFE"/>
    <w:rsid w:val="001A1298"/>
    <w:rsid w:val="001A1987"/>
    <w:rsid w:val="001A1E2A"/>
    <w:rsid w:val="001A2B2E"/>
    <w:rsid w:val="001A3407"/>
    <w:rsid w:val="001A4A2C"/>
    <w:rsid w:val="001A4DF0"/>
    <w:rsid w:val="001A50CF"/>
    <w:rsid w:val="001A7ED5"/>
    <w:rsid w:val="001B054B"/>
    <w:rsid w:val="001B5042"/>
    <w:rsid w:val="001B6E79"/>
    <w:rsid w:val="001C0A33"/>
    <w:rsid w:val="001C3631"/>
    <w:rsid w:val="001C4C83"/>
    <w:rsid w:val="001C4F9A"/>
    <w:rsid w:val="001C50B3"/>
    <w:rsid w:val="001C525A"/>
    <w:rsid w:val="001C5540"/>
    <w:rsid w:val="001D0EDA"/>
    <w:rsid w:val="001D2467"/>
    <w:rsid w:val="001D4183"/>
    <w:rsid w:val="001D46C1"/>
    <w:rsid w:val="001D663E"/>
    <w:rsid w:val="001E04BA"/>
    <w:rsid w:val="001E075B"/>
    <w:rsid w:val="001E1DC0"/>
    <w:rsid w:val="001E2C38"/>
    <w:rsid w:val="001E2C8B"/>
    <w:rsid w:val="001E2EE8"/>
    <w:rsid w:val="001E3A04"/>
    <w:rsid w:val="001E3BA5"/>
    <w:rsid w:val="001F18C9"/>
    <w:rsid w:val="001F2160"/>
    <w:rsid w:val="001F2D15"/>
    <w:rsid w:val="001F4AAC"/>
    <w:rsid w:val="001F4ACC"/>
    <w:rsid w:val="001F6233"/>
    <w:rsid w:val="001F62D1"/>
    <w:rsid w:val="00203277"/>
    <w:rsid w:val="00204274"/>
    <w:rsid w:val="00205865"/>
    <w:rsid w:val="00205B2E"/>
    <w:rsid w:val="002068B7"/>
    <w:rsid w:val="00207EA4"/>
    <w:rsid w:val="00210402"/>
    <w:rsid w:val="00210938"/>
    <w:rsid w:val="00213438"/>
    <w:rsid w:val="002134F2"/>
    <w:rsid w:val="00213A46"/>
    <w:rsid w:val="00215691"/>
    <w:rsid w:val="0021678A"/>
    <w:rsid w:val="00217BC3"/>
    <w:rsid w:val="0022166A"/>
    <w:rsid w:val="00223263"/>
    <w:rsid w:val="002252C2"/>
    <w:rsid w:val="00225B1F"/>
    <w:rsid w:val="00225DD3"/>
    <w:rsid w:val="0022631C"/>
    <w:rsid w:val="00230777"/>
    <w:rsid w:val="00231DE8"/>
    <w:rsid w:val="0023354D"/>
    <w:rsid w:val="00235E0C"/>
    <w:rsid w:val="00235EAB"/>
    <w:rsid w:val="0024043D"/>
    <w:rsid w:val="0024052C"/>
    <w:rsid w:val="00240D59"/>
    <w:rsid w:val="00241C1F"/>
    <w:rsid w:val="00242FF6"/>
    <w:rsid w:val="0024337B"/>
    <w:rsid w:val="00246F86"/>
    <w:rsid w:val="00246FD8"/>
    <w:rsid w:val="002478FD"/>
    <w:rsid w:val="0025047C"/>
    <w:rsid w:val="00250B2C"/>
    <w:rsid w:val="00250EDF"/>
    <w:rsid w:val="00252073"/>
    <w:rsid w:val="00252C04"/>
    <w:rsid w:val="0025449E"/>
    <w:rsid w:val="002561D1"/>
    <w:rsid w:val="00257F61"/>
    <w:rsid w:val="002607AE"/>
    <w:rsid w:val="00260B93"/>
    <w:rsid w:val="00261B51"/>
    <w:rsid w:val="0026204B"/>
    <w:rsid w:val="002627DA"/>
    <w:rsid w:val="00263A6E"/>
    <w:rsid w:val="002646C3"/>
    <w:rsid w:val="00265DDB"/>
    <w:rsid w:val="002662AC"/>
    <w:rsid w:val="00266A9A"/>
    <w:rsid w:val="00267450"/>
    <w:rsid w:val="00276A54"/>
    <w:rsid w:val="00276AD2"/>
    <w:rsid w:val="00280A39"/>
    <w:rsid w:val="00283CCB"/>
    <w:rsid w:val="0028602A"/>
    <w:rsid w:val="0028636C"/>
    <w:rsid w:val="00286A34"/>
    <w:rsid w:val="00286E7E"/>
    <w:rsid w:val="0028754E"/>
    <w:rsid w:val="0028754F"/>
    <w:rsid w:val="0029333B"/>
    <w:rsid w:val="0029534B"/>
    <w:rsid w:val="00296629"/>
    <w:rsid w:val="002969D2"/>
    <w:rsid w:val="0029720E"/>
    <w:rsid w:val="002976AF"/>
    <w:rsid w:val="002A0748"/>
    <w:rsid w:val="002A33C3"/>
    <w:rsid w:val="002A360D"/>
    <w:rsid w:val="002A4337"/>
    <w:rsid w:val="002A4B1F"/>
    <w:rsid w:val="002A6E9E"/>
    <w:rsid w:val="002A7F56"/>
    <w:rsid w:val="002B0E54"/>
    <w:rsid w:val="002B16A5"/>
    <w:rsid w:val="002B268E"/>
    <w:rsid w:val="002B5E10"/>
    <w:rsid w:val="002B61FA"/>
    <w:rsid w:val="002B7C19"/>
    <w:rsid w:val="002C0A22"/>
    <w:rsid w:val="002C298C"/>
    <w:rsid w:val="002C32F3"/>
    <w:rsid w:val="002C3844"/>
    <w:rsid w:val="002C4CDE"/>
    <w:rsid w:val="002C693E"/>
    <w:rsid w:val="002C6FCF"/>
    <w:rsid w:val="002C72F9"/>
    <w:rsid w:val="002C77B5"/>
    <w:rsid w:val="002C793D"/>
    <w:rsid w:val="002D02BC"/>
    <w:rsid w:val="002D1980"/>
    <w:rsid w:val="002D2D14"/>
    <w:rsid w:val="002D42BD"/>
    <w:rsid w:val="002D4A42"/>
    <w:rsid w:val="002D4BCF"/>
    <w:rsid w:val="002D5B25"/>
    <w:rsid w:val="002D722B"/>
    <w:rsid w:val="002E1200"/>
    <w:rsid w:val="002E2495"/>
    <w:rsid w:val="002E2683"/>
    <w:rsid w:val="002E309D"/>
    <w:rsid w:val="002E371B"/>
    <w:rsid w:val="002E42EB"/>
    <w:rsid w:val="002E4F74"/>
    <w:rsid w:val="002E705F"/>
    <w:rsid w:val="002E7FAF"/>
    <w:rsid w:val="002F07AE"/>
    <w:rsid w:val="002F0A4F"/>
    <w:rsid w:val="002F4F2B"/>
    <w:rsid w:val="002F6E96"/>
    <w:rsid w:val="002F7FB3"/>
    <w:rsid w:val="003002C0"/>
    <w:rsid w:val="00301144"/>
    <w:rsid w:val="00302119"/>
    <w:rsid w:val="0030220F"/>
    <w:rsid w:val="003031C6"/>
    <w:rsid w:val="00304984"/>
    <w:rsid w:val="003055E3"/>
    <w:rsid w:val="00306445"/>
    <w:rsid w:val="00306769"/>
    <w:rsid w:val="003069F3"/>
    <w:rsid w:val="00310077"/>
    <w:rsid w:val="00310B56"/>
    <w:rsid w:val="00311061"/>
    <w:rsid w:val="00312BB6"/>
    <w:rsid w:val="00312BF8"/>
    <w:rsid w:val="00313CAB"/>
    <w:rsid w:val="003148B7"/>
    <w:rsid w:val="003158C3"/>
    <w:rsid w:val="00315B89"/>
    <w:rsid w:val="00315E22"/>
    <w:rsid w:val="003167BD"/>
    <w:rsid w:val="00320374"/>
    <w:rsid w:val="00321205"/>
    <w:rsid w:val="0032159B"/>
    <w:rsid w:val="003257AF"/>
    <w:rsid w:val="00326576"/>
    <w:rsid w:val="003267E5"/>
    <w:rsid w:val="003274CD"/>
    <w:rsid w:val="00327A58"/>
    <w:rsid w:val="00330E12"/>
    <w:rsid w:val="00330F01"/>
    <w:rsid w:val="00331EE2"/>
    <w:rsid w:val="00332917"/>
    <w:rsid w:val="00332D26"/>
    <w:rsid w:val="00333501"/>
    <w:rsid w:val="003346F6"/>
    <w:rsid w:val="00334BEA"/>
    <w:rsid w:val="0033546F"/>
    <w:rsid w:val="003365E4"/>
    <w:rsid w:val="00340871"/>
    <w:rsid w:val="0034202C"/>
    <w:rsid w:val="00343BD3"/>
    <w:rsid w:val="003457C4"/>
    <w:rsid w:val="00346278"/>
    <w:rsid w:val="003500CF"/>
    <w:rsid w:val="00350A88"/>
    <w:rsid w:val="0035119D"/>
    <w:rsid w:val="003514E7"/>
    <w:rsid w:val="00354A4A"/>
    <w:rsid w:val="00355DF7"/>
    <w:rsid w:val="00356506"/>
    <w:rsid w:val="00363286"/>
    <w:rsid w:val="003640F2"/>
    <w:rsid w:val="00365569"/>
    <w:rsid w:val="00365927"/>
    <w:rsid w:val="003666DB"/>
    <w:rsid w:val="00366750"/>
    <w:rsid w:val="0037188E"/>
    <w:rsid w:val="00372FC5"/>
    <w:rsid w:val="00373AD4"/>
    <w:rsid w:val="003742D7"/>
    <w:rsid w:val="003753EF"/>
    <w:rsid w:val="00377F77"/>
    <w:rsid w:val="00380A40"/>
    <w:rsid w:val="00380AE5"/>
    <w:rsid w:val="003831C1"/>
    <w:rsid w:val="00383596"/>
    <w:rsid w:val="00383E11"/>
    <w:rsid w:val="00384D40"/>
    <w:rsid w:val="00385F62"/>
    <w:rsid w:val="00386DB2"/>
    <w:rsid w:val="00386E86"/>
    <w:rsid w:val="00387404"/>
    <w:rsid w:val="0038758D"/>
    <w:rsid w:val="00390104"/>
    <w:rsid w:val="00390828"/>
    <w:rsid w:val="00392152"/>
    <w:rsid w:val="00392726"/>
    <w:rsid w:val="00392D17"/>
    <w:rsid w:val="0039344A"/>
    <w:rsid w:val="00395163"/>
    <w:rsid w:val="003957BC"/>
    <w:rsid w:val="00396F92"/>
    <w:rsid w:val="003A0191"/>
    <w:rsid w:val="003A6D94"/>
    <w:rsid w:val="003B0864"/>
    <w:rsid w:val="003B28E3"/>
    <w:rsid w:val="003B4F12"/>
    <w:rsid w:val="003B5BA4"/>
    <w:rsid w:val="003C248E"/>
    <w:rsid w:val="003C72F9"/>
    <w:rsid w:val="003D0D22"/>
    <w:rsid w:val="003D0FE7"/>
    <w:rsid w:val="003D1A84"/>
    <w:rsid w:val="003D2DE0"/>
    <w:rsid w:val="003D4C6F"/>
    <w:rsid w:val="003D66A7"/>
    <w:rsid w:val="003E1DA9"/>
    <w:rsid w:val="003E21AF"/>
    <w:rsid w:val="003E2892"/>
    <w:rsid w:val="003E29AF"/>
    <w:rsid w:val="003E341F"/>
    <w:rsid w:val="003E3D85"/>
    <w:rsid w:val="003E665D"/>
    <w:rsid w:val="003F001A"/>
    <w:rsid w:val="003F175C"/>
    <w:rsid w:val="003F2041"/>
    <w:rsid w:val="003F256A"/>
    <w:rsid w:val="003F2EFC"/>
    <w:rsid w:val="003F4107"/>
    <w:rsid w:val="003F5A07"/>
    <w:rsid w:val="003F65E8"/>
    <w:rsid w:val="003F68E0"/>
    <w:rsid w:val="003F71A3"/>
    <w:rsid w:val="00401532"/>
    <w:rsid w:val="004016AE"/>
    <w:rsid w:val="00402989"/>
    <w:rsid w:val="00402A50"/>
    <w:rsid w:val="00402ACC"/>
    <w:rsid w:val="00404502"/>
    <w:rsid w:val="004056B1"/>
    <w:rsid w:val="004062EA"/>
    <w:rsid w:val="004076B7"/>
    <w:rsid w:val="0041136A"/>
    <w:rsid w:val="004120EC"/>
    <w:rsid w:val="00413406"/>
    <w:rsid w:val="00413862"/>
    <w:rsid w:val="00414A9D"/>
    <w:rsid w:val="00414ADE"/>
    <w:rsid w:val="004151DF"/>
    <w:rsid w:val="004158EF"/>
    <w:rsid w:val="004159DE"/>
    <w:rsid w:val="00415A1D"/>
    <w:rsid w:val="00415FC8"/>
    <w:rsid w:val="00416969"/>
    <w:rsid w:val="004221A6"/>
    <w:rsid w:val="00423E8A"/>
    <w:rsid w:val="00423F31"/>
    <w:rsid w:val="0042483E"/>
    <w:rsid w:val="00425A4F"/>
    <w:rsid w:val="00427096"/>
    <w:rsid w:val="0042728C"/>
    <w:rsid w:val="00431899"/>
    <w:rsid w:val="0043396F"/>
    <w:rsid w:val="00437392"/>
    <w:rsid w:val="004405C6"/>
    <w:rsid w:val="0044097A"/>
    <w:rsid w:val="00442055"/>
    <w:rsid w:val="0044234F"/>
    <w:rsid w:val="004453F4"/>
    <w:rsid w:val="0044640F"/>
    <w:rsid w:val="004464BC"/>
    <w:rsid w:val="00452298"/>
    <w:rsid w:val="00454514"/>
    <w:rsid w:val="00454ED7"/>
    <w:rsid w:val="004561A8"/>
    <w:rsid w:val="004570FF"/>
    <w:rsid w:val="004615CA"/>
    <w:rsid w:val="00461970"/>
    <w:rsid w:val="00462063"/>
    <w:rsid w:val="00462615"/>
    <w:rsid w:val="00463575"/>
    <w:rsid w:val="00464F6C"/>
    <w:rsid w:val="00467305"/>
    <w:rsid w:val="00467422"/>
    <w:rsid w:val="0047164A"/>
    <w:rsid w:val="00474A6B"/>
    <w:rsid w:val="00476A58"/>
    <w:rsid w:val="00476ADD"/>
    <w:rsid w:val="004775E5"/>
    <w:rsid w:val="00481A16"/>
    <w:rsid w:val="00481A65"/>
    <w:rsid w:val="00482AE8"/>
    <w:rsid w:val="0048492D"/>
    <w:rsid w:val="00486454"/>
    <w:rsid w:val="00486804"/>
    <w:rsid w:val="00486D28"/>
    <w:rsid w:val="00490B4F"/>
    <w:rsid w:val="00490EDB"/>
    <w:rsid w:val="00491ADA"/>
    <w:rsid w:val="00492585"/>
    <w:rsid w:val="00492D2F"/>
    <w:rsid w:val="004939C4"/>
    <w:rsid w:val="00494986"/>
    <w:rsid w:val="00494E1E"/>
    <w:rsid w:val="00494F98"/>
    <w:rsid w:val="004A0293"/>
    <w:rsid w:val="004A1019"/>
    <w:rsid w:val="004A2239"/>
    <w:rsid w:val="004A258D"/>
    <w:rsid w:val="004A31BA"/>
    <w:rsid w:val="004A5AD4"/>
    <w:rsid w:val="004B1618"/>
    <w:rsid w:val="004B283D"/>
    <w:rsid w:val="004B3775"/>
    <w:rsid w:val="004B3E82"/>
    <w:rsid w:val="004B3FA7"/>
    <w:rsid w:val="004B6BFF"/>
    <w:rsid w:val="004B7D5A"/>
    <w:rsid w:val="004C0337"/>
    <w:rsid w:val="004C4A79"/>
    <w:rsid w:val="004C5598"/>
    <w:rsid w:val="004C6342"/>
    <w:rsid w:val="004D0BA0"/>
    <w:rsid w:val="004D1958"/>
    <w:rsid w:val="004D4276"/>
    <w:rsid w:val="004D5E13"/>
    <w:rsid w:val="004D7873"/>
    <w:rsid w:val="004D7A6B"/>
    <w:rsid w:val="004E058F"/>
    <w:rsid w:val="004E07AD"/>
    <w:rsid w:val="004E3671"/>
    <w:rsid w:val="004E3B87"/>
    <w:rsid w:val="004E40FF"/>
    <w:rsid w:val="004E58F7"/>
    <w:rsid w:val="004E6C10"/>
    <w:rsid w:val="004F0966"/>
    <w:rsid w:val="004F1341"/>
    <w:rsid w:val="004F3789"/>
    <w:rsid w:val="0050079C"/>
    <w:rsid w:val="00500CFA"/>
    <w:rsid w:val="00503F64"/>
    <w:rsid w:val="0050489D"/>
    <w:rsid w:val="005051C1"/>
    <w:rsid w:val="00505577"/>
    <w:rsid w:val="0050704E"/>
    <w:rsid w:val="00510921"/>
    <w:rsid w:val="00510AD3"/>
    <w:rsid w:val="00512933"/>
    <w:rsid w:val="00512A39"/>
    <w:rsid w:val="00512C37"/>
    <w:rsid w:val="00513348"/>
    <w:rsid w:val="00513AD8"/>
    <w:rsid w:val="00515A5E"/>
    <w:rsid w:val="00515CEB"/>
    <w:rsid w:val="005204D2"/>
    <w:rsid w:val="00522396"/>
    <w:rsid w:val="00522CF9"/>
    <w:rsid w:val="00523099"/>
    <w:rsid w:val="00523853"/>
    <w:rsid w:val="0052450E"/>
    <w:rsid w:val="005249B2"/>
    <w:rsid w:val="00525571"/>
    <w:rsid w:val="005324B0"/>
    <w:rsid w:val="00532FC6"/>
    <w:rsid w:val="00533944"/>
    <w:rsid w:val="00533B5D"/>
    <w:rsid w:val="005353EF"/>
    <w:rsid w:val="00542CE1"/>
    <w:rsid w:val="00542EA8"/>
    <w:rsid w:val="00543038"/>
    <w:rsid w:val="00544D1B"/>
    <w:rsid w:val="005453FE"/>
    <w:rsid w:val="00550182"/>
    <w:rsid w:val="00550624"/>
    <w:rsid w:val="00552B72"/>
    <w:rsid w:val="00552C93"/>
    <w:rsid w:val="00552E79"/>
    <w:rsid w:val="00553696"/>
    <w:rsid w:val="00553AB7"/>
    <w:rsid w:val="00554D9C"/>
    <w:rsid w:val="00555C50"/>
    <w:rsid w:val="005561AA"/>
    <w:rsid w:val="0056180E"/>
    <w:rsid w:val="0056186D"/>
    <w:rsid w:val="00562931"/>
    <w:rsid w:val="005634FB"/>
    <w:rsid w:val="00564F34"/>
    <w:rsid w:val="005656A2"/>
    <w:rsid w:val="00566618"/>
    <w:rsid w:val="0056773F"/>
    <w:rsid w:val="005701D3"/>
    <w:rsid w:val="005702CE"/>
    <w:rsid w:val="005706B9"/>
    <w:rsid w:val="0057113E"/>
    <w:rsid w:val="00573624"/>
    <w:rsid w:val="005750B7"/>
    <w:rsid w:val="0057510D"/>
    <w:rsid w:val="00577C8D"/>
    <w:rsid w:val="00580804"/>
    <w:rsid w:val="00581514"/>
    <w:rsid w:val="00582370"/>
    <w:rsid w:val="00582DE3"/>
    <w:rsid w:val="00583D10"/>
    <w:rsid w:val="00584FE1"/>
    <w:rsid w:val="00585AB9"/>
    <w:rsid w:val="00586176"/>
    <w:rsid w:val="00586477"/>
    <w:rsid w:val="00587D3B"/>
    <w:rsid w:val="00591B5F"/>
    <w:rsid w:val="00592BD2"/>
    <w:rsid w:val="0059396D"/>
    <w:rsid w:val="00593D6B"/>
    <w:rsid w:val="00594F0F"/>
    <w:rsid w:val="00597C37"/>
    <w:rsid w:val="005A0DBE"/>
    <w:rsid w:val="005A20F6"/>
    <w:rsid w:val="005A304D"/>
    <w:rsid w:val="005A4786"/>
    <w:rsid w:val="005A6BAF"/>
    <w:rsid w:val="005A6BB5"/>
    <w:rsid w:val="005A74FE"/>
    <w:rsid w:val="005B11A5"/>
    <w:rsid w:val="005B1B44"/>
    <w:rsid w:val="005B1C5D"/>
    <w:rsid w:val="005B551F"/>
    <w:rsid w:val="005B55E8"/>
    <w:rsid w:val="005B79DE"/>
    <w:rsid w:val="005C0697"/>
    <w:rsid w:val="005C1603"/>
    <w:rsid w:val="005C215F"/>
    <w:rsid w:val="005C56E7"/>
    <w:rsid w:val="005C75E9"/>
    <w:rsid w:val="005D0D60"/>
    <w:rsid w:val="005D3655"/>
    <w:rsid w:val="005D3B96"/>
    <w:rsid w:val="005D417A"/>
    <w:rsid w:val="005D4E15"/>
    <w:rsid w:val="005D4F6C"/>
    <w:rsid w:val="005E4830"/>
    <w:rsid w:val="005E5F1A"/>
    <w:rsid w:val="005E7929"/>
    <w:rsid w:val="005E7EE0"/>
    <w:rsid w:val="005F2E9A"/>
    <w:rsid w:val="005F30D6"/>
    <w:rsid w:val="005F42E6"/>
    <w:rsid w:val="005F6BE4"/>
    <w:rsid w:val="005F7CB9"/>
    <w:rsid w:val="00600CE2"/>
    <w:rsid w:val="00601CD2"/>
    <w:rsid w:val="006024AC"/>
    <w:rsid w:val="00602B9A"/>
    <w:rsid w:val="00604CD6"/>
    <w:rsid w:val="006079ED"/>
    <w:rsid w:val="00610BDB"/>
    <w:rsid w:val="00610E35"/>
    <w:rsid w:val="00610F03"/>
    <w:rsid w:val="0061220C"/>
    <w:rsid w:val="00612910"/>
    <w:rsid w:val="006148A9"/>
    <w:rsid w:val="00617160"/>
    <w:rsid w:val="00622024"/>
    <w:rsid w:val="00622B86"/>
    <w:rsid w:val="00623BA1"/>
    <w:rsid w:val="006259F5"/>
    <w:rsid w:val="006279BC"/>
    <w:rsid w:val="00627DD9"/>
    <w:rsid w:val="00630BBA"/>
    <w:rsid w:val="00631E43"/>
    <w:rsid w:val="00631F17"/>
    <w:rsid w:val="00632B23"/>
    <w:rsid w:val="0063314E"/>
    <w:rsid w:val="006346BC"/>
    <w:rsid w:val="0064049B"/>
    <w:rsid w:val="006416DA"/>
    <w:rsid w:val="00641C3E"/>
    <w:rsid w:val="00641D30"/>
    <w:rsid w:val="0064305B"/>
    <w:rsid w:val="0064406C"/>
    <w:rsid w:val="00645518"/>
    <w:rsid w:val="00646E2B"/>
    <w:rsid w:val="00651213"/>
    <w:rsid w:val="00652810"/>
    <w:rsid w:val="00653D9A"/>
    <w:rsid w:val="0065632D"/>
    <w:rsid w:val="00660121"/>
    <w:rsid w:val="0066249C"/>
    <w:rsid w:val="00662763"/>
    <w:rsid w:val="0066532A"/>
    <w:rsid w:val="0066652A"/>
    <w:rsid w:val="00666999"/>
    <w:rsid w:val="0066739F"/>
    <w:rsid w:val="00667907"/>
    <w:rsid w:val="0067090E"/>
    <w:rsid w:val="006719C3"/>
    <w:rsid w:val="00672228"/>
    <w:rsid w:val="0067355E"/>
    <w:rsid w:val="006775C6"/>
    <w:rsid w:val="00677853"/>
    <w:rsid w:val="0067788C"/>
    <w:rsid w:val="00680512"/>
    <w:rsid w:val="00680522"/>
    <w:rsid w:val="00680DE5"/>
    <w:rsid w:val="00681745"/>
    <w:rsid w:val="00682167"/>
    <w:rsid w:val="006845C5"/>
    <w:rsid w:val="006861D0"/>
    <w:rsid w:val="00686664"/>
    <w:rsid w:val="00694C11"/>
    <w:rsid w:val="006955E7"/>
    <w:rsid w:val="00696A79"/>
    <w:rsid w:val="006A04F5"/>
    <w:rsid w:val="006A2D61"/>
    <w:rsid w:val="006B15F9"/>
    <w:rsid w:val="006B1A03"/>
    <w:rsid w:val="006B1D05"/>
    <w:rsid w:val="006B3571"/>
    <w:rsid w:val="006B6681"/>
    <w:rsid w:val="006C1739"/>
    <w:rsid w:val="006C42AF"/>
    <w:rsid w:val="006C5143"/>
    <w:rsid w:val="006C626E"/>
    <w:rsid w:val="006C64E0"/>
    <w:rsid w:val="006D1917"/>
    <w:rsid w:val="006D23DC"/>
    <w:rsid w:val="006D2FFE"/>
    <w:rsid w:val="006D394C"/>
    <w:rsid w:val="006D5BBB"/>
    <w:rsid w:val="006D5D84"/>
    <w:rsid w:val="006E06A8"/>
    <w:rsid w:val="006E28CF"/>
    <w:rsid w:val="006E2EC0"/>
    <w:rsid w:val="006E42A8"/>
    <w:rsid w:val="006E501F"/>
    <w:rsid w:val="006E6F80"/>
    <w:rsid w:val="006E716D"/>
    <w:rsid w:val="006E71C2"/>
    <w:rsid w:val="006E75A3"/>
    <w:rsid w:val="006F1DE5"/>
    <w:rsid w:val="006F47F3"/>
    <w:rsid w:val="006F56DA"/>
    <w:rsid w:val="006F58E7"/>
    <w:rsid w:val="006F7BD2"/>
    <w:rsid w:val="007031B5"/>
    <w:rsid w:val="007033B2"/>
    <w:rsid w:val="007040A0"/>
    <w:rsid w:val="00704A46"/>
    <w:rsid w:val="007107C0"/>
    <w:rsid w:val="00711163"/>
    <w:rsid w:val="00711260"/>
    <w:rsid w:val="00711D8E"/>
    <w:rsid w:val="00712672"/>
    <w:rsid w:val="00714EA4"/>
    <w:rsid w:val="00715351"/>
    <w:rsid w:val="0071660C"/>
    <w:rsid w:val="00716AC7"/>
    <w:rsid w:val="0071709B"/>
    <w:rsid w:val="00720E58"/>
    <w:rsid w:val="007221D2"/>
    <w:rsid w:val="007243B2"/>
    <w:rsid w:val="00725F4E"/>
    <w:rsid w:val="007307EE"/>
    <w:rsid w:val="007322EC"/>
    <w:rsid w:val="007325FC"/>
    <w:rsid w:val="0073382C"/>
    <w:rsid w:val="00733BF4"/>
    <w:rsid w:val="00733C14"/>
    <w:rsid w:val="00734E3F"/>
    <w:rsid w:val="00735512"/>
    <w:rsid w:val="007358C2"/>
    <w:rsid w:val="00736985"/>
    <w:rsid w:val="00736DC7"/>
    <w:rsid w:val="007402B2"/>
    <w:rsid w:val="00740F8C"/>
    <w:rsid w:val="00741113"/>
    <w:rsid w:val="00741EDE"/>
    <w:rsid w:val="00742489"/>
    <w:rsid w:val="00743214"/>
    <w:rsid w:val="0074437C"/>
    <w:rsid w:val="00744A98"/>
    <w:rsid w:val="00745DF5"/>
    <w:rsid w:val="007470FA"/>
    <w:rsid w:val="00750695"/>
    <w:rsid w:val="00750EBB"/>
    <w:rsid w:val="007513F5"/>
    <w:rsid w:val="00751A97"/>
    <w:rsid w:val="007539A8"/>
    <w:rsid w:val="00754ED3"/>
    <w:rsid w:val="007618BA"/>
    <w:rsid w:val="0076250F"/>
    <w:rsid w:val="00763BFB"/>
    <w:rsid w:val="00765537"/>
    <w:rsid w:val="007679A8"/>
    <w:rsid w:val="007679FF"/>
    <w:rsid w:val="007706B8"/>
    <w:rsid w:val="00774EE4"/>
    <w:rsid w:val="00776850"/>
    <w:rsid w:val="00777C72"/>
    <w:rsid w:val="0078081E"/>
    <w:rsid w:val="00780FA5"/>
    <w:rsid w:val="00783FC5"/>
    <w:rsid w:val="0078445D"/>
    <w:rsid w:val="00785390"/>
    <w:rsid w:val="00786013"/>
    <w:rsid w:val="007876CB"/>
    <w:rsid w:val="00790171"/>
    <w:rsid w:val="00790AF0"/>
    <w:rsid w:val="00790B10"/>
    <w:rsid w:val="00791D3C"/>
    <w:rsid w:val="00792BF4"/>
    <w:rsid w:val="007974C2"/>
    <w:rsid w:val="007A0466"/>
    <w:rsid w:val="007A199F"/>
    <w:rsid w:val="007A3B3A"/>
    <w:rsid w:val="007A5328"/>
    <w:rsid w:val="007A6663"/>
    <w:rsid w:val="007B06DC"/>
    <w:rsid w:val="007B1170"/>
    <w:rsid w:val="007B44F3"/>
    <w:rsid w:val="007B59BC"/>
    <w:rsid w:val="007B6200"/>
    <w:rsid w:val="007B6FF6"/>
    <w:rsid w:val="007B735A"/>
    <w:rsid w:val="007B7A60"/>
    <w:rsid w:val="007C1B1E"/>
    <w:rsid w:val="007C1E22"/>
    <w:rsid w:val="007C42DA"/>
    <w:rsid w:val="007C4B56"/>
    <w:rsid w:val="007C5CB4"/>
    <w:rsid w:val="007D1AA0"/>
    <w:rsid w:val="007D3E77"/>
    <w:rsid w:val="007D517C"/>
    <w:rsid w:val="007D543A"/>
    <w:rsid w:val="007D6E0D"/>
    <w:rsid w:val="007E3550"/>
    <w:rsid w:val="007E3FF9"/>
    <w:rsid w:val="007E4969"/>
    <w:rsid w:val="007E6C2B"/>
    <w:rsid w:val="007F087B"/>
    <w:rsid w:val="007F0DE9"/>
    <w:rsid w:val="007F1170"/>
    <w:rsid w:val="007F3395"/>
    <w:rsid w:val="007F4849"/>
    <w:rsid w:val="00801A76"/>
    <w:rsid w:val="00801B9F"/>
    <w:rsid w:val="00801E4D"/>
    <w:rsid w:val="0080204D"/>
    <w:rsid w:val="00802D7F"/>
    <w:rsid w:val="00803ADC"/>
    <w:rsid w:val="0080460B"/>
    <w:rsid w:val="008058C4"/>
    <w:rsid w:val="00805B9C"/>
    <w:rsid w:val="00806BDC"/>
    <w:rsid w:val="00807111"/>
    <w:rsid w:val="00810213"/>
    <w:rsid w:val="00810FA1"/>
    <w:rsid w:val="00813F7B"/>
    <w:rsid w:val="00814D91"/>
    <w:rsid w:val="008153C6"/>
    <w:rsid w:val="008154D1"/>
    <w:rsid w:val="00815BD2"/>
    <w:rsid w:val="00816872"/>
    <w:rsid w:val="00817240"/>
    <w:rsid w:val="00817351"/>
    <w:rsid w:val="00817615"/>
    <w:rsid w:val="00817CA7"/>
    <w:rsid w:val="00817DE6"/>
    <w:rsid w:val="00817EBD"/>
    <w:rsid w:val="00821DCB"/>
    <w:rsid w:val="00823B7F"/>
    <w:rsid w:val="00823BB6"/>
    <w:rsid w:val="00826EE0"/>
    <w:rsid w:val="0083052F"/>
    <w:rsid w:val="00832C09"/>
    <w:rsid w:val="00832FEA"/>
    <w:rsid w:val="00832FFA"/>
    <w:rsid w:val="00834C06"/>
    <w:rsid w:val="00834E71"/>
    <w:rsid w:val="00837139"/>
    <w:rsid w:val="00837C33"/>
    <w:rsid w:val="0084081B"/>
    <w:rsid w:val="00841AC9"/>
    <w:rsid w:val="00841CD9"/>
    <w:rsid w:val="0084328E"/>
    <w:rsid w:val="00843AB4"/>
    <w:rsid w:val="00844208"/>
    <w:rsid w:val="008443F2"/>
    <w:rsid w:val="00846A86"/>
    <w:rsid w:val="008474AC"/>
    <w:rsid w:val="008475F0"/>
    <w:rsid w:val="00847E90"/>
    <w:rsid w:val="00851149"/>
    <w:rsid w:val="00851FD1"/>
    <w:rsid w:val="00853D2B"/>
    <w:rsid w:val="00853E0B"/>
    <w:rsid w:val="00854659"/>
    <w:rsid w:val="008557A7"/>
    <w:rsid w:val="00855B58"/>
    <w:rsid w:val="00857F38"/>
    <w:rsid w:val="00857F64"/>
    <w:rsid w:val="00864468"/>
    <w:rsid w:val="00864FBF"/>
    <w:rsid w:val="008664A5"/>
    <w:rsid w:val="00867F31"/>
    <w:rsid w:val="0087037F"/>
    <w:rsid w:val="00870523"/>
    <w:rsid w:val="0087078D"/>
    <w:rsid w:val="00870928"/>
    <w:rsid w:val="00872862"/>
    <w:rsid w:val="00877F46"/>
    <w:rsid w:val="00880AFF"/>
    <w:rsid w:val="00882219"/>
    <w:rsid w:val="00885A62"/>
    <w:rsid w:val="0088680F"/>
    <w:rsid w:val="00886EC6"/>
    <w:rsid w:val="00887BF8"/>
    <w:rsid w:val="0089076B"/>
    <w:rsid w:val="00891A1A"/>
    <w:rsid w:val="008936C4"/>
    <w:rsid w:val="0089375A"/>
    <w:rsid w:val="00893E3F"/>
    <w:rsid w:val="0089405C"/>
    <w:rsid w:val="008946BD"/>
    <w:rsid w:val="00895621"/>
    <w:rsid w:val="00895A91"/>
    <w:rsid w:val="00895D34"/>
    <w:rsid w:val="00896871"/>
    <w:rsid w:val="00897153"/>
    <w:rsid w:val="00897DA2"/>
    <w:rsid w:val="00897FA2"/>
    <w:rsid w:val="008A1518"/>
    <w:rsid w:val="008A289D"/>
    <w:rsid w:val="008A497A"/>
    <w:rsid w:val="008A571E"/>
    <w:rsid w:val="008A5AFE"/>
    <w:rsid w:val="008A5D76"/>
    <w:rsid w:val="008A616F"/>
    <w:rsid w:val="008A7212"/>
    <w:rsid w:val="008B0826"/>
    <w:rsid w:val="008B32AF"/>
    <w:rsid w:val="008B3F32"/>
    <w:rsid w:val="008B515B"/>
    <w:rsid w:val="008B5F14"/>
    <w:rsid w:val="008B6111"/>
    <w:rsid w:val="008B7A2D"/>
    <w:rsid w:val="008B7CD0"/>
    <w:rsid w:val="008B7EB1"/>
    <w:rsid w:val="008C48F9"/>
    <w:rsid w:val="008C5A0E"/>
    <w:rsid w:val="008C70A2"/>
    <w:rsid w:val="008D0536"/>
    <w:rsid w:val="008D076D"/>
    <w:rsid w:val="008D1551"/>
    <w:rsid w:val="008D5E08"/>
    <w:rsid w:val="008E1F06"/>
    <w:rsid w:val="008E5528"/>
    <w:rsid w:val="008F006E"/>
    <w:rsid w:val="008F0590"/>
    <w:rsid w:val="008F38AC"/>
    <w:rsid w:val="008F620B"/>
    <w:rsid w:val="008F72C8"/>
    <w:rsid w:val="008F7651"/>
    <w:rsid w:val="008F7CAE"/>
    <w:rsid w:val="009008D0"/>
    <w:rsid w:val="00900D03"/>
    <w:rsid w:val="00903410"/>
    <w:rsid w:val="00904216"/>
    <w:rsid w:val="00907924"/>
    <w:rsid w:val="00907DE1"/>
    <w:rsid w:val="009104E2"/>
    <w:rsid w:val="009152BF"/>
    <w:rsid w:val="00915A57"/>
    <w:rsid w:val="00915FD7"/>
    <w:rsid w:val="00917449"/>
    <w:rsid w:val="00917E7A"/>
    <w:rsid w:val="00917ED4"/>
    <w:rsid w:val="00920218"/>
    <w:rsid w:val="00920889"/>
    <w:rsid w:val="00924C80"/>
    <w:rsid w:val="009250A0"/>
    <w:rsid w:val="00925D96"/>
    <w:rsid w:val="00927172"/>
    <w:rsid w:val="009278D2"/>
    <w:rsid w:val="009325E4"/>
    <w:rsid w:val="00935ABC"/>
    <w:rsid w:val="00935D03"/>
    <w:rsid w:val="00937862"/>
    <w:rsid w:val="00940C7A"/>
    <w:rsid w:val="00941177"/>
    <w:rsid w:val="00943730"/>
    <w:rsid w:val="009449C7"/>
    <w:rsid w:val="00944CFB"/>
    <w:rsid w:val="00944F7B"/>
    <w:rsid w:val="00944FDB"/>
    <w:rsid w:val="00945A39"/>
    <w:rsid w:val="00947427"/>
    <w:rsid w:val="00947806"/>
    <w:rsid w:val="0095053A"/>
    <w:rsid w:val="0095099F"/>
    <w:rsid w:val="00951414"/>
    <w:rsid w:val="00952C42"/>
    <w:rsid w:val="00952FED"/>
    <w:rsid w:val="00954ABA"/>
    <w:rsid w:val="00954E2F"/>
    <w:rsid w:val="00955E5F"/>
    <w:rsid w:val="009564F2"/>
    <w:rsid w:val="00961E72"/>
    <w:rsid w:val="00962FC4"/>
    <w:rsid w:val="00963503"/>
    <w:rsid w:val="00963ABA"/>
    <w:rsid w:val="00963FA4"/>
    <w:rsid w:val="009657E7"/>
    <w:rsid w:val="009660F5"/>
    <w:rsid w:val="00971AF6"/>
    <w:rsid w:val="009734B3"/>
    <w:rsid w:val="00974EAF"/>
    <w:rsid w:val="00975CA5"/>
    <w:rsid w:val="00977676"/>
    <w:rsid w:val="00980574"/>
    <w:rsid w:val="00981DA0"/>
    <w:rsid w:val="00983AED"/>
    <w:rsid w:val="00985307"/>
    <w:rsid w:val="00986590"/>
    <w:rsid w:val="00987867"/>
    <w:rsid w:val="00990571"/>
    <w:rsid w:val="00992C76"/>
    <w:rsid w:val="0099350E"/>
    <w:rsid w:val="009954A2"/>
    <w:rsid w:val="009969D6"/>
    <w:rsid w:val="00997536"/>
    <w:rsid w:val="009A0908"/>
    <w:rsid w:val="009A0951"/>
    <w:rsid w:val="009A100A"/>
    <w:rsid w:val="009A27AC"/>
    <w:rsid w:val="009A3DD2"/>
    <w:rsid w:val="009A49D2"/>
    <w:rsid w:val="009A59B2"/>
    <w:rsid w:val="009A68C9"/>
    <w:rsid w:val="009B1F5B"/>
    <w:rsid w:val="009B470C"/>
    <w:rsid w:val="009B4D3B"/>
    <w:rsid w:val="009B4DBA"/>
    <w:rsid w:val="009B7942"/>
    <w:rsid w:val="009B7BE3"/>
    <w:rsid w:val="009C3C9A"/>
    <w:rsid w:val="009C5700"/>
    <w:rsid w:val="009C6AFE"/>
    <w:rsid w:val="009D0328"/>
    <w:rsid w:val="009D07ED"/>
    <w:rsid w:val="009D2976"/>
    <w:rsid w:val="009D377C"/>
    <w:rsid w:val="009D57C0"/>
    <w:rsid w:val="009D5ACA"/>
    <w:rsid w:val="009D5F84"/>
    <w:rsid w:val="009D7407"/>
    <w:rsid w:val="009D7FA1"/>
    <w:rsid w:val="009E0866"/>
    <w:rsid w:val="009E0B6C"/>
    <w:rsid w:val="009E1587"/>
    <w:rsid w:val="009E20BA"/>
    <w:rsid w:val="009E273C"/>
    <w:rsid w:val="009E28A2"/>
    <w:rsid w:val="009E47A6"/>
    <w:rsid w:val="009E60C2"/>
    <w:rsid w:val="009E6642"/>
    <w:rsid w:val="009E738B"/>
    <w:rsid w:val="009E7889"/>
    <w:rsid w:val="009F0CDF"/>
    <w:rsid w:val="009F0FEB"/>
    <w:rsid w:val="009F1350"/>
    <w:rsid w:val="009F1577"/>
    <w:rsid w:val="009F248A"/>
    <w:rsid w:val="009F6423"/>
    <w:rsid w:val="009F713D"/>
    <w:rsid w:val="00A00220"/>
    <w:rsid w:val="00A00872"/>
    <w:rsid w:val="00A024CC"/>
    <w:rsid w:val="00A036F3"/>
    <w:rsid w:val="00A0474A"/>
    <w:rsid w:val="00A05B8B"/>
    <w:rsid w:val="00A11662"/>
    <w:rsid w:val="00A13FA0"/>
    <w:rsid w:val="00A15B8D"/>
    <w:rsid w:val="00A17269"/>
    <w:rsid w:val="00A175B3"/>
    <w:rsid w:val="00A21162"/>
    <w:rsid w:val="00A22940"/>
    <w:rsid w:val="00A23495"/>
    <w:rsid w:val="00A24A62"/>
    <w:rsid w:val="00A25C7C"/>
    <w:rsid w:val="00A2765A"/>
    <w:rsid w:val="00A27A85"/>
    <w:rsid w:val="00A31BCE"/>
    <w:rsid w:val="00A31C9F"/>
    <w:rsid w:val="00A35285"/>
    <w:rsid w:val="00A361A3"/>
    <w:rsid w:val="00A3768F"/>
    <w:rsid w:val="00A4144F"/>
    <w:rsid w:val="00A419EA"/>
    <w:rsid w:val="00A41FEE"/>
    <w:rsid w:val="00A42C95"/>
    <w:rsid w:val="00A43C7C"/>
    <w:rsid w:val="00A4671C"/>
    <w:rsid w:val="00A47722"/>
    <w:rsid w:val="00A47D3A"/>
    <w:rsid w:val="00A506D4"/>
    <w:rsid w:val="00A52012"/>
    <w:rsid w:val="00A53164"/>
    <w:rsid w:val="00A55528"/>
    <w:rsid w:val="00A56D33"/>
    <w:rsid w:val="00A56EA4"/>
    <w:rsid w:val="00A614E9"/>
    <w:rsid w:val="00A61B4D"/>
    <w:rsid w:val="00A63493"/>
    <w:rsid w:val="00A63917"/>
    <w:rsid w:val="00A63FEC"/>
    <w:rsid w:val="00A65929"/>
    <w:rsid w:val="00A66CC5"/>
    <w:rsid w:val="00A6701A"/>
    <w:rsid w:val="00A670DE"/>
    <w:rsid w:val="00A709DA"/>
    <w:rsid w:val="00A72D21"/>
    <w:rsid w:val="00A73619"/>
    <w:rsid w:val="00A749BC"/>
    <w:rsid w:val="00A74E8C"/>
    <w:rsid w:val="00A7531B"/>
    <w:rsid w:val="00A77D41"/>
    <w:rsid w:val="00A77D7B"/>
    <w:rsid w:val="00A80495"/>
    <w:rsid w:val="00A80F95"/>
    <w:rsid w:val="00A81383"/>
    <w:rsid w:val="00A82651"/>
    <w:rsid w:val="00A86AD7"/>
    <w:rsid w:val="00A86DA6"/>
    <w:rsid w:val="00A87499"/>
    <w:rsid w:val="00A901FC"/>
    <w:rsid w:val="00A90E47"/>
    <w:rsid w:val="00A91795"/>
    <w:rsid w:val="00A940CA"/>
    <w:rsid w:val="00A944C8"/>
    <w:rsid w:val="00A94685"/>
    <w:rsid w:val="00A95881"/>
    <w:rsid w:val="00A9723E"/>
    <w:rsid w:val="00A97BF1"/>
    <w:rsid w:val="00AA0FF9"/>
    <w:rsid w:val="00AA14F8"/>
    <w:rsid w:val="00AA298A"/>
    <w:rsid w:val="00AA315B"/>
    <w:rsid w:val="00AA3526"/>
    <w:rsid w:val="00AA372B"/>
    <w:rsid w:val="00AB0056"/>
    <w:rsid w:val="00AB13AE"/>
    <w:rsid w:val="00AB2AB6"/>
    <w:rsid w:val="00AB376E"/>
    <w:rsid w:val="00AB4389"/>
    <w:rsid w:val="00AB4BDC"/>
    <w:rsid w:val="00AB5BA2"/>
    <w:rsid w:val="00AB6753"/>
    <w:rsid w:val="00AB7C0C"/>
    <w:rsid w:val="00AC164A"/>
    <w:rsid w:val="00AC17FF"/>
    <w:rsid w:val="00AC4758"/>
    <w:rsid w:val="00AC68FC"/>
    <w:rsid w:val="00AD09F9"/>
    <w:rsid w:val="00AD1400"/>
    <w:rsid w:val="00AD1FBD"/>
    <w:rsid w:val="00AD21D9"/>
    <w:rsid w:val="00AD2A2F"/>
    <w:rsid w:val="00AD6AB3"/>
    <w:rsid w:val="00AD7CE8"/>
    <w:rsid w:val="00AE10E7"/>
    <w:rsid w:val="00AE179E"/>
    <w:rsid w:val="00AE1F88"/>
    <w:rsid w:val="00AE2336"/>
    <w:rsid w:val="00AE3CF0"/>
    <w:rsid w:val="00AE424A"/>
    <w:rsid w:val="00AE448A"/>
    <w:rsid w:val="00AE79A7"/>
    <w:rsid w:val="00AF0F4A"/>
    <w:rsid w:val="00AF2050"/>
    <w:rsid w:val="00AF211A"/>
    <w:rsid w:val="00AF23C4"/>
    <w:rsid w:val="00AF2AF6"/>
    <w:rsid w:val="00AF30DC"/>
    <w:rsid w:val="00AF35AE"/>
    <w:rsid w:val="00AF404A"/>
    <w:rsid w:val="00AF5332"/>
    <w:rsid w:val="00AF5D94"/>
    <w:rsid w:val="00AF6B07"/>
    <w:rsid w:val="00AF6FF3"/>
    <w:rsid w:val="00B0008E"/>
    <w:rsid w:val="00B0140D"/>
    <w:rsid w:val="00B01D1D"/>
    <w:rsid w:val="00B0385D"/>
    <w:rsid w:val="00B03CA8"/>
    <w:rsid w:val="00B05089"/>
    <w:rsid w:val="00B07921"/>
    <w:rsid w:val="00B12034"/>
    <w:rsid w:val="00B120ED"/>
    <w:rsid w:val="00B12EA7"/>
    <w:rsid w:val="00B14C8E"/>
    <w:rsid w:val="00B15360"/>
    <w:rsid w:val="00B15BC3"/>
    <w:rsid w:val="00B16FE3"/>
    <w:rsid w:val="00B17F31"/>
    <w:rsid w:val="00B20186"/>
    <w:rsid w:val="00B224E7"/>
    <w:rsid w:val="00B30FF0"/>
    <w:rsid w:val="00B318E8"/>
    <w:rsid w:val="00B31B76"/>
    <w:rsid w:val="00B32EAA"/>
    <w:rsid w:val="00B3319E"/>
    <w:rsid w:val="00B33480"/>
    <w:rsid w:val="00B337D5"/>
    <w:rsid w:val="00B33AE8"/>
    <w:rsid w:val="00B33C0A"/>
    <w:rsid w:val="00B3523B"/>
    <w:rsid w:val="00B35909"/>
    <w:rsid w:val="00B37E75"/>
    <w:rsid w:val="00B41C49"/>
    <w:rsid w:val="00B44F02"/>
    <w:rsid w:val="00B46E5D"/>
    <w:rsid w:val="00B471B0"/>
    <w:rsid w:val="00B47795"/>
    <w:rsid w:val="00B535AB"/>
    <w:rsid w:val="00B55ABC"/>
    <w:rsid w:val="00B55E19"/>
    <w:rsid w:val="00B56B09"/>
    <w:rsid w:val="00B620BC"/>
    <w:rsid w:val="00B637DD"/>
    <w:rsid w:val="00B647D0"/>
    <w:rsid w:val="00B6495A"/>
    <w:rsid w:val="00B66722"/>
    <w:rsid w:val="00B66843"/>
    <w:rsid w:val="00B67D9F"/>
    <w:rsid w:val="00B70907"/>
    <w:rsid w:val="00B70B50"/>
    <w:rsid w:val="00B7114C"/>
    <w:rsid w:val="00B715F8"/>
    <w:rsid w:val="00B744BC"/>
    <w:rsid w:val="00B74E19"/>
    <w:rsid w:val="00B754C6"/>
    <w:rsid w:val="00B76248"/>
    <w:rsid w:val="00B7702E"/>
    <w:rsid w:val="00B77CBC"/>
    <w:rsid w:val="00B818AD"/>
    <w:rsid w:val="00B81D1C"/>
    <w:rsid w:val="00B821F1"/>
    <w:rsid w:val="00B82A22"/>
    <w:rsid w:val="00B82AF8"/>
    <w:rsid w:val="00B83270"/>
    <w:rsid w:val="00B84926"/>
    <w:rsid w:val="00B850E8"/>
    <w:rsid w:val="00B8557A"/>
    <w:rsid w:val="00B85B39"/>
    <w:rsid w:val="00B85CE6"/>
    <w:rsid w:val="00B86412"/>
    <w:rsid w:val="00B865E8"/>
    <w:rsid w:val="00B903CE"/>
    <w:rsid w:val="00B90741"/>
    <w:rsid w:val="00B92576"/>
    <w:rsid w:val="00B927C4"/>
    <w:rsid w:val="00B94758"/>
    <w:rsid w:val="00B97B39"/>
    <w:rsid w:val="00BA0538"/>
    <w:rsid w:val="00BA21BD"/>
    <w:rsid w:val="00BA2223"/>
    <w:rsid w:val="00BA2E6B"/>
    <w:rsid w:val="00BA386C"/>
    <w:rsid w:val="00BA4B6D"/>
    <w:rsid w:val="00BA61E8"/>
    <w:rsid w:val="00BA65A6"/>
    <w:rsid w:val="00BA6613"/>
    <w:rsid w:val="00BB0596"/>
    <w:rsid w:val="00BB10CF"/>
    <w:rsid w:val="00BB210F"/>
    <w:rsid w:val="00BB26C5"/>
    <w:rsid w:val="00BB2FB1"/>
    <w:rsid w:val="00BB499E"/>
    <w:rsid w:val="00BB5872"/>
    <w:rsid w:val="00BB65F3"/>
    <w:rsid w:val="00BB7E6C"/>
    <w:rsid w:val="00BC2538"/>
    <w:rsid w:val="00BC31BD"/>
    <w:rsid w:val="00BC3AC1"/>
    <w:rsid w:val="00BC42AE"/>
    <w:rsid w:val="00BC51E5"/>
    <w:rsid w:val="00BC52CF"/>
    <w:rsid w:val="00BC5CD2"/>
    <w:rsid w:val="00BD2CB3"/>
    <w:rsid w:val="00BD346B"/>
    <w:rsid w:val="00BD4276"/>
    <w:rsid w:val="00BD50B1"/>
    <w:rsid w:val="00BD7A23"/>
    <w:rsid w:val="00BD7C4A"/>
    <w:rsid w:val="00BD7D58"/>
    <w:rsid w:val="00BE29B2"/>
    <w:rsid w:val="00BE3051"/>
    <w:rsid w:val="00BE3363"/>
    <w:rsid w:val="00BE497F"/>
    <w:rsid w:val="00BE5F3A"/>
    <w:rsid w:val="00BE68B7"/>
    <w:rsid w:val="00BE6B6D"/>
    <w:rsid w:val="00BF1A79"/>
    <w:rsid w:val="00BF4650"/>
    <w:rsid w:val="00BF4DE6"/>
    <w:rsid w:val="00BF69AF"/>
    <w:rsid w:val="00C01BB8"/>
    <w:rsid w:val="00C02C73"/>
    <w:rsid w:val="00C03595"/>
    <w:rsid w:val="00C0398B"/>
    <w:rsid w:val="00C06B13"/>
    <w:rsid w:val="00C06CA1"/>
    <w:rsid w:val="00C1317F"/>
    <w:rsid w:val="00C1599D"/>
    <w:rsid w:val="00C165F6"/>
    <w:rsid w:val="00C21FD1"/>
    <w:rsid w:val="00C22DF3"/>
    <w:rsid w:val="00C233EA"/>
    <w:rsid w:val="00C23E74"/>
    <w:rsid w:val="00C23F2A"/>
    <w:rsid w:val="00C27401"/>
    <w:rsid w:val="00C27596"/>
    <w:rsid w:val="00C27C0B"/>
    <w:rsid w:val="00C27D25"/>
    <w:rsid w:val="00C27D57"/>
    <w:rsid w:val="00C32299"/>
    <w:rsid w:val="00C3474E"/>
    <w:rsid w:val="00C357E4"/>
    <w:rsid w:val="00C36C76"/>
    <w:rsid w:val="00C4171A"/>
    <w:rsid w:val="00C42541"/>
    <w:rsid w:val="00C42CDE"/>
    <w:rsid w:val="00C42EC2"/>
    <w:rsid w:val="00C44FBC"/>
    <w:rsid w:val="00C4513F"/>
    <w:rsid w:val="00C45145"/>
    <w:rsid w:val="00C47A8E"/>
    <w:rsid w:val="00C50087"/>
    <w:rsid w:val="00C505F3"/>
    <w:rsid w:val="00C5182A"/>
    <w:rsid w:val="00C52BBC"/>
    <w:rsid w:val="00C5463F"/>
    <w:rsid w:val="00C56509"/>
    <w:rsid w:val="00C5771C"/>
    <w:rsid w:val="00C608E9"/>
    <w:rsid w:val="00C61313"/>
    <w:rsid w:val="00C6333E"/>
    <w:rsid w:val="00C63EE9"/>
    <w:rsid w:val="00C65DEC"/>
    <w:rsid w:val="00C71532"/>
    <w:rsid w:val="00C71C4C"/>
    <w:rsid w:val="00C72B98"/>
    <w:rsid w:val="00C74495"/>
    <w:rsid w:val="00C745CE"/>
    <w:rsid w:val="00C75C7C"/>
    <w:rsid w:val="00C76B87"/>
    <w:rsid w:val="00C80517"/>
    <w:rsid w:val="00C80AE3"/>
    <w:rsid w:val="00C84F37"/>
    <w:rsid w:val="00C858A1"/>
    <w:rsid w:val="00C871CA"/>
    <w:rsid w:val="00C90869"/>
    <w:rsid w:val="00C91388"/>
    <w:rsid w:val="00C9175B"/>
    <w:rsid w:val="00C94CE4"/>
    <w:rsid w:val="00C94D49"/>
    <w:rsid w:val="00C95C3F"/>
    <w:rsid w:val="00C96E91"/>
    <w:rsid w:val="00C976C4"/>
    <w:rsid w:val="00CA16F3"/>
    <w:rsid w:val="00CA37B1"/>
    <w:rsid w:val="00CA4934"/>
    <w:rsid w:val="00CB1959"/>
    <w:rsid w:val="00CB38EB"/>
    <w:rsid w:val="00CB5EFA"/>
    <w:rsid w:val="00CC0933"/>
    <w:rsid w:val="00CC0B4D"/>
    <w:rsid w:val="00CC0EB5"/>
    <w:rsid w:val="00CC37E0"/>
    <w:rsid w:val="00CC38DC"/>
    <w:rsid w:val="00CC72DE"/>
    <w:rsid w:val="00CC741B"/>
    <w:rsid w:val="00CC76D2"/>
    <w:rsid w:val="00CC787B"/>
    <w:rsid w:val="00CC7CF5"/>
    <w:rsid w:val="00CD055D"/>
    <w:rsid w:val="00CD0E4B"/>
    <w:rsid w:val="00CD2A94"/>
    <w:rsid w:val="00CD3AF1"/>
    <w:rsid w:val="00CD655E"/>
    <w:rsid w:val="00CD6B0A"/>
    <w:rsid w:val="00CD710F"/>
    <w:rsid w:val="00CD72A2"/>
    <w:rsid w:val="00CD7DB9"/>
    <w:rsid w:val="00CE0147"/>
    <w:rsid w:val="00CE04C9"/>
    <w:rsid w:val="00CE0551"/>
    <w:rsid w:val="00CE08A7"/>
    <w:rsid w:val="00CE0AF7"/>
    <w:rsid w:val="00CE122B"/>
    <w:rsid w:val="00CE2C23"/>
    <w:rsid w:val="00CE4C89"/>
    <w:rsid w:val="00CE4E14"/>
    <w:rsid w:val="00CE4EF5"/>
    <w:rsid w:val="00CE624D"/>
    <w:rsid w:val="00CF07BA"/>
    <w:rsid w:val="00CF189E"/>
    <w:rsid w:val="00CF6C83"/>
    <w:rsid w:val="00CF72EA"/>
    <w:rsid w:val="00D00153"/>
    <w:rsid w:val="00D00565"/>
    <w:rsid w:val="00D0296C"/>
    <w:rsid w:val="00D04A8B"/>
    <w:rsid w:val="00D0578B"/>
    <w:rsid w:val="00D057C9"/>
    <w:rsid w:val="00D07898"/>
    <w:rsid w:val="00D07E2D"/>
    <w:rsid w:val="00D12550"/>
    <w:rsid w:val="00D1455D"/>
    <w:rsid w:val="00D17A83"/>
    <w:rsid w:val="00D20819"/>
    <w:rsid w:val="00D23247"/>
    <w:rsid w:val="00D23DA3"/>
    <w:rsid w:val="00D24178"/>
    <w:rsid w:val="00D24893"/>
    <w:rsid w:val="00D253F5"/>
    <w:rsid w:val="00D25D74"/>
    <w:rsid w:val="00D2610F"/>
    <w:rsid w:val="00D26602"/>
    <w:rsid w:val="00D26ED5"/>
    <w:rsid w:val="00D27247"/>
    <w:rsid w:val="00D27B4A"/>
    <w:rsid w:val="00D308B8"/>
    <w:rsid w:val="00D30E2E"/>
    <w:rsid w:val="00D32592"/>
    <w:rsid w:val="00D32D6F"/>
    <w:rsid w:val="00D341D5"/>
    <w:rsid w:val="00D34811"/>
    <w:rsid w:val="00D35CC8"/>
    <w:rsid w:val="00D360C1"/>
    <w:rsid w:val="00D37560"/>
    <w:rsid w:val="00D37B04"/>
    <w:rsid w:val="00D40D70"/>
    <w:rsid w:val="00D416D8"/>
    <w:rsid w:val="00D42544"/>
    <w:rsid w:val="00D4363B"/>
    <w:rsid w:val="00D440EA"/>
    <w:rsid w:val="00D44970"/>
    <w:rsid w:val="00D46B1E"/>
    <w:rsid w:val="00D50BF0"/>
    <w:rsid w:val="00D51BF0"/>
    <w:rsid w:val="00D53741"/>
    <w:rsid w:val="00D540C6"/>
    <w:rsid w:val="00D6266E"/>
    <w:rsid w:val="00D6302E"/>
    <w:rsid w:val="00D640E2"/>
    <w:rsid w:val="00D64686"/>
    <w:rsid w:val="00D64BD1"/>
    <w:rsid w:val="00D64C89"/>
    <w:rsid w:val="00D64EFD"/>
    <w:rsid w:val="00D65749"/>
    <w:rsid w:val="00D66245"/>
    <w:rsid w:val="00D67D57"/>
    <w:rsid w:val="00D72FD2"/>
    <w:rsid w:val="00D73EA0"/>
    <w:rsid w:val="00D75734"/>
    <w:rsid w:val="00D75D4C"/>
    <w:rsid w:val="00D7679B"/>
    <w:rsid w:val="00D80B84"/>
    <w:rsid w:val="00D80CDB"/>
    <w:rsid w:val="00D811EB"/>
    <w:rsid w:val="00D813DF"/>
    <w:rsid w:val="00D81A5B"/>
    <w:rsid w:val="00D8249F"/>
    <w:rsid w:val="00D83017"/>
    <w:rsid w:val="00D8415C"/>
    <w:rsid w:val="00D846FE"/>
    <w:rsid w:val="00D853DC"/>
    <w:rsid w:val="00D863D8"/>
    <w:rsid w:val="00D9024A"/>
    <w:rsid w:val="00D90FC1"/>
    <w:rsid w:val="00D91315"/>
    <w:rsid w:val="00D92254"/>
    <w:rsid w:val="00D93BC6"/>
    <w:rsid w:val="00D93BCD"/>
    <w:rsid w:val="00D96D9B"/>
    <w:rsid w:val="00DA035B"/>
    <w:rsid w:val="00DA0649"/>
    <w:rsid w:val="00DA0DD1"/>
    <w:rsid w:val="00DA1BD1"/>
    <w:rsid w:val="00DA2FC9"/>
    <w:rsid w:val="00DA3192"/>
    <w:rsid w:val="00DA548F"/>
    <w:rsid w:val="00DA57FE"/>
    <w:rsid w:val="00DA7097"/>
    <w:rsid w:val="00DA7862"/>
    <w:rsid w:val="00DB39F5"/>
    <w:rsid w:val="00DB7245"/>
    <w:rsid w:val="00DB7E51"/>
    <w:rsid w:val="00DC005E"/>
    <w:rsid w:val="00DC0210"/>
    <w:rsid w:val="00DC0754"/>
    <w:rsid w:val="00DC0F3C"/>
    <w:rsid w:val="00DC1259"/>
    <w:rsid w:val="00DC379F"/>
    <w:rsid w:val="00DC5EE7"/>
    <w:rsid w:val="00DD263E"/>
    <w:rsid w:val="00DD4BF0"/>
    <w:rsid w:val="00DD4EEC"/>
    <w:rsid w:val="00DE084C"/>
    <w:rsid w:val="00DE08E8"/>
    <w:rsid w:val="00DE122E"/>
    <w:rsid w:val="00DE588F"/>
    <w:rsid w:val="00DF1683"/>
    <w:rsid w:val="00DF2888"/>
    <w:rsid w:val="00DF2EB5"/>
    <w:rsid w:val="00DF3EB3"/>
    <w:rsid w:val="00DF4512"/>
    <w:rsid w:val="00DF7732"/>
    <w:rsid w:val="00E00C6E"/>
    <w:rsid w:val="00E024B1"/>
    <w:rsid w:val="00E036AC"/>
    <w:rsid w:val="00E07A33"/>
    <w:rsid w:val="00E14F51"/>
    <w:rsid w:val="00E15FAD"/>
    <w:rsid w:val="00E16954"/>
    <w:rsid w:val="00E1735D"/>
    <w:rsid w:val="00E17A36"/>
    <w:rsid w:val="00E21EFF"/>
    <w:rsid w:val="00E22BE1"/>
    <w:rsid w:val="00E24391"/>
    <w:rsid w:val="00E25032"/>
    <w:rsid w:val="00E251E9"/>
    <w:rsid w:val="00E2531D"/>
    <w:rsid w:val="00E27220"/>
    <w:rsid w:val="00E31C1B"/>
    <w:rsid w:val="00E34D31"/>
    <w:rsid w:val="00E357B7"/>
    <w:rsid w:val="00E365C6"/>
    <w:rsid w:val="00E42566"/>
    <w:rsid w:val="00E44699"/>
    <w:rsid w:val="00E44C11"/>
    <w:rsid w:val="00E45AB2"/>
    <w:rsid w:val="00E469D1"/>
    <w:rsid w:val="00E47D18"/>
    <w:rsid w:val="00E503C4"/>
    <w:rsid w:val="00E53800"/>
    <w:rsid w:val="00E547BE"/>
    <w:rsid w:val="00E55C0C"/>
    <w:rsid w:val="00E55EB7"/>
    <w:rsid w:val="00E57C16"/>
    <w:rsid w:val="00E6081F"/>
    <w:rsid w:val="00E62D2D"/>
    <w:rsid w:val="00E634A5"/>
    <w:rsid w:val="00E6489B"/>
    <w:rsid w:val="00E64938"/>
    <w:rsid w:val="00E655FE"/>
    <w:rsid w:val="00E67C7C"/>
    <w:rsid w:val="00E71FA3"/>
    <w:rsid w:val="00E730AD"/>
    <w:rsid w:val="00E73968"/>
    <w:rsid w:val="00E74245"/>
    <w:rsid w:val="00E75E08"/>
    <w:rsid w:val="00E760DC"/>
    <w:rsid w:val="00E8296D"/>
    <w:rsid w:val="00E83AD4"/>
    <w:rsid w:val="00E8457B"/>
    <w:rsid w:val="00E8711E"/>
    <w:rsid w:val="00E91D9F"/>
    <w:rsid w:val="00E92EA2"/>
    <w:rsid w:val="00E949A3"/>
    <w:rsid w:val="00E94B2E"/>
    <w:rsid w:val="00E96222"/>
    <w:rsid w:val="00E9694D"/>
    <w:rsid w:val="00EA04B2"/>
    <w:rsid w:val="00EA08DE"/>
    <w:rsid w:val="00EA20F3"/>
    <w:rsid w:val="00EA29D2"/>
    <w:rsid w:val="00EA33EC"/>
    <w:rsid w:val="00EA57F1"/>
    <w:rsid w:val="00EA7365"/>
    <w:rsid w:val="00EB2326"/>
    <w:rsid w:val="00EB398C"/>
    <w:rsid w:val="00EB43D4"/>
    <w:rsid w:val="00EB6943"/>
    <w:rsid w:val="00EB70E5"/>
    <w:rsid w:val="00EC2209"/>
    <w:rsid w:val="00EC2A5C"/>
    <w:rsid w:val="00EC2B00"/>
    <w:rsid w:val="00EC3C2D"/>
    <w:rsid w:val="00EC527F"/>
    <w:rsid w:val="00EC53BA"/>
    <w:rsid w:val="00EC69FC"/>
    <w:rsid w:val="00EC7FE0"/>
    <w:rsid w:val="00ED2831"/>
    <w:rsid w:val="00ED3EA4"/>
    <w:rsid w:val="00ED43D1"/>
    <w:rsid w:val="00ED5110"/>
    <w:rsid w:val="00ED5169"/>
    <w:rsid w:val="00ED5C91"/>
    <w:rsid w:val="00ED5F00"/>
    <w:rsid w:val="00ED62F8"/>
    <w:rsid w:val="00EE1027"/>
    <w:rsid w:val="00EE1B80"/>
    <w:rsid w:val="00EE25F4"/>
    <w:rsid w:val="00EE3F3C"/>
    <w:rsid w:val="00EE4EE1"/>
    <w:rsid w:val="00EE6BF5"/>
    <w:rsid w:val="00EE789A"/>
    <w:rsid w:val="00EE7B50"/>
    <w:rsid w:val="00EE7CDF"/>
    <w:rsid w:val="00EF0A90"/>
    <w:rsid w:val="00EF1B3C"/>
    <w:rsid w:val="00EF41B4"/>
    <w:rsid w:val="00EF4574"/>
    <w:rsid w:val="00EF4AE0"/>
    <w:rsid w:val="00EF5FB3"/>
    <w:rsid w:val="00EF7D96"/>
    <w:rsid w:val="00F00E6C"/>
    <w:rsid w:val="00F02B3D"/>
    <w:rsid w:val="00F031DF"/>
    <w:rsid w:val="00F066D4"/>
    <w:rsid w:val="00F06BC4"/>
    <w:rsid w:val="00F07779"/>
    <w:rsid w:val="00F10726"/>
    <w:rsid w:val="00F11C83"/>
    <w:rsid w:val="00F13A79"/>
    <w:rsid w:val="00F13B24"/>
    <w:rsid w:val="00F17B49"/>
    <w:rsid w:val="00F20A54"/>
    <w:rsid w:val="00F21A88"/>
    <w:rsid w:val="00F22015"/>
    <w:rsid w:val="00F22449"/>
    <w:rsid w:val="00F22A59"/>
    <w:rsid w:val="00F25446"/>
    <w:rsid w:val="00F25A93"/>
    <w:rsid w:val="00F2684E"/>
    <w:rsid w:val="00F27332"/>
    <w:rsid w:val="00F277C4"/>
    <w:rsid w:val="00F27BC0"/>
    <w:rsid w:val="00F30087"/>
    <w:rsid w:val="00F32C8B"/>
    <w:rsid w:val="00F33916"/>
    <w:rsid w:val="00F33ACE"/>
    <w:rsid w:val="00F34257"/>
    <w:rsid w:val="00F3458B"/>
    <w:rsid w:val="00F34D07"/>
    <w:rsid w:val="00F366DB"/>
    <w:rsid w:val="00F40C75"/>
    <w:rsid w:val="00F42257"/>
    <w:rsid w:val="00F4248B"/>
    <w:rsid w:val="00F424C5"/>
    <w:rsid w:val="00F42DEC"/>
    <w:rsid w:val="00F4572B"/>
    <w:rsid w:val="00F47017"/>
    <w:rsid w:val="00F500DF"/>
    <w:rsid w:val="00F51CDB"/>
    <w:rsid w:val="00F5404C"/>
    <w:rsid w:val="00F54557"/>
    <w:rsid w:val="00F5505C"/>
    <w:rsid w:val="00F566EC"/>
    <w:rsid w:val="00F6098C"/>
    <w:rsid w:val="00F60E02"/>
    <w:rsid w:val="00F60FED"/>
    <w:rsid w:val="00F617F9"/>
    <w:rsid w:val="00F6262B"/>
    <w:rsid w:val="00F6530F"/>
    <w:rsid w:val="00F6539A"/>
    <w:rsid w:val="00F66863"/>
    <w:rsid w:val="00F70001"/>
    <w:rsid w:val="00F70022"/>
    <w:rsid w:val="00F718D5"/>
    <w:rsid w:val="00F72015"/>
    <w:rsid w:val="00F721E9"/>
    <w:rsid w:val="00F723A5"/>
    <w:rsid w:val="00F729EF"/>
    <w:rsid w:val="00F72B15"/>
    <w:rsid w:val="00F72E85"/>
    <w:rsid w:val="00F73829"/>
    <w:rsid w:val="00F744A2"/>
    <w:rsid w:val="00F74546"/>
    <w:rsid w:val="00F758C1"/>
    <w:rsid w:val="00F77CAE"/>
    <w:rsid w:val="00F82271"/>
    <w:rsid w:val="00F82560"/>
    <w:rsid w:val="00F83428"/>
    <w:rsid w:val="00F84AFE"/>
    <w:rsid w:val="00F9207E"/>
    <w:rsid w:val="00F92299"/>
    <w:rsid w:val="00F948EC"/>
    <w:rsid w:val="00F950F7"/>
    <w:rsid w:val="00F96BB9"/>
    <w:rsid w:val="00F975E2"/>
    <w:rsid w:val="00FA194C"/>
    <w:rsid w:val="00FA2AF3"/>
    <w:rsid w:val="00FA3EAA"/>
    <w:rsid w:val="00FA4557"/>
    <w:rsid w:val="00FA673B"/>
    <w:rsid w:val="00FA69AF"/>
    <w:rsid w:val="00FA7833"/>
    <w:rsid w:val="00FB514A"/>
    <w:rsid w:val="00FB51C5"/>
    <w:rsid w:val="00FB61F3"/>
    <w:rsid w:val="00FB6C46"/>
    <w:rsid w:val="00FB6D8C"/>
    <w:rsid w:val="00FB6EEB"/>
    <w:rsid w:val="00FB76C6"/>
    <w:rsid w:val="00FB78D8"/>
    <w:rsid w:val="00FC0FD0"/>
    <w:rsid w:val="00FC322F"/>
    <w:rsid w:val="00FC4A7D"/>
    <w:rsid w:val="00FC78EB"/>
    <w:rsid w:val="00FD06B2"/>
    <w:rsid w:val="00FD07FF"/>
    <w:rsid w:val="00FD3762"/>
    <w:rsid w:val="00FD41C1"/>
    <w:rsid w:val="00FD45ED"/>
    <w:rsid w:val="00FE0735"/>
    <w:rsid w:val="00FE23FA"/>
    <w:rsid w:val="00FE3678"/>
    <w:rsid w:val="00FE49E6"/>
    <w:rsid w:val="00FE4E29"/>
    <w:rsid w:val="00FE4E89"/>
    <w:rsid w:val="00FE6202"/>
    <w:rsid w:val="00FE6D51"/>
    <w:rsid w:val="00FE6F2A"/>
    <w:rsid w:val="00FF0293"/>
    <w:rsid w:val="00FF0C73"/>
    <w:rsid w:val="00FF228F"/>
    <w:rsid w:val="00FF33DA"/>
    <w:rsid w:val="00FF416C"/>
    <w:rsid w:val="00FF4990"/>
    <w:rsid w:val="00FF6636"/>
    <w:rsid w:val="00FF6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o:shapedefaults>
    <o:shapelayout v:ext="edit">
      <o:idmap v:ext="edit" data="1"/>
    </o:shapelayout>
  </w:shapeDefaults>
  <w:decimalSymbol w:val="."/>
  <w:listSeparator w:val=","/>
  <w14:docId w14:val="623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37354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1A495C"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37354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37354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37354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37354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37354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373545" w:themeColor="text2"/>
      <w:sz w:val="24"/>
      <w:szCs w:val="26"/>
    </w:rPr>
  </w:style>
  <w:style w:type="paragraph" w:styleId="TOC1">
    <w:name w:val="toc 1"/>
    <w:basedOn w:val="Normal"/>
    <w:next w:val="Normal"/>
    <w:autoRedefine/>
    <w:uiPriority w:val="39"/>
    <w:unhideWhenUsed/>
    <w:rsid w:val="00ED2831"/>
    <w:pPr>
      <w:pBdr>
        <w:top w:val="single" w:sz="4" w:space="6" w:color="3494BA" w:themeColor="accent1"/>
        <w:between w:val="single" w:sz="4" w:space="6" w:color="3494BA" w:themeColor="accent1"/>
      </w:pBdr>
      <w:tabs>
        <w:tab w:val="right" w:pos="9639"/>
      </w:tabs>
      <w:spacing w:after="100" w:line="320" w:lineRule="atLeast"/>
    </w:pPr>
    <w:rPr>
      <w:b/>
      <w:caps/>
      <w:color w:val="3494BA"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58B6C0"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37354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37354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1A495C"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1A495C"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A9A7BB" w:themeColor="text2" w:themeTint="66"/>
    </w:rPr>
  </w:style>
  <w:style w:type="character" w:styleId="PageNumber">
    <w:name w:val="page number"/>
    <w:basedOn w:val="DefaultParagraphFont"/>
    <w:uiPriority w:val="99"/>
    <w:unhideWhenUsed/>
    <w:rsid w:val="00F5404C"/>
    <w:rPr>
      <w:color w:val="37354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37354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37354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58B6C0"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373545" w:themeColor="text2"/>
        <w:bottom w:val="single" w:sz="4" w:space="0" w:color="373545" w:themeColor="text2"/>
        <w:insideH w:val="single" w:sz="4" w:space="0" w:color="373545" w:themeColor="text2"/>
      </w:tblBorders>
      <w:tblCellMar>
        <w:top w:w="57" w:type="dxa"/>
        <w:bottom w:w="57" w:type="dxa"/>
      </w:tblCellMar>
    </w:tblPr>
    <w:tblStylePr w:type="firstRow">
      <w:rPr>
        <w:b w:val="0"/>
      </w:rPr>
      <w:tblPr/>
      <w:tcPr>
        <w:tcBorders>
          <w:top w:val="single" w:sz="4" w:space="0" w:color="3494BA" w:themeColor="accent1"/>
          <w:bottom w:val="single" w:sz="4" w:space="0" w:color="3494BA" w:themeColor="accent1"/>
          <w:insideH w:val="single" w:sz="4" w:space="0" w:color="3494BA" w:themeColor="accent1"/>
        </w:tcBorders>
        <w:shd w:val="clear" w:color="auto" w:fill="3494BA" w:themeFill="accent1"/>
      </w:tcPr>
    </w:tblStylePr>
    <w:tblStylePr w:type="lastRow">
      <w:rPr>
        <w:b/>
        <w:color w:val="FFFFFF"/>
      </w:rPr>
      <w:tblPr/>
      <w:tcPr>
        <w:shd w:val="clear" w:color="auto" w:fill="373545" w:themeFill="text2"/>
      </w:tcPr>
    </w:tblStylePr>
    <w:tblStylePr w:type="firstCol">
      <w:tblPr/>
      <w:tcPr>
        <w:shd w:val="clear" w:color="auto" w:fill="CEDBE6" w:themeFill="background2"/>
      </w:tcPr>
    </w:tblStylePr>
    <w:tblStylePr w:type="lastCol">
      <w:tblPr/>
      <w:tcPr>
        <w:shd w:val="clear" w:color="auto" w:fill="CEDBE6" w:themeFill="background2"/>
      </w:tcPr>
    </w:tblStylePr>
    <w:tblStylePr w:type="band1Vert">
      <w:tblPr/>
      <w:tcPr>
        <w:shd w:val="clear" w:color="auto" w:fill="D4EAF3" w:themeFill="accent1" w:themeFillTint="33"/>
      </w:tcPr>
    </w:tblStylePr>
    <w:tblStylePr w:type="band2Vert">
      <w:tblPr/>
      <w:tcPr>
        <w:shd w:val="clear" w:color="auto" w:fill="A9D5E7" w:themeFill="accent1" w:themeFillTint="66"/>
      </w:tcPr>
    </w:tblStylePr>
    <w:tblStylePr w:type="band1Horz">
      <w:tblPr/>
      <w:tcPr>
        <w:shd w:val="clear" w:color="auto" w:fill="D4EAF3" w:themeFill="accent1" w:themeFillTint="33"/>
      </w:tcPr>
    </w:tblStylePr>
    <w:tblStylePr w:type="band2Horz">
      <w:tblPr/>
      <w:tcPr>
        <w:shd w:val="clear" w:color="auto" w:fill="A9D5E7" w:themeFill="accent1" w:themeFillTint="66"/>
      </w:tcPr>
    </w:tblStylePr>
  </w:style>
  <w:style w:type="paragraph" w:customStyle="1" w:styleId="FootnoteSeparator">
    <w:name w:val="Footnote Separator"/>
    <w:basedOn w:val="Footer"/>
    <w:qFormat/>
    <w:rsid w:val="00ED2831"/>
    <w:pPr>
      <w:pBdr>
        <w:top w:val="single" w:sz="4" w:space="1" w:color="373545" w:themeColor="text2"/>
      </w:pBdr>
      <w:tabs>
        <w:tab w:val="right" w:pos="9356"/>
        <w:tab w:val="center" w:pos="10036"/>
      </w:tabs>
      <w:spacing w:line="220" w:lineRule="atLeast"/>
      <w:ind w:right="0"/>
    </w:pPr>
    <w:rPr>
      <w:color w:val="37354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37354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3494BA" w:themeColor="accent1"/>
        <w:left w:val="single" w:sz="4" w:space="14" w:color="3494BA" w:themeColor="accent1"/>
        <w:bottom w:val="single" w:sz="4" w:space="14" w:color="3494BA" w:themeColor="accent1"/>
        <w:right w:val="single" w:sz="4" w:space="14" w:color="3494BA"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373545" w:themeColor="text2"/>
        <w:left w:val="single" w:sz="4" w:space="14" w:color="373545" w:themeColor="text2"/>
        <w:bottom w:val="single" w:sz="4" w:space="14" w:color="373545" w:themeColor="text2"/>
        <w:right w:val="single" w:sz="4" w:space="14" w:color="373545" w:themeColor="text2"/>
      </w:pBdr>
      <w:shd w:val="clear" w:color="auto" w:fill="37354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37354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37354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37354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37354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37354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373545" w:themeColor="text2"/>
      <w:lang w:val="en-GB"/>
    </w:rPr>
  </w:style>
  <w:style w:type="paragraph" w:styleId="BlockText">
    <w:name w:val="Block Text"/>
    <w:basedOn w:val="Normal"/>
    <w:uiPriority w:val="99"/>
    <w:unhideWhenUsed/>
    <w:locked/>
    <w:rsid w:val="00E8457B"/>
    <w:pPr>
      <w:pBdr>
        <w:top w:val="single" w:sz="2" w:space="10" w:color="3494BA" w:themeColor="accent1"/>
        <w:left w:val="single" w:sz="2" w:space="10" w:color="3494BA" w:themeColor="accent1"/>
        <w:bottom w:val="single" w:sz="2" w:space="10" w:color="3494BA" w:themeColor="accent1"/>
        <w:right w:val="single" w:sz="2" w:space="10" w:color="3494BA" w:themeColor="accent1"/>
      </w:pBdr>
      <w:ind w:left="1152" w:right="1152"/>
    </w:pPr>
    <w:rPr>
      <w:rFonts w:eastAsiaTheme="minorEastAsia"/>
      <w:i/>
      <w:iCs/>
      <w:color w:val="3494BA" w:themeColor="accent1"/>
    </w:rPr>
  </w:style>
  <w:style w:type="table" w:customStyle="1" w:styleId="DFATTable2">
    <w:name w:val="DFAT Table 2"/>
    <w:basedOn w:val="TableNormal"/>
    <w:uiPriority w:val="99"/>
    <w:rsid w:val="00482AE8"/>
    <w:pPr>
      <w:spacing w:after="0" w:line="260" w:lineRule="atLeast"/>
    </w:pPr>
    <w:rPr>
      <w:rFonts w:ascii="Calibri" w:hAnsi="Calibri"/>
      <w:color w:val="37354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37354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373545" w:themeColor="text2"/>
      <w:sz w:val="20"/>
      <w:szCs w:val="20"/>
      <w:lang w:val="en-GB"/>
    </w:rPr>
  </w:style>
  <w:style w:type="character" w:customStyle="1" w:styleId="ColourAccent1">
    <w:name w:val="Colour Accent 1"/>
    <w:basedOn w:val="DefaultParagraphFont"/>
    <w:uiPriority w:val="1"/>
    <w:qFormat/>
    <w:locked/>
    <w:rsid w:val="001214BE"/>
    <w:rPr>
      <w:color w:val="3494BA"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37354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373545" w:themeColor="text2"/>
      <w:lang w:val="en-GB"/>
    </w:rPr>
  </w:style>
  <w:style w:type="table" w:styleId="GridTable1Light-Accent1">
    <w:name w:val="Grid Table 1 Light Accent 1"/>
    <w:basedOn w:val="TableNormal"/>
    <w:uiPriority w:val="46"/>
    <w:locked/>
    <w:rsid w:val="006D5BBB"/>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07921"/>
    <w:rPr>
      <w:color w:val="605E5C"/>
      <w:shd w:val="clear" w:color="auto" w:fill="E1DFDD"/>
    </w:rPr>
  </w:style>
  <w:style w:type="character" w:styleId="UnresolvedMention">
    <w:name w:val="Unresolved Mention"/>
    <w:basedOn w:val="DefaultParagraphFont"/>
    <w:uiPriority w:val="99"/>
    <w:semiHidden/>
    <w:unhideWhenUsed/>
    <w:rsid w:val="00EC2B00"/>
    <w:rPr>
      <w:color w:val="605E5C"/>
      <w:shd w:val="clear" w:color="auto" w:fill="E1DFDD"/>
    </w:rPr>
  </w:style>
  <w:style w:type="character" w:styleId="FollowedHyperlink">
    <w:name w:val="FollowedHyperlink"/>
    <w:basedOn w:val="DefaultParagraphFont"/>
    <w:uiPriority w:val="99"/>
    <w:semiHidden/>
    <w:unhideWhenUsed/>
    <w:rsid w:val="007325FC"/>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10036837">
      <w:bodyDiv w:val="1"/>
      <w:marLeft w:val="0"/>
      <w:marRight w:val="0"/>
      <w:marTop w:val="0"/>
      <w:marBottom w:val="0"/>
      <w:divBdr>
        <w:top w:val="none" w:sz="0" w:space="0" w:color="auto"/>
        <w:left w:val="none" w:sz="0" w:space="0" w:color="auto"/>
        <w:bottom w:val="none" w:sz="0" w:space="0" w:color="auto"/>
        <w:right w:val="none" w:sz="0" w:space="0" w:color="auto"/>
      </w:divBdr>
    </w:div>
    <w:div w:id="38632413">
      <w:bodyDiv w:val="1"/>
      <w:marLeft w:val="0"/>
      <w:marRight w:val="0"/>
      <w:marTop w:val="0"/>
      <w:marBottom w:val="0"/>
      <w:divBdr>
        <w:top w:val="none" w:sz="0" w:space="0" w:color="auto"/>
        <w:left w:val="none" w:sz="0" w:space="0" w:color="auto"/>
        <w:bottom w:val="none" w:sz="0" w:space="0" w:color="auto"/>
        <w:right w:val="none" w:sz="0" w:space="0" w:color="auto"/>
      </w:divBdr>
    </w:div>
    <w:div w:id="282928961">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25854261">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726149727">
      <w:bodyDiv w:val="1"/>
      <w:marLeft w:val="0"/>
      <w:marRight w:val="0"/>
      <w:marTop w:val="0"/>
      <w:marBottom w:val="0"/>
      <w:divBdr>
        <w:top w:val="none" w:sz="0" w:space="0" w:color="auto"/>
        <w:left w:val="none" w:sz="0" w:space="0" w:color="auto"/>
        <w:bottom w:val="none" w:sz="0" w:space="0" w:color="auto"/>
        <w:right w:val="none" w:sz="0" w:space="0" w:color="auto"/>
      </w:divBdr>
    </w:div>
    <w:div w:id="87242095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0739369">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511870680">
      <w:bodyDiv w:val="1"/>
      <w:marLeft w:val="0"/>
      <w:marRight w:val="0"/>
      <w:marTop w:val="0"/>
      <w:marBottom w:val="0"/>
      <w:divBdr>
        <w:top w:val="none" w:sz="0" w:space="0" w:color="auto"/>
        <w:left w:val="none" w:sz="0" w:space="0" w:color="auto"/>
        <w:bottom w:val="none" w:sz="0" w:space="0" w:color="auto"/>
        <w:right w:val="none" w:sz="0" w:space="0" w:color="auto"/>
      </w:divBdr>
    </w:div>
    <w:div w:id="1549803562">
      <w:bodyDiv w:val="1"/>
      <w:marLeft w:val="0"/>
      <w:marRight w:val="0"/>
      <w:marTop w:val="0"/>
      <w:marBottom w:val="0"/>
      <w:divBdr>
        <w:top w:val="none" w:sz="0" w:space="0" w:color="auto"/>
        <w:left w:val="none" w:sz="0" w:space="0" w:color="auto"/>
        <w:bottom w:val="none" w:sz="0" w:space="0" w:color="auto"/>
        <w:right w:val="none" w:sz="0" w:space="0" w:color="auto"/>
      </w:divBdr>
    </w:div>
    <w:div w:id="1649163866">
      <w:bodyDiv w:val="1"/>
      <w:marLeft w:val="0"/>
      <w:marRight w:val="0"/>
      <w:marTop w:val="0"/>
      <w:marBottom w:val="0"/>
      <w:divBdr>
        <w:top w:val="none" w:sz="0" w:space="0" w:color="auto"/>
        <w:left w:val="none" w:sz="0" w:space="0" w:color="auto"/>
        <w:bottom w:val="none" w:sz="0" w:space="0" w:color="auto"/>
        <w:right w:val="none" w:sz="0" w:space="0" w:color="auto"/>
      </w:divBdr>
      <w:divsChild>
        <w:div w:id="726031262">
          <w:marLeft w:val="274"/>
          <w:marRight w:val="0"/>
          <w:marTop w:val="0"/>
          <w:marBottom w:val="120"/>
          <w:divBdr>
            <w:top w:val="none" w:sz="0" w:space="0" w:color="auto"/>
            <w:left w:val="none" w:sz="0" w:space="0" w:color="auto"/>
            <w:bottom w:val="none" w:sz="0" w:space="0" w:color="auto"/>
            <w:right w:val="none" w:sz="0" w:space="0" w:color="auto"/>
          </w:divBdr>
        </w:div>
        <w:div w:id="589117039">
          <w:marLeft w:val="274"/>
          <w:marRight w:val="0"/>
          <w:marTop w:val="0"/>
          <w:marBottom w:val="120"/>
          <w:divBdr>
            <w:top w:val="none" w:sz="0" w:space="0" w:color="auto"/>
            <w:left w:val="none" w:sz="0" w:space="0" w:color="auto"/>
            <w:bottom w:val="none" w:sz="0" w:space="0" w:color="auto"/>
            <w:right w:val="none" w:sz="0" w:space="0" w:color="auto"/>
          </w:divBdr>
        </w:div>
      </w:divsChild>
    </w:div>
    <w:div w:id="1650674076">
      <w:bodyDiv w:val="1"/>
      <w:marLeft w:val="0"/>
      <w:marRight w:val="0"/>
      <w:marTop w:val="0"/>
      <w:marBottom w:val="0"/>
      <w:divBdr>
        <w:top w:val="none" w:sz="0" w:space="0" w:color="auto"/>
        <w:left w:val="none" w:sz="0" w:space="0" w:color="auto"/>
        <w:bottom w:val="none" w:sz="0" w:space="0" w:color="auto"/>
        <w:right w:val="none" w:sz="0" w:space="0" w:color="auto"/>
      </w:divBdr>
    </w:div>
    <w:div w:id="1652755404">
      <w:bodyDiv w:val="1"/>
      <w:marLeft w:val="0"/>
      <w:marRight w:val="0"/>
      <w:marTop w:val="0"/>
      <w:marBottom w:val="0"/>
      <w:divBdr>
        <w:top w:val="none" w:sz="0" w:space="0" w:color="auto"/>
        <w:left w:val="none" w:sz="0" w:space="0" w:color="auto"/>
        <w:bottom w:val="none" w:sz="0" w:space="0" w:color="auto"/>
        <w:right w:val="none" w:sz="0" w:space="0" w:color="auto"/>
      </w:divBdr>
    </w:div>
    <w:div w:id="1659458436">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942175525">
      <w:bodyDiv w:val="1"/>
      <w:marLeft w:val="0"/>
      <w:marRight w:val="0"/>
      <w:marTop w:val="0"/>
      <w:marBottom w:val="0"/>
      <w:divBdr>
        <w:top w:val="none" w:sz="0" w:space="0" w:color="auto"/>
        <w:left w:val="none" w:sz="0" w:space="0" w:color="auto"/>
        <w:bottom w:val="none" w:sz="0" w:space="0" w:color="auto"/>
        <w:right w:val="none" w:sz="0" w:space="0" w:color="auto"/>
      </w:divBdr>
    </w:div>
    <w:div w:id="1955936619">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FAT Corporate - Standard">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A8F1-6BB0-49D4-BEAD-4C04A833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2445</Words>
  <Characters>14327</Characters>
  <Application>Microsoft Office Word</Application>
  <DocSecurity>0</DocSecurity>
  <Lines>303</Lines>
  <Paragraphs>161</Paragraphs>
  <ScaleCrop>false</ScaleCrop>
  <HeadingPairs>
    <vt:vector size="2" baseType="variant">
      <vt:variant>
        <vt:lpstr>Title</vt:lpstr>
      </vt:variant>
      <vt:variant>
        <vt:i4>1</vt:i4>
      </vt:variant>
    </vt:vector>
  </HeadingPairs>
  <TitlesOfParts>
    <vt:vector size="1" baseType="lpstr">
      <vt:lpstr>Australian NGO Cooperation Program (ANCP) Performance Snapshot 2019-20</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NGO Cooperation Program (ANCP) Performance Snapshot 2019-20</dc:title>
  <dc:creator/>
  <cp:keywords>[SEC=OFFICIAL]</cp:keywords>
  <cp:lastModifiedBy/>
  <cp:revision>1</cp:revision>
  <dcterms:created xsi:type="dcterms:W3CDTF">2023-02-01T23:09:00Z</dcterms:created>
  <dcterms:modified xsi:type="dcterms:W3CDTF">2023-02-01T23:09:00Z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0CF5233A809D4E779FD6B07730BA6E53</vt:lpwstr>
  </property>
  <property fmtid="{D5CDD505-2E9C-101B-9397-08002B2CF9AE}" pid="9" name="PM_ProtectiveMarkingValue_Footer">
    <vt:lpwstr>OFFICIAL</vt:lpwstr>
  </property>
  <property fmtid="{D5CDD505-2E9C-101B-9397-08002B2CF9AE}" pid="10" name="PM_Originator_Hash_SHA1">
    <vt:lpwstr>1B6D3199ED32408F4289C201931C4938075C33F4</vt:lpwstr>
  </property>
  <property fmtid="{D5CDD505-2E9C-101B-9397-08002B2CF9AE}" pid="11" name="PM_OriginationTimeStamp">
    <vt:lpwstr>2023-02-01T23:08:54Z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5104DB04272FC085FFF4868D287E8912</vt:lpwstr>
  </property>
  <property fmtid="{D5CDD505-2E9C-101B-9397-08002B2CF9AE}" pid="20" name="PM_Hash_Salt">
    <vt:lpwstr>8FCDEA60188317E5E2160167CD939FD5</vt:lpwstr>
  </property>
  <property fmtid="{D5CDD505-2E9C-101B-9397-08002B2CF9AE}" pid="21" name="PM_Hash_SHA1">
    <vt:lpwstr>80BD298380AC2F8F0AF0208F89BD982C16D84536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9C09609018ECD258FC9D24733BB92E600F2E5C1E88ABEE743494CFCBA708913F</vt:lpwstr>
  </property>
  <property fmtid="{D5CDD505-2E9C-101B-9397-08002B2CF9AE}" pid="28" name="PM_OriginatorDomainName_SHA256">
    <vt:lpwstr>6F3591835F3B2A8A025B00B5BA6418010DA3A17C9C26EA9C049FFD28039489A2</vt:lpwstr>
  </property>
</Properties>
</file>