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9C542" w14:textId="7FF5A1E0" w:rsidR="00110C57" w:rsidRDefault="00110C57" w:rsidP="00BE6B6D">
      <w:pPr>
        <w:pStyle w:val="Title"/>
        <w:jc w:val="center"/>
        <w:rPr>
          <w:sz w:val="36"/>
          <w:szCs w:val="36"/>
        </w:rPr>
      </w:pPr>
      <w:r>
        <w:rPr>
          <w:sz w:val="36"/>
          <w:szCs w:val="36"/>
        </w:rPr>
        <w:t>Australian NGO Cooperation Program (ANCP)</w:t>
      </w:r>
    </w:p>
    <w:p w14:paraId="499D2420" w14:textId="237CBB15" w:rsidR="00110C57" w:rsidRDefault="00573624" w:rsidP="00BE6B6D">
      <w:pPr>
        <w:pStyle w:val="Title"/>
        <w:jc w:val="center"/>
        <w:rPr>
          <w:sz w:val="36"/>
          <w:szCs w:val="36"/>
        </w:rPr>
      </w:pPr>
      <w:r>
        <w:rPr>
          <w:sz w:val="36"/>
          <w:szCs w:val="36"/>
        </w:rPr>
        <w:t>Partnerships for recovery</w:t>
      </w:r>
      <w:r w:rsidR="00110C57">
        <w:rPr>
          <w:sz w:val="36"/>
          <w:szCs w:val="36"/>
        </w:rPr>
        <w:t xml:space="preserve"> &amp; </w:t>
      </w:r>
      <w:r w:rsidR="00C61313">
        <w:rPr>
          <w:sz w:val="36"/>
          <w:szCs w:val="36"/>
        </w:rPr>
        <w:t>2019-20 Highlights</w:t>
      </w:r>
    </w:p>
    <w:p w14:paraId="4716EB28" w14:textId="77777777" w:rsidR="00BE6B6D" w:rsidRDefault="00BE6B6D" w:rsidP="00BF4650">
      <w:pPr>
        <w:pStyle w:val="Heading2"/>
      </w:pPr>
    </w:p>
    <w:p w14:paraId="1A514FAE" w14:textId="0321E9E7" w:rsidR="00C61313" w:rsidRPr="009C6AFE" w:rsidRDefault="00110C57" w:rsidP="00BF4650">
      <w:pPr>
        <w:pStyle w:val="Heading2"/>
      </w:pPr>
      <w:r>
        <w:t xml:space="preserve">ANCP </w:t>
      </w:r>
      <w:r w:rsidR="00C61313" w:rsidRPr="009C6AFE">
        <w:t>COVID-19 Development Response</w:t>
      </w:r>
    </w:p>
    <w:p w14:paraId="66841D46" w14:textId="23F0108A" w:rsidR="004B7D5A" w:rsidRDefault="004B7D5A" w:rsidP="00C61313"/>
    <w:p w14:paraId="1E2F0AAB" w14:textId="1E767068" w:rsidR="00C61313" w:rsidRDefault="00C61313" w:rsidP="00C61313">
      <w:r>
        <w:t>The ANCP is a unique global program that supports trusted Australian-based international development NGOs (ANGOs) through flexible annual grants for effective development projects overseas. Th</w:t>
      </w:r>
      <w:r w:rsidR="00D07898">
        <w:t>e</w:t>
      </w:r>
      <w:r>
        <w:t xml:space="preserve"> inherent flexibility </w:t>
      </w:r>
      <w:r w:rsidR="00D07898">
        <w:t xml:space="preserve">in the ANCP model facilitated </w:t>
      </w:r>
      <w:r w:rsidRPr="008F38AC">
        <w:t xml:space="preserve">the </w:t>
      </w:r>
      <w:r w:rsidR="00D07898">
        <w:t xml:space="preserve">timely </w:t>
      </w:r>
      <w:r w:rsidRPr="008F38AC">
        <w:t xml:space="preserve">adaptation of existing projects to focus on </w:t>
      </w:r>
      <w:hyperlink r:id="rId8" w:history="1">
        <w:r w:rsidRPr="00B07921">
          <w:rPr>
            <w:rStyle w:val="Hyperlink"/>
            <w:rFonts w:cstheme="minorBidi"/>
            <w:i/>
            <w:iCs/>
          </w:rPr>
          <w:t>Partnerships for Recovery</w:t>
        </w:r>
      </w:hyperlink>
      <w:r>
        <w:t xml:space="preserve"> and </w:t>
      </w:r>
      <w:r w:rsidRPr="008F38AC">
        <w:t xml:space="preserve">COVID-19 activities. </w:t>
      </w:r>
      <w:r w:rsidR="00002536">
        <w:t xml:space="preserve"> </w:t>
      </w:r>
    </w:p>
    <w:p w14:paraId="60BCA344" w14:textId="678F4043" w:rsidR="00481A65" w:rsidRDefault="00481A65" w:rsidP="00C61313"/>
    <w:p w14:paraId="1EA5DEA3" w14:textId="6CA55575" w:rsidR="00110C57" w:rsidRDefault="00D04A8B" w:rsidP="00C61313">
      <w:r w:rsidRPr="008F38AC">
        <w:t>NGOs</w:t>
      </w:r>
      <w:r>
        <w:t>’</w:t>
      </w:r>
      <w:r w:rsidRPr="008F38AC">
        <w:t xml:space="preserve"> </w:t>
      </w:r>
      <w:r w:rsidR="00C61313" w:rsidRPr="008F38AC">
        <w:t>established relationships with local partners provide</w:t>
      </w:r>
      <w:r w:rsidR="00C61313">
        <w:t>d</w:t>
      </w:r>
      <w:r w:rsidR="00C61313" w:rsidRPr="008F38AC">
        <w:t xml:space="preserve"> a </w:t>
      </w:r>
      <w:r w:rsidR="00C61313">
        <w:t>crucial</w:t>
      </w:r>
      <w:r w:rsidR="00C61313" w:rsidRPr="008F38AC">
        <w:t xml:space="preserve"> base for ANCP to respon</w:t>
      </w:r>
      <w:r>
        <w:t>d</w:t>
      </w:r>
      <w:r w:rsidR="00C61313" w:rsidRPr="008F38AC">
        <w:t xml:space="preserve"> to emerging issues</w:t>
      </w:r>
      <w:r w:rsidR="00EC2B00">
        <w:t xml:space="preserve"> through adaptive programming</w:t>
      </w:r>
      <w:r w:rsidR="00C61313" w:rsidRPr="008F38AC">
        <w:t>. With</w:t>
      </w:r>
      <w:r w:rsidR="009C6AFE">
        <w:t> </w:t>
      </w:r>
      <w:r w:rsidR="00C61313" w:rsidRPr="008F38AC">
        <w:t>international travel and resource mobilisation severely limited, the</w:t>
      </w:r>
      <w:r w:rsidR="00C61313">
        <w:t> </w:t>
      </w:r>
      <w:r w:rsidR="00C61313" w:rsidRPr="008F38AC">
        <w:t>long</w:t>
      </w:r>
      <w:r>
        <w:noBreakHyphen/>
      </w:r>
      <w:r w:rsidR="00C61313" w:rsidRPr="008F38AC">
        <w:t xml:space="preserve">standing partnerships between Australian NGOs and local partners </w:t>
      </w:r>
      <w:r w:rsidR="00C61313">
        <w:t>w</w:t>
      </w:r>
      <w:r w:rsidR="009C6AFE">
        <w:t>ere</w:t>
      </w:r>
      <w:r w:rsidR="00C61313" w:rsidRPr="008F38AC">
        <w:t xml:space="preserve"> invaluable</w:t>
      </w:r>
      <w:r w:rsidR="009C6AFE">
        <w:t xml:space="preserve"> for the Program</w:t>
      </w:r>
      <w:r w:rsidR="00C61313" w:rsidRPr="008F38AC">
        <w:t xml:space="preserve"> to </w:t>
      </w:r>
      <w:r>
        <w:t>react</w:t>
      </w:r>
      <w:r w:rsidR="00C61313" w:rsidRPr="008F38AC">
        <w:t xml:space="preserve"> </w:t>
      </w:r>
      <w:r w:rsidR="00481A65" w:rsidRPr="008F38AC">
        <w:t xml:space="preserve">quickly </w:t>
      </w:r>
      <w:r w:rsidR="00C61313" w:rsidRPr="008F38AC">
        <w:t>to local needs and contexts.</w:t>
      </w:r>
      <w:r w:rsidR="00481A65">
        <w:t xml:space="preserve"> </w:t>
      </w:r>
      <w:r w:rsidR="009C6AFE" w:rsidRPr="008F38AC">
        <w:t xml:space="preserve">Between </w:t>
      </w:r>
      <w:r w:rsidR="00481A65" w:rsidRPr="008F38AC">
        <w:t>March and June 257</w:t>
      </w:r>
      <w:r w:rsidR="009C6AFE">
        <w:t> ANCP </w:t>
      </w:r>
      <w:r w:rsidR="00481A65" w:rsidRPr="008F38AC">
        <w:t xml:space="preserve">projects (60% of all ANCP projects) </w:t>
      </w:r>
      <w:r w:rsidR="009C6AFE">
        <w:t xml:space="preserve">pivoted </w:t>
      </w:r>
      <w:r w:rsidR="00481A65" w:rsidRPr="008F38AC">
        <w:t xml:space="preserve">to respond to emerging challenges </w:t>
      </w:r>
      <w:r w:rsidR="009C6AFE">
        <w:t>of</w:t>
      </w:r>
      <w:r w:rsidR="00481A65" w:rsidRPr="008F38AC">
        <w:t xml:space="preserve"> COVID</w:t>
      </w:r>
      <w:r w:rsidR="00481A65">
        <w:noBreakHyphen/>
      </w:r>
      <w:r w:rsidR="00481A65" w:rsidRPr="008F38AC">
        <w:t xml:space="preserve">19. </w:t>
      </w:r>
      <w:r w:rsidR="00F06BC4" w:rsidRPr="00F06BC4">
        <w:rPr>
          <w:rFonts w:eastAsia="Times New Roman"/>
        </w:rPr>
        <w:t>In 2019-20, ANCP supported:</w:t>
      </w:r>
    </w:p>
    <w:p w14:paraId="28BC6EBA" w14:textId="77777777" w:rsidR="00B84926" w:rsidRDefault="0003405F" w:rsidP="00B84926">
      <w:r w:rsidRPr="00795825">
        <w:rPr>
          <w:noProof/>
          <w:lang w:val="en-AU" w:eastAsia="en-AU"/>
        </w:rPr>
        <w:drawing>
          <wp:anchor distT="0" distB="0" distL="114300" distR="114300" simplePos="0" relativeHeight="251671552" behindDoc="1" locked="0" layoutInCell="1" allowOverlap="1" wp14:anchorId="448173F5" wp14:editId="3F05D226">
            <wp:simplePos x="0" y="0"/>
            <wp:positionH relativeFrom="column">
              <wp:posOffset>3810</wp:posOffset>
            </wp:positionH>
            <wp:positionV relativeFrom="paragraph">
              <wp:posOffset>89535</wp:posOffset>
            </wp:positionV>
            <wp:extent cx="615600" cy="59760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F7A93" w14:textId="77E1BBF3" w:rsidR="0003405F" w:rsidRDefault="0003405F" w:rsidP="00B84926">
      <w:pPr>
        <w:ind w:left="1440"/>
      </w:pPr>
      <w:r>
        <w:t>$131.8 million in grants to NGOs + additional $30.15 million from NGO contributions +</w:t>
      </w:r>
      <w:r w:rsidR="00F34257">
        <w:br/>
      </w:r>
      <w:r>
        <w:t>$25.6</w:t>
      </w:r>
      <w:r w:rsidR="00F06BC4">
        <w:t xml:space="preserve"> </w:t>
      </w:r>
      <w:r>
        <w:t xml:space="preserve">million in leveraged funds </w:t>
      </w:r>
    </w:p>
    <w:p w14:paraId="1D180237" w14:textId="756E359F" w:rsidR="0003405F" w:rsidRDefault="0003405F" w:rsidP="00C61313"/>
    <w:p w14:paraId="200BFF3D" w14:textId="2FC5E013" w:rsidR="0003405F" w:rsidRDefault="0003405F" w:rsidP="00B84926">
      <w:pPr>
        <w:ind w:left="720" w:firstLine="720"/>
      </w:pPr>
      <w:r w:rsidRPr="00795825">
        <w:rPr>
          <w:noProof/>
          <w:lang w:val="en-AU" w:eastAsia="en-AU"/>
        </w:rPr>
        <w:drawing>
          <wp:anchor distT="0" distB="0" distL="114300" distR="114300" simplePos="0" relativeHeight="251672576" behindDoc="1" locked="0" layoutInCell="1" allowOverlap="1" wp14:anchorId="76534962" wp14:editId="5D5BE168">
            <wp:simplePos x="0" y="0"/>
            <wp:positionH relativeFrom="column">
              <wp:posOffset>3810</wp:posOffset>
            </wp:positionH>
            <wp:positionV relativeFrom="paragraph">
              <wp:posOffset>36195</wp:posOffset>
            </wp:positionV>
            <wp:extent cx="659130" cy="573577"/>
            <wp:effectExtent l="0" t="0" r="762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299"/>
                    <a:stretch/>
                  </pic:blipFill>
                  <pic:spPr bwMode="auto">
                    <a:xfrm>
                      <a:off x="0" y="0"/>
                      <a:ext cx="659130" cy="5735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57 Accredited Australian NGOs worked with over 2000 local partners </w:t>
      </w:r>
    </w:p>
    <w:p w14:paraId="64055B5D" w14:textId="4D653FB8" w:rsidR="0003405F" w:rsidRDefault="0003405F" w:rsidP="00C61313"/>
    <w:p w14:paraId="39F9E5DE" w14:textId="77777777" w:rsidR="0003405F" w:rsidRDefault="0003405F" w:rsidP="00C61313">
      <w:pPr>
        <w:rPr>
          <w:noProof/>
          <w:color w:val="000000"/>
          <w:sz w:val="20"/>
          <w:szCs w:val="20"/>
          <w:lang w:val="en-AU" w:eastAsia="en-AU"/>
        </w:rPr>
      </w:pPr>
    </w:p>
    <w:p w14:paraId="404A6629" w14:textId="571FDF09" w:rsidR="0003405F" w:rsidRDefault="0003405F" w:rsidP="00225DD3">
      <w:pPr>
        <w:ind w:left="1440"/>
      </w:pPr>
      <w:r w:rsidRPr="00FD6675">
        <w:rPr>
          <w:noProof/>
          <w:color w:val="000000"/>
          <w:sz w:val="20"/>
          <w:szCs w:val="20"/>
          <w:lang w:val="en-AU" w:eastAsia="en-AU"/>
        </w:rPr>
        <w:drawing>
          <wp:anchor distT="0" distB="0" distL="114300" distR="114300" simplePos="0" relativeHeight="251674624" behindDoc="1" locked="0" layoutInCell="1" allowOverlap="1" wp14:anchorId="4616677A" wp14:editId="28E33850">
            <wp:simplePos x="0" y="0"/>
            <wp:positionH relativeFrom="column">
              <wp:posOffset>3810</wp:posOffset>
            </wp:positionH>
            <wp:positionV relativeFrom="paragraph">
              <wp:posOffset>34925</wp:posOffset>
            </wp:positionV>
            <wp:extent cx="520996" cy="520996"/>
            <wp:effectExtent l="0" t="0" r="0" b="0"/>
            <wp:wrapNone/>
            <wp:docPr id="262" name="Picture 261">
              <a:extLst xmlns:a="http://schemas.openxmlformats.org/drawingml/2006/main">
                <a:ext uri="{FF2B5EF4-FFF2-40B4-BE49-F238E27FC236}">
                  <a16:creationId xmlns:a16="http://schemas.microsoft.com/office/drawing/2014/main" id="{EB7F3FCF-ECAB-4E29-B6AA-12967803860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1">
                      <a:extLst>
                        <a:ext uri="{FF2B5EF4-FFF2-40B4-BE49-F238E27FC236}">
                          <a16:creationId xmlns:a16="http://schemas.microsoft.com/office/drawing/2014/main" id="{EB7F3FCF-ECAB-4E29-B6AA-129678038602}"/>
                        </a:ext>
                        <a:ext uri="{C183D7F6-B498-43B3-948B-1728B52AA6E4}">
                          <adec:decorative xmlns:adec="http://schemas.microsoft.com/office/drawing/2017/decorative" val="1"/>
                        </a:ext>
                      </a:extLst>
                    </pic:cNvPr>
                    <pic:cNvPicPr>
                      <a:picLocks noChangeAspect="1"/>
                    </pic:cNvPicPr>
                  </pic:nvPicPr>
                  <pic:blipFill>
                    <a:blip r:embed="rId11" cstate="print">
                      <a:duotone>
                        <a:schemeClr val="bg2">
                          <a:shade val="45000"/>
                          <a:satMod val="135000"/>
                        </a:schemeClr>
                        <a:prstClr val="white"/>
                      </a:duotone>
                      <a:extLst>
                        <a:ext uri="{BEBA8EAE-BF5A-486C-A8C5-ECC9F3942E4B}">
                          <a14:imgProps xmlns:a14="http://schemas.microsoft.com/office/drawing/2010/main">
                            <a14:imgLayer r:embed="rId12">
                              <a14:imgEffect>
                                <a14:colorTemperature colorTemp="1500"/>
                              </a14:imgEffect>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20996" cy="520996"/>
                    </a:xfrm>
                    <a:prstGeom prst="rect">
                      <a:avLst/>
                    </a:prstGeom>
                    <a:noFill/>
                  </pic:spPr>
                </pic:pic>
              </a:graphicData>
            </a:graphic>
            <wp14:sizeRelH relativeFrom="page">
              <wp14:pctWidth>0</wp14:pctWidth>
            </wp14:sizeRelH>
            <wp14:sizeRelV relativeFrom="page">
              <wp14:pctHeight>0</wp14:pctHeight>
            </wp14:sizeRelV>
          </wp:anchor>
        </w:drawing>
      </w:r>
      <w:r>
        <w:t>11.8</w:t>
      </w:r>
      <w:r w:rsidR="007107C0">
        <w:t xml:space="preserve"> million project participants. 57% women and girls and 8% people with disability</w:t>
      </w:r>
      <w:r w:rsidR="00225DD3">
        <w:rPr>
          <w:rStyle w:val="FootnoteReference"/>
        </w:rPr>
        <w:footnoteReference w:id="1"/>
      </w:r>
      <w:r w:rsidR="00225DD3">
        <w:t xml:space="preserve"> </w:t>
      </w:r>
    </w:p>
    <w:p w14:paraId="298B65A4" w14:textId="640B43ED" w:rsidR="0003405F" w:rsidRDefault="0003405F" w:rsidP="00C61313"/>
    <w:p w14:paraId="725871AB" w14:textId="77777777" w:rsidR="0003405F" w:rsidRDefault="0003405F" w:rsidP="00C61313">
      <w:pPr>
        <w:rPr>
          <w:noProof/>
          <w:lang w:val="en-AU" w:eastAsia="en-AU"/>
        </w:rPr>
      </w:pPr>
    </w:p>
    <w:p w14:paraId="1F39D696" w14:textId="18CD2812" w:rsidR="0003405F" w:rsidRDefault="0003405F" w:rsidP="00C61313">
      <w:r w:rsidRPr="00A105CD">
        <w:rPr>
          <w:noProof/>
          <w:lang w:val="en-AU" w:eastAsia="en-AU"/>
        </w:rPr>
        <w:drawing>
          <wp:anchor distT="0" distB="0" distL="114300" distR="114300" simplePos="0" relativeHeight="251673600" behindDoc="1" locked="0" layoutInCell="1" allowOverlap="1" wp14:anchorId="10BAFE85" wp14:editId="2FF40D43">
            <wp:simplePos x="0" y="0"/>
            <wp:positionH relativeFrom="column">
              <wp:posOffset>3810</wp:posOffset>
            </wp:positionH>
            <wp:positionV relativeFrom="paragraph">
              <wp:posOffset>41910</wp:posOffset>
            </wp:positionV>
            <wp:extent cx="622598" cy="584790"/>
            <wp:effectExtent l="0" t="0" r="635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rotWithShape="1">
                    <a:blip r:embed="rId14">
                      <a:extLst>
                        <a:ext uri="{28A0092B-C50C-407E-A947-70E740481C1C}">
                          <a14:useLocalDpi xmlns:a14="http://schemas.microsoft.com/office/drawing/2010/main" val="0"/>
                        </a:ext>
                      </a:extLst>
                    </a:blip>
                    <a:srcRect l="-4461" t="-105" r="-3023" b="-852"/>
                    <a:stretch/>
                  </pic:blipFill>
                  <pic:spPr bwMode="auto">
                    <a:xfrm>
                      <a:off x="0" y="0"/>
                      <a:ext cx="622598" cy="58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07C0">
        <w:tab/>
      </w:r>
      <w:r w:rsidR="007107C0">
        <w:tab/>
        <w:t>424 projects in 58 countries. 83% expenditure in Indo-Pacific</w:t>
      </w:r>
    </w:p>
    <w:p w14:paraId="34520EC2" w14:textId="77777777" w:rsidR="00EC2B00" w:rsidRDefault="00EC2B00" w:rsidP="00C61313"/>
    <w:p w14:paraId="23F22A0A" w14:textId="2A463D16" w:rsidR="00110C57" w:rsidRDefault="00110C57" w:rsidP="00D04A8B"/>
    <w:p w14:paraId="5BB427A5" w14:textId="22BA3158" w:rsidR="00C61313" w:rsidRDefault="00C61313" w:rsidP="00BE6B6D">
      <w:pPr>
        <w:spacing w:after="0"/>
      </w:pPr>
      <w:r w:rsidRPr="008F38AC">
        <w:t xml:space="preserve">Australian NGOs are working directly with local partners across the Indo-Pacific region to prevent the spread of COVID-19 and implement </w:t>
      </w:r>
      <w:r w:rsidR="00B47795">
        <w:t xml:space="preserve">ANCP </w:t>
      </w:r>
      <w:r w:rsidRPr="008F38AC">
        <w:t>programs to respond to the social and economic impact of the pandemic</w:t>
      </w:r>
      <w:r w:rsidR="00846A86">
        <w:t>,</w:t>
      </w:r>
      <w:r w:rsidRPr="008F38AC">
        <w:t xml:space="preserve"> in line with </w:t>
      </w:r>
      <w:hyperlink r:id="rId15" w:history="1">
        <w:r w:rsidRPr="00B07921">
          <w:rPr>
            <w:rStyle w:val="Hyperlink"/>
            <w:rFonts w:cstheme="minorBidi"/>
            <w:i/>
            <w:iCs/>
          </w:rPr>
          <w:t>Partnerships for Recovery</w:t>
        </w:r>
      </w:hyperlink>
      <w:r w:rsidRPr="006A04F5">
        <w:t xml:space="preserve">. </w:t>
      </w:r>
    </w:p>
    <w:p w14:paraId="50E891DC" w14:textId="4D426BA5" w:rsidR="001734CE" w:rsidRDefault="00E27220" w:rsidP="001734CE">
      <w:pPr>
        <w:pStyle w:val="Heading3"/>
        <w:jc w:val="center"/>
      </w:pPr>
      <w:r>
        <w:rPr>
          <w:noProof/>
        </w:rPr>
        <w:lastRenderedPageBreak/>
        <w:drawing>
          <wp:inline distT="0" distB="0" distL="0" distR="0" wp14:anchorId="082868E5" wp14:editId="389825F7">
            <wp:extent cx="6120130" cy="4345940"/>
            <wp:effectExtent l="0" t="0" r="0" b="0"/>
            <wp:docPr id="3" name="Picture 3" descr="A map of the world showing the percentage of ANCP funds spent in each Region. The breakdown is: 0.1% Latin America and the Caribbean; 22.1% Africa and the Middle East; 6% African East Coast; 24% South and West Asia; 49% South East and East Asia; and 21% Pacif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the world showing the percentage of ANCP funds spent in each Region. The breakdown is: 0.1% Latin America and the Caribbean; 22.1% Africa and the Middle East; 6% African East Coast; 24% South and West Asia; 49% South East and East Asia; and 21% Pacific. "/>
                    <pic:cNvPicPr/>
                  </pic:nvPicPr>
                  <pic:blipFill>
                    <a:blip r:embed="rId16">
                      <a:extLst>
                        <a:ext uri="{28A0092B-C50C-407E-A947-70E740481C1C}">
                          <a14:useLocalDpi xmlns:a14="http://schemas.microsoft.com/office/drawing/2010/main" val="0"/>
                        </a:ext>
                      </a:extLst>
                    </a:blip>
                    <a:stretch>
                      <a:fillRect/>
                    </a:stretch>
                  </pic:blipFill>
                  <pic:spPr>
                    <a:xfrm>
                      <a:off x="0" y="0"/>
                      <a:ext cx="6120130" cy="4345940"/>
                    </a:xfrm>
                    <a:prstGeom prst="rect">
                      <a:avLst/>
                    </a:prstGeom>
                  </pic:spPr>
                </pic:pic>
              </a:graphicData>
            </a:graphic>
          </wp:inline>
        </w:drawing>
      </w:r>
    </w:p>
    <w:p w14:paraId="51A0152F" w14:textId="77777777" w:rsidR="00F13B24" w:rsidRDefault="00F13B24" w:rsidP="00BF4650">
      <w:pPr>
        <w:pStyle w:val="Heading3"/>
      </w:pPr>
    </w:p>
    <w:p w14:paraId="0C5C5EF8" w14:textId="4BB74A09" w:rsidR="00481A65" w:rsidRPr="00BF4650" w:rsidRDefault="00481A65" w:rsidP="00BF4650">
      <w:pPr>
        <w:pStyle w:val="Heading3"/>
      </w:pPr>
      <w:r w:rsidRPr="00BF4650">
        <w:t>Health Security</w:t>
      </w:r>
    </w:p>
    <w:p w14:paraId="4EB41374" w14:textId="01E334CA" w:rsidR="00481A65" w:rsidRDefault="00481A65" w:rsidP="00110C57">
      <w:pPr>
        <w:keepNext/>
        <w:keepLines/>
      </w:pPr>
      <w:r>
        <w:t xml:space="preserve">In 2019-20, </w:t>
      </w:r>
      <w:r w:rsidRPr="000D5375">
        <w:t xml:space="preserve">219 </w:t>
      </w:r>
      <w:r>
        <w:t>ANCP</w:t>
      </w:r>
      <w:r w:rsidRPr="000D5375">
        <w:t xml:space="preserve"> </w:t>
      </w:r>
      <w:r>
        <w:t>projects</w:t>
      </w:r>
      <w:r w:rsidRPr="000D5375">
        <w:t xml:space="preserve"> </w:t>
      </w:r>
      <w:r>
        <w:t>supported</w:t>
      </w:r>
      <w:r w:rsidRPr="000D5375">
        <w:t xml:space="preserve"> communities and leaders to understand the risk of COVID-19 and health and hygiene measures that can reduce its spread. NGOs engag</w:t>
      </w:r>
      <w:r>
        <w:t>ed creatively</w:t>
      </w:r>
      <w:r w:rsidRPr="000D5375">
        <w:t xml:space="preserve"> through traditional and social media, ensuring information is accessible to people with disabilities, and translated into language for ethnic minorities. Many rural and remote communities report that information disseminated by ANCP NGOs </w:t>
      </w:r>
      <w:r w:rsidR="00EC2B00">
        <w:t>wa</w:t>
      </w:r>
      <w:r w:rsidRPr="000D5375">
        <w:t xml:space="preserve">s the only advice received. </w:t>
      </w:r>
      <w:r>
        <w:t>In 2019-20:</w:t>
      </w:r>
    </w:p>
    <w:p w14:paraId="6D5B2E4B" w14:textId="5CF7B166" w:rsidR="00481A65" w:rsidRDefault="00481A65" w:rsidP="00BF4650">
      <w:pPr>
        <w:pStyle w:val="ListParagraph"/>
        <w:numPr>
          <w:ilvl w:val="0"/>
          <w:numId w:val="11"/>
        </w:numPr>
        <w:ind w:left="567" w:hanging="425"/>
      </w:pPr>
      <w:r w:rsidRPr="008B32AF">
        <w:t>1,048,423</w:t>
      </w:r>
      <w:r>
        <w:t xml:space="preserve"> </w:t>
      </w:r>
      <w:r w:rsidRPr="008B32AF">
        <w:t xml:space="preserve">people </w:t>
      </w:r>
      <w:r>
        <w:t>reached through</w:t>
      </w:r>
      <w:r w:rsidRPr="008B32AF">
        <w:t xml:space="preserve"> interactive events or sessions related to COVID-19 public health measures </w:t>
      </w:r>
      <w:r>
        <w:t>(68.3% women and girls and 3.8% people with disabilities)</w:t>
      </w:r>
    </w:p>
    <w:p w14:paraId="5E0BD553" w14:textId="77777777" w:rsidR="00481A65" w:rsidRDefault="00481A65" w:rsidP="00BF4650">
      <w:pPr>
        <w:pStyle w:val="ListParagraph"/>
        <w:numPr>
          <w:ilvl w:val="0"/>
          <w:numId w:val="11"/>
        </w:numPr>
        <w:ind w:left="567" w:hanging="425"/>
      </w:pPr>
      <w:r>
        <w:t xml:space="preserve">630,948 items of </w:t>
      </w:r>
      <w:r w:rsidRPr="008B32AF">
        <w:t>personal protective equipment (PPE) distributed</w:t>
      </w:r>
    </w:p>
    <w:p w14:paraId="0703C884" w14:textId="4FB5403C" w:rsidR="00481A65" w:rsidRDefault="00481A65" w:rsidP="00BF4650">
      <w:pPr>
        <w:pStyle w:val="ListParagraph"/>
        <w:numPr>
          <w:ilvl w:val="0"/>
          <w:numId w:val="11"/>
        </w:numPr>
        <w:ind w:left="567" w:hanging="425"/>
      </w:pPr>
      <w:r>
        <w:t xml:space="preserve">267,601 </w:t>
      </w:r>
      <w:r w:rsidRPr="00B20186">
        <w:t xml:space="preserve">people </w:t>
      </w:r>
      <w:r w:rsidR="00EC2B00">
        <w:t>were provided</w:t>
      </w:r>
      <w:r w:rsidRPr="00B20186">
        <w:t xml:space="preserve"> household access to handwashing facilities</w:t>
      </w:r>
      <w:r>
        <w:t xml:space="preserve"> (40.9% women and girls, 1.6% people with disabilities)</w:t>
      </w:r>
    </w:p>
    <w:p w14:paraId="373030FE" w14:textId="3E216BEE" w:rsidR="00481A65" w:rsidRDefault="00481A65" w:rsidP="00BF4650">
      <w:pPr>
        <w:pStyle w:val="ListParagraph"/>
        <w:numPr>
          <w:ilvl w:val="0"/>
          <w:numId w:val="11"/>
        </w:numPr>
        <w:ind w:left="567" w:hanging="425"/>
      </w:pPr>
      <w:r>
        <w:t xml:space="preserve">1,769 </w:t>
      </w:r>
      <w:r w:rsidRPr="00B20186">
        <w:t xml:space="preserve">public buildings </w:t>
      </w:r>
      <w:r w:rsidR="00846A86">
        <w:t xml:space="preserve">provided </w:t>
      </w:r>
      <w:r w:rsidRPr="00B20186">
        <w:t>with hand washing facilities</w:t>
      </w:r>
      <w:r>
        <w:t xml:space="preserve"> (including 611 schools, 490 health care facilities, 88 markets and 65 places of worship)</w:t>
      </w:r>
    </w:p>
    <w:p w14:paraId="41A37274" w14:textId="3EFAB90D" w:rsidR="00481A65" w:rsidRDefault="00481A65" w:rsidP="00481A65">
      <w:pPr>
        <w:pStyle w:val="ListParagraph"/>
        <w:numPr>
          <w:ilvl w:val="0"/>
          <w:numId w:val="11"/>
        </w:numPr>
        <w:ind w:left="567" w:hanging="425"/>
      </w:pPr>
      <w:r>
        <w:t>38,152 health workers received training and development (68.2% women and 0.1% people with disabilities)</w:t>
      </w:r>
    </w:p>
    <w:p w14:paraId="366A9173" w14:textId="2A2E7DA6" w:rsidR="00481A65" w:rsidRPr="004D7A6B" w:rsidRDefault="00A21162" w:rsidP="00A21162">
      <w:pPr>
        <w:pStyle w:val="Heading5"/>
      </w:pPr>
      <w:r w:rsidRPr="00EC2B00">
        <w:rPr>
          <w:noProof/>
        </w:rPr>
        <w:lastRenderedPageBreak/>
        <w:drawing>
          <wp:anchor distT="0" distB="0" distL="114300" distR="114300" simplePos="0" relativeHeight="251663359" behindDoc="1" locked="0" layoutInCell="1" allowOverlap="1" wp14:anchorId="16214DF7" wp14:editId="1645DDD9">
            <wp:simplePos x="0" y="0"/>
            <wp:positionH relativeFrom="margin">
              <wp:align>right</wp:align>
            </wp:positionH>
            <wp:positionV relativeFrom="paragraph">
              <wp:posOffset>62865</wp:posOffset>
            </wp:positionV>
            <wp:extent cx="2202815" cy="2332990"/>
            <wp:effectExtent l="0" t="0" r="6985" b="0"/>
            <wp:wrapSquare wrapText="bothSides"/>
            <wp:docPr id="20" name="Picture 20" descr="A health worker in PPE is preparing some medical equipment. A child is sitting beside 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health worker in PPE is preparing some medical equipment. A child is sitting beside her.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27"/>
                    <a:stretch/>
                  </pic:blipFill>
                  <pic:spPr bwMode="auto">
                    <a:xfrm>
                      <a:off x="0" y="0"/>
                      <a:ext cx="2202815" cy="2332990"/>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Case Study: </w:t>
      </w:r>
      <w:r w:rsidR="00481A65" w:rsidRPr="004D7A6B">
        <w:t>Strengthening PNG Rural Health Services</w:t>
      </w:r>
    </w:p>
    <w:p w14:paraId="315AC34B" w14:textId="5B1DD62B" w:rsidR="00481A65" w:rsidRPr="00EC2B00" w:rsidRDefault="00481A65" w:rsidP="00A21162">
      <w:r w:rsidRPr="00EC2B00">
        <w:t>Australian Doctor’s International (ADI) partners with PNG Provincial Governments and other partners to improve health and well-being in rural areas through regular outreach health patrols and professional development of healthcare workers and key community leaders.</w:t>
      </w:r>
    </w:p>
    <w:p w14:paraId="0202D7E9" w14:textId="130464C2" w:rsidR="00481A65" w:rsidRPr="00EC2B00" w:rsidRDefault="00481A65" w:rsidP="00A21162">
      <w:r w:rsidRPr="00EC2B00">
        <w:t xml:space="preserve">Beginning in March 2020, ADI pivoted its activities to respond to COVID-19 through the delivery of PPE, training of health workers and raising awareness on preventative measures through distribution of information, </w:t>
      </w:r>
      <w:proofErr w:type="gramStart"/>
      <w:r w:rsidRPr="00EC2B00">
        <w:t>education</w:t>
      </w:r>
      <w:proofErr w:type="gramEnd"/>
      <w:r w:rsidRPr="00EC2B00">
        <w:t xml:space="preserve"> and communication (IEC) material and soap, buckets and sanitiser. ADI worked alongside each Provincial Health Authority and their COVID-19 taskforce for the delivery of COVID-19 activities to ensure alignment with national and provincial guidelines, </w:t>
      </w:r>
      <w:proofErr w:type="gramStart"/>
      <w:r w:rsidRPr="00EC2B00">
        <w:t>recommendations</w:t>
      </w:r>
      <w:proofErr w:type="gramEnd"/>
      <w:r w:rsidRPr="00EC2B00">
        <w:t xml:space="preserve"> and needs. Over 63</w:t>
      </w:r>
      <w:r w:rsidR="00A21162">
        <w:t>,</w:t>
      </w:r>
      <w:r w:rsidRPr="00EC2B00">
        <w:t xml:space="preserve">000 individual pieces of PPE have been delivered in Western Province, West New </w:t>
      </w:r>
      <w:proofErr w:type="gramStart"/>
      <w:r w:rsidRPr="00EC2B00">
        <w:t>Britain</w:t>
      </w:r>
      <w:proofErr w:type="gramEnd"/>
      <w:r w:rsidRPr="00EC2B00">
        <w:t xml:space="preserve"> and New Ireland. </w:t>
      </w:r>
    </w:p>
    <w:p w14:paraId="665C6746" w14:textId="2A3EEFD5" w:rsidR="00EC2B00" w:rsidRDefault="00481A65" w:rsidP="00A21162">
      <w:r w:rsidRPr="00EC2B00">
        <w:t xml:space="preserve">Additional equipment such as sanitiser and digital thermometers were also distributed to assist health facilities and schools with their COVID-19 response. 85 health workers participated in remote training via webinar on COVID-19 preparedness. Awareness trips to 61 communities, 36 health facilities and 28 schools were conducted to educate about COVID-19 transmission, including messages on social distancing and hygiene. </w:t>
      </w:r>
    </w:p>
    <w:p w14:paraId="22E74A84" w14:textId="081A180C" w:rsidR="00481A65" w:rsidRDefault="00481A65" w:rsidP="00481A65">
      <w:pPr>
        <w:pStyle w:val="Heading3"/>
      </w:pPr>
      <w:r>
        <w:t>Stability</w:t>
      </w:r>
    </w:p>
    <w:p w14:paraId="1E226D04" w14:textId="77777777" w:rsidR="00481A65" w:rsidRPr="008F38AC" w:rsidRDefault="00481A65" w:rsidP="00481A65">
      <w:r>
        <w:t xml:space="preserve">In 2019-20, ANCP projects contributed to stability through activities that supported social protection, </w:t>
      </w:r>
      <w:proofErr w:type="gramStart"/>
      <w:r>
        <w:t>education</w:t>
      </w:r>
      <w:proofErr w:type="gramEnd"/>
      <w:r>
        <w:t xml:space="preserve"> and resilience to threats such as climate change with a particular focus on protecting the most vulnerable. In 2019-20:</w:t>
      </w:r>
    </w:p>
    <w:p w14:paraId="29BCFBBC" w14:textId="77777777" w:rsidR="00481A65" w:rsidRDefault="00481A65" w:rsidP="00BF4650">
      <w:pPr>
        <w:pStyle w:val="ListParagraph"/>
        <w:numPr>
          <w:ilvl w:val="0"/>
          <w:numId w:val="11"/>
        </w:numPr>
        <w:ind w:left="567" w:hanging="425"/>
      </w:pPr>
      <w:r>
        <w:t xml:space="preserve">442,749 </w:t>
      </w:r>
      <w:r w:rsidRPr="00B30FF0">
        <w:t xml:space="preserve">people participated in sessions on prevention, reduction and response to violence, </w:t>
      </w:r>
      <w:proofErr w:type="gramStart"/>
      <w:r w:rsidRPr="00B30FF0">
        <w:t>abuse</w:t>
      </w:r>
      <w:proofErr w:type="gramEnd"/>
      <w:r w:rsidRPr="00B30FF0">
        <w:t xml:space="preserve"> and exploitation of children</w:t>
      </w:r>
      <w:r>
        <w:t xml:space="preserve"> (59.6%</w:t>
      </w:r>
      <w:r w:rsidRPr="00B30FF0">
        <w:t xml:space="preserve"> </w:t>
      </w:r>
      <w:r>
        <w:t xml:space="preserve">women and girls, 1.1% people with disabilities) </w:t>
      </w:r>
    </w:p>
    <w:p w14:paraId="52122780" w14:textId="3C2D2FE0" w:rsidR="00481A65" w:rsidRDefault="00481A65" w:rsidP="00BF4650">
      <w:pPr>
        <w:pStyle w:val="ListParagraph"/>
        <w:numPr>
          <w:ilvl w:val="0"/>
          <w:numId w:val="11"/>
        </w:numPr>
        <w:ind w:left="567" w:hanging="425"/>
      </w:pPr>
      <w:r>
        <w:t xml:space="preserve">431,828 </w:t>
      </w:r>
      <w:r w:rsidRPr="00B30FF0">
        <w:t>people</w:t>
      </w:r>
      <w:r>
        <w:t xml:space="preserve"> </w:t>
      </w:r>
      <w:r w:rsidRPr="00B30FF0">
        <w:t>participated in sessions on gender issues and women's equal rights</w:t>
      </w:r>
      <w:r>
        <w:t xml:space="preserve"> (60.9%</w:t>
      </w:r>
      <w:r w:rsidRPr="00B30FF0">
        <w:t xml:space="preserve"> </w:t>
      </w:r>
      <w:r>
        <w:t xml:space="preserve">women and girls, 1.6% people with disabilities) </w:t>
      </w:r>
    </w:p>
    <w:p w14:paraId="1D8228ED" w14:textId="18C6EAB3" w:rsidR="00481A65" w:rsidRDefault="00481A65" w:rsidP="00BF4650">
      <w:pPr>
        <w:pStyle w:val="ListParagraph"/>
        <w:numPr>
          <w:ilvl w:val="0"/>
          <w:numId w:val="11"/>
        </w:numPr>
        <w:ind w:left="567" w:hanging="425"/>
      </w:pPr>
      <w:r>
        <w:t>66,698 w</w:t>
      </w:r>
      <w:r w:rsidRPr="00B30FF0">
        <w:t xml:space="preserve">omen </w:t>
      </w:r>
      <w:r w:rsidR="00A21162">
        <w:t xml:space="preserve">were </w:t>
      </w:r>
      <w:r w:rsidRPr="00B30FF0">
        <w:t>supported to assume leadership roles</w:t>
      </w:r>
      <w:r>
        <w:t xml:space="preserve"> (2.9% women with disabilities) </w:t>
      </w:r>
    </w:p>
    <w:p w14:paraId="2568D441" w14:textId="7B79528F" w:rsidR="00481A65" w:rsidRDefault="00481A65" w:rsidP="00BF4650">
      <w:pPr>
        <w:pStyle w:val="ListParagraph"/>
        <w:numPr>
          <w:ilvl w:val="0"/>
          <w:numId w:val="11"/>
        </w:numPr>
        <w:ind w:left="567" w:hanging="425"/>
      </w:pPr>
      <w:r>
        <w:t xml:space="preserve">40,279 additional children enrolled in school (51.6 girls, 3.4% children with disabilities) </w:t>
      </w:r>
      <w:r w:rsidR="00A21162">
        <w:t>and</w:t>
      </w:r>
      <w:r>
        <w:t xml:space="preserve"> an additional 42,230 children </w:t>
      </w:r>
      <w:r w:rsidRPr="00954E2F">
        <w:t>participat</w:t>
      </w:r>
      <w:r w:rsidR="00A21162">
        <w:t>ed</w:t>
      </w:r>
      <w:r w:rsidRPr="00954E2F">
        <w:t xml:space="preserve"> in non-formal education and alternative education pathways</w:t>
      </w:r>
      <w:r>
        <w:t xml:space="preserve"> (49% girls and 3.1% children with disabilities)</w:t>
      </w:r>
    </w:p>
    <w:p w14:paraId="41A39861" w14:textId="77777777" w:rsidR="00481A65" w:rsidRDefault="00481A65" w:rsidP="00BF4650">
      <w:pPr>
        <w:pStyle w:val="ListParagraph"/>
        <w:numPr>
          <w:ilvl w:val="0"/>
          <w:numId w:val="11"/>
        </w:numPr>
        <w:ind w:left="567" w:hanging="425"/>
      </w:pPr>
      <w:r>
        <w:t xml:space="preserve">151,635 people </w:t>
      </w:r>
      <w:r w:rsidRPr="00954E2F">
        <w:t xml:space="preserve">participated in sessions on climate related hazards and disasters (climate change mitigation, adaptation, preparedness, </w:t>
      </w:r>
      <w:proofErr w:type="gramStart"/>
      <w:r w:rsidRPr="00954E2F">
        <w:t>resilience</w:t>
      </w:r>
      <w:proofErr w:type="gramEnd"/>
      <w:r w:rsidRPr="00954E2F">
        <w:t xml:space="preserve"> and early warning)</w:t>
      </w:r>
      <w:r>
        <w:t xml:space="preserve"> (53.1% women and girls, 1.6% people with disabilities)</w:t>
      </w:r>
    </w:p>
    <w:p w14:paraId="1B05FC12" w14:textId="77777777" w:rsidR="00110C57" w:rsidRDefault="00110C57" w:rsidP="00110C57">
      <w:pPr>
        <w:rPr>
          <w:b/>
        </w:rPr>
      </w:pPr>
    </w:p>
    <w:p w14:paraId="3C19A81E" w14:textId="77261562" w:rsidR="00481A65" w:rsidRPr="00A21162" w:rsidRDefault="00A21162" w:rsidP="00A21162">
      <w:pPr>
        <w:pStyle w:val="Heading5"/>
      </w:pPr>
      <w:r>
        <w:lastRenderedPageBreak/>
        <w:t xml:space="preserve">Case Study: </w:t>
      </w:r>
      <w:r w:rsidR="00481A65">
        <w:t>Nepal’s school of the air</w:t>
      </w:r>
      <w:r w:rsidR="007B44F3">
        <w:t xml:space="preserve"> </w:t>
      </w:r>
      <w:r w:rsidR="00481A65">
        <w:t>ensuring school children continue their education</w:t>
      </w:r>
    </w:p>
    <w:p w14:paraId="466EF76D" w14:textId="77777777" w:rsidR="008F620B" w:rsidRDefault="00481A65" w:rsidP="00A21162">
      <w:r>
        <w:rPr>
          <w:noProof/>
        </w:rPr>
        <w:drawing>
          <wp:anchor distT="0" distB="0" distL="114300" distR="114300" simplePos="0" relativeHeight="251664384" behindDoc="0" locked="0" layoutInCell="1" allowOverlap="1" wp14:anchorId="472FC8B5" wp14:editId="45B3A131">
            <wp:simplePos x="0" y="0"/>
            <wp:positionH relativeFrom="margin">
              <wp:align>right</wp:align>
            </wp:positionH>
            <wp:positionV relativeFrom="paragraph">
              <wp:posOffset>63500</wp:posOffset>
            </wp:positionV>
            <wp:extent cx="2814955" cy="1579880"/>
            <wp:effectExtent l="0" t="0" r="4445" b="1270"/>
            <wp:wrapSquare wrapText="bothSides"/>
            <wp:docPr id="9" name="Picture 9" descr="Two teachers and two children are sitting at a desk recording a lesson. "/>
            <wp:cNvGraphicFramePr/>
            <a:graphic xmlns:a="http://schemas.openxmlformats.org/drawingml/2006/main">
              <a:graphicData uri="http://schemas.openxmlformats.org/drawingml/2006/picture">
                <pic:pic xmlns:pic="http://schemas.openxmlformats.org/drawingml/2006/picture">
                  <pic:nvPicPr>
                    <pic:cNvPr id="9" name="Picture 9" descr="Two teachers and two children are sitting at a desk recording a lesson. "/>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4955" cy="1579880"/>
                    </a:xfrm>
                    <a:prstGeom prst="rect">
                      <a:avLst/>
                    </a:prstGeom>
                    <a:noFill/>
                    <a:ln>
                      <a:noFill/>
                    </a:ln>
                  </pic:spPr>
                </pic:pic>
              </a:graphicData>
            </a:graphic>
          </wp:anchor>
        </w:drawing>
      </w:r>
      <w:r>
        <w:t xml:space="preserve">ANCP funded Teacher Training and Quality Education Program (TTQE) project by the Australian Himalayan Foundation (AHF) responded creatively to continue education for children in mountainous villages in Nepal during lockdown. </w:t>
      </w:r>
    </w:p>
    <w:p w14:paraId="4BF31EF2" w14:textId="77777777" w:rsidR="008F620B" w:rsidRDefault="00481A65" w:rsidP="00A21162">
      <w:r>
        <w:t>Most households do</w:t>
      </w:r>
      <w:r w:rsidR="00110C57">
        <w:t xml:space="preserve"> </w:t>
      </w:r>
      <w:r>
        <w:t>n</w:t>
      </w:r>
      <w:r w:rsidR="00110C57">
        <w:t>o</w:t>
      </w:r>
      <w:r>
        <w:t xml:space="preserve">t have internet and often no electricity either. AHF worked with their local implementing partner REED Nepal to record lessons to be broadcast via FM radio daily to over 23,000 households in the </w:t>
      </w:r>
      <w:proofErr w:type="spellStart"/>
      <w:r>
        <w:t>Solukhumbu</w:t>
      </w:r>
      <w:proofErr w:type="spellEnd"/>
      <w:r>
        <w:t xml:space="preserve"> region. </w:t>
      </w:r>
    </w:p>
    <w:p w14:paraId="79350C8D" w14:textId="2A16E8F1" w:rsidR="00481A65" w:rsidRDefault="00481A65" w:rsidP="00A21162">
      <w:r>
        <w:t>The broadcasts also include general COVID-19 awareness and prevention information, and other social and protection messages.</w:t>
      </w:r>
      <w:r w:rsidRPr="00350A88">
        <w:t xml:space="preserve"> </w:t>
      </w:r>
      <w:r>
        <w:t xml:space="preserve">Access to ongoing education via </w:t>
      </w:r>
      <w:proofErr w:type="spellStart"/>
      <w:r>
        <w:t>Himal</w:t>
      </w:r>
      <w:proofErr w:type="spellEnd"/>
      <w:r>
        <w:t xml:space="preserve"> FM Radio broadcasts during the COVID-19 crisis in the </w:t>
      </w:r>
      <w:proofErr w:type="spellStart"/>
      <w:r>
        <w:t>Solukhumbu</w:t>
      </w:r>
      <w:proofErr w:type="spellEnd"/>
      <w:r>
        <w:t xml:space="preserve"> region of Nepal has allowed children to keep learning </w:t>
      </w:r>
    </w:p>
    <w:p w14:paraId="032F6647" w14:textId="77777777" w:rsidR="00481A65" w:rsidRDefault="00481A65" w:rsidP="00481A65">
      <w:pPr>
        <w:pStyle w:val="Heading3"/>
      </w:pPr>
      <w:r>
        <w:t>Economic Recovery</w:t>
      </w:r>
    </w:p>
    <w:p w14:paraId="4C735861" w14:textId="77777777" w:rsidR="00481A65" w:rsidRDefault="00481A65" w:rsidP="00481A65">
      <w:r>
        <w:t>In 2019-20 economic recovery efforts were supported through training and support for improved livelihoods and rural development, access to financial services and improved food security. In 2019-20:</w:t>
      </w:r>
    </w:p>
    <w:p w14:paraId="00126FFD" w14:textId="52987CB6" w:rsidR="00481A65" w:rsidRDefault="00481A65" w:rsidP="00BF4650">
      <w:pPr>
        <w:pStyle w:val="ListParagraph"/>
        <w:numPr>
          <w:ilvl w:val="0"/>
          <w:numId w:val="11"/>
        </w:numPr>
        <w:ind w:left="567" w:hanging="425"/>
      </w:pPr>
      <w:r>
        <w:t xml:space="preserve">108,746 people </w:t>
      </w:r>
      <w:r w:rsidR="00A21162">
        <w:t>were supported to</w:t>
      </w:r>
      <w:r>
        <w:t xml:space="preserve"> increas</w:t>
      </w:r>
      <w:r w:rsidR="00A21162">
        <w:t>e their</w:t>
      </w:r>
      <w:r>
        <w:t xml:space="preserve"> incomes (55.6% women and girls, 4.3% people with disabilities)</w:t>
      </w:r>
    </w:p>
    <w:p w14:paraId="5E5EF2DB" w14:textId="3EF545F5" w:rsidR="00481A65" w:rsidRDefault="00481A65" w:rsidP="00BF4650">
      <w:pPr>
        <w:pStyle w:val="ListParagraph"/>
        <w:numPr>
          <w:ilvl w:val="0"/>
          <w:numId w:val="11"/>
        </w:numPr>
        <w:ind w:left="567" w:hanging="425"/>
      </w:pPr>
      <w:r>
        <w:t>103,348 people adopted improved agricultural and fisheries practices (55.6%</w:t>
      </w:r>
      <w:r w:rsidRPr="00B30FF0">
        <w:t xml:space="preserve"> </w:t>
      </w:r>
      <w:r>
        <w:t xml:space="preserve">women and girls, 4.2% people with disabilities) </w:t>
      </w:r>
    </w:p>
    <w:p w14:paraId="7B97B35E" w14:textId="6AC0435B" w:rsidR="00481A65" w:rsidRDefault="00481A65" w:rsidP="00BF4650">
      <w:pPr>
        <w:pStyle w:val="ListParagraph"/>
        <w:numPr>
          <w:ilvl w:val="0"/>
          <w:numId w:val="11"/>
        </w:numPr>
        <w:ind w:left="567" w:hanging="425"/>
      </w:pPr>
      <w:r>
        <w:t xml:space="preserve">95,335 </w:t>
      </w:r>
      <w:r w:rsidRPr="00B20186">
        <w:t xml:space="preserve">people </w:t>
      </w:r>
      <w:r w:rsidR="00A21162">
        <w:t xml:space="preserve">were </w:t>
      </w:r>
      <w:r w:rsidRPr="00B20186">
        <w:t>reached with livelihoods support interventions</w:t>
      </w:r>
      <w:r>
        <w:t xml:space="preserve"> (56% %</w:t>
      </w:r>
      <w:r w:rsidRPr="00B30FF0">
        <w:t xml:space="preserve"> </w:t>
      </w:r>
      <w:r>
        <w:t xml:space="preserve">women and girls, 4.4% people with disabilities) </w:t>
      </w:r>
    </w:p>
    <w:p w14:paraId="05C915A3" w14:textId="6CE4D8C4" w:rsidR="00481A65" w:rsidRDefault="00481A65" w:rsidP="00BF4650">
      <w:pPr>
        <w:pStyle w:val="ListParagraph"/>
        <w:numPr>
          <w:ilvl w:val="0"/>
          <w:numId w:val="11"/>
        </w:numPr>
        <w:ind w:left="567" w:hanging="425"/>
      </w:pPr>
      <w:r>
        <w:t>35,887 people accessed social transfers (such as cash and voucher assistance) (56.3%</w:t>
      </w:r>
      <w:r w:rsidRPr="00B30FF0">
        <w:t xml:space="preserve"> </w:t>
      </w:r>
      <w:r>
        <w:t xml:space="preserve">women and girls, 14.2% people with disabilities) </w:t>
      </w:r>
    </w:p>
    <w:p w14:paraId="0E4FC4B1" w14:textId="152B9AFF" w:rsidR="00481A65" w:rsidRDefault="00481A65" w:rsidP="00BF4650">
      <w:pPr>
        <w:pStyle w:val="ListParagraph"/>
        <w:numPr>
          <w:ilvl w:val="0"/>
          <w:numId w:val="11"/>
        </w:numPr>
        <w:ind w:left="567" w:hanging="425"/>
      </w:pPr>
      <w:r>
        <w:t xml:space="preserve">321,174 people </w:t>
      </w:r>
      <w:r w:rsidR="00A21162">
        <w:t>had</w:t>
      </w:r>
      <w:r>
        <w:t xml:space="preserve"> improved access to sufficient food (54.7%</w:t>
      </w:r>
      <w:r w:rsidRPr="00B30FF0">
        <w:t xml:space="preserve"> </w:t>
      </w:r>
      <w:r>
        <w:t xml:space="preserve">women and girls, 2.4% people with disabilities) </w:t>
      </w:r>
    </w:p>
    <w:p w14:paraId="25396FCD" w14:textId="57760A6C" w:rsidR="00481A65" w:rsidRDefault="00481A65" w:rsidP="00BF4650">
      <w:pPr>
        <w:pStyle w:val="ListParagraph"/>
      </w:pPr>
    </w:p>
    <w:p w14:paraId="2782D97A" w14:textId="4BFAB683" w:rsidR="00481A65" w:rsidRPr="006A04F5" w:rsidRDefault="00B07921" w:rsidP="00A21162">
      <w:pPr>
        <w:pStyle w:val="Heading5"/>
      </w:pPr>
      <w:r>
        <w:rPr>
          <w:noProof/>
        </w:rPr>
        <w:drawing>
          <wp:anchor distT="0" distB="0" distL="114300" distR="114300" simplePos="0" relativeHeight="251670528" behindDoc="1" locked="0" layoutInCell="1" allowOverlap="1" wp14:anchorId="70D81CD7" wp14:editId="3E7A9759">
            <wp:simplePos x="0" y="0"/>
            <wp:positionH relativeFrom="margin">
              <wp:posOffset>4295775</wp:posOffset>
            </wp:positionH>
            <wp:positionV relativeFrom="paragraph">
              <wp:posOffset>93980</wp:posOffset>
            </wp:positionV>
            <wp:extent cx="1705610" cy="1705610"/>
            <wp:effectExtent l="0" t="0" r="8890" b="8890"/>
            <wp:wrapTight wrapText="bothSides">
              <wp:wrapPolygon edited="0">
                <wp:start x="0" y="0"/>
                <wp:lineTo x="0" y="21471"/>
                <wp:lineTo x="21471" y="21471"/>
                <wp:lineTo x="21471" y="0"/>
                <wp:lineTo x="0" y="0"/>
              </wp:wrapPolygon>
            </wp:wrapTight>
            <wp:docPr id="14" name="Picture 14" descr="A women is bottling some handwa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omen is bottling some handwash.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70561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162">
        <w:t xml:space="preserve">Case Study: </w:t>
      </w:r>
      <w:r w:rsidR="00481A65" w:rsidRPr="006A04F5">
        <w:t>Economic recovery in response to COVID-19</w:t>
      </w:r>
    </w:p>
    <w:p w14:paraId="1189BFEA" w14:textId="4CD2FFBD" w:rsidR="00481A65" w:rsidRDefault="00481A65" w:rsidP="00D04A8B">
      <w:r>
        <w:t xml:space="preserve">Credit Union Foundation Australian (CUFA) rapidly adapted its Cambodia Livelihoods Project to work with community social enterprises (CSEs) to produce liquid handwashing soap to ensure communities in Kampong Cham had access to affordable and safe hand-washing soap, to practice good hygiene to prevent the spread of the COVID-19 virus. CSEs produced, </w:t>
      </w:r>
      <w:proofErr w:type="gramStart"/>
      <w:r>
        <w:t>packaged</w:t>
      </w:r>
      <w:proofErr w:type="gramEnd"/>
      <w:r>
        <w:t xml:space="preserve"> and sold the liquid soap to wholesalers, retailers, and households generating profits in the process.</w:t>
      </w:r>
    </w:p>
    <w:p w14:paraId="7B7BD41F" w14:textId="77777777" w:rsidR="001734CE" w:rsidRDefault="001734CE" w:rsidP="00BF4650">
      <w:pPr>
        <w:pStyle w:val="Heading2"/>
      </w:pPr>
      <w:r>
        <w:br w:type="page"/>
      </w:r>
    </w:p>
    <w:p w14:paraId="1DE380A3" w14:textId="7F83B9CC" w:rsidR="00481A65" w:rsidRPr="009C6AFE" w:rsidRDefault="00110C57" w:rsidP="00BF4650">
      <w:pPr>
        <w:pStyle w:val="Heading2"/>
      </w:pPr>
      <w:r>
        <w:lastRenderedPageBreak/>
        <w:t>A</w:t>
      </w:r>
      <w:r w:rsidR="00DF2EB5" w:rsidRPr="009C6AFE">
        <w:t xml:space="preserve">NCP </w:t>
      </w:r>
      <w:r w:rsidR="00D07898" w:rsidRPr="009C6AFE">
        <w:t xml:space="preserve">2019-20 </w:t>
      </w:r>
      <w:r w:rsidR="00454514">
        <w:t xml:space="preserve">program </w:t>
      </w:r>
      <w:r w:rsidR="009C6AFE" w:rsidRPr="009C6AFE">
        <w:t>Highlights</w:t>
      </w:r>
    </w:p>
    <w:p w14:paraId="1411FC66" w14:textId="40127698" w:rsidR="009C6AFE" w:rsidRDefault="00486D28" w:rsidP="00580804">
      <w:r w:rsidRPr="008F38AC">
        <w:t>Australian NGOs</w:t>
      </w:r>
      <w:r w:rsidR="00843AB4">
        <w:t>’</w:t>
      </w:r>
      <w:r w:rsidRPr="008F38AC">
        <w:t xml:space="preserve"> ongoing ANCP programming supports health, livelihoods, food security, inclusion and education</w:t>
      </w:r>
      <w:r w:rsidR="00846A86">
        <w:t xml:space="preserve"> is</w:t>
      </w:r>
      <w:r w:rsidRPr="008F38AC">
        <w:t xml:space="preserve"> in line with </w:t>
      </w:r>
      <w:r w:rsidRPr="00481A65">
        <w:rPr>
          <w:i/>
          <w:iCs/>
        </w:rPr>
        <w:t>Partnerships for Recovery</w:t>
      </w:r>
      <w:r w:rsidRPr="006A04F5">
        <w:t xml:space="preserve">. </w:t>
      </w:r>
      <w:r>
        <w:t>Table 1 shows ANCP expenditure in 2019-20 against the Sustainable Development Goals (SDGs)</w:t>
      </w:r>
      <w:r w:rsidR="003267E5">
        <w:rPr>
          <w:rStyle w:val="FootnoteReference"/>
        </w:rPr>
        <w:footnoteReference w:id="2"/>
      </w:r>
      <w:r w:rsidR="001734CE">
        <w:t xml:space="preserve"> </w:t>
      </w:r>
      <w:r w:rsidR="003267E5">
        <w:t>.</w:t>
      </w:r>
    </w:p>
    <w:p w14:paraId="7CB06B2F" w14:textId="7A4D9BFD" w:rsidR="00110C57" w:rsidRDefault="0074437C" w:rsidP="00580804">
      <w:pPr>
        <w:rPr>
          <w:b/>
        </w:rPr>
      </w:pPr>
      <w:r>
        <w:rPr>
          <w:b/>
          <w:noProof/>
        </w:rPr>
        <w:drawing>
          <wp:inline distT="0" distB="0" distL="0" distR="0" wp14:anchorId="0E66361E" wp14:editId="7C98B943">
            <wp:extent cx="6077798" cy="3381847"/>
            <wp:effectExtent l="0" t="0" r="0" b="9525"/>
            <wp:docPr id="6" name="Picture 6" descr="A table showing the percentage of ANCP funds spent on each SDG. The breakdown is: SDG1 6.5%; SDG2 8.9%; SDG3 21.6%; SDG4 10%; SDG5 14.5%; SDG6 5.6%; SDG7 0.2%; SDG8 4.2%; SDG9 1.3%; SDG10 6.8%; SDG11 2.5%; SDG 12 0.3%; SDG13 5%; SDG 14 0.1%; SDG 15 6.1%; SDG16 5.8%; and SDG 17 0.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showing the percentage of ANCP funds spent on each SDG. The breakdown is: SDG1 6.5%; SDG2 8.9%; SDG3 21.6%; SDG4 10%; SDG5 14.5%; SDG6 5.6%; SDG7 0.2%; SDG8 4.2%; SDG9 1.3%; SDG10 6.8%; SDG11 2.5%; SDG 12 0.3%; SDG13 5%; SDG 14 0.1%; SDG 15 6.1%; SDG16 5.8%; and SDG 17 0.8%. "/>
                    <pic:cNvPicPr/>
                  </pic:nvPicPr>
                  <pic:blipFill>
                    <a:blip r:embed="rId20">
                      <a:extLst>
                        <a:ext uri="{28A0092B-C50C-407E-A947-70E740481C1C}">
                          <a14:useLocalDpi xmlns:a14="http://schemas.microsoft.com/office/drawing/2010/main" val="0"/>
                        </a:ext>
                      </a:extLst>
                    </a:blip>
                    <a:stretch>
                      <a:fillRect/>
                    </a:stretch>
                  </pic:blipFill>
                  <pic:spPr>
                    <a:xfrm>
                      <a:off x="0" y="0"/>
                      <a:ext cx="6077798" cy="3381847"/>
                    </a:xfrm>
                    <a:prstGeom prst="rect">
                      <a:avLst/>
                    </a:prstGeom>
                  </pic:spPr>
                </pic:pic>
              </a:graphicData>
            </a:graphic>
          </wp:inline>
        </w:drawing>
      </w:r>
    </w:p>
    <w:p w14:paraId="28DE9B14" w14:textId="49FFFD97" w:rsidR="009C6AFE" w:rsidRPr="00BF4650" w:rsidRDefault="00486D28" w:rsidP="008F620B">
      <w:pPr>
        <w:pStyle w:val="Heading3"/>
        <w:spacing w:before="240"/>
      </w:pPr>
      <w:r w:rsidRPr="00BF4650">
        <w:t>NGO Financial Contributions</w:t>
      </w:r>
    </w:p>
    <w:p w14:paraId="5CC20FB7" w14:textId="110C8889" w:rsidR="00580804" w:rsidRDefault="00580804" w:rsidP="00580804">
      <w:r>
        <w:t>NGO contributions far exceeded the minimum requirement of 10% (reduced from 20% in 2019-20 to account for disruptions caused by COVID-19) - on average NGOs contributed a 38.5% match to the grant funds they received.</w:t>
      </w:r>
    </w:p>
    <w:p w14:paraId="4A50EBD7" w14:textId="77777777" w:rsidR="00481A65" w:rsidRDefault="00481A65" w:rsidP="00481A65">
      <w:r>
        <w:t xml:space="preserve">In addition to the co-funding contributions from ANCP NGOs, 66 projects received in-kind contributions and an additional $25.6 million was contributed to ANCP projects in 2019-20 from other sources including: </w:t>
      </w:r>
    </w:p>
    <w:p w14:paraId="1D74627C" w14:textId="77777777" w:rsidR="00481A65" w:rsidRPr="00BF4650" w:rsidRDefault="00481A65" w:rsidP="00BF4650">
      <w:pPr>
        <w:pStyle w:val="ListParagraph"/>
        <w:numPr>
          <w:ilvl w:val="0"/>
          <w:numId w:val="11"/>
        </w:numPr>
        <w:ind w:left="567" w:hanging="425"/>
      </w:pPr>
      <w:r>
        <w:t>$10.2 million from International NGOs &amp; CSOs</w:t>
      </w:r>
    </w:p>
    <w:p w14:paraId="14F2FE8C" w14:textId="77777777" w:rsidR="00481A65" w:rsidRPr="00BF4650" w:rsidRDefault="00481A65" w:rsidP="00BF4650">
      <w:pPr>
        <w:pStyle w:val="ListParagraph"/>
        <w:numPr>
          <w:ilvl w:val="0"/>
          <w:numId w:val="11"/>
        </w:numPr>
        <w:ind w:left="567" w:hanging="425"/>
      </w:pPr>
      <w:r>
        <w:t>$5.6 million from Government sources (including local governments in-country and other Government donors such as Ireland, EU, NZ, France etc).</w:t>
      </w:r>
    </w:p>
    <w:p w14:paraId="491C0FFC" w14:textId="77777777" w:rsidR="00481A65" w:rsidRPr="00BF4650" w:rsidRDefault="00481A65" w:rsidP="00BF4650">
      <w:pPr>
        <w:pStyle w:val="ListParagraph"/>
        <w:numPr>
          <w:ilvl w:val="0"/>
          <w:numId w:val="11"/>
        </w:numPr>
        <w:ind w:left="567" w:hanging="425"/>
      </w:pPr>
      <w:r w:rsidRPr="00BF4650">
        <w:t>$3.6 million from faith-based organisations</w:t>
      </w:r>
    </w:p>
    <w:p w14:paraId="549E0931" w14:textId="77777777" w:rsidR="00481A65" w:rsidRPr="00BF4650" w:rsidRDefault="00481A65" w:rsidP="00BF4650">
      <w:pPr>
        <w:pStyle w:val="ListParagraph"/>
        <w:numPr>
          <w:ilvl w:val="0"/>
          <w:numId w:val="11"/>
        </w:numPr>
        <w:ind w:left="567" w:hanging="425"/>
      </w:pPr>
      <w:r>
        <w:t>$3.5 million from multilateral organisations</w:t>
      </w:r>
    </w:p>
    <w:p w14:paraId="4DD3840D" w14:textId="1E74AA64" w:rsidR="00481A65" w:rsidRPr="00BF4650" w:rsidRDefault="00481A65" w:rsidP="00BF4650">
      <w:pPr>
        <w:pStyle w:val="ListParagraph"/>
        <w:numPr>
          <w:ilvl w:val="0"/>
          <w:numId w:val="11"/>
        </w:numPr>
        <w:ind w:left="567" w:hanging="425"/>
      </w:pPr>
      <w:r>
        <w:t>$2.5 million from the private sector</w:t>
      </w:r>
    </w:p>
    <w:p w14:paraId="7CB990AC" w14:textId="77777777" w:rsidR="00481A65" w:rsidRPr="006D5BBB" w:rsidRDefault="00481A65" w:rsidP="00481A65">
      <w:pPr>
        <w:pStyle w:val="ListParagraph"/>
        <w:rPr>
          <w:lang w:val="en-AU"/>
        </w:rPr>
      </w:pPr>
    </w:p>
    <w:p w14:paraId="7FA86EE2" w14:textId="7934755A" w:rsidR="00486D28" w:rsidRDefault="00486D28" w:rsidP="00486D28">
      <w:r>
        <w:t xml:space="preserve">Australian NGOs have strong links with local implementing partners in the ANCP, the majority of which are local NGOs, disabled peoples’ organisations (DPOs) </w:t>
      </w:r>
      <w:proofErr w:type="gramStart"/>
      <w:r>
        <w:t>faith based</w:t>
      </w:r>
      <w:proofErr w:type="gramEnd"/>
      <w:r>
        <w:t xml:space="preserve"> organisations and the private sector (see Table </w:t>
      </w:r>
      <w:r w:rsidR="00454514">
        <w:t>2</w:t>
      </w:r>
      <w:r>
        <w:t xml:space="preserve">). </w:t>
      </w:r>
      <w:r w:rsidR="00846A86">
        <w:t xml:space="preserve">ANGOs and their partners </w:t>
      </w:r>
      <w:r>
        <w:t xml:space="preserve">are identifying community needs in areas such as water and sanitation, food security and livelihoods, in an inclusive way to ensure responses meet the needs of women, children and people with disability. </w:t>
      </w:r>
    </w:p>
    <w:p w14:paraId="22B25830" w14:textId="7770C06B" w:rsidR="00110C57" w:rsidRDefault="00110C57" w:rsidP="00486D28"/>
    <w:p w14:paraId="798F075C" w14:textId="4DD03563" w:rsidR="00806BDC" w:rsidRDefault="00BA21BD" w:rsidP="008F620B">
      <w:pPr>
        <w:spacing w:after="0"/>
      </w:pPr>
      <w:r>
        <w:rPr>
          <w:noProof/>
        </w:rPr>
        <w:lastRenderedPageBreak/>
        <w:drawing>
          <wp:inline distT="0" distB="0" distL="0" distR="0" wp14:anchorId="479CF454" wp14:editId="75838679">
            <wp:extent cx="6120130" cy="2903855"/>
            <wp:effectExtent l="0" t="0" r="0" b="0"/>
            <wp:docPr id="7" name="Picture 7" descr="A table showing the different types of implementing partners ANCP NGOs work with, along with the percentage of each type. The breakdown is: DPO 1.43%; Auxiliary to Government 1.43%; Research or Technical Institution 1.94%; Health 3.24%; Education 4.46%; Faith Based Organisation 4.47%; Private Sector 5.22%; Committee/Network/Stakeholder Group 8.29%; International NGO/CSO 11.27%; Local NGO/CSO 24.95%; and Government 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showing the different types of implementing partners ANCP NGOs work with, along with the percentage of each type. The breakdown is: DPO 1.43%; Auxiliary to Government 1.43%; Research or Technical Institution 1.94%; Health 3.24%; Education 4.46%; Faith Based Organisation 4.47%; Private Sector 5.22%; Committee/Network/Stakeholder Group 8.29%; International NGO/CSO 11.27%; Local NGO/CSO 24.95%; and Government 32.02%."/>
                    <pic:cNvPicPr/>
                  </pic:nvPicPr>
                  <pic:blipFill>
                    <a:blip r:embed="rId21">
                      <a:extLst>
                        <a:ext uri="{28A0092B-C50C-407E-A947-70E740481C1C}">
                          <a14:useLocalDpi xmlns:a14="http://schemas.microsoft.com/office/drawing/2010/main" val="0"/>
                        </a:ext>
                      </a:extLst>
                    </a:blip>
                    <a:stretch>
                      <a:fillRect/>
                    </a:stretch>
                  </pic:blipFill>
                  <pic:spPr>
                    <a:xfrm>
                      <a:off x="0" y="0"/>
                      <a:ext cx="6120130" cy="2903855"/>
                    </a:xfrm>
                    <a:prstGeom prst="rect">
                      <a:avLst/>
                    </a:prstGeom>
                  </pic:spPr>
                </pic:pic>
              </a:graphicData>
            </a:graphic>
          </wp:inline>
        </w:drawing>
      </w:r>
    </w:p>
    <w:p w14:paraId="79917E91" w14:textId="743A3EFB" w:rsidR="00486D28" w:rsidRDefault="00486D28" w:rsidP="008F620B">
      <w:pPr>
        <w:spacing w:after="0"/>
      </w:pPr>
      <w:r>
        <w:t xml:space="preserve">Another key strength of the ANCP is a commitment to building the capacity of in-country implementing partners and communities. </w:t>
      </w:r>
      <w:r>
        <w:rPr>
          <w:iCs/>
        </w:rPr>
        <w:t>By improving the technical and non-technical performance of local partners, ANGOs can assist them to achieve their objectives, become more financially and technically independent, and sustain their activities beyond the cessation of ANCP and ANGO assistance. Table 3 outlines the number and type of capacity building projects in the ANCP in 2019-20.</w:t>
      </w:r>
    </w:p>
    <w:p w14:paraId="33420B83" w14:textId="130D8E46" w:rsidR="00454514" w:rsidRDefault="00FD3762" w:rsidP="00454514">
      <w:pPr>
        <w:rPr>
          <w:sz w:val="30"/>
        </w:rPr>
      </w:pPr>
      <w:r>
        <w:rPr>
          <w:noProof/>
          <w:sz w:val="30"/>
        </w:rPr>
        <w:drawing>
          <wp:inline distT="0" distB="0" distL="0" distR="0" wp14:anchorId="0A17D4EC" wp14:editId="74B8670E">
            <wp:extent cx="6087325" cy="2629267"/>
            <wp:effectExtent l="0" t="0" r="8890" b="0"/>
            <wp:docPr id="8" name="Picture 8" descr="A table showing the number and type of capacity building projects in the ANCP. The breakdown is: other 84; Disability 156; M&amp;E 172; Gender Equality 191; Financial &amp; Risk Management 198; Technical Support 245; and Safeguards 29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able showing the number and type of capacity building projects in the ANCP. The breakdown is: other 84; Disability 156; M&amp;E 172; Gender Equality 191; Financial &amp; Risk Management 198; Technical Support 245; and Safeguards 292. "/>
                    <pic:cNvPicPr/>
                  </pic:nvPicPr>
                  <pic:blipFill>
                    <a:blip r:embed="rId22">
                      <a:extLst>
                        <a:ext uri="{28A0092B-C50C-407E-A947-70E740481C1C}">
                          <a14:useLocalDpi xmlns:a14="http://schemas.microsoft.com/office/drawing/2010/main" val="0"/>
                        </a:ext>
                      </a:extLst>
                    </a:blip>
                    <a:stretch>
                      <a:fillRect/>
                    </a:stretch>
                  </pic:blipFill>
                  <pic:spPr>
                    <a:xfrm>
                      <a:off x="0" y="0"/>
                      <a:ext cx="6087325" cy="2629267"/>
                    </a:xfrm>
                    <a:prstGeom prst="rect">
                      <a:avLst/>
                    </a:prstGeom>
                  </pic:spPr>
                </pic:pic>
              </a:graphicData>
            </a:graphic>
          </wp:inline>
        </w:drawing>
      </w:r>
    </w:p>
    <w:p w14:paraId="402342FB" w14:textId="503F9B9F" w:rsidR="00454514" w:rsidRPr="00BF4650" w:rsidRDefault="00454514" w:rsidP="008F620B">
      <w:pPr>
        <w:pStyle w:val="Heading3"/>
        <w:spacing w:before="0"/>
      </w:pPr>
      <w:r w:rsidRPr="00BF4650">
        <w:t>2019-20 ANCP Gender and Disability Data</w:t>
      </w:r>
    </w:p>
    <w:p w14:paraId="5F751B64" w14:textId="1F64079F" w:rsidR="00DA0649" w:rsidRDefault="00486D28" w:rsidP="00486D28">
      <w:r w:rsidRPr="00486D28">
        <w:t>ANCP NGOs have strong, inclusive practices to ensure response activities address the needs of women, children and people with disability</w:t>
      </w:r>
      <w:r w:rsidR="00454514">
        <w:t xml:space="preserve"> reaching 11.8 million project participants, of which </w:t>
      </w:r>
      <w:r w:rsidR="00454514" w:rsidRPr="006A04F5">
        <w:t>57% women and girls, 8% people with disabilities</w:t>
      </w:r>
      <w:r w:rsidRPr="00486D28">
        <w:t xml:space="preserve">. They are delivering hygiene messaging in local languages, the provision of soap and protective equipment to health </w:t>
      </w:r>
      <w:proofErr w:type="gramStart"/>
      <w:r w:rsidRPr="00486D28">
        <w:t>clinics, and</w:t>
      </w:r>
      <w:proofErr w:type="gramEnd"/>
      <w:r w:rsidRPr="00486D28">
        <w:t xml:space="preserve"> </w:t>
      </w:r>
      <w:r w:rsidR="003267E5">
        <w:t xml:space="preserve">helping to </w:t>
      </w:r>
      <w:r w:rsidRPr="00486D28">
        <w:t>ensur</w:t>
      </w:r>
      <w:r w:rsidR="003267E5">
        <w:t>e</w:t>
      </w:r>
      <w:r w:rsidRPr="00486D28">
        <w:t xml:space="preserve"> basic food security and livelihoods continue during this time. NGOs are coordinating with other local actors and different levels of government in-country to maximise efforts to address the pandemic. </w:t>
      </w:r>
    </w:p>
    <w:p w14:paraId="5B8518C1" w14:textId="77777777" w:rsidR="00DA0649" w:rsidRDefault="00DA0649">
      <w:pPr>
        <w:suppressAutoHyphens w:val="0"/>
        <w:spacing w:before="0" w:after="120" w:line="440" w:lineRule="atLeast"/>
      </w:pPr>
      <w:r>
        <w:br w:type="page"/>
      </w:r>
    </w:p>
    <w:p w14:paraId="16F7116C" w14:textId="77777777" w:rsidR="00792BF4" w:rsidRPr="00486D28" w:rsidRDefault="00792BF4" w:rsidP="00486D28"/>
    <w:p w14:paraId="7DABF9D8" w14:textId="77777777" w:rsidR="006D5BBB" w:rsidRPr="006A04F5" w:rsidRDefault="006D5BBB" w:rsidP="00BF4650">
      <w:pPr>
        <w:pStyle w:val="ListParagraph"/>
        <w:numPr>
          <w:ilvl w:val="0"/>
          <w:numId w:val="11"/>
        </w:numPr>
        <w:ind w:left="567" w:hanging="425"/>
      </w:pPr>
      <w:r w:rsidRPr="006A04F5">
        <w:t xml:space="preserve">431,828 people participated in sessions on gender issues and women's equal rights (60.9% women and girls, 1.6% people with disabilities) </w:t>
      </w:r>
    </w:p>
    <w:p w14:paraId="11F25015" w14:textId="77777777" w:rsidR="00BF4650" w:rsidRPr="006A04F5" w:rsidRDefault="00BF4650" w:rsidP="00BF4650">
      <w:pPr>
        <w:pStyle w:val="ListParagraph"/>
        <w:numPr>
          <w:ilvl w:val="0"/>
          <w:numId w:val="11"/>
        </w:numPr>
        <w:ind w:left="567" w:hanging="425"/>
      </w:pPr>
      <w:r w:rsidRPr="006A04F5">
        <w:t>227,052 people trained in disability awareness and inclusion</w:t>
      </w:r>
    </w:p>
    <w:p w14:paraId="499CCBE1" w14:textId="77777777" w:rsidR="006D5BBB" w:rsidRPr="006A04F5" w:rsidRDefault="006D5BBB" w:rsidP="00BF4650">
      <w:pPr>
        <w:pStyle w:val="ListParagraph"/>
        <w:numPr>
          <w:ilvl w:val="0"/>
          <w:numId w:val="11"/>
        </w:numPr>
        <w:ind w:left="567" w:hanging="425"/>
      </w:pPr>
      <w:r w:rsidRPr="006A04F5">
        <w:t xml:space="preserve">66,698 women supported to assume leadership roles (2.9% women with disabilities) </w:t>
      </w:r>
    </w:p>
    <w:p w14:paraId="1F464CAF" w14:textId="77777777" w:rsidR="006D5BBB" w:rsidRPr="006A04F5" w:rsidRDefault="006D5BBB" w:rsidP="00BF4650">
      <w:pPr>
        <w:pStyle w:val="ListParagraph"/>
        <w:numPr>
          <w:ilvl w:val="0"/>
          <w:numId w:val="11"/>
        </w:numPr>
        <w:ind w:left="567" w:hanging="425"/>
      </w:pPr>
      <w:r w:rsidRPr="006A04F5">
        <w:t>22,485 people received disability support services specific to their needs (44.6% women and girls)</w:t>
      </w:r>
    </w:p>
    <w:p w14:paraId="69A592C3" w14:textId="4F429FE1" w:rsidR="006D5BBB" w:rsidRDefault="006D5BBB" w:rsidP="006D5BBB">
      <w:pPr>
        <w:rPr>
          <w:lang w:val="en-AU"/>
        </w:rPr>
      </w:pPr>
      <w:r w:rsidRPr="00FD3E1F">
        <w:rPr>
          <w:lang w:val="en-AU"/>
        </w:rPr>
        <w:t xml:space="preserve">In 2019-20, ANCP NGOs have indicated that 14% of ANCP grant funds contributed to SDG goal 5 - Gender Equality. Disability is integrated into </w:t>
      </w:r>
      <w:proofErr w:type="gramStart"/>
      <w:r w:rsidRPr="00FD3E1F">
        <w:rPr>
          <w:lang w:val="en-AU"/>
        </w:rPr>
        <w:t>a number of</w:t>
      </w:r>
      <w:proofErr w:type="gramEnd"/>
      <w:r w:rsidRPr="00FD3E1F">
        <w:rPr>
          <w:lang w:val="en-AU"/>
        </w:rPr>
        <w:t xml:space="preserve"> SDGs so it’s hard to determine the corresponding amount of ANCP expenditure in this space. However, 5% of ANCP grant funds were for projects that selected disability as the primary sector.</w:t>
      </w:r>
      <w:r w:rsidR="00BF4650" w:rsidRPr="00BF4650">
        <w:rPr>
          <w:noProof/>
        </w:rPr>
        <w:t xml:space="preserve"> </w:t>
      </w:r>
    </w:p>
    <w:p w14:paraId="26BC1D23" w14:textId="5A820C71" w:rsidR="006D5BBB" w:rsidRDefault="006D5BBB" w:rsidP="006D5BBB">
      <w:r w:rsidRPr="001B5485">
        <w:rPr>
          <w:lang w:val="en-AU"/>
        </w:rPr>
        <w:t xml:space="preserve">In 2019-20 more than half of ANCP projects explicitly targeted gender equality (demonstrated </w:t>
      </w:r>
      <w:proofErr w:type="gramStart"/>
      <w:r w:rsidRPr="001B5485">
        <w:rPr>
          <w:lang w:val="en-AU"/>
        </w:rPr>
        <w:t>through the use of</w:t>
      </w:r>
      <w:proofErr w:type="gramEnd"/>
      <w:r w:rsidRPr="001B5485">
        <w:rPr>
          <w:lang w:val="en-AU"/>
        </w:rPr>
        <w:t xml:space="preserve"> the principal &amp; significant policy marker). There remains some room for improvement</w:t>
      </w:r>
      <w:r>
        <w:rPr>
          <w:lang w:val="en-AU"/>
        </w:rPr>
        <w:t xml:space="preserve"> -</w:t>
      </w:r>
      <w:r w:rsidRPr="001B5485">
        <w:rPr>
          <w:lang w:val="en-AU"/>
        </w:rPr>
        <w:t xml:space="preserve"> in 2019-20, 29% of projects did not target gender equality</w:t>
      </w:r>
      <w:r>
        <w:rPr>
          <w:lang w:val="en-AU"/>
        </w:rPr>
        <w:t xml:space="preserve"> (see table below)</w:t>
      </w:r>
      <w:r w:rsidRPr="001B5485">
        <w:rPr>
          <w:lang w:val="en-AU"/>
        </w:rPr>
        <w:t>.</w:t>
      </w:r>
      <w:r>
        <w:rPr>
          <w:lang w:val="en-AU"/>
        </w:rPr>
        <w:t xml:space="preserve"> 2019-20 was the </w:t>
      </w:r>
      <w:proofErr w:type="gramStart"/>
      <w:r>
        <w:rPr>
          <w:lang w:val="en-AU"/>
        </w:rPr>
        <w:t>first year</w:t>
      </w:r>
      <w:proofErr w:type="gramEnd"/>
      <w:r>
        <w:rPr>
          <w:lang w:val="en-AU"/>
        </w:rPr>
        <w:t xml:space="preserve"> results are available since the category of mainstreaming was introduced. </w:t>
      </w:r>
      <w:r w:rsidRPr="001B5485">
        <w:rPr>
          <w:lang w:val="en-AU"/>
        </w:rPr>
        <w:t>This was to capture projects that are doing good gender mainstreaming work but that do not explicitly target gender equality and women’s empowerment outcomes required to meet the principal or significant markers.</w:t>
      </w:r>
      <w:r w:rsidRPr="001B5485">
        <w:t xml:space="preserve"> </w:t>
      </w:r>
      <w:bookmarkStart w:id="0" w:name="_Hlk58925959"/>
      <w:r>
        <w:t>It is anticipated that the number of projects identifying as mainstreaming will increase in future years as NGOs become familiar with the new category.</w:t>
      </w:r>
    </w:p>
    <w:bookmarkEnd w:id="0"/>
    <w:p w14:paraId="313E29D9" w14:textId="09DD882F" w:rsidR="005453FE" w:rsidRDefault="006D5BBB" w:rsidP="008F620B">
      <w:pPr>
        <w:keepNext/>
        <w:keepLines/>
        <w:rPr>
          <w:lang w:val="en-AU"/>
        </w:rPr>
      </w:pPr>
      <w:r w:rsidRPr="001B5485">
        <w:rPr>
          <w:lang w:val="en-AU"/>
        </w:rPr>
        <w:t>In the disability inclusion space, the data also shows us that there are significantly less projects that actively targeted disability inclusion in comparison to those that target gender equality outcomes.</w:t>
      </w:r>
      <w:r>
        <w:rPr>
          <w:lang w:val="en-AU"/>
        </w:rPr>
        <w:t xml:space="preserve"> </w:t>
      </w:r>
      <w:r w:rsidRPr="001B5485">
        <w:rPr>
          <w:lang w:val="en-AU"/>
        </w:rPr>
        <w:t>This is also evident in annual reporting and visit findings which show that there is more confidence and routine inclusion of gender equality approaches in ANCP programming but that this is still emergent when it comes to disability inclusion.</w:t>
      </w:r>
      <w:r>
        <w:rPr>
          <w:lang w:val="en-AU"/>
        </w:rPr>
        <w:t xml:space="preserve"> </w:t>
      </w:r>
      <w:r w:rsidRPr="001B5485">
        <w:rPr>
          <w:lang w:val="en-AU"/>
        </w:rPr>
        <w:t xml:space="preserve">This was also reflected in the </w:t>
      </w:r>
      <w:hyperlink r:id="rId23" w:history="1">
        <w:r w:rsidRPr="001B5485">
          <w:rPr>
            <w:rStyle w:val="Hyperlink"/>
            <w:rFonts w:cstheme="minorBidi"/>
            <w:i/>
            <w:iCs/>
            <w:lang w:val="en-AU"/>
          </w:rPr>
          <w:t>Data Systems Validation Review</w:t>
        </w:r>
      </w:hyperlink>
      <w:r>
        <w:rPr>
          <w:lang w:val="en-AU"/>
        </w:rPr>
        <w:t xml:space="preserve"> </w:t>
      </w:r>
      <w:r w:rsidRPr="001B5485">
        <w:rPr>
          <w:lang w:val="en-AU"/>
        </w:rPr>
        <w:t>completed in 2018 which found disaggregation by disability to be less robust than disaggregation by gender.</w:t>
      </w:r>
    </w:p>
    <w:p w14:paraId="4C238978" w14:textId="772C6AA1" w:rsidR="00454514" w:rsidRDefault="00792BF4" w:rsidP="006D5BBB">
      <w:pPr>
        <w:rPr>
          <w:lang w:val="en-AU"/>
        </w:rPr>
      </w:pPr>
      <w:r>
        <w:rPr>
          <w:noProof/>
          <w:lang w:val="en-AU"/>
        </w:rPr>
        <w:drawing>
          <wp:inline distT="0" distB="0" distL="0" distR="0" wp14:anchorId="7E03A60F" wp14:editId="45DD8FE4">
            <wp:extent cx="3096057" cy="1676634"/>
            <wp:effectExtent l="0" t="0" r="9525" b="0"/>
            <wp:docPr id="11" name="Picture 11" descr="A table showing the number and percentage of ANCP projects that target gender equality. 73 projects (17%) used the Principal Gender Marker; 165 projects (39%) used the Significant Gender Marker; 124 projects (29%) used the Not Targeted Gender Marker and 62 projects (15%) used the Mainstream Gender 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able showing the number and percentage of ANCP projects that target gender equality. 73 projects (17%) used the Principal Gender Marker; 165 projects (39%) used the Significant Gender Marker; 124 projects (29%) used the Not Targeted Gender Marker and 62 projects (15%) used the Mainstream Gender Marker"/>
                    <pic:cNvPicPr/>
                  </pic:nvPicPr>
                  <pic:blipFill>
                    <a:blip r:embed="rId24">
                      <a:extLst>
                        <a:ext uri="{28A0092B-C50C-407E-A947-70E740481C1C}">
                          <a14:useLocalDpi xmlns:a14="http://schemas.microsoft.com/office/drawing/2010/main" val="0"/>
                        </a:ext>
                      </a:extLst>
                    </a:blip>
                    <a:stretch>
                      <a:fillRect/>
                    </a:stretch>
                  </pic:blipFill>
                  <pic:spPr>
                    <a:xfrm>
                      <a:off x="0" y="0"/>
                      <a:ext cx="3096057" cy="1676634"/>
                    </a:xfrm>
                    <a:prstGeom prst="rect">
                      <a:avLst/>
                    </a:prstGeom>
                  </pic:spPr>
                </pic:pic>
              </a:graphicData>
            </a:graphic>
          </wp:inline>
        </w:drawing>
      </w:r>
    </w:p>
    <w:p w14:paraId="6FBDECCA" w14:textId="30E1DFAB" w:rsidR="00DA0649" w:rsidRDefault="00792BF4" w:rsidP="00DA0649">
      <w:pPr>
        <w:pStyle w:val="Heading3"/>
      </w:pPr>
      <w:r>
        <w:rPr>
          <w:noProof/>
        </w:rPr>
        <w:drawing>
          <wp:inline distT="0" distB="0" distL="0" distR="0" wp14:anchorId="671A576F" wp14:editId="4D8D5CEA">
            <wp:extent cx="3077004" cy="1676634"/>
            <wp:effectExtent l="0" t="0" r="9525" b="0"/>
            <wp:docPr id="12" name="Picture 12" descr="A table showing the number and percentage of ANCP projects that target disability. 262 projects (62%) used the Mainstream Disability Marker; 16 projects (4%) used the Targeted Disability Marker; 77 projects used the Twin Track Disability Marker; and 69 projects (16%) used the Not Targeted Disability mar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table showing the number and percentage of ANCP projects that target disability. 262 projects (62%) used the Mainstream Disability Marker; 16 projects (4%) used the Targeted Disability Marker; 77 projects used the Twin Track Disability Marker; and 69 projects (16%) used the Not Targeted Disability marker. "/>
                    <pic:cNvPicPr/>
                  </pic:nvPicPr>
                  <pic:blipFill>
                    <a:blip r:embed="rId25">
                      <a:extLst>
                        <a:ext uri="{28A0092B-C50C-407E-A947-70E740481C1C}">
                          <a14:useLocalDpi xmlns:a14="http://schemas.microsoft.com/office/drawing/2010/main" val="0"/>
                        </a:ext>
                      </a:extLst>
                    </a:blip>
                    <a:stretch>
                      <a:fillRect/>
                    </a:stretch>
                  </pic:blipFill>
                  <pic:spPr>
                    <a:xfrm>
                      <a:off x="0" y="0"/>
                      <a:ext cx="3077004" cy="1676634"/>
                    </a:xfrm>
                    <a:prstGeom prst="rect">
                      <a:avLst/>
                    </a:prstGeom>
                  </pic:spPr>
                </pic:pic>
              </a:graphicData>
            </a:graphic>
          </wp:inline>
        </w:drawing>
      </w:r>
    </w:p>
    <w:p w14:paraId="644E61AF" w14:textId="77777777" w:rsidR="00DA0649" w:rsidRDefault="00DA0649">
      <w:pPr>
        <w:suppressAutoHyphens w:val="0"/>
        <w:spacing w:before="0" w:after="120" w:line="440" w:lineRule="atLeast"/>
        <w:rPr>
          <w:rFonts w:asciiTheme="majorHAnsi" w:eastAsiaTheme="majorEastAsia" w:hAnsiTheme="majorHAnsi" w:cstheme="majorBidi"/>
          <w:bCs/>
          <w:sz w:val="30"/>
          <w:szCs w:val="26"/>
        </w:rPr>
      </w:pPr>
      <w:r>
        <w:br w:type="page"/>
      </w:r>
    </w:p>
    <w:p w14:paraId="1F7399D9" w14:textId="77777777" w:rsidR="00792BF4" w:rsidRPr="00792BF4" w:rsidRDefault="00792BF4" w:rsidP="00DA0649">
      <w:pPr>
        <w:pStyle w:val="Heading3"/>
      </w:pPr>
    </w:p>
    <w:p w14:paraId="787DEBA6" w14:textId="0ECCF5BE" w:rsidR="00486D28" w:rsidRPr="00BF4650" w:rsidRDefault="00486D28" w:rsidP="00BF4650">
      <w:pPr>
        <w:pStyle w:val="Heading3"/>
      </w:pPr>
      <w:r w:rsidRPr="00BF4650">
        <w:t>Accreditation</w:t>
      </w:r>
    </w:p>
    <w:p w14:paraId="11C6468E" w14:textId="77777777" w:rsidR="00486D28" w:rsidRDefault="00486D28" w:rsidP="00486D28">
      <w:pPr>
        <w:rPr>
          <w:lang w:val="en-AU"/>
        </w:rPr>
      </w:pPr>
      <w:r>
        <w:t xml:space="preserve">Eight accreditation reviews were undertaken in 2019-20.  DFAT provided two NGOs with Technical Assistance to help prepare them for accreditation – both NGOs were new applicants. </w:t>
      </w:r>
    </w:p>
    <w:p w14:paraId="7E8D63D0" w14:textId="77777777" w:rsidR="00486D28" w:rsidRPr="006A04F5" w:rsidRDefault="00486D28" w:rsidP="00BF4650">
      <w:pPr>
        <w:pStyle w:val="ListParagraph"/>
        <w:numPr>
          <w:ilvl w:val="0"/>
          <w:numId w:val="11"/>
        </w:numPr>
        <w:ind w:left="567" w:hanging="425"/>
      </w:pPr>
      <w:r w:rsidRPr="006A04F5">
        <w:t xml:space="preserve">Four scheduled re-accreditations: one full and three base – two were re-accredited at base, one applicant for full was downgraded to base and one withdrew following the Desk Assessment (DA). </w:t>
      </w:r>
    </w:p>
    <w:p w14:paraId="04367C07" w14:textId="086C45F1" w:rsidR="009B7BE3" w:rsidRPr="00110C57" w:rsidRDefault="00486D28" w:rsidP="00BF4650">
      <w:pPr>
        <w:pStyle w:val="ListParagraph"/>
        <w:numPr>
          <w:ilvl w:val="0"/>
          <w:numId w:val="11"/>
        </w:numPr>
        <w:ind w:left="567" w:hanging="425"/>
      </w:pPr>
      <w:r w:rsidRPr="006A04F5">
        <w:t>Four new applicants for accreditation: one applicant successful at base, two applicants withdrew following the DA and one applicant was unsuccessful.   </w:t>
      </w:r>
    </w:p>
    <w:sectPr w:rsidR="009B7BE3" w:rsidRPr="00110C57" w:rsidSect="00110C57">
      <w:headerReference w:type="default" r:id="rId26"/>
      <w:footerReference w:type="default" r:id="rId27"/>
      <w:headerReference w:type="first" r:id="rId28"/>
      <w:footerReference w:type="first" r:id="rId29"/>
      <w:pgSz w:w="11906" w:h="16838" w:code="9"/>
      <w:pgMar w:top="1701" w:right="1134" w:bottom="993"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CAE66" w14:textId="77777777" w:rsidR="00CD3AF1" w:rsidRDefault="00CD3AF1" w:rsidP="00D37B04">
      <w:r>
        <w:separator/>
      </w:r>
    </w:p>
  </w:endnote>
  <w:endnote w:type="continuationSeparator" w:id="0">
    <w:p w14:paraId="6016BA79" w14:textId="77777777" w:rsidR="00CD3AF1" w:rsidRDefault="00CD3AF1"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184928"/>
      <w:docPartObj>
        <w:docPartGallery w:val="Page Numbers (Bottom of Page)"/>
        <w:docPartUnique/>
      </w:docPartObj>
    </w:sdtPr>
    <w:sdtEndPr>
      <w:rPr>
        <w:noProof/>
      </w:rPr>
    </w:sdtEndPr>
    <w:sdtContent>
      <w:p w14:paraId="597AF30D" w14:textId="2B633168" w:rsidR="008F620B" w:rsidRDefault="008F620B">
        <w:pPr>
          <w:pStyle w:val="Footer"/>
          <w:jc w:val="right"/>
        </w:pPr>
        <w:r>
          <w:fldChar w:fldCharType="begin"/>
        </w:r>
        <w:r>
          <w:instrText xml:space="preserve"> PAGE   \* MERGEFORMAT </w:instrText>
        </w:r>
        <w:r>
          <w:fldChar w:fldCharType="separate"/>
        </w:r>
        <w:r w:rsidR="00D27B4A">
          <w:rPr>
            <w:noProof/>
          </w:rPr>
          <w:t>6</w:t>
        </w:r>
        <w:r>
          <w:rPr>
            <w:noProof/>
          </w:rPr>
          <w:fldChar w:fldCharType="end"/>
        </w:r>
      </w:p>
    </w:sdtContent>
  </w:sdt>
  <w:p w14:paraId="1E6BF486" w14:textId="1482FFFF" w:rsidR="008F620B" w:rsidRDefault="008F620B" w:rsidP="008F620B">
    <w:pPr>
      <w:pStyle w:val="Footer"/>
      <w:tabs>
        <w:tab w:val="left" w:pos="83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142270"/>
      <w:docPartObj>
        <w:docPartGallery w:val="Page Numbers (Bottom of Page)"/>
        <w:docPartUnique/>
      </w:docPartObj>
    </w:sdtPr>
    <w:sdtEndPr>
      <w:rPr>
        <w:noProof/>
      </w:rPr>
    </w:sdtEndPr>
    <w:sdtContent>
      <w:p w14:paraId="1FBFF1BA" w14:textId="082B16F3" w:rsidR="008F620B" w:rsidRDefault="008F620B">
        <w:pPr>
          <w:pStyle w:val="Footer"/>
          <w:jc w:val="right"/>
        </w:pPr>
        <w:r>
          <w:fldChar w:fldCharType="begin"/>
        </w:r>
        <w:r>
          <w:instrText xml:space="preserve"> PAGE   \* MERGEFORMAT </w:instrText>
        </w:r>
        <w:r>
          <w:fldChar w:fldCharType="separate"/>
        </w:r>
        <w:r w:rsidR="00B82A22">
          <w:rPr>
            <w:noProof/>
          </w:rPr>
          <w:t>1</w:t>
        </w:r>
        <w:r>
          <w:rPr>
            <w:noProof/>
          </w:rPr>
          <w:fldChar w:fldCharType="end"/>
        </w:r>
      </w:p>
    </w:sdtContent>
  </w:sdt>
  <w:p w14:paraId="60978CAD" w14:textId="4797A5C9"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A2C12" w14:textId="77777777" w:rsidR="00CD3AF1" w:rsidRPr="008C5A0E" w:rsidRDefault="00CD3AF1" w:rsidP="00D37B04">
      <w:pPr>
        <w:pStyle w:val="Footer"/>
      </w:pPr>
    </w:p>
  </w:footnote>
  <w:footnote w:type="continuationSeparator" w:id="0">
    <w:p w14:paraId="31ACAF4F" w14:textId="77777777" w:rsidR="00CD3AF1" w:rsidRDefault="00CD3AF1" w:rsidP="00D37B04">
      <w:r>
        <w:continuationSeparator/>
      </w:r>
    </w:p>
  </w:footnote>
  <w:footnote w:id="1">
    <w:p w14:paraId="7CBC3907" w14:textId="3B6A20E4" w:rsidR="00225DD3" w:rsidRPr="00225DD3" w:rsidRDefault="00225DD3">
      <w:pPr>
        <w:pStyle w:val="FootnoteText"/>
        <w:rPr>
          <w:lang w:val="en-AU"/>
        </w:rPr>
      </w:pPr>
      <w:r>
        <w:rPr>
          <w:rStyle w:val="FootnoteReference"/>
        </w:rPr>
        <w:footnoteRef/>
      </w:r>
      <w:r>
        <w:t xml:space="preserve"> </w:t>
      </w:r>
      <w:r>
        <w:rPr>
          <w:lang w:val="en-AU"/>
        </w:rPr>
        <w:t>Data as provided by ANCP NGOs based on their M&amp;E systems</w:t>
      </w:r>
      <w:r w:rsidR="00F06BC4">
        <w:rPr>
          <w:lang w:val="en-AU"/>
        </w:rPr>
        <w:t xml:space="preserve"> </w:t>
      </w:r>
      <w:r w:rsidR="00F06BC4" w:rsidRPr="00F06BC4">
        <w:rPr>
          <w:lang w:val="en-AU"/>
        </w:rPr>
        <w:t>for FY 2019-20</w:t>
      </w:r>
    </w:p>
  </w:footnote>
  <w:footnote w:id="2">
    <w:p w14:paraId="427D792C" w14:textId="47708B7E" w:rsidR="003267E5" w:rsidRPr="003267E5" w:rsidRDefault="003267E5">
      <w:pPr>
        <w:pStyle w:val="FootnoteText"/>
        <w:rPr>
          <w:lang w:val="en-AU"/>
        </w:rPr>
      </w:pPr>
      <w:r>
        <w:rPr>
          <w:rStyle w:val="FootnoteReference"/>
        </w:rPr>
        <w:footnoteRef/>
      </w:r>
      <w:r>
        <w:t xml:space="preserve"> Based on NGO self-reporting project expenditure against SDGs.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ED28"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20ABCBE5" wp14:editId="79B9CDA1">
          <wp:simplePos x="0" y="0"/>
          <wp:positionH relativeFrom="page">
            <wp:posOffset>52705</wp:posOffset>
          </wp:positionH>
          <wp:positionV relativeFrom="page">
            <wp:posOffset>158115</wp:posOffset>
          </wp:positionV>
          <wp:extent cx="7447280" cy="10480675"/>
          <wp:effectExtent l="0" t="0" r="127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DFA2"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68129797" wp14:editId="2C4E70AC">
          <wp:simplePos x="0" y="0"/>
          <wp:positionH relativeFrom="page">
            <wp:posOffset>46990</wp:posOffset>
          </wp:positionH>
          <wp:positionV relativeFrom="page">
            <wp:posOffset>5080</wp:posOffset>
          </wp:positionV>
          <wp:extent cx="7512050" cy="1063942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6C866AA"/>
    <w:multiLevelType w:val="hybridMultilevel"/>
    <w:tmpl w:val="CE68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4A926FC"/>
    <w:multiLevelType w:val="hybridMultilevel"/>
    <w:tmpl w:val="7A4AE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565667"/>
    <w:multiLevelType w:val="multilevel"/>
    <w:tmpl w:val="5D9A3B7C"/>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6" w15:restartNumberingAfterBreak="0">
    <w:nsid w:val="52553D9F"/>
    <w:multiLevelType w:val="multilevel"/>
    <w:tmpl w:val="A6FA45D0"/>
    <w:numStyleLink w:val="BulletsList"/>
  </w:abstractNum>
  <w:abstractNum w:abstractNumId="7" w15:restartNumberingAfterBreak="0">
    <w:nsid w:val="576B710B"/>
    <w:multiLevelType w:val="hybridMultilevel"/>
    <w:tmpl w:val="18B2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D4B44C2"/>
    <w:multiLevelType w:val="hybridMultilevel"/>
    <w:tmpl w:val="234C6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F801BA7"/>
    <w:multiLevelType w:val="hybridMultilevel"/>
    <w:tmpl w:val="03CA9576"/>
    <w:lvl w:ilvl="0" w:tplc="59EE5B86">
      <w:start w:val="1"/>
      <w:numFmt w:val="bullet"/>
      <w:lvlText w:val=""/>
      <w:lvlPicBulletId w:val="0"/>
      <w:lvlJc w:val="left"/>
      <w:pPr>
        <w:tabs>
          <w:tab w:val="num" w:pos="720"/>
        </w:tabs>
        <w:ind w:left="720" w:hanging="360"/>
      </w:pPr>
      <w:rPr>
        <w:rFonts w:ascii="Symbol" w:hAnsi="Symbol" w:hint="default"/>
      </w:rPr>
    </w:lvl>
    <w:lvl w:ilvl="1" w:tplc="AC688C60" w:tentative="1">
      <w:start w:val="1"/>
      <w:numFmt w:val="bullet"/>
      <w:lvlText w:val=""/>
      <w:lvlJc w:val="left"/>
      <w:pPr>
        <w:tabs>
          <w:tab w:val="num" w:pos="1440"/>
        </w:tabs>
        <w:ind w:left="1440" w:hanging="360"/>
      </w:pPr>
      <w:rPr>
        <w:rFonts w:ascii="Symbol" w:hAnsi="Symbol" w:hint="default"/>
      </w:rPr>
    </w:lvl>
    <w:lvl w:ilvl="2" w:tplc="DA488180" w:tentative="1">
      <w:start w:val="1"/>
      <w:numFmt w:val="bullet"/>
      <w:lvlText w:val=""/>
      <w:lvlJc w:val="left"/>
      <w:pPr>
        <w:tabs>
          <w:tab w:val="num" w:pos="2160"/>
        </w:tabs>
        <w:ind w:left="2160" w:hanging="360"/>
      </w:pPr>
      <w:rPr>
        <w:rFonts w:ascii="Symbol" w:hAnsi="Symbol" w:hint="default"/>
      </w:rPr>
    </w:lvl>
    <w:lvl w:ilvl="3" w:tplc="8C507B7A" w:tentative="1">
      <w:start w:val="1"/>
      <w:numFmt w:val="bullet"/>
      <w:lvlText w:val=""/>
      <w:lvlJc w:val="left"/>
      <w:pPr>
        <w:tabs>
          <w:tab w:val="num" w:pos="2880"/>
        </w:tabs>
        <w:ind w:left="2880" w:hanging="360"/>
      </w:pPr>
      <w:rPr>
        <w:rFonts w:ascii="Symbol" w:hAnsi="Symbol" w:hint="default"/>
      </w:rPr>
    </w:lvl>
    <w:lvl w:ilvl="4" w:tplc="8C04DE3E" w:tentative="1">
      <w:start w:val="1"/>
      <w:numFmt w:val="bullet"/>
      <w:lvlText w:val=""/>
      <w:lvlJc w:val="left"/>
      <w:pPr>
        <w:tabs>
          <w:tab w:val="num" w:pos="3600"/>
        </w:tabs>
        <w:ind w:left="3600" w:hanging="360"/>
      </w:pPr>
      <w:rPr>
        <w:rFonts w:ascii="Symbol" w:hAnsi="Symbol" w:hint="default"/>
      </w:rPr>
    </w:lvl>
    <w:lvl w:ilvl="5" w:tplc="A300A172" w:tentative="1">
      <w:start w:val="1"/>
      <w:numFmt w:val="bullet"/>
      <w:lvlText w:val=""/>
      <w:lvlJc w:val="left"/>
      <w:pPr>
        <w:tabs>
          <w:tab w:val="num" w:pos="4320"/>
        </w:tabs>
        <w:ind w:left="4320" w:hanging="360"/>
      </w:pPr>
      <w:rPr>
        <w:rFonts w:ascii="Symbol" w:hAnsi="Symbol" w:hint="default"/>
      </w:rPr>
    </w:lvl>
    <w:lvl w:ilvl="6" w:tplc="08F8814A" w:tentative="1">
      <w:start w:val="1"/>
      <w:numFmt w:val="bullet"/>
      <w:lvlText w:val=""/>
      <w:lvlJc w:val="left"/>
      <w:pPr>
        <w:tabs>
          <w:tab w:val="num" w:pos="5040"/>
        </w:tabs>
        <w:ind w:left="5040" w:hanging="360"/>
      </w:pPr>
      <w:rPr>
        <w:rFonts w:ascii="Symbol" w:hAnsi="Symbol" w:hint="default"/>
      </w:rPr>
    </w:lvl>
    <w:lvl w:ilvl="7" w:tplc="894496DE" w:tentative="1">
      <w:start w:val="1"/>
      <w:numFmt w:val="bullet"/>
      <w:lvlText w:val=""/>
      <w:lvlJc w:val="left"/>
      <w:pPr>
        <w:tabs>
          <w:tab w:val="num" w:pos="5760"/>
        </w:tabs>
        <w:ind w:left="5760" w:hanging="360"/>
      </w:pPr>
      <w:rPr>
        <w:rFonts w:ascii="Symbol" w:hAnsi="Symbol" w:hint="default"/>
      </w:rPr>
    </w:lvl>
    <w:lvl w:ilvl="8" w:tplc="4C68B014"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1"/>
  </w:num>
  <w:num w:numId="3">
    <w:abstractNumId w:val="4"/>
  </w:num>
  <w:num w:numId="4">
    <w:abstractNumId w:val="8"/>
  </w:num>
  <w:num w:numId="5">
    <w:abstractNumId w:val="10"/>
  </w:num>
  <w:num w:numId="6">
    <w:abstractNumId w:val="4"/>
  </w:num>
  <w:num w:numId="7">
    <w:abstractNumId w:val="1"/>
  </w:num>
  <w:num w:numId="8">
    <w:abstractNumId w:val="2"/>
  </w:num>
  <w:num w:numId="9">
    <w:abstractNumId w:val="12"/>
  </w:num>
  <w:num w:numId="10">
    <w:abstractNumId w:val="6"/>
  </w:num>
  <w:num w:numId="11">
    <w:abstractNumId w:val="9"/>
  </w:num>
  <w:num w:numId="12">
    <w:abstractNumId w:val="0"/>
  </w:num>
  <w:num w:numId="13">
    <w:abstractNumId w:val="3"/>
  </w:num>
  <w:num w:numId="14">
    <w:abstractNumId w:val="7"/>
  </w:num>
  <w:num w:numId="15">
    <w:abstractNumId w:val="13"/>
  </w:num>
  <w:num w:numId="16">
    <w:abstractNumId w:val="5"/>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2536"/>
    <w:rsid w:val="00015783"/>
    <w:rsid w:val="0002080A"/>
    <w:rsid w:val="0002782F"/>
    <w:rsid w:val="0003405F"/>
    <w:rsid w:val="00035BBF"/>
    <w:rsid w:val="00040DF1"/>
    <w:rsid w:val="0005030C"/>
    <w:rsid w:val="00050806"/>
    <w:rsid w:val="000509F1"/>
    <w:rsid w:val="00053C87"/>
    <w:rsid w:val="000546D9"/>
    <w:rsid w:val="00054AAA"/>
    <w:rsid w:val="00054E4D"/>
    <w:rsid w:val="00060073"/>
    <w:rsid w:val="000616C6"/>
    <w:rsid w:val="00066BFE"/>
    <w:rsid w:val="00071788"/>
    <w:rsid w:val="000854FD"/>
    <w:rsid w:val="0008696B"/>
    <w:rsid w:val="000A3256"/>
    <w:rsid w:val="000B37F5"/>
    <w:rsid w:val="000B67D3"/>
    <w:rsid w:val="000C5205"/>
    <w:rsid w:val="000D0D1A"/>
    <w:rsid w:val="000D5375"/>
    <w:rsid w:val="000D66D6"/>
    <w:rsid w:val="00105F81"/>
    <w:rsid w:val="00110C57"/>
    <w:rsid w:val="00110C81"/>
    <w:rsid w:val="00113288"/>
    <w:rsid w:val="001214BE"/>
    <w:rsid w:val="0013101C"/>
    <w:rsid w:val="001461D6"/>
    <w:rsid w:val="001541EA"/>
    <w:rsid w:val="001616D0"/>
    <w:rsid w:val="001734CE"/>
    <w:rsid w:val="0018762D"/>
    <w:rsid w:val="001907AA"/>
    <w:rsid w:val="001921B2"/>
    <w:rsid w:val="001962F2"/>
    <w:rsid w:val="001A7ED5"/>
    <w:rsid w:val="001C50B3"/>
    <w:rsid w:val="001D663E"/>
    <w:rsid w:val="001E1DC0"/>
    <w:rsid w:val="00203277"/>
    <w:rsid w:val="00205B2E"/>
    <w:rsid w:val="002068B7"/>
    <w:rsid w:val="00213A46"/>
    <w:rsid w:val="00225DD3"/>
    <w:rsid w:val="0022631C"/>
    <w:rsid w:val="00230777"/>
    <w:rsid w:val="00235E0C"/>
    <w:rsid w:val="00235EAB"/>
    <w:rsid w:val="00252C04"/>
    <w:rsid w:val="0026204B"/>
    <w:rsid w:val="002646C3"/>
    <w:rsid w:val="00265DDB"/>
    <w:rsid w:val="00276A54"/>
    <w:rsid w:val="0028602A"/>
    <w:rsid w:val="00286A34"/>
    <w:rsid w:val="002A7F56"/>
    <w:rsid w:val="002B0E54"/>
    <w:rsid w:val="002B5E10"/>
    <w:rsid w:val="002C793D"/>
    <w:rsid w:val="002D5B25"/>
    <w:rsid w:val="002E7FAF"/>
    <w:rsid w:val="002F4F2B"/>
    <w:rsid w:val="003002C0"/>
    <w:rsid w:val="00301144"/>
    <w:rsid w:val="0030220F"/>
    <w:rsid w:val="003031C6"/>
    <w:rsid w:val="00304984"/>
    <w:rsid w:val="00306769"/>
    <w:rsid w:val="00310B56"/>
    <w:rsid w:val="00312BF8"/>
    <w:rsid w:val="003148B7"/>
    <w:rsid w:val="003158C3"/>
    <w:rsid w:val="003267E5"/>
    <w:rsid w:val="003274CD"/>
    <w:rsid w:val="00330E12"/>
    <w:rsid w:val="00333501"/>
    <w:rsid w:val="003365E4"/>
    <w:rsid w:val="003457C4"/>
    <w:rsid w:val="003500CF"/>
    <w:rsid w:val="00350A88"/>
    <w:rsid w:val="0035119D"/>
    <w:rsid w:val="00354A4A"/>
    <w:rsid w:val="00365569"/>
    <w:rsid w:val="00372FC5"/>
    <w:rsid w:val="003753EF"/>
    <w:rsid w:val="00383596"/>
    <w:rsid w:val="00383E11"/>
    <w:rsid w:val="00384D40"/>
    <w:rsid w:val="00385F62"/>
    <w:rsid w:val="00390828"/>
    <w:rsid w:val="0039344A"/>
    <w:rsid w:val="00395163"/>
    <w:rsid w:val="003B4F12"/>
    <w:rsid w:val="003C72F9"/>
    <w:rsid w:val="003D4C6F"/>
    <w:rsid w:val="003E3D85"/>
    <w:rsid w:val="003F2041"/>
    <w:rsid w:val="003F256A"/>
    <w:rsid w:val="00402ACC"/>
    <w:rsid w:val="004120EC"/>
    <w:rsid w:val="00423F31"/>
    <w:rsid w:val="00427096"/>
    <w:rsid w:val="00431899"/>
    <w:rsid w:val="00442055"/>
    <w:rsid w:val="00452298"/>
    <w:rsid w:val="00454514"/>
    <w:rsid w:val="00467422"/>
    <w:rsid w:val="00476ADD"/>
    <w:rsid w:val="00481A65"/>
    <w:rsid w:val="00482AE8"/>
    <w:rsid w:val="0048492D"/>
    <w:rsid w:val="00486804"/>
    <w:rsid w:val="00486D28"/>
    <w:rsid w:val="004939C4"/>
    <w:rsid w:val="00494F98"/>
    <w:rsid w:val="004A258D"/>
    <w:rsid w:val="004B1618"/>
    <w:rsid w:val="004B3775"/>
    <w:rsid w:val="004B7D5A"/>
    <w:rsid w:val="004C5598"/>
    <w:rsid w:val="004C6342"/>
    <w:rsid w:val="004D0BA0"/>
    <w:rsid w:val="004D7A6B"/>
    <w:rsid w:val="004E058F"/>
    <w:rsid w:val="004E3B87"/>
    <w:rsid w:val="004F3789"/>
    <w:rsid w:val="00503F64"/>
    <w:rsid w:val="00505577"/>
    <w:rsid w:val="00510921"/>
    <w:rsid w:val="00510AD3"/>
    <w:rsid w:val="00513348"/>
    <w:rsid w:val="00513AD8"/>
    <w:rsid w:val="005204D2"/>
    <w:rsid w:val="00522396"/>
    <w:rsid w:val="00533B5D"/>
    <w:rsid w:val="005453FE"/>
    <w:rsid w:val="00564F34"/>
    <w:rsid w:val="00566618"/>
    <w:rsid w:val="005706B9"/>
    <w:rsid w:val="00573624"/>
    <w:rsid w:val="00580804"/>
    <w:rsid w:val="00591B5F"/>
    <w:rsid w:val="005A20F6"/>
    <w:rsid w:val="005B55E8"/>
    <w:rsid w:val="005C1603"/>
    <w:rsid w:val="005D3655"/>
    <w:rsid w:val="005E4830"/>
    <w:rsid w:val="005F42E6"/>
    <w:rsid w:val="00610F03"/>
    <w:rsid w:val="00622B86"/>
    <w:rsid w:val="00623BA1"/>
    <w:rsid w:val="006346BC"/>
    <w:rsid w:val="00651213"/>
    <w:rsid w:val="00660121"/>
    <w:rsid w:val="0066652A"/>
    <w:rsid w:val="00667907"/>
    <w:rsid w:val="006719C3"/>
    <w:rsid w:val="0067788C"/>
    <w:rsid w:val="00680512"/>
    <w:rsid w:val="00680522"/>
    <w:rsid w:val="00680DE5"/>
    <w:rsid w:val="00682167"/>
    <w:rsid w:val="006A04F5"/>
    <w:rsid w:val="006B6681"/>
    <w:rsid w:val="006C42AF"/>
    <w:rsid w:val="006D5BBB"/>
    <w:rsid w:val="006E06A8"/>
    <w:rsid w:val="006E6F80"/>
    <w:rsid w:val="006E716D"/>
    <w:rsid w:val="007031B5"/>
    <w:rsid w:val="007107C0"/>
    <w:rsid w:val="00711163"/>
    <w:rsid w:val="00711D8E"/>
    <w:rsid w:val="00712672"/>
    <w:rsid w:val="00715351"/>
    <w:rsid w:val="00720E58"/>
    <w:rsid w:val="00734E3F"/>
    <w:rsid w:val="00736985"/>
    <w:rsid w:val="0074437C"/>
    <w:rsid w:val="00745DF5"/>
    <w:rsid w:val="0076250F"/>
    <w:rsid w:val="007706B8"/>
    <w:rsid w:val="00774EE4"/>
    <w:rsid w:val="00780FA5"/>
    <w:rsid w:val="00790171"/>
    <w:rsid w:val="00792BF4"/>
    <w:rsid w:val="007A0466"/>
    <w:rsid w:val="007A5328"/>
    <w:rsid w:val="007A6663"/>
    <w:rsid w:val="007B06DC"/>
    <w:rsid w:val="007B44F3"/>
    <w:rsid w:val="007B59BC"/>
    <w:rsid w:val="007B6200"/>
    <w:rsid w:val="007E3FF9"/>
    <w:rsid w:val="007E4969"/>
    <w:rsid w:val="007F0DE9"/>
    <w:rsid w:val="007F3395"/>
    <w:rsid w:val="00801B9F"/>
    <w:rsid w:val="0080204D"/>
    <w:rsid w:val="00805B9C"/>
    <w:rsid w:val="00806BDC"/>
    <w:rsid w:val="00810213"/>
    <w:rsid w:val="00817DE6"/>
    <w:rsid w:val="00823B7F"/>
    <w:rsid w:val="0083052F"/>
    <w:rsid w:val="00843AB4"/>
    <w:rsid w:val="00846A86"/>
    <w:rsid w:val="008475F0"/>
    <w:rsid w:val="00854659"/>
    <w:rsid w:val="008557A7"/>
    <w:rsid w:val="00870928"/>
    <w:rsid w:val="00880AFF"/>
    <w:rsid w:val="00885A62"/>
    <w:rsid w:val="0089405C"/>
    <w:rsid w:val="00895A91"/>
    <w:rsid w:val="00897FA2"/>
    <w:rsid w:val="008A5AFE"/>
    <w:rsid w:val="008B32AF"/>
    <w:rsid w:val="008C48F9"/>
    <w:rsid w:val="008C5A0E"/>
    <w:rsid w:val="008F38AC"/>
    <w:rsid w:val="008F620B"/>
    <w:rsid w:val="00907924"/>
    <w:rsid w:val="00927172"/>
    <w:rsid w:val="009278D2"/>
    <w:rsid w:val="00935ABC"/>
    <w:rsid w:val="00941177"/>
    <w:rsid w:val="00943730"/>
    <w:rsid w:val="00944CFB"/>
    <w:rsid w:val="0095053A"/>
    <w:rsid w:val="00954E2F"/>
    <w:rsid w:val="00961E72"/>
    <w:rsid w:val="00963FA4"/>
    <w:rsid w:val="009657E7"/>
    <w:rsid w:val="00975CA5"/>
    <w:rsid w:val="00977676"/>
    <w:rsid w:val="00980574"/>
    <w:rsid w:val="00983AED"/>
    <w:rsid w:val="00986590"/>
    <w:rsid w:val="00992C76"/>
    <w:rsid w:val="009969D6"/>
    <w:rsid w:val="009A0908"/>
    <w:rsid w:val="009A3DD2"/>
    <w:rsid w:val="009B4D3B"/>
    <w:rsid w:val="009B7942"/>
    <w:rsid w:val="009B7BE3"/>
    <w:rsid w:val="009C6AFE"/>
    <w:rsid w:val="009D57C0"/>
    <w:rsid w:val="009D7407"/>
    <w:rsid w:val="009E0866"/>
    <w:rsid w:val="009E273C"/>
    <w:rsid w:val="009F1350"/>
    <w:rsid w:val="009F248A"/>
    <w:rsid w:val="009F6423"/>
    <w:rsid w:val="009F713D"/>
    <w:rsid w:val="00A13FA0"/>
    <w:rsid w:val="00A175B3"/>
    <w:rsid w:val="00A21162"/>
    <w:rsid w:val="00A24A62"/>
    <w:rsid w:val="00A31C9F"/>
    <w:rsid w:val="00A35285"/>
    <w:rsid w:val="00A361A3"/>
    <w:rsid w:val="00A4144F"/>
    <w:rsid w:val="00A419EA"/>
    <w:rsid w:val="00A61B4D"/>
    <w:rsid w:val="00A63493"/>
    <w:rsid w:val="00A63917"/>
    <w:rsid w:val="00A80F95"/>
    <w:rsid w:val="00A91795"/>
    <w:rsid w:val="00A940CA"/>
    <w:rsid w:val="00A97BF1"/>
    <w:rsid w:val="00AA14F8"/>
    <w:rsid w:val="00AA298A"/>
    <w:rsid w:val="00AA315B"/>
    <w:rsid w:val="00AB376E"/>
    <w:rsid w:val="00AB4389"/>
    <w:rsid w:val="00AC164A"/>
    <w:rsid w:val="00AC68FC"/>
    <w:rsid w:val="00AE448A"/>
    <w:rsid w:val="00AF2050"/>
    <w:rsid w:val="00AF5D94"/>
    <w:rsid w:val="00B0385D"/>
    <w:rsid w:val="00B03CA8"/>
    <w:rsid w:val="00B05089"/>
    <w:rsid w:val="00B07921"/>
    <w:rsid w:val="00B120ED"/>
    <w:rsid w:val="00B16FE3"/>
    <w:rsid w:val="00B20186"/>
    <w:rsid w:val="00B30FF0"/>
    <w:rsid w:val="00B337D5"/>
    <w:rsid w:val="00B33C0A"/>
    <w:rsid w:val="00B47795"/>
    <w:rsid w:val="00B55E19"/>
    <w:rsid w:val="00B637DD"/>
    <w:rsid w:val="00B6495A"/>
    <w:rsid w:val="00B66722"/>
    <w:rsid w:val="00B70B50"/>
    <w:rsid w:val="00B82A22"/>
    <w:rsid w:val="00B84926"/>
    <w:rsid w:val="00B90741"/>
    <w:rsid w:val="00B927C4"/>
    <w:rsid w:val="00B94758"/>
    <w:rsid w:val="00BA0538"/>
    <w:rsid w:val="00BA21BD"/>
    <w:rsid w:val="00BA4B6D"/>
    <w:rsid w:val="00BB26C5"/>
    <w:rsid w:val="00BC31BD"/>
    <w:rsid w:val="00BD2CB3"/>
    <w:rsid w:val="00BE6B6D"/>
    <w:rsid w:val="00BF4650"/>
    <w:rsid w:val="00BF4DE6"/>
    <w:rsid w:val="00C06B13"/>
    <w:rsid w:val="00C27D25"/>
    <w:rsid w:val="00C32299"/>
    <w:rsid w:val="00C42541"/>
    <w:rsid w:val="00C42CDE"/>
    <w:rsid w:val="00C50087"/>
    <w:rsid w:val="00C5182A"/>
    <w:rsid w:val="00C61313"/>
    <w:rsid w:val="00C63EE9"/>
    <w:rsid w:val="00C84F37"/>
    <w:rsid w:val="00CA16F3"/>
    <w:rsid w:val="00CA37B1"/>
    <w:rsid w:val="00CB1959"/>
    <w:rsid w:val="00CB38EB"/>
    <w:rsid w:val="00CC0B4D"/>
    <w:rsid w:val="00CC741B"/>
    <w:rsid w:val="00CD0E4B"/>
    <w:rsid w:val="00CD3AF1"/>
    <w:rsid w:val="00CE0147"/>
    <w:rsid w:val="00CE4C89"/>
    <w:rsid w:val="00CF07BA"/>
    <w:rsid w:val="00CF6C83"/>
    <w:rsid w:val="00D00153"/>
    <w:rsid w:val="00D00565"/>
    <w:rsid w:val="00D0296C"/>
    <w:rsid w:val="00D04A8B"/>
    <w:rsid w:val="00D07898"/>
    <w:rsid w:val="00D26602"/>
    <w:rsid w:val="00D27B4A"/>
    <w:rsid w:val="00D30E2E"/>
    <w:rsid w:val="00D32D6F"/>
    <w:rsid w:val="00D37560"/>
    <w:rsid w:val="00D37B04"/>
    <w:rsid w:val="00D540C6"/>
    <w:rsid w:val="00D64686"/>
    <w:rsid w:val="00D64BD1"/>
    <w:rsid w:val="00D65749"/>
    <w:rsid w:val="00D75D4C"/>
    <w:rsid w:val="00D813DF"/>
    <w:rsid w:val="00D92254"/>
    <w:rsid w:val="00D93BC6"/>
    <w:rsid w:val="00DA0649"/>
    <w:rsid w:val="00DA7862"/>
    <w:rsid w:val="00DB7E51"/>
    <w:rsid w:val="00DE084C"/>
    <w:rsid w:val="00DF2EB5"/>
    <w:rsid w:val="00E14F51"/>
    <w:rsid w:val="00E27220"/>
    <w:rsid w:val="00E357B7"/>
    <w:rsid w:val="00E53800"/>
    <w:rsid w:val="00E6081F"/>
    <w:rsid w:val="00E634A5"/>
    <w:rsid w:val="00E655FE"/>
    <w:rsid w:val="00E8296D"/>
    <w:rsid w:val="00E8457B"/>
    <w:rsid w:val="00EA04B2"/>
    <w:rsid w:val="00EA20F3"/>
    <w:rsid w:val="00EA57F1"/>
    <w:rsid w:val="00EB398C"/>
    <w:rsid w:val="00EB43D4"/>
    <w:rsid w:val="00EC2B00"/>
    <w:rsid w:val="00EC3C2D"/>
    <w:rsid w:val="00EC53BA"/>
    <w:rsid w:val="00ED2831"/>
    <w:rsid w:val="00ED43D1"/>
    <w:rsid w:val="00EE1027"/>
    <w:rsid w:val="00EE25F4"/>
    <w:rsid w:val="00EE4EE1"/>
    <w:rsid w:val="00EF4574"/>
    <w:rsid w:val="00EF4AE0"/>
    <w:rsid w:val="00EF5FB3"/>
    <w:rsid w:val="00F06BC4"/>
    <w:rsid w:val="00F13B24"/>
    <w:rsid w:val="00F25A93"/>
    <w:rsid w:val="00F2684E"/>
    <w:rsid w:val="00F30087"/>
    <w:rsid w:val="00F33ACE"/>
    <w:rsid w:val="00F34257"/>
    <w:rsid w:val="00F366DB"/>
    <w:rsid w:val="00F424C5"/>
    <w:rsid w:val="00F5404C"/>
    <w:rsid w:val="00F617F9"/>
    <w:rsid w:val="00F721E9"/>
    <w:rsid w:val="00F729EF"/>
    <w:rsid w:val="00F72B15"/>
    <w:rsid w:val="00F744A2"/>
    <w:rsid w:val="00F74546"/>
    <w:rsid w:val="00F758C1"/>
    <w:rsid w:val="00F77CAE"/>
    <w:rsid w:val="00F82271"/>
    <w:rsid w:val="00F83428"/>
    <w:rsid w:val="00F950F7"/>
    <w:rsid w:val="00F96BB9"/>
    <w:rsid w:val="00FA69AF"/>
    <w:rsid w:val="00FA7833"/>
    <w:rsid w:val="00FB6D8C"/>
    <w:rsid w:val="00FC322F"/>
    <w:rsid w:val="00FD3762"/>
    <w:rsid w:val="00FE49E6"/>
    <w:rsid w:val="00FE6D51"/>
    <w:rsid w:val="00FE6F2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table" w:styleId="GridTable1Light-Accent1">
    <w:name w:val="Grid Table 1 Light Accent 1"/>
    <w:basedOn w:val="TableNormal"/>
    <w:uiPriority w:val="46"/>
    <w:locked/>
    <w:rsid w:val="006D5BBB"/>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07921"/>
    <w:rPr>
      <w:color w:val="605E5C"/>
      <w:shd w:val="clear" w:color="auto" w:fill="E1DFDD"/>
    </w:rPr>
  </w:style>
  <w:style w:type="character" w:styleId="UnresolvedMention">
    <w:name w:val="Unresolved Mention"/>
    <w:basedOn w:val="DefaultParagraphFont"/>
    <w:uiPriority w:val="99"/>
    <w:semiHidden/>
    <w:unhideWhenUsed/>
    <w:rsid w:val="00EC2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10036837">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726149727">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659458436">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942175525">
      <w:bodyDiv w:val="1"/>
      <w:marLeft w:val="0"/>
      <w:marRight w:val="0"/>
      <w:marTop w:val="0"/>
      <w:marBottom w:val="0"/>
      <w:divBdr>
        <w:top w:val="none" w:sz="0" w:space="0" w:color="auto"/>
        <w:left w:val="none" w:sz="0" w:space="0" w:color="auto"/>
        <w:bottom w:val="none" w:sz="0" w:space="0" w:color="auto"/>
        <w:right w:val="none" w:sz="0" w:space="0" w:color="auto"/>
      </w:divBdr>
    </w:div>
    <w:div w:id="1955936619">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publications/aid/partnerships-recovery-australias-covid-19-development-response" TargetMode="External"/><Relationship Id="rId13" Type="http://schemas.openxmlformats.org/officeDocument/2006/relationships/hyperlink" Target="http://commons.wikimedia.org/wiki/File:Group_font_awesome.svg" TargetMode="External"/><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s://www.dfat.gov.au/publications/aid/partnerships-recovery-australias-covid-19-development-response" TargetMode="External"/><Relationship Id="rId23" Type="http://schemas.openxmlformats.org/officeDocument/2006/relationships/hyperlink" Target="https://www.dfat.gov.au/about-us/publications/Pages/aus-ngo-cooperation-program-ancp-data-systems-validation-review" TargetMode="External"/><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A8F1-6BB0-49D4-BEAD-4C04A833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NGO Cooperation Program (ANCP) Performance Snapshot 2019-20</dc:title>
  <dc:creator/>
  <cp:lastModifiedBy/>
  <cp:revision>1</cp:revision>
  <dcterms:created xsi:type="dcterms:W3CDTF">2021-04-05T23:09:00Z</dcterms:created>
  <dcterms:modified xsi:type="dcterms:W3CDTF">2021-04-05T23:24:00Z</dcterms:modified>
  <cp:category/>
</cp:coreProperties>
</file>