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rawings/drawing1.xml" ContentType="application/vnd.openxmlformats-officedocument.drawingml.chartshapes+xml"/>
  <Override PartName="/word/drawings/drawing2.xml" ContentType="application/vnd.openxmlformats-officedocument.drawingml.chartshapes+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9E166E" w:rsidP="003E551F">
      <w:pPr>
        <w:pStyle w:val="Title"/>
        <w:keepLines/>
        <w:ind w:right="-703"/>
      </w:pPr>
      <w:r w:rsidRPr="00CA6DB6">
        <w:t>Aid Program Performance Report 2012</w:t>
      </w:r>
      <w:r w:rsidRPr="00052BF3">
        <w:t>−</w:t>
      </w:r>
      <w:r w:rsidRPr="00CA6DB6">
        <w:t>13</w:t>
      </w:r>
      <w:r>
        <w:t xml:space="preserve"> </w:t>
      </w:r>
      <w:r w:rsidR="0076329B">
        <w:t>Australian</w:t>
      </w:r>
      <w:r w:rsidR="005A7A29">
        <w:t xml:space="preserve"> NGO Cooperation Program</w:t>
      </w:r>
    </w:p>
    <w:p w:rsidR="00180B19" w:rsidRPr="00180B19" w:rsidRDefault="00180B19" w:rsidP="00180B19">
      <w:pPr>
        <w:pStyle w:val="Heading1"/>
      </w:pPr>
      <w:r w:rsidRPr="005535F3">
        <w:t xml:space="preserve">Key </w:t>
      </w:r>
      <w:r w:rsidR="006C1C84">
        <w:t>m</w:t>
      </w:r>
      <w:r w:rsidRPr="005535F3">
        <w:t>essages</w:t>
      </w:r>
    </w:p>
    <w:p w:rsidR="006D349B" w:rsidRDefault="006D349B" w:rsidP="00AE4B56">
      <w:pPr>
        <w:pStyle w:val="BodyText"/>
      </w:pPr>
      <w:r>
        <w:t>In 2012</w:t>
      </w:r>
      <w:r>
        <w:rPr>
          <w:rStyle w:val="FootnoteReference"/>
        </w:rPr>
        <w:footnoteReference w:id="1"/>
      </w:r>
      <w:r>
        <w:t xml:space="preserve"> t</w:t>
      </w:r>
      <w:r w:rsidR="00BA6887">
        <w:t xml:space="preserve">he </w:t>
      </w:r>
      <w:r w:rsidR="0076329B">
        <w:t>Australian</w:t>
      </w:r>
      <w:r w:rsidR="00BA6887">
        <w:t xml:space="preserve"> NGO Cooperation Program </w:t>
      </w:r>
      <w:r>
        <w:t>(ANCP)</w:t>
      </w:r>
      <w:r w:rsidR="00450823">
        <w:rPr>
          <w:rStyle w:val="FootnoteReference"/>
        </w:rPr>
        <w:footnoteReference w:id="2"/>
      </w:r>
      <w:r>
        <w:t xml:space="preserve"> </w:t>
      </w:r>
      <w:r w:rsidR="00BA1831">
        <w:t>supported</w:t>
      </w:r>
      <w:r w:rsidR="00BA6887" w:rsidRPr="006D1D6D">
        <w:t xml:space="preserve"> 43 Australian </w:t>
      </w:r>
      <w:r w:rsidR="00BA6887">
        <w:t xml:space="preserve">non-government organisations (NGOs) </w:t>
      </w:r>
      <w:r w:rsidR="00BA6887" w:rsidRPr="006D1D6D">
        <w:t xml:space="preserve">and their in-country partners to deliver over 600 projects in more than 50 countries. </w:t>
      </w:r>
      <w:r w:rsidRPr="00C07940">
        <w:t>Australian NGOs</w:t>
      </w:r>
      <w:r w:rsidRPr="00C64E30">
        <w:t xml:space="preserve"> are the key partners delivering aid through ANCP funding. This funding </w:t>
      </w:r>
      <w:r w:rsidR="00BA1831">
        <w:t>promotes</w:t>
      </w:r>
      <w:r w:rsidRPr="00C64E30">
        <w:t xml:space="preserve"> cooperation </w:t>
      </w:r>
      <w:r w:rsidRPr="00C07940">
        <w:t>between Australian NGOs and</w:t>
      </w:r>
      <w:r w:rsidRPr="00C64E30">
        <w:t xml:space="preserve"> international </w:t>
      </w:r>
      <w:r>
        <w:t>civil society organisations (</w:t>
      </w:r>
      <w:r w:rsidRPr="00C64E30">
        <w:t>CSOs</w:t>
      </w:r>
      <w:r>
        <w:t>)</w:t>
      </w:r>
      <w:r w:rsidRPr="00C64E30">
        <w:t>.</w:t>
      </w:r>
    </w:p>
    <w:p w:rsidR="00D82E0D" w:rsidRDefault="0061688C" w:rsidP="00AE4B56">
      <w:pPr>
        <w:pStyle w:val="BodyText"/>
        <w:rPr>
          <w:szCs w:val="22"/>
        </w:rPr>
      </w:pPr>
      <w:r>
        <w:t>T</w:t>
      </w:r>
      <w:r w:rsidR="0098481C">
        <w:t>he ANCP program architecture has undergone significant change</w:t>
      </w:r>
      <w:r>
        <w:t xml:space="preserve"> in the last 18 </w:t>
      </w:r>
      <w:r w:rsidRPr="003D11A3">
        <w:t>months</w:t>
      </w:r>
      <w:r w:rsidR="00602002" w:rsidRPr="003D11A3">
        <w:t xml:space="preserve"> in response to the growth and scaling up </w:t>
      </w:r>
      <w:r w:rsidR="003D11A3" w:rsidRPr="003D11A3">
        <w:t xml:space="preserve">of </w:t>
      </w:r>
      <w:r w:rsidR="00602002" w:rsidRPr="003D11A3">
        <w:t>the program</w:t>
      </w:r>
      <w:r w:rsidR="0098481C" w:rsidRPr="003D11A3">
        <w:t>. This process is ongoing, but su</w:t>
      </w:r>
      <w:r w:rsidR="0098481C">
        <w:t>bstantial gains have already been made</w:t>
      </w:r>
      <w:r w:rsidR="00D82E0D">
        <w:t xml:space="preserve">. </w:t>
      </w:r>
      <w:r w:rsidR="0076329B">
        <w:t>The aid program</w:t>
      </w:r>
      <w:r w:rsidR="00D82E0D">
        <w:t xml:space="preserve"> has worked in partnership with ANCP </w:t>
      </w:r>
      <w:r w:rsidR="00D82E0D" w:rsidRPr="00C07940">
        <w:t>NGOs</w:t>
      </w:r>
      <w:r w:rsidR="00D82E0D">
        <w:t xml:space="preserve"> to </w:t>
      </w:r>
      <w:r w:rsidR="00D82E0D">
        <w:rPr>
          <w:szCs w:val="22"/>
        </w:rPr>
        <w:t>streamline</w:t>
      </w:r>
      <w:r w:rsidR="00D82E0D" w:rsidRPr="00B22217">
        <w:rPr>
          <w:szCs w:val="22"/>
        </w:rPr>
        <w:t xml:space="preserve"> procedures, </w:t>
      </w:r>
      <w:r w:rsidR="00D82E0D">
        <w:rPr>
          <w:szCs w:val="22"/>
        </w:rPr>
        <w:t>undertake</w:t>
      </w:r>
      <w:r w:rsidR="00D82E0D" w:rsidRPr="00B22217">
        <w:rPr>
          <w:szCs w:val="22"/>
        </w:rPr>
        <w:t xml:space="preserve"> closer examination and review of NGO </w:t>
      </w:r>
      <w:r w:rsidR="00D82E0D">
        <w:rPr>
          <w:szCs w:val="22"/>
        </w:rPr>
        <w:t>projects</w:t>
      </w:r>
      <w:r w:rsidR="00D82E0D" w:rsidRPr="00B22217">
        <w:rPr>
          <w:szCs w:val="22"/>
        </w:rPr>
        <w:t xml:space="preserve">, </w:t>
      </w:r>
      <w:r w:rsidR="00D82E0D">
        <w:rPr>
          <w:szCs w:val="22"/>
        </w:rPr>
        <w:t>standardise</w:t>
      </w:r>
      <w:r w:rsidR="00D82E0D" w:rsidRPr="00B22217">
        <w:rPr>
          <w:szCs w:val="22"/>
        </w:rPr>
        <w:t xml:space="preserve"> reporting</w:t>
      </w:r>
      <w:r w:rsidR="00D82E0D">
        <w:rPr>
          <w:szCs w:val="22"/>
        </w:rPr>
        <w:t xml:space="preserve"> and</w:t>
      </w:r>
      <w:r w:rsidR="00D82E0D" w:rsidRPr="00B22217">
        <w:rPr>
          <w:szCs w:val="22"/>
        </w:rPr>
        <w:t xml:space="preserve"> </w:t>
      </w:r>
      <w:r w:rsidR="00D82E0D">
        <w:rPr>
          <w:szCs w:val="22"/>
        </w:rPr>
        <w:t>implement</w:t>
      </w:r>
      <w:r w:rsidR="00D82E0D" w:rsidRPr="00B22217">
        <w:rPr>
          <w:szCs w:val="22"/>
        </w:rPr>
        <w:t xml:space="preserve"> an efficient online program management system</w:t>
      </w:r>
      <w:r w:rsidR="00D82E0D">
        <w:rPr>
          <w:szCs w:val="22"/>
        </w:rPr>
        <w:t>.</w:t>
      </w:r>
      <w:r w:rsidR="00D82E0D" w:rsidRPr="00B22217">
        <w:rPr>
          <w:szCs w:val="22"/>
        </w:rPr>
        <w:t xml:space="preserve"> </w:t>
      </w:r>
    </w:p>
    <w:p w:rsidR="00FF4252" w:rsidRDefault="0098481C" w:rsidP="00AE4B56">
      <w:pPr>
        <w:pStyle w:val="BodyText"/>
      </w:pPr>
      <w:r>
        <w:t xml:space="preserve">This </w:t>
      </w:r>
      <w:r w:rsidR="009C0B8B">
        <w:t xml:space="preserve">Aid </w:t>
      </w:r>
      <w:r>
        <w:t xml:space="preserve">Program Performance Report </w:t>
      </w:r>
      <w:r w:rsidR="00FF4252">
        <w:t xml:space="preserve">for the ANCP </w:t>
      </w:r>
      <w:r>
        <w:t xml:space="preserve">outlines </w:t>
      </w:r>
      <w:r w:rsidR="00FF4252">
        <w:t xml:space="preserve">the progress made in 2012 in both </w:t>
      </w:r>
      <w:r>
        <w:t xml:space="preserve">program management and the </w:t>
      </w:r>
      <w:r w:rsidR="00FF4252">
        <w:t xml:space="preserve">development activities of </w:t>
      </w:r>
      <w:r>
        <w:t>NGOs funded under the ANCP.</w:t>
      </w:r>
      <w:r w:rsidR="002E5EC6">
        <w:t xml:space="preserve"> </w:t>
      </w:r>
    </w:p>
    <w:p w:rsidR="00145481" w:rsidRPr="006D1D6D" w:rsidRDefault="00145481" w:rsidP="00AE4B56">
      <w:pPr>
        <w:pStyle w:val="BodyText"/>
      </w:pPr>
      <w:r w:rsidRPr="005B45FF">
        <w:t>The key findings of the report are as follows:</w:t>
      </w:r>
    </w:p>
    <w:p w:rsidR="00C07E63" w:rsidRPr="006D1D6D" w:rsidRDefault="00C07E63" w:rsidP="00AE4B56">
      <w:pPr>
        <w:pStyle w:val="ListBullet"/>
      </w:pPr>
      <w:r w:rsidRPr="006D1D6D">
        <w:t>Australian NGO development activities funded through the ANCP continue to directly alleviate poverty in developing countries.</w:t>
      </w:r>
    </w:p>
    <w:p w:rsidR="00145481" w:rsidRPr="005B45FF" w:rsidRDefault="000E0016" w:rsidP="00AE4B56">
      <w:pPr>
        <w:pStyle w:val="ListBullet"/>
      </w:pPr>
      <w:r w:rsidRPr="006D1D6D">
        <w:t>Standardised</w:t>
      </w:r>
      <w:r w:rsidR="008A0A85" w:rsidRPr="006D1D6D">
        <w:t xml:space="preserve"> reporting and new data collection mechanisms have allowed for </w:t>
      </w:r>
      <w:r w:rsidR="008A0A85" w:rsidRPr="005B45FF">
        <w:t>improved analysis of ANCP activities and streamlined program management</w:t>
      </w:r>
      <w:r w:rsidR="00C07E63" w:rsidRPr="005B45FF">
        <w:t>.</w:t>
      </w:r>
    </w:p>
    <w:p w:rsidR="00C07E63" w:rsidRPr="00043EE5" w:rsidRDefault="00981FD3" w:rsidP="00AE4B56">
      <w:pPr>
        <w:pStyle w:val="ListBullet"/>
      </w:pPr>
      <w:r w:rsidRPr="005B45FF">
        <w:t xml:space="preserve">A </w:t>
      </w:r>
      <w:r w:rsidR="00C07E63" w:rsidRPr="005B45FF">
        <w:t xml:space="preserve">performance assessment framework </w:t>
      </w:r>
      <w:r w:rsidRPr="005B45FF">
        <w:t xml:space="preserve">would </w:t>
      </w:r>
      <w:r w:rsidR="0046770D" w:rsidRPr="005B45FF">
        <w:t xml:space="preserve">articulate </w:t>
      </w:r>
      <w:r w:rsidRPr="005B45FF">
        <w:t xml:space="preserve">a clearer </w:t>
      </w:r>
      <w:r w:rsidR="0046770D" w:rsidRPr="005B45FF">
        <w:t xml:space="preserve">line of sight from the ANCP </w:t>
      </w:r>
      <w:r w:rsidRPr="005B45FF">
        <w:t xml:space="preserve">objective </w:t>
      </w:r>
      <w:r w:rsidR="0046770D" w:rsidRPr="005B45FF">
        <w:t xml:space="preserve">to the work on the ground and </w:t>
      </w:r>
      <w:r w:rsidR="00CF3469">
        <w:t xml:space="preserve">the program’s </w:t>
      </w:r>
      <w:r w:rsidR="0046770D" w:rsidRPr="005B45FF">
        <w:t xml:space="preserve">impact on poverty </w:t>
      </w:r>
      <w:r w:rsidR="0046770D" w:rsidRPr="00043EE5">
        <w:t>alleviation.</w:t>
      </w:r>
    </w:p>
    <w:p w:rsidR="00C07E63" w:rsidRPr="00043EE5" w:rsidRDefault="0046770D" w:rsidP="00AE4B56">
      <w:pPr>
        <w:pStyle w:val="ListBullet"/>
      </w:pPr>
      <w:r w:rsidRPr="00043EE5">
        <w:t xml:space="preserve">Undertaking improvements to the accreditation process </w:t>
      </w:r>
      <w:r w:rsidR="009A0CBD">
        <w:t>will</w:t>
      </w:r>
      <w:r w:rsidR="009A0CBD" w:rsidRPr="00043EE5">
        <w:t xml:space="preserve"> </w:t>
      </w:r>
      <w:r w:rsidR="00BF5E0C" w:rsidRPr="00043EE5">
        <w:t>require</w:t>
      </w:r>
      <w:r w:rsidRPr="00043EE5">
        <w:t xml:space="preserve"> </w:t>
      </w:r>
      <w:r w:rsidR="00BF5E0C" w:rsidRPr="00043EE5">
        <w:t>transition</w:t>
      </w:r>
      <w:r w:rsidR="00810FCE" w:rsidRPr="00043EE5">
        <w:t>al</w:t>
      </w:r>
      <w:r w:rsidR="00BF5E0C" w:rsidRPr="00043EE5">
        <w:t xml:space="preserve"> arrangements for those NGOs seeking </w:t>
      </w:r>
      <w:r w:rsidR="00BF5E0C" w:rsidRPr="00C07940">
        <w:t>reaccreditation</w:t>
      </w:r>
      <w:r w:rsidR="00BF5E0C" w:rsidRPr="00043EE5">
        <w:t xml:space="preserve"> over the next 12</w:t>
      </w:r>
      <w:r w:rsidR="00810FCE" w:rsidRPr="00043EE5">
        <w:t xml:space="preserve"> to </w:t>
      </w:r>
      <w:r w:rsidR="00BF5E0C" w:rsidRPr="00043EE5">
        <w:t xml:space="preserve">18 months. </w:t>
      </w:r>
    </w:p>
    <w:p w:rsidR="00C07E63" w:rsidRPr="00161980" w:rsidRDefault="00724F28" w:rsidP="00AE4B56">
      <w:pPr>
        <w:pStyle w:val="ListBullet"/>
      </w:pPr>
      <w:r w:rsidRPr="00161980">
        <w:t>Developing a</w:t>
      </w:r>
      <w:r w:rsidR="00981FD3" w:rsidRPr="00161980">
        <w:t xml:space="preserve">n additional reporting process </w:t>
      </w:r>
      <w:r w:rsidRPr="00C07940">
        <w:t>with</w:t>
      </w:r>
      <w:r w:rsidR="00981FD3" w:rsidRPr="00C07940">
        <w:t xml:space="preserve"> </w:t>
      </w:r>
      <w:r w:rsidR="00C07E63" w:rsidRPr="00C07940">
        <w:t xml:space="preserve">ANCP Partner </w:t>
      </w:r>
      <w:r w:rsidR="00981FD3" w:rsidRPr="00C07940">
        <w:t xml:space="preserve">NGOs </w:t>
      </w:r>
      <w:r w:rsidRPr="00C07940">
        <w:t>will</w:t>
      </w:r>
      <w:r w:rsidR="00981FD3" w:rsidRPr="00C07940">
        <w:t xml:space="preserve"> demonstrate the enhanced effectiveness </w:t>
      </w:r>
      <w:r w:rsidRPr="00C07940">
        <w:t xml:space="preserve">that these </w:t>
      </w:r>
      <w:r w:rsidR="00981FD3" w:rsidRPr="00C07940">
        <w:t>Partner</w:t>
      </w:r>
      <w:r w:rsidRPr="00C07940">
        <w:t>ships</w:t>
      </w:r>
      <w:r w:rsidR="00981FD3" w:rsidRPr="00C07940">
        <w:t xml:space="preserve"> </w:t>
      </w:r>
      <w:r w:rsidRPr="00C07940">
        <w:t>bring</w:t>
      </w:r>
      <w:r w:rsidR="00156A72" w:rsidRPr="00861C9D">
        <w:t xml:space="preserve"> to</w:t>
      </w:r>
      <w:r w:rsidR="009331E3" w:rsidRPr="00161980">
        <w:t xml:space="preserve"> d</w:t>
      </w:r>
      <w:r w:rsidR="00093337" w:rsidRPr="00161980">
        <w:t>evelopment activities</w:t>
      </w:r>
      <w:r w:rsidR="00C07E63" w:rsidRPr="00161980">
        <w:t>.</w:t>
      </w:r>
    </w:p>
    <w:p w:rsidR="00180B19" w:rsidRDefault="00180B19" w:rsidP="00180B19">
      <w:pPr>
        <w:pStyle w:val="Heading1"/>
      </w:pPr>
      <w:r w:rsidRPr="005B45FF">
        <w:t>Context</w:t>
      </w:r>
      <w:r w:rsidRPr="00180B19">
        <w:t xml:space="preserve"> </w:t>
      </w:r>
    </w:p>
    <w:p w:rsidR="00931473" w:rsidRDefault="006B62E9" w:rsidP="00AE4B56">
      <w:pPr>
        <w:pStyle w:val="BodyText"/>
      </w:pPr>
      <w:r w:rsidRPr="006D1D6D">
        <w:t>The Civil Society Engagement Framework (CSEF)</w:t>
      </w:r>
      <w:r w:rsidR="00943A84" w:rsidRPr="006C1C84">
        <w:rPr>
          <w:rStyle w:val="FootnoteReference"/>
        </w:rPr>
        <w:footnoteReference w:id="3"/>
      </w:r>
      <w:r w:rsidRPr="006D1D6D">
        <w:t xml:space="preserve"> outlines how Australia will work more effectively with civil society organisations </w:t>
      </w:r>
      <w:r w:rsidR="006C1C84">
        <w:t xml:space="preserve">(CSOs) </w:t>
      </w:r>
      <w:r w:rsidRPr="006D1D6D">
        <w:t xml:space="preserve">to increase the impact of aid. </w:t>
      </w:r>
      <w:r w:rsidR="006E77CE">
        <w:t>The CSEF</w:t>
      </w:r>
      <w:r w:rsidR="00931473">
        <w:t xml:space="preserve"> has five objectives:</w:t>
      </w:r>
    </w:p>
    <w:p w:rsidR="00931473" w:rsidRPr="006C1C84" w:rsidRDefault="006C1C84" w:rsidP="00AE4B56">
      <w:pPr>
        <w:pStyle w:val="ListBullet"/>
      </w:pPr>
      <w:r>
        <w:t>i</w:t>
      </w:r>
      <w:r w:rsidR="00931473" w:rsidRPr="006C1C84">
        <w:t>mproved effectiveness and impact</w:t>
      </w:r>
    </w:p>
    <w:p w:rsidR="00931473" w:rsidRDefault="006C1C84" w:rsidP="00AE4B56">
      <w:pPr>
        <w:pStyle w:val="ListBullet"/>
      </w:pPr>
      <w:r>
        <w:t>s</w:t>
      </w:r>
      <w:r w:rsidR="00931473">
        <w:t>ustainability</w:t>
      </w:r>
    </w:p>
    <w:p w:rsidR="00931473" w:rsidRDefault="006C1C84" w:rsidP="00AE4B56">
      <w:pPr>
        <w:pStyle w:val="ListBullet"/>
      </w:pPr>
      <w:r>
        <w:lastRenderedPageBreak/>
        <w:t>r</w:t>
      </w:r>
      <w:r w:rsidR="00931473">
        <w:t>educed risks and shared accountability</w:t>
      </w:r>
    </w:p>
    <w:p w:rsidR="00931473" w:rsidRDefault="006C1C84" w:rsidP="00AE4B56">
      <w:pPr>
        <w:pStyle w:val="ListBullet"/>
      </w:pPr>
      <w:r>
        <w:t>e</w:t>
      </w:r>
      <w:r w:rsidR="00931473">
        <w:t>fficiency and value for money</w:t>
      </w:r>
    </w:p>
    <w:p w:rsidR="00931473" w:rsidRDefault="006C1C84" w:rsidP="00AE4B56">
      <w:pPr>
        <w:pStyle w:val="ListBullet"/>
      </w:pPr>
      <w:r>
        <w:t>d</w:t>
      </w:r>
      <w:r w:rsidR="00931473">
        <w:t>iversity and innovation.</w:t>
      </w:r>
    </w:p>
    <w:p w:rsidR="00A22760" w:rsidRDefault="00062438" w:rsidP="00AE4B56">
      <w:pPr>
        <w:pStyle w:val="BodyText"/>
      </w:pPr>
      <w:r w:rsidRPr="00D82E0D">
        <w:t xml:space="preserve">The program architecture of the ANCP influenced the development of the </w:t>
      </w:r>
      <w:r w:rsidR="00E51F64">
        <w:t>CSEF</w:t>
      </w:r>
      <w:r w:rsidRPr="00D82E0D">
        <w:t xml:space="preserve">, and the policy now informs the program. </w:t>
      </w:r>
      <w:r w:rsidR="00931473" w:rsidRPr="00D82E0D">
        <w:t xml:space="preserve">While the policy framework </w:t>
      </w:r>
      <w:r w:rsidR="00FD6FAD">
        <w:t xml:space="preserve">is </w:t>
      </w:r>
      <w:r w:rsidR="00931473" w:rsidRPr="00D82E0D">
        <w:t xml:space="preserve">for the whole of </w:t>
      </w:r>
      <w:r w:rsidR="0076329B">
        <w:t>the Australian aid program</w:t>
      </w:r>
      <w:r w:rsidR="00931473" w:rsidRPr="00D82E0D">
        <w:t xml:space="preserve">, </w:t>
      </w:r>
      <w:r w:rsidR="00F97BC9" w:rsidRPr="00D82E0D">
        <w:t xml:space="preserve">its actions are implemented first through </w:t>
      </w:r>
      <w:r w:rsidR="00931473" w:rsidRPr="00D82E0D">
        <w:t>the ANCP</w:t>
      </w:r>
      <w:r w:rsidR="00ED16F0">
        <w:t xml:space="preserve"> as the </w:t>
      </w:r>
      <w:r w:rsidR="00A22760">
        <w:t xml:space="preserve">largest </w:t>
      </w:r>
      <w:r w:rsidR="00A22760" w:rsidRPr="00722988">
        <w:t>and longest</w:t>
      </w:r>
      <w:r w:rsidR="00722988">
        <w:t>-</w:t>
      </w:r>
      <w:r w:rsidR="00A22760" w:rsidRPr="00722988">
        <w:t>running</w:t>
      </w:r>
      <w:r w:rsidR="00A22760">
        <w:t xml:space="preserve"> of the 81 programs </w:t>
      </w:r>
      <w:r w:rsidR="008608F5">
        <w:t xml:space="preserve">across </w:t>
      </w:r>
      <w:r w:rsidR="00277125">
        <w:t xml:space="preserve">the </w:t>
      </w:r>
      <w:r w:rsidR="008608F5">
        <w:t>D</w:t>
      </w:r>
      <w:r w:rsidR="00277125">
        <w:t xml:space="preserve">epartment of Foreign </w:t>
      </w:r>
      <w:r w:rsidR="008608F5">
        <w:t>A</w:t>
      </w:r>
      <w:r w:rsidR="00277125">
        <w:t xml:space="preserve">ffairs and </w:t>
      </w:r>
      <w:r w:rsidR="008608F5">
        <w:t>T</w:t>
      </w:r>
      <w:r w:rsidR="00277125">
        <w:t>rade (DFAT)</w:t>
      </w:r>
      <w:r w:rsidR="008608F5">
        <w:t xml:space="preserve"> </w:t>
      </w:r>
      <w:r w:rsidR="00A22760">
        <w:t xml:space="preserve">that provide funding directly to </w:t>
      </w:r>
      <w:r w:rsidR="00722988">
        <w:t>CSOs</w:t>
      </w:r>
      <w:r w:rsidR="00A22760">
        <w:t xml:space="preserve">. </w:t>
      </w:r>
      <w:r w:rsidR="0076329B">
        <w:t>Australia’s</w:t>
      </w:r>
      <w:r w:rsidR="00A22760">
        <w:t xml:space="preserve"> experience of working with </w:t>
      </w:r>
      <w:r w:rsidR="00ED16F0">
        <w:t>CSO</w:t>
      </w:r>
      <w:r w:rsidR="001A55D7">
        <w:t>s</w:t>
      </w:r>
      <w:r w:rsidR="00ED16F0">
        <w:t xml:space="preserve"> </w:t>
      </w:r>
      <w:r w:rsidR="00A22760">
        <w:t>for almost 40 years through the ANCP has provided a reference point for other programs across the</w:t>
      </w:r>
      <w:r w:rsidR="008F6DEE">
        <w:t xml:space="preserve"> </w:t>
      </w:r>
      <w:r w:rsidR="009F2ECE">
        <w:t>aid program</w:t>
      </w:r>
      <w:r w:rsidR="00A22760">
        <w:t xml:space="preserve">. </w:t>
      </w:r>
    </w:p>
    <w:p w:rsidR="00257CE1" w:rsidRDefault="00257CE1" w:rsidP="00AE4B56">
      <w:pPr>
        <w:pStyle w:val="BodyText"/>
      </w:pPr>
      <w:r w:rsidRPr="00C213BF">
        <w:t>The Australian Council for International Development (ACFID)</w:t>
      </w:r>
      <w:r w:rsidRPr="00C213BF">
        <w:rPr>
          <w:rStyle w:val="FootnoteReference"/>
        </w:rPr>
        <w:footnoteReference w:id="4"/>
      </w:r>
      <w:r w:rsidRPr="00C213BF">
        <w:t xml:space="preserve"> was a key contributor to development of the </w:t>
      </w:r>
      <w:r w:rsidR="00E51F64">
        <w:t>CSEF</w:t>
      </w:r>
      <w:r w:rsidRPr="00C213BF">
        <w:t>. In March 2013, AusAID</w:t>
      </w:r>
      <w:r w:rsidR="0076329B">
        <w:rPr>
          <w:rStyle w:val="FootnoteReference"/>
        </w:rPr>
        <w:footnoteReference w:id="5"/>
      </w:r>
      <w:r w:rsidRPr="00C213BF">
        <w:t xml:space="preserve"> signed a three-year Partnership Memorandum of Understanding </w:t>
      </w:r>
      <w:r w:rsidR="003109C8">
        <w:t xml:space="preserve">(MoU) </w:t>
      </w:r>
      <w:r w:rsidRPr="00C213BF">
        <w:t>with ACFID to pursue the shared objective of working w</w:t>
      </w:r>
      <w:r>
        <w:t>ith civil society organisations to achieve greater development impact</w:t>
      </w:r>
      <w:r w:rsidRPr="00C213BF">
        <w:t xml:space="preserve">. </w:t>
      </w:r>
    </w:p>
    <w:p w:rsidR="005D37F1" w:rsidRDefault="00277125" w:rsidP="00AE4B56">
      <w:pPr>
        <w:pStyle w:val="BodyText"/>
      </w:pPr>
      <w:r>
        <w:t>During</w:t>
      </w:r>
      <w:r w:rsidR="00257CE1" w:rsidRPr="00C213BF">
        <w:t xml:space="preserve"> 2012–13, </w:t>
      </w:r>
      <w:r w:rsidR="00E51F64">
        <w:t>NGOs and ACFID</w:t>
      </w:r>
      <w:r w:rsidR="00257CE1" w:rsidRPr="00C213BF">
        <w:t xml:space="preserve"> </w:t>
      </w:r>
      <w:r w:rsidR="00E51F64">
        <w:t xml:space="preserve">were </w:t>
      </w:r>
      <w:r w:rsidR="000C30E2">
        <w:t xml:space="preserve">consulted </w:t>
      </w:r>
      <w:r w:rsidR="00257CE1" w:rsidRPr="00C213BF">
        <w:t xml:space="preserve">on </w:t>
      </w:r>
      <w:r w:rsidR="00257CE1">
        <w:t xml:space="preserve">two key </w:t>
      </w:r>
      <w:r w:rsidR="005D37F1">
        <w:t xml:space="preserve">actions under the </w:t>
      </w:r>
      <w:r w:rsidR="00E51F64">
        <w:t>CSEF</w:t>
      </w:r>
      <w:r w:rsidR="00257CE1">
        <w:t xml:space="preserve">: </w:t>
      </w:r>
      <w:r w:rsidR="00257CE1" w:rsidRPr="00C213BF">
        <w:t>the Due Diligence Standards</w:t>
      </w:r>
      <w:r w:rsidR="00CC5C34">
        <w:t>;</w:t>
      </w:r>
      <w:r w:rsidR="00257CE1" w:rsidRPr="00C213BF">
        <w:t xml:space="preserve"> and </w:t>
      </w:r>
      <w:r w:rsidR="0073762F">
        <w:t xml:space="preserve">the </w:t>
      </w:r>
      <w:r w:rsidR="00257CE1" w:rsidRPr="00C213BF">
        <w:t>Effectiveness Assessment Methodology</w:t>
      </w:r>
      <w:r w:rsidR="00257CE1">
        <w:t xml:space="preserve"> for CSOs</w:t>
      </w:r>
      <w:r w:rsidR="00257CE1" w:rsidRPr="00C213BF">
        <w:t xml:space="preserve">. </w:t>
      </w:r>
      <w:r w:rsidR="005D37F1" w:rsidRPr="00D82E0D">
        <w:t xml:space="preserve">The Effectiveness Assessment Methodology, together with the Due Diligence Standards, will provide </w:t>
      </w:r>
      <w:r w:rsidR="0076329B">
        <w:t xml:space="preserve">DFAT </w:t>
      </w:r>
      <w:r w:rsidR="005D37F1" w:rsidRPr="00D82E0D">
        <w:t>with a basis for understanding partner capacity, risk and effectiveness and will inform future pa</w:t>
      </w:r>
      <w:r w:rsidR="005D37F1">
        <w:t>rtnership and funding decisions</w:t>
      </w:r>
      <w:r w:rsidR="005D37F1" w:rsidRPr="00C213BF">
        <w:t>.</w:t>
      </w:r>
    </w:p>
    <w:p w:rsidR="00257CE1" w:rsidRPr="00C213BF" w:rsidRDefault="00257CE1" w:rsidP="00AE4B56">
      <w:pPr>
        <w:pStyle w:val="BodyText"/>
      </w:pPr>
    </w:p>
    <w:p w:rsidR="00180B19" w:rsidRPr="00180B19" w:rsidRDefault="00180B19" w:rsidP="002F771F">
      <w:pPr>
        <w:pStyle w:val="Heading1"/>
      </w:pPr>
      <w:r w:rsidRPr="00D82E0D">
        <w:t>Expenditure</w:t>
      </w:r>
      <w:r w:rsidR="00E23696" w:rsidRPr="00D82E0D">
        <w:t xml:space="preserve"> in 2011–12</w:t>
      </w:r>
      <w:r w:rsidR="009D148F" w:rsidRPr="00D82E0D">
        <w:rPr>
          <w:rStyle w:val="FootnoteReference"/>
        </w:rPr>
        <w:footnoteReference w:id="6"/>
      </w:r>
    </w:p>
    <w:p w:rsidR="00180B19" w:rsidRPr="00AE4B56" w:rsidRDefault="00E23696" w:rsidP="00AE4B56">
      <w:pPr>
        <w:pStyle w:val="BodyText"/>
      </w:pPr>
      <w:r w:rsidRPr="00AE4B56">
        <w:t xml:space="preserve">In 2011–12, total funding to </w:t>
      </w:r>
      <w:r w:rsidR="0032680E" w:rsidRPr="00AE4B56">
        <w:t xml:space="preserve">NGOs </w:t>
      </w:r>
      <w:r w:rsidRPr="00AE4B56">
        <w:t>(Australian and non-Australian) was $</w:t>
      </w:r>
      <w:r w:rsidR="00D05E23">
        <w:t>564.6</w:t>
      </w:r>
      <w:r w:rsidR="00CC5C34" w:rsidRPr="00AE4B56">
        <w:t> </w:t>
      </w:r>
      <w:r w:rsidRPr="00AE4B56">
        <w:t xml:space="preserve">million, or </w:t>
      </w:r>
      <w:r w:rsidR="00036B95" w:rsidRPr="00AE4B56">
        <w:t>11.</w:t>
      </w:r>
      <w:r w:rsidR="00D05E23">
        <w:t>7</w:t>
      </w:r>
      <w:r w:rsidR="00D05E23" w:rsidRPr="00AE4B56">
        <w:t> </w:t>
      </w:r>
      <w:r w:rsidRPr="00AE4B56">
        <w:t>per cent</w:t>
      </w:r>
      <w:r w:rsidR="0032680E" w:rsidRPr="00AE4B56">
        <w:t>,</w:t>
      </w:r>
      <w:r w:rsidRPr="00AE4B56">
        <w:t xml:space="preserve"> of </w:t>
      </w:r>
      <w:r w:rsidR="00156A72" w:rsidRPr="00AE4B56">
        <w:t>Official Development Assistance.</w:t>
      </w:r>
      <w:r w:rsidRPr="00AE4B56">
        <w:t xml:space="preserve"> </w:t>
      </w:r>
      <w:r w:rsidR="005B597A" w:rsidRPr="00AE4B56">
        <w:t>T</w:t>
      </w:r>
      <w:r w:rsidRPr="00AE4B56">
        <w:t>he $</w:t>
      </w:r>
      <w:r w:rsidR="00036B95" w:rsidRPr="00AE4B56">
        <w:t>98.1</w:t>
      </w:r>
      <w:r w:rsidR="00CC5C34" w:rsidRPr="00AE4B56">
        <w:t> </w:t>
      </w:r>
      <w:r w:rsidRPr="00AE4B56">
        <w:t xml:space="preserve">million </w:t>
      </w:r>
      <w:r w:rsidR="00CC5C34" w:rsidRPr="00AE4B56">
        <w:t xml:space="preserve">in </w:t>
      </w:r>
      <w:r w:rsidRPr="00AE4B56">
        <w:t xml:space="preserve">funding provided under the ANCP represented </w:t>
      </w:r>
      <w:r w:rsidR="0032680E" w:rsidRPr="00AE4B56">
        <w:t>2 </w:t>
      </w:r>
      <w:r w:rsidR="00156A72" w:rsidRPr="00AE4B56">
        <w:t>per cent</w:t>
      </w:r>
      <w:r w:rsidRPr="00AE4B56">
        <w:t xml:space="preserve"> of ODA</w:t>
      </w:r>
      <w:r w:rsidR="005B597A" w:rsidRPr="00AE4B56">
        <w:t>.</w:t>
      </w:r>
      <w:r w:rsidR="00F97BC9" w:rsidRPr="00AE4B56">
        <w:t xml:space="preserve"> </w:t>
      </w:r>
      <w:r w:rsidR="005B597A" w:rsidRPr="00AE4B56">
        <w:t>As the program is the testing ground for C</w:t>
      </w:r>
      <w:r w:rsidR="00E51F64">
        <w:t xml:space="preserve">SEF actions </w:t>
      </w:r>
      <w:r w:rsidR="005B597A" w:rsidRPr="00AE4B56">
        <w:t xml:space="preserve">, </w:t>
      </w:r>
      <w:r w:rsidR="00F97BC9" w:rsidRPr="00AE4B56">
        <w:t>the reforms and improvements to the ANCP w</w:t>
      </w:r>
      <w:r w:rsidR="005B597A" w:rsidRPr="00AE4B56">
        <w:t xml:space="preserve">ill have a flow-on effect in the other Australian aid programs </w:t>
      </w:r>
      <w:r w:rsidR="00CC5C34" w:rsidRPr="00AE4B56">
        <w:t xml:space="preserve">that </w:t>
      </w:r>
      <w:r w:rsidR="005B597A" w:rsidRPr="00AE4B56">
        <w:t>engage with NGOs.</w:t>
      </w:r>
    </w:p>
    <w:p w:rsidR="00A21FC2" w:rsidRDefault="00A21FC2" w:rsidP="00A21FC2">
      <w:pPr>
        <w:pStyle w:val="Caption"/>
      </w:pPr>
    </w:p>
    <w:p w:rsidR="00AE4B56" w:rsidRDefault="00AE4B56">
      <w:pPr>
        <w:spacing w:after="200" w:line="276" w:lineRule="auto"/>
        <w:rPr>
          <w:rFonts w:ascii="Arial" w:eastAsia="Times New Roman" w:hAnsi="Arial" w:cs="Arial"/>
          <w:color w:val="7E6D5F"/>
          <w:szCs w:val="19"/>
        </w:rPr>
      </w:pPr>
      <w:r>
        <w:br w:type="page"/>
      </w:r>
    </w:p>
    <w:p w:rsidR="00567FE0" w:rsidRDefault="00A21FC2" w:rsidP="00A21FC2">
      <w:pPr>
        <w:pStyle w:val="Caption"/>
      </w:pPr>
      <w:r>
        <w:lastRenderedPageBreak/>
        <w:t xml:space="preserve">Table </w:t>
      </w:r>
      <w:r w:rsidR="007C2017">
        <w:fldChar w:fldCharType="begin"/>
      </w:r>
      <w:r w:rsidR="007C2017">
        <w:instrText xml:space="preserve"> SEQ Table \* ARABIC </w:instrText>
      </w:r>
      <w:r w:rsidR="007C2017">
        <w:fldChar w:fldCharType="separate"/>
      </w:r>
      <w:r w:rsidR="008F6D84">
        <w:rPr>
          <w:noProof/>
        </w:rPr>
        <w:t>1</w:t>
      </w:r>
      <w:r w:rsidR="007C2017">
        <w:rPr>
          <w:noProof/>
        </w:rPr>
        <w:fldChar w:fldCharType="end"/>
      </w:r>
      <w:r>
        <w:t>: Total funding to non-government organisations 2011–12</w:t>
      </w:r>
    </w:p>
    <w:tbl>
      <w:tblPr>
        <w:tblStyle w:val="APPR"/>
        <w:tblW w:w="5000" w:type="pct"/>
        <w:tblLayout w:type="fixed"/>
        <w:tblLook w:val="0000" w:firstRow="0" w:lastRow="0" w:firstColumn="0" w:lastColumn="0" w:noHBand="0" w:noVBand="0"/>
      </w:tblPr>
      <w:tblGrid>
        <w:gridCol w:w="6090"/>
        <w:gridCol w:w="992"/>
        <w:gridCol w:w="1468"/>
      </w:tblGrid>
      <w:tr w:rsidR="00307D5D" w:rsidRPr="00180B19" w:rsidTr="00AE4B56">
        <w:trPr>
          <w:tblHeader w:val="0"/>
        </w:trPr>
        <w:tc>
          <w:tcPr>
            <w:tcW w:w="6048" w:type="dxa"/>
          </w:tcPr>
          <w:p w:rsidR="00307D5D" w:rsidRPr="00180B19" w:rsidRDefault="00307D5D" w:rsidP="00AE4B56">
            <w:pPr>
              <w:pStyle w:val="TableTextColumnHeading"/>
            </w:pPr>
          </w:p>
        </w:tc>
        <w:tc>
          <w:tcPr>
            <w:tcW w:w="964" w:type="dxa"/>
          </w:tcPr>
          <w:p w:rsidR="00307D5D" w:rsidRPr="00180B19" w:rsidRDefault="00307D5D" w:rsidP="00AE4B56">
            <w:pPr>
              <w:pStyle w:val="TableTextColumnHeading"/>
            </w:pPr>
            <w:r w:rsidRPr="00180B19">
              <w:t>A$ million</w:t>
            </w:r>
          </w:p>
        </w:tc>
        <w:tc>
          <w:tcPr>
            <w:tcW w:w="1426" w:type="dxa"/>
          </w:tcPr>
          <w:p w:rsidR="00307D5D" w:rsidRPr="00180B19" w:rsidRDefault="00307D5D" w:rsidP="00AE4B56">
            <w:pPr>
              <w:pStyle w:val="TableTextColumnHeading"/>
            </w:pPr>
            <w:r w:rsidRPr="00180B19">
              <w:t xml:space="preserve">% of </w:t>
            </w:r>
            <w:r>
              <w:t>ODA</w:t>
            </w:r>
          </w:p>
        </w:tc>
      </w:tr>
      <w:tr w:rsidR="00307D5D" w:rsidRPr="00180B19" w:rsidTr="00AE4B56">
        <w:trPr>
          <w:cnfStyle w:val="000000010000" w:firstRow="0" w:lastRow="0" w:firstColumn="0" w:lastColumn="0" w:oddVBand="0" w:evenVBand="0" w:oddHBand="0" w:evenHBand="1" w:firstRowFirstColumn="0" w:firstRowLastColumn="0" w:lastRowFirstColumn="0" w:lastRowLastColumn="0"/>
          <w:tblHeader w:val="0"/>
        </w:trPr>
        <w:tc>
          <w:tcPr>
            <w:tcW w:w="6048" w:type="dxa"/>
          </w:tcPr>
          <w:p w:rsidR="00307D5D" w:rsidRPr="00100AA2" w:rsidRDefault="00307D5D" w:rsidP="00AE4B56">
            <w:pPr>
              <w:pStyle w:val="TableTextEntries"/>
            </w:pPr>
            <w:r w:rsidRPr="00307D5D">
              <w:t>All Australian NGOs</w:t>
            </w:r>
          </w:p>
        </w:tc>
        <w:tc>
          <w:tcPr>
            <w:tcW w:w="964" w:type="dxa"/>
          </w:tcPr>
          <w:p w:rsidR="00307D5D" w:rsidRPr="00307D5D" w:rsidRDefault="00307D5D" w:rsidP="00914A3B">
            <w:pPr>
              <w:pStyle w:val="TableTextEntries"/>
            </w:pPr>
            <w:r w:rsidRPr="00307D5D">
              <w:t>307.</w:t>
            </w:r>
            <w:r w:rsidR="00914A3B">
              <w:t>1</w:t>
            </w:r>
          </w:p>
        </w:tc>
        <w:tc>
          <w:tcPr>
            <w:tcW w:w="1426" w:type="dxa"/>
          </w:tcPr>
          <w:p w:rsidR="00307D5D" w:rsidRPr="00307D5D" w:rsidRDefault="00307D5D" w:rsidP="00AE4B56">
            <w:pPr>
              <w:pStyle w:val="TableTextEntries"/>
            </w:pPr>
            <w:r w:rsidRPr="00307D5D">
              <w:t>6.</w:t>
            </w:r>
            <w:r w:rsidR="003D3345">
              <w:t>4</w:t>
            </w:r>
          </w:p>
        </w:tc>
      </w:tr>
      <w:tr w:rsidR="00307D5D" w:rsidRPr="00180B19" w:rsidTr="00AE4B56">
        <w:trPr>
          <w:tblHeader w:val="0"/>
        </w:trPr>
        <w:tc>
          <w:tcPr>
            <w:tcW w:w="6048" w:type="dxa"/>
          </w:tcPr>
          <w:p w:rsidR="00307D5D" w:rsidRPr="00100AA2" w:rsidRDefault="00914A3B" w:rsidP="00AE4B56">
            <w:pPr>
              <w:pStyle w:val="TableTextEntries"/>
            </w:pPr>
            <w:r>
              <w:t xml:space="preserve">   </w:t>
            </w:r>
            <w:r w:rsidR="00307D5D" w:rsidRPr="00307D5D">
              <w:t>Accredited Australian NGOs</w:t>
            </w:r>
          </w:p>
        </w:tc>
        <w:tc>
          <w:tcPr>
            <w:tcW w:w="964" w:type="dxa"/>
          </w:tcPr>
          <w:p w:rsidR="00307D5D" w:rsidRPr="00307D5D" w:rsidRDefault="00914A3B" w:rsidP="00AE4B56">
            <w:pPr>
              <w:pStyle w:val="TableTextEntries"/>
            </w:pPr>
            <w:r>
              <w:t>250.3</w:t>
            </w:r>
          </w:p>
        </w:tc>
        <w:tc>
          <w:tcPr>
            <w:tcW w:w="1426" w:type="dxa"/>
          </w:tcPr>
          <w:p w:rsidR="00307D5D" w:rsidRPr="00307D5D" w:rsidRDefault="00307D5D" w:rsidP="00AE4B56">
            <w:pPr>
              <w:pStyle w:val="TableTextEntries"/>
            </w:pPr>
            <w:r w:rsidRPr="00307D5D">
              <w:t>5.2</w:t>
            </w:r>
          </w:p>
        </w:tc>
      </w:tr>
      <w:tr w:rsidR="00307D5D" w:rsidRPr="00180B19" w:rsidTr="00AE4B56">
        <w:trPr>
          <w:cnfStyle w:val="000000010000" w:firstRow="0" w:lastRow="0" w:firstColumn="0" w:lastColumn="0" w:oddVBand="0" w:evenVBand="0" w:oddHBand="0" w:evenHBand="1" w:firstRowFirstColumn="0" w:firstRowLastColumn="0" w:lastRowFirstColumn="0" w:lastRowLastColumn="0"/>
          <w:tblHeader w:val="0"/>
        </w:trPr>
        <w:tc>
          <w:tcPr>
            <w:tcW w:w="6048" w:type="dxa"/>
          </w:tcPr>
          <w:p w:rsidR="00307D5D" w:rsidRPr="000C2CDD" w:rsidRDefault="000C2CDD" w:rsidP="00AE4B56">
            <w:pPr>
              <w:pStyle w:val="TableTextEntries"/>
            </w:pPr>
            <w:r>
              <w:t xml:space="preserve">       </w:t>
            </w:r>
            <w:r w:rsidR="00307D5D" w:rsidRPr="000C2CDD">
              <w:t>ANCP funding</w:t>
            </w:r>
          </w:p>
        </w:tc>
        <w:tc>
          <w:tcPr>
            <w:tcW w:w="964" w:type="dxa"/>
          </w:tcPr>
          <w:p w:rsidR="00307D5D" w:rsidRPr="000C2CDD" w:rsidRDefault="00307D5D" w:rsidP="00AE4B56">
            <w:pPr>
              <w:pStyle w:val="TableTextEntries"/>
            </w:pPr>
            <w:r w:rsidRPr="000C2CDD">
              <w:t>98.1</w:t>
            </w:r>
          </w:p>
        </w:tc>
        <w:tc>
          <w:tcPr>
            <w:tcW w:w="1426" w:type="dxa"/>
          </w:tcPr>
          <w:p w:rsidR="00307D5D" w:rsidRPr="000C2CDD" w:rsidRDefault="00307D5D" w:rsidP="00AE4B56">
            <w:pPr>
              <w:pStyle w:val="TableTextEntries"/>
            </w:pPr>
            <w:r w:rsidRPr="000C2CDD">
              <w:t>2.0</w:t>
            </w:r>
          </w:p>
        </w:tc>
      </w:tr>
      <w:tr w:rsidR="00307D5D" w:rsidRPr="00180B19" w:rsidTr="00AE4B56">
        <w:trPr>
          <w:tblHeader w:val="0"/>
        </w:trPr>
        <w:tc>
          <w:tcPr>
            <w:tcW w:w="6048" w:type="dxa"/>
          </w:tcPr>
          <w:p w:rsidR="00307D5D" w:rsidRPr="00307D5D" w:rsidRDefault="000C2CDD" w:rsidP="00AE4B56">
            <w:pPr>
              <w:pStyle w:val="TableTextEntries"/>
            </w:pPr>
            <w:r>
              <w:t xml:space="preserve">       </w:t>
            </w:r>
            <w:r w:rsidR="00307D5D" w:rsidRPr="00307D5D">
              <w:t>Other funding</w:t>
            </w:r>
          </w:p>
        </w:tc>
        <w:tc>
          <w:tcPr>
            <w:tcW w:w="964" w:type="dxa"/>
          </w:tcPr>
          <w:p w:rsidR="00307D5D" w:rsidRPr="00307D5D" w:rsidRDefault="003D3345" w:rsidP="00AE4B56">
            <w:pPr>
              <w:pStyle w:val="TableTextEntries"/>
            </w:pPr>
            <w:r>
              <w:t>152.2</w:t>
            </w:r>
          </w:p>
        </w:tc>
        <w:tc>
          <w:tcPr>
            <w:tcW w:w="1426" w:type="dxa"/>
          </w:tcPr>
          <w:p w:rsidR="00307D5D" w:rsidRPr="00307D5D" w:rsidRDefault="00307D5D" w:rsidP="00AE4B56">
            <w:pPr>
              <w:pStyle w:val="TableTextEntries"/>
            </w:pPr>
            <w:r w:rsidRPr="00307D5D">
              <w:t>3.2</w:t>
            </w:r>
          </w:p>
        </w:tc>
      </w:tr>
      <w:tr w:rsidR="00307D5D" w:rsidRPr="00180B19" w:rsidTr="00AE4B56">
        <w:trPr>
          <w:cnfStyle w:val="000000010000" w:firstRow="0" w:lastRow="0" w:firstColumn="0" w:lastColumn="0" w:oddVBand="0" w:evenVBand="0" w:oddHBand="0" w:evenHBand="1" w:firstRowFirstColumn="0" w:firstRowLastColumn="0" w:lastRowFirstColumn="0" w:lastRowLastColumn="0"/>
          <w:tblHeader w:val="0"/>
        </w:trPr>
        <w:tc>
          <w:tcPr>
            <w:tcW w:w="6048" w:type="dxa"/>
          </w:tcPr>
          <w:p w:rsidR="00307D5D" w:rsidRPr="00307D5D" w:rsidRDefault="00914A3B" w:rsidP="00AE4B56">
            <w:pPr>
              <w:pStyle w:val="TableTextEntries"/>
            </w:pPr>
            <w:r>
              <w:t xml:space="preserve">   </w:t>
            </w:r>
            <w:r w:rsidR="00307D5D" w:rsidRPr="00307D5D">
              <w:t>Non-accredited Aust</w:t>
            </w:r>
            <w:r w:rsidR="00307D5D">
              <w:t>ralian</w:t>
            </w:r>
            <w:r w:rsidR="00307D5D" w:rsidRPr="00307D5D">
              <w:t xml:space="preserve"> NGOs</w:t>
            </w:r>
            <w:r w:rsidR="000C2CDD">
              <w:tab/>
            </w:r>
          </w:p>
        </w:tc>
        <w:tc>
          <w:tcPr>
            <w:tcW w:w="964" w:type="dxa"/>
          </w:tcPr>
          <w:p w:rsidR="00307D5D" w:rsidRPr="00307D5D" w:rsidRDefault="003D3345" w:rsidP="00AE4B56">
            <w:pPr>
              <w:pStyle w:val="TableTextEntries"/>
            </w:pPr>
            <w:r>
              <w:t>56.8</w:t>
            </w:r>
          </w:p>
        </w:tc>
        <w:tc>
          <w:tcPr>
            <w:tcW w:w="1426" w:type="dxa"/>
          </w:tcPr>
          <w:p w:rsidR="00307D5D" w:rsidRPr="00307D5D" w:rsidRDefault="00307D5D" w:rsidP="00AE4B56">
            <w:pPr>
              <w:pStyle w:val="TableTextEntries"/>
            </w:pPr>
            <w:r w:rsidRPr="00307D5D">
              <w:t>1.</w:t>
            </w:r>
            <w:r w:rsidR="003D3345">
              <w:t>2</w:t>
            </w:r>
          </w:p>
        </w:tc>
      </w:tr>
      <w:tr w:rsidR="00307D5D" w:rsidRPr="00180B19" w:rsidTr="00AE4B56">
        <w:trPr>
          <w:tblHeader w:val="0"/>
        </w:trPr>
        <w:tc>
          <w:tcPr>
            <w:tcW w:w="6048" w:type="dxa"/>
          </w:tcPr>
          <w:p w:rsidR="00307D5D" w:rsidRPr="00307D5D" w:rsidRDefault="00307D5D" w:rsidP="00AE4B56">
            <w:pPr>
              <w:pStyle w:val="TableTextEntries"/>
            </w:pPr>
            <w:r w:rsidRPr="00307D5D">
              <w:t>Non-Australian NGOs</w:t>
            </w:r>
          </w:p>
        </w:tc>
        <w:tc>
          <w:tcPr>
            <w:tcW w:w="964" w:type="dxa"/>
          </w:tcPr>
          <w:p w:rsidR="00307D5D" w:rsidRPr="00307D5D" w:rsidRDefault="003D3345" w:rsidP="00AE4B56">
            <w:pPr>
              <w:pStyle w:val="TableTextEntries"/>
            </w:pPr>
            <w:r>
              <w:t>257.5</w:t>
            </w:r>
          </w:p>
        </w:tc>
        <w:tc>
          <w:tcPr>
            <w:tcW w:w="1426" w:type="dxa"/>
          </w:tcPr>
          <w:p w:rsidR="00307D5D" w:rsidRPr="00307D5D" w:rsidRDefault="00307D5D" w:rsidP="00AE4B56">
            <w:pPr>
              <w:pStyle w:val="TableTextEntries"/>
            </w:pPr>
            <w:r w:rsidRPr="00307D5D">
              <w:t>5.3</w:t>
            </w:r>
          </w:p>
        </w:tc>
      </w:tr>
      <w:tr w:rsidR="00307D5D" w:rsidRPr="00180B19" w:rsidTr="00AE4B56">
        <w:trPr>
          <w:cnfStyle w:val="000000010000" w:firstRow="0" w:lastRow="0" w:firstColumn="0" w:lastColumn="0" w:oddVBand="0" w:evenVBand="0" w:oddHBand="0" w:evenHBand="1" w:firstRowFirstColumn="0" w:firstRowLastColumn="0" w:lastRowFirstColumn="0" w:lastRowLastColumn="0"/>
          <w:tblHeader w:val="0"/>
        </w:trPr>
        <w:tc>
          <w:tcPr>
            <w:tcW w:w="6048" w:type="dxa"/>
          </w:tcPr>
          <w:p w:rsidR="00307D5D" w:rsidRPr="00100AA2" w:rsidRDefault="00307D5D" w:rsidP="00AE4B56">
            <w:pPr>
              <w:pStyle w:val="TableTextEntries"/>
            </w:pPr>
            <w:r w:rsidRPr="00307D5D">
              <w:t>All NGOs</w:t>
            </w:r>
          </w:p>
        </w:tc>
        <w:tc>
          <w:tcPr>
            <w:tcW w:w="964" w:type="dxa"/>
          </w:tcPr>
          <w:p w:rsidR="00307D5D" w:rsidRPr="00307D5D" w:rsidRDefault="003D3345" w:rsidP="00AE4B56">
            <w:pPr>
              <w:pStyle w:val="TableTextEntries"/>
            </w:pPr>
            <w:r>
              <w:t>564.6</w:t>
            </w:r>
          </w:p>
        </w:tc>
        <w:tc>
          <w:tcPr>
            <w:tcW w:w="1426" w:type="dxa"/>
          </w:tcPr>
          <w:p w:rsidR="00307D5D" w:rsidRPr="00307D5D" w:rsidRDefault="00307D5D" w:rsidP="00AE4B56">
            <w:pPr>
              <w:pStyle w:val="TableTextEntries"/>
            </w:pPr>
            <w:r w:rsidRPr="00307D5D">
              <w:t>11.</w:t>
            </w:r>
            <w:r w:rsidR="003D3345">
              <w:t>7</w:t>
            </w:r>
          </w:p>
        </w:tc>
      </w:tr>
    </w:tbl>
    <w:p w:rsidR="00307D5D" w:rsidRDefault="00307D5D" w:rsidP="006D1D6D">
      <w:pPr>
        <w:pStyle w:val="Note"/>
      </w:pPr>
      <w:r w:rsidRPr="00180B19">
        <w:t>Sourc</w:t>
      </w:r>
      <w:r w:rsidR="00156A72" w:rsidRPr="00861C9D">
        <w:t>e: A</w:t>
      </w:r>
      <w:r w:rsidR="00BA01ED">
        <w:t>NCP</w:t>
      </w:r>
      <w:r w:rsidR="00156A72" w:rsidRPr="00861C9D">
        <w:t xml:space="preserve"> statistics</w:t>
      </w:r>
    </w:p>
    <w:p w:rsidR="00B56F61" w:rsidRDefault="00B56F61" w:rsidP="00AE4B56">
      <w:pPr>
        <w:pStyle w:val="BodyText"/>
        <w:rPr>
          <w:highlight w:val="yellow"/>
        </w:rPr>
      </w:pPr>
    </w:p>
    <w:p w:rsidR="009918D3" w:rsidRPr="00D82E0D" w:rsidRDefault="00266D10" w:rsidP="00AE4B56">
      <w:pPr>
        <w:pStyle w:val="BodyText"/>
      </w:pPr>
      <w:r w:rsidRPr="00D82E0D">
        <w:t>There are three levels of funding under the ANCP</w:t>
      </w:r>
      <w:r w:rsidR="00156A72">
        <w:t xml:space="preserve">: </w:t>
      </w:r>
      <w:r w:rsidR="0032680E">
        <w:t xml:space="preserve">full, </w:t>
      </w:r>
      <w:r w:rsidR="00156A72">
        <w:t>Partner</w:t>
      </w:r>
      <w:r w:rsidR="0032680E">
        <w:t xml:space="preserve"> </w:t>
      </w:r>
      <w:r w:rsidRPr="00D82E0D">
        <w:t>and base. Fully accredited NGOs must have a minimum recognised development expenditure (RDE) of $100</w:t>
      </w:r>
      <w:r w:rsidR="00CC5C34">
        <w:t> </w:t>
      </w:r>
      <w:r w:rsidRPr="00D82E0D">
        <w:t xml:space="preserve">000, averaged over three years. </w:t>
      </w:r>
      <w:r w:rsidR="000770B4" w:rsidRPr="00D82E0D">
        <w:t>Partner NGOs are fully accredited NGOs with a large community support base. (</w:t>
      </w:r>
      <w:r w:rsidR="00156A72">
        <w:t>The Partnership arrangements are outlined in detail in the ANCP Partnerships section on page 11 of</w:t>
      </w:r>
      <w:r w:rsidR="00CC5C34">
        <w:t xml:space="preserve"> this report</w:t>
      </w:r>
      <w:r w:rsidR="000770B4" w:rsidRPr="004634CC">
        <w:t xml:space="preserve">.) </w:t>
      </w:r>
      <w:r w:rsidRPr="00D82E0D">
        <w:t>Base accredited NGOs must have a minimum RDE of $50</w:t>
      </w:r>
      <w:r w:rsidR="00CC5C34">
        <w:t> </w:t>
      </w:r>
      <w:r w:rsidRPr="00D82E0D">
        <w:t>000, averaged over three years. In 2011–12</w:t>
      </w:r>
      <w:r w:rsidR="00110DC7">
        <w:t>,</w:t>
      </w:r>
      <w:r w:rsidRPr="00D82E0D">
        <w:t xml:space="preserve"> </w:t>
      </w:r>
      <w:r w:rsidR="00156A72">
        <w:t>Partner NGOs</w:t>
      </w:r>
      <w:r w:rsidRPr="00D82E0D">
        <w:t xml:space="preserve"> received over 70</w:t>
      </w:r>
      <w:r w:rsidR="00CC5C34">
        <w:t> </w:t>
      </w:r>
      <w:r w:rsidRPr="00D82E0D">
        <w:t xml:space="preserve">per cent of ANCP funding, fully accredited NGOs received 25 per cent and base accredited NGOs received the remainder. </w:t>
      </w:r>
    </w:p>
    <w:p w:rsidR="00F97BC9" w:rsidRDefault="00156A72" w:rsidP="00AE4B56">
      <w:pPr>
        <w:pStyle w:val="BodyText"/>
      </w:pPr>
      <w:r w:rsidRPr="00861C9D">
        <w:t>The Budget allocation to the ANCP over the next four years is proposed to increase to more than $178 million. The number of NGOs funded under the program is also expected to increase. This will enable more Australian NGOs to receive financial support. It will also bring challenges for ANCP program architecture, such as the management of funding, and resourcing the due diligence and effectiveness assessments of new NGOs.</w:t>
      </w:r>
    </w:p>
    <w:p w:rsidR="00D92572" w:rsidRPr="00B51D54" w:rsidRDefault="00B51D54" w:rsidP="002F771F">
      <w:pPr>
        <w:pStyle w:val="Heading1"/>
      </w:pPr>
      <w:r>
        <w:t>Objective</w:t>
      </w:r>
    </w:p>
    <w:p w:rsidR="00D82E0D" w:rsidRPr="006D1D6D" w:rsidRDefault="00B51D54" w:rsidP="00AE4B56">
      <w:pPr>
        <w:pStyle w:val="BodyText"/>
      </w:pPr>
      <w:r w:rsidRPr="006D1D6D">
        <w:t>The objective of the ANCP</w:t>
      </w:r>
      <w:r w:rsidR="00F839C0">
        <w:t xml:space="preserve"> is </w:t>
      </w:r>
      <w:r w:rsidRPr="006D1D6D">
        <w:t>to support the development activities of A</w:t>
      </w:r>
      <w:r w:rsidR="0032680E">
        <w:t xml:space="preserve">ustralian </w:t>
      </w:r>
      <w:r w:rsidRPr="006D1D6D">
        <w:t xml:space="preserve">NGOs </w:t>
      </w:r>
      <w:r w:rsidR="00CC5C34">
        <w:t xml:space="preserve">that </w:t>
      </w:r>
      <w:r w:rsidRPr="006D1D6D">
        <w:t>directly and tangibly alleviate poverty in developing countries</w:t>
      </w:r>
      <w:r w:rsidR="00F839C0">
        <w:t>.</w:t>
      </w:r>
      <w:r w:rsidR="00F839C0" w:rsidRPr="006D1D6D" w:rsidDel="00F839C0">
        <w:t xml:space="preserve"> </w:t>
      </w:r>
      <w:r w:rsidRPr="00C213BF">
        <w:t xml:space="preserve"> </w:t>
      </w:r>
      <w:r w:rsidR="00D82E0D" w:rsidRPr="006D1D6D">
        <w:t>This is achieved by:</w:t>
      </w:r>
    </w:p>
    <w:p w:rsidR="00D82E0D" w:rsidRPr="006D1D6D" w:rsidRDefault="00D82E0D" w:rsidP="00AE4B56">
      <w:pPr>
        <w:pStyle w:val="ListBullet"/>
      </w:pPr>
      <w:r w:rsidRPr="006D1D6D">
        <w:t>targeting the most vulnerab</w:t>
      </w:r>
      <w:r w:rsidR="00FC1C09">
        <w:t>le and marginalised communities</w:t>
      </w:r>
    </w:p>
    <w:p w:rsidR="00D82E0D" w:rsidRPr="006D1D6D" w:rsidRDefault="00D82E0D" w:rsidP="00AE4B56">
      <w:pPr>
        <w:pStyle w:val="ListBullet"/>
      </w:pPr>
      <w:r w:rsidRPr="006D1D6D">
        <w:t>promoting progress against the Australian aid program’s strategic goals</w:t>
      </w:r>
    </w:p>
    <w:p w:rsidR="00D82E0D" w:rsidRDefault="00D82E0D" w:rsidP="00AE4B56">
      <w:pPr>
        <w:pStyle w:val="ListBullet"/>
      </w:pPr>
      <w:r w:rsidRPr="006D1D6D">
        <w:t>providing grant funding to A</w:t>
      </w:r>
      <w:r w:rsidR="0032680E">
        <w:t xml:space="preserve">ustralian </w:t>
      </w:r>
      <w:r w:rsidRPr="006D1D6D">
        <w:t>NGOs with strong community support and effective systems.</w:t>
      </w:r>
    </w:p>
    <w:p w:rsidR="00B51D54" w:rsidRDefault="00B51D54" w:rsidP="00AE4B56">
      <w:pPr>
        <w:pStyle w:val="BodyText"/>
      </w:pPr>
      <w:r w:rsidRPr="00043EE5">
        <w:t xml:space="preserve">The diagram below shows the ANCP </w:t>
      </w:r>
      <w:r w:rsidR="009D31E0" w:rsidRPr="00043EE5">
        <w:t xml:space="preserve">contribution to </w:t>
      </w:r>
      <w:r w:rsidRPr="00043EE5">
        <w:t>Australia’s aid program.</w:t>
      </w:r>
      <w:r w:rsidR="00177250" w:rsidRPr="00043EE5">
        <w:t xml:space="preserve"> There were minimal changes in these percentages from 2010–11 to 2011–12.</w:t>
      </w:r>
    </w:p>
    <w:p w:rsidR="00ED16F0" w:rsidRDefault="00ED16F0" w:rsidP="00AE4B56">
      <w:pPr>
        <w:pStyle w:val="BodyText"/>
      </w:pPr>
    </w:p>
    <w:p w:rsidR="00AE4B56" w:rsidRDefault="00AE4B56">
      <w:pPr>
        <w:spacing w:after="200" w:line="276" w:lineRule="auto"/>
        <w:rPr>
          <w:rFonts w:ascii="Arial" w:eastAsia="Times New Roman" w:hAnsi="Arial" w:cs="Arial"/>
          <w:color w:val="7E6D5F"/>
          <w:szCs w:val="19"/>
        </w:rPr>
      </w:pPr>
      <w:r>
        <w:br w:type="page"/>
      </w:r>
    </w:p>
    <w:p w:rsidR="009918D3" w:rsidRDefault="00B51D54" w:rsidP="009918D3">
      <w:pPr>
        <w:pStyle w:val="Caption"/>
      </w:pPr>
      <w:r w:rsidRPr="00043EE5">
        <w:lastRenderedPageBreak/>
        <w:t xml:space="preserve">Diagram </w:t>
      </w:r>
      <w:r w:rsidR="00600CE2" w:rsidRPr="00043EE5">
        <w:t>1</w:t>
      </w:r>
      <w:r w:rsidRPr="00043EE5">
        <w:rPr>
          <w:noProof/>
        </w:rPr>
        <w:t>:</w:t>
      </w:r>
      <w:r w:rsidRPr="00043EE5">
        <w:t xml:space="preserve"> ANCP</w:t>
      </w:r>
      <w:r w:rsidR="00F5070C">
        <w:t xml:space="preserve"> </w:t>
      </w:r>
      <w:r w:rsidRPr="00043EE5">
        <w:t>funding by strategic goal 2011–12</w:t>
      </w:r>
      <w:r w:rsidR="00ED16F0">
        <w:rPr>
          <w:rStyle w:val="FootnoteReference"/>
        </w:rPr>
        <w:footnoteReference w:id="7"/>
      </w:r>
    </w:p>
    <w:p w:rsidR="00B56F61" w:rsidRDefault="00B51D54" w:rsidP="009918D3">
      <w:pPr>
        <w:pStyle w:val="Caption"/>
      </w:pPr>
      <w:r>
        <w:rPr>
          <w:noProof/>
        </w:rPr>
        <w:drawing>
          <wp:inline distT="0" distB="0" distL="0" distR="0" wp14:anchorId="7E52CDF9" wp14:editId="49B4D546">
            <wp:extent cx="4314825" cy="2827587"/>
            <wp:effectExtent l="0" t="0" r="0" b="0"/>
            <wp:docPr id="24" name="Chart 24" descr="Saving lives 28%; promoting opportunities for all 12%; sustainable economic development 23%; effective governance 19%; humanitarian and disaster response 3%; and cross-cutting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1FC2" w:rsidRDefault="00A21FC2" w:rsidP="00A21FC2">
      <w:pPr>
        <w:pStyle w:val="Note"/>
      </w:pPr>
      <w:r w:rsidRPr="00180B19">
        <w:t>Sourc</w:t>
      </w:r>
      <w:r w:rsidRPr="00861C9D">
        <w:t xml:space="preserve">e: </w:t>
      </w:r>
      <w:r>
        <w:t>ANCP</w:t>
      </w:r>
      <w:r w:rsidRPr="00861C9D">
        <w:t xml:space="preserve"> statistics</w:t>
      </w:r>
    </w:p>
    <w:p w:rsidR="002407D7" w:rsidRDefault="002407D7" w:rsidP="00BC4EF3">
      <w:pPr>
        <w:pStyle w:val="BodyText"/>
      </w:pPr>
    </w:p>
    <w:p w:rsidR="00B51D54" w:rsidRDefault="00B51D54" w:rsidP="00BC4EF3">
      <w:pPr>
        <w:pStyle w:val="BodyText"/>
      </w:pPr>
      <w:r w:rsidRPr="008B5972">
        <w:t>Asia and the Pacific are the highest</w:t>
      </w:r>
      <w:r w:rsidR="0032680E">
        <w:t>-</w:t>
      </w:r>
      <w:r w:rsidRPr="008B5972">
        <w:t xml:space="preserve">priority regions for Australian aid. The ANCP is designed to support NGOs to implement their own development and poverty alleviation programs and does not prescribe the countries </w:t>
      </w:r>
      <w:r w:rsidR="00CC5C34">
        <w:t xml:space="preserve">that </w:t>
      </w:r>
      <w:r w:rsidRPr="008B5972">
        <w:t>NGOs should work in. Nevertheless, as can be seen by the diagram below, activities funded under the ANCP do broadly align with the priority regions for Australian aid.</w:t>
      </w:r>
    </w:p>
    <w:p w:rsidR="007212E2" w:rsidRDefault="00B51D54" w:rsidP="00FF22E8">
      <w:pPr>
        <w:pStyle w:val="Caption"/>
      </w:pPr>
      <w:r w:rsidRPr="00043EE5">
        <w:t>Diagram 2: ANCP expenditure</w:t>
      </w:r>
      <w:r w:rsidR="00ED16F0">
        <w:t xml:space="preserve"> </w:t>
      </w:r>
      <w:r w:rsidRPr="00043EE5">
        <w:t>by region 2011–12</w:t>
      </w:r>
      <w:r w:rsidR="00ED16F0">
        <w:rPr>
          <w:rStyle w:val="FootnoteReference"/>
        </w:rPr>
        <w:footnoteReference w:id="8"/>
      </w:r>
    </w:p>
    <w:p w:rsidR="002407D7" w:rsidRDefault="00B51D54" w:rsidP="002407D7">
      <w:pPr>
        <w:spacing w:after="200" w:line="276" w:lineRule="auto"/>
        <w:rPr>
          <w:rStyle w:val="NoteCharChar"/>
          <w:rFonts w:eastAsia="SimSun"/>
        </w:rPr>
      </w:pPr>
      <w:r>
        <w:rPr>
          <w:noProof/>
        </w:rPr>
        <w:drawing>
          <wp:inline distT="0" distB="0" distL="0" distR="0" wp14:anchorId="3966B606" wp14:editId="3461C49E">
            <wp:extent cx="4962525" cy="2867650"/>
            <wp:effectExtent l="0" t="0" r="0" b="0"/>
            <wp:docPr id="25" name="Chart 25" descr="East Asia 34%; Africa and Middle East 18%; Rest of the world and unallocated 16%; South Asia 15%; Pacific and Papua New Guinea 14%; and North, Central and South Americ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1FC2" w:rsidRPr="002407D7" w:rsidRDefault="00A21FC2" w:rsidP="002407D7">
      <w:pPr>
        <w:spacing w:after="200" w:line="276" w:lineRule="auto"/>
        <w:rPr>
          <w:rFonts w:ascii="Franklin Gothic Book" w:hAnsi="Franklin Gothic Book"/>
          <w:iCs/>
          <w:sz w:val="14"/>
          <w:szCs w:val="14"/>
        </w:rPr>
      </w:pPr>
      <w:r w:rsidRPr="002407D7">
        <w:rPr>
          <w:rStyle w:val="NoteCharChar"/>
          <w:rFonts w:eastAsia="SimSun"/>
        </w:rPr>
        <w:t>Source: ANCP statistics</w:t>
      </w:r>
    </w:p>
    <w:p w:rsidR="00D47D70" w:rsidRPr="00D47D70" w:rsidRDefault="00D47D70" w:rsidP="00D47D70"/>
    <w:p w:rsidR="009A0CBD" w:rsidRDefault="009A0CBD" w:rsidP="00BC4EF3">
      <w:pPr>
        <w:pStyle w:val="BodyText"/>
      </w:pPr>
      <w:r w:rsidRPr="00815CC2">
        <w:t>Increased attention to the program architecture has strengthened the ANCP’s</w:t>
      </w:r>
      <w:r w:rsidR="00FA03EE" w:rsidRPr="00815CC2">
        <w:t xml:space="preserve"> </w:t>
      </w:r>
      <w:r w:rsidR="00B909CE">
        <w:t>interaction</w:t>
      </w:r>
      <w:r w:rsidR="00FA03EE" w:rsidRPr="00815CC2">
        <w:t xml:space="preserve"> with country programs. In 2012 </w:t>
      </w:r>
      <w:r w:rsidR="008B5972" w:rsidRPr="00815CC2">
        <w:t>country program areas</w:t>
      </w:r>
      <w:r w:rsidR="00FA03EE" w:rsidRPr="00815CC2">
        <w:t xml:space="preserve"> </w:t>
      </w:r>
      <w:r w:rsidR="00B56F61" w:rsidRPr="00815CC2">
        <w:t>provided</w:t>
      </w:r>
      <w:r w:rsidR="00FA03EE" w:rsidRPr="00815CC2">
        <w:t xml:space="preserve"> quality assurance on projects submitted by ANCP NGOs and </w:t>
      </w:r>
      <w:r w:rsidR="00B56F61" w:rsidRPr="00815CC2">
        <w:t xml:space="preserve">were consulted on </w:t>
      </w:r>
      <w:r w:rsidR="00FA03EE" w:rsidRPr="00815CC2">
        <w:t>monitoring and evaluation visits to in-country project</w:t>
      </w:r>
      <w:r w:rsidR="008B5972" w:rsidRPr="00815CC2">
        <w:t>s. The ANCP and country program areas</w:t>
      </w:r>
      <w:r w:rsidR="00FA03EE" w:rsidRPr="00815CC2">
        <w:t xml:space="preserve"> also worked together through meetings of </w:t>
      </w:r>
      <w:r w:rsidR="00BA01ED">
        <w:t>the aid program’s</w:t>
      </w:r>
      <w:r w:rsidR="00FA03EE" w:rsidRPr="00815CC2">
        <w:t xml:space="preserve"> Civil Society Network and Performance and Quality Network.</w:t>
      </w:r>
    </w:p>
    <w:p w:rsidR="004251B5" w:rsidRDefault="004251B5" w:rsidP="00BC4EF3">
      <w:pPr>
        <w:pStyle w:val="BodyText"/>
      </w:pPr>
      <w:r w:rsidRPr="008E384C">
        <w:t>Based</w:t>
      </w:r>
      <w:r>
        <w:t xml:space="preserve"> on the progress made in program management and the results reported by ANCP NGOS, as outlined below, the ANCP is continuing to achieve its objective. </w:t>
      </w:r>
    </w:p>
    <w:p w:rsidR="004251B5" w:rsidRPr="009A3C5F" w:rsidRDefault="004251B5" w:rsidP="004251B5">
      <w:pPr>
        <w:pStyle w:val="Caption"/>
      </w:pPr>
      <w:r w:rsidRPr="009A3C5F">
        <w:t>Table</w:t>
      </w:r>
      <w:r>
        <w:t xml:space="preserve"> 2</w:t>
      </w:r>
      <w:r w:rsidRPr="009A3C5F">
        <w:t xml:space="preserve">: Rating of the </w:t>
      </w:r>
      <w:r>
        <w:t>ANCP’s</w:t>
      </w:r>
      <w:r w:rsidRPr="009A3C5F">
        <w:t xml:space="preserve"> progress towards </w:t>
      </w:r>
      <w:r>
        <w:t xml:space="preserve">its </w:t>
      </w:r>
      <w:r w:rsidRPr="009A3C5F">
        <w:t>objective</w:t>
      </w:r>
    </w:p>
    <w:tbl>
      <w:tblPr>
        <w:tblStyle w:val="APPR"/>
        <w:tblW w:w="5000" w:type="pct"/>
        <w:tblLook w:val="0000" w:firstRow="0" w:lastRow="0" w:firstColumn="0" w:lastColumn="0" w:noHBand="0" w:noVBand="0"/>
      </w:tblPr>
      <w:tblGrid>
        <w:gridCol w:w="6071"/>
        <w:gridCol w:w="1000"/>
        <w:gridCol w:w="416"/>
        <w:gridCol w:w="1063"/>
      </w:tblGrid>
      <w:tr w:rsidR="004251B5" w:rsidRPr="006D1D6D">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4251B5" w:rsidRPr="006D1D6D" w:rsidRDefault="004251B5" w:rsidP="00D47D70">
            <w:pPr>
              <w:pStyle w:val="TableTextColumnHeading"/>
            </w:pPr>
            <w:r w:rsidRPr="006D1D6D">
              <w:rPr>
                <w:noProof/>
                <w:lang w:eastAsia="en-AU"/>
              </w:rPr>
              <w:drawing>
                <wp:anchor distT="0" distB="0" distL="114300" distR="114300" simplePos="0" relativeHeight="251666432" behindDoc="0" locked="0" layoutInCell="1" allowOverlap="1" wp14:anchorId="25C0C355" wp14:editId="6F1256DD">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6D1D6D">
              <w:t>Objective</w:t>
            </w:r>
          </w:p>
        </w:tc>
        <w:tc>
          <w:tcPr>
            <w:tcW w:w="972" w:type="dxa"/>
          </w:tcPr>
          <w:p w:rsidR="004251B5" w:rsidRPr="006D1D6D" w:rsidRDefault="004251B5" w:rsidP="00D47D70">
            <w:pPr>
              <w:pStyle w:val="TableTextColumnHeading"/>
            </w:pPr>
            <w:r w:rsidRPr="006D1D6D">
              <w:t xml:space="preserve">Current </w:t>
            </w:r>
            <w:r w:rsidR="00CC5C34">
              <w:t>r</w:t>
            </w:r>
            <w:r w:rsidR="00CC5C34" w:rsidRPr="006D1D6D">
              <w:t>ating</w:t>
            </w:r>
          </w:p>
        </w:tc>
        <w:tc>
          <w:tcPr>
            <w:tcW w:w="388" w:type="dxa"/>
          </w:tcPr>
          <w:p w:rsidR="004251B5" w:rsidRPr="006D1D6D" w:rsidRDefault="004251B5" w:rsidP="00D47D70">
            <w:pPr>
              <w:pStyle w:val="TableTextColumnHeading"/>
            </w:pPr>
          </w:p>
        </w:tc>
        <w:tc>
          <w:tcPr>
            <w:tcW w:w="1021" w:type="dxa"/>
          </w:tcPr>
          <w:p w:rsidR="004251B5" w:rsidRPr="006D1D6D" w:rsidRDefault="004251B5" w:rsidP="00D47D70">
            <w:pPr>
              <w:pStyle w:val="TableTextColumnHeading"/>
            </w:pPr>
            <w:r w:rsidRPr="006D1D6D">
              <w:t xml:space="preserve">Previous </w:t>
            </w:r>
            <w:r w:rsidR="00CC5C34">
              <w:t>r</w:t>
            </w:r>
            <w:r w:rsidR="00CC5C34" w:rsidRPr="006D1D6D">
              <w:t>ating</w:t>
            </w:r>
          </w:p>
        </w:tc>
      </w:tr>
      <w:tr w:rsidR="004251B5" w:rsidRPr="006D1D6D">
        <w:trPr>
          <w:cnfStyle w:val="000000010000" w:firstRow="0" w:lastRow="0" w:firstColumn="0" w:lastColumn="0" w:oddVBand="0" w:evenVBand="0" w:oddHBand="0" w:evenHBand="1" w:firstRowFirstColumn="0" w:firstRowLastColumn="0" w:lastRowFirstColumn="0" w:lastRowLastColumn="0"/>
        </w:trPr>
        <w:tc>
          <w:tcPr>
            <w:tcW w:w="6029" w:type="dxa"/>
          </w:tcPr>
          <w:p w:rsidR="004251B5" w:rsidRPr="006D1D6D" w:rsidRDefault="004251B5" w:rsidP="00CC5C34">
            <w:pPr>
              <w:pStyle w:val="TableTextEntries"/>
            </w:pPr>
            <w:r w:rsidRPr="006D1D6D">
              <w:t xml:space="preserve">Support accredited Australian NGOs to deliver development activities </w:t>
            </w:r>
            <w:r w:rsidR="00CC5C34">
              <w:t xml:space="preserve">that </w:t>
            </w:r>
            <w:r w:rsidRPr="006D1D6D">
              <w:t>directly and tangibly alleviate poverty in developing countries</w:t>
            </w:r>
          </w:p>
        </w:tc>
        <w:tc>
          <w:tcPr>
            <w:tcW w:w="972" w:type="dxa"/>
            <w:shd w:val="clear" w:color="auto" w:fill="92D050"/>
            <w:noWrap/>
          </w:tcPr>
          <w:p w:rsidR="004251B5" w:rsidRPr="006D1D6D" w:rsidRDefault="004251B5" w:rsidP="004251B5">
            <w:pPr>
              <w:pStyle w:val="TableTextEntries"/>
              <w:jc w:val="center"/>
            </w:pPr>
            <w:r w:rsidRPr="006D1D6D">
              <w:t>Green</w:t>
            </w:r>
          </w:p>
        </w:tc>
        <w:tc>
          <w:tcPr>
            <w:tcW w:w="388" w:type="dxa"/>
          </w:tcPr>
          <w:p w:rsidR="004251B5" w:rsidRPr="006D1D6D" w:rsidRDefault="004251B5" w:rsidP="004251B5">
            <w:pPr>
              <w:pStyle w:val="TableTextEntries"/>
              <w:jc w:val="center"/>
            </w:pPr>
          </w:p>
        </w:tc>
        <w:tc>
          <w:tcPr>
            <w:tcW w:w="1021" w:type="dxa"/>
            <w:shd w:val="clear" w:color="auto" w:fill="92D050"/>
            <w:noWrap/>
          </w:tcPr>
          <w:p w:rsidR="004251B5" w:rsidRPr="006D1D6D" w:rsidRDefault="004251B5" w:rsidP="004251B5">
            <w:pPr>
              <w:pStyle w:val="TableTextEntries"/>
              <w:tabs>
                <w:tab w:val="center" w:pos="402"/>
              </w:tabs>
            </w:pPr>
            <w:r w:rsidRPr="006D1D6D">
              <w:t>Green</w:t>
            </w:r>
          </w:p>
        </w:tc>
      </w:tr>
    </w:tbl>
    <w:p w:rsidR="004251B5" w:rsidRPr="00180B19" w:rsidRDefault="004251B5" w:rsidP="004251B5">
      <w:pPr>
        <w:pStyle w:val="Note"/>
      </w:pPr>
      <w:r w:rsidRPr="00180B19">
        <w:t xml:space="preserve">Note: </w:t>
      </w:r>
    </w:p>
    <w:p w:rsidR="004251B5" w:rsidRPr="00180B19" w:rsidRDefault="004251B5" w:rsidP="004251B5">
      <w:pPr>
        <w:pStyle w:val="Note"/>
      </w:pPr>
      <w:r w:rsidRPr="004C4A3E">
        <w:rPr>
          <w:color w:val="92D050"/>
        </w:rPr>
        <w:sym w:font="Webdings" w:char="F067"/>
      </w:r>
      <w:r w:rsidRPr="00180B19">
        <w:rPr>
          <w:rFonts w:ascii="Times New Roman" w:hAnsi="Times New Roman"/>
        </w:rPr>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4251B5" w:rsidRPr="00180B19" w:rsidRDefault="004251B5" w:rsidP="004251B5">
      <w:pPr>
        <w:pStyle w:val="Note"/>
      </w:pPr>
      <w:r w:rsidRPr="004C4A3E">
        <w:rPr>
          <w:color w:val="F79646" w:themeColor="accent6"/>
        </w:rPr>
        <w:sym w:font="Webdings" w:char="F067"/>
      </w:r>
      <w:r w:rsidRPr="00180B19">
        <w:rPr>
          <w:rFonts w:ascii="Times New Roman" w:hAnsi="Times New Roman"/>
        </w:rPr>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4251B5" w:rsidRPr="00BC4EF3" w:rsidRDefault="004251B5" w:rsidP="00BC4EF3">
      <w:pPr>
        <w:pStyle w:val="Note"/>
      </w:pPr>
      <w:r w:rsidRPr="004C4A3E">
        <w:rPr>
          <w:color w:val="FF0000"/>
        </w:rPr>
        <w:sym w:font="Webdings" w:char="F067"/>
      </w:r>
      <w:r w:rsidRPr="00180B19">
        <w:rPr>
          <w:rFonts w:ascii="Times New Roman" w:hAnsi="Times New Roman"/>
        </w:rPr>
        <w:t> </w:t>
      </w:r>
      <w:r w:rsidRPr="00180B19">
        <w:t xml:space="preserve"> </w:t>
      </w:r>
      <w:r>
        <w:t xml:space="preserve">Red. </w:t>
      </w:r>
      <w:r w:rsidRPr="00180B19">
        <w:t xml:space="preserve">Progress is significantly less than expected for this point in time and the objective is not likely to be met given available resources and priorities. </w:t>
      </w:r>
      <w:r w:rsidR="00156A72" w:rsidRPr="00A21FC2">
        <w:t>Recasting the objective may be required.</w:t>
      </w:r>
      <w:r w:rsidRPr="00180B19">
        <w:t xml:space="preserve"> </w:t>
      </w:r>
    </w:p>
    <w:p w:rsidR="00180B19" w:rsidRPr="00180B19" w:rsidRDefault="00D6405D" w:rsidP="002F771F">
      <w:pPr>
        <w:pStyle w:val="Heading1"/>
      </w:pPr>
      <w:r>
        <w:t xml:space="preserve">Progress </w:t>
      </w:r>
      <w:r w:rsidR="00B51D54">
        <w:t>on ANCP performance management</w:t>
      </w:r>
    </w:p>
    <w:p w:rsidR="00195DDE" w:rsidRDefault="00D55DBE" w:rsidP="00BC4EF3">
      <w:pPr>
        <w:pStyle w:val="BodyText"/>
      </w:pPr>
      <w:r w:rsidRPr="00043EE5">
        <w:t>This section of the report outlines progress in improving the performance management mechanisms of the ANCP over the last 18 months</w:t>
      </w:r>
      <w:r w:rsidRPr="003D11A3">
        <w:t xml:space="preserve">. </w:t>
      </w:r>
      <w:r w:rsidR="00BA01ED">
        <w:t>M</w:t>
      </w:r>
      <w:r w:rsidR="00195DDE" w:rsidRPr="003D11A3">
        <w:t xml:space="preserve">onitoring and evaluation architecture for the </w:t>
      </w:r>
      <w:r w:rsidR="00F067A1">
        <w:t>CSEF</w:t>
      </w:r>
      <w:r w:rsidR="00FD6FAD" w:rsidRPr="003D11A3">
        <w:t xml:space="preserve"> </w:t>
      </w:r>
      <w:r w:rsidR="00BA01ED">
        <w:t xml:space="preserve">is being built </w:t>
      </w:r>
      <w:r w:rsidR="00195DDE" w:rsidRPr="003D11A3">
        <w:t>piece by piece</w:t>
      </w:r>
      <w:r w:rsidR="00602002" w:rsidRPr="003D11A3">
        <w:t>, including a performance assessment framework</w:t>
      </w:r>
      <w:r w:rsidR="00195DDE" w:rsidRPr="00161980">
        <w:t xml:space="preserve">. </w:t>
      </w:r>
      <w:r w:rsidR="00B909CE" w:rsidRPr="00161980">
        <w:t xml:space="preserve">The ANCP, where the partnership between NGOs and </w:t>
      </w:r>
      <w:r w:rsidR="00BA01ED">
        <w:t>the aid program</w:t>
      </w:r>
      <w:r w:rsidR="00B909CE" w:rsidRPr="00161980">
        <w:t xml:space="preserve"> is strongest, is the natural place for developing and implementing this architecture.</w:t>
      </w:r>
      <w:r w:rsidR="00195DDE" w:rsidRPr="00815CC2">
        <w:t xml:space="preserve">  </w:t>
      </w:r>
    </w:p>
    <w:p w:rsidR="00784BEA" w:rsidRDefault="00BA01ED" w:rsidP="00BC4EF3">
      <w:pPr>
        <w:pStyle w:val="BodyText"/>
      </w:pPr>
      <w:r>
        <w:t>DFAT</w:t>
      </w:r>
      <w:r w:rsidR="00D55DBE" w:rsidRPr="00043EE5">
        <w:t xml:space="preserve"> uses accreditation</w:t>
      </w:r>
      <w:r w:rsidR="009918D3">
        <w:t>,</w:t>
      </w:r>
      <w:r w:rsidR="00D55DBE" w:rsidRPr="00043EE5">
        <w:t xml:space="preserve"> monitoring and evaluation </w:t>
      </w:r>
      <w:r w:rsidR="009918D3">
        <w:t xml:space="preserve">and a </w:t>
      </w:r>
      <w:r w:rsidR="00156A72" w:rsidRPr="00A21FC2">
        <w:t>Partnerships Memorandum of Understanding to ensure the effectiveness of NGOs funded under the ANCP. While accreditation is a good up</w:t>
      </w:r>
      <w:r w:rsidR="0032680E">
        <w:t>-</w:t>
      </w:r>
      <w:r w:rsidR="00156A72" w:rsidRPr="00A21FC2">
        <w:t>front risk management tool, it continues to be a lengthy, resource-intensive process. The ongoing work on an Effectiveness Assessment Methodology and Due Diligence Standards for CSOs will address the current accreditation challenges. Good progress has been made in monitoring and evaluation through the implementation and review of the ANCP Monitoring, Evaluation and Learning Framework and the introduction of an online grants management system</w:t>
      </w:r>
      <w:r w:rsidR="007212E2">
        <w:t>—</w:t>
      </w:r>
      <w:r w:rsidR="00156A72" w:rsidRPr="00A21FC2">
        <w:t xml:space="preserve">ANCP Online. A new ANCP Partnerships </w:t>
      </w:r>
      <w:r w:rsidR="0032680E">
        <w:t xml:space="preserve">MoU </w:t>
      </w:r>
      <w:r w:rsidR="00156A72" w:rsidRPr="00A21FC2">
        <w:t>was signed in 2012, streamlining multiple Partner agreements into a single agreement, with all parties as signatories.</w:t>
      </w:r>
      <w:r w:rsidR="00784BEA" w:rsidRPr="005B45FF">
        <w:t xml:space="preserve"> </w:t>
      </w:r>
    </w:p>
    <w:p w:rsidR="00CC1D1E" w:rsidRDefault="00CC1D1E" w:rsidP="002F771F">
      <w:pPr>
        <w:pStyle w:val="Heading2"/>
      </w:pPr>
      <w:r>
        <w:t>Accreditation</w:t>
      </w:r>
    </w:p>
    <w:p w:rsidR="00CC1D1E" w:rsidRPr="006D1D6D" w:rsidRDefault="00195DDE" w:rsidP="00BC4EF3">
      <w:pPr>
        <w:pStyle w:val="BodyText"/>
      </w:pPr>
      <w:r w:rsidRPr="00043EE5">
        <w:t xml:space="preserve">Under the ANCP, </w:t>
      </w:r>
      <w:r w:rsidR="00BA01ED">
        <w:t>DFAT</w:t>
      </w:r>
      <w:r w:rsidRPr="00043EE5">
        <w:t xml:space="preserve"> </w:t>
      </w:r>
      <w:r w:rsidR="00A21FC2">
        <w:t xml:space="preserve">forms </w:t>
      </w:r>
      <w:r w:rsidRPr="00043EE5">
        <w:t>partners</w:t>
      </w:r>
      <w:r w:rsidR="00A21FC2">
        <w:t>hips</w:t>
      </w:r>
      <w:r w:rsidRPr="00043EE5">
        <w:t xml:space="preserve"> with Australian NGOs </w:t>
      </w:r>
      <w:r w:rsidR="00CC5C34">
        <w:t xml:space="preserve">that </w:t>
      </w:r>
      <w:r w:rsidRPr="00043EE5">
        <w:t>have met rigorous accreditation standards to implement their own development and poverty alleviation programs overseas.</w:t>
      </w:r>
      <w:r w:rsidR="002E5EC6">
        <w:t xml:space="preserve"> </w:t>
      </w:r>
      <w:r w:rsidR="007D3769" w:rsidRPr="006D1D6D">
        <w:t xml:space="preserve">NGOs must be accredited in order to access funds from the ANCP. Accreditation is a front-end risk management process that ensures funding is used accountably, with minimal </w:t>
      </w:r>
      <w:r w:rsidR="00F23D07" w:rsidRPr="006D1D6D">
        <w:t xml:space="preserve">need for </w:t>
      </w:r>
      <w:r w:rsidR="007D3769" w:rsidRPr="006D1D6D">
        <w:t xml:space="preserve">overview </w:t>
      </w:r>
      <w:r w:rsidR="00F23D07" w:rsidRPr="006D1D6D">
        <w:t xml:space="preserve">of activities </w:t>
      </w:r>
      <w:r w:rsidR="007D3769" w:rsidRPr="006D1D6D">
        <w:t xml:space="preserve">by </w:t>
      </w:r>
      <w:r w:rsidR="00BA01ED">
        <w:t xml:space="preserve">the </w:t>
      </w:r>
      <w:r w:rsidR="00277125">
        <w:t>D</w:t>
      </w:r>
      <w:r w:rsidR="00BA01ED">
        <w:t>epartment</w:t>
      </w:r>
      <w:r w:rsidR="007D3769" w:rsidRPr="006D1D6D">
        <w:t>. It evaluates an NGO’s structure, philosophies, links to the Australian community</w:t>
      </w:r>
      <w:r w:rsidR="00220233">
        <w:t xml:space="preserve"> and</w:t>
      </w:r>
      <w:r w:rsidR="007D3769" w:rsidRPr="006D1D6D">
        <w:t xml:space="preserve"> partnership arrangements, </w:t>
      </w:r>
      <w:r w:rsidR="00041F47" w:rsidRPr="006D1D6D">
        <w:t xml:space="preserve">and its </w:t>
      </w:r>
      <w:r w:rsidR="007D3769" w:rsidRPr="006D1D6D">
        <w:t>program, f</w:t>
      </w:r>
      <w:r w:rsidR="00041F47" w:rsidRPr="006D1D6D">
        <w:t>inancial and management systems</w:t>
      </w:r>
      <w:r w:rsidR="007D3769" w:rsidRPr="006D1D6D">
        <w:t xml:space="preserve"> and their application in the NGO’s work. </w:t>
      </w:r>
      <w:r w:rsidR="00400F1E" w:rsidRPr="006D1D6D">
        <w:t>Accreditation provides NGOs with an incentive, as well as a framework, for identifying and applying best</w:t>
      </w:r>
      <w:r w:rsidR="0032680E">
        <w:t>-</w:t>
      </w:r>
      <w:r w:rsidR="00400F1E" w:rsidRPr="006D1D6D">
        <w:t>practice standards and processes.</w:t>
      </w:r>
      <w:r w:rsidR="00B80971">
        <w:t xml:space="preserve"> Accreditation is valid for five years.</w:t>
      </w:r>
    </w:p>
    <w:p w:rsidR="001E05A2" w:rsidRDefault="00BA01ED" w:rsidP="00BC4EF3">
      <w:pPr>
        <w:pStyle w:val="BodyText"/>
      </w:pPr>
      <w:r>
        <w:lastRenderedPageBreak/>
        <w:t xml:space="preserve">The </w:t>
      </w:r>
      <w:r w:rsidR="00277125">
        <w:t>D</w:t>
      </w:r>
      <w:r>
        <w:t>epartment</w:t>
      </w:r>
      <w:r w:rsidR="00A71981" w:rsidRPr="00EC548B">
        <w:t xml:space="preserve"> commissions a team of three external consultants to conduct a</w:t>
      </w:r>
      <w:r w:rsidR="00220233">
        <w:t>n</w:t>
      </w:r>
      <w:r w:rsidR="00A71981" w:rsidRPr="00EC548B">
        <w:t xml:space="preserve"> assessment and review of any organisation applying for ANCP accreditation. The finalised report of the review team is sent to the relevant NGO for comment</w:t>
      </w:r>
      <w:r w:rsidR="00570A48" w:rsidRPr="00EC548B">
        <w:t xml:space="preserve"> before going to </w:t>
      </w:r>
      <w:r w:rsidR="009953BA" w:rsidRPr="005B45FF">
        <w:t>the Committee for Development Cooperation (CDC)</w:t>
      </w:r>
      <w:r w:rsidR="00570A48">
        <w:t>.</w:t>
      </w:r>
      <w:r w:rsidR="00CC5C34">
        <w:t xml:space="preserve"> </w:t>
      </w:r>
      <w:r w:rsidR="00570A48">
        <w:t>The CD</w:t>
      </w:r>
      <w:r w:rsidR="00901304">
        <w:t>C</w:t>
      </w:r>
      <w:r w:rsidR="00570A48">
        <w:t xml:space="preserve"> is </w:t>
      </w:r>
      <w:r w:rsidR="009953BA" w:rsidRPr="005B45FF">
        <w:t xml:space="preserve">a joint </w:t>
      </w:r>
      <w:r w:rsidR="007F1D70">
        <w:t>DFAT</w:t>
      </w:r>
      <w:r w:rsidR="009953BA" w:rsidRPr="005B45FF">
        <w:t xml:space="preserve">–NGO advisory body comprising eight members (four each from the NGO community and </w:t>
      </w:r>
      <w:r w:rsidR="007F1D70">
        <w:t xml:space="preserve">the </w:t>
      </w:r>
      <w:r w:rsidR="00277125">
        <w:t>D</w:t>
      </w:r>
      <w:r w:rsidR="007F1D70">
        <w:t>epartment</w:t>
      </w:r>
      <w:r w:rsidR="009953BA" w:rsidRPr="005B45FF">
        <w:t xml:space="preserve">). A staff member from the </w:t>
      </w:r>
      <w:r w:rsidR="007D1966">
        <w:t xml:space="preserve">Australian </w:t>
      </w:r>
      <w:r w:rsidR="009953BA" w:rsidRPr="005B45FF">
        <w:t xml:space="preserve">Council for International Development (ACFID) has observer status. The CDC oversees the accreditation process by providing advice on criteria, ensuring a consistent approach, reviewing accreditation reports and making recommendations to </w:t>
      </w:r>
      <w:r w:rsidR="007F1D70">
        <w:t xml:space="preserve">the </w:t>
      </w:r>
      <w:r w:rsidR="00277125">
        <w:t>D</w:t>
      </w:r>
      <w:r w:rsidR="007F1D70">
        <w:t>epartment</w:t>
      </w:r>
      <w:r w:rsidR="009953BA" w:rsidRPr="005B45FF">
        <w:t>.</w:t>
      </w:r>
      <w:r w:rsidR="00763DEE">
        <w:t xml:space="preserve"> Accreditation assessments may take up to a year</w:t>
      </w:r>
      <w:r w:rsidR="007D1966">
        <w:t xml:space="preserve"> to complete</w:t>
      </w:r>
      <w:r w:rsidR="00763DEE">
        <w:t>.</w:t>
      </w:r>
    </w:p>
    <w:p w:rsidR="00B80971" w:rsidRDefault="00B80971" w:rsidP="00BC4EF3">
      <w:pPr>
        <w:pStyle w:val="BodyText"/>
      </w:pPr>
      <w:r w:rsidRPr="00C213BF">
        <w:t xml:space="preserve">In the period covered by this </w:t>
      </w:r>
      <w:r w:rsidR="009C0B8B">
        <w:t xml:space="preserve">Aid </w:t>
      </w:r>
      <w:r w:rsidR="0032680E">
        <w:t>Program Performance Report</w:t>
      </w:r>
      <w:r w:rsidRPr="00C213BF">
        <w:t xml:space="preserve">, three factors </w:t>
      </w:r>
      <w:r w:rsidR="00763DEE" w:rsidRPr="00C213BF">
        <w:t xml:space="preserve">contributed to the </w:t>
      </w:r>
      <w:r w:rsidR="00B0642D">
        <w:t>lengthy</w:t>
      </w:r>
      <w:r w:rsidR="00D91D4F" w:rsidRPr="00C213BF">
        <w:t xml:space="preserve"> </w:t>
      </w:r>
      <w:r w:rsidR="00763DEE" w:rsidRPr="00C213BF">
        <w:t xml:space="preserve">duration of the </w:t>
      </w:r>
      <w:r w:rsidRPr="00C213BF">
        <w:t>accreditation</w:t>
      </w:r>
      <w:r w:rsidR="00763DEE" w:rsidRPr="00C213BF">
        <w:t xml:space="preserve"> process</w:t>
      </w:r>
      <w:r w:rsidR="00D91D4F" w:rsidRPr="00C213BF">
        <w:t xml:space="preserve"> for individual organisation applicants</w:t>
      </w:r>
      <w:r w:rsidRPr="00C213BF">
        <w:t xml:space="preserve">. The first and most significant was that a </w:t>
      </w:r>
      <w:r w:rsidR="00763DEE" w:rsidRPr="00C213BF">
        <w:t xml:space="preserve">large </w:t>
      </w:r>
      <w:r w:rsidRPr="00C213BF">
        <w:t xml:space="preserve">number of accredited NGOs were </w:t>
      </w:r>
      <w:r w:rsidR="00763DEE" w:rsidRPr="00C213BF">
        <w:t>due for reaccreditation and four more accredited NGOs applied to upgrade their status</w:t>
      </w:r>
      <w:r w:rsidR="00901304" w:rsidRPr="00C213BF">
        <w:t xml:space="preserve"> from base to full</w:t>
      </w:r>
      <w:r w:rsidR="00763DEE" w:rsidRPr="00C213BF">
        <w:t>.</w:t>
      </w:r>
      <w:r w:rsidR="00901304" w:rsidRPr="00C213BF">
        <w:rPr>
          <w:rStyle w:val="FootnoteReference"/>
        </w:rPr>
        <w:footnoteReference w:id="9"/>
      </w:r>
    </w:p>
    <w:p w:rsidR="00763DEE" w:rsidRDefault="00763DEE" w:rsidP="0042127E">
      <w:pPr>
        <w:pStyle w:val="Caption"/>
      </w:pPr>
      <w:r>
        <w:t xml:space="preserve">Table </w:t>
      </w:r>
      <w:r w:rsidR="00600CE2">
        <w:t>3</w:t>
      </w:r>
      <w:r>
        <w:rPr>
          <w:noProof/>
        </w:rPr>
        <w:t>:</w:t>
      </w:r>
      <w:r>
        <w:t xml:space="preserve"> </w:t>
      </w:r>
      <w:r w:rsidR="00901304">
        <w:t>Accreditation figures</w:t>
      </w:r>
      <w:r w:rsidR="00DD2924">
        <w:t xml:space="preserve"> as at June 2013</w:t>
      </w:r>
    </w:p>
    <w:tbl>
      <w:tblPr>
        <w:tblStyle w:val="APPR"/>
        <w:tblpPr w:leftFromText="180" w:rightFromText="180" w:vertAnchor="text" w:tblpY="1"/>
        <w:tblW w:w="5000" w:type="pct"/>
        <w:tblLayout w:type="fixed"/>
        <w:tblLook w:val="0000" w:firstRow="0" w:lastRow="0" w:firstColumn="0" w:lastColumn="0" w:noHBand="0" w:noVBand="0"/>
      </w:tblPr>
      <w:tblGrid>
        <w:gridCol w:w="1021"/>
        <w:gridCol w:w="1149"/>
        <w:gridCol w:w="947"/>
        <w:gridCol w:w="1269"/>
        <w:gridCol w:w="987"/>
        <w:gridCol w:w="1088"/>
        <w:gridCol w:w="987"/>
        <w:gridCol w:w="1102"/>
      </w:tblGrid>
      <w:tr w:rsidR="00462643" w:rsidRPr="00180B19">
        <w:trPr>
          <w:cnfStyle w:val="000000010000" w:firstRow="0" w:lastRow="0" w:firstColumn="0" w:lastColumn="0" w:oddVBand="0" w:evenVBand="0" w:oddHBand="0" w:evenHBand="1" w:firstRowFirstColumn="0" w:firstRowLastColumn="0" w:lastRowFirstColumn="0" w:lastRowLastColumn="0"/>
        </w:trPr>
        <w:tc>
          <w:tcPr>
            <w:tcW w:w="2325" w:type="dxa"/>
          </w:tcPr>
          <w:p w:rsidR="00462643" w:rsidRPr="00180B19" w:rsidRDefault="00462643" w:rsidP="00901304">
            <w:pPr>
              <w:pStyle w:val="TableTextColumnHeading"/>
            </w:pPr>
            <w:r>
              <w:t>Year</w:t>
            </w:r>
          </w:p>
        </w:tc>
        <w:tc>
          <w:tcPr>
            <w:tcW w:w="2722" w:type="dxa"/>
          </w:tcPr>
          <w:p w:rsidR="00462643" w:rsidRDefault="00462643" w:rsidP="00901304">
            <w:pPr>
              <w:pStyle w:val="TableTextColumnHeading"/>
            </w:pPr>
            <w:r>
              <w:t>Total number of applications</w:t>
            </w:r>
          </w:p>
        </w:tc>
        <w:tc>
          <w:tcPr>
            <w:tcW w:w="2155" w:type="dxa"/>
          </w:tcPr>
          <w:p w:rsidR="00462643" w:rsidRDefault="00462643" w:rsidP="00901304">
            <w:pPr>
              <w:pStyle w:val="TableTextColumnHeading"/>
            </w:pPr>
            <w:r>
              <w:t>New</w:t>
            </w:r>
          </w:p>
        </w:tc>
        <w:tc>
          <w:tcPr>
            <w:tcW w:w="3062" w:type="dxa"/>
          </w:tcPr>
          <w:p w:rsidR="00462643" w:rsidRDefault="00462643" w:rsidP="00901304">
            <w:pPr>
              <w:pStyle w:val="TableTextColumnHeading"/>
            </w:pPr>
            <w:r>
              <w:t>Reaccredited</w:t>
            </w:r>
          </w:p>
        </w:tc>
        <w:tc>
          <w:tcPr>
            <w:tcW w:w="2268" w:type="dxa"/>
          </w:tcPr>
          <w:p w:rsidR="00462643" w:rsidRPr="00180B19" w:rsidRDefault="00462643" w:rsidP="00901304">
            <w:pPr>
              <w:pStyle w:val="TableTextColumnHeading"/>
            </w:pPr>
            <w:r>
              <w:t>Upgraded</w:t>
            </w:r>
          </w:p>
        </w:tc>
        <w:tc>
          <w:tcPr>
            <w:tcW w:w="2552" w:type="dxa"/>
          </w:tcPr>
          <w:p w:rsidR="00462643" w:rsidRPr="00180B19" w:rsidRDefault="00462643" w:rsidP="00901304">
            <w:pPr>
              <w:pStyle w:val="TableTextColumnHeading"/>
            </w:pPr>
            <w:r>
              <w:t>Withdrawn</w:t>
            </w:r>
          </w:p>
        </w:tc>
        <w:tc>
          <w:tcPr>
            <w:tcW w:w="2268" w:type="dxa"/>
          </w:tcPr>
          <w:p w:rsidR="00462643" w:rsidRPr="00180B19" w:rsidRDefault="00901304" w:rsidP="00901304">
            <w:pPr>
              <w:pStyle w:val="TableTextColumnHeading"/>
            </w:pPr>
            <w:r>
              <w:t>Fail</w:t>
            </w:r>
            <w:r w:rsidR="00462643">
              <w:t>ed</w:t>
            </w:r>
          </w:p>
        </w:tc>
        <w:tc>
          <w:tcPr>
            <w:tcW w:w="2552" w:type="dxa"/>
          </w:tcPr>
          <w:p w:rsidR="00462643" w:rsidRPr="00180B19" w:rsidRDefault="00462643" w:rsidP="00901304">
            <w:pPr>
              <w:pStyle w:val="TableTextColumnHeading"/>
            </w:pPr>
            <w:r>
              <w:t>In progress</w:t>
            </w:r>
          </w:p>
        </w:tc>
      </w:tr>
      <w:tr w:rsidR="00462643" w:rsidRPr="00180B19">
        <w:trPr>
          <w:cnfStyle w:val="000000010000" w:firstRow="0" w:lastRow="0" w:firstColumn="0" w:lastColumn="0" w:oddVBand="0" w:evenVBand="0" w:oddHBand="0" w:evenHBand="1" w:firstRowFirstColumn="0" w:firstRowLastColumn="0" w:lastRowFirstColumn="0" w:lastRowLastColumn="0"/>
        </w:trPr>
        <w:tc>
          <w:tcPr>
            <w:tcW w:w="2325" w:type="dxa"/>
          </w:tcPr>
          <w:p w:rsidR="00462643" w:rsidRPr="00100AA2" w:rsidRDefault="00462643" w:rsidP="00763DEE">
            <w:pPr>
              <w:pStyle w:val="TableTextEntries"/>
            </w:pPr>
            <w:r>
              <w:t>2010–11</w:t>
            </w:r>
          </w:p>
        </w:tc>
        <w:tc>
          <w:tcPr>
            <w:tcW w:w="2722" w:type="dxa"/>
          </w:tcPr>
          <w:p w:rsidR="00462643" w:rsidRPr="00307D5D" w:rsidRDefault="00462643" w:rsidP="00901304">
            <w:pPr>
              <w:pStyle w:val="TableTextEntries"/>
              <w:jc w:val="center"/>
            </w:pPr>
            <w:r>
              <w:t>13</w:t>
            </w:r>
          </w:p>
        </w:tc>
        <w:tc>
          <w:tcPr>
            <w:tcW w:w="2155" w:type="dxa"/>
          </w:tcPr>
          <w:p w:rsidR="00462643" w:rsidRPr="00307D5D" w:rsidRDefault="00901304" w:rsidP="00901304">
            <w:pPr>
              <w:pStyle w:val="TableTextEntries"/>
              <w:jc w:val="center"/>
            </w:pPr>
            <w:r>
              <w:t>1</w:t>
            </w:r>
          </w:p>
        </w:tc>
        <w:tc>
          <w:tcPr>
            <w:tcW w:w="3062" w:type="dxa"/>
          </w:tcPr>
          <w:p w:rsidR="00462643" w:rsidRPr="00307D5D" w:rsidRDefault="00901304" w:rsidP="00901304">
            <w:pPr>
              <w:pStyle w:val="TableTextEntries"/>
              <w:jc w:val="center"/>
            </w:pPr>
            <w:r>
              <w:t>6</w:t>
            </w:r>
          </w:p>
        </w:tc>
        <w:tc>
          <w:tcPr>
            <w:tcW w:w="2268" w:type="dxa"/>
          </w:tcPr>
          <w:p w:rsidR="00462643" w:rsidRPr="00307D5D" w:rsidRDefault="00901304" w:rsidP="00901304">
            <w:pPr>
              <w:pStyle w:val="TableTextEntries"/>
              <w:jc w:val="center"/>
            </w:pPr>
            <w:r>
              <w:t>—</w:t>
            </w:r>
          </w:p>
        </w:tc>
        <w:tc>
          <w:tcPr>
            <w:tcW w:w="2552" w:type="dxa"/>
          </w:tcPr>
          <w:p w:rsidR="00462643" w:rsidRPr="00307D5D" w:rsidRDefault="00901304" w:rsidP="00901304">
            <w:pPr>
              <w:pStyle w:val="TableTextEntries"/>
              <w:jc w:val="center"/>
            </w:pPr>
            <w:r>
              <w:t>3</w:t>
            </w:r>
          </w:p>
        </w:tc>
        <w:tc>
          <w:tcPr>
            <w:tcW w:w="2268" w:type="dxa"/>
          </w:tcPr>
          <w:p w:rsidR="00462643" w:rsidRPr="00307D5D" w:rsidRDefault="00901304" w:rsidP="00901304">
            <w:pPr>
              <w:pStyle w:val="TableTextEntries"/>
              <w:jc w:val="center"/>
            </w:pPr>
            <w:r>
              <w:t>3</w:t>
            </w:r>
          </w:p>
        </w:tc>
        <w:tc>
          <w:tcPr>
            <w:tcW w:w="2552" w:type="dxa"/>
          </w:tcPr>
          <w:p w:rsidR="00462643" w:rsidRPr="00307D5D" w:rsidRDefault="00901304" w:rsidP="00901304">
            <w:pPr>
              <w:pStyle w:val="TableTextEntries"/>
              <w:jc w:val="center"/>
            </w:pPr>
            <w:r>
              <w:t>—</w:t>
            </w:r>
          </w:p>
        </w:tc>
      </w:tr>
      <w:tr w:rsidR="00462643" w:rsidRPr="00180B19">
        <w:trPr>
          <w:cnfStyle w:val="000000010000" w:firstRow="0" w:lastRow="0" w:firstColumn="0" w:lastColumn="0" w:oddVBand="0" w:evenVBand="0" w:oddHBand="0" w:evenHBand="1" w:firstRowFirstColumn="0" w:firstRowLastColumn="0" w:lastRowFirstColumn="0" w:lastRowLastColumn="0"/>
        </w:trPr>
        <w:tc>
          <w:tcPr>
            <w:tcW w:w="2325" w:type="dxa"/>
          </w:tcPr>
          <w:p w:rsidR="00462643" w:rsidRPr="00100AA2" w:rsidRDefault="00901304" w:rsidP="00763DEE">
            <w:pPr>
              <w:pStyle w:val="TableTextEntries"/>
            </w:pPr>
            <w:r>
              <w:t>2011–12</w:t>
            </w:r>
          </w:p>
        </w:tc>
        <w:tc>
          <w:tcPr>
            <w:tcW w:w="2722" w:type="dxa"/>
          </w:tcPr>
          <w:p w:rsidR="00462643" w:rsidRPr="00307D5D" w:rsidRDefault="00901304" w:rsidP="00901304">
            <w:pPr>
              <w:pStyle w:val="TableTextEntries"/>
              <w:jc w:val="center"/>
            </w:pPr>
            <w:r>
              <w:t>18</w:t>
            </w:r>
          </w:p>
        </w:tc>
        <w:tc>
          <w:tcPr>
            <w:tcW w:w="2155" w:type="dxa"/>
          </w:tcPr>
          <w:p w:rsidR="00462643" w:rsidRPr="00307D5D" w:rsidRDefault="00901304" w:rsidP="00901304">
            <w:pPr>
              <w:pStyle w:val="TableTextEntries"/>
              <w:jc w:val="center"/>
            </w:pPr>
            <w:r>
              <w:t>1</w:t>
            </w:r>
          </w:p>
        </w:tc>
        <w:tc>
          <w:tcPr>
            <w:tcW w:w="3062" w:type="dxa"/>
          </w:tcPr>
          <w:p w:rsidR="00462643" w:rsidRPr="00307D5D" w:rsidRDefault="00901304" w:rsidP="00901304">
            <w:pPr>
              <w:pStyle w:val="TableTextEntries"/>
              <w:jc w:val="center"/>
            </w:pPr>
            <w:r>
              <w:t>10</w:t>
            </w:r>
          </w:p>
        </w:tc>
        <w:tc>
          <w:tcPr>
            <w:tcW w:w="2268" w:type="dxa"/>
          </w:tcPr>
          <w:p w:rsidR="00462643" w:rsidRPr="00307D5D" w:rsidRDefault="00901304" w:rsidP="00901304">
            <w:pPr>
              <w:pStyle w:val="TableTextEntries"/>
              <w:jc w:val="center"/>
            </w:pPr>
            <w:r>
              <w:t>4</w:t>
            </w:r>
          </w:p>
        </w:tc>
        <w:tc>
          <w:tcPr>
            <w:tcW w:w="2552" w:type="dxa"/>
          </w:tcPr>
          <w:p w:rsidR="00462643" w:rsidRPr="00307D5D" w:rsidRDefault="00901304" w:rsidP="00901304">
            <w:pPr>
              <w:pStyle w:val="TableTextEntries"/>
              <w:jc w:val="center"/>
            </w:pPr>
            <w:r>
              <w:t>1</w:t>
            </w:r>
          </w:p>
        </w:tc>
        <w:tc>
          <w:tcPr>
            <w:tcW w:w="2268" w:type="dxa"/>
          </w:tcPr>
          <w:p w:rsidR="00462643" w:rsidRPr="00307D5D" w:rsidRDefault="00901304" w:rsidP="00901304">
            <w:pPr>
              <w:pStyle w:val="TableTextEntries"/>
              <w:jc w:val="center"/>
            </w:pPr>
            <w:r>
              <w:t>2</w:t>
            </w:r>
          </w:p>
        </w:tc>
        <w:tc>
          <w:tcPr>
            <w:tcW w:w="2552" w:type="dxa"/>
          </w:tcPr>
          <w:p w:rsidR="00462643" w:rsidRPr="00307D5D" w:rsidRDefault="0059222D" w:rsidP="00901304">
            <w:pPr>
              <w:pStyle w:val="TableTextEntries"/>
              <w:jc w:val="center"/>
            </w:pPr>
            <w:r>
              <w:t>—</w:t>
            </w:r>
          </w:p>
        </w:tc>
      </w:tr>
      <w:tr w:rsidR="0059222D" w:rsidRPr="00180B19">
        <w:trPr>
          <w:cnfStyle w:val="000000010000" w:firstRow="0" w:lastRow="0" w:firstColumn="0" w:lastColumn="0" w:oddVBand="0" w:evenVBand="0" w:oddHBand="0" w:evenHBand="1" w:firstRowFirstColumn="0" w:firstRowLastColumn="0" w:lastRowFirstColumn="0" w:lastRowLastColumn="0"/>
        </w:trPr>
        <w:tc>
          <w:tcPr>
            <w:tcW w:w="2325" w:type="dxa"/>
          </w:tcPr>
          <w:p w:rsidR="0059222D" w:rsidRDefault="0059222D" w:rsidP="00763DEE">
            <w:pPr>
              <w:pStyle w:val="TableTextEntries"/>
            </w:pPr>
            <w:r>
              <w:t>2012–13</w:t>
            </w:r>
          </w:p>
        </w:tc>
        <w:tc>
          <w:tcPr>
            <w:tcW w:w="2722" w:type="dxa"/>
          </w:tcPr>
          <w:p w:rsidR="0059222D" w:rsidRDefault="0059222D" w:rsidP="00901304">
            <w:pPr>
              <w:pStyle w:val="TableTextEntries"/>
              <w:jc w:val="center"/>
            </w:pPr>
            <w:r>
              <w:t>ongoing</w:t>
            </w:r>
          </w:p>
        </w:tc>
        <w:tc>
          <w:tcPr>
            <w:tcW w:w="2155" w:type="dxa"/>
          </w:tcPr>
          <w:p w:rsidR="0059222D" w:rsidRDefault="00EA20E6" w:rsidP="00901304">
            <w:pPr>
              <w:pStyle w:val="TableTextEntries"/>
              <w:jc w:val="center"/>
            </w:pPr>
            <w:r>
              <w:t>(4)</w:t>
            </w:r>
          </w:p>
        </w:tc>
        <w:tc>
          <w:tcPr>
            <w:tcW w:w="3062" w:type="dxa"/>
          </w:tcPr>
          <w:p w:rsidR="0059222D" w:rsidRDefault="00EA20E6" w:rsidP="00901304">
            <w:pPr>
              <w:pStyle w:val="TableTextEntries"/>
              <w:jc w:val="center"/>
            </w:pPr>
            <w:r>
              <w:t>(7)</w:t>
            </w:r>
          </w:p>
        </w:tc>
        <w:tc>
          <w:tcPr>
            <w:tcW w:w="2268" w:type="dxa"/>
          </w:tcPr>
          <w:p w:rsidR="0059222D" w:rsidRDefault="0059222D" w:rsidP="00901304">
            <w:pPr>
              <w:pStyle w:val="TableTextEntries"/>
              <w:jc w:val="center"/>
            </w:pPr>
          </w:p>
        </w:tc>
        <w:tc>
          <w:tcPr>
            <w:tcW w:w="2552" w:type="dxa"/>
          </w:tcPr>
          <w:p w:rsidR="0059222D" w:rsidRDefault="0059222D" w:rsidP="00901304">
            <w:pPr>
              <w:pStyle w:val="TableTextEntries"/>
              <w:jc w:val="center"/>
            </w:pPr>
          </w:p>
        </w:tc>
        <w:tc>
          <w:tcPr>
            <w:tcW w:w="2268" w:type="dxa"/>
          </w:tcPr>
          <w:p w:rsidR="0059222D" w:rsidRDefault="0059222D" w:rsidP="00901304">
            <w:pPr>
              <w:pStyle w:val="TableTextEntries"/>
              <w:jc w:val="center"/>
            </w:pPr>
          </w:p>
        </w:tc>
        <w:tc>
          <w:tcPr>
            <w:tcW w:w="2552" w:type="dxa"/>
          </w:tcPr>
          <w:p w:rsidR="0059222D" w:rsidRDefault="0059222D" w:rsidP="00901304">
            <w:pPr>
              <w:pStyle w:val="TableTextEntries"/>
              <w:jc w:val="center"/>
            </w:pPr>
            <w:r>
              <w:t>11</w:t>
            </w:r>
          </w:p>
        </w:tc>
      </w:tr>
    </w:tbl>
    <w:p w:rsidR="00763DEE" w:rsidRDefault="00763DEE" w:rsidP="00763DEE">
      <w:pPr>
        <w:pStyle w:val="Note"/>
      </w:pPr>
      <w:r w:rsidRPr="00180B19">
        <w:t xml:space="preserve">Source: </w:t>
      </w:r>
      <w:r w:rsidR="0059222D">
        <w:t xml:space="preserve">Civil Society and Business Branch </w:t>
      </w:r>
      <w:r w:rsidR="005F3987">
        <w:t>accreditation statistics</w:t>
      </w:r>
    </w:p>
    <w:p w:rsidR="00ED16F0" w:rsidRPr="00ED16F0" w:rsidRDefault="00ED16F0" w:rsidP="00ED16F0"/>
    <w:p w:rsidR="00A04635" w:rsidRDefault="00901304" w:rsidP="00BC4EF3">
      <w:pPr>
        <w:pStyle w:val="BodyText"/>
      </w:pPr>
      <w:r w:rsidRPr="00C213BF">
        <w:t xml:space="preserve">The second factor </w:t>
      </w:r>
      <w:r w:rsidR="00F16125" w:rsidRPr="00C213BF">
        <w:t xml:space="preserve">affecting </w:t>
      </w:r>
      <w:r w:rsidRPr="00C213BF">
        <w:t xml:space="preserve">accreditation </w:t>
      </w:r>
      <w:r w:rsidR="00763DEE" w:rsidRPr="00C213BF">
        <w:t xml:space="preserve">was the limited number of suitable consultants available to </w:t>
      </w:r>
      <w:r w:rsidR="00763DEE" w:rsidRPr="00FF4252">
        <w:t xml:space="preserve">participate </w:t>
      </w:r>
      <w:r w:rsidR="006248D0" w:rsidRPr="00FF4252">
        <w:t>i</w:t>
      </w:r>
      <w:r w:rsidR="00763DEE" w:rsidRPr="00FF4252">
        <w:t xml:space="preserve">n accreditation review panels. </w:t>
      </w:r>
      <w:r w:rsidR="00F16125" w:rsidRPr="00FF4252">
        <w:t>The third factor was that the CDC meets only quarterly</w:t>
      </w:r>
      <w:r w:rsidR="00F16125" w:rsidRPr="00602002">
        <w:t xml:space="preserve">. </w:t>
      </w:r>
      <w:r w:rsidR="007F1D70">
        <w:t>DFAT</w:t>
      </w:r>
      <w:r w:rsidR="009351E7" w:rsidRPr="003D11A3">
        <w:t xml:space="preserve"> is currently </w:t>
      </w:r>
      <w:r w:rsidR="00297C76" w:rsidRPr="003D11A3">
        <w:t xml:space="preserve">exploring </w:t>
      </w:r>
      <w:r w:rsidR="009351E7" w:rsidRPr="003D11A3">
        <w:t>options</w:t>
      </w:r>
      <w:r w:rsidR="005D5B4E" w:rsidRPr="003D11A3">
        <w:t xml:space="preserve"> to </w:t>
      </w:r>
      <w:r w:rsidR="00602002" w:rsidRPr="003D11A3">
        <w:t>improve</w:t>
      </w:r>
      <w:r w:rsidR="005D5B4E" w:rsidRPr="003D11A3">
        <w:t xml:space="preserve"> accreditation</w:t>
      </w:r>
      <w:r w:rsidR="00602002" w:rsidRPr="003D11A3">
        <w:t xml:space="preserve"> by applying dedicated resources to the administration of accreditation processing</w:t>
      </w:r>
      <w:r w:rsidR="005D5B4E" w:rsidRPr="003D11A3">
        <w:t>.</w:t>
      </w:r>
      <w:r w:rsidR="005D5B4E">
        <w:t xml:space="preserve"> </w:t>
      </w:r>
    </w:p>
    <w:p w:rsidR="00E53D89" w:rsidRPr="00F16125" w:rsidRDefault="00F16125" w:rsidP="00BC4EF3">
      <w:pPr>
        <w:pStyle w:val="BodyText"/>
      </w:pPr>
      <w:r w:rsidRPr="00C213BF">
        <w:t>Notwithstanding the length of the process, f</w:t>
      </w:r>
      <w:r w:rsidR="00041F47" w:rsidRPr="00C213BF">
        <w:t xml:space="preserve">eedback from </w:t>
      </w:r>
      <w:r w:rsidRPr="00C213BF">
        <w:t xml:space="preserve">those </w:t>
      </w:r>
      <w:r w:rsidR="00041F47" w:rsidRPr="00C213BF">
        <w:t xml:space="preserve">organisations </w:t>
      </w:r>
      <w:r w:rsidRPr="00C213BF">
        <w:t>going through accreditation</w:t>
      </w:r>
      <w:r w:rsidR="0032680E">
        <w:t>,</w:t>
      </w:r>
      <w:r w:rsidRPr="00C213BF">
        <w:t xml:space="preserve"> </w:t>
      </w:r>
      <w:r w:rsidR="00E53D89" w:rsidRPr="00C213BF">
        <w:t xml:space="preserve">including </w:t>
      </w:r>
      <w:r w:rsidR="00E53D89" w:rsidRPr="00161980">
        <w:t xml:space="preserve">from </w:t>
      </w:r>
      <w:r w:rsidR="00C873CE" w:rsidRPr="00161980">
        <w:t>those that</w:t>
      </w:r>
      <w:r w:rsidR="00E53D89" w:rsidRPr="00C213BF">
        <w:t xml:space="preserve"> had failed</w:t>
      </w:r>
      <w:r w:rsidR="0032680E">
        <w:t xml:space="preserve">, </w:t>
      </w:r>
      <w:r w:rsidR="0032680E" w:rsidRPr="00C213BF">
        <w:t>was positive overall</w:t>
      </w:r>
      <w:r w:rsidR="00E53D89" w:rsidRPr="00C213BF">
        <w:t>.</w:t>
      </w:r>
      <w:r w:rsidR="00E53D89" w:rsidRPr="00F16125">
        <w:t xml:space="preserve"> For example, </w:t>
      </w:r>
      <w:r w:rsidR="00B909CE" w:rsidRPr="00161980">
        <w:t>CARE,</w:t>
      </w:r>
      <w:r w:rsidR="00B909CE">
        <w:t xml:space="preserve"> </w:t>
      </w:r>
      <w:r w:rsidR="00E53D89" w:rsidRPr="00F16125">
        <w:t>an NGO that was successfully reaccredited</w:t>
      </w:r>
      <w:r w:rsidR="00CC5C34">
        <w:t>,</w:t>
      </w:r>
      <w:r w:rsidR="00E53D89" w:rsidRPr="00F16125">
        <w:t xml:space="preserve"> commented:</w:t>
      </w:r>
    </w:p>
    <w:p w:rsidR="00C40613" w:rsidRDefault="00E53D89" w:rsidP="00BC4EF3">
      <w:pPr>
        <w:pStyle w:val="BodyText"/>
        <w:rPr>
          <w:i/>
        </w:rPr>
      </w:pPr>
      <w:r w:rsidRPr="006D1D6D">
        <w:rPr>
          <w:i/>
        </w:rPr>
        <w:t xml:space="preserve">We welcomed the opportunity to draw upon the Team’s experience and knowledge to gain a better appreciation of good practice across the sector, as well as to better understand our own strengths and weaknesses. </w:t>
      </w:r>
    </w:p>
    <w:p w:rsidR="00C40613" w:rsidRPr="00BA1831" w:rsidRDefault="00C40613" w:rsidP="00BC4EF3">
      <w:pPr>
        <w:pStyle w:val="BodyText"/>
      </w:pPr>
      <w:r w:rsidRPr="00BA1831">
        <w:t xml:space="preserve">Another </w:t>
      </w:r>
      <w:r w:rsidR="00220233">
        <w:t>successful</w:t>
      </w:r>
      <w:r w:rsidR="00FE65DB">
        <w:t>ly accredited</w:t>
      </w:r>
      <w:r w:rsidR="00220233">
        <w:t xml:space="preserve"> </w:t>
      </w:r>
      <w:r w:rsidR="00FE65DB">
        <w:t>NGO</w:t>
      </w:r>
      <w:r w:rsidR="00FE65DB" w:rsidRPr="00161980">
        <w:t>, Australian Red Cross,</w:t>
      </w:r>
      <w:r w:rsidR="00FE65DB">
        <w:t xml:space="preserve"> said</w:t>
      </w:r>
      <w:r w:rsidRPr="00BA1831">
        <w:t>:</w:t>
      </w:r>
    </w:p>
    <w:p w:rsidR="00C40613" w:rsidRPr="00C40613" w:rsidRDefault="00C40613" w:rsidP="00BC4EF3">
      <w:pPr>
        <w:pStyle w:val="BodyText"/>
        <w:rPr>
          <w:i/>
        </w:rPr>
      </w:pPr>
      <w:r w:rsidRPr="00BA1831">
        <w:rPr>
          <w:i/>
        </w:rPr>
        <w:t>Overall the Accreditation Process was a positive experience, providing a focus for working towards improvements</w:t>
      </w:r>
      <w:r w:rsidRPr="00BA1831">
        <w:rPr>
          <w:i/>
          <w:szCs w:val="22"/>
        </w:rPr>
        <w:t xml:space="preserve"> in our quality processes and gaining independent, positive feedback on existing standards, processes and internal consistency. It provides a framework, target and map for an agency to examine approaches.</w:t>
      </w:r>
      <w:r w:rsidRPr="00C40613">
        <w:rPr>
          <w:i/>
          <w:szCs w:val="22"/>
        </w:rPr>
        <w:t xml:space="preserve">  </w:t>
      </w:r>
    </w:p>
    <w:p w:rsidR="00E53D89" w:rsidRPr="006D1D6D" w:rsidRDefault="00161980" w:rsidP="00BC4EF3">
      <w:pPr>
        <w:pStyle w:val="BodyText"/>
      </w:pPr>
      <w:r>
        <w:t>An</w:t>
      </w:r>
      <w:r w:rsidR="00C40613">
        <w:t xml:space="preserve"> NGO </w:t>
      </w:r>
      <w:r w:rsidR="00CC5C34">
        <w:t xml:space="preserve">that </w:t>
      </w:r>
      <w:r w:rsidR="00C40613">
        <w:t xml:space="preserve">was unsuccessful in </w:t>
      </w:r>
      <w:r w:rsidR="00497C50">
        <w:t xml:space="preserve">becoming accredited </w:t>
      </w:r>
      <w:r w:rsidR="00110DC7">
        <w:t>said</w:t>
      </w:r>
      <w:r w:rsidR="00E53D89" w:rsidRPr="006D1D6D">
        <w:t>:</w:t>
      </w:r>
    </w:p>
    <w:p w:rsidR="00E53D89" w:rsidRDefault="00E53D89" w:rsidP="00BC4EF3">
      <w:pPr>
        <w:pStyle w:val="BodyText"/>
        <w:rPr>
          <w:i/>
        </w:rPr>
      </w:pPr>
      <w:r w:rsidRPr="00C40613">
        <w:rPr>
          <w:i/>
        </w:rPr>
        <w:t xml:space="preserve">I appreciated that clear information was provided in the report to show where we can go from here. I hope to be involved in any other </w:t>
      </w:r>
      <w:r w:rsidR="00F839C0">
        <w:rPr>
          <w:i/>
        </w:rPr>
        <w:t xml:space="preserve">[aid program] </w:t>
      </w:r>
      <w:r w:rsidRPr="00C40613">
        <w:rPr>
          <w:i/>
        </w:rPr>
        <w:t>accreditation process.</w:t>
      </w:r>
    </w:p>
    <w:p w:rsidR="006A1402" w:rsidRPr="00C40613" w:rsidRDefault="00DC6928" w:rsidP="00BC4EF3">
      <w:pPr>
        <w:pStyle w:val="BodyText"/>
      </w:pPr>
      <w:r w:rsidRPr="00C40613">
        <w:lastRenderedPageBreak/>
        <w:t>Small and niche NGOs already accredited and receiving ANCP funding have noted the positive benefits to their organisations of going through accreditation</w:t>
      </w:r>
      <w:r w:rsidR="00D17C2A" w:rsidRPr="00C40613">
        <w:t>, such as internal capacity building and strengthening of systems</w:t>
      </w:r>
      <w:r w:rsidRPr="00C40613">
        <w:t>.</w:t>
      </w:r>
    </w:p>
    <w:p w:rsidR="006A45B5" w:rsidRPr="00BA1831" w:rsidRDefault="006A45B5" w:rsidP="00BC4EF3">
      <w:pPr>
        <w:pStyle w:val="BodyText"/>
      </w:pPr>
      <w:r w:rsidRPr="00BA1831">
        <w:t>There is a continuing tension between the perceived time-consuming and resource</w:t>
      </w:r>
      <w:r w:rsidR="006B4ACA">
        <w:t>-</w:t>
      </w:r>
      <w:r w:rsidRPr="00BA1831">
        <w:t>intensive process of accreditation and the need to ensure that more NGOs are accredited</w:t>
      </w:r>
      <w:r w:rsidRPr="003D11A3">
        <w:t xml:space="preserve">. </w:t>
      </w:r>
      <w:r w:rsidR="007F1D70">
        <w:t>DFAT</w:t>
      </w:r>
      <w:r w:rsidR="00192DCF" w:rsidRPr="003D11A3">
        <w:t xml:space="preserve"> </w:t>
      </w:r>
      <w:r w:rsidR="00602002" w:rsidRPr="003D11A3">
        <w:t>ha</w:t>
      </w:r>
      <w:r w:rsidR="00192DCF" w:rsidRPr="003D11A3">
        <w:t xml:space="preserve">s </w:t>
      </w:r>
      <w:r w:rsidR="00602002" w:rsidRPr="003D11A3">
        <w:t xml:space="preserve">developed </w:t>
      </w:r>
      <w:r w:rsidR="00156A72" w:rsidRPr="00A21FC2">
        <w:t xml:space="preserve">Due Diligence Standards and Effectiveness Assessment Methodology for </w:t>
      </w:r>
      <w:r w:rsidR="0032680E">
        <w:t>CSOs</w:t>
      </w:r>
      <w:r w:rsidR="00156A72" w:rsidRPr="00A21FC2">
        <w:t xml:space="preserve">. These tools will ensure that </w:t>
      </w:r>
      <w:r w:rsidR="007F1D70">
        <w:t xml:space="preserve">the </w:t>
      </w:r>
      <w:r w:rsidR="00277125">
        <w:t>D</w:t>
      </w:r>
      <w:r w:rsidR="007F1D70">
        <w:t>epartment</w:t>
      </w:r>
      <w:r w:rsidR="00156A72" w:rsidRPr="00A21FC2">
        <w:t xml:space="preserve"> has strong and rigorous  assessment procedures. </w:t>
      </w:r>
      <w:r w:rsidR="0032680E">
        <w:t xml:space="preserve">They </w:t>
      </w:r>
      <w:r w:rsidR="00156A72" w:rsidRPr="00A21FC2">
        <w:t>will also contribute to broader reforms and increased efficiencies in the not-for-profit sector.</w:t>
      </w:r>
      <w:r w:rsidR="00F16125" w:rsidRPr="00BA1831">
        <w:t xml:space="preserve"> </w:t>
      </w:r>
    </w:p>
    <w:p w:rsidR="00837C59" w:rsidRPr="00837C59" w:rsidRDefault="00156A72" w:rsidP="00BC4EF3">
      <w:pPr>
        <w:pStyle w:val="BodyText"/>
      </w:pPr>
      <w:r w:rsidRPr="00A21FC2">
        <w:t>These two assessment tools</w:t>
      </w:r>
      <w:r w:rsidR="006A45B5" w:rsidRPr="00BA1831">
        <w:t xml:space="preserve"> will form a significant part of the operation of the ANCP. </w:t>
      </w:r>
      <w:r w:rsidR="00220233">
        <w:t>The e</w:t>
      </w:r>
      <w:r w:rsidR="0031031B" w:rsidRPr="00BA1831">
        <w:t xml:space="preserve">xisting accreditation </w:t>
      </w:r>
      <w:r w:rsidR="00220233">
        <w:t xml:space="preserve">process </w:t>
      </w:r>
      <w:r w:rsidR="0031031B" w:rsidRPr="00BA1831">
        <w:t xml:space="preserve">will be revised in 2013–14 to align with the </w:t>
      </w:r>
      <w:r w:rsidR="00220233">
        <w:t xml:space="preserve">new </w:t>
      </w:r>
      <w:r w:rsidR="00220233" w:rsidRPr="00BA1831">
        <w:t xml:space="preserve">due diligence </w:t>
      </w:r>
      <w:r w:rsidR="0031031B" w:rsidRPr="00BA1831">
        <w:t xml:space="preserve">and </w:t>
      </w:r>
      <w:r w:rsidR="00220233" w:rsidRPr="00BA1831">
        <w:t>effectiveness assessment</w:t>
      </w:r>
      <w:r w:rsidR="00220233">
        <w:t xml:space="preserve"> procedures</w:t>
      </w:r>
      <w:r w:rsidR="0031031B" w:rsidRPr="00BA1831">
        <w:t xml:space="preserve">. </w:t>
      </w:r>
      <w:r w:rsidR="00755CD2" w:rsidRPr="00BA1831">
        <w:t xml:space="preserve">This revision will take into consideration the history of accreditation so that </w:t>
      </w:r>
      <w:r w:rsidR="00192DCF" w:rsidRPr="00BA1831">
        <w:t xml:space="preserve">currently accredited ANCP </w:t>
      </w:r>
      <w:r w:rsidR="00755CD2" w:rsidRPr="00BA1831">
        <w:t xml:space="preserve">NGOs </w:t>
      </w:r>
      <w:r w:rsidR="00192DCF" w:rsidRPr="00BA1831">
        <w:t>will not need to be reassessed when the new tools are introduced</w:t>
      </w:r>
      <w:r w:rsidR="00755CD2" w:rsidRPr="00BA1831">
        <w:t xml:space="preserve">. </w:t>
      </w:r>
      <w:r w:rsidR="00220233">
        <w:t>The i</w:t>
      </w:r>
      <w:r w:rsidR="00755CD2" w:rsidRPr="00BA1831">
        <w:t xml:space="preserve">mplementation of </w:t>
      </w:r>
      <w:r w:rsidR="00220233">
        <w:t xml:space="preserve">these procedures </w:t>
      </w:r>
      <w:r w:rsidR="00C52C10" w:rsidRPr="00BA1831">
        <w:t xml:space="preserve">and </w:t>
      </w:r>
      <w:r w:rsidR="00D23163">
        <w:t>consideration</w:t>
      </w:r>
      <w:r w:rsidR="00D23163" w:rsidRPr="00BA1831">
        <w:t xml:space="preserve"> </w:t>
      </w:r>
      <w:r w:rsidR="00D23163">
        <w:t>of</w:t>
      </w:r>
      <w:r w:rsidR="00D23163" w:rsidRPr="00BA1831">
        <w:t xml:space="preserve"> </w:t>
      </w:r>
      <w:r w:rsidR="00C52C10" w:rsidRPr="00BA1831">
        <w:t>a new entry</w:t>
      </w:r>
      <w:r w:rsidR="006B4ACA">
        <w:t>-</w:t>
      </w:r>
      <w:r w:rsidR="00C52C10" w:rsidRPr="00BA1831">
        <w:t xml:space="preserve">level tier in </w:t>
      </w:r>
      <w:r w:rsidR="0071232B" w:rsidRPr="00BA1831">
        <w:t xml:space="preserve">the </w:t>
      </w:r>
      <w:r w:rsidR="00C52C10" w:rsidRPr="00BA1831">
        <w:t>ANCP</w:t>
      </w:r>
      <w:r w:rsidR="00277125">
        <w:t xml:space="preserve"> (subject to Budget outcomes)</w:t>
      </w:r>
      <w:r w:rsidR="00C52C10" w:rsidRPr="00BA1831">
        <w:t xml:space="preserve"> </w:t>
      </w:r>
      <w:r w:rsidR="00755CD2" w:rsidRPr="00BA1831">
        <w:t xml:space="preserve">should assist in addressing the remaining </w:t>
      </w:r>
      <w:r w:rsidRPr="00A21FC2">
        <w:t xml:space="preserve">hurdles for small and niche NGOs </w:t>
      </w:r>
      <w:r w:rsidR="00A21FC2">
        <w:t xml:space="preserve">seeking </w:t>
      </w:r>
      <w:r w:rsidRPr="00A21FC2">
        <w:t>to access ANCP funding.</w:t>
      </w:r>
      <w:r w:rsidR="00837C59" w:rsidRPr="00C213BF">
        <w:t xml:space="preserve"> </w:t>
      </w:r>
    </w:p>
    <w:p w:rsidR="00635360" w:rsidRPr="00431E2F" w:rsidRDefault="009D0F4C" w:rsidP="002F771F">
      <w:pPr>
        <w:pStyle w:val="Heading2"/>
      </w:pPr>
      <w:r>
        <w:t>Monitoring and evaluation</w:t>
      </w:r>
    </w:p>
    <w:p w:rsidR="00BB4D97" w:rsidRPr="00BC4EF3" w:rsidRDefault="00BB4D97" w:rsidP="00BC4EF3">
      <w:pPr>
        <w:pStyle w:val="BodyText"/>
        <w:rPr>
          <w:b/>
        </w:rPr>
      </w:pPr>
      <w:r w:rsidRPr="00BC4EF3">
        <w:rPr>
          <w:b/>
        </w:rPr>
        <w:t>Reporting mechanism</w:t>
      </w:r>
    </w:p>
    <w:p w:rsidR="00497C50" w:rsidRPr="006D1D6D" w:rsidRDefault="00C440EA" w:rsidP="00BC4EF3">
      <w:pPr>
        <w:pStyle w:val="BodyText"/>
      </w:pPr>
      <w:r w:rsidRPr="00BA1831">
        <w:t xml:space="preserve">ANCP NGOs are required to monitor and evaluate their performance </w:t>
      </w:r>
      <w:r w:rsidR="006A45B5" w:rsidRPr="00BA1831">
        <w:t xml:space="preserve">and </w:t>
      </w:r>
      <w:r w:rsidRPr="00BA1831">
        <w:t xml:space="preserve">report </w:t>
      </w:r>
      <w:r w:rsidR="00053A02" w:rsidRPr="00BA1831">
        <w:t xml:space="preserve">to </w:t>
      </w:r>
      <w:r w:rsidR="007F1D70">
        <w:t>DFAT</w:t>
      </w:r>
      <w:r w:rsidR="007F1D70" w:rsidRPr="00BA1831">
        <w:t xml:space="preserve"> </w:t>
      </w:r>
      <w:r w:rsidR="00053A02" w:rsidRPr="00BA1831">
        <w:t xml:space="preserve">annually. </w:t>
      </w:r>
      <w:r w:rsidR="002638E6" w:rsidRPr="00BA1831">
        <w:t xml:space="preserve">In the past, </w:t>
      </w:r>
      <w:r w:rsidR="000D014E" w:rsidRPr="00BA1831">
        <w:t xml:space="preserve">non-standard reporting templates inhibited AusAID’s </w:t>
      </w:r>
      <w:r w:rsidR="005A0CEC" w:rsidRPr="00BA1831">
        <w:t>ability to aggregate the informa</w:t>
      </w:r>
      <w:r w:rsidR="00156A72" w:rsidRPr="00A21FC2">
        <w:t xml:space="preserve">tion provided. The development of a new reporting framework and the rollout of </w:t>
      </w:r>
      <w:r w:rsidR="0032680E">
        <w:t xml:space="preserve">the </w:t>
      </w:r>
      <w:r w:rsidR="00156A72" w:rsidRPr="00A21FC2">
        <w:t xml:space="preserve">new online grants management system </w:t>
      </w:r>
      <w:r w:rsidR="0032680E">
        <w:t xml:space="preserve">ANCP Online </w:t>
      </w:r>
      <w:r w:rsidR="00156A72" w:rsidRPr="00A21FC2">
        <w:t>over the last 18 months will allow for year-on-year comparisons of data and provide an ongoing picture of each NGO’s achievements. Meta-evaluations and thematic reviews will also be a way to compare and contrast a select body of NGO work.</w:t>
      </w:r>
    </w:p>
    <w:p w:rsidR="00176367" w:rsidRDefault="006F54BC" w:rsidP="00BC4EF3">
      <w:pPr>
        <w:pStyle w:val="BodyText"/>
      </w:pPr>
      <w:r w:rsidRPr="006D1D6D">
        <w:t xml:space="preserve">The </w:t>
      </w:r>
      <w:r w:rsidR="00156A72" w:rsidRPr="00A21FC2">
        <w:t>ANCP Monitoring, Evaluation and Learning Framework (MELF)</w:t>
      </w:r>
      <w:r w:rsidR="00253546" w:rsidRPr="006D1D6D">
        <w:t xml:space="preserve"> was </w:t>
      </w:r>
      <w:r w:rsidR="00D91D4F">
        <w:t xml:space="preserve">introduced </w:t>
      </w:r>
      <w:r w:rsidR="00253546" w:rsidRPr="006D1D6D">
        <w:t>in May 2012</w:t>
      </w:r>
      <w:r w:rsidR="00A56491" w:rsidRPr="006D1D6D">
        <w:t xml:space="preserve"> </w:t>
      </w:r>
      <w:r w:rsidR="003F1994" w:rsidRPr="006D1D6D">
        <w:t>to streamline NGO reporting. The mechanism was developed in consultation with NGOs and has been further enhanced through ongoing dialogue</w:t>
      </w:r>
      <w:r w:rsidR="00D0642B" w:rsidRPr="006D1D6D">
        <w:t xml:space="preserve"> and a review completed in March 2013 (see </w:t>
      </w:r>
      <w:r w:rsidR="00FC3ECE">
        <w:t xml:space="preserve">the </w:t>
      </w:r>
      <w:r w:rsidR="00156A72" w:rsidRPr="00A21FC2">
        <w:t xml:space="preserve">MELF </w:t>
      </w:r>
      <w:r w:rsidR="0032680E">
        <w:t>r</w:t>
      </w:r>
      <w:r w:rsidR="00156A72" w:rsidRPr="00A21FC2">
        <w:t xml:space="preserve">eview </w:t>
      </w:r>
      <w:r w:rsidR="0032680E">
        <w:t xml:space="preserve">section </w:t>
      </w:r>
      <w:r w:rsidR="00FC3ECE">
        <w:t xml:space="preserve">on </w:t>
      </w:r>
      <w:r w:rsidR="0032680E">
        <w:t xml:space="preserve">page </w:t>
      </w:r>
      <w:r w:rsidR="00FC3ECE">
        <w:t>10</w:t>
      </w:r>
      <w:r w:rsidR="0032680E">
        <w:t xml:space="preserve"> of this report</w:t>
      </w:r>
      <w:r w:rsidR="00D0642B" w:rsidRPr="006D1D6D">
        <w:t>)</w:t>
      </w:r>
      <w:r w:rsidR="003F1994" w:rsidRPr="006D1D6D">
        <w:t xml:space="preserve">. </w:t>
      </w:r>
      <w:r w:rsidR="0032680E">
        <w:t>I</w:t>
      </w:r>
      <w:r w:rsidR="0032680E" w:rsidRPr="006D1D6D">
        <w:t>n their Annual Performance Reports for 2011–12</w:t>
      </w:r>
      <w:r w:rsidR="0032680E">
        <w:t xml:space="preserve"> </w:t>
      </w:r>
      <w:r w:rsidR="00053A02" w:rsidRPr="006D1D6D">
        <w:t xml:space="preserve">ANCP NGOs </w:t>
      </w:r>
      <w:r w:rsidR="00BE3459" w:rsidRPr="006D1D6D">
        <w:t xml:space="preserve">used a </w:t>
      </w:r>
      <w:r w:rsidR="00053A02" w:rsidRPr="006D1D6D">
        <w:t xml:space="preserve">standardised reporting template to provide </w:t>
      </w:r>
      <w:r w:rsidR="00156A72" w:rsidRPr="00A21FC2">
        <w:t>narrative, financial data</w:t>
      </w:r>
      <w:r w:rsidR="00E60646" w:rsidRPr="006D1D6D">
        <w:t xml:space="preserve"> and disaggregated </w:t>
      </w:r>
      <w:r w:rsidR="00053A02" w:rsidRPr="006D1D6D">
        <w:t>beneficiary numbers</w:t>
      </w:r>
      <w:r w:rsidR="007F1D70">
        <w:t>.</w:t>
      </w:r>
      <w:r w:rsidR="00053A02" w:rsidRPr="006D1D6D">
        <w:t xml:space="preserve"> </w:t>
      </w:r>
      <w:r w:rsidR="00E60646" w:rsidRPr="006D1D6D">
        <w:t xml:space="preserve">Data </w:t>
      </w:r>
      <w:r w:rsidR="00862095" w:rsidRPr="006D1D6D">
        <w:t>wa</w:t>
      </w:r>
      <w:r w:rsidR="00E60646" w:rsidRPr="006D1D6D">
        <w:t xml:space="preserve">s collected </w:t>
      </w:r>
      <w:r w:rsidR="00053A02" w:rsidRPr="006D1D6D">
        <w:t>against headline indicators</w:t>
      </w:r>
      <w:r w:rsidR="00E60646" w:rsidRPr="006D1D6D">
        <w:t>,</w:t>
      </w:r>
      <w:r w:rsidR="00053A02" w:rsidRPr="006D1D6D">
        <w:t xml:space="preserve"> </w:t>
      </w:r>
      <w:r w:rsidR="00E60646" w:rsidRPr="006D1D6D">
        <w:t xml:space="preserve">as well as </w:t>
      </w:r>
      <w:r w:rsidR="00053A02" w:rsidRPr="006D1D6D">
        <w:t>lower level indicators</w:t>
      </w:r>
      <w:r w:rsidR="006341F1">
        <w:t>,</w:t>
      </w:r>
      <w:r w:rsidR="00053A02" w:rsidRPr="006D1D6D">
        <w:t xml:space="preserve"> </w:t>
      </w:r>
      <w:r w:rsidR="00862095" w:rsidRPr="006D1D6D">
        <w:t xml:space="preserve">to </w:t>
      </w:r>
      <w:r w:rsidR="00053A02" w:rsidRPr="006D1D6D">
        <w:t xml:space="preserve">allow NGOs to provide </w:t>
      </w:r>
      <w:r w:rsidR="005B5E54" w:rsidRPr="006D1D6D">
        <w:t xml:space="preserve">statistics </w:t>
      </w:r>
      <w:r w:rsidR="00053A02" w:rsidRPr="006D1D6D">
        <w:t xml:space="preserve">on achievements specific to their area of expertise. </w:t>
      </w:r>
    </w:p>
    <w:p w:rsidR="005B5E54" w:rsidRPr="006D1D6D" w:rsidRDefault="005B5E54" w:rsidP="00BC4EF3">
      <w:pPr>
        <w:pStyle w:val="BodyText"/>
      </w:pPr>
      <w:r w:rsidRPr="00BC4EF3">
        <w:t xml:space="preserve">For the first time, an </w:t>
      </w:r>
      <w:r w:rsidR="007F219C" w:rsidRPr="00BC4EF3">
        <w:t xml:space="preserve">interim </w:t>
      </w:r>
      <w:r w:rsidR="003F1994" w:rsidRPr="00BC4EF3">
        <w:t xml:space="preserve">database </w:t>
      </w:r>
      <w:r w:rsidRPr="00BC4EF3">
        <w:t xml:space="preserve">was used to collate the </w:t>
      </w:r>
      <w:r w:rsidR="00497C50" w:rsidRPr="00BC4EF3">
        <w:t xml:space="preserve">data from </w:t>
      </w:r>
      <w:r w:rsidRPr="00BC4EF3">
        <w:t xml:space="preserve">2011–12 </w:t>
      </w:r>
      <w:r w:rsidR="00497C50" w:rsidRPr="00BC4EF3">
        <w:t xml:space="preserve">Annual </w:t>
      </w:r>
      <w:r w:rsidRPr="00BC4EF3">
        <w:t xml:space="preserve">Performance Reports </w:t>
      </w:r>
      <w:r w:rsidR="00497C50" w:rsidRPr="00BC4EF3">
        <w:t xml:space="preserve">submitted by </w:t>
      </w:r>
      <w:r w:rsidRPr="00BC4EF3">
        <w:t>ANCP NGOs</w:t>
      </w:r>
      <w:r w:rsidR="00497C50" w:rsidRPr="00BC4EF3">
        <w:t xml:space="preserve"> at the end of 2012</w:t>
      </w:r>
      <w:r w:rsidRPr="00BC4EF3">
        <w:t xml:space="preserve">. </w:t>
      </w:r>
      <w:r w:rsidR="00497C50" w:rsidRPr="00BC4EF3">
        <w:t>R</w:t>
      </w:r>
      <w:r w:rsidR="008C418C" w:rsidRPr="00BC4EF3">
        <w:t xml:space="preserve">eporting </w:t>
      </w:r>
      <w:r w:rsidRPr="00BC4EF3">
        <w:t xml:space="preserve">limitations </w:t>
      </w:r>
      <w:r w:rsidR="0032680E" w:rsidRPr="00BC4EF3">
        <w:t xml:space="preserve">of </w:t>
      </w:r>
      <w:r w:rsidRPr="00BC4EF3">
        <w:t xml:space="preserve">the system have been identified, but it has allowed </w:t>
      </w:r>
      <w:r w:rsidR="007F1D70" w:rsidRPr="00BC4EF3">
        <w:t>DFAT</w:t>
      </w:r>
      <w:r w:rsidRPr="00BC4EF3">
        <w:t xml:space="preserve"> to make better use of the information provided by ANCP NGOs. Managing</w:t>
      </w:r>
      <w:r w:rsidR="003F1994" w:rsidRPr="00BC4EF3">
        <w:t xml:space="preserve"> </w:t>
      </w:r>
      <w:r w:rsidRPr="00BC4EF3">
        <w:t xml:space="preserve">the </w:t>
      </w:r>
      <w:r w:rsidR="003F1994" w:rsidRPr="00BC4EF3">
        <w:t xml:space="preserve">data </w:t>
      </w:r>
      <w:r w:rsidR="00D91D4F" w:rsidRPr="00BC4EF3">
        <w:t xml:space="preserve">this way </w:t>
      </w:r>
      <w:r w:rsidRPr="00BC4EF3">
        <w:t xml:space="preserve">has </w:t>
      </w:r>
      <w:r w:rsidR="003F1994" w:rsidRPr="00BC4EF3">
        <w:t>contributed to pro</w:t>
      </w:r>
      <w:r w:rsidR="00A56491" w:rsidRPr="00BC4EF3">
        <w:t xml:space="preserve">viding clearer results </w:t>
      </w:r>
      <w:r w:rsidR="00497C50" w:rsidRPr="00BC4EF3">
        <w:t>for</w:t>
      </w:r>
      <w:r w:rsidR="00A56491" w:rsidRPr="00BC4EF3">
        <w:t xml:space="preserve"> </w:t>
      </w:r>
      <w:r w:rsidR="00CA5734" w:rsidRPr="00BC4EF3">
        <w:t>2011–</w:t>
      </w:r>
      <w:r w:rsidR="00A56491" w:rsidRPr="00BC4EF3">
        <w:t>12.</w:t>
      </w:r>
      <w:r w:rsidRPr="00BC4EF3">
        <w:t xml:space="preserve"> For example, it is possible to quickly</w:t>
      </w:r>
      <w:r w:rsidRPr="006D1D6D">
        <w:t xml:space="preserve"> provide information on </w:t>
      </w:r>
      <w:r w:rsidR="00BE3459" w:rsidRPr="006D1D6D">
        <w:t xml:space="preserve">beneficiary numbers or </w:t>
      </w:r>
      <w:r w:rsidRPr="006D1D6D">
        <w:t xml:space="preserve">ANCP projects in particular countries or with </w:t>
      </w:r>
      <w:r w:rsidR="00BE3459" w:rsidRPr="006D1D6D">
        <w:t xml:space="preserve">a </w:t>
      </w:r>
      <w:r w:rsidRPr="006D1D6D">
        <w:t xml:space="preserve">particular sectoral focus. </w:t>
      </w:r>
      <w:r w:rsidR="007F1D70">
        <w:t xml:space="preserve">The </w:t>
      </w:r>
      <w:r w:rsidR="00277125">
        <w:t>D</w:t>
      </w:r>
      <w:r w:rsidR="007F1D70">
        <w:t>epartment</w:t>
      </w:r>
      <w:r w:rsidRPr="006D1D6D">
        <w:t xml:space="preserve"> </w:t>
      </w:r>
      <w:r w:rsidR="00BE3459" w:rsidRPr="006D1D6D">
        <w:t xml:space="preserve">can </w:t>
      </w:r>
      <w:r w:rsidRPr="006D1D6D">
        <w:t>now provide</w:t>
      </w:r>
      <w:r w:rsidR="00A56491" w:rsidRPr="006D1D6D">
        <w:t xml:space="preserve"> </w:t>
      </w:r>
      <w:r w:rsidR="00BE3459" w:rsidRPr="006D1D6D">
        <w:t xml:space="preserve">comparative figures on expenditure or access </w:t>
      </w:r>
      <w:r w:rsidR="00E11D60" w:rsidRPr="006D1D6D">
        <w:t xml:space="preserve">case studies or human interest stories </w:t>
      </w:r>
      <w:r w:rsidR="00BE3459" w:rsidRPr="006D1D6D">
        <w:t xml:space="preserve">from the ANCP to share with the public. </w:t>
      </w:r>
    </w:p>
    <w:p w:rsidR="007F219C" w:rsidRPr="00E6185F" w:rsidRDefault="00CA5734" w:rsidP="00BC4EF3">
      <w:pPr>
        <w:pStyle w:val="BodyText"/>
        <w:rPr>
          <w:szCs w:val="22"/>
        </w:rPr>
      </w:pPr>
      <w:r w:rsidRPr="00E6185F">
        <w:rPr>
          <w:szCs w:val="22"/>
        </w:rPr>
        <w:t xml:space="preserve">To further improve reporting, </w:t>
      </w:r>
      <w:r w:rsidR="0032680E">
        <w:rPr>
          <w:szCs w:val="22"/>
        </w:rPr>
        <w:t xml:space="preserve">the </w:t>
      </w:r>
      <w:r w:rsidR="00156A72" w:rsidRPr="00A21FC2">
        <w:rPr>
          <w:szCs w:val="22"/>
        </w:rPr>
        <w:t>new grants management system, ANCP Online, was</w:t>
      </w:r>
      <w:r w:rsidR="00A56491" w:rsidRPr="00E6185F">
        <w:rPr>
          <w:szCs w:val="22"/>
        </w:rPr>
        <w:t xml:space="preserve"> developed in 201</w:t>
      </w:r>
      <w:r w:rsidR="003C0E51" w:rsidRPr="00E6185F">
        <w:rPr>
          <w:szCs w:val="22"/>
        </w:rPr>
        <w:t>2</w:t>
      </w:r>
      <w:r w:rsidR="00110DC7" w:rsidRPr="00E6185F">
        <w:rPr>
          <w:szCs w:val="22"/>
        </w:rPr>
        <w:t>–13</w:t>
      </w:r>
      <w:r w:rsidR="00A56491" w:rsidRPr="00E6185F">
        <w:rPr>
          <w:szCs w:val="22"/>
        </w:rPr>
        <w:t xml:space="preserve"> to allow ANCP NGOs to report online</w:t>
      </w:r>
      <w:r w:rsidR="00872B3C" w:rsidRPr="00E6185F">
        <w:rPr>
          <w:szCs w:val="22"/>
        </w:rPr>
        <w:t xml:space="preserve"> rather than using </w:t>
      </w:r>
      <w:r w:rsidR="00CF3469" w:rsidRPr="00E6185F">
        <w:rPr>
          <w:szCs w:val="22"/>
        </w:rPr>
        <w:t xml:space="preserve">Excel formatted, </w:t>
      </w:r>
      <w:r w:rsidR="00D0642B" w:rsidRPr="00E6185F">
        <w:rPr>
          <w:szCs w:val="22"/>
        </w:rPr>
        <w:t>paper</w:t>
      </w:r>
      <w:r w:rsidR="006B4ACA">
        <w:rPr>
          <w:szCs w:val="22"/>
        </w:rPr>
        <w:t>-</w:t>
      </w:r>
      <w:r w:rsidR="00D0642B" w:rsidRPr="00E6185F">
        <w:rPr>
          <w:szCs w:val="22"/>
        </w:rPr>
        <w:t xml:space="preserve">based </w:t>
      </w:r>
      <w:r w:rsidR="00872B3C" w:rsidRPr="00E6185F">
        <w:rPr>
          <w:szCs w:val="22"/>
        </w:rPr>
        <w:t>templates</w:t>
      </w:r>
      <w:r w:rsidR="00A56491" w:rsidRPr="00E6185F">
        <w:rPr>
          <w:szCs w:val="22"/>
        </w:rPr>
        <w:t xml:space="preserve">. </w:t>
      </w:r>
      <w:r w:rsidR="008A53E1" w:rsidRPr="00E6185F">
        <w:rPr>
          <w:szCs w:val="22"/>
        </w:rPr>
        <w:t>ANCP Online streamlines the reporting process for ANCP NGOs and</w:t>
      </w:r>
      <w:r w:rsidR="009B2876">
        <w:rPr>
          <w:szCs w:val="22"/>
        </w:rPr>
        <w:t xml:space="preserve"> </w:t>
      </w:r>
      <w:r w:rsidR="007F1D70">
        <w:rPr>
          <w:szCs w:val="22"/>
        </w:rPr>
        <w:t>DFAT</w:t>
      </w:r>
      <w:r w:rsidR="008A53E1" w:rsidRPr="00E6185F">
        <w:rPr>
          <w:szCs w:val="22"/>
        </w:rPr>
        <w:t xml:space="preserve">. </w:t>
      </w:r>
      <w:r w:rsidRPr="00E6185F">
        <w:rPr>
          <w:szCs w:val="22"/>
        </w:rPr>
        <w:t xml:space="preserve">ANCP NGOs provided feedback </w:t>
      </w:r>
      <w:r w:rsidR="008C418C" w:rsidRPr="00E6185F">
        <w:rPr>
          <w:szCs w:val="22"/>
        </w:rPr>
        <w:t xml:space="preserve">as the </w:t>
      </w:r>
      <w:r w:rsidRPr="00E6185F">
        <w:rPr>
          <w:szCs w:val="22"/>
        </w:rPr>
        <w:t xml:space="preserve">new system </w:t>
      </w:r>
      <w:r w:rsidR="008C418C" w:rsidRPr="00E6185F">
        <w:rPr>
          <w:szCs w:val="22"/>
        </w:rPr>
        <w:t xml:space="preserve">was developed </w:t>
      </w:r>
      <w:r w:rsidRPr="00E6185F">
        <w:rPr>
          <w:szCs w:val="22"/>
        </w:rPr>
        <w:t>and received training online in March</w:t>
      </w:r>
      <w:r w:rsidR="00860872" w:rsidRPr="00E6185F">
        <w:rPr>
          <w:szCs w:val="22"/>
        </w:rPr>
        <w:t xml:space="preserve"> 2013</w:t>
      </w:r>
      <w:r w:rsidRPr="00E6185F">
        <w:rPr>
          <w:szCs w:val="22"/>
        </w:rPr>
        <w:t xml:space="preserve"> and at face-to-face sessions in April 2013. The system </w:t>
      </w:r>
      <w:r w:rsidRPr="00E6185F">
        <w:rPr>
          <w:szCs w:val="22"/>
        </w:rPr>
        <w:lastRenderedPageBreak/>
        <w:t>went live on 15 May</w:t>
      </w:r>
      <w:r w:rsidR="00304059" w:rsidRPr="00E6185F">
        <w:rPr>
          <w:szCs w:val="22"/>
        </w:rPr>
        <w:t xml:space="preserve"> 2013</w:t>
      </w:r>
      <w:r w:rsidR="006B4ACA">
        <w:rPr>
          <w:szCs w:val="22"/>
        </w:rPr>
        <w:t xml:space="preserve"> and </w:t>
      </w:r>
      <w:r w:rsidR="00AD2E0D" w:rsidRPr="00E6185F">
        <w:rPr>
          <w:szCs w:val="22"/>
        </w:rPr>
        <w:t>NGO</w:t>
      </w:r>
      <w:r w:rsidR="00700EC3" w:rsidRPr="00E6185F">
        <w:rPr>
          <w:szCs w:val="22"/>
        </w:rPr>
        <w:t>s</w:t>
      </w:r>
      <w:r w:rsidR="00AD2E0D" w:rsidRPr="00E6185F">
        <w:rPr>
          <w:szCs w:val="22"/>
        </w:rPr>
        <w:t xml:space="preserve"> </w:t>
      </w:r>
      <w:r w:rsidR="006B4ACA">
        <w:rPr>
          <w:szCs w:val="22"/>
        </w:rPr>
        <w:t xml:space="preserve">were </w:t>
      </w:r>
      <w:r w:rsidR="00AD2E0D" w:rsidRPr="00E6185F">
        <w:rPr>
          <w:szCs w:val="22"/>
        </w:rPr>
        <w:t xml:space="preserve">able to </w:t>
      </w:r>
      <w:r w:rsidR="00110DC7" w:rsidRPr="00E6185F">
        <w:rPr>
          <w:szCs w:val="22"/>
        </w:rPr>
        <w:t xml:space="preserve">use it to </w:t>
      </w:r>
      <w:r w:rsidR="00AD2E0D" w:rsidRPr="00E6185F">
        <w:rPr>
          <w:szCs w:val="22"/>
        </w:rPr>
        <w:t xml:space="preserve">enter </w:t>
      </w:r>
      <w:r w:rsidR="007A2304" w:rsidRPr="00E6185F">
        <w:rPr>
          <w:szCs w:val="22"/>
        </w:rPr>
        <w:t xml:space="preserve">data for </w:t>
      </w:r>
      <w:r w:rsidR="00AD2E0D" w:rsidRPr="00E6185F">
        <w:rPr>
          <w:szCs w:val="22"/>
        </w:rPr>
        <w:t xml:space="preserve">their </w:t>
      </w:r>
      <w:r w:rsidR="007A2304" w:rsidRPr="00E6185F">
        <w:rPr>
          <w:szCs w:val="22"/>
        </w:rPr>
        <w:t xml:space="preserve">2013–14 </w:t>
      </w:r>
      <w:r w:rsidR="00AD2E0D" w:rsidRPr="00E6185F">
        <w:rPr>
          <w:szCs w:val="22"/>
        </w:rPr>
        <w:t>Annual Development Plans</w:t>
      </w:r>
      <w:r w:rsidRPr="00E6185F">
        <w:rPr>
          <w:szCs w:val="22"/>
        </w:rPr>
        <w:t xml:space="preserve">. </w:t>
      </w:r>
      <w:r w:rsidR="00701883" w:rsidRPr="00E6185F">
        <w:rPr>
          <w:szCs w:val="22"/>
        </w:rPr>
        <w:t xml:space="preserve">NGOs can log on and submit their required reports from anywhere in the world. Once the information is submitted, </w:t>
      </w:r>
      <w:r w:rsidR="007F1D70">
        <w:rPr>
          <w:szCs w:val="22"/>
        </w:rPr>
        <w:t xml:space="preserve">the </w:t>
      </w:r>
      <w:r w:rsidR="00277125">
        <w:rPr>
          <w:szCs w:val="22"/>
        </w:rPr>
        <w:t>D</w:t>
      </w:r>
      <w:r w:rsidR="007F1D70">
        <w:rPr>
          <w:szCs w:val="22"/>
        </w:rPr>
        <w:t>epartment</w:t>
      </w:r>
      <w:r w:rsidR="00701883" w:rsidRPr="00E6185F">
        <w:rPr>
          <w:szCs w:val="22"/>
        </w:rPr>
        <w:t xml:space="preserve"> </w:t>
      </w:r>
      <w:r w:rsidR="0032680E">
        <w:rPr>
          <w:szCs w:val="22"/>
        </w:rPr>
        <w:t xml:space="preserve">can </w:t>
      </w:r>
      <w:r w:rsidR="00701883" w:rsidRPr="00E6185F">
        <w:rPr>
          <w:szCs w:val="22"/>
        </w:rPr>
        <w:t>run reports from the same system</w:t>
      </w:r>
      <w:r w:rsidR="0032680E">
        <w:rPr>
          <w:szCs w:val="22"/>
        </w:rPr>
        <w:t xml:space="preserve"> and build </w:t>
      </w:r>
      <w:r w:rsidR="00701883" w:rsidRPr="00E6185F">
        <w:rPr>
          <w:szCs w:val="22"/>
        </w:rPr>
        <w:t xml:space="preserve">customised reports to support </w:t>
      </w:r>
      <w:r w:rsidR="007F1D70">
        <w:rPr>
          <w:szCs w:val="22"/>
        </w:rPr>
        <w:t>DFAT’s</w:t>
      </w:r>
      <w:r w:rsidR="00076FF7" w:rsidRPr="00E6185F">
        <w:rPr>
          <w:szCs w:val="22"/>
        </w:rPr>
        <w:t xml:space="preserve"> reporting</w:t>
      </w:r>
      <w:r w:rsidR="00701883" w:rsidRPr="00E6185F">
        <w:rPr>
          <w:szCs w:val="22"/>
        </w:rPr>
        <w:t xml:space="preserve"> obligations.</w:t>
      </w:r>
      <w:r w:rsidR="006E77CE" w:rsidRPr="00E6185F">
        <w:rPr>
          <w:szCs w:val="22"/>
        </w:rPr>
        <w:t xml:space="preserve"> </w:t>
      </w:r>
      <w:r w:rsidR="00E6185F" w:rsidRPr="003D11A3">
        <w:rPr>
          <w:szCs w:val="22"/>
        </w:rPr>
        <w:t>Using the new system, 95</w:t>
      </w:r>
      <w:r w:rsidR="006B4ACA">
        <w:rPr>
          <w:szCs w:val="22"/>
        </w:rPr>
        <w:t> </w:t>
      </w:r>
      <w:r w:rsidR="00E6185F" w:rsidRPr="003D11A3">
        <w:rPr>
          <w:szCs w:val="22"/>
        </w:rPr>
        <w:t>per cent of ANCP NGOs submitted their Annual Development Plans on time, compared to 50</w:t>
      </w:r>
      <w:r w:rsidR="006B4ACA">
        <w:rPr>
          <w:szCs w:val="22"/>
        </w:rPr>
        <w:t> </w:t>
      </w:r>
      <w:r w:rsidR="00E6185F" w:rsidRPr="003D11A3">
        <w:rPr>
          <w:szCs w:val="22"/>
        </w:rPr>
        <w:t>per cent last year.</w:t>
      </w:r>
      <w:r w:rsidR="00E6185F" w:rsidRPr="00E6185F">
        <w:rPr>
          <w:szCs w:val="22"/>
        </w:rPr>
        <w:t xml:space="preserve"> </w:t>
      </w:r>
      <w:r w:rsidR="006E77CE" w:rsidRPr="00E6185F">
        <w:rPr>
          <w:szCs w:val="22"/>
        </w:rPr>
        <w:t>ANCP NGOs are already providing positive feedback on the new online system. For example, International Needs Australia said:</w:t>
      </w:r>
    </w:p>
    <w:p w:rsidR="006E77CE" w:rsidRDefault="006E77CE" w:rsidP="00BC4EF3">
      <w:pPr>
        <w:pStyle w:val="BodyText"/>
        <w:rPr>
          <w:i/>
        </w:rPr>
      </w:pPr>
      <w:r w:rsidRPr="00BA1831">
        <w:rPr>
          <w:i/>
        </w:rPr>
        <w:t>Can we also commend your team on the introduction of ANCP Online. The system was easy to use, the instructions clear and the process streamlined.</w:t>
      </w:r>
      <w:r w:rsidR="00497C50">
        <w:rPr>
          <w:i/>
        </w:rPr>
        <w:t xml:space="preserve"> </w:t>
      </w:r>
    </w:p>
    <w:p w:rsidR="000D014E" w:rsidRPr="00BC4EF3" w:rsidRDefault="000D014E" w:rsidP="00BC4EF3">
      <w:pPr>
        <w:pStyle w:val="BodyText"/>
        <w:rPr>
          <w:b/>
        </w:rPr>
      </w:pPr>
      <w:r w:rsidRPr="00BC4EF3">
        <w:rPr>
          <w:b/>
        </w:rPr>
        <w:t>In-country visits</w:t>
      </w:r>
    </w:p>
    <w:p w:rsidR="00BB4D97" w:rsidRDefault="000D014E" w:rsidP="00BC4EF3">
      <w:pPr>
        <w:pStyle w:val="BodyText"/>
      </w:pPr>
      <w:r w:rsidRPr="00043EE5">
        <w:t>Visits by staff to in-country ANCP funded projects also provide evidence of achievements in poverty reduction. As the ANCP is a unique fundi</w:t>
      </w:r>
      <w:r w:rsidR="00ED16F0">
        <w:t>ng mechanism that supports NGO</w:t>
      </w:r>
      <w:r w:rsidRPr="00043EE5">
        <w:t xml:space="preserve"> development activiti</w:t>
      </w:r>
      <w:r w:rsidRPr="005B45FF">
        <w:t xml:space="preserve">es, as opposed to </w:t>
      </w:r>
      <w:r>
        <w:t xml:space="preserve">them </w:t>
      </w:r>
      <w:r w:rsidRPr="005B45FF">
        <w:t xml:space="preserve">undertaking a specific activity outlined by </w:t>
      </w:r>
      <w:r w:rsidR="002868C5">
        <w:t xml:space="preserve">the </w:t>
      </w:r>
      <w:r w:rsidR="00277125">
        <w:t>D</w:t>
      </w:r>
      <w:r w:rsidR="002868C5">
        <w:t>epartment</w:t>
      </w:r>
      <w:r w:rsidRPr="005B45FF">
        <w:t xml:space="preserve">, it </w:t>
      </w:r>
      <w:r>
        <w:t>is</w:t>
      </w:r>
      <w:r w:rsidRPr="005B45FF">
        <w:t xml:space="preserve"> difficult to readily compare programs/projects across NGOs. </w:t>
      </w:r>
      <w:r w:rsidR="00BB4D97" w:rsidRPr="006D1D6D">
        <w:t xml:space="preserve">Visits to Bangladesh, </w:t>
      </w:r>
      <w:r w:rsidR="00304059" w:rsidRPr="006D1D6D">
        <w:t xml:space="preserve">Papua New Guinea, Indonesia, the Philippines, </w:t>
      </w:r>
      <w:r w:rsidR="00BB4D97" w:rsidRPr="006D1D6D">
        <w:t>Vietnam</w:t>
      </w:r>
      <w:r w:rsidR="00AD2E0D" w:rsidRPr="006D1D6D">
        <w:t>, Cambodia</w:t>
      </w:r>
      <w:r w:rsidR="00BB4D97" w:rsidRPr="006D1D6D">
        <w:t xml:space="preserve"> and Sri Lanka in 2012–13 to m</w:t>
      </w:r>
      <w:r w:rsidR="00156A72" w:rsidRPr="00A21FC2">
        <w:t xml:space="preserve">onitor ANCP funded projects have strengthened relationships between </w:t>
      </w:r>
      <w:r w:rsidR="002868C5">
        <w:t xml:space="preserve">the </w:t>
      </w:r>
      <w:r w:rsidR="00277125">
        <w:t>D</w:t>
      </w:r>
      <w:r w:rsidR="002868C5">
        <w:t>epartment</w:t>
      </w:r>
      <w:r w:rsidR="00156A72" w:rsidRPr="00A21FC2">
        <w:t>, Australian NGOs and their in-country partners and have provided opportunities to emphasise the requirement</w:t>
      </w:r>
      <w:r w:rsidR="00DB4DEF">
        <w:t>s set out in the MELF</w:t>
      </w:r>
      <w:r w:rsidR="00156A72" w:rsidRPr="00A21FC2">
        <w:t xml:space="preserve">. These visits have tested the robustness of ANCP NGO systems through monitoring and review. </w:t>
      </w:r>
      <w:r w:rsidR="002868C5">
        <w:t>Department</w:t>
      </w:r>
      <w:r w:rsidR="007F1D70" w:rsidRPr="00A21FC2">
        <w:t xml:space="preserve"> </w:t>
      </w:r>
      <w:r w:rsidR="00156A72" w:rsidRPr="00A21FC2">
        <w:t>staff contributed to NGO evaluations in country and witnessed the challenges of implementing development activities on the ground. The visits have also strengthened links with other NGO funded programs and started to improve coordination with country program and thematic areas.</w:t>
      </w:r>
    </w:p>
    <w:p w:rsidR="001854D3" w:rsidRDefault="001854D3" w:rsidP="00BC4EF3">
      <w:pPr>
        <w:pStyle w:val="BodyText"/>
        <w:rPr>
          <w:szCs w:val="22"/>
        </w:rPr>
      </w:pPr>
      <w:r w:rsidRPr="00043EE5">
        <w:rPr>
          <w:szCs w:val="22"/>
        </w:rPr>
        <w:t xml:space="preserve">In November 2012 </w:t>
      </w:r>
      <w:r w:rsidR="007F1D70">
        <w:rPr>
          <w:szCs w:val="22"/>
        </w:rPr>
        <w:t>aid program</w:t>
      </w:r>
      <w:r w:rsidRPr="00043EE5">
        <w:rPr>
          <w:szCs w:val="22"/>
        </w:rPr>
        <w:t xml:space="preserve"> staff attended the evaluation of Caritas</w:t>
      </w:r>
      <w:r w:rsidR="009331E3">
        <w:rPr>
          <w:szCs w:val="22"/>
        </w:rPr>
        <w:t xml:space="preserve"> Australia</w:t>
      </w:r>
      <w:r w:rsidRPr="00043EE5">
        <w:rPr>
          <w:szCs w:val="22"/>
        </w:rPr>
        <w:t xml:space="preserve">’s 15-year Integrated Community Development Program (ICDP), an ANCP funded program in Bangladesh, and provided feedback to Caritas for consideration in drafting the final evaluation report. The evaluation was led by an experienced multilingual independent evaluator from India. The evaluation found that the program’s objective—to improve the socioeconomic conditions of remote ethnic minority communities to protect their land rights, preserve their environment, culture and values and strengthen their social organisations—was </w:t>
      </w:r>
      <w:r w:rsidR="00156A72" w:rsidRPr="00701F40">
        <w:rPr>
          <w:szCs w:val="22"/>
        </w:rPr>
        <w:t xml:space="preserve">largely being met. Caritas has a wealth of information generated from the multi-year program that allows a good comparative analysis of many components from one phase to another. </w:t>
      </w:r>
      <w:r w:rsidR="008A1548">
        <w:rPr>
          <w:szCs w:val="22"/>
        </w:rPr>
        <w:t xml:space="preserve">As a result of the </w:t>
      </w:r>
      <w:r w:rsidR="00156A72" w:rsidRPr="00701F40">
        <w:rPr>
          <w:szCs w:val="22"/>
        </w:rPr>
        <w:t>ANCP 2011 Thematic Review, which focused on ANCP activities reaching the poorest and most marginalised</w:t>
      </w:r>
      <w:r w:rsidR="008A1548">
        <w:rPr>
          <w:szCs w:val="22"/>
        </w:rPr>
        <w:t xml:space="preserve">, </w:t>
      </w:r>
      <w:r w:rsidR="009B2876">
        <w:rPr>
          <w:szCs w:val="22"/>
        </w:rPr>
        <w:t>a</w:t>
      </w:r>
      <w:r w:rsidR="00156A72" w:rsidRPr="00701F40">
        <w:rPr>
          <w:szCs w:val="22"/>
        </w:rPr>
        <w:t xml:space="preserve"> number of recommendations </w:t>
      </w:r>
      <w:r w:rsidR="008A1548">
        <w:rPr>
          <w:szCs w:val="22"/>
        </w:rPr>
        <w:t xml:space="preserve">were made </w:t>
      </w:r>
      <w:r w:rsidR="00156A72" w:rsidRPr="00701F40">
        <w:rPr>
          <w:szCs w:val="22"/>
        </w:rPr>
        <w:t>to Caritas. As women are a key impact group for the ICDP, some methods to increase their participation in the evaluation and design of the next phase of the program</w:t>
      </w:r>
      <w:r w:rsidR="008A1548">
        <w:rPr>
          <w:szCs w:val="22"/>
        </w:rPr>
        <w:t xml:space="preserve"> were suggested</w:t>
      </w:r>
      <w:r w:rsidR="00156A72" w:rsidRPr="00701F40">
        <w:rPr>
          <w:szCs w:val="22"/>
        </w:rPr>
        <w:t xml:space="preserve">. </w:t>
      </w:r>
      <w:r w:rsidR="008A1548">
        <w:rPr>
          <w:szCs w:val="22"/>
        </w:rPr>
        <w:t xml:space="preserve">It was </w:t>
      </w:r>
      <w:r w:rsidR="00156A72" w:rsidRPr="00701F40">
        <w:rPr>
          <w:szCs w:val="22"/>
        </w:rPr>
        <w:t xml:space="preserve">also suggested </w:t>
      </w:r>
      <w:r w:rsidR="00945A2E">
        <w:rPr>
          <w:szCs w:val="22"/>
        </w:rPr>
        <w:t xml:space="preserve">that </w:t>
      </w:r>
      <w:r w:rsidR="00156A72" w:rsidRPr="00701F40">
        <w:rPr>
          <w:szCs w:val="22"/>
        </w:rPr>
        <w:t xml:space="preserve">local community champions </w:t>
      </w:r>
      <w:r w:rsidR="008A1548">
        <w:rPr>
          <w:szCs w:val="22"/>
        </w:rPr>
        <w:t xml:space="preserve">be engaged </w:t>
      </w:r>
      <w:r w:rsidR="00156A72" w:rsidRPr="00701F40">
        <w:rPr>
          <w:szCs w:val="22"/>
        </w:rPr>
        <w:t>in the program to regularly consult with communities and their social organisations. Their involvement would ensure an appreciation of cultural dynamics, buy-in and ownership, which could be reflected in the program’s next design phase. Caritas Australia and their local partner Caritas Bangladesh are applying the learning from the evaluation, ensuring that women and other marginalised groups have greater participation in and influence over the design, planning and implementation of the development of their own communities.</w:t>
      </w:r>
    </w:p>
    <w:p w:rsidR="001854D3" w:rsidRPr="00A21FC2" w:rsidRDefault="008A1548" w:rsidP="00BC4EF3">
      <w:pPr>
        <w:pStyle w:val="BodyText"/>
        <w:rPr>
          <w:rFonts w:eastAsia="SimSun"/>
          <w:szCs w:val="22"/>
        </w:rPr>
      </w:pPr>
      <w:r>
        <w:rPr>
          <w:rFonts w:eastAsia="SimSun"/>
          <w:szCs w:val="22"/>
        </w:rPr>
        <w:t>Aid program</w:t>
      </w:r>
      <w:r w:rsidR="001854D3" w:rsidRPr="0073762F">
        <w:rPr>
          <w:rFonts w:eastAsia="SimSun"/>
          <w:szCs w:val="22"/>
        </w:rPr>
        <w:t xml:space="preserve"> staff </w:t>
      </w:r>
      <w:r w:rsidR="001854D3" w:rsidRPr="00861C9D">
        <w:rPr>
          <w:rFonts w:eastAsia="SimSun"/>
          <w:szCs w:val="22"/>
        </w:rPr>
        <w:t>visited ChildFund ANCP projects in Vietnam in May 2013 and participated in ChildFund’s end-of-project evaluation of the ANCP funded project ‘Reproductive and Child Health Care in Na</w:t>
      </w:r>
      <w:r w:rsidR="00940ADA" w:rsidRPr="00861C9D">
        <w:rPr>
          <w:rFonts w:eastAsia="SimSun"/>
          <w:szCs w:val="22"/>
        </w:rPr>
        <w:t> </w:t>
      </w:r>
      <w:r w:rsidR="001854D3" w:rsidRPr="00A21FC2">
        <w:rPr>
          <w:rFonts w:eastAsia="SimSun"/>
          <w:szCs w:val="22"/>
        </w:rPr>
        <w:t>Ri District, Bac Kan Province, for the period 2010–13’.</w:t>
      </w:r>
      <w:r w:rsidR="00FE65DB" w:rsidRPr="00A21FC2">
        <w:rPr>
          <w:rFonts w:eastAsia="SimSun"/>
          <w:szCs w:val="22"/>
        </w:rPr>
        <w:t xml:space="preserve"> S</w:t>
      </w:r>
      <w:r w:rsidR="001854D3" w:rsidRPr="00A21FC2">
        <w:rPr>
          <w:rFonts w:eastAsia="SimSun"/>
          <w:szCs w:val="22"/>
        </w:rPr>
        <w:t>taff visited projects in five communes, including health clinics, secondary schools, water and sanitation projects and a responsible husbands club. The visit to one water supply project included following the water from its source to a water pipe-stand and meter outside a commune member’s house.</w:t>
      </w:r>
    </w:p>
    <w:p w:rsidR="001854D3" w:rsidRPr="001854D3" w:rsidRDefault="00277125" w:rsidP="00BC4EF3">
      <w:pPr>
        <w:pStyle w:val="BodyText"/>
        <w:rPr>
          <w:rFonts w:eastAsia="SimSun"/>
          <w:szCs w:val="22"/>
        </w:rPr>
      </w:pPr>
      <w:r>
        <w:rPr>
          <w:rFonts w:eastAsia="SimSun"/>
          <w:szCs w:val="22"/>
        </w:rPr>
        <w:lastRenderedPageBreak/>
        <w:t>It was found</w:t>
      </w:r>
      <w:r w:rsidR="001854D3" w:rsidRPr="001854D3">
        <w:rPr>
          <w:rFonts w:eastAsia="SimSun"/>
          <w:szCs w:val="22"/>
        </w:rPr>
        <w:t xml:space="preserve"> that the projects in Bac</w:t>
      </w:r>
      <w:r w:rsidR="00940ADA">
        <w:rPr>
          <w:rFonts w:eastAsia="SimSun"/>
          <w:szCs w:val="22"/>
        </w:rPr>
        <w:t> </w:t>
      </w:r>
      <w:r w:rsidR="001854D3" w:rsidRPr="001854D3">
        <w:rPr>
          <w:rFonts w:eastAsia="SimSun"/>
          <w:szCs w:val="22"/>
        </w:rPr>
        <w:t xml:space="preserve">Kan provided good evidence that ANCP activities are </w:t>
      </w:r>
      <w:r w:rsidR="00156A72" w:rsidRPr="00701F40">
        <w:rPr>
          <w:rFonts w:eastAsia="SimSun"/>
          <w:szCs w:val="22"/>
        </w:rPr>
        <w:t>benefiting</w:t>
      </w:r>
      <w:r w:rsidR="001854D3" w:rsidRPr="001854D3">
        <w:rPr>
          <w:rFonts w:eastAsia="SimSun"/>
          <w:szCs w:val="22"/>
        </w:rPr>
        <w:t xml:space="preserve"> the poorest and most marginalised. They benefit very poor communes and represent good value for money in the provincial context of delivering projects in remote and mountainous regions, including to many ethnic minority groups. </w:t>
      </w:r>
      <w:r w:rsidR="008A1548">
        <w:rPr>
          <w:rFonts w:eastAsia="SimSun"/>
          <w:szCs w:val="22"/>
        </w:rPr>
        <w:t>S</w:t>
      </w:r>
      <w:r w:rsidR="001854D3" w:rsidRPr="001854D3">
        <w:rPr>
          <w:rFonts w:eastAsia="SimSun"/>
          <w:szCs w:val="22"/>
        </w:rPr>
        <w:t>taff found that ChildFund has effective and efficient project implementation and evaluation processes and strong relationships with provincial and district authorities. This contributes to capacity development of local staff</w:t>
      </w:r>
      <w:r w:rsidR="00940ADA">
        <w:rPr>
          <w:rFonts w:eastAsia="SimSun"/>
          <w:szCs w:val="22"/>
        </w:rPr>
        <w:t>;</w:t>
      </w:r>
      <w:r w:rsidR="001854D3" w:rsidRPr="001854D3">
        <w:rPr>
          <w:rFonts w:eastAsia="SimSun"/>
          <w:szCs w:val="22"/>
        </w:rPr>
        <w:t xml:space="preserve"> facilitates effective project implementation and links to government priorities</w:t>
      </w:r>
      <w:r w:rsidR="00940ADA">
        <w:rPr>
          <w:rFonts w:eastAsia="SimSun"/>
          <w:szCs w:val="22"/>
        </w:rPr>
        <w:t>;</w:t>
      </w:r>
      <w:r w:rsidR="001854D3" w:rsidRPr="001854D3">
        <w:rPr>
          <w:rFonts w:eastAsia="SimSun"/>
          <w:szCs w:val="22"/>
        </w:rPr>
        <w:t xml:space="preserve"> and ensures the sustainability of project benefits and ongoing results.</w:t>
      </w:r>
    </w:p>
    <w:p w:rsidR="001854D3" w:rsidRDefault="00DB4DEF" w:rsidP="00BC4EF3">
      <w:pPr>
        <w:pStyle w:val="BodyText"/>
        <w:rPr>
          <w:rFonts w:eastAsia="SimSun"/>
          <w:szCs w:val="22"/>
        </w:rPr>
      </w:pPr>
      <w:r>
        <w:rPr>
          <w:rFonts w:eastAsia="SimSun"/>
          <w:szCs w:val="22"/>
        </w:rPr>
        <w:t>Aid program staff</w:t>
      </w:r>
      <w:r w:rsidRPr="001854D3">
        <w:rPr>
          <w:rFonts w:eastAsia="SimSun"/>
          <w:szCs w:val="22"/>
        </w:rPr>
        <w:t xml:space="preserve"> </w:t>
      </w:r>
      <w:r w:rsidR="001854D3" w:rsidRPr="001854D3">
        <w:rPr>
          <w:rFonts w:eastAsia="SimSun"/>
          <w:szCs w:val="22"/>
        </w:rPr>
        <w:t xml:space="preserve">reviewed World Vision’s Food Security and Sustainable Livelihood Program during a visit to Sri Lanka in May 2013. The team found that World Vision’s project is increasing food security in communities by providing access to training and agricultural technologies rather than simply providing assets </w:t>
      </w:r>
      <w:r w:rsidR="00940ADA">
        <w:rPr>
          <w:rFonts w:eastAsia="SimSun"/>
          <w:szCs w:val="22"/>
        </w:rPr>
        <w:t xml:space="preserve">that </w:t>
      </w:r>
      <w:r w:rsidR="001854D3" w:rsidRPr="001854D3">
        <w:rPr>
          <w:rFonts w:eastAsia="SimSun"/>
          <w:szCs w:val="22"/>
        </w:rPr>
        <w:t>beneficiaries may not be able to maintain. Families reported being able to generate additional income due to the training they received under the project. The review team concluded that the work of World Vision is having a positive impact on the lives of the poor and is building the capacity of community based organisations in Sri Lanka</w:t>
      </w:r>
      <w:r w:rsidR="008A53E1">
        <w:rPr>
          <w:rFonts w:eastAsia="SimSun"/>
          <w:szCs w:val="22"/>
        </w:rPr>
        <w:t>.</w:t>
      </w:r>
    </w:p>
    <w:p w:rsidR="004D4F7B" w:rsidRPr="00BC4EF3" w:rsidRDefault="0062744A" w:rsidP="00BC4EF3">
      <w:pPr>
        <w:pStyle w:val="BodyText"/>
        <w:rPr>
          <w:b/>
        </w:rPr>
      </w:pPr>
      <w:r w:rsidRPr="00BC4EF3">
        <w:rPr>
          <w:b/>
        </w:rPr>
        <w:t>Monitoring, Evaluation and Learning Framework r</w:t>
      </w:r>
      <w:r w:rsidR="004D4F7B" w:rsidRPr="00BC4EF3">
        <w:rPr>
          <w:b/>
        </w:rPr>
        <w:t>eview</w:t>
      </w:r>
      <w:r w:rsidR="001D692C" w:rsidRPr="00BC4EF3">
        <w:rPr>
          <w:rStyle w:val="FootnoteReference"/>
          <w:b/>
        </w:rPr>
        <w:footnoteReference w:id="10"/>
      </w:r>
    </w:p>
    <w:p w:rsidR="001B3F95" w:rsidRPr="006D1D6D" w:rsidRDefault="001B3F95" w:rsidP="00BC4EF3">
      <w:pPr>
        <w:pStyle w:val="BodyText"/>
      </w:pPr>
      <w:r w:rsidRPr="006D1D6D">
        <w:t>From December 2012 to March 2013 the Monitoring, Evaluation and Learning Framework</w:t>
      </w:r>
      <w:r w:rsidR="000B13E8" w:rsidRPr="006D1D6D">
        <w:t xml:space="preserve"> (MELF)</w:t>
      </w:r>
      <w:r w:rsidR="008A1548">
        <w:t xml:space="preserve"> was reviewed</w:t>
      </w:r>
      <w:r w:rsidR="00277125">
        <w:t xml:space="preserve"> (by AusAID)</w:t>
      </w:r>
      <w:r w:rsidRPr="006D1D6D">
        <w:t>.</w:t>
      </w:r>
      <w:r w:rsidR="000B13E8" w:rsidRPr="006D1D6D">
        <w:t xml:space="preserve"> The MELF was introduced in May 2012 to ensure consistent reporting by Australian NGOs funded under the ANCP.</w:t>
      </w:r>
      <w:r w:rsidR="00B5261E" w:rsidRPr="006D1D6D">
        <w:t xml:space="preserve"> The review consisted of an assessment of the effectiveness of a sample of NGO reports; an appraisal of the indicators that NGOs were asked to report on; and analysis of NGO feedback on the framework.</w:t>
      </w:r>
    </w:p>
    <w:p w:rsidR="000B13E8" w:rsidRDefault="00B5261E" w:rsidP="00BC4EF3">
      <w:pPr>
        <w:pStyle w:val="BodyText"/>
      </w:pPr>
      <w:r w:rsidRPr="00846187">
        <w:t>The assessment of the effectiveness of reporting was undertaken by an external consultant</w:t>
      </w:r>
      <w:r w:rsidR="000B13E8" w:rsidRPr="00846187">
        <w:t>. Her finding was that the reports provide a good summary of NGO achievements but that the templates would benefit from some editing and clarification. A further recommendation was for ANCP Partner NGOs to provide additional information to communicate more fully the scale of their work.</w:t>
      </w:r>
    </w:p>
    <w:p w:rsidR="00E00BE2" w:rsidRPr="006D1D6D" w:rsidRDefault="000B13E8" w:rsidP="00BC4EF3">
      <w:pPr>
        <w:pStyle w:val="BodyText"/>
      </w:pPr>
      <w:r w:rsidRPr="006D1D6D">
        <w:t xml:space="preserve">The appraisal of the </w:t>
      </w:r>
      <w:r w:rsidR="00E00BE2" w:rsidRPr="006D1D6D">
        <w:t xml:space="preserve">130 </w:t>
      </w:r>
      <w:r w:rsidRPr="006D1D6D">
        <w:t xml:space="preserve">indicators </w:t>
      </w:r>
      <w:r w:rsidR="001C68F1">
        <w:t xml:space="preserve">that </w:t>
      </w:r>
      <w:r w:rsidRPr="006D1D6D">
        <w:t>NGOs were asked to report on</w:t>
      </w:r>
      <w:r w:rsidR="00E00BE2" w:rsidRPr="006D1D6D">
        <w:t xml:space="preserve"> </w:t>
      </w:r>
      <w:r w:rsidR="00A20DF2" w:rsidRPr="006D1D6D">
        <w:t xml:space="preserve">in 2011–12 </w:t>
      </w:r>
      <w:r w:rsidR="00E00BE2" w:rsidRPr="006D1D6D">
        <w:t>included</w:t>
      </w:r>
      <w:r w:rsidRPr="006D1D6D">
        <w:t xml:space="preserve"> headline indicators and </w:t>
      </w:r>
      <w:r w:rsidR="00E00BE2" w:rsidRPr="006D1D6D">
        <w:t>lower</w:t>
      </w:r>
      <w:r w:rsidR="001C68F1">
        <w:t>-</w:t>
      </w:r>
      <w:r w:rsidR="00E00BE2" w:rsidRPr="006D1D6D">
        <w:t xml:space="preserve">level </w:t>
      </w:r>
      <w:r w:rsidRPr="006D1D6D">
        <w:t xml:space="preserve">indicators specific to </w:t>
      </w:r>
      <w:r w:rsidR="00E00BE2" w:rsidRPr="006D1D6D">
        <w:t xml:space="preserve">more specialised NGO </w:t>
      </w:r>
      <w:r w:rsidRPr="006D1D6D">
        <w:t xml:space="preserve">activities. At the time </w:t>
      </w:r>
      <w:r w:rsidR="00E00BE2" w:rsidRPr="006D1D6D">
        <w:t xml:space="preserve">of the </w:t>
      </w:r>
      <w:r w:rsidRPr="006D1D6D">
        <w:t xml:space="preserve">review, 35 out of 42 NGOs </w:t>
      </w:r>
      <w:r w:rsidR="00E00BE2" w:rsidRPr="006D1D6D">
        <w:t xml:space="preserve">were </w:t>
      </w:r>
      <w:r w:rsidRPr="006D1D6D">
        <w:t xml:space="preserve">able to report against the indicators. </w:t>
      </w:r>
      <w:r w:rsidR="008A1548">
        <w:t xml:space="preserve">There was extensive consultation </w:t>
      </w:r>
      <w:r w:rsidR="00DE4A4E" w:rsidRPr="006D1D6D">
        <w:t xml:space="preserve">with NGOs and </w:t>
      </w:r>
      <w:r w:rsidRPr="006D1D6D">
        <w:t xml:space="preserve">thematic areas to </w:t>
      </w:r>
      <w:r w:rsidR="00BA0E3D" w:rsidRPr="006D1D6D">
        <w:t xml:space="preserve">refine </w:t>
      </w:r>
      <w:r w:rsidRPr="006D1D6D">
        <w:t xml:space="preserve">the </w:t>
      </w:r>
      <w:r w:rsidR="00BA0E3D" w:rsidRPr="006D1D6D">
        <w:t xml:space="preserve">number of </w:t>
      </w:r>
      <w:r w:rsidRPr="006D1D6D">
        <w:t xml:space="preserve">indicators </w:t>
      </w:r>
      <w:r w:rsidR="007E48C6" w:rsidRPr="006D1D6D">
        <w:t>to improve disaggregated data</w:t>
      </w:r>
      <w:r w:rsidRPr="006D1D6D">
        <w:t xml:space="preserve">. Based on the </w:t>
      </w:r>
      <w:r w:rsidR="007E48C6" w:rsidRPr="006D1D6D">
        <w:t xml:space="preserve">feedback from thematic areas and NGOs, </w:t>
      </w:r>
      <w:r w:rsidRPr="006D1D6D">
        <w:t xml:space="preserve">the frequency of use </w:t>
      </w:r>
      <w:r w:rsidR="007E48C6" w:rsidRPr="006D1D6D">
        <w:t xml:space="preserve">of indicators by NGOs </w:t>
      </w:r>
      <w:r w:rsidRPr="006D1D6D">
        <w:t xml:space="preserve">and the worth of the data for reporting purposes, the number of indicators </w:t>
      </w:r>
      <w:r w:rsidR="00E00BE2" w:rsidRPr="006D1D6D">
        <w:t>that</w:t>
      </w:r>
      <w:r w:rsidRPr="006D1D6D">
        <w:t xml:space="preserve"> NGOs </w:t>
      </w:r>
      <w:r w:rsidR="00E00BE2" w:rsidRPr="006D1D6D">
        <w:t xml:space="preserve">will be required </w:t>
      </w:r>
      <w:r w:rsidRPr="006D1D6D">
        <w:t>to report against</w:t>
      </w:r>
      <w:r w:rsidR="00E00BE2" w:rsidRPr="006D1D6D">
        <w:t xml:space="preserve"> in 2012–13</w:t>
      </w:r>
      <w:r w:rsidR="008A1548">
        <w:t xml:space="preserve"> decreased to around 90</w:t>
      </w:r>
      <w:r w:rsidRPr="006D1D6D">
        <w:t>.</w:t>
      </w:r>
      <w:r w:rsidR="00E00BE2" w:rsidRPr="006D1D6D">
        <w:t xml:space="preserve"> </w:t>
      </w:r>
    </w:p>
    <w:p w:rsidR="000B13E8" w:rsidRPr="006D1D6D" w:rsidRDefault="00E00BE2" w:rsidP="00BC4EF3">
      <w:pPr>
        <w:pStyle w:val="BodyText"/>
      </w:pPr>
      <w:r w:rsidRPr="006D1D6D">
        <w:t xml:space="preserve">Thirty-two of 42 ANCP NGOs provided written feedback on the MELF. </w:t>
      </w:r>
      <w:r w:rsidR="000B13E8" w:rsidRPr="006D1D6D">
        <w:t xml:space="preserve">NGOs </w:t>
      </w:r>
      <w:r w:rsidR="00DD514B" w:rsidRPr="006D1D6D">
        <w:t xml:space="preserve">documented </w:t>
      </w:r>
      <w:r w:rsidR="000B13E8" w:rsidRPr="006D1D6D">
        <w:t xml:space="preserve">the challenges they faced, their positive experiences and their suggestions for improvement. While a </w:t>
      </w:r>
      <w:r w:rsidR="00A20DF2" w:rsidRPr="006D1D6D">
        <w:t xml:space="preserve">majority </w:t>
      </w:r>
      <w:r w:rsidR="000B13E8" w:rsidRPr="006D1D6D">
        <w:t xml:space="preserve">found the </w:t>
      </w:r>
      <w:r w:rsidR="00A20DF2" w:rsidRPr="006D1D6D">
        <w:t xml:space="preserve">move </w:t>
      </w:r>
      <w:r w:rsidR="000B13E8" w:rsidRPr="006D1D6D">
        <w:t xml:space="preserve">to a new reporting framework challenging, they also said that it had promoted improvements in their internal monitoring and evaluation systems. ANCP Partner NGOs </w:t>
      </w:r>
      <w:r w:rsidR="00BA0E3D" w:rsidRPr="006D1D6D">
        <w:t xml:space="preserve">reported </w:t>
      </w:r>
      <w:r w:rsidR="000B13E8" w:rsidRPr="006D1D6D">
        <w:t>that the templates did not provide enough scope for them to report in detail on program</w:t>
      </w:r>
      <w:r w:rsidR="001C68F1">
        <w:t>-</w:t>
      </w:r>
      <w:r w:rsidR="000B13E8" w:rsidRPr="006D1D6D">
        <w:t>level activities. The request for more opportunities for learning and participation in development effectiveness discussions was also raised.</w:t>
      </w:r>
    </w:p>
    <w:p w:rsidR="005A3D82" w:rsidRPr="00A22760" w:rsidRDefault="00297877" w:rsidP="00BC4EF3">
      <w:pPr>
        <w:pStyle w:val="BodyText"/>
        <w:rPr>
          <w:szCs w:val="22"/>
        </w:rPr>
      </w:pPr>
      <w:r w:rsidRPr="00A22760">
        <w:rPr>
          <w:szCs w:val="22"/>
        </w:rPr>
        <w:t xml:space="preserve">The review of the MELF found that it is a practical tool that is providing standardised reporting by ANCP NGOs. </w:t>
      </w:r>
      <w:r w:rsidR="00B51D54" w:rsidRPr="00A22760">
        <w:rPr>
          <w:szCs w:val="22"/>
        </w:rPr>
        <w:t xml:space="preserve">The recommendations from the MELF review </w:t>
      </w:r>
      <w:r w:rsidR="005A3D82" w:rsidRPr="00A22760">
        <w:rPr>
          <w:szCs w:val="22"/>
        </w:rPr>
        <w:t>were</w:t>
      </w:r>
      <w:r w:rsidR="001C68F1">
        <w:rPr>
          <w:szCs w:val="22"/>
        </w:rPr>
        <w:t xml:space="preserve"> as follows</w:t>
      </w:r>
      <w:r w:rsidR="005A3D82" w:rsidRPr="00A22760">
        <w:rPr>
          <w:szCs w:val="22"/>
        </w:rPr>
        <w:t>:</w:t>
      </w:r>
    </w:p>
    <w:p w:rsidR="005A3D82" w:rsidRPr="00A22760" w:rsidRDefault="005A3D82" w:rsidP="00BC4EF3">
      <w:pPr>
        <w:pStyle w:val="ListBullet"/>
      </w:pPr>
      <w:r w:rsidRPr="00A22760">
        <w:t>Streamline the information collected</w:t>
      </w:r>
      <w:r w:rsidR="00156A72" w:rsidRPr="00701F40">
        <w:t xml:space="preserve">, including </w:t>
      </w:r>
      <w:r w:rsidR="0062744A">
        <w:t xml:space="preserve">by </w:t>
      </w:r>
      <w:r w:rsidR="00156A72" w:rsidRPr="00701F40">
        <w:t>revising the</w:t>
      </w:r>
      <w:r w:rsidRPr="00A22760">
        <w:t xml:space="preserve"> list of indicators.</w:t>
      </w:r>
    </w:p>
    <w:p w:rsidR="005A3D82" w:rsidRPr="00A22760" w:rsidRDefault="005A3D82" w:rsidP="00BC4EF3">
      <w:pPr>
        <w:pStyle w:val="ListBullet"/>
      </w:pPr>
      <w:r w:rsidRPr="00A22760">
        <w:lastRenderedPageBreak/>
        <w:t>Build on the efficiencies of streamlined reporting through the rollout of an online grants management system.</w:t>
      </w:r>
    </w:p>
    <w:p w:rsidR="005A3D82" w:rsidRPr="00A22760" w:rsidRDefault="005A3D82" w:rsidP="00BC4EF3">
      <w:pPr>
        <w:pStyle w:val="ListBullet"/>
      </w:pPr>
      <w:r w:rsidRPr="00A22760">
        <w:t>Provide enhanced Partnership reporting opportunities for ANCP Partner NGOs and engage Partners to suggest ways in which they can contribute more.</w:t>
      </w:r>
    </w:p>
    <w:p w:rsidR="005A3D82" w:rsidRPr="00A22760" w:rsidRDefault="005A3D82" w:rsidP="00BC4EF3">
      <w:pPr>
        <w:pStyle w:val="ListBullet"/>
      </w:pPr>
      <w:r w:rsidRPr="00A22760">
        <w:t>Undertake, as soon as possible, a meta-evaluation of NGO evaluations with a common country, sectoral or thematic focus in order to share learning on development effectiveness.</w:t>
      </w:r>
    </w:p>
    <w:p w:rsidR="005A3D82" w:rsidRPr="0062744A" w:rsidRDefault="00156A72" w:rsidP="00BC4EF3">
      <w:pPr>
        <w:pStyle w:val="ListBullet"/>
      </w:pPr>
      <w:r w:rsidRPr="00701F40">
        <w:t>Develop topics for future thematic reviews based on information gathered through the MELF reporting process.</w:t>
      </w:r>
    </w:p>
    <w:p w:rsidR="005A3D82" w:rsidRPr="00A22760" w:rsidRDefault="005A3D82" w:rsidP="00BC4EF3">
      <w:pPr>
        <w:pStyle w:val="ListBullet"/>
      </w:pPr>
      <w:r w:rsidRPr="00A22760">
        <w:t>Discuss further with the NGO sector the interpretation of the word ‘advocacy’.</w:t>
      </w:r>
    </w:p>
    <w:p w:rsidR="005A3D82" w:rsidRPr="00A22760" w:rsidRDefault="00563629" w:rsidP="00BC4EF3">
      <w:pPr>
        <w:pStyle w:val="BodyText"/>
      </w:pPr>
      <w:r>
        <w:t>A</w:t>
      </w:r>
      <w:r w:rsidR="005A3D82" w:rsidRPr="00A22760">
        <w:t xml:space="preserve">ll </w:t>
      </w:r>
      <w:r w:rsidR="001C68F1">
        <w:t xml:space="preserve">of </w:t>
      </w:r>
      <w:r w:rsidR="005A3D82" w:rsidRPr="00A22760">
        <w:t>these recommendations</w:t>
      </w:r>
      <w:r>
        <w:t xml:space="preserve"> were accepted</w:t>
      </w:r>
      <w:r w:rsidR="005A3D82" w:rsidRPr="00A22760">
        <w:t>.</w:t>
      </w:r>
    </w:p>
    <w:p w:rsidR="005A3D82" w:rsidRPr="00A22760" w:rsidRDefault="005A3D82" w:rsidP="00BC4EF3">
      <w:pPr>
        <w:pStyle w:val="BodyText"/>
      </w:pPr>
      <w:r w:rsidRPr="00A22760">
        <w:t xml:space="preserve">A further recommendation was </w:t>
      </w:r>
      <w:r w:rsidR="00A52C71" w:rsidRPr="00A22760">
        <w:t>that</w:t>
      </w:r>
      <w:r w:rsidRPr="00A22760">
        <w:t xml:space="preserve"> ANCP NGOs</w:t>
      </w:r>
      <w:r w:rsidR="00A52C71" w:rsidRPr="00A22760">
        <w:t>:</w:t>
      </w:r>
    </w:p>
    <w:p w:rsidR="005A3D82" w:rsidRPr="00A22760" w:rsidRDefault="00701F40" w:rsidP="00BC4EF3">
      <w:pPr>
        <w:pStyle w:val="ListBullet"/>
      </w:pPr>
      <w:r>
        <w:t>A</w:t>
      </w:r>
      <w:r w:rsidR="00156A72" w:rsidRPr="00701F40">
        <w:t>gree</w:t>
      </w:r>
      <w:r w:rsidR="005A3D82" w:rsidRPr="00A22760">
        <w:t xml:space="preserve"> to form a standing ANCP monitoring and evaluation consultative group, the basis of which will be defined in terms of reference co-drafted with </w:t>
      </w:r>
      <w:r w:rsidR="00563629">
        <w:t>the aid program</w:t>
      </w:r>
      <w:r w:rsidR="005A3D82" w:rsidRPr="00A22760">
        <w:t>. This group will contribute to demonstrating further the depth and quality of NGO work under the ANCP and the importance of NGOs as development partners.</w:t>
      </w:r>
    </w:p>
    <w:p w:rsidR="005A3D82" w:rsidRDefault="00563629" w:rsidP="00BC4EF3">
      <w:pPr>
        <w:pStyle w:val="BodyText"/>
      </w:pPr>
      <w:r>
        <w:t xml:space="preserve">DFAT </w:t>
      </w:r>
      <w:r w:rsidR="00DB4DEF">
        <w:t>has consulted</w:t>
      </w:r>
      <w:r w:rsidR="00A43CB8">
        <w:t xml:space="preserve"> with ANCP NGOs on</w:t>
      </w:r>
      <w:r w:rsidR="00A43CB8" w:rsidRPr="00A22760">
        <w:t xml:space="preserve"> </w:t>
      </w:r>
      <w:r w:rsidR="005A3D82" w:rsidRPr="00A22760">
        <w:t>terms of reference for an ongoing monitoring and evaluation group. This will also be done in the context of the findings of the</w:t>
      </w:r>
      <w:r w:rsidR="0042127E" w:rsidRPr="00A22760">
        <w:t xml:space="preserve"> </w:t>
      </w:r>
      <w:r w:rsidR="00156A72" w:rsidRPr="00701F40">
        <w:t>Mid Term Review of ANCP Partnerships</w:t>
      </w:r>
      <w:r w:rsidR="005572D6">
        <w:t>,</w:t>
      </w:r>
      <w:r w:rsidR="00297877" w:rsidRPr="00A22760">
        <w:t xml:space="preserve"> </w:t>
      </w:r>
      <w:r w:rsidR="005A3D82" w:rsidRPr="00A22760">
        <w:t>outlined below.</w:t>
      </w:r>
    </w:p>
    <w:p w:rsidR="002F771F" w:rsidRDefault="002F771F" w:rsidP="00AE0FCA">
      <w:pPr>
        <w:pStyle w:val="Heading2"/>
      </w:pPr>
      <w:r w:rsidRPr="002F771F">
        <w:t xml:space="preserve">ANCP Partnerships </w:t>
      </w:r>
    </w:p>
    <w:p w:rsidR="00297877" w:rsidRPr="00062438" w:rsidRDefault="00297877" w:rsidP="00BC4EF3">
      <w:pPr>
        <w:pStyle w:val="BodyText"/>
      </w:pPr>
      <w:r w:rsidRPr="00062438">
        <w:t>ANCP Partners are fully accredited Australian NGOs with a large Australian community support base.</w:t>
      </w:r>
      <w:r w:rsidR="006477FE" w:rsidRPr="00062438">
        <w:t xml:space="preserve"> The 10 ANCP Partners are CARE Australia, Caritas Australia, CBM Australia, </w:t>
      </w:r>
      <w:r w:rsidR="00156A72" w:rsidRPr="00701F40">
        <w:t>ChildFund</w:t>
      </w:r>
      <w:r w:rsidR="006477FE" w:rsidRPr="00062438">
        <w:t xml:space="preserve"> Australia, The Fred Hollows Foundation, Oxfam Australia, Plan International Australia, Save the Children Australia, TEAR Australia and World Vision Australia.</w:t>
      </w:r>
    </w:p>
    <w:p w:rsidR="006477FE" w:rsidRDefault="006477FE" w:rsidP="00BC4EF3">
      <w:pPr>
        <w:pStyle w:val="BodyText"/>
      </w:pPr>
      <w:r w:rsidRPr="00043EE5">
        <w:t>Partner agencies are committed to enhancing their performance</w:t>
      </w:r>
      <w:r w:rsidRPr="005B45FF">
        <w:t xml:space="preserve"> in development effectiveness as well as sharing knowledge and learning. Partners are defined as having proven capacity to contribute to developing effective aid programs at significant scale and with last</w:t>
      </w:r>
      <w:r w:rsidR="00266D10">
        <w:t>ing impact. ANCP Partners agree</w:t>
      </w:r>
      <w:r w:rsidRPr="005B45FF">
        <w:t xml:space="preserve"> to assist</w:t>
      </w:r>
      <w:r w:rsidR="009B2876">
        <w:t xml:space="preserve"> the </w:t>
      </w:r>
      <w:r w:rsidR="00277125">
        <w:t>D</w:t>
      </w:r>
      <w:r w:rsidR="009B2876">
        <w:t>epartment</w:t>
      </w:r>
      <w:r w:rsidRPr="005B45FF">
        <w:t xml:space="preserve"> in contributing to the goal of helping people </w:t>
      </w:r>
      <w:r w:rsidR="005572D6">
        <w:t xml:space="preserve">to </w:t>
      </w:r>
      <w:r w:rsidRPr="005B45FF">
        <w:t>overcome poverty and to deliver high</w:t>
      </w:r>
      <w:r w:rsidRPr="006D1D6D">
        <w:t>-quality poverty alleviation programs</w:t>
      </w:r>
      <w:r w:rsidR="00563629">
        <w:t>.</w:t>
      </w:r>
      <w:r w:rsidRPr="006D1D6D">
        <w:t xml:space="preserve"> </w:t>
      </w:r>
    </w:p>
    <w:p w:rsidR="00297877" w:rsidRPr="00BC4EF3" w:rsidRDefault="00156A72" w:rsidP="00BC4EF3">
      <w:pPr>
        <w:pStyle w:val="BodyText"/>
        <w:rPr>
          <w:b/>
        </w:rPr>
      </w:pPr>
      <w:r w:rsidRPr="00BC4EF3">
        <w:rPr>
          <w:b/>
        </w:rPr>
        <w:t>Mid Term Review</w:t>
      </w:r>
      <w:r w:rsidR="005572D6" w:rsidRPr="00BC4EF3">
        <w:rPr>
          <w:b/>
        </w:rPr>
        <w:t xml:space="preserve"> of ANCP Partnerships</w:t>
      </w:r>
      <w:r w:rsidRPr="00BC4EF3">
        <w:rPr>
          <w:rStyle w:val="FootnoteReference"/>
          <w:b/>
        </w:rPr>
        <w:footnoteReference w:id="11"/>
      </w:r>
    </w:p>
    <w:p w:rsidR="00297877" w:rsidRPr="006D1D6D" w:rsidRDefault="00297877" w:rsidP="00BC4EF3">
      <w:pPr>
        <w:pStyle w:val="BodyText"/>
      </w:pPr>
      <w:r w:rsidRPr="006D1D6D">
        <w:t xml:space="preserve">A </w:t>
      </w:r>
      <w:r>
        <w:t>Mid Term</w:t>
      </w:r>
      <w:r w:rsidRPr="006D1D6D">
        <w:t xml:space="preserve"> Review of ANCP Partnerships</w:t>
      </w:r>
      <w:r w:rsidR="006477FE">
        <w:t xml:space="preserve"> </w:t>
      </w:r>
      <w:r w:rsidRPr="006D1D6D">
        <w:t>was undertaken between September 2011 and May 2012. The review was designed to provide a more accurate understanding of the cost</w:t>
      </w:r>
      <w:r>
        <w:t>s and benefits associated with P</w:t>
      </w:r>
      <w:r w:rsidRPr="006D1D6D">
        <w:t xml:space="preserve">artnerships and to demonstrate achievements </w:t>
      </w:r>
      <w:r w:rsidR="00F66511">
        <w:t>in delivering</w:t>
      </w:r>
      <w:r w:rsidRPr="006D1D6D">
        <w:t xml:space="preserve"> effective development outcomes for people living in poverty. Partner NGOs submitted evidence of how the Partnership had increased their development effectiveness.</w:t>
      </w:r>
    </w:p>
    <w:p w:rsidR="00297877" w:rsidRPr="006D1D6D" w:rsidRDefault="00297877" w:rsidP="00BC4EF3">
      <w:pPr>
        <w:pStyle w:val="BodyText"/>
      </w:pPr>
      <w:r w:rsidRPr="006D1D6D">
        <w:t>The review found that ANCP Partnerships have already</w:t>
      </w:r>
      <w:r>
        <w:t xml:space="preserve"> supported P</w:t>
      </w:r>
      <w:r w:rsidRPr="006D1D6D">
        <w:t>artner NGOs to reach over 6.5</w:t>
      </w:r>
      <w:r w:rsidR="001C68F1">
        <w:t> </w:t>
      </w:r>
      <w:r w:rsidRPr="006D1D6D">
        <w:t>million direct beneficiaries and have considerable potential to expand the reach and quality of the Australian aid program to better target the needs of very poor people. In 2011–12, the eight ANCP Partners received 73</w:t>
      </w:r>
      <w:r w:rsidR="001C68F1">
        <w:t> </w:t>
      </w:r>
      <w:r w:rsidRPr="006D1D6D">
        <w:t>per cent of funds available under the program (almost $63</w:t>
      </w:r>
      <w:r w:rsidR="001C68F1">
        <w:t> </w:t>
      </w:r>
      <w:r w:rsidRPr="006D1D6D">
        <w:t xml:space="preserve">million). Analysis of the evidence showed that Partnership funding was concentrated in many of the countries </w:t>
      </w:r>
      <w:r w:rsidR="001C68F1">
        <w:t xml:space="preserve">that </w:t>
      </w:r>
      <w:r w:rsidRPr="006D1D6D">
        <w:t>are identified as priorities for the Australian aid program. Further findings of the review were as follows:</w:t>
      </w:r>
    </w:p>
    <w:p w:rsidR="00297877" w:rsidRPr="006D1D6D" w:rsidRDefault="00297877" w:rsidP="00BC4EF3">
      <w:pPr>
        <w:pStyle w:val="ListBullet"/>
      </w:pPr>
      <w:r w:rsidRPr="006D1D6D">
        <w:lastRenderedPageBreak/>
        <w:t>Increased funding and certainty of funding allowed agencies to expand their projects, take a longer</w:t>
      </w:r>
      <w:r w:rsidR="001C68F1">
        <w:t>-</w:t>
      </w:r>
      <w:r w:rsidRPr="006D1D6D">
        <w:t>term programmatic approach and make better use of their specific expertise.</w:t>
      </w:r>
    </w:p>
    <w:p w:rsidR="00297877" w:rsidRPr="006D1D6D" w:rsidRDefault="00297877" w:rsidP="00BC4EF3">
      <w:pPr>
        <w:pStyle w:val="ListBullet"/>
      </w:pPr>
      <w:r w:rsidRPr="006D1D6D">
        <w:t xml:space="preserve">Partner agencies could point to an increase in the number of </w:t>
      </w:r>
      <w:r w:rsidR="00156A72" w:rsidRPr="00701F40">
        <w:t>people benefiting</w:t>
      </w:r>
      <w:r w:rsidRPr="006D1D6D">
        <w:t xml:space="preserve"> from an expansion in quality and range of projects.</w:t>
      </w:r>
    </w:p>
    <w:p w:rsidR="00297877" w:rsidRPr="006D1D6D" w:rsidRDefault="00297877" w:rsidP="00BC4EF3">
      <w:pPr>
        <w:pStyle w:val="ListBullet"/>
      </w:pPr>
      <w:r w:rsidRPr="006D1D6D">
        <w:t xml:space="preserve">Program design and agency development </w:t>
      </w:r>
      <w:r>
        <w:t>were</w:t>
      </w:r>
      <w:r w:rsidRPr="006D1D6D">
        <w:t xml:space="preserve"> better supported.</w:t>
      </w:r>
    </w:p>
    <w:p w:rsidR="00297877" w:rsidRPr="006D1D6D" w:rsidRDefault="00297877" w:rsidP="00BC4EF3">
      <w:pPr>
        <w:pStyle w:val="ListBullet"/>
      </w:pPr>
      <w:r w:rsidRPr="006D1D6D">
        <w:t>Predictable funding allowed agencies to leverage other financial support.</w:t>
      </w:r>
    </w:p>
    <w:p w:rsidR="00297877" w:rsidRPr="006D1D6D" w:rsidRDefault="00297877" w:rsidP="00BC4EF3">
      <w:pPr>
        <w:pStyle w:val="ListBullet"/>
      </w:pPr>
      <w:r w:rsidRPr="006D1D6D">
        <w:t>In-country capacity building was enhanced.</w:t>
      </w:r>
    </w:p>
    <w:p w:rsidR="00297877" w:rsidRPr="006D1D6D" w:rsidRDefault="00297877" w:rsidP="00BC4EF3">
      <w:pPr>
        <w:pStyle w:val="ListBullet"/>
      </w:pPr>
      <w:r w:rsidRPr="006D1D6D">
        <w:t>Collaboration between AusAID and NGOs increased.</w:t>
      </w:r>
    </w:p>
    <w:p w:rsidR="00297877" w:rsidRPr="006D1D6D" w:rsidRDefault="00297877" w:rsidP="00BC4EF3">
      <w:pPr>
        <w:pStyle w:val="ListBullet"/>
      </w:pPr>
      <w:r w:rsidRPr="006D1D6D">
        <w:t>Some opportunities arose for shared learning amongst Partner NGOs.</w:t>
      </w:r>
    </w:p>
    <w:p w:rsidR="00297877" w:rsidRPr="006D1D6D" w:rsidRDefault="00297877" w:rsidP="00BC4EF3">
      <w:pPr>
        <w:pStyle w:val="BodyText"/>
      </w:pPr>
      <w:r w:rsidRPr="006D1D6D">
        <w:t>The report also outlined areas for improvement in the management of ANCP Partnerships. Despite improved high-level cooperation</w:t>
      </w:r>
      <w:r w:rsidR="00C3398F">
        <w:t xml:space="preserve"> between the department and ANCP Partners</w:t>
      </w:r>
      <w:r w:rsidRPr="006D1D6D">
        <w:t>, NGOs reported that the Partnership agreement had not led to increased policy dialogue or to the anticipated shared learning events. This was seen to be due in large part to the lack of resources and dedicated technical support.</w:t>
      </w:r>
    </w:p>
    <w:p w:rsidR="00297877" w:rsidRDefault="00297877" w:rsidP="00BC4EF3">
      <w:pPr>
        <w:pStyle w:val="BodyText"/>
      </w:pPr>
      <w:r w:rsidRPr="006D1D6D">
        <w:t xml:space="preserve">Partner NGOs reported that they provided considerable detail about programs and specific areas of learning in the annual reporting process but that limited resources to analyse and synthesise this information meant that it had largely not been utilised or shared more widely in the </w:t>
      </w:r>
      <w:r w:rsidR="009F2ECE">
        <w:t>aid program</w:t>
      </w:r>
      <w:r w:rsidRPr="006D1D6D">
        <w:t xml:space="preserve">. They also raised the apparent lack of connection between country and thematic areas with the ANCP Partnership. The report observed that this lack of informed country and program engagement has contributed to </w:t>
      </w:r>
      <w:r w:rsidR="00563629">
        <w:t>the</w:t>
      </w:r>
      <w:r w:rsidRPr="006D1D6D">
        <w:t xml:space="preserve"> difficulty in analysing the effectiveness and impact of ANCP programs.</w:t>
      </w:r>
    </w:p>
    <w:p w:rsidR="00297877" w:rsidRPr="00043EE5" w:rsidRDefault="00297877" w:rsidP="00BC4EF3">
      <w:pPr>
        <w:pStyle w:val="BodyText"/>
      </w:pPr>
      <w:r w:rsidRPr="00043EE5">
        <w:t>The recommendations from the Mid Term Review of ANCP Partnerships were</w:t>
      </w:r>
      <w:r w:rsidR="007C7036">
        <w:t xml:space="preserve"> as follows</w:t>
      </w:r>
      <w:r w:rsidRPr="00043EE5">
        <w:t>:</w:t>
      </w:r>
    </w:p>
    <w:p w:rsidR="00297877" w:rsidRPr="00043EE5" w:rsidRDefault="00297877" w:rsidP="00BC4EF3">
      <w:pPr>
        <w:pStyle w:val="ListBullet"/>
      </w:pPr>
      <w:r w:rsidRPr="00043EE5">
        <w:t>Partner NGOs should formally explore their collective strengths and how to undertake a Partnership approach</w:t>
      </w:r>
      <w:r w:rsidR="00C2751C" w:rsidRPr="00043EE5">
        <w:t>, to</w:t>
      </w:r>
      <w:r w:rsidRPr="00043EE5">
        <w:t xml:space="preserve"> maximise impact and outcomes under the program.</w:t>
      </w:r>
    </w:p>
    <w:p w:rsidR="00297877" w:rsidRPr="00043EE5" w:rsidRDefault="00297877" w:rsidP="00BC4EF3">
      <w:pPr>
        <w:pStyle w:val="ListBullet"/>
      </w:pPr>
      <w:r w:rsidRPr="00043EE5">
        <w:t>Focus for the remaining 12 months should be on sharing learning, through activities or reports which promote effective development practice for Partner NGOs.</w:t>
      </w:r>
    </w:p>
    <w:p w:rsidR="00297877" w:rsidRPr="00043EE5" w:rsidRDefault="00563629" w:rsidP="00BC4EF3">
      <w:pPr>
        <w:pStyle w:val="ListBullet"/>
        <w:rPr>
          <w:bCs/>
          <w:iCs/>
        </w:rPr>
      </w:pPr>
      <w:r>
        <w:rPr>
          <w:bCs/>
          <w:iCs/>
        </w:rPr>
        <w:t>A</w:t>
      </w:r>
      <w:r w:rsidR="00297877" w:rsidRPr="00043EE5">
        <w:rPr>
          <w:bCs/>
          <w:iCs/>
        </w:rPr>
        <w:t>n impact assessment of the program</w:t>
      </w:r>
      <w:r>
        <w:rPr>
          <w:bCs/>
          <w:iCs/>
        </w:rPr>
        <w:t xml:space="preserve"> should be considered</w:t>
      </w:r>
      <w:r w:rsidR="00297877" w:rsidRPr="00043EE5">
        <w:rPr>
          <w:bCs/>
          <w:iCs/>
        </w:rPr>
        <w:t>, with attention to countries where considerable ANCP resources have been focused.</w:t>
      </w:r>
    </w:p>
    <w:p w:rsidR="00297877" w:rsidRPr="00043EE5" w:rsidRDefault="00297877" w:rsidP="00BC4EF3">
      <w:pPr>
        <w:pStyle w:val="ListBullet"/>
        <w:rPr>
          <w:bCs/>
          <w:iCs/>
        </w:rPr>
      </w:pPr>
      <w:r w:rsidRPr="00043EE5">
        <w:rPr>
          <w:bCs/>
          <w:iCs/>
        </w:rPr>
        <w:t xml:space="preserve">Any Partnership program beyond 2013 should focus on objectives which are important to </w:t>
      </w:r>
      <w:r w:rsidR="00563629">
        <w:rPr>
          <w:bCs/>
          <w:iCs/>
        </w:rPr>
        <w:t>the aid program</w:t>
      </w:r>
      <w:r w:rsidRPr="00043EE5">
        <w:rPr>
          <w:bCs/>
          <w:iCs/>
        </w:rPr>
        <w:t xml:space="preserve"> and reflect the strengths and expertise of Partner NGOs. These should include poverty reduction, engagement and capacity building with civil society, and contribute to learning for </w:t>
      </w:r>
      <w:r w:rsidR="00563629">
        <w:rPr>
          <w:bCs/>
          <w:iCs/>
        </w:rPr>
        <w:t>DFAT</w:t>
      </w:r>
      <w:r w:rsidRPr="00043EE5">
        <w:rPr>
          <w:bCs/>
          <w:iCs/>
        </w:rPr>
        <w:t xml:space="preserve"> policies and programs.</w:t>
      </w:r>
    </w:p>
    <w:p w:rsidR="00297877" w:rsidRPr="00043EE5" w:rsidRDefault="00563629" w:rsidP="00BC4EF3">
      <w:pPr>
        <w:pStyle w:val="ListBullet"/>
        <w:rPr>
          <w:bCs/>
          <w:iCs/>
        </w:rPr>
      </w:pPr>
      <w:r>
        <w:rPr>
          <w:bCs/>
          <w:iCs/>
        </w:rPr>
        <w:t>T</w:t>
      </w:r>
      <w:r w:rsidR="00297877" w:rsidRPr="00043EE5">
        <w:rPr>
          <w:bCs/>
          <w:iCs/>
        </w:rPr>
        <w:t xml:space="preserve">he program </w:t>
      </w:r>
      <w:r>
        <w:rPr>
          <w:bCs/>
          <w:iCs/>
        </w:rPr>
        <w:t xml:space="preserve">should be appropriately resourced </w:t>
      </w:r>
      <w:r w:rsidR="00297877" w:rsidRPr="00043EE5">
        <w:rPr>
          <w:bCs/>
          <w:iCs/>
        </w:rPr>
        <w:t>to meet these objectives. It is strongly recommended that this include a secretariat or support facility for the program.</w:t>
      </w:r>
    </w:p>
    <w:p w:rsidR="00297877" w:rsidRPr="00043EE5" w:rsidRDefault="00297877" w:rsidP="00BC4EF3">
      <w:pPr>
        <w:pStyle w:val="ListBullet"/>
        <w:rPr>
          <w:bCs/>
          <w:iCs/>
        </w:rPr>
      </w:pPr>
      <w:r w:rsidRPr="00043EE5">
        <w:rPr>
          <w:bCs/>
          <w:iCs/>
        </w:rPr>
        <w:t xml:space="preserve">Partner NGOs </w:t>
      </w:r>
      <w:r w:rsidR="00563629">
        <w:rPr>
          <w:bCs/>
          <w:iCs/>
        </w:rPr>
        <w:t xml:space="preserve">should </w:t>
      </w:r>
      <w:r w:rsidRPr="00043EE5">
        <w:rPr>
          <w:bCs/>
          <w:iCs/>
        </w:rPr>
        <w:t>assist with relevant actions under the Civil Society Engagement Framework.</w:t>
      </w:r>
    </w:p>
    <w:p w:rsidR="00297877" w:rsidRDefault="00563629" w:rsidP="0056700C">
      <w:pPr>
        <w:pStyle w:val="BodyText"/>
      </w:pPr>
      <w:r>
        <w:t>A</w:t>
      </w:r>
      <w:r w:rsidR="00297877" w:rsidRPr="00043EE5">
        <w:t xml:space="preserve">ll </w:t>
      </w:r>
      <w:r w:rsidR="007C7036">
        <w:t xml:space="preserve">of </w:t>
      </w:r>
      <w:r w:rsidR="00297877" w:rsidRPr="00043EE5">
        <w:t>these recommendations</w:t>
      </w:r>
      <w:r>
        <w:t xml:space="preserve"> were accepted</w:t>
      </w:r>
      <w:r w:rsidR="00297877" w:rsidRPr="00043EE5">
        <w:t>.</w:t>
      </w:r>
    </w:p>
    <w:p w:rsidR="00297877" w:rsidRPr="006D1D6D" w:rsidRDefault="00297877" w:rsidP="0056700C">
      <w:pPr>
        <w:pStyle w:val="BodyText"/>
      </w:pPr>
      <w:r w:rsidRPr="006D1D6D">
        <w:t xml:space="preserve">The findings of the </w:t>
      </w:r>
      <w:r>
        <w:t>Mid Term</w:t>
      </w:r>
      <w:r w:rsidRPr="006D1D6D">
        <w:t xml:space="preserve"> Review </w:t>
      </w:r>
      <w:r w:rsidR="000E3607">
        <w:t xml:space="preserve">of ANCP Partnerships </w:t>
      </w:r>
      <w:r w:rsidRPr="006D1D6D">
        <w:t xml:space="preserve">informed the development of the new Partnerships </w:t>
      </w:r>
      <w:r w:rsidR="000E3607">
        <w:t>MoU</w:t>
      </w:r>
      <w:r w:rsidR="009628B8" w:rsidRPr="00661845">
        <w:t xml:space="preserve"> </w:t>
      </w:r>
      <w:r w:rsidRPr="006D1D6D">
        <w:t>outlined below.</w:t>
      </w:r>
    </w:p>
    <w:p w:rsidR="00E65B88" w:rsidRDefault="00E65B88" w:rsidP="0056700C">
      <w:pPr>
        <w:pStyle w:val="BodyText"/>
        <w:rPr>
          <w:b/>
        </w:rPr>
      </w:pPr>
    </w:p>
    <w:p w:rsidR="00297877" w:rsidRPr="0056700C" w:rsidRDefault="000E3607" w:rsidP="0056700C">
      <w:pPr>
        <w:pStyle w:val="BodyText"/>
        <w:rPr>
          <w:b/>
        </w:rPr>
      </w:pPr>
      <w:r w:rsidRPr="0056700C">
        <w:rPr>
          <w:b/>
        </w:rPr>
        <w:lastRenderedPageBreak/>
        <w:t xml:space="preserve">Partnerships </w:t>
      </w:r>
      <w:r w:rsidR="00297877" w:rsidRPr="0056700C">
        <w:rPr>
          <w:b/>
        </w:rPr>
        <w:t>Memorandum of Understanding</w:t>
      </w:r>
      <w:r w:rsidR="001D692C" w:rsidRPr="0056700C">
        <w:rPr>
          <w:rStyle w:val="FootnoteReference"/>
          <w:b/>
        </w:rPr>
        <w:footnoteReference w:id="12"/>
      </w:r>
    </w:p>
    <w:p w:rsidR="006477FE" w:rsidRDefault="00C94E80" w:rsidP="0056700C">
      <w:pPr>
        <w:pStyle w:val="BodyText"/>
      </w:pPr>
      <w:r>
        <w:t>A new</w:t>
      </w:r>
      <w:r w:rsidR="005B597A" w:rsidRPr="00043EE5">
        <w:t xml:space="preserve"> Partnership</w:t>
      </w:r>
      <w:r>
        <w:t>s</w:t>
      </w:r>
      <w:r w:rsidR="005B597A" w:rsidRPr="00043EE5">
        <w:t xml:space="preserve"> </w:t>
      </w:r>
      <w:r>
        <w:t>Memorandum of Understanding (</w:t>
      </w:r>
      <w:proofErr w:type="spellStart"/>
      <w:r>
        <w:t>MoU</w:t>
      </w:r>
      <w:proofErr w:type="spellEnd"/>
      <w:r w:rsidR="00C2751C">
        <w:t>)</w:t>
      </w:r>
      <w:r w:rsidR="00C2751C" w:rsidRPr="00043EE5">
        <w:t xml:space="preserve"> </w:t>
      </w:r>
      <w:r w:rsidR="00C2751C">
        <w:t>was</w:t>
      </w:r>
      <w:r>
        <w:t xml:space="preserve"> signed </w:t>
      </w:r>
      <w:r w:rsidR="005B597A" w:rsidRPr="00043EE5">
        <w:t xml:space="preserve">with </w:t>
      </w:r>
      <w:r>
        <w:t xml:space="preserve">ten </w:t>
      </w:r>
      <w:r w:rsidR="005B597A" w:rsidRPr="00043EE5">
        <w:t>of the largest Australian NGOs</w:t>
      </w:r>
      <w:r w:rsidR="007E5668">
        <w:t xml:space="preserve"> </w:t>
      </w:r>
      <w:r>
        <w:t xml:space="preserve">during 2012-13 </w:t>
      </w:r>
      <w:r w:rsidRPr="00701F40">
        <w:t xml:space="preserve">(CARE Australia, Caritas Australia, CBM Australia, ChildFund Australia, Oxfam Australia, Plan International Australia, </w:t>
      </w:r>
      <w:r>
        <w:t xml:space="preserve">Save the Children Australia, </w:t>
      </w:r>
      <w:r w:rsidRPr="00701F40">
        <w:t>TEAR Australia</w:t>
      </w:r>
      <w:r>
        <w:t>, The Fred Hollows Foundation and</w:t>
      </w:r>
      <w:r w:rsidRPr="00701F40">
        <w:t xml:space="preserve"> World Vision Australia</w:t>
      </w:r>
      <w:r>
        <w:t>)</w:t>
      </w:r>
      <w:r w:rsidR="005B597A" w:rsidRPr="00043EE5">
        <w:t>. The arrangement provide</w:t>
      </w:r>
      <w:r w:rsidR="0096448D">
        <w:t>s</w:t>
      </w:r>
      <w:r w:rsidR="005B597A" w:rsidRPr="00043EE5">
        <w:t xml:space="preserve"> greater funding flexibility to </w:t>
      </w:r>
      <w:r w:rsidR="005E4D80">
        <w:t>Partner</w:t>
      </w:r>
      <w:r w:rsidR="005B597A" w:rsidRPr="00043EE5">
        <w:t xml:space="preserve"> NGOs, allows a longer</w:t>
      </w:r>
      <w:r w:rsidR="007C7036">
        <w:t>-</w:t>
      </w:r>
      <w:r w:rsidR="005B597A" w:rsidRPr="00043EE5">
        <w:t xml:space="preserve">term approach and enhances development effectiveness. </w:t>
      </w:r>
      <w:r w:rsidR="00156A72" w:rsidRPr="00701F40">
        <w:t xml:space="preserve">The findings of the Mid Term Review </w:t>
      </w:r>
      <w:r w:rsidR="000E3607">
        <w:t xml:space="preserve">of ANCP Partnerships </w:t>
      </w:r>
      <w:r w:rsidR="00156A72" w:rsidRPr="00701F40">
        <w:t>informed the change from multiple Partner agreements to a single agreement</w:t>
      </w:r>
      <w:r w:rsidR="000E3607">
        <w:t>,</w:t>
      </w:r>
      <w:r w:rsidR="00156A72" w:rsidRPr="00701F40">
        <w:t xml:space="preserve"> with all parties as signatories.</w:t>
      </w:r>
      <w:r w:rsidR="00661845" w:rsidRPr="005B45FF">
        <w:t xml:space="preserve"> </w:t>
      </w:r>
    </w:p>
    <w:p w:rsidR="001A7E7C" w:rsidRPr="00A435EC" w:rsidRDefault="00A435EC" w:rsidP="0056700C">
      <w:pPr>
        <w:pStyle w:val="BodyText"/>
      </w:pPr>
      <w:r w:rsidRPr="00C213BF">
        <w:t xml:space="preserve">The MoU outlines indicative planning figures covering a four-year period: 2013–14 to 2016–17. </w:t>
      </w:r>
      <w:r w:rsidR="00972713" w:rsidRPr="00C213BF">
        <w:t xml:space="preserve">The </w:t>
      </w:r>
      <w:r w:rsidRPr="00C213BF">
        <w:t xml:space="preserve">introduction of </w:t>
      </w:r>
      <w:r w:rsidR="00156A72" w:rsidRPr="00701F40">
        <w:t>multi-year fundin</w:t>
      </w:r>
      <w:r w:rsidR="00972713" w:rsidRPr="00C213BF">
        <w:t xml:space="preserve">g under the Partnerships MoU </w:t>
      </w:r>
      <w:r w:rsidR="00212FA1" w:rsidRPr="00C213BF">
        <w:t xml:space="preserve">is a major reform that </w:t>
      </w:r>
      <w:r w:rsidR="00972713" w:rsidRPr="00C213BF">
        <w:t xml:space="preserve">aligns with the </w:t>
      </w:r>
      <w:r w:rsidRPr="00C213BF">
        <w:t xml:space="preserve">requirement to </w:t>
      </w:r>
      <w:r w:rsidR="00212FA1" w:rsidRPr="00C213BF">
        <w:t>enhance</w:t>
      </w:r>
      <w:r w:rsidRPr="00C213BF">
        <w:t xml:space="preserve"> the effectiveness of </w:t>
      </w:r>
      <w:r w:rsidR="00972713" w:rsidRPr="00C213BF">
        <w:t>Australia’s aid program</w:t>
      </w:r>
      <w:r w:rsidR="009F2ECE">
        <w:t xml:space="preserve">. </w:t>
      </w:r>
      <w:r w:rsidR="00156A72" w:rsidRPr="00701F40">
        <w:t>The Mid Term Review of ANCP Partnerships showed that predictable funding over a defined period provides</w:t>
      </w:r>
      <w:r w:rsidR="007D1073" w:rsidRPr="00C213BF">
        <w:t xml:space="preserve"> certainty for program/project planning and contributes to the sustainability of development activities funded under the ANCP.</w:t>
      </w:r>
      <w:r w:rsidR="008205F6">
        <w:t xml:space="preserve"> </w:t>
      </w:r>
    </w:p>
    <w:p w:rsidR="009D0F4C" w:rsidRPr="006D1D6D" w:rsidRDefault="00561E2F" w:rsidP="0056700C">
      <w:pPr>
        <w:pStyle w:val="BodyText"/>
      </w:pPr>
      <w:r w:rsidRPr="006D1D6D">
        <w:t>In its Annual Performance Report</w:t>
      </w:r>
      <w:r w:rsidR="0050240F">
        <w:t xml:space="preserve"> for 2011–12</w:t>
      </w:r>
      <w:r w:rsidRPr="006D1D6D">
        <w:t xml:space="preserve">, </w:t>
      </w:r>
      <w:r w:rsidR="009D0F4C" w:rsidRPr="006D1D6D">
        <w:t>CARE Australia reported favourably on its participation in the ANCP Partnership arrangement:</w:t>
      </w:r>
    </w:p>
    <w:p w:rsidR="009D0F4C" w:rsidRPr="006D1D6D" w:rsidRDefault="009D0F4C" w:rsidP="0056700C">
      <w:pPr>
        <w:pStyle w:val="BodyText"/>
        <w:rPr>
          <w:i/>
        </w:rPr>
      </w:pPr>
      <w:r w:rsidRPr="006D1D6D">
        <w:rPr>
          <w:i/>
        </w:rPr>
        <w:t>This was the first year for CARE under the ANCP Partnership. The new increased funding and certainty of the Partnership enabled CARE to build ongoing ANCP activities from previous years, as well undertake new initiatives and advance program quality … Emphasis has also been placed on improving program quality, accountability and impact measurement.  Moreover, the ANCP Partnership has provided a platform to extend and deepen our work on women</w:t>
      </w:r>
      <w:r w:rsidR="009628B8">
        <w:rPr>
          <w:i/>
        </w:rPr>
        <w:t>’</w:t>
      </w:r>
      <w:r w:rsidRPr="006D1D6D">
        <w:rPr>
          <w:i/>
        </w:rPr>
        <w:t>s empowerment, in line with CARE Australia’s Gender and Women’s Empowerment Strategy.</w:t>
      </w:r>
    </w:p>
    <w:p w:rsidR="009D0F4C" w:rsidRPr="006D1D6D" w:rsidRDefault="009D0F4C" w:rsidP="0056700C">
      <w:pPr>
        <w:pStyle w:val="BodyText"/>
      </w:pPr>
      <w:r w:rsidRPr="006D1D6D">
        <w:t>TEAR Australia also expressed support for the Partnership arrangement:</w:t>
      </w:r>
    </w:p>
    <w:p w:rsidR="004219FD" w:rsidRPr="006D1D6D" w:rsidRDefault="009D0F4C" w:rsidP="0056700C">
      <w:pPr>
        <w:pStyle w:val="BodyText"/>
        <w:rPr>
          <w:i/>
        </w:rPr>
      </w:pPr>
      <w:r w:rsidRPr="006D1D6D">
        <w:rPr>
          <w:i/>
        </w:rPr>
        <w:t>TEAR’s experience in the ANCP Partnership has been overwhelmingly positive. We welcome the greater contact and dialogue, as well as the opportunity to demonstrate the good work being achieved by the civil society organisations that we support. The Partnership has enabled a more complete presentation of TEAR’s poverty reduction program. Nearly all of the projects we support are funded on three-yearly cycles. Three-yearly partnership funding enables TEAR to discuss openly with its partners the likely funds that will be available and to report progress towards longer term goals.</w:t>
      </w:r>
    </w:p>
    <w:p w:rsidR="009D0F4C" w:rsidRPr="006D1D6D" w:rsidRDefault="009D0F4C" w:rsidP="0056700C">
      <w:pPr>
        <w:pStyle w:val="BodyText"/>
      </w:pPr>
      <w:r w:rsidRPr="006D1D6D">
        <w:t>Under the ANCP Partnership</w:t>
      </w:r>
      <w:r w:rsidR="0050240F">
        <w:t>s</w:t>
      </w:r>
      <w:r w:rsidRPr="006D1D6D">
        <w:t xml:space="preserve"> </w:t>
      </w:r>
      <w:r w:rsidR="00EA5B5E">
        <w:t>MoU</w:t>
      </w:r>
      <w:r w:rsidRPr="006D1D6D">
        <w:t xml:space="preserve">, Partners </w:t>
      </w:r>
      <w:r w:rsidR="00AD2E0D" w:rsidRPr="006D1D6D">
        <w:t xml:space="preserve">must support the following priority </w:t>
      </w:r>
      <w:r w:rsidRPr="006D1D6D">
        <w:t>objectives:</w:t>
      </w:r>
    </w:p>
    <w:p w:rsidR="009D0F4C" w:rsidRPr="006D1D6D" w:rsidRDefault="009628B8" w:rsidP="0056700C">
      <w:pPr>
        <w:pStyle w:val="ListBullet"/>
      </w:pPr>
      <w:r>
        <w:t>i</w:t>
      </w:r>
      <w:r w:rsidR="009D0F4C" w:rsidRPr="006D1D6D">
        <w:t>mproved effectiveness and impact</w:t>
      </w:r>
    </w:p>
    <w:p w:rsidR="009D0F4C" w:rsidRPr="006D1D6D" w:rsidRDefault="009628B8" w:rsidP="0056700C">
      <w:pPr>
        <w:pStyle w:val="ListBullet"/>
      </w:pPr>
      <w:r>
        <w:t>s</w:t>
      </w:r>
      <w:r w:rsidR="009D0F4C" w:rsidRPr="006D1D6D">
        <w:t>ustainability</w:t>
      </w:r>
    </w:p>
    <w:p w:rsidR="009D0F4C" w:rsidRPr="006D1D6D" w:rsidRDefault="009628B8" w:rsidP="0056700C">
      <w:pPr>
        <w:pStyle w:val="ListBullet"/>
      </w:pPr>
      <w:r>
        <w:t>r</w:t>
      </w:r>
      <w:r w:rsidR="009D0F4C" w:rsidRPr="006D1D6D">
        <w:t>educed risks and shared accountability</w:t>
      </w:r>
    </w:p>
    <w:p w:rsidR="009D0F4C" w:rsidRPr="006D1D6D" w:rsidRDefault="009628B8" w:rsidP="0056700C">
      <w:pPr>
        <w:pStyle w:val="ListBullet"/>
      </w:pPr>
      <w:r>
        <w:t>e</w:t>
      </w:r>
      <w:r w:rsidR="009D0F4C" w:rsidRPr="006D1D6D">
        <w:t>fficiency and value for money</w:t>
      </w:r>
    </w:p>
    <w:p w:rsidR="009D0F4C" w:rsidRPr="006D1D6D" w:rsidRDefault="009628B8" w:rsidP="0056700C">
      <w:pPr>
        <w:pStyle w:val="ListBullet"/>
      </w:pPr>
      <w:r>
        <w:t>d</w:t>
      </w:r>
      <w:r w:rsidR="009D0F4C" w:rsidRPr="006D1D6D">
        <w:t>iversity and innovation</w:t>
      </w:r>
      <w:r w:rsidR="00353007">
        <w:t>.</w:t>
      </w:r>
    </w:p>
    <w:p w:rsidR="00081BD5" w:rsidRDefault="007E5668" w:rsidP="0056700C">
      <w:pPr>
        <w:pStyle w:val="BodyText"/>
      </w:pPr>
      <w:r>
        <w:t>T</w:t>
      </w:r>
      <w:r w:rsidR="00081BD5">
        <w:t xml:space="preserve">he first ANCP Partner Learning Event </w:t>
      </w:r>
      <w:r>
        <w:t xml:space="preserve">was held </w:t>
      </w:r>
      <w:r w:rsidR="00081BD5">
        <w:t>in June 2013 to help lay the foundations for sharing learning under the new ANCP Partnership.</w:t>
      </w:r>
    </w:p>
    <w:p w:rsidR="00D21E4E" w:rsidRDefault="00963119" w:rsidP="0056700C">
      <w:pPr>
        <w:pStyle w:val="BodyText"/>
      </w:pPr>
      <w:r>
        <w:t>D</w:t>
      </w:r>
      <w:r w:rsidR="00AD2E0D" w:rsidRPr="005B45FF">
        <w:t xml:space="preserve">iscussions have </w:t>
      </w:r>
      <w:r w:rsidR="00081BD5">
        <w:t xml:space="preserve">also </w:t>
      </w:r>
      <w:r w:rsidR="00AD2E0D" w:rsidRPr="005B45FF">
        <w:t xml:space="preserve">been held with Partner agencies on how best to report against the objectives and actions set out in the MoU. </w:t>
      </w:r>
      <w:r w:rsidR="00156A72" w:rsidRPr="00701F40">
        <w:t xml:space="preserve">The MELF </w:t>
      </w:r>
      <w:r w:rsidR="000E3607">
        <w:t>r</w:t>
      </w:r>
      <w:r w:rsidR="00156A72" w:rsidRPr="00701F40">
        <w:t>eview found that the</w:t>
      </w:r>
      <w:r w:rsidR="00AD2E0D" w:rsidRPr="005B45FF">
        <w:t xml:space="preserve"> standardised reporting template did not provide Partners with sufficient opportunity to report on their </w:t>
      </w:r>
      <w:r w:rsidR="00AD2E0D" w:rsidRPr="005B45FF">
        <w:lastRenderedPageBreak/>
        <w:t>Partnership</w:t>
      </w:r>
      <w:r w:rsidR="009628B8">
        <w:t>-</w:t>
      </w:r>
      <w:r w:rsidR="00AD2E0D" w:rsidRPr="005B45FF">
        <w:t>specific work</w:t>
      </w:r>
      <w:r w:rsidR="00E45F9A">
        <w:t xml:space="preserve"> and </w:t>
      </w:r>
      <w:r w:rsidR="00C76201" w:rsidRPr="00043EE5">
        <w:t>recommended additional reporting for Partners.</w:t>
      </w:r>
      <w:r w:rsidR="00D21E4E">
        <w:t xml:space="preserve"> </w:t>
      </w:r>
      <w:r w:rsidR="00172635">
        <w:t>DFAT</w:t>
      </w:r>
      <w:r w:rsidR="009D0F4C" w:rsidRPr="005B45FF">
        <w:t xml:space="preserve"> </w:t>
      </w:r>
      <w:r w:rsidR="00D21E4E">
        <w:t xml:space="preserve">has </w:t>
      </w:r>
      <w:r w:rsidR="009D0F4C" w:rsidRPr="005B45FF">
        <w:t xml:space="preserve">committed to providing enhanced Partnership reporting opportunities and to working with Partners to find mutually agreed ways for them to share knowledge. The Partner-specific reporting section has been removed from the template in the new ANCP Online system. </w:t>
      </w:r>
      <w:r w:rsidR="00172635">
        <w:t xml:space="preserve">The </w:t>
      </w:r>
      <w:r w:rsidR="00FC3DB0">
        <w:t>D</w:t>
      </w:r>
      <w:r w:rsidR="00172635">
        <w:t>epartment</w:t>
      </w:r>
      <w:r w:rsidR="007724E1" w:rsidRPr="005B45FF">
        <w:t xml:space="preserve"> and the Partners have begun work on developing a </w:t>
      </w:r>
      <w:r w:rsidR="009D0F4C" w:rsidRPr="005B45FF">
        <w:t>reporting mechanism for Partners to show the added value they bring to the ANCP through the Partnership agreement.</w:t>
      </w:r>
      <w:r w:rsidR="00D21E4E">
        <w:t xml:space="preserve"> </w:t>
      </w:r>
      <w:r w:rsidR="00EA5B5E">
        <w:t>Agreeing on</w:t>
      </w:r>
      <w:r w:rsidR="00EA5B5E" w:rsidRPr="005B45FF">
        <w:t xml:space="preserve"> </w:t>
      </w:r>
      <w:r w:rsidR="00D21E4E" w:rsidRPr="005B45FF">
        <w:t>an adequate reporting mechanism for ANCP Partner agencies to demonstrate the</w:t>
      </w:r>
      <w:r w:rsidR="005E4D80">
        <w:t>ir</w:t>
      </w:r>
      <w:r w:rsidR="00D21E4E" w:rsidRPr="005B45FF">
        <w:t xml:space="preserve"> effectiveness is a priority.</w:t>
      </w:r>
      <w:r w:rsidR="00081BD5">
        <w:t xml:space="preserve"> </w:t>
      </w:r>
    </w:p>
    <w:p w:rsidR="00D21E4E" w:rsidRDefault="00156A72" w:rsidP="0056700C">
      <w:pPr>
        <w:pStyle w:val="BodyText"/>
      </w:pPr>
      <w:r w:rsidRPr="00701F40">
        <w:t xml:space="preserve">In the Partnerships MoU, </w:t>
      </w:r>
      <w:r w:rsidR="00172635">
        <w:t xml:space="preserve">it was </w:t>
      </w:r>
      <w:r w:rsidRPr="00701F40">
        <w:t>agreed to look into the establishment of a resource facility. The aim of the resource facility is to support research, evaluation, innovation and shared learning for ANCP Partner NGOs and</w:t>
      </w:r>
      <w:r w:rsidR="00172635">
        <w:t xml:space="preserve"> the </w:t>
      </w:r>
      <w:r w:rsidR="00FC3DB0">
        <w:t>D</w:t>
      </w:r>
      <w:r w:rsidR="00172635">
        <w:t>epartment</w:t>
      </w:r>
      <w:r w:rsidRPr="00701F40">
        <w:t>. The proposed facility will support the ongoing improvement of ANCP funded activities by providing technical expertise, high-level analysis of ANCP data and secretariat services. Discussions on the structure, scope and funding of the facility are currently underway.</w:t>
      </w:r>
      <w:r w:rsidR="00DE6CCB">
        <w:t xml:space="preserve"> </w:t>
      </w:r>
    </w:p>
    <w:p w:rsidR="00923650" w:rsidRDefault="00923650" w:rsidP="00F22C23">
      <w:pPr>
        <w:pStyle w:val="Heading1"/>
      </w:pPr>
      <w:r w:rsidRPr="00923650">
        <w:t xml:space="preserve">ANCP </w:t>
      </w:r>
      <w:r>
        <w:t>results for 2011–12</w:t>
      </w:r>
      <w:r w:rsidR="001854D3">
        <w:rPr>
          <w:rStyle w:val="FootnoteReference"/>
        </w:rPr>
        <w:footnoteReference w:id="13"/>
      </w:r>
      <w:r w:rsidR="001854D3">
        <w:t xml:space="preserve"> </w:t>
      </w:r>
    </w:p>
    <w:p w:rsidR="001C6FB7" w:rsidRPr="00FD7B79" w:rsidRDefault="00F22C23" w:rsidP="0056700C">
      <w:pPr>
        <w:pStyle w:val="BodyText"/>
      </w:pPr>
      <w:r w:rsidRPr="00FD7B79">
        <w:t xml:space="preserve">This section concentrates on the results provided by ANCP NGOs in 2011–12 under the Monitoring, Evaluation and Learning Framework. </w:t>
      </w:r>
      <w:r w:rsidR="00714CA0" w:rsidRPr="00FD7B79">
        <w:t xml:space="preserve">The figures provided in this section were obtained by aggregating the results reported by NGOs in their Annual Performance Reports. </w:t>
      </w:r>
      <w:r w:rsidR="001C6FB7" w:rsidRPr="00FD7B79">
        <w:t xml:space="preserve">There are some notable increases in the aggregated data for 2011–12 when compared with the 2010–11 results. </w:t>
      </w:r>
      <w:r w:rsidR="007D38B7" w:rsidRPr="00FD7B79">
        <w:t>Th</w:t>
      </w:r>
      <w:r w:rsidR="007C7E79" w:rsidRPr="00FD7B79">
        <w:t xml:space="preserve">is </w:t>
      </w:r>
      <w:r w:rsidR="001C6FB7" w:rsidRPr="00FD7B79">
        <w:t xml:space="preserve">may be </w:t>
      </w:r>
      <w:r w:rsidR="000340A0" w:rsidRPr="00FD7B79">
        <w:t>explained by</w:t>
      </w:r>
      <w:r w:rsidR="001C6FB7" w:rsidRPr="00FD7B79">
        <w:t xml:space="preserve"> increased funding to NGOs as well as </w:t>
      </w:r>
      <w:r w:rsidR="007C7E79" w:rsidRPr="00FD7B79">
        <w:t>improved reporting of the</w:t>
      </w:r>
      <w:r w:rsidR="001C6FB7" w:rsidRPr="00FD7B79">
        <w:t xml:space="preserve"> data</w:t>
      </w:r>
      <w:r w:rsidR="007C7E79" w:rsidRPr="00FD7B79">
        <w:t xml:space="preserve"> through the use of standardised templates</w:t>
      </w:r>
      <w:r w:rsidR="001C6FB7" w:rsidRPr="00FD7B79">
        <w:t>.</w:t>
      </w:r>
    </w:p>
    <w:p w:rsidR="00923650" w:rsidRPr="0056700C" w:rsidRDefault="00FA2732" w:rsidP="0056700C">
      <w:pPr>
        <w:pStyle w:val="BodyText"/>
        <w:rPr>
          <w:b/>
        </w:rPr>
      </w:pPr>
      <w:r w:rsidRPr="0056700C">
        <w:rPr>
          <w:b/>
        </w:rPr>
        <w:t>Health</w:t>
      </w:r>
    </w:p>
    <w:p w:rsidR="00B25CA1" w:rsidRDefault="001C6FB7" w:rsidP="0056700C">
      <w:pPr>
        <w:pStyle w:val="ListBullet"/>
      </w:pPr>
      <w:r w:rsidRPr="00C3684E">
        <w:rPr>
          <w:b/>
        </w:rPr>
        <w:t>450</w:t>
      </w:r>
      <w:r w:rsidR="008B792F">
        <w:rPr>
          <w:b/>
        </w:rPr>
        <w:t> </w:t>
      </w:r>
      <w:r w:rsidR="00923650" w:rsidRPr="00C3684E">
        <w:rPr>
          <w:b/>
        </w:rPr>
        <w:t>000 poor people gained access to a new or refurbished water supply.</w:t>
      </w:r>
      <w:r w:rsidR="00856190" w:rsidRPr="00C3684E">
        <w:rPr>
          <w:b/>
        </w:rPr>
        <w:t xml:space="preserve"> </w:t>
      </w:r>
      <w:r w:rsidR="00856190" w:rsidRPr="00C213BF">
        <w:br/>
      </w:r>
      <w:r w:rsidR="009144DA" w:rsidRPr="00C213BF">
        <w:t>(In 2010</w:t>
      </w:r>
      <w:r w:rsidR="00EC548B" w:rsidRPr="00C213BF">
        <w:t>–</w:t>
      </w:r>
      <w:r w:rsidR="003204B2" w:rsidRPr="00C213BF">
        <w:t>1</w:t>
      </w:r>
      <w:r w:rsidR="007A2304" w:rsidRPr="00C213BF">
        <w:t>1</w:t>
      </w:r>
      <w:r w:rsidR="003204B2" w:rsidRPr="00C213BF">
        <w:t>,</w:t>
      </w:r>
      <w:r w:rsidR="00C758B2">
        <w:t xml:space="preserve"> </w:t>
      </w:r>
      <w:r w:rsidR="009144DA" w:rsidRPr="00C213BF">
        <w:t>162</w:t>
      </w:r>
      <w:r w:rsidR="008B792F">
        <w:t> </w:t>
      </w:r>
      <w:r w:rsidR="009144DA" w:rsidRPr="00C213BF">
        <w:t xml:space="preserve">000 </w:t>
      </w:r>
      <w:r w:rsidR="00856190" w:rsidRPr="00C213BF">
        <w:t xml:space="preserve">people </w:t>
      </w:r>
      <w:r w:rsidR="009144DA" w:rsidRPr="00C213BF">
        <w:t>gain</w:t>
      </w:r>
      <w:r w:rsidR="003204B2" w:rsidRPr="00C213BF">
        <w:t>ed</w:t>
      </w:r>
      <w:r w:rsidR="009144DA" w:rsidRPr="00C213BF">
        <w:t xml:space="preserve"> access to </w:t>
      </w:r>
      <w:r w:rsidR="003204B2" w:rsidRPr="00C213BF">
        <w:t xml:space="preserve">a new or </w:t>
      </w:r>
      <w:r w:rsidR="009144DA" w:rsidRPr="00C213BF">
        <w:t>improved water supply</w:t>
      </w:r>
      <w:r w:rsidR="008B792F">
        <w:t>.</w:t>
      </w:r>
      <w:r w:rsidR="00C758B2">
        <w:rPr>
          <w:rStyle w:val="FootnoteReference"/>
          <w:i/>
        </w:rPr>
        <w:footnoteReference w:id="14"/>
      </w:r>
      <w:r w:rsidR="009144DA" w:rsidRPr="00C213BF">
        <w:t>)</w:t>
      </w:r>
    </w:p>
    <w:p w:rsidR="00923650" w:rsidRPr="00C213BF" w:rsidRDefault="00B25CA1" w:rsidP="0056700C">
      <w:pPr>
        <w:pStyle w:val="ListBullet"/>
      </w:pPr>
      <w:r>
        <w:t>Of these, 334</w:t>
      </w:r>
      <w:r w:rsidR="008B792F">
        <w:t> </w:t>
      </w:r>
      <w:r>
        <w:t>893 or 73</w:t>
      </w:r>
      <w:r w:rsidR="008B792F">
        <w:t> </w:t>
      </w:r>
      <w:r>
        <w:t>per cent were supported through the work of TEAR, Caritas, World Vision and Plan</w:t>
      </w:r>
      <w:r w:rsidR="00C3684E">
        <w:t xml:space="preserve"> in 2</w:t>
      </w:r>
      <w:r w:rsidR="00321BBD">
        <w:t>4</w:t>
      </w:r>
      <w:r w:rsidR="00C3684E">
        <w:t xml:space="preserve"> countries. Twelve other NGOs worked across 1</w:t>
      </w:r>
      <w:r w:rsidR="00321BBD">
        <w:t>7</w:t>
      </w:r>
      <w:r w:rsidR="00C3684E">
        <w:t xml:space="preserve"> countries to contribute to this result.</w:t>
      </w:r>
      <w:r w:rsidR="009144DA" w:rsidRPr="00C213BF">
        <w:t xml:space="preserve"> </w:t>
      </w:r>
    </w:p>
    <w:p w:rsidR="00856190" w:rsidRPr="006C0471" w:rsidRDefault="001C6FB7" w:rsidP="0056700C">
      <w:pPr>
        <w:pStyle w:val="ListBullet"/>
      </w:pPr>
      <w:r w:rsidRPr="00C3684E">
        <w:rPr>
          <w:b/>
        </w:rPr>
        <w:t>600</w:t>
      </w:r>
      <w:r w:rsidR="008B792F">
        <w:rPr>
          <w:b/>
        </w:rPr>
        <w:t> </w:t>
      </w:r>
      <w:r w:rsidR="00923650" w:rsidRPr="00C3684E">
        <w:rPr>
          <w:b/>
        </w:rPr>
        <w:t>000 poor people gained improved access to sanitation facilities.</w:t>
      </w:r>
      <w:r w:rsidR="00856190" w:rsidRPr="00C213BF">
        <w:br/>
      </w:r>
      <w:r w:rsidR="009144DA" w:rsidRPr="00C213BF">
        <w:t>(In 2010</w:t>
      </w:r>
      <w:r w:rsidR="00EC548B" w:rsidRPr="00C213BF">
        <w:t>–</w:t>
      </w:r>
      <w:r w:rsidR="009144DA" w:rsidRPr="00C213BF">
        <w:t>11, 112</w:t>
      </w:r>
      <w:r w:rsidR="008B792F">
        <w:t> </w:t>
      </w:r>
      <w:r w:rsidR="009144DA" w:rsidRPr="00C213BF">
        <w:t>000 people had improved access to sanitation facilities.)</w:t>
      </w:r>
    </w:p>
    <w:p w:rsidR="006C0471" w:rsidRPr="006C0471" w:rsidRDefault="006C0471" w:rsidP="0056700C">
      <w:pPr>
        <w:pStyle w:val="ListBullet"/>
      </w:pPr>
      <w:r w:rsidRPr="006C0471">
        <w:t>Of t</w:t>
      </w:r>
      <w:r>
        <w:t>hese, 487</w:t>
      </w:r>
      <w:r w:rsidR="008B792F">
        <w:t> </w:t>
      </w:r>
      <w:r>
        <w:t xml:space="preserve">032 </w:t>
      </w:r>
      <w:r w:rsidRPr="00666935">
        <w:t>or</w:t>
      </w:r>
      <w:r w:rsidR="008D6A83" w:rsidRPr="00666935">
        <w:t xml:space="preserve"> 81</w:t>
      </w:r>
      <w:r w:rsidR="008B792F">
        <w:t> </w:t>
      </w:r>
      <w:r w:rsidRPr="00666935">
        <w:t>per</w:t>
      </w:r>
      <w:r w:rsidR="008D6A83">
        <w:t xml:space="preserve"> cent were supported through the work of Plan, TEAR and CARE in 11 countries. Fourteen other NGOs worked across 2</w:t>
      </w:r>
      <w:r w:rsidR="00A14744">
        <w:t>0</w:t>
      </w:r>
      <w:r w:rsidR="008D6A83">
        <w:t xml:space="preserve"> countries to contribute to this result.</w:t>
      </w:r>
    </w:p>
    <w:p w:rsidR="00923650" w:rsidRDefault="001C6FB7" w:rsidP="0056700C">
      <w:pPr>
        <w:pStyle w:val="ListBullet"/>
        <w:rPr>
          <w:b/>
        </w:rPr>
      </w:pPr>
      <w:r w:rsidRPr="00C3684E">
        <w:rPr>
          <w:b/>
        </w:rPr>
        <w:t>780</w:t>
      </w:r>
      <w:r w:rsidR="008B792F">
        <w:rPr>
          <w:b/>
        </w:rPr>
        <w:t> </w:t>
      </w:r>
      <w:r w:rsidR="00923650" w:rsidRPr="00C3684E">
        <w:rPr>
          <w:b/>
        </w:rPr>
        <w:t>000 men, women and children benefited from the provision of integrated community approaches to health and wellbeing.</w:t>
      </w:r>
    </w:p>
    <w:p w:rsidR="00A43CC3" w:rsidRPr="00A43CC3" w:rsidRDefault="008666B0" w:rsidP="0056700C">
      <w:pPr>
        <w:pStyle w:val="ListBullet"/>
      </w:pPr>
      <w:r>
        <w:t>This included</w:t>
      </w:r>
      <w:r w:rsidR="0085276D" w:rsidRPr="0085276D">
        <w:t xml:space="preserve"> </w:t>
      </w:r>
      <w:r>
        <w:t xml:space="preserve">the </w:t>
      </w:r>
      <w:r w:rsidR="0085276D" w:rsidRPr="0085276D">
        <w:t xml:space="preserve">vaccination of </w:t>
      </w:r>
      <w:r w:rsidR="0085276D">
        <w:t>37</w:t>
      </w:r>
      <w:r w:rsidR="008B792F">
        <w:t> </w:t>
      </w:r>
      <w:r w:rsidR="0085276D">
        <w:t xml:space="preserve">955 children. </w:t>
      </w:r>
      <w:r w:rsidR="00A43CC3" w:rsidRPr="00A43CC3">
        <w:t>Of these</w:t>
      </w:r>
      <w:r w:rsidR="001C5422">
        <w:t xml:space="preserve"> children</w:t>
      </w:r>
      <w:r w:rsidR="00A43CC3" w:rsidRPr="00A43CC3">
        <w:t xml:space="preserve">, </w:t>
      </w:r>
      <w:r w:rsidR="00A43CC3">
        <w:t>29</w:t>
      </w:r>
      <w:r w:rsidR="008B792F">
        <w:t> </w:t>
      </w:r>
      <w:r w:rsidR="00A43CC3">
        <w:t xml:space="preserve">632 or </w:t>
      </w:r>
      <w:r w:rsidR="00A43CC3" w:rsidRPr="00666935">
        <w:t>78</w:t>
      </w:r>
      <w:r w:rsidR="008B792F">
        <w:t> </w:t>
      </w:r>
      <w:r w:rsidR="00A43CC3">
        <w:t>per cent were assisted through the work of World Vision and ChildFund projects in Africa. Burnet Institute, International Needs Australia, Save the Children, Act for Peace and Every Home Global Concern also contributed to this result.</w:t>
      </w:r>
    </w:p>
    <w:p w:rsidR="00923650" w:rsidRDefault="001C6FB7" w:rsidP="0056700C">
      <w:pPr>
        <w:pStyle w:val="ListBullet"/>
        <w:rPr>
          <w:b/>
        </w:rPr>
      </w:pPr>
      <w:r w:rsidRPr="00C3684E">
        <w:rPr>
          <w:b/>
        </w:rPr>
        <w:t>115</w:t>
      </w:r>
      <w:r w:rsidR="008B792F">
        <w:rPr>
          <w:b/>
        </w:rPr>
        <w:t> </w:t>
      </w:r>
      <w:r w:rsidR="00923650" w:rsidRPr="00C3684E">
        <w:rPr>
          <w:b/>
        </w:rPr>
        <w:t>000 additional people gained increased access to essential medicines and health supplies, including HIV treatments.</w:t>
      </w:r>
    </w:p>
    <w:p w:rsidR="00136FCC" w:rsidRPr="007D6B43" w:rsidRDefault="00D65D82" w:rsidP="0056700C">
      <w:pPr>
        <w:pStyle w:val="ListBullet"/>
      </w:pPr>
      <w:r>
        <w:t>Ten</w:t>
      </w:r>
      <w:r w:rsidRPr="001F42AA">
        <w:t xml:space="preserve"> </w:t>
      </w:r>
      <w:r w:rsidR="00136FCC" w:rsidRPr="001F42AA">
        <w:t>ANCP NGOs, including World Vision, Caritas, Oxfam and TEAR, delivered health services for people affected by HIV/AIDs</w:t>
      </w:r>
      <w:r w:rsidR="00E83310" w:rsidRPr="001F42AA">
        <w:t xml:space="preserve"> in 2</w:t>
      </w:r>
      <w:r>
        <w:t>0</w:t>
      </w:r>
      <w:r w:rsidR="00E83310" w:rsidRPr="001F42AA">
        <w:t xml:space="preserve"> countries</w:t>
      </w:r>
      <w:r w:rsidR="00136FCC" w:rsidRPr="001F42AA">
        <w:t>.</w:t>
      </w:r>
    </w:p>
    <w:p w:rsidR="00923650" w:rsidRPr="0056700C" w:rsidRDefault="00FA2732" w:rsidP="0056700C">
      <w:pPr>
        <w:pStyle w:val="BodyText"/>
        <w:rPr>
          <w:b/>
        </w:rPr>
      </w:pPr>
      <w:r w:rsidRPr="0056700C">
        <w:rPr>
          <w:b/>
        </w:rPr>
        <w:lastRenderedPageBreak/>
        <w:t>Education</w:t>
      </w:r>
    </w:p>
    <w:p w:rsidR="00862331" w:rsidRPr="0056700C" w:rsidRDefault="00862331" w:rsidP="0056700C">
      <w:pPr>
        <w:pStyle w:val="ListBullet"/>
        <w:rPr>
          <w:b/>
        </w:rPr>
      </w:pPr>
      <w:r w:rsidRPr="0056700C">
        <w:rPr>
          <w:b/>
        </w:rPr>
        <w:t>114</w:t>
      </w:r>
      <w:r w:rsidR="008B792F" w:rsidRPr="0056700C">
        <w:rPr>
          <w:b/>
        </w:rPr>
        <w:t> </w:t>
      </w:r>
      <w:r w:rsidRPr="0056700C">
        <w:rPr>
          <w:b/>
        </w:rPr>
        <w:t>462 people were provided with disability services like prostheses and assistive devices.</w:t>
      </w:r>
    </w:p>
    <w:p w:rsidR="00862331" w:rsidRPr="00862331" w:rsidRDefault="00862331" w:rsidP="0056700C">
      <w:pPr>
        <w:pStyle w:val="ListBullet"/>
        <w:numPr>
          <w:ilvl w:val="0"/>
          <w:numId w:val="0"/>
        </w:numPr>
        <w:ind w:left="284"/>
      </w:pPr>
      <w:r>
        <w:t>Of these, 111</w:t>
      </w:r>
      <w:r w:rsidR="008B792F">
        <w:t> </w:t>
      </w:r>
      <w:r>
        <w:t xml:space="preserve">970 or </w:t>
      </w:r>
      <w:r w:rsidR="00666935" w:rsidRPr="00666935">
        <w:t>9</w:t>
      </w:r>
      <w:r w:rsidRPr="00666935">
        <w:t>8</w:t>
      </w:r>
      <w:r w:rsidR="008B792F">
        <w:t> </w:t>
      </w:r>
      <w:r>
        <w:t>per cent were provided through the work of CBM in 11 countries. Eight other NGOs worked across 10 countries to contribute to this result.</w:t>
      </w:r>
    </w:p>
    <w:p w:rsidR="00923650" w:rsidRPr="0056700C" w:rsidRDefault="001C6FB7" w:rsidP="0056700C">
      <w:pPr>
        <w:pStyle w:val="ListBullet"/>
        <w:rPr>
          <w:b/>
        </w:rPr>
      </w:pPr>
      <w:r w:rsidRPr="0056700C">
        <w:rPr>
          <w:b/>
        </w:rPr>
        <w:t>92</w:t>
      </w:r>
      <w:r w:rsidR="008B792F" w:rsidRPr="0056700C">
        <w:rPr>
          <w:b/>
        </w:rPr>
        <w:t> </w:t>
      </w:r>
      <w:r w:rsidR="00923650" w:rsidRPr="0056700C">
        <w:rPr>
          <w:b/>
        </w:rPr>
        <w:t>000 children in poor and disadvantaged communities gained access to child protection services and child</w:t>
      </w:r>
      <w:r w:rsidR="008B792F" w:rsidRPr="0056700C">
        <w:rPr>
          <w:b/>
        </w:rPr>
        <w:t>-</w:t>
      </w:r>
      <w:r w:rsidR="00923650" w:rsidRPr="0056700C">
        <w:rPr>
          <w:b/>
        </w:rPr>
        <w:t>friendly spaces.</w:t>
      </w:r>
    </w:p>
    <w:p w:rsidR="00B22F85" w:rsidRPr="00144DA6" w:rsidRDefault="00B22F85" w:rsidP="0056700C">
      <w:pPr>
        <w:pStyle w:val="ListBullet"/>
        <w:numPr>
          <w:ilvl w:val="0"/>
          <w:numId w:val="0"/>
        </w:numPr>
        <w:ind w:left="284"/>
      </w:pPr>
      <w:r>
        <w:t xml:space="preserve">Save the Children worked in nine countries across Asia, the Pacific and Africa to assist disadvantaged children, while ChildFund increased its </w:t>
      </w:r>
      <w:r w:rsidR="00B45522">
        <w:t xml:space="preserve">child-focused </w:t>
      </w:r>
      <w:r>
        <w:t>projects in the Mekong subregio</w:t>
      </w:r>
      <w:r w:rsidR="00B45522">
        <w:t>n to reach more communities</w:t>
      </w:r>
      <w:r>
        <w:t xml:space="preserve">. </w:t>
      </w:r>
    </w:p>
    <w:p w:rsidR="00D04CC3" w:rsidRPr="0056700C" w:rsidRDefault="00F405C6" w:rsidP="0056700C">
      <w:pPr>
        <w:pStyle w:val="ListBullet"/>
        <w:rPr>
          <w:b/>
        </w:rPr>
      </w:pPr>
      <w:r w:rsidRPr="0056700C">
        <w:rPr>
          <w:b/>
        </w:rPr>
        <w:t xml:space="preserve">More than </w:t>
      </w:r>
      <w:r w:rsidR="001C6FB7" w:rsidRPr="0056700C">
        <w:rPr>
          <w:b/>
        </w:rPr>
        <w:t>17</w:t>
      </w:r>
      <w:r w:rsidR="008B792F" w:rsidRPr="0056700C">
        <w:rPr>
          <w:b/>
        </w:rPr>
        <w:t> </w:t>
      </w:r>
      <w:r w:rsidR="00923650" w:rsidRPr="0056700C">
        <w:rPr>
          <w:b/>
        </w:rPr>
        <w:t>000 poor and disadvantaged children, including those with a disability, benefited from early childhood development and pre-primary preparation for schooling.</w:t>
      </w:r>
    </w:p>
    <w:p w:rsidR="00B45522" w:rsidRPr="00B45522" w:rsidRDefault="009F7CC4" w:rsidP="0056700C">
      <w:pPr>
        <w:pStyle w:val="ListBullet"/>
        <w:numPr>
          <w:ilvl w:val="0"/>
          <w:numId w:val="0"/>
        </w:numPr>
        <w:ind w:left="284"/>
      </w:pPr>
      <w:r>
        <w:t xml:space="preserve">CBM, </w:t>
      </w:r>
      <w:r w:rsidR="00B45522">
        <w:t xml:space="preserve">Plan and </w:t>
      </w:r>
      <w:r>
        <w:t>World Vision supported projects with an early childhood care and development focus</w:t>
      </w:r>
      <w:r w:rsidR="001C5422">
        <w:t xml:space="preserve"> in 11 countries</w:t>
      </w:r>
      <w:r>
        <w:t>.</w:t>
      </w:r>
    </w:p>
    <w:p w:rsidR="001C6FB7" w:rsidRDefault="001C6FB7" w:rsidP="0056700C">
      <w:pPr>
        <w:pStyle w:val="ListBullet"/>
        <w:rPr>
          <w:i/>
        </w:rPr>
      </w:pPr>
      <w:r w:rsidRPr="0056700C">
        <w:rPr>
          <w:b/>
        </w:rPr>
        <w:t>55</w:t>
      </w:r>
      <w:r w:rsidR="008B792F" w:rsidRPr="0056700C">
        <w:rPr>
          <w:b/>
        </w:rPr>
        <w:t> </w:t>
      </w:r>
      <w:r w:rsidRPr="0056700C">
        <w:rPr>
          <w:b/>
        </w:rPr>
        <w:t>000 textbooks were provided to poor and disadvantaged children.</w:t>
      </w:r>
      <w:r w:rsidR="009144DA" w:rsidRPr="0056700C">
        <w:rPr>
          <w:b/>
        </w:rPr>
        <w:t xml:space="preserve"> </w:t>
      </w:r>
      <w:r w:rsidR="00856190" w:rsidRPr="00C213BF">
        <w:br/>
      </w:r>
      <w:r w:rsidR="009144DA" w:rsidRPr="00C213BF">
        <w:rPr>
          <w:i/>
        </w:rPr>
        <w:t>(In 2010</w:t>
      </w:r>
      <w:r w:rsidR="00EC548B" w:rsidRPr="00C213BF">
        <w:rPr>
          <w:i/>
        </w:rPr>
        <w:t>–</w:t>
      </w:r>
      <w:r w:rsidR="009144DA" w:rsidRPr="00C213BF">
        <w:rPr>
          <w:i/>
        </w:rPr>
        <w:t>11, 42</w:t>
      </w:r>
      <w:r w:rsidR="008B792F">
        <w:rPr>
          <w:i/>
        </w:rPr>
        <w:t> </w:t>
      </w:r>
      <w:r w:rsidR="009144DA" w:rsidRPr="00C213BF">
        <w:rPr>
          <w:i/>
        </w:rPr>
        <w:t>208 textbooks were provided.)</w:t>
      </w:r>
    </w:p>
    <w:p w:rsidR="00144DA6" w:rsidRPr="006C0471" w:rsidRDefault="00144DA6" w:rsidP="0056700C">
      <w:pPr>
        <w:pStyle w:val="ListBullet"/>
        <w:numPr>
          <w:ilvl w:val="0"/>
          <w:numId w:val="0"/>
        </w:numPr>
        <w:ind w:left="284"/>
      </w:pPr>
      <w:r w:rsidRPr="006C0471">
        <w:t>Of t</w:t>
      </w:r>
      <w:r>
        <w:t>hese, 48</w:t>
      </w:r>
      <w:r w:rsidR="008B792F">
        <w:t> </w:t>
      </w:r>
      <w:r>
        <w:t xml:space="preserve">886 or </w:t>
      </w:r>
      <w:r w:rsidR="00666935" w:rsidRPr="00666935">
        <w:t>90</w:t>
      </w:r>
      <w:r w:rsidR="008B792F">
        <w:t> </w:t>
      </w:r>
      <w:r>
        <w:t>per cent were provided through the work of CARE and World Vision global programs</w:t>
      </w:r>
      <w:r w:rsidR="00862331">
        <w:t>, with a particular focus on Cambodia</w:t>
      </w:r>
      <w:r>
        <w:t xml:space="preserve">. </w:t>
      </w:r>
    </w:p>
    <w:p w:rsidR="00F405C6" w:rsidRPr="0056700C" w:rsidRDefault="00F77F21" w:rsidP="0056700C">
      <w:pPr>
        <w:pStyle w:val="BodyText"/>
        <w:rPr>
          <w:b/>
        </w:rPr>
      </w:pPr>
      <w:r>
        <w:rPr>
          <w:b/>
        </w:rPr>
        <w:t>E</w:t>
      </w:r>
      <w:r w:rsidR="00F405C6" w:rsidRPr="0056700C">
        <w:rPr>
          <w:b/>
        </w:rPr>
        <w:t>conomic development</w:t>
      </w:r>
    </w:p>
    <w:p w:rsidR="00F405C6" w:rsidRDefault="00F405C6" w:rsidP="0056700C">
      <w:pPr>
        <w:pStyle w:val="ListBullet"/>
        <w:rPr>
          <w:i/>
        </w:rPr>
      </w:pPr>
      <w:r w:rsidRPr="0056700C">
        <w:rPr>
          <w:b/>
        </w:rPr>
        <w:t xml:space="preserve">More than </w:t>
      </w:r>
      <w:r w:rsidR="001C6FB7" w:rsidRPr="0056700C">
        <w:rPr>
          <w:b/>
        </w:rPr>
        <w:t>200</w:t>
      </w:r>
      <w:r w:rsidR="008B792F" w:rsidRPr="0056700C">
        <w:rPr>
          <w:b/>
        </w:rPr>
        <w:t> </w:t>
      </w:r>
      <w:r w:rsidRPr="0056700C">
        <w:rPr>
          <w:b/>
        </w:rPr>
        <w:t xml:space="preserve">000 poor farmers </w:t>
      </w:r>
      <w:r w:rsidR="001C6FB7" w:rsidRPr="0056700C">
        <w:rPr>
          <w:b/>
        </w:rPr>
        <w:t>gained access to agricultural technologies</w:t>
      </w:r>
      <w:r w:rsidRPr="0056700C">
        <w:rPr>
          <w:b/>
        </w:rPr>
        <w:t>.</w:t>
      </w:r>
      <w:r w:rsidR="009144DA" w:rsidRPr="00144DA6">
        <w:t xml:space="preserve"> </w:t>
      </w:r>
      <w:r w:rsidR="00856190" w:rsidRPr="00144DA6">
        <w:br/>
      </w:r>
      <w:r w:rsidR="009144DA" w:rsidRPr="00C213BF">
        <w:rPr>
          <w:i/>
        </w:rPr>
        <w:t>(In 2010</w:t>
      </w:r>
      <w:r w:rsidR="00EC548B" w:rsidRPr="00C213BF">
        <w:rPr>
          <w:i/>
        </w:rPr>
        <w:t>–</w:t>
      </w:r>
      <w:r w:rsidR="00FA12DB" w:rsidRPr="00C213BF">
        <w:rPr>
          <w:i/>
        </w:rPr>
        <w:t xml:space="preserve">11, </w:t>
      </w:r>
      <w:r w:rsidR="009144DA" w:rsidRPr="00C213BF">
        <w:rPr>
          <w:i/>
        </w:rPr>
        <w:t>96</w:t>
      </w:r>
      <w:r w:rsidR="008B792F">
        <w:rPr>
          <w:i/>
        </w:rPr>
        <w:t> </w:t>
      </w:r>
      <w:r w:rsidR="009144DA" w:rsidRPr="00C213BF">
        <w:rPr>
          <w:i/>
        </w:rPr>
        <w:t>000 farmers gained access to these technologies.)</w:t>
      </w:r>
    </w:p>
    <w:p w:rsidR="0085276D" w:rsidRPr="006C0471" w:rsidRDefault="001D0CC8" w:rsidP="0056700C">
      <w:pPr>
        <w:pStyle w:val="ListBullet"/>
        <w:numPr>
          <w:ilvl w:val="0"/>
          <w:numId w:val="0"/>
        </w:numPr>
        <w:ind w:left="284"/>
      </w:pPr>
      <w:r w:rsidRPr="001D0CC8">
        <w:t xml:space="preserve">Of </w:t>
      </w:r>
      <w:r>
        <w:t>these, 161</w:t>
      </w:r>
      <w:r w:rsidR="008B792F">
        <w:t> </w:t>
      </w:r>
      <w:r>
        <w:t xml:space="preserve">972 </w:t>
      </w:r>
      <w:r w:rsidRPr="00666935">
        <w:t xml:space="preserve">or </w:t>
      </w:r>
      <w:r w:rsidR="00666935" w:rsidRPr="00666935">
        <w:t>83</w:t>
      </w:r>
      <w:r w:rsidR="008B792F">
        <w:t> </w:t>
      </w:r>
      <w:r>
        <w:t>per cent</w:t>
      </w:r>
      <w:r w:rsidR="0085276D">
        <w:t xml:space="preserve"> were assisted through the work of Caritas, TEAR, Oxfam and Plan in 21 countries. Eleven other NGOs worked across 23 countries to contribute to this result.</w:t>
      </w:r>
    </w:p>
    <w:p w:rsidR="00D04CC3" w:rsidRDefault="00F405C6" w:rsidP="0056700C">
      <w:pPr>
        <w:pStyle w:val="ListBullet"/>
        <w:rPr>
          <w:i/>
        </w:rPr>
      </w:pPr>
      <w:r w:rsidRPr="0056700C">
        <w:rPr>
          <w:b/>
        </w:rPr>
        <w:t xml:space="preserve">More than </w:t>
      </w:r>
      <w:r w:rsidR="001C6FB7" w:rsidRPr="0056700C">
        <w:rPr>
          <w:b/>
        </w:rPr>
        <w:t>110</w:t>
      </w:r>
      <w:r w:rsidR="008B792F" w:rsidRPr="0056700C">
        <w:rPr>
          <w:b/>
        </w:rPr>
        <w:t> </w:t>
      </w:r>
      <w:r w:rsidRPr="0056700C">
        <w:rPr>
          <w:b/>
        </w:rPr>
        <w:t>000 poor women and men increased their access to financial services.</w:t>
      </w:r>
      <w:r w:rsidR="00856190" w:rsidRPr="00C213BF">
        <w:br/>
      </w:r>
      <w:r w:rsidR="009144DA" w:rsidRPr="00C213BF">
        <w:rPr>
          <w:i/>
        </w:rPr>
        <w:t>(In 2010</w:t>
      </w:r>
      <w:r w:rsidR="00EC548B" w:rsidRPr="00C213BF">
        <w:rPr>
          <w:i/>
        </w:rPr>
        <w:t>–</w:t>
      </w:r>
      <w:r w:rsidR="00FA12DB" w:rsidRPr="00C213BF">
        <w:rPr>
          <w:i/>
        </w:rPr>
        <w:t xml:space="preserve">11, </w:t>
      </w:r>
      <w:r w:rsidR="009144DA" w:rsidRPr="00C213BF">
        <w:rPr>
          <w:i/>
        </w:rPr>
        <w:t>75</w:t>
      </w:r>
      <w:r w:rsidR="008B792F">
        <w:rPr>
          <w:i/>
        </w:rPr>
        <w:t> </w:t>
      </w:r>
      <w:r w:rsidR="009144DA" w:rsidRPr="00C213BF">
        <w:rPr>
          <w:i/>
        </w:rPr>
        <w:t>000 people had increased access to these services.)</w:t>
      </w:r>
    </w:p>
    <w:p w:rsidR="009F7CC4" w:rsidRPr="009F7CC4" w:rsidRDefault="009F7CC4" w:rsidP="0056700C">
      <w:pPr>
        <w:pStyle w:val="ListBullet"/>
        <w:numPr>
          <w:ilvl w:val="0"/>
          <w:numId w:val="0"/>
        </w:numPr>
        <w:ind w:left="284"/>
        <w:rPr>
          <w:i/>
        </w:rPr>
      </w:pPr>
      <w:r w:rsidRPr="009F7CC4">
        <w:t xml:space="preserve">Of </w:t>
      </w:r>
      <w:r>
        <w:t>these, 71</w:t>
      </w:r>
      <w:r w:rsidR="008B792F">
        <w:t> </w:t>
      </w:r>
      <w:r>
        <w:t>per cent were assisted through the work of TEAR and Caritas in eight countries. Thirteen other NGOs worked across 21 countries to contribute to this result.</w:t>
      </w:r>
    </w:p>
    <w:p w:rsidR="00F405C6" w:rsidRPr="0056700C" w:rsidRDefault="00F77F21" w:rsidP="0056700C">
      <w:pPr>
        <w:pStyle w:val="BodyText"/>
        <w:rPr>
          <w:b/>
        </w:rPr>
      </w:pPr>
      <w:r>
        <w:rPr>
          <w:b/>
        </w:rPr>
        <w:t>G</w:t>
      </w:r>
      <w:r w:rsidR="00F405C6" w:rsidRPr="0056700C">
        <w:rPr>
          <w:b/>
        </w:rPr>
        <w:t>overnance</w:t>
      </w:r>
    </w:p>
    <w:p w:rsidR="00D04CC3" w:rsidRPr="0056700C" w:rsidRDefault="001C6FB7" w:rsidP="0056700C">
      <w:pPr>
        <w:pStyle w:val="ListBullet"/>
        <w:rPr>
          <w:b/>
        </w:rPr>
      </w:pPr>
      <w:r w:rsidRPr="0056700C">
        <w:rPr>
          <w:b/>
        </w:rPr>
        <w:t>Over 30</w:t>
      </w:r>
      <w:r w:rsidR="00F405C6" w:rsidRPr="0056700C">
        <w:rPr>
          <w:b/>
        </w:rPr>
        <w:t>00 communities experienced an increase in the level and quality of government service delivery facilitated by NGOs helping to link excluded communities to government and/or alternative services.</w:t>
      </w:r>
    </w:p>
    <w:p w:rsidR="008D267E" w:rsidRPr="008D267E" w:rsidRDefault="00280127" w:rsidP="0056700C">
      <w:pPr>
        <w:pStyle w:val="ListBullet"/>
        <w:numPr>
          <w:ilvl w:val="0"/>
          <w:numId w:val="0"/>
        </w:numPr>
        <w:ind w:left="284"/>
      </w:pPr>
      <w:r>
        <w:t xml:space="preserve">Seven </w:t>
      </w:r>
      <w:r w:rsidR="008D267E">
        <w:t>ANCP Partner NGOs</w:t>
      </w:r>
      <w:r>
        <w:t xml:space="preserve"> supported effective governance projects in 24 countries. Eight other NGOs worked across eight countries to contribute to this result.</w:t>
      </w:r>
    </w:p>
    <w:p w:rsidR="00F405C6" w:rsidRPr="0056700C" w:rsidRDefault="00F405C6" w:rsidP="0056700C">
      <w:pPr>
        <w:pStyle w:val="BodyText"/>
        <w:rPr>
          <w:b/>
        </w:rPr>
      </w:pPr>
      <w:r w:rsidRPr="0056700C">
        <w:rPr>
          <w:b/>
        </w:rPr>
        <w:t xml:space="preserve">Humanitarian </w:t>
      </w:r>
    </w:p>
    <w:p w:rsidR="00F405C6" w:rsidRPr="0056700C" w:rsidRDefault="00F405C6" w:rsidP="0056700C">
      <w:pPr>
        <w:pStyle w:val="ListBullet"/>
        <w:rPr>
          <w:b/>
        </w:rPr>
      </w:pPr>
      <w:r w:rsidRPr="0056700C">
        <w:rPr>
          <w:b/>
        </w:rPr>
        <w:t>27</w:t>
      </w:r>
      <w:r w:rsidR="008B792F" w:rsidRPr="0056700C">
        <w:rPr>
          <w:b/>
        </w:rPr>
        <w:t> </w:t>
      </w:r>
      <w:r w:rsidRPr="0056700C">
        <w:rPr>
          <w:b/>
        </w:rPr>
        <w:t>000 poor people were assisted to develop community disaster risk reduction plans.</w:t>
      </w:r>
    </w:p>
    <w:p w:rsidR="008A4610" w:rsidRDefault="008A4610" w:rsidP="0056700C">
      <w:pPr>
        <w:pStyle w:val="ListBullet"/>
        <w:numPr>
          <w:ilvl w:val="0"/>
          <w:numId w:val="0"/>
        </w:numPr>
        <w:ind w:left="284"/>
      </w:pPr>
      <w:r w:rsidRPr="008A4610">
        <w:t>ANCP</w:t>
      </w:r>
      <w:r>
        <w:t xml:space="preserve"> NGOs assisted </w:t>
      </w:r>
      <w:r w:rsidR="00FE5B08">
        <w:t xml:space="preserve">people in </w:t>
      </w:r>
      <w:r>
        <w:t>communities in South-East Asia, the Pacific, Africa and Central America in developing disaster prevention and preparedness plans.</w:t>
      </w:r>
    </w:p>
    <w:p w:rsidR="00366639" w:rsidRDefault="003E4BED" w:rsidP="003E4BED">
      <w:pPr>
        <w:pStyle w:val="Heading2"/>
      </w:pPr>
      <w:r>
        <w:lastRenderedPageBreak/>
        <w:t>Cross-cutting issues</w:t>
      </w:r>
    </w:p>
    <w:p w:rsidR="008C5D32" w:rsidRPr="006D1D6D" w:rsidRDefault="003E4BED" w:rsidP="00B87EEC">
      <w:pPr>
        <w:pStyle w:val="BodyText"/>
      </w:pPr>
      <w:r w:rsidRPr="006D1D6D">
        <w:t xml:space="preserve">Due to the redesign of the ANCP reporting templates in 2011–12, ANCP NGOs were </w:t>
      </w:r>
      <w:r w:rsidR="001C3D37" w:rsidRPr="006D1D6D">
        <w:t xml:space="preserve">asked </w:t>
      </w:r>
      <w:r w:rsidR="008C5D32" w:rsidRPr="006D1D6D">
        <w:t>to report on gender and</w:t>
      </w:r>
      <w:r w:rsidRPr="006D1D6D">
        <w:t xml:space="preserve"> disability. </w:t>
      </w:r>
      <w:r w:rsidR="008C5D32" w:rsidRPr="006D1D6D">
        <w:t>All except one reported on gender and only five of the 43 NGOs were unable to report on disability.</w:t>
      </w:r>
    </w:p>
    <w:p w:rsidR="00F02444" w:rsidRPr="0056700C" w:rsidRDefault="00F02444" w:rsidP="0056700C">
      <w:pPr>
        <w:pStyle w:val="BodyText"/>
        <w:rPr>
          <w:b/>
        </w:rPr>
      </w:pPr>
      <w:r w:rsidRPr="0056700C">
        <w:rPr>
          <w:b/>
        </w:rPr>
        <w:t>Gender</w:t>
      </w:r>
    </w:p>
    <w:p w:rsidR="008C5D32" w:rsidRPr="006D1D6D" w:rsidRDefault="008C5D32" w:rsidP="0056700C">
      <w:pPr>
        <w:pStyle w:val="BodyText"/>
      </w:pPr>
      <w:r w:rsidRPr="006D1D6D">
        <w:t>Some smaller agencies reported that, while it was not possible to employ a gender expert, they were working towards having more comprehensive gender awareness within their organisation and amongst their partners, and this is having an impact. For example, Angli</w:t>
      </w:r>
      <w:r w:rsidR="006C0806">
        <w:t xml:space="preserve">CORD </w:t>
      </w:r>
      <w:r w:rsidRPr="006D1D6D">
        <w:t>reported:</w:t>
      </w:r>
    </w:p>
    <w:p w:rsidR="008C5D32" w:rsidRDefault="008C5D32" w:rsidP="0056700C">
      <w:pPr>
        <w:pStyle w:val="BodyText"/>
        <w:rPr>
          <w:i/>
        </w:rPr>
      </w:pPr>
      <w:r w:rsidRPr="006D1D6D">
        <w:rPr>
          <w:i/>
        </w:rPr>
        <w:t>In Mozambique most of the staff are recruited from project communities and, before joining the staff, all undergo an internship in which gender equality is emphasised; o</w:t>
      </w:r>
      <w:r w:rsidR="00B87EEC" w:rsidRPr="006D1D6D">
        <w:rPr>
          <w:i/>
        </w:rPr>
        <w:t>ne such staff member reported: ‘</w:t>
      </w:r>
      <w:r w:rsidRPr="006D1D6D">
        <w:rPr>
          <w:i/>
        </w:rPr>
        <w:t xml:space="preserve">I learned that there’s not </w:t>
      </w:r>
      <w:r w:rsidR="00383AFC">
        <w:rPr>
          <w:i/>
        </w:rPr>
        <w:t>“</w:t>
      </w:r>
      <w:r w:rsidRPr="006D1D6D">
        <w:rPr>
          <w:i/>
        </w:rPr>
        <w:t>women’s work</w:t>
      </w:r>
      <w:r w:rsidR="00383AFC">
        <w:rPr>
          <w:i/>
        </w:rPr>
        <w:t>”</w:t>
      </w:r>
      <w:r w:rsidRPr="006D1D6D">
        <w:rPr>
          <w:i/>
        </w:rPr>
        <w:t xml:space="preserve"> and </w:t>
      </w:r>
      <w:r w:rsidR="00383AFC">
        <w:rPr>
          <w:i/>
        </w:rPr>
        <w:t>“</w:t>
      </w:r>
      <w:r w:rsidRPr="006D1D6D">
        <w:rPr>
          <w:i/>
        </w:rPr>
        <w:t>men’s work</w:t>
      </w:r>
      <w:r w:rsidR="00383AFC">
        <w:rPr>
          <w:i/>
        </w:rPr>
        <w:t>”</w:t>
      </w:r>
      <w:r w:rsidRPr="006D1D6D">
        <w:rPr>
          <w:i/>
        </w:rPr>
        <w:t>.</w:t>
      </w:r>
      <w:r w:rsidRPr="006D1D6D">
        <w:rPr>
          <w:rFonts w:ascii="MS Sans Serif" w:eastAsiaTheme="minorHAnsi" w:hAnsi="MS Sans Serif" w:cs="MS Sans Serif"/>
          <w:sz w:val="16"/>
          <w:szCs w:val="16"/>
          <w:highlight w:val="white"/>
        </w:rPr>
        <w:t xml:space="preserve"> </w:t>
      </w:r>
      <w:r w:rsidRPr="006D1D6D">
        <w:rPr>
          <w:i/>
        </w:rPr>
        <w:t>Th</w:t>
      </w:r>
      <w:r w:rsidR="00B87EEC" w:rsidRPr="006D1D6D">
        <w:rPr>
          <w:i/>
        </w:rPr>
        <w:t>ere’s just work we must all do!’</w:t>
      </w:r>
    </w:p>
    <w:p w:rsidR="00022DC6" w:rsidRPr="00043EE5" w:rsidRDefault="00022DC6" w:rsidP="0056700C">
      <w:pPr>
        <w:pStyle w:val="BodyText"/>
      </w:pPr>
      <w:r w:rsidRPr="00043EE5">
        <w:t xml:space="preserve">In May 2013, </w:t>
      </w:r>
      <w:r w:rsidR="00172635">
        <w:t xml:space="preserve">aid program </w:t>
      </w:r>
      <w:r w:rsidRPr="00043EE5">
        <w:t>staff visited three provinces in Sri</w:t>
      </w:r>
      <w:r w:rsidR="00383AFC">
        <w:t> </w:t>
      </w:r>
      <w:r w:rsidRPr="00043EE5">
        <w:t xml:space="preserve">Lanka to review Oxfam Australia’s Promoting Gender Justice Program. The team </w:t>
      </w:r>
      <w:r>
        <w:t>observed</w:t>
      </w:r>
      <w:r w:rsidRPr="00043EE5">
        <w:t xml:space="preserve"> that Oxfam is working with the poor in areas </w:t>
      </w:r>
      <w:r w:rsidR="000E3607">
        <w:t xml:space="preserve">that </w:t>
      </w:r>
      <w:r w:rsidRPr="00043EE5">
        <w:t xml:space="preserve">bilateral donors would have difficulty reaching, including conflict-affected areas and tea estates. </w:t>
      </w:r>
      <w:r>
        <w:t xml:space="preserve">They found that </w:t>
      </w:r>
      <w:r w:rsidR="000B27CD" w:rsidRPr="00043EE5">
        <w:t>that good progress is being made on gender equality and women’s empowerment</w:t>
      </w:r>
      <w:r w:rsidR="000B27CD">
        <w:t>.</w:t>
      </w:r>
      <w:r w:rsidR="000B27CD" w:rsidRPr="00043EE5">
        <w:t xml:space="preserve"> </w:t>
      </w:r>
      <w:r w:rsidRPr="00043EE5">
        <w:t xml:space="preserve">Oxfam’s </w:t>
      </w:r>
      <w:r w:rsidR="000B27CD">
        <w:t xml:space="preserve">ANCP funded work </w:t>
      </w:r>
      <w:r w:rsidRPr="00043EE5">
        <w:t>is</w:t>
      </w:r>
      <w:r w:rsidR="000B27CD">
        <w:t xml:space="preserve"> </w:t>
      </w:r>
      <w:r w:rsidR="000B27CD" w:rsidRPr="00043EE5">
        <w:t>addressing gender</w:t>
      </w:r>
      <w:r w:rsidR="00383AFC">
        <w:t>-</w:t>
      </w:r>
      <w:r w:rsidR="000B27CD" w:rsidRPr="00043EE5">
        <w:t>based violence</w:t>
      </w:r>
      <w:r w:rsidR="000B27CD">
        <w:t xml:space="preserve"> </w:t>
      </w:r>
      <w:r w:rsidR="000B27CD" w:rsidRPr="00043EE5">
        <w:t>by assisting</w:t>
      </w:r>
      <w:r w:rsidR="000B27CD">
        <w:t xml:space="preserve"> survivors of domestic violence </w:t>
      </w:r>
      <w:r w:rsidR="000B27CD" w:rsidRPr="00043EE5">
        <w:t>and promoting awareness-raising campaigns to address violence against women.</w:t>
      </w:r>
      <w:r w:rsidR="000B27CD">
        <w:t xml:space="preserve"> The program is providing </w:t>
      </w:r>
      <w:r w:rsidR="000B27CD" w:rsidRPr="00043EE5">
        <w:t>increased opportunities for women to experience leadership through their decision-making positions in community</w:t>
      </w:r>
      <w:r w:rsidR="00383AFC">
        <w:t>-</w:t>
      </w:r>
      <w:r w:rsidR="000B27CD" w:rsidRPr="00043EE5">
        <w:t>based organisations</w:t>
      </w:r>
      <w:r w:rsidR="000B27CD">
        <w:t xml:space="preserve">. </w:t>
      </w:r>
      <w:r w:rsidRPr="00043EE5">
        <w:t xml:space="preserve">Women’s economic empowerment is also being addressed through village savings and loans club activities. </w:t>
      </w:r>
    </w:p>
    <w:p w:rsidR="000B27CD" w:rsidRDefault="002E6018" w:rsidP="0056700C">
      <w:pPr>
        <w:pStyle w:val="BodyText"/>
      </w:pPr>
      <w:r w:rsidRPr="00043EE5">
        <w:t>Oxfam</w:t>
      </w:r>
      <w:r w:rsidR="000B27CD">
        <w:t xml:space="preserve"> also</w:t>
      </w:r>
      <w:r w:rsidRPr="00043EE5">
        <w:t xml:space="preserve"> reported on the success of the Promoting Gender Justice Program in Sri</w:t>
      </w:r>
      <w:r w:rsidR="00383AFC">
        <w:t> </w:t>
      </w:r>
      <w:r w:rsidRPr="00043EE5">
        <w:t>Lanka</w:t>
      </w:r>
      <w:r w:rsidR="000B27CD">
        <w:t xml:space="preserve"> i</w:t>
      </w:r>
      <w:r w:rsidR="000B27CD" w:rsidRPr="00043EE5">
        <w:t>n its Annual</w:t>
      </w:r>
      <w:r w:rsidR="000B27CD">
        <w:t xml:space="preserve"> Performance Report for 2011–12, as follows:</w:t>
      </w:r>
    </w:p>
    <w:p w:rsidR="000B27CD" w:rsidRDefault="002E6018" w:rsidP="0056700C">
      <w:pPr>
        <w:pStyle w:val="BodyText"/>
      </w:pPr>
      <w:r w:rsidRPr="000B27CD">
        <w:rPr>
          <w:i/>
        </w:rPr>
        <w:t>Oxfam and its partner organisations increased collaboration with government departments and NGOs to improve assistance and support to survivors of gender-based violence</w:t>
      </w:r>
      <w:r w:rsidR="00F02444" w:rsidRPr="000B27CD">
        <w:rPr>
          <w:i/>
        </w:rPr>
        <w:t xml:space="preserve"> (GBV)</w:t>
      </w:r>
      <w:r w:rsidRPr="000B27CD">
        <w:rPr>
          <w:i/>
        </w:rPr>
        <w:t>. This contributed to increased access by women to GBV support services and an increased level of community awareness. Gender committees which support survivors, respond effectively to GBV and promote women’s leadership have been established in some locations. The number of women assuming leadership positions and decision-making roles within local village organisations has been increasing. There has been greater participation of women in Farmers and Fishing Societies, Rural Development Societies and Disaster Committees</w:t>
      </w:r>
      <w:r w:rsidRPr="000B27CD">
        <w:t xml:space="preserve">. </w:t>
      </w:r>
    </w:p>
    <w:p w:rsidR="002E6018" w:rsidRPr="000B27CD" w:rsidRDefault="00156A72" w:rsidP="0056700C">
      <w:pPr>
        <w:pStyle w:val="BodyText"/>
      </w:pPr>
      <w:r w:rsidRPr="00701F40">
        <w:t>The project benefited 6000 women and 1500 men directly in 2011–12. (Comparative figures for 2010–11 are unavailable.)</w:t>
      </w:r>
    </w:p>
    <w:p w:rsidR="00F02444" w:rsidRPr="0056700C" w:rsidRDefault="00F02444" w:rsidP="0056700C">
      <w:pPr>
        <w:pStyle w:val="BodyText"/>
        <w:rPr>
          <w:b/>
        </w:rPr>
      </w:pPr>
      <w:r w:rsidRPr="0056700C">
        <w:rPr>
          <w:b/>
        </w:rPr>
        <w:t>Disability</w:t>
      </w:r>
    </w:p>
    <w:p w:rsidR="000115D8" w:rsidRPr="00043EE5" w:rsidRDefault="003E4BED" w:rsidP="0056700C">
      <w:pPr>
        <w:pStyle w:val="BodyText"/>
      </w:pPr>
      <w:r w:rsidRPr="006D1D6D">
        <w:t>Many NGOs admitted that, while they had disability inclusive measures in place</w:t>
      </w:r>
      <w:r w:rsidR="001C3D37" w:rsidRPr="006D1D6D">
        <w:t xml:space="preserve"> in their projects and in their training of in-country staff</w:t>
      </w:r>
      <w:r w:rsidRPr="006D1D6D">
        <w:t>, actually reaching people with disability was often hindered by cultural/soc</w:t>
      </w:r>
      <w:r w:rsidR="00156A72" w:rsidRPr="00701F40">
        <w:t>ietal practices. The Australian Foundation for the Peoples of Asia and the Pacific (AFAP) found that ongoing education and communication are central to the effectiveness of projects addressing issues of disability:</w:t>
      </w:r>
    </w:p>
    <w:p w:rsidR="000115D8" w:rsidRPr="00043EE5" w:rsidRDefault="000115D8" w:rsidP="0056700C">
      <w:pPr>
        <w:pStyle w:val="BodyText"/>
        <w:rPr>
          <w:i/>
        </w:rPr>
      </w:pPr>
      <w:r w:rsidRPr="00043EE5">
        <w:rPr>
          <w:i/>
        </w:rPr>
        <w:t>Developing countries are least equipped to cope with the needs of disabled people. Disabled people are often excluded from participating fully in society and are often the poorest of the poor. This year AFAP has supported a specific disability focused program in Bangladesh using ANCP funding. The Walk for Life Program is working towards raising awareness of early intervention and inexpensive, non-surgical treatment as well as working to build the capacity of the existing Bangladesh health system so that they can locate and treat babies born with club foot/feet.</w:t>
      </w:r>
    </w:p>
    <w:p w:rsidR="000115D8" w:rsidRPr="000115D8" w:rsidRDefault="000115D8" w:rsidP="0056700C">
      <w:pPr>
        <w:pStyle w:val="BodyText"/>
        <w:rPr>
          <w:i/>
        </w:rPr>
      </w:pPr>
      <w:r w:rsidRPr="00043EE5">
        <w:rPr>
          <w:i/>
        </w:rPr>
        <w:lastRenderedPageBreak/>
        <w:t>Walk for Life have learnt that it is important to communicate with the beneficiary groups (the parents, local population) and other stakeholders (health professionals, social workers, government employees) side by side for the treatment and project to remain effective. Through continuously informing, educating and communicating with the public, the whole project can continue on its way to being self-sustainable.</w:t>
      </w:r>
    </w:p>
    <w:p w:rsidR="001C3D37" w:rsidRPr="006D1D6D" w:rsidRDefault="001C3D37" w:rsidP="0056700C">
      <w:pPr>
        <w:pStyle w:val="BodyText"/>
      </w:pPr>
      <w:r w:rsidRPr="006D1D6D">
        <w:t xml:space="preserve">Other agencies admitted to beginning to implement disability inclusive measures or improving their current arrangements due to the new requirement to include them in reporting. For example, </w:t>
      </w:r>
      <w:r w:rsidR="00156A72" w:rsidRPr="00701F40">
        <w:t>the Anglican Board of Mission Australia (ABM) reported:</w:t>
      </w:r>
    </w:p>
    <w:p w:rsidR="008C5D32" w:rsidRDefault="001C3D37" w:rsidP="0056700C">
      <w:pPr>
        <w:pStyle w:val="BodyText"/>
        <w:rPr>
          <w:i/>
        </w:rPr>
      </w:pPr>
      <w:r w:rsidRPr="006D1D6D">
        <w:rPr>
          <w:i/>
        </w:rPr>
        <w:t>Disability is an area that ABM recognises it needs to work closely on with our partner and their communities. Work has started to put in place an organisation-wide disability policy within ABM. Raising awareness, both within ABM and with its overseas part</w:t>
      </w:r>
      <w:r w:rsidR="00D664C8" w:rsidRPr="006D1D6D">
        <w:rPr>
          <w:i/>
        </w:rPr>
        <w:t>ners, will be a specific focus </w:t>
      </w:r>
      <w:r w:rsidRPr="006D1D6D">
        <w:rPr>
          <w:i/>
        </w:rPr>
        <w:t>in the latter part of this financial year and, later on, putting in place measures to integrate this awareness into program planning and implementation.</w:t>
      </w:r>
    </w:p>
    <w:p w:rsidR="002E6018" w:rsidRPr="006D1D6D" w:rsidRDefault="002E6018" w:rsidP="00307D5D">
      <w:pPr>
        <w:pStyle w:val="ListParagraph"/>
        <w:numPr>
          <w:ilvl w:val="0"/>
          <w:numId w:val="0"/>
        </w:numPr>
      </w:pPr>
    </w:p>
    <w:p w:rsidR="00180B19" w:rsidRDefault="00180B19" w:rsidP="002F771F">
      <w:pPr>
        <w:pStyle w:val="Heading1"/>
      </w:pPr>
      <w:r w:rsidRPr="00180B19">
        <w:t>Quality at Implementation ratings</w:t>
      </w:r>
    </w:p>
    <w:p w:rsidR="004251B5" w:rsidRPr="004251B5" w:rsidRDefault="00156A72" w:rsidP="0056700C">
      <w:pPr>
        <w:pStyle w:val="BodyText"/>
      </w:pPr>
      <w:r w:rsidRPr="00701F40">
        <w:t>A Quality at Implementation (QAI) review of the ANCP is undertaken annually, in March, to assess how well the program is performing. This section compares the results of the 2012 and 2013 QAI reports.</w:t>
      </w:r>
    </w:p>
    <w:p w:rsidR="00B4131B" w:rsidRPr="0056700C" w:rsidRDefault="008D3BEB" w:rsidP="0056700C">
      <w:pPr>
        <w:pStyle w:val="BodyText"/>
        <w:rPr>
          <w:b/>
        </w:rPr>
      </w:pPr>
      <w:r w:rsidRPr="0056700C">
        <w:rPr>
          <w:b/>
        </w:rPr>
        <w:t>Relevance</w:t>
      </w:r>
    </w:p>
    <w:p w:rsidR="00B4131B" w:rsidRPr="005B45FF" w:rsidRDefault="00172635" w:rsidP="0056700C">
      <w:pPr>
        <w:pStyle w:val="BodyText"/>
      </w:pPr>
      <w:r>
        <w:t xml:space="preserve">One of </w:t>
      </w:r>
      <w:r w:rsidR="00FC3DB0">
        <w:t>the primary</w:t>
      </w:r>
      <w:r w:rsidR="00BC3F24" w:rsidRPr="005B45FF">
        <w:t xml:space="preserve"> purpose</w:t>
      </w:r>
      <w:r>
        <w:t>s</w:t>
      </w:r>
      <w:r w:rsidR="00BC3F24" w:rsidRPr="005B45FF">
        <w:t xml:space="preserve"> of Australian aid is to help people </w:t>
      </w:r>
      <w:r w:rsidR="007B3885">
        <w:t xml:space="preserve">to </w:t>
      </w:r>
      <w:r w:rsidR="00BC3F24" w:rsidRPr="005B45FF">
        <w:t xml:space="preserve">overcome poverty, and the ANCP objective to alleviate poverty clearly aligns with this. </w:t>
      </w:r>
      <w:r>
        <w:t>W</w:t>
      </w:r>
      <w:r w:rsidR="009C5A4B" w:rsidRPr="005B45FF">
        <w:t>ork with accredited A</w:t>
      </w:r>
      <w:r w:rsidR="000E3607">
        <w:t xml:space="preserve">ustralian </w:t>
      </w:r>
      <w:r w:rsidR="009C5A4B" w:rsidRPr="005B45FF">
        <w:t xml:space="preserve">NGOs under the ANCP is </w:t>
      </w:r>
      <w:r w:rsidR="00BC3F24" w:rsidRPr="005B45FF">
        <w:t xml:space="preserve">also </w:t>
      </w:r>
      <w:r w:rsidR="009C5A4B" w:rsidRPr="005B45FF">
        <w:t xml:space="preserve">directly relevant to the Civil Society Engagement Framework. </w:t>
      </w:r>
      <w:r w:rsidR="00B4131B" w:rsidRPr="005B45FF">
        <w:t xml:space="preserve">The </w:t>
      </w:r>
      <w:r w:rsidR="00156A72" w:rsidRPr="00701F40">
        <w:t xml:space="preserve">2012 Mid Term Review of </w:t>
      </w:r>
      <w:r w:rsidR="000E3607">
        <w:t xml:space="preserve">ANCP </w:t>
      </w:r>
      <w:r w:rsidR="00156A72" w:rsidRPr="00701F40">
        <w:t>Partnership</w:t>
      </w:r>
      <w:r w:rsidR="000E3607">
        <w:t>s</w:t>
      </w:r>
      <w:r w:rsidR="00156A72" w:rsidRPr="00701F40">
        <w:t xml:space="preserve"> </w:t>
      </w:r>
      <w:r w:rsidR="00B4131B" w:rsidRPr="005B45FF">
        <w:t xml:space="preserve">found </w:t>
      </w:r>
      <w:r w:rsidR="0008762D" w:rsidRPr="005B45FF">
        <w:t>that the program had supported P</w:t>
      </w:r>
      <w:r w:rsidR="00B4131B" w:rsidRPr="005B45FF">
        <w:t>artner agencies to directly reach 6.5</w:t>
      </w:r>
      <w:r w:rsidR="000E3607">
        <w:t> </w:t>
      </w:r>
      <w:r w:rsidR="00B4131B" w:rsidRPr="005B45FF">
        <w:t>million beneficiaries</w:t>
      </w:r>
      <w:r w:rsidR="00B4131B" w:rsidRPr="004B483E">
        <w:t xml:space="preserve">. </w:t>
      </w:r>
      <w:r w:rsidR="004B483E">
        <w:t xml:space="preserve">An </w:t>
      </w:r>
      <w:r w:rsidR="00BC3F24" w:rsidRPr="004B483E">
        <w:t xml:space="preserve">evaluation </w:t>
      </w:r>
      <w:r w:rsidR="009C13FF" w:rsidRPr="004B483E">
        <w:t xml:space="preserve">of the ANCP in 2013–14 </w:t>
      </w:r>
      <w:r w:rsidR="00BC3F24" w:rsidRPr="004B483E">
        <w:t xml:space="preserve">by the Office of Development Effectiveness (ODE) </w:t>
      </w:r>
      <w:r w:rsidR="004B483E">
        <w:t>has been discussed</w:t>
      </w:r>
      <w:r w:rsidR="00156A72" w:rsidRPr="00701F40">
        <w:t>, which could</w:t>
      </w:r>
      <w:r w:rsidR="00BC3F24" w:rsidRPr="004B483E">
        <w:t xml:space="preserve"> </w:t>
      </w:r>
      <w:r w:rsidR="00A63710" w:rsidRPr="004B483E">
        <w:t>better articulate the objectives of the ANCP</w:t>
      </w:r>
      <w:r w:rsidR="00BC3F24" w:rsidRPr="004B483E">
        <w:t xml:space="preserve">. </w:t>
      </w:r>
      <w:r w:rsidR="00B4131B" w:rsidRPr="004B483E">
        <w:t>The decision was therefore made to increase the rating from 4 to 5.</w:t>
      </w:r>
    </w:p>
    <w:p w:rsidR="00B4131B" w:rsidRPr="0056700C" w:rsidRDefault="00EC4458" w:rsidP="0056700C">
      <w:pPr>
        <w:pStyle w:val="BodyText"/>
        <w:rPr>
          <w:b/>
        </w:rPr>
      </w:pPr>
      <w:r w:rsidRPr="0056700C">
        <w:rPr>
          <w:b/>
        </w:rPr>
        <w:t xml:space="preserve">Effectiveness and </w:t>
      </w:r>
      <w:r w:rsidR="007B3885" w:rsidRPr="0056700C">
        <w:rPr>
          <w:b/>
        </w:rPr>
        <w:t>e</w:t>
      </w:r>
      <w:r w:rsidRPr="0056700C">
        <w:rPr>
          <w:b/>
        </w:rPr>
        <w:t>fficiency</w:t>
      </w:r>
    </w:p>
    <w:p w:rsidR="00EF683A" w:rsidRPr="005B45FF" w:rsidRDefault="00B4131B" w:rsidP="0056700C">
      <w:pPr>
        <w:pStyle w:val="BodyText"/>
      </w:pPr>
      <w:r w:rsidRPr="005B45FF">
        <w:t xml:space="preserve">The QAI ratings </w:t>
      </w:r>
      <w:r w:rsidR="00562992" w:rsidRPr="005B45FF">
        <w:t xml:space="preserve">of 4 </w:t>
      </w:r>
      <w:r w:rsidRPr="005B45FF">
        <w:t xml:space="preserve">against </w:t>
      </w:r>
      <w:r w:rsidR="000E3607">
        <w:t xml:space="preserve">the effectiveness and efficiency </w:t>
      </w:r>
      <w:r w:rsidRPr="005B45FF">
        <w:t>criteria did not change from 2011 to 2012.</w:t>
      </w:r>
      <w:r w:rsidR="00263284" w:rsidRPr="005B45FF">
        <w:t xml:space="preserve"> A review of the ANCP Monitoring, Evaluation and Learning Framework recommended that </w:t>
      </w:r>
      <w:r w:rsidR="009B4CD0" w:rsidRPr="005B45FF">
        <w:t xml:space="preserve">ANCP </w:t>
      </w:r>
      <w:r w:rsidR="0008762D" w:rsidRPr="005B45FF">
        <w:t>P</w:t>
      </w:r>
      <w:r w:rsidR="009B4CD0" w:rsidRPr="005B45FF">
        <w:t xml:space="preserve">artner NGOs </w:t>
      </w:r>
      <w:r w:rsidR="0068558E">
        <w:t xml:space="preserve">find ways to show their additional contribution </w:t>
      </w:r>
      <w:r w:rsidR="009B4CD0" w:rsidRPr="005B45FF">
        <w:t xml:space="preserve">to development effectiveness. </w:t>
      </w:r>
      <w:r w:rsidR="0068558E">
        <w:t>Discussions on this are ongoing</w:t>
      </w:r>
      <w:r w:rsidR="009B4CD0" w:rsidRPr="005B45FF">
        <w:t xml:space="preserve">. To aid ANCP funding and reporting efficiency, </w:t>
      </w:r>
      <w:r w:rsidR="000E3607">
        <w:t xml:space="preserve">the </w:t>
      </w:r>
      <w:r w:rsidR="00156A72" w:rsidRPr="00701F40">
        <w:t>new online grants management system</w:t>
      </w:r>
      <w:r w:rsidR="000E3607">
        <w:t>, ANCP Online,</w:t>
      </w:r>
      <w:r w:rsidR="00156A72" w:rsidRPr="00701F40">
        <w:t xml:space="preserve"> </w:t>
      </w:r>
      <w:r w:rsidR="00172635">
        <w:t xml:space="preserve">was rolled out </w:t>
      </w:r>
      <w:r w:rsidR="00156A72" w:rsidRPr="00701F40">
        <w:t>in</w:t>
      </w:r>
      <w:r w:rsidR="009B4CD0" w:rsidRPr="005B45FF">
        <w:t xml:space="preserve"> May 2013, but this was still in development during the reporting period covered by </w:t>
      </w:r>
      <w:r w:rsidR="006C03F3" w:rsidRPr="005B45FF">
        <w:t>the QAI</w:t>
      </w:r>
      <w:r w:rsidR="009B4CD0" w:rsidRPr="005B45FF">
        <w:t xml:space="preserve">. </w:t>
      </w:r>
    </w:p>
    <w:p w:rsidR="009B4CD0" w:rsidRPr="0056700C" w:rsidRDefault="00EC4458" w:rsidP="0056700C">
      <w:pPr>
        <w:pStyle w:val="BodyText"/>
        <w:rPr>
          <w:b/>
        </w:rPr>
      </w:pPr>
      <w:r w:rsidRPr="0056700C">
        <w:rPr>
          <w:b/>
        </w:rPr>
        <w:t xml:space="preserve">Monitoring and </w:t>
      </w:r>
      <w:r w:rsidR="007B3885" w:rsidRPr="0056700C">
        <w:rPr>
          <w:b/>
        </w:rPr>
        <w:t>e</w:t>
      </w:r>
      <w:r w:rsidRPr="0056700C">
        <w:rPr>
          <w:b/>
        </w:rPr>
        <w:t>valuation</w:t>
      </w:r>
    </w:p>
    <w:p w:rsidR="009B4CD0" w:rsidRPr="006D1D6D" w:rsidRDefault="00172635" w:rsidP="0056700C">
      <w:pPr>
        <w:pStyle w:val="BodyText"/>
      </w:pPr>
      <w:r>
        <w:t>T</w:t>
      </w:r>
      <w:r w:rsidR="009B4CD0" w:rsidRPr="006D1D6D">
        <w:t xml:space="preserve">he ANCP Monitoring, Evaluation and Learning Framework </w:t>
      </w:r>
      <w:r>
        <w:t xml:space="preserve">was implemented </w:t>
      </w:r>
      <w:r w:rsidR="009B4CD0" w:rsidRPr="006D1D6D">
        <w:t>in May 2012. This streamlined the reporting templates used by ANCP NGOs. The information provided in the 2012 reports was, for the first time, entered into a</w:t>
      </w:r>
      <w:r w:rsidR="0068558E">
        <w:t xml:space="preserve"> </w:t>
      </w:r>
      <w:r w:rsidR="009B4CD0" w:rsidRPr="006D1D6D">
        <w:t xml:space="preserve">database, allowing more </w:t>
      </w:r>
      <w:r w:rsidR="000E5C03" w:rsidRPr="006D1D6D">
        <w:t xml:space="preserve">accurate data </w:t>
      </w:r>
      <w:r w:rsidR="00172040">
        <w:t xml:space="preserve">to be provided </w:t>
      </w:r>
      <w:r w:rsidR="000E5C03" w:rsidRPr="006D1D6D">
        <w:t>in internal reports than had previously been the case. It also provided narrative to tell the story of the ANCP to the Australian public. A review of the reporting framework recommended further improvements but found that it was a useful tool for providing consistent reporti</w:t>
      </w:r>
      <w:r w:rsidR="003C0E51">
        <w:t>ng across the 43 ANCP NGOs. 2012–13</w:t>
      </w:r>
      <w:r w:rsidR="000E5C03" w:rsidRPr="006D1D6D">
        <w:t xml:space="preserve"> saw the development of </w:t>
      </w:r>
      <w:r w:rsidR="00156A72" w:rsidRPr="00701F40">
        <w:t xml:space="preserve">ANCP Online, which </w:t>
      </w:r>
      <w:r w:rsidR="001A35C1">
        <w:t xml:space="preserve">has been </w:t>
      </w:r>
      <w:r w:rsidR="00156A72" w:rsidRPr="00701F40">
        <w:t xml:space="preserve">used from May 2013 and </w:t>
      </w:r>
      <w:r w:rsidR="001A35C1">
        <w:t>is further streamlining data collection and improving</w:t>
      </w:r>
      <w:r w:rsidR="00156A72" w:rsidRPr="00701F40">
        <w:t xml:space="preserve"> reporting. For these reasons, the QAI rating against this criterion was increased from 3 to 4.</w:t>
      </w:r>
    </w:p>
    <w:p w:rsidR="000E5C03" w:rsidRPr="0056700C" w:rsidRDefault="000E5C03" w:rsidP="0056700C">
      <w:pPr>
        <w:pStyle w:val="BodyText"/>
        <w:rPr>
          <w:b/>
        </w:rPr>
      </w:pPr>
      <w:r w:rsidRPr="0056700C">
        <w:rPr>
          <w:b/>
        </w:rPr>
        <w:lastRenderedPageBreak/>
        <w:t>Sustain</w:t>
      </w:r>
      <w:r w:rsidR="00EC4458" w:rsidRPr="0056700C">
        <w:rPr>
          <w:b/>
        </w:rPr>
        <w:t>ability</w:t>
      </w:r>
    </w:p>
    <w:p w:rsidR="000E5C03" w:rsidRPr="006D1D6D" w:rsidRDefault="001A35C1" w:rsidP="0056700C">
      <w:pPr>
        <w:pStyle w:val="BodyText"/>
      </w:pPr>
      <w:r>
        <w:t>Since it was e</w:t>
      </w:r>
      <w:r w:rsidR="000E5C03" w:rsidRPr="005B45FF">
        <w:t>stablished in 1974, the ANCP has</w:t>
      </w:r>
      <w:r w:rsidR="00A63710" w:rsidRPr="005B45FF">
        <w:t xml:space="preserve"> been able to sustain a flexible support mechanism for Australian NGOs to undertake their development activities.</w:t>
      </w:r>
      <w:r w:rsidR="000E5C03" w:rsidRPr="005B45FF">
        <w:t xml:space="preserve"> However, the provision of annual funding </w:t>
      </w:r>
      <w:r w:rsidR="002F5D98" w:rsidRPr="005B45FF">
        <w:t xml:space="preserve">and the requirement for annual reporting </w:t>
      </w:r>
      <w:r w:rsidR="000E5C03" w:rsidRPr="005B45FF">
        <w:t xml:space="preserve">does cause tension </w:t>
      </w:r>
      <w:r w:rsidR="002F5D98" w:rsidRPr="005B45FF">
        <w:t>for NGOs</w:t>
      </w:r>
      <w:r w:rsidR="00013D1F" w:rsidRPr="005B45FF">
        <w:t xml:space="preserve"> in ensuring </w:t>
      </w:r>
      <w:r w:rsidR="002F5D98" w:rsidRPr="005B45FF">
        <w:t xml:space="preserve">the </w:t>
      </w:r>
      <w:r w:rsidR="000E5C03" w:rsidRPr="005B45FF">
        <w:t>sustainability of</w:t>
      </w:r>
      <w:r w:rsidR="002F5D98" w:rsidRPr="005B45FF">
        <w:t xml:space="preserve"> programs and projects in</w:t>
      </w:r>
      <w:r w:rsidR="00E72C2A">
        <w:t xml:space="preserve"> </w:t>
      </w:r>
      <w:r w:rsidR="002F5D98" w:rsidRPr="005B45FF">
        <w:t xml:space="preserve">country. </w:t>
      </w:r>
      <w:r w:rsidR="00172040">
        <w:t>M</w:t>
      </w:r>
      <w:r w:rsidR="002F5D98" w:rsidRPr="00C213BF">
        <w:t xml:space="preserve">ulti-year funding </w:t>
      </w:r>
      <w:r w:rsidR="00172040">
        <w:t xml:space="preserve">will be provided </w:t>
      </w:r>
      <w:r w:rsidR="00ED003D" w:rsidRPr="00C213BF">
        <w:t>for Partners</w:t>
      </w:r>
      <w:r w:rsidR="00D91D4F" w:rsidRPr="00C213BF">
        <w:t>, starting in 2013–14,</w:t>
      </w:r>
      <w:r w:rsidR="00ED003D" w:rsidRPr="00C213BF">
        <w:t xml:space="preserve"> and</w:t>
      </w:r>
      <w:r w:rsidR="00BF0B6A" w:rsidRPr="003D11A3">
        <w:t>, subject to other reforms to the ANCP,</w:t>
      </w:r>
      <w:r w:rsidR="00ED003D" w:rsidRPr="00C213BF">
        <w:t xml:space="preserve"> </w:t>
      </w:r>
      <w:r w:rsidR="00172040">
        <w:t xml:space="preserve">the </w:t>
      </w:r>
      <w:r w:rsidR="00FC3DB0">
        <w:t>D</w:t>
      </w:r>
      <w:r w:rsidR="00172040">
        <w:t xml:space="preserve">epartment </w:t>
      </w:r>
      <w:r w:rsidR="00D91D4F" w:rsidRPr="00C213BF">
        <w:t xml:space="preserve">plans to move </w:t>
      </w:r>
      <w:r w:rsidR="00ED003D" w:rsidRPr="00C213BF">
        <w:t xml:space="preserve">to multi-year funding </w:t>
      </w:r>
      <w:r w:rsidR="00D91D4F" w:rsidRPr="00C213BF">
        <w:t xml:space="preserve">in the following fiscal year </w:t>
      </w:r>
      <w:r w:rsidR="00ED003D" w:rsidRPr="00C213BF">
        <w:t xml:space="preserve">for </w:t>
      </w:r>
      <w:r w:rsidR="00D91D4F" w:rsidRPr="00C213BF">
        <w:t xml:space="preserve">full and base accredited NGOs </w:t>
      </w:r>
      <w:r w:rsidR="002F5D98" w:rsidRPr="00C213BF">
        <w:t xml:space="preserve">to assist ongoing sustainability at the program/project level. </w:t>
      </w:r>
      <w:r w:rsidR="00013D1F" w:rsidRPr="006D1D6D">
        <w:t xml:space="preserve">The QAI rating against this criterion remains </w:t>
      </w:r>
      <w:r w:rsidR="006C03F3" w:rsidRPr="006D1D6D">
        <w:t>at 4</w:t>
      </w:r>
      <w:r w:rsidR="00013D1F" w:rsidRPr="006D1D6D">
        <w:t>.</w:t>
      </w:r>
    </w:p>
    <w:p w:rsidR="00013D1F" w:rsidRPr="0056700C" w:rsidRDefault="00013D1F" w:rsidP="0056700C">
      <w:pPr>
        <w:pStyle w:val="BodyText"/>
        <w:rPr>
          <w:b/>
        </w:rPr>
      </w:pPr>
      <w:r w:rsidRPr="0056700C">
        <w:rPr>
          <w:b/>
        </w:rPr>
        <w:t xml:space="preserve">Gender </w:t>
      </w:r>
      <w:r w:rsidR="007B3885" w:rsidRPr="0056700C">
        <w:rPr>
          <w:b/>
        </w:rPr>
        <w:t>e</w:t>
      </w:r>
      <w:r w:rsidRPr="0056700C">
        <w:rPr>
          <w:b/>
        </w:rPr>
        <w:t>quality</w:t>
      </w:r>
    </w:p>
    <w:p w:rsidR="00562992" w:rsidRDefault="00562992" w:rsidP="0056700C">
      <w:pPr>
        <w:pStyle w:val="BodyText"/>
      </w:pPr>
      <w:r w:rsidRPr="006D1D6D">
        <w:t>ANCP NGOs are required to provide evidence of their gender policies during their accreditation.</w:t>
      </w:r>
      <w:r w:rsidR="00A63A3C" w:rsidRPr="006D1D6D">
        <w:t xml:space="preserve"> In 2011–12 all ANCP NGOs </w:t>
      </w:r>
      <w:r w:rsidR="00B12844" w:rsidRPr="006D1D6D">
        <w:t xml:space="preserve">also </w:t>
      </w:r>
      <w:r w:rsidR="006C03F3" w:rsidRPr="006D1D6D">
        <w:t>completed the g</w:t>
      </w:r>
      <w:r w:rsidR="00A63A3C" w:rsidRPr="006D1D6D">
        <w:t xml:space="preserve">ender section in their Annual Performance Reports. This provided an overview of how agencies </w:t>
      </w:r>
      <w:r w:rsidR="00D5462B" w:rsidRPr="006D1D6D">
        <w:t xml:space="preserve">worked with in-country partners to apply their gender policies to projects on the ground. </w:t>
      </w:r>
      <w:r w:rsidR="00F87473" w:rsidRPr="006D1D6D">
        <w:t xml:space="preserve">Twenty-nine </w:t>
      </w:r>
      <w:r w:rsidR="00FA62AB" w:rsidRPr="006D1D6D">
        <w:t>of 4</w:t>
      </w:r>
      <w:r w:rsidR="00E72C2A">
        <w:t>3</w:t>
      </w:r>
      <w:r w:rsidR="00FA62AB" w:rsidRPr="006D1D6D">
        <w:t xml:space="preserve"> </w:t>
      </w:r>
      <w:r w:rsidR="00F87473" w:rsidRPr="006D1D6D">
        <w:t>NGOs</w:t>
      </w:r>
      <w:r w:rsidR="00D3080F" w:rsidRPr="006D1D6D">
        <w:t xml:space="preserve"> </w:t>
      </w:r>
      <w:r w:rsidR="00F87473" w:rsidRPr="006D1D6D">
        <w:t>reported against at least one gender indicator at the project level</w:t>
      </w:r>
      <w:r w:rsidR="00F87473" w:rsidRPr="005B45FF">
        <w:t xml:space="preserve">. However, </w:t>
      </w:r>
      <w:r w:rsidR="00A63710" w:rsidRPr="005B45FF">
        <w:t xml:space="preserve">limitations in the functioning of </w:t>
      </w:r>
      <w:r w:rsidR="00172040">
        <w:t xml:space="preserve">the </w:t>
      </w:r>
      <w:r w:rsidR="00F87473" w:rsidRPr="005B45FF">
        <w:t xml:space="preserve">interim database </w:t>
      </w:r>
      <w:r w:rsidR="00E72C2A">
        <w:t xml:space="preserve">hinder the ability </w:t>
      </w:r>
      <w:r w:rsidR="00F87473" w:rsidRPr="005B45FF">
        <w:t xml:space="preserve">to </w:t>
      </w:r>
      <w:r w:rsidR="00A63710" w:rsidRPr="005B45FF">
        <w:t xml:space="preserve">adequately assess disaggregated </w:t>
      </w:r>
      <w:r w:rsidR="00FA62AB" w:rsidRPr="005B45FF">
        <w:t xml:space="preserve">data, so it is difficult to easily provide evidence of </w:t>
      </w:r>
      <w:r w:rsidR="00B12844" w:rsidRPr="005B45FF">
        <w:t xml:space="preserve">the </w:t>
      </w:r>
      <w:r w:rsidR="00FA62AB" w:rsidRPr="005B45FF">
        <w:t xml:space="preserve">gender outcomes of ANCP projects for 2011–12. Therefore, </w:t>
      </w:r>
      <w:r w:rsidR="008D02F8" w:rsidRPr="005B45FF">
        <w:t xml:space="preserve">this rating was downgraded from </w:t>
      </w:r>
      <w:r w:rsidR="00BD0258" w:rsidRPr="005B45FF">
        <w:t>5</w:t>
      </w:r>
      <w:r w:rsidR="008D02F8" w:rsidRPr="005B45FF">
        <w:t xml:space="preserve"> to </w:t>
      </w:r>
      <w:r w:rsidR="00BD0258" w:rsidRPr="005B45FF">
        <w:t>4</w:t>
      </w:r>
      <w:r w:rsidR="008D02F8" w:rsidRPr="005B45FF">
        <w:t xml:space="preserve">. </w:t>
      </w:r>
      <w:r w:rsidR="00F87473" w:rsidRPr="005B45FF">
        <w:t xml:space="preserve">The </w:t>
      </w:r>
      <w:r w:rsidR="008D02F8" w:rsidRPr="005B45FF">
        <w:t>new ANCP Online reporting system</w:t>
      </w:r>
      <w:r w:rsidR="00F87473" w:rsidRPr="005B45FF">
        <w:t xml:space="preserve"> will incorporate NGO </w:t>
      </w:r>
      <w:r w:rsidR="00FA62AB" w:rsidRPr="005B45FF">
        <w:t>data</w:t>
      </w:r>
      <w:r w:rsidR="00FA62AB" w:rsidRPr="006D1D6D">
        <w:t xml:space="preserve"> on </w:t>
      </w:r>
      <w:r w:rsidR="00F87473" w:rsidRPr="006D1D6D">
        <w:t xml:space="preserve">indicators. Easier access to this disaggregated data will </w:t>
      </w:r>
      <w:r w:rsidR="00172040">
        <w:t>enable</w:t>
      </w:r>
      <w:r w:rsidR="008D02F8" w:rsidRPr="006D1D6D">
        <w:t xml:space="preserve"> more concrete evide</w:t>
      </w:r>
      <w:r w:rsidR="00F87473" w:rsidRPr="006D1D6D">
        <w:t>nce of gender equality outcomes for 2012–13</w:t>
      </w:r>
      <w:r w:rsidR="00172040">
        <w:t xml:space="preserve"> to be provided</w:t>
      </w:r>
      <w:r w:rsidR="00F87473" w:rsidRPr="006D1D6D">
        <w:t>.</w:t>
      </w:r>
    </w:p>
    <w:p w:rsidR="00180B19" w:rsidRPr="00180B19" w:rsidRDefault="00180B19" w:rsidP="00997EDD">
      <w:pPr>
        <w:pStyle w:val="Heading1"/>
        <w:keepLines/>
      </w:pPr>
      <w:r w:rsidRPr="00180B19">
        <w:t xml:space="preserve">Management </w:t>
      </w:r>
      <w:r w:rsidR="00D31A98">
        <w:t>c</w:t>
      </w:r>
      <w:r w:rsidRPr="00180B19">
        <w:t>onsequences</w:t>
      </w:r>
    </w:p>
    <w:p w:rsidR="0008762D" w:rsidRPr="00043EE5" w:rsidRDefault="00846187" w:rsidP="0056700C">
      <w:pPr>
        <w:pStyle w:val="BodyText"/>
      </w:pPr>
      <w:r w:rsidRPr="00043EE5">
        <w:t xml:space="preserve">The </w:t>
      </w:r>
      <w:r w:rsidR="00255D54">
        <w:t xml:space="preserve">objectives of the </w:t>
      </w:r>
      <w:r w:rsidR="00D31A98">
        <w:t>C</w:t>
      </w:r>
      <w:r w:rsidR="001A35C1">
        <w:t xml:space="preserve">ivil </w:t>
      </w:r>
      <w:r w:rsidR="00D31A98">
        <w:t>S</w:t>
      </w:r>
      <w:r w:rsidR="001A35C1">
        <w:t xml:space="preserve">ociety </w:t>
      </w:r>
      <w:r w:rsidR="00D31A98">
        <w:t>E</w:t>
      </w:r>
      <w:r w:rsidR="001A35C1">
        <w:t xml:space="preserve">ngagement </w:t>
      </w:r>
      <w:r w:rsidR="00D31A98">
        <w:t>F</w:t>
      </w:r>
      <w:r w:rsidR="001A35C1">
        <w:t>ramework</w:t>
      </w:r>
      <w:r w:rsidR="00D31A98">
        <w:t xml:space="preserve"> </w:t>
      </w:r>
      <w:r w:rsidR="00255D54">
        <w:t xml:space="preserve">have continued to </w:t>
      </w:r>
      <w:r w:rsidR="00D67357">
        <w:t xml:space="preserve">influence </w:t>
      </w:r>
      <w:r w:rsidR="00255D54">
        <w:t xml:space="preserve">the program architecture of the ANCP in 2012 </w:t>
      </w:r>
      <w:r w:rsidR="00D67357">
        <w:t xml:space="preserve">and </w:t>
      </w:r>
      <w:r w:rsidRPr="00043EE5">
        <w:t xml:space="preserve">have contributed to the development of the management consequences for this </w:t>
      </w:r>
      <w:r w:rsidR="009C0B8B">
        <w:t xml:space="preserve">Aid </w:t>
      </w:r>
      <w:r w:rsidR="00D31A98">
        <w:t>Program Performance Report</w:t>
      </w:r>
      <w:r w:rsidRPr="00043EE5">
        <w:t>.</w:t>
      </w:r>
      <w:r w:rsidR="00255D54">
        <w:t xml:space="preserve"> I</w:t>
      </w:r>
      <w:r w:rsidR="00175261" w:rsidRPr="00043EE5">
        <w:t>n 2013–14</w:t>
      </w:r>
      <w:r w:rsidR="00E62522" w:rsidRPr="00043EE5">
        <w:t>, we will aim to:</w:t>
      </w:r>
    </w:p>
    <w:p w:rsidR="00662D94" w:rsidRPr="00043EE5" w:rsidRDefault="00B87253" w:rsidP="0056700C">
      <w:pPr>
        <w:pStyle w:val="ListBullet"/>
      </w:pPr>
      <w:r>
        <w:t>c</w:t>
      </w:r>
      <w:r w:rsidR="00662D94" w:rsidRPr="00043EE5">
        <w:t xml:space="preserve">ontinue to reform the ongoing monitoring and evaluation of NGO/CSO activities by </w:t>
      </w:r>
      <w:r w:rsidR="00175261" w:rsidRPr="00043EE5">
        <w:t>finalising</w:t>
      </w:r>
      <w:r w:rsidR="00662D94" w:rsidRPr="00043EE5">
        <w:t xml:space="preserve"> the Effectiveness Assessment Methodology</w:t>
      </w:r>
    </w:p>
    <w:p w:rsidR="00E62522" w:rsidRPr="00043EE5" w:rsidRDefault="00B87253" w:rsidP="0056700C">
      <w:pPr>
        <w:pStyle w:val="ListBullet"/>
      </w:pPr>
      <w:r>
        <w:t>i</w:t>
      </w:r>
      <w:r w:rsidR="00E62522" w:rsidRPr="00043EE5">
        <w:t>mprove the accreditation process for NGOs by</w:t>
      </w:r>
      <w:r w:rsidR="00662D94" w:rsidRPr="00043EE5">
        <w:t>:</w:t>
      </w:r>
    </w:p>
    <w:p w:rsidR="00ED003D" w:rsidRPr="00043EE5" w:rsidRDefault="00ED003D" w:rsidP="0056700C">
      <w:pPr>
        <w:pStyle w:val="ListBullet2"/>
      </w:pPr>
      <w:r w:rsidRPr="00043EE5">
        <w:t xml:space="preserve">implementing the  Due Diligence </w:t>
      </w:r>
      <w:r w:rsidR="00AC61E0">
        <w:t>Standards</w:t>
      </w:r>
      <w:r w:rsidR="00E078A3" w:rsidRPr="00043EE5">
        <w:t xml:space="preserve"> </w:t>
      </w:r>
      <w:r w:rsidRPr="00043EE5">
        <w:t xml:space="preserve">and reviewing the ANCP accreditation framework to align with </w:t>
      </w:r>
      <w:r w:rsidR="00AC61E0">
        <w:t>them</w:t>
      </w:r>
    </w:p>
    <w:p w:rsidR="001F42AA" w:rsidRPr="006D1D6D" w:rsidRDefault="00140880" w:rsidP="0056700C">
      <w:pPr>
        <w:pStyle w:val="ListBullet2"/>
      </w:pPr>
      <w:r>
        <w:t>inclu</w:t>
      </w:r>
      <w:r w:rsidR="00FC3DB0">
        <w:t>ding</w:t>
      </w:r>
      <w:r>
        <w:t xml:space="preserve"> the accreditation process in ANCP Online to </w:t>
      </w:r>
      <w:r w:rsidR="00D91D4F">
        <w:t xml:space="preserve">improve efficiency and </w:t>
      </w:r>
      <w:r>
        <w:t>complete the program management cycle</w:t>
      </w:r>
      <w:r w:rsidR="00D91D4F">
        <w:t xml:space="preserve"> (application, planning and reporting)</w:t>
      </w:r>
    </w:p>
    <w:p w:rsidR="001F42AA" w:rsidRPr="003D11A3" w:rsidRDefault="00B87253" w:rsidP="0056700C">
      <w:pPr>
        <w:pStyle w:val="ListBullet"/>
      </w:pPr>
      <w:r>
        <w:t>p</w:t>
      </w:r>
      <w:r w:rsidR="001F42AA" w:rsidRPr="003D11A3">
        <w:t>rogress the development of a performance assessment framework based on the findings of the proposed ODE evaluation of the ANCP</w:t>
      </w:r>
    </w:p>
    <w:p w:rsidR="00662D94" w:rsidRPr="006D1D6D" w:rsidRDefault="00B87253" w:rsidP="0056700C">
      <w:pPr>
        <w:pStyle w:val="ListBullet"/>
      </w:pPr>
      <w:r>
        <w:t>w</w:t>
      </w:r>
      <w:r w:rsidR="00581731" w:rsidRPr="006D1D6D">
        <w:t>ork with ANCP Partner NGOs to d</w:t>
      </w:r>
      <w:r w:rsidR="00662D94" w:rsidRPr="006D1D6D">
        <w:t xml:space="preserve">evelop a supplementary performance monitoring tool for </w:t>
      </w:r>
      <w:r w:rsidR="00581731" w:rsidRPr="006D1D6D">
        <w:t xml:space="preserve">them </w:t>
      </w:r>
      <w:r w:rsidR="00662D94" w:rsidRPr="006D1D6D">
        <w:t>to demonstrate their development effectiveness</w:t>
      </w:r>
      <w:r w:rsidR="00F526E3" w:rsidRPr="006D1D6D">
        <w:t xml:space="preserve"> under the Partnership</w:t>
      </w:r>
      <w:r w:rsidR="003E0A4D">
        <w:t>s</w:t>
      </w:r>
      <w:r w:rsidR="00F526E3" w:rsidRPr="006D1D6D">
        <w:t xml:space="preserve"> MoU</w:t>
      </w:r>
    </w:p>
    <w:p w:rsidR="00662D94" w:rsidRDefault="00B87253" w:rsidP="0056700C">
      <w:pPr>
        <w:pStyle w:val="ListBullet"/>
      </w:pPr>
      <w:r>
        <w:t>p</w:t>
      </w:r>
      <w:r w:rsidR="00662D94" w:rsidRPr="006D1D6D">
        <w:t xml:space="preserve">rovide ongoing opportunities </w:t>
      </w:r>
      <w:r w:rsidR="00F306E7" w:rsidRPr="006D1D6D">
        <w:t xml:space="preserve">to collaborate with </w:t>
      </w:r>
      <w:r w:rsidR="00662D94" w:rsidRPr="006D1D6D">
        <w:t>ANCP NGOs on shared learning and innovation</w:t>
      </w:r>
      <w:r w:rsidR="001959DB">
        <w:t xml:space="preserve">, particularly </w:t>
      </w:r>
      <w:r w:rsidR="00972015">
        <w:t>on</w:t>
      </w:r>
      <w:r w:rsidR="001959DB">
        <w:t xml:space="preserve"> gender equality</w:t>
      </w:r>
      <w:r w:rsidR="00C94E80">
        <w:t>.</w:t>
      </w:r>
    </w:p>
    <w:p w:rsidR="008205F6" w:rsidRPr="001A7E7C" w:rsidRDefault="008205F6" w:rsidP="0056700C">
      <w:pPr>
        <w:pStyle w:val="BodyText"/>
      </w:pPr>
    </w:p>
    <w:p w:rsidR="000340A0" w:rsidRPr="006D1D6D" w:rsidRDefault="008205F6" w:rsidP="008205F6">
      <w:pPr>
        <w:pStyle w:val="Caption"/>
      </w:pPr>
      <w:r>
        <w:t>Table 4: Risks associated with the program and management actions</w:t>
      </w:r>
    </w:p>
    <w:p w:rsidR="00BE65E4" w:rsidRDefault="00BE65E4" w:rsidP="008205F6">
      <w:pPr>
        <w:pStyle w:val="TableTextColumnHead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8278"/>
        </w:tabs>
      </w:pPr>
    </w:p>
    <w:tbl>
      <w:tblPr>
        <w:tblStyle w:val="APPR"/>
        <w:tblW w:w="5000" w:type="pct"/>
        <w:tblLook w:val="0600" w:firstRow="0" w:lastRow="0" w:firstColumn="0" w:lastColumn="0" w:noHBand="1" w:noVBand="1"/>
      </w:tblPr>
      <w:tblGrid>
        <w:gridCol w:w="4405"/>
        <w:gridCol w:w="4145"/>
      </w:tblGrid>
      <w:tr w:rsidR="00180B19" w:rsidRPr="00180B19" w:rsidTr="0056700C">
        <w:tc>
          <w:tcPr>
            <w:tcW w:w="4363" w:type="dxa"/>
          </w:tcPr>
          <w:p w:rsidR="00180B19" w:rsidRPr="004C4A3E" w:rsidRDefault="00180B19" w:rsidP="00901304">
            <w:pPr>
              <w:pStyle w:val="TableTextColumnHeading"/>
            </w:pPr>
            <w:r w:rsidRPr="004C4A3E">
              <w:t>Most significant risks</w:t>
            </w:r>
          </w:p>
        </w:tc>
        <w:tc>
          <w:tcPr>
            <w:tcW w:w="4103" w:type="dxa"/>
          </w:tcPr>
          <w:p w:rsidR="00180B19" w:rsidRPr="004C4A3E" w:rsidRDefault="008205F6" w:rsidP="00901304">
            <w:pPr>
              <w:pStyle w:val="TableTextColumnHeading"/>
            </w:pPr>
            <w:r>
              <w:t>Management response – What? Who? How? When?</w:t>
            </w:r>
          </w:p>
        </w:tc>
      </w:tr>
      <w:tr w:rsidR="00180B19" w:rsidRPr="00180B19" w:rsidTr="0056700C">
        <w:trPr>
          <w:trHeight w:val="629"/>
        </w:trPr>
        <w:tc>
          <w:tcPr>
            <w:tcW w:w="4363" w:type="dxa"/>
          </w:tcPr>
          <w:p w:rsidR="00DD227D" w:rsidRPr="006D1D6D" w:rsidRDefault="00F526E3" w:rsidP="00F526E3">
            <w:pPr>
              <w:pStyle w:val="TableTextEntries"/>
            </w:pPr>
            <w:r w:rsidRPr="006D1D6D">
              <w:lastRenderedPageBreak/>
              <w:t>ANCP</w:t>
            </w:r>
            <w:r w:rsidR="004353FE" w:rsidRPr="006D1D6D">
              <w:t xml:space="preserve"> program objective </w:t>
            </w:r>
            <w:r w:rsidRPr="006D1D6D">
              <w:t xml:space="preserve">needs to be clearly articulated </w:t>
            </w:r>
            <w:r w:rsidR="004353FE" w:rsidRPr="006D1D6D">
              <w:t>to monitor and report on outcomes of ANCP funding</w:t>
            </w:r>
            <w:r w:rsidR="00965B10" w:rsidRPr="006D1D6D">
              <w:t>.</w:t>
            </w:r>
          </w:p>
        </w:tc>
        <w:tc>
          <w:tcPr>
            <w:tcW w:w="4103" w:type="dxa"/>
          </w:tcPr>
          <w:p w:rsidR="00180B19" w:rsidRPr="006D1D6D" w:rsidRDefault="00F526E3" w:rsidP="002C7F16">
            <w:pPr>
              <w:pStyle w:val="TableTextEntries"/>
            </w:pPr>
            <w:r w:rsidRPr="006D1D6D">
              <w:t>Commitment to develop a performance assessment framework</w:t>
            </w:r>
            <w:r w:rsidR="002C7F16">
              <w:t>.</w:t>
            </w:r>
          </w:p>
        </w:tc>
      </w:tr>
      <w:tr w:rsidR="004353FE" w:rsidRPr="00180B19" w:rsidTr="0056700C">
        <w:tc>
          <w:tcPr>
            <w:tcW w:w="4363" w:type="dxa"/>
          </w:tcPr>
          <w:p w:rsidR="004353FE" w:rsidRPr="00666935" w:rsidRDefault="00D207FC" w:rsidP="00BF0B6A">
            <w:pPr>
              <w:pStyle w:val="TableTextEntries"/>
            </w:pPr>
            <w:r w:rsidRPr="00666935">
              <w:t>Undertaking improvements to the accreditation process will require transitional arrangements for those NGOs seeking reaccreditation over the next 12 to 18 months.</w:t>
            </w:r>
          </w:p>
        </w:tc>
        <w:tc>
          <w:tcPr>
            <w:tcW w:w="4103" w:type="dxa"/>
          </w:tcPr>
          <w:p w:rsidR="004353FE" w:rsidRPr="006D1D6D" w:rsidRDefault="00255D54" w:rsidP="009F2ECE">
            <w:pPr>
              <w:pStyle w:val="TableTextEntries"/>
            </w:pPr>
            <w:r>
              <w:t>A</w:t>
            </w:r>
            <w:r w:rsidR="00F526E3" w:rsidRPr="006D1D6D">
              <w:t xml:space="preserve">lignment with  </w:t>
            </w:r>
            <w:r w:rsidR="00AC61E0">
              <w:t>due diligence and effectiveness assessment processes</w:t>
            </w:r>
            <w:r w:rsidR="00F526E3" w:rsidRPr="006D1D6D">
              <w:t xml:space="preserve"> will support access to t</w:t>
            </w:r>
            <w:r w:rsidR="00076AEC">
              <w:t>he ANCP by small and niche NGOs</w:t>
            </w:r>
            <w:r w:rsidR="00076AEC" w:rsidRPr="00043EE5">
              <w:t xml:space="preserve">; </w:t>
            </w:r>
            <w:r w:rsidR="00172040">
              <w:t>DFAT</w:t>
            </w:r>
            <w:r w:rsidR="00076AEC" w:rsidRPr="00043EE5">
              <w:t xml:space="preserve"> will communicate changes to NGOs in a timely way to assist with their planning.</w:t>
            </w:r>
            <w:r w:rsidR="00F526E3" w:rsidRPr="006D1D6D">
              <w:t xml:space="preserve"> </w:t>
            </w:r>
          </w:p>
        </w:tc>
      </w:tr>
      <w:tr w:rsidR="004353FE" w:rsidRPr="00180B19" w:rsidTr="0056700C">
        <w:tc>
          <w:tcPr>
            <w:tcW w:w="4363" w:type="dxa"/>
          </w:tcPr>
          <w:p w:rsidR="004353FE" w:rsidRPr="006D1D6D" w:rsidRDefault="00282456" w:rsidP="004353FE">
            <w:pPr>
              <w:pStyle w:val="TableTextEntries"/>
            </w:pPr>
            <w:r w:rsidRPr="006D1D6D">
              <w:t>ANCP Partner</w:t>
            </w:r>
            <w:r w:rsidR="00F526E3" w:rsidRPr="006D1D6D">
              <w:t>ship</w:t>
            </w:r>
            <w:r w:rsidRPr="006D1D6D">
              <w:t xml:space="preserve"> </w:t>
            </w:r>
            <w:r w:rsidR="00F526E3" w:rsidRPr="006D1D6D">
              <w:t xml:space="preserve">requires specific reporting mechanism to demonstrate </w:t>
            </w:r>
            <w:r w:rsidRPr="006D1D6D">
              <w:t>effectiveness</w:t>
            </w:r>
            <w:r w:rsidR="004353FE" w:rsidRPr="006D1D6D">
              <w:t>.</w:t>
            </w:r>
          </w:p>
          <w:p w:rsidR="004353FE" w:rsidRPr="006D1D6D" w:rsidRDefault="004353FE" w:rsidP="00965B10">
            <w:pPr>
              <w:pStyle w:val="TableTextEntries"/>
            </w:pPr>
          </w:p>
        </w:tc>
        <w:tc>
          <w:tcPr>
            <w:tcW w:w="4103" w:type="dxa"/>
          </w:tcPr>
          <w:p w:rsidR="004353FE" w:rsidRPr="006D1D6D" w:rsidRDefault="00172040" w:rsidP="00B762C3">
            <w:pPr>
              <w:pStyle w:val="TableTextEntries"/>
            </w:pPr>
            <w:r>
              <w:t>DFAT</w:t>
            </w:r>
            <w:r w:rsidRPr="006D1D6D">
              <w:t xml:space="preserve"> </w:t>
            </w:r>
            <w:r w:rsidR="00F526E3" w:rsidRPr="006D1D6D">
              <w:t xml:space="preserve">and NGO Partners </w:t>
            </w:r>
            <w:r w:rsidR="00095696">
              <w:t xml:space="preserve">will </w:t>
            </w:r>
            <w:r w:rsidR="00F526E3" w:rsidRPr="006D1D6D">
              <w:t>negotiat</w:t>
            </w:r>
            <w:r w:rsidR="00095696">
              <w:t>e</w:t>
            </w:r>
            <w:r w:rsidR="00F526E3" w:rsidRPr="006D1D6D">
              <w:t xml:space="preserve"> an appropriate reporting mechanism to demonstrate </w:t>
            </w:r>
            <w:r w:rsidR="00B762C3">
              <w:t>Partner</w:t>
            </w:r>
            <w:r w:rsidR="00F526E3" w:rsidRPr="006D1D6D">
              <w:t xml:space="preserve"> work and progress against the objectives and actions set out in the MoU.</w:t>
            </w:r>
          </w:p>
        </w:tc>
      </w:tr>
    </w:tbl>
    <w:p w:rsidR="00522AB9" w:rsidRDefault="00522AB9" w:rsidP="002A1935">
      <w:pPr>
        <w:pStyle w:val="BodyText"/>
        <w:sectPr w:rsidR="00522AB9" w:rsidSect="00AE4B56">
          <w:headerReference w:type="default" r:id="rId12"/>
          <w:footerReference w:type="default" r:id="rId13"/>
          <w:headerReference w:type="first" r:id="rId14"/>
          <w:footerReference w:type="first" r:id="rId15"/>
          <w:pgSz w:w="11906" w:h="16838" w:code="9"/>
          <w:pgMar w:top="2381" w:right="1814" w:bottom="851" w:left="1814" w:header="709" w:footer="454" w:gutter="0"/>
          <w:cols w:space="708"/>
          <w:titlePg/>
          <w:docGrid w:linePitch="360"/>
        </w:sectPr>
      </w:pPr>
    </w:p>
    <w:p w:rsidR="00FE4491" w:rsidRPr="00FE4491" w:rsidRDefault="00C65930" w:rsidP="00FE4491">
      <w:pPr>
        <w:pStyle w:val="Heading1"/>
      </w:pPr>
      <w:r>
        <w:lastRenderedPageBreak/>
        <w:t>Annex A</w:t>
      </w:r>
      <w:r w:rsidR="00FE4491" w:rsidRPr="00FE4491">
        <w:t xml:space="preserve"> </w:t>
      </w:r>
    </w:p>
    <w:p w:rsidR="00FE4491" w:rsidRPr="00FE4491" w:rsidRDefault="00FE4491" w:rsidP="00BE65E4">
      <w:pPr>
        <w:pStyle w:val="Heading2"/>
      </w:pPr>
      <w:r w:rsidRPr="00FE4491">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6282"/>
        <w:gridCol w:w="829"/>
        <w:gridCol w:w="6824"/>
      </w:tblGrid>
      <w:tr w:rsidR="00FE4491"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FE4491" w:rsidRPr="00180B19" w:rsidRDefault="00FE4491" w:rsidP="00AA7D6B">
            <w:pPr>
              <w:pStyle w:val="TableTextColumnHeading"/>
            </w:pPr>
            <w:r w:rsidRPr="00FE4491">
              <w:t>Management consequences identified in 2011 APPR</w:t>
            </w:r>
            <w:r w:rsidR="00CE0AD5">
              <w:t xml:space="preserve"> (</w:t>
            </w:r>
            <w:r w:rsidR="00FC3DB0">
              <w:t>A</w:t>
            </w:r>
            <w:r w:rsidR="00AA7D6B">
              <w:t>n</w:t>
            </w:r>
            <w:r w:rsidR="007C2017">
              <w:t>n</w:t>
            </w:r>
            <w:bookmarkStart w:id="0" w:name="_GoBack"/>
            <w:bookmarkEnd w:id="0"/>
            <w:r w:rsidR="00AA7D6B">
              <w:t>ual</w:t>
            </w:r>
            <w:r w:rsidR="00FC3DB0">
              <w:t xml:space="preserve"> </w:t>
            </w:r>
            <w:r w:rsidR="00CE0AD5">
              <w:t>Program Performance Report)</w:t>
            </w:r>
            <w:r w:rsidR="00AA7D6B">
              <w:rPr>
                <w:rStyle w:val="FootnoteReference"/>
              </w:rPr>
              <w:footnoteReference w:id="15"/>
            </w:r>
            <w:r>
              <w:tab/>
            </w:r>
          </w:p>
        </w:tc>
        <w:tc>
          <w:tcPr>
            <w:tcW w:w="823" w:type="dxa"/>
          </w:tcPr>
          <w:p w:rsidR="00FE4491" w:rsidRPr="00180B19" w:rsidRDefault="00FE4491" w:rsidP="00901304">
            <w:pPr>
              <w:pStyle w:val="TableTextColumnHeading"/>
            </w:pPr>
            <w:r w:rsidRPr="00FE4491">
              <w:t>Rating</w:t>
            </w:r>
          </w:p>
        </w:tc>
        <w:tc>
          <w:tcPr>
            <w:tcW w:w="7037" w:type="dxa"/>
          </w:tcPr>
          <w:p w:rsidR="00FE4491" w:rsidRPr="00180B19" w:rsidRDefault="00FE4491" w:rsidP="00901304">
            <w:pPr>
              <w:pStyle w:val="TableTextColumnHeading"/>
            </w:pPr>
            <w:r w:rsidRPr="00FE4491">
              <w:t>Progress made in 2012-13</w:t>
            </w:r>
          </w:p>
        </w:tc>
      </w:tr>
      <w:tr w:rsidR="00FE4491"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FE4491" w:rsidRPr="0056700C" w:rsidRDefault="00634F4E" w:rsidP="0056700C">
            <w:pPr>
              <w:pStyle w:val="TableTextEntries"/>
            </w:pPr>
            <w:r w:rsidRPr="0056700C">
              <w:t>Finalise MELF trial and identify further learning opportunities.</w:t>
            </w:r>
          </w:p>
        </w:tc>
        <w:tc>
          <w:tcPr>
            <w:tcW w:w="823" w:type="dxa"/>
            <w:shd w:val="clear" w:color="auto" w:fill="92D050"/>
          </w:tcPr>
          <w:p w:rsidR="00FE4491" w:rsidRPr="0056700C" w:rsidRDefault="00443639" w:rsidP="0056700C">
            <w:pPr>
              <w:pStyle w:val="TableTextEntries"/>
            </w:pPr>
            <w:r w:rsidRPr="0056700C">
              <w:t>Green</w:t>
            </w:r>
          </w:p>
        </w:tc>
        <w:tc>
          <w:tcPr>
            <w:tcW w:w="7037" w:type="dxa"/>
          </w:tcPr>
          <w:p w:rsidR="00FE4491" w:rsidRPr="0056700C" w:rsidRDefault="00634F4E" w:rsidP="0056700C">
            <w:pPr>
              <w:pStyle w:val="TableTextEntries"/>
            </w:pPr>
            <w:r w:rsidRPr="0056700C">
              <w:t xml:space="preserve">MELF finalised and reviewed. Report published on </w:t>
            </w:r>
            <w:r w:rsidR="00172040" w:rsidRPr="0056700C">
              <w:t>DFAT</w:t>
            </w:r>
            <w:r w:rsidRPr="0056700C">
              <w:t xml:space="preserve"> website. Meta-evaluation commenced to contribute to further learning.</w:t>
            </w:r>
          </w:p>
        </w:tc>
      </w:tr>
      <w:tr w:rsidR="00FE4491"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FE4491" w:rsidRPr="0056700C" w:rsidRDefault="00B6534E" w:rsidP="0056700C">
            <w:pPr>
              <w:pStyle w:val="TableTextEntries"/>
            </w:pPr>
            <w:r w:rsidRPr="0056700C">
              <w:t>Finalise ANCP Partnership</w:t>
            </w:r>
            <w:r w:rsidR="00AC61E0" w:rsidRPr="0056700C">
              <w:t>s</w:t>
            </w:r>
            <w:r w:rsidRPr="0056700C">
              <w:t xml:space="preserve"> </w:t>
            </w:r>
            <w:r w:rsidR="007D1073" w:rsidRPr="0056700C">
              <w:t>Mid Term</w:t>
            </w:r>
            <w:r w:rsidR="0008762D" w:rsidRPr="0056700C">
              <w:t xml:space="preserve"> Review</w:t>
            </w:r>
            <w:r w:rsidR="00634F4E" w:rsidRPr="0056700C">
              <w:t>.</w:t>
            </w:r>
          </w:p>
        </w:tc>
        <w:tc>
          <w:tcPr>
            <w:tcW w:w="823" w:type="dxa"/>
            <w:shd w:val="clear" w:color="auto" w:fill="92D050"/>
          </w:tcPr>
          <w:p w:rsidR="00FE4491" w:rsidRPr="0056700C" w:rsidRDefault="00443639" w:rsidP="0056700C">
            <w:pPr>
              <w:pStyle w:val="TableTextEntries"/>
            </w:pPr>
            <w:r w:rsidRPr="0056700C">
              <w:t>Green</w:t>
            </w:r>
            <w:r w:rsidR="00156A72" w:rsidRPr="0056700C">
              <w:fldChar w:fldCharType="begin"/>
            </w:r>
            <w:r w:rsidR="00FE4491" w:rsidRPr="0056700C">
              <w:instrText xml:space="preserve"> AUTOTEXTLIST  \s "Rating bullet"\t "Right click to choose a rating" \* MERGEFORMAT </w:instrText>
            </w:r>
            <w:r w:rsidR="00156A72" w:rsidRPr="0056700C">
              <w:fldChar w:fldCharType="end"/>
            </w:r>
          </w:p>
        </w:tc>
        <w:tc>
          <w:tcPr>
            <w:tcW w:w="7037" w:type="dxa"/>
          </w:tcPr>
          <w:p w:rsidR="00FE4491" w:rsidRPr="0056700C" w:rsidRDefault="007D1073" w:rsidP="0056700C">
            <w:pPr>
              <w:pStyle w:val="TableTextEntries"/>
            </w:pPr>
            <w:r w:rsidRPr="0056700C">
              <w:t>Mid Term</w:t>
            </w:r>
            <w:r w:rsidR="00682689" w:rsidRPr="0056700C">
              <w:t xml:space="preserve"> Review finalised and published on </w:t>
            </w:r>
            <w:r w:rsidR="00172040" w:rsidRPr="0056700C">
              <w:t>DFAT</w:t>
            </w:r>
            <w:r w:rsidR="00682689" w:rsidRPr="0056700C">
              <w:t xml:space="preserve"> website. </w:t>
            </w:r>
            <w:r w:rsidR="00725BF2" w:rsidRPr="0056700C">
              <w:t xml:space="preserve">New </w:t>
            </w:r>
            <w:r w:rsidR="00B6534E" w:rsidRPr="0056700C">
              <w:t xml:space="preserve">Memorandum of </w:t>
            </w:r>
            <w:r w:rsidR="00725BF2" w:rsidRPr="0056700C">
              <w:t>U</w:t>
            </w:r>
            <w:r w:rsidR="00B6534E" w:rsidRPr="0056700C">
              <w:t>nderstanding signed with ANCP Partner NGOs in December 2012</w:t>
            </w:r>
            <w:r w:rsidR="00634F4E" w:rsidRPr="0056700C">
              <w:t>.</w:t>
            </w:r>
          </w:p>
        </w:tc>
      </w:tr>
      <w:tr w:rsidR="00634F4E"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634F4E" w:rsidRPr="0056700C" w:rsidRDefault="00634F4E" w:rsidP="0056700C">
            <w:pPr>
              <w:pStyle w:val="TableTextEntries"/>
            </w:pPr>
            <w:r w:rsidRPr="0056700C">
              <w:t>Develop effectiveness assessment methodology.</w:t>
            </w:r>
          </w:p>
        </w:tc>
        <w:tc>
          <w:tcPr>
            <w:tcW w:w="823" w:type="dxa"/>
            <w:shd w:val="clear" w:color="auto" w:fill="92D050"/>
          </w:tcPr>
          <w:p w:rsidR="00634F4E" w:rsidRPr="0056700C" w:rsidRDefault="00634F4E" w:rsidP="0056700C">
            <w:pPr>
              <w:pStyle w:val="TableTextEntries"/>
            </w:pPr>
            <w:r w:rsidRPr="0056700C">
              <w:t>Green</w:t>
            </w:r>
          </w:p>
        </w:tc>
        <w:tc>
          <w:tcPr>
            <w:tcW w:w="7037" w:type="dxa"/>
          </w:tcPr>
          <w:p w:rsidR="00634F4E" w:rsidRPr="0056700C" w:rsidRDefault="00634F4E" w:rsidP="00323D50">
            <w:pPr>
              <w:pStyle w:val="TableTextEntries"/>
            </w:pPr>
            <w:r w:rsidRPr="0056700C">
              <w:t>Consultation draft sent to stakeholders for comment</w:t>
            </w:r>
            <w:r w:rsidR="00323D50">
              <w:t xml:space="preserve"> and to be integrated into DFAT grant guidelines</w:t>
            </w:r>
            <w:r w:rsidRPr="0056700C">
              <w:t xml:space="preserve">. Implementation scheduled for </w:t>
            </w:r>
            <w:r w:rsidR="00073ED4">
              <w:t>mid</w:t>
            </w:r>
            <w:r w:rsidR="00073ED4" w:rsidRPr="0056700C">
              <w:t>-2014</w:t>
            </w:r>
            <w:r w:rsidRPr="0056700C">
              <w:t>.</w:t>
            </w:r>
          </w:p>
        </w:tc>
      </w:tr>
      <w:tr w:rsidR="00634F4E"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634F4E" w:rsidRPr="0056700C" w:rsidRDefault="00634F4E" w:rsidP="0056700C">
            <w:pPr>
              <w:pStyle w:val="TableTextEntries"/>
            </w:pPr>
            <w:r w:rsidRPr="0056700C">
              <w:t>Develop user-friendly database for management of ANCP reporting.</w:t>
            </w:r>
          </w:p>
        </w:tc>
        <w:tc>
          <w:tcPr>
            <w:tcW w:w="823" w:type="dxa"/>
            <w:shd w:val="clear" w:color="auto" w:fill="92D050"/>
          </w:tcPr>
          <w:p w:rsidR="00634F4E" w:rsidRPr="0056700C" w:rsidRDefault="00634F4E" w:rsidP="0056700C">
            <w:pPr>
              <w:pStyle w:val="TableTextEntries"/>
            </w:pPr>
            <w:r w:rsidRPr="0056700C">
              <w:t>Green</w:t>
            </w:r>
          </w:p>
        </w:tc>
        <w:tc>
          <w:tcPr>
            <w:tcW w:w="7037" w:type="dxa"/>
          </w:tcPr>
          <w:p w:rsidR="00634F4E" w:rsidRPr="0056700C" w:rsidRDefault="00634F4E" w:rsidP="0056700C">
            <w:pPr>
              <w:pStyle w:val="TableTextEntries"/>
            </w:pPr>
            <w:r w:rsidRPr="0056700C">
              <w:t xml:space="preserve">ANCP Online database developed. Trialled </w:t>
            </w:r>
            <w:r w:rsidR="00A20BCE" w:rsidRPr="0056700C">
              <w:t xml:space="preserve">in </w:t>
            </w:r>
            <w:r w:rsidRPr="0056700C">
              <w:t xml:space="preserve">April 2013. System </w:t>
            </w:r>
            <w:r w:rsidR="006C03F3" w:rsidRPr="0056700C">
              <w:t>went</w:t>
            </w:r>
            <w:r w:rsidRPr="0056700C">
              <w:t xml:space="preserve"> live </w:t>
            </w:r>
            <w:r w:rsidR="00A20BCE" w:rsidRPr="0056700C">
              <w:t xml:space="preserve">in </w:t>
            </w:r>
            <w:r w:rsidRPr="0056700C">
              <w:t>May 2013.</w:t>
            </w:r>
          </w:p>
        </w:tc>
      </w:tr>
      <w:tr w:rsidR="00634F4E"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634F4E" w:rsidRPr="0056700C" w:rsidRDefault="00634F4E" w:rsidP="00C94E80">
            <w:pPr>
              <w:pStyle w:val="TableTextEntries"/>
            </w:pPr>
            <w:r w:rsidRPr="0056700C">
              <w:t xml:space="preserve">Develop civil society portal on </w:t>
            </w:r>
            <w:r w:rsidR="00C94E80">
              <w:t>agency</w:t>
            </w:r>
            <w:r w:rsidR="00C94E80" w:rsidRPr="0056700C">
              <w:t xml:space="preserve"> </w:t>
            </w:r>
            <w:r w:rsidRPr="0056700C">
              <w:t>website.</w:t>
            </w:r>
          </w:p>
        </w:tc>
        <w:tc>
          <w:tcPr>
            <w:tcW w:w="823" w:type="dxa"/>
            <w:shd w:val="clear" w:color="auto" w:fill="92D050"/>
          </w:tcPr>
          <w:p w:rsidR="00634F4E" w:rsidRPr="0056700C" w:rsidRDefault="00634F4E" w:rsidP="0056700C">
            <w:pPr>
              <w:pStyle w:val="TableTextEntries"/>
            </w:pPr>
            <w:r w:rsidRPr="0056700C">
              <w:t>Green</w:t>
            </w:r>
          </w:p>
        </w:tc>
        <w:tc>
          <w:tcPr>
            <w:tcW w:w="7037" w:type="dxa"/>
          </w:tcPr>
          <w:p w:rsidR="00634F4E" w:rsidRPr="0056700C" w:rsidRDefault="00FF7886" w:rsidP="0056700C">
            <w:pPr>
              <w:pStyle w:val="TableTextEntries"/>
            </w:pPr>
            <w:r w:rsidRPr="0056700C">
              <w:t>Portal launched in October 2012.</w:t>
            </w:r>
            <w:r w:rsidR="007D38B7" w:rsidRPr="0056700C">
              <w:t xml:space="preserve"> Increasingly becoming information hub for engaging with civil society.</w:t>
            </w:r>
          </w:p>
        </w:tc>
      </w:tr>
      <w:tr w:rsidR="00634F4E"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634F4E" w:rsidRPr="0056700C" w:rsidRDefault="00156A72" w:rsidP="0056700C">
            <w:pPr>
              <w:pStyle w:val="TableTextEntries"/>
            </w:pPr>
            <w:r w:rsidRPr="0056700C">
              <w:t>N</w:t>
            </w:r>
            <w:r w:rsidR="001A35C1" w:rsidRPr="0056700C">
              <w:t xml:space="preserve">GOs and </w:t>
            </w:r>
            <w:r w:rsidRPr="0056700C">
              <w:t>B</w:t>
            </w:r>
            <w:r w:rsidR="001A35C1" w:rsidRPr="0056700C">
              <w:t xml:space="preserve">usiness </w:t>
            </w:r>
            <w:r w:rsidRPr="0056700C">
              <w:t>B</w:t>
            </w:r>
            <w:r w:rsidR="001A35C1" w:rsidRPr="0056700C">
              <w:t>ranch</w:t>
            </w:r>
            <w:r w:rsidR="00007E85" w:rsidRPr="0056700C">
              <w:t xml:space="preserve"> to become thematic area for civil society.</w:t>
            </w:r>
          </w:p>
        </w:tc>
        <w:tc>
          <w:tcPr>
            <w:tcW w:w="823" w:type="dxa"/>
            <w:shd w:val="clear" w:color="auto" w:fill="92D050"/>
          </w:tcPr>
          <w:p w:rsidR="00634F4E" w:rsidRPr="0056700C" w:rsidRDefault="00C3010C" w:rsidP="0056700C">
            <w:pPr>
              <w:pStyle w:val="TableTextEntries"/>
            </w:pPr>
            <w:r w:rsidRPr="0056700C">
              <w:t>Green</w:t>
            </w:r>
          </w:p>
        </w:tc>
        <w:tc>
          <w:tcPr>
            <w:tcW w:w="7037" w:type="dxa"/>
          </w:tcPr>
          <w:p w:rsidR="00634F4E" w:rsidRPr="0056700C" w:rsidRDefault="007C7E79" w:rsidP="00E51F64">
            <w:pPr>
              <w:pStyle w:val="TableTextEntries"/>
            </w:pPr>
            <w:r w:rsidRPr="0056700C">
              <w:t xml:space="preserve">Implementation of </w:t>
            </w:r>
            <w:r w:rsidR="00E51F64">
              <w:t>CSEF</w:t>
            </w:r>
            <w:r w:rsidRPr="0056700C">
              <w:t xml:space="preserve"> well in train. Performance assessment frameworks to be developed for both ANCP </w:t>
            </w:r>
            <w:r w:rsidR="00156A72" w:rsidRPr="0056700C">
              <w:t>and Civil Society.</w:t>
            </w:r>
          </w:p>
        </w:tc>
      </w:tr>
      <w:tr w:rsidR="006A61A1" w:rsidRPr="00180B19">
        <w:trPr>
          <w:cnfStyle w:val="000000010000" w:firstRow="0" w:lastRow="0" w:firstColumn="0" w:lastColumn="0" w:oddVBand="0" w:evenVBand="0" w:oddHBand="0" w:evenHBand="1" w:firstRowFirstColumn="0" w:firstRowLastColumn="0" w:lastRowFirstColumn="0" w:lastRowLastColumn="0"/>
        </w:trPr>
        <w:tc>
          <w:tcPr>
            <w:tcW w:w="6473" w:type="dxa"/>
          </w:tcPr>
          <w:p w:rsidR="006A61A1" w:rsidRPr="0056700C" w:rsidRDefault="00007E85" w:rsidP="0056700C">
            <w:pPr>
              <w:pStyle w:val="TableTextEntries"/>
            </w:pPr>
            <w:r w:rsidRPr="0056700C">
              <w:t>Streamline administration of accreditation</w:t>
            </w:r>
            <w:r w:rsidR="007C7E79" w:rsidRPr="0056700C">
              <w:t>.</w:t>
            </w:r>
            <w:r w:rsidRPr="0056700C">
              <w:t xml:space="preserve"> </w:t>
            </w:r>
          </w:p>
        </w:tc>
        <w:tc>
          <w:tcPr>
            <w:tcW w:w="823" w:type="dxa"/>
            <w:shd w:val="clear" w:color="auto" w:fill="F79646" w:themeFill="accent6"/>
          </w:tcPr>
          <w:p w:rsidR="006A61A1" w:rsidRPr="0056700C" w:rsidRDefault="00C3010C" w:rsidP="0056700C">
            <w:pPr>
              <w:pStyle w:val="TableTextEntries"/>
            </w:pPr>
            <w:r w:rsidRPr="0056700C">
              <w:t>Amber</w:t>
            </w:r>
          </w:p>
        </w:tc>
        <w:tc>
          <w:tcPr>
            <w:tcW w:w="7037" w:type="dxa"/>
          </w:tcPr>
          <w:p w:rsidR="006A61A1" w:rsidRPr="0056700C" w:rsidRDefault="00172040" w:rsidP="0056700C">
            <w:pPr>
              <w:pStyle w:val="TableTextEntries"/>
              <w:rPr>
                <w:highlight w:val="yellow"/>
              </w:rPr>
            </w:pPr>
            <w:r w:rsidRPr="0056700C">
              <w:t>DFAT</w:t>
            </w:r>
            <w:r w:rsidR="00315370" w:rsidRPr="0056700C">
              <w:t xml:space="preserve"> currently exploring options to improve accreditation by applying dedicated resources to administration of accreditation processing. </w:t>
            </w:r>
            <w:r w:rsidR="00BE76B9" w:rsidRPr="0056700C">
              <w:t xml:space="preserve">Process to be reviewed to align with </w:t>
            </w:r>
            <w:r w:rsidR="00AC61E0" w:rsidRPr="0056700C">
              <w:t xml:space="preserve">new </w:t>
            </w:r>
            <w:r w:rsidR="00BE76B9" w:rsidRPr="0056700C">
              <w:t xml:space="preserve"> </w:t>
            </w:r>
            <w:r w:rsidR="00AC61E0" w:rsidRPr="0056700C">
              <w:t>due diligence process</w:t>
            </w:r>
            <w:r w:rsidR="00BE76B9" w:rsidRPr="0056700C">
              <w:t>.</w:t>
            </w:r>
          </w:p>
        </w:tc>
      </w:tr>
    </w:tbl>
    <w:p w:rsidR="00FE4491" w:rsidRPr="00FE4491" w:rsidRDefault="00636FAA" w:rsidP="00636FAA">
      <w:pPr>
        <w:pStyle w:val="BodyText"/>
        <w:tabs>
          <w:tab w:val="left" w:pos="4340"/>
        </w:tabs>
      </w:pPr>
      <w:r>
        <w:tab/>
      </w:r>
    </w:p>
    <w:p w:rsidR="00FE4491" w:rsidRPr="00FE4491" w:rsidRDefault="00FE4491" w:rsidP="00FE4491">
      <w:pPr>
        <w:pStyle w:val="BodyText"/>
      </w:pPr>
    </w:p>
    <w:p w:rsidR="00FE4491" w:rsidRPr="00FE4491" w:rsidRDefault="00FE4491" w:rsidP="006D1D6D">
      <w:pPr>
        <w:pStyle w:val="Note"/>
      </w:pPr>
      <w:r w:rsidRPr="00FE4491">
        <w:t xml:space="preserve">Note: </w:t>
      </w:r>
    </w:p>
    <w:p w:rsidR="00FE4491" w:rsidRPr="00FE4491" w:rsidRDefault="00FE4491" w:rsidP="006D1D6D">
      <w:pPr>
        <w:pStyle w:val="Note"/>
      </w:pPr>
      <w:r w:rsidRPr="00FE4491">
        <w:rPr>
          <w:color w:val="92D050"/>
        </w:rPr>
        <w:sym w:font="Webdings" w:char="F067"/>
      </w:r>
      <w:r w:rsidRPr="00FE4491">
        <w:rPr>
          <w:rFonts w:ascii="Times New Roman" w:hAnsi="Times New Roman"/>
        </w:rPr>
        <w:t> </w:t>
      </w:r>
      <w:r w:rsidRPr="00FE4491">
        <w:t xml:space="preserve"> </w:t>
      </w:r>
      <w:r w:rsidR="00443639">
        <w:t>Green</w:t>
      </w:r>
      <w:r>
        <w:t>.</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FE4491" w:rsidRDefault="00FE4491" w:rsidP="006D1D6D">
      <w:pPr>
        <w:pStyle w:val="Note"/>
      </w:pPr>
      <w:r w:rsidRPr="00FE4491">
        <w:rPr>
          <w:color w:val="F79646" w:themeColor="accent6"/>
        </w:rPr>
        <w:sym w:font="Webdings" w:char="F067"/>
      </w:r>
      <w:r w:rsidRPr="00FE4491">
        <w:rPr>
          <w:rFonts w:ascii="Times New Roman" w:hAnsi="Times New Roman"/>
        </w:rPr>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BB1C24" w:rsidRDefault="00FE4491" w:rsidP="006D1D6D">
      <w:pPr>
        <w:pStyle w:val="Note"/>
      </w:pPr>
      <w:r w:rsidRPr="00FE4491">
        <w:rPr>
          <w:color w:val="FF0000"/>
        </w:rPr>
        <w:sym w:font="Webdings" w:char="F067"/>
      </w:r>
      <w:r w:rsidRPr="00FE4491">
        <w:rPr>
          <w:rFonts w:ascii="Times New Roman" w:hAnsi="Times New Roman"/>
        </w:rPr>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 xml:space="preserve">priorities. </w:t>
      </w:r>
      <w:r w:rsidR="00156A72" w:rsidRPr="001A35C1">
        <w:t>Recasting the objective may be required.</w:t>
      </w:r>
    </w:p>
    <w:p w:rsidR="00FE4491" w:rsidRDefault="00FE4491" w:rsidP="00FE4491">
      <w:pPr>
        <w:sectPr w:rsidR="00FE4491" w:rsidSect="0056700C">
          <w:headerReference w:type="first" r:id="rId16"/>
          <w:footerReference w:type="first" r:id="rId17"/>
          <w:pgSz w:w="16838" w:h="11906" w:orient="landscape" w:code="9"/>
          <w:pgMar w:top="1871" w:right="2268" w:bottom="1134" w:left="907" w:header="709" w:footer="454" w:gutter="0"/>
          <w:cols w:space="708"/>
          <w:titlePg/>
          <w:docGrid w:linePitch="360"/>
        </w:sectPr>
      </w:pPr>
    </w:p>
    <w:p w:rsidR="00FE4491" w:rsidRPr="00FE4491" w:rsidRDefault="00FE4491" w:rsidP="00FE4491">
      <w:pPr>
        <w:pStyle w:val="Heading1"/>
      </w:pPr>
      <w:r w:rsidRPr="00FE4491">
        <w:lastRenderedPageBreak/>
        <w:t xml:space="preserve">Annex B </w:t>
      </w:r>
    </w:p>
    <w:p w:rsidR="00FE4491" w:rsidRDefault="00FE4491" w:rsidP="00C65930">
      <w:pPr>
        <w:pStyle w:val="Heading2"/>
      </w:pPr>
      <w:r w:rsidRPr="00FE4491">
        <w:t>Quality at Implementation ratings</w:t>
      </w:r>
    </w:p>
    <w:p w:rsidR="00FE1AB0" w:rsidRDefault="00FE1AB0" w:rsidP="00FE1AB0">
      <w:pPr>
        <w:pStyle w:val="BodyText"/>
      </w:pPr>
    </w:p>
    <w:p w:rsidR="00FE1AB0" w:rsidRPr="00FE1AB0" w:rsidRDefault="00FE1AB0" w:rsidP="00FE1AB0">
      <w:pPr>
        <w:pStyle w:val="BodyText"/>
      </w:pPr>
    </w:p>
    <w:tbl>
      <w:tblPr>
        <w:tblStyle w:val="APPR"/>
        <w:tblW w:w="4617" w:type="pct"/>
        <w:tblLayout w:type="fixed"/>
        <w:tblLook w:val="0000" w:firstRow="0" w:lastRow="0" w:firstColumn="0" w:lastColumn="0" w:noHBand="0" w:noVBand="0"/>
      </w:tblPr>
      <w:tblGrid>
        <w:gridCol w:w="1520"/>
        <w:gridCol w:w="1105"/>
        <w:gridCol w:w="705"/>
        <w:gridCol w:w="173"/>
        <w:gridCol w:w="705"/>
        <w:gridCol w:w="623"/>
        <w:gridCol w:w="623"/>
        <w:gridCol w:w="658"/>
        <w:gridCol w:w="578"/>
        <w:gridCol w:w="623"/>
        <w:gridCol w:w="634"/>
      </w:tblGrid>
      <w:tr w:rsidR="00FE4491" w:rsidRPr="009D53C4" w:rsidTr="0056700C">
        <w:trPr>
          <w:cnfStyle w:val="000000010000" w:firstRow="0" w:lastRow="0" w:firstColumn="0" w:lastColumn="0" w:oddVBand="0" w:evenVBand="0" w:oddHBand="0" w:evenHBand="1" w:firstRowFirstColumn="0" w:firstRowLastColumn="0" w:lastRowFirstColumn="0" w:lastRowLastColumn="0"/>
          <w:trHeight w:val="1413"/>
        </w:trPr>
        <w:tc>
          <w:tcPr>
            <w:tcW w:w="932" w:type="pct"/>
          </w:tcPr>
          <w:p w:rsidR="00FE4491" w:rsidRPr="00FE4491" w:rsidRDefault="00FE4491" w:rsidP="00172040">
            <w:pPr>
              <w:pStyle w:val="TableTextColumnHeading"/>
            </w:pPr>
            <w:r w:rsidRPr="00FE4491">
              <w:rPr>
                <w:noProof/>
                <w:lang w:eastAsia="en-AU"/>
              </w:rPr>
              <w:drawing>
                <wp:anchor distT="0" distB="0" distL="114300" distR="114300" simplePos="0" relativeHeight="251664384" behindDoc="0" locked="0" layoutInCell="1" allowOverlap="1" wp14:anchorId="18398DA9" wp14:editId="72FC57B2">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00172040">
              <w:t>Australian</w:t>
            </w:r>
            <w:r w:rsidR="00960726">
              <w:t xml:space="preserve"> NGO Cooperation Program</w:t>
            </w:r>
          </w:p>
        </w:tc>
        <w:tc>
          <w:tcPr>
            <w:tcW w:w="680" w:type="pct"/>
            <w:textDirection w:val="btLr"/>
          </w:tcPr>
          <w:p w:rsidR="00FE4491" w:rsidRPr="00FE4491" w:rsidRDefault="00FE4491" w:rsidP="00275595">
            <w:pPr>
              <w:pStyle w:val="TableTextColumnHeading"/>
            </w:pPr>
          </w:p>
        </w:tc>
        <w:tc>
          <w:tcPr>
            <w:tcW w:w="428" w:type="pct"/>
            <w:textDirection w:val="btLr"/>
          </w:tcPr>
          <w:p w:rsidR="00FE4491" w:rsidRPr="00FE4491" w:rsidRDefault="00FE4491" w:rsidP="00901304">
            <w:pPr>
              <w:pStyle w:val="TableTextColumnHeading"/>
            </w:pPr>
            <w:r w:rsidRPr="00FE4491">
              <w:t>QaI year</w:t>
            </w:r>
          </w:p>
        </w:tc>
        <w:tc>
          <w:tcPr>
            <w:tcW w:w="518" w:type="pct"/>
            <w:gridSpan w:val="2"/>
            <w:textDirection w:val="btLr"/>
          </w:tcPr>
          <w:p w:rsidR="00FE4491" w:rsidRPr="00FE4491" w:rsidRDefault="00FE4491" w:rsidP="00901304">
            <w:pPr>
              <w:pStyle w:val="TableTextColumnHeading"/>
            </w:pPr>
            <w:r w:rsidRPr="00FE4491">
              <w:t>Relevance</w:t>
            </w:r>
          </w:p>
        </w:tc>
        <w:tc>
          <w:tcPr>
            <w:tcW w:w="376" w:type="pct"/>
            <w:textDirection w:val="btLr"/>
          </w:tcPr>
          <w:p w:rsidR="00FE4491" w:rsidRPr="00FE4491" w:rsidRDefault="00FE4491" w:rsidP="00901304">
            <w:pPr>
              <w:pStyle w:val="TableTextColumnHeading"/>
            </w:pPr>
            <w:r w:rsidRPr="00FE4491">
              <w:t>Effectiveness</w:t>
            </w:r>
          </w:p>
        </w:tc>
        <w:tc>
          <w:tcPr>
            <w:tcW w:w="376" w:type="pct"/>
            <w:textDirection w:val="btLr"/>
          </w:tcPr>
          <w:p w:rsidR="00FE4491" w:rsidRPr="00FE4491" w:rsidRDefault="00FE4491" w:rsidP="00901304">
            <w:pPr>
              <w:pStyle w:val="TableTextColumnHeading"/>
            </w:pPr>
            <w:r w:rsidRPr="00FE4491">
              <w:t>Efficiency</w:t>
            </w:r>
          </w:p>
        </w:tc>
        <w:tc>
          <w:tcPr>
            <w:tcW w:w="398" w:type="pct"/>
            <w:textDirection w:val="btLr"/>
          </w:tcPr>
          <w:p w:rsidR="00FE4491" w:rsidRPr="00FE4491" w:rsidRDefault="00FE4491" w:rsidP="00901304">
            <w:pPr>
              <w:pStyle w:val="TableTextColumnHeading"/>
            </w:pPr>
            <w:r w:rsidRPr="00FE4491">
              <w:t>Monitoring and Evaluation</w:t>
            </w:r>
          </w:p>
        </w:tc>
        <w:tc>
          <w:tcPr>
            <w:tcW w:w="347" w:type="pct"/>
            <w:textDirection w:val="btLr"/>
          </w:tcPr>
          <w:p w:rsidR="00FE4491" w:rsidRPr="00FE4491" w:rsidRDefault="00FE4491" w:rsidP="00901304">
            <w:pPr>
              <w:pStyle w:val="TableTextColumnHeading"/>
            </w:pPr>
            <w:r w:rsidRPr="00FE4491">
              <w:t>Sustainability</w:t>
            </w:r>
          </w:p>
        </w:tc>
        <w:tc>
          <w:tcPr>
            <w:tcW w:w="376" w:type="pct"/>
            <w:textDirection w:val="btLr"/>
          </w:tcPr>
          <w:p w:rsidR="00FE4491" w:rsidRPr="00FE4491" w:rsidRDefault="00FE4491" w:rsidP="00901304">
            <w:pPr>
              <w:pStyle w:val="TableTextColumnHeading"/>
            </w:pPr>
            <w:r w:rsidRPr="00FE4491">
              <w:t>Gender equality</w:t>
            </w:r>
          </w:p>
        </w:tc>
        <w:tc>
          <w:tcPr>
            <w:tcW w:w="374" w:type="pct"/>
            <w:textDirection w:val="btLr"/>
          </w:tcPr>
          <w:p w:rsidR="00FE4491" w:rsidRPr="00FE4491" w:rsidRDefault="00FE4491" w:rsidP="00901304">
            <w:pPr>
              <w:pStyle w:val="TableTextColumnHeading"/>
            </w:pPr>
            <w:r w:rsidRPr="00FE4491">
              <w:t>Risk Management</w:t>
            </w:r>
          </w:p>
        </w:tc>
      </w:tr>
      <w:tr w:rsidR="00071B95" w:rsidRPr="009D53C4" w:rsidTr="0056700C">
        <w:trPr>
          <w:cnfStyle w:val="000000010000" w:firstRow="0" w:lastRow="0" w:firstColumn="0" w:lastColumn="0" w:oddVBand="0" w:evenVBand="0" w:oddHBand="0" w:evenHBand="1" w:firstRowFirstColumn="0" w:firstRowLastColumn="0" w:lastRowFirstColumn="0" w:lastRowLastColumn="0"/>
          <w:trHeight w:val="284"/>
        </w:trPr>
        <w:tc>
          <w:tcPr>
            <w:tcW w:w="932" w:type="pct"/>
            <w:vMerge w:val="restart"/>
          </w:tcPr>
          <w:p w:rsidR="00FE4491" w:rsidRPr="00FE4491" w:rsidRDefault="00FE4491" w:rsidP="00FE4491">
            <w:pPr>
              <w:pStyle w:val="TableTextEntries"/>
            </w:pPr>
          </w:p>
        </w:tc>
        <w:tc>
          <w:tcPr>
            <w:tcW w:w="680" w:type="pct"/>
            <w:vMerge w:val="restart"/>
          </w:tcPr>
          <w:p w:rsidR="00FE4491" w:rsidRPr="00FE4491" w:rsidRDefault="00FE4491" w:rsidP="00FE4491">
            <w:pPr>
              <w:pStyle w:val="TableTextEntries"/>
            </w:pPr>
          </w:p>
        </w:tc>
        <w:tc>
          <w:tcPr>
            <w:tcW w:w="519" w:type="pct"/>
            <w:gridSpan w:val="2"/>
          </w:tcPr>
          <w:p w:rsidR="00FE4491" w:rsidRPr="00FE4491" w:rsidRDefault="00EB2A0F" w:rsidP="00FE4491">
            <w:pPr>
              <w:pStyle w:val="TableTextEntries"/>
            </w:pPr>
            <w:r>
              <w:t>2011</w:t>
            </w:r>
          </w:p>
        </w:tc>
        <w:tc>
          <w:tcPr>
            <w:tcW w:w="428" w:type="pct"/>
            <w:shd w:val="clear" w:color="auto" w:fill="FFFF00"/>
            <w:noWrap/>
          </w:tcPr>
          <w:p w:rsidR="00FE4491" w:rsidRPr="00FE4491" w:rsidRDefault="0008762D" w:rsidP="0008762D">
            <w:pPr>
              <w:pStyle w:val="TableTextEntries"/>
              <w:tabs>
                <w:tab w:val="center" w:pos="230"/>
              </w:tabs>
            </w:pPr>
            <w:r>
              <w:tab/>
            </w:r>
            <w:r w:rsidR="00474B0A">
              <w:t>4</w:t>
            </w:r>
          </w:p>
        </w:tc>
        <w:tc>
          <w:tcPr>
            <w:tcW w:w="376" w:type="pct"/>
            <w:shd w:val="clear" w:color="auto" w:fill="FFFF00"/>
            <w:noWrap/>
          </w:tcPr>
          <w:p w:rsidR="00FE4491" w:rsidRPr="00FE4491" w:rsidRDefault="00474B0A" w:rsidP="00FE4491">
            <w:pPr>
              <w:pStyle w:val="TableTextEntries"/>
              <w:jc w:val="center"/>
            </w:pPr>
            <w:r>
              <w:t>4</w:t>
            </w:r>
          </w:p>
        </w:tc>
        <w:tc>
          <w:tcPr>
            <w:tcW w:w="376" w:type="pct"/>
            <w:shd w:val="clear" w:color="auto" w:fill="FFFF00"/>
            <w:noWrap/>
          </w:tcPr>
          <w:p w:rsidR="00FE4491" w:rsidRPr="00FE4491" w:rsidRDefault="00474B0A" w:rsidP="00FE4491">
            <w:pPr>
              <w:pStyle w:val="TableTextEntries"/>
              <w:jc w:val="center"/>
            </w:pPr>
            <w:r>
              <w:t>4</w:t>
            </w:r>
          </w:p>
        </w:tc>
        <w:tc>
          <w:tcPr>
            <w:tcW w:w="398" w:type="pct"/>
            <w:shd w:val="clear" w:color="auto" w:fill="F79646" w:themeFill="accent6"/>
            <w:noWrap/>
          </w:tcPr>
          <w:p w:rsidR="00FE4491" w:rsidRPr="00FE4491" w:rsidRDefault="00474B0A" w:rsidP="00FE4491">
            <w:pPr>
              <w:pStyle w:val="TableTextEntries"/>
              <w:jc w:val="center"/>
            </w:pPr>
            <w:r>
              <w:t>3</w:t>
            </w:r>
          </w:p>
        </w:tc>
        <w:tc>
          <w:tcPr>
            <w:tcW w:w="347" w:type="pct"/>
            <w:shd w:val="clear" w:color="auto" w:fill="FFFF00"/>
            <w:noWrap/>
          </w:tcPr>
          <w:p w:rsidR="00FE4491" w:rsidRPr="00FE4491" w:rsidRDefault="00474B0A" w:rsidP="00FE4491">
            <w:pPr>
              <w:pStyle w:val="TableTextEntries"/>
              <w:jc w:val="center"/>
            </w:pPr>
            <w:r>
              <w:t>4</w:t>
            </w:r>
          </w:p>
        </w:tc>
        <w:tc>
          <w:tcPr>
            <w:tcW w:w="376" w:type="pct"/>
            <w:shd w:val="clear" w:color="auto" w:fill="92D050"/>
            <w:noWrap/>
          </w:tcPr>
          <w:p w:rsidR="00FE4491" w:rsidRPr="00FE4491" w:rsidRDefault="00474B0A" w:rsidP="00FE4491">
            <w:pPr>
              <w:pStyle w:val="TableTextEntries"/>
              <w:jc w:val="center"/>
            </w:pPr>
            <w:r>
              <w:t>5</w:t>
            </w:r>
          </w:p>
        </w:tc>
        <w:tc>
          <w:tcPr>
            <w:tcW w:w="374" w:type="pct"/>
            <w:shd w:val="clear" w:color="auto" w:fill="F79646" w:themeFill="accent6"/>
            <w:noWrap/>
          </w:tcPr>
          <w:p w:rsidR="00FE4491" w:rsidRPr="00FE4491" w:rsidRDefault="00543D9F" w:rsidP="00543D9F">
            <w:pPr>
              <w:pStyle w:val="TableTextEntries"/>
              <w:jc w:val="center"/>
            </w:pPr>
            <w:r>
              <w:t>I</w:t>
            </w:r>
          </w:p>
        </w:tc>
      </w:tr>
      <w:tr w:rsidR="00474B0A" w:rsidRPr="009D53C4" w:rsidTr="0056700C">
        <w:trPr>
          <w:cnfStyle w:val="000000010000" w:firstRow="0" w:lastRow="0" w:firstColumn="0" w:lastColumn="0" w:oddVBand="0" w:evenVBand="0" w:oddHBand="0" w:evenHBand="1" w:firstRowFirstColumn="0" w:firstRowLastColumn="0" w:lastRowFirstColumn="0" w:lastRowLastColumn="0"/>
          <w:trHeight w:val="284"/>
        </w:trPr>
        <w:tc>
          <w:tcPr>
            <w:tcW w:w="932" w:type="pct"/>
            <w:vMerge/>
          </w:tcPr>
          <w:p w:rsidR="00474B0A" w:rsidRPr="00FE4491" w:rsidRDefault="00474B0A" w:rsidP="00FE4491">
            <w:pPr>
              <w:pStyle w:val="TableTextEntries"/>
            </w:pPr>
          </w:p>
        </w:tc>
        <w:tc>
          <w:tcPr>
            <w:tcW w:w="680" w:type="pct"/>
            <w:vMerge/>
          </w:tcPr>
          <w:p w:rsidR="00474B0A" w:rsidRPr="00FE4491" w:rsidRDefault="00474B0A" w:rsidP="00FE4491">
            <w:pPr>
              <w:pStyle w:val="TableTextEntries"/>
            </w:pPr>
          </w:p>
        </w:tc>
        <w:tc>
          <w:tcPr>
            <w:tcW w:w="519" w:type="pct"/>
            <w:gridSpan w:val="2"/>
          </w:tcPr>
          <w:p w:rsidR="00474B0A" w:rsidRPr="00FE4491" w:rsidRDefault="00474B0A" w:rsidP="00FE4491">
            <w:pPr>
              <w:pStyle w:val="TableTextEntries"/>
            </w:pPr>
            <w:r>
              <w:t>2012</w:t>
            </w:r>
          </w:p>
        </w:tc>
        <w:tc>
          <w:tcPr>
            <w:tcW w:w="428" w:type="pct"/>
            <w:shd w:val="clear" w:color="auto" w:fill="92D050"/>
            <w:noWrap/>
          </w:tcPr>
          <w:p w:rsidR="00474B0A" w:rsidRPr="00FE4491" w:rsidRDefault="00474B0A" w:rsidP="00FE4491">
            <w:pPr>
              <w:pStyle w:val="TableTextEntries"/>
              <w:jc w:val="center"/>
            </w:pPr>
            <w:r>
              <w:t>5</w:t>
            </w:r>
          </w:p>
        </w:tc>
        <w:tc>
          <w:tcPr>
            <w:tcW w:w="376" w:type="pct"/>
            <w:shd w:val="clear" w:color="auto" w:fill="FFFF00"/>
            <w:noWrap/>
          </w:tcPr>
          <w:p w:rsidR="00474B0A" w:rsidRPr="00FE4491" w:rsidRDefault="00474B0A" w:rsidP="00FE4491">
            <w:pPr>
              <w:pStyle w:val="TableTextEntries"/>
              <w:jc w:val="center"/>
            </w:pPr>
            <w:r>
              <w:t>4</w:t>
            </w:r>
          </w:p>
        </w:tc>
        <w:tc>
          <w:tcPr>
            <w:tcW w:w="376" w:type="pct"/>
            <w:shd w:val="clear" w:color="auto" w:fill="FFFF00"/>
            <w:noWrap/>
          </w:tcPr>
          <w:p w:rsidR="00474B0A" w:rsidRPr="00FE4491" w:rsidRDefault="00474B0A" w:rsidP="00FE4491">
            <w:pPr>
              <w:pStyle w:val="TableTextEntries"/>
              <w:jc w:val="center"/>
            </w:pPr>
            <w:r>
              <w:t>4</w:t>
            </w:r>
          </w:p>
        </w:tc>
        <w:tc>
          <w:tcPr>
            <w:tcW w:w="398" w:type="pct"/>
            <w:shd w:val="clear" w:color="auto" w:fill="FFFF00"/>
            <w:noWrap/>
          </w:tcPr>
          <w:p w:rsidR="00474B0A" w:rsidRPr="00FE4491" w:rsidRDefault="00474B0A" w:rsidP="00FE4491">
            <w:pPr>
              <w:pStyle w:val="TableTextEntries"/>
              <w:jc w:val="center"/>
            </w:pPr>
            <w:r>
              <w:t>4</w:t>
            </w:r>
          </w:p>
        </w:tc>
        <w:tc>
          <w:tcPr>
            <w:tcW w:w="347" w:type="pct"/>
            <w:shd w:val="clear" w:color="auto" w:fill="FFFF00"/>
            <w:noWrap/>
          </w:tcPr>
          <w:p w:rsidR="00474B0A" w:rsidRPr="00FE4491" w:rsidRDefault="00BE76B9" w:rsidP="00FE4491">
            <w:pPr>
              <w:pStyle w:val="TableTextEntries"/>
              <w:jc w:val="center"/>
            </w:pPr>
            <w:r w:rsidRPr="00BE76B9">
              <w:t>4</w:t>
            </w:r>
          </w:p>
        </w:tc>
        <w:tc>
          <w:tcPr>
            <w:tcW w:w="376" w:type="pct"/>
            <w:shd w:val="clear" w:color="auto" w:fill="FFFF00"/>
            <w:noWrap/>
          </w:tcPr>
          <w:p w:rsidR="00474B0A" w:rsidRPr="00FE4491" w:rsidRDefault="00474B0A" w:rsidP="00FE4491">
            <w:pPr>
              <w:pStyle w:val="TableTextEntries"/>
              <w:jc w:val="center"/>
            </w:pPr>
            <w:r>
              <w:t>4</w:t>
            </w:r>
          </w:p>
        </w:tc>
        <w:tc>
          <w:tcPr>
            <w:tcW w:w="374" w:type="pct"/>
            <w:shd w:val="clear" w:color="auto" w:fill="F79646" w:themeFill="accent6"/>
            <w:noWrap/>
          </w:tcPr>
          <w:p w:rsidR="00474B0A" w:rsidRPr="00FE4491" w:rsidRDefault="00474B0A" w:rsidP="00FE4491">
            <w:pPr>
              <w:pStyle w:val="TableTextEntries"/>
              <w:jc w:val="center"/>
            </w:pPr>
            <w:r w:rsidRPr="00FE4491">
              <w:t>I</w:t>
            </w:r>
          </w:p>
        </w:tc>
      </w:tr>
    </w:tbl>
    <w:p w:rsidR="00FE4491" w:rsidRDefault="00FE4491" w:rsidP="006D1D6D">
      <w:pPr>
        <w:pStyle w:val="Note"/>
      </w:pPr>
      <w:r>
        <w:t>Definitions of rating scale:</w:t>
      </w:r>
      <w:r>
        <w:tab/>
      </w:r>
    </w:p>
    <w:p w:rsidR="00FE4491" w:rsidRDefault="00FE4491" w:rsidP="006D1D6D">
      <w:pPr>
        <w:pStyle w:val="Note"/>
      </w:pPr>
      <w:r>
        <w:t>Satisfactory (4, 5 and 6)</w:t>
      </w:r>
    </w:p>
    <w:p w:rsidR="00FE4491" w:rsidRDefault="00FE4491" w:rsidP="006D1D6D">
      <w:pPr>
        <w:pStyle w:val="Note"/>
      </w:pPr>
      <w:r w:rsidRPr="00FE4491">
        <w:rPr>
          <w:color w:val="92D050"/>
        </w:rPr>
        <w:sym w:font="Webdings" w:char="F067"/>
      </w:r>
      <w:r>
        <w:t xml:space="preserve"> = 6 = Very high quality</w:t>
      </w:r>
    </w:p>
    <w:p w:rsidR="00FE4491" w:rsidRDefault="00FE4491" w:rsidP="006D1D6D">
      <w:pPr>
        <w:pStyle w:val="Note"/>
      </w:pPr>
      <w:r w:rsidRPr="00FE4491">
        <w:rPr>
          <w:color w:val="92D050"/>
        </w:rPr>
        <w:sym w:font="Webdings" w:char="F067"/>
      </w:r>
      <w:r>
        <w:t xml:space="preserve"> = 5 = Good quality</w:t>
      </w:r>
    </w:p>
    <w:p w:rsidR="00FE4491" w:rsidRDefault="00FE4491" w:rsidP="006D1D6D">
      <w:pPr>
        <w:pStyle w:val="Note"/>
      </w:pPr>
      <w:r w:rsidRPr="000774FD">
        <w:rPr>
          <w:color w:val="FFFF00"/>
        </w:rPr>
        <w:sym w:font="Webdings" w:char="F067"/>
      </w:r>
      <w:r>
        <w:t xml:space="preserve"> = 4 = Adequate quality, needs some work</w:t>
      </w:r>
    </w:p>
    <w:p w:rsidR="00FE4491" w:rsidRDefault="00FE4491" w:rsidP="006D1D6D">
      <w:pPr>
        <w:pStyle w:val="Note"/>
      </w:pPr>
      <w:r>
        <w:t>Less than satisfactory (1, 2 and 3)</w:t>
      </w:r>
    </w:p>
    <w:p w:rsidR="00FE4491" w:rsidRDefault="00FE4491" w:rsidP="006D1D6D">
      <w:pPr>
        <w:pStyle w:val="Note"/>
      </w:pPr>
      <w:r w:rsidRPr="00FD710F">
        <w:rPr>
          <w:color w:val="F79646"/>
        </w:rPr>
        <w:sym w:font="Webdings" w:char="F067"/>
      </w:r>
      <w:r>
        <w:t xml:space="preserve"> = 3 = Less than adequate quality; needs significant work</w:t>
      </w:r>
    </w:p>
    <w:p w:rsidR="00FE4491" w:rsidRDefault="00FE4491" w:rsidP="006D1D6D">
      <w:pPr>
        <w:pStyle w:val="Note"/>
      </w:pPr>
      <w:r w:rsidRPr="000774FD">
        <w:rPr>
          <w:color w:val="FF0000"/>
        </w:rPr>
        <w:sym w:font="Webdings" w:char="F067"/>
      </w:r>
      <w:r>
        <w:t xml:space="preserve"> = 2 = Poor quality; needs major work to improve</w:t>
      </w:r>
    </w:p>
    <w:p w:rsidR="00FE4491" w:rsidRDefault="00FE4491" w:rsidP="006D1D6D">
      <w:pPr>
        <w:pStyle w:val="Note"/>
      </w:pPr>
      <w:r w:rsidRPr="000774FD">
        <w:rPr>
          <w:color w:val="FF0000"/>
        </w:rPr>
        <w:sym w:font="Webdings" w:char="F067"/>
      </w:r>
      <w:r>
        <w:t xml:space="preserve"> = 1 = Very poor quality; needs major overhaul</w:t>
      </w:r>
    </w:p>
    <w:p w:rsidR="00FE4491" w:rsidRDefault="00FE4491" w:rsidP="006D1D6D">
      <w:pPr>
        <w:pStyle w:val="Note"/>
      </w:pPr>
    </w:p>
    <w:p w:rsidR="00FE4491" w:rsidRDefault="00FE4491" w:rsidP="006D1D6D">
      <w:pPr>
        <w:pStyle w:val="Note"/>
      </w:pPr>
      <w:r>
        <w:t>Risk Management scale:</w:t>
      </w:r>
    </w:p>
    <w:p w:rsidR="00FE4491" w:rsidRDefault="00FE4491" w:rsidP="006D1D6D">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w:t>
      </w:r>
      <w:r w:rsidR="00C65930">
        <w:t>.</w:t>
      </w:r>
      <w:r>
        <w:t xml:space="preserve"> </w:t>
      </w:r>
    </w:p>
    <w:p w:rsidR="00FE4491" w:rsidRDefault="00FE4491" w:rsidP="006D1D6D">
      <w:pPr>
        <w:pStyle w:val="Note"/>
      </w:pPr>
      <w:r w:rsidRPr="00FD710F">
        <w:rPr>
          <w:color w:val="F79646"/>
        </w:rPr>
        <w:sym w:font="Webdings" w:char="F067"/>
      </w:r>
      <w:r>
        <w:t xml:space="preserve">  Intermediate (I). Indicates the initiative manager conducts ad-hoc risk discussion and updates the risk register occasionally</w:t>
      </w:r>
      <w:r w:rsidR="00C65930">
        <w:t>.</w:t>
      </w:r>
      <w:r>
        <w:t xml:space="preserve"> </w:t>
      </w:r>
    </w:p>
    <w:p w:rsidR="00FE4491" w:rsidRDefault="00FE4491" w:rsidP="006D1D6D">
      <w:pPr>
        <w:pStyle w:val="Note"/>
      </w:pPr>
      <w:r w:rsidRPr="000774FD">
        <w:rPr>
          <w:color w:val="FF0000"/>
        </w:rPr>
        <w:sym w:font="Webdings" w:char="F067"/>
      </w:r>
      <w:r>
        <w:t xml:space="preserve">  Basic (B). Indicates there are limited or few risk discussions and the risk register has not been updated in the past 12 months</w:t>
      </w:r>
      <w:r w:rsidR="00C65930">
        <w:t>.</w:t>
      </w:r>
    </w:p>
    <w:p w:rsidR="00071B95" w:rsidRDefault="00071B95" w:rsidP="00071B95"/>
    <w:p w:rsidR="00071B95" w:rsidRDefault="00071B95" w:rsidP="00071B95"/>
    <w:p w:rsidR="00D44676" w:rsidRDefault="00D44676" w:rsidP="00071B95"/>
    <w:p w:rsidR="00D44676" w:rsidRDefault="00D44676" w:rsidP="00071B95">
      <w:pPr>
        <w:sectPr w:rsidR="00D44676" w:rsidSect="0056700C">
          <w:headerReference w:type="first" r:id="rId18"/>
          <w:footerReference w:type="first" r:id="rId19"/>
          <w:pgSz w:w="11906" w:h="16838" w:code="9"/>
          <w:pgMar w:top="2268" w:right="1701" w:bottom="907" w:left="1871" w:header="709" w:footer="425" w:gutter="0"/>
          <w:cols w:space="708"/>
          <w:docGrid w:linePitch="360"/>
        </w:sectPr>
      </w:pPr>
    </w:p>
    <w:p w:rsidR="00071B95" w:rsidRPr="00071B95" w:rsidRDefault="00071B95" w:rsidP="00071B95">
      <w:pPr>
        <w:pStyle w:val="Heading1"/>
      </w:pPr>
      <w:r w:rsidRPr="00071B95">
        <w:lastRenderedPageBreak/>
        <w:t>Annex C</w:t>
      </w:r>
    </w:p>
    <w:p w:rsidR="00071B95" w:rsidRPr="00071B95" w:rsidRDefault="00071B95" w:rsidP="00F46297">
      <w:pPr>
        <w:pStyle w:val="Heading2"/>
      </w:pPr>
      <w:r w:rsidRPr="00071B95">
        <w:t xml:space="preserve">Evaluation and </w:t>
      </w:r>
      <w:r w:rsidR="00AE28FC">
        <w:t>r</w:t>
      </w:r>
      <w:r w:rsidRPr="00071B95">
        <w:t xml:space="preserve">eview </w:t>
      </w:r>
      <w:r w:rsidR="00AE28FC">
        <w:t>p</w:t>
      </w:r>
      <w:r w:rsidRPr="00071B95">
        <w:t xml:space="preserve">ipeline </w:t>
      </w:r>
      <w:r w:rsidR="00AE28FC">
        <w:t>p</w:t>
      </w:r>
      <w:r w:rsidRPr="00071B95">
        <w:t>lanning</w:t>
      </w:r>
    </w:p>
    <w:p w:rsidR="00071B95" w:rsidRPr="00071B95" w:rsidRDefault="00071B95" w:rsidP="00071B95">
      <w:pPr>
        <w:rPr>
          <w:b/>
        </w:rPr>
      </w:pPr>
    </w:p>
    <w:p w:rsidR="00071B95" w:rsidRPr="00071B95" w:rsidRDefault="00071B95" w:rsidP="0042127E">
      <w:pPr>
        <w:pStyle w:val="Caption"/>
      </w:pPr>
      <w:r w:rsidRPr="00071B95">
        <w:t xml:space="preserve">List of </w:t>
      </w:r>
      <w:r w:rsidR="00AE28FC">
        <w:t>e</w:t>
      </w:r>
      <w:r w:rsidRPr="00071B95">
        <w:t>valuations completed</w:t>
      </w:r>
      <w:r w:rsidRPr="00071B95">
        <w:rPr>
          <w:vertAlign w:val="superscript"/>
        </w:rPr>
        <w:footnoteReference w:id="16"/>
      </w:r>
      <w:r w:rsidRPr="00071B95">
        <w:t xml:space="preserve"> in the reporting period </w:t>
      </w:r>
    </w:p>
    <w:tbl>
      <w:tblPr>
        <w:tblStyle w:val="APPR"/>
        <w:tblW w:w="5000" w:type="pct"/>
        <w:tblLook w:val="04A0" w:firstRow="1" w:lastRow="0" w:firstColumn="1" w:lastColumn="0" w:noHBand="0" w:noVBand="1"/>
      </w:tblPr>
      <w:tblGrid>
        <w:gridCol w:w="2052"/>
        <w:gridCol w:w="2071"/>
        <w:gridCol w:w="2175"/>
        <w:gridCol w:w="2078"/>
        <w:gridCol w:w="2059"/>
        <w:gridCol w:w="1871"/>
        <w:gridCol w:w="1631"/>
      </w:tblGrid>
      <w:tr w:rsidR="00071B95" w:rsidRPr="00071B95" w:rsidTr="002407D7">
        <w:trPr>
          <w:cnfStyle w:val="100000000000" w:firstRow="1" w:lastRow="0" w:firstColumn="0" w:lastColumn="0" w:oddVBand="0" w:evenVBand="0" w:oddHBand="0" w:evenHBand="0" w:firstRowFirstColumn="0" w:firstRowLastColumn="0" w:lastRowFirstColumn="0" w:lastRowLastColumn="0"/>
        </w:trPr>
        <w:tc>
          <w:tcPr>
            <w:tcW w:w="1902" w:type="dxa"/>
          </w:tcPr>
          <w:p w:rsidR="00071B95" w:rsidRPr="00071B95" w:rsidRDefault="00071B95" w:rsidP="00901304">
            <w:pPr>
              <w:pStyle w:val="TableTextColumnHeading"/>
            </w:pPr>
            <w:r w:rsidRPr="00071B95">
              <w:t xml:space="preserve">Name of </w:t>
            </w:r>
            <w:r w:rsidR="00A56626">
              <w:t>i</w:t>
            </w:r>
            <w:r w:rsidRPr="00071B95">
              <w:t>nitiative</w:t>
            </w:r>
          </w:p>
        </w:tc>
        <w:tc>
          <w:tcPr>
            <w:tcW w:w="1933" w:type="dxa"/>
          </w:tcPr>
          <w:p w:rsidR="00071B95" w:rsidRPr="00071B95" w:rsidRDefault="00071B95" w:rsidP="00901304">
            <w:pPr>
              <w:pStyle w:val="TableTextColumnHeading"/>
            </w:pPr>
            <w:r w:rsidRPr="00071B95">
              <w:t>Aidworks number</w:t>
            </w:r>
          </w:p>
        </w:tc>
        <w:tc>
          <w:tcPr>
            <w:tcW w:w="2031" w:type="dxa"/>
          </w:tcPr>
          <w:p w:rsidR="00071B95" w:rsidRPr="00071B95" w:rsidRDefault="00071B95" w:rsidP="00901304">
            <w:pPr>
              <w:pStyle w:val="TableTextColumnHeading"/>
            </w:pPr>
            <w:r w:rsidRPr="00071B95">
              <w:t>Type of evaluation</w:t>
            </w:r>
            <w:r w:rsidRPr="00071B95">
              <w:rPr>
                <w:vertAlign w:val="superscript"/>
              </w:rPr>
              <w:footnoteReference w:id="17"/>
            </w:r>
          </w:p>
        </w:tc>
        <w:tc>
          <w:tcPr>
            <w:tcW w:w="1939" w:type="dxa"/>
          </w:tcPr>
          <w:p w:rsidR="00071B95" w:rsidRPr="00071B95" w:rsidRDefault="00071B95" w:rsidP="00901304">
            <w:pPr>
              <w:pStyle w:val="TableTextColumnHeading"/>
            </w:pPr>
            <w:r w:rsidRPr="00071B95">
              <w:t xml:space="preserve">Date </w:t>
            </w:r>
            <w:r w:rsidR="00A56626">
              <w:t>e</w:t>
            </w:r>
            <w:r w:rsidRPr="00071B95">
              <w:t xml:space="preserve">valuation report </w:t>
            </w:r>
            <w:r w:rsidR="00EF5A14">
              <w:t>completed</w:t>
            </w:r>
          </w:p>
        </w:tc>
        <w:tc>
          <w:tcPr>
            <w:tcW w:w="1921" w:type="dxa"/>
          </w:tcPr>
          <w:p w:rsidR="00071B95" w:rsidRPr="00071B95" w:rsidRDefault="00071B95" w:rsidP="00901304">
            <w:pPr>
              <w:pStyle w:val="TableTextColumnHeading"/>
            </w:pPr>
            <w:r w:rsidRPr="00071B95">
              <w:t xml:space="preserve">Date </w:t>
            </w:r>
            <w:r w:rsidR="00A56626">
              <w:t>e</w:t>
            </w:r>
            <w:r w:rsidRPr="00071B95">
              <w:t xml:space="preserve">valuation report </w:t>
            </w:r>
            <w:r w:rsidR="00A56626">
              <w:t>u</w:t>
            </w:r>
            <w:r w:rsidRPr="00071B95">
              <w:t>ploaded into Aidworks</w:t>
            </w:r>
          </w:p>
        </w:tc>
        <w:tc>
          <w:tcPr>
            <w:tcW w:w="1743" w:type="dxa"/>
          </w:tcPr>
          <w:p w:rsidR="00071B95" w:rsidRPr="00071B95" w:rsidRDefault="00071B95" w:rsidP="00901304">
            <w:pPr>
              <w:pStyle w:val="TableTextColumnHeading"/>
            </w:pPr>
            <w:r w:rsidRPr="00071B95">
              <w:t xml:space="preserve">Date </w:t>
            </w:r>
            <w:r w:rsidR="00A56626">
              <w:t>m</w:t>
            </w:r>
            <w:r w:rsidRPr="00071B95">
              <w:t>anagement response uploaded into Aidworks</w:t>
            </w:r>
          </w:p>
        </w:tc>
        <w:tc>
          <w:tcPr>
            <w:tcW w:w="1503" w:type="dxa"/>
          </w:tcPr>
          <w:p w:rsidR="00071B95" w:rsidRPr="00071B95" w:rsidRDefault="00071B95" w:rsidP="00901304">
            <w:pPr>
              <w:pStyle w:val="TableTextColumnHeading"/>
            </w:pPr>
            <w:r w:rsidRPr="00071B95">
              <w:t>Published on website</w:t>
            </w:r>
          </w:p>
        </w:tc>
      </w:tr>
      <w:tr w:rsidR="00476FD0" w:rsidRPr="00071B95" w:rsidTr="002407D7">
        <w:trPr>
          <w:cnfStyle w:val="100000000000" w:firstRow="1" w:lastRow="0" w:firstColumn="0" w:lastColumn="0" w:oddVBand="0" w:evenVBand="0" w:oddHBand="0" w:evenHBand="0" w:firstRowFirstColumn="0" w:firstRowLastColumn="0" w:lastRowFirstColumn="0" w:lastRowLastColumn="0"/>
        </w:trPr>
        <w:tc>
          <w:tcPr>
            <w:tcW w:w="1902" w:type="dxa"/>
          </w:tcPr>
          <w:p w:rsidR="00476FD0" w:rsidRPr="005B45FF" w:rsidRDefault="00476FD0" w:rsidP="00071B95">
            <w:pPr>
              <w:pStyle w:val="TableTextEntries"/>
              <w:rPr>
                <w:b w:val="0"/>
              </w:rPr>
            </w:pPr>
            <w:r>
              <w:rPr>
                <w:b w:val="0"/>
              </w:rPr>
              <w:t>ANCP Thematic Review</w:t>
            </w:r>
          </w:p>
        </w:tc>
        <w:tc>
          <w:tcPr>
            <w:tcW w:w="1933" w:type="dxa"/>
          </w:tcPr>
          <w:p w:rsidR="00476FD0" w:rsidRPr="00476FD0" w:rsidRDefault="00476FD0" w:rsidP="00071B95">
            <w:pPr>
              <w:pStyle w:val="TableTextEntries"/>
              <w:rPr>
                <w:b w:val="0"/>
              </w:rPr>
            </w:pPr>
            <w:r>
              <w:rPr>
                <w:b w:val="0"/>
              </w:rPr>
              <w:t>51388/6</w:t>
            </w:r>
          </w:p>
        </w:tc>
        <w:tc>
          <w:tcPr>
            <w:tcW w:w="2031" w:type="dxa"/>
          </w:tcPr>
          <w:p w:rsidR="00476FD0" w:rsidRPr="005B45FF" w:rsidRDefault="00476FD0" w:rsidP="00071B95">
            <w:pPr>
              <w:pStyle w:val="TableTextEntries"/>
              <w:rPr>
                <w:b w:val="0"/>
              </w:rPr>
            </w:pPr>
            <w:r>
              <w:rPr>
                <w:b w:val="0"/>
              </w:rPr>
              <w:t>External evaluation</w:t>
            </w:r>
          </w:p>
        </w:tc>
        <w:tc>
          <w:tcPr>
            <w:tcW w:w="1939" w:type="dxa"/>
          </w:tcPr>
          <w:p w:rsidR="00476FD0" w:rsidRPr="005B45FF" w:rsidRDefault="00476FD0" w:rsidP="00071B95">
            <w:pPr>
              <w:pStyle w:val="TableTextEntries"/>
              <w:rPr>
                <w:b w:val="0"/>
              </w:rPr>
            </w:pPr>
            <w:r>
              <w:rPr>
                <w:b w:val="0"/>
              </w:rPr>
              <w:t>August 2012</w:t>
            </w:r>
          </w:p>
        </w:tc>
        <w:tc>
          <w:tcPr>
            <w:tcW w:w="1921" w:type="dxa"/>
          </w:tcPr>
          <w:p w:rsidR="00476FD0" w:rsidRPr="005B45FF" w:rsidRDefault="00476FD0" w:rsidP="00071B95">
            <w:pPr>
              <w:pStyle w:val="TableTextEntries"/>
            </w:pPr>
          </w:p>
        </w:tc>
        <w:tc>
          <w:tcPr>
            <w:tcW w:w="1743" w:type="dxa"/>
          </w:tcPr>
          <w:p w:rsidR="00476FD0" w:rsidRPr="005B45FF" w:rsidRDefault="00476FD0" w:rsidP="00071B95">
            <w:pPr>
              <w:pStyle w:val="TableTextEntries"/>
            </w:pPr>
          </w:p>
        </w:tc>
        <w:tc>
          <w:tcPr>
            <w:tcW w:w="1503" w:type="dxa"/>
          </w:tcPr>
          <w:p w:rsidR="00476FD0" w:rsidRPr="005B45FF" w:rsidRDefault="00476FD0" w:rsidP="00EF5A14">
            <w:pPr>
              <w:pStyle w:val="TableTextEntries"/>
              <w:rPr>
                <w:b w:val="0"/>
              </w:rPr>
            </w:pPr>
            <w:r>
              <w:rPr>
                <w:b w:val="0"/>
              </w:rPr>
              <w:t>Yes</w:t>
            </w:r>
          </w:p>
        </w:tc>
      </w:tr>
      <w:tr w:rsidR="00071B95" w:rsidRPr="00071B95" w:rsidTr="002407D7">
        <w:trPr>
          <w:cnfStyle w:val="100000000000" w:firstRow="1" w:lastRow="0" w:firstColumn="0" w:lastColumn="0" w:oddVBand="0" w:evenVBand="0" w:oddHBand="0" w:evenHBand="0" w:firstRowFirstColumn="0" w:firstRowLastColumn="0" w:lastRowFirstColumn="0" w:lastRowLastColumn="0"/>
        </w:trPr>
        <w:tc>
          <w:tcPr>
            <w:tcW w:w="1902" w:type="dxa"/>
          </w:tcPr>
          <w:p w:rsidR="009B4D17" w:rsidRDefault="007D1073">
            <w:pPr>
              <w:pStyle w:val="TableTextEntries"/>
              <w:rPr>
                <w:b w:val="0"/>
              </w:rPr>
            </w:pPr>
            <w:r>
              <w:rPr>
                <w:b w:val="0"/>
              </w:rPr>
              <w:t>Mid Term</w:t>
            </w:r>
            <w:r w:rsidR="00C67987" w:rsidRPr="005B45FF">
              <w:rPr>
                <w:b w:val="0"/>
              </w:rPr>
              <w:t xml:space="preserve"> Review</w:t>
            </w:r>
            <w:r w:rsidR="00AE28FC">
              <w:rPr>
                <w:b w:val="0"/>
              </w:rPr>
              <w:t xml:space="preserve"> of </w:t>
            </w:r>
            <w:r w:rsidR="00AE28FC" w:rsidRPr="005B45FF">
              <w:rPr>
                <w:b w:val="0"/>
              </w:rPr>
              <w:t>ANCP Partnership</w:t>
            </w:r>
            <w:r w:rsidR="00AE28FC">
              <w:rPr>
                <w:b w:val="0"/>
              </w:rPr>
              <w:t>s</w:t>
            </w:r>
          </w:p>
        </w:tc>
        <w:tc>
          <w:tcPr>
            <w:tcW w:w="1933" w:type="dxa"/>
          </w:tcPr>
          <w:p w:rsidR="00071B95" w:rsidRPr="00476FD0" w:rsidRDefault="00476FD0" w:rsidP="00071B95">
            <w:pPr>
              <w:pStyle w:val="TableTextEntries"/>
              <w:rPr>
                <w:b w:val="0"/>
              </w:rPr>
            </w:pPr>
            <w:r w:rsidRPr="00476FD0">
              <w:rPr>
                <w:b w:val="0"/>
              </w:rPr>
              <w:t>50334/45</w:t>
            </w:r>
          </w:p>
        </w:tc>
        <w:tc>
          <w:tcPr>
            <w:tcW w:w="2031" w:type="dxa"/>
          </w:tcPr>
          <w:p w:rsidR="00071B95" w:rsidRPr="005B45FF" w:rsidRDefault="001C6FB7" w:rsidP="00071B95">
            <w:pPr>
              <w:pStyle w:val="TableTextEntries"/>
              <w:rPr>
                <w:b w:val="0"/>
              </w:rPr>
            </w:pPr>
            <w:r w:rsidRPr="005B45FF">
              <w:rPr>
                <w:b w:val="0"/>
              </w:rPr>
              <w:t>External evaluation</w:t>
            </w:r>
          </w:p>
        </w:tc>
        <w:tc>
          <w:tcPr>
            <w:tcW w:w="1939" w:type="dxa"/>
          </w:tcPr>
          <w:p w:rsidR="00071B95" w:rsidRPr="005B45FF" w:rsidRDefault="001C6FB7" w:rsidP="00071B95">
            <w:pPr>
              <w:pStyle w:val="TableTextEntries"/>
              <w:rPr>
                <w:b w:val="0"/>
              </w:rPr>
            </w:pPr>
            <w:r w:rsidRPr="005B45FF">
              <w:rPr>
                <w:b w:val="0"/>
              </w:rPr>
              <w:t>August 2012</w:t>
            </w:r>
          </w:p>
        </w:tc>
        <w:tc>
          <w:tcPr>
            <w:tcW w:w="1921" w:type="dxa"/>
          </w:tcPr>
          <w:p w:rsidR="00071B95" w:rsidRPr="005B45FF" w:rsidRDefault="00071B95" w:rsidP="00071B95">
            <w:pPr>
              <w:pStyle w:val="TableTextEntries"/>
            </w:pPr>
          </w:p>
        </w:tc>
        <w:tc>
          <w:tcPr>
            <w:tcW w:w="1743" w:type="dxa"/>
          </w:tcPr>
          <w:p w:rsidR="00071B95" w:rsidRPr="005B45FF" w:rsidRDefault="00071B95" w:rsidP="00071B95">
            <w:pPr>
              <w:pStyle w:val="TableTextEntries"/>
            </w:pPr>
          </w:p>
        </w:tc>
        <w:tc>
          <w:tcPr>
            <w:tcW w:w="1503" w:type="dxa"/>
          </w:tcPr>
          <w:p w:rsidR="00071B95" w:rsidRPr="005B45FF" w:rsidRDefault="001C6FB7" w:rsidP="00EF5A14">
            <w:pPr>
              <w:pStyle w:val="TableTextEntries"/>
              <w:rPr>
                <w:b w:val="0"/>
              </w:rPr>
            </w:pPr>
            <w:r w:rsidRPr="005B45FF">
              <w:rPr>
                <w:b w:val="0"/>
              </w:rPr>
              <w:t>Yes</w:t>
            </w:r>
          </w:p>
        </w:tc>
      </w:tr>
      <w:tr w:rsidR="00071B95" w:rsidRPr="00071B95" w:rsidTr="002407D7">
        <w:trPr>
          <w:cnfStyle w:val="100000000000" w:firstRow="1" w:lastRow="0" w:firstColumn="0" w:lastColumn="0" w:oddVBand="0" w:evenVBand="0" w:oddHBand="0" w:evenHBand="0" w:firstRowFirstColumn="0" w:firstRowLastColumn="0" w:lastRowFirstColumn="0" w:lastRowLastColumn="0"/>
        </w:trPr>
        <w:tc>
          <w:tcPr>
            <w:tcW w:w="1902" w:type="dxa"/>
          </w:tcPr>
          <w:p w:rsidR="00071B95" w:rsidRPr="006D1D6D" w:rsidRDefault="00C67987" w:rsidP="00DF1A61">
            <w:pPr>
              <w:pStyle w:val="TableTextEntries"/>
            </w:pPr>
            <w:r w:rsidRPr="006D1D6D">
              <w:rPr>
                <w:b w:val="0"/>
              </w:rPr>
              <w:t>Monitoring, Evaluation and Learning Framework</w:t>
            </w:r>
            <w:r w:rsidR="00AE28FC">
              <w:rPr>
                <w:b w:val="0"/>
              </w:rPr>
              <w:t xml:space="preserve"> </w:t>
            </w:r>
            <w:r w:rsidR="00DF1A61">
              <w:rPr>
                <w:b w:val="0"/>
              </w:rPr>
              <w:t>R</w:t>
            </w:r>
            <w:r w:rsidR="00AE28FC">
              <w:rPr>
                <w:b w:val="0"/>
              </w:rPr>
              <w:t>eview</w:t>
            </w:r>
          </w:p>
        </w:tc>
        <w:tc>
          <w:tcPr>
            <w:tcW w:w="1933" w:type="dxa"/>
          </w:tcPr>
          <w:p w:rsidR="00071B95" w:rsidRPr="00476FD0" w:rsidRDefault="00476FD0" w:rsidP="00071B95">
            <w:pPr>
              <w:pStyle w:val="TableTextEntries"/>
              <w:rPr>
                <w:b w:val="0"/>
              </w:rPr>
            </w:pPr>
            <w:r w:rsidRPr="00476FD0">
              <w:rPr>
                <w:b w:val="0"/>
              </w:rPr>
              <w:t>50334/45</w:t>
            </w:r>
          </w:p>
        </w:tc>
        <w:tc>
          <w:tcPr>
            <w:tcW w:w="2031" w:type="dxa"/>
          </w:tcPr>
          <w:p w:rsidR="00071B95" w:rsidRPr="006D1D6D" w:rsidRDefault="00C67987" w:rsidP="00071B95">
            <w:pPr>
              <w:pStyle w:val="TableTextEntries"/>
            </w:pPr>
            <w:r w:rsidRPr="006D1D6D">
              <w:rPr>
                <w:b w:val="0"/>
              </w:rPr>
              <w:t xml:space="preserve">Joint </w:t>
            </w:r>
            <w:r w:rsidR="007D38B7" w:rsidRPr="006D1D6D">
              <w:rPr>
                <w:b w:val="0"/>
              </w:rPr>
              <w:t xml:space="preserve">internal/external </w:t>
            </w:r>
            <w:r w:rsidRPr="006D1D6D">
              <w:rPr>
                <w:b w:val="0"/>
              </w:rPr>
              <w:t>evaluation</w:t>
            </w:r>
          </w:p>
        </w:tc>
        <w:tc>
          <w:tcPr>
            <w:tcW w:w="1939" w:type="dxa"/>
          </w:tcPr>
          <w:p w:rsidR="00071B95" w:rsidRPr="006D1D6D" w:rsidRDefault="00C67987" w:rsidP="00071B95">
            <w:pPr>
              <w:pStyle w:val="TableTextEntries"/>
            </w:pPr>
            <w:r w:rsidRPr="006D1D6D">
              <w:rPr>
                <w:b w:val="0"/>
              </w:rPr>
              <w:t>March 2013</w:t>
            </w:r>
          </w:p>
        </w:tc>
        <w:tc>
          <w:tcPr>
            <w:tcW w:w="1921" w:type="dxa"/>
          </w:tcPr>
          <w:p w:rsidR="00071B95" w:rsidRPr="006D1D6D" w:rsidRDefault="00071B95" w:rsidP="00071B95">
            <w:pPr>
              <w:pStyle w:val="TableTextEntries"/>
            </w:pPr>
          </w:p>
        </w:tc>
        <w:tc>
          <w:tcPr>
            <w:tcW w:w="1743" w:type="dxa"/>
          </w:tcPr>
          <w:p w:rsidR="00071B95" w:rsidRPr="006D1D6D" w:rsidRDefault="00071B95" w:rsidP="00071B95">
            <w:pPr>
              <w:pStyle w:val="TableTextEntries"/>
            </w:pPr>
          </w:p>
        </w:tc>
        <w:tc>
          <w:tcPr>
            <w:tcW w:w="1503" w:type="dxa"/>
          </w:tcPr>
          <w:p w:rsidR="00071B95" w:rsidRPr="006D1D6D" w:rsidRDefault="00C67987" w:rsidP="00071B95">
            <w:pPr>
              <w:pStyle w:val="TableTextEntries"/>
            </w:pPr>
            <w:r w:rsidRPr="006D1D6D">
              <w:rPr>
                <w:b w:val="0"/>
              </w:rPr>
              <w:t>Yes</w:t>
            </w:r>
          </w:p>
        </w:tc>
      </w:tr>
    </w:tbl>
    <w:p w:rsidR="00071B95" w:rsidRPr="00071B95" w:rsidRDefault="00071B95" w:rsidP="00071B95">
      <w:pPr>
        <w:rPr>
          <w:b/>
        </w:rPr>
      </w:pPr>
    </w:p>
    <w:p w:rsidR="00071B95" w:rsidRPr="00071B95" w:rsidRDefault="00071B95" w:rsidP="0042127E">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071B95" w:rsidRPr="00071B95" w:rsidTr="002407D7">
        <w:tc>
          <w:tcPr>
            <w:tcW w:w="2601" w:type="dxa"/>
          </w:tcPr>
          <w:p w:rsidR="00071B95" w:rsidRPr="00071B95" w:rsidRDefault="00071B95" w:rsidP="00901304">
            <w:pPr>
              <w:pStyle w:val="TableTextColumnHeading"/>
            </w:pPr>
            <w:r w:rsidRPr="00071B95">
              <w:t xml:space="preserve">Name of </w:t>
            </w:r>
            <w:r w:rsidR="00B9163A">
              <w:t>i</w:t>
            </w:r>
            <w:r w:rsidRPr="00071B95">
              <w:t>nitiative</w:t>
            </w:r>
          </w:p>
        </w:tc>
        <w:tc>
          <w:tcPr>
            <w:tcW w:w="2530" w:type="dxa"/>
          </w:tcPr>
          <w:p w:rsidR="00071B95" w:rsidRPr="00071B95" w:rsidRDefault="00071B95" w:rsidP="00901304">
            <w:pPr>
              <w:pStyle w:val="TableTextColumnHeading"/>
            </w:pPr>
            <w:r w:rsidRPr="00071B95">
              <w:t>Aidworks number</w:t>
            </w:r>
          </w:p>
        </w:tc>
        <w:tc>
          <w:tcPr>
            <w:tcW w:w="2612" w:type="dxa"/>
          </w:tcPr>
          <w:p w:rsidR="00071B95" w:rsidRPr="00071B95" w:rsidRDefault="00071B95" w:rsidP="00901304">
            <w:pPr>
              <w:pStyle w:val="TableTextColumnHeading"/>
            </w:pPr>
            <w:r w:rsidRPr="00071B95">
              <w:t>Type of evaluation</w:t>
            </w:r>
          </w:p>
        </w:tc>
        <w:tc>
          <w:tcPr>
            <w:tcW w:w="2612" w:type="dxa"/>
          </w:tcPr>
          <w:p w:rsidR="00071B95" w:rsidRPr="00071B95" w:rsidRDefault="00071B95" w:rsidP="00901304">
            <w:pPr>
              <w:pStyle w:val="TableTextColumnHeading"/>
            </w:pPr>
            <w:r w:rsidRPr="00071B95">
              <w:t>Purpose of evaluation</w:t>
            </w:r>
            <w:r w:rsidRPr="00071B95">
              <w:rPr>
                <w:vertAlign w:val="superscript"/>
              </w:rPr>
              <w:footnoteReference w:id="18"/>
            </w:r>
          </w:p>
        </w:tc>
        <w:tc>
          <w:tcPr>
            <w:tcW w:w="2617" w:type="dxa"/>
          </w:tcPr>
          <w:p w:rsidR="00071B95" w:rsidRPr="00071B95" w:rsidRDefault="00071B95" w:rsidP="00901304">
            <w:pPr>
              <w:pStyle w:val="TableTextColumnHeading"/>
            </w:pPr>
            <w:r w:rsidRPr="00071B95">
              <w:t>Expected completion date</w:t>
            </w:r>
          </w:p>
        </w:tc>
      </w:tr>
      <w:tr w:rsidR="00071B95" w:rsidRPr="00071B95" w:rsidTr="002407D7">
        <w:tc>
          <w:tcPr>
            <w:tcW w:w="2601" w:type="dxa"/>
          </w:tcPr>
          <w:p w:rsidR="00071B95" w:rsidRPr="00071B95" w:rsidRDefault="00071B95" w:rsidP="00071B95">
            <w:pPr>
              <w:pStyle w:val="TableTextEntries"/>
            </w:pPr>
          </w:p>
        </w:tc>
        <w:tc>
          <w:tcPr>
            <w:tcW w:w="2530" w:type="dxa"/>
          </w:tcPr>
          <w:p w:rsidR="00071B95" w:rsidRPr="00071B95" w:rsidRDefault="00071B95" w:rsidP="00071B95">
            <w:pPr>
              <w:pStyle w:val="TableTextEntries"/>
            </w:pPr>
          </w:p>
        </w:tc>
        <w:tc>
          <w:tcPr>
            <w:tcW w:w="2612" w:type="dxa"/>
          </w:tcPr>
          <w:p w:rsidR="00071B95" w:rsidRPr="00071B95" w:rsidRDefault="00071B95" w:rsidP="00071B95">
            <w:pPr>
              <w:pStyle w:val="TableTextEntries"/>
            </w:pPr>
          </w:p>
        </w:tc>
        <w:tc>
          <w:tcPr>
            <w:tcW w:w="2612" w:type="dxa"/>
          </w:tcPr>
          <w:p w:rsidR="00071B95" w:rsidRPr="00071B95" w:rsidRDefault="00071B95" w:rsidP="00071B95">
            <w:pPr>
              <w:pStyle w:val="TableTextEntries"/>
            </w:pPr>
          </w:p>
        </w:tc>
        <w:tc>
          <w:tcPr>
            <w:tcW w:w="2617" w:type="dxa"/>
          </w:tcPr>
          <w:p w:rsidR="00071B95" w:rsidRPr="00071B95" w:rsidRDefault="00071B95" w:rsidP="00071B95">
            <w:pPr>
              <w:pStyle w:val="TableTextEntries"/>
            </w:pPr>
          </w:p>
        </w:tc>
      </w:tr>
      <w:tr w:rsidR="00E90C41" w:rsidRPr="006D1D6D" w:rsidTr="002407D7">
        <w:tc>
          <w:tcPr>
            <w:tcW w:w="2601" w:type="dxa"/>
          </w:tcPr>
          <w:p w:rsidR="00E90C41" w:rsidRPr="006D1D6D" w:rsidRDefault="00E90C41" w:rsidP="00E90C41">
            <w:pPr>
              <w:pStyle w:val="TableTextEntries"/>
            </w:pPr>
            <w:r w:rsidRPr="006D1D6D">
              <w:t>ANCP 2013</w:t>
            </w:r>
          </w:p>
          <w:p w:rsidR="00E90C41" w:rsidRPr="006D1D6D" w:rsidRDefault="00E90C41" w:rsidP="00071B95">
            <w:pPr>
              <w:pStyle w:val="TableTextEntries"/>
            </w:pPr>
            <w:r w:rsidRPr="006D1D6D">
              <w:t>Meta-evaluation</w:t>
            </w:r>
          </w:p>
        </w:tc>
        <w:tc>
          <w:tcPr>
            <w:tcW w:w="2530" w:type="dxa"/>
          </w:tcPr>
          <w:p w:rsidR="00E90C41" w:rsidRPr="006D1D6D" w:rsidRDefault="00E90C41" w:rsidP="00071B95">
            <w:pPr>
              <w:pStyle w:val="TableTextEntries"/>
            </w:pPr>
            <w:r w:rsidRPr="006D1D6D">
              <w:t>65232/1</w:t>
            </w:r>
          </w:p>
        </w:tc>
        <w:tc>
          <w:tcPr>
            <w:tcW w:w="2612" w:type="dxa"/>
          </w:tcPr>
          <w:p w:rsidR="00E90C41" w:rsidRPr="006D1D6D" w:rsidRDefault="00E90C41" w:rsidP="00071B95">
            <w:pPr>
              <w:pStyle w:val="TableTextEntries"/>
            </w:pPr>
            <w:r w:rsidRPr="006D1D6D">
              <w:t>Meta-evaluation of a selection of ANCP NGO evaluation reports.</w:t>
            </w:r>
          </w:p>
        </w:tc>
        <w:tc>
          <w:tcPr>
            <w:tcW w:w="2612" w:type="dxa"/>
          </w:tcPr>
          <w:p w:rsidR="00E90C41" w:rsidRPr="006D1D6D" w:rsidRDefault="00D44676" w:rsidP="00071B95">
            <w:pPr>
              <w:pStyle w:val="TableTextEntries"/>
            </w:pPr>
            <w:r w:rsidRPr="006D1D6D">
              <w:t>To improve existing program</w:t>
            </w:r>
          </w:p>
        </w:tc>
        <w:tc>
          <w:tcPr>
            <w:tcW w:w="2617" w:type="dxa"/>
          </w:tcPr>
          <w:p w:rsidR="00E90C41" w:rsidRPr="006D1D6D" w:rsidRDefault="00D44676" w:rsidP="00E51F64">
            <w:pPr>
              <w:pStyle w:val="TableTextEntries"/>
            </w:pPr>
            <w:r w:rsidRPr="006D1D6D">
              <w:t xml:space="preserve">31 </w:t>
            </w:r>
            <w:r w:rsidR="00E51F64">
              <w:t xml:space="preserve">March </w:t>
            </w:r>
            <w:r w:rsidR="00E51F64" w:rsidRPr="006D1D6D">
              <w:t>201</w:t>
            </w:r>
            <w:r w:rsidR="00E51F64">
              <w:t>4</w:t>
            </w:r>
          </w:p>
        </w:tc>
      </w:tr>
    </w:tbl>
    <w:p w:rsidR="00175ADD" w:rsidRPr="00071B95" w:rsidRDefault="00175ADD" w:rsidP="002407D7">
      <w:pPr>
        <w:pStyle w:val="Heading1"/>
        <w:rPr>
          <w:b/>
        </w:rPr>
      </w:pPr>
    </w:p>
    <w:sectPr w:rsidR="00175ADD" w:rsidRPr="00071B95" w:rsidSect="002407D7">
      <w:headerReference w:type="default" r:id="rId20"/>
      <w:headerReference w:type="first" r:id="rId21"/>
      <w:footerReference w:type="first" r:id="rId22"/>
      <w:pgSz w:w="16840" w:h="11907" w:orient="landscape" w:code="9"/>
      <w:pgMar w:top="1871" w:right="2268" w:bottom="1134" w:left="907"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59" w:rsidRDefault="00633459" w:rsidP="0050529F">
      <w:r>
        <w:separator/>
      </w:r>
    </w:p>
    <w:p w:rsidR="00633459" w:rsidRDefault="00633459"/>
    <w:p w:rsidR="00633459" w:rsidRDefault="00633459"/>
  </w:endnote>
  <w:endnote w:type="continuationSeparator" w:id="0">
    <w:p w:rsidR="00633459" w:rsidRDefault="00633459" w:rsidP="0050529F">
      <w:r>
        <w:continuationSeparator/>
      </w:r>
    </w:p>
    <w:p w:rsidR="00633459" w:rsidRDefault="00633459"/>
    <w:p w:rsidR="00633459" w:rsidRDefault="00633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larendon C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Pr="00AE4B56" w:rsidRDefault="00633459" w:rsidP="00AE4B5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Aid Program Performance Report 2012−13 Australian NGO Cooperation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16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86912" behindDoc="1" locked="0" layoutInCell="1" allowOverlap="1" wp14:anchorId="6C47FC1E" wp14:editId="209FF0F4">
              <wp:simplePos x="0" y="0"/>
              <wp:positionH relativeFrom="column">
                <wp:posOffset>0</wp:posOffset>
              </wp:positionH>
              <wp:positionV relativeFrom="paragraph">
                <wp:posOffset>8498840</wp:posOffset>
              </wp:positionV>
              <wp:extent cx="7379970" cy="2181860"/>
              <wp:effectExtent l="0" t="2540" r="1905" b="0"/>
              <wp:wrapNone/>
              <wp:docPr id="1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pgZl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qqYGZ&#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5888" behindDoc="1" locked="0" layoutInCell="1" allowOverlap="1" wp14:anchorId="32EB8341" wp14:editId="10171A73">
              <wp:simplePos x="0" y="0"/>
              <wp:positionH relativeFrom="column">
                <wp:posOffset>0</wp:posOffset>
              </wp:positionH>
              <wp:positionV relativeFrom="paragraph">
                <wp:posOffset>8498840</wp:posOffset>
              </wp:positionV>
              <wp:extent cx="7379970" cy="2181860"/>
              <wp:effectExtent l="0" t="2540" r="1905" b="0"/>
              <wp:wrapNone/>
              <wp:docPr id="1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AhjR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BgIY0&#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Pr="00AE4B56" w:rsidRDefault="00633459" w:rsidP="00AE4B5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Aid Program Performance Report 2012−13 Australian NGO Cooperation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83840" behindDoc="1" locked="0" layoutInCell="1" allowOverlap="1" wp14:anchorId="0BF01DBB" wp14:editId="15B147F5">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82816" behindDoc="1" locked="0" layoutInCell="1" allowOverlap="1" wp14:anchorId="4D223E3F" wp14:editId="35BAD23A">
              <wp:simplePos x="0" y="0"/>
              <wp:positionH relativeFrom="column">
                <wp:posOffset>0</wp:posOffset>
              </wp:positionH>
              <wp:positionV relativeFrom="paragraph">
                <wp:posOffset>8498840</wp:posOffset>
              </wp:positionV>
              <wp:extent cx="7379970" cy="2181860"/>
              <wp:effectExtent l="0" t="2540" r="1905" b="0"/>
              <wp:wrapNone/>
              <wp:docPr id="16"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lWhB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2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3aVa&#10;E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Pr="0056700C" w:rsidRDefault="00633459" w:rsidP="0056700C">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Aid Program Performance Report 2012−13 Australian NGO Cooperation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19</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694080" behindDoc="1" locked="0" layoutInCell="1" allowOverlap="1" wp14:anchorId="28F88733" wp14:editId="61678445">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693056" behindDoc="1" locked="0" layoutInCell="1" allowOverlap="1" wp14:anchorId="5B4A359D" wp14:editId="48F7AD1D">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Pr="004C4A3E" w:rsidRDefault="00633459"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8F6D84">
      <w:rPr>
        <w:rFonts w:ascii="Franklin Gothic Medium" w:eastAsia="Times New Roman" w:hAnsi="Franklin Gothic Medium"/>
        <w:noProof/>
        <w:color w:val="5A9A98"/>
        <w:sz w:val="14"/>
        <w:szCs w:val="14"/>
      </w:rPr>
      <w:t>Annual Aid Program Performance Report 2012−13 Australian NGO Cooperation Program</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8F6D84">
      <w:rPr>
        <w:rFonts w:ascii="Franklin Gothic Medium" w:eastAsia="Times New Roman" w:hAnsi="Franklin Gothic Medium"/>
        <w:noProof/>
        <w:color w:val="54534A"/>
        <w:sz w:val="14"/>
        <w:szCs w:val="14"/>
      </w:rPr>
      <w:t>21</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5648" behindDoc="1" locked="0" layoutInCell="1" allowOverlap="1" wp14:anchorId="54310246" wp14:editId="77310BE0">
              <wp:simplePos x="0" y="0"/>
              <wp:positionH relativeFrom="column">
                <wp:posOffset>0</wp:posOffset>
              </wp:positionH>
              <wp:positionV relativeFrom="paragraph">
                <wp:posOffset>8498840</wp:posOffset>
              </wp:positionV>
              <wp:extent cx="7379970" cy="2181860"/>
              <wp:effectExtent l="0" t="2540" r="1905" b="0"/>
              <wp:wrapNone/>
              <wp:docPr id="6"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Description: 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7oYNdAwAADw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CRe6GDXQMAAA8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4624" behindDoc="1" locked="0" layoutInCell="1" allowOverlap="1" wp14:anchorId="2FA1760E" wp14:editId="603ABD4B">
              <wp:simplePos x="0" y="0"/>
              <wp:positionH relativeFrom="column">
                <wp:posOffset>0</wp:posOffset>
              </wp:positionH>
              <wp:positionV relativeFrom="paragraph">
                <wp:posOffset>8498840</wp:posOffset>
              </wp:positionV>
              <wp:extent cx="7379970" cy="2181860"/>
              <wp:effectExtent l="0" t="2540" r="1905" b="0"/>
              <wp:wrapNone/>
              <wp:docPr id="4"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Description: AusAID web address graphic" style="position:absolute;margin-left:0;margin-top:669.2pt;width:581.1pt;height:17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buKRcAwAADw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Pr="0056700C" w:rsidRDefault="00633459" w:rsidP="0056700C">
    <w:pPr>
      <w:pStyle w:val="Footer"/>
      <w:tabs>
        <w:tab w:val="clear" w:pos="4513"/>
        <w:tab w:val="clear" w:pos="9026"/>
        <w:tab w:val="right" w:pos="13608"/>
      </w:tabs>
    </w:pPr>
    <w:r>
      <w:rPr>
        <w:noProof/>
      </w:rPr>
      <mc:AlternateContent>
        <mc:Choice Requires="wps">
          <w:drawing>
            <wp:anchor distT="0" distB="0" distL="114300" distR="114300" simplePos="0" relativeHeight="251701248" behindDoc="1" locked="1" layoutInCell="1" allowOverlap="1" wp14:anchorId="3970A3BA" wp14:editId="3145E432">
              <wp:simplePos x="0" y="0"/>
              <wp:positionH relativeFrom="page">
                <wp:posOffset>0</wp:posOffset>
              </wp:positionH>
              <wp:positionV relativeFrom="page">
                <wp:posOffset>8533130</wp:posOffset>
              </wp:positionV>
              <wp:extent cx="7379970" cy="2181860"/>
              <wp:effectExtent l="0" t="0" r="1905" b="635"/>
              <wp:wrapNone/>
              <wp:docPr id="34"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CcUAFFJkeooyPUUXAWikyPUUZHqKLgLRSZHqKM&#10;ii4C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zvjCR49LiKMynzRyDjsa6Kub8af8gqL/rqP5GuXGu2HlbsdODV8RC/c4v7Vcf8APeX/&#10;AL7NH2q4/wCe8v8A32ahor5Tnl3Pq+SPYm+1XH/PeX/vs0farj/nvL/32ahoo55dw5Idib7Vcf8A&#10;PeX/AL7NOjvruJtyXMyn2c1FHDJM22ONnPoozTCMHBp881rdi5Kb0sjpNL8W3MDrHenzojxu/iH+&#10;NdtDMk8SyxsGRhkEd68lrsPBl+zCWxc5CjfH/UV6+XY2bn7Ko732PIzHBQUPa01a2511FFFe6e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N+NP8A&#10;kFRf9dR/I10lc340/wCQVF/11H8jXLjf93n6HVgv94h6nC0UUV8kfWBW/oraKLf/AEsL9qycGXOz&#10;26VgVv6L/Yv2b/S9v2rJ/wBbnZ7V04T+J0+Zy4z+F1+Rozyax5Lf2cLMwAf8uuCf1rkGJLsW+9nn&#10;612E66yYW/s5rIQY6WuBx+Nce2dx3dc81tjt1v8APb5GOA2e3y3+YlbPhZyuvwAfxBgfyNY1a/hj&#10;/kYbb/gX/oJrnwv8eHqjp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Y03w/cahbfafNSODJG45J49qx63tG0zUZbb7VBefZ4MnnJPT2FdGFgp1LONz&#10;nxU3CndSsPRdF01jm6up5R1EYKDNYDkM7EZwTxmutuNX0+KFob1jqEuMbjAExXIsQWJAwM8CtcZy&#10;q0Ytei/pmWDcneUk793+miErX8Mf8jDbf8C/9BNZFa/hj/kYbb/gX/oJrHC/x4eqNsV/An6M9Hoo&#10;or7A+Q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m/Gn/IKi/66j+RrpK5vxp/yCov+uo/ka5cb/u8/Q6sF/vEPU4Wiiivkj6wKt2VzfQuBZyTA/wB2&#10;PJ/Sqlb+ja41nbfZBZmQEn54uH5rfDpOesrGGIbUNI3NG1bWbmPF7Y27x45adQp/z+FcjIMSMMAY&#10;J4FddPox1KFp/td7BxnZdnI/nXIMMMRnOD1roxqklFP731ObAuLcmrei6CVr+GP+Rhtv+Bf+gmsi&#10;tfwx/wAjDbf8C/8AQTXPhf48PVHTiv4E/Rno9FFFfYHy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340/5BUX/XUfyNdJXN+NP+QVF/11H8jXLjf9&#10;3n6HVgv94h6nC0UUV8kfWBW/pGuHTrEwvaM0RJzNGcNz74rArcs5NUvdDewtrQSQA8vjnrnFdOFl&#10;KM24vW3a5zYuMZQSktL97E0w0rU8t/alxFIf4ZwWH51zzDDEA5wetS/ZZzK8Xkv5iAllxyMdc1DU&#10;Vqjnq42ZVGmoXUZXQVr+GP8AkYbb/gX/AKCayK1/DH/Iw23/AAL/ANBNPC/x4eqDFfwJ+jPR6KKK&#10;+wPk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5&#10;vxp/yCov+uo/ka6Sub8af8gqL/rqP5GuXG/7vP0OrBf7xD1OFooor5I+sCuns4dSuvD9qNOZ4zFI&#10;+/B278nIIPfFcxW5p+m311p6yG/FtbBiEDyEAnviurCN8zSTd100/E5MYlyptpWfXX8DbGn3i61b&#10;30iqsZgAuWLAAnHP9K4ubb58mz7u44+ma6BtDmZSDrVuwI5BkPNc6y7XZcg4OMitMY3ZLlt13uZ4&#10;NK7tK+y2sJWv4Y/5GG2/4F/6CayK1/DH/Iw23/Av/QTWGF/jw9UdG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FdHa2sOo+H7eKe8ht2hkby9zdQTzkV&#10;zlaM1pDDolrcEEzzu2OeAo4row8uXmdrq2pzYmPNyq9nfQuHw/bAH/icWh/z9aw2XaxXOcHGRXSr&#10;oWmosFpPcSC/nTcuB8oPpXNyRmKV426qxU/hV4mnyJe7b53JwtXnbXNf5WG1r+GP+Rhtv+Bf+gms&#10;itfwx/yMNt/wL/0E1nhf48PVGmK/gT9Gej0UUV9gfI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fjT/kFRf8AXUfyNdJXN+NP+QVF/wBdR/I1y43/&#10;AHefodWC/wB4h6nC0UUV8kfWBW9pF4Hsxb3GmSXkULFkMaklSeorBrp7KbUF8P239lKdyyP5+1ck&#10;nPH4V14O/O35dr3OTGfAl597WM6XV5Zdd+3m3y0f3Y+flAFZcjmSRnbqxLH8a7FLK6OvQ3Jtisc0&#10;A+0cYAJHNcfMqrPIq/dDED6Zp4qE4q8nu2ThakJO0Vsl/wAMMrX8Mf8AIw23/Av/AEE1kVr+GP8A&#10;kYbb/gX/AKCaywv8eHqjbFfwJ+jPR6KKK+wPk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O0t7a/8PQ2899DbvHIzIGbsfUVzlaS22nHRDObk/bQ3EX4/wCFdGGdnLRNW66HPiVd&#10;R1ad+iubGm6bY2F4twdXtmKA7QGxzjvzWdfaVawwS3C6pbyv12J1P61jUVUsRBw5eT8WTHDzU+fn&#10;/BBWv4Y/5GG2/wCBf+gmsitfwx/yMNt/wL/0E1GF/jQ9UXiv4E/Rno9FFFfYHy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m/Gn/IKi/66j+RrpK5vxp/yCov+uo/ka5cb/u8/Q6sF/vEPU4Wiiivkj6wK6HQ9ZsrK1MEs&#10;RimJP+kKoY1z1a0V2kmhvZR6eZJt2TMq5xzn/wCtXRhpuE3JPW3qc2KgpwUWtL97F+80661NTLba&#10;ot6vXYW2kfhXNkFSQeo4pyM8b5QsrD04IphOeamtUjUd7WfqVRpyprlbuumgVr+GP+Rhtv8AgX/o&#10;JrIrX8Mf8jDbf8C/9BNPC/x4eqDFfwJ+jPR6KKK+wPk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5vxp/yCov+uo/ka6Sub8af8gqL/rqP5GuXG/7v&#10;P0OrBf7xD1OFooor5I+sCumsrq9t9Atm0uMM/mMJ8JuOc8fpXM1v6V/b01iI9P8AlgRj83yjJ+p6&#10;114STU2lfbpucmMinBN20fXY0Y7SVvEEM/2QrFcwZnG3hSRzXJTKEnkVfuqxA+ma6eS18UyRMjyk&#10;qRzh1rlmUqxVuoODV4x6L3WtW9TPBrVvmT0S0ErX8Mf8jDbf8C/9BNZFa/hj/kYbb/gX/oJrDC/x&#10;4eqOjFfwJ+jPR6KKK+wPk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5vxp/wAgqL/rqP5Gukrm/Gn/ACCov+uo/ka5cb/u8/Q6sF/vEPU4Wiiivkj6&#10;wK6a1s7zUvDdslq5jMMjZBbaJAT1/CuZp4mkCBBI4UHIAY4rehVVNvmWjRhXpSqJcrs07m4fD+sg&#10;Z81f+/8AWCwKswbqDg07zZP+ej/99UylVnCVuVNeruOlCcb87T9FYK2PC4z4gtvbd/6Cax66jwbZ&#10;M93LeMDsjXap9Sa0wUHOvFLuRjZqFCTfY7aiiivrT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Z/8AIKi/66j+RrpKZJFHKoEiK4HZhmsa9P2t&#10;Nwvua0KnsqinbY8koxXq/wBitf8An3i/74FH2K1/594v++BXkf2PL+f8D1/7YX8n4nlGKMV6v9it&#10;f+feL/vgUfYrX/n3i/74FH9jy/n/AAD+2F/J+J5RilVWY4VSSewFerfYrX/n3i/74FOS3hiPyRIv&#10;0UChZO+s/wAAecL+T8TgdM8M3t86tKhgh7sw5P0Fd5aWkNlbJbwJtjUcVPRXpYbB08Ovd37nm4nF&#10;1MQ/e27BRRRXWco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" stroked="f" strokecolor="#4a7ebb" strokeweight="1.5pt">
              <v:fill r:id="rId2" o:title="AusAID web address graphic" recolor="t" type="frame"/>
              <v:shadow opacity="22938f" offset="0"/>
              <v:textbox inset=",7.2pt,,7.2pt"/>
              <w10:wrap anchorx="page" anchory="page"/>
              <w10:anchorlock/>
            </v:rect>
          </w:pict>
        </mc:Fallback>
      </mc:AlternateContent>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Aid Program Performance Report 2012−13 Australian NGO Cooperation Program</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C2017">
      <w:rPr>
        <w:rFonts w:ascii="Franklin Gothic Medium" w:eastAsia="Times New Roman" w:hAnsi="Franklin Gothic Medium"/>
        <w:noProof/>
        <w:sz w:val="14"/>
        <w:szCs w:val="14"/>
      </w:rPr>
      <w:t>21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4320" behindDoc="1" locked="0" layoutInCell="1" allowOverlap="1" wp14:anchorId="5CBD6823" wp14:editId="6950E499">
              <wp:simplePos x="0" y="0"/>
              <wp:positionH relativeFrom="column">
                <wp:posOffset>0</wp:posOffset>
              </wp:positionH>
              <wp:positionV relativeFrom="paragraph">
                <wp:posOffset>8498840</wp:posOffset>
              </wp:positionV>
              <wp:extent cx="7379970" cy="2181860"/>
              <wp:effectExtent l="0" t="2540" r="1905" b="0"/>
              <wp:wrapNone/>
              <wp:docPr id="3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KiB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G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WMqI&#10;H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3296" behindDoc="1" locked="0" layoutInCell="1" allowOverlap="1" wp14:anchorId="5F5EB246" wp14:editId="4EEA0876">
              <wp:simplePos x="0" y="0"/>
              <wp:positionH relativeFrom="column">
                <wp:posOffset>0</wp:posOffset>
              </wp:positionH>
              <wp:positionV relativeFrom="paragraph">
                <wp:posOffset>8498840</wp:posOffset>
              </wp:positionV>
              <wp:extent cx="7379970" cy="2181860"/>
              <wp:effectExtent l="0" t="2540" r="1905" b="0"/>
              <wp:wrapNone/>
              <wp:docPr id="38"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Y1/x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ItjX&#10;/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Pr>
        <w:noProof/>
      </w:rPr>
      <w:t xml:space="preserve"> </w:t>
    </w:r>
    <w:r>
      <w:rPr>
        <w:noProof/>
      </w:rPr>
      <mc:AlternateContent>
        <mc:Choice Requires="wps">
          <w:drawing>
            <wp:anchor distT="0" distB="0" distL="114300" distR="114300" simplePos="0" relativeHeight="251700224" behindDoc="1" locked="0" layoutInCell="1" allowOverlap="1" wp14:anchorId="03537954" wp14:editId="3462328E">
              <wp:simplePos x="0" y="0"/>
              <wp:positionH relativeFrom="column">
                <wp:posOffset>0</wp:posOffset>
              </wp:positionH>
              <wp:positionV relativeFrom="paragraph">
                <wp:posOffset>8498840</wp:posOffset>
              </wp:positionV>
              <wp:extent cx="7379970" cy="2181860"/>
              <wp:effectExtent l="0" t="2540" r="1905" b="0"/>
              <wp:wrapNone/>
              <wp:docPr id="35"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KPOteAwAAEA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CcUAFFJkeooyPUUXAWikyPUUZHqKLgLRSZHqKM&#10;ii4C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zvjCR49LiKMynzRyDjsa6Kub8af8gqL/rqP5GuXGu2HlbsdODV8RC/c4v7Vcf8APeX/&#10;AL7NH2q4/wCe8v8A32ahor5Tnl3Pq+SPYm+1XH/PeX/vs0farj/nvL/32ahoo55dw5Idib7Vcf8A&#10;PeX/AL7NOjvruJtyXMyn2c1FHDJM22ONnPoozTCMHBp881rdi5Kb0sjpNL8W3MDrHenzojxu/iH+&#10;NdtDMk8SyxsGRhkEd68lrsPBl+zCWxc5CjfH/UV6+XY2bn7Ko732PIzHBQUPa01a2511FFFe6e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N+NP8A&#10;kFRf9dR/I10lc340/wCQVF/11H8jXLjf93n6HVgv94h6nC0UUV8kfWBW/oraKLf/AEsL9qycGXOz&#10;26VgVv6L/Yv2b/S9v2rJ/wBbnZ7V04T+J0+Zy4z+F1+Rozyax5Lf2cLMwAf8uuCf1rkGJLsW+9nn&#10;612E66yYW/s5rIQY6WuBx+Nce2dx3dc81tjt1v8APb5GOA2e3y3+YlbPhZyuvwAfxBgfyNY1a/hj&#10;/kYbb/gX/oJrnwv8eHqjp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Y03w/cahbfafNSODJG45J49qx63tG0zUZbb7VBefZ4MnnJPT2FdGFgp1LONz&#10;nxU3CndSsPRdF01jm6up5R1EYKDNYDkM7EZwTxmutuNX0+KFob1jqEuMbjAExXIsQWJAwM8CtcZy&#10;q0Ytei/pmWDcneUk793+miErX8Mf8jDbf8C/9BNZFa/hj/kYbb/gX/oJrHC/x4eqNsV/An6M9Hoo&#10;or7A+Q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m/Gn/IKi/66j+RrpK5vxp/yCov+uo/ka5cb/u8/Q6sF/vEPU4Wiiivkj6wKt2VzfQuBZyTA/wB2&#10;PJ/Sqlb+ja41nbfZBZmQEn54uH5rfDpOesrGGIbUNI3NG1bWbmPF7Y27x45adQp/z+FcjIMSMMAY&#10;J4FddPox1KFp/td7BxnZdnI/nXIMMMRnOD1roxqklFP731ObAuLcmrei6CVr+GP+Rhtv+Bf+gmsi&#10;tfwx/wAjDbf8C/8AQTXPhf48PVHTiv4E/Rno9FFFfYHy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340/5BUX/XUfyNdJXN+NP+QVF/11H8jXLjf9&#10;3n6HVgv94h6nC0UUV8kfWBW/pGuHTrEwvaM0RJzNGcNz74rArcs5NUvdDewtrQSQA8vjnrnFdOFl&#10;KM24vW3a5zYuMZQSktL97E0w0rU8t/alxFIf4ZwWH51zzDDEA5wetS/ZZzK8Xkv5iAllxyMdc1DU&#10;Vqjnq42ZVGmoXUZXQVr+GP8AkYbb/gX/AKCayK1/DH/Iw23/AAL/ANBNPC/x4eqDFfwJ+jPR6KKK&#10;+wPk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5&#10;vxp/yCov+uo/ka6Sub8af8gqL/rqP5GuXG/7vP0OrBf7xD1OFooor5I+sCuns4dSuvD9qNOZ4zFI&#10;+/B278nIIPfFcxW5p+m311p6yG/FtbBiEDyEAnviurCN8zSTd100/E5MYlyptpWfXX8DbGn3i61b&#10;30iqsZgAuWLAAnHP9K4ubb58mz7u44+ma6BtDmZSDrVuwI5BkPNc6y7XZcg4OMitMY3ZLlt13uZ4&#10;NK7tK+y2sJWv4Y/5GG2/4F/6CayK1/DH/Iw23/Av/QTWGF/jw9UdG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FdHa2sOo+H7eKe8ht2hkby9zdQTzkV&#10;zlaM1pDDolrcEEzzu2OeAo4row8uXmdrq2pzYmPNyq9nfQuHw/bAH/icWh/z9aw2XaxXOcHGRXSr&#10;oWmosFpPcSC/nTcuB8oPpXNyRmKV426qxU/hV4mnyJe7b53JwtXnbXNf5WG1r+GP+Rhtv+Bf+gms&#10;itfwx/yMNt/wL/0E1nhf48PVGmK/gT9Gej0UUV9gfI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fjT/kFRf8AXUfyNdJXN+NP+QVF/wBdR/I1y43/&#10;AHefodWC/wB4h6nC0UUV8kfWBW9pF4Hsxb3GmSXkULFkMaklSeorBrp7KbUF8P239lKdyyP5+1ck&#10;nPH4V14O/O35dr3OTGfAl597WM6XV5Zdd+3m3y0f3Y+flAFZcjmSRnbqxLH8a7FLK6OvQ3Jtisc0&#10;A+0cYAJHNcfMqrPIq/dDED6Zp4qE4q8nu2ThakJO0Vsl/wAMMrX8Mf8AIw23/Av/AEE1kVr+GP8A&#10;kYbb/gX/AKCaywv8eHqjbFfwJ+jPR6KKK+wPk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O0t7a/8PQ2899DbvHIzIGbsfUVzlaS22nHRDObk/bQ3EX4/wCFdGGdnLRNW66HPiVd&#10;R1ad+iubGm6bY2F4twdXtmKA7QGxzjvzWdfaVawwS3C6pbyv12J1P61jUVUsRBw5eT8WTHDzU+fn&#10;/BBWv4Y/5GG2/wCBf+gmsitfwx/yMNt/wL/0E1GF/jQ9UXiv4E/Rno9FFFfYHy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m/Gn/IKi/66j+RrpK5vxp/yCov+uo/ka5cb/u8/Q6sF/vEPU4Wiiivkj6wK6HQ9ZsrK1MEs&#10;RimJP+kKoY1z1a0V2kmhvZR6eZJt2TMq5xzn/wCtXRhpuE3JPW3qc2KgpwUWtL97F+80661NTLba&#10;ot6vXYW2kfhXNkFSQeo4pyM8b5QsrD04IphOeamtUjUd7WfqVRpyprlbuumgVr+GP+Rhtv8AgX/o&#10;JrIrX8Mf8jDbf8C/9BNPC/x4eqDFfwJ+jPR6KKK+wPk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5vxp/yCov+uo/ka6Sub8af8gqL/rqP5GuXG/7v&#10;P0OrBf7xD1OFooor5I+sCumsrq9t9Atm0uMM/mMJ8JuOc8fpXM1v6V/b01iI9P8AlgRj83yjJ+p6&#10;114STU2lfbpucmMinBN20fXY0Y7SVvEEM/2QrFcwZnG3hSRzXJTKEnkVfuqxA+ma6eS18UyRMjyk&#10;qRzh1rlmUqxVuoODV4x6L3WtW9TPBrVvmT0S0ErX8Mf8jDbf8C/9BNZFa/hj/kYbb/gX/oJrDC/x&#10;4eqOjFfwJ+jPR6KKK+wPk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5vxp/wAgqL/rqP5Gukrm/Gn/ACCov+uo/ka5cb/u8/Q6sF/vEPU4Wiiivkj6&#10;wK6a1s7zUvDdslq5jMMjZBbaJAT1/CuZp4mkCBBI4UHIAY4rehVVNvmWjRhXpSqJcrs07m4fD+sg&#10;Z81f+/8AWCwKswbqDg07zZP+ej/99UylVnCVuVNeruOlCcb87T9FYK2PC4z4gtvbd/6Cax66jwbZ&#10;M93LeMDsjXap9Sa0wUHOvFLuRjZqFCTfY7aiiivrT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Z/8AIKi/66j+RrpKZJFHKoEiK4HZhmsa9P2t&#10;Nwvua0KnsqinbY8koxXq/wBitf8An3i/74FH2K1/594v++BXkf2PL+f8D1/7YX8n4nlGKMV6v9it&#10;f+feL/vgUfYrX/n3i/74FH9jy/n/AAD+2F/J+J5RilVWY4VSSewFerfYrX/n3i/74FOS3hiPyRIv&#10;0UChZO+s/wAAecL+T8TgdM8M3t86tKhgh7sw5P0Fd5aWkNlbJbwJtjUcVPRXpYbB08Ovd37nm4nF&#10;1MQ/e27BRRRXWco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9200" behindDoc="1" locked="0" layoutInCell="1" allowOverlap="1" wp14:anchorId="363A3D6B" wp14:editId="7352F574">
              <wp:simplePos x="0" y="0"/>
              <wp:positionH relativeFrom="column">
                <wp:posOffset>0</wp:posOffset>
              </wp:positionH>
              <wp:positionV relativeFrom="paragraph">
                <wp:posOffset>8498840</wp:posOffset>
              </wp:positionV>
              <wp:extent cx="7379970" cy="2181860"/>
              <wp:effectExtent l="0" t="2540" r="1905" b="0"/>
              <wp:wrapNone/>
              <wp:docPr id="36"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jKPdeAwAAEA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CcUAFFJkeooyPUUXAWikyPUUZHqKLgLRSZHqKM&#10;ii4C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zvjCR49LiKMynzRyDjsa6Kub8af8gqL/rqP5GuXGu2HlbsdODV8RC/c4v7Vcf8APeX/&#10;AL7NH2q4/wCe8v8A32ahor5Tnl3Pq+SPYm+1XH/PeX/vs0farj/nvL/32ahoo55dw5Idib7Vcf8A&#10;PeX/AL7NOjvruJtyXMyn2c1FHDJM22ONnPoozTCMHBp881rdi5Kb0sjpNL8W3MDrHenzojxu/iH+&#10;NdtDMk8SyxsGRhkEd68lrsPBl+zCWxc5CjfH/UV6+XY2bn7Ko732PIzHBQUPa01a2511FFFe6e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N+NP8A&#10;kFRf9dR/I10lc340/wCQVF/11H8jXLjf93n6HVgv94h6nC0UUV8kfWBW/oraKLf/AEsL9qycGXOz&#10;26VgVv6L/Yv2b/S9v2rJ/wBbnZ7V04T+J0+Zy4z+F1+Rozyax5Lf2cLMwAf8uuCf1rkGJLsW+9nn&#10;612E66yYW/s5rIQY6WuBx+Nce2dx3dc81tjt1v8APb5GOA2e3y3+YlbPhZyuvwAfxBgfyNY1a/hj&#10;/kYbb/gX/oJrnwv8eHqjp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Y03w/cahbfafNSODJG45J49qx63tG0zUZbb7VBefZ4MnnJPT2FdGFgp1LONz&#10;nxU3CndSsPRdF01jm6up5R1EYKDNYDkM7EZwTxmutuNX0+KFob1jqEuMbjAExXIsQWJAwM8CtcZy&#10;q0Ytei/pmWDcneUk793+miErX8Mf8jDbf8C/9BNZFa/hj/kYbb/gX/oJrHC/x4eqNsV/An6M9Hoo&#10;or7A+Q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m/Gn/IKi/66j+RrpK5vxp/yCov+uo/ka5cb/u8/Q6sF/vEPU4Wiiivkj6wKt2VzfQuBZyTA/wB2&#10;PJ/Sqlb+ja41nbfZBZmQEn54uH5rfDpOesrGGIbUNI3NG1bWbmPF7Y27x45adQp/z+FcjIMSMMAY&#10;J4FddPox1KFp/td7BxnZdnI/nXIMMMRnOD1roxqklFP731ObAuLcmrei6CVr+GP+Rhtv+Bf+gmsi&#10;tfwx/wAjDbf8C/8AQTXPhf48PVHTiv4E/Rno9FFFfYHy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340/5BUX/XUfyNdJXN+NP+QVF/11H8jXLjf9&#10;3n6HVgv94h6nC0UUV8kfWBW/pGuHTrEwvaM0RJzNGcNz74rArcs5NUvdDewtrQSQA8vjnrnFdOFl&#10;KM24vW3a5zYuMZQSktL97E0w0rU8t/alxFIf4ZwWH51zzDDEA5wetS/ZZzK8Xkv5iAllxyMdc1DU&#10;Vqjnq42ZVGmoXUZXQVr+GP8AkYbb/gX/AKCayK1/DH/Iw23/AAL/ANBNPC/x4eqDFfwJ+jPR6KKK&#10;+wPk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5&#10;vxp/yCov+uo/ka6Sub8af8gqL/rqP5GuXG/7vP0OrBf7xD1OFooor5I+sCuns4dSuvD9qNOZ4zFI&#10;+/B278nIIPfFcxW5p+m311p6yG/FtbBiEDyEAnviurCN8zSTd100/E5MYlyptpWfXX8DbGn3i61b&#10;30iqsZgAuWLAAnHP9K4ubb58mz7u44+ma6BtDmZSDrVuwI5BkPNc6y7XZcg4OMitMY3ZLlt13uZ4&#10;NK7tK+y2sJWv4Y/5GG2/4F/6CayK1/DH/Iw23/Av/QTWGF/jw9UdG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FdHa2sOo+H7eKe8ht2hkby9zdQTzkV&#10;zlaM1pDDolrcEEzzu2OeAo4row8uXmdrq2pzYmPNyq9nfQuHw/bAH/icWh/z9aw2XaxXOcHGRXSr&#10;oWmosFpPcSC/nTcuB8oPpXNyRmKV426qxU/hV4mnyJe7b53JwtXnbXNf5WG1r+GP+Rhtv+Bf+gms&#10;itfwx/yMNt/wL/0E1nhf48PVGmK/gT9Gej0UUV9gfI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fjT/kFRf8AXUfyNdJXN+NP+QVF/wBdR/I1y43/&#10;AHefodWC/wB4h6nC0UUV8kfWBW9pF4Hsxb3GmSXkULFkMaklSeorBrp7KbUF8P239lKdyyP5+1ck&#10;nPH4V14O/O35dr3OTGfAl597WM6XV5Zdd+3m3y0f3Y+flAFZcjmSRnbqxLH8a7FLK6OvQ3Jtisc0&#10;A+0cYAJHNcfMqrPIq/dDED6Zp4qE4q8nu2ThakJO0Vsl/wAMMrX8Mf8AIw23/Av/AEE1kVr+GP8A&#10;kYbb/gX/AKCaywv8eHqjbFfwJ+jPR6KKK+wPk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O0t7a/8PQ2899DbvHIzIGbsfUVzlaS22nHRDObk/bQ3EX4/wCFdGGdnLRNW66HPiVd&#10;R1ad+iubGm6bY2F4twdXtmKA7QGxzjvzWdfaVawwS3C6pbyv12J1P61jUVUsRBw5eT8WTHDzU+fn&#10;/BBWv4Y/5GG2/wCBf+gmsitfwx/yMNt/wL/0E1GF/jQ9UXiv4E/Rno9FFFfYHy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m/Gn/IKi/66j+RrpK5vxp/yCov+uo/ka5cb/u8/Q6sF/vEPU4Wiiivkj6wK6HQ9ZsrK1MEs&#10;RimJP+kKoY1z1a0V2kmhvZR6eZJt2TMq5xzn/wCtXRhpuE3JPW3qc2KgpwUWtL97F+80661NTLba&#10;ot6vXYW2kfhXNkFSQeo4pyM8b5QsrD04IphOeamtUjUd7WfqVRpyprlbuumgVr+GP+Rhtv8AgX/o&#10;JrIrX8Mf8jDbf8C/9BNPC/x4eqDFfwJ+jPR6KKK+wPk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5vxp/yCov+uo/ka6Sub8af8gqL/rqP5GuXG/7v&#10;P0OrBf7xD1OFooor5I+sCumsrq9t9Atm0uMM/mMJ8JuOc8fpXM1v6V/b01iI9P8AlgRj83yjJ+p6&#10;114STU2lfbpucmMinBN20fXY0Y7SVvEEM/2QrFcwZnG3hSRzXJTKEnkVfuqxA+ma6eS18UyRMjyk&#10;qRzh1rlmUqxVuoODV4x6L3WtW9TPBrVvmT0S0ErX8Mf8jDbf8C/9BNZFa/hj/kYbb/gX/oJrDC/x&#10;4eqOjFfwJ+jPR6KKK+wPk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5vxp/wAgqL/rqP5Gukrm/Gn/ACCov+uo/ka5cb/u8/Q6sF/vEPU4Wiiivkj6&#10;wK6a1s7zUvDdslq5jMMjZBbaJAT1/CuZp4mkCBBI4UHIAY4rehVVNvmWjRhXpSqJcrs07m4fD+sg&#10;Z81f+/8AWCwKswbqDg07zZP+ej/99UylVnCVuVNeruOlCcb87T9FYK2PC4z4gtvbd/6Cax66jwbZ&#10;M93LeMDsjXap9Sa0wUHOvFLuRjZqFCTfY7aiiivrT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Z/8AIKi/66j+RrpKZJFHKoEiK4HZhmsa9P2t&#10;Nwvua0KnsqinbY8koxXq/wBitf8An3i/74FH2K1/594v++BXkf2PL+f8D1/7YX8n4nlGKMV6v9it&#10;f+feL/vgUfYrX/n3i/74FH9jy/n/AAD+2F/J+J5RilVWY4VSSewFerfYrX/n3i/74FOS3hiPyRIv&#10;0UChZO+s/wAAecL+T8TgdM8M3t86tKhgh7sw5P0Fd5aWkNlbJbwJtjUcVPRXpYbB08Ovd37nm4nF&#10;1MQ/e27BRRRXWco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59" w:rsidRDefault="00633459" w:rsidP="0050529F">
      <w:r>
        <w:separator/>
      </w:r>
    </w:p>
    <w:p w:rsidR="00633459" w:rsidRDefault="00633459"/>
    <w:p w:rsidR="00633459" w:rsidRDefault="00633459"/>
  </w:footnote>
  <w:footnote w:type="continuationSeparator" w:id="0">
    <w:p w:rsidR="00633459" w:rsidRDefault="00633459" w:rsidP="0050529F">
      <w:r>
        <w:continuationSeparator/>
      </w:r>
    </w:p>
    <w:p w:rsidR="00633459" w:rsidRDefault="00633459"/>
    <w:p w:rsidR="00633459" w:rsidRDefault="00633459"/>
  </w:footnote>
  <w:footnote w:id="1">
    <w:p w:rsidR="00633459" w:rsidRDefault="00633459">
      <w:pPr>
        <w:pStyle w:val="FootnoteText"/>
      </w:pPr>
      <w:r>
        <w:rPr>
          <w:rStyle w:val="FootnoteReference"/>
        </w:rPr>
        <w:footnoteRef/>
      </w:r>
      <w:r>
        <w:t xml:space="preserve"> This report covers the period January 2012 to June 2013. Unless otherwise stated, references to 2012–13 refer to this 18-month period.</w:t>
      </w:r>
    </w:p>
  </w:footnote>
  <w:footnote w:id="2">
    <w:p w:rsidR="00633459" w:rsidRDefault="00633459">
      <w:pPr>
        <w:pStyle w:val="FootnoteText"/>
      </w:pPr>
      <w:r>
        <w:rPr>
          <w:rStyle w:val="FootnoteReference"/>
        </w:rPr>
        <w:footnoteRef/>
      </w:r>
      <w:r>
        <w:t xml:space="preserve"> ANCP was formerly known as AusAID NGO Cooperation Program.</w:t>
      </w:r>
    </w:p>
  </w:footnote>
  <w:footnote w:id="3">
    <w:p w:rsidR="00633459" w:rsidRDefault="00633459">
      <w:pPr>
        <w:pStyle w:val="FootnoteText"/>
      </w:pPr>
      <w:r w:rsidRPr="00567FE0">
        <w:rPr>
          <w:rStyle w:val="FootnoteReference"/>
        </w:rPr>
        <w:footnoteRef/>
      </w:r>
      <w:r w:rsidRPr="00567FE0">
        <w:t xml:space="preserve"> </w:t>
      </w:r>
      <w:r w:rsidRPr="0076329B">
        <w:rPr>
          <w:rStyle w:val="Hyperlink"/>
          <w:sz w:val="14"/>
        </w:rPr>
        <w:t>http://aid.dfat.gov.au/Publications/Pages/civil-society-engagement-framework.aspx</w:t>
      </w:r>
    </w:p>
  </w:footnote>
  <w:footnote w:id="4">
    <w:p w:rsidR="00633459" w:rsidRDefault="00633459" w:rsidP="00257CE1">
      <w:pPr>
        <w:pStyle w:val="FootnoteText"/>
      </w:pPr>
      <w:r>
        <w:rPr>
          <w:rStyle w:val="FootnoteReference"/>
        </w:rPr>
        <w:footnoteRef/>
      </w:r>
      <w:r>
        <w:t xml:space="preserve"> ACFID is the peak body representing more than 100 Australian not-for-profit aid and development organisations.</w:t>
      </w:r>
    </w:p>
  </w:footnote>
  <w:footnote w:id="5">
    <w:p w:rsidR="00633459" w:rsidRDefault="00633459">
      <w:pPr>
        <w:pStyle w:val="FootnoteText"/>
      </w:pPr>
      <w:r>
        <w:rPr>
          <w:rStyle w:val="FootnoteReference"/>
        </w:rPr>
        <w:footnoteRef/>
      </w:r>
      <w:r>
        <w:t xml:space="preserve"> In November 2013 AusAID was integrated into the Department of Foreign Affairs and Trade (DFAT). In this report, ‘AusAID’ is used to refer to the achievements and performance of the agency prior to the integration. ‘DFAT’ is used to refer to the future aid commitments of the integrated department.</w:t>
      </w:r>
    </w:p>
  </w:footnote>
  <w:footnote w:id="6">
    <w:p w:rsidR="00633459" w:rsidRDefault="00633459">
      <w:pPr>
        <w:pStyle w:val="FootnoteText"/>
      </w:pPr>
      <w:r>
        <w:rPr>
          <w:rStyle w:val="FootnoteReference"/>
        </w:rPr>
        <w:footnoteRef/>
      </w:r>
      <w:r>
        <w:t xml:space="preserve"> ANCP expenditure data in this report is based on the 2011–12 financial year.</w:t>
      </w:r>
    </w:p>
  </w:footnote>
  <w:footnote w:id="7">
    <w:p w:rsidR="00633459" w:rsidRDefault="00633459">
      <w:pPr>
        <w:pStyle w:val="FootnoteText"/>
      </w:pPr>
      <w:r>
        <w:rPr>
          <w:rStyle w:val="FootnoteReference"/>
        </w:rPr>
        <w:footnoteRef/>
      </w:r>
      <w:r>
        <w:t xml:space="preserve"> ANCP expenditure data in this report is based on the 2011–12 financial year.</w:t>
      </w:r>
    </w:p>
  </w:footnote>
  <w:footnote w:id="8">
    <w:p w:rsidR="00633459" w:rsidRDefault="00633459" w:rsidP="00ED16F0">
      <w:pPr>
        <w:pStyle w:val="FootnoteText"/>
      </w:pPr>
      <w:r>
        <w:rPr>
          <w:rStyle w:val="FootnoteReference"/>
        </w:rPr>
        <w:footnoteRef/>
      </w:r>
      <w:r>
        <w:t xml:space="preserve"> ANCP expenditure data in this report is based on the 2011–12 financial year.</w:t>
      </w:r>
    </w:p>
    <w:p w:rsidR="00633459" w:rsidRDefault="00633459">
      <w:pPr>
        <w:pStyle w:val="FootnoteText"/>
      </w:pPr>
    </w:p>
  </w:footnote>
  <w:footnote w:id="9">
    <w:p w:rsidR="00633459" w:rsidRDefault="00633459">
      <w:pPr>
        <w:pStyle w:val="FootnoteText"/>
      </w:pPr>
      <w:r>
        <w:rPr>
          <w:rStyle w:val="FootnoteReference"/>
        </w:rPr>
        <w:footnoteRef/>
      </w:r>
      <w:r>
        <w:rPr>
          <w:rStyle w:val="FootnoteReference"/>
        </w:rPr>
        <w:t xml:space="preserve"> </w:t>
      </w:r>
      <w:r>
        <w:t>Fully accredited NGOs must have a minimum recognised development expenditure (RDE) of $100 000, averaged over three years. Base accredited NGOs must have a minimum RDE of $50 000, averaged over three years.</w:t>
      </w:r>
    </w:p>
  </w:footnote>
  <w:footnote w:id="10">
    <w:p w:rsidR="00633459" w:rsidRDefault="00633459">
      <w:pPr>
        <w:pStyle w:val="FootnoteText"/>
      </w:pPr>
      <w:r>
        <w:rPr>
          <w:rStyle w:val="FootnoteReference"/>
        </w:rPr>
        <w:footnoteRef/>
      </w:r>
      <w:r>
        <w:t xml:space="preserve"> </w:t>
      </w:r>
      <w:r w:rsidRPr="00563629">
        <w:t xml:space="preserve"> </w:t>
      </w:r>
      <w:r w:rsidRPr="00563629">
        <w:rPr>
          <w:rStyle w:val="Hyperlink"/>
          <w:sz w:val="14"/>
        </w:rPr>
        <w:t>http://aid.dfat.gov.au/Publications/Pages/ancp-melf-report.aspx</w:t>
      </w:r>
    </w:p>
  </w:footnote>
  <w:footnote w:id="11">
    <w:p w:rsidR="00633459" w:rsidRDefault="00633459">
      <w:pPr>
        <w:pStyle w:val="FootnoteText"/>
      </w:pPr>
      <w:r>
        <w:rPr>
          <w:rStyle w:val="FootnoteReference"/>
        </w:rPr>
        <w:footnoteRef/>
      </w:r>
      <w:r>
        <w:t xml:space="preserve"> </w:t>
      </w:r>
      <w:r w:rsidRPr="00563629">
        <w:t xml:space="preserve"> </w:t>
      </w:r>
      <w:r w:rsidRPr="00563629">
        <w:rPr>
          <w:rStyle w:val="Hyperlink"/>
          <w:sz w:val="14"/>
        </w:rPr>
        <w:t>http://aid.dfat.gov.au/Publications/Pages/ancp-partners-midtermreview.aspx</w:t>
      </w:r>
    </w:p>
  </w:footnote>
  <w:footnote w:id="12">
    <w:p w:rsidR="00633459" w:rsidRDefault="00633459">
      <w:pPr>
        <w:pStyle w:val="FootnoteText"/>
      </w:pPr>
      <w:r w:rsidRPr="007E5668">
        <w:rPr>
          <w:rStyle w:val="Hyperlink"/>
          <w:sz w:val="14"/>
        </w:rPr>
        <w:t>http://aid.dfat.gov.au/Publications/Pages/ancp-partner-mou.aspx</w:t>
      </w:r>
    </w:p>
    <w:p w:rsidR="00633459" w:rsidRDefault="00633459">
      <w:pPr>
        <w:pStyle w:val="FootnoteText"/>
      </w:pPr>
    </w:p>
  </w:footnote>
  <w:footnote w:id="13">
    <w:p w:rsidR="00633459" w:rsidRDefault="00633459">
      <w:pPr>
        <w:pStyle w:val="FootnoteText"/>
      </w:pPr>
      <w:r>
        <w:rPr>
          <w:rStyle w:val="FootnoteReference"/>
        </w:rPr>
        <w:footnoteRef/>
      </w:r>
      <w:r>
        <w:t xml:space="preserve"> ANCP results data in this report is based on the 2011–12 financial year.</w:t>
      </w:r>
    </w:p>
  </w:footnote>
  <w:footnote w:id="14">
    <w:p w:rsidR="00633459" w:rsidRDefault="00633459">
      <w:pPr>
        <w:pStyle w:val="FootnoteText"/>
      </w:pPr>
      <w:r w:rsidRPr="00161980">
        <w:rPr>
          <w:rStyle w:val="FootnoteReference"/>
        </w:rPr>
        <w:footnoteRef/>
      </w:r>
      <w:r w:rsidRPr="00161980">
        <w:t xml:space="preserve"> Comparative year-on-year figures are only available for some results.</w:t>
      </w:r>
      <w:r>
        <w:t xml:space="preserve"> </w:t>
      </w:r>
    </w:p>
  </w:footnote>
  <w:footnote w:id="15">
    <w:p w:rsidR="00AA7D6B" w:rsidRDefault="00AA7D6B">
      <w:pPr>
        <w:pStyle w:val="FootnoteText"/>
      </w:pPr>
      <w:r>
        <w:rPr>
          <w:rStyle w:val="FootnoteReference"/>
        </w:rPr>
        <w:footnoteRef/>
      </w:r>
      <w:r>
        <w:t xml:space="preserve"> Prior to 2012-13 Aid Program Performance Reports were called Annual Program Performance Reports</w:t>
      </w:r>
    </w:p>
  </w:footnote>
  <w:footnote w:id="16">
    <w:p w:rsidR="00633459" w:rsidRPr="00071B95" w:rsidRDefault="00633459" w:rsidP="00071B95">
      <w:pPr>
        <w:pStyle w:val="FootnoteText"/>
      </w:pPr>
      <w:r w:rsidRPr="00F77E6A">
        <w:rPr>
          <w:rStyle w:val="FootnoteReference"/>
        </w:rPr>
        <w:footnoteRef/>
      </w:r>
      <w:r w:rsidRPr="00071B95">
        <w:t xml:space="preserve"> ‘completed’ means the final version of the report has been received</w:t>
      </w:r>
    </w:p>
  </w:footnote>
  <w:footnote w:id="17">
    <w:p w:rsidR="00633459" w:rsidRPr="00071B95" w:rsidRDefault="00633459" w:rsidP="00071B95">
      <w:pPr>
        <w:pStyle w:val="FootnoteText"/>
      </w:pPr>
      <w:r w:rsidRPr="00F77E6A">
        <w:rPr>
          <w:rStyle w:val="FootnoteReference"/>
        </w:rPr>
        <w:footnoteRef/>
      </w:r>
      <w:r w:rsidRPr="00071B95">
        <w:t xml:space="preserve"> e.g. Mid-term review, Completion report, partner-led evaluation, joint evaluation</w:t>
      </w:r>
    </w:p>
  </w:footnote>
  <w:footnote w:id="18">
    <w:p w:rsidR="00633459" w:rsidRPr="00551C11" w:rsidRDefault="00633459" w:rsidP="00071B95">
      <w:pPr>
        <w:pStyle w:val="FootnoteText"/>
      </w:pPr>
      <w:r w:rsidRPr="00F77E6A">
        <w:rPr>
          <w:rStyle w:val="FootnoteReference"/>
        </w:rPr>
        <w:footnoteRef/>
      </w:r>
      <w:r>
        <w:t xml:space="preserve"> e.g. </w:t>
      </w:r>
      <w:r w:rsidRPr="00071B95">
        <w:t>To inform a future phase of program, to improve existing program; to verify program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Default="00633459">
    <w:pPr>
      <w:pStyle w:val="Header"/>
    </w:pPr>
    <w:r>
      <w:rPr>
        <w:noProof/>
      </w:rPr>
      <w:drawing>
        <wp:anchor distT="0" distB="0" distL="114300" distR="114300" simplePos="0" relativeHeight="251688960" behindDoc="0" locked="0" layoutInCell="1" allowOverlap="1" wp14:anchorId="5112752D" wp14:editId="4C2616DD">
          <wp:simplePos x="0" y="0"/>
          <wp:positionH relativeFrom="page">
            <wp:posOffset>9365</wp:posOffset>
          </wp:positionH>
          <wp:positionV relativeFrom="page">
            <wp:posOffset>53340</wp:posOffset>
          </wp:positionV>
          <wp:extent cx="7559675" cy="1439545"/>
          <wp:effectExtent l="0" t="0" r="3175" b="825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9545"/>
                  </a:xfrm>
                  <a:prstGeom prst="rect">
                    <a:avLst/>
                  </a:prstGeom>
                </pic:spPr>
              </pic:pic>
            </a:graphicData>
          </a:graphic>
          <wp14:sizeRelH relativeFrom="margin">
            <wp14:pctWidth>0</wp14:pctWidth>
          </wp14:sizeRelH>
          <wp14:sizeRelV relativeFrom="margin">
            <wp14:pctHeight>0</wp14:pctHeight>
          </wp14:sizeRelV>
        </wp:anchor>
      </w:drawing>
    </w:r>
  </w:p>
  <w:p w:rsidR="00633459" w:rsidRDefault="006334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Default="00633459">
    <w:pPr>
      <w:pStyle w:val="Header"/>
    </w:pPr>
    <w:r>
      <w:rPr>
        <w:noProof/>
      </w:rPr>
      <w:drawing>
        <wp:anchor distT="0" distB="0" distL="114300" distR="114300" simplePos="0" relativeHeight="251691008" behindDoc="0" locked="0" layoutInCell="1" allowOverlap="1" wp14:anchorId="615E6C57" wp14:editId="7E6F3924">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Default="006334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Default="006334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Default="00633459">
    <w:pPr>
      <w:pStyle w:val="Header"/>
    </w:pPr>
  </w:p>
  <w:p w:rsidR="00633459" w:rsidRDefault="006334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59" w:rsidRDefault="006334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065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B480112"/>
    <w:lvl w:ilvl="0">
      <w:start w:val="1"/>
      <w:numFmt w:val="decimal"/>
      <w:lvlText w:val="%1."/>
      <w:lvlJc w:val="left"/>
      <w:pPr>
        <w:tabs>
          <w:tab w:val="num" w:pos="1492"/>
        </w:tabs>
        <w:ind w:left="1492" w:hanging="360"/>
      </w:pPr>
    </w:lvl>
  </w:abstractNum>
  <w:abstractNum w:abstractNumId="2">
    <w:nsid w:val="FFFFFF7D"/>
    <w:multiLevelType w:val="singleLevel"/>
    <w:tmpl w:val="83A01FB6"/>
    <w:lvl w:ilvl="0">
      <w:start w:val="1"/>
      <w:numFmt w:val="decimal"/>
      <w:lvlText w:val="%1."/>
      <w:lvlJc w:val="left"/>
      <w:pPr>
        <w:tabs>
          <w:tab w:val="num" w:pos="1209"/>
        </w:tabs>
        <w:ind w:left="1209" w:hanging="360"/>
      </w:pPr>
    </w:lvl>
  </w:abstractNum>
  <w:abstractNum w:abstractNumId="3">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4">
    <w:nsid w:val="FFFFFF80"/>
    <w:multiLevelType w:val="singleLevel"/>
    <w:tmpl w:val="E9A272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64C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26AF80"/>
    <w:lvl w:ilvl="0">
      <w:start w:val="1"/>
      <w:numFmt w:val="bullet"/>
      <w:lvlText w:val=""/>
      <w:lvlJc w:val="left"/>
      <w:pPr>
        <w:tabs>
          <w:tab w:val="num" w:pos="926"/>
        </w:tabs>
        <w:ind w:left="926" w:hanging="360"/>
      </w:pPr>
      <w:rPr>
        <w:rFonts w:ascii="Symbol" w:hAnsi="Symbol" w:hint="default"/>
      </w:rPr>
    </w:lvl>
  </w:abstractNum>
  <w:abstractNum w:abstractNumId="7">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8">
    <w:nsid w:val="08DD27E1"/>
    <w:multiLevelType w:val="hybridMultilevel"/>
    <w:tmpl w:val="04880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055F7"/>
    <w:multiLevelType w:val="hybridMultilevel"/>
    <w:tmpl w:val="422AC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Arial"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Arial"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Arial" w:hint="default"/>
      </w:rPr>
    </w:lvl>
    <w:lvl w:ilvl="8" w:tplc="0C090005" w:tentative="1">
      <w:start w:val="1"/>
      <w:numFmt w:val="bullet"/>
      <w:lvlText w:val=""/>
      <w:lvlJc w:val="left"/>
      <w:pPr>
        <w:ind w:left="5828" w:hanging="360"/>
      </w:pPr>
      <w:rPr>
        <w:rFonts w:ascii="Wingdings" w:hAnsi="Wingdings" w:hint="default"/>
      </w:rPr>
    </w:lvl>
  </w:abstractNum>
  <w:abstractNum w:abstractNumId="13">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4">
    <w:nsid w:val="259502EF"/>
    <w:multiLevelType w:val="hybridMultilevel"/>
    <w:tmpl w:val="5CE2E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nsid w:val="29AF564D"/>
    <w:multiLevelType w:val="hybridMultilevel"/>
    <w:tmpl w:val="29C8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EC0B4D"/>
    <w:multiLevelType w:val="hybridMultilevel"/>
    <w:tmpl w:val="9190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C63108"/>
    <w:multiLevelType w:val="hybridMultilevel"/>
    <w:tmpl w:val="5F3C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A33728"/>
    <w:multiLevelType w:val="hybridMultilevel"/>
    <w:tmpl w:val="52D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486048"/>
    <w:multiLevelType w:val="hybridMultilevel"/>
    <w:tmpl w:val="F5EC1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3F3A6B"/>
    <w:multiLevelType w:val="multilevel"/>
    <w:tmpl w:val="A5D2E7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49277E"/>
    <w:multiLevelType w:val="hybridMultilevel"/>
    <w:tmpl w:val="71D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A541996"/>
    <w:multiLevelType w:val="hybridMultilevel"/>
    <w:tmpl w:val="1C94E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995B8F"/>
    <w:multiLevelType w:val="hybridMultilevel"/>
    <w:tmpl w:val="75E2F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40452D"/>
    <w:multiLevelType w:val="hybridMultilevel"/>
    <w:tmpl w:val="2F7E794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Arial"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Arial"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Arial" w:hint="default"/>
      </w:rPr>
    </w:lvl>
    <w:lvl w:ilvl="8" w:tplc="0C090005" w:tentative="1">
      <w:start w:val="1"/>
      <w:numFmt w:val="bullet"/>
      <w:lvlText w:val=""/>
      <w:lvlJc w:val="left"/>
      <w:pPr>
        <w:ind w:left="6548" w:hanging="360"/>
      </w:pPr>
      <w:rPr>
        <w:rFonts w:ascii="Wingdings" w:hAnsi="Wingdings" w:hint="default"/>
      </w:rPr>
    </w:lvl>
  </w:abstractNum>
  <w:abstractNum w:abstractNumId="32">
    <w:nsid w:val="5F8D61AD"/>
    <w:multiLevelType w:val="hybridMultilevel"/>
    <w:tmpl w:val="38C0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3842EB"/>
    <w:multiLevelType w:val="hybridMultilevel"/>
    <w:tmpl w:val="FBC0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BBE319A"/>
    <w:multiLevelType w:val="hybridMultilevel"/>
    <w:tmpl w:val="2A8E1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6C7994"/>
    <w:multiLevelType w:val="hybridMultilevel"/>
    <w:tmpl w:val="088C2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940165"/>
    <w:multiLevelType w:val="hybridMultilevel"/>
    <w:tmpl w:val="8D66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B454AF6"/>
    <w:multiLevelType w:val="hybridMultilevel"/>
    <w:tmpl w:val="1FB2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7"/>
  </w:num>
  <w:num w:numId="3">
    <w:abstractNumId w:val="12"/>
  </w:num>
  <w:num w:numId="4">
    <w:abstractNumId w:val="28"/>
  </w:num>
  <w:num w:numId="5">
    <w:abstractNumId w:val="11"/>
  </w:num>
  <w:num w:numId="6">
    <w:abstractNumId w:val="27"/>
  </w:num>
  <w:num w:numId="7">
    <w:abstractNumId w:val="25"/>
  </w:num>
  <w:num w:numId="8">
    <w:abstractNumId w:val="19"/>
  </w:num>
  <w:num w:numId="9">
    <w:abstractNumId w:val="35"/>
  </w:num>
  <w:num w:numId="10">
    <w:abstractNumId w:val="9"/>
  </w:num>
  <w:num w:numId="11">
    <w:abstractNumId w:val="26"/>
  </w:num>
  <w:num w:numId="12">
    <w:abstractNumId w:val="38"/>
  </w:num>
  <w:num w:numId="13">
    <w:abstractNumId w:val="13"/>
  </w:num>
  <w:num w:numId="14">
    <w:abstractNumId w:val="41"/>
  </w:num>
  <w:num w:numId="15">
    <w:abstractNumId w:val="43"/>
  </w:num>
  <w:num w:numId="16">
    <w:abstractNumId w:val="18"/>
  </w:num>
  <w:num w:numId="17">
    <w:abstractNumId w:val="3"/>
  </w:num>
  <w:num w:numId="18">
    <w:abstractNumId w:val="7"/>
  </w:num>
  <w:num w:numId="19">
    <w:abstractNumId w:val="39"/>
  </w:num>
  <w:num w:numId="20">
    <w:abstractNumId w:val="8"/>
  </w:num>
  <w:num w:numId="21">
    <w:abstractNumId w:val="31"/>
  </w:num>
  <w:num w:numId="22">
    <w:abstractNumId w:val="30"/>
  </w:num>
  <w:num w:numId="23">
    <w:abstractNumId w:val="32"/>
  </w:num>
  <w:num w:numId="24">
    <w:abstractNumId w:val="34"/>
  </w:num>
  <w:num w:numId="25">
    <w:abstractNumId w:val="10"/>
  </w:num>
  <w:num w:numId="26">
    <w:abstractNumId w:val="29"/>
  </w:num>
  <w:num w:numId="27">
    <w:abstractNumId w:val="20"/>
  </w:num>
  <w:num w:numId="28">
    <w:abstractNumId w:val="42"/>
  </w:num>
  <w:num w:numId="29">
    <w:abstractNumId w:val="40"/>
  </w:num>
  <w:num w:numId="30">
    <w:abstractNumId w:val="36"/>
  </w:num>
  <w:num w:numId="31">
    <w:abstractNumId w:val="16"/>
  </w:num>
  <w:num w:numId="32">
    <w:abstractNumId w:val="24"/>
  </w:num>
  <w:num w:numId="33">
    <w:abstractNumId w:val="14"/>
  </w:num>
  <w:num w:numId="34">
    <w:abstractNumId w:val="21"/>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7"/>
  </w:num>
  <w:num w:numId="39">
    <w:abstractNumId w:val="12"/>
  </w:num>
  <w:num w:numId="40">
    <w:abstractNumId w:val="6"/>
  </w:num>
  <w:num w:numId="41">
    <w:abstractNumId w:val="5"/>
  </w:num>
  <w:num w:numId="42">
    <w:abstractNumId w:val="4"/>
  </w:num>
  <w:num w:numId="43">
    <w:abstractNumId w:val="2"/>
  </w:num>
  <w:num w:numId="44">
    <w:abstractNumId w:val="1"/>
  </w:num>
  <w:num w:numId="4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044BF"/>
    <w:rsid w:val="000057E0"/>
    <w:rsid w:val="00007931"/>
    <w:rsid w:val="00007E85"/>
    <w:rsid w:val="000115D8"/>
    <w:rsid w:val="0001217D"/>
    <w:rsid w:val="00013D1F"/>
    <w:rsid w:val="000143D9"/>
    <w:rsid w:val="00020121"/>
    <w:rsid w:val="00021A9E"/>
    <w:rsid w:val="00022DC6"/>
    <w:rsid w:val="00024819"/>
    <w:rsid w:val="0002718D"/>
    <w:rsid w:val="00030111"/>
    <w:rsid w:val="00031100"/>
    <w:rsid w:val="00031979"/>
    <w:rsid w:val="000340A0"/>
    <w:rsid w:val="00034742"/>
    <w:rsid w:val="00036B95"/>
    <w:rsid w:val="00041F47"/>
    <w:rsid w:val="00042EA9"/>
    <w:rsid w:val="00043EE5"/>
    <w:rsid w:val="00044FD3"/>
    <w:rsid w:val="000519BA"/>
    <w:rsid w:val="000521FD"/>
    <w:rsid w:val="00053A02"/>
    <w:rsid w:val="00053C74"/>
    <w:rsid w:val="0005645A"/>
    <w:rsid w:val="00060E3D"/>
    <w:rsid w:val="00062438"/>
    <w:rsid w:val="0006282E"/>
    <w:rsid w:val="0006492C"/>
    <w:rsid w:val="00071375"/>
    <w:rsid w:val="00071B95"/>
    <w:rsid w:val="00071C1E"/>
    <w:rsid w:val="00073ED4"/>
    <w:rsid w:val="000745E2"/>
    <w:rsid w:val="00076AEC"/>
    <w:rsid w:val="00076D71"/>
    <w:rsid w:val="00076FF7"/>
    <w:rsid w:val="000770B4"/>
    <w:rsid w:val="000774FD"/>
    <w:rsid w:val="00081BD5"/>
    <w:rsid w:val="0008762D"/>
    <w:rsid w:val="00093337"/>
    <w:rsid w:val="00095696"/>
    <w:rsid w:val="00095CA0"/>
    <w:rsid w:val="000979A0"/>
    <w:rsid w:val="000A1618"/>
    <w:rsid w:val="000A205D"/>
    <w:rsid w:val="000A5D2D"/>
    <w:rsid w:val="000B13E8"/>
    <w:rsid w:val="000B27CD"/>
    <w:rsid w:val="000B3121"/>
    <w:rsid w:val="000C29BF"/>
    <w:rsid w:val="000C2CDD"/>
    <w:rsid w:val="000C30E2"/>
    <w:rsid w:val="000C6080"/>
    <w:rsid w:val="000C60A8"/>
    <w:rsid w:val="000C7358"/>
    <w:rsid w:val="000D014E"/>
    <w:rsid w:val="000D1A0D"/>
    <w:rsid w:val="000E0016"/>
    <w:rsid w:val="000E3607"/>
    <w:rsid w:val="000E5C03"/>
    <w:rsid w:val="000E6416"/>
    <w:rsid w:val="000E7297"/>
    <w:rsid w:val="000E7B4E"/>
    <w:rsid w:val="000F2DF0"/>
    <w:rsid w:val="00100AA2"/>
    <w:rsid w:val="00110DC7"/>
    <w:rsid w:val="001113E1"/>
    <w:rsid w:val="00111EEF"/>
    <w:rsid w:val="0011248B"/>
    <w:rsid w:val="00112E97"/>
    <w:rsid w:val="0011327F"/>
    <w:rsid w:val="001134A6"/>
    <w:rsid w:val="00114CF5"/>
    <w:rsid w:val="001157A9"/>
    <w:rsid w:val="00120DD7"/>
    <w:rsid w:val="00120FC7"/>
    <w:rsid w:val="00122C40"/>
    <w:rsid w:val="001243D2"/>
    <w:rsid w:val="001266AC"/>
    <w:rsid w:val="001346CD"/>
    <w:rsid w:val="001366B4"/>
    <w:rsid w:val="00136FCC"/>
    <w:rsid w:val="00140880"/>
    <w:rsid w:val="00141A30"/>
    <w:rsid w:val="0014310A"/>
    <w:rsid w:val="0014411B"/>
    <w:rsid w:val="00144DA6"/>
    <w:rsid w:val="00145481"/>
    <w:rsid w:val="001466C5"/>
    <w:rsid w:val="00147288"/>
    <w:rsid w:val="00152A15"/>
    <w:rsid w:val="00153CB6"/>
    <w:rsid w:val="00154E2C"/>
    <w:rsid w:val="00156A72"/>
    <w:rsid w:val="00157080"/>
    <w:rsid w:val="001612CE"/>
    <w:rsid w:val="00161980"/>
    <w:rsid w:val="00162110"/>
    <w:rsid w:val="0016320A"/>
    <w:rsid w:val="00163A7F"/>
    <w:rsid w:val="0016544D"/>
    <w:rsid w:val="001654D1"/>
    <w:rsid w:val="00172040"/>
    <w:rsid w:val="00172635"/>
    <w:rsid w:val="00173955"/>
    <w:rsid w:val="00173C6E"/>
    <w:rsid w:val="00175261"/>
    <w:rsid w:val="00175ADD"/>
    <w:rsid w:val="00176240"/>
    <w:rsid w:val="00176367"/>
    <w:rsid w:val="00177250"/>
    <w:rsid w:val="00180B19"/>
    <w:rsid w:val="0018196F"/>
    <w:rsid w:val="001820E6"/>
    <w:rsid w:val="001829BB"/>
    <w:rsid w:val="001848B6"/>
    <w:rsid w:val="001854D3"/>
    <w:rsid w:val="00192498"/>
    <w:rsid w:val="00192DCF"/>
    <w:rsid w:val="00194806"/>
    <w:rsid w:val="001959DB"/>
    <w:rsid w:val="00195A5A"/>
    <w:rsid w:val="00195DDE"/>
    <w:rsid w:val="001969A5"/>
    <w:rsid w:val="001A35C1"/>
    <w:rsid w:val="001A5186"/>
    <w:rsid w:val="001A55D7"/>
    <w:rsid w:val="001A7E7C"/>
    <w:rsid w:val="001A7F7A"/>
    <w:rsid w:val="001B1A0C"/>
    <w:rsid w:val="001B1E9A"/>
    <w:rsid w:val="001B3F95"/>
    <w:rsid w:val="001B54C8"/>
    <w:rsid w:val="001C1EA0"/>
    <w:rsid w:val="001C35E9"/>
    <w:rsid w:val="001C3D37"/>
    <w:rsid w:val="001C507E"/>
    <w:rsid w:val="001C5422"/>
    <w:rsid w:val="001C59BB"/>
    <w:rsid w:val="001C68F1"/>
    <w:rsid w:val="001C6FB7"/>
    <w:rsid w:val="001C700E"/>
    <w:rsid w:val="001C7117"/>
    <w:rsid w:val="001C7A3F"/>
    <w:rsid w:val="001D0CC8"/>
    <w:rsid w:val="001D20FC"/>
    <w:rsid w:val="001D210A"/>
    <w:rsid w:val="001D2CC4"/>
    <w:rsid w:val="001D54FA"/>
    <w:rsid w:val="001D692C"/>
    <w:rsid w:val="001E05A2"/>
    <w:rsid w:val="001E6A97"/>
    <w:rsid w:val="001F3668"/>
    <w:rsid w:val="001F42AA"/>
    <w:rsid w:val="001F4DD6"/>
    <w:rsid w:val="001F5E75"/>
    <w:rsid w:val="001F7480"/>
    <w:rsid w:val="001F7FCC"/>
    <w:rsid w:val="00203BC0"/>
    <w:rsid w:val="00207FE1"/>
    <w:rsid w:val="00210E16"/>
    <w:rsid w:val="002115BD"/>
    <w:rsid w:val="00211989"/>
    <w:rsid w:val="00212FA1"/>
    <w:rsid w:val="0021581E"/>
    <w:rsid w:val="00220233"/>
    <w:rsid w:val="002314E0"/>
    <w:rsid w:val="00231D45"/>
    <w:rsid w:val="002363D4"/>
    <w:rsid w:val="00237C4B"/>
    <w:rsid w:val="002407D7"/>
    <w:rsid w:val="0024408E"/>
    <w:rsid w:val="0024544F"/>
    <w:rsid w:val="00246E5F"/>
    <w:rsid w:val="00247999"/>
    <w:rsid w:val="00250623"/>
    <w:rsid w:val="00253546"/>
    <w:rsid w:val="00255D54"/>
    <w:rsid w:val="00256D6F"/>
    <w:rsid w:val="00257CE1"/>
    <w:rsid w:val="00260F65"/>
    <w:rsid w:val="00263284"/>
    <w:rsid w:val="002638E6"/>
    <w:rsid w:val="002659EE"/>
    <w:rsid w:val="00265ABF"/>
    <w:rsid w:val="00266D10"/>
    <w:rsid w:val="00267B5F"/>
    <w:rsid w:val="00270ECC"/>
    <w:rsid w:val="002753EA"/>
    <w:rsid w:val="00275595"/>
    <w:rsid w:val="00276BDA"/>
    <w:rsid w:val="00277125"/>
    <w:rsid w:val="00277662"/>
    <w:rsid w:val="00280127"/>
    <w:rsid w:val="00282456"/>
    <w:rsid w:val="00283473"/>
    <w:rsid w:val="002839EA"/>
    <w:rsid w:val="002849B4"/>
    <w:rsid w:val="002868C5"/>
    <w:rsid w:val="00291DC5"/>
    <w:rsid w:val="0029455C"/>
    <w:rsid w:val="00297877"/>
    <w:rsid w:val="00297C76"/>
    <w:rsid w:val="00297CC2"/>
    <w:rsid w:val="002A18A4"/>
    <w:rsid w:val="002A1935"/>
    <w:rsid w:val="002A1F2C"/>
    <w:rsid w:val="002A22F7"/>
    <w:rsid w:val="002A3370"/>
    <w:rsid w:val="002A4D0A"/>
    <w:rsid w:val="002B433A"/>
    <w:rsid w:val="002B79D4"/>
    <w:rsid w:val="002C45B4"/>
    <w:rsid w:val="002C4762"/>
    <w:rsid w:val="002C7F16"/>
    <w:rsid w:val="002D39A0"/>
    <w:rsid w:val="002D616F"/>
    <w:rsid w:val="002D6914"/>
    <w:rsid w:val="002E439D"/>
    <w:rsid w:val="002E5EC6"/>
    <w:rsid w:val="002E6018"/>
    <w:rsid w:val="002F12C8"/>
    <w:rsid w:val="002F479A"/>
    <w:rsid w:val="002F5A14"/>
    <w:rsid w:val="002F5D62"/>
    <w:rsid w:val="002F5D98"/>
    <w:rsid w:val="002F5ECA"/>
    <w:rsid w:val="002F771F"/>
    <w:rsid w:val="003029A8"/>
    <w:rsid w:val="00303038"/>
    <w:rsid w:val="00304059"/>
    <w:rsid w:val="00307543"/>
    <w:rsid w:val="00307D5D"/>
    <w:rsid w:val="0031031B"/>
    <w:rsid w:val="00310426"/>
    <w:rsid w:val="003109C8"/>
    <w:rsid w:val="00311663"/>
    <w:rsid w:val="00314531"/>
    <w:rsid w:val="00315370"/>
    <w:rsid w:val="00315D13"/>
    <w:rsid w:val="00317F3E"/>
    <w:rsid w:val="003204B2"/>
    <w:rsid w:val="00321BBD"/>
    <w:rsid w:val="003223F8"/>
    <w:rsid w:val="00323D50"/>
    <w:rsid w:val="0032467F"/>
    <w:rsid w:val="0032486D"/>
    <w:rsid w:val="003260C0"/>
    <w:rsid w:val="00326560"/>
    <w:rsid w:val="0032680E"/>
    <w:rsid w:val="00326B5A"/>
    <w:rsid w:val="00326D9F"/>
    <w:rsid w:val="003327F8"/>
    <w:rsid w:val="00334EA9"/>
    <w:rsid w:val="00341177"/>
    <w:rsid w:val="00345B8E"/>
    <w:rsid w:val="00347521"/>
    <w:rsid w:val="00351ACA"/>
    <w:rsid w:val="00352AE5"/>
    <w:rsid w:val="00353007"/>
    <w:rsid w:val="00353F50"/>
    <w:rsid w:val="00357AF7"/>
    <w:rsid w:val="00360662"/>
    <w:rsid w:val="003607D3"/>
    <w:rsid w:val="00364D5E"/>
    <w:rsid w:val="00366639"/>
    <w:rsid w:val="003706A8"/>
    <w:rsid w:val="00372E1B"/>
    <w:rsid w:val="00374773"/>
    <w:rsid w:val="00375ED5"/>
    <w:rsid w:val="00383294"/>
    <w:rsid w:val="00383995"/>
    <w:rsid w:val="00383AFC"/>
    <w:rsid w:val="00383F86"/>
    <w:rsid w:val="0039129B"/>
    <w:rsid w:val="00395CFA"/>
    <w:rsid w:val="003A19DB"/>
    <w:rsid w:val="003A217D"/>
    <w:rsid w:val="003A2D7B"/>
    <w:rsid w:val="003A74BF"/>
    <w:rsid w:val="003B3123"/>
    <w:rsid w:val="003B3389"/>
    <w:rsid w:val="003B5B7D"/>
    <w:rsid w:val="003B7847"/>
    <w:rsid w:val="003C0E51"/>
    <w:rsid w:val="003C3AEA"/>
    <w:rsid w:val="003C7721"/>
    <w:rsid w:val="003D081D"/>
    <w:rsid w:val="003D11A3"/>
    <w:rsid w:val="003D3345"/>
    <w:rsid w:val="003D72E4"/>
    <w:rsid w:val="003E0A4D"/>
    <w:rsid w:val="003E0AB7"/>
    <w:rsid w:val="003E1403"/>
    <w:rsid w:val="003E20AB"/>
    <w:rsid w:val="003E4982"/>
    <w:rsid w:val="003E4BED"/>
    <w:rsid w:val="003E551F"/>
    <w:rsid w:val="003E7DE8"/>
    <w:rsid w:val="003F1994"/>
    <w:rsid w:val="003F2C22"/>
    <w:rsid w:val="003F34C7"/>
    <w:rsid w:val="00400F1E"/>
    <w:rsid w:val="00403E50"/>
    <w:rsid w:val="00407CFF"/>
    <w:rsid w:val="00413539"/>
    <w:rsid w:val="00413EAC"/>
    <w:rsid w:val="0041587C"/>
    <w:rsid w:val="00415A92"/>
    <w:rsid w:val="004205A9"/>
    <w:rsid w:val="0042127E"/>
    <w:rsid w:val="004219FD"/>
    <w:rsid w:val="004228CD"/>
    <w:rsid w:val="004251B5"/>
    <w:rsid w:val="00426354"/>
    <w:rsid w:val="00431E2F"/>
    <w:rsid w:val="0043395E"/>
    <w:rsid w:val="004353FE"/>
    <w:rsid w:val="00440CCC"/>
    <w:rsid w:val="00443639"/>
    <w:rsid w:val="00445A3B"/>
    <w:rsid w:val="00450823"/>
    <w:rsid w:val="00452904"/>
    <w:rsid w:val="00456178"/>
    <w:rsid w:val="00456B35"/>
    <w:rsid w:val="00462643"/>
    <w:rsid w:val="004634CC"/>
    <w:rsid w:val="00466380"/>
    <w:rsid w:val="0046770D"/>
    <w:rsid w:val="0047296C"/>
    <w:rsid w:val="00474B0A"/>
    <w:rsid w:val="00476FD0"/>
    <w:rsid w:val="00477210"/>
    <w:rsid w:val="0047762C"/>
    <w:rsid w:val="00482B31"/>
    <w:rsid w:val="004833B5"/>
    <w:rsid w:val="0048710E"/>
    <w:rsid w:val="004901AB"/>
    <w:rsid w:val="0049468D"/>
    <w:rsid w:val="00497C50"/>
    <w:rsid w:val="004A52D9"/>
    <w:rsid w:val="004A7400"/>
    <w:rsid w:val="004B1458"/>
    <w:rsid w:val="004B483E"/>
    <w:rsid w:val="004C1C38"/>
    <w:rsid w:val="004C2367"/>
    <w:rsid w:val="004C4A3E"/>
    <w:rsid w:val="004C660D"/>
    <w:rsid w:val="004D1529"/>
    <w:rsid w:val="004D19CE"/>
    <w:rsid w:val="004D1F0F"/>
    <w:rsid w:val="004D4522"/>
    <w:rsid w:val="004D4F7B"/>
    <w:rsid w:val="004D5C76"/>
    <w:rsid w:val="004D7F2E"/>
    <w:rsid w:val="004E244C"/>
    <w:rsid w:val="004E5CCC"/>
    <w:rsid w:val="004E6400"/>
    <w:rsid w:val="004E6E33"/>
    <w:rsid w:val="004F521E"/>
    <w:rsid w:val="0050240F"/>
    <w:rsid w:val="00503974"/>
    <w:rsid w:val="0050529F"/>
    <w:rsid w:val="00506D4E"/>
    <w:rsid w:val="00514B5E"/>
    <w:rsid w:val="00515455"/>
    <w:rsid w:val="0052286C"/>
    <w:rsid w:val="00522AB9"/>
    <w:rsid w:val="00524D50"/>
    <w:rsid w:val="005265B9"/>
    <w:rsid w:val="00527495"/>
    <w:rsid w:val="0053013B"/>
    <w:rsid w:val="00533533"/>
    <w:rsid w:val="00535E24"/>
    <w:rsid w:val="0053653A"/>
    <w:rsid w:val="00536FA8"/>
    <w:rsid w:val="005420B6"/>
    <w:rsid w:val="00543D9F"/>
    <w:rsid w:val="005440F6"/>
    <w:rsid w:val="0054557A"/>
    <w:rsid w:val="00546DD6"/>
    <w:rsid w:val="005535F3"/>
    <w:rsid w:val="00554A1E"/>
    <w:rsid w:val="005572D6"/>
    <w:rsid w:val="0055771D"/>
    <w:rsid w:val="00561E2F"/>
    <w:rsid w:val="00562336"/>
    <w:rsid w:val="00562992"/>
    <w:rsid w:val="00563629"/>
    <w:rsid w:val="0056523E"/>
    <w:rsid w:val="0056700C"/>
    <w:rsid w:val="00567FCF"/>
    <w:rsid w:val="00567FE0"/>
    <w:rsid w:val="00570116"/>
    <w:rsid w:val="0057054E"/>
    <w:rsid w:val="00570A48"/>
    <w:rsid w:val="00570FBB"/>
    <w:rsid w:val="00573ADD"/>
    <w:rsid w:val="00575295"/>
    <w:rsid w:val="00577D9A"/>
    <w:rsid w:val="00581731"/>
    <w:rsid w:val="005845CB"/>
    <w:rsid w:val="0058483B"/>
    <w:rsid w:val="00584866"/>
    <w:rsid w:val="0058498A"/>
    <w:rsid w:val="005862EA"/>
    <w:rsid w:val="00586350"/>
    <w:rsid w:val="00591C73"/>
    <w:rsid w:val="0059222D"/>
    <w:rsid w:val="005A0CEC"/>
    <w:rsid w:val="005A18C5"/>
    <w:rsid w:val="005A2DB7"/>
    <w:rsid w:val="005A3D82"/>
    <w:rsid w:val="005A7A29"/>
    <w:rsid w:val="005B45FF"/>
    <w:rsid w:val="005B597A"/>
    <w:rsid w:val="005B5DC4"/>
    <w:rsid w:val="005B5E54"/>
    <w:rsid w:val="005B7C71"/>
    <w:rsid w:val="005C403F"/>
    <w:rsid w:val="005C4A6B"/>
    <w:rsid w:val="005C5374"/>
    <w:rsid w:val="005C5EC5"/>
    <w:rsid w:val="005D0EFE"/>
    <w:rsid w:val="005D2A59"/>
    <w:rsid w:val="005D37F1"/>
    <w:rsid w:val="005D5B4E"/>
    <w:rsid w:val="005D708E"/>
    <w:rsid w:val="005E4D80"/>
    <w:rsid w:val="005E6A54"/>
    <w:rsid w:val="005F0C00"/>
    <w:rsid w:val="005F325A"/>
    <w:rsid w:val="005F33F2"/>
    <w:rsid w:val="005F3987"/>
    <w:rsid w:val="005F407D"/>
    <w:rsid w:val="00600282"/>
    <w:rsid w:val="00600CE2"/>
    <w:rsid w:val="0060195A"/>
    <w:rsid w:val="00602002"/>
    <w:rsid w:val="0060359A"/>
    <w:rsid w:val="006145F1"/>
    <w:rsid w:val="0061688C"/>
    <w:rsid w:val="006178F5"/>
    <w:rsid w:val="00617F30"/>
    <w:rsid w:val="00623855"/>
    <w:rsid w:val="00623B50"/>
    <w:rsid w:val="006248D0"/>
    <w:rsid w:val="0062744A"/>
    <w:rsid w:val="006314CD"/>
    <w:rsid w:val="00633459"/>
    <w:rsid w:val="006341F1"/>
    <w:rsid w:val="00634F4E"/>
    <w:rsid w:val="0063531F"/>
    <w:rsid w:val="00635360"/>
    <w:rsid w:val="00636FAA"/>
    <w:rsid w:val="00637842"/>
    <w:rsid w:val="00642596"/>
    <w:rsid w:val="00642E50"/>
    <w:rsid w:val="0064374A"/>
    <w:rsid w:val="00644180"/>
    <w:rsid w:val="00646049"/>
    <w:rsid w:val="006477FE"/>
    <w:rsid w:val="00655E70"/>
    <w:rsid w:val="00656BF8"/>
    <w:rsid w:val="00657108"/>
    <w:rsid w:val="00657154"/>
    <w:rsid w:val="00660A81"/>
    <w:rsid w:val="0066112C"/>
    <w:rsid w:val="00661845"/>
    <w:rsid w:val="00662D94"/>
    <w:rsid w:val="00662DDE"/>
    <w:rsid w:val="006633D5"/>
    <w:rsid w:val="00663909"/>
    <w:rsid w:val="0066478C"/>
    <w:rsid w:val="00666935"/>
    <w:rsid w:val="006671BC"/>
    <w:rsid w:val="00677A2F"/>
    <w:rsid w:val="00680679"/>
    <w:rsid w:val="00682689"/>
    <w:rsid w:val="00683FFB"/>
    <w:rsid w:val="0068558E"/>
    <w:rsid w:val="0068627F"/>
    <w:rsid w:val="006917C2"/>
    <w:rsid w:val="00692B8B"/>
    <w:rsid w:val="00694E8F"/>
    <w:rsid w:val="00695279"/>
    <w:rsid w:val="00697052"/>
    <w:rsid w:val="006A1402"/>
    <w:rsid w:val="006A16C2"/>
    <w:rsid w:val="006A26F8"/>
    <w:rsid w:val="006A30E5"/>
    <w:rsid w:val="006A3345"/>
    <w:rsid w:val="006A45B5"/>
    <w:rsid w:val="006A61A1"/>
    <w:rsid w:val="006A69AF"/>
    <w:rsid w:val="006B02FD"/>
    <w:rsid w:val="006B03B2"/>
    <w:rsid w:val="006B428C"/>
    <w:rsid w:val="006B4ACA"/>
    <w:rsid w:val="006B62E9"/>
    <w:rsid w:val="006C03F3"/>
    <w:rsid w:val="006C0471"/>
    <w:rsid w:val="006C0806"/>
    <w:rsid w:val="006C1C84"/>
    <w:rsid w:val="006C4BB7"/>
    <w:rsid w:val="006C6800"/>
    <w:rsid w:val="006D0643"/>
    <w:rsid w:val="006D0652"/>
    <w:rsid w:val="006D1D6D"/>
    <w:rsid w:val="006D2E37"/>
    <w:rsid w:val="006D349B"/>
    <w:rsid w:val="006D34E8"/>
    <w:rsid w:val="006D3AB1"/>
    <w:rsid w:val="006D482A"/>
    <w:rsid w:val="006E5307"/>
    <w:rsid w:val="006E5CBE"/>
    <w:rsid w:val="006E77CE"/>
    <w:rsid w:val="006E7E9F"/>
    <w:rsid w:val="006E7FA8"/>
    <w:rsid w:val="006F4623"/>
    <w:rsid w:val="006F4B40"/>
    <w:rsid w:val="006F54BC"/>
    <w:rsid w:val="006F6BBD"/>
    <w:rsid w:val="00700EC3"/>
    <w:rsid w:val="00701883"/>
    <w:rsid w:val="00701F40"/>
    <w:rsid w:val="00701FEA"/>
    <w:rsid w:val="00704C1E"/>
    <w:rsid w:val="00706DE1"/>
    <w:rsid w:val="007110C9"/>
    <w:rsid w:val="0071232B"/>
    <w:rsid w:val="00714BA3"/>
    <w:rsid w:val="00714CA0"/>
    <w:rsid w:val="00721098"/>
    <w:rsid w:val="007212E2"/>
    <w:rsid w:val="007214EB"/>
    <w:rsid w:val="00721C4E"/>
    <w:rsid w:val="00722988"/>
    <w:rsid w:val="00723A43"/>
    <w:rsid w:val="00723A87"/>
    <w:rsid w:val="00724F28"/>
    <w:rsid w:val="00725BF2"/>
    <w:rsid w:val="00730705"/>
    <w:rsid w:val="00733AA8"/>
    <w:rsid w:val="00733F3D"/>
    <w:rsid w:val="0073762F"/>
    <w:rsid w:val="00740A6B"/>
    <w:rsid w:val="00745C3C"/>
    <w:rsid w:val="00745D77"/>
    <w:rsid w:val="00750904"/>
    <w:rsid w:val="00750E77"/>
    <w:rsid w:val="00752F0A"/>
    <w:rsid w:val="00755CD2"/>
    <w:rsid w:val="00756FCD"/>
    <w:rsid w:val="0076329B"/>
    <w:rsid w:val="00763DEE"/>
    <w:rsid w:val="00766BCF"/>
    <w:rsid w:val="00767F39"/>
    <w:rsid w:val="007724E1"/>
    <w:rsid w:val="007726E1"/>
    <w:rsid w:val="00774F4B"/>
    <w:rsid w:val="00776889"/>
    <w:rsid w:val="007812A8"/>
    <w:rsid w:val="00784BEA"/>
    <w:rsid w:val="0079256F"/>
    <w:rsid w:val="00793C77"/>
    <w:rsid w:val="00795538"/>
    <w:rsid w:val="007A19CE"/>
    <w:rsid w:val="007A2304"/>
    <w:rsid w:val="007A3C6A"/>
    <w:rsid w:val="007A5821"/>
    <w:rsid w:val="007A5D06"/>
    <w:rsid w:val="007B3885"/>
    <w:rsid w:val="007B51E2"/>
    <w:rsid w:val="007C0C2B"/>
    <w:rsid w:val="007C113F"/>
    <w:rsid w:val="007C1CA5"/>
    <w:rsid w:val="007C2017"/>
    <w:rsid w:val="007C2625"/>
    <w:rsid w:val="007C64CB"/>
    <w:rsid w:val="007C7036"/>
    <w:rsid w:val="007C7E79"/>
    <w:rsid w:val="007D1073"/>
    <w:rsid w:val="007D1966"/>
    <w:rsid w:val="007D2C16"/>
    <w:rsid w:val="007D3769"/>
    <w:rsid w:val="007D38B7"/>
    <w:rsid w:val="007D6B10"/>
    <w:rsid w:val="007D6B43"/>
    <w:rsid w:val="007E1D79"/>
    <w:rsid w:val="007E2A95"/>
    <w:rsid w:val="007E48C6"/>
    <w:rsid w:val="007E5668"/>
    <w:rsid w:val="007F1D70"/>
    <w:rsid w:val="007F219C"/>
    <w:rsid w:val="007F2841"/>
    <w:rsid w:val="007F572A"/>
    <w:rsid w:val="007F5C69"/>
    <w:rsid w:val="007F6AF2"/>
    <w:rsid w:val="007F7AD0"/>
    <w:rsid w:val="00802A66"/>
    <w:rsid w:val="00806A61"/>
    <w:rsid w:val="0081001A"/>
    <w:rsid w:val="00810FCE"/>
    <w:rsid w:val="0081126B"/>
    <w:rsid w:val="00811962"/>
    <w:rsid w:val="00814DFC"/>
    <w:rsid w:val="00815CC2"/>
    <w:rsid w:val="008205F6"/>
    <w:rsid w:val="00821541"/>
    <w:rsid w:val="00824188"/>
    <w:rsid w:val="008300A8"/>
    <w:rsid w:val="00830647"/>
    <w:rsid w:val="00830E80"/>
    <w:rsid w:val="00832A70"/>
    <w:rsid w:val="0083390D"/>
    <w:rsid w:val="00835174"/>
    <w:rsid w:val="00837C59"/>
    <w:rsid w:val="008402D5"/>
    <w:rsid w:val="00842976"/>
    <w:rsid w:val="00843F1E"/>
    <w:rsid w:val="00846187"/>
    <w:rsid w:val="00850AB3"/>
    <w:rsid w:val="0085276D"/>
    <w:rsid w:val="008542E8"/>
    <w:rsid w:val="0085484D"/>
    <w:rsid w:val="00855975"/>
    <w:rsid w:val="00856190"/>
    <w:rsid w:val="0085662A"/>
    <w:rsid w:val="00857AF6"/>
    <w:rsid w:val="00860872"/>
    <w:rsid w:val="008608F5"/>
    <w:rsid w:val="00861C9D"/>
    <w:rsid w:val="00862095"/>
    <w:rsid w:val="00862331"/>
    <w:rsid w:val="008666B0"/>
    <w:rsid w:val="00866FF1"/>
    <w:rsid w:val="00867957"/>
    <w:rsid w:val="008724D3"/>
    <w:rsid w:val="00872B3C"/>
    <w:rsid w:val="00876A2A"/>
    <w:rsid w:val="008810FA"/>
    <w:rsid w:val="00884662"/>
    <w:rsid w:val="00884878"/>
    <w:rsid w:val="00885B9C"/>
    <w:rsid w:val="008968BB"/>
    <w:rsid w:val="00896927"/>
    <w:rsid w:val="00897E16"/>
    <w:rsid w:val="008A0A85"/>
    <w:rsid w:val="008A144E"/>
    <w:rsid w:val="008A1548"/>
    <w:rsid w:val="008A27BE"/>
    <w:rsid w:val="008A2F5B"/>
    <w:rsid w:val="008A4610"/>
    <w:rsid w:val="008A53E1"/>
    <w:rsid w:val="008A628A"/>
    <w:rsid w:val="008A66CC"/>
    <w:rsid w:val="008B5972"/>
    <w:rsid w:val="008B5DBA"/>
    <w:rsid w:val="008B5F65"/>
    <w:rsid w:val="008B75C4"/>
    <w:rsid w:val="008B792F"/>
    <w:rsid w:val="008C418C"/>
    <w:rsid w:val="008C5D32"/>
    <w:rsid w:val="008C5F1F"/>
    <w:rsid w:val="008C6315"/>
    <w:rsid w:val="008C7F88"/>
    <w:rsid w:val="008D02F8"/>
    <w:rsid w:val="008D056D"/>
    <w:rsid w:val="008D267E"/>
    <w:rsid w:val="008D27EF"/>
    <w:rsid w:val="008D2DC8"/>
    <w:rsid w:val="008D34F9"/>
    <w:rsid w:val="008D3BEB"/>
    <w:rsid w:val="008D6A83"/>
    <w:rsid w:val="008D745E"/>
    <w:rsid w:val="008D773F"/>
    <w:rsid w:val="008E14B2"/>
    <w:rsid w:val="008E384C"/>
    <w:rsid w:val="008E4075"/>
    <w:rsid w:val="008F0226"/>
    <w:rsid w:val="008F04A6"/>
    <w:rsid w:val="008F06F2"/>
    <w:rsid w:val="008F11CF"/>
    <w:rsid w:val="008F4C4B"/>
    <w:rsid w:val="008F5D80"/>
    <w:rsid w:val="008F693C"/>
    <w:rsid w:val="008F6D84"/>
    <w:rsid w:val="008F6DEE"/>
    <w:rsid w:val="00901304"/>
    <w:rsid w:val="0090521A"/>
    <w:rsid w:val="009076E1"/>
    <w:rsid w:val="00907AC4"/>
    <w:rsid w:val="00910F2A"/>
    <w:rsid w:val="009144DA"/>
    <w:rsid w:val="00914A3B"/>
    <w:rsid w:val="00915871"/>
    <w:rsid w:val="00917436"/>
    <w:rsid w:val="00922659"/>
    <w:rsid w:val="00923650"/>
    <w:rsid w:val="00923D3D"/>
    <w:rsid w:val="00923F07"/>
    <w:rsid w:val="00924CCB"/>
    <w:rsid w:val="0092520A"/>
    <w:rsid w:val="00931473"/>
    <w:rsid w:val="00931FFE"/>
    <w:rsid w:val="00932FAD"/>
    <w:rsid w:val="009330DE"/>
    <w:rsid w:val="009331E3"/>
    <w:rsid w:val="0093382E"/>
    <w:rsid w:val="009351E7"/>
    <w:rsid w:val="009363D4"/>
    <w:rsid w:val="00937386"/>
    <w:rsid w:val="00940ADA"/>
    <w:rsid w:val="00943A84"/>
    <w:rsid w:val="00945A2E"/>
    <w:rsid w:val="00951562"/>
    <w:rsid w:val="00954EF3"/>
    <w:rsid w:val="009572FC"/>
    <w:rsid w:val="00960726"/>
    <w:rsid w:val="0096107E"/>
    <w:rsid w:val="009628B8"/>
    <w:rsid w:val="00963119"/>
    <w:rsid w:val="0096448D"/>
    <w:rsid w:val="00965B10"/>
    <w:rsid w:val="009668EF"/>
    <w:rsid w:val="00966A56"/>
    <w:rsid w:val="0097106E"/>
    <w:rsid w:val="00972015"/>
    <w:rsid w:val="00972713"/>
    <w:rsid w:val="009729A9"/>
    <w:rsid w:val="00973ED6"/>
    <w:rsid w:val="009747E0"/>
    <w:rsid w:val="0098030D"/>
    <w:rsid w:val="00981E62"/>
    <w:rsid w:val="00981FD3"/>
    <w:rsid w:val="0098481C"/>
    <w:rsid w:val="00987775"/>
    <w:rsid w:val="00987D91"/>
    <w:rsid w:val="00990E76"/>
    <w:rsid w:val="009918D3"/>
    <w:rsid w:val="00992853"/>
    <w:rsid w:val="00995161"/>
    <w:rsid w:val="009953BA"/>
    <w:rsid w:val="00997BA7"/>
    <w:rsid w:val="00997EDD"/>
    <w:rsid w:val="009A0CBD"/>
    <w:rsid w:val="009A1E07"/>
    <w:rsid w:val="009A28D2"/>
    <w:rsid w:val="009A3C03"/>
    <w:rsid w:val="009A3C5F"/>
    <w:rsid w:val="009A4D39"/>
    <w:rsid w:val="009A73AA"/>
    <w:rsid w:val="009B2876"/>
    <w:rsid w:val="009B339F"/>
    <w:rsid w:val="009B4CD0"/>
    <w:rsid w:val="009B4D17"/>
    <w:rsid w:val="009B5190"/>
    <w:rsid w:val="009B654F"/>
    <w:rsid w:val="009C0B8B"/>
    <w:rsid w:val="009C13FF"/>
    <w:rsid w:val="009C16DF"/>
    <w:rsid w:val="009C2336"/>
    <w:rsid w:val="009C4804"/>
    <w:rsid w:val="009C4C90"/>
    <w:rsid w:val="009C5A4B"/>
    <w:rsid w:val="009C672C"/>
    <w:rsid w:val="009C67D9"/>
    <w:rsid w:val="009D0F4C"/>
    <w:rsid w:val="009D148F"/>
    <w:rsid w:val="009D188B"/>
    <w:rsid w:val="009D2756"/>
    <w:rsid w:val="009D31E0"/>
    <w:rsid w:val="009D3524"/>
    <w:rsid w:val="009D5FC7"/>
    <w:rsid w:val="009D7861"/>
    <w:rsid w:val="009E166E"/>
    <w:rsid w:val="009E3914"/>
    <w:rsid w:val="009E6780"/>
    <w:rsid w:val="009E724E"/>
    <w:rsid w:val="009F2ECE"/>
    <w:rsid w:val="009F4D99"/>
    <w:rsid w:val="009F50F0"/>
    <w:rsid w:val="009F780A"/>
    <w:rsid w:val="009F7CC4"/>
    <w:rsid w:val="00A03086"/>
    <w:rsid w:val="00A03911"/>
    <w:rsid w:val="00A0434B"/>
    <w:rsid w:val="00A04635"/>
    <w:rsid w:val="00A05140"/>
    <w:rsid w:val="00A0608C"/>
    <w:rsid w:val="00A06A2D"/>
    <w:rsid w:val="00A06CC9"/>
    <w:rsid w:val="00A10DE1"/>
    <w:rsid w:val="00A14744"/>
    <w:rsid w:val="00A20BCE"/>
    <w:rsid w:val="00A20DF2"/>
    <w:rsid w:val="00A21FC2"/>
    <w:rsid w:val="00A22538"/>
    <w:rsid w:val="00A22760"/>
    <w:rsid w:val="00A27F59"/>
    <w:rsid w:val="00A34039"/>
    <w:rsid w:val="00A349F3"/>
    <w:rsid w:val="00A3552E"/>
    <w:rsid w:val="00A35FDD"/>
    <w:rsid w:val="00A417FA"/>
    <w:rsid w:val="00A42760"/>
    <w:rsid w:val="00A434E6"/>
    <w:rsid w:val="00A435EC"/>
    <w:rsid w:val="00A43CB8"/>
    <w:rsid w:val="00A43CC3"/>
    <w:rsid w:val="00A443C7"/>
    <w:rsid w:val="00A455AF"/>
    <w:rsid w:val="00A5002A"/>
    <w:rsid w:val="00A52C71"/>
    <w:rsid w:val="00A53C3C"/>
    <w:rsid w:val="00A5551F"/>
    <w:rsid w:val="00A55733"/>
    <w:rsid w:val="00A56491"/>
    <w:rsid w:val="00A56626"/>
    <w:rsid w:val="00A63710"/>
    <w:rsid w:val="00A63A3C"/>
    <w:rsid w:val="00A6482E"/>
    <w:rsid w:val="00A654FC"/>
    <w:rsid w:val="00A65CAA"/>
    <w:rsid w:val="00A71981"/>
    <w:rsid w:val="00A72656"/>
    <w:rsid w:val="00A74092"/>
    <w:rsid w:val="00A75AB6"/>
    <w:rsid w:val="00A766FD"/>
    <w:rsid w:val="00A773B3"/>
    <w:rsid w:val="00A820E7"/>
    <w:rsid w:val="00A83710"/>
    <w:rsid w:val="00A94EC5"/>
    <w:rsid w:val="00AA159C"/>
    <w:rsid w:val="00AA4003"/>
    <w:rsid w:val="00AA4F9F"/>
    <w:rsid w:val="00AA778C"/>
    <w:rsid w:val="00AA7D6B"/>
    <w:rsid w:val="00AB3900"/>
    <w:rsid w:val="00AB7215"/>
    <w:rsid w:val="00AC3AD0"/>
    <w:rsid w:val="00AC56C2"/>
    <w:rsid w:val="00AC5E19"/>
    <w:rsid w:val="00AC61E0"/>
    <w:rsid w:val="00AC6D29"/>
    <w:rsid w:val="00AC7B56"/>
    <w:rsid w:val="00AD2E0D"/>
    <w:rsid w:val="00AE0FCA"/>
    <w:rsid w:val="00AE28FC"/>
    <w:rsid w:val="00AE35FC"/>
    <w:rsid w:val="00AE3FEB"/>
    <w:rsid w:val="00AE4B56"/>
    <w:rsid w:val="00AE5C52"/>
    <w:rsid w:val="00AF045F"/>
    <w:rsid w:val="00AF0FA2"/>
    <w:rsid w:val="00AF0FDD"/>
    <w:rsid w:val="00AF3799"/>
    <w:rsid w:val="00B062C0"/>
    <w:rsid w:val="00B0642D"/>
    <w:rsid w:val="00B078E4"/>
    <w:rsid w:val="00B1071C"/>
    <w:rsid w:val="00B12844"/>
    <w:rsid w:val="00B12B66"/>
    <w:rsid w:val="00B17A9D"/>
    <w:rsid w:val="00B21C2F"/>
    <w:rsid w:val="00B22217"/>
    <w:rsid w:val="00B22F85"/>
    <w:rsid w:val="00B2326D"/>
    <w:rsid w:val="00B250F1"/>
    <w:rsid w:val="00B256B3"/>
    <w:rsid w:val="00B25CA1"/>
    <w:rsid w:val="00B25E26"/>
    <w:rsid w:val="00B2764E"/>
    <w:rsid w:val="00B30DFE"/>
    <w:rsid w:val="00B30E77"/>
    <w:rsid w:val="00B33F27"/>
    <w:rsid w:val="00B3699D"/>
    <w:rsid w:val="00B377F6"/>
    <w:rsid w:val="00B4131B"/>
    <w:rsid w:val="00B43286"/>
    <w:rsid w:val="00B43F99"/>
    <w:rsid w:val="00B443EE"/>
    <w:rsid w:val="00B45522"/>
    <w:rsid w:val="00B456CC"/>
    <w:rsid w:val="00B478EF"/>
    <w:rsid w:val="00B50796"/>
    <w:rsid w:val="00B50AB7"/>
    <w:rsid w:val="00B51BAD"/>
    <w:rsid w:val="00B51D54"/>
    <w:rsid w:val="00B5261E"/>
    <w:rsid w:val="00B56551"/>
    <w:rsid w:val="00B56F61"/>
    <w:rsid w:val="00B57AE9"/>
    <w:rsid w:val="00B638BD"/>
    <w:rsid w:val="00B6534E"/>
    <w:rsid w:val="00B65EB5"/>
    <w:rsid w:val="00B72CEC"/>
    <w:rsid w:val="00B75D6A"/>
    <w:rsid w:val="00B762C3"/>
    <w:rsid w:val="00B7692A"/>
    <w:rsid w:val="00B80707"/>
    <w:rsid w:val="00B80971"/>
    <w:rsid w:val="00B80D2E"/>
    <w:rsid w:val="00B854C2"/>
    <w:rsid w:val="00B87253"/>
    <w:rsid w:val="00B87675"/>
    <w:rsid w:val="00B879C1"/>
    <w:rsid w:val="00B87EEC"/>
    <w:rsid w:val="00B909CE"/>
    <w:rsid w:val="00B90EE9"/>
    <w:rsid w:val="00B9163A"/>
    <w:rsid w:val="00B9328B"/>
    <w:rsid w:val="00B95043"/>
    <w:rsid w:val="00BA01ED"/>
    <w:rsid w:val="00BA0E3D"/>
    <w:rsid w:val="00BA1831"/>
    <w:rsid w:val="00BA3026"/>
    <w:rsid w:val="00BA3EFF"/>
    <w:rsid w:val="00BA4972"/>
    <w:rsid w:val="00BA5FE7"/>
    <w:rsid w:val="00BA6887"/>
    <w:rsid w:val="00BB1B14"/>
    <w:rsid w:val="00BB1C24"/>
    <w:rsid w:val="00BB3DD3"/>
    <w:rsid w:val="00BB4D97"/>
    <w:rsid w:val="00BB6290"/>
    <w:rsid w:val="00BB7DAC"/>
    <w:rsid w:val="00BC36F6"/>
    <w:rsid w:val="00BC3A5B"/>
    <w:rsid w:val="00BC3F24"/>
    <w:rsid w:val="00BC4EF3"/>
    <w:rsid w:val="00BC6774"/>
    <w:rsid w:val="00BC6EEF"/>
    <w:rsid w:val="00BC7980"/>
    <w:rsid w:val="00BD0258"/>
    <w:rsid w:val="00BD42D3"/>
    <w:rsid w:val="00BD4D43"/>
    <w:rsid w:val="00BD7B7B"/>
    <w:rsid w:val="00BE0D5C"/>
    <w:rsid w:val="00BE266B"/>
    <w:rsid w:val="00BE3459"/>
    <w:rsid w:val="00BE4A4B"/>
    <w:rsid w:val="00BE65E4"/>
    <w:rsid w:val="00BE76B9"/>
    <w:rsid w:val="00BF0AA7"/>
    <w:rsid w:val="00BF0B6A"/>
    <w:rsid w:val="00BF1647"/>
    <w:rsid w:val="00BF2F97"/>
    <w:rsid w:val="00BF5E0C"/>
    <w:rsid w:val="00C00765"/>
    <w:rsid w:val="00C00CD6"/>
    <w:rsid w:val="00C06287"/>
    <w:rsid w:val="00C07940"/>
    <w:rsid w:val="00C07E63"/>
    <w:rsid w:val="00C16C6E"/>
    <w:rsid w:val="00C20D5E"/>
    <w:rsid w:val="00C213BF"/>
    <w:rsid w:val="00C21D71"/>
    <w:rsid w:val="00C23583"/>
    <w:rsid w:val="00C23A47"/>
    <w:rsid w:val="00C258E7"/>
    <w:rsid w:val="00C25F99"/>
    <w:rsid w:val="00C2751C"/>
    <w:rsid w:val="00C3010C"/>
    <w:rsid w:val="00C31765"/>
    <w:rsid w:val="00C3398F"/>
    <w:rsid w:val="00C3684E"/>
    <w:rsid w:val="00C36886"/>
    <w:rsid w:val="00C36C67"/>
    <w:rsid w:val="00C40613"/>
    <w:rsid w:val="00C4066A"/>
    <w:rsid w:val="00C40D0E"/>
    <w:rsid w:val="00C440EA"/>
    <w:rsid w:val="00C44D42"/>
    <w:rsid w:val="00C46478"/>
    <w:rsid w:val="00C469FC"/>
    <w:rsid w:val="00C4765C"/>
    <w:rsid w:val="00C52C10"/>
    <w:rsid w:val="00C52ED1"/>
    <w:rsid w:val="00C56BAB"/>
    <w:rsid w:val="00C571D5"/>
    <w:rsid w:val="00C60D92"/>
    <w:rsid w:val="00C638B2"/>
    <w:rsid w:val="00C64E30"/>
    <w:rsid w:val="00C65930"/>
    <w:rsid w:val="00C67987"/>
    <w:rsid w:val="00C70670"/>
    <w:rsid w:val="00C73B08"/>
    <w:rsid w:val="00C75815"/>
    <w:rsid w:val="00C758B2"/>
    <w:rsid w:val="00C75AB0"/>
    <w:rsid w:val="00C76201"/>
    <w:rsid w:val="00C76E98"/>
    <w:rsid w:val="00C818B8"/>
    <w:rsid w:val="00C82AA4"/>
    <w:rsid w:val="00C8305C"/>
    <w:rsid w:val="00C85C39"/>
    <w:rsid w:val="00C873CE"/>
    <w:rsid w:val="00C914CE"/>
    <w:rsid w:val="00C92658"/>
    <w:rsid w:val="00C94AFC"/>
    <w:rsid w:val="00C94E80"/>
    <w:rsid w:val="00C94FFA"/>
    <w:rsid w:val="00C95691"/>
    <w:rsid w:val="00C97C3D"/>
    <w:rsid w:val="00CA1BCB"/>
    <w:rsid w:val="00CA1ECD"/>
    <w:rsid w:val="00CA2769"/>
    <w:rsid w:val="00CA4C7F"/>
    <w:rsid w:val="00CA5734"/>
    <w:rsid w:val="00CA61A5"/>
    <w:rsid w:val="00CB7E33"/>
    <w:rsid w:val="00CC1D1E"/>
    <w:rsid w:val="00CC5C34"/>
    <w:rsid w:val="00CD0FA4"/>
    <w:rsid w:val="00CD3555"/>
    <w:rsid w:val="00CD653B"/>
    <w:rsid w:val="00CE0AD5"/>
    <w:rsid w:val="00CE1674"/>
    <w:rsid w:val="00CE16B6"/>
    <w:rsid w:val="00CE3CD0"/>
    <w:rsid w:val="00CF3469"/>
    <w:rsid w:val="00CF501D"/>
    <w:rsid w:val="00CF52E7"/>
    <w:rsid w:val="00CF5974"/>
    <w:rsid w:val="00CF65CE"/>
    <w:rsid w:val="00D04589"/>
    <w:rsid w:val="00D04CC3"/>
    <w:rsid w:val="00D05E23"/>
    <w:rsid w:val="00D0608D"/>
    <w:rsid w:val="00D0642B"/>
    <w:rsid w:val="00D06E87"/>
    <w:rsid w:val="00D06EFC"/>
    <w:rsid w:val="00D1197E"/>
    <w:rsid w:val="00D15CEE"/>
    <w:rsid w:val="00D1619E"/>
    <w:rsid w:val="00D17064"/>
    <w:rsid w:val="00D17C2A"/>
    <w:rsid w:val="00D207FC"/>
    <w:rsid w:val="00D21E4E"/>
    <w:rsid w:val="00D23163"/>
    <w:rsid w:val="00D23FE0"/>
    <w:rsid w:val="00D3080F"/>
    <w:rsid w:val="00D31A98"/>
    <w:rsid w:val="00D33DA7"/>
    <w:rsid w:val="00D344AA"/>
    <w:rsid w:val="00D344C8"/>
    <w:rsid w:val="00D4041C"/>
    <w:rsid w:val="00D410DF"/>
    <w:rsid w:val="00D4319B"/>
    <w:rsid w:val="00D44676"/>
    <w:rsid w:val="00D472D8"/>
    <w:rsid w:val="00D47D70"/>
    <w:rsid w:val="00D53F8B"/>
    <w:rsid w:val="00D5462B"/>
    <w:rsid w:val="00D55DBE"/>
    <w:rsid w:val="00D560B8"/>
    <w:rsid w:val="00D5625F"/>
    <w:rsid w:val="00D56FF4"/>
    <w:rsid w:val="00D632E6"/>
    <w:rsid w:val="00D63565"/>
    <w:rsid w:val="00D6405D"/>
    <w:rsid w:val="00D65D82"/>
    <w:rsid w:val="00D664C8"/>
    <w:rsid w:val="00D67357"/>
    <w:rsid w:val="00D710F7"/>
    <w:rsid w:val="00D72C2C"/>
    <w:rsid w:val="00D74036"/>
    <w:rsid w:val="00D76D01"/>
    <w:rsid w:val="00D779E3"/>
    <w:rsid w:val="00D8035C"/>
    <w:rsid w:val="00D808EE"/>
    <w:rsid w:val="00D824ED"/>
    <w:rsid w:val="00D82E0D"/>
    <w:rsid w:val="00D84140"/>
    <w:rsid w:val="00D90B83"/>
    <w:rsid w:val="00D91D4F"/>
    <w:rsid w:val="00D9248F"/>
    <w:rsid w:val="00D92572"/>
    <w:rsid w:val="00D93663"/>
    <w:rsid w:val="00D94097"/>
    <w:rsid w:val="00DA3F62"/>
    <w:rsid w:val="00DA4B36"/>
    <w:rsid w:val="00DA54FB"/>
    <w:rsid w:val="00DA677F"/>
    <w:rsid w:val="00DA7DA7"/>
    <w:rsid w:val="00DB01AD"/>
    <w:rsid w:val="00DB0CB2"/>
    <w:rsid w:val="00DB22AD"/>
    <w:rsid w:val="00DB4DEF"/>
    <w:rsid w:val="00DB6C3F"/>
    <w:rsid w:val="00DC13FE"/>
    <w:rsid w:val="00DC6928"/>
    <w:rsid w:val="00DC74E6"/>
    <w:rsid w:val="00DD227D"/>
    <w:rsid w:val="00DD2924"/>
    <w:rsid w:val="00DD4D5E"/>
    <w:rsid w:val="00DD514B"/>
    <w:rsid w:val="00DE1688"/>
    <w:rsid w:val="00DE2561"/>
    <w:rsid w:val="00DE4A4E"/>
    <w:rsid w:val="00DE55E6"/>
    <w:rsid w:val="00DE6CCB"/>
    <w:rsid w:val="00DF1A61"/>
    <w:rsid w:val="00DF2327"/>
    <w:rsid w:val="00DF3136"/>
    <w:rsid w:val="00DF7282"/>
    <w:rsid w:val="00E00BE2"/>
    <w:rsid w:val="00E04482"/>
    <w:rsid w:val="00E069D7"/>
    <w:rsid w:val="00E078A3"/>
    <w:rsid w:val="00E07968"/>
    <w:rsid w:val="00E11D60"/>
    <w:rsid w:val="00E134C8"/>
    <w:rsid w:val="00E21EA7"/>
    <w:rsid w:val="00E2224C"/>
    <w:rsid w:val="00E2267F"/>
    <w:rsid w:val="00E23696"/>
    <w:rsid w:val="00E24209"/>
    <w:rsid w:val="00E24DE4"/>
    <w:rsid w:val="00E27C9F"/>
    <w:rsid w:val="00E30358"/>
    <w:rsid w:val="00E37F7E"/>
    <w:rsid w:val="00E42480"/>
    <w:rsid w:val="00E428E0"/>
    <w:rsid w:val="00E432DC"/>
    <w:rsid w:val="00E4377C"/>
    <w:rsid w:val="00E45F9A"/>
    <w:rsid w:val="00E51F64"/>
    <w:rsid w:val="00E5277A"/>
    <w:rsid w:val="00E53D89"/>
    <w:rsid w:val="00E5515A"/>
    <w:rsid w:val="00E56811"/>
    <w:rsid w:val="00E60646"/>
    <w:rsid w:val="00E6139F"/>
    <w:rsid w:val="00E6185F"/>
    <w:rsid w:val="00E61E1E"/>
    <w:rsid w:val="00E62387"/>
    <w:rsid w:val="00E62522"/>
    <w:rsid w:val="00E63EAC"/>
    <w:rsid w:val="00E64B3B"/>
    <w:rsid w:val="00E65B88"/>
    <w:rsid w:val="00E67E83"/>
    <w:rsid w:val="00E703E5"/>
    <w:rsid w:val="00E71A05"/>
    <w:rsid w:val="00E72C2A"/>
    <w:rsid w:val="00E765BF"/>
    <w:rsid w:val="00E83190"/>
    <w:rsid w:val="00E83310"/>
    <w:rsid w:val="00E85A59"/>
    <w:rsid w:val="00E90B9D"/>
    <w:rsid w:val="00E90C41"/>
    <w:rsid w:val="00E923F1"/>
    <w:rsid w:val="00EA0299"/>
    <w:rsid w:val="00EA20E6"/>
    <w:rsid w:val="00EA51E1"/>
    <w:rsid w:val="00EA5B5E"/>
    <w:rsid w:val="00EA5C32"/>
    <w:rsid w:val="00EB2A0F"/>
    <w:rsid w:val="00EB3D8A"/>
    <w:rsid w:val="00EB4AF9"/>
    <w:rsid w:val="00EB6334"/>
    <w:rsid w:val="00EB711D"/>
    <w:rsid w:val="00EC0673"/>
    <w:rsid w:val="00EC3A00"/>
    <w:rsid w:val="00EC4458"/>
    <w:rsid w:val="00EC5051"/>
    <w:rsid w:val="00EC548B"/>
    <w:rsid w:val="00ED003D"/>
    <w:rsid w:val="00ED16F0"/>
    <w:rsid w:val="00ED2536"/>
    <w:rsid w:val="00ED4AE5"/>
    <w:rsid w:val="00EE0E84"/>
    <w:rsid w:val="00EE308D"/>
    <w:rsid w:val="00EE44C9"/>
    <w:rsid w:val="00EF22F2"/>
    <w:rsid w:val="00EF2769"/>
    <w:rsid w:val="00EF4DF3"/>
    <w:rsid w:val="00EF4F0F"/>
    <w:rsid w:val="00EF5A14"/>
    <w:rsid w:val="00EF683A"/>
    <w:rsid w:val="00F00AE2"/>
    <w:rsid w:val="00F01855"/>
    <w:rsid w:val="00F02444"/>
    <w:rsid w:val="00F067A1"/>
    <w:rsid w:val="00F0799D"/>
    <w:rsid w:val="00F112B5"/>
    <w:rsid w:val="00F143C3"/>
    <w:rsid w:val="00F16125"/>
    <w:rsid w:val="00F209D8"/>
    <w:rsid w:val="00F22C23"/>
    <w:rsid w:val="00F23C9B"/>
    <w:rsid w:val="00F23D07"/>
    <w:rsid w:val="00F25C5F"/>
    <w:rsid w:val="00F27ED1"/>
    <w:rsid w:val="00F306E7"/>
    <w:rsid w:val="00F33B12"/>
    <w:rsid w:val="00F35FC5"/>
    <w:rsid w:val="00F37082"/>
    <w:rsid w:val="00F375F7"/>
    <w:rsid w:val="00F405C6"/>
    <w:rsid w:val="00F41DF0"/>
    <w:rsid w:val="00F46297"/>
    <w:rsid w:val="00F46BB9"/>
    <w:rsid w:val="00F47575"/>
    <w:rsid w:val="00F47A1C"/>
    <w:rsid w:val="00F5070C"/>
    <w:rsid w:val="00F5172B"/>
    <w:rsid w:val="00F526E3"/>
    <w:rsid w:val="00F53655"/>
    <w:rsid w:val="00F6071E"/>
    <w:rsid w:val="00F65284"/>
    <w:rsid w:val="00F66511"/>
    <w:rsid w:val="00F66887"/>
    <w:rsid w:val="00F66E76"/>
    <w:rsid w:val="00F711FF"/>
    <w:rsid w:val="00F71512"/>
    <w:rsid w:val="00F74FA5"/>
    <w:rsid w:val="00F77E6A"/>
    <w:rsid w:val="00F77F21"/>
    <w:rsid w:val="00F81AAF"/>
    <w:rsid w:val="00F81D93"/>
    <w:rsid w:val="00F839C0"/>
    <w:rsid w:val="00F86C62"/>
    <w:rsid w:val="00F87473"/>
    <w:rsid w:val="00F93164"/>
    <w:rsid w:val="00F940A3"/>
    <w:rsid w:val="00F9413F"/>
    <w:rsid w:val="00F94D21"/>
    <w:rsid w:val="00F97BC9"/>
    <w:rsid w:val="00F97D1B"/>
    <w:rsid w:val="00FA03EE"/>
    <w:rsid w:val="00FA11D0"/>
    <w:rsid w:val="00FA12DB"/>
    <w:rsid w:val="00FA2732"/>
    <w:rsid w:val="00FA2747"/>
    <w:rsid w:val="00FA39D8"/>
    <w:rsid w:val="00FA406D"/>
    <w:rsid w:val="00FA4570"/>
    <w:rsid w:val="00FA61B2"/>
    <w:rsid w:val="00FA62AB"/>
    <w:rsid w:val="00FA6D44"/>
    <w:rsid w:val="00FA70FE"/>
    <w:rsid w:val="00FA7B40"/>
    <w:rsid w:val="00FB2F93"/>
    <w:rsid w:val="00FC095C"/>
    <w:rsid w:val="00FC19A6"/>
    <w:rsid w:val="00FC1C09"/>
    <w:rsid w:val="00FC3C87"/>
    <w:rsid w:val="00FC3DB0"/>
    <w:rsid w:val="00FC3ECE"/>
    <w:rsid w:val="00FC4436"/>
    <w:rsid w:val="00FC44A4"/>
    <w:rsid w:val="00FC496C"/>
    <w:rsid w:val="00FD0496"/>
    <w:rsid w:val="00FD1A38"/>
    <w:rsid w:val="00FD1A8E"/>
    <w:rsid w:val="00FD2B3E"/>
    <w:rsid w:val="00FD6FAD"/>
    <w:rsid w:val="00FD7B79"/>
    <w:rsid w:val="00FE1536"/>
    <w:rsid w:val="00FE1AB0"/>
    <w:rsid w:val="00FE25EE"/>
    <w:rsid w:val="00FE2A95"/>
    <w:rsid w:val="00FE4491"/>
    <w:rsid w:val="00FE5B08"/>
    <w:rsid w:val="00FE65DB"/>
    <w:rsid w:val="00FF0970"/>
    <w:rsid w:val="00FF22E8"/>
    <w:rsid w:val="00FF2D07"/>
    <w:rsid w:val="00FF4252"/>
    <w:rsid w:val="00FF656F"/>
    <w:rsid w:val="00FF788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caption" w:uiPriority="9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F02444"/>
    <w:pPr>
      <w:numPr>
        <w:ilvl w:val="2"/>
      </w:numPr>
      <w:spacing w:before="300" w:line="260" w:lineRule="atLeast"/>
      <w:ind w:right="0"/>
      <w:outlineLvl w:val="2"/>
    </w:pPr>
    <w:rPr>
      <w:rFonts w:ascii="Times New Roman" w:hAnsi="Times New Roman" w:cs="Times New Roman"/>
      <w:color w:val="auto"/>
      <w:kern w:val="0"/>
      <w:sz w:val="22"/>
      <w:szCs w:val="24"/>
      <w:u w:val="single"/>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50529F"/>
    <w:rPr>
      <w:rFonts w:ascii="Tahoma" w:eastAsia="Times New Roman" w:hAnsi="Tahoma" w:cs="Tahoma"/>
      <w:sz w:val="16"/>
      <w:szCs w:val="16"/>
    </w:rPr>
  </w:style>
  <w:style w:type="character" w:customStyle="1" w:styleId="BalloonTextChar">
    <w:name w:val="Balloon Text Char"/>
    <w:basedOn w:val="DefaultParagraphFont"/>
    <w:uiPriority w:val="99"/>
    <w:semiHidden/>
    <w:rsid w:val="002E1227"/>
    <w:rPr>
      <w:rFonts w:ascii="Lucida Grande" w:hAnsi="Lucida Grande"/>
      <w:sz w:val="18"/>
      <w:szCs w:val="18"/>
    </w:rPr>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F02444"/>
    <w:rPr>
      <w:rFonts w:ascii="Times New Roman" w:eastAsia="Times New Roman" w:hAnsi="Times New Roman" w:cs="Times New Roman"/>
      <w:szCs w:val="24"/>
      <w:u w:val="single"/>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AE4B56"/>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9A3C0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9A3C0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42127E"/>
    <w:pPr>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6D1D6D"/>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6D1D6D"/>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56700C"/>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Clarendon Cd" w:hAnsi="Clarendon C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42127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F77E6A"/>
    <w:pPr>
      <w:spacing w:after="0"/>
      <w:contextualSpacing/>
    </w:pPr>
    <w:rPr>
      <w:sz w:val="14"/>
      <w:szCs w:val="20"/>
    </w:rPr>
  </w:style>
  <w:style w:type="character" w:customStyle="1" w:styleId="FootnoteTextChar">
    <w:name w:val="Footnote Text Char"/>
    <w:basedOn w:val="DefaultParagraphFont"/>
    <w:link w:val="FootnoteText"/>
    <w:rsid w:val="00F77E6A"/>
    <w:rPr>
      <w:rFonts w:ascii="Times New Roman" w:eastAsia="Times New Roman" w:hAnsi="Times New Roman" w:cs="Times New Roman"/>
      <w:sz w:val="14"/>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Default">
    <w:name w:val="Default"/>
    <w:rsid w:val="0085484D"/>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2A18A4"/>
    <w:rPr>
      <w:b/>
      <w:bCs/>
      <w:i/>
      <w:iCs/>
      <w:color w:val="4F81BD" w:themeColor="accent1"/>
    </w:rPr>
  </w:style>
  <w:style w:type="paragraph" w:styleId="Subtitle">
    <w:name w:val="Subtitle"/>
    <w:next w:val="BodyText"/>
    <w:link w:val="SubtitleChar"/>
    <w:qFormat/>
    <w:rsid w:val="002A18A4"/>
    <w:pPr>
      <w:spacing w:before="120" w:after="0" w:line="288" w:lineRule="auto"/>
    </w:pPr>
    <w:rPr>
      <w:rFonts w:ascii="Calibri" w:eastAsia="Times New Roman" w:hAnsi="Calibri" w:cs="Times New Roman"/>
      <w:caps/>
      <w:color w:val="FFFFFF"/>
      <w:kern w:val="28"/>
      <w:sz w:val="25"/>
      <w:szCs w:val="25"/>
    </w:rPr>
  </w:style>
  <w:style w:type="character" w:customStyle="1" w:styleId="SubtitleChar">
    <w:name w:val="Subtitle Char"/>
    <w:basedOn w:val="DefaultParagraphFont"/>
    <w:link w:val="Subtitle"/>
    <w:rsid w:val="002A18A4"/>
    <w:rPr>
      <w:rFonts w:ascii="Calibri" w:eastAsia="Times New Roman" w:hAnsi="Calibri" w:cs="Times New Roman"/>
      <w:caps/>
      <w:color w:val="FFFFFF"/>
      <w:kern w:val="28"/>
      <w:sz w:val="25"/>
      <w:szCs w:val="25"/>
    </w:rPr>
  </w:style>
  <w:style w:type="paragraph" w:customStyle="1" w:styleId="Style2">
    <w:name w:val="Style2"/>
    <w:basedOn w:val="Normal"/>
    <w:uiPriority w:val="99"/>
    <w:rsid w:val="00C40613"/>
    <w:pPr>
      <w:tabs>
        <w:tab w:val="left" w:pos="8505"/>
      </w:tabs>
    </w:pPr>
    <w:rPr>
      <w:rFonts w:ascii="Arial" w:eastAsia="Times New Roman"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caption" w:uiPriority="9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F02444"/>
    <w:pPr>
      <w:numPr>
        <w:ilvl w:val="2"/>
      </w:numPr>
      <w:spacing w:before="300" w:line="260" w:lineRule="atLeast"/>
      <w:ind w:right="0"/>
      <w:outlineLvl w:val="2"/>
    </w:pPr>
    <w:rPr>
      <w:rFonts w:ascii="Times New Roman" w:hAnsi="Times New Roman" w:cs="Times New Roman"/>
      <w:color w:val="auto"/>
      <w:kern w:val="0"/>
      <w:sz w:val="22"/>
      <w:szCs w:val="24"/>
      <w:u w:val="single"/>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50529F"/>
    <w:rPr>
      <w:rFonts w:ascii="Tahoma" w:eastAsia="Times New Roman" w:hAnsi="Tahoma" w:cs="Tahoma"/>
      <w:sz w:val="16"/>
      <w:szCs w:val="16"/>
    </w:rPr>
  </w:style>
  <w:style w:type="character" w:customStyle="1" w:styleId="BalloonTextChar">
    <w:name w:val="Balloon Text Char"/>
    <w:basedOn w:val="DefaultParagraphFont"/>
    <w:uiPriority w:val="99"/>
    <w:semiHidden/>
    <w:rsid w:val="002E1227"/>
    <w:rPr>
      <w:rFonts w:ascii="Lucida Grande" w:hAnsi="Lucida Grande"/>
      <w:sz w:val="18"/>
      <w:szCs w:val="18"/>
    </w:rPr>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F02444"/>
    <w:rPr>
      <w:rFonts w:ascii="Times New Roman" w:eastAsia="Times New Roman" w:hAnsi="Times New Roman" w:cs="Times New Roman"/>
      <w:szCs w:val="24"/>
      <w:u w:val="single"/>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AE4B56"/>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9A3C0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9A3C0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42127E"/>
    <w:pPr>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6D1D6D"/>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6D1D6D"/>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56700C"/>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uiPriority w:val="99"/>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character" w:customStyle="1" w:styleId="BalloonTextChar1">
    <w:name w:val="Balloon Text Char1"/>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Clarendon Cd" w:hAnsi="Clarendon Cd"/>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42127E"/>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nhideWhenUsed/>
    <w:qFormat/>
    <w:rsid w:val="00F77E6A"/>
    <w:pPr>
      <w:spacing w:after="0"/>
      <w:contextualSpacing/>
    </w:pPr>
    <w:rPr>
      <w:sz w:val="14"/>
      <w:szCs w:val="20"/>
    </w:rPr>
  </w:style>
  <w:style w:type="character" w:customStyle="1" w:styleId="FootnoteTextChar">
    <w:name w:val="Footnote Text Char"/>
    <w:basedOn w:val="DefaultParagraphFont"/>
    <w:link w:val="FootnoteText"/>
    <w:rsid w:val="00F77E6A"/>
    <w:rPr>
      <w:rFonts w:ascii="Times New Roman" w:eastAsia="Times New Roman" w:hAnsi="Times New Roman" w:cs="Times New Roman"/>
      <w:sz w:val="14"/>
      <w:szCs w:val="20"/>
    </w:rPr>
  </w:style>
  <w:style w:type="character" w:styleId="FootnoteReference">
    <w:name w:val="footnote reference"/>
    <w:semiHidden/>
    <w:rsid w:val="00F77E6A"/>
    <w:rPr>
      <w:rFonts w:ascii="Times New Roman" w:hAnsi="Times New Roman"/>
      <w:w w:val="100"/>
      <w:position w:val="6"/>
      <w:sz w:val="16"/>
      <w:szCs w:val="12"/>
      <w:vertAlign w:val="baseline"/>
    </w:rPr>
  </w:style>
  <w:style w:type="paragraph" w:customStyle="1" w:styleId="Default">
    <w:name w:val="Default"/>
    <w:rsid w:val="0085484D"/>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2A18A4"/>
    <w:rPr>
      <w:b/>
      <w:bCs/>
      <w:i/>
      <w:iCs/>
      <w:color w:val="4F81BD" w:themeColor="accent1"/>
    </w:rPr>
  </w:style>
  <w:style w:type="paragraph" w:styleId="Subtitle">
    <w:name w:val="Subtitle"/>
    <w:next w:val="BodyText"/>
    <w:link w:val="SubtitleChar"/>
    <w:qFormat/>
    <w:rsid w:val="002A18A4"/>
    <w:pPr>
      <w:spacing w:before="120" w:after="0" w:line="288" w:lineRule="auto"/>
    </w:pPr>
    <w:rPr>
      <w:rFonts w:ascii="Calibri" w:eastAsia="Times New Roman" w:hAnsi="Calibri" w:cs="Times New Roman"/>
      <w:caps/>
      <w:color w:val="FFFFFF"/>
      <w:kern w:val="28"/>
      <w:sz w:val="25"/>
      <w:szCs w:val="25"/>
    </w:rPr>
  </w:style>
  <w:style w:type="character" w:customStyle="1" w:styleId="SubtitleChar">
    <w:name w:val="Subtitle Char"/>
    <w:basedOn w:val="DefaultParagraphFont"/>
    <w:link w:val="Subtitle"/>
    <w:rsid w:val="002A18A4"/>
    <w:rPr>
      <w:rFonts w:ascii="Calibri" w:eastAsia="Times New Roman" w:hAnsi="Calibri" w:cs="Times New Roman"/>
      <w:caps/>
      <w:color w:val="FFFFFF"/>
      <w:kern w:val="28"/>
      <w:sz w:val="25"/>
      <w:szCs w:val="25"/>
    </w:rPr>
  </w:style>
  <w:style w:type="paragraph" w:customStyle="1" w:styleId="Style2">
    <w:name w:val="Style2"/>
    <w:basedOn w:val="Normal"/>
    <w:uiPriority w:val="99"/>
    <w:rsid w:val="00C40613"/>
    <w:pPr>
      <w:tabs>
        <w:tab w:val="left" w:pos="8505"/>
      </w:tabs>
    </w:pPr>
    <w:rPr>
      <w:rFonts w:ascii="Arial" w:eastAsia="Times New Roman"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7613">
      <w:bodyDiv w:val="1"/>
      <w:marLeft w:val="0"/>
      <w:marRight w:val="0"/>
      <w:marTop w:val="0"/>
      <w:marBottom w:val="0"/>
      <w:divBdr>
        <w:top w:val="none" w:sz="0" w:space="0" w:color="auto"/>
        <w:left w:val="none" w:sz="0" w:space="0" w:color="auto"/>
        <w:bottom w:val="none" w:sz="0" w:space="0" w:color="auto"/>
        <w:right w:val="none" w:sz="0" w:space="0" w:color="auto"/>
      </w:divBdr>
    </w:div>
    <w:div w:id="300231750">
      <w:bodyDiv w:val="1"/>
      <w:marLeft w:val="0"/>
      <w:marRight w:val="0"/>
      <w:marTop w:val="0"/>
      <w:marBottom w:val="0"/>
      <w:divBdr>
        <w:top w:val="none" w:sz="0" w:space="0" w:color="auto"/>
        <w:left w:val="none" w:sz="0" w:space="0" w:color="auto"/>
        <w:bottom w:val="none" w:sz="0" w:space="0" w:color="auto"/>
        <w:right w:val="none" w:sz="0" w:space="0" w:color="auto"/>
      </w:divBdr>
    </w:div>
    <w:div w:id="467550692">
      <w:bodyDiv w:val="1"/>
      <w:marLeft w:val="0"/>
      <w:marRight w:val="0"/>
      <w:marTop w:val="0"/>
      <w:marBottom w:val="0"/>
      <w:divBdr>
        <w:top w:val="none" w:sz="0" w:space="0" w:color="auto"/>
        <w:left w:val="none" w:sz="0" w:space="0" w:color="auto"/>
        <w:bottom w:val="none" w:sz="0" w:space="0" w:color="auto"/>
        <w:right w:val="none" w:sz="0" w:space="0" w:color="auto"/>
      </w:divBdr>
      <w:divsChild>
        <w:div w:id="790981500">
          <w:marLeft w:val="0"/>
          <w:marRight w:val="0"/>
          <w:marTop w:val="0"/>
          <w:marBottom w:val="0"/>
          <w:divBdr>
            <w:top w:val="none" w:sz="0" w:space="0" w:color="auto"/>
            <w:left w:val="none" w:sz="0" w:space="0" w:color="auto"/>
            <w:bottom w:val="none" w:sz="0" w:space="0" w:color="auto"/>
            <w:right w:val="none" w:sz="0" w:space="0" w:color="auto"/>
          </w:divBdr>
          <w:divsChild>
            <w:div w:id="1464498653">
              <w:marLeft w:val="0"/>
              <w:marRight w:val="0"/>
              <w:marTop w:val="0"/>
              <w:marBottom w:val="0"/>
              <w:divBdr>
                <w:top w:val="none" w:sz="0" w:space="0" w:color="auto"/>
                <w:left w:val="none" w:sz="0" w:space="0" w:color="auto"/>
                <w:bottom w:val="none" w:sz="0" w:space="0" w:color="auto"/>
                <w:right w:val="none" w:sz="0" w:space="0" w:color="auto"/>
              </w:divBdr>
              <w:divsChild>
                <w:div w:id="1674843463">
                  <w:marLeft w:val="0"/>
                  <w:marRight w:val="0"/>
                  <w:marTop w:val="0"/>
                  <w:marBottom w:val="0"/>
                  <w:divBdr>
                    <w:top w:val="none" w:sz="0" w:space="0" w:color="auto"/>
                    <w:left w:val="none" w:sz="0" w:space="0" w:color="auto"/>
                    <w:bottom w:val="none" w:sz="0" w:space="0" w:color="auto"/>
                    <w:right w:val="none" w:sz="0" w:space="0" w:color="auto"/>
                  </w:divBdr>
                  <w:divsChild>
                    <w:div w:id="477772049">
                      <w:marLeft w:val="0"/>
                      <w:marRight w:val="0"/>
                      <w:marTop w:val="0"/>
                      <w:marBottom w:val="0"/>
                      <w:divBdr>
                        <w:top w:val="none" w:sz="0" w:space="0" w:color="auto"/>
                        <w:left w:val="none" w:sz="0" w:space="0" w:color="auto"/>
                        <w:bottom w:val="none" w:sz="0" w:space="0" w:color="auto"/>
                        <w:right w:val="none" w:sz="0" w:space="0" w:color="auto"/>
                      </w:divBdr>
                      <w:divsChild>
                        <w:div w:id="307630569">
                          <w:marLeft w:val="0"/>
                          <w:marRight w:val="0"/>
                          <w:marTop w:val="0"/>
                          <w:marBottom w:val="0"/>
                          <w:divBdr>
                            <w:top w:val="none" w:sz="0" w:space="0" w:color="auto"/>
                            <w:left w:val="none" w:sz="0" w:space="0" w:color="auto"/>
                            <w:bottom w:val="none" w:sz="0" w:space="0" w:color="auto"/>
                            <w:right w:val="none" w:sz="0" w:space="0" w:color="auto"/>
                          </w:divBdr>
                          <w:divsChild>
                            <w:div w:id="185948610">
                              <w:marLeft w:val="0"/>
                              <w:marRight w:val="0"/>
                              <w:marTop w:val="0"/>
                              <w:marBottom w:val="0"/>
                              <w:divBdr>
                                <w:top w:val="none" w:sz="0" w:space="0" w:color="auto"/>
                                <w:left w:val="none" w:sz="0" w:space="0" w:color="auto"/>
                                <w:bottom w:val="none" w:sz="0" w:space="0" w:color="auto"/>
                                <w:right w:val="none" w:sz="0" w:space="0" w:color="auto"/>
                              </w:divBdr>
                              <w:divsChild>
                                <w:div w:id="87428314">
                                  <w:marLeft w:val="0"/>
                                  <w:marRight w:val="0"/>
                                  <w:marTop w:val="0"/>
                                  <w:marBottom w:val="0"/>
                                  <w:divBdr>
                                    <w:top w:val="none" w:sz="0" w:space="0" w:color="auto"/>
                                    <w:left w:val="none" w:sz="0" w:space="0" w:color="auto"/>
                                    <w:bottom w:val="none" w:sz="0" w:space="0" w:color="auto"/>
                                    <w:right w:val="none" w:sz="0" w:space="0" w:color="auto"/>
                                  </w:divBdr>
                                  <w:divsChild>
                                    <w:div w:id="1362362935">
                                      <w:marLeft w:val="0"/>
                                      <w:marRight w:val="0"/>
                                      <w:marTop w:val="0"/>
                                      <w:marBottom w:val="0"/>
                                      <w:divBdr>
                                        <w:top w:val="single" w:sz="36" w:space="0" w:color="FFFFFF"/>
                                        <w:left w:val="none" w:sz="0" w:space="0" w:color="auto"/>
                                        <w:bottom w:val="none" w:sz="0" w:space="0" w:color="auto"/>
                                        <w:right w:val="none" w:sz="0" w:space="0" w:color="auto"/>
                                      </w:divBdr>
                                      <w:divsChild>
                                        <w:div w:id="1469787144">
                                          <w:marLeft w:val="0"/>
                                          <w:marRight w:val="0"/>
                                          <w:marTop w:val="0"/>
                                          <w:marBottom w:val="0"/>
                                          <w:divBdr>
                                            <w:top w:val="none" w:sz="0" w:space="0" w:color="auto"/>
                                            <w:left w:val="none" w:sz="0" w:space="0" w:color="auto"/>
                                            <w:bottom w:val="none" w:sz="0" w:space="0" w:color="auto"/>
                                            <w:right w:val="none" w:sz="0" w:space="0" w:color="auto"/>
                                          </w:divBdr>
                                          <w:divsChild>
                                            <w:div w:id="17186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944791">
      <w:bodyDiv w:val="1"/>
      <w:marLeft w:val="0"/>
      <w:marRight w:val="0"/>
      <w:marTop w:val="0"/>
      <w:marBottom w:val="0"/>
      <w:divBdr>
        <w:top w:val="none" w:sz="0" w:space="0" w:color="auto"/>
        <w:left w:val="none" w:sz="0" w:space="0" w:color="auto"/>
        <w:bottom w:val="none" w:sz="0" w:space="0" w:color="auto"/>
        <w:right w:val="none" w:sz="0" w:space="0" w:color="auto"/>
      </w:divBdr>
      <w:divsChild>
        <w:div w:id="1725182700">
          <w:marLeft w:val="0"/>
          <w:marRight w:val="0"/>
          <w:marTop w:val="0"/>
          <w:marBottom w:val="0"/>
          <w:divBdr>
            <w:top w:val="none" w:sz="0" w:space="0" w:color="auto"/>
            <w:left w:val="none" w:sz="0" w:space="0" w:color="auto"/>
            <w:bottom w:val="none" w:sz="0" w:space="0" w:color="auto"/>
            <w:right w:val="none" w:sz="0" w:space="0" w:color="auto"/>
          </w:divBdr>
          <w:divsChild>
            <w:div w:id="890770389">
              <w:marLeft w:val="0"/>
              <w:marRight w:val="0"/>
              <w:marTop w:val="0"/>
              <w:marBottom w:val="0"/>
              <w:divBdr>
                <w:top w:val="none" w:sz="0" w:space="0" w:color="auto"/>
                <w:left w:val="none" w:sz="0" w:space="0" w:color="auto"/>
                <w:bottom w:val="none" w:sz="0" w:space="0" w:color="auto"/>
                <w:right w:val="none" w:sz="0" w:space="0" w:color="auto"/>
              </w:divBdr>
              <w:divsChild>
                <w:div w:id="1734308553">
                  <w:marLeft w:val="0"/>
                  <w:marRight w:val="0"/>
                  <w:marTop w:val="0"/>
                  <w:marBottom w:val="0"/>
                  <w:divBdr>
                    <w:top w:val="none" w:sz="0" w:space="0" w:color="auto"/>
                    <w:left w:val="none" w:sz="0" w:space="0" w:color="auto"/>
                    <w:bottom w:val="none" w:sz="0" w:space="0" w:color="auto"/>
                    <w:right w:val="none" w:sz="0" w:space="0" w:color="auto"/>
                  </w:divBdr>
                  <w:divsChild>
                    <w:div w:id="1163081377">
                      <w:marLeft w:val="0"/>
                      <w:marRight w:val="0"/>
                      <w:marTop w:val="0"/>
                      <w:marBottom w:val="0"/>
                      <w:divBdr>
                        <w:top w:val="none" w:sz="0" w:space="0" w:color="auto"/>
                        <w:left w:val="none" w:sz="0" w:space="0" w:color="auto"/>
                        <w:bottom w:val="none" w:sz="0" w:space="0" w:color="auto"/>
                        <w:right w:val="none" w:sz="0" w:space="0" w:color="auto"/>
                      </w:divBdr>
                      <w:divsChild>
                        <w:div w:id="1436553382">
                          <w:marLeft w:val="0"/>
                          <w:marRight w:val="0"/>
                          <w:marTop w:val="0"/>
                          <w:marBottom w:val="0"/>
                          <w:divBdr>
                            <w:top w:val="none" w:sz="0" w:space="0" w:color="auto"/>
                            <w:left w:val="none" w:sz="0" w:space="0" w:color="auto"/>
                            <w:bottom w:val="none" w:sz="0" w:space="0" w:color="auto"/>
                            <w:right w:val="none" w:sz="0" w:space="0" w:color="auto"/>
                          </w:divBdr>
                          <w:divsChild>
                            <w:div w:id="1840003198">
                              <w:marLeft w:val="0"/>
                              <w:marRight w:val="0"/>
                              <w:marTop w:val="0"/>
                              <w:marBottom w:val="0"/>
                              <w:divBdr>
                                <w:top w:val="none" w:sz="0" w:space="0" w:color="auto"/>
                                <w:left w:val="none" w:sz="0" w:space="0" w:color="auto"/>
                                <w:bottom w:val="none" w:sz="0" w:space="0" w:color="auto"/>
                                <w:right w:val="none" w:sz="0" w:space="0" w:color="auto"/>
                              </w:divBdr>
                              <w:divsChild>
                                <w:div w:id="2114325371">
                                  <w:marLeft w:val="0"/>
                                  <w:marRight w:val="0"/>
                                  <w:marTop w:val="0"/>
                                  <w:marBottom w:val="0"/>
                                  <w:divBdr>
                                    <w:top w:val="none" w:sz="0" w:space="0" w:color="auto"/>
                                    <w:left w:val="none" w:sz="0" w:space="0" w:color="auto"/>
                                    <w:bottom w:val="none" w:sz="0" w:space="0" w:color="auto"/>
                                    <w:right w:val="none" w:sz="0" w:space="0" w:color="auto"/>
                                  </w:divBdr>
                                  <w:divsChild>
                                    <w:div w:id="1341465913">
                                      <w:marLeft w:val="0"/>
                                      <w:marRight w:val="0"/>
                                      <w:marTop w:val="0"/>
                                      <w:marBottom w:val="0"/>
                                      <w:divBdr>
                                        <w:top w:val="single" w:sz="36" w:space="0" w:color="FFFFFF"/>
                                        <w:left w:val="none" w:sz="0" w:space="0" w:color="auto"/>
                                        <w:bottom w:val="none" w:sz="0" w:space="0" w:color="auto"/>
                                        <w:right w:val="none" w:sz="0" w:space="0" w:color="auto"/>
                                      </w:divBdr>
                                      <w:divsChild>
                                        <w:div w:id="115023432">
                                          <w:marLeft w:val="0"/>
                                          <w:marRight w:val="0"/>
                                          <w:marTop w:val="0"/>
                                          <w:marBottom w:val="0"/>
                                          <w:divBdr>
                                            <w:top w:val="none" w:sz="0" w:space="0" w:color="auto"/>
                                            <w:left w:val="none" w:sz="0" w:space="0" w:color="auto"/>
                                            <w:bottom w:val="none" w:sz="0" w:space="0" w:color="auto"/>
                                            <w:right w:val="none" w:sz="0" w:space="0" w:color="auto"/>
                                          </w:divBdr>
                                          <w:divsChild>
                                            <w:div w:id="13148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378319">
      <w:bodyDiv w:val="1"/>
      <w:marLeft w:val="0"/>
      <w:marRight w:val="0"/>
      <w:marTop w:val="0"/>
      <w:marBottom w:val="0"/>
      <w:divBdr>
        <w:top w:val="none" w:sz="0" w:space="0" w:color="auto"/>
        <w:left w:val="none" w:sz="0" w:space="0" w:color="auto"/>
        <w:bottom w:val="none" w:sz="0" w:space="0" w:color="auto"/>
        <w:right w:val="none" w:sz="0" w:space="0" w:color="auto"/>
      </w:divBdr>
      <w:divsChild>
        <w:div w:id="1402168874">
          <w:marLeft w:val="0"/>
          <w:marRight w:val="0"/>
          <w:marTop w:val="0"/>
          <w:marBottom w:val="0"/>
          <w:divBdr>
            <w:top w:val="none" w:sz="0" w:space="0" w:color="auto"/>
            <w:left w:val="none" w:sz="0" w:space="0" w:color="auto"/>
            <w:bottom w:val="none" w:sz="0" w:space="0" w:color="auto"/>
            <w:right w:val="none" w:sz="0" w:space="0" w:color="auto"/>
          </w:divBdr>
          <w:divsChild>
            <w:div w:id="13134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1810">
      <w:bodyDiv w:val="1"/>
      <w:marLeft w:val="0"/>
      <w:marRight w:val="0"/>
      <w:marTop w:val="0"/>
      <w:marBottom w:val="0"/>
      <w:divBdr>
        <w:top w:val="none" w:sz="0" w:space="0" w:color="auto"/>
        <w:left w:val="none" w:sz="0" w:space="0" w:color="auto"/>
        <w:bottom w:val="none" w:sz="0" w:space="0" w:color="auto"/>
        <w:right w:val="none" w:sz="0" w:space="0" w:color="auto"/>
      </w:divBdr>
      <w:divsChild>
        <w:div w:id="162624295">
          <w:marLeft w:val="0"/>
          <w:marRight w:val="0"/>
          <w:marTop w:val="0"/>
          <w:marBottom w:val="0"/>
          <w:divBdr>
            <w:top w:val="none" w:sz="0" w:space="0" w:color="auto"/>
            <w:left w:val="none" w:sz="0" w:space="0" w:color="auto"/>
            <w:bottom w:val="none" w:sz="0" w:space="0" w:color="auto"/>
            <w:right w:val="none" w:sz="0" w:space="0" w:color="auto"/>
          </w:divBdr>
          <w:divsChild>
            <w:div w:id="480076043">
              <w:marLeft w:val="0"/>
              <w:marRight w:val="0"/>
              <w:marTop w:val="0"/>
              <w:marBottom w:val="0"/>
              <w:divBdr>
                <w:top w:val="none" w:sz="0" w:space="0" w:color="auto"/>
                <w:left w:val="none" w:sz="0" w:space="0" w:color="auto"/>
                <w:bottom w:val="none" w:sz="0" w:space="0" w:color="auto"/>
                <w:right w:val="none" w:sz="0" w:space="0" w:color="auto"/>
              </w:divBdr>
              <w:divsChild>
                <w:div w:id="1465343100">
                  <w:marLeft w:val="0"/>
                  <w:marRight w:val="0"/>
                  <w:marTop w:val="0"/>
                  <w:marBottom w:val="0"/>
                  <w:divBdr>
                    <w:top w:val="none" w:sz="0" w:space="0" w:color="auto"/>
                    <w:left w:val="none" w:sz="0" w:space="0" w:color="auto"/>
                    <w:bottom w:val="none" w:sz="0" w:space="0" w:color="auto"/>
                    <w:right w:val="none" w:sz="0" w:space="0" w:color="auto"/>
                  </w:divBdr>
                  <w:divsChild>
                    <w:div w:id="1019427766">
                      <w:marLeft w:val="0"/>
                      <w:marRight w:val="0"/>
                      <w:marTop w:val="0"/>
                      <w:marBottom w:val="0"/>
                      <w:divBdr>
                        <w:top w:val="none" w:sz="0" w:space="0" w:color="auto"/>
                        <w:left w:val="none" w:sz="0" w:space="0" w:color="auto"/>
                        <w:bottom w:val="none" w:sz="0" w:space="0" w:color="auto"/>
                        <w:right w:val="none" w:sz="0" w:space="0" w:color="auto"/>
                      </w:divBdr>
                      <w:divsChild>
                        <w:div w:id="374306919">
                          <w:marLeft w:val="0"/>
                          <w:marRight w:val="0"/>
                          <w:marTop w:val="0"/>
                          <w:marBottom w:val="0"/>
                          <w:divBdr>
                            <w:top w:val="none" w:sz="0" w:space="0" w:color="auto"/>
                            <w:left w:val="none" w:sz="0" w:space="0" w:color="auto"/>
                            <w:bottom w:val="none" w:sz="0" w:space="0" w:color="auto"/>
                            <w:right w:val="none" w:sz="0" w:space="0" w:color="auto"/>
                          </w:divBdr>
                          <w:divsChild>
                            <w:div w:id="1894461617">
                              <w:marLeft w:val="0"/>
                              <w:marRight w:val="0"/>
                              <w:marTop w:val="0"/>
                              <w:marBottom w:val="0"/>
                              <w:divBdr>
                                <w:top w:val="none" w:sz="0" w:space="0" w:color="auto"/>
                                <w:left w:val="none" w:sz="0" w:space="0" w:color="auto"/>
                                <w:bottom w:val="none" w:sz="0" w:space="0" w:color="auto"/>
                                <w:right w:val="none" w:sz="0" w:space="0" w:color="auto"/>
                              </w:divBdr>
                              <w:divsChild>
                                <w:div w:id="1331832130">
                                  <w:marLeft w:val="0"/>
                                  <w:marRight w:val="0"/>
                                  <w:marTop w:val="0"/>
                                  <w:marBottom w:val="0"/>
                                  <w:divBdr>
                                    <w:top w:val="none" w:sz="0" w:space="0" w:color="auto"/>
                                    <w:left w:val="none" w:sz="0" w:space="0" w:color="auto"/>
                                    <w:bottom w:val="none" w:sz="0" w:space="0" w:color="auto"/>
                                    <w:right w:val="none" w:sz="0" w:space="0" w:color="auto"/>
                                  </w:divBdr>
                                  <w:divsChild>
                                    <w:div w:id="201984119">
                                      <w:marLeft w:val="0"/>
                                      <w:marRight w:val="0"/>
                                      <w:marTop w:val="0"/>
                                      <w:marBottom w:val="0"/>
                                      <w:divBdr>
                                        <w:top w:val="single" w:sz="36" w:space="0" w:color="FFFFFF"/>
                                        <w:left w:val="none" w:sz="0" w:space="0" w:color="auto"/>
                                        <w:bottom w:val="none" w:sz="0" w:space="0" w:color="auto"/>
                                        <w:right w:val="none" w:sz="0" w:space="0" w:color="auto"/>
                                      </w:divBdr>
                                      <w:divsChild>
                                        <w:div w:id="1449005618">
                                          <w:marLeft w:val="0"/>
                                          <w:marRight w:val="0"/>
                                          <w:marTop w:val="0"/>
                                          <w:marBottom w:val="0"/>
                                          <w:divBdr>
                                            <w:top w:val="none" w:sz="0" w:space="0" w:color="auto"/>
                                            <w:left w:val="none" w:sz="0" w:space="0" w:color="auto"/>
                                            <w:bottom w:val="none" w:sz="0" w:space="0" w:color="auto"/>
                                            <w:right w:val="none" w:sz="0" w:space="0" w:color="auto"/>
                                          </w:divBdr>
                                          <w:divsChild>
                                            <w:div w:id="14494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999412">
      <w:bodyDiv w:val="1"/>
      <w:marLeft w:val="0"/>
      <w:marRight w:val="0"/>
      <w:marTop w:val="0"/>
      <w:marBottom w:val="0"/>
      <w:divBdr>
        <w:top w:val="none" w:sz="0" w:space="0" w:color="auto"/>
        <w:left w:val="none" w:sz="0" w:space="0" w:color="auto"/>
        <w:bottom w:val="none" w:sz="0" w:space="0" w:color="auto"/>
        <w:right w:val="none" w:sz="0" w:space="0" w:color="auto"/>
      </w:divBdr>
      <w:divsChild>
        <w:div w:id="1915234822">
          <w:marLeft w:val="0"/>
          <w:marRight w:val="0"/>
          <w:marTop w:val="0"/>
          <w:marBottom w:val="0"/>
          <w:divBdr>
            <w:top w:val="none" w:sz="0" w:space="0" w:color="auto"/>
            <w:left w:val="none" w:sz="0" w:space="0" w:color="auto"/>
            <w:bottom w:val="none" w:sz="0" w:space="0" w:color="auto"/>
            <w:right w:val="none" w:sz="0" w:space="0" w:color="auto"/>
          </w:divBdr>
          <w:divsChild>
            <w:div w:id="567693154">
              <w:marLeft w:val="0"/>
              <w:marRight w:val="0"/>
              <w:marTop w:val="0"/>
              <w:marBottom w:val="0"/>
              <w:divBdr>
                <w:top w:val="none" w:sz="0" w:space="0" w:color="auto"/>
                <w:left w:val="none" w:sz="0" w:space="0" w:color="auto"/>
                <w:bottom w:val="none" w:sz="0" w:space="0" w:color="auto"/>
                <w:right w:val="none" w:sz="0" w:space="0" w:color="auto"/>
              </w:divBdr>
              <w:divsChild>
                <w:div w:id="456413814">
                  <w:marLeft w:val="0"/>
                  <w:marRight w:val="0"/>
                  <w:marTop w:val="0"/>
                  <w:marBottom w:val="0"/>
                  <w:divBdr>
                    <w:top w:val="none" w:sz="0" w:space="0" w:color="auto"/>
                    <w:left w:val="none" w:sz="0" w:space="0" w:color="auto"/>
                    <w:bottom w:val="none" w:sz="0" w:space="0" w:color="auto"/>
                    <w:right w:val="none" w:sz="0" w:space="0" w:color="auto"/>
                  </w:divBdr>
                  <w:divsChild>
                    <w:div w:id="493421218">
                      <w:marLeft w:val="0"/>
                      <w:marRight w:val="0"/>
                      <w:marTop w:val="0"/>
                      <w:marBottom w:val="0"/>
                      <w:divBdr>
                        <w:top w:val="none" w:sz="0" w:space="0" w:color="auto"/>
                        <w:left w:val="none" w:sz="0" w:space="0" w:color="auto"/>
                        <w:bottom w:val="none" w:sz="0" w:space="0" w:color="auto"/>
                        <w:right w:val="none" w:sz="0" w:space="0" w:color="auto"/>
                      </w:divBdr>
                      <w:divsChild>
                        <w:div w:id="1305088766">
                          <w:marLeft w:val="0"/>
                          <w:marRight w:val="0"/>
                          <w:marTop w:val="0"/>
                          <w:marBottom w:val="0"/>
                          <w:divBdr>
                            <w:top w:val="none" w:sz="0" w:space="0" w:color="auto"/>
                            <w:left w:val="none" w:sz="0" w:space="0" w:color="auto"/>
                            <w:bottom w:val="none" w:sz="0" w:space="0" w:color="auto"/>
                            <w:right w:val="none" w:sz="0" w:space="0" w:color="auto"/>
                          </w:divBdr>
                          <w:divsChild>
                            <w:div w:id="362248062">
                              <w:marLeft w:val="0"/>
                              <w:marRight w:val="0"/>
                              <w:marTop w:val="0"/>
                              <w:marBottom w:val="0"/>
                              <w:divBdr>
                                <w:top w:val="none" w:sz="0" w:space="0" w:color="auto"/>
                                <w:left w:val="none" w:sz="0" w:space="0" w:color="auto"/>
                                <w:bottom w:val="none" w:sz="0" w:space="0" w:color="auto"/>
                                <w:right w:val="none" w:sz="0" w:space="0" w:color="auto"/>
                              </w:divBdr>
                              <w:divsChild>
                                <w:div w:id="1369530669">
                                  <w:marLeft w:val="0"/>
                                  <w:marRight w:val="0"/>
                                  <w:marTop w:val="0"/>
                                  <w:marBottom w:val="0"/>
                                  <w:divBdr>
                                    <w:top w:val="none" w:sz="0" w:space="0" w:color="auto"/>
                                    <w:left w:val="none" w:sz="0" w:space="0" w:color="auto"/>
                                    <w:bottom w:val="none" w:sz="0" w:space="0" w:color="auto"/>
                                    <w:right w:val="none" w:sz="0" w:space="0" w:color="auto"/>
                                  </w:divBdr>
                                  <w:divsChild>
                                    <w:div w:id="63184703">
                                      <w:marLeft w:val="0"/>
                                      <w:marRight w:val="0"/>
                                      <w:marTop w:val="0"/>
                                      <w:marBottom w:val="0"/>
                                      <w:divBdr>
                                        <w:top w:val="single" w:sz="36" w:space="0" w:color="FFFFFF"/>
                                        <w:left w:val="none" w:sz="0" w:space="0" w:color="auto"/>
                                        <w:bottom w:val="none" w:sz="0" w:space="0" w:color="auto"/>
                                        <w:right w:val="none" w:sz="0" w:space="0" w:color="auto"/>
                                      </w:divBdr>
                                      <w:divsChild>
                                        <w:div w:id="1536961105">
                                          <w:marLeft w:val="0"/>
                                          <w:marRight w:val="0"/>
                                          <w:marTop w:val="0"/>
                                          <w:marBottom w:val="0"/>
                                          <w:divBdr>
                                            <w:top w:val="none" w:sz="0" w:space="0" w:color="auto"/>
                                            <w:left w:val="none" w:sz="0" w:space="0" w:color="auto"/>
                                            <w:bottom w:val="none" w:sz="0" w:space="0" w:color="auto"/>
                                            <w:right w:val="none" w:sz="0" w:space="0" w:color="auto"/>
                                          </w:divBdr>
                                          <w:divsChild>
                                            <w:div w:id="322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975324">
      <w:bodyDiv w:val="1"/>
      <w:marLeft w:val="0"/>
      <w:marRight w:val="0"/>
      <w:marTop w:val="0"/>
      <w:marBottom w:val="0"/>
      <w:divBdr>
        <w:top w:val="none" w:sz="0" w:space="0" w:color="auto"/>
        <w:left w:val="none" w:sz="0" w:space="0" w:color="auto"/>
        <w:bottom w:val="none" w:sz="0" w:space="0" w:color="auto"/>
        <w:right w:val="none" w:sz="0" w:space="0" w:color="auto"/>
      </w:divBdr>
      <w:divsChild>
        <w:div w:id="30156888">
          <w:marLeft w:val="0"/>
          <w:marRight w:val="0"/>
          <w:marTop w:val="0"/>
          <w:marBottom w:val="0"/>
          <w:divBdr>
            <w:top w:val="none" w:sz="0" w:space="0" w:color="auto"/>
            <w:left w:val="none" w:sz="0" w:space="0" w:color="auto"/>
            <w:bottom w:val="none" w:sz="0" w:space="0" w:color="auto"/>
            <w:right w:val="none" w:sz="0" w:space="0" w:color="auto"/>
          </w:divBdr>
          <w:divsChild>
            <w:div w:id="1071853474">
              <w:marLeft w:val="0"/>
              <w:marRight w:val="0"/>
              <w:marTop w:val="0"/>
              <w:marBottom w:val="0"/>
              <w:divBdr>
                <w:top w:val="none" w:sz="0" w:space="0" w:color="auto"/>
                <w:left w:val="none" w:sz="0" w:space="0" w:color="auto"/>
                <w:bottom w:val="none" w:sz="0" w:space="0" w:color="auto"/>
                <w:right w:val="none" w:sz="0" w:space="0" w:color="auto"/>
              </w:divBdr>
              <w:divsChild>
                <w:div w:id="961182730">
                  <w:marLeft w:val="0"/>
                  <w:marRight w:val="0"/>
                  <w:marTop w:val="0"/>
                  <w:marBottom w:val="0"/>
                  <w:divBdr>
                    <w:top w:val="none" w:sz="0" w:space="0" w:color="auto"/>
                    <w:left w:val="none" w:sz="0" w:space="0" w:color="auto"/>
                    <w:bottom w:val="none" w:sz="0" w:space="0" w:color="auto"/>
                    <w:right w:val="none" w:sz="0" w:space="0" w:color="auto"/>
                  </w:divBdr>
                  <w:divsChild>
                    <w:div w:id="1708751288">
                      <w:marLeft w:val="0"/>
                      <w:marRight w:val="0"/>
                      <w:marTop w:val="0"/>
                      <w:marBottom w:val="0"/>
                      <w:divBdr>
                        <w:top w:val="none" w:sz="0" w:space="0" w:color="auto"/>
                        <w:left w:val="none" w:sz="0" w:space="0" w:color="auto"/>
                        <w:bottom w:val="none" w:sz="0" w:space="0" w:color="auto"/>
                        <w:right w:val="none" w:sz="0" w:space="0" w:color="auto"/>
                      </w:divBdr>
                      <w:divsChild>
                        <w:div w:id="536821373">
                          <w:marLeft w:val="0"/>
                          <w:marRight w:val="0"/>
                          <w:marTop w:val="0"/>
                          <w:marBottom w:val="0"/>
                          <w:divBdr>
                            <w:top w:val="none" w:sz="0" w:space="0" w:color="auto"/>
                            <w:left w:val="none" w:sz="0" w:space="0" w:color="auto"/>
                            <w:bottom w:val="none" w:sz="0" w:space="0" w:color="auto"/>
                            <w:right w:val="none" w:sz="0" w:space="0" w:color="auto"/>
                          </w:divBdr>
                          <w:divsChild>
                            <w:div w:id="1596860793">
                              <w:marLeft w:val="0"/>
                              <w:marRight w:val="0"/>
                              <w:marTop w:val="0"/>
                              <w:marBottom w:val="0"/>
                              <w:divBdr>
                                <w:top w:val="none" w:sz="0" w:space="0" w:color="auto"/>
                                <w:left w:val="none" w:sz="0" w:space="0" w:color="auto"/>
                                <w:bottom w:val="none" w:sz="0" w:space="0" w:color="auto"/>
                                <w:right w:val="none" w:sz="0" w:space="0" w:color="auto"/>
                              </w:divBdr>
                              <w:divsChild>
                                <w:div w:id="878735951">
                                  <w:marLeft w:val="0"/>
                                  <w:marRight w:val="0"/>
                                  <w:marTop w:val="0"/>
                                  <w:marBottom w:val="0"/>
                                  <w:divBdr>
                                    <w:top w:val="none" w:sz="0" w:space="0" w:color="auto"/>
                                    <w:left w:val="none" w:sz="0" w:space="0" w:color="auto"/>
                                    <w:bottom w:val="none" w:sz="0" w:space="0" w:color="auto"/>
                                    <w:right w:val="none" w:sz="0" w:space="0" w:color="auto"/>
                                  </w:divBdr>
                                  <w:divsChild>
                                    <w:div w:id="494493871">
                                      <w:marLeft w:val="0"/>
                                      <w:marRight w:val="0"/>
                                      <w:marTop w:val="0"/>
                                      <w:marBottom w:val="0"/>
                                      <w:divBdr>
                                        <w:top w:val="single" w:sz="36" w:space="0" w:color="FFFFFF"/>
                                        <w:left w:val="none" w:sz="0" w:space="0" w:color="auto"/>
                                        <w:bottom w:val="none" w:sz="0" w:space="0" w:color="auto"/>
                                        <w:right w:val="none" w:sz="0" w:space="0" w:color="auto"/>
                                      </w:divBdr>
                                      <w:divsChild>
                                        <w:div w:id="1218321801">
                                          <w:marLeft w:val="0"/>
                                          <w:marRight w:val="0"/>
                                          <w:marTop w:val="0"/>
                                          <w:marBottom w:val="0"/>
                                          <w:divBdr>
                                            <w:top w:val="none" w:sz="0" w:space="0" w:color="auto"/>
                                            <w:left w:val="none" w:sz="0" w:space="0" w:color="auto"/>
                                            <w:bottom w:val="none" w:sz="0" w:space="0" w:color="auto"/>
                                            <w:right w:val="none" w:sz="0" w:space="0" w:color="auto"/>
                                          </w:divBdr>
                                          <w:divsChild>
                                            <w:div w:id="21124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672497">
      <w:bodyDiv w:val="1"/>
      <w:marLeft w:val="0"/>
      <w:marRight w:val="0"/>
      <w:marTop w:val="0"/>
      <w:marBottom w:val="0"/>
      <w:divBdr>
        <w:top w:val="none" w:sz="0" w:space="0" w:color="auto"/>
        <w:left w:val="none" w:sz="0" w:space="0" w:color="auto"/>
        <w:bottom w:val="none" w:sz="0" w:space="0" w:color="auto"/>
        <w:right w:val="none" w:sz="0" w:space="0" w:color="auto"/>
      </w:divBdr>
    </w:div>
    <w:div w:id="1317950509">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10152677">
      <w:bodyDiv w:val="1"/>
      <w:marLeft w:val="0"/>
      <w:marRight w:val="0"/>
      <w:marTop w:val="0"/>
      <w:marBottom w:val="0"/>
      <w:divBdr>
        <w:top w:val="none" w:sz="0" w:space="0" w:color="auto"/>
        <w:left w:val="none" w:sz="0" w:space="0" w:color="auto"/>
        <w:bottom w:val="none" w:sz="0" w:space="0" w:color="auto"/>
        <w:right w:val="none" w:sz="0" w:space="0" w:color="auto"/>
      </w:divBdr>
      <w:divsChild>
        <w:div w:id="1524049594">
          <w:marLeft w:val="0"/>
          <w:marRight w:val="0"/>
          <w:marTop w:val="0"/>
          <w:marBottom w:val="0"/>
          <w:divBdr>
            <w:top w:val="none" w:sz="0" w:space="0" w:color="auto"/>
            <w:left w:val="none" w:sz="0" w:space="0" w:color="auto"/>
            <w:bottom w:val="none" w:sz="0" w:space="0" w:color="auto"/>
            <w:right w:val="none" w:sz="0" w:space="0" w:color="auto"/>
          </w:divBdr>
          <w:divsChild>
            <w:div w:id="2100176034">
              <w:marLeft w:val="0"/>
              <w:marRight w:val="0"/>
              <w:marTop w:val="0"/>
              <w:marBottom w:val="0"/>
              <w:divBdr>
                <w:top w:val="none" w:sz="0" w:space="0" w:color="auto"/>
                <w:left w:val="none" w:sz="0" w:space="0" w:color="auto"/>
                <w:bottom w:val="none" w:sz="0" w:space="0" w:color="auto"/>
                <w:right w:val="none" w:sz="0" w:space="0" w:color="auto"/>
              </w:divBdr>
              <w:divsChild>
                <w:div w:id="1084958099">
                  <w:marLeft w:val="0"/>
                  <w:marRight w:val="0"/>
                  <w:marTop w:val="0"/>
                  <w:marBottom w:val="0"/>
                  <w:divBdr>
                    <w:top w:val="none" w:sz="0" w:space="0" w:color="auto"/>
                    <w:left w:val="none" w:sz="0" w:space="0" w:color="auto"/>
                    <w:bottom w:val="none" w:sz="0" w:space="0" w:color="auto"/>
                    <w:right w:val="none" w:sz="0" w:space="0" w:color="auto"/>
                  </w:divBdr>
                  <w:divsChild>
                    <w:div w:id="844714175">
                      <w:marLeft w:val="0"/>
                      <w:marRight w:val="0"/>
                      <w:marTop w:val="0"/>
                      <w:marBottom w:val="0"/>
                      <w:divBdr>
                        <w:top w:val="none" w:sz="0" w:space="0" w:color="auto"/>
                        <w:left w:val="none" w:sz="0" w:space="0" w:color="auto"/>
                        <w:bottom w:val="none" w:sz="0" w:space="0" w:color="auto"/>
                        <w:right w:val="none" w:sz="0" w:space="0" w:color="auto"/>
                      </w:divBdr>
                      <w:divsChild>
                        <w:div w:id="1972512428">
                          <w:marLeft w:val="0"/>
                          <w:marRight w:val="0"/>
                          <w:marTop w:val="0"/>
                          <w:marBottom w:val="0"/>
                          <w:divBdr>
                            <w:top w:val="none" w:sz="0" w:space="0" w:color="auto"/>
                            <w:left w:val="none" w:sz="0" w:space="0" w:color="auto"/>
                            <w:bottom w:val="none" w:sz="0" w:space="0" w:color="auto"/>
                            <w:right w:val="none" w:sz="0" w:space="0" w:color="auto"/>
                          </w:divBdr>
                          <w:divsChild>
                            <w:div w:id="1179075385">
                              <w:marLeft w:val="0"/>
                              <w:marRight w:val="0"/>
                              <w:marTop w:val="0"/>
                              <w:marBottom w:val="0"/>
                              <w:divBdr>
                                <w:top w:val="none" w:sz="0" w:space="0" w:color="auto"/>
                                <w:left w:val="none" w:sz="0" w:space="0" w:color="auto"/>
                                <w:bottom w:val="none" w:sz="0" w:space="0" w:color="auto"/>
                                <w:right w:val="none" w:sz="0" w:space="0" w:color="auto"/>
                              </w:divBdr>
                              <w:divsChild>
                                <w:div w:id="1001739242">
                                  <w:marLeft w:val="0"/>
                                  <w:marRight w:val="0"/>
                                  <w:marTop w:val="0"/>
                                  <w:marBottom w:val="0"/>
                                  <w:divBdr>
                                    <w:top w:val="none" w:sz="0" w:space="0" w:color="auto"/>
                                    <w:left w:val="none" w:sz="0" w:space="0" w:color="auto"/>
                                    <w:bottom w:val="none" w:sz="0" w:space="0" w:color="auto"/>
                                    <w:right w:val="none" w:sz="0" w:space="0" w:color="auto"/>
                                  </w:divBdr>
                                  <w:divsChild>
                                    <w:div w:id="1523665016">
                                      <w:marLeft w:val="0"/>
                                      <w:marRight w:val="0"/>
                                      <w:marTop w:val="0"/>
                                      <w:marBottom w:val="0"/>
                                      <w:divBdr>
                                        <w:top w:val="single" w:sz="36" w:space="0" w:color="FFFFFF"/>
                                        <w:left w:val="none" w:sz="0" w:space="0" w:color="auto"/>
                                        <w:bottom w:val="none" w:sz="0" w:space="0" w:color="auto"/>
                                        <w:right w:val="none" w:sz="0" w:space="0" w:color="auto"/>
                                      </w:divBdr>
                                      <w:divsChild>
                                        <w:div w:id="2133936983">
                                          <w:marLeft w:val="0"/>
                                          <w:marRight w:val="0"/>
                                          <w:marTop w:val="0"/>
                                          <w:marBottom w:val="0"/>
                                          <w:divBdr>
                                            <w:top w:val="none" w:sz="0" w:space="0" w:color="auto"/>
                                            <w:left w:val="none" w:sz="0" w:space="0" w:color="auto"/>
                                            <w:bottom w:val="none" w:sz="0" w:space="0" w:color="auto"/>
                                            <w:right w:val="none" w:sz="0" w:space="0" w:color="auto"/>
                                          </w:divBdr>
                                          <w:divsChild>
                                            <w:div w:id="742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827353">
      <w:bodyDiv w:val="1"/>
      <w:marLeft w:val="0"/>
      <w:marRight w:val="0"/>
      <w:marTop w:val="0"/>
      <w:marBottom w:val="0"/>
      <w:divBdr>
        <w:top w:val="none" w:sz="0" w:space="0" w:color="auto"/>
        <w:left w:val="none" w:sz="0" w:space="0" w:color="auto"/>
        <w:bottom w:val="none" w:sz="0" w:space="0" w:color="auto"/>
        <w:right w:val="none" w:sz="0" w:space="0" w:color="auto"/>
      </w:divBdr>
      <w:divsChild>
        <w:div w:id="1402093698">
          <w:marLeft w:val="0"/>
          <w:marRight w:val="0"/>
          <w:marTop w:val="0"/>
          <w:marBottom w:val="0"/>
          <w:divBdr>
            <w:top w:val="none" w:sz="0" w:space="0" w:color="auto"/>
            <w:left w:val="none" w:sz="0" w:space="0" w:color="auto"/>
            <w:bottom w:val="none" w:sz="0" w:space="0" w:color="auto"/>
            <w:right w:val="none" w:sz="0" w:space="0" w:color="auto"/>
          </w:divBdr>
          <w:divsChild>
            <w:div w:id="1806122274">
              <w:marLeft w:val="0"/>
              <w:marRight w:val="0"/>
              <w:marTop w:val="0"/>
              <w:marBottom w:val="0"/>
              <w:divBdr>
                <w:top w:val="none" w:sz="0" w:space="0" w:color="auto"/>
                <w:left w:val="none" w:sz="0" w:space="0" w:color="auto"/>
                <w:bottom w:val="none" w:sz="0" w:space="0" w:color="auto"/>
                <w:right w:val="none" w:sz="0" w:space="0" w:color="auto"/>
              </w:divBdr>
              <w:divsChild>
                <w:div w:id="737215664">
                  <w:marLeft w:val="0"/>
                  <w:marRight w:val="0"/>
                  <w:marTop w:val="0"/>
                  <w:marBottom w:val="0"/>
                  <w:divBdr>
                    <w:top w:val="none" w:sz="0" w:space="0" w:color="auto"/>
                    <w:left w:val="none" w:sz="0" w:space="0" w:color="auto"/>
                    <w:bottom w:val="none" w:sz="0" w:space="0" w:color="auto"/>
                    <w:right w:val="none" w:sz="0" w:space="0" w:color="auto"/>
                  </w:divBdr>
                  <w:divsChild>
                    <w:div w:id="1952935808">
                      <w:marLeft w:val="0"/>
                      <w:marRight w:val="0"/>
                      <w:marTop w:val="0"/>
                      <w:marBottom w:val="0"/>
                      <w:divBdr>
                        <w:top w:val="none" w:sz="0" w:space="0" w:color="auto"/>
                        <w:left w:val="none" w:sz="0" w:space="0" w:color="auto"/>
                        <w:bottom w:val="none" w:sz="0" w:space="0" w:color="auto"/>
                        <w:right w:val="none" w:sz="0" w:space="0" w:color="auto"/>
                      </w:divBdr>
                      <w:divsChild>
                        <w:div w:id="1880582147">
                          <w:marLeft w:val="0"/>
                          <w:marRight w:val="0"/>
                          <w:marTop w:val="0"/>
                          <w:marBottom w:val="0"/>
                          <w:divBdr>
                            <w:top w:val="none" w:sz="0" w:space="0" w:color="auto"/>
                            <w:left w:val="none" w:sz="0" w:space="0" w:color="auto"/>
                            <w:bottom w:val="none" w:sz="0" w:space="0" w:color="auto"/>
                            <w:right w:val="none" w:sz="0" w:space="0" w:color="auto"/>
                          </w:divBdr>
                          <w:divsChild>
                            <w:div w:id="957297323">
                              <w:marLeft w:val="0"/>
                              <w:marRight w:val="0"/>
                              <w:marTop w:val="0"/>
                              <w:marBottom w:val="0"/>
                              <w:divBdr>
                                <w:top w:val="none" w:sz="0" w:space="0" w:color="auto"/>
                                <w:left w:val="none" w:sz="0" w:space="0" w:color="auto"/>
                                <w:bottom w:val="none" w:sz="0" w:space="0" w:color="auto"/>
                                <w:right w:val="none" w:sz="0" w:space="0" w:color="auto"/>
                              </w:divBdr>
                              <w:divsChild>
                                <w:div w:id="1224608443">
                                  <w:marLeft w:val="0"/>
                                  <w:marRight w:val="0"/>
                                  <w:marTop w:val="0"/>
                                  <w:marBottom w:val="0"/>
                                  <w:divBdr>
                                    <w:top w:val="none" w:sz="0" w:space="0" w:color="auto"/>
                                    <w:left w:val="none" w:sz="0" w:space="0" w:color="auto"/>
                                    <w:bottom w:val="none" w:sz="0" w:space="0" w:color="auto"/>
                                    <w:right w:val="none" w:sz="0" w:space="0" w:color="auto"/>
                                  </w:divBdr>
                                  <w:divsChild>
                                    <w:div w:id="2112891602">
                                      <w:marLeft w:val="0"/>
                                      <w:marRight w:val="0"/>
                                      <w:marTop w:val="0"/>
                                      <w:marBottom w:val="0"/>
                                      <w:divBdr>
                                        <w:top w:val="single" w:sz="36" w:space="0" w:color="FFFFFF"/>
                                        <w:left w:val="none" w:sz="0" w:space="0" w:color="auto"/>
                                        <w:bottom w:val="none" w:sz="0" w:space="0" w:color="auto"/>
                                        <w:right w:val="none" w:sz="0" w:space="0" w:color="auto"/>
                                      </w:divBdr>
                                      <w:divsChild>
                                        <w:div w:id="168757966">
                                          <w:marLeft w:val="0"/>
                                          <w:marRight w:val="0"/>
                                          <w:marTop w:val="0"/>
                                          <w:marBottom w:val="0"/>
                                          <w:divBdr>
                                            <w:top w:val="none" w:sz="0" w:space="0" w:color="auto"/>
                                            <w:left w:val="none" w:sz="0" w:space="0" w:color="auto"/>
                                            <w:bottom w:val="none" w:sz="0" w:space="0" w:color="auto"/>
                                            <w:right w:val="none" w:sz="0" w:space="0" w:color="auto"/>
                                          </w:divBdr>
                                          <w:divsChild>
                                            <w:div w:id="9671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684480">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tx>
                <c:rich>
                  <a:bodyPr/>
                  <a:lstStyle/>
                  <a:p>
                    <a:r>
                      <a:rPr lang="en-US"/>
                      <a:t>Governance
19%</a:t>
                    </a:r>
                  </a:p>
                </c:rich>
              </c:tx>
              <c:dLblPos val="outEnd"/>
              <c:showLegendKey val="0"/>
              <c:showVal val="0"/>
              <c:showCatName val="1"/>
              <c:showSerName val="0"/>
              <c:showPercent val="1"/>
              <c:showBubbleSize val="0"/>
            </c:dLbl>
            <c:dLbl>
              <c:idx val="1"/>
              <c:layout>
                <c:manualLayout>
                  <c:x val="3.1496044754928704E-2"/>
                  <c:y val="-2.8078570964268454E-2"/>
                </c:manualLayout>
              </c:layout>
              <c:tx>
                <c:rich>
                  <a:bodyPr/>
                  <a:lstStyle/>
                  <a:p>
                    <a:r>
                      <a:rPr lang="en-US"/>
                      <a:t>Humanitarian</a:t>
                    </a:r>
                  </a:p>
                  <a:p>
                    <a:r>
                      <a:rPr lang="en-US"/>
                      <a:t>3%</a:t>
                    </a:r>
                  </a:p>
                </c:rich>
              </c:tx>
              <c:dLblPos val="bestFit"/>
              <c:showLegendKey val="0"/>
              <c:showVal val="0"/>
              <c:showCatName val="1"/>
              <c:showSerName val="0"/>
              <c:showPercent val="1"/>
              <c:showBubbleSize val="0"/>
            </c:dLbl>
            <c:dLbl>
              <c:idx val="2"/>
              <c:layout>
                <c:manualLayout>
                  <c:x val="0"/>
                  <c:y val="6.8190934616927407E-2"/>
                </c:manualLayout>
              </c:layout>
              <c:tx>
                <c:rich>
                  <a:bodyPr/>
                  <a:lstStyle/>
                  <a:p>
                    <a:r>
                      <a:rPr lang="en-US"/>
                      <a:t>Education
12%</a:t>
                    </a:r>
                  </a:p>
                </c:rich>
              </c:tx>
              <c:dLblPos val="bestFit"/>
              <c:showLegendKey val="0"/>
              <c:showVal val="0"/>
              <c:showCatName val="1"/>
              <c:showSerName val="0"/>
              <c:showPercent val="1"/>
              <c:showBubbleSize val="0"/>
            </c:dLbl>
            <c:dLbl>
              <c:idx val="3"/>
              <c:layout>
                <c:manualLayout>
                  <c:x val="-0.220472440944882"/>
                  <c:y val="-4.0112314480545497E-3"/>
                </c:manualLayout>
              </c:layout>
              <c:tx>
                <c:rich>
                  <a:bodyPr/>
                  <a:lstStyle/>
                  <a:p>
                    <a:r>
                      <a:rPr lang="en-US"/>
                      <a:t>Health 
28%</a:t>
                    </a:r>
                  </a:p>
                </c:rich>
              </c:tx>
              <c:dLblPos val="bestFit"/>
              <c:showLegendKey val="0"/>
              <c:showVal val="0"/>
              <c:showCatName val="1"/>
              <c:showSerName val="0"/>
              <c:showPercent val="1"/>
              <c:showBubbleSize val="0"/>
            </c:dLbl>
            <c:dLbl>
              <c:idx val="4"/>
              <c:tx>
                <c:rich>
                  <a:bodyPr/>
                  <a:lstStyle/>
                  <a:p>
                    <a:r>
                      <a:rPr lang="en-US"/>
                      <a:t>Economic Development
23%</a:t>
                    </a:r>
                  </a:p>
                </c:rich>
              </c:tx>
              <c:dLblPos val="outEnd"/>
              <c:showLegendKey val="0"/>
              <c:showVal val="0"/>
              <c:showCatName val="1"/>
              <c:showSerName val="0"/>
              <c:showPercent val="1"/>
              <c:showBubbleSize val="0"/>
            </c:dLbl>
            <c:txPr>
              <a:bodyPr/>
              <a:lstStyle/>
              <a:p>
                <a:pPr>
                  <a:defRPr lang="en-AU"/>
                </a:pPr>
                <a:endParaRPr lang="en-US"/>
              </a:p>
            </c:txPr>
            <c:dLblPos val="outEnd"/>
            <c:showLegendKey val="0"/>
            <c:showVal val="0"/>
            <c:showCatName val="1"/>
            <c:showSerName val="0"/>
            <c:showPercent val="1"/>
            <c:showBubbleSize val="0"/>
            <c:showLeaderLines val="0"/>
          </c:dLbls>
          <c:cat>
            <c:strRef>
              <c:f>'[Chart in Microsoft Word]Sheet1'!$A$2:$A$7</c:f>
              <c:strCache>
                <c:ptCount val="6"/>
                <c:pt idx="0">
                  <c:v>Effective Governance</c:v>
                </c:pt>
                <c:pt idx="1">
                  <c:v>Humanitarian and Disaster Response</c:v>
                </c:pt>
                <c:pt idx="2">
                  <c:v>Promoting Opportunities for all</c:v>
                </c:pt>
                <c:pt idx="3">
                  <c:v>Saving Lives</c:v>
                </c:pt>
                <c:pt idx="4">
                  <c:v>Sustainable Economic Development</c:v>
                </c:pt>
                <c:pt idx="5">
                  <c:v>Cross-cutting</c:v>
                </c:pt>
              </c:strCache>
            </c:strRef>
          </c:cat>
          <c:val>
            <c:numRef>
              <c:f>'[Chart in Microsoft Word]Sheet1'!$B$2:$B$7</c:f>
              <c:numCache>
                <c:formatCode>General</c:formatCode>
                <c:ptCount val="6"/>
                <c:pt idx="0">
                  <c:v>19</c:v>
                </c:pt>
                <c:pt idx="1">
                  <c:v>3</c:v>
                </c:pt>
                <c:pt idx="2">
                  <c:v>12</c:v>
                </c:pt>
                <c:pt idx="3">
                  <c:v>28</c:v>
                </c:pt>
                <c:pt idx="4">
                  <c:v>23</c:v>
                </c:pt>
                <c:pt idx="5">
                  <c:v>15</c:v>
                </c:pt>
              </c:numCache>
            </c:numRef>
          </c:val>
        </c:ser>
        <c:dLbls>
          <c:showLegendKey val="0"/>
          <c:showVal val="0"/>
          <c:showCatName val="0"/>
          <c:showSerName val="0"/>
          <c:showPercent val="0"/>
          <c:showBubbleSize val="0"/>
          <c:showLeaderLines val="0"/>
        </c:dLbls>
        <c:firstSliceAng val="0"/>
      </c:pieChart>
    </c:plotArea>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txPr>
              <a:bodyPr/>
              <a:lstStyle/>
              <a:p>
                <a:pPr>
                  <a:defRPr lang="en-AU"/>
                </a:pPr>
                <a:endParaRPr lang="en-US"/>
              </a:p>
            </c:txPr>
            <c:dLblPos val="outEnd"/>
            <c:showLegendKey val="0"/>
            <c:showVal val="0"/>
            <c:showCatName val="1"/>
            <c:showSerName val="0"/>
            <c:showPercent val="1"/>
            <c:showBubbleSize val="0"/>
            <c:showLeaderLines val="1"/>
          </c:dLbls>
          <c:cat>
            <c:strRef>
              <c:f>'[Chart in Microsoft Word]Sheet2'!$A$2:$A$7</c:f>
              <c:strCache>
                <c:ptCount val="6"/>
                <c:pt idx="0">
                  <c:v>Pacific and Papua New Guinea</c:v>
                </c:pt>
                <c:pt idx="1">
                  <c:v>East Asia</c:v>
                </c:pt>
                <c:pt idx="2">
                  <c:v>South Asia</c:v>
                </c:pt>
                <c:pt idx="3">
                  <c:v>Africa and Middle East</c:v>
                </c:pt>
                <c:pt idx="4">
                  <c:v>North, Central and South America</c:v>
                </c:pt>
                <c:pt idx="5">
                  <c:v>Rest of the world, and unallocated</c:v>
                </c:pt>
              </c:strCache>
            </c:strRef>
          </c:cat>
          <c:val>
            <c:numRef>
              <c:f>'[Chart in Microsoft Word]Sheet2'!$B$2:$B$7</c:f>
              <c:numCache>
                <c:formatCode>General</c:formatCode>
                <c:ptCount val="6"/>
                <c:pt idx="0">
                  <c:v>14</c:v>
                </c:pt>
                <c:pt idx="1">
                  <c:v>34</c:v>
                </c:pt>
                <c:pt idx="2">
                  <c:v>15</c:v>
                </c:pt>
                <c:pt idx="3">
                  <c:v>18</c:v>
                </c:pt>
                <c:pt idx="4">
                  <c:v>3</c:v>
                </c:pt>
                <c:pt idx="5">
                  <c:v>16</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0.31024</cdr:x>
      <cdr:y>0.12515</cdr:y>
    </cdr:from>
    <cdr:to>
      <cdr:x>0.3748</cdr:x>
      <cdr:y>0.20939</cdr:y>
    </cdr:to>
    <cdr:cxnSp macro="">
      <cdr:nvCxnSpPr>
        <cdr:cNvPr id="3" name="Straight Connector 2"/>
        <cdr:cNvCxnSpPr/>
      </cdr:nvCxnSpPr>
      <cdr:spPr>
        <a:xfrm xmlns:a="http://schemas.openxmlformats.org/drawingml/2006/main">
          <a:off x="1501140" y="396240"/>
          <a:ext cx="312420" cy="2667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0.63307</cdr:x>
      <cdr:y>0.15644</cdr:y>
    </cdr:from>
    <cdr:to>
      <cdr:x>0.71811</cdr:x>
      <cdr:y>0.23345</cdr:y>
    </cdr:to>
    <cdr:cxnSp macro="">
      <cdr:nvCxnSpPr>
        <cdr:cNvPr id="5" name="Straight Connector 4"/>
        <cdr:cNvCxnSpPr/>
      </cdr:nvCxnSpPr>
      <cdr:spPr>
        <a:xfrm xmlns:a="http://schemas.openxmlformats.org/drawingml/2006/main" flipH="1">
          <a:off x="3063240" y="495300"/>
          <a:ext cx="411480" cy="2438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0.19843</cdr:x>
      <cdr:y>0.6065</cdr:y>
    </cdr:from>
    <cdr:to>
      <cdr:x>0.32126</cdr:x>
      <cdr:y>0.6426</cdr:y>
    </cdr:to>
    <cdr:cxnSp macro="">
      <cdr:nvCxnSpPr>
        <cdr:cNvPr id="8" name="Straight Connector 7"/>
        <cdr:cNvCxnSpPr/>
      </cdr:nvCxnSpPr>
      <cdr:spPr>
        <a:xfrm xmlns:a="http://schemas.openxmlformats.org/drawingml/2006/main" flipV="1">
          <a:off x="960120" y="1920240"/>
          <a:ext cx="594360" cy="114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0.72283</cdr:x>
      <cdr:y>0.32972</cdr:y>
    </cdr:from>
    <cdr:to>
      <cdr:x>0.80472</cdr:x>
      <cdr:y>0.39952</cdr:y>
    </cdr:to>
    <cdr:cxnSp macro="">
      <cdr:nvCxnSpPr>
        <cdr:cNvPr id="10" name="Straight Connector 9"/>
        <cdr:cNvCxnSpPr/>
      </cdr:nvCxnSpPr>
      <cdr:spPr>
        <a:xfrm xmlns:a="http://schemas.openxmlformats.org/drawingml/2006/main" flipH="1">
          <a:off x="3497580" y="1043940"/>
          <a:ext cx="396240" cy="22098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0.68819</cdr:x>
      <cdr:y>0.60168</cdr:y>
    </cdr:from>
    <cdr:to>
      <cdr:x>0.79843</cdr:x>
      <cdr:y>0.70277</cdr:y>
    </cdr:to>
    <cdr:cxnSp macro="">
      <cdr:nvCxnSpPr>
        <cdr:cNvPr id="20" name="Straight Connector 19"/>
        <cdr:cNvCxnSpPr/>
      </cdr:nvCxnSpPr>
      <cdr:spPr>
        <a:xfrm xmlns:a="http://schemas.openxmlformats.org/drawingml/2006/main">
          <a:off x="3329940" y="1905000"/>
          <a:ext cx="533400" cy="3200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0.34646</cdr:x>
      <cdr:y>0.73887</cdr:y>
    </cdr:from>
    <cdr:to>
      <cdr:x>0.45039</cdr:x>
      <cdr:y>0.87846</cdr:y>
    </cdr:to>
    <cdr:cxnSp macro="">
      <cdr:nvCxnSpPr>
        <cdr:cNvPr id="22" name="Straight Connector 21"/>
        <cdr:cNvCxnSpPr/>
      </cdr:nvCxnSpPr>
      <cdr:spPr>
        <a:xfrm xmlns:a="http://schemas.openxmlformats.org/drawingml/2006/main" flipV="1">
          <a:off x="1676400" y="2339340"/>
          <a:ext cx="502920" cy="44196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0.31493</cdr:x>
      <cdr:y>0.14441</cdr:y>
    </cdr:from>
    <cdr:to>
      <cdr:x>0.39272</cdr:x>
      <cdr:y>0.20521</cdr:y>
    </cdr:to>
    <cdr:cxnSp macro="">
      <cdr:nvCxnSpPr>
        <cdr:cNvPr id="3" name="Straight Connector 2"/>
        <cdr:cNvCxnSpPr/>
      </cdr:nvCxnSpPr>
      <cdr:spPr>
        <a:xfrm xmlns:a="http://schemas.openxmlformats.org/drawingml/2006/main">
          <a:off x="1912620" y="506730"/>
          <a:ext cx="472440" cy="21336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0.59097</cdr:x>
      <cdr:y>0.12338</cdr:y>
    </cdr:from>
    <cdr:to>
      <cdr:x>0.66562</cdr:x>
      <cdr:y>0.19435</cdr:y>
    </cdr:to>
    <cdr:cxnSp macro="">
      <cdr:nvCxnSpPr>
        <cdr:cNvPr id="5" name="Straight Connector 4"/>
        <cdr:cNvCxnSpPr/>
      </cdr:nvCxnSpPr>
      <cdr:spPr>
        <a:xfrm xmlns:a="http://schemas.openxmlformats.org/drawingml/2006/main" flipH="1">
          <a:off x="3106453" y="374650"/>
          <a:ext cx="392397" cy="21550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0.6788</cdr:x>
      <cdr:y>0.58306</cdr:y>
    </cdr:from>
    <cdr:to>
      <cdr:x>0.77541</cdr:x>
      <cdr:y>0.62866</cdr:y>
    </cdr:to>
    <cdr:cxnSp macro="">
      <cdr:nvCxnSpPr>
        <cdr:cNvPr id="8" name="Straight Connector 7"/>
        <cdr:cNvCxnSpPr/>
      </cdr:nvCxnSpPr>
      <cdr:spPr>
        <a:xfrm xmlns:a="http://schemas.openxmlformats.org/drawingml/2006/main" flipH="1" flipV="1">
          <a:off x="4122420" y="2045970"/>
          <a:ext cx="586740" cy="16002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0.21957</cdr:x>
      <cdr:y>0.56786</cdr:y>
    </cdr:from>
    <cdr:to>
      <cdr:x>0.3463</cdr:x>
      <cdr:y>0.64821</cdr:y>
    </cdr:to>
    <cdr:cxnSp macro="">
      <cdr:nvCxnSpPr>
        <cdr:cNvPr id="10" name="Straight Connector 9"/>
        <cdr:cNvCxnSpPr/>
      </cdr:nvCxnSpPr>
      <cdr:spPr>
        <a:xfrm xmlns:a="http://schemas.openxmlformats.org/drawingml/2006/main" flipV="1">
          <a:off x="1333500" y="1992630"/>
          <a:ext cx="769620" cy="28194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0.34128</cdr:x>
      <cdr:y>0.81976</cdr:y>
    </cdr:from>
    <cdr:to>
      <cdr:x>0.40402</cdr:x>
      <cdr:y>0.87622</cdr:y>
    </cdr:to>
    <cdr:cxnSp macro="">
      <cdr:nvCxnSpPr>
        <cdr:cNvPr id="12" name="Straight Connector 11"/>
        <cdr:cNvCxnSpPr/>
      </cdr:nvCxnSpPr>
      <cdr:spPr>
        <a:xfrm xmlns:a="http://schemas.openxmlformats.org/drawingml/2006/main" flipV="1">
          <a:off x="2072640" y="2876550"/>
          <a:ext cx="381000" cy="19812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0.2133</cdr:x>
      <cdr:y>0.33768</cdr:y>
    </cdr:from>
    <cdr:to>
      <cdr:x>0.31368</cdr:x>
      <cdr:y>0.33768</cdr:y>
    </cdr:to>
    <cdr:cxnSp macro="">
      <cdr:nvCxnSpPr>
        <cdr:cNvPr id="14" name="Straight Connector 13"/>
        <cdr:cNvCxnSpPr/>
      </cdr:nvCxnSpPr>
      <cdr:spPr>
        <a:xfrm xmlns:a="http://schemas.openxmlformats.org/drawingml/2006/main">
          <a:off x="1295400" y="1184910"/>
          <a:ext cx="60960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AEAA1-799A-41F3-8B74-FDCEDCC75E92}"/>
</file>

<file path=customXml/itemProps2.xml><?xml version="1.0" encoding="utf-8"?>
<ds:datastoreItem xmlns:ds="http://schemas.openxmlformats.org/officeDocument/2006/customXml" ds:itemID="{97FEFF67-0837-4399-AC71-4995E31E9DAF}"/>
</file>

<file path=customXml/itemProps3.xml><?xml version="1.0" encoding="utf-8"?>
<ds:datastoreItem xmlns:ds="http://schemas.openxmlformats.org/officeDocument/2006/customXml" ds:itemID="{C4411CD3-A694-4A76-A7D3-CD8382583748}"/>
</file>

<file path=customXml/itemProps4.xml><?xml version="1.0" encoding="utf-8"?>
<ds:datastoreItem xmlns:ds="http://schemas.openxmlformats.org/officeDocument/2006/customXml" ds:itemID="{C7BE534C-9282-447A-8523-14E0E9CBF7F2}"/>
</file>

<file path=docProps/app.xml><?xml version="1.0" encoding="utf-8"?>
<Properties xmlns="http://schemas.openxmlformats.org/officeDocument/2006/extended-properties" xmlns:vt="http://schemas.openxmlformats.org/officeDocument/2006/docPropsVTypes">
  <Template>Normal.dotm</Template>
  <TotalTime>0</TotalTime>
  <Pages>21</Pages>
  <Words>8032</Words>
  <Characters>45786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2013-11-21T05:09:00Z</dcterms:created>
  <dcterms:modified xsi:type="dcterms:W3CDTF">2014-01-29T04:52:00Z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310300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